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tabs>
          <w:tab w:val="left" w:pos="340"/>
        </w:tabs>
        <w:spacing w:after="120" w:line="264" w:lineRule="exact"/>
        <w:ind w:left="4196" w:right="0"/>
        <w:jc w:val="left"/>
        <w:rPr>
          <w:rFonts w:ascii="FrankRuehl" w:hAnsi="FrankRuehl" w:hint="cs"/>
          <w:b/>
          <w:bCs/>
          <w:sz w:val="32"/>
          <w:szCs w:val="32"/>
          <w:rtl/>
        </w:rPr>
      </w:pPr>
      <w:r>
        <w:rPr>
          <w:rFonts w:ascii="FrankRuehl" w:hAnsi="FrankRuehl"/>
          <w:b/>
          <w:bCs/>
          <w:sz w:val="32"/>
          <w:szCs w:val="32"/>
          <w:rtl/>
        </w:rPr>
        <w:t xml:space="preserve">דוח שנתי </w:t>
      </w:r>
      <w:r>
        <w:rPr>
          <w:rFonts w:ascii="FrankRuehl" w:hAnsi="FrankRuehl" w:hint="cs"/>
          <w:b/>
          <w:bCs/>
          <w:sz w:val="28"/>
          <w:szCs w:val="28"/>
          <w:rtl/>
        </w:rPr>
        <w:t>53</w:t>
      </w:r>
      <w:r>
        <w:rPr>
          <w:rFonts w:ascii="FrankRuehl" w:hAnsi="FrankRuehl" w:hint="cs"/>
          <w:b/>
          <w:bCs/>
          <w:sz w:val="32"/>
          <w:szCs w:val="32"/>
          <w:rtl/>
        </w:rPr>
        <w:t>א</w:t>
      </w:r>
    </w:p>
    <w:p>
      <w:pPr>
        <w:tabs>
          <w:tab w:val="left" w:pos="340"/>
        </w:tabs>
        <w:spacing w:after="120" w:line="264" w:lineRule="exact"/>
        <w:ind w:left="4196" w:right="0"/>
        <w:jc w:val="left"/>
        <w:rPr>
          <w:rFonts w:ascii="FrankRuehl" w:hAnsi="FrankRuehl" w:hint="cs"/>
          <w:b/>
          <w:bCs/>
          <w:sz w:val="32"/>
          <w:szCs w:val="32"/>
          <w:rtl/>
        </w:rPr>
      </w:pPr>
      <w:r>
        <w:rPr>
          <w:rFonts w:ascii="FrankRuehl" w:hAnsi="FrankRuehl" w:hint="cs"/>
          <w:b/>
          <w:bCs/>
          <w:sz w:val="32"/>
          <w:szCs w:val="32"/>
          <w:rtl/>
        </w:rPr>
        <w:t>של מבקר המדינה</w:t>
      </w:r>
    </w:p>
    <w:p>
      <w:pPr>
        <w:tabs>
          <w:tab w:val="left" w:pos="340"/>
        </w:tabs>
        <w:spacing w:after="120" w:line="264" w:lineRule="exact"/>
        <w:ind w:left="4196" w:right="0"/>
        <w:jc w:val="left"/>
        <w:rPr>
          <w:rFonts w:ascii="FrankRuehl" w:hAnsi="FrankRuehl" w:hint="cs"/>
          <w:b/>
          <w:bCs/>
          <w:sz w:val="32"/>
          <w:szCs w:val="32"/>
          <w:rtl/>
        </w:rPr>
      </w:pPr>
      <w:r>
        <w:rPr>
          <w:rFonts w:ascii="FrankRuehl" w:hAnsi="FrankRuehl"/>
          <w:b/>
          <w:bCs/>
          <w:sz w:val="32"/>
          <w:szCs w:val="32"/>
          <w:rtl/>
        </w:rPr>
        <w:br w:type="page"/>
      </w:r>
    </w:p>
    <w:p>
      <w:pPr>
        <w:spacing w:line="240" w:lineRule="atLeast"/>
        <w:ind w:left="0" w:right="0"/>
        <w:jc w:val="center"/>
        <w:rPr>
          <w:sz w:val="24"/>
        </w:rPr>
      </w:pPr>
      <w:r>
        <w:rPr>
          <w:rFonts w:ascii="FrankRuehl" w:hAnsi="FrankRuehl"/>
          <w:b/>
          <w:bCs/>
          <w:sz w:val="32"/>
          <w:szCs w:val="32"/>
          <w:rtl/>
        </w:rPr>
        <w:br w:type="pag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5pt;height:71.34pt" stroked="f">
            <v:imagedata r:id="rId4" o:title="..\israel_n.wmf"/>
          </v:shape>
        </w:pict>
      </w:r>
    </w:p>
    <w:p>
      <w:pPr>
        <w:ind w:left="0" w:right="0"/>
        <w:jc w:val="center"/>
        <w:rPr>
          <w:sz w:val="24"/>
        </w:rPr>
      </w:pPr>
    </w:p>
    <w:p>
      <w:pPr>
        <w:ind w:left="0" w:right="0"/>
        <w:jc w:val="center"/>
        <w:rPr>
          <w:sz w:val="24"/>
        </w:rPr>
      </w:pPr>
    </w:p>
    <w:p>
      <w:pPr>
        <w:ind w:left="0" w:right="0"/>
        <w:jc w:val="center"/>
        <w:rPr>
          <w:rFonts w:hint="cs"/>
          <w:b/>
          <w:bCs/>
          <w:sz w:val="80"/>
          <w:szCs w:val="80"/>
          <w:rtl/>
        </w:rPr>
      </w:pPr>
      <w:r>
        <w:rPr>
          <w:rFonts w:hint="cs"/>
          <w:b/>
          <w:bCs/>
          <w:sz w:val="80"/>
          <w:szCs w:val="80"/>
          <w:rtl/>
        </w:rPr>
        <w:t>מבקר המדינה</w:t>
      </w:r>
    </w:p>
    <w:p>
      <w:pPr>
        <w:ind w:left="0" w:right="0"/>
        <w:jc w:val="center"/>
        <w:rPr>
          <w:sz w:val="60"/>
          <w:szCs w:val="60"/>
        </w:rPr>
      </w:pPr>
    </w:p>
    <w:p>
      <w:pPr>
        <w:ind w:left="0" w:right="0"/>
        <w:jc w:val="center"/>
        <w:rPr>
          <w:rFonts w:hint="cs"/>
          <w:sz w:val="24"/>
          <w:rtl/>
        </w:rPr>
      </w:pPr>
    </w:p>
    <w:p>
      <w:pPr>
        <w:ind w:left="0" w:right="0"/>
        <w:jc w:val="center"/>
        <w:rPr>
          <w:rFonts w:hint="cs"/>
          <w:sz w:val="24"/>
          <w:rtl/>
        </w:rPr>
      </w:pPr>
    </w:p>
    <w:p>
      <w:pPr>
        <w:ind w:left="0" w:right="0"/>
        <w:jc w:val="center"/>
        <w:rPr>
          <w:rFonts w:hint="cs"/>
          <w:sz w:val="24"/>
        </w:rPr>
      </w:pPr>
    </w:p>
    <w:p>
      <w:pPr>
        <w:ind w:left="0" w:right="0"/>
        <w:jc w:val="center"/>
        <w:rPr>
          <w:sz w:val="24"/>
        </w:rPr>
      </w:pPr>
    </w:p>
    <w:p>
      <w:pPr>
        <w:ind w:left="0" w:right="0"/>
        <w:jc w:val="center"/>
        <w:rPr>
          <w:sz w:val="24"/>
          <w:rtl/>
        </w:rPr>
      </w:pPr>
    </w:p>
    <w:p>
      <w:pPr>
        <w:ind w:left="0" w:right="0"/>
        <w:jc w:val="center"/>
        <w:rPr>
          <w:rFonts w:hint="cs"/>
          <w:sz w:val="120"/>
          <w:szCs w:val="120"/>
          <w:rtl/>
        </w:rPr>
      </w:pPr>
      <w:r>
        <w:rPr>
          <w:rFonts w:hint="cs"/>
          <w:sz w:val="120"/>
          <w:szCs w:val="120"/>
          <w:rtl/>
        </w:rPr>
        <w:t xml:space="preserve">דוח שנתי </w:t>
      </w:r>
      <w:r>
        <w:rPr>
          <w:rFonts w:hint="cs"/>
          <w:sz w:val="110"/>
          <w:szCs w:val="110"/>
          <w:rtl/>
        </w:rPr>
        <w:t>53</w:t>
      </w:r>
      <w:r>
        <w:rPr>
          <w:rFonts w:hint="cs"/>
          <w:sz w:val="120"/>
          <w:szCs w:val="120"/>
          <w:rtl/>
        </w:rPr>
        <w:t>א</w:t>
      </w:r>
    </w:p>
    <w:p>
      <w:pPr>
        <w:ind w:left="0" w:right="0"/>
        <w:jc w:val="center"/>
        <w:rPr>
          <w:sz w:val="16"/>
          <w:szCs w:val="16"/>
        </w:rPr>
      </w:pPr>
    </w:p>
    <w:p>
      <w:pPr>
        <w:ind w:left="0" w:right="0"/>
        <w:jc w:val="center"/>
        <w:rPr>
          <w:sz w:val="16"/>
          <w:szCs w:val="16"/>
          <w:rtl/>
        </w:rPr>
      </w:pPr>
    </w:p>
    <w:p>
      <w:pPr>
        <w:ind w:left="0" w:right="0"/>
        <w:jc w:val="center"/>
        <w:rPr>
          <w:rFonts w:hint="cs"/>
          <w:sz w:val="56"/>
          <w:szCs w:val="56"/>
          <w:rtl/>
        </w:rPr>
      </w:pPr>
      <w:r>
        <w:rPr>
          <w:rFonts w:hint="cs"/>
          <w:sz w:val="56"/>
          <w:szCs w:val="56"/>
          <w:rtl/>
        </w:rPr>
        <w:t xml:space="preserve">לשנת 2002 </w:t>
      </w:r>
    </w:p>
    <w:p>
      <w:pPr>
        <w:ind w:left="0" w:right="0"/>
        <w:jc w:val="center"/>
        <w:rPr>
          <w:rFonts w:hint="cs"/>
          <w:sz w:val="32"/>
          <w:szCs w:val="32"/>
          <w:rtl/>
        </w:rPr>
      </w:pPr>
    </w:p>
    <w:p>
      <w:pPr>
        <w:ind w:left="0" w:right="0"/>
        <w:jc w:val="center"/>
        <w:rPr>
          <w:rFonts w:hint="cs"/>
          <w:sz w:val="32"/>
          <w:szCs w:val="32"/>
          <w:rtl/>
        </w:rPr>
      </w:pPr>
    </w:p>
    <w:p>
      <w:pPr>
        <w:ind w:left="0" w:right="0"/>
        <w:jc w:val="center"/>
        <w:rPr>
          <w:rFonts w:hint="cs"/>
          <w:sz w:val="32"/>
          <w:szCs w:val="32"/>
          <w:rtl/>
        </w:rPr>
      </w:pPr>
    </w:p>
    <w:p>
      <w:pPr>
        <w:spacing w:before="360"/>
        <w:ind w:left="0" w:right="0"/>
        <w:jc w:val="center"/>
        <w:rPr>
          <w:sz w:val="24"/>
        </w:rPr>
      </w:pPr>
      <w:r>
        <w:rPr>
          <w:sz w:val="24"/>
          <w:rtl/>
        </w:rPr>
        <w:br w:type="page"/>
      </w: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sz w:val="24"/>
        </w:rPr>
      </w:pPr>
    </w:p>
    <w:p>
      <w:pPr>
        <w:ind w:left="0" w:right="0"/>
        <w:jc w:val="center"/>
        <w:rPr>
          <w:rFonts w:hint="cs"/>
          <w:sz w:val="22"/>
          <w:rtl/>
        </w:rPr>
      </w:pPr>
    </w:p>
    <w:p>
      <w:pPr>
        <w:ind w:left="0" w:right="0"/>
        <w:jc w:val="center"/>
        <w:rPr>
          <w:rFonts w:hint="cs"/>
          <w:sz w:val="22"/>
          <w:rtl/>
        </w:rPr>
      </w:pPr>
    </w:p>
    <w:p>
      <w:pPr>
        <w:ind w:left="0" w:right="0"/>
        <w:jc w:val="center"/>
        <w:rPr>
          <w:rFonts w:hint="cs"/>
          <w:sz w:val="22"/>
          <w:rtl/>
        </w:rPr>
      </w:pPr>
    </w:p>
    <w:p>
      <w:pPr>
        <w:ind w:left="0" w:right="0"/>
        <w:jc w:val="center"/>
        <w:rPr>
          <w:rFonts w:hint="cs"/>
          <w:sz w:val="22"/>
          <w:rtl/>
        </w:rPr>
      </w:pPr>
    </w:p>
    <w:p>
      <w:pPr>
        <w:ind w:left="0" w:right="0"/>
        <w:jc w:val="center"/>
        <w:rPr>
          <w:rFonts w:hint="cs"/>
          <w:sz w:val="22"/>
          <w:rtl/>
        </w:rPr>
      </w:pPr>
    </w:p>
    <w:p>
      <w:pPr>
        <w:ind w:left="0" w:right="0"/>
        <w:jc w:val="center"/>
        <w:rPr>
          <w:rFonts w:hint="cs"/>
          <w:sz w:val="22"/>
          <w:rtl/>
        </w:rPr>
      </w:pPr>
    </w:p>
    <w:p>
      <w:pPr>
        <w:ind w:left="0" w:right="0"/>
        <w:jc w:val="center"/>
        <w:rPr>
          <w:rFonts w:hint="cs"/>
          <w:sz w:val="22"/>
          <w:rtl/>
        </w:rPr>
      </w:pPr>
    </w:p>
    <w:p>
      <w:pPr>
        <w:ind w:left="0" w:right="0"/>
        <w:jc w:val="center"/>
        <w:rPr>
          <w:rFonts w:hint="cs"/>
          <w:sz w:val="22"/>
          <w:rtl/>
        </w:rPr>
      </w:pPr>
    </w:p>
    <w:p>
      <w:pPr>
        <w:ind w:left="0" w:right="0"/>
        <w:jc w:val="center"/>
        <w:rPr>
          <w:rFonts w:hint="cs"/>
          <w:sz w:val="22"/>
        </w:rPr>
      </w:pPr>
    </w:p>
    <w:p>
      <w:pPr>
        <w:ind w:left="0" w:right="0"/>
        <w:jc w:val="center"/>
        <w:rPr>
          <w:rFonts w:cs="FrankRuehl" w:hint="cs"/>
          <w:sz w:val="22"/>
          <w:rtl/>
        </w:rPr>
      </w:pPr>
      <w:r>
        <w:rPr>
          <w:rFonts w:cs="FrankRuehl" w:hint="cs"/>
          <w:sz w:val="22"/>
          <w:rtl/>
        </w:rPr>
        <w:t>מס' קטלוגי 953-2002</w:t>
      </w:r>
    </w:p>
    <w:p>
      <w:pPr>
        <w:ind w:left="0" w:right="0"/>
        <w:jc w:val="center"/>
        <w:rPr>
          <w:rFonts w:ascii="FrankRuehl" w:hAnsi="FrankRuehl" w:cs="FrankRuehl"/>
          <w:sz w:val="24"/>
        </w:rPr>
      </w:pPr>
      <w:r>
        <w:rPr>
          <w:rFonts w:cs="FrankRuehl"/>
          <w:szCs w:val="20"/>
        </w:rPr>
        <w:t>ISSN</w:t>
      </w:r>
      <w:r>
        <w:rPr>
          <w:rFonts w:cs="FrankRuehl"/>
          <w:sz w:val="18"/>
        </w:rPr>
        <w:t xml:space="preserve"> </w:t>
      </w:r>
      <w:r>
        <w:rPr>
          <w:rFonts w:cs="FrankRuehl"/>
          <w:szCs w:val="20"/>
        </w:rPr>
        <w:t>0334-9713</w:t>
      </w:r>
    </w:p>
    <w:p>
      <w:pPr>
        <w:ind w:left="0" w:right="0"/>
        <w:jc w:val="center"/>
        <w:rPr>
          <w:rFonts w:cs="FrankRuehl"/>
          <w:sz w:val="22"/>
        </w:rPr>
      </w:pPr>
    </w:p>
    <w:p>
      <w:pPr>
        <w:ind w:left="0" w:right="0"/>
        <w:jc w:val="center"/>
        <w:rPr>
          <w:rFonts w:cs="FrankRuehl" w:hint="cs"/>
          <w:sz w:val="22"/>
          <w:rtl/>
        </w:rPr>
      </w:pPr>
      <w:r>
        <w:rPr>
          <w:rFonts w:cs="FrankRuehl" w:hint="cs"/>
          <w:sz w:val="22"/>
          <w:rtl/>
        </w:rPr>
        <w:t xml:space="preserve">ניתן לקבל גירסה אלקטרונית של דוח זה באתר האינטרנט של </w:t>
      </w:r>
      <w:r>
        <w:rPr>
          <w:rFonts w:cs="FrankRuehl"/>
          <w:sz w:val="22"/>
        </w:rPr>
        <w:br/>
      </w:r>
      <w:r>
        <w:rPr>
          <w:rFonts w:cs="FrankRuehl" w:hint="cs"/>
          <w:sz w:val="22"/>
          <w:rtl/>
        </w:rPr>
        <w:t>משרד מבקר המדינה בכתובת:</w:t>
      </w:r>
    </w:p>
    <w:p>
      <w:pPr>
        <w:ind w:left="0" w:right="0"/>
        <w:jc w:val="center"/>
        <w:rPr>
          <w:rFonts w:cs="FrankRuehl" w:hint="cs"/>
          <w:sz w:val="22"/>
          <w:rtl/>
        </w:rPr>
      </w:pPr>
      <w:r>
        <w:rPr>
          <w:rFonts w:cs="FrankRuehl"/>
          <w:sz w:val="22"/>
        </w:rPr>
        <w:t>WWW.MEVAKER.GOV.IL</w:t>
      </w:r>
    </w:p>
    <w:p>
      <w:pPr>
        <w:ind w:left="0" w:right="0"/>
        <w:jc w:val="center"/>
        <w:rPr>
          <w:rFonts w:cs="FrankRuehl" w:hint="cs"/>
          <w:sz w:val="22"/>
          <w:rtl/>
        </w:rPr>
      </w:pPr>
    </w:p>
    <w:p>
      <w:pPr>
        <w:ind w:left="0" w:right="0"/>
        <w:jc w:val="center"/>
        <w:rPr>
          <w:rFonts w:cs="FrankRuehl" w:hint="cs"/>
          <w:sz w:val="22"/>
          <w:rtl/>
        </w:rPr>
      </w:pPr>
      <w:r>
        <w:rPr>
          <w:rFonts w:cs="FrankRuehl" w:hint="cs"/>
          <w:sz w:val="22"/>
          <w:rtl/>
        </w:rPr>
        <w:t>סדר: אונית שירותי מחשב בע"מ</w:t>
      </w:r>
    </w:p>
    <w:p>
      <w:pPr>
        <w:ind w:left="0" w:right="0"/>
        <w:jc w:val="center"/>
        <w:rPr>
          <w:rFonts w:cs="FrankRuehl"/>
          <w:sz w:val="22"/>
        </w:rPr>
      </w:pPr>
      <w:r>
        <w:rPr>
          <w:rFonts w:cs="FrankRuehl" w:hint="cs"/>
          <w:sz w:val="22"/>
          <w:rtl/>
        </w:rPr>
        <w:t>דפוס: דפוס כתר בע"מ</w:t>
      </w:r>
    </w:p>
    <w:p>
      <w:pPr>
        <w:spacing w:after="240" w:line="260" w:lineRule="exact"/>
        <w:ind w:left="0" w:right="0"/>
        <w:jc w:val="left"/>
        <w:rPr>
          <w:rFonts w:hint="cs"/>
          <w:rtl/>
        </w:rPr>
      </w:pPr>
      <w:r>
        <w:rPr>
          <w:rtl/>
        </w:rPr>
        <w:br w:type="page"/>
      </w:r>
    </w:p>
    <w:p>
      <w:pPr>
        <w:spacing w:after="240" w:line="260" w:lineRule="exact"/>
        <w:ind w:left="0" w:right="0"/>
        <w:jc w:val="left"/>
      </w:pPr>
    </w:p>
    <w:p>
      <w:pPr>
        <w:spacing w:after="240" w:line="260" w:lineRule="exact"/>
        <w:ind w:left="0" w:right="0"/>
        <w:jc w:val="left"/>
        <w:rPr>
          <w:rtl/>
        </w:rPr>
      </w:pPr>
    </w:p>
    <w:p>
      <w:pPr>
        <w:spacing w:line="260" w:lineRule="exact"/>
        <w:ind w:left="0" w:right="0"/>
        <w:jc w:val="both"/>
        <w:rPr>
          <w:rFonts w:hint="cs"/>
          <w:rtl/>
        </w:rPr>
      </w:pPr>
      <w:r>
        <w:rPr>
          <w:rFonts w:hint="cs"/>
          <w:b/>
          <w:bCs/>
          <w:sz w:val="28"/>
          <w:szCs w:val="28"/>
          <w:rtl/>
        </w:rPr>
        <w:t>דוח 53א</w:t>
      </w:r>
      <w:r>
        <w:rPr>
          <w:rFonts w:hint="cs"/>
          <w:rtl/>
        </w:rPr>
        <w:t xml:space="preserve"> עוסק ברובו בביקורת על מערכת הביטחון. ביקורת זו כוללת 19 פרקים. חלקים או נתונים ממקצת הפרקים האלה לא הונחו על שולחן הכנסת ולא פורסמו ברבים, לשם שמירה על ביטחון המדינה או כדי למנוע פגיעה ביחסי חוץ או בקשרי מסחר בין-לאומיים שלה, זאת מכוח סעיף 17 לחוק מבקר המדינה.</w:t>
      </w:r>
    </w:p>
    <w:p>
      <w:pPr>
        <w:spacing w:line="260" w:lineRule="exact"/>
        <w:ind w:left="0" w:right="0"/>
        <w:jc w:val="both"/>
        <w:rPr>
          <w:rFonts w:hint="cs"/>
          <w:rtl/>
        </w:rPr>
      </w:pPr>
      <w:r>
        <w:rPr>
          <w:rFonts w:hint="cs"/>
          <w:rtl/>
        </w:rPr>
        <w:t>הביקורת שנעשתה בשנה הנדונה עסקה - בצד נושאי ביקורת שוטפים - גם בשני נושאים העומדים על הפרק, בבחינת "ביקורת בזמן אמתי".  באחד, נבדקה היערכות הגורמים האחראים להסברה בנושאי חוץ וביטחון, ובכללם משרד ראש הממשלה, משרד החוץ, משרד הביטחון, צה"ל ואחרים; ובאחר, נבדקו הפעולות הנוגעות למרחב התפר (דוח בנושא זה פורסם בנפרד ביולי 2002).</w:t>
      </w:r>
    </w:p>
    <w:p>
      <w:pPr>
        <w:spacing w:line="260" w:lineRule="exact"/>
        <w:ind w:left="0" w:right="0"/>
        <w:jc w:val="both"/>
        <w:rPr>
          <w:rFonts w:hint="cs"/>
          <w:rtl/>
        </w:rPr>
      </w:pPr>
      <w:r>
        <w:rPr>
          <w:rFonts w:hint="cs"/>
          <w:rtl/>
        </w:rPr>
        <w:t>בדוח זה גם הונח על שולחן הכנסת פרק הדן באבטחת אישים ומשלחות, לאחר ביקורת בעניין זה שנעשתה בשירות הביטחון הכללי שבמשרד ראש הממשלה.</w:t>
      </w:r>
    </w:p>
    <w:p>
      <w:pPr>
        <w:spacing w:line="260" w:lineRule="exact"/>
        <w:ind w:left="0" w:right="0"/>
        <w:jc w:val="both"/>
        <w:rPr>
          <w:rFonts w:hint="cs"/>
          <w:rtl/>
        </w:rPr>
      </w:pPr>
      <w:r>
        <w:rPr>
          <w:rFonts w:hint="cs"/>
          <w:rtl/>
        </w:rPr>
        <w:t>הביקורת על צה"ל כוללת שלושה פרקים הדנים במיצוי המשאב האנושי - סדרי המיון והשיבוץ של מיועדים לשירות ביטחון, שירות נשים בצה"ל ושירות ביטחון מוכר מחוץ לצה"ל; שני פרקים אחרים עוסקים בענייני כספים ותקציב - ניהול תקציב מפקדת הזרוע לבניין הכוח ביבשה וניהול קניות בהקפה ביחידות צה"ל; ופרק נוסף, שמרביתו חסויה, עוסק בהיערכות לשעת חירום של היחידה לשיתוף פעולה שבחיל האוויר.</w:t>
      </w:r>
    </w:p>
    <w:p>
      <w:pPr>
        <w:spacing w:line="260" w:lineRule="exact"/>
        <w:ind w:left="0" w:right="0"/>
        <w:jc w:val="both"/>
        <w:rPr>
          <w:rFonts w:hint="cs"/>
          <w:rtl/>
        </w:rPr>
      </w:pPr>
      <w:r>
        <w:rPr>
          <w:rFonts w:hint="cs"/>
          <w:rtl/>
        </w:rPr>
        <w:t xml:space="preserve">במשרד הביטחון נבדקו היבטים בהיערכות המשק לשעת חירום בעיריית תל אביב, וכן נושאים נוספים: אגף השיקום - רכב רפואי לנכים, היבטים בתכנון וסטנדרטים לבנייה, וניהול תקציב הוצאה מותנית בהכנסה בתקציב הביטחון. </w:t>
      </w:r>
    </w:p>
    <w:p>
      <w:pPr>
        <w:spacing w:line="260" w:lineRule="exact"/>
        <w:ind w:left="0" w:right="0"/>
        <w:jc w:val="both"/>
        <w:rPr>
          <w:rFonts w:hint="cs"/>
          <w:rtl/>
        </w:rPr>
      </w:pPr>
      <w:r>
        <w:rPr>
          <w:rFonts w:hint="cs"/>
          <w:rtl/>
        </w:rPr>
        <w:t>במסגרת הביקורת על מערכת הביטחון גם נעשתה ביקורת ברשויות המקומיות שבאזור יהודה והשומרון. בדוח זה כלולות ביקורות על המועצות המקומיות גבעת זאב ובית אריה.</w:t>
      </w:r>
    </w:p>
    <w:p>
      <w:pPr>
        <w:spacing w:line="260" w:lineRule="exact"/>
        <w:ind w:left="0" w:right="0"/>
        <w:jc w:val="both"/>
        <w:rPr>
          <w:rtl/>
        </w:rPr>
      </w:pPr>
      <w:r>
        <w:rPr>
          <w:rFonts w:hint="cs"/>
          <w:rtl/>
        </w:rPr>
        <w:t>נבדקו גם כמה נושאים בתעשיות הביטחוניות: ברשות לפיתוח אמצעי לחימה (רפא"ל) נבדקו היבטים בהתחייבויות לרכש גומלין בגין עסקת יצוא; בתעשייה האווירית (תע"א) נבדק פרויקט השבחת מטוסים עבור מדינה זרה; ובתעשייה הצבאית (תעש) נבדקו פיתוחו של מוצר ועסקת יצוא, וכן אישור הדוחות הכספיים של תעש לשנת 2000 והגשתם. כמו כן נעשה מעקב בנושא נסיעות עובדי תעש לחו"ל מכספי קרן השתלמויות לעובדים בדירוג מחקר.</w:t>
      </w:r>
    </w:p>
    <w:p>
      <w:pPr>
        <w:spacing w:line="260" w:lineRule="exact"/>
        <w:ind w:left="0" w:right="0"/>
        <w:jc w:val="both"/>
        <w:rPr>
          <w:rFonts w:hint="cs"/>
          <w:rtl/>
        </w:rPr>
      </w:pPr>
      <w:r>
        <w:rPr>
          <w:rtl/>
        </w:rPr>
        <w:br w:type="page"/>
      </w:r>
      <w:r>
        <w:rPr>
          <w:rFonts w:hint="cs"/>
          <w:rtl/>
        </w:rPr>
        <w:t>בדוח גם פרקים הדנים ברשות הדואר, ברשות השידור, ב"יד ושם", במינהלה להקמת קריות ממשלה ובתי משפט וממצאי ביקורת על המועצה המקומית זיכרון יעקב.</w:t>
      </w:r>
    </w:p>
    <w:p>
      <w:pPr>
        <w:spacing w:line="260" w:lineRule="exact"/>
        <w:ind w:left="0" w:right="0"/>
        <w:jc w:val="both"/>
        <w:rPr>
          <w:rFonts w:hint="cs"/>
          <w:rtl/>
        </w:rPr>
      </w:pPr>
      <w:r>
        <w:rPr>
          <w:rFonts w:hint="cs"/>
          <w:rtl/>
        </w:rPr>
        <w:t xml:space="preserve">עשיית ביקורת ופרסום ממצאיה הם רק תחילתו של תהליך לתיקון ליקויים במינהל הציבורי. השלמת התהליך מוטלת על כתפיהם של הגופים המבוקרים. מבקר המדינה מצפה, שהגורמים האחראים בכל דרגי הניהול והפיקוח בגופים המבוקרים יפנימו, כי ביקורת הינה מכשיר ניהולי אשר בא לסייע לשיפור תפקודם של גופים אלה, ויעשו את המוטל עליהם לתיקון הליקויים. </w:t>
      </w:r>
    </w:p>
    <w:p>
      <w:pPr>
        <w:spacing w:line="260" w:lineRule="exact"/>
        <w:ind w:left="0" w:right="0"/>
        <w:jc w:val="left"/>
        <w:rPr>
          <w:rFonts w:hint="cs"/>
          <w:rtl/>
        </w:rPr>
      </w:pPr>
    </w:p>
    <w:p>
      <w:pPr>
        <w:spacing w:line="260" w:lineRule="exact"/>
        <w:ind w:left="0" w:right="0"/>
        <w:jc w:val="left"/>
        <w:rPr>
          <w:rFonts w:hint="cs"/>
          <w:rtl/>
        </w:rPr>
      </w:pPr>
    </w:p>
    <w:p>
      <w:pPr>
        <w:spacing w:line="260" w:lineRule="exact"/>
        <w:ind w:left="0" w:right="0"/>
        <w:jc w:val="left"/>
        <w:rPr>
          <w:rFonts w:hint="cs"/>
          <w:rtl/>
        </w:rPr>
      </w:pPr>
    </w:p>
    <w:p>
      <w:pPr>
        <w:spacing w:line="260" w:lineRule="exact"/>
        <w:ind w:left="0" w:right="0"/>
        <w:jc w:val="left"/>
        <w:rPr>
          <w:rFonts w:hint="cs"/>
          <w:rtl/>
        </w:rPr>
      </w:pPr>
    </w:p>
    <w:p>
      <w:pPr>
        <w:tabs>
          <w:tab w:val="center" w:pos="5218"/>
        </w:tabs>
        <w:spacing w:line="280" w:lineRule="exact"/>
        <w:ind w:left="0" w:right="0"/>
        <w:jc w:val="left"/>
        <w:rPr>
          <w:rFonts w:hint="cs"/>
          <w:b/>
          <w:bCs/>
          <w:rtl/>
        </w:rPr>
      </w:pPr>
      <w:r>
        <w:rPr>
          <w:rFonts w:hint="cs"/>
          <w:b/>
          <w:bCs/>
          <w:rtl/>
        </w:rPr>
        <w:tab/>
        <w:t>אליעזר גולדברג</w:t>
      </w:r>
    </w:p>
    <w:p>
      <w:pPr>
        <w:tabs>
          <w:tab w:val="center" w:pos="5218"/>
        </w:tabs>
        <w:spacing w:line="280" w:lineRule="exact"/>
        <w:ind w:left="0" w:right="0"/>
        <w:jc w:val="left"/>
        <w:rPr>
          <w:rFonts w:hint="cs"/>
          <w:rtl/>
        </w:rPr>
      </w:pPr>
      <w:r>
        <w:rPr>
          <w:rFonts w:hint="cs"/>
          <w:rtl/>
        </w:rPr>
        <w:tab/>
        <w:t>מבקר המדינה</w:t>
      </w:r>
    </w:p>
    <w:p>
      <w:pPr>
        <w:tabs>
          <w:tab w:val="center" w:pos="5218"/>
        </w:tabs>
        <w:spacing w:line="280" w:lineRule="exact"/>
        <w:ind w:left="0" w:right="0"/>
        <w:jc w:val="left"/>
        <w:rPr>
          <w:rFonts w:hint="cs"/>
          <w:rtl/>
        </w:rPr>
      </w:pPr>
      <w:r>
        <w:rPr>
          <w:rFonts w:hint="cs"/>
          <w:rtl/>
        </w:rPr>
        <w:tab/>
        <w:t>ונציב תלונות הציבור</w:t>
      </w:r>
    </w:p>
    <w:p>
      <w:pPr>
        <w:tabs>
          <w:tab w:val="left" w:pos="898"/>
        </w:tabs>
        <w:spacing w:line="280" w:lineRule="exact"/>
        <w:ind w:left="0" w:right="0"/>
        <w:jc w:val="left"/>
        <w:rPr>
          <w:rFonts w:hint="cs"/>
          <w:sz w:val="22"/>
          <w:rtl/>
        </w:rPr>
      </w:pPr>
    </w:p>
    <w:p>
      <w:pPr>
        <w:tabs>
          <w:tab w:val="left" w:pos="898"/>
        </w:tabs>
        <w:spacing w:line="280" w:lineRule="exact"/>
        <w:ind w:left="0" w:right="0"/>
        <w:jc w:val="left"/>
        <w:rPr>
          <w:rFonts w:hint="cs"/>
          <w:sz w:val="22"/>
          <w:rtl/>
        </w:rPr>
      </w:pPr>
      <w:r>
        <w:rPr>
          <w:rFonts w:hint="cs"/>
          <w:sz w:val="22"/>
          <w:rtl/>
        </w:rPr>
        <w:t xml:space="preserve">ירושלים, </w:t>
      </w:r>
      <w:r>
        <w:rPr>
          <w:sz w:val="22"/>
        </w:rPr>
        <w:tab/>
      </w:r>
      <w:r>
        <w:rPr>
          <w:rFonts w:hint="cs"/>
          <w:sz w:val="22"/>
          <w:rtl/>
        </w:rPr>
        <w:t>א' בחשון התשס"ג</w:t>
      </w:r>
    </w:p>
    <w:p>
      <w:pPr>
        <w:tabs>
          <w:tab w:val="left" w:pos="898"/>
        </w:tabs>
        <w:spacing w:line="280" w:lineRule="exact"/>
        <w:ind w:left="0" w:right="0"/>
        <w:jc w:val="left"/>
        <w:rPr>
          <w:rFonts w:hint="cs"/>
          <w:sz w:val="22"/>
          <w:rtl/>
        </w:rPr>
      </w:pPr>
      <w:r>
        <w:rPr>
          <w:rFonts w:hint="cs"/>
          <w:sz w:val="22"/>
          <w:rtl/>
        </w:rPr>
        <w:tab/>
        <w:t>7 באוקטובר 2002</w:t>
      </w:r>
    </w:p>
    <w:p>
      <w:pPr>
        <w:tabs>
          <w:tab w:val="left" w:pos="898"/>
        </w:tabs>
        <w:spacing w:line="280" w:lineRule="exact"/>
        <w:ind w:left="0" w:right="0"/>
        <w:jc w:val="left"/>
        <w:rPr>
          <w:sz w:val="22"/>
          <w:rtl/>
        </w:rPr>
      </w:pPr>
    </w:p>
    <w:p>
      <w:pPr>
        <w:pStyle w:val="KOT1"/>
        <w:tabs>
          <w:tab w:val="right" w:leader="dot" w:pos="6237"/>
          <w:tab w:val="left" w:pos="6350"/>
        </w:tabs>
        <w:spacing w:after="600"/>
        <w:ind w:left="0" w:right="851"/>
        <w:jc w:val="center"/>
        <w:rPr>
          <w:rFonts w:hint="cs"/>
          <w:sz w:val="40"/>
          <w:szCs w:val="40"/>
          <w:rtl/>
        </w:rPr>
      </w:pPr>
      <w:r>
        <w:rPr>
          <w:sz w:val="40"/>
          <w:szCs w:val="40"/>
          <w:rtl/>
        </w:rPr>
        <w:br w:type="page"/>
      </w:r>
      <w:r>
        <w:rPr>
          <w:rFonts w:hint="cs"/>
          <w:sz w:val="40"/>
          <w:szCs w:val="40"/>
          <w:rtl/>
        </w:rPr>
        <w:t>תוכן העניינים</w:t>
      </w:r>
    </w:p>
    <w:p>
      <w:pPr>
        <w:pStyle w:val="KOT2"/>
        <w:tabs>
          <w:tab w:val="right" w:leader="dot" w:pos="6237"/>
          <w:tab w:val="left" w:pos="6350"/>
        </w:tabs>
        <w:spacing w:before="240" w:after="240"/>
        <w:ind w:left="0" w:right="851"/>
        <w:jc w:val="left"/>
        <w:rPr>
          <w:rFonts w:hint="cs"/>
          <w:rtl/>
        </w:rPr>
      </w:pPr>
      <w:r>
        <w:rPr>
          <w:rFonts w:hint="cs"/>
          <w:rtl/>
        </w:rPr>
        <w:t xml:space="preserve">חלק ראשון </w:t>
      </w:r>
      <w:r>
        <w:rPr>
          <w:rtl/>
        </w:rPr>
        <w:t>–</w:t>
      </w:r>
      <w:r>
        <w:rPr>
          <w:rFonts w:hint="cs"/>
          <w:rtl/>
        </w:rPr>
        <w:t xml:space="preserve"> מערכת הביטחון</w:t>
      </w:r>
    </w:p>
    <w:p>
      <w:pPr>
        <w:pStyle w:val="KOT2"/>
        <w:tabs>
          <w:tab w:val="right" w:leader="dot" w:pos="6237"/>
          <w:tab w:val="left" w:pos="6350"/>
        </w:tabs>
        <w:spacing w:before="240"/>
        <w:ind w:left="0" w:right="851"/>
        <w:jc w:val="left"/>
        <w:rPr>
          <w:rtl/>
        </w:rPr>
      </w:pPr>
      <w:r>
        <w:rPr>
          <w:rFonts w:hint="cs"/>
          <w:rtl/>
        </w:rPr>
        <w:t>מערך ההסברה</w:t>
      </w:r>
    </w:p>
    <w:p>
      <w:pPr>
        <w:tabs>
          <w:tab w:val="right" w:leader="dot" w:pos="6237"/>
          <w:tab w:val="left" w:pos="6350"/>
        </w:tabs>
        <w:ind w:left="397" w:right="851"/>
        <w:jc w:val="left"/>
        <w:rPr>
          <w:rFonts w:ascii="Arial" w:hAnsi="Arial" w:hint="cs"/>
          <w:rtl/>
        </w:rPr>
      </w:pPr>
      <w:r>
        <w:rPr>
          <w:rFonts w:ascii="Arial" w:hAnsi="Arial" w:hint="cs"/>
          <w:rtl/>
        </w:rPr>
        <w:t>היבטים</w:t>
      </w:r>
      <w:r>
        <w:rPr>
          <w:rFonts w:ascii="Arial" w:hAnsi="Arial"/>
          <w:rtl/>
        </w:rPr>
        <w:t xml:space="preserve"> בהיערכות גורמי ההסברה בנושאי </w:t>
      </w:r>
      <w:r>
        <w:rPr>
          <w:rFonts w:ascii="Arial" w:hAnsi="Arial" w:hint="eastAsia"/>
          <w:rtl/>
        </w:rPr>
        <w:t>חוץ</w:t>
      </w:r>
      <w:r>
        <w:rPr>
          <w:rFonts w:ascii="Arial" w:hAnsi="Arial"/>
          <w:rtl/>
        </w:rPr>
        <w:t xml:space="preserve"> וביטחון</w:t>
      </w:r>
      <w:r>
        <w:rPr>
          <w:rFonts w:ascii="Arial" w:hAnsi="Arial" w:hint="cs"/>
          <w:rtl/>
        </w:rPr>
        <w:tab/>
        <w:tab/>
        <w:t>9</w:t>
      </w:r>
    </w:p>
    <w:p>
      <w:pPr>
        <w:pStyle w:val="KOT2"/>
        <w:tabs>
          <w:tab w:val="right" w:leader="dot" w:pos="6237"/>
          <w:tab w:val="left" w:pos="6350"/>
        </w:tabs>
        <w:spacing w:before="240"/>
        <w:ind w:left="0" w:right="851"/>
        <w:jc w:val="left"/>
        <w:rPr>
          <w:rFonts w:hint="cs"/>
          <w:rtl/>
        </w:rPr>
      </w:pPr>
      <w:r>
        <w:rPr>
          <w:rFonts w:hint="cs"/>
          <w:rtl/>
        </w:rPr>
        <w:t>שירות הביטחון הכללי</w:t>
      </w:r>
    </w:p>
    <w:p>
      <w:pPr>
        <w:tabs>
          <w:tab w:val="right" w:leader="dot" w:pos="6237"/>
          <w:tab w:val="left" w:pos="6350"/>
        </w:tabs>
        <w:ind w:left="397" w:right="851"/>
        <w:jc w:val="left"/>
        <w:rPr>
          <w:rFonts w:ascii="Arial" w:hAnsi="Arial" w:hint="cs"/>
          <w:rtl/>
        </w:rPr>
      </w:pPr>
      <w:r>
        <w:rPr>
          <w:rFonts w:ascii="Arial" w:hAnsi="Arial" w:hint="cs"/>
          <w:rtl/>
        </w:rPr>
        <w:t>החטיבה לאבטחת אישים ומשלחות</w:t>
        <w:tab/>
        <w:tab/>
        <w:t>41</w:t>
      </w:r>
    </w:p>
    <w:p>
      <w:pPr>
        <w:pStyle w:val="KOT2"/>
        <w:tabs>
          <w:tab w:val="right" w:leader="dot" w:pos="6237"/>
          <w:tab w:val="left" w:pos="6350"/>
        </w:tabs>
        <w:spacing w:before="240"/>
        <w:ind w:left="0" w:right="851"/>
        <w:jc w:val="left"/>
        <w:rPr>
          <w:rFonts w:hint="cs"/>
          <w:rtl/>
        </w:rPr>
      </w:pPr>
      <w:r>
        <w:rPr>
          <w:rFonts w:hint="cs"/>
          <w:rtl/>
        </w:rPr>
        <w:t>משרד הביטחון</w:t>
      </w:r>
    </w:p>
    <w:p>
      <w:pPr>
        <w:tabs>
          <w:tab w:val="right" w:leader="dot" w:pos="6237"/>
          <w:tab w:val="left" w:pos="6350"/>
        </w:tabs>
        <w:ind w:left="397" w:right="851"/>
        <w:jc w:val="left"/>
        <w:rPr>
          <w:rFonts w:ascii="Arial" w:hAnsi="Arial" w:hint="cs"/>
          <w:rtl/>
        </w:rPr>
      </w:pPr>
      <w:r>
        <w:rPr>
          <w:rFonts w:ascii="Arial" w:hAnsi="Arial" w:hint="cs"/>
          <w:rtl/>
        </w:rPr>
        <w:t xml:space="preserve">אגף השיקום </w:t>
      </w:r>
      <w:r>
        <w:rPr>
          <w:rFonts w:ascii="Arial" w:hAnsi="Arial"/>
          <w:rtl/>
        </w:rPr>
        <w:t>-</w:t>
      </w:r>
      <w:r>
        <w:rPr>
          <w:rFonts w:ascii="Arial" w:hAnsi="Arial" w:hint="cs"/>
          <w:rtl/>
        </w:rPr>
        <w:t xml:space="preserve"> רכב רפואי לנכים</w:t>
        <w:tab/>
        <w:tab/>
        <w:t>66</w:t>
      </w:r>
    </w:p>
    <w:p>
      <w:pPr>
        <w:tabs>
          <w:tab w:val="right" w:leader="dot" w:pos="6237"/>
          <w:tab w:val="left" w:pos="6350"/>
        </w:tabs>
        <w:ind w:left="397" w:right="851"/>
        <w:jc w:val="left"/>
        <w:rPr>
          <w:rFonts w:ascii="Arial" w:hAnsi="Arial" w:hint="cs"/>
          <w:rtl/>
        </w:rPr>
      </w:pPr>
      <w:r>
        <w:rPr>
          <w:rFonts w:ascii="Arial" w:hAnsi="Arial" w:hint="cs"/>
          <w:rtl/>
        </w:rPr>
        <w:t>ניהול תקציב הוצאה מותנית בהכנסה בתקציב הביטחון</w:t>
        <w:tab/>
        <w:tab/>
        <w:t>77</w:t>
      </w:r>
    </w:p>
    <w:p>
      <w:pPr>
        <w:tabs>
          <w:tab w:val="right" w:leader="dot" w:pos="6237"/>
          <w:tab w:val="left" w:pos="6350"/>
        </w:tabs>
        <w:ind w:left="397" w:right="851"/>
        <w:jc w:val="left"/>
        <w:rPr>
          <w:rFonts w:ascii="Arial" w:hAnsi="Arial" w:hint="cs"/>
          <w:rtl/>
        </w:rPr>
      </w:pPr>
      <w:r>
        <w:rPr>
          <w:rFonts w:ascii="Arial" w:hAnsi="Arial" w:hint="cs"/>
          <w:rtl/>
        </w:rPr>
        <w:t>היבטים בתכנון ובסטנדרטים לבנייה</w:t>
        <w:tab/>
        <w:tab/>
        <w:t>87</w:t>
      </w:r>
    </w:p>
    <w:p>
      <w:pPr>
        <w:tabs>
          <w:tab w:val="right" w:leader="dot" w:pos="6237"/>
          <w:tab w:val="left" w:pos="6350"/>
        </w:tabs>
        <w:ind w:left="397" w:right="851"/>
        <w:jc w:val="left"/>
        <w:rPr>
          <w:rFonts w:ascii="Arial" w:hAnsi="Arial" w:hint="cs"/>
          <w:rtl/>
        </w:rPr>
      </w:pPr>
      <w:bookmarkStart w:id="0" w:name="_Hlt14495968"/>
      <w:bookmarkStart w:id="1" w:name="_Hlt14495969"/>
      <w:r>
        <w:rPr>
          <w:rFonts w:ascii="Arial" w:hAnsi="Arial" w:hint="cs"/>
          <w:rtl/>
        </w:rPr>
        <w:t xml:space="preserve">היבטים בהיערכות המשק לשעת חירום (מל"ח) </w:t>
      </w:r>
      <w:r>
        <w:rPr>
          <w:rFonts w:ascii="Arial" w:hAnsi="Arial"/>
          <w:rtl/>
        </w:rPr>
        <w:br/>
      </w:r>
      <w:r>
        <w:rPr>
          <w:rFonts w:ascii="Arial" w:hAnsi="Arial" w:hint="cs"/>
          <w:rtl/>
        </w:rPr>
        <w:t xml:space="preserve">   בעיריית תל אביב-יפו</w:t>
        <w:tab/>
        <w:tab/>
        <w:t>95</w:t>
      </w:r>
    </w:p>
    <w:p>
      <w:pPr>
        <w:pStyle w:val="KOT2"/>
        <w:tabs>
          <w:tab w:val="right" w:leader="dot" w:pos="6237"/>
          <w:tab w:val="left" w:pos="6350"/>
        </w:tabs>
        <w:spacing w:before="240"/>
        <w:ind w:left="0" w:right="851"/>
        <w:jc w:val="left"/>
        <w:rPr>
          <w:rFonts w:hint="cs"/>
          <w:rtl/>
        </w:rPr>
      </w:pPr>
      <w:bookmarkEnd w:id="0"/>
      <w:bookmarkEnd w:id="1"/>
      <w:r>
        <w:rPr>
          <w:rFonts w:hint="cs"/>
          <w:rtl/>
        </w:rPr>
        <w:t>צבא ההגנה לישראל</w:t>
      </w:r>
    </w:p>
    <w:p>
      <w:pPr>
        <w:tabs>
          <w:tab w:val="right" w:leader="dot" w:pos="6237"/>
          <w:tab w:val="left" w:pos="6350"/>
        </w:tabs>
        <w:ind w:left="397" w:right="851"/>
        <w:jc w:val="left"/>
        <w:rPr>
          <w:rFonts w:ascii="Arial" w:hAnsi="Arial" w:hint="cs"/>
          <w:rtl/>
        </w:rPr>
      </w:pPr>
      <w:r>
        <w:rPr>
          <w:rFonts w:ascii="Arial" w:hAnsi="Arial" w:hint="cs"/>
          <w:rtl/>
        </w:rPr>
        <w:t>סדרי המיון והשיבוץ לתפקידים של מיועדים לשירות ביטחון</w:t>
        <w:tab/>
        <w:tab/>
        <w:t>116</w:t>
      </w:r>
    </w:p>
    <w:p>
      <w:pPr>
        <w:tabs>
          <w:tab w:val="right" w:leader="dot" w:pos="6237"/>
          <w:tab w:val="left" w:pos="6350"/>
        </w:tabs>
        <w:ind w:left="397" w:right="851"/>
        <w:jc w:val="left"/>
        <w:rPr>
          <w:rFonts w:ascii="Arial" w:hAnsi="Arial" w:hint="cs"/>
          <w:rtl/>
        </w:rPr>
      </w:pPr>
      <w:r>
        <w:rPr>
          <w:rFonts w:ascii="Arial" w:hAnsi="Arial" w:hint="cs"/>
          <w:rtl/>
        </w:rPr>
        <w:t>שירות נשים בצה"ל</w:t>
        <w:tab/>
        <w:tab/>
        <w:t>135</w:t>
      </w:r>
    </w:p>
    <w:p>
      <w:pPr>
        <w:tabs>
          <w:tab w:val="right" w:leader="dot" w:pos="6237"/>
          <w:tab w:val="left" w:pos="6350"/>
        </w:tabs>
        <w:ind w:left="397" w:right="851"/>
        <w:jc w:val="left"/>
        <w:rPr>
          <w:rFonts w:ascii="Arial" w:hAnsi="Arial" w:hint="cs"/>
          <w:rtl/>
        </w:rPr>
      </w:pPr>
      <w:r>
        <w:rPr>
          <w:rFonts w:ascii="Arial" w:hAnsi="Arial" w:hint="cs"/>
          <w:rtl/>
        </w:rPr>
        <w:t>שירות ביטחון מוכר מחוץ לצה"ל</w:t>
        <w:tab/>
        <w:tab/>
        <w:t>149</w:t>
      </w:r>
    </w:p>
    <w:p>
      <w:pPr>
        <w:tabs>
          <w:tab w:val="right" w:leader="dot" w:pos="6237"/>
          <w:tab w:val="left" w:pos="6350"/>
        </w:tabs>
        <w:ind w:left="397" w:right="851"/>
        <w:jc w:val="left"/>
        <w:rPr>
          <w:rFonts w:ascii="Arial" w:hAnsi="Arial" w:hint="cs"/>
          <w:rtl/>
        </w:rPr>
      </w:pPr>
      <w:r>
        <w:rPr>
          <w:rFonts w:ascii="Arial" w:hAnsi="Arial" w:hint="cs"/>
          <w:rtl/>
        </w:rPr>
        <w:t>ניהול תקציב מפקדת הזרוע לבניין הכוח ביבשה</w:t>
        <w:tab/>
        <w:tab/>
        <w:t>167</w:t>
      </w:r>
    </w:p>
    <w:p>
      <w:pPr>
        <w:tabs>
          <w:tab w:val="right" w:leader="dot" w:pos="6237"/>
          <w:tab w:val="left" w:pos="6350"/>
        </w:tabs>
        <w:ind w:left="397" w:right="851"/>
        <w:jc w:val="left"/>
        <w:rPr>
          <w:rFonts w:ascii="Arial" w:hAnsi="Arial" w:hint="cs"/>
          <w:rtl/>
        </w:rPr>
      </w:pPr>
      <w:r>
        <w:rPr>
          <w:rFonts w:ascii="Arial" w:hAnsi="Arial" w:hint="cs"/>
          <w:rtl/>
        </w:rPr>
        <w:t>ניהול קניות בהקפה ביחידות צה"ל</w:t>
        <w:tab/>
        <w:tab/>
        <w:t>185</w:t>
      </w:r>
    </w:p>
    <w:p>
      <w:pPr>
        <w:tabs>
          <w:tab w:val="right" w:leader="dot" w:pos="6237"/>
          <w:tab w:val="left" w:pos="6350"/>
        </w:tabs>
        <w:ind w:left="397" w:right="851"/>
        <w:jc w:val="left"/>
        <w:rPr>
          <w:rFonts w:ascii="Arial" w:hAnsi="Arial" w:hint="cs"/>
          <w:rtl/>
        </w:rPr>
      </w:pPr>
      <w:bookmarkStart w:id="2" w:name="_Hlk14496205"/>
      <w:bookmarkStart w:id="3" w:name="_Hlk14496206"/>
      <w:bookmarkStart w:id="4" w:name="_Hlk14496225"/>
      <w:bookmarkStart w:id="5" w:name="_Hlk14496226"/>
      <w:r>
        <w:rPr>
          <w:rFonts w:ascii="Arial" w:hAnsi="Arial" w:hint="cs"/>
          <w:rtl/>
        </w:rPr>
        <w:t xml:space="preserve">ההיערכות לשעת חירום של היחידה לשיתוף פעולה </w:t>
      </w:r>
      <w:r>
        <w:rPr>
          <w:rFonts w:ascii="Arial" w:hAnsi="Arial"/>
          <w:rtl/>
        </w:rPr>
        <w:br/>
      </w:r>
      <w:r>
        <w:rPr>
          <w:rFonts w:ascii="Arial" w:hAnsi="Arial" w:hint="cs"/>
          <w:rtl/>
        </w:rPr>
        <w:t xml:space="preserve">   שבחיל האוויר</w:t>
      </w:r>
      <w:bookmarkEnd w:id="2"/>
      <w:bookmarkEnd w:id="3"/>
      <w:bookmarkEnd w:id="4"/>
      <w:bookmarkEnd w:id="5"/>
      <w:r>
        <w:rPr>
          <w:rFonts w:ascii="Arial" w:hAnsi="Arial" w:hint="cs"/>
          <w:rtl/>
        </w:rPr>
        <w:tab/>
        <w:tab/>
        <w:t>193</w:t>
      </w:r>
    </w:p>
    <w:p>
      <w:pPr>
        <w:pStyle w:val="KOT2"/>
        <w:tabs>
          <w:tab w:val="right" w:leader="dot" w:pos="6237"/>
          <w:tab w:val="left" w:pos="6350"/>
        </w:tabs>
        <w:spacing w:before="240"/>
        <w:ind w:left="0" w:right="851"/>
        <w:jc w:val="left"/>
        <w:rPr>
          <w:rFonts w:hint="cs"/>
          <w:rtl/>
        </w:rPr>
      </w:pPr>
      <w:r>
        <w:rPr>
          <w:rFonts w:hint="cs"/>
          <w:rtl/>
        </w:rPr>
        <w:t xml:space="preserve">מועצות מקומיות באזורים יהודה והשומרון </w:t>
      </w:r>
    </w:p>
    <w:p>
      <w:pPr>
        <w:tabs>
          <w:tab w:val="right" w:leader="dot" w:pos="6237"/>
          <w:tab w:val="left" w:pos="6350"/>
        </w:tabs>
        <w:ind w:left="397" w:right="851"/>
        <w:jc w:val="left"/>
        <w:rPr>
          <w:rFonts w:ascii="Arial" w:hAnsi="Arial" w:hint="cs"/>
          <w:rtl/>
        </w:rPr>
      </w:pPr>
      <w:r>
        <w:rPr>
          <w:rFonts w:ascii="Arial" w:hAnsi="Arial" w:hint="cs"/>
          <w:rtl/>
        </w:rPr>
        <w:t>המועצה המקומית גבעת זאב</w:t>
        <w:tab/>
        <w:tab/>
        <w:t>195</w:t>
      </w:r>
    </w:p>
    <w:p>
      <w:pPr>
        <w:tabs>
          <w:tab w:val="right" w:leader="dot" w:pos="6237"/>
          <w:tab w:val="left" w:pos="6350"/>
        </w:tabs>
        <w:ind w:left="397" w:right="851"/>
        <w:jc w:val="left"/>
        <w:rPr>
          <w:rFonts w:ascii="Arial" w:hAnsi="Arial" w:hint="cs"/>
          <w:rtl/>
        </w:rPr>
      </w:pPr>
      <w:r>
        <w:rPr>
          <w:rFonts w:ascii="Arial" w:hAnsi="Arial" w:hint="cs"/>
          <w:rtl/>
        </w:rPr>
        <w:t>המועצה המקומית בית אריה</w:t>
        <w:tab/>
        <w:tab/>
        <w:t>219</w:t>
      </w:r>
    </w:p>
    <w:p>
      <w:pPr>
        <w:pStyle w:val="KOT2"/>
        <w:tabs>
          <w:tab w:val="right" w:leader="dot" w:pos="6237"/>
          <w:tab w:val="left" w:pos="6350"/>
        </w:tabs>
        <w:spacing w:before="240"/>
        <w:ind w:left="0" w:right="851"/>
        <w:jc w:val="left"/>
        <w:rPr>
          <w:rFonts w:hint="cs"/>
          <w:rtl/>
        </w:rPr>
      </w:pPr>
      <w:r>
        <w:rPr>
          <w:rtl/>
        </w:rPr>
        <w:br w:type="page"/>
      </w:r>
      <w:r>
        <w:rPr>
          <w:rFonts w:hint="cs"/>
          <w:rtl/>
        </w:rPr>
        <w:t>התעשייה האווירית לישראל בע"מ</w:t>
      </w:r>
    </w:p>
    <w:p>
      <w:pPr>
        <w:tabs>
          <w:tab w:val="right" w:leader="dot" w:pos="6237"/>
          <w:tab w:val="left" w:pos="6350"/>
        </w:tabs>
        <w:ind w:left="397" w:right="851"/>
        <w:jc w:val="left"/>
        <w:rPr>
          <w:rFonts w:ascii="Arial" w:hAnsi="Arial" w:hint="cs"/>
          <w:rtl/>
        </w:rPr>
      </w:pPr>
      <w:r>
        <w:rPr>
          <w:rFonts w:ascii="Arial" w:hAnsi="Arial" w:hint="cs"/>
          <w:rtl/>
        </w:rPr>
        <w:t>פרויקט השבחת מטוסים עבור חיל האוויר של מדינה א'</w:t>
        <w:tab/>
        <w:tab/>
        <w:t>229</w:t>
      </w:r>
    </w:p>
    <w:p>
      <w:pPr>
        <w:pStyle w:val="KOT2"/>
        <w:tabs>
          <w:tab w:val="right" w:leader="dot" w:pos="6237"/>
          <w:tab w:val="left" w:pos="6350"/>
        </w:tabs>
        <w:spacing w:before="240"/>
        <w:ind w:left="0" w:right="851"/>
        <w:jc w:val="left"/>
        <w:rPr>
          <w:rFonts w:hint="cs"/>
          <w:rtl/>
        </w:rPr>
      </w:pPr>
      <w:r>
        <w:rPr>
          <w:rFonts w:hint="cs"/>
          <w:rtl/>
        </w:rPr>
        <w:t>הרשות לפיתוח אמצעי לחימה (רפא"ל)</w:t>
      </w:r>
    </w:p>
    <w:p>
      <w:pPr>
        <w:tabs>
          <w:tab w:val="right" w:leader="dot" w:pos="6237"/>
          <w:tab w:val="left" w:pos="6350"/>
        </w:tabs>
        <w:ind w:left="397" w:right="851"/>
        <w:jc w:val="left"/>
        <w:rPr>
          <w:rFonts w:ascii="Arial" w:hAnsi="Arial" w:hint="cs"/>
          <w:rtl/>
        </w:rPr>
      </w:pPr>
      <w:r>
        <w:rPr>
          <w:rFonts w:ascii="Arial" w:hAnsi="Arial" w:hint="cs"/>
          <w:rtl/>
        </w:rPr>
        <w:t>היבטים בהתחייבויות רפא"ל לרכש גומלין בגין עסקות ייצוא</w:t>
        <w:tab/>
        <w:tab/>
        <w:t>24</w:t>
      </w:r>
      <w:r>
        <w:rPr>
          <w:rFonts w:ascii="Arial" w:hAnsi="Arial" w:hint="cs"/>
          <w:rtl/>
        </w:rPr>
        <w:t>7</w:t>
      </w:r>
    </w:p>
    <w:p>
      <w:pPr>
        <w:pStyle w:val="KOT2"/>
        <w:tabs>
          <w:tab w:val="right" w:leader="dot" w:pos="6237"/>
          <w:tab w:val="left" w:pos="6350"/>
        </w:tabs>
        <w:spacing w:before="240"/>
        <w:ind w:left="0" w:right="851"/>
        <w:jc w:val="left"/>
        <w:rPr>
          <w:rFonts w:hint="cs"/>
          <w:rtl/>
        </w:rPr>
      </w:pPr>
      <w:r>
        <w:rPr>
          <w:rFonts w:hint="cs"/>
          <w:rtl/>
        </w:rPr>
        <w:t>התעשייה הצבאית לישראל בע"מ (תעש)</w:t>
      </w:r>
    </w:p>
    <w:p>
      <w:pPr>
        <w:tabs>
          <w:tab w:val="right" w:leader="dot" w:pos="6237"/>
          <w:tab w:val="left" w:pos="6350"/>
        </w:tabs>
        <w:ind w:left="397" w:right="851"/>
        <w:jc w:val="left"/>
        <w:rPr>
          <w:rFonts w:ascii="Arial" w:hAnsi="Arial" w:hint="cs"/>
          <w:rtl/>
        </w:rPr>
      </w:pPr>
      <w:r>
        <w:rPr>
          <w:rFonts w:ascii="Arial" w:hAnsi="Arial" w:hint="cs"/>
          <w:rtl/>
        </w:rPr>
        <w:t>פיתוח מוצר ועסקת ייצוא</w:t>
        <w:tab/>
        <w:tab/>
        <w:t>265</w:t>
      </w:r>
    </w:p>
    <w:p>
      <w:pPr>
        <w:tabs>
          <w:tab w:val="right" w:leader="dot" w:pos="6237"/>
          <w:tab w:val="left" w:pos="6350"/>
        </w:tabs>
        <w:ind w:left="397" w:right="851"/>
        <w:jc w:val="left"/>
        <w:rPr>
          <w:rFonts w:ascii="Arial" w:hAnsi="Arial" w:hint="cs"/>
          <w:rtl/>
        </w:rPr>
      </w:pPr>
      <w:r>
        <w:rPr>
          <w:rFonts w:ascii="Arial" w:hAnsi="Arial" w:hint="cs"/>
          <w:rtl/>
        </w:rPr>
        <w:t>הדוחות הכספיים של תעש לשנת 2000</w:t>
        <w:tab/>
        <w:tab/>
        <w:t>273</w:t>
      </w:r>
    </w:p>
    <w:p>
      <w:pPr>
        <w:tabs>
          <w:tab w:val="right" w:leader="dot" w:pos="6237"/>
          <w:tab w:val="left" w:pos="6350"/>
        </w:tabs>
        <w:ind w:left="397" w:right="851"/>
        <w:jc w:val="left"/>
        <w:rPr>
          <w:rFonts w:ascii="Arial" w:hAnsi="Arial" w:hint="cs"/>
          <w:rtl/>
        </w:rPr>
      </w:pPr>
      <w:r>
        <w:rPr>
          <w:rFonts w:ascii="Arial" w:hAnsi="Arial" w:hint="cs"/>
          <w:spacing w:val="40"/>
          <w:rtl/>
        </w:rPr>
        <w:t>ממצאי מעקב</w:t>
      </w:r>
      <w:r>
        <w:rPr>
          <w:rFonts w:ascii="Arial" w:hAnsi="Arial"/>
          <w:rtl/>
        </w:rPr>
        <w:br/>
      </w:r>
      <w:r>
        <w:rPr>
          <w:rFonts w:ascii="Arial" w:hAnsi="Arial" w:hint="cs"/>
          <w:rtl/>
        </w:rPr>
        <w:t>נסיעות עובדי תעש לחו"ל מכספי קרן השתלמויות לעובדים בדירוג מחקר (המשך)</w:t>
        <w:tab/>
        <w:tab/>
        <w:t>275</w:t>
      </w:r>
    </w:p>
    <w:p>
      <w:pPr>
        <w:tabs>
          <w:tab w:val="right" w:leader="dot" w:pos="6237"/>
          <w:tab w:val="left" w:pos="6350"/>
        </w:tabs>
        <w:spacing w:before="120"/>
        <w:ind w:left="0" w:right="851"/>
        <w:jc w:val="left"/>
        <w:rPr>
          <w:rFonts w:hint="cs"/>
          <w:b/>
          <w:bCs/>
          <w:rtl/>
        </w:rPr>
      </w:pPr>
    </w:p>
    <w:p>
      <w:pPr>
        <w:pStyle w:val="KOT2"/>
        <w:tabs>
          <w:tab w:val="right" w:leader="dot" w:pos="6237"/>
          <w:tab w:val="left" w:pos="6350"/>
        </w:tabs>
        <w:spacing w:before="360"/>
        <w:ind w:left="0" w:right="851"/>
        <w:jc w:val="left"/>
        <w:rPr>
          <w:rFonts w:hint="cs"/>
          <w:rtl/>
        </w:rPr>
      </w:pPr>
      <w:r>
        <w:rPr>
          <w:rFonts w:hint="cs"/>
          <w:rtl/>
        </w:rPr>
        <w:t>חלק שני</w:t>
      </w:r>
    </w:p>
    <w:p>
      <w:pPr>
        <w:pStyle w:val="KOT2"/>
        <w:tabs>
          <w:tab w:val="right" w:leader="dot" w:pos="6237"/>
          <w:tab w:val="left" w:pos="6350"/>
        </w:tabs>
        <w:spacing w:before="240" w:after="240"/>
        <w:ind w:left="0" w:right="851"/>
        <w:jc w:val="left"/>
        <w:rPr>
          <w:rFonts w:hint="cs"/>
          <w:rtl/>
        </w:rPr>
      </w:pPr>
      <w:r>
        <w:rPr>
          <w:rFonts w:hint="cs"/>
          <w:rtl/>
        </w:rPr>
        <w:t>רשות הדואר</w:t>
      </w:r>
    </w:p>
    <w:p>
      <w:pPr>
        <w:tabs>
          <w:tab w:val="right" w:leader="dot" w:pos="6690"/>
        </w:tabs>
        <w:ind w:left="397" w:right="0"/>
        <w:jc w:val="left"/>
        <w:rPr>
          <w:sz w:val="24"/>
        </w:rPr>
      </w:pPr>
      <w:r>
        <w:rPr>
          <w:rFonts w:ascii="David" w:hAnsi="David" w:hint="cs"/>
          <w:rtl/>
        </w:rPr>
        <w:t>ניהול נכסי מקרקעין................................</w:t>
      </w:r>
      <w:r>
        <w:rPr>
          <w:rFonts w:ascii="David" w:hAnsi="David" w:hint="cs"/>
          <w:rtl/>
        </w:rPr>
        <w:t xml:space="preserve">.................................... </w:t>
      </w:r>
      <w:r>
        <w:rPr>
          <w:rFonts w:hint="cs"/>
          <w:rtl/>
        </w:rPr>
        <w:t xml:space="preserve"> 289</w:t>
      </w:r>
      <w:r>
        <w:rPr>
          <w:rFonts w:ascii="David" w:hAnsi="David" w:hint="cs"/>
          <w:rtl/>
        </w:rPr>
        <w:t xml:space="preserve">   </w:t>
      </w:r>
    </w:p>
    <w:p>
      <w:pPr>
        <w:tabs>
          <w:tab w:val="right" w:leader="dot" w:pos="6237"/>
          <w:tab w:val="left" w:pos="6350"/>
        </w:tabs>
        <w:ind w:left="397" w:right="851"/>
        <w:jc w:val="left"/>
        <w:rPr>
          <w:rFonts w:hint="cs"/>
        </w:rPr>
      </w:pPr>
      <w:r>
        <w:rPr>
          <w:rFonts w:ascii="David" w:hAnsi="David" w:hint="cs"/>
          <w:rtl/>
        </w:rPr>
        <w:t>רכישת ציוד ושירותים בלא מכרז</w:t>
        <w:tab/>
        <w:tab/>
        <w:t>301</w:t>
      </w:r>
    </w:p>
    <w:p>
      <w:pPr>
        <w:pStyle w:val="KOT2"/>
        <w:tabs>
          <w:tab w:val="right" w:leader="dot" w:pos="6237"/>
          <w:tab w:val="left" w:pos="6350"/>
        </w:tabs>
        <w:spacing w:before="240" w:after="240"/>
        <w:ind w:left="0" w:right="851"/>
        <w:jc w:val="left"/>
        <w:rPr>
          <w:rFonts w:hint="cs"/>
          <w:rtl/>
        </w:rPr>
      </w:pPr>
      <w:r>
        <w:rPr>
          <w:rFonts w:hint="cs"/>
          <w:rtl/>
        </w:rPr>
        <w:t>רשות השידור</w:t>
      </w:r>
    </w:p>
    <w:p>
      <w:pPr>
        <w:tabs>
          <w:tab w:val="right" w:leader="dot" w:pos="6690"/>
        </w:tabs>
        <w:ind w:left="397" w:right="0"/>
        <w:jc w:val="left"/>
        <w:rPr>
          <w:rFonts w:hint="cs"/>
          <w:sz w:val="24"/>
        </w:rPr>
      </w:pPr>
      <w:r>
        <w:rPr>
          <w:rFonts w:ascii="David" w:hAnsi="David" w:hint="cs"/>
          <w:rtl/>
        </w:rPr>
        <w:t>ענייני כוח אדם............................................................................</w:t>
      </w:r>
      <w:r>
        <w:t xml:space="preserve">  </w:t>
      </w:r>
      <w:r>
        <w:rPr>
          <w:rFonts w:hint="cs"/>
          <w:rtl/>
        </w:rPr>
        <w:t xml:space="preserve">311 </w:t>
      </w:r>
    </w:p>
    <w:p>
      <w:pPr>
        <w:pStyle w:val="KOT2"/>
        <w:tabs>
          <w:tab w:val="right" w:leader="dot" w:pos="6237"/>
          <w:tab w:val="left" w:pos="6350"/>
        </w:tabs>
        <w:spacing w:before="240" w:after="240"/>
        <w:ind w:left="0" w:right="851"/>
        <w:jc w:val="left"/>
        <w:rPr>
          <w:rFonts w:hint="cs"/>
          <w:b w:val="0"/>
          <w:bCs w:val="0"/>
          <w:sz w:val="24"/>
          <w:szCs w:val="24"/>
          <w:rtl/>
        </w:rPr>
      </w:pPr>
      <w:r>
        <w:rPr>
          <w:rFonts w:hint="cs"/>
          <w:rtl/>
        </w:rPr>
        <w:t>יד ושם רשות הזיכרון לשואה ולגבורה</w:t>
      </w:r>
      <w:r>
        <w:rPr>
          <w:rFonts w:hint="cs"/>
          <w:b w:val="0"/>
          <w:bCs w:val="0"/>
          <w:sz w:val="24"/>
          <w:szCs w:val="24"/>
          <w:rtl/>
        </w:rPr>
        <w:tab/>
        <w:tab/>
        <w:t>321</w:t>
      </w:r>
    </w:p>
    <w:p>
      <w:pPr>
        <w:pStyle w:val="KOT2"/>
        <w:tabs>
          <w:tab w:val="right" w:leader="dot" w:pos="6237"/>
          <w:tab w:val="left" w:pos="6350"/>
        </w:tabs>
        <w:spacing w:before="240" w:after="240"/>
        <w:ind w:left="0" w:right="851"/>
        <w:jc w:val="left"/>
        <w:rPr>
          <w:rFonts w:hint="cs"/>
          <w:b w:val="0"/>
          <w:bCs w:val="0"/>
          <w:sz w:val="24"/>
          <w:szCs w:val="24"/>
          <w:rtl/>
        </w:rPr>
      </w:pPr>
      <w:r>
        <w:rPr>
          <w:rFonts w:hint="cs"/>
          <w:rtl/>
        </w:rPr>
        <w:t>משרד האוצר</w:t>
      </w:r>
    </w:p>
    <w:p>
      <w:pPr>
        <w:tabs>
          <w:tab w:val="left" w:pos="6690"/>
        </w:tabs>
        <w:ind w:left="397" w:right="-142"/>
        <w:jc w:val="left"/>
      </w:pPr>
      <w:r>
        <w:rPr>
          <w:rFonts w:ascii="David" w:hAnsi="David" w:hint="cs"/>
          <w:rtl/>
        </w:rPr>
        <w:t>המינהלה להקמת קריות ממשלה ובתי משפט</w:t>
      </w:r>
      <w:r>
        <w:rPr>
          <w:rFonts w:hint="cs"/>
          <w:rtl/>
        </w:rPr>
        <w:t>.................................</w:t>
      </w:r>
      <w:r>
        <w:t xml:space="preserve">   </w:t>
      </w:r>
      <w:r>
        <w:rPr>
          <w:rFonts w:hint="cs"/>
          <w:rtl/>
        </w:rPr>
        <w:t>343</w:t>
      </w:r>
      <w:r>
        <w:t xml:space="preserve">   </w:t>
      </w:r>
    </w:p>
    <w:p>
      <w:pPr>
        <w:pStyle w:val="KOT2"/>
        <w:tabs>
          <w:tab w:val="right" w:leader="dot" w:pos="6237"/>
          <w:tab w:val="left" w:pos="6350"/>
        </w:tabs>
        <w:spacing w:before="240" w:after="240"/>
        <w:ind w:left="0" w:right="851"/>
        <w:jc w:val="left"/>
        <w:rPr>
          <w:rFonts w:hint="cs"/>
          <w:rtl/>
        </w:rPr>
      </w:pPr>
      <w:r>
        <w:rPr>
          <w:rtl/>
        </w:rPr>
        <w:br w:type="page"/>
      </w:r>
      <w:r>
        <w:rPr>
          <w:rFonts w:hint="cs"/>
          <w:rtl/>
        </w:rPr>
        <w:t>המועצה המקומית זיכרון יעקב</w:t>
      </w:r>
    </w:p>
    <w:p>
      <w:pPr>
        <w:tabs>
          <w:tab w:val="left" w:pos="6832"/>
          <w:tab w:val="right" w:leader="dot" w:pos="6974"/>
        </w:tabs>
        <w:ind w:left="397" w:right="-142"/>
        <w:jc w:val="left"/>
        <w:rPr>
          <w:rFonts w:hint="cs"/>
          <w:rtl/>
        </w:rPr>
      </w:pPr>
      <w:r>
        <w:rPr>
          <w:rFonts w:ascii="David" w:hAnsi="David" w:hint="cs"/>
          <w:rtl/>
        </w:rPr>
        <w:t xml:space="preserve">עסקת רכישת נכס על ידי המועצה.................................................. </w:t>
      </w:r>
      <w:r>
        <w:t xml:space="preserve"> </w:t>
      </w:r>
      <w:r>
        <w:rPr>
          <w:rFonts w:hint="cs"/>
          <w:rtl/>
        </w:rPr>
        <w:t xml:space="preserve"> 375</w:t>
      </w:r>
    </w:p>
    <w:p>
      <w:pPr>
        <w:tabs>
          <w:tab w:val="right" w:leader="dot" w:pos="6237"/>
          <w:tab w:val="left" w:pos="6350"/>
        </w:tabs>
        <w:ind w:left="397" w:right="851"/>
        <w:jc w:val="left"/>
        <w:rPr>
          <w:rFonts w:hint="cs"/>
        </w:rPr>
      </w:pPr>
    </w:p>
    <w:p>
      <w:pPr>
        <w:ind w:left="0" w:right="0"/>
        <w:jc w:val="center"/>
        <w:rPr>
          <w:rFonts w:hint="cs"/>
          <w:sz w:val="28"/>
          <w:szCs w:val="28"/>
          <w:rtl/>
        </w:rPr>
      </w:pPr>
    </w:p>
    <w:p>
      <w:pPr>
        <w:spacing w:before="120"/>
        <w:ind w:left="0" w:right="0"/>
        <w:jc w:val="center"/>
        <w:rPr>
          <w:rFonts w:hint="cs"/>
          <w:sz w:val="28"/>
          <w:szCs w:val="28"/>
          <w:rtl/>
        </w:rPr>
      </w:pPr>
      <w:r>
        <w:rPr>
          <w:rFonts w:ascii="Monotype Sorts" w:hAnsi="Monotype Sorts"/>
          <w:sz w:val="28"/>
          <w:szCs w:val="28"/>
        </w:rPr>
        <w:sym w:font="Monotype Sorts" w:char="F04F"/>
      </w:r>
    </w:p>
    <w:p>
      <w:pPr>
        <w:ind w:left="0" w:right="0"/>
        <w:jc w:val="center"/>
        <w:rPr>
          <w:rFonts w:hint="cs"/>
          <w:rtl/>
        </w:rPr>
      </w:pPr>
    </w:p>
    <w:p>
      <w:pPr>
        <w:pStyle w:val="KOT2"/>
        <w:keepNext w:val="0"/>
        <w:tabs>
          <w:tab w:val="right" w:leader="dot" w:pos="6237"/>
          <w:tab w:val="left" w:pos="6350"/>
        </w:tabs>
        <w:spacing w:before="240" w:after="240"/>
        <w:ind w:left="0" w:right="851"/>
        <w:jc w:val="left"/>
        <w:rPr>
          <w:rFonts w:hint="cs"/>
          <w:sz w:val="24"/>
          <w:szCs w:val="24"/>
          <w:rtl/>
        </w:rPr>
      </w:pPr>
      <w:r>
        <w:rPr>
          <w:rFonts w:hint="cs"/>
          <w:rtl/>
        </w:rPr>
        <w:t xml:space="preserve">חוק יסוד: מבקר המדינה  </w:t>
      </w:r>
      <w:r>
        <w:rPr>
          <w:rFonts w:hint="cs"/>
          <w:b w:val="0"/>
          <w:bCs w:val="0"/>
          <w:sz w:val="22"/>
          <w:szCs w:val="22"/>
          <w:rtl/>
        </w:rPr>
        <w:tab/>
        <w:tab/>
      </w:r>
      <w:r>
        <w:rPr>
          <w:rFonts w:hint="cs"/>
          <w:b w:val="0"/>
          <w:bCs w:val="0"/>
          <w:sz w:val="24"/>
          <w:szCs w:val="24"/>
          <w:rtl/>
        </w:rPr>
        <w:t>391</w:t>
      </w:r>
    </w:p>
    <w:p>
      <w:pPr>
        <w:pStyle w:val="KOT2"/>
        <w:keepNext w:val="0"/>
        <w:tabs>
          <w:tab w:val="right" w:leader="dot" w:pos="6237"/>
          <w:tab w:val="left" w:pos="6350"/>
        </w:tabs>
        <w:spacing w:before="240" w:after="240"/>
        <w:ind w:left="0" w:right="851"/>
        <w:jc w:val="left"/>
        <w:rPr>
          <w:rFonts w:hint="cs"/>
          <w:rtl/>
        </w:rPr>
      </w:pPr>
      <w:r>
        <w:rPr>
          <w:rFonts w:hint="cs"/>
          <w:rtl/>
        </w:rPr>
        <w:t xml:space="preserve">חוק מבקר המדינה, התשי"ח-1958 [נוסח משולב]  </w:t>
      </w:r>
      <w:r>
        <w:rPr>
          <w:rFonts w:hint="cs"/>
          <w:b w:val="0"/>
          <w:bCs w:val="0"/>
          <w:sz w:val="24"/>
          <w:szCs w:val="24"/>
          <w:rtl/>
        </w:rPr>
        <w:tab/>
        <w:tab/>
        <w:t>393</w:t>
      </w:r>
    </w:p>
    <w:p>
      <w:pPr>
        <w:ind w:left="0" w:right="0"/>
        <w:jc w:val="center"/>
        <w:rPr>
          <w:rFonts w:cs="FrankRuehl"/>
          <w:sz w:val="22"/>
        </w:rPr>
      </w:pPr>
    </w:p>
    <w:sectPr>
      <w:pgSz w:w="11906" w:h="16838" w:code="9"/>
      <w:pgMar w:top="1531" w:right="2608" w:bottom="4536" w:left="2608" w:header="709" w:footer="3969" w:gutter="0"/>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3A87" w:usb1="00000000" w:usb2="00000000" w:usb3="00000000" w:csb0="000000FF"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Monotype Sorts">
    <w:altName w:val="Symbol"/>
    <w:panose1 w:val="01010601010101010101"/>
    <w:charset w:val="02"/>
    <w:family w:val="auto"/>
    <w:pitch w:val="variable"/>
    <w:sig w:usb0="00000000" w:usb1="10000000" w:usb2="00000000" w:usb3="00000000" w:csb0="80000000" w:csb1="00000000"/>
  </w:font>
  <w:font w:name="Miriam">
    <w:panose1 w:val="00000000000000000000"/>
    <w:charset w:val="B1"/>
    <w:family w:val="auto"/>
    <w:pitch w:val="variable"/>
    <w:sig w:usb0="00001801" w:usb1="00000000" w:usb2="00000000" w:usb3="00000000" w:csb0="00000020" w:csb1="00000000"/>
  </w:font>
  <w:font w:name="Arial Narrow">
    <w:panose1 w:val="020B050602020203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5B2"/>
    <w:multiLevelType w:val="singleLevel"/>
    <w:tmpl w:val="D88E680E"/>
    <w:lvl w:ilvl="0">
      <w:start w:val="1"/>
      <w:numFmt w:val="hebrew1"/>
      <w:lvlText w:val="(%1)"/>
      <w:lvlJc w:val="left"/>
      <w:pPr>
        <w:tabs>
          <w:tab w:val="num" w:pos="360"/>
        </w:tabs>
        <w:ind w:hanging="360"/>
      </w:pPr>
      <w:rPr>
        <w:rFonts w:cs="Miriam" w:hint="default"/>
        <w:sz w:val="24"/>
      </w:rPr>
    </w:lvl>
  </w:abstractNum>
  <w:abstractNum w:abstractNumId="1">
    <w:nsid w:val="51253C99"/>
    <w:multiLevelType w:val="singleLevel"/>
    <w:tmpl w:val="CB924DAA"/>
    <w:lvl w:ilvl="0">
      <w:start w:val="1"/>
      <w:numFmt w:val="hebrew1"/>
      <w:lvlText w:val="(%1)"/>
      <w:lvlJc w:val="center"/>
      <w:pPr>
        <w:tabs>
          <w:tab w:val="num" w:pos="473"/>
        </w:tabs>
        <w:ind w:left="0" w:firstLine="113"/>
      </w:pPr>
    </w:lvl>
  </w:abstractNum>
  <w:abstractNum w:abstractNumId="2">
    <w:nsid w:val="53801E6B"/>
    <w:multiLevelType w:val="singleLevel"/>
    <w:tmpl w:val="411409B6"/>
    <w:lvl w:ilvl="0">
      <w:start w:val="1"/>
      <w:numFmt w:val="decimal"/>
      <w:lvlText w:val="%1."/>
      <w:lvlJc w:val="center"/>
      <w:pPr>
        <w:tabs>
          <w:tab w:val="num" w:pos="648"/>
        </w:tabs>
        <w:ind w:left="360" w:hanging="72"/>
      </w:pPr>
    </w:lvl>
  </w:abstractNum>
  <w:abstractNum w:abstractNumId="3">
    <w:nsid w:val="561A6934"/>
    <w:multiLevelType w:val="singleLevel"/>
    <w:tmpl w:val="6AA22732"/>
    <w:lvl w:ilvl="0">
      <w:start w:val="20"/>
      <w:numFmt w:val="bullet"/>
      <w:lvlText w:val="-"/>
      <w:lvlJc w:val="left"/>
      <w:pPr>
        <w:tabs>
          <w:tab w:val="num" w:pos="720"/>
        </w:tabs>
        <w:ind w:left="720" w:hanging="720"/>
      </w:pPr>
      <w:rPr>
        <w:rFonts w:cs="Times New Roman" w:hint="default"/>
        <w:sz w:val="24"/>
      </w:rPr>
    </w:lvl>
  </w:abstractNum>
  <w:abstractNum w:abstractNumId="4">
    <w:nsid w:val="5DEC69B7"/>
    <w:multiLevelType w:val="singleLevel"/>
    <w:tmpl w:val="CB924DAA"/>
    <w:lvl w:ilvl="0">
      <w:start w:val="1"/>
      <w:numFmt w:val="hebrew1"/>
      <w:lvlText w:val="(%1)"/>
      <w:lvlJc w:val="center"/>
      <w:pPr>
        <w:tabs>
          <w:tab w:val="num" w:pos="473"/>
        </w:tabs>
        <w:ind w:left="0" w:firstLine="113"/>
      </w:pPr>
    </w:lvl>
  </w:abstractNum>
  <w:abstractNum w:abstractNumId="5">
    <w:nsid w:val="7C826799"/>
    <w:multiLevelType w:val="singleLevel"/>
    <w:tmpl w:val="CB924DAA"/>
    <w:lvl w:ilvl="0">
      <w:start w:val="1"/>
      <w:numFmt w:val="hebrew1"/>
      <w:lvlText w:val="(%1)"/>
      <w:lvlJc w:val="center"/>
      <w:pPr>
        <w:tabs>
          <w:tab w:val="num" w:pos="473"/>
        </w:tabs>
        <w:ind w:left="0" w:firstLine="113"/>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340"/>
  <w:evenAndOddHeaders/>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left"/>
    </w:pPr>
    <w:rPr>
      <w:rFonts w:cs="David"/>
      <w:noProof w:val="0"/>
      <w:szCs w:val="24"/>
      <w:lang w:val="en-US" w:eastAsia="en-US" w:bidi="he-IL"/>
    </w:rPr>
  </w:style>
  <w:style w:type="paragraph" w:styleId="Heading1">
    <w:name w:val="heading 1"/>
    <w:basedOn w:val="Normal"/>
    <w:next w:val="Normal"/>
    <w:uiPriority w:val="9"/>
    <w:qFormat/>
    <w:pPr>
      <w:keepNext/>
      <w:jc w:val="center"/>
      <w:outlineLvl w:val="0"/>
    </w:pPr>
    <w:rPr>
      <w:b/>
      <w:bCs/>
    </w:rPr>
  </w:style>
  <w:style w:type="paragraph" w:styleId="Heading2">
    <w:name w:val="heading 2"/>
    <w:basedOn w:val="Normal"/>
    <w:next w:val="Normal"/>
    <w:uiPriority w:val="9"/>
    <w:qFormat/>
    <w:pPr>
      <w:keepNext/>
      <w:outlineLvl w:val="1"/>
    </w:pPr>
    <w:rPr>
      <w:b/>
      <w:bCs/>
    </w:rPr>
  </w:style>
  <w:style w:type="paragraph" w:styleId="Heading3">
    <w:name w:val="heading 3"/>
    <w:basedOn w:val="Normal"/>
    <w:next w:val="Normal"/>
    <w:uiPriority w:val="9"/>
    <w:qFormat/>
    <w:pPr>
      <w:keepNext/>
      <w:widowControl w:val="0"/>
      <w:spacing w:line="312" w:lineRule="auto"/>
      <w:ind w:left="0" w:right="0"/>
      <w:jc w:val="both"/>
      <w:outlineLvl w:val="2"/>
    </w:pPr>
    <w:rPr>
      <w:b/>
      <w:bCs/>
      <w:u w:val="single"/>
      <w:lang w:eastAsia="he-IL"/>
    </w:rPr>
  </w:style>
  <w:style w:type="character" w:default="1" w:styleId="DefaultParagraphFont">
    <w:name w:val="Default Paragraph Font"/>
  </w:style>
  <w:style w:type="paragraph" w:styleId="Title">
    <w:name w:val="Title"/>
    <w:basedOn w:val="Normal"/>
    <w:uiPriority w:val="10"/>
    <w:qFormat/>
    <w:pPr>
      <w:jc w:val="center"/>
    </w:pPr>
    <w:rPr>
      <w:b/>
      <w:bCs/>
      <w:szCs w:val="32"/>
    </w:rPr>
  </w:style>
  <w:style w:type="paragraph" w:styleId="Subtitle">
    <w:name w:val="Subtitle"/>
    <w:basedOn w:val="Normal"/>
    <w:uiPriority w:val="11"/>
    <w:qFormat/>
    <w:rPr>
      <w:b/>
      <w:bCs/>
    </w:rPr>
  </w:style>
  <w:style w:type="paragraph" w:styleId="BlockText">
    <w:name w:val="Block Text"/>
    <w:basedOn w:val="Normal"/>
    <w:pPr>
      <w:ind w:left="720" w:right="0"/>
      <w:jc w:val="left"/>
    </w:pPr>
  </w:style>
  <w:style w:type="paragraph" w:styleId="FootnoteText">
    <w:name w:val="footnote text"/>
    <w:basedOn w:val="Normal"/>
    <w:pPr>
      <w:ind w:left="0" w:right="0"/>
      <w:jc w:val="left"/>
    </w:pPr>
    <w:rPr>
      <w:szCs w:val="20"/>
    </w:rPr>
  </w:style>
  <w:style w:type="character" w:styleId="FootnoteReference">
    <w:name w:val="footnote reference"/>
    <w:basedOn w:val="DefaultParagraphFont"/>
    <w:rPr>
      <w:vertAlign w:val="superscript"/>
    </w:rPr>
  </w:style>
  <w:style w:type="paragraph" w:styleId="BodyText">
    <w:name w:val="Body Text"/>
    <w:basedOn w:val="Normal"/>
    <w:pPr>
      <w:spacing w:line="360" w:lineRule="auto"/>
      <w:ind w:left="0" w:right="0"/>
      <w:jc w:val="left"/>
    </w:pPr>
  </w:style>
  <w:style w:type="paragraph" w:styleId="BodyTextIndent">
    <w:name w:val="Body Text Indent"/>
    <w:basedOn w:val="Normal"/>
    <w:pPr>
      <w:spacing w:line="360" w:lineRule="auto"/>
      <w:ind w:left="0" w:right="0"/>
      <w:jc w:val="both"/>
    </w:pPr>
    <w:rPr>
      <w:snapToGrid w:val="0"/>
      <w:lang w:eastAsia="he-IL"/>
    </w:rPr>
  </w:style>
  <w:style w:type="paragraph" w:styleId="Header">
    <w:name w:val="header"/>
    <w:basedOn w:val="Normal"/>
    <w:pPr>
      <w:tabs>
        <w:tab w:val="center" w:pos="4153"/>
        <w:tab w:val="right" w:pos="8306"/>
      </w:tabs>
      <w:ind w:left="0" w:right="0"/>
      <w:jc w:val="left"/>
    </w:pPr>
    <w:rPr>
      <w:rFonts w:ascii="Arial Narrow" w:hAnsi="Arial Narrow"/>
      <w:sz w:val="24"/>
    </w:rPr>
  </w:style>
  <w:style w:type="paragraph" w:styleId="Footer">
    <w:name w:val="footer"/>
    <w:basedOn w:val="Normal"/>
    <w:pPr>
      <w:tabs>
        <w:tab w:val="center" w:pos="4153"/>
        <w:tab w:val="right" w:pos="8306"/>
      </w:tabs>
      <w:ind w:left="0" w:right="0"/>
      <w:jc w:val="left"/>
    </w:pPr>
  </w:style>
  <w:style w:type="paragraph" w:customStyle="1" w:styleId="a">
    <w:name w:val="רגיל"/>
    <w:pPr>
      <w:autoSpaceDE w:val="0"/>
      <w:autoSpaceDN w:val="0"/>
      <w:bidi/>
      <w:adjustRightInd w:val="0"/>
      <w:spacing w:line="480" w:lineRule="auto"/>
      <w:ind w:left="0" w:right="0"/>
      <w:jc w:val="both"/>
    </w:pPr>
    <w:rPr>
      <w:rFonts w:ascii="Arial" w:hAnsi="Arial" w:cs="David"/>
      <w:noProof/>
      <w:sz w:val="30"/>
      <w:szCs w:val="24"/>
      <w:lang w:val="en-US" w:eastAsia="he-IL" w:bidi="he-IL"/>
    </w:rPr>
  </w:style>
  <w:style w:type="paragraph" w:customStyle="1" w:styleId="a0">
    <w:name w:val="נבנצלים"/>
    <w:basedOn w:val="Normal"/>
    <w:next w:val="Normal"/>
    <w:pPr>
      <w:widowControl w:val="0"/>
      <w:spacing w:line="312" w:lineRule="auto"/>
      <w:ind w:left="-567" w:right="0"/>
      <w:jc w:val="both"/>
    </w:pPr>
    <w:rPr>
      <w:szCs w:val="20"/>
      <w:lang w:eastAsia="he-IL"/>
    </w:rPr>
  </w:style>
  <w:style w:type="paragraph" w:customStyle="1" w:styleId="NAME">
    <w:name w:val="NAME"/>
    <w:basedOn w:val="Normal"/>
    <w:pPr>
      <w:pBdr>
        <w:bottom w:val="single" w:sz="4" w:space="6" w:color="auto"/>
      </w:pBdr>
      <w:spacing w:line="312" w:lineRule="auto"/>
      <w:ind w:left="0" w:right="0"/>
      <w:jc w:val="right"/>
      <w:outlineLvl w:val="0"/>
    </w:pPr>
    <w:rPr>
      <w:sz w:val="44"/>
      <w:szCs w:val="44"/>
      <w:lang w:eastAsia="he-IL"/>
    </w:rPr>
  </w:style>
  <w:style w:type="paragraph" w:customStyle="1" w:styleId="PATIAH">
    <w:name w:val="PATIAH"/>
    <w:basedOn w:val="Normal"/>
    <w:pPr>
      <w:spacing w:line="280" w:lineRule="exact"/>
      <w:ind w:left="510" w:right="510"/>
      <w:jc w:val="both"/>
    </w:pPr>
    <w:rPr>
      <w:lang w:eastAsia="he-IL"/>
    </w:rPr>
  </w:style>
  <w:style w:type="paragraph" w:customStyle="1" w:styleId="KOT1">
    <w:name w:val="KOT1"/>
    <w:basedOn w:val="Normal"/>
    <w:pPr>
      <w:spacing w:line="400" w:lineRule="exact"/>
      <w:ind w:left="0" w:right="0"/>
      <w:jc w:val="center"/>
    </w:pPr>
    <w:rPr>
      <w:b/>
      <w:bCs/>
      <w:sz w:val="36"/>
      <w:szCs w:val="36"/>
      <w:lang w:eastAsia="he-IL"/>
    </w:rPr>
  </w:style>
  <w:style w:type="paragraph" w:customStyle="1" w:styleId="KOT2">
    <w:name w:val="KOT2"/>
    <w:basedOn w:val="Normal"/>
    <w:pPr>
      <w:keepNext/>
      <w:spacing w:after="120" w:line="320" w:lineRule="exact"/>
      <w:ind w:left="0" w:right="0"/>
      <w:jc w:val="left"/>
    </w:pPr>
    <w:rPr>
      <w:b/>
      <w:bCs/>
      <w:sz w:val="28"/>
      <w:szCs w:val="28"/>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solid" w:color="00FFFF" w:fill="auto"/>
      <w:spacing w:line="266" w:lineRule="exact"/>
      <w:ind w:left="227" w:right="227"/>
      <w:jc w:val="both"/>
    </w:pPr>
    <w:rPr>
      <w:rFonts w:cs="FrankRuehl"/>
      <w:b/>
      <w:bCs/>
      <w:sz w:val="24"/>
      <w:lang w:eastAsia="he-IL"/>
    </w:r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image" Target="media/image1.wmf"/><Relationship Id="rId9"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B90C06-D7F2-4D78-9D8C-59AC3606EFB8}"/>
</file>

<file path=customXml/itemProps2.xml><?xml version="1.0" encoding="utf-8"?>
<ds:datastoreItem xmlns:ds="http://schemas.openxmlformats.org/officeDocument/2006/customXml" ds:itemID="{F070BEB5-C4CE-4A48-89A4-FA11A9FED33E}"/>
</file>

<file path=customXml/itemProps3.xml><?xml version="1.0" encoding="utf-8"?>
<ds:datastoreItem xmlns:ds="http://schemas.openxmlformats.org/officeDocument/2006/customXml" ds:itemID="{34E4F23B-394E-495A-9A75-A03EFD8CBFAC}"/>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