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tabs>
          <w:tab w:val="left" w:pos="340"/>
        </w:tabs>
        <w:spacing w:line="264" w:lineRule="exact"/>
        <w:ind w:left="4196"/>
        <w:rPr>
          <w:rFonts w:ascii="FrankRuehl" w:hAnsi="FrankRuehl" w:cs="David" w:hint="cs"/>
          <w:sz w:val="32"/>
          <w:szCs w:val="32"/>
          <w:rtl/>
        </w:rPr>
      </w:pPr>
      <w:bookmarkStart w:id="0" w:name="_GoBack"/>
      <w:bookmarkEnd w:id="0"/>
      <w:r>
        <w:rPr>
          <w:rFonts w:ascii="FrankRuehl" w:hAnsi="FrankRuehl" w:cs="David" w:hint="cs"/>
          <w:b/>
          <w:bCs/>
          <w:sz w:val="32"/>
          <w:szCs w:val="32"/>
          <w:rtl/>
        </w:rPr>
        <w:t>מבקר המדינה</w:t>
      </w:r>
    </w:p>
    <w:p w:rsidR="00000000">
      <w:pPr>
        <w:tabs>
          <w:tab w:val="left" w:pos="340"/>
        </w:tabs>
        <w:spacing w:line="264" w:lineRule="exact"/>
        <w:ind w:left="4196"/>
        <w:rPr>
          <w:rFonts w:ascii="FrankRuehl" w:hAnsi="FrankRuehl" w:cs="David" w:hint="cs"/>
          <w:sz w:val="32"/>
          <w:szCs w:val="32"/>
          <w:rtl/>
        </w:rPr>
      </w:pPr>
      <w:r>
        <w:rPr>
          <w:rFonts w:ascii="FrankRuehl" w:hAnsi="FrankRuehl" w:cs="David"/>
          <w:sz w:val="32"/>
          <w:szCs w:val="32"/>
          <w:rtl/>
        </w:rPr>
        <w:t xml:space="preserve">דוח שנתי </w:t>
      </w:r>
      <w:r>
        <w:rPr>
          <w:rFonts w:ascii="FrankRuehl" w:hAnsi="FrankRuehl" w:cs="David" w:hint="cs"/>
          <w:sz w:val="28"/>
          <w:szCs w:val="28"/>
          <w:rtl/>
        </w:rPr>
        <w:t>57</w:t>
      </w:r>
      <w:r>
        <w:rPr>
          <w:rFonts w:ascii="FrankRuehl" w:hAnsi="FrankRuehl" w:cs="David" w:hint="cs"/>
          <w:sz w:val="32"/>
          <w:szCs w:val="32"/>
          <w:rtl/>
        </w:rPr>
        <w:t>ב</w:t>
      </w:r>
    </w:p>
    <w:p w:rsidR="00000000">
      <w:pPr>
        <w:spacing w:after="0" w:line="240" w:lineRule="auto"/>
        <w:jc w:val="center"/>
        <w:rPr>
          <w:rFonts w:cs="David" w:hint="cs"/>
          <w:szCs w:val="24"/>
          <w:rtl/>
        </w:rPr>
      </w:pPr>
      <w:r>
        <w:rPr>
          <w:rFonts w:ascii="FrankRuehl" w:hAnsi="FrankRuehl"/>
          <w:b/>
          <w:bCs/>
          <w:sz w:val="32"/>
          <w:szCs w:val="32"/>
          <w:rtl/>
        </w:rPr>
        <w:br w:type="page"/>
      </w:r>
    </w:p>
    <w:p w:rsidR="00000000">
      <w:pPr>
        <w:spacing w:line="240" w:lineRule="atLeast"/>
        <w:jc w:val="center"/>
      </w:pPr>
      <w:r>
        <w:rPr>
          <w:rtl/>
        </w:rPr>
        <w:br w:type="page"/>
      </w:r>
      <w:r>
        <w:rPr>
          <w:noProof/>
          <w:rtl/>
        </w:rPr>
        <w:drawing>
          <wp:inline distT="0" distB="0" distL="0" distR="0">
            <wp:extent cx="638175" cy="800100"/>
            <wp:effectExtent l="0" t="0" r="9525" b="0"/>
            <wp:docPr id="1" name="תמונה 1" descr="C:\My Documents\isr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69124" name="Picture 1" descr="C:\My Documents\isra.eps"/>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000000">
      <w:pPr>
        <w:spacing w:before="120" w:after="0" w:line="312" w:lineRule="auto"/>
        <w:jc w:val="center"/>
        <w:rPr>
          <w:rFonts w:cs="David" w:hint="cs"/>
          <w:b/>
          <w:bCs/>
          <w:sz w:val="72"/>
          <w:szCs w:val="72"/>
          <w:rtl/>
        </w:rPr>
      </w:pPr>
      <w:r>
        <w:rPr>
          <w:rFonts w:cs="David" w:hint="cs"/>
          <w:b/>
          <w:bCs/>
          <w:sz w:val="72"/>
          <w:szCs w:val="72"/>
          <w:rtl/>
        </w:rPr>
        <w:t>מבקר המדינה</w:t>
      </w:r>
    </w:p>
    <w:p w:rsidR="00000000">
      <w:pPr>
        <w:spacing w:after="0" w:line="240" w:lineRule="auto"/>
        <w:jc w:val="center"/>
        <w:rPr>
          <w:rFonts w:cs="David"/>
          <w:sz w:val="60"/>
          <w:szCs w:val="60"/>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100"/>
          <w:szCs w:val="100"/>
          <w:rtl/>
        </w:rPr>
      </w:pPr>
      <w:r>
        <w:rPr>
          <w:rFonts w:cs="David" w:hint="cs"/>
          <w:sz w:val="100"/>
          <w:szCs w:val="100"/>
          <w:rtl/>
        </w:rPr>
        <w:t>דוח שנתי 57ב</w:t>
      </w: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56"/>
          <w:szCs w:val="56"/>
          <w:rtl/>
        </w:rPr>
      </w:pPr>
      <w:r>
        <w:rPr>
          <w:rFonts w:cs="David" w:hint="cs"/>
          <w:sz w:val="56"/>
          <w:szCs w:val="56"/>
          <w:rtl/>
        </w:rPr>
        <w:t xml:space="preserve">לשנת 2006 </w:t>
      </w:r>
      <w:r>
        <w:rPr>
          <w:rFonts w:cs="David"/>
          <w:sz w:val="56"/>
          <w:szCs w:val="56"/>
        </w:rPr>
        <w:br/>
      </w:r>
      <w:r>
        <w:rPr>
          <w:rFonts w:cs="David" w:hint="cs"/>
          <w:sz w:val="56"/>
          <w:szCs w:val="56"/>
          <w:rtl/>
        </w:rPr>
        <w:t>ולחשבונות שנת הכספים 2005</w:t>
      </w: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sz w:val="32"/>
          <w:szCs w:val="32"/>
        </w:rPr>
      </w:pPr>
    </w:p>
    <w:p w:rsidR="00000000">
      <w:pPr>
        <w:spacing w:line="240" w:lineRule="auto"/>
        <w:jc w:val="center"/>
        <w:rPr>
          <w:rFonts w:cs="David"/>
          <w:sz w:val="32"/>
          <w:szCs w:val="32"/>
        </w:rPr>
      </w:pPr>
    </w:p>
    <w:p w:rsidR="00000000">
      <w:pPr>
        <w:spacing w:line="240" w:lineRule="atLeast"/>
        <w:jc w:val="center"/>
        <w:rPr>
          <w:rFonts w:hint="cs"/>
          <w:sz w:val="32"/>
          <w:szCs w:val="32"/>
          <w:rtl/>
        </w:rPr>
      </w:pPr>
      <w:r>
        <w:rPr>
          <w:noProof/>
          <w:sz w:val="32"/>
          <w:szCs w:val="32"/>
          <w:rtl/>
        </w:rPr>
        <w:drawing>
          <wp:inline distT="0" distB="0" distL="0" distR="0">
            <wp:extent cx="847725" cy="485775"/>
            <wp:effectExtent l="0" t="0" r="9525" b="9525"/>
            <wp:docPr id="2" name="תמונה 2" descr="..\NATAZ28E\logo-b-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51446" name="Picture 2" descr="..\NATAZ28E\logo-b-w.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725" cy="485775"/>
                    </a:xfrm>
                    <a:prstGeom prst="rect">
                      <a:avLst/>
                    </a:prstGeom>
                    <a:noFill/>
                    <a:ln>
                      <a:noFill/>
                    </a:ln>
                  </pic:spPr>
                </pic:pic>
              </a:graphicData>
            </a:graphic>
          </wp:inline>
        </w:drawing>
      </w:r>
    </w:p>
    <w:p w:rsidR="00000000">
      <w:pPr>
        <w:spacing w:after="0" w:line="240" w:lineRule="auto"/>
        <w:jc w:val="center"/>
        <w:rPr>
          <w:rFonts w:cs="David" w:hint="cs"/>
          <w:sz w:val="32"/>
          <w:szCs w:val="32"/>
          <w:rtl/>
        </w:rPr>
      </w:pPr>
      <w:r>
        <w:rPr>
          <w:rFonts w:cs="David" w:hint="cs"/>
          <w:sz w:val="32"/>
          <w:szCs w:val="32"/>
          <w:rtl/>
        </w:rPr>
        <w:t>ירושלים, אייר התשס"ז, מאי 2007</w:t>
      </w:r>
    </w:p>
    <w:p w:rsidR="00000000">
      <w:pPr>
        <w:spacing w:after="0" w:line="240" w:lineRule="auto"/>
        <w:jc w:val="center"/>
        <w:rPr>
          <w:rFonts w:cs="David"/>
          <w:szCs w:val="24"/>
        </w:rPr>
      </w:pPr>
      <w:r>
        <w:rPr>
          <w:sz w:val="32"/>
          <w:szCs w:val="32"/>
          <w:rtl/>
        </w:rPr>
        <w:br w:type="page"/>
      </w: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Pr>
      </w:pPr>
    </w:p>
    <w:p w:rsidR="00000000">
      <w:pPr>
        <w:spacing w:after="0" w:line="240" w:lineRule="auto"/>
        <w:jc w:val="center"/>
        <w:rPr>
          <w:rFonts w:hint="cs"/>
          <w:szCs w:val="24"/>
          <w:rtl/>
        </w:rPr>
      </w:pPr>
      <w:r>
        <w:rPr>
          <w:rFonts w:hint="cs"/>
          <w:szCs w:val="24"/>
          <w:rtl/>
        </w:rPr>
        <w:t>מס' קטלוגי 957-2007</w:t>
      </w:r>
    </w:p>
    <w:p w:rsidR="00000000">
      <w:pPr>
        <w:spacing w:after="0" w:line="240" w:lineRule="auto"/>
        <w:jc w:val="center"/>
        <w:rPr>
          <w:rFonts w:ascii="FrankRuehl" w:hAnsi="FrankRuehl"/>
          <w:sz w:val="20"/>
        </w:rPr>
      </w:pPr>
      <w:r>
        <w:rPr>
          <w:sz w:val="20"/>
          <w:szCs w:val="20"/>
        </w:rPr>
        <w:t>ISSN</w:t>
      </w:r>
      <w:r>
        <w:rPr>
          <w:sz w:val="20"/>
        </w:rPr>
        <w:t xml:space="preserve"> </w:t>
      </w:r>
      <w:r>
        <w:rPr>
          <w:sz w:val="20"/>
          <w:szCs w:val="20"/>
        </w:rPr>
        <w:t>0334-9713</w:t>
      </w:r>
    </w:p>
    <w:p w:rsidR="00000000">
      <w:pPr>
        <w:spacing w:after="0" w:line="240" w:lineRule="auto"/>
        <w:jc w:val="center"/>
        <w:rPr>
          <w:szCs w:val="24"/>
        </w:rPr>
      </w:pPr>
    </w:p>
    <w:p w:rsidR="00000000">
      <w:pPr>
        <w:spacing w:after="0" w:line="240" w:lineRule="auto"/>
        <w:jc w:val="center"/>
        <w:rPr>
          <w:rFonts w:hint="cs"/>
          <w:sz w:val="22"/>
          <w:rtl/>
        </w:rPr>
      </w:pPr>
      <w:r>
        <w:rPr>
          <w:rFonts w:hint="cs"/>
          <w:sz w:val="22"/>
          <w:rtl/>
        </w:rPr>
        <w:t>ניתן להוריד גרסה אלקטרונית של דוח זה מאתר האינטרנט ש</w:t>
      </w:r>
      <w:r>
        <w:rPr>
          <w:rFonts w:hint="cs"/>
          <w:sz w:val="22"/>
          <w:rtl/>
        </w:rPr>
        <w:t xml:space="preserve">ל </w:t>
      </w:r>
      <w:r>
        <w:rPr>
          <w:sz w:val="22"/>
        </w:rPr>
        <w:br/>
      </w:r>
      <w:r>
        <w:rPr>
          <w:rFonts w:hint="cs"/>
          <w:sz w:val="22"/>
          <w:rtl/>
        </w:rPr>
        <w:t>משרד מבקר המדינה בכתובת:</w:t>
      </w:r>
    </w:p>
    <w:p w:rsidR="00000000">
      <w:pPr>
        <w:spacing w:after="0" w:line="240" w:lineRule="auto"/>
        <w:jc w:val="center"/>
        <w:rPr>
          <w:rFonts w:hint="cs"/>
          <w:szCs w:val="24"/>
          <w:rtl/>
        </w:rPr>
      </w:pPr>
      <w:r>
        <w:rPr>
          <w:szCs w:val="24"/>
        </w:rPr>
        <w:t>www.mevaker.gov.il</w:t>
      </w:r>
    </w:p>
    <w:p w:rsidR="00000000">
      <w:pPr>
        <w:spacing w:after="0" w:line="240" w:lineRule="auto"/>
        <w:jc w:val="center"/>
        <w:rPr>
          <w:rFonts w:hint="cs"/>
          <w:szCs w:val="24"/>
          <w:rtl/>
        </w:rPr>
      </w:pPr>
    </w:p>
    <w:p w:rsidR="00000000">
      <w:pPr>
        <w:spacing w:after="0" w:line="240" w:lineRule="auto"/>
        <w:jc w:val="center"/>
        <w:rPr>
          <w:rFonts w:hint="cs"/>
          <w:sz w:val="22"/>
          <w:rtl/>
        </w:rPr>
      </w:pPr>
      <w:r>
        <w:rPr>
          <w:rFonts w:hint="cs"/>
          <w:sz w:val="22"/>
          <w:rtl/>
        </w:rPr>
        <w:t>סדר: אונית שירותי מחשב בע"מ</w:t>
      </w:r>
    </w:p>
    <w:p w:rsidR="00000000">
      <w:pPr>
        <w:spacing w:after="0" w:line="240" w:lineRule="auto"/>
        <w:jc w:val="center"/>
        <w:rPr>
          <w:rFonts w:hint="cs"/>
          <w:sz w:val="22"/>
          <w:rtl/>
        </w:rPr>
      </w:pPr>
      <w:r>
        <w:rPr>
          <w:rFonts w:hint="cs"/>
          <w:sz w:val="22"/>
          <w:rtl/>
        </w:rPr>
        <w:t>דפוס: כתר בע"מ</w:t>
      </w:r>
    </w:p>
    <w:p w:rsidR="00000000">
      <w:pPr>
        <w:spacing w:line="260" w:lineRule="exact"/>
        <w:rPr>
          <w:rFonts w:cs="David" w:hint="cs"/>
          <w:szCs w:val="24"/>
          <w:rtl/>
        </w:rPr>
      </w:pPr>
      <w:r>
        <w:rPr>
          <w:rFonts w:cs="David"/>
          <w:szCs w:val="24"/>
          <w:rtl/>
        </w:rPr>
        <w:br w:type="page"/>
      </w:r>
    </w:p>
    <w:p w:rsidR="00000000">
      <w:pPr>
        <w:spacing w:line="260" w:lineRule="exact"/>
        <w:rPr>
          <w:rFonts w:cs="David" w:hint="cs"/>
          <w:szCs w:val="24"/>
          <w:rtl/>
        </w:rPr>
      </w:pPr>
    </w:p>
    <w:p w:rsidR="00000000">
      <w:pPr>
        <w:spacing w:line="260" w:lineRule="exact"/>
        <w:rPr>
          <w:rFonts w:cs="David" w:hint="cs"/>
          <w:szCs w:val="24"/>
          <w:rtl/>
        </w:rPr>
      </w:pPr>
    </w:p>
    <w:p w:rsidR="00000000">
      <w:pPr>
        <w:spacing w:line="260" w:lineRule="exact"/>
        <w:rPr>
          <w:rFonts w:cs="David" w:hint="cs"/>
          <w:szCs w:val="24"/>
          <w:rtl/>
        </w:rPr>
      </w:pPr>
    </w:p>
    <w:p w:rsidR="00000000">
      <w:pPr>
        <w:spacing w:line="260" w:lineRule="exact"/>
        <w:rPr>
          <w:rFonts w:cs="David" w:hint="cs"/>
          <w:szCs w:val="24"/>
          <w:rtl/>
        </w:rPr>
      </w:pPr>
    </w:p>
    <w:p w:rsidR="00000000">
      <w:pPr>
        <w:spacing w:line="260" w:lineRule="exact"/>
        <w:rPr>
          <w:rFonts w:cs="David" w:hint="cs"/>
          <w:szCs w:val="24"/>
          <w:rtl/>
        </w:rPr>
      </w:pPr>
    </w:p>
    <w:p w:rsidR="00000000">
      <w:pPr>
        <w:spacing w:line="260" w:lineRule="exact"/>
        <w:rPr>
          <w:rFonts w:cs="David" w:hint="cs"/>
          <w:szCs w:val="24"/>
          <w:rtl/>
        </w:rPr>
      </w:pPr>
    </w:p>
    <w:p w:rsidR="00000000">
      <w:pPr>
        <w:spacing w:line="320" w:lineRule="exact"/>
        <w:rPr>
          <w:rFonts w:cs="David" w:hint="cs"/>
          <w:szCs w:val="24"/>
          <w:rtl/>
        </w:rPr>
      </w:pPr>
      <w:r>
        <w:rPr>
          <w:rFonts w:cs="David" w:hint="cs"/>
          <w:b/>
          <w:bCs/>
          <w:sz w:val="28"/>
          <w:szCs w:val="28"/>
          <w:rtl/>
        </w:rPr>
        <w:t>דין וחשבון שנתי זה, לשנת 2006,</w:t>
      </w:r>
      <w:r>
        <w:rPr>
          <w:rFonts w:cs="David" w:hint="cs"/>
          <w:szCs w:val="24"/>
          <w:rtl/>
        </w:rPr>
        <w:t xml:space="preserve"> המצטרף לדוחות קודמים שהוגשו השנה על נושאים מהותיים בביטחון המדינה ובביקורת הרשויות המקומיות, משקף את הטמעת עקרונות הביקורת החד</w:t>
      </w:r>
      <w:r>
        <w:rPr>
          <w:rFonts w:cs="David" w:hint="cs"/>
          <w:szCs w:val="24"/>
          <w:rtl/>
        </w:rPr>
        <w:t>שים שאומצו במשרד מבקר המדינה. פרסום שמות והטלת אחריות אישית על עובדי ציבור קנו להם אחיזה בדוח ובאו לידי ביטוי ממשי בפרקיו השונים, וזאת לצד אזכורים חיוביים של גופים ואישים אשר הציבו נורמות התנהגות ראויות במיוחד בשירות הציבורי. לביקורת בזמן אמת בנושאים מרכזי</w:t>
      </w:r>
      <w:r>
        <w:rPr>
          <w:rFonts w:cs="David" w:hint="cs"/>
          <w:szCs w:val="24"/>
          <w:rtl/>
        </w:rPr>
        <w:t xml:space="preserve">ים המחייבים טיפול מידי ניתן השנה דגש מרכזי, ודוגמה בולטת לנושא כזה היא הביקורת שעשה משרד מבקר המדינה על </w:t>
      </w:r>
      <w:r>
        <w:rPr>
          <w:rFonts w:cs="David" w:hint="eastAsia"/>
          <w:szCs w:val="24"/>
          <w:rtl/>
        </w:rPr>
        <w:t>”</w:t>
      </w:r>
      <w:r>
        <w:rPr>
          <w:rFonts w:cs="David" w:hint="cs"/>
          <w:szCs w:val="24"/>
          <w:rtl/>
        </w:rPr>
        <w:t>התמודדות משרד החקלאות עם התפרצות 'שפעת העופות'". נזכיר בהקשר זה, כי נוסף על דוח הביקורת השנתי, המונח על שולחן הכנסת לפי סעיף 16 לחוק מבקר המדינה, התשי"</w:t>
      </w:r>
      <w:r>
        <w:rPr>
          <w:rFonts w:cs="David" w:hint="cs"/>
          <w:szCs w:val="24"/>
          <w:rtl/>
        </w:rPr>
        <w:t>ח-1958 [נוסח משולב], ערך משרד מבקר המדינה במהלך השנה האחרונה ביקורות בזמן אמת על שורה של נושאים שבראש סדר היום הציבורי, ובכלל זה הביקורת המקיפה שנעשתה בעקבות מלחמת לבנון השנייה, בדגש על מוכנות העורף והטיפול בו, וטיפולו השוטף של המשרד בשחיתות הציבורית ובטוה</w:t>
      </w:r>
      <w:r>
        <w:rPr>
          <w:rFonts w:cs="David" w:hint="cs"/>
          <w:szCs w:val="24"/>
          <w:rtl/>
        </w:rPr>
        <w:t>ר המידות בשירות הציבורי. דגש נוסף ניתן לביקורות המעקב, שהן כלי מרכזי בפיקוח על יישום ממצאי הביקורת ובהפיכת הביקורת לאפקטיבית. אציין בהקשר זה את ביקורת המעקב בנושא "סל שירותי הבריאות" - נושא שעמד השנה בראש סדר היום הציבורי נוכח מאבקם של חולים במחלות קשות וס</w:t>
      </w:r>
      <w:r>
        <w:rPr>
          <w:rFonts w:cs="David" w:hint="cs"/>
          <w:szCs w:val="24"/>
          <w:rtl/>
        </w:rPr>
        <w:t xml:space="preserve">ופניות לשינוי הרכב הסל. </w:t>
      </w:r>
    </w:p>
    <w:p w:rsidR="00000000">
      <w:pPr>
        <w:spacing w:line="320" w:lineRule="exact"/>
        <w:rPr>
          <w:rFonts w:cs="David" w:hint="cs"/>
          <w:szCs w:val="24"/>
          <w:rtl/>
        </w:rPr>
      </w:pPr>
      <w:r>
        <w:rPr>
          <w:rFonts w:cs="David" w:hint="cs"/>
          <w:szCs w:val="24"/>
          <w:rtl/>
        </w:rPr>
        <w:t>לצד הביקורת בנושאים מידיים הקפיד משרד מבקר המדינה על עשיית ביקורות בנושאים מערכתיים בעלי השלכות עומק על השירות הציבורי ועל החברה בכללותה. דוגמאות לביקורות אלה הן הביקורת בנושא "הצורך בהסדר מקיף בדבר סדרי ניהולם של תאגידים סטטוטוריי</w:t>
      </w:r>
      <w:r>
        <w:rPr>
          <w:rFonts w:cs="David" w:hint="cs"/>
          <w:szCs w:val="24"/>
          <w:rtl/>
        </w:rPr>
        <w:t xml:space="preserve">ם" והביקורת בנושא "הטלת קנסות מינהליים על עבירות מס הכנסה". דגש מיוחד ניתן כמובן לנושאים הקשורים באוכלוסיות חלשות ובזכויותיהן, ואבקש לציין שני דוחות בעלי חשיבות </w:t>
      </w:r>
      <w:r>
        <w:rPr>
          <w:rFonts w:cs="David" w:hint="cs"/>
          <w:szCs w:val="24"/>
          <w:rtl/>
        </w:rPr>
        <w:t>מיוחדת: הדוח בנושא "שיקום נכי נפש בקהילה", העוסק באוכלוסייה חלשה במיוחד, שבביקורת נמצא כי הטיפו</w:t>
      </w:r>
      <w:r>
        <w:rPr>
          <w:rFonts w:cs="David" w:hint="cs"/>
          <w:szCs w:val="24"/>
          <w:rtl/>
        </w:rPr>
        <w:t xml:space="preserve">ל בה לוקה בחסר לאורך זמן, והדוח בנושא "היערכות המשטרה ליישום חוק זכויות נפגעי עבירה". </w:t>
      </w:r>
    </w:p>
    <w:p w:rsidR="00000000">
      <w:pPr>
        <w:spacing w:line="320" w:lineRule="exact"/>
        <w:rPr>
          <w:rFonts w:cs="David" w:hint="cs"/>
          <w:szCs w:val="24"/>
          <w:rtl/>
        </w:rPr>
      </w:pPr>
      <w:r>
        <w:rPr>
          <w:rFonts w:cs="David" w:hint="cs"/>
          <w:szCs w:val="24"/>
          <w:rtl/>
        </w:rPr>
        <w:t>הקורא המעיין בפרקי הדוח יוכל למצוא בהם את הליקויים שהעלתה הביקורת בנושאים השונים, וכן את הצעות משרד מבקר המדינה לטיפול בליקויים אלה. על הגופים המבוקרים מוטלת החובה לפעול</w:t>
      </w:r>
      <w:r>
        <w:rPr>
          <w:rFonts w:cs="David" w:hint="cs"/>
          <w:szCs w:val="24"/>
          <w:rtl/>
        </w:rPr>
        <w:t xml:space="preserve"> בהקדם וביסודיות לתיקון הליקויים שהתגלו בהם. משרד מבקר המדינה, מצדו, ימשיך לבצע את המשימה שהוטלה עליו בחוק יסוד: מבקר המדינה - לבקר את </w:t>
      </w:r>
      <w:r>
        <w:rPr>
          <w:rFonts w:cs="David"/>
          <w:szCs w:val="24"/>
          <w:rtl/>
        </w:rPr>
        <w:t>חוקיות הפעולות, טוהר המידות, הניהול התקין, היעילות והח</w:t>
      </w:r>
      <w:r>
        <w:rPr>
          <w:rFonts w:cs="David" w:hint="cs"/>
          <w:szCs w:val="24"/>
          <w:rtl/>
        </w:rPr>
        <w:t>י</w:t>
      </w:r>
      <w:r>
        <w:rPr>
          <w:rFonts w:cs="David"/>
          <w:szCs w:val="24"/>
          <w:rtl/>
        </w:rPr>
        <w:t>סכון של הגופים המבוקרים, וכל עני</w:t>
      </w:r>
      <w:r>
        <w:rPr>
          <w:rFonts w:cs="David" w:hint="cs"/>
          <w:szCs w:val="24"/>
          <w:rtl/>
        </w:rPr>
        <w:t>י</w:t>
      </w:r>
      <w:r>
        <w:rPr>
          <w:rFonts w:cs="David"/>
          <w:szCs w:val="24"/>
          <w:rtl/>
        </w:rPr>
        <w:t>ן אחר שיראה בו צורך</w:t>
      </w:r>
      <w:r>
        <w:rPr>
          <w:rFonts w:cs="David" w:hint="cs"/>
          <w:szCs w:val="24"/>
          <w:rtl/>
        </w:rPr>
        <w:t>, וזאת באורח י</w:t>
      </w:r>
      <w:r>
        <w:rPr>
          <w:rFonts w:cs="David" w:hint="cs"/>
          <w:szCs w:val="24"/>
          <w:rtl/>
        </w:rPr>
        <w:t>סודי, ללא מורא וללא משוא פנים, ולטובת האינטרס הציבורי.</w:t>
      </w:r>
    </w:p>
    <w:p w:rsidR="00000000">
      <w:pPr>
        <w:spacing w:line="320" w:lineRule="exact"/>
        <w:rPr>
          <w:rFonts w:cs="David" w:hint="cs"/>
          <w:szCs w:val="24"/>
          <w:rtl/>
        </w:rPr>
      </w:pPr>
    </w:p>
    <w:p w:rsidR="00000000">
      <w:pPr>
        <w:spacing w:after="0" w:line="320" w:lineRule="exact"/>
        <w:rPr>
          <w:rFonts w:cs="David" w:hint="cs"/>
          <w:szCs w:val="24"/>
          <w:rtl/>
        </w:rPr>
      </w:pPr>
    </w:p>
    <w:p w:rsidR="00000000">
      <w:pPr>
        <w:tabs>
          <w:tab w:val="center" w:pos="5218"/>
        </w:tabs>
        <w:spacing w:after="0" w:line="240" w:lineRule="atLeast"/>
        <w:rPr>
          <w:rFonts w:cs="David" w:hint="cs"/>
          <w:szCs w:val="24"/>
          <w:rtl/>
        </w:rPr>
      </w:pPr>
      <w:r>
        <w:rPr>
          <w:rFonts w:hint="cs"/>
          <w:rtl/>
        </w:rPr>
        <w:tab/>
      </w:r>
      <w:r>
        <w:rPr>
          <w:noProof/>
        </w:rPr>
        <w:drawing>
          <wp:inline distT="0" distB="0" distL="0" distR="0">
            <wp:extent cx="1600200" cy="1000125"/>
            <wp:effectExtent l="0" t="0" r="0" b="9525"/>
            <wp:docPr id="3" name="תמונה 3" descr="C:\WINDOWS\Desktop\צילום של מיכה לינדנשטראוס\חתימה 1\חתימה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01134" name="Picture 3" descr="C:\WINDOWS\Desktop\צילום של מיכה לינדנשטראוס\חתימה 1\חתימה_TIFF.t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000125"/>
                    </a:xfrm>
                    <a:prstGeom prst="rect">
                      <a:avLst/>
                    </a:prstGeom>
                    <a:noFill/>
                    <a:ln>
                      <a:noFill/>
                    </a:ln>
                  </pic:spPr>
                </pic:pic>
              </a:graphicData>
            </a:graphic>
          </wp:inline>
        </w:drawing>
      </w:r>
    </w:p>
    <w:p w:rsidR="00000000">
      <w:pPr>
        <w:tabs>
          <w:tab w:val="center" w:pos="5218"/>
        </w:tabs>
        <w:spacing w:after="0" w:line="280" w:lineRule="exact"/>
        <w:rPr>
          <w:rFonts w:cs="David" w:hint="cs"/>
          <w:b/>
          <w:bCs/>
          <w:szCs w:val="24"/>
          <w:rtl/>
        </w:rPr>
      </w:pPr>
      <w:r>
        <w:rPr>
          <w:rFonts w:cs="David" w:hint="cs"/>
          <w:b/>
          <w:bCs/>
          <w:szCs w:val="24"/>
          <w:rtl/>
        </w:rPr>
        <w:tab/>
        <w:t>מיכה לינדנשטראוס</w:t>
      </w:r>
    </w:p>
    <w:p w:rsidR="00000000">
      <w:pPr>
        <w:tabs>
          <w:tab w:val="center" w:pos="5218"/>
        </w:tabs>
        <w:spacing w:after="0" w:line="280" w:lineRule="exact"/>
        <w:rPr>
          <w:rFonts w:cs="David" w:hint="cs"/>
          <w:szCs w:val="24"/>
          <w:rtl/>
        </w:rPr>
      </w:pPr>
      <w:r>
        <w:rPr>
          <w:rFonts w:cs="David" w:hint="cs"/>
          <w:szCs w:val="24"/>
          <w:rtl/>
        </w:rPr>
        <w:tab/>
        <w:t>מבקר המדינה</w:t>
      </w:r>
    </w:p>
    <w:p w:rsidR="00000000">
      <w:pPr>
        <w:tabs>
          <w:tab w:val="center" w:pos="5218"/>
        </w:tabs>
        <w:spacing w:after="0" w:line="280" w:lineRule="exact"/>
        <w:rPr>
          <w:rFonts w:cs="David" w:hint="cs"/>
          <w:szCs w:val="24"/>
          <w:rtl/>
        </w:rPr>
      </w:pPr>
      <w:r>
        <w:rPr>
          <w:rFonts w:cs="David" w:hint="cs"/>
          <w:szCs w:val="24"/>
          <w:rtl/>
        </w:rPr>
        <w:tab/>
        <w:t>ונציב תלונות הציבור</w:t>
      </w:r>
    </w:p>
    <w:p w:rsidR="00000000">
      <w:pPr>
        <w:tabs>
          <w:tab w:val="left" w:pos="898"/>
        </w:tabs>
        <w:spacing w:after="0" w:line="280" w:lineRule="exact"/>
        <w:rPr>
          <w:rFonts w:cs="David" w:hint="cs"/>
          <w:sz w:val="22"/>
          <w:rtl/>
        </w:rPr>
      </w:pPr>
      <w:r>
        <w:rPr>
          <w:rFonts w:cs="David" w:hint="cs"/>
          <w:sz w:val="22"/>
          <w:rtl/>
        </w:rPr>
        <w:t xml:space="preserve">ירושלים, </w:t>
      </w:r>
      <w:r>
        <w:rPr>
          <w:rFonts w:cs="David" w:hint="cs"/>
          <w:sz w:val="22"/>
          <w:rtl/>
        </w:rPr>
        <w:tab/>
        <w:t>אייר התשס"ז</w:t>
      </w:r>
    </w:p>
    <w:p w:rsidR="00000000">
      <w:pPr>
        <w:tabs>
          <w:tab w:val="left" w:pos="898"/>
        </w:tabs>
        <w:spacing w:after="0" w:line="280" w:lineRule="exact"/>
        <w:rPr>
          <w:rFonts w:cs="David" w:hint="cs"/>
          <w:sz w:val="22"/>
          <w:rtl/>
        </w:rPr>
      </w:pPr>
      <w:r>
        <w:rPr>
          <w:rFonts w:cs="David" w:hint="cs"/>
          <w:sz w:val="22"/>
          <w:rtl/>
        </w:rPr>
        <w:tab/>
        <w:t>מאי 2007</w:t>
      </w:r>
    </w:p>
    <w:p w:rsidR="00000000">
      <w:pPr>
        <w:pStyle w:val="KOT1"/>
        <w:tabs>
          <w:tab w:val="right" w:leader="dot" w:pos="6237"/>
          <w:tab w:val="left" w:pos="6350"/>
        </w:tabs>
        <w:spacing w:after="400"/>
        <w:ind w:right="851"/>
        <w:rPr>
          <w:rFonts w:hint="cs"/>
          <w:sz w:val="40"/>
          <w:szCs w:val="40"/>
          <w:rtl/>
        </w:rPr>
      </w:pPr>
      <w:r>
        <w:rPr>
          <w:rFonts w:cs="FrankRuehl"/>
          <w:sz w:val="22"/>
          <w:rtl/>
        </w:rPr>
        <w:br w:type="page"/>
      </w:r>
      <w:r>
        <w:rPr>
          <w:rFonts w:hint="cs"/>
          <w:sz w:val="40"/>
          <w:szCs w:val="40"/>
          <w:rtl/>
        </w:rPr>
        <w:t>תוכן העניינים</w:t>
      </w:r>
    </w:p>
    <w:p w:rsidR="00000000">
      <w:pPr>
        <w:pStyle w:val="KOT2"/>
        <w:tabs>
          <w:tab w:val="right" w:leader="dot" w:pos="6237"/>
          <w:tab w:val="left" w:pos="6350"/>
        </w:tabs>
        <w:spacing w:after="240"/>
        <w:ind w:right="851"/>
        <w:rPr>
          <w:rFonts w:hint="cs"/>
          <w:rtl/>
        </w:rPr>
      </w:pPr>
      <w:r>
        <w:rPr>
          <w:rFonts w:hint="cs"/>
          <w:rtl/>
        </w:rPr>
        <w:t>פרק ראשון - כנסת ישראל</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כנסת ישראל</w:t>
      </w:r>
    </w:p>
    <w:p w:rsidR="00000000">
      <w:pPr>
        <w:tabs>
          <w:tab w:val="right" w:leader="dot" w:pos="6237"/>
          <w:tab w:val="left" w:pos="6350"/>
        </w:tabs>
        <w:ind w:left="397" w:right="851"/>
        <w:jc w:val="left"/>
        <w:rPr>
          <w:rFonts w:cs="David" w:hint="cs"/>
          <w:szCs w:val="24"/>
          <w:rtl/>
        </w:rPr>
      </w:pPr>
      <w:r>
        <w:rPr>
          <w:rFonts w:cs="David" w:hint="cs"/>
          <w:szCs w:val="24"/>
          <w:rtl/>
        </w:rPr>
        <w:t>סוגיות במינהל הכנסת</w:t>
      </w:r>
      <w:r>
        <w:rPr>
          <w:rFonts w:cs="David"/>
          <w:szCs w:val="24"/>
          <w:rtl/>
        </w:rPr>
        <w:tab/>
      </w:r>
      <w:r>
        <w:rPr>
          <w:rFonts w:cs="David"/>
          <w:szCs w:val="24"/>
          <w:rtl/>
        </w:rPr>
        <w:tab/>
      </w:r>
      <w:r>
        <w:rPr>
          <w:rFonts w:cs="David" w:hint="cs"/>
          <w:szCs w:val="24"/>
          <w:rtl/>
        </w:rPr>
        <w:t>3</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before="360" w:after="120"/>
        <w:ind w:right="851"/>
        <w:rPr>
          <w:rFonts w:hint="cs"/>
          <w:rtl/>
        </w:rPr>
      </w:pPr>
      <w:r>
        <w:rPr>
          <w:rFonts w:hint="cs"/>
          <w:rtl/>
        </w:rPr>
        <w:t>פרק שני - מטלות רוחב</w:t>
      </w:r>
    </w:p>
    <w:p w:rsidR="00000000">
      <w:pPr>
        <w:tabs>
          <w:tab w:val="right" w:leader="dot" w:pos="6237"/>
          <w:tab w:val="left" w:pos="6350"/>
        </w:tabs>
        <w:spacing w:line="360" w:lineRule="exact"/>
        <w:ind w:right="851"/>
        <w:jc w:val="left"/>
        <w:rPr>
          <w:rFonts w:cs="David" w:hint="cs"/>
          <w:szCs w:val="24"/>
          <w:rtl/>
        </w:rPr>
      </w:pPr>
      <w:bookmarkStart w:id="1" w:name="_Toc153783096"/>
      <w:bookmarkStart w:id="2" w:name="_Toc153783722"/>
      <w:bookmarkStart w:id="3" w:name="_Toc153784817"/>
      <w:r>
        <w:rPr>
          <w:rFonts w:cs="David" w:hint="cs"/>
          <w:b/>
          <w:bCs/>
          <w:sz w:val="28"/>
          <w:szCs w:val="28"/>
          <w:rtl/>
          <w:lang w:eastAsia="he-IL"/>
        </w:rPr>
        <w:t>כללים והסדרים למני</w:t>
      </w:r>
      <w:r>
        <w:rPr>
          <w:rFonts w:cs="David" w:hint="cs"/>
          <w:b/>
          <w:bCs/>
          <w:sz w:val="28"/>
          <w:szCs w:val="28"/>
          <w:rtl/>
          <w:lang w:eastAsia="he-IL"/>
        </w:rPr>
        <w:t>עת ניגוד עניינים ואכיפתם</w:t>
      </w:r>
      <w:bookmarkEnd w:id="1"/>
      <w:bookmarkEnd w:id="2"/>
      <w:bookmarkEnd w:id="3"/>
      <w:r>
        <w:rPr>
          <w:rFonts w:cs="David" w:hint="cs"/>
          <w:szCs w:val="24"/>
          <w:rtl/>
        </w:rPr>
        <w:tab/>
      </w:r>
      <w:r>
        <w:rPr>
          <w:rFonts w:cs="David" w:hint="cs"/>
          <w:szCs w:val="24"/>
          <w:rtl/>
        </w:rPr>
        <w:tab/>
        <w:t>27</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תופעת ה"מאכערים" בשירות הציבורי</w:t>
      </w:r>
      <w:r>
        <w:rPr>
          <w:rFonts w:cs="David" w:hint="cs"/>
          <w:szCs w:val="24"/>
          <w:rtl/>
        </w:rPr>
        <w:tab/>
      </w:r>
      <w:r>
        <w:rPr>
          <w:rFonts w:cs="David" w:hint="cs"/>
          <w:szCs w:val="24"/>
          <w:rtl/>
        </w:rPr>
        <w:tab/>
        <w:t>99</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מעקב ובקרה על החברות הממשלתיות</w:t>
      </w:r>
      <w:r>
        <w:rPr>
          <w:rFonts w:cs="David" w:hint="cs"/>
          <w:szCs w:val="24"/>
          <w:rtl/>
        </w:rPr>
        <w:tab/>
      </w:r>
      <w:r>
        <w:rPr>
          <w:rFonts w:cs="David" w:hint="cs"/>
          <w:szCs w:val="24"/>
          <w:rtl/>
        </w:rPr>
        <w:tab/>
        <w:t>115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סדרי בחינה ותיקון של ליקויים שהעלה משרד מבקר המדינה</w:t>
      </w:r>
      <w:r>
        <w:rPr>
          <w:rFonts w:cs="David" w:hint="cs"/>
          <w:szCs w:val="24"/>
          <w:rtl/>
        </w:rPr>
        <w:tab/>
      </w:r>
      <w:r>
        <w:rPr>
          <w:rFonts w:cs="David" w:hint="cs"/>
          <w:szCs w:val="24"/>
          <w:rtl/>
        </w:rPr>
        <w:tab/>
        <w:t>157</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before="360" w:after="120"/>
        <w:ind w:right="851"/>
        <w:rPr>
          <w:rFonts w:hint="cs"/>
          <w:rtl/>
        </w:rPr>
      </w:pPr>
      <w:r>
        <w:rPr>
          <w:rFonts w:hint="cs"/>
          <w:rtl/>
        </w:rPr>
        <w:t>פרק שלישי - משרדי ממשלה</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ראש הממשלה</w:t>
      </w:r>
      <w:r>
        <w:rPr>
          <w:rFonts w:cs="David"/>
          <w:szCs w:val="24"/>
          <w:rtl/>
        </w:rPr>
        <w:tab/>
      </w:r>
      <w:r>
        <w:rPr>
          <w:rFonts w:cs="David"/>
          <w:szCs w:val="24"/>
          <w:rtl/>
        </w:rPr>
        <w:tab/>
      </w:r>
      <w:r>
        <w:rPr>
          <w:rFonts w:cs="David" w:hint="cs"/>
          <w:szCs w:val="24"/>
          <w:rtl/>
        </w:rPr>
        <w:t>195</w:t>
      </w:r>
    </w:p>
    <w:p w:rsidR="00000000">
      <w:pPr>
        <w:tabs>
          <w:tab w:val="right" w:leader="dot" w:pos="6237"/>
          <w:tab w:val="left" w:pos="6350"/>
        </w:tabs>
        <w:ind w:left="397" w:right="851"/>
        <w:jc w:val="left"/>
        <w:rPr>
          <w:rFonts w:cs="David" w:hint="cs"/>
          <w:szCs w:val="24"/>
          <w:rtl/>
        </w:rPr>
      </w:pPr>
      <w:r>
        <w:rPr>
          <w:rFonts w:cs="David" w:hint="cs"/>
          <w:szCs w:val="24"/>
          <w:rtl/>
        </w:rPr>
        <w:t>היבטים בניהול שירותי הדת</w:t>
      </w:r>
      <w:r>
        <w:rPr>
          <w:rFonts w:cs="David" w:hint="cs"/>
          <w:szCs w:val="24"/>
          <w:rtl/>
        </w:rPr>
        <w:tab/>
      </w:r>
      <w:r>
        <w:rPr>
          <w:rFonts w:cs="David" w:hint="cs"/>
          <w:szCs w:val="24"/>
          <w:rtl/>
        </w:rPr>
        <w:tab/>
        <w:t>197</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שימור רשומו</w:t>
      </w:r>
      <w:r>
        <w:rPr>
          <w:rFonts w:cs="David" w:hint="cs"/>
          <w:szCs w:val="24"/>
          <w:rtl/>
        </w:rPr>
        <w:t>ת אלקטרוני</w:t>
      </w:r>
      <w:r>
        <w:rPr>
          <w:rFonts w:cs="David" w:hint="cs"/>
          <w:szCs w:val="24"/>
          <w:rtl/>
        </w:rPr>
        <w:tab/>
      </w:r>
      <w:r>
        <w:rPr>
          <w:rFonts w:cs="David" w:hint="cs"/>
          <w:szCs w:val="24"/>
          <w:rtl/>
        </w:rPr>
        <w:tab/>
        <w:t>217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האוצר</w:t>
      </w:r>
      <w:r>
        <w:rPr>
          <w:rFonts w:cs="David"/>
          <w:szCs w:val="24"/>
          <w:rtl/>
        </w:rPr>
        <w:tab/>
      </w:r>
      <w:r>
        <w:rPr>
          <w:rFonts w:cs="David"/>
          <w:szCs w:val="24"/>
          <w:rtl/>
        </w:rPr>
        <w:tab/>
      </w:r>
      <w:r>
        <w:rPr>
          <w:rFonts w:cs="David" w:hint="cs"/>
          <w:szCs w:val="24"/>
          <w:rtl/>
        </w:rPr>
        <w:t>229</w:t>
      </w:r>
    </w:p>
    <w:p w:rsidR="00000000">
      <w:pPr>
        <w:tabs>
          <w:tab w:val="right" w:leader="dot" w:pos="6237"/>
          <w:tab w:val="left" w:pos="6350"/>
        </w:tabs>
        <w:ind w:left="397" w:right="851"/>
        <w:jc w:val="left"/>
        <w:rPr>
          <w:rFonts w:cs="David" w:hint="cs"/>
          <w:szCs w:val="24"/>
          <w:rtl/>
        </w:rPr>
      </w:pPr>
      <w:r>
        <w:rPr>
          <w:rFonts w:cs="David" w:hint="cs"/>
          <w:b/>
          <w:bCs/>
          <w:szCs w:val="24"/>
          <w:rtl/>
        </w:rPr>
        <w:t>אגף התקציבים</w:t>
      </w:r>
    </w:p>
    <w:p w:rsidR="00000000">
      <w:pPr>
        <w:tabs>
          <w:tab w:val="right" w:leader="dot" w:pos="6237"/>
          <w:tab w:val="left" w:pos="6350"/>
        </w:tabs>
        <w:ind w:left="794" w:right="851"/>
        <w:jc w:val="left"/>
        <w:rPr>
          <w:rFonts w:cs="David" w:hint="cs"/>
          <w:szCs w:val="24"/>
          <w:rtl/>
        </w:rPr>
      </w:pPr>
      <w:r>
        <w:rPr>
          <w:rFonts w:cs="David" w:hint="cs"/>
          <w:szCs w:val="24"/>
          <w:rtl/>
        </w:rPr>
        <w:t>ניהול העודפים והרזרבה הכללית בתקציב המדינה</w:t>
      </w:r>
      <w:r>
        <w:rPr>
          <w:rFonts w:cs="David" w:hint="cs"/>
          <w:szCs w:val="24"/>
          <w:rtl/>
        </w:rPr>
        <w:tab/>
      </w:r>
      <w:r>
        <w:rPr>
          <w:rFonts w:cs="David" w:hint="cs"/>
          <w:szCs w:val="24"/>
          <w:rtl/>
        </w:rPr>
        <w:tab/>
        <w:t>231</w:t>
      </w:r>
    </w:p>
    <w:p w:rsidR="00000000">
      <w:pPr>
        <w:keepNext/>
        <w:tabs>
          <w:tab w:val="right" w:leader="dot" w:pos="6237"/>
          <w:tab w:val="left" w:pos="6350"/>
        </w:tabs>
        <w:ind w:left="397" w:right="851"/>
        <w:jc w:val="left"/>
        <w:rPr>
          <w:rFonts w:cs="David" w:hint="cs"/>
          <w:szCs w:val="24"/>
          <w:rtl/>
        </w:rPr>
      </w:pPr>
      <w:r>
        <w:rPr>
          <w:rFonts w:cs="David" w:hint="cs"/>
          <w:b/>
          <w:bCs/>
          <w:szCs w:val="24"/>
          <w:rtl/>
        </w:rPr>
        <w:t>אגף החשב הכללי</w:t>
      </w:r>
    </w:p>
    <w:p w:rsidR="00000000">
      <w:pPr>
        <w:tabs>
          <w:tab w:val="right" w:leader="dot" w:pos="6237"/>
          <w:tab w:val="left" w:pos="6350"/>
        </w:tabs>
        <w:ind w:left="794" w:right="851"/>
        <w:jc w:val="left"/>
        <w:rPr>
          <w:rFonts w:cs="David" w:hint="cs"/>
          <w:szCs w:val="24"/>
          <w:rtl/>
        </w:rPr>
      </w:pPr>
      <w:r>
        <w:rPr>
          <w:rFonts w:cs="David" w:hint="cs"/>
          <w:szCs w:val="24"/>
          <w:rtl/>
        </w:rPr>
        <w:t>מאזן המדינה ליום 31.12.05 - התחייבויות תלויות</w:t>
      </w:r>
      <w:r>
        <w:rPr>
          <w:rFonts w:cs="David" w:hint="cs"/>
          <w:szCs w:val="24"/>
          <w:rtl/>
        </w:rPr>
        <w:tab/>
      </w:r>
      <w:r>
        <w:rPr>
          <w:rFonts w:cs="David" w:hint="cs"/>
          <w:szCs w:val="24"/>
          <w:rtl/>
        </w:rPr>
        <w:tab/>
        <w:t>251</w:t>
      </w:r>
    </w:p>
    <w:p w:rsidR="00000000">
      <w:pPr>
        <w:tabs>
          <w:tab w:val="right" w:leader="dot" w:pos="6237"/>
          <w:tab w:val="left" w:pos="6350"/>
        </w:tabs>
        <w:ind w:left="794" w:right="851"/>
        <w:jc w:val="left"/>
        <w:rPr>
          <w:rFonts w:cs="David" w:hint="cs"/>
          <w:szCs w:val="24"/>
          <w:rtl/>
        </w:rPr>
      </w:pPr>
      <w:r>
        <w:rPr>
          <w:rFonts w:cs="David" w:hint="cs"/>
          <w:szCs w:val="24"/>
          <w:rtl/>
        </w:rPr>
        <w:t>הפיקוח והבקרה על חברה א'</w:t>
      </w:r>
      <w:r>
        <w:rPr>
          <w:rFonts w:cs="David" w:hint="cs"/>
          <w:szCs w:val="24"/>
          <w:rtl/>
        </w:rPr>
        <w:tab/>
      </w:r>
      <w:r>
        <w:rPr>
          <w:rFonts w:cs="David" w:hint="cs"/>
          <w:szCs w:val="24"/>
          <w:rtl/>
        </w:rPr>
        <w:tab/>
        <w:t>277</w:t>
      </w:r>
    </w:p>
    <w:p w:rsidR="00000000">
      <w:pPr>
        <w:keepNext/>
        <w:tabs>
          <w:tab w:val="right" w:leader="dot" w:pos="6237"/>
          <w:tab w:val="left" w:pos="6350"/>
        </w:tabs>
        <w:ind w:left="397" w:right="851"/>
        <w:jc w:val="left"/>
        <w:rPr>
          <w:rFonts w:cs="David" w:hint="cs"/>
          <w:szCs w:val="24"/>
          <w:rtl/>
        </w:rPr>
      </w:pPr>
      <w:r>
        <w:rPr>
          <w:rFonts w:cs="David" w:hint="cs"/>
          <w:b/>
          <w:bCs/>
          <w:szCs w:val="24"/>
          <w:rtl/>
        </w:rPr>
        <w:t>רשות החברות הממשלתיות</w:t>
      </w:r>
    </w:p>
    <w:p w:rsidR="00000000">
      <w:pPr>
        <w:tabs>
          <w:tab w:val="right" w:leader="dot" w:pos="6237"/>
          <w:tab w:val="left" w:pos="6350"/>
        </w:tabs>
        <w:ind w:left="794" w:right="851"/>
        <w:jc w:val="left"/>
        <w:rPr>
          <w:rFonts w:cs="David" w:hint="cs"/>
          <w:szCs w:val="24"/>
          <w:rtl/>
        </w:rPr>
      </w:pPr>
      <w:r>
        <w:rPr>
          <w:rFonts w:cs="David" w:hint="cs"/>
          <w:szCs w:val="24"/>
          <w:rtl/>
        </w:rPr>
        <w:t>היעדר הסדר מקיף בדבר סדרי ניהולם של תאגידים ס</w:t>
      </w:r>
      <w:r>
        <w:rPr>
          <w:rFonts w:cs="David" w:hint="cs"/>
          <w:szCs w:val="24"/>
          <w:rtl/>
        </w:rPr>
        <w:t>טטוטוריים</w:t>
      </w:r>
      <w:r>
        <w:rPr>
          <w:rFonts w:cs="David" w:hint="cs"/>
          <w:szCs w:val="24"/>
          <w:rtl/>
        </w:rPr>
        <w:tab/>
      </w:r>
      <w:r>
        <w:rPr>
          <w:rFonts w:cs="David" w:hint="cs"/>
          <w:szCs w:val="24"/>
          <w:rtl/>
        </w:rPr>
        <w:tab/>
        <w:t>279</w:t>
      </w:r>
    </w:p>
    <w:p w:rsidR="00000000">
      <w:pPr>
        <w:tabs>
          <w:tab w:val="right" w:leader="dot" w:pos="6237"/>
          <w:tab w:val="left" w:pos="6350"/>
        </w:tabs>
        <w:ind w:left="397" w:right="851"/>
        <w:jc w:val="left"/>
        <w:rPr>
          <w:rFonts w:cs="David" w:hint="cs"/>
          <w:szCs w:val="24"/>
          <w:rtl/>
        </w:rPr>
      </w:pPr>
      <w:r>
        <w:rPr>
          <w:rFonts w:cs="David" w:hint="cs"/>
          <w:b/>
          <w:bCs/>
          <w:szCs w:val="24"/>
          <w:rtl/>
        </w:rPr>
        <w:t>רשות המסים בישראל</w:t>
      </w:r>
    </w:p>
    <w:p w:rsidR="00000000">
      <w:pPr>
        <w:tabs>
          <w:tab w:val="right" w:leader="dot" w:pos="6237"/>
          <w:tab w:val="left" w:pos="6350"/>
        </w:tabs>
        <w:ind w:left="794" w:right="851"/>
        <w:jc w:val="left"/>
        <w:rPr>
          <w:rFonts w:cs="David" w:hint="cs"/>
          <w:szCs w:val="24"/>
          <w:rtl/>
        </w:rPr>
      </w:pPr>
      <w:r>
        <w:rPr>
          <w:rFonts w:cs="David" w:hint="cs"/>
          <w:szCs w:val="24"/>
          <w:rtl/>
        </w:rPr>
        <w:t>הטלת קנסות מינהליים על עבירות מס הכנסה</w:t>
      </w:r>
      <w:r>
        <w:rPr>
          <w:rFonts w:cs="David" w:hint="cs"/>
          <w:szCs w:val="24"/>
          <w:rtl/>
        </w:rPr>
        <w:tab/>
      </w:r>
      <w:r>
        <w:rPr>
          <w:rFonts w:cs="David" w:hint="cs"/>
          <w:szCs w:val="24"/>
          <w:rtl/>
        </w:rPr>
        <w:tab/>
        <w:t>287</w:t>
      </w:r>
    </w:p>
    <w:p w:rsidR="00000000">
      <w:pPr>
        <w:tabs>
          <w:tab w:val="right" w:leader="dot" w:pos="6237"/>
          <w:tab w:val="left" w:pos="6350"/>
        </w:tabs>
        <w:ind w:left="794" w:right="851"/>
        <w:jc w:val="left"/>
        <w:rPr>
          <w:rFonts w:cs="David" w:hint="cs"/>
          <w:szCs w:val="24"/>
          <w:rtl/>
        </w:rPr>
      </w:pPr>
      <w:r>
        <w:rPr>
          <w:rFonts w:cs="David" w:hint="cs"/>
          <w:szCs w:val="24"/>
          <w:rtl/>
        </w:rPr>
        <w:t>ההתמודדות עם תופעת החשבוניות הפיקטיביות</w:t>
      </w:r>
      <w:r>
        <w:rPr>
          <w:rFonts w:cs="David" w:hint="cs"/>
          <w:szCs w:val="24"/>
          <w:rtl/>
        </w:rPr>
        <w:tab/>
      </w:r>
      <w:r>
        <w:rPr>
          <w:rFonts w:cs="David" w:hint="cs"/>
          <w:szCs w:val="24"/>
          <w:rtl/>
        </w:rPr>
        <w:tab/>
        <w:t>295</w:t>
      </w:r>
    </w:p>
    <w:p w:rsidR="00000000">
      <w:pPr>
        <w:tabs>
          <w:tab w:val="right" w:leader="dot" w:pos="6237"/>
          <w:tab w:val="left" w:pos="6350"/>
        </w:tabs>
        <w:ind w:left="794" w:right="851"/>
        <w:jc w:val="left"/>
        <w:rPr>
          <w:rFonts w:cs="David" w:hint="cs"/>
          <w:szCs w:val="24"/>
          <w:rtl/>
        </w:rPr>
      </w:pPr>
      <w:r>
        <w:rPr>
          <w:rFonts w:cs="David" w:hint="cs"/>
          <w:szCs w:val="24"/>
          <w:rtl/>
        </w:rPr>
        <w:t>רכישות רשות המסים בישראל לקראת המעבר לקריית הממשלה בתל אביב</w:t>
      </w:r>
      <w:r>
        <w:rPr>
          <w:rFonts w:cs="David" w:hint="cs"/>
          <w:szCs w:val="24"/>
          <w:rtl/>
        </w:rPr>
        <w:tab/>
      </w:r>
      <w:r>
        <w:rPr>
          <w:rFonts w:cs="David" w:hint="cs"/>
          <w:szCs w:val="24"/>
          <w:rtl/>
        </w:rPr>
        <w:tab/>
        <w:t>303</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המשרד לביטחון הפנים</w:t>
      </w:r>
    </w:p>
    <w:p w:rsidR="00000000">
      <w:pPr>
        <w:tabs>
          <w:tab w:val="right" w:leader="dot" w:pos="6237"/>
          <w:tab w:val="left" w:pos="6350"/>
        </w:tabs>
        <w:ind w:left="397" w:right="851"/>
        <w:jc w:val="left"/>
        <w:rPr>
          <w:rFonts w:cs="David" w:hint="cs"/>
          <w:b/>
          <w:bCs/>
          <w:szCs w:val="24"/>
          <w:rtl/>
        </w:rPr>
      </w:pPr>
      <w:r>
        <w:rPr>
          <w:rFonts w:cs="David" w:hint="cs"/>
          <w:b/>
          <w:bCs/>
          <w:szCs w:val="24"/>
          <w:rtl/>
        </w:rPr>
        <w:t>משטרת ישראל</w:t>
      </w:r>
    </w:p>
    <w:p w:rsidR="00000000">
      <w:pPr>
        <w:tabs>
          <w:tab w:val="right" w:leader="dot" w:pos="6237"/>
          <w:tab w:val="left" w:pos="6350"/>
        </w:tabs>
        <w:ind w:left="397" w:right="851"/>
        <w:jc w:val="left"/>
        <w:rPr>
          <w:rFonts w:cs="David" w:hint="cs"/>
          <w:szCs w:val="24"/>
          <w:rtl/>
        </w:rPr>
      </w:pPr>
      <w:r>
        <w:rPr>
          <w:rFonts w:cs="David" w:hint="cs"/>
          <w:szCs w:val="24"/>
          <w:rtl/>
        </w:rPr>
        <w:t>ההיערכות ליישום חוק זכויות נפגעי עביר</w:t>
      </w:r>
      <w:r>
        <w:rPr>
          <w:rFonts w:cs="David" w:hint="cs"/>
          <w:szCs w:val="24"/>
          <w:rtl/>
        </w:rPr>
        <w:t>ה, התשס"א-2001</w:t>
      </w:r>
      <w:r>
        <w:rPr>
          <w:rFonts w:cs="David" w:hint="cs"/>
          <w:szCs w:val="24"/>
          <w:rtl/>
        </w:rPr>
        <w:tab/>
      </w:r>
      <w:r>
        <w:rPr>
          <w:rFonts w:cs="David" w:hint="cs"/>
          <w:szCs w:val="24"/>
          <w:rtl/>
        </w:rPr>
        <w:tab/>
        <w:t>311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הבינוי והשיכון</w:t>
      </w:r>
      <w:r>
        <w:rPr>
          <w:rFonts w:cs="David"/>
          <w:szCs w:val="24"/>
          <w:rtl/>
        </w:rPr>
        <w:tab/>
      </w:r>
      <w:r>
        <w:rPr>
          <w:rFonts w:cs="David"/>
          <w:szCs w:val="24"/>
          <w:rtl/>
        </w:rPr>
        <w:tab/>
      </w:r>
      <w:r>
        <w:rPr>
          <w:rFonts w:cs="David" w:hint="cs"/>
          <w:szCs w:val="24"/>
          <w:rtl/>
        </w:rPr>
        <w:t>335</w:t>
      </w:r>
    </w:p>
    <w:p w:rsidR="00000000">
      <w:pPr>
        <w:tabs>
          <w:tab w:val="right" w:leader="dot" w:pos="6237"/>
          <w:tab w:val="left" w:pos="6350"/>
        </w:tabs>
        <w:ind w:left="397" w:right="851"/>
        <w:jc w:val="left"/>
        <w:rPr>
          <w:rFonts w:cs="David" w:hint="cs"/>
          <w:b/>
          <w:bCs/>
          <w:szCs w:val="24"/>
          <w:rtl/>
        </w:rPr>
      </w:pPr>
      <w:r>
        <w:rPr>
          <w:rFonts w:cs="David" w:hint="cs"/>
          <w:b/>
          <w:bCs/>
          <w:szCs w:val="24"/>
          <w:rtl/>
        </w:rPr>
        <w:t>מינהל מקרקעי ישראל</w:t>
      </w:r>
    </w:p>
    <w:p w:rsidR="00000000">
      <w:pPr>
        <w:tabs>
          <w:tab w:val="right" w:leader="dot" w:pos="6237"/>
          <w:tab w:val="left" w:pos="6350"/>
        </w:tabs>
        <w:ind w:left="397" w:right="851"/>
        <w:jc w:val="left"/>
        <w:rPr>
          <w:rFonts w:cs="David" w:hint="cs"/>
          <w:szCs w:val="24"/>
          <w:rtl/>
        </w:rPr>
      </w:pPr>
      <w:r>
        <w:rPr>
          <w:rFonts w:cs="David" w:hint="cs"/>
          <w:szCs w:val="24"/>
          <w:rtl/>
        </w:rPr>
        <w:t>כרייה וחציבה</w:t>
      </w:r>
      <w:r>
        <w:rPr>
          <w:rFonts w:cs="David" w:hint="cs"/>
          <w:szCs w:val="24"/>
          <w:rtl/>
        </w:rPr>
        <w:tab/>
      </w:r>
      <w:r>
        <w:rPr>
          <w:rFonts w:cs="David" w:hint="cs"/>
          <w:szCs w:val="24"/>
          <w:rtl/>
        </w:rPr>
        <w:tab/>
        <w:t>337</w:t>
      </w:r>
    </w:p>
    <w:p w:rsidR="00000000">
      <w:pPr>
        <w:tabs>
          <w:tab w:val="right" w:leader="dot" w:pos="6237"/>
          <w:tab w:val="left" w:pos="6350"/>
        </w:tabs>
        <w:ind w:left="397" w:right="851"/>
        <w:jc w:val="left"/>
        <w:rPr>
          <w:rFonts w:cs="David" w:hint="cs"/>
          <w:szCs w:val="24"/>
          <w:rtl/>
        </w:rPr>
      </w:pPr>
      <w:r>
        <w:rPr>
          <w:rFonts w:cs="David" w:hint="cs"/>
          <w:szCs w:val="24"/>
          <w:rtl/>
        </w:rPr>
        <w:t xml:space="preserve">חילופי קרקעות ומיזם מלונאי-מסחרי באזור הדולפינריום </w:t>
      </w:r>
      <w:r>
        <w:rPr>
          <w:rFonts w:cs="David"/>
          <w:szCs w:val="24"/>
          <w:rtl/>
        </w:rPr>
        <w:br/>
      </w:r>
      <w:r>
        <w:rPr>
          <w:rFonts w:cs="David" w:hint="cs"/>
          <w:szCs w:val="24"/>
          <w:rtl/>
        </w:rPr>
        <w:t>בתל אביב</w:t>
      </w:r>
      <w:r>
        <w:rPr>
          <w:rFonts w:cs="David" w:hint="cs"/>
          <w:szCs w:val="24"/>
          <w:rtl/>
        </w:rPr>
        <w:tab/>
      </w:r>
      <w:r>
        <w:rPr>
          <w:rFonts w:cs="David" w:hint="cs"/>
          <w:szCs w:val="24"/>
          <w:rtl/>
        </w:rPr>
        <w:tab/>
        <w:t>363</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הבריאות</w:t>
      </w:r>
      <w:r>
        <w:rPr>
          <w:rFonts w:cs="David"/>
          <w:szCs w:val="24"/>
          <w:rtl/>
        </w:rPr>
        <w:tab/>
      </w:r>
      <w:r>
        <w:rPr>
          <w:rFonts w:cs="David"/>
          <w:szCs w:val="24"/>
          <w:rtl/>
        </w:rPr>
        <w:tab/>
      </w:r>
      <w:r>
        <w:rPr>
          <w:rFonts w:cs="David" w:hint="cs"/>
          <w:szCs w:val="24"/>
          <w:rtl/>
        </w:rPr>
        <w:t>375</w:t>
      </w:r>
    </w:p>
    <w:p w:rsidR="00000000">
      <w:pPr>
        <w:tabs>
          <w:tab w:val="right" w:leader="dot" w:pos="6237"/>
          <w:tab w:val="left" w:pos="6350"/>
        </w:tabs>
        <w:ind w:left="397" w:right="851"/>
        <w:jc w:val="left"/>
        <w:rPr>
          <w:rFonts w:cs="David" w:hint="cs"/>
          <w:szCs w:val="24"/>
          <w:rtl/>
        </w:rPr>
      </w:pPr>
      <w:r>
        <w:rPr>
          <w:rFonts w:cs="David" w:hint="cs"/>
          <w:szCs w:val="24"/>
          <w:rtl/>
        </w:rPr>
        <w:t>זכויות היתר של העובדים במערכת הבריאות בקבלת שירותים</w:t>
      </w:r>
      <w:r>
        <w:rPr>
          <w:rFonts w:cs="David" w:hint="cs"/>
          <w:szCs w:val="24"/>
          <w:rtl/>
        </w:rPr>
        <w:tab/>
      </w:r>
      <w:r>
        <w:rPr>
          <w:rFonts w:cs="David" w:hint="cs"/>
          <w:szCs w:val="24"/>
          <w:rtl/>
        </w:rPr>
        <w:tab/>
        <w:t>377</w:t>
      </w:r>
    </w:p>
    <w:p w:rsidR="00000000">
      <w:pPr>
        <w:tabs>
          <w:tab w:val="right" w:leader="dot" w:pos="6237"/>
          <w:tab w:val="left" w:pos="6350"/>
        </w:tabs>
        <w:ind w:left="397" w:right="851"/>
        <w:jc w:val="left"/>
        <w:rPr>
          <w:rFonts w:cs="David" w:hint="cs"/>
          <w:szCs w:val="24"/>
          <w:rtl/>
        </w:rPr>
      </w:pPr>
      <w:r>
        <w:rPr>
          <w:rFonts w:cs="David" w:hint="cs"/>
          <w:szCs w:val="24"/>
          <w:rtl/>
        </w:rPr>
        <w:t>שיקום נכי נפש בקהילה</w:t>
      </w:r>
      <w:r>
        <w:rPr>
          <w:rFonts w:cs="David" w:hint="cs"/>
          <w:szCs w:val="24"/>
          <w:rtl/>
        </w:rPr>
        <w:tab/>
      </w:r>
      <w:r>
        <w:rPr>
          <w:rFonts w:cs="David" w:hint="cs"/>
          <w:szCs w:val="24"/>
          <w:rtl/>
        </w:rPr>
        <w:tab/>
        <w:t>391</w:t>
      </w:r>
    </w:p>
    <w:p w:rsidR="00000000">
      <w:pPr>
        <w:tabs>
          <w:tab w:val="right" w:leader="dot" w:pos="6237"/>
          <w:tab w:val="left" w:pos="6350"/>
        </w:tabs>
        <w:ind w:left="397" w:right="851"/>
        <w:jc w:val="left"/>
        <w:rPr>
          <w:rFonts w:cs="David" w:hint="cs"/>
          <w:szCs w:val="24"/>
          <w:rtl/>
        </w:rPr>
      </w:pPr>
      <w:r>
        <w:rPr>
          <w:rFonts w:cs="David" w:hint="cs"/>
          <w:szCs w:val="24"/>
          <w:rtl/>
        </w:rPr>
        <w:t>בנקי זר</w:t>
      </w:r>
      <w:r>
        <w:rPr>
          <w:rFonts w:cs="David" w:hint="cs"/>
          <w:szCs w:val="24"/>
          <w:rtl/>
        </w:rPr>
        <w:t>ע</w:t>
      </w:r>
      <w:r>
        <w:rPr>
          <w:rFonts w:cs="David" w:hint="cs"/>
          <w:szCs w:val="24"/>
          <w:rtl/>
        </w:rPr>
        <w:tab/>
      </w:r>
      <w:r>
        <w:rPr>
          <w:rFonts w:cs="David" w:hint="cs"/>
          <w:szCs w:val="24"/>
          <w:rtl/>
        </w:rPr>
        <w:tab/>
        <w:t>417</w:t>
      </w:r>
    </w:p>
    <w:p w:rsidR="00000000">
      <w:pPr>
        <w:tabs>
          <w:tab w:val="right" w:leader="dot" w:pos="6237"/>
          <w:tab w:val="left" w:pos="6350"/>
        </w:tabs>
        <w:ind w:left="397" w:right="851"/>
        <w:jc w:val="left"/>
        <w:rPr>
          <w:rFonts w:cs="David" w:hint="cs"/>
          <w:szCs w:val="24"/>
          <w:rtl/>
        </w:rPr>
      </w:pPr>
      <w:r>
        <w:rPr>
          <w:rFonts w:cs="David" w:hint="cs"/>
          <w:szCs w:val="24"/>
          <w:rtl/>
        </w:rPr>
        <w:t>קופת חולים לאומית - סדרי הקצאת תרופות למבוטחים</w:t>
      </w:r>
      <w:r>
        <w:rPr>
          <w:rFonts w:cs="David" w:hint="cs"/>
          <w:szCs w:val="24"/>
          <w:rtl/>
        </w:rPr>
        <w:tab/>
      </w:r>
      <w:r>
        <w:rPr>
          <w:rFonts w:cs="David" w:hint="cs"/>
          <w:szCs w:val="24"/>
          <w:rtl/>
        </w:rPr>
        <w:tab/>
        <w:t>447</w:t>
      </w:r>
    </w:p>
    <w:p w:rsidR="00000000">
      <w:pPr>
        <w:tabs>
          <w:tab w:val="right" w:leader="dot" w:pos="6237"/>
          <w:tab w:val="left" w:pos="6350"/>
        </w:tabs>
        <w:ind w:left="397" w:right="851"/>
        <w:jc w:val="left"/>
        <w:rPr>
          <w:rFonts w:cs="David" w:hint="cs"/>
          <w:szCs w:val="24"/>
          <w:rtl/>
        </w:rPr>
      </w:pPr>
      <w:bookmarkStart w:id="4" w:name="_Toc154910859"/>
      <w:bookmarkStart w:id="5" w:name="_Toc154911116"/>
      <w:bookmarkStart w:id="6" w:name="_Toc155412830"/>
      <w:r>
        <w:rPr>
          <w:rFonts w:cs="David" w:hint="cs"/>
          <w:szCs w:val="24"/>
          <w:rtl/>
        </w:rPr>
        <w:t>חשש לניצול לרעה של מערכת הבריאות על ידי אנשים המתחזים לעולים לצורך קבלת טיפול רפואי יקר</w:t>
      </w:r>
      <w:bookmarkEnd w:id="4"/>
      <w:bookmarkEnd w:id="5"/>
      <w:bookmarkEnd w:id="6"/>
      <w:r>
        <w:rPr>
          <w:rFonts w:cs="David" w:hint="cs"/>
          <w:szCs w:val="24"/>
          <w:rtl/>
        </w:rPr>
        <w:tab/>
      </w:r>
      <w:r>
        <w:rPr>
          <w:rFonts w:cs="David" w:hint="cs"/>
          <w:szCs w:val="24"/>
          <w:rtl/>
        </w:rPr>
        <w:tab/>
        <w:t>459</w:t>
      </w:r>
    </w:p>
    <w:p w:rsidR="00000000">
      <w:pPr>
        <w:tabs>
          <w:tab w:val="right" w:leader="dot" w:pos="6237"/>
          <w:tab w:val="left" w:pos="6350"/>
        </w:tabs>
        <w:ind w:left="397" w:right="851"/>
        <w:jc w:val="left"/>
        <w:rPr>
          <w:rFonts w:cs="David" w:hint="cs"/>
          <w:szCs w:val="24"/>
          <w:rtl/>
        </w:rPr>
      </w:pPr>
      <w:r>
        <w:rPr>
          <w:rFonts w:cs="David" w:hint="cs"/>
          <w:szCs w:val="24"/>
          <w:rtl/>
        </w:rPr>
        <w:t>ניגוד עניינים בתחום הרכש במערכת הבריאות</w:t>
      </w:r>
      <w:r>
        <w:rPr>
          <w:rFonts w:cs="David" w:hint="cs"/>
          <w:szCs w:val="24"/>
          <w:rtl/>
        </w:rPr>
        <w:tab/>
      </w:r>
      <w:r>
        <w:rPr>
          <w:rFonts w:cs="David" w:hint="cs"/>
          <w:szCs w:val="24"/>
          <w:rtl/>
        </w:rPr>
        <w:tab/>
        <w:t>469</w:t>
      </w:r>
    </w:p>
    <w:p w:rsidR="00000000">
      <w:pPr>
        <w:pStyle w:val="Header"/>
        <w:keepNext/>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סל שירותי הבריאות</w:t>
      </w:r>
      <w:r>
        <w:rPr>
          <w:rFonts w:cs="David" w:hint="cs"/>
          <w:szCs w:val="24"/>
          <w:rtl/>
        </w:rPr>
        <w:tab/>
      </w:r>
      <w:r>
        <w:rPr>
          <w:rFonts w:cs="David" w:hint="cs"/>
          <w:szCs w:val="24"/>
          <w:rtl/>
        </w:rPr>
        <w:tab/>
        <w:t>473</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החוץ</w:t>
      </w:r>
    </w:p>
    <w:p w:rsidR="00000000">
      <w:pPr>
        <w:tabs>
          <w:tab w:val="right" w:leader="dot" w:pos="6237"/>
          <w:tab w:val="left" w:pos="6350"/>
        </w:tabs>
        <w:ind w:left="397" w:right="851"/>
        <w:jc w:val="left"/>
        <w:rPr>
          <w:rFonts w:cs="David" w:hint="cs"/>
          <w:szCs w:val="24"/>
          <w:rtl/>
        </w:rPr>
      </w:pPr>
      <w:r>
        <w:rPr>
          <w:rFonts w:cs="David" w:hint="cs"/>
          <w:szCs w:val="24"/>
          <w:rtl/>
        </w:rPr>
        <w:t>שגרירות ישראל ב</w:t>
      </w:r>
      <w:r>
        <w:rPr>
          <w:rFonts w:cs="David" w:hint="cs"/>
          <w:szCs w:val="24"/>
          <w:rtl/>
        </w:rPr>
        <w:t>בריטניה</w:t>
      </w:r>
      <w:r>
        <w:rPr>
          <w:rFonts w:cs="David" w:hint="cs"/>
          <w:szCs w:val="24"/>
          <w:rtl/>
        </w:rPr>
        <w:tab/>
      </w:r>
      <w:r>
        <w:rPr>
          <w:rFonts w:cs="David" w:hint="cs"/>
          <w:szCs w:val="24"/>
          <w:rtl/>
        </w:rPr>
        <w:tab/>
        <w:t>491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החינוך</w:t>
      </w:r>
      <w:r>
        <w:rPr>
          <w:rFonts w:cs="David"/>
          <w:szCs w:val="24"/>
          <w:rtl/>
        </w:rPr>
        <w:tab/>
      </w:r>
      <w:r>
        <w:rPr>
          <w:rFonts w:cs="David"/>
          <w:szCs w:val="24"/>
          <w:rtl/>
        </w:rPr>
        <w:tab/>
      </w:r>
      <w:r>
        <w:rPr>
          <w:rFonts w:cs="David" w:hint="cs"/>
          <w:szCs w:val="24"/>
          <w:rtl/>
        </w:rPr>
        <w:t>509</w:t>
      </w:r>
    </w:p>
    <w:p w:rsidR="00000000">
      <w:pPr>
        <w:tabs>
          <w:tab w:val="right" w:leader="dot" w:pos="6237"/>
          <w:tab w:val="left" w:pos="6350"/>
        </w:tabs>
        <w:ind w:left="397" w:right="851"/>
        <w:jc w:val="left"/>
        <w:rPr>
          <w:rFonts w:cs="David" w:hint="cs"/>
          <w:szCs w:val="24"/>
          <w:rtl/>
        </w:rPr>
      </w:pPr>
      <w:r>
        <w:rPr>
          <w:rFonts w:cs="David" w:hint="cs"/>
          <w:szCs w:val="24"/>
          <w:rtl/>
        </w:rPr>
        <w:t>היבטים בטיפול בבחינות הבגרות</w:t>
      </w:r>
      <w:r>
        <w:rPr>
          <w:rFonts w:cs="David" w:hint="cs"/>
          <w:szCs w:val="24"/>
          <w:rtl/>
        </w:rPr>
        <w:tab/>
      </w:r>
      <w:r>
        <w:rPr>
          <w:rFonts w:cs="David" w:hint="cs"/>
          <w:szCs w:val="24"/>
          <w:rtl/>
        </w:rPr>
        <w:tab/>
        <w:t>511</w:t>
      </w:r>
    </w:p>
    <w:p w:rsidR="00000000">
      <w:pPr>
        <w:tabs>
          <w:tab w:val="right" w:leader="dot" w:pos="6237"/>
          <w:tab w:val="left" w:pos="6350"/>
        </w:tabs>
        <w:ind w:left="397" w:right="851"/>
        <w:jc w:val="left"/>
        <w:rPr>
          <w:rFonts w:cs="David" w:hint="cs"/>
          <w:szCs w:val="24"/>
          <w:rtl/>
        </w:rPr>
      </w:pPr>
      <w:r>
        <w:rPr>
          <w:rFonts w:cs="David" w:hint="cs"/>
          <w:b/>
          <w:bCs/>
          <w:szCs w:val="24"/>
          <w:rtl/>
        </w:rPr>
        <w:t>הטלוויזיה החינוכית</w:t>
      </w:r>
      <w:r>
        <w:rPr>
          <w:rFonts w:cs="David" w:hint="cs"/>
          <w:szCs w:val="24"/>
          <w:rtl/>
        </w:rPr>
        <w:tab/>
      </w:r>
      <w:r>
        <w:rPr>
          <w:rFonts w:cs="David" w:hint="cs"/>
          <w:szCs w:val="24"/>
          <w:rtl/>
        </w:rPr>
        <w:tab/>
        <w:t>541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החקלאות ופיתוח הכפר</w:t>
      </w:r>
      <w:r>
        <w:rPr>
          <w:rFonts w:cs="David"/>
          <w:szCs w:val="24"/>
          <w:rtl/>
        </w:rPr>
        <w:tab/>
      </w:r>
      <w:r>
        <w:rPr>
          <w:rFonts w:cs="David"/>
          <w:szCs w:val="24"/>
          <w:rtl/>
        </w:rPr>
        <w:tab/>
      </w:r>
      <w:r>
        <w:rPr>
          <w:rFonts w:cs="David" w:hint="cs"/>
          <w:szCs w:val="24"/>
          <w:rtl/>
        </w:rPr>
        <w:t>555</w:t>
      </w:r>
    </w:p>
    <w:p w:rsidR="00000000">
      <w:pPr>
        <w:tabs>
          <w:tab w:val="right" w:leader="dot" w:pos="6237"/>
          <w:tab w:val="left" w:pos="6350"/>
        </w:tabs>
        <w:ind w:left="397" w:right="851"/>
        <w:jc w:val="left"/>
        <w:rPr>
          <w:rFonts w:cs="David" w:hint="cs"/>
          <w:szCs w:val="24"/>
          <w:rtl/>
        </w:rPr>
      </w:pPr>
      <w:r>
        <w:rPr>
          <w:rFonts w:cs="David" w:hint="cs"/>
          <w:szCs w:val="24"/>
          <w:rtl/>
        </w:rPr>
        <w:t>התמודדות משרד החקלאות עם התפרצות מחלת "שפעת העופות"</w:t>
      </w:r>
      <w:r>
        <w:rPr>
          <w:rFonts w:cs="David" w:hint="cs"/>
          <w:szCs w:val="24"/>
          <w:rtl/>
        </w:rPr>
        <w:tab/>
      </w:r>
      <w:r>
        <w:rPr>
          <w:rFonts w:cs="David" w:hint="cs"/>
          <w:szCs w:val="24"/>
          <w:rtl/>
        </w:rPr>
        <w:tab/>
        <w:t>557</w:t>
      </w:r>
    </w:p>
    <w:p w:rsidR="00000000">
      <w:pPr>
        <w:tabs>
          <w:tab w:val="right" w:leader="dot" w:pos="6237"/>
          <w:tab w:val="left" w:pos="6350"/>
        </w:tabs>
        <w:ind w:left="397" w:right="851"/>
        <w:jc w:val="left"/>
        <w:rPr>
          <w:rFonts w:cs="David" w:hint="cs"/>
          <w:szCs w:val="24"/>
          <w:rtl/>
        </w:rPr>
      </w:pPr>
      <w:r>
        <w:rPr>
          <w:rFonts w:cs="David" w:hint="cs"/>
          <w:szCs w:val="24"/>
          <w:rtl/>
        </w:rPr>
        <w:t>ועדה ציבורית לבחינת הפיקוח על מחירי החלב ומוצריו</w:t>
      </w:r>
      <w:r>
        <w:rPr>
          <w:rFonts w:cs="David" w:hint="cs"/>
          <w:szCs w:val="24"/>
          <w:rtl/>
        </w:rPr>
        <w:tab/>
      </w:r>
      <w:r>
        <w:rPr>
          <w:rFonts w:cs="David" w:hint="cs"/>
          <w:szCs w:val="24"/>
          <w:rtl/>
        </w:rPr>
        <w:tab/>
        <w:t>577</w:t>
      </w:r>
    </w:p>
    <w:p w:rsidR="00000000">
      <w:pPr>
        <w:tabs>
          <w:tab w:val="right" w:leader="dot" w:pos="6237"/>
          <w:tab w:val="left" w:pos="6350"/>
        </w:tabs>
        <w:ind w:left="397" w:right="851"/>
        <w:jc w:val="left"/>
        <w:rPr>
          <w:rFonts w:cs="David" w:hint="cs"/>
          <w:b/>
          <w:bCs/>
          <w:szCs w:val="24"/>
          <w:rtl/>
        </w:rPr>
      </w:pPr>
      <w:r>
        <w:rPr>
          <w:rFonts w:cs="David" w:hint="cs"/>
          <w:b/>
          <w:bCs/>
          <w:szCs w:val="24"/>
          <w:rtl/>
        </w:rPr>
        <w:t>אגרקסקו חברה ליצוא חקלאי בע</w:t>
      </w:r>
      <w:r>
        <w:rPr>
          <w:rFonts w:cs="David" w:hint="cs"/>
          <w:b/>
          <w:bCs/>
          <w:szCs w:val="24"/>
          <w:rtl/>
        </w:rPr>
        <w:t>"מ</w:t>
      </w:r>
    </w:p>
    <w:p w:rsidR="00000000">
      <w:pPr>
        <w:tabs>
          <w:tab w:val="right" w:leader="dot" w:pos="6237"/>
          <w:tab w:val="left" w:pos="6350"/>
        </w:tabs>
        <w:ind w:left="397" w:right="851"/>
        <w:jc w:val="left"/>
        <w:rPr>
          <w:rFonts w:cs="David" w:hint="cs"/>
          <w:szCs w:val="24"/>
          <w:rtl/>
        </w:rPr>
      </w:pPr>
      <w:r>
        <w:rPr>
          <w:rFonts w:cs="David" w:hint="cs"/>
          <w:szCs w:val="24"/>
          <w:rtl/>
        </w:rPr>
        <w:t>ההובלה הימית</w:t>
      </w:r>
      <w:r>
        <w:rPr>
          <w:rFonts w:cs="David" w:hint="cs"/>
          <w:szCs w:val="24"/>
          <w:rtl/>
        </w:rPr>
        <w:tab/>
      </w:r>
      <w:r>
        <w:rPr>
          <w:rFonts w:cs="David" w:hint="cs"/>
          <w:szCs w:val="24"/>
          <w:rtl/>
        </w:rPr>
        <w:tab/>
        <w:t>589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הפנים</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ניהול מקרקעין לאורך חופי הכינרת ושימוש בהם</w:t>
      </w:r>
      <w:r>
        <w:rPr>
          <w:rFonts w:cs="David" w:hint="cs"/>
          <w:szCs w:val="24"/>
          <w:rtl/>
        </w:rPr>
        <w:tab/>
      </w:r>
      <w:r>
        <w:rPr>
          <w:rFonts w:cs="David" w:hint="cs"/>
          <w:szCs w:val="24"/>
          <w:rtl/>
        </w:rPr>
        <w:tab/>
        <w:t>605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הרווחה</w:t>
      </w:r>
      <w:r>
        <w:rPr>
          <w:rFonts w:cs="David"/>
          <w:szCs w:val="24"/>
          <w:rtl/>
        </w:rPr>
        <w:tab/>
      </w:r>
      <w:r>
        <w:rPr>
          <w:rFonts w:cs="David"/>
          <w:szCs w:val="24"/>
          <w:rtl/>
        </w:rPr>
        <w:tab/>
      </w:r>
      <w:r>
        <w:rPr>
          <w:rFonts w:cs="David" w:hint="cs"/>
          <w:szCs w:val="24"/>
          <w:rtl/>
        </w:rPr>
        <w:t>619</w:t>
      </w:r>
    </w:p>
    <w:p w:rsidR="00000000">
      <w:pPr>
        <w:tabs>
          <w:tab w:val="right" w:leader="dot" w:pos="6237"/>
          <w:tab w:val="left" w:pos="6350"/>
        </w:tabs>
        <w:ind w:left="397" w:right="851"/>
        <w:jc w:val="left"/>
        <w:rPr>
          <w:rFonts w:cs="David" w:hint="cs"/>
          <w:szCs w:val="24"/>
          <w:rtl/>
        </w:rPr>
      </w:pPr>
      <w:r>
        <w:rPr>
          <w:rFonts w:cs="David" w:hint="cs"/>
          <w:szCs w:val="24"/>
          <w:rtl/>
        </w:rPr>
        <w:t>היבטים בהעסקת אנשים בעלי מוגבלות במסגרת ה"קרן - רשת מרכזי אבחון ושיקום מקצועי"</w:t>
      </w:r>
      <w:r>
        <w:rPr>
          <w:rFonts w:cs="David" w:hint="cs"/>
          <w:szCs w:val="24"/>
          <w:rtl/>
        </w:rPr>
        <w:tab/>
      </w:r>
      <w:r>
        <w:rPr>
          <w:rFonts w:cs="David" w:hint="cs"/>
          <w:szCs w:val="24"/>
          <w:rtl/>
        </w:rPr>
        <w:tab/>
        <w:t>621</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רכישת שירותים חברתיים</w:t>
      </w:r>
      <w:r>
        <w:rPr>
          <w:rFonts w:cs="David" w:hint="cs"/>
          <w:szCs w:val="24"/>
          <w:rtl/>
        </w:rPr>
        <w:tab/>
      </w:r>
      <w:r>
        <w:rPr>
          <w:rFonts w:cs="David" w:hint="cs"/>
          <w:szCs w:val="24"/>
          <w:rtl/>
        </w:rPr>
        <w:tab/>
        <w:t>639</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ת</w:t>
      </w:r>
      <w:r>
        <w:rPr>
          <w:rFonts w:cs="David"/>
          <w:szCs w:val="24"/>
          <w:rtl/>
        </w:rPr>
        <w:t xml:space="preserve">קצוב שירותי </w:t>
      </w:r>
      <w:r>
        <w:rPr>
          <w:rFonts w:cs="David" w:hint="cs"/>
          <w:szCs w:val="24"/>
          <w:rtl/>
        </w:rPr>
        <w:t>ה</w:t>
      </w:r>
      <w:r>
        <w:rPr>
          <w:rFonts w:cs="David"/>
          <w:szCs w:val="24"/>
          <w:rtl/>
        </w:rPr>
        <w:t>ר</w:t>
      </w:r>
      <w:r>
        <w:rPr>
          <w:rFonts w:cs="David"/>
          <w:szCs w:val="24"/>
          <w:rtl/>
        </w:rPr>
        <w:t>ווחה לרשויות מקומיות</w:t>
      </w:r>
      <w:r>
        <w:rPr>
          <w:rFonts w:cs="David" w:hint="cs"/>
          <w:szCs w:val="24"/>
          <w:rtl/>
        </w:rPr>
        <w:t xml:space="preserve"> - היעדר שוויון</w:t>
      </w:r>
      <w:r>
        <w:rPr>
          <w:rFonts w:cs="David" w:hint="cs"/>
          <w:szCs w:val="24"/>
          <w:rtl/>
        </w:rPr>
        <w:tab/>
      </w:r>
      <w:r>
        <w:rPr>
          <w:rFonts w:cs="David" w:hint="cs"/>
          <w:szCs w:val="24"/>
          <w:rtl/>
        </w:rPr>
        <w:tab/>
        <w:t>651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התיירות</w:t>
      </w:r>
    </w:p>
    <w:p w:rsidR="00000000">
      <w:pPr>
        <w:tabs>
          <w:tab w:val="right" w:leader="dot" w:pos="6237"/>
          <w:tab w:val="left" w:pos="6350"/>
        </w:tabs>
        <w:ind w:left="397" w:right="851"/>
        <w:jc w:val="left"/>
        <w:rPr>
          <w:rFonts w:cs="David" w:hint="cs"/>
          <w:szCs w:val="24"/>
          <w:rtl/>
        </w:rPr>
      </w:pPr>
      <w:r>
        <w:rPr>
          <w:rFonts w:cs="David" w:hint="cs"/>
          <w:szCs w:val="24"/>
          <w:rtl/>
        </w:rPr>
        <w:t>רישוי שירותי תיירות והפיקוח עליהם</w:t>
      </w:r>
      <w:r>
        <w:rPr>
          <w:rFonts w:cs="David" w:hint="cs"/>
          <w:szCs w:val="24"/>
          <w:rtl/>
        </w:rPr>
        <w:tab/>
      </w:r>
      <w:r>
        <w:rPr>
          <w:rFonts w:cs="David" w:hint="cs"/>
          <w:szCs w:val="24"/>
          <w:rtl/>
        </w:rPr>
        <w:tab/>
        <w:t>661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התעשייה, המסחר והתעסוקה</w:t>
      </w:r>
      <w:r>
        <w:rPr>
          <w:rFonts w:cs="David"/>
          <w:szCs w:val="24"/>
          <w:rtl/>
        </w:rPr>
        <w:tab/>
      </w:r>
      <w:r>
        <w:rPr>
          <w:rFonts w:cs="David"/>
          <w:szCs w:val="24"/>
          <w:rtl/>
        </w:rPr>
        <w:tab/>
      </w:r>
      <w:r>
        <w:rPr>
          <w:rFonts w:cs="David" w:hint="cs"/>
          <w:szCs w:val="24"/>
          <w:rtl/>
        </w:rPr>
        <w:t>675</w:t>
      </w:r>
    </w:p>
    <w:p w:rsidR="00000000">
      <w:pPr>
        <w:tabs>
          <w:tab w:val="right" w:leader="dot" w:pos="6237"/>
          <w:tab w:val="left" w:pos="6350"/>
        </w:tabs>
        <w:ind w:left="397" w:right="851"/>
        <w:jc w:val="left"/>
        <w:rPr>
          <w:rFonts w:cs="David" w:hint="cs"/>
          <w:szCs w:val="24"/>
          <w:rtl/>
        </w:rPr>
      </w:pPr>
      <w:r>
        <w:rPr>
          <w:rFonts w:cs="David" w:hint="cs"/>
          <w:szCs w:val="24"/>
          <w:rtl/>
        </w:rPr>
        <w:t>הפיקוח על משקלות ומידות</w:t>
      </w:r>
      <w:r>
        <w:rPr>
          <w:rFonts w:cs="David" w:hint="cs"/>
          <w:szCs w:val="24"/>
          <w:rtl/>
        </w:rPr>
        <w:tab/>
      </w:r>
      <w:r>
        <w:rPr>
          <w:rFonts w:cs="David" w:hint="cs"/>
          <w:szCs w:val="24"/>
          <w:rtl/>
        </w:rPr>
        <w:tab/>
        <w:t>677</w:t>
      </w:r>
    </w:p>
    <w:p w:rsidR="00000000">
      <w:pPr>
        <w:tabs>
          <w:tab w:val="right" w:leader="dot" w:pos="6237"/>
          <w:tab w:val="left" w:pos="6350"/>
        </w:tabs>
        <w:ind w:left="397" w:right="851"/>
        <w:jc w:val="left"/>
        <w:rPr>
          <w:rFonts w:cs="David" w:hint="cs"/>
          <w:szCs w:val="24"/>
          <w:rtl/>
        </w:rPr>
      </w:pPr>
      <w:r>
        <w:rPr>
          <w:rFonts w:cs="David" w:hint="cs"/>
          <w:szCs w:val="24"/>
          <w:rtl/>
        </w:rPr>
        <w:t>קרן תמורה</w:t>
      </w:r>
      <w:r>
        <w:rPr>
          <w:rFonts w:cs="David" w:hint="cs"/>
          <w:szCs w:val="24"/>
          <w:rtl/>
        </w:rPr>
        <w:tab/>
      </w:r>
      <w:r>
        <w:rPr>
          <w:rFonts w:cs="David" w:hint="cs"/>
          <w:szCs w:val="24"/>
          <w:rtl/>
        </w:rPr>
        <w:tab/>
        <w:t>691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התקשורת</w:t>
      </w:r>
    </w:p>
    <w:p w:rsidR="00000000">
      <w:pPr>
        <w:tabs>
          <w:tab w:val="right" w:leader="dot" w:pos="6237"/>
          <w:tab w:val="left" w:pos="6350"/>
        </w:tabs>
        <w:ind w:left="397" w:right="851"/>
        <w:jc w:val="left"/>
        <w:rPr>
          <w:rFonts w:cs="David" w:hint="cs"/>
          <w:szCs w:val="24"/>
          <w:rtl/>
        </w:rPr>
      </w:pPr>
      <w:r>
        <w:rPr>
          <w:rFonts w:cs="David"/>
          <w:szCs w:val="24"/>
          <w:rtl/>
        </w:rPr>
        <w:t xml:space="preserve">פיקוח על בעלי רישיונות למתן שירותי </w:t>
      </w:r>
      <w:r>
        <w:rPr>
          <w:rFonts w:cs="David" w:hint="cs"/>
          <w:szCs w:val="24"/>
          <w:rtl/>
        </w:rPr>
        <w:t>ת</w:t>
      </w:r>
      <w:r>
        <w:rPr>
          <w:rFonts w:cs="David"/>
          <w:szCs w:val="24"/>
          <w:rtl/>
        </w:rPr>
        <w:t>קשורת</w:t>
      </w:r>
      <w:r>
        <w:rPr>
          <w:rFonts w:cs="David" w:hint="cs"/>
          <w:szCs w:val="24"/>
          <w:rtl/>
        </w:rPr>
        <w:tab/>
      </w:r>
      <w:r>
        <w:rPr>
          <w:rFonts w:cs="David" w:hint="cs"/>
          <w:szCs w:val="24"/>
          <w:rtl/>
        </w:rPr>
        <w:tab/>
        <w:t>695</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before="360" w:after="120"/>
        <w:ind w:right="851"/>
        <w:rPr>
          <w:rFonts w:hint="cs"/>
          <w:rtl/>
        </w:rPr>
      </w:pPr>
      <w:r>
        <w:rPr>
          <w:rFonts w:hint="cs"/>
          <w:rtl/>
        </w:rPr>
        <w:t>פרק רביעי - מוסדות המדינ</w:t>
      </w:r>
      <w:r>
        <w:rPr>
          <w:rFonts w:hint="cs"/>
          <w:rtl/>
        </w:rPr>
        <w:t>ה ותאגידים</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בנק ישראל</w:t>
      </w:r>
    </w:p>
    <w:p w:rsidR="00000000">
      <w:pPr>
        <w:tabs>
          <w:tab w:val="right" w:leader="dot" w:pos="6237"/>
          <w:tab w:val="left" w:pos="6350"/>
        </w:tabs>
        <w:ind w:left="397" w:right="851"/>
        <w:jc w:val="left"/>
        <w:rPr>
          <w:rFonts w:cs="David" w:hint="cs"/>
          <w:szCs w:val="24"/>
          <w:rtl/>
        </w:rPr>
      </w:pPr>
      <w:r>
        <w:rPr>
          <w:rFonts w:cs="David" w:hint="cs"/>
          <w:szCs w:val="24"/>
          <w:rtl/>
        </w:rPr>
        <w:t>תנאי העסקת עובדים</w:t>
      </w:r>
      <w:r>
        <w:rPr>
          <w:rFonts w:cs="David" w:hint="cs"/>
          <w:szCs w:val="24"/>
          <w:rtl/>
        </w:rPr>
        <w:tab/>
      </w:r>
      <w:r>
        <w:rPr>
          <w:rFonts w:cs="David" w:hint="cs"/>
          <w:szCs w:val="24"/>
          <w:rtl/>
        </w:rPr>
        <w:tab/>
        <w:t>709</w:t>
      </w:r>
    </w:p>
    <w:p w:rsidR="00000000">
      <w:pPr>
        <w:tabs>
          <w:tab w:val="right" w:leader="dot" w:pos="6237"/>
          <w:tab w:val="left" w:pos="6350"/>
        </w:tabs>
        <w:spacing w:line="360" w:lineRule="exact"/>
        <w:ind w:right="851"/>
        <w:jc w:val="left"/>
        <w:rPr>
          <w:rFonts w:cs="David" w:hint="cs"/>
          <w:b/>
          <w:bCs/>
          <w:sz w:val="28"/>
          <w:szCs w:val="28"/>
          <w:rtl/>
          <w:lang w:eastAsia="he-IL"/>
        </w:rPr>
      </w:pPr>
      <w:bookmarkStart w:id="7" w:name="_Toc150677762"/>
      <w:bookmarkStart w:id="8" w:name="_Toc152053334"/>
      <w:r>
        <w:rPr>
          <w:rFonts w:cs="David" w:hint="cs"/>
          <w:b/>
          <w:bCs/>
          <w:sz w:val="28"/>
          <w:szCs w:val="28"/>
          <w:rtl/>
          <w:lang w:eastAsia="he-IL"/>
        </w:rPr>
        <w:t>הוועד האולימפי בישראל</w:t>
      </w:r>
      <w:bookmarkEnd w:id="7"/>
      <w:bookmarkEnd w:id="8"/>
      <w:r>
        <w:rPr>
          <w:rFonts w:cs="David"/>
          <w:szCs w:val="24"/>
          <w:rtl/>
        </w:rPr>
        <w:tab/>
      </w:r>
      <w:r>
        <w:rPr>
          <w:rFonts w:cs="David"/>
          <w:szCs w:val="24"/>
          <w:rtl/>
        </w:rPr>
        <w:tab/>
      </w:r>
      <w:r>
        <w:rPr>
          <w:rFonts w:cs="David" w:hint="cs"/>
          <w:szCs w:val="24"/>
          <w:rtl/>
        </w:rPr>
        <w:t>725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מעצ - החברה הלאומית לדרכים בישראל בע"מ</w:t>
      </w:r>
    </w:p>
    <w:p w:rsidR="00000000">
      <w:pPr>
        <w:tabs>
          <w:tab w:val="right" w:leader="dot" w:pos="6237"/>
          <w:tab w:val="left" w:pos="6350"/>
        </w:tabs>
        <w:ind w:left="397" w:right="851"/>
        <w:jc w:val="left"/>
        <w:rPr>
          <w:rFonts w:cs="David" w:hint="cs"/>
          <w:szCs w:val="24"/>
          <w:rtl/>
        </w:rPr>
      </w:pPr>
      <w:r>
        <w:rPr>
          <w:rFonts w:cs="David" w:hint="cs"/>
          <w:szCs w:val="24"/>
          <w:rtl/>
        </w:rPr>
        <w:t>סגירת יחידת הסמך מע"ץ והקמת מעצ - החברה הלאומית לדרכים בישראל</w:t>
      </w:r>
      <w:r>
        <w:rPr>
          <w:rFonts w:cs="David" w:hint="cs"/>
          <w:szCs w:val="24"/>
          <w:rtl/>
        </w:rPr>
        <w:tab/>
      </w:r>
      <w:r>
        <w:rPr>
          <w:rFonts w:cs="David" w:hint="cs"/>
          <w:szCs w:val="24"/>
          <w:rtl/>
        </w:rPr>
        <w:tab/>
        <w:t>763</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המוסד לביטוח לאומי</w:t>
      </w:r>
    </w:p>
    <w:p w:rsidR="00000000">
      <w:pPr>
        <w:tabs>
          <w:tab w:val="right" w:leader="dot" w:pos="6237"/>
          <w:tab w:val="left" w:pos="6350"/>
        </w:tabs>
        <w:ind w:left="397" w:right="851"/>
        <w:jc w:val="left"/>
        <w:rPr>
          <w:rFonts w:cs="David" w:hint="cs"/>
          <w:szCs w:val="24"/>
          <w:rtl/>
        </w:rPr>
      </w:pPr>
      <w:r>
        <w:rPr>
          <w:rFonts w:cs="David" w:hint="cs"/>
          <w:szCs w:val="24"/>
          <w:rtl/>
        </w:rPr>
        <w:t>ביקורת ניכויים - חיוב מעבידים ועדכון גמלאות</w:t>
      </w:r>
      <w:r>
        <w:rPr>
          <w:rFonts w:cs="David" w:hint="cs"/>
          <w:szCs w:val="24"/>
          <w:rtl/>
        </w:rPr>
        <w:tab/>
      </w:r>
      <w:r>
        <w:rPr>
          <w:rFonts w:cs="David" w:hint="cs"/>
          <w:szCs w:val="24"/>
          <w:rtl/>
        </w:rPr>
        <w:tab/>
        <w:t>791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חברת רכבת י</w:t>
      </w:r>
      <w:r>
        <w:rPr>
          <w:rFonts w:cs="David" w:hint="cs"/>
          <w:b/>
          <w:bCs/>
          <w:sz w:val="28"/>
          <w:szCs w:val="28"/>
          <w:rtl/>
          <w:lang w:eastAsia="he-IL"/>
        </w:rPr>
        <w:t>שראל בע"מ</w:t>
      </w:r>
    </w:p>
    <w:p w:rsidR="00000000">
      <w:pPr>
        <w:tabs>
          <w:tab w:val="right" w:leader="dot" w:pos="6237"/>
          <w:tab w:val="left" w:pos="6350"/>
        </w:tabs>
        <w:ind w:left="397" w:right="851"/>
        <w:jc w:val="left"/>
        <w:rPr>
          <w:rFonts w:cs="David" w:hint="cs"/>
          <w:szCs w:val="24"/>
          <w:rtl/>
        </w:rPr>
      </w:pPr>
      <w:r>
        <w:rPr>
          <w:rFonts w:cs="David" w:hint="cs"/>
          <w:szCs w:val="24"/>
          <w:rtl/>
        </w:rPr>
        <w:t>תהליכי רכש והצטיידות</w:t>
      </w:r>
      <w:r>
        <w:rPr>
          <w:rFonts w:cs="David" w:hint="cs"/>
          <w:szCs w:val="24"/>
          <w:rtl/>
        </w:rPr>
        <w:tab/>
      </w:r>
      <w:r>
        <w:rPr>
          <w:rFonts w:cs="David" w:hint="cs"/>
          <w:szCs w:val="24"/>
          <w:rtl/>
        </w:rPr>
        <w:tab/>
        <w:t>815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מוסדות להשכלה גבוהה</w:t>
      </w:r>
    </w:p>
    <w:p w:rsidR="00000000">
      <w:pPr>
        <w:tabs>
          <w:tab w:val="right" w:leader="dot" w:pos="6237"/>
          <w:tab w:val="left" w:pos="6350"/>
        </w:tabs>
        <w:ind w:left="397" w:right="851"/>
        <w:jc w:val="left"/>
        <w:rPr>
          <w:rFonts w:cs="David" w:hint="cs"/>
          <w:szCs w:val="24"/>
          <w:rtl/>
        </w:rPr>
      </w:pPr>
      <w:bookmarkStart w:id="9" w:name="_Toc150492673"/>
      <w:r>
        <w:rPr>
          <w:rFonts w:cs="David" w:hint="cs"/>
          <w:szCs w:val="24"/>
          <w:rtl/>
        </w:rPr>
        <w:t>היבטים בניהול נכסי דלא ניידי של האוניברסיטאות</w:t>
      </w:r>
      <w:bookmarkEnd w:id="9"/>
      <w:r>
        <w:rPr>
          <w:rFonts w:cs="David" w:hint="cs"/>
          <w:szCs w:val="24"/>
          <w:rtl/>
        </w:rPr>
        <w:tab/>
      </w:r>
      <w:r>
        <w:rPr>
          <w:rFonts w:cs="David" w:hint="cs"/>
          <w:szCs w:val="24"/>
          <w:rtl/>
        </w:rPr>
        <w:tab/>
        <w:t>843</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מפעל הפיס</w:t>
      </w:r>
    </w:p>
    <w:p w:rsidR="00000000">
      <w:pPr>
        <w:tabs>
          <w:tab w:val="right" w:leader="dot" w:pos="6237"/>
          <w:tab w:val="left" w:pos="6350"/>
        </w:tabs>
        <w:ind w:left="397" w:right="851"/>
        <w:jc w:val="left"/>
        <w:rPr>
          <w:rFonts w:cs="David" w:hint="cs"/>
          <w:szCs w:val="24"/>
          <w:rtl/>
        </w:rPr>
      </w:pPr>
      <w:r>
        <w:rPr>
          <w:rFonts w:cs="David" w:hint="cs"/>
          <w:szCs w:val="24"/>
          <w:rtl/>
        </w:rPr>
        <w:t>היבטים בפעולות מפעל הפיס</w:t>
      </w:r>
      <w:r>
        <w:rPr>
          <w:rFonts w:cs="David" w:hint="cs"/>
          <w:szCs w:val="24"/>
          <w:rtl/>
        </w:rPr>
        <w:tab/>
      </w:r>
      <w:r>
        <w:rPr>
          <w:rFonts w:cs="David" w:hint="cs"/>
          <w:szCs w:val="24"/>
          <w:rtl/>
        </w:rPr>
        <w:tab/>
        <w:t>897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רשות השידור</w:t>
      </w:r>
    </w:p>
    <w:p w:rsidR="00000000">
      <w:pPr>
        <w:tabs>
          <w:tab w:val="right" w:leader="dot" w:pos="6237"/>
          <w:tab w:val="left" w:pos="6350"/>
        </w:tabs>
        <w:ind w:left="397" w:right="851"/>
        <w:jc w:val="left"/>
        <w:rPr>
          <w:rFonts w:cs="David" w:hint="cs"/>
          <w:szCs w:val="24"/>
          <w:rtl/>
        </w:rPr>
      </w:pPr>
      <w:r>
        <w:rPr>
          <w:rFonts w:cs="David" w:hint="cs"/>
          <w:szCs w:val="24"/>
          <w:rtl/>
        </w:rPr>
        <w:t>נוכחות עובדים ותשלומים עבור שעות נוספות וכוננויות</w:t>
      </w:r>
      <w:r>
        <w:rPr>
          <w:rFonts w:cs="David" w:hint="cs"/>
          <w:szCs w:val="24"/>
          <w:rtl/>
        </w:rPr>
        <w:tab/>
      </w:r>
      <w:r>
        <w:rPr>
          <w:rFonts w:cs="David" w:hint="cs"/>
          <w:szCs w:val="24"/>
          <w:rtl/>
        </w:rPr>
        <w:tab/>
        <w:t>1023</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before="360" w:after="120"/>
        <w:ind w:right="851"/>
        <w:rPr>
          <w:rFonts w:hint="cs"/>
          <w:rtl/>
        </w:rPr>
      </w:pPr>
      <w:r>
        <w:rPr>
          <w:rFonts w:hint="cs"/>
          <w:rtl/>
        </w:rPr>
        <w:t>פרק חמישי - מערכת הביטחון</w:t>
      </w:r>
    </w:p>
    <w:p w:rsidR="00000000">
      <w:pPr>
        <w:tabs>
          <w:tab w:val="right" w:leader="dot" w:pos="6237"/>
          <w:tab w:val="left" w:pos="6350"/>
        </w:tabs>
        <w:ind w:left="397" w:right="851"/>
        <w:jc w:val="left"/>
        <w:rPr>
          <w:rFonts w:cs="David" w:hint="cs"/>
          <w:szCs w:val="24"/>
          <w:rtl/>
        </w:rPr>
      </w:pPr>
      <w:r>
        <w:rPr>
          <w:rFonts w:cs="David"/>
          <w:szCs w:val="24"/>
          <w:rtl/>
        </w:rPr>
        <w:t>ההתמודדות עם ה</w:t>
      </w:r>
      <w:r>
        <w:rPr>
          <w:rFonts w:cs="David"/>
          <w:szCs w:val="24"/>
          <w:rtl/>
        </w:rPr>
        <w:t>לוחמה התת-קרקעית הפלסטינית</w:t>
      </w:r>
      <w:r>
        <w:rPr>
          <w:rFonts w:cs="David"/>
          <w:szCs w:val="24"/>
          <w:rtl/>
        </w:rPr>
        <w:tab/>
      </w:r>
      <w:r>
        <w:rPr>
          <w:rFonts w:cs="David"/>
          <w:szCs w:val="24"/>
          <w:rtl/>
        </w:rPr>
        <w:tab/>
      </w:r>
      <w:r>
        <w:rPr>
          <w:rFonts w:cs="David" w:hint="cs"/>
          <w:szCs w:val="24"/>
          <w:rtl/>
        </w:rPr>
        <w:t>1055</w:t>
      </w:r>
    </w:p>
    <w:p w:rsidR="00000000">
      <w:pPr>
        <w:tabs>
          <w:tab w:val="right" w:leader="dot" w:pos="6237"/>
          <w:tab w:val="left" w:pos="6350"/>
        </w:tabs>
        <w:ind w:left="397" w:right="851"/>
        <w:jc w:val="left"/>
        <w:rPr>
          <w:rFonts w:cs="David" w:hint="cs"/>
          <w:szCs w:val="24"/>
          <w:rtl/>
        </w:rPr>
      </w:pPr>
      <w:r>
        <w:rPr>
          <w:rFonts w:cs="David"/>
          <w:szCs w:val="24"/>
          <w:rtl/>
        </w:rPr>
        <w:t>המענה לירי תלול מסלול מרצועת עזה</w:t>
      </w:r>
      <w:r>
        <w:rPr>
          <w:rFonts w:cs="David"/>
          <w:szCs w:val="24"/>
          <w:rtl/>
        </w:rPr>
        <w:tab/>
      </w:r>
      <w:r>
        <w:rPr>
          <w:rFonts w:cs="David"/>
          <w:szCs w:val="24"/>
          <w:rtl/>
        </w:rPr>
        <w:tab/>
      </w:r>
      <w:r>
        <w:rPr>
          <w:rFonts w:cs="David" w:hint="cs"/>
          <w:szCs w:val="24"/>
          <w:rtl/>
        </w:rPr>
        <w:t>1061</w:t>
      </w:r>
    </w:p>
    <w:p w:rsidR="00000000">
      <w:pPr>
        <w:tabs>
          <w:tab w:val="right" w:leader="dot" w:pos="6237"/>
          <w:tab w:val="left" w:pos="6350"/>
        </w:tabs>
        <w:ind w:left="397" w:right="851"/>
        <w:jc w:val="left"/>
        <w:rPr>
          <w:rFonts w:cs="David" w:hint="cs"/>
          <w:szCs w:val="24"/>
          <w:rtl/>
        </w:rPr>
      </w:pPr>
      <w:r>
        <w:rPr>
          <w:rFonts w:cs="David"/>
          <w:szCs w:val="24"/>
          <w:rtl/>
        </w:rPr>
        <w:t>תהליכי קבלת החלטות בנוגע להקמת שדה התעופה "תמנע"</w:t>
      </w:r>
      <w:r>
        <w:rPr>
          <w:rFonts w:cs="David"/>
          <w:szCs w:val="24"/>
          <w:rtl/>
        </w:rPr>
        <w:tab/>
      </w:r>
      <w:r>
        <w:rPr>
          <w:rFonts w:cs="David"/>
          <w:szCs w:val="24"/>
          <w:rtl/>
        </w:rPr>
        <w:tab/>
      </w:r>
      <w:r>
        <w:rPr>
          <w:rFonts w:cs="David" w:hint="cs"/>
          <w:szCs w:val="24"/>
          <w:rtl/>
        </w:rPr>
        <w:t>1067</w:t>
      </w:r>
    </w:p>
    <w:p w:rsidR="00000000">
      <w:pPr>
        <w:tabs>
          <w:tab w:val="right" w:leader="dot" w:pos="6237"/>
          <w:tab w:val="left" w:pos="6350"/>
        </w:tabs>
        <w:ind w:left="397" w:right="851"/>
        <w:jc w:val="left"/>
        <w:rPr>
          <w:rFonts w:cs="David" w:hint="cs"/>
          <w:szCs w:val="24"/>
          <w:rtl/>
        </w:rPr>
      </w:pPr>
      <w:r>
        <w:rPr>
          <w:rFonts w:cs="David"/>
          <w:szCs w:val="24"/>
          <w:rtl/>
        </w:rPr>
        <w:t>הטיפול בשיקום סייעני זרועות הביטחון ואנשי צד"ל</w:t>
      </w:r>
      <w:r>
        <w:rPr>
          <w:rFonts w:cs="David" w:hint="cs"/>
          <w:szCs w:val="24"/>
          <w:rtl/>
        </w:rPr>
        <w:t xml:space="preserve"> </w:t>
      </w:r>
      <w:r>
        <w:rPr>
          <w:rFonts w:cs="David"/>
          <w:szCs w:val="24"/>
          <w:rtl/>
        </w:rPr>
        <w:t>והטיפול ב"מאוימים"</w:t>
      </w:r>
      <w:r>
        <w:rPr>
          <w:rFonts w:cs="David"/>
          <w:szCs w:val="24"/>
          <w:rtl/>
        </w:rPr>
        <w:tab/>
      </w:r>
      <w:r>
        <w:rPr>
          <w:rFonts w:cs="David"/>
          <w:szCs w:val="24"/>
          <w:rtl/>
        </w:rPr>
        <w:tab/>
      </w:r>
      <w:r>
        <w:rPr>
          <w:rFonts w:cs="David" w:hint="cs"/>
          <w:szCs w:val="24"/>
          <w:rtl/>
        </w:rPr>
        <w:t>1081</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before="360" w:after="120"/>
        <w:ind w:right="851"/>
        <w:rPr>
          <w:rFonts w:hint="cs"/>
          <w:rtl/>
        </w:rPr>
      </w:pPr>
      <w:r>
        <w:rPr>
          <w:rFonts w:hint="cs"/>
          <w:rtl/>
        </w:rPr>
        <w:t>פרק שישי - תכנית ההתנתקות</w:t>
      </w:r>
    </w:p>
    <w:p w:rsidR="00000000">
      <w:pPr>
        <w:tabs>
          <w:tab w:val="right" w:leader="dot" w:pos="6237"/>
          <w:tab w:val="left" w:pos="6350"/>
        </w:tabs>
        <w:spacing w:line="360" w:lineRule="exact"/>
        <w:ind w:right="851"/>
        <w:jc w:val="left"/>
        <w:rPr>
          <w:rFonts w:cs="David"/>
          <w:b/>
          <w:bCs/>
          <w:sz w:val="28"/>
          <w:szCs w:val="28"/>
          <w:lang w:eastAsia="he-IL"/>
        </w:rPr>
      </w:pPr>
      <w:r>
        <w:rPr>
          <w:rFonts w:cs="David" w:hint="cs"/>
          <w:b/>
          <w:bCs/>
          <w:sz w:val="28"/>
          <w:szCs w:val="28"/>
          <w:rtl/>
          <w:lang w:eastAsia="he-IL"/>
        </w:rPr>
        <w:t>תכנית ההתנתקות</w:t>
      </w:r>
      <w:r>
        <w:rPr>
          <w:rFonts w:cs="David"/>
          <w:szCs w:val="24"/>
          <w:rtl/>
        </w:rPr>
        <w:tab/>
      </w:r>
      <w:r>
        <w:rPr>
          <w:rFonts w:cs="David"/>
          <w:szCs w:val="24"/>
          <w:rtl/>
        </w:rPr>
        <w:tab/>
      </w:r>
      <w:r>
        <w:rPr>
          <w:rFonts w:cs="David" w:hint="cs"/>
          <w:szCs w:val="24"/>
          <w:rtl/>
        </w:rPr>
        <w:t>1085</w:t>
      </w:r>
    </w:p>
    <w:p w:rsidR="00000000">
      <w:pPr>
        <w:tabs>
          <w:tab w:val="right" w:leader="dot" w:pos="6237"/>
          <w:tab w:val="left" w:pos="6350"/>
        </w:tabs>
        <w:ind w:left="397" w:right="851"/>
        <w:jc w:val="left"/>
        <w:rPr>
          <w:rFonts w:cs="David" w:hint="cs"/>
          <w:szCs w:val="24"/>
          <w:rtl/>
        </w:rPr>
      </w:pPr>
      <w:r>
        <w:rPr>
          <w:rFonts w:cs="David" w:hint="cs"/>
          <w:szCs w:val="24"/>
          <w:rtl/>
        </w:rPr>
        <w:t>יישום התכ</w:t>
      </w:r>
      <w:r>
        <w:rPr>
          <w:rFonts w:cs="David" w:hint="cs"/>
          <w:szCs w:val="24"/>
          <w:rtl/>
        </w:rPr>
        <w:t>נית - הכנת שומות פרטניות לבתי מגורים</w:t>
      </w:r>
      <w:r>
        <w:rPr>
          <w:rFonts w:cs="David" w:hint="cs"/>
          <w:szCs w:val="24"/>
          <w:rtl/>
        </w:rPr>
        <w:tab/>
      </w:r>
      <w:r>
        <w:rPr>
          <w:rFonts w:cs="David" w:hint="cs"/>
          <w:szCs w:val="24"/>
          <w:rtl/>
        </w:rPr>
        <w:tab/>
        <w:t>1087</w:t>
      </w:r>
    </w:p>
    <w:p w:rsidR="00000000">
      <w:pPr>
        <w:tabs>
          <w:tab w:val="right" w:leader="dot" w:pos="6237"/>
          <w:tab w:val="left" w:pos="6350"/>
        </w:tabs>
        <w:ind w:left="397" w:right="851"/>
        <w:jc w:val="left"/>
        <w:rPr>
          <w:rFonts w:cs="David" w:hint="cs"/>
          <w:szCs w:val="24"/>
          <w:rtl/>
        </w:rPr>
      </w:pPr>
      <w:r>
        <w:rPr>
          <w:rFonts w:cs="David" w:hint="cs"/>
          <w:szCs w:val="24"/>
          <w:rtl/>
        </w:rPr>
        <w:t>תקצוב התכנית ואומדן עלותה</w:t>
      </w:r>
      <w:r>
        <w:rPr>
          <w:rFonts w:cs="David" w:hint="cs"/>
          <w:szCs w:val="24"/>
          <w:rtl/>
        </w:rPr>
        <w:tab/>
      </w:r>
      <w:r>
        <w:rPr>
          <w:rFonts w:cs="David" w:hint="cs"/>
          <w:szCs w:val="24"/>
          <w:rtl/>
        </w:rPr>
        <w:tab/>
        <w:t>1103</w:t>
      </w:r>
    </w:p>
    <w:p w:rsidR="00000000">
      <w:pPr>
        <w:jc w:val="center"/>
        <w:rPr>
          <w:rFonts w:hint="cs"/>
          <w:sz w:val="16"/>
          <w:szCs w:val="16"/>
          <w:rtl/>
        </w:rPr>
      </w:pPr>
    </w:p>
    <w:p w:rsidR="00000000">
      <w:pPr>
        <w:spacing w:after="0"/>
        <w:jc w:val="center"/>
        <w:rPr>
          <w:rFonts w:hint="cs"/>
          <w:sz w:val="28"/>
          <w:szCs w:val="28"/>
          <w:rtl/>
        </w:rPr>
      </w:pPr>
      <w:r>
        <w:rPr>
          <w:rFonts w:ascii="Monotype Sorts" w:hAnsi="Monotype Sorts"/>
          <w:sz w:val="28"/>
          <w:szCs w:val="28"/>
        </w:rPr>
        <w:sym w:font="Monotype Sorts" w:char="F04F"/>
      </w:r>
    </w:p>
    <w:p w:rsidR="00000000">
      <w:pPr>
        <w:jc w:val="center"/>
        <w:rPr>
          <w:rFonts w:hint="cs"/>
          <w:sz w:val="16"/>
          <w:szCs w:val="16"/>
          <w:rtl/>
        </w:rPr>
      </w:pPr>
    </w:p>
    <w:p w:rsidR="00000000">
      <w:pPr>
        <w:pStyle w:val="KOT2"/>
        <w:keepNext w:val="0"/>
        <w:tabs>
          <w:tab w:val="right" w:leader="dot" w:pos="6237"/>
          <w:tab w:val="left" w:pos="6350"/>
        </w:tabs>
        <w:spacing w:before="240" w:after="120" w:line="280" w:lineRule="exact"/>
        <w:ind w:right="851"/>
        <w:jc w:val="left"/>
        <w:rPr>
          <w:rFonts w:hint="cs"/>
          <w:sz w:val="28"/>
          <w:szCs w:val="28"/>
          <w:rtl/>
        </w:rPr>
      </w:pPr>
      <w:r>
        <w:rPr>
          <w:rFonts w:hint="cs"/>
          <w:sz w:val="28"/>
          <w:szCs w:val="28"/>
          <w:rtl/>
        </w:rPr>
        <w:t>חוק יסוד: מבקר המדינה</w:t>
      </w:r>
      <w:r>
        <w:rPr>
          <w:rFonts w:hint="cs"/>
          <w:b w:val="0"/>
          <w:bCs w:val="0"/>
          <w:sz w:val="24"/>
          <w:szCs w:val="24"/>
          <w:rtl/>
        </w:rPr>
        <w:tab/>
      </w:r>
      <w:r>
        <w:rPr>
          <w:rFonts w:hint="cs"/>
          <w:b w:val="0"/>
          <w:bCs w:val="0"/>
          <w:sz w:val="24"/>
          <w:szCs w:val="24"/>
          <w:rtl/>
        </w:rPr>
        <w:tab/>
        <w:t>1121</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r>
        <w:rPr>
          <w:rFonts w:hint="cs"/>
          <w:sz w:val="28"/>
          <w:szCs w:val="28"/>
          <w:rtl/>
        </w:rPr>
        <w:t>חוק מבקר המדינה, התשי"ח-1958 [נוסח משולב]</w:t>
      </w:r>
      <w:r>
        <w:rPr>
          <w:rFonts w:hint="cs"/>
          <w:b w:val="0"/>
          <w:bCs w:val="0"/>
          <w:sz w:val="24"/>
          <w:szCs w:val="24"/>
          <w:rtl/>
        </w:rPr>
        <w:tab/>
      </w:r>
      <w:r>
        <w:rPr>
          <w:rFonts w:hint="cs"/>
          <w:b w:val="0"/>
          <w:bCs w:val="0"/>
          <w:sz w:val="24"/>
          <w:szCs w:val="24"/>
          <w:rtl/>
        </w:rPr>
        <w:tab/>
        <w:t>1123</w:t>
      </w:r>
    </w:p>
    <w:sectPr>
      <w:pgSz w:w="11906" w:h="16838" w:code="9"/>
      <w:pgMar w:top="1758" w:right="2552" w:bottom="4253" w:left="2552" w:header="1247" w:footer="70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5765DA"/>
    <w:multiLevelType w:val="hybridMultilevel"/>
    <w:tmpl w:val="460EE1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3">
    <w:nsid w:val="1DEF21D2"/>
    <w:multiLevelType w:val="hybridMultilevel"/>
    <w:tmpl w:val="60F882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A37A4E"/>
    <w:multiLevelType w:val="hybridMultilevel"/>
    <w:tmpl w:val="9B00E9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FE39C3"/>
    <w:multiLevelType w:val="hybridMultilevel"/>
    <w:tmpl w:val="584A6D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8D2135"/>
    <w:multiLevelType w:val="hybridMultilevel"/>
    <w:tmpl w:val="4210A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163746"/>
    <w:multiLevelType w:val="hybridMultilevel"/>
    <w:tmpl w:val="59F20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600013"/>
    <w:multiLevelType w:val="hybridMultilevel"/>
    <w:tmpl w:val="0B54E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D2A2DDC"/>
    <w:multiLevelType w:val="hybridMultilevel"/>
    <w:tmpl w:val="2602883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F093FCF"/>
    <w:multiLevelType w:val="hybridMultilevel"/>
    <w:tmpl w:val="523E8F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FBB6D27"/>
    <w:multiLevelType w:val="hybridMultilevel"/>
    <w:tmpl w:val="77264A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06462A6"/>
    <w:multiLevelType w:val="hybridMultilevel"/>
    <w:tmpl w:val="79D08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253C99"/>
    <w:multiLevelType w:val="singleLevel"/>
    <w:tmpl w:val="CB924DAA"/>
    <w:lvl w:ilvl="0">
      <w:start w:val="1"/>
      <w:numFmt w:val="hebrew1"/>
      <w:lvlText w:val="(%1)"/>
      <w:lvlJc w:val="center"/>
      <w:pPr>
        <w:tabs>
          <w:tab w:val="num" w:pos="473"/>
        </w:tabs>
        <w:ind w:left="0" w:firstLine="113"/>
      </w:pPr>
    </w:lvl>
  </w:abstractNum>
  <w:abstractNum w:abstractNumId="17">
    <w:nsid w:val="53801E6B"/>
    <w:multiLevelType w:val="singleLevel"/>
    <w:tmpl w:val="411409B6"/>
    <w:lvl w:ilvl="0">
      <w:start w:val="1"/>
      <w:numFmt w:val="decimal"/>
      <w:lvlText w:val="%1."/>
      <w:lvlJc w:val="center"/>
      <w:pPr>
        <w:tabs>
          <w:tab w:val="num" w:pos="648"/>
        </w:tabs>
        <w:ind w:left="360" w:hanging="72"/>
      </w:pPr>
    </w:lvl>
  </w:abstractNum>
  <w:abstractNum w:abstractNumId="18">
    <w:nsid w:val="54B44578"/>
    <w:multiLevelType w:val="hybridMultilevel"/>
    <w:tmpl w:val="AC386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1A6934"/>
    <w:multiLevelType w:val="singleLevel"/>
    <w:tmpl w:val="6AA22732"/>
    <w:lvl w:ilvl="0">
      <w:start w:val="20"/>
      <w:numFmt w:val="bullet"/>
      <w:lvlText w:val="-"/>
      <w:lvlJc w:val="left"/>
      <w:pPr>
        <w:tabs>
          <w:tab w:val="num" w:pos="720"/>
        </w:tabs>
        <w:ind w:left="720" w:hanging="720"/>
      </w:pPr>
      <w:rPr>
        <w:rFonts w:cs="Times New Roman" w:hint="default"/>
        <w:sz w:val="24"/>
      </w:rPr>
    </w:lvl>
  </w:abstractNum>
  <w:abstractNum w:abstractNumId="21">
    <w:nsid w:val="56FD6849"/>
    <w:multiLevelType w:val="hybridMultilevel"/>
    <w:tmpl w:val="FD149E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DEC69B7"/>
    <w:multiLevelType w:val="singleLevel"/>
    <w:tmpl w:val="CB924DAA"/>
    <w:lvl w:ilvl="0">
      <w:start w:val="1"/>
      <w:numFmt w:val="hebrew1"/>
      <w:lvlText w:val="(%1)"/>
      <w:lvlJc w:val="center"/>
      <w:pPr>
        <w:tabs>
          <w:tab w:val="num" w:pos="473"/>
        </w:tabs>
        <w:ind w:left="0" w:firstLine="113"/>
      </w:pPr>
    </w:lvl>
  </w:abstractNum>
  <w:abstractNum w:abstractNumId="23">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4">
    <w:nsid w:val="6A1C7FB5"/>
    <w:multiLevelType w:val="singleLevel"/>
    <w:tmpl w:val="CB646ABA"/>
    <w:lvl w:ilvl="0">
      <w:start w:val="1"/>
      <w:numFmt w:val="hebrew1"/>
      <w:lvlText w:val="%1."/>
      <w:lvlJc w:val="center"/>
      <w:pPr>
        <w:tabs>
          <w:tab w:val="num" w:pos="797"/>
        </w:tabs>
        <w:ind w:left="797" w:hanging="360"/>
      </w:pPr>
    </w:lvl>
  </w:abstractNum>
  <w:abstractNum w:abstractNumId="25">
    <w:nsid w:val="6B6422C9"/>
    <w:multiLevelType w:val="hybridMultilevel"/>
    <w:tmpl w:val="44B2E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292186E"/>
    <w:multiLevelType w:val="hybridMultilevel"/>
    <w:tmpl w:val="C1E636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E63E87"/>
    <w:multiLevelType w:val="hybridMultilevel"/>
    <w:tmpl w:val="EBB29F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1D2F56"/>
    <w:multiLevelType w:val="multilevel"/>
    <w:tmpl w:val="21BA219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9">
    <w:nsid w:val="7C826799"/>
    <w:multiLevelType w:val="singleLevel"/>
    <w:tmpl w:val="CB924DAA"/>
    <w:lvl w:ilvl="0">
      <w:start w:val="1"/>
      <w:numFmt w:val="hebrew1"/>
      <w:lvlText w:val="(%1)"/>
      <w:lvlJc w:val="center"/>
      <w:pPr>
        <w:tabs>
          <w:tab w:val="num" w:pos="473"/>
        </w:tabs>
        <w:ind w:left="0" w:firstLine="113"/>
      </w:pPr>
    </w:lvl>
  </w:abstractNum>
  <w:num w:numId="1">
    <w:abstractNumId w:val="12"/>
  </w:num>
  <w:num w:numId="2">
    <w:abstractNumId w:val="12"/>
  </w:num>
  <w:num w:numId="3">
    <w:abstractNumId w:val="12"/>
  </w:num>
  <w:num w:numId="4">
    <w:abstractNumId w:val="10"/>
  </w:num>
  <w:num w:numId="5">
    <w:abstractNumId w:val="24"/>
  </w:num>
  <w:num w:numId="6">
    <w:abstractNumId w:val="24"/>
  </w:num>
  <w:num w:numId="7">
    <w:abstractNumId w:val="12"/>
  </w:num>
  <w:num w:numId="8">
    <w:abstractNumId w:val="12"/>
  </w:num>
  <w:num w:numId="9">
    <w:abstractNumId w:val="24"/>
  </w:num>
  <w:num w:numId="10">
    <w:abstractNumId w:val="12"/>
  </w:num>
  <w:num w:numId="11">
    <w:abstractNumId w:val="24"/>
  </w:num>
  <w:num w:numId="12">
    <w:abstractNumId w:val="19"/>
  </w:num>
  <w:num w:numId="13">
    <w:abstractNumId w:val="0"/>
  </w:num>
  <w:num w:numId="14">
    <w:abstractNumId w:val="28"/>
  </w:num>
  <w:num w:numId="15">
    <w:abstractNumId w:val="20"/>
  </w:num>
  <w:num w:numId="16">
    <w:abstractNumId w:val="17"/>
  </w:num>
  <w:num w:numId="17">
    <w:abstractNumId w:val="2"/>
  </w:num>
  <w:num w:numId="18">
    <w:abstractNumId w:val="22"/>
  </w:num>
  <w:num w:numId="19">
    <w:abstractNumId w:val="29"/>
  </w:num>
  <w:num w:numId="20">
    <w:abstractNumId w:val="16"/>
  </w:num>
  <w:num w:numId="21">
    <w:abstractNumId w:val="18"/>
  </w:num>
  <w:num w:numId="22">
    <w:abstractNumId w:val="26"/>
  </w:num>
  <w:num w:numId="23">
    <w:abstractNumId w:val="4"/>
  </w:num>
  <w:num w:numId="24">
    <w:abstractNumId w:val="15"/>
  </w:num>
  <w:num w:numId="25">
    <w:abstractNumId w:val="21"/>
  </w:num>
  <w:num w:numId="26">
    <w:abstractNumId w:val="7"/>
  </w:num>
  <w:num w:numId="27">
    <w:abstractNumId w:val="1"/>
  </w:num>
  <w:num w:numId="28">
    <w:abstractNumId w:val="27"/>
  </w:num>
  <w:num w:numId="29">
    <w:abstractNumId w:val="14"/>
  </w:num>
  <w:num w:numId="30">
    <w:abstractNumId w:val="3"/>
  </w:num>
  <w:num w:numId="31">
    <w:abstractNumId w:val="8"/>
  </w:num>
  <w:num w:numId="32">
    <w:abstractNumId w:val="13"/>
  </w:num>
  <w:num w:numId="33">
    <w:abstractNumId w:val="6"/>
  </w:num>
  <w:num w:numId="34">
    <w:abstractNumId w:val="25"/>
  </w:num>
  <w:num w:numId="35">
    <w:abstractNumId w:val="5"/>
  </w:num>
  <w:num w:numId="36">
    <w:abstractNumId w:val="11"/>
  </w:num>
  <w:num w:numId="37">
    <w:abstractNumId w:val="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A9"/>
    <w:rsid w:val="002E6BA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jc w:val="center"/>
      <w:outlineLvl w:val="2"/>
    </w:pPr>
    <w:rPr>
      <w:b/>
      <w:bCs/>
      <w:sz w:val="42"/>
      <w:szCs w:val="40"/>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outlineLvl w:val="4"/>
    </w:pPr>
    <w:rPr>
      <w:b/>
      <w:bCs/>
      <w:sz w:val="30"/>
      <w:szCs w:val="28"/>
    </w:rPr>
  </w:style>
  <w:style w:type="paragraph" w:styleId="Heading6">
    <w:name w:val="heading 6"/>
    <w:basedOn w:val="Normal"/>
    <w:next w:val="Normal"/>
    <w:uiPriority w:val="9"/>
    <w:qFormat/>
    <w:pPr>
      <w:keepNext/>
      <w:jc w:val="center"/>
      <w:outlineLvl w:val="5"/>
    </w:pPr>
    <w:rPr>
      <w:b/>
      <w:bCs/>
      <w:sz w:val="34"/>
      <w:szCs w:val="32"/>
    </w:rPr>
  </w:style>
  <w:style w:type="paragraph" w:styleId="Heading7">
    <w:name w:val="heading 7"/>
    <w:basedOn w:val="Normal"/>
    <w:next w:val="Normal"/>
    <w:uiPriority w:val="9"/>
    <w:qFormat/>
    <w:pPr>
      <w:keepNext/>
      <w:outlineLvl w:val="6"/>
    </w:pPr>
    <w:rPr>
      <w:b/>
      <w:bCs/>
      <w:sz w:val="28"/>
      <w:szCs w:val="26"/>
    </w:rPr>
  </w:style>
  <w:style w:type="paragraph" w:styleId="Heading8">
    <w:name w:val="heading 8"/>
    <w:basedOn w:val="Normal"/>
    <w:next w:val="Normal"/>
    <w:uiPriority w:val="9"/>
    <w:qFormat/>
    <w:pPr>
      <w:keepNext/>
      <w:outlineLvl w:val="7"/>
    </w:pPr>
    <w:rPr>
      <w:b/>
      <w:bCs/>
      <w:sz w:val="28"/>
      <w:szCs w:val="26"/>
    </w:rPr>
  </w:style>
  <w:style w:type="paragraph" w:styleId="Heading9">
    <w:name w:val="heading 9"/>
    <w:basedOn w:val="Normal"/>
    <w:next w:val="Normal"/>
    <w:uiPriority w:val="9"/>
    <w:qFormat/>
    <w:pPr>
      <w:keepNext/>
      <w:outlineLvl w:val="8"/>
    </w:pPr>
    <w:rPr>
      <w:b/>
      <w:bCs/>
      <w:sz w:val="28"/>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spacing w:after="0" w:line="200" w:lineRule="exact"/>
    </w:pPr>
    <w:rPr>
      <w:sz w:val="20"/>
      <w:szCs w:val="20"/>
    </w:rPr>
  </w:style>
  <w:style w:type="character" w:styleId="FootnoteReference">
    <w:name w:val="footnote reference"/>
    <w:basedOn w:val="DefaultParagraphFont"/>
    <w:rPr>
      <w:rFonts w:ascii="FrankRuehl" w:hAnsi="FrankRuehl" w:cs="FrankRuehl"/>
      <w:vertAlign w:val="superscript"/>
    </w:rPr>
  </w:style>
  <w:style w:type="paragraph" w:styleId="EndnoteText">
    <w:name w:val="endnote text"/>
    <w:basedOn w:val="Normal"/>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pPr>
      <w:spacing w:after="0" w:line="360" w:lineRule="auto"/>
    </w:pPr>
    <w:rPr>
      <w:rFonts w:cs="Times New Roman"/>
      <w:noProof/>
      <w:sz w:val="25"/>
      <w:szCs w:val="25"/>
      <w:lang w:eastAsia="he-IL"/>
    </w:rPr>
  </w:style>
  <w:style w:type="paragraph" w:styleId="PlainText">
    <w:name w:val="Plain Text"/>
    <w:basedOn w:val="Normal"/>
    <w:pPr>
      <w:widowControl w:val="0"/>
      <w:spacing w:after="0" w:line="312" w:lineRule="auto"/>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wmf"/><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styles" Target="styles.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D95EF-4BC7-4043-A312-2C80D07A68DF}"/>
</file>

<file path=customXml/itemProps2.xml><?xml version="1.0" encoding="utf-8"?>
<ds:datastoreItem xmlns:ds="http://schemas.openxmlformats.org/officeDocument/2006/customXml" ds:itemID="{37257D8E-2E4B-4B53-8674-5255567F2368}"/>
</file>

<file path=customXml/itemProps3.xml><?xml version="1.0" encoding="utf-8"?>
<ds:datastoreItem xmlns:ds="http://schemas.openxmlformats.org/officeDocument/2006/customXml" ds:itemID="{AFDCCFA0-7A9A-41F6-AC4F-5F86BA2913C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