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pPr>
      <w:bookmarkStart w:id="0" w:name="_Toc168371742"/>
      <w:bookmarkStart w:id="1" w:name="_GoBack"/>
      <w:bookmarkEnd w:id="1"/>
      <w:r>
        <w:rPr>
          <w:rtl/>
        </w:rPr>
        <w:t>אגף שיקום נכים</w:t>
      </w:r>
    </w:p>
    <w:p w:rsidR="00000000">
      <w:pPr>
        <w:pStyle w:val="KOT1"/>
      </w:pPr>
      <w:r>
        <w:rPr>
          <w:rtl/>
        </w:rPr>
        <w:t xml:space="preserve">לוחות זמנים לקביעת דרגת נכות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4"/>
        <w:rPr>
          <w:sz w:val="30"/>
          <w:szCs w:val="30"/>
        </w:rPr>
      </w:pPr>
      <w:r>
        <w:rPr>
          <w:sz w:val="30"/>
          <w:szCs w:val="30"/>
          <w:rtl/>
        </w:rPr>
        <w:t>תקציר</w:t>
      </w:r>
    </w:p>
    <w:p w:rsidR="00000000">
      <w:pPr>
        <w:pStyle w:val="takzir"/>
      </w:pPr>
      <w:r>
        <w:rPr>
          <w:rtl/>
        </w:rPr>
        <w:t>על פי חוק הנכים (תגמולים ושיקום) התשי"ט-1959 (להלן - חוק הנכים), תהליך ההכרה בנכה צה"ל מורכב משני שלבים: שלב קביעת הקשר הסיבתי ושלב קביעת דרגת הנכות. מי שקצין תגמולים הכיר בתביעתו ונקבע קשר סיבתי בין הנכ</w:t>
      </w:r>
      <w:r>
        <w:rPr>
          <w:rtl/>
        </w:rPr>
        <w:t>ות הנטענת לבין השירות הצבאי, עובר לשלב השני, הוא שלב קביעת דרגת הנכות. קביעת דרגת הנכות היא בסמכות ועדה רפואית (להלן - וע"ר). באגף שיקום נכים שבמשרד הביטחון (להלן - אגף השיקום או האגף) פועלות וע"ר משני דרגים: ועדה רפואית (להלן - וע"ר מחוזית) וועדה רפואית ע</w:t>
      </w:r>
      <w:r>
        <w:rPr>
          <w:rtl/>
        </w:rPr>
        <w:t>ליונה (להלן - וע"ר עליונה). על פי נתוני האגף</w:t>
      </w:r>
      <w:r>
        <w:rPr>
          <w:rStyle w:val="FootnoteReference"/>
          <w:sz w:val="24"/>
          <w:szCs w:val="24"/>
          <w:rtl/>
        </w:rPr>
        <w:footnoteReference w:id="2"/>
      </w:r>
      <w:r>
        <w:rPr>
          <w:rtl/>
        </w:rPr>
        <w:t>, בשנת 2005 התקיימו 9,433 וע"ר</w:t>
      </w:r>
      <w:r>
        <w:rPr>
          <w:rStyle w:val="FootnoteReference"/>
          <w:sz w:val="24"/>
          <w:szCs w:val="24"/>
          <w:rtl/>
        </w:rPr>
        <w:footnoteReference w:id="3"/>
      </w:r>
      <w:r>
        <w:rPr>
          <w:rtl/>
        </w:rPr>
        <w:t xml:space="preserve">, מהן 7,087 וע"ר מחוזיות ו-2,346 וע"ר עליונות. </w:t>
      </w:r>
    </w:p>
    <w:p w:rsidR="00000000">
      <w:pPr>
        <w:pStyle w:val="takzir"/>
      </w:pPr>
    </w:p>
    <w:p w:rsidR="00000000">
      <w:pPr>
        <w:pStyle w:val="KOT4"/>
      </w:pPr>
      <w:r>
        <w:rPr>
          <w:sz w:val="22"/>
          <w:rtl/>
        </w:rPr>
        <w:t xml:space="preserve">פעולות הביקורת </w:t>
      </w:r>
    </w:p>
    <w:p w:rsidR="00000000">
      <w:pPr>
        <w:pStyle w:val="takzir"/>
      </w:pPr>
      <w:r>
        <w:rPr>
          <w:rtl/>
        </w:rPr>
        <w:t>בתקופה אפריל 2006 עד אפריל 2007 עשה משרד מבקר המדינה, לסירוגין, ביקורת על לוחות הזמנים לקביעת דרגת נכות באגף. הביקו</w:t>
      </w:r>
      <w:r>
        <w:rPr>
          <w:rtl/>
        </w:rPr>
        <w:t>רת נערכה במשרד הביטחון (להלן - המשרד): באגף ובחלק ממחוזותיו; באגף ארגון, בקרה ומינהל; באגף משאבי אנוש ובאגף היועץ המשפטי למערכת הביטחון. ביקורת השלמה נערכה בנציבות שירות המדינה ובפרקליטות המדינה.</w:t>
      </w:r>
    </w:p>
    <w:p w:rsidR="00000000">
      <w:pPr>
        <w:pStyle w:val="takzir"/>
      </w:pPr>
    </w:p>
    <w:p w:rsidR="00000000">
      <w:pPr>
        <w:pStyle w:val="KOT4"/>
        <w:rPr>
          <w:sz w:val="22"/>
        </w:rPr>
      </w:pPr>
      <w:r>
        <w:rPr>
          <w:sz w:val="22"/>
          <w:rtl/>
        </w:rPr>
        <w:t>עיקרי הממצאים</w:t>
      </w:r>
    </w:p>
    <w:p w:rsidR="00000000">
      <w:pPr>
        <w:pStyle w:val="takzir"/>
      </w:pPr>
      <w:r>
        <w:rPr>
          <w:rtl/>
        </w:rPr>
        <w:t xml:space="preserve">1. </w:t>
      </w:r>
      <w:r>
        <w:rPr>
          <w:rtl/>
        </w:rPr>
        <w:tab/>
        <w:t>הוראות האגף אינן מגדירות לוחות זמנים או מ</w:t>
      </w:r>
      <w:r>
        <w:rPr>
          <w:rtl/>
        </w:rPr>
        <w:t>שכי זמן מרביים לטיפול בכל אחד משלבי התביעה או לתהליך בכללותו, למעט קביעה, כי על המינהלה הרפואית</w:t>
      </w:r>
      <w:r>
        <w:rPr>
          <w:rStyle w:val="FootnoteReference"/>
          <w:sz w:val="24"/>
          <w:szCs w:val="24"/>
          <w:rtl/>
        </w:rPr>
        <w:footnoteReference w:id="4"/>
      </w:r>
      <w:r>
        <w:rPr>
          <w:rtl/>
        </w:rPr>
        <w:t xml:space="preserve"> לזמן וע"ר מחוזית או עליונה בתוך 45 יום ממועד סיום הכנת התיק לווע"ר</w:t>
      </w:r>
      <w:r>
        <w:rPr>
          <w:rStyle w:val="FootnoteReference"/>
          <w:sz w:val="24"/>
          <w:szCs w:val="24"/>
          <w:rtl/>
        </w:rPr>
        <w:footnoteReference w:id="5"/>
      </w:r>
      <w:r>
        <w:rPr>
          <w:rtl/>
        </w:rPr>
        <w:t xml:space="preserve">. היעדר לוחות </w:t>
      </w:r>
      <w:r>
        <w:rPr>
          <w:rtl/>
        </w:rPr>
        <w:t>זמנים מקשה על האגף לבחון את יעילות התהליך לקביעת דרגת נכות ולפעול לשיפורו במיד</w:t>
      </w:r>
      <w:r>
        <w:rPr>
          <w:rtl/>
        </w:rPr>
        <w:t>ת הצורך.</w:t>
      </w:r>
    </w:p>
    <w:p w:rsidR="00000000">
      <w:pPr>
        <w:pStyle w:val="takzir"/>
      </w:pPr>
      <w:r>
        <w:rPr>
          <w:rtl/>
        </w:rPr>
        <w:t xml:space="preserve">2. </w:t>
      </w:r>
      <w:r>
        <w:rPr>
          <w:rtl/>
        </w:rPr>
        <w:tab/>
        <w:t xml:space="preserve">האגף אינו עומד בלוח הזמנים היחיד שנקבע, וכשליש מהנכים ממתין למעלה </w:t>
      </w:r>
      <w:r>
        <w:rPr>
          <w:rFonts w:hint="cs"/>
          <w:rtl/>
        </w:rPr>
        <w:br/>
      </w:r>
      <w:r>
        <w:rPr>
          <w:rtl/>
        </w:rPr>
        <w:t xml:space="preserve">מ-45 יום לכינוס וע"ר. היעדר מחויבות ללוח הזמנים שבהוראות פוגע באיכות השירות. </w:t>
      </w:r>
    </w:p>
    <w:p w:rsidR="00000000">
      <w:pPr>
        <w:pStyle w:val="takzir"/>
      </w:pPr>
      <w:r>
        <w:rPr>
          <w:rtl/>
        </w:rPr>
        <w:t xml:space="preserve">3. </w:t>
      </w:r>
      <w:r>
        <w:rPr>
          <w:rtl/>
        </w:rPr>
        <w:tab/>
        <w:t xml:space="preserve">בשנים 2003-2006, בממוצע כ-66% מהתביעות בווע"ר המחוזיות וכ-43% מהתביעות בווע"ר העליונות, טופלו </w:t>
      </w:r>
      <w:r>
        <w:rPr>
          <w:rtl/>
        </w:rPr>
        <w:t xml:space="preserve">בפרק זמן של עד שלושה חודשים וכ-90% מהתביעות בווע"ר המחוזיות וכ-78% מהתביעות בווע"ר העליונות טופלו בפרק זמן של עד שבעה חודשים. נמצא, כי קיימים פערים בין המחוזות השונים: בשנים 2003-2005, שיעור התביעות שהטיפול בהן נמשך מעל שבעה חודשים, הן בווע"ר המחוזיות והן </w:t>
      </w:r>
      <w:r>
        <w:rPr>
          <w:rtl/>
        </w:rPr>
        <w:t>בווע"ר העליונות, היה הנמוך ביותר במחוז ירושלים, ואילו בלשכת תל אביב (שבטיפול המטה</w:t>
      </w:r>
      <w:r>
        <w:rPr>
          <w:rStyle w:val="FootnoteReference"/>
          <w:sz w:val="24"/>
          <w:szCs w:val="24"/>
          <w:rtl/>
        </w:rPr>
        <w:footnoteReference w:id="6"/>
      </w:r>
      <w:r>
        <w:rPr>
          <w:rtl/>
        </w:rPr>
        <w:t>) שיעור זה היה גבוה משמעותית הן ביחס למחוזות אחרים והן ביחס ללשכות אחרות המטופלות במטה. בשנת 2006 חל שיפור, ושיעור התביעות שהטיפול בהן נמשך מעל שבעה חודשים ירד בכל הלשכות המט</w:t>
      </w:r>
      <w:r>
        <w:rPr>
          <w:rtl/>
        </w:rPr>
        <w:t xml:space="preserve">ופלות במטה ובכל המחוזות, למעט במחוז חיפה. </w:t>
      </w:r>
    </w:p>
    <w:p w:rsidR="00000000">
      <w:pPr>
        <w:pStyle w:val="takzir"/>
      </w:pPr>
      <w:r>
        <w:rPr>
          <w:rtl/>
        </w:rPr>
        <w:t xml:space="preserve">4. </w:t>
      </w:r>
      <w:r>
        <w:rPr>
          <w:rtl/>
        </w:rPr>
        <w:tab/>
        <w:t>האגף לא בחן את הנתונים דלעיל, וממילא לא נתן את הדעת לפערים במשך הזמן של הטיפול בתביעות בין המחוזות השונים ובעיקר בין הלשכות השונות המטופלות במטה, המרכז כמחצית מהתביעות המטופלות בווע"ר המחוזיות ובווע"ר העליונות</w:t>
      </w:r>
      <w:r>
        <w:rPr>
          <w:rtl/>
        </w:rPr>
        <w:t>.</w:t>
      </w:r>
    </w:p>
    <w:p w:rsidR="00000000">
      <w:pPr>
        <w:pStyle w:val="takzir"/>
      </w:pPr>
      <w:r>
        <w:rPr>
          <w:rtl/>
        </w:rPr>
        <w:t xml:space="preserve">5. </w:t>
      </w:r>
      <w:r>
        <w:rPr>
          <w:rtl/>
        </w:rPr>
        <w:tab/>
        <w:t xml:space="preserve">שיעור התביעות שהטיפול בהן נמשך שנה ומעלה בכל אחת מהשנים 2005 </w:t>
      </w:r>
      <w:r>
        <w:rPr>
          <w:rFonts w:hint="cs"/>
          <w:rtl/>
        </w:rPr>
        <w:br/>
      </w:r>
      <w:r>
        <w:rPr>
          <w:rtl/>
        </w:rPr>
        <w:t>ו-2006 עמד על כ-4% מכלל התביעות בווע"ר המחוזיות ועל כ-10.5% מכלל התביעות בווע"ר העליונות. על אף ששיעור זה אינו גבוה במיוחד, בכל אחד מהמקרים מדובר בנכה שעיכוב הטיפול בתביעתו מהווה פגיעה בו.</w:t>
      </w:r>
      <w:r>
        <w:rPr>
          <w:rtl/>
        </w:rPr>
        <w:t xml:space="preserve"> מעבר לכך, יש במקרים אלה כדי לפגוע בתדמיתו של האגף בכל הנוגע לטיפול בנכים בווע"ר, הן בקרב הציבור בכלל והן בקרב אוכלוסיית הנכים ובני משפחותיהם בפרט.</w:t>
      </w:r>
    </w:p>
    <w:p w:rsidR="00000000">
      <w:pPr>
        <w:pStyle w:val="takzir"/>
      </w:pPr>
      <w:r>
        <w:rPr>
          <w:rtl/>
        </w:rPr>
        <w:t xml:space="preserve">6. </w:t>
      </w:r>
      <w:r>
        <w:rPr>
          <w:rtl/>
        </w:rPr>
        <w:tab/>
        <w:t>על החלטת וע"ר עליונה ניתן להגיש ערעור לבית המשפט המחוזי. האגף לא בדק מהו שיעור הערעורים שהתקבלו ומאילו ס</w:t>
      </w:r>
      <w:r>
        <w:rPr>
          <w:rtl/>
        </w:rPr>
        <w:t xml:space="preserve">יבות, האם קיימים פערים בעניין זה בין המחוזות והאם ניתן להפיק לקחים מנתונים אלה אודות סדרי עבודתן של הווע"ר. </w:t>
      </w:r>
    </w:p>
    <w:p w:rsidR="00000000">
      <w:pPr>
        <w:pStyle w:val="takzir"/>
      </w:pPr>
      <w:r>
        <w:rPr>
          <w:rtl/>
        </w:rPr>
        <w:t xml:space="preserve">7. </w:t>
      </w:r>
      <w:r>
        <w:rPr>
          <w:rtl/>
        </w:rPr>
        <w:tab/>
        <w:t xml:space="preserve">מאז 2004 האגף לא ערך כנסים ייעודיים להדרכה ולהנחיית רופאי הווע"ר. במחוזות תל אביב ובאר שבע אף לא נערכו כנסים כאלה מאז 1999. </w:t>
      </w:r>
    </w:p>
    <w:p w:rsidR="00000000">
      <w:pPr>
        <w:pStyle w:val="takzir"/>
      </w:pPr>
      <w:r>
        <w:rPr>
          <w:rtl/>
        </w:rPr>
        <w:t xml:space="preserve">8. </w:t>
      </w:r>
      <w:r>
        <w:rPr>
          <w:rtl/>
        </w:rPr>
        <w:tab/>
        <w:t>המשרד פעל בניג</w:t>
      </w:r>
      <w:r>
        <w:rPr>
          <w:rtl/>
        </w:rPr>
        <w:t xml:space="preserve">וד לדרישות שבתקנות הנכים בנוגע למינויים של ממונים על וע"ר מחוזיות, ומינה מעת לעת, לתפקיד הממונה על וע"ר, רופאים שלא נכללו לפני מינוים ברשימת הרופאים לעניין תקנות הנכים. </w:t>
      </w:r>
    </w:p>
    <w:p w:rsidR="00000000">
      <w:pPr>
        <w:pStyle w:val="takzir"/>
      </w:pPr>
    </w:p>
    <w:p w:rsidR="00000000">
      <w:pPr>
        <w:pStyle w:val="KOT4"/>
        <w:rPr>
          <w:sz w:val="22"/>
        </w:rPr>
      </w:pPr>
      <w:r>
        <w:rPr>
          <w:sz w:val="22"/>
          <w:rtl/>
        </w:rPr>
        <w:t>סיכום</w:t>
      </w:r>
    </w:p>
    <w:p w:rsidR="00000000">
      <w:pPr>
        <w:pStyle w:val="takzir"/>
      </w:pPr>
      <w:r>
        <w:rPr>
          <w:rtl/>
        </w:rPr>
        <w:t>למשכי הזמן בטיפול בתביעות לקביעת דרגת נכות השלכה ישירה על מועד קבלת התגמולים וה</w:t>
      </w:r>
      <w:r>
        <w:rPr>
          <w:rtl/>
        </w:rPr>
        <w:t xml:space="preserve">הטבות המגיעים לנכים. בהיעדר מנגנונים שנועדו להגביר את יעילותה של העבודה ביחידת הווע"ר, נוצרת פגיעה לא רק ביעילות הארגון אלא גם במועילות </w:t>
      </w:r>
      <w:r>
        <w:rPr>
          <w:rtl/>
        </w:rPr>
        <w:t>שלו לאוכלוסיית הנכים. זאת, כיוון שהתמשכות ההליך לקביעת דרגת נכות יש בה כדי לפגוע במימוש תפקידו העיקרי של האגף לסייע לנכי</w:t>
      </w:r>
      <w:r>
        <w:rPr>
          <w:rtl/>
        </w:rPr>
        <w:t>ם.</w:t>
      </w:r>
    </w:p>
    <w:p w:rsidR="00000000">
      <w:pPr>
        <w:pStyle w:val="takzir"/>
      </w:pPr>
      <w:r>
        <w:rPr>
          <w:rtl/>
        </w:rPr>
        <w:t>נוכח הודעת ראש האגף בהתייחסותו לממצאי הביקורת, כי הווע"ר נמצאות בשלב של ארגון מחדש מעיר משרד מבקר המדינה, כי על האגף לוודא, שבמסגרת הארגון מחדש של הווע"ר יתוקנו הליקויים שהעלה דוח זה.</w:t>
      </w:r>
    </w:p>
    <w:p w:rsidR="00000000">
      <w:pPr>
        <w:pStyle w:val="takzir"/>
        <w:rPr>
          <w:rFonts w:hint="cs"/>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tl/>
        </w:rPr>
        <w:t>מבוא</w:t>
      </w:r>
    </w:p>
    <w:p w:rsidR="00000000">
      <w:pPr>
        <w:pStyle w:val="PlainText"/>
        <w:widowControl/>
        <w:spacing w:after="120" w:line="230" w:lineRule="exact"/>
        <w:rPr>
          <w:rFonts w:ascii="Times New Roman" w:hAnsi="Times New Roman" w:cs="FrankRuehl"/>
          <w:sz w:val="22"/>
          <w:szCs w:val="22"/>
        </w:rPr>
      </w:pPr>
      <w:bookmarkEnd w:id="0"/>
      <w:r>
        <w:rPr>
          <w:rFonts w:ascii="Times New Roman" w:hAnsi="Times New Roman" w:cs="FrankRuehl"/>
          <w:sz w:val="22"/>
          <w:szCs w:val="22"/>
          <w:rtl/>
        </w:rPr>
        <w:t>על פי חוק הנכים (תגמולים ושיקום) התשי"ט-1959 (להלן - חוק הנכ</w:t>
      </w:r>
      <w:r>
        <w:rPr>
          <w:rFonts w:ascii="Times New Roman" w:hAnsi="Times New Roman" w:cs="FrankRuehl"/>
          <w:sz w:val="22"/>
          <w:szCs w:val="22"/>
          <w:rtl/>
        </w:rPr>
        <w:t xml:space="preserve">ים), תהליך ההכרה בנכה מורכב משני שלבים: </w:t>
      </w:r>
      <w:r>
        <w:rPr>
          <w:rFonts w:ascii="Times New Roman" w:hAnsi="Times New Roman" w:cs="FrankRuehl" w:hint="cs"/>
          <w:sz w:val="22"/>
          <w:szCs w:val="22"/>
          <w:rtl/>
        </w:rPr>
        <w:t xml:space="preserve">  </w:t>
      </w:r>
      <w:r>
        <w:rPr>
          <w:rFonts w:ascii="Times New Roman" w:hAnsi="Times New Roman" w:cs="FrankRuehl"/>
          <w:sz w:val="22"/>
          <w:szCs w:val="22"/>
          <w:rtl/>
        </w:rPr>
        <w:t xml:space="preserve">(א) </w:t>
      </w:r>
      <w:r>
        <w:rPr>
          <w:rFonts w:ascii="Times New Roman" w:hAnsi="Times New Roman" w:cs="FrankRuehl" w:hint="cs"/>
          <w:sz w:val="22"/>
          <w:szCs w:val="22"/>
          <w:rtl/>
        </w:rPr>
        <w:t xml:space="preserve"> </w:t>
      </w:r>
      <w:r>
        <w:rPr>
          <w:rFonts w:ascii="Times New Roman" w:hAnsi="Times New Roman" w:cs="FrankRuehl"/>
          <w:sz w:val="22"/>
          <w:szCs w:val="22"/>
          <w:rtl/>
        </w:rPr>
        <w:t xml:space="preserve">קביעת הקשר הסיבתי בין שירותו הצבאי של חייל משוחרר או חייל בשירות קבע לבין מחלה או החמרת מחלה או חבלה שגרמו לנכות; </w:t>
      </w:r>
      <w:r>
        <w:rPr>
          <w:rFonts w:ascii="Times New Roman" w:hAnsi="Times New Roman" w:cs="FrankRuehl" w:hint="cs"/>
          <w:sz w:val="22"/>
          <w:szCs w:val="22"/>
          <w:rtl/>
        </w:rPr>
        <w:t xml:space="preserve">  </w:t>
      </w:r>
      <w:r>
        <w:rPr>
          <w:rFonts w:ascii="Times New Roman" w:hAnsi="Times New Roman" w:cs="FrankRuehl"/>
          <w:sz w:val="22"/>
          <w:szCs w:val="22"/>
          <w:rtl/>
        </w:rPr>
        <w:t xml:space="preserve">(ב) </w:t>
      </w:r>
      <w:r>
        <w:rPr>
          <w:rFonts w:ascii="Times New Roman" w:hAnsi="Times New Roman" w:cs="FrankRuehl" w:hint="cs"/>
          <w:sz w:val="22"/>
          <w:szCs w:val="22"/>
          <w:rtl/>
        </w:rPr>
        <w:t xml:space="preserve"> </w:t>
      </w:r>
      <w:r>
        <w:rPr>
          <w:rFonts w:ascii="Times New Roman" w:hAnsi="Times New Roman" w:cs="FrankRuehl"/>
          <w:sz w:val="22"/>
          <w:szCs w:val="22"/>
          <w:rtl/>
        </w:rPr>
        <w:t>קביעת דרגת הנכות. בשלב הראשון, לאחר שהפונה מגיש תביעה למשרד הביטחון (להלן - המשרד), ליחי</w:t>
      </w:r>
      <w:r>
        <w:rPr>
          <w:rFonts w:ascii="Times New Roman" w:hAnsi="Times New Roman" w:cs="FrankRuehl"/>
          <w:sz w:val="22"/>
          <w:szCs w:val="22"/>
          <w:rtl/>
        </w:rPr>
        <w:t>דה לתביעות וקביעת זכאות שבאגף שיקום נכים, נבחנת שאלת הקשר הסיבתי בין הנכות הנטענת לבין השירות הצבאי. החלטה זו היא בסמכות קצין התגמולים. מי שקצין התגמולים הכיר בתביעתו (להלן - הנכה) ונקבע קשר סיבתי בין הנכות הנטענת לבין השירות הצבאי, עובר לשלב השני, הוא שלב</w:t>
      </w:r>
      <w:r>
        <w:rPr>
          <w:rFonts w:ascii="Times New Roman" w:hAnsi="Times New Roman" w:cs="FrankRuehl"/>
          <w:sz w:val="22"/>
          <w:szCs w:val="22"/>
          <w:rtl/>
        </w:rPr>
        <w:t xml:space="preserve"> קביעת דרגת הנכות. קביעת דרגת הנכות היא בסמכות ועדה רפואית (להלן - </w:t>
      </w:r>
      <w:r>
        <w:rPr>
          <w:rFonts w:ascii="Times New Roman" w:hAnsi="Times New Roman" w:cs="FrankRuehl"/>
          <w:sz w:val="22"/>
          <w:szCs w:val="22"/>
          <w:rtl/>
        </w:rPr>
        <w:t>וע"ר</w:t>
      </w:r>
      <w:r>
        <w:rPr>
          <w:rFonts w:ascii="Times New Roman" w:hAnsi="Times New Roman" w:cs="FrankRuehl"/>
          <w:sz w:val="22"/>
          <w:szCs w:val="22"/>
          <w:rtl/>
        </w:rPr>
        <w:t xml:space="preserve">). באגף שיקום נכים שבמשרד (להלן - אגף השיקום או האגף) פועלות </w:t>
      </w:r>
      <w:r>
        <w:rPr>
          <w:rFonts w:ascii="Times New Roman" w:hAnsi="Times New Roman" w:cs="FrankRuehl"/>
          <w:sz w:val="22"/>
          <w:szCs w:val="22"/>
          <w:rtl/>
        </w:rPr>
        <w:t>וע"ר</w:t>
      </w:r>
      <w:r>
        <w:rPr>
          <w:rFonts w:ascii="Times New Roman" w:hAnsi="Times New Roman" w:cs="FrankRuehl"/>
          <w:sz w:val="22"/>
          <w:szCs w:val="22"/>
          <w:rtl/>
        </w:rPr>
        <w:t xml:space="preserve"> משני דרגים: ועדה רפואית (להלן - </w:t>
      </w:r>
      <w:r>
        <w:rPr>
          <w:rFonts w:ascii="Times New Roman" w:hAnsi="Times New Roman" w:cs="FrankRuehl"/>
          <w:sz w:val="22"/>
          <w:szCs w:val="22"/>
          <w:rtl/>
        </w:rPr>
        <w:t>וע"ר</w:t>
      </w:r>
      <w:r>
        <w:rPr>
          <w:rFonts w:ascii="Times New Roman" w:hAnsi="Times New Roman" w:cs="FrankRuehl"/>
          <w:sz w:val="22"/>
          <w:szCs w:val="22"/>
          <w:rtl/>
        </w:rPr>
        <w:t xml:space="preserve"> מחוזית) וועדה רפואית עליונה (להלן - </w:t>
      </w:r>
      <w:r>
        <w:rPr>
          <w:rFonts w:ascii="Times New Roman" w:hAnsi="Times New Roman" w:cs="FrankRuehl"/>
          <w:sz w:val="22"/>
          <w:szCs w:val="22"/>
          <w:rtl/>
        </w:rPr>
        <w:t>וע"ר</w:t>
      </w:r>
      <w:r>
        <w:rPr>
          <w:rFonts w:ascii="Times New Roman" w:hAnsi="Times New Roman" w:cs="FrankRuehl"/>
          <w:sz w:val="22"/>
          <w:szCs w:val="22"/>
          <w:rtl/>
        </w:rPr>
        <w:t xml:space="preserve"> עליונה). סמכות </w:t>
      </w:r>
      <w:r>
        <w:rPr>
          <w:rFonts w:ascii="Times New Roman" w:hAnsi="Times New Roman" w:cs="FrankRuehl"/>
          <w:sz w:val="22"/>
          <w:szCs w:val="22"/>
          <w:rtl/>
        </w:rPr>
        <w:t>הווע"ר</w:t>
      </w:r>
      <w:r>
        <w:rPr>
          <w:rFonts w:ascii="Times New Roman" w:hAnsi="Times New Roman" w:cs="FrankRuehl"/>
          <w:sz w:val="22"/>
          <w:szCs w:val="22"/>
          <w:rtl/>
        </w:rPr>
        <w:t xml:space="preserve"> מוגבלת ותחומה לסוג </w:t>
      </w:r>
      <w:r>
        <w:rPr>
          <w:rFonts w:ascii="Times New Roman" w:hAnsi="Times New Roman" w:cs="FrankRuehl"/>
          <w:sz w:val="22"/>
          <w:szCs w:val="22"/>
          <w:rtl/>
        </w:rPr>
        <w:t xml:space="preserve">הפגימה שהכיר בה קצין התגמולים.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וע"ר</w:t>
      </w:r>
      <w:r>
        <w:rPr>
          <w:rFonts w:ascii="Times New Roman" w:hAnsi="Times New Roman" w:cs="FrankRuehl"/>
          <w:sz w:val="22"/>
          <w:szCs w:val="22"/>
          <w:rtl/>
        </w:rPr>
        <w:t xml:space="preserve"> מחוזיות מתקיימות במטה</w:t>
      </w:r>
      <w:r>
        <w:rPr>
          <w:rStyle w:val="FootnoteReference"/>
          <w:rFonts w:ascii="Times New Roman" w:hAnsi="Times New Roman" w:cs="FrankRuehl"/>
          <w:sz w:val="22"/>
          <w:szCs w:val="22"/>
          <w:rtl/>
        </w:rPr>
        <w:footnoteReference w:id="7"/>
      </w:r>
      <w:r>
        <w:rPr>
          <w:rFonts w:ascii="Times New Roman" w:hAnsi="Times New Roman" w:cs="FrankRuehl"/>
          <w:sz w:val="22"/>
          <w:szCs w:val="22"/>
          <w:rtl/>
        </w:rPr>
        <w:t xml:space="preserve">, בחיפה, בירושלים, בבאר שבע (לרבות תביעות של לשכת אילת) ובטבריה. המטה מרכז תביעות של נכים המוגשות בלשכות האגף: ת"א, דן, רחובות ונתניה. </w:t>
      </w:r>
      <w:r>
        <w:rPr>
          <w:rFonts w:ascii="Times New Roman" w:hAnsi="Times New Roman" w:cs="FrankRuehl"/>
          <w:sz w:val="22"/>
          <w:szCs w:val="22"/>
          <w:rtl/>
        </w:rPr>
        <w:t>וע"ר</w:t>
      </w:r>
      <w:r>
        <w:rPr>
          <w:rFonts w:ascii="Times New Roman" w:hAnsi="Times New Roman" w:cs="FrankRuehl"/>
          <w:sz w:val="22"/>
          <w:szCs w:val="22"/>
          <w:rtl/>
        </w:rPr>
        <w:t xml:space="preserve"> עליונות מתקיימות במטה, בחיפה (לרבות תביעות של לשכת טבריה)</w:t>
      </w:r>
      <w:r>
        <w:rPr>
          <w:rFonts w:ascii="Times New Roman" w:hAnsi="Times New Roman" w:cs="FrankRuehl"/>
          <w:sz w:val="22"/>
          <w:szCs w:val="22"/>
          <w:rtl/>
        </w:rPr>
        <w:t xml:space="preserve"> ובירושלים. המטה מרכז תביעות של לשכות ת"א, דן, רחובות, נתניה, באר שבע ואילת.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וע"ר</w:t>
      </w:r>
      <w:r>
        <w:rPr>
          <w:rFonts w:ascii="Times New Roman" w:hAnsi="Times New Roman" w:cs="FrankRuehl"/>
          <w:sz w:val="22"/>
          <w:szCs w:val="22"/>
          <w:rtl/>
        </w:rPr>
        <w:t xml:space="preserve"> מחוזית בודקת את הנכה המופיע בפניה וקובעת את נכותו (אחוז הנכות וסעיפי פגימה) בהליך ראשוני (לאחר שקצין התגמולים הכיר בו כנכה), בבדיקות חוזרות (עד לקביעת דרגת נכות צמיתה), בבקשו</w:t>
      </w:r>
      <w:r>
        <w:rPr>
          <w:rFonts w:ascii="Times New Roman" w:hAnsi="Times New Roman" w:cs="FrankRuehl"/>
          <w:sz w:val="22"/>
          <w:szCs w:val="22"/>
          <w:rtl/>
        </w:rPr>
        <w:t>ת להכרה בהחמרה</w:t>
      </w:r>
      <w:r>
        <w:rPr>
          <w:rStyle w:val="FootnoteReference"/>
          <w:rFonts w:ascii="Times New Roman" w:hAnsi="Times New Roman" w:cs="FrankRuehl"/>
          <w:sz w:val="22"/>
          <w:szCs w:val="22"/>
          <w:rtl/>
        </w:rPr>
        <w:footnoteReference w:id="8"/>
      </w:r>
      <w:r>
        <w:rPr>
          <w:rFonts w:ascii="Times New Roman" w:hAnsi="Times New Roman" w:cs="FrankRuehl"/>
          <w:sz w:val="22"/>
          <w:szCs w:val="22"/>
          <w:rtl/>
        </w:rPr>
        <w:t xml:space="preserve"> ובבקשות להכרה בנכות מוסבת</w:t>
      </w:r>
      <w:r>
        <w:rPr>
          <w:rStyle w:val="FootnoteReference"/>
          <w:rFonts w:ascii="Times New Roman" w:hAnsi="Times New Roman" w:cs="FrankRuehl"/>
          <w:sz w:val="22"/>
          <w:szCs w:val="22"/>
          <w:rtl/>
        </w:rPr>
        <w:footnoteReference w:id="9"/>
      </w:r>
      <w:r>
        <w:rPr>
          <w:rFonts w:ascii="Times New Roman" w:hAnsi="Times New Roman" w:cs="FrankRuehl"/>
          <w:sz w:val="22"/>
          <w:szCs w:val="22"/>
          <w:rtl/>
        </w:rPr>
        <w:t xml:space="preserve">. על פי חוק הנכים, הנכה וקצין התגמולים רשאים לערער על קביעותיה של </w:t>
      </w:r>
      <w:r>
        <w:rPr>
          <w:rFonts w:ascii="Times New Roman" w:hAnsi="Times New Roman" w:cs="FrankRuehl"/>
          <w:sz w:val="22"/>
          <w:szCs w:val="22"/>
          <w:rtl/>
        </w:rPr>
        <w:t>וע"ר</w:t>
      </w:r>
      <w:r>
        <w:rPr>
          <w:rFonts w:ascii="Times New Roman" w:hAnsi="Times New Roman" w:cs="FrankRuehl"/>
          <w:sz w:val="22"/>
          <w:szCs w:val="22"/>
          <w:rtl/>
        </w:rPr>
        <w:t xml:space="preserve"> מחוזית בקשר לנכות שנקבעה (דרגה וסוג פגימה) בפני </w:t>
      </w:r>
      <w:r>
        <w:rPr>
          <w:rFonts w:ascii="Times New Roman" w:hAnsi="Times New Roman" w:cs="FrankRuehl"/>
          <w:sz w:val="22"/>
          <w:szCs w:val="22"/>
          <w:rtl/>
        </w:rPr>
        <w:t>וע"ר</w:t>
      </w:r>
      <w:r>
        <w:rPr>
          <w:rFonts w:ascii="Times New Roman" w:hAnsi="Times New Roman" w:cs="FrankRuehl"/>
          <w:sz w:val="22"/>
          <w:szCs w:val="22"/>
          <w:rtl/>
        </w:rPr>
        <w:t xml:space="preserve"> עליונה. על החלטת </w:t>
      </w:r>
      <w:r>
        <w:rPr>
          <w:rFonts w:ascii="Times New Roman" w:hAnsi="Times New Roman" w:cs="FrankRuehl"/>
          <w:sz w:val="22"/>
          <w:szCs w:val="22"/>
          <w:rtl/>
        </w:rPr>
        <w:t>וע"ר</w:t>
      </w:r>
      <w:r>
        <w:rPr>
          <w:rFonts w:ascii="Times New Roman" w:hAnsi="Times New Roman" w:cs="FrankRuehl"/>
          <w:sz w:val="22"/>
          <w:szCs w:val="22"/>
          <w:rtl/>
        </w:rPr>
        <w:t xml:space="preserve"> עליונה ניתן לערער לפני בית משפט מחוזי, בעניין בעל היבט משפטי בלבד.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עוד נקבע בחוק הנכים, כי אופן הרכבת </w:t>
      </w:r>
      <w:r>
        <w:rPr>
          <w:rFonts w:ascii="Times New Roman" w:hAnsi="Times New Roman" w:cs="FrankRuehl"/>
          <w:sz w:val="22"/>
          <w:szCs w:val="22"/>
          <w:rtl/>
        </w:rPr>
        <w:t>וע"ר</w:t>
      </w:r>
      <w:r>
        <w:rPr>
          <w:rFonts w:ascii="Times New Roman" w:hAnsi="Times New Roman" w:cs="FrankRuehl"/>
          <w:sz w:val="22"/>
          <w:szCs w:val="22"/>
          <w:rtl/>
        </w:rPr>
        <w:t xml:space="preserve">, סמכויותיהן וסדרי עבודתן ייקבעו בתקנות. בתקנות הנכים (ועדות רפואיות), התשכ"ו-1965 נקבע, כי "שר הביטחון ימנה רשימה של רופאים ומהם ימנה את יושבי ראש הוועדה הרפואית" וכי אחד מיושבי הראש ימלא תפקיד של ממונה על </w:t>
      </w:r>
      <w:r>
        <w:rPr>
          <w:rFonts w:ascii="Times New Roman" w:hAnsi="Times New Roman" w:cs="FrankRuehl"/>
          <w:sz w:val="22"/>
          <w:szCs w:val="22"/>
          <w:rtl/>
        </w:rPr>
        <w:t>וע"ר</w:t>
      </w:r>
      <w:r>
        <w:rPr>
          <w:rFonts w:ascii="Times New Roman" w:hAnsi="Times New Roman" w:cs="FrankRuehl"/>
          <w:sz w:val="22"/>
          <w:szCs w:val="22"/>
          <w:rtl/>
        </w:rPr>
        <w:t xml:space="preserve"> ויפקח</w:t>
      </w:r>
      <w:r>
        <w:rPr>
          <w:rFonts w:ascii="Times New Roman" w:hAnsi="Times New Roman" w:cs="FrankRuehl"/>
          <w:sz w:val="22"/>
          <w:szCs w:val="22"/>
          <w:rtl/>
        </w:rPr>
        <w:t xml:space="preserve"> על ביצוע תקנות אלה. בתקנות הנכים (ועדה רפואית עליונה), התשכ"ד-1964 נקבע, כי שר </w:t>
      </w:r>
      <w:r>
        <w:rPr>
          <w:rFonts w:ascii="Times New Roman" w:hAnsi="Times New Roman" w:cs="FrankRuehl"/>
          <w:sz w:val="22"/>
          <w:szCs w:val="22"/>
          <w:rtl/>
        </w:rPr>
        <w:t xml:space="preserve">הביטחון ימנה </w:t>
      </w:r>
      <w:r>
        <w:rPr>
          <w:rFonts w:ascii="Times New Roman" w:hAnsi="Times New Roman" w:cs="FrankRuehl"/>
          <w:sz w:val="22"/>
          <w:szCs w:val="22"/>
          <w:rtl/>
        </w:rPr>
        <w:t>וע"ר</w:t>
      </w:r>
      <w:r>
        <w:rPr>
          <w:rFonts w:ascii="Times New Roman" w:hAnsi="Times New Roman" w:cs="FrankRuehl"/>
          <w:sz w:val="22"/>
          <w:szCs w:val="22"/>
          <w:rtl/>
        </w:rPr>
        <w:t xml:space="preserve"> עליונה, המורכבת מרופאים מוסמכים, וכי יושב ראש </w:t>
      </w:r>
      <w:r>
        <w:rPr>
          <w:rFonts w:ascii="Times New Roman" w:hAnsi="Times New Roman" w:cs="FrankRuehl"/>
          <w:sz w:val="22"/>
          <w:szCs w:val="22"/>
          <w:rtl/>
        </w:rPr>
        <w:t>הווע"ר</w:t>
      </w:r>
      <w:r>
        <w:rPr>
          <w:rFonts w:ascii="Times New Roman" w:hAnsi="Times New Roman" w:cs="FrankRuehl"/>
          <w:sz w:val="22"/>
          <w:szCs w:val="22"/>
          <w:rtl/>
        </w:rPr>
        <w:t xml:space="preserve"> ימונה מתוך חבריה ואחד מיושבי הראש ימלא תפקיד של ממונה על </w:t>
      </w:r>
      <w:r>
        <w:rPr>
          <w:rFonts w:ascii="Times New Roman" w:hAnsi="Times New Roman" w:cs="FrankRuehl"/>
          <w:sz w:val="22"/>
          <w:szCs w:val="22"/>
          <w:rtl/>
        </w:rPr>
        <w:t>וע"ר</w:t>
      </w:r>
      <w:r>
        <w:rPr>
          <w:rFonts w:ascii="Times New Roman" w:hAnsi="Times New Roman" w:cs="FrankRuehl"/>
          <w:sz w:val="22"/>
          <w:szCs w:val="22"/>
          <w:rtl/>
        </w:rPr>
        <w:t xml:space="preserve"> ויפקח על ביצוע תקנות אלה.</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סמכויותיהם של יוש</w:t>
      </w:r>
      <w:r>
        <w:rPr>
          <w:rFonts w:ascii="Times New Roman" w:hAnsi="Times New Roman" w:cs="FrankRuehl"/>
          <w:sz w:val="22"/>
          <w:szCs w:val="22"/>
          <w:rtl/>
        </w:rPr>
        <w:t xml:space="preserve">בי הראש ושל הממונים נקבעו בתקנות הנכים (ועדות רפואיות), התשכ"ו-1965 ובתקנות הנכים (ועדה רפואית עליונה), התשכ"ד-1964 (להלן - תקנות הנכים). על פי תקנות אלה, יו"ר של </w:t>
      </w:r>
      <w:r>
        <w:rPr>
          <w:rFonts w:ascii="Times New Roman" w:hAnsi="Times New Roman" w:cs="FrankRuehl"/>
          <w:sz w:val="22"/>
          <w:szCs w:val="22"/>
          <w:rtl/>
        </w:rPr>
        <w:t>וע"ר</w:t>
      </w:r>
      <w:r>
        <w:rPr>
          <w:rFonts w:ascii="Times New Roman" w:hAnsi="Times New Roman" w:cs="FrankRuehl"/>
          <w:sz w:val="22"/>
          <w:szCs w:val="22"/>
          <w:rtl/>
        </w:rPr>
        <w:t xml:space="preserve"> מחוזית ויו"ר של </w:t>
      </w:r>
      <w:r>
        <w:rPr>
          <w:rFonts w:ascii="Times New Roman" w:hAnsi="Times New Roman" w:cs="FrankRuehl"/>
          <w:sz w:val="22"/>
          <w:szCs w:val="22"/>
          <w:rtl/>
        </w:rPr>
        <w:t>וע"ר</w:t>
      </w:r>
      <w:r>
        <w:rPr>
          <w:rFonts w:ascii="Times New Roman" w:hAnsi="Times New Roman" w:cs="FrankRuehl"/>
          <w:sz w:val="22"/>
          <w:szCs w:val="22"/>
          <w:rtl/>
        </w:rPr>
        <w:t xml:space="preserve"> עליונה מרכיב לכל בקשה ובקשה </w:t>
      </w:r>
      <w:r>
        <w:rPr>
          <w:rFonts w:ascii="Times New Roman" w:hAnsi="Times New Roman" w:cs="FrankRuehl"/>
          <w:sz w:val="22"/>
          <w:szCs w:val="22"/>
          <w:rtl/>
        </w:rPr>
        <w:t>וע"ר</w:t>
      </w:r>
      <w:r>
        <w:rPr>
          <w:rFonts w:ascii="Times New Roman" w:hAnsi="Times New Roman" w:cs="FrankRuehl"/>
          <w:sz w:val="22"/>
          <w:szCs w:val="22"/>
          <w:rtl/>
        </w:rPr>
        <w:t xml:space="preserve"> מקרב הרופאים שמינה שר הביטחון; מעי</w:t>
      </w:r>
      <w:r>
        <w:rPr>
          <w:rFonts w:ascii="Times New Roman" w:hAnsi="Times New Roman" w:cs="FrankRuehl"/>
          <w:sz w:val="22"/>
          <w:szCs w:val="22"/>
          <w:rtl/>
        </w:rPr>
        <w:t xml:space="preserve">ין בכל החלטה של </w:t>
      </w:r>
      <w:r>
        <w:rPr>
          <w:rFonts w:ascii="Times New Roman" w:hAnsi="Times New Roman" w:cs="FrankRuehl"/>
          <w:sz w:val="22"/>
          <w:szCs w:val="22"/>
          <w:rtl/>
        </w:rPr>
        <w:t>וע"ר</w:t>
      </w:r>
      <w:r>
        <w:rPr>
          <w:rFonts w:ascii="Times New Roman" w:hAnsi="Times New Roman" w:cs="FrankRuehl"/>
          <w:sz w:val="22"/>
          <w:szCs w:val="22"/>
          <w:rtl/>
        </w:rPr>
        <w:t>, ורשאי לאשר את החלטת הוועדה או להחזירה, בצירוף הערותיו, לדיון נוסף בוועדה, או להעביר את הבקשה לדיון חדש בפני הרכב אחר. כמו כן, הוא רשאי להחליט, בלא צורך בהזמנת הנכה לפני הוועדה, כי דרגת נכות זמנית הפכה לקבועה (בנסיבות מסוימות); ולתקן ט</w:t>
      </w:r>
      <w:r>
        <w:rPr>
          <w:rFonts w:ascii="Times New Roman" w:hAnsi="Times New Roman" w:cs="FrankRuehl"/>
          <w:sz w:val="22"/>
          <w:szCs w:val="22"/>
          <w:rtl/>
        </w:rPr>
        <w:t xml:space="preserve">עות סופר בהחלטה, בתנאי שהתיקון תואם את החלטת הוועדה. ממונה </w:t>
      </w:r>
      <w:r>
        <w:rPr>
          <w:rFonts w:ascii="Times New Roman" w:hAnsi="Times New Roman" w:cs="FrankRuehl"/>
          <w:sz w:val="22"/>
          <w:szCs w:val="22"/>
          <w:rtl/>
        </w:rPr>
        <w:t>וע"ר</w:t>
      </w:r>
      <w:r>
        <w:rPr>
          <w:rFonts w:ascii="Times New Roman" w:hAnsi="Times New Roman" w:cs="FrankRuehl"/>
          <w:sz w:val="22"/>
          <w:szCs w:val="22"/>
          <w:rtl/>
        </w:rPr>
        <w:t xml:space="preserve"> מחוזית או עליונה רשאי לבקש מהוועדה דיון חוזר לצורך תיקון טעות שאינה טעות סופר והשלמת הפרוטוקול.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הפסיקה אפיינה סממנים וסמכויות של </w:t>
      </w:r>
      <w:r>
        <w:rPr>
          <w:rFonts w:ascii="Times New Roman" w:hAnsi="Times New Roman" w:cs="FrankRuehl"/>
          <w:sz w:val="22"/>
          <w:szCs w:val="22"/>
          <w:rtl/>
        </w:rPr>
        <w:t>הווע"ר</w:t>
      </w:r>
      <w:r>
        <w:rPr>
          <w:rFonts w:ascii="Times New Roman" w:hAnsi="Times New Roman" w:cs="FrankRuehl"/>
          <w:sz w:val="22"/>
          <w:szCs w:val="22"/>
          <w:rtl/>
        </w:rPr>
        <w:t>. במסגרת אחד מפסקי הדין של בית המשפט העליון</w:t>
      </w:r>
      <w:r>
        <w:rPr>
          <w:rStyle w:val="FootnoteReference"/>
          <w:rFonts w:ascii="Times New Roman" w:hAnsi="Times New Roman" w:cs="FrankRuehl"/>
          <w:sz w:val="22"/>
          <w:szCs w:val="22"/>
          <w:rtl/>
        </w:rPr>
        <w:footnoteReference w:id="10"/>
      </w:r>
      <w:r>
        <w:rPr>
          <w:rFonts w:ascii="Times New Roman" w:hAnsi="Times New Roman" w:cs="FrankRuehl"/>
          <w:sz w:val="22"/>
          <w:szCs w:val="22"/>
          <w:rtl/>
        </w:rPr>
        <w:t xml:space="preserve"> התייחס השופט</w:t>
      </w:r>
      <w:r>
        <w:rPr>
          <w:rFonts w:ascii="Times New Roman" w:hAnsi="Times New Roman" w:cs="FrankRuehl"/>
          <w:sz w:val="22"/>
          <w:szCs w:val="22"/>
          <w:rtl/>
        </w:rPr>
        <w:t xml:space="preserve"> י' </w:t>
      </w:r>
      <w:r>
        <w:rPr>
          <w:rFonts w:ascii="Times New Roman" w:hAnsi="Times New Roman" w:cs="FrankRuehl"/>
          <w:sz w:val="22"/>
          <w:szCs w:val="22"/>
          <w:rtl/>
        </w:rPr>
        <w:t>טירקל</w:t>
      </w:r>
      <w:r>
        <w:rPr>
          <w:rFonts w:ascii="Times New Roman" w:hAnsi="Times New Roman" w:cs="FrankRuehl"/>
          <w:sz w:val="22"/>
          <w:szCs w:val="22"/>
          <w:rtl/>
        </w:rPr>
        <w:t xml:space="preserve"> למעמדן של </w:t>
      </w:r>
      <w:r>
        <w:rPr>
          <w:rFonts w:ascii="Times New Roman" w:hAnsi="Times New Roman" w:cs="FrankRuehl"/>
          <w:sz w:val="22"/>
          <w:szCs w:val="22"/>
          <w:rtl/>
        </w:rPr>
        <w:t>וע"ר</w:t>
      </w:r>
      <w:r>
        <w:rPr>
          <w:rFonts w:ascii="Times New Roman" w:hAnsi="Times New Roman" w:cs="FrankRuehl"/>
          <w:sz w:val="22"/>
          <w:szCs w:val="22"/>
          <w:rtl/>
        </w:rPr>
        <w:t xml:space="preserve">, כפי שבאו לידי ביטוי בפסקי דין קודמים. בפסק הדין צוין, כי </w:t>
      </w:r>
      <w:r>
        <w:rPr>
          <w:rFonts w:ascii="Times New Roman" w:hAnsi="Times New Roman" w:cs="FrankRuehl"/>
          <w:sz w:val="22"/>
          <w:szCs w:val="22"/>
          <w:rtl/>
        </w:rPr>
        <w:t>וע"ר</w:t>
      </w:r>
      <w:r>
        <w:rPr>
          <w:rFonts w:ascii="Times New Roman" w:hAnsi="Times New Roman" w:cs="FrankRuehl"/>
          <w:sz w:val="22"/>
          <w:szCs w:val="22"/>
          <w:rtl/>
        </w:rPr>
        <w:t xml:space="preserve"> פועלת מכוח סמכות סטטוטורית וכגוף מעין שיפוטי, כפופה לכללי המשפט </w:t>
      </w:r>
      <w:r>
        <w:rPr>
          <w:rFonts w:ascii="Times New Roman" w:hAnsi="Times New Roman" w:cs="FrankRuehl"/>
          <w:sz w:val="22"/>
          <w:szCs w:val="22"/>
          <w:rtl/>
        </w:rPr>
        <w:t>המינהלי</w:t>
      </w:r>
      <w:r>
        <w:rPr>
          <w:rFonts w:ascii="Times New Roman" w:hAnsi="Times New Roman" w:cs="FrankRuehl"/>
          <w:sz w:val="22"/>
          <w:szCs w:val="22"/>
          <w:rtl/>
        </w:rPr>
        <w:t>, וכי עליה להפעיל שיקול דעת וכן לשמור על עקרונות של צדק טבעי, לרבות מתן זכות טיעון למי שצפוי להיפ</w:t>
      </w:r>
      <w:r>
        <w:rPr>
          <w:rFonts w:ascii="Times New Roman" w:hAnsi="Times New Roman" w:cs="FrankRuehl"/>
          <w:sz w:val="22"/>
          <w:szCs w:val="22"/>
          <w:rtl/>
        </w:rPr>
        <w:t xml:space="preserve">גע מהחלטתה.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על פי נתוני האגף</w:t>
      </w:r>
      <w:r>
        <w:rPr>
          <w:rStyle w:val="FootnoteReference"/>
          <w:rFonts w:ascii="Times New Roman" w:hAnsi="Times New Roman" w:cs="FrankRuehl"/>
          <w:sz w:val="22"/>
          <w:szCs w:val="22"/>
          <w:rtl/>
        </w:rPr>
        <w:footnoteReference w:id="11"/>
      </w:r>
      <w:r>
        <w:rPr>
          <w:rFonts w:ascii="Times New Roman" w:hAnsi="Times New Roman" w:cs="FrankRuehl"/>
          <w:sz w:val="22"/>
          <w:szCs w:val="22"/>
          <w:rtl/>
        </w:rPr>
        <w:t xml:space="preserve">, בשנת 2005 התקיימו 9,433 </w:t>
      </w:r>
      <w:r>
        <w:rPr>
          <w:rFonts w:ascii="Times New Roman" w:hAnsi="Times New Roman" w:cs="FrankRuehl"/>
          <w:sz w:val="22"/>
          <w:szCs w:val="22"/>
          <w:rtl/>
        </w:rPr>
        <w:t>וע"ר</w:t>
      </w:r>
      <w:r>
        <w:rPr>
          <w:rStyle w:val="FootnoteReference"/>
          <w:rFonts w:ascii="Times New Roman" w:hAnsi="Times New Roman" w:cs="FrankRuehl"/>
          <w:sz w:val="22"/>
          <w:szCs w:val="22"/>
          <w:rtl/>
        </w:rPr>
        <w:footnoteReference w:id="12"/>
      </w:r>
      <w:r>
        <w:rPr>
          <w:rFonts w:ascii="Times New Roman" w:hAnsi="Times New Roman" w:cs="FrankRuehl"/>
          <w:sz w:val="22"/>
          <w:szCs w:val="22"/>
          <w:rtl/>
        </w:rPr>
        <w:t xml:space="preserve">, מהן 7,087 </w:t>
      </w:r>
      <w:r>
        <w:rPr>
          <w:rFonts w:ascii="Times New Roman" w:hAnsi="Times New Roman" w:cs="FrankRuehl"/>
          <w:sz w:val="22"/>
          <w:szCs w:val="22"/>
          <w:rtl/>
        </w:rPr>
        <w:t>וע"ר</w:t>
      </w:r>
      <w:r>
        <w:rPr>
          <w:rFonts w:ascii="Times New Roman" w:hAnsi="Times New Roman" w:cs="FrankRuehl"/>
          <w:sz w:val="22"/>
          <w:szCs w:val="22"/>
          <w:rtl/>
        </w:rPr>
        <w:t xml:space="preserve"> מחוזיות ו-2,346 </w:t>
      </w:r>
      <w:r>
        <w:rPr>
          <w:rFonts w:ascii="Times New Roman" w:hAnsi="Times New Roman" w:cs="FrankRuehl"/>
          <w:sz w:val="22"/>
          <w:szCs w:val="22"/>
          <w:rtl/>
        </w:rPr>
        <w:t>וע"ר</w:t>
      </w:r>
      <w:r>
        <w:rPr>
          <w:rFonts w:ascii="Times New Roman" w:hAnsi="Times New Roman" w:cs="FrankRuehl"/>
          <w:sz w:val="22"/>
          <w:szCs w:val="22"/>
          <w:rtl/>
        </w:rPr>
        <w:t xml:space="preserve"> עליונות.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בתקופה אפריל 2006 עד אפריל 2007 עשה משרד מבקר המדינה, לסירוגין, ביקורת על לוחות הזמנים לקביעת דרגות נכות באגף. נבחנו התחומים הבאים: משכי זמן בקביעת</w:t>
      </w:r>
      <w:r>
        <w:rPr>
          <w:rFonts w:ascii="Times New Roman" w:hAnsi="Times New Roman" w:cs="FrankRuehl"/>
          <w:sz w:val="22"/>
          <w:szCs w:val="22"/>
          <w:rtl/>
        </w:rPr>
        <w:t xml:space="preserve"> דרגת נכות, הדרכת </w:t>
      </w:r>
      <w:r>
        <w:rPr>
          <w:rFonts w:ascii="Times New Roman" w:hAnsi="Times New Roman" w:cs="FrankRuehl"/>
          <w:sz w:val="22"/>
          <w:szCs w:val="22"/>
          <w:rtl/>
        </w:rPr>
        <w:t>הווע"ר</w:t>
      </w:r>
      <w:r>
        <w:rPr>
          <w:rFonts w:ascii="Times New Roman" w:hAnsi="Times New Roman" w:cs="FrankRuehl"/>
          <w:sz w:val="22"/>
          <w:szCs w:val="22"/>
          <w:rtl/>
        </w:rPr>
        <w:t xml:space="preserve">, ערעורים על החלטת </w:t>
      </w:r>
      <w:r>
        <w:rPr>
          <w:rFonts w:ascii="Times New Roman" w:hAnsi="Times New Roman" w:cs="FrankRuehl"/>
          <w:sz w:val="22"/>
          <w:szCs w:val="22"/>
          <w:rtl/>
        </w:rPr>
        <w:t>וע"ר</w:t>
      </w:r>
      <w:r>
        <w:rPr>
          <w:rFonts w:ascii="Times New Roman" w:hAnsi="Times New Roman" w:cs="FrankRuehl"/>
          <w:sz w:val="22"/>
          <w:szCs w:val="22"/>
          <w:rtl/>
        </w:rPr>
        <w:t xml:space="preserve"> והתנאים למינוי ממונה על </w:t>
      </w:r>
      <w:r>
        <w:rPr>
          <w:rFonts w:ascii="Times New Roman" w:hAnsi="Times New Roman" w:cs="FrankRuehl"/>
          <w:sz w:val="22"/>
          <w:szCs w:val="22"/>
          <w:rtl/>
        </w:rPr>
        <w:t>וע"ר</w:t>
      </w:r>
      <w:r>
        <w:rPr>
          <w:rFonts w:ascii="Times New Roman" w:hAnsi="Times New Roman" w:cs="FrankRuehl"/>
          <w:sz w:val="22"/>
          <w:szCs w:val="22"/>
          <w:rtl/>
        </w:rPr>
        <w:t xml:space="preserve">. הביקורת נערכה במשרד: באגף ובחלק ממחוזותיו; באגף ארגון, בקרה </w:t>
      </w:r>
      <w:r>
        <w:rPr>
          <w:rFonts w:ascii="Times New Roman" w:hAnsi="Times New Roman" w:cs="FrankRuehl"/>
          <w:sz w:val="22"/>
          <w:szCs w:val="22"/>
          <w:rtl/>
        </w:rPr>
        <w:t>ומינהל</w:t>
      </w:r>
      <w:r>
        <w:rPr>
          <w:rFonts w:ascii="Times New Roman" w:hAnsi="Times New Roman" w:cs="FrankRuehl"/>
          <w:sz w:val="22"/>
          <w:szCs w:val="22"/>
          <w:rtl/>
        </w:rPr>
        <w:t xml:space="preserve"> (להלן - אגף </w:t>
      </w:r>
      <w:r>
        <w:rPr>
          <w:rFonts w:ascii="Times New Roman" w:hAnsi="Times New Roman" w:cs="FrankRuehl"/>
          <w:sz w:val="22"/>
          <w:szCs w:val="22"/>
          <w:rtl/>
        </w:rPr>
        <w:t>אב"מ</w:t>
      </w:r>
      <w:r>
        <w:rPr>
          <w:rFonts w:ascii="Times New Roman" w:hAnsi="Times New Roman" w:cs="FrankRuehl"/>
          <w:sz w:val="22"/>
          <w:szCs w:val="22"/>
          <w:rtl/>
        </w:rPr>
        <w:t xml:space="preserve">); באגף משאבי אנוש (להלן - </w:t>
      </w:r>
      <w:r>
        <w:rPr>
          <w:rFonts w:ascii="Times New Roman" w:hAnsi="Times New Roman" w:cs="FrankRuehl"/>
          <w:sz w:val="22"/>
          <w:szCs w:val="22"/>
          <w:rtl/>
        </w:rPr>
        <w:t>אמ"א</w:t>
      </w:r>
      <w:r>
        <w:rPr>
          <w:rFonts w:ascii="Times New Roman" w:hAnsi="Times New Roman" w:cs="FrankRuehl"/>
          <w:sz w:val="22"/>
          <w:szCs w:val="22"/>
          <w:rtl/>
        </w:rPr>
        <w:t>) ובאגף היועץ המשפטי למערכת הביטחון (להלן - אגף היועמ"ש). ביקורת</w:t>
      </w:r>
      <w:r>
        <w:rPr>
          <w:rFonts w:ascii="Times New Roman" w:hAnsi="Times New Roman" w:cs="FrankRuehl"/>
          <w:sz w:val="22"/>
          <w:szCs w:val="22"/>
          <w:rtl/>
        </w:rPr>
        <w:t xml:space="preserve"> השלמה נערכה בנציבות שירות המדינה ובפרקליטות המדינה.</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Pr>
      </w:pPr>
    </w:p>
    <w:p w:rsidR="00000000">
      <w:pPr>
        <w:pStyle w:val="KOT4"/>
      </w:pPr>
      <w:r>
        <w:rPr>
          <w:sz w:val="22"/>
          <w:rtl/>
        </w:rPr>
        <w:t>משכי זמן בקביעת דרגת נכות</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קביעת משכי זמן לפעילויות חוזרות ונשנות שמבצע ארגון באופן קבוע מהווה אחד מהנדבכים הבסיסיים בניהול תקין של ארגון. הוראת האגף שדנה בנושא קובעת את סדרי עבודתם של יו"ר </w:t>
      </w:r>
      <w:r>
        <w:rPr>
          <w:rFonts w:ascii="Times New Roman" w:hAnsi="Times New Roman" w:cs="FrankRuehl"/>
          <w:sz w:val="22"/>
          <w:szCs w:val="22"/>
          <w:rtl/>
        </w:rPr>
        <w:t>וע"ר</w:t>
      </w:r>
      <w:r>
        <w:rPr>
          <w:rFonts w:ascii="Times New Roman" w:hAnsi="Times New Roman" w:cs="FrankRuehl"/>
          <w:sz w:val="22"/>
          <w:szCs w:val="22"/>
          <w:rtl/>
        </w:rPr>
        <w:t xml:space="preserve"> ושל </w:t>
      </w:r>
      <w:r>
        <w:rPr>
          <w:rFonts w:ascii="Times New Roman" w:hAnsi="Times New Roman" w:cs="FrankRuehl"/>
          <w:sz w:val="22"/>
          <w:szCs w:val="22"/>
          <w:rtl/>
        </w:rPr>
        <w:t>המי</w:t>
      </w:r>
      <w:r>
        <w:rPr>
          <w:rFonts w:ascii="Times New Roman" w:hAnsi="Times New Roman" w:cs="FrankRuehl"/>
          <w:sz w:val="22"/>
          <w:szCs w:val="22"/>
          <w:rtl/>
        </w:rPr>
        <w:t>נהלה</w:t>
      </w:r>
      <w:r>
        <w:rPr>
          <w:rFonts w:ascii="Times New Roman" w:hAnsi="Times New Roman" w:cs="FrankRuehl"/>
          <w:sz w:val="22"/>
          <w:szCs w:val="22"/>
          <w:rtl/>
        </w:rPr>
        <w:t xml:space="preserve"> הרפואית</w:t>
      </w:r>
      <w:r>
        <w:rPr>
          <w:rStyle w:val="FootnoteReference"/>
          <w:rFonts w:ascii="Times New Roman" w:hAnsi="Times New Roman" w:cs="FrankRuehl"/>
          <w:sz w:val="22"/>
          <w:szCs w:val="22"/>
          <w:rtl/>
        </w:rPr>
        <w:footnoteReference w:id="13"/>
      </w:r>
      <w:r>
        <w:rPr>
          <w:rFonts w:ascii="Times New Roman" w:hAnsi="Times New Roman" w:cs="FrankRuehl"/>
          <w:sz w:val="22"/>
          <w:szCs w:val="22"/>
          <w:rtl/>
        </w:rPr>
        <w:t xml:space="preserve"> בכל הפעילויות הקשורות להפניית תובע לצורך קביעת דרגת נכות ראשונה או חוזרת. בקשה לקביעת דרגת נכות ראשונה, למי שהוכר כנכה צה"ל, מתקבלת מקציני תגמולים במטה. ואילו בקשה לקביעת דרגת נכות חוזרת מתקבלת מבעלי תפקידים במחוזות האגף המרכזים את הטיפול בנו</w:t>
      </w:r>
      <w:r>
        <w:rPr>
          <w:rFonts w:ascii="Times New Roman" w:hAnsi="Times New Roman" w:cs="FrankRuehl"/>
          <w:sz w:val="22"/>
          <w:szCs w:val="22"/>
          <w:rtl/>
        </w:rPr>
        <w:t xml:space="preserve">שא </w:t>
      </w:r>
      <w:r>
        <w:rPr>
          <w:rFonts w:ascii="Times New Roman" w:hAnsi="Times New Roman" w:cs="FrankRuehl"/>
          <w:sz w:val="22"/>
          <w:szCs w:val="22"/>
          <w:rtl/>
        </w:rPr>
        <w:t>הווע"ר</w:t>
      </w:r>
      <w:r>
        <w:rPr>
          <w:rFonts w:ascii="Times New Roman" w:hAnsi="Times New Roman" w:cs="FrankRuehl"/>
          <w:sz w:val="22"/>
          <w:szCs w:val="22"/>
          <w:rtl/>
        </w:rPr>
        <w:t xml:space="preserve">. הוראת אגף אחרת קובעת את דרכי הטיפול בהגשת ערעור בפני </w:t>
      </w:r>
      <w:r>
        <w:rPr>
          <w:rFonts w:ascii="Times New Roman" w:hAnsi="Times New Roman" w:cs="FrankRuehl"/>
          <w:sz w:val="22"/>
          <w:szCs w:val="22"/>
          <w:rtl/>
        </w:rPr>
        <w:t>וע"ר</w:t>
      </w:r>
      <w:r>
        <w:rPr>
          <w:rFonts w:ascii="Times New Roman" w:hAnsi="Times New Roman" w:cs="FrankRuehl"/>
          <w:sz w:val="22"/>
          <w:szCs w:val="22"/>
          <w:rtl/>
        </w:rPr>
        <w:t xml:space="preserve"> עליונה.</w:t>
      </w:r>
    </w:p>
    <w:p w:rsidR="00000000">
      <w:pPr>
        <w:pStyle w:val="RESHET"/>
      </w:pPr>
      <w:r>
        <w:rPr>
          <w:sz w:val="22"/>
          <w:rtl/>
        </w:rPr>
        <w:t>בביקורת עלה, שהוראות האגף אינן מגדירות לוחות זמנים או משכי זמן מרביים לטיפול בכל אחד משלבי התביעה לקביעת דרגת נכות</w:t>
      </w:r>
      <w:r>
        <w:rPr>
          <w:rStyle w:val="FootnoteReference"/>
          <w:sz w:val="22"/>
          <w:rtl/>
        </w:rPr>
        <w:footnoteReference w:id="14"/>
      </w:r>
      <w:r>
        <w:rPr>
          <w:sz w:val="22"/>
          <w:rtl/>
        </w:rPr>
        <w:t xml:space="preserve"> או לתהליך בכללותו, למעט קביעה, כי על </w:t>
      </w:r>
      <w:r>
        <w:rPr>
          <w:sz w:val="22"/>
          <w:rtl/>
        </w:rPr>
        <w:t>המינהלה</w:t>
      </w:r>
      <w:r>
        <w:rPr>
          <w:sz w:val="22"/>
          <w:rtl/>
        </w:rPr>
        <w:t xml:space="preserve"> הרפואית לזמן </w:t>
      </w:r>
      <w:r>
        <w:rPr>
          <w:sz w:val="22"/>
          <w:rtl/>
        </w:rPr>
        <w:t>וע"ר</w:t>
      </w:r>
      <w:r>
        <w:rPr>
          <w:sz w:val="22"/>
          <w:rtl/>
        </w:rPr>
        <w:t xml:space="preserve"> </w:t>
      </w:r>
      <w:r>
        <w:rPr>
          <w:sz w:val="22"/>
          <w:rtl/>
        </w:rPr>
        <w:t xml:space="preserve">מחוזית או עליונה בתוך 45 יום ממועד סיום הכנת התיק </w:t>
      </w:r>
      <w:r>
        <w:rPr>
          <w:sz w:val="22"/>
          <w:rtl/>
        </w:rPr>
        <w:t>לווע"ר</w:t>
      </w:r>
      <w:r>
        <w:rPr>
          <w:rStyle w:val="FootnoteReference"/>
          <w:sz w:val="22"/>
          <w:rtl/>
        </w:rPr>
        <w:footnoteReference w:id="15"/>
      </w:r>
      <w:r>
        <w:rPr>
          <w:sz w:val="22"/>
          <w:rtl/>
        </w:rPr>
        <w:t>. היעדר לוח זמנים שכזה מקשה על האגף לבחון את יעילות התהליך לקביעת דרגת נכות ולפעול לשיפורו במידת הצורך.</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יצוין, שעל פי חוק הנכים, תגמולים המגיעים לנכה ישולמו רטרואקטיבית ליום שחרורו מהשירות הצבאי אם ה</w:t>
      </w:r>
      <w:r>
        <w:rPr>
          <w:rFonts w:ascii="Times New Roman" w:hAnsi="Times New Roman" w:cs="FrankRuehl"/>
          <w:sz w:val="22"/>
          <w:szCs w:val="22"/>
          <w:rtl/>
        </w:rPr>
        <w:t xml:space="preserve">גיש תביעתו בתוך שנה מיום שחרורו. בכל מקרה אחר, התשלום הוא רטרואקטיבי ליום הגשת התביעה. עם זאת, עיכוב בקביעת דרגת הנכות על ידי </w:t>
      </w:r>
      <w:r>
        <w:rPr>
          <w:rFonts w:ascii="Times New Roman" w:hAnsi="Times New Roman" w:cs="FrankRuehl"/>
          <w:sz w:val="22"/>
          <w:szCs w:val="22"/>
          <w:rtl/>
        </w:rPr>
        <w:t>וע"ר</w:t>
      </w:r>
      <w:r>
        <w:rPr>
          <w:rFonts w:ascii="Times New Roman" w:hAnsi="Times New Roman" w:cs="FrankRuehl"/>
          <w:sz w:val="22"/>
          <w:szCs w:val="22"/>
          <w:rtl/>
        </w:rPr>
        <w:t xml:space="preserve"> גורם לעיכוב במועד תחילת קבלת התגמולים. משום כך, יש משנה חשיבות בקביעת לוח זמנים מרבי להשלמת תהליך קביעת דרגת הנכות על שלביו.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1. </w:t>
      </w:r>
      <w:r>
        <w:rPr>
          <w:rFonts w:ascii="Times New Roman" w:hAnsi="Times New Roman" w:cs="FrankRuehl"/>
          <w:sz w:val="22"/>
          <w:szCs w:val="22"/>
          <w:rtl/>
        </w:rPr>
        <w:tab/>
      </w:r>
      <w:r>
        <w:rPr>
          <w:rFonts w:ascii="Times New Roman" w:hAnsi="Times New Roman" w:cs="FrankRuehl"/>
          <w:b/>
          <w:bCs/>
          <w:spacing w:val="40"/>
          <w:sz w:val="22"/>
          <w:szCs w:val="22"/>
          <w:rtl/>
        </w:rPr>
        <w:t>משך זמן הטיפול הכולל בתביעות לקביעת דרגת נכות:</w:t>
      </w:r>
      <w:r>
        <w:rPr>
          <w:rFonts w:ascii="Times New Roman" w:hAnsi="Times New Roman" w:cs="FrankRuehl"/>
          <w:sz w:val="22"/>
          <w:szCs w:val="22"/>
          <w:rtl/>
        </w:rPr>
        <w:t xml:space="preserve"> נציגי משרד מבקר המדינה סקרו דוחות סטטיסטיים, שהכינה יחידת המחשוב באגף, ובהם נתונים לשנים 2003 -2006</w:t>
      </w:r>
      <w:r>
        <w:rPr>
          <w:rStyle w:val="FootnoteReference"/>
          <w:rFonts w:ascii="Times New Roman" w:hAnsi="Times New Roman" w:cs="FrankRuehl"/>
          <w:sz w:val="22"/>
          <w:szCs w:val="22"/>
          <w:rtl/>
        </w:rPr>
        <w:footnoteReference w:id="16"/>
      </w:r>
      <w:r>
        <w:rPr>
          <w:rFonts w:ascii="Times New Roman" w:hAnsi="Times New Roman" w:cs="FrankRuehl"/>
          <w:sz w:val="22"/>
          <w:szCs w:val="22"/>
          <w:rtl/>
        </w:rPr>
        <w:t xml:space="preserve"> המתייחסים למשך זמן הטיפול הכולל</w:t>
      </w:r>
      <w:r>
        <w:rPr>
          <w:rStyle w:val="FootnoteReference"/>
          <w:rFonts w:ascii="Times New Roman" w:hAnsi="Times New Roman" w:cs="FrankRuehl"/>
          <w:sz w:val="22"/>
          <w:szCs w:val="22"/>
          <w:rtl/>
        </w:rPr>
        <w:footnoteReference w:id="17"/>
      </w:r>
      <w:r>
        <w:rPr>
          <w:rFonts w:ascii="Times New Roman" w:hAnsi="Times New Roman" w:cs="FrankRuehl"/>
          <w:sz w:val="22"/>
          <w:szCs w:val="22"/>
          <w:rtl/>
        </w:rPr>
        <w:t xml:space="preserve"> בתביעות לקביעת דרגת נכות הן </w:t>
      </w:r>
      <w:r>
        <w:rPr>
          <w:rFonts w:ascii="Times New Roman" w:hAnsi="Times New Roman" w:cs="FrankRuehl"/>
          <w:sz w:val="22"/>
          <w:szCs w:val="22"/>
          <w:rtl/>
        </w:rPr>
        <w:t>בווע"ר</w:t>
      </w:r>
      <w:r>
        <w:rPr>
          <w:rFonts w:ascii="Times New Roman" w:hAnsi="Times New Roman" w:cs="FrankRuehl"/>
          <w:sz w:val="22"/>
          <w:szCs w:val="22"/>
          <w:rtl/>
        </w:rPr>
        <w:t xml:space="preserve"> המחוזיות והן </w:t>
      </w:r>
      <w:r>
        <w:rPr>
          <w:rFonts w:ascii="Times New Roman" w:hAnsi="Times New Roman" w:cs="FrankRuehl"/>
          <w:sz w:val="22"/>
          <w:szCs w:val="22"/>
          <w:rtl/>
        </w:rPr>
        <w:t>בווע"ר</w:t>
      </w:r>
      <w:r>
        <w:rPr>
          <w:rFonts w:ascii="Times New Roman" w:hAnsi="Times New Roman" w:cs="FrankRuehl"/>
          <w:sz w:val="22"/>
          <w:szCs w:val="22"/>
          <w:rtl/>
        </w:rPr>
        <w:t xml:space="preserve"> העליונות. להלן ב</w:t>
      </w:r>
      <w:r>
        <w:rPr>
          <w:rFonts w:ascii="Times New Roman" w:hAnsi="Times New Roman" w:cs="FrankRuehl"/>
          <w:sz w:val="22"/>
          <w:szCs w:val="22"/>
          <w:rtl/>
        </w:rPr>
        <w:t>טבלאות נתונים אודות שיעורי התביעות שהטיפול בהן הסתיים בשנה מסוימת בחלוקה לפרקי הזמן שלהלן</w:t>
      </w:r>
      <w:r>
        <w:rPr>
          <w:rStyle w:val="FootnoteReference"/>
          <w:rFonts w:ascii="Times New Roman" w:hAnsi="Times New Roman" w:cs="FrankRuehl"/>
          <w:sz w:val="22"/>
          <w:szCs w:val="22"/>
          <w:rtl/>
        </w:rPr>
        <w:footnoteReference w:id="18"/>
      </w:r>
      <w:r>
        <w:rPr>
          <w:rFonts w:ascii="Times New Roman" w:hAnsi="Times New Roman" w:cs="FrankRuehl"/>
          <w:sz w:val="22"/>
          <w:szCs w:val="22"/>
          <w:rtl/>
        </w:rPr>
        <w:t>:</w:t>
      </w:r>
    </w:p>
    <w:p w:rsidR="00000000">
      <w:pPr>
        <w:pStyle w:val="PlainText"/>
        <w:widowControl/>
        <w:spacing w:after="120" w:line="230" w:lineRule="exact"/>
        <w:rPr>
          <w:rFonts w:ascii="Times New Roman" w:hAnsi="Times New Roman" w:cs="FrankRuehl"/>
          <w:sz w:val="22"/>
          <w:szCs w:val="22"/>
        </w:rPr>
      </w:pPr>
    </w:p>
    <w:p w:rsidR="00000000">
      <w:pPr>
        <w:pStyle w:val="PlainText"/>
        <w:widowControl/>
        <w:spacing w:after="240" w:line="230" w:lineRule="exact"/>
        <w:rPr>
          <w:rFonts w:ascii="Times New Roman" w:hAnsi="Times New Roman" w:cs="FrankRuehl"/>
          <w:b/>
          <w:bCs/>
          <w:spacing w:val="40"/>
          <w:sz w:val="22"/>
          <w:szCs w:val="22"/>
        </w:rPr>
      </w:pPr>
      <w:r>
        <w:rPr>
          <w:rFonts w:ascii="Times New Roman" w:hAnsi="Times New Roman" w:cs="FrankRuehl"/>
          <w:b/>
          <w:bCs/>
          <w:spacing w:val="40"/>
          <w:sz w:val="22"/>
          <w:szCs w:val="22"/>
          <w:rtl/>
        </w:rPr>
        <w:t>וע"ר</w:t>
      </w:r>
      <w:r>
        <w:rPr>
          <w:rFonts w:ascii="Times New Roman" w:hAnsi="Times New Roman" w:cs="FrankRuehl"/>
          <w:b/>
          <w:bCs/>
          <w:spacing w:val="40"/>
          <w:sz w:val="22"/>
          <w:szCs w:val="22"/>
          <w:rtl/>
        </w:rPr>
        <w:t xml:space="preserve"> מחוזיות</w:t>
      </w:r>
    </w:p>
    <w:tbl>
      <w:tblPr>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297"/>
        <w:gridCol w:w="1297"/>
        <w:gridCol w:w="1298"/>
        <w:gridCol w:w="1298"/>
        <w:gridCol w:w="1614"/>
      </w:tblGrid>
      <w:tr>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474"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sz w:val="22"/>
                <w:szCs w:val="22"/>
              </w:rPr>
            </w:pPr>
            <w:r>
              <w:rPr>
                <w:rFonts w:ascii="Times New Roman" w:hAnsi="Times New Roman" w:cs="FrankRuehl"/>
                <w:b/>
                <w:bCs/>
                <w:sz w:val="22"/>
                <w:szCs w:val="22"/>
                <w:rtl/>
              </w:rPr>
              <w:t>2006</w:t>
            </w:r>
          </w:p>
        </w:tc>
        <w:tc>
          <w:tcPr>
            <w:tcW w:w="1474"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2005</w:t>
            </w:r>
          </w:p>
        </w:tc>
        <w:tc>
          <w:tcPr>
            <w:tcW w:w="1474"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2004</w:t>
            </w:r>
          </w:p>
        </w:tc>
        <w:tc>
          <w:tcPr>
            <w:tcW w:w="1474"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2003</w:t>
            </w:r>
          </w:p>
        </w:tc>
        <w:tc>
          <w:tcPr>
            <w:tcW w:w="1963"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פרק זמן בחודשים</w:t>
            </w:r>
          </w:p>
        </w:tc>
      </w:tr>
      <w:tr>
        <w:tblPrEx>
          <w:tblW w:w="6804" w:type="dxa"/>
          <w:jc w:val="center"/>
          <w:tblLook w:val="01E0"/>
        </w:tblPrEx>
        <w:trPr>
          <w:jc w:val="center"/>
        </w:trPr>
        <w:tc>
          <w:tcPr>
            <w:tcW w:w="1474" w:type="dxa"/>
            <w:tcBorders>
              <w:top w:val="single" w:sz="12" w:space="0" w:color="auto"/>
            </w:tcBorders>
          </w:tcPr>
          <w:p w:rsidR="00000000">
            <w:pPr>
              <w:pStyle w:val="PlainText"/>
              <w:widowControl/>
              <w:spacing w:before="40" w:after="40" w:line="220" w:lineRule="exact"/>
              <w:ind w:left="227"/>
              <w:jc w:val="left"/>
              <w:rPr>
                <w:rFonts w:ascii="Times New Roman" w:hAnsi="Times New Roman" w:cs="FrankRuehl"/>
                <w:sz w:val="22"/>
                <w:szCs w:val="22"/>
              </w:rPr>
            </w:pPr>
            <w:r>
              <w:rPr>
                <w:rFonts w:ascii="Times New Roman" w:hAnsi="Times New Roman" w:cs="FrankRuehl"/>
                <w:sz w:val="22"/>
                <w:szCs w:val="22"/>
                <w:rtl/>
              </w:rPr>
              <w:t>64.0%</w:t>
            </w:r>
          </w:p>
        </w:tc>
        <w:tc>
          <w:tcPr>
            <w:tcW w:w="1474" w:type="dxa"/>
            <w:tcBorders>
              <w:top w:val="single" w:sz="12" w:space="0" w:color="auto"/>
            </w:tcBorders>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64.0%</w:t>
            </w:r>
          </w:p>
        </w:tc>
        <w:tc>
          <w:tcPr>
            <w:tcW w:w="1474" w:type="dxa"/>
            <w:tcBorders>
              <w:top w:val="single" w:sz="12" w:space="0" w:color="auto"/>
            </w:tcBorders>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66.5%</w:t>
            </w:r>
          </w:p>
        </w:tc>
        <w:tc>
          <w:tcPr>
            <w:tcW w:w="1474" w:type="dxa"/>
            <w:tcBorders>
              <w:top w:val="single" w:sz="12" w:space="0" w:color="auto"/>
            </w:tcBorders>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71.5%</w:t>
            </w:r>
          </w:p>
        </w:tc>
        <w:tc>
          <w:tcPr>
            <w:tcW w:w="1963" w:type="dxa"/>
            <w:tcBorders>
              <w:top w:val="single" w:sz="12" w:space="0" w:color="auto"/>
            </w:tcBorders>
          </w:tcPr>
          <w:p w:rsidR="00000000">
            <w:pPr>
              <w:pStyle w:val="PlainText"/>
              <w:widowControl/>
              <w:spacing w:before="40" w:after="40" w:line="220" w:lineRule="exact"/>
              <w:jc w:val="left"/>
              <w:rPr>
                <w:rFonts w:ascii="Times New Roman" w:hAnsi="Times New Roman" w:cs="FrankRuehl"/>
                <w:sz w:val="22"/>
                <w:szCs w:val="22"/>
                <w:rtl/>
              </w:rPr>
            </w:pPr>
            <w:r>
              <w:rPr>
                <w:rFonts w:ascii="Times New Roman" w:hAnsi="Times New Roman" w:cs="FrankRuehl"/>
                <w:sz w:val="22"/>
                <w:szCs w:val="22"/>
                <w:rtl/>
              </w:rPr>
              <w:t xml:space="preserve">עד 3 </w:t>
            </w:r>
          </w:p>
        </w:tc>
      </w:tr>
      <w:tr>
        <w:tblPrEx>
          <w:tblW w:w="6804" w:type="dxa"/>
          <w:jc w:val="center"/>
          <w:tblLook w:val="01E0"/>
        </w:tblPrEx>
        <w:trPr>
          <w:jc w:val="center"/>
        </w:trPr>
        <w:tc>
          <w:tcPr>
            <w:tcW w:w="1474" w:type="dxa"/>
          </w:tcPr>
          <w:p w:rsidR="00000000">
            <w:pPr>
              <w:pStyle w:val="PlainText"/>
              <w:widowControl/>
              <w:spacing w:before="40" w:after="40" w:line="220" w:lineRule="exact"/>
              <w:ind w:left="227"/>
              <w:jc w:val="left"/>
              <w:rPr>
                <w:rFonts w:ascii="Times New Roman" w:hAnsi="Times New Roman" w:cs="FrankRuehl"/>
                <w:sz w:val="22"/>
                <w:szCs w:val="22"/>
              </w:rPr>
            </w:pPr>
            <w:r>
              <w:rPr>
                <w:rFonts w:ascii="Times New Roman" w:hAnsi="Times New Roman" w:cs="FrankRuehl"/>
                <w:sz w:val="22"/>
                <w:szCs w:val="22"/>
                <w:rtl/>
              </w:rPr>
              <w:t>26.0%</w:t>
            </w:r>
          </w:p>
        </w:tc>
        <w:tc>
          <w:tcPr>
            <w:tcW w:w="1474" w:type="dxa"/>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25.5%</w:t>
            </w:r>
          </w:p>
        </w:tc>
        <w:tc>
          <w:tcPr>
            <w:tcW w:w="1474" w:type="dxa"/>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24.5%</w:t>
            </w:r>
          </w:p>
        </w:tc>
        <w:tc>
          <w:tcPr>
            <w:tcW w:w="1474" w:type="dxa"/>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21.0%</w:t>
            </w:r>
          </w:p>
        </w:tc>
        <w:tc>
          <w:tcPr>
            <w:tcW w:w="1963" w:type="dxa"/>
          </w:tcPr>
          <w:p w:rsidR="00000000">
            <w:pPr>
              <w:pStyle w:val="PlainText"/>
              <w:widowControl/>
              <w:spacing w:before="40" w:after="40" w:line="220" w:lineRule="exact"/>
              <w:jc w:val="left"/>
              <w:rPr>
                <w:rFonts w:ascii="Times New Roman" w:hAnsi="Times New Roman" w:cs="FrankRuehl"/>
                <w:sz w:val="22"/>
                <w:szCs w:val="22"/>
                <w:rtl/>
              </w:rPr>
            </w:pPr>
            <w:r>
              <w:rPr>
                <w:rFonts w:ascii="Times New Roman" w:hAnsi="Times New Roman" w:cs="FrankRuehl"/>
                <w:sz w:val="22"/>
                <w:szCs w:val="22"/>
                <w:rtl/>
              </w:rPr>
              <w:t>4 - 7</w:t>
            </w:r>
          </w:p>
        </w:tc>
      </w:tr>
      <w:tr>
        <w:tblPrEx>
          <w:tblW w:w="6804" w:type="dxa"/>
          <w:jc w:val="center"/>
          <w:tblLook w:val="01E0"/>
        </w:tblPrEx>
        <w:trPr>
          <w:jc w:val="center"/>
        </w:trPr>
        <w:tc>
          <w:tcPr>
            <w:tcW w:w="1474" w:type="dxa"/>
          </w:tcPr>
          <w:p w:rsidR="00000000">
            <w:pPr>
              <w:pStyle w:val="PlainText"/>
              <w:widowControl/>
              <w:spacing w:before="40" w:after="40" w:line="220" w:lineRule="exact"/>
              <w:ind w:left="227"/>
              <w:jc w:val="left"/>
              <w:rPr>
                <w:rFonts w:ascii="Times New Roman" w:hAnsi="Times New Roman" w:cs="FrankRuehl"/>
                <w:sz w:val="22"/>
                <w:szCs w:val="22"/>
              </w:rPr>
            </w:pPr>
            <w:r>
              <w:rPr>
                <w:rFonts w:ascii="Times New Roman" w:hAnsi="Times New Roman" w:cs="FrankRuehl"/>
                <w:sz w:val="22"/>
                <w:szCs w:val="22"/>
                <w:rtl/>
              </w:rPr>
              <w:t>10.0%</w:t>
            </w:r>
          </w:p>
        </w:tc>
        <w:tc>
          <w:tcPr>
            <w:tcW w:w="1474" w:type="dxa"/>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10.5%</w:t>
            </w:r>
          </w:p>
        </w:tc>
        <w:tc>
          <w:tcPr>
            <w:tcW w:w="1474" w:type="dxa"/>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9.0%</w:t>
            </w:r>
          </w:p>
        </w:tc>
        <w:tc>
          <w:tcPr>
            <w:tcW w:w="1474" w:type="dxa"/>
          </w:tcPr>
          <w:p w:rsidR="00000000">
            <w:pPr>
              <w:pStyle w:val="PlainText"/>
              <w:widowControl/>
              <w:spacing w:before="40" w:after="40" w:line="220" w:lineRule="exact"/>
              <w:ind w:left="227"/>
              <w:jc w:val="left"/>
              <w:rPr>
                <w:rFonts w:ascii="Times New Roman" w:hAnsi="Times New Roman" w:cs="FrankRuehl"/>
                <w:sz w:val="22"/>
                <w:szCs w:val="22"/>
                <w:rtl/>
              </w:rPr>
            </w:pPr>
            <w:r>
              <w:rPr>
                <w:rFonts w:ascii="Times New Roman" w:hAnsi="Times New Roman" w:cs="FrankRuehl"/>
                <w:sz w:val="22"/>
                <w:szCs w:val="22"/>
                <w:rtl/>
              </w:rPr>
              <w:t>7.5%</w:t>
            </w:r>
          </w:p>
        </w:tc>
        <w:tc>
          <w:tcPr>
            <w:tcW w:w="1963" w:type="dxa"/>
          </w:tcPr>
          <w:p w:rsidR="00000000">
            <w:pPr>
              <w:pStyle w:val="PlainText"/>
              <w:widowControl/>
              <w:spacing w:before="40" w:after="40" w:line="220" w:lineRule="exact"/>
              <w:jc w:val="left"/>
              <w:rPr>
                <w:rFonts w:ascii="Times New Roman" w:hAnsi="Times New Roman" w:cs="FrankRuehl"/>
                <w:sz w:val="22"/>
                <w:szCs w:val="22"/>
                <w:rtl/>
              </w:rPr>
            </w:pPr>
            <w:r>
              <w:rPr>
                <w:rFonts w:ascii="Times New Roman" w:hAnsi="Times New Roman" w:cs="FrankRuehl"/>
                <w:sz w:val="22"/>
                <w:szCs w:val="22"/>
                <w:rtl/>
              </w:rPr>
              <w:t>מעל 7 (*)</w:t>
            </w:r>
          </w:p>
        </w:tc>
      </w:tr>
    </w:tbl>
    <w:p w:rsidR="00000000">
      <w:pPr>
        <w:pStyle w:val="PlainText"/>
        <w:widowControl/>
        <w:spacing w:before="120" w:after="240" w:line="200" w:lineRule="exact"/>
        <w:ind w:left="397" w:hanging="397"/>
        <w:rPr>
          <w:rFonts w:ascii="Times New Roman" w:hAnsi="Times New Roman" w:cs="FrankRuehl"/>
        </w:rPr>
      </w:pPr>
      <w:r>
        <w:rPr>
          <w:rFonts w:ascii="Times New Roman" w:hAnsi="Times New Roman" w:cs="FrankRuehl"/>
          <w:rtl/>
        </w:rPr>
        <w:t>(*) במקרים קיצוניי</w:t>
      </w:r>
      <w:r>
        <w:rPr>
          <w:rFonts w:ascii="Times New Roman" w:hAnsi="Times New Roman" w:cs="FrankRuehl"/>
          <w:rtl/>
        </w:rPr>
        <w:t>ם משך זמן הטיפול הכולל התמשך גם מעבר לשלוש שנים.</w:t>
      </w:r>
    </w:p>
    <w:p w:rsidR="00000000">
      <w:pPr>
        <w:pStyle w:val="PlainText"/>
        <w:widowControl/>
        <w:spacing w:after="120" w:line="230" w:lineRule="exact"/>
        <w:rPr>
          <w:rFonts w:ascii="Times New Roman" w:hAnsi="Times New Roman" w:cs="FrankRuehl"/>
          <w:sz w:val="22"/>
          <w:szCs w:val="22"/>
        </w:rPr>
      </w:pPr>
    </w:p>
    <w:p w:rsidR="00000000">
      <w:pPr>
        <w:pStyle w:val="PlainText"/>
        <w:keepNext/>
        <w:keepLines/>
        <w:widowControl/>
        <w:spacing w:after="120" w:line="230" w:lineRule="exact"/>
        <w:rPr>
          <w:rFonts w:ascii="Times New Roman" w:hAnsi="Times New Roman" w:cs="FrankRuehl"/>
          <w:sz w:val="22"/>
          <w:szCs w:val="22"/>
        </w:rPr>
      </w:pPr>
      <w:r>
        <w:rPr>
          <w:rFonts w:ascii="Times New Roman" w:hAnsi="Times New Roman" w:cs="FrankRuehl"/>
          <w:b/>
          <w:bCs/>
          <w:spacing w:val="40"/>
          <w:sz w:val="22"/>
          <w:szCs w:val="22"/>
          <w:rtl/>
        </w:rPr>
        <w:t>וע"ר</w:t>
      </w:r>
      <w:r>
        <w:rPr>
          <w:rFonts w:ascii="Times New Roman" w:hAnsi="Times New Roman" w:cs="FrankRuehl"/>
          <w:b/>
          <w:bCs/>
          <w:spacing w:val="40"/>
          <w:sz w:val="22"/>
          <w:szCs w:val="22"/>
          <w:rtl/>
        </w:rPr>
        <w:t xml:space="preserve"> עליונות</w:t>
      </w:r>
      <w:r>
        <w:rPr>
          <w:rStyle w:val="FootnoteReference"/>
          <w:rFonts w:ascii="Times New Roman" w:hAnsi="Times New Roman" w:cs="FrankRuehl"/>
          <w:sz w:val="22"/>
          <w:szCs w:val="22"/>
          <w:rtl/>
        </w:rPr>
        <w:footnoteReference w:id="19"/>
      </w:r>
    </w:p>
    <w:tbl>
      <w:tblPr>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268"/>
        <w:gridCol w:w="1268"/>
        <w:gridCol w:w="1268"/>
        <w:gridCol w:w="1268"/>
        <w:gridCol w:w="1732"/>
      </w:tblGrid>
      <w:tr>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3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Pr>
            </w:pPr>
            <w:r>
              <w:rPr>
                <w:rFonts w:ascii="Times New Roman" w:hAnsi="Times New Roman" w:cs="FrankRuehl"/>
                <w:b/>
                <w:bCs/>
                <w:sz w:val="22"/>
                <w:szCs w:val="22"/>
                <w:rtl/>
              </w:rPr>
              <w:t>2006</w:t>
            </w:r>
          </w:p>
        </w:tc>
        <w:tc>
          <w:tcPr>
            <w:tcW w:w="13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2005</w:t>
            </w:r>
          </w:p>
        </w:tc>
        <w:tc>
          <w:tcPr>
            <w:tcW w:w="13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2004</w:t>
            </w:r>
          </w:p>
        </w:tc>
        <w:tc>
          <w:tcPr>
            <w:tcW w:w="13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2003</w:t>
            </w:r>
          </w:p>
        </w:tc>
        <w:tc>
          <w:tcPr>
            <w:tcW w:w="1963"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פרק זמן בחודשים</w:t>
            </w:r>
          </w:p>
        </w:tc>
      </w:tr>
      <w:tr>
        <w:tblPrEx>
          <w:tblW w:w="6804" w:type="dxa"/>
          <w:jc w:val="center"/>
          <w:tblLook w:val="01E0"/>
        </w:tblPrEx>
        <w:trPr>
          <w:jc w:val="center"/>
        </w:trPr>
        <w:tc>
          <w:tcPr>
            <w:tcW w:w="13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41.0%</w:t>
            </w:r>
          </w:p>
        </w:tc>
        <w:tc>
          <w:tcPr>
            <w:tcW w:w="13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40.0%</w:t>
            </w:r>
          </w:p>
        </w:tc>
        <w:tc>
          <w:tcPr>
            <w:tcW w:w="13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43.0%</w:t>
            </w:r>
          </w:p>
        </w:tc>
        <w:tc>
          <w:tcPr>
            <w:tcW w:w="13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47.5%</w:t>
            </w:r>
          </w:p>
        </w:tc>
        <w:tc>
          <w:tcPr>
            <w:tcW w:w="1963" w:type="dxa"/>
            <w:tcBorders>
              <w:top w:val="single" w:sz="12" w:space="0" w:color="auto"/>
            </w:tcBorders>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עד 3</w:t>
            </w:r>
          </w:p>
        </w:tc>
      </w:tr>
      <w:tr>
        <w:tblPrEx>
          <w:tblW w:w="6804" w:type="dxa"/>
          <w:jc w:val="center"/>
          <w:tblLook w:val="01E0"/>
        </w:tblPrEx>
        <w:trPr>
          <w:jc w:val="center"/>
        </w:trPr>
        <w:tc>
          <w:tcPr>
            <w:tcW w:w="13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37.0%</w:t>
            </w:r>
          </w:p>
        </w:tc>
        <w:tc>
          <w:tcPr>
            <w:tcW w:w="13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36.0%</w:t>
            </w:r>
          </w:p>
        </w:tc>
        <w:tc>
          <w:tcPr>
            <w:tcW w:w="13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32.5%</w:t>
            </w:r>
          </w:p>
        </w:tc>
        <w:tc>
          <w:tcPr>
            <w:tcW w:w="13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35.5%</w:t>
            </w:r>
          </w:p>
        </w:tc>
        <w:tc>
          <w:tcPr>
            <w:tcW w:w="1963"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4 - 7</w:t>
            </w:r>
          </w:p>
        </w:tc>
      </w:tr>
      <w:tr>
        <w:tblPrEx>
          <w:tblW w:w="6804" w:type="dxa"/>
          <w:jc w:val="center"/>
          <w:tblLook w:val="01E0"/>
        </w:tblPrEx>
        <w:trPr>
          <w:jc w:val="center"/>
        </w:trPr>
        <w:tc>
          <w:tcPr>
            <w:tcW w:w="13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22.0%</w:t>
            </w:r>
          </w:p>
        </w:tc>
        <w:tc>
          <w:tcPr>
            <w:tcW w:w="13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24.0%</w:t>
            </w:r>
          </w:p>
        </w:tc>
        <w:tc>
          <w:tcPr>
            <w:tcW w:w="13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24.5%</w:t>
            </w:r>
          </w:p>
        </w:tc>
        <w:tc>
          <w:tcPr>
            <w:tcW w:w="13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17.0%</w:t>
            </w:r>
          </w:p>
        </w:tc>
        <w:tc>
          <w:tcPr>
            <w:tcW w:w="1963"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מעל 7 (*)</w:t>
            </w:r>
          </w:p>
        </w:tc>
      </w:tr>
    </w:tbl>
    <w:p w:rsidR="00000000">
      <w:pPr>
        <w:pStyle w:val="PlainText"/>
        <w:widowControl/>
        <w:spacing w:before="120" w:after="240" w:line="200" w:lineRule="exact"/>
        <w:ind w:left="397" w:hanging="397"/>
        <w:rPr>
          <w:rFonts w:ascii="Times New Roman" w:hAnsi="Times New Roman" w:cs="FrankRuehl"/>
        </w:rPr>
      </w:pPr>
      <w:r>
        <w:rPr>
          <w:rFonts w:ascii="Times New Roman" w:hAnsi="Times New Roman" w:cs="FrankRuehl"/>
          <w:rtl/>
        </w:rPr>
        <w:t>(*) במקרים קיצוניים משך זמן הטיפול הכולל התמשך גם מעבר לשלו</w:t>
      </w:r>
      <w:r>
        <w:rPr>
          <w:rFonts w:ascii="Times New Roman" w:hAnsi="Times New Roman" w:cs="FrankRuehl"/>
          <w:rtl/>
        </w:rPr>
        <w:t>ש שנים.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מהנתונים עולה, כי בשנים 2003-2006, בממוצע כ-66% מהתביעות </w:t>
      </w:r>
      <w:r>
        <w:rPr>
          <w:rFonts w:ascii="Times New Roman" w:hAnsi="Times New Roman" w:cs="FrankRuehl"/>
          <w:sz w:val="22"/>
          <w:szCs w:val="22"/>
          <w:rtl/>
        </w:rPr>
        <w:t>בווע"ר</w:t>
      </w:r>
      <w:r>
        <w:rPr>
          <w:rFonts w:ascii="Times New Roman" w:hAnsi="Times New Roman" w:cs="FrankRuehl"/>
          <w:sz w:val="22"/>
          <w:szCs w:val="22"/>
          <w:rtl/>
        </w:rPr>
        <w:t xml:space="preserve"> המחוזיות וכ-43% מהתביעות </w:t>
      </w:r>
      <w:r>
        <w:rPr>
          <w:rFonts w:ascii="Times New Roman" w:hAnsi="Times New Roman" w:cs="FrankRuehl"/>
          <w:sz w:val="22"/>
          <w:szCs w:val="22"/>
          <w:rtl/>
        </w:rPr>
        <w:t>בווע"ר</w:t>
      </w:r>
      <w:r>
        <w:rPr>
          <w:rFonts w:ascii="Times New Roman" w:hAnsi="Times New Roman" w:cs="FrankRuehl"/>
          <w:sz w:val="22"/>
          <w:szCs w:val="22"/>
          <w:rtl/>
        </w:rPr>
        <w:t xml:space="preserve"> העליונות, טופלו בפרק זמן של עד שלשה חודשים וכ-90% מהתביעות </w:t>
      </w:r>
      <w:r>
        <w:rPr>
          <w:rFonts w:ascii="Times New Roman" w:hAnsi="Times New Roman" w:cs="FrankRuehl"/>
          <w:sz w:val="22"/>
          <w:szCs w:val="22"/>
          <w:rtl/>
        </w:rPr>
        <w:t>בווע"ר</w:t>
      </w:r>
      <w:r>
        <w:rPr>
          <w:rFonts w:ascii="Times New Roman" w:hAnsi="Times New Roman" w:cs="FrankRuehl"/>
          <w:sz w:val="22"/>
          <w:szCs w:val="22"/>
          <w:rtl/>
        </w:rPr>
        <w:t xml:space="preserve"> המחוזיות וכ-78% מהקביעות </w:t>
      </w:r>
      <w:r>
        <w:rPr>
          <w:rFonts w:ascii="Times New Roman" w:hAnsi="Times New Roman" w:cs="FrankRuehl"/>
          <w:sz w:val="22"/>
          <w:szCs w:val="22"/>
          <w:rtl/>
        </w:rPr>
        <w:t>בווע"ר</w:t>
      </w:r>
      <w:r>
        <w:rPr>
          <w:rFonts w:ascii="Times New Roman" w:hAnsi="Times New Roman" w:cs="FrankRuehl"/>
          <w:sz w:val="22"/>
          <w:szCs w:val="22"/>
          <w:rtl/>
        </w:rPr>
        <w:t xml:space="preserve"> העליונות טופלו בפרק זמן של עד שבעה חודשים. נוכח זאת, ו</w:t>
      </w:r>
      <w:r>
        <w:rPr>
          <w:rFonts w:ascii="Times New Roman" w:hAnsi="Times New Roman" w:cs="FrankRuehl"/>
          <w:sz w:val="22"/>
          <w:szCs w:val="22"/>
          <w:rtl/>
        </w:rPr>
        <w:t>בהיעדר כל קביעה של האגף בנוגע ללוחות זמנים מרביים בנושא, בחרו נציגי משרד מבקר המדינה להשתמש בפרק הזמן של שבעה חודשים בלי לקבוע מהו פרק הזמן הסביר להשלמת הטיפול בתביעה.</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אף שמספר התביעות שבהן טיפלה יחידת </w:t>
      </w:r>
      <w:r>
        <w:rPr>
          <w:rFonts w:ascii="Times New Roman" w:hAnsi="Times New Roman" w:cs="FrankRuehl"/>
          <w:sz w:val="22"/>
          <w:szCs w:val="22"/>
          <w:rtl/>
        </w:rPr>
        <w:t>הווע"ר</w:t>
      </w:r>
      <w:r>
        <w:rPr>
          <w:rFonts w:ascii="Times New Roman" w:hAnsi="Times New Roman" w:cs="FrankRuehl"/>
          <w:sz w:val="22"/>
          <w:szCs w:val="22"/>
          <w:rtl/>
        </w:rPr>
        <w:t xml:space="preserve"> בשנים 2003-2005 היה במגמת ירידה</w:t>
      </w:r>
      <w:r>
        <w:rPr>
          <w:rStyle w:val="FootnoteReference"/>
          <w:rFonts w:ascii="Times New Roman" w:hAnsi="Times New Roman" w:cs="FrankRuehl"/>
          <w:sz w:val="22"/>
          <w:szCs w:val="22"/>
          <w:rtl/>
        </w:rPr>
        <w:footnoteReference w:id="20"/>
      </w:r>
      <w:r>
        <w:rPr>
          <w:rFonts w:ascii="Times New Roman" w:hAnsi="Times New Roman" w:cs="FrankRuehl"/>
          <w:sz w:val="22"/>
          <w:szCs w:val="22"/>
          <w:rtl/>
        </w:rPr>
        <w:t>, שיעור התביעות</w:t>
      </w:r>
      <w:r>
        <w:rPr>
          <w:rFonts w:ascii="Times New Roman" w:hAnsi="Times New Roman" w:cs="FrankRuehl"/>
          <w:sz w:val="22"/>
          <w:szCs w:val="22"/>
          <w:rtl/>
        </w:rPr>
        <w:t xml:space="preserve"> הן </w:t>
      </w:r>
      <w:r>
        <w:rPr>
          <w:rFonts w:ascii="Times New Roman" w:hAnsi="Times New Roman" w:cs="FrankRuehl"/>
          <w:sz w:val="22"/>
          <w:szCs w:val="22"/>
          <w:rtl/>
        </w:rPr>
        <w:t>בווע"ר</w:t>
      </w:r>
      <w:r>
        <w:rPr>
          <w:rFonts w:ascii="Times New Roman" w:hAnsi="Times New Roman" w:cs="FrankRuehl"/>
          <w:sz w:val="22"/>
          <w:szCs w:val="22"/>
          <w:rtl/>
        </w:rPr>
        <w:t xml:space="preserve"> מחוזיות והן </w:t>
      </w:r>
      <w:r>
        <w:rPr>
          <w:rFonts w:ascii="Times New Roman" w:hAnsi="Times New Roman" w:cs="FrankRuehl"/>
          <w:sz w:val="22"/>
          <w:szCs w:val="22"/>
          <w:rtl/>
        </w:rPr>
        <w:t>בווע"ר</w:t>
      </w:r>
      <w:r>
        <w:rPr>
          <w:rFonts w:ascii="Times New Roman" w:hAnsi="Times New Roman" w:cs="FrankRuehl"/>
          <w:sz w:val="22"/>
          <w:szCs w:val="22"/>
          <w:rtl/>
        </w:rPr>
        <w:t xml:space="preserve"> עליונות, שמשך זמן הטיפול בהן בשנים אלה היה מעל שבעה חודשים לא רק שלא ירד אלא אף עלה. לעומת זאת, בשנת 2006 יש שינוי במגמה: מספר התביעות שבהן טיפלה יחידת </w:t>
      </w:r>
      <w:r>
        <w:rPr>
          <w:rFonts w:ascii="Times New Roman" w:hAnsi="Times New Roman" w:cs="FrankRuehl"/>
          <w:sz w:val="22"/>
          <w:szCs w:val="22"/>
          <w:rtl/>
        </w:rPr>
        <w:t>הווע"ר</w:t>
      </w:r>
      <w:r>
        <w:rPr>
          <w:rFonts w:ascii="Times New Roman" w:hAnsi="Times New Roman" w:cs="FrankRuehl"/>
          <w:sz w:val="22"/>
          <w:szCs w:val="22"/>
          <w:rtl/>
        </w:rPr>
        <w:t xml:space="preserve"> עלה</w:t>
      </w:r>
      <w:r>
        <w:rPr>
          <w:rStyle w:val="FootnoteReference"/>
          <w:rFonts w:ascii="Times New Roman" w:hAnsi="Times New Roman" w:cs="FrankRuehl"/>
          <w:sz w:val="22"/>
          <w:szCs w:val="22"/>
          <w:rtl/>
        </w:rPr>
        <w:footnoteReference w:id="21"/>
      </w:r>
      <w:r>
        <w:rPr>
          <w:rFonts w:ascii="Times New Roman" w:hAnsi="Times New Roman" w:cs="FrankRuehl"/>
          <w:sz w:val="22"/>
          <w:szCs w:val="22"/>
          <w:rtl/>
        </w:rPr>
        <w:t xml:space="preserve">, עם זאת, שיעור התביעות הן </w:t>
      </w:r>
      <w:r>
        <w:rPr>
          <w:rFonts w:ascii="Times New Roman" w:hAnsi="Times New Roman" w:cs="FrankRuehl"/>
          <w:sz w:val="22"/>
          <w:szCs w:val="22"/>
          <w:rtl/>
        </w:rPr>
        <w:t>בווע"ר</w:t>
      </w:r>
      <w:r>
        <w:rPr>
          <w:rFonts w:ascii="Times New Roman" w:hAnsi="Times New Roman" w:cs="FrankRuehl"/>
          <w:sz w:val="22"/>
          <w:szCs w:val="22"/>
          <w:rtl/>
        </w:rPr>
        <w:t xml:space="preserve"> המחוזיות והן </w:t>
      </w:r>
      <w:r>
        <w:rPr>
          <w:rFonts w:ascii="Times New Roman" w:hAnsi="Times New Roman" w:cs="FrankRuehl"/>
          <w:sz w:val="22"/>
          <w:szCs w:val="22"/>
          <w:rtl/>
        </w:rPr>
        <w:t>בווע"ר</w:t>
      </w:r>
      <w:r>
        <w:rPr>
          <w:rFonts w:ascii="Times New Roman" w:hAnsi="Times New Roman" w:cs="FrankRuehl"/>
          <w:sz w:val="22"/>
          <w:szCs w:val="22"/>
          <w:rtl/>
        </w:rPr>
        <w:t xml:space="preserve"> העליונות </w:t>
      </w:r>
      <w:r>
        <w:rPr>
          <w:rFonts w:ascii="Times New Roman" w:hAnsi="Times New Roman" w:cs="FrankRuehl"/>
          <w:sz w:val="22"/>
          <w:szCs w:val="22"/>
          <w:rtl/>
        </w:rPr>
        <w:t>שמשך זמן הטיפול בהן היה מעל שבעה חודשים, ירד במקצת.</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להלן בטבלה נתונים על שיעור התביעות שטופלו </w:t>
      </w:r>
      <w:r>
        <w:rPr>
          <w:rFonts w:ascii="Times New Roman" w:hAnsi="Times New Roman" w:cs="FrankRuehl"/>
          <w:sz w:val="22"/>
          <w:szCs w:val="22"/>
          <w:rtl/>
        </w:rPr>
        <w:t>בווע"ר</w:t>
      </w:r>
      <w:r>
        <w:rPr>
          <w:rFonts w:ascii="Times New Roman" w:hAnsi="Times New Roman" w:cs="FrankRuehl"/>
          <w:sz w:val="22"/>
          <w:szCs w:val="22"/>
          <w:rtl/>
        </w:rPr>
        <w:t xml:space="preserve"> מחוזיות, שמשך הטיפול בהן היה מעל שבעה חודשים. שיעורים אלה חושבו בכל אחד מהמחוזות מסך כל התביעות בכל אחת מהשנים:</w:t>
      </w:r>
    </w:p>
    <w:tbl>
      <w:tblPr>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261"/>
        <w:gridCol w:w="1261"/>
        <w:gridCol w:w="1261"/>
        <w:gridCol w:w="1261"/>
        <w:gridCol w:w="1760"/>
      </w:tblGrid>
      <w:tr>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2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Pr>
            </w:pPr>
            <w:r>
              <w:rPr>
                <w:rFonts w:ascii="Times New Roman" w:hAnsi="Times New Roman" w:cs="FrankRuehl"/>
                <w:b/>
                <w:bCs/>
                <w:sz w:val="22"/>
                <w:szCs w:val="22"/>
                <w:rtl/>
              </w:rPr>
              <w:t>2006</w:t>
            </w:r>
          </w:p>
        </w:tc>
        <w:tc>
          <w:tcPr>
            <w:tcW w:w="12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2005</w:t>
            </w:r>
          </w:p>
        </w:tc>
        <w:tc>
          <w:tcPr>
            <w:tcW w:w="12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2004</w:t>
            </w:r>
          </w:p>
        </w:tc>
        <w:tc>
          <w:tcPr>
            <w:tcW w:w="126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2003</w:t>
            </w:r>
          </w:p>
        </w:tc>
        <w:tc>
          <w:tcPr>
            <w:tcW w:w="1760"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מחוז/לשכה</w:t>
            </w:r>
          </w:p>
        </w:tc>
      </w:tr>
      <w:tr>
        <w:tblPrEx>
          <w:tblW w:w="6804" w:type="dxa"/>
          <w:jc w:val="center"/>
          <w:tblLook w:val="01E0"/>
        </w:tblPrEx>
        <w:trPr>
          <w:jc w:val="center"/>
        </w:trPr>
        <w:tc>
          <w:tcPr>
            <w:tcW w:w="12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3.6%</w:t>
            </w:r>
          </w:p>
        </w:tc>
        <w:tc>
          <w:tcPr>
            <w:tcW w:w="12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4.5%</w:t>
            </w:r>
          </w:p>
        </w:tc>
        <w:tc>
          <w:tcPr>
            <w:tcW w:w="12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3.</w:t>
            </w:r>
            <w:r>
              <w:rPr>
                <w:rFonts w:ascii="Times New Roman" w:hAnsi="Times New Roman" w:cs="FrankRuehl"/>
                <w:sz w:val="22"/>
                <w:szCs w:val="22"/>
                <w:rtl/>
              </w:rPr>
              <w:t>4%</w:t>
            </w:r>
          </w:p>
        </w:tc>
        <w:tc>
          <w:tcPr>
            <w:tcW w:w="1261"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1.6%</w:t>
            </w:r>
          </w:p>
        </w:tc>
        <w:tc>
          <w:tcPr>
            <w:tcW w:w="1760" w:type="dxa"/>
            <w:tcBorders>
              <w:top w:val="single" w:sz="12" w:space="0" w:color="auto"/>
            </w:tcBorders>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ירושלים</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15.0%</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10.7%</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8.9%</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7.1%</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חיפה</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5.8%</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6.8%</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5.3%</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6.4%</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באר שבע</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4.0%</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5.9%</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5.0%</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4.2%</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טבריה</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11.8%</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16.9%</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13.3%</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12.2%</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תל אביב</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8.0%</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10.5%</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11.5%</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8.7%</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דן</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9.8%</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13.0%</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9.5%</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7.5%</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רחובות</w:t>
            </w:r>
          </w:p>
        </w:tc>
      </w:tr>
      <w:tr>
        <w:tblPrEx>
          <w:tblW w:w="6804" w:type="dxa"/>
          <w:jc w:val="center"/>
          <w:tblLook w:val="01E0"/>
        </w:tblPrEx>
        <w:trPr>
          <w:jc w:val="center"/>
        </w:trPr>
        <w:tc>
          <w:tcPr>
            <w:tcW w:w="1261"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11.0%</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13.8%</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11.8%</w:t>
            </w:r>
          </w:p>
        </w:tc>
        <w:tc>
          <w:tcPr>
            <w:tcW w:w="1261"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11.0%</w:t>
            </w:r>
          </w:p>
        </w:tc>
        <w:tc>
          <w:tcPr>
            <w:tcW w:w="1760"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נתניה</w:t>
            </w:r>
          </w:p>
        </w:tc>
      </w:tr>
    </w:tbl>
    <w:p w:rsidR="00000000">
      <w:pPr>
        <w:pStyle w:val="PlainText"/>
        <w:widowControl/>
        <w:spacing w:line="240" w:lineRule="exact"/>
        <w:rPr>
          <w:rFonts w:ascii="Times New Roman" w:hAnsi="Times New Roman" w:cs="FrankRuehl"/>
          <w:sz w:val="22"/>
          <w:szCs w:val="22"/>
        </w:rPr>
      </w:pP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מהנתונים עולה, שקיימים פערים בין המ</w:t>
      </w:r>
      <w:r>
        <w:rPr>
          <w:rFonts w:ascii="Times New Roman" w:hAnsi="Times New Roman" w:cs="FrankRuehl"/>
          <w:sz w:val="22"/>
          <w:szCs w:val="22"/>
          <w:rtl/>
        </w:rPr>
        <w:t>חוזות השונים: בשנים 2003-2005, שיעור תביעות אלו במחוז ירושלים היה הנמוך ביותר, ואילו שיעור זה בלשכת תל אביב (שבטיפול המטה) היה גבוה משמעותית הן ביחס למחוזות אחרים והן ביחס ללשכות אחרות המטופלות במטה. בשנת 2006 חל שיפור, ושיעור תביעות שהטיפול בהן נמשך מעל ש</w:t>
      </w:r>
      <w:r>
        <w:rPr>
          <w:rFonts w:ascii="Times New Roman" w:hAnsi="Times New Roman" w:cs="FrankRuehl"/>
          <w:sz w:val="22"/>
          <w:szCs w:val="22"/>
          <w:rtl/>
        </w:rPr>
        <w:t xml:space="preserve">בעה חודשים, ירד בכל הלשכות המטופלות במטה ובכל המחוזות, למעט במחוז חיפה.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בהתייחסותו מיולי 2007 לממצאי הביקורת ציין האגף, כי נתוני הטבלה מחזקים את ההנחה, שזמן הטיפול במחוזות שאין בהם כוח אדם ייעודי </w:t>
      </w:r>
      <w:r>
        <w:rPr>
          <w:rFonts w:ascii="Times New Roman" w:hAnsi="Times New Roman" w:cs="FrankRuehl"/>
          <w:sz w:val="22"/>
          <w:szCs w:val="22"/>
          <w:rtl/>
        </w:rPr>
        <w:t>לווע"ר</w:t>
      </w:r>
      <w:r>
        <w:rPr>
          <w:rFonts w:ascii="Times New Roman" w:hAnsi="Times New Roman" w:cs="FrankRuehl"/>
          <w:sz w:val="22"/>
          <w:szCs w:val="22"/>
          <w:rtl/>
        </w:rPr>
        <w:t>, כמו במחוז תל אביב</w:t>
      </w:r>
      <w:r>
        <w:rPr>
          <w:rStyle w:val="FootnoteReference"/>
          <w:rFonts w:ascii="Times New Roman" w:hAnsi="Times New Roman" w:cs="FrankRuehl"/>
          <w:sz w:val="22"/>
          <w:szCs w:val="22"/>
          <w:rtl/>
        </w:rPr>
        <w:footnoteReference w:id="22"/>
      </w:r>
      <w:r>
        <w:rPr>
          <w:rFonts w:ascii="Times New Roman" w:hAnsi="Times New Roman" w:cs="FrankRuehl"/>
          <w:sz w:val="22"/>
          <w:szCs w:val="22"/>
          <w:rtl/>
        </w:rPr>
        <w:t>, עלול להתמשך מדי, וזאת בשל מחויב</w:t>
      </w:r>
      <w:r>
        <w:rPr>
          <w:rFonts w:ascii="Times New Roman" w:hAnsi="Times New Roman" w:cs="FrankRuehl"/>
          <w:sz w:val="22"/>
          <w:szCs w:val="22"/>
          <w:rtl/>
        </w:rPr>
        <w:t>ותם של העובדים לפעילות המרפאה ועומס העבודה הכרוך בכך. לדעת משרד מבקר המדינה, על האגף לפעול להתאמת איוש המשרות במחוזות לצרכים כדי להביא לשיפור המצב הקיים.</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להלן בטבלה נתונים על שיעור התביעות שטופלו </w:t>
      </w:r>
      <w:r>
        <w:rPr>
          <w:rFonts w:ascii="Times New Roman" w:hAnsi="Times New Roman" w:cs="FrankRuehl"/>
          <w:sz w:val="22"/>
          <w:szCs w:val="22"/>
          <w:rtl/>
        </w:rPr>
        <w:t>בווע"ר</w:t>
      </w:r>
      <w:r>
        <w:rPr>
          <w:rFonts w:ascii="Times New Roman" w:hAnsi="Times New Roman" w:cs="FrankRuehl"/>
          <w:sz w:val="22"/>
          <w:szCs w:val="22"/>
          <w:rtl/>
        </w:rPr>
        <w:t xml:space="preserve"> עליונות במחוזות השונים</w:t>
      </w:r>
      <w:r>
        <w:rPr>
          <w:rStyle w:val="FootnoteReference"/>
          <w:rFonts w:ascii="Times New Roman" w:hAnsi="Times New Roman" w:cs="FrankRuehl"/>
          <w:sz w:val="22"/>
          <w:szCs w:val="22"/>
          <w:rtl/>
        </w:rPr>
        <w:footnoteReference w:id="23"/>
      </w:r>
      <w:r>
        <w:rPr>
          <w:rFonts w:ascii="Times New Roman" w:hAnsi="Times New Roman" w:cs="FrankRuehl"/>
          <w:sz w:val="22"/>
          <w:szCs w:val="22"/>
          <w:rtl/>
        </w:rPr>
        <w:t>, שהטיפול בהן נמשך מעל שבעה חו</w:t>
      </w:r>
      <w:r>
        <w:rPr>
          <w:rFonts w:ascii="Times New Roman" w:hAnsi="Times New Roman" w:cs="FrankRuehl"/>
          <w:sz w:val="22"/>
          <w:szCs w:val="22"/>
          <w:rtl/>
        </w:rPr>
        <w:t>דשים. שיעורים אלה חושבו בכל אחד מהמחוזות מסך כל התביעות בכל אחת מהשנים:</w:t>
      </w:r>
    </w:p>
    <w:tbl>
      <w:tblPr>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27"/>
        <w:gridCol w:w="1327"/>
        <w:gridCol w:w="1327"/>
        <w:gridCol w:w="1327"/>
        <w:gridCol w:w="1496"/>
      </w:tblGrid>
      <w:tr>
        <w:tblPrEx>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369"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Pr>
            </w:pPr>
            <w:r>
              <w:rPr>
                <w:rFonts w:ascii="Times New Roman" w:hAnsi="Times New Roman" w:cs="FrankRuehl"/>
                <w:b/>
                <w:bCs/>
                <w:sz w:val="22"/>
                <w:szCs w:val="22"/>
                <w:rtl/>
              </w:rPr>
              <w:t>2006</w:t>
            </w:r>
          </w:p>
        </w:tc>
        <w:tc>
          <w:tcPr>
            <w:tcW w:w="1369"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2005</w:t>
            </w:r>
          </w:p>
        </w:tc>
        <w:tc>
          <w:tcPr>
            <w:tcW w:w="1369"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2004</w:t>
            </w:r>
          </w:p>
        </w:tc>
        <w:tc>
          <w:tcPr>
            <w:tcW w:w="1369"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2003</w:t>
            </w:r>
          </w:p>
        </w:tc>
        <w:tc>
          <w:tcPr>
            <w:tcW w:w="1542"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מחוז/לשכה</w:t>
            </w:r>
          </w:p>
        </w:tc>
      </w:tr>
      <w:tr>
        <w:tblPrEx>
          <w:tblW w:w="6804" w:type="dxa"/>
          <w:jc w:val="center"/>
          <w:tblLook w:val="01E0"/>
        </w:tblPrEx>
        <w:trPr>
          <w:jc w:val="center"/>
        </w:trPr>
        <w:tc>
          <w:tcPr>
            <w:tcW w:w="1369"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7.5%</w:t>
            </w:r>
          </w:p>
        </w:tc>
        <w:tc>
          <w:tcPr>
            <w:tcW w:w="1369"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8.4%</w:t>
            </w:r>
          </w:p>
        </w:tc>
        <w:tc>
          <w:tcPr>
            <w:tcW w:w="1369"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15.2%</w:t>
            </w:r>
          </w:p>
        </w:tc>
        <w:tc>
          <w:tcPr>
            <w:tcW w:w="1369" w:type="dxa"/>
            <w:tcBorders>
              <w:top w:val="single" w:sz="12" w:space="0" w:color="auto"/>
            </w:tcBorders>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4.5%</w:t>
            </w:r>
          </w:p>
        </w:tc>
        <w:tc>
          <w:tcPr>
            <w:tcW w:w="1542" w:type="dxa"/>
            <w:tcBorders>
              <w:top w:val="single" w:sz="12" w:space="0" w:color="auto"/>
            </w:tcBorders>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ירושלים</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27.5%</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21.0%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27.0%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22.0%</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חיפה</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17.6%</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22.2%</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27.1%</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16.8%</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באר שבע</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29.0%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23.0%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18.6%</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25.0%</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טבריה</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18.8%</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35.4%</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29.0%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15.2%</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תל אב</w:t>
            </w:r>
            <w:r>
              <w:rPr>
                <w:rFonts w:ascii="Times New Roman" w:hAnsi="Times New Roman" w:cs="FrankRuehl"/>
                <w:sz w:val="22"/>
                <w:szCs w:val="22"/>
                <w:rtl/>
              </w:rPr>
              <w:t>יב</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23.7%</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27.0%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22.6%</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17.0%</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דן</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19.0%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26.4%</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22.2%</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16.5%</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רחובות</w:t>
            </w:r>
          </w:p>
        </w:tc>
      </w:tr>
      <w:tr>
        <w:tblPrEx>
          <w:tblW w:w="6804" w:type="dxa"/>
          <w:jc w:val="center"/>
          <w:tblLook w:val="01E0"/>
        </w:tblPrEx>
        <w:trPr>
          <w:jc w:val="center"/>
        </w:trPr>
        <w:tc>
          <w:tcPr>
            <w:tcW w:w="1369" w:type="dxa"/>
          </w:tcPr>
          <w:p w:rsidR="00000000">
            <w:pPr>
              <w:pStyle w:val="PlainText"/>
              <w:widowControl/>
              <w:spacing w:before="20" w:after="20" w:line="220" w:lineRule="exact"/>
              <w:ind w:left="227"/>
              <w:jc w:val="left"/>
              <w:rPr>
                <w:rFonts w:ascii="Times New Roman" w:hAnsi="Times New Roman" w:cs="FrankRuehl"/>
                <w:sz w:val="22"/>
                <w:szCs w:val="22"/>
              </w:rPr>
            </w:pPr>
            <w:r>
              <w:rPr>
                <w:rFonts w:ascii="Times New Roman" w:hAnsi="Times New Roman" w:cs="FrankRuehl"/>
                <w:sz w:val="22"/>
                <w:szCs w:val="22"/>
                <w:rtl/>
              </w:rPr>
              <w:t>23.0%</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23.2%</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24.3%</w:t>
            </w:r>
          </w:p>
        </w:tc>
        <w:tc>
          <w:tcPr>
            <w:tcW w:w="1369" w:type="dxa"/>
          </w:tcPr>
          <w:p w:rsidR="00000000">
            <w:pPr>
              <w:pStyle w:val="PlainText"/>
              <w:widowControl/>
              <w:spacing w:before="20" w:after="20" w:line="220" w:lineRule="exact"/>
              <w:ind w:left="227"/>
              <w:jc w:val="left"/>
              <w:rPr>
                <w:rFonts w:ascii="Times New Roman" w:hAnsi="Times New Roman" w:cs="FrankRuehl"/>
                <w:sz w:val="22"/>
                <w:szCs w:val="22"/>
                <w:rtl/>
              </w:rPr>
            </w:pPr>
            <w:r>
              <w:rPr>
                <w:rFonts w:ascii="Times New Roman" w:hAnsi="Times New Roman" w:cs="FrankRuehl"/>
                <w:sz w:val="22"/>
                <w:szCs w:val="22"/>
                <w:rtl/>
              </w:rPr>
              <w:t>12.0%</w:t>
            </w:r>
          </w:p>
        </w:tc>
        <w:tc>
          <w:tcPr>
            <w:tcW w:w="1542" w:type="dxa"/>
          </w:tcPr>
          <w:p w:rsidR="00000000">
            <w:pPr>
              <w:pStyle w:val="PlainText"/>
              <w:widowControl/>
              <w:spacing w:before="20" w:after="20" w:line="220" w:lineRule="exact"/>
              <w:jc w:val="left"/>
              <w:rPr>
                <w:rFonts w:ascii="Times New Roman" w:hAnsi="Times New Roman" w:cs="FrankRuehl"/>
                <w:sz w:val="22"/>
                <w:szCs w:val="22"/>
                <w:rtl/>
              </w:rPr>
            </w:pPr>
            <w:r>
              <w:rPr>
                <w:rFonts w:ascii="Times New Roman" w:hAnsi="Times New Roman" w:cs="FrankRuehl"/>
                <w:sz w:val="22"/>
                <w:szCs w:val="22"/>
                <w:rtl/>
              </w:rPr>
              <w:t>נתניה</w:t>
            </w:r>
          </w:p>
        </w:tc>
      </w:tr>
    </w:tbl>
    <w:p w:rsidR="00000000">
      <w:pPr>
        <w:pStyle w:val="PlainText"/>
        <w:widowControl/>
        <w:spacing w:line="240" w:lineRule="exact"/>
        <w:rPr>
          <w:rFonts w:ascii="Times New Roman" w:hAnsi="Times New Roman" w:cs="FrankRuehl"/>
          <w:sz w:val="22"/>
          <w:szCs w:val="22"/>
        </w:rPr>
      </w:pP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מהנתונים עולה, כי בשנים 2003-2005 השיעור הנמוך ביותר של תביעות כאלו היה במחוז ירושלים, ואילו הגבוה ביותר היה בלשכת תל אביב, שתביעותיה מטופלות במטה. בשנת 2006 בה</w:t>
      </w:r>
      <w:r>
        <w:rPr>
          <w:rFonts w:ascii="Times New Roman" w:hAnsi="Times New Roman" w:cs="FrankRuehl"/>
          <w:sz w:val="22"/>
          <w:szCs w:val="22"/>
          <w:rtl/>
        </w:rPr>
        <w:t xml:space="preserve">שוואה לשנת 2005, חלה ירידה בשיעור של תביעות אלו בכל המחוזות ובכל הלשכות המטופלות במטה, למעט במחוזות חיפה וטבריה, שבהן חלה עלייה בשיעורן של תביעות אלה.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השוואה בין המחוזות השונים, ובעיקר בהשוואה למחוז ירושלים מצביעה על כך, שלכאורה ניתן לסיים את הטיפול בשיעו</w:t>
      </w:r>
      <w:r>
        <w:rPr>
          <w:rFonts w:ascii="Times New Roman" w:hAnsi="Times New Roman" w:cs="FrankRuehl"/>
          <w:sz w:val="22"/>
          <w:szCs w:val="22"/>
          <w:rtl/>
        </w:rPr>
        <w:t xml:space="preserve">ר ניכר של התביעות המוגשות הן </w:t>
      </w:r>
      <w:r>
        <w:rPr>
          <w:rFonts w:ascii="Times New Roman" w:hAnsi="Times New Roman" w:cs="FrankRuehl"/>
          <w:sz w:val="22"/>
          <w:szCs w:val="22"/>
          <w:rtl/>
        </w:rPr>
        <w:t>לווע"ר</w:t>
      </w:r>
      <w:r>
        <w:rPr>
          <w:rFonts w:ascii="Times New Roman" w:hAnsi="Times New Roman" w:cs="FrankRuehl"/>
          <w:sz w:val="22"/>
          <w:szCs w:val="22"/>
          <w:rtl/>
        </w:rPr>
        <w:t xml:space="preserve"> מחוזיות והן </w:t>
      </w:r>
      <w:r>
        <w:rPr>
          <w:rFonts w:ascii="Times New Roman" w:hAnsi="Times New Roman" w:cs="FrankRuehl"/>
          <w:sz w:val="22"/>
          <w:szCs w:val="22"/>
          <w:rtl/>
        </w:rPr>
        <w:t>לווע"ר</w:t>
      </w:r>
      <w:r>
        <w:rPr>
          <w:rFonts w:ascii="Times New Roman" w:hAnsi="Times New Roman" w:cs="FrankRuehl"/>
          <w:sz w:val="22"/>
          <w:szCs w:val="22"/>
          <w:rtl/>
        </w:rPr>
        <w:t xml:space="preserve"> עליונות בפרק זמן שלא עולה על שבעה חודשים. </w:t>
      </w:r>
    </w:p>
    <w:p w:rsidR="00000000">
      <w:pPr>
        <w:pStyle w:val="RESHET"/>
      </w:pPr>
      <w:r>
        <w:rPr>
          <w:rtl/>
        </w:rPr>
        <w:t>בביקורת עלה, שהאגף לא בחן נתונים הקשורים למשכי זמן הטיפול בתביעות, וממילא לא נתן את הדעת לפערים בין המחוזות השונים ובעיקר בין הלשכות השונות המטופלות במטה. בחי</w:t>
      </w:r>
      <w:r>
        <w:rPr>
          <w:rtl/>
        </w:rPr>
        <w:t xml:space="preserve">נה כזו חיונית במיוחד לגבי המטה, נוכח העובדה שהוא מרכז כמחצית מהתביעות המטופלות </w:t>
      </w:r>
      <w:r>
        <w:rPr>
          <w:rtl/>
        </w:rPr>
        <w:t>בווע"ר</w:t>
      </w:r>
      <w:r>
        <w:rPr>
          <w:rtl/>
        </w:rPr>
        <w:t xml:space="preserve"> המחוזיות </w:t>
      </w:r>
      <w:r>
        <w:rPr>
          <w:rtl/>
        </w:rPr>
        <w:t>ובווע"ר</w:t>
      </w:r>
      <w:r>
        <w:rPr>
          <w:rtl/>
        </w:rPr>
        <w:t xml:space="preserve"> העליונות.</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כיוון שאחריותה הבלעדית של </w:t>
      </w:r>
      <w:r>
        <w:rPr>
          <w:rFonts w:ascii="Times New Roman" w:hAnsi="Times New Roman" w:cs="FrankRuehl"/>
          <w:sz w:val="22"/>
          <w:szCs w:val="22"/>
          <w:rtl/>
        </w:rPr>
        <w:t>המינהלה</w:t>
      </w:r>
      <w:r>
        <w:rPr>
          <w:rFonts w:ascii="Times New Roman" w:hAnsi="Times New Roman" w:cs="FrankRuehl"/>
          <w:sz w:val="22"/>
          <w:szCs w:val="22"/>
          <w:rtl/>
        </w:rPr>
        <w:t xml:space="preserve"> הרפואית מתחילה בשלב שבו מגיע אליה תיק שבשל לדיון בפני </w:t>
      </w:r>
      <w:r>
        <w:rPr>
          <w:rFonts w:ascii="Times New Roman" w:hAnsi="Times New Roman" w:cs="FrankRuehl"/>
          <w:sz w:val="22"/>
          <w:szCs w:val="22"/>
          <w:rtl/>
        </w:rPr>
        <w:t>וע"ר</w:t>
      </w:r>
      <w:r>
        <w:rPr>
          <w:rStyle w:val="FootnoteReference"/>
          <w:rFonts w:ascii="Times New Roman" w:hAnsi="Times New Roman" w:cs="FrankRuehl"/>
          <w:sz w:val="22"/>
          <w:szCs w:val="22"/>
          <w:rtl/>
        </w:rPr>
        <w:footnoteReference w:id="24"/>
      </w:r>
      <w:r>
        <w:rPr>
          <w:rFonts w:ascii="Times New Roman" w:hAnsi="Times New Roman" w:cs="FrankRuehl"/>
          <w:sz w:val="22"/>
          <w:szCs w:val="22"/>
          <w:rtl/>
        </w:rPr>
        <w:t xml:space="preserve">, ומסתיימת בשלב שבו היא מעבירה את החלטת </w:t>
      </w:r>
      <w:r>
        <w:rPr>
          <w:rFonts w:ascii="Times New Roman" w:hAnsi="Times New Roman" w:cs="FrankRuehl"/>
          <w:sz w:val="22"/>
          <w:szCs w:val="22"/>
          <w:rtl/>
        </w:rPr>
        <w:t>הווע"ר</w:t>
      </w:r>
      <w:r>
        <w:rPr>
          <w:rFonts w:ascii="Times New Roman" w:hAnsi="Times New Roman" w:cs="FrankRuehl"/>
          <w:sz w:val="22"/>
          <w:szCs w:val="22"/>
          <w:rtl/>
        </w:rPr>
        <w:t xml:space="preserve"> לקצ</w:t>
      </w:r>
      <w:r>
        <w:rPr>
          <w:rFonts w:ascii="Times New Roman" w:hAnsi="Times New Roman" w:cs="FrankRuehl"/>
          <w:sz w:val="22"/>
          <w:szCs w:val="22"/>
          <w:rtl/>
        </w:rPr>
        <w:t xml:space="preserve">ין התגמולים, אין סיבה לשוני במשך הטיפול שלה בתיקים של הלשכות השונות. לכן, מקורם של פערים אלה הוא בשלב הקודם להגעת התיק </w:t>
      </w:r>
      <w:r>
        <w:rPr>
          <w:rFonts w:ascii="Times New Roman" w:hAnsi="Times New Roman" w:cs="FrankRuehl"/>
          <w:sz w:val="22"/>
          <w:szCs w:val="22"/>
          <w:rtl/>
        </w:rPr>
        <w:t>למינהלה</w:t>
      </w:r>
      <w:r>
        <w:rPr>
          <w:rFonts w:ascii="Times New Roman" w:hAnsi="Times New Roman" w:cs="FrankRuehl"/>
          <w:sz w:val="22"/>
          <w:szCs w:val="22"/>
          <w:rtl/>
        </w:rPr>
        <w:t xml:space="preserve"> הרפואית, היינו השלב בו התיק נמצא בטיפול הלשכות השונות </w:t>
      </w:r>
      <w:r>
        <w:rPr>
          <w:rFonts w:ascii="Times New Roman" w:hAnsi="Times New Roman" w:cs="FrankRuehl"/>
          <w:sz w:val="22"/>
          <w:szCs w:val="22"/>
          <w:rtl/>
        </w:rPr>
        <w:t>עצמן. נוכח ממצאים אלה, ראוי שהאגף יבחן את הסיבות לפערים אלה, ויקבע כללים אח</w:t>
      </w:r>
      <w:r>
        <w:rPr>
          <w:rFonts w:ascii="Times New Roman" w:hAnsi="Times New Roman" w:cs="FrankRuehl"/>
          <w:sz w:val="22"/>
          <w:szCs w:val="22"/>
          <w:rtl/>
        </w:rPr>
        <w:t xml:space="preserve">ידים לתהליך שעובר התיק עד העברתו </w:t>
      </w:r>
      <w:r>
        <w:rPr>
          <w:rFonts w:ascii="Times New Roman" w:hAnsi="Times New Roman" w:cs="FrankRuehl"/>
          <w:sz w:val="22"/>
          <w:szCs w:val="22"/>
          <w:rtl/>
        </w:rPr>
        <w:t>למינהלה</w:t>
      </w:r>
      <w:r>
        <w:rPr>
          <w:rFonts w:ascii="Times New Roman" w:hAnsi="Times New Roman" w:cs="FrankRuehl"/>
          <w:sz w:val="22"/>
          <w:szCs w:val="22"/>
          <w:rtl/>
        </w:rPr>
        <w:t xml:space="preserve"> הרפואית.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r>
      <w:r>
        <w:rPr>
          <w:rFonts w:ascii="Times New Roman" w:hAnsi="Times New Roman" w:cs="FrankRuehl"/>
          <w:b/>
          <w:bCs/>
          <w:spacing w:val="40"/>
          <w:sz w:val="22"/>
          <w:szCs w:val="22"/>
          <w:rtl/>
        </w:rPr>
        <w:t xml:space="preserve">משך הזמן ממועד סיום הכנת תיק </w:t>
      </w:r>
      <w:r>
        <w:rPr>
          <w:rFonts w:ascii="Times New Roman" w:hAnsi="Times New Roman" w:cs="FrankRuehl"/>
          <w:b/>
          <w:bCs/>
          <w:spacing w:val="40"/>
          <w:sz w:val="22"/>
          <w:szCs w:val="22"/>
          <w:rtl/>
        </w:rPr>
        <w:t>לווע"ר</w:t>
      </w:r>
      <w:r>
        <w:rPr>
          <w:rFonts w:ascii="Times New Roman" w:hAnsi="Times New Roman" w:cs="FrankRuehl"/>
          <w:b/>
          <w:bCs/>
          <w:spacing w:val="40"/>
          <w:sz w:val="22"/>
          <w:szCs w:val="22"/>
          <w:rtl/>
        </w:rPr>
        <w:t xml:space="preserve"> ועד כינוס ראשון של </w:t>
      </w:r>
      <w:r>
        <w:rPr>
          <w:rFonts w:ascii="Times New Roman" w:hAnsi="Times New Roman" w:cs="FrankRuehl"/>
          <w:b/>
          <w:bCs/>
          <w:spacing w:val="40"/>
          <w:sz w:val="22"/>
          <w:szCs w:val="22"/>
          <w:rtl/>
        </w:rPr>
        <w:t>וע"ר</w:t>
      </w:r>
      <w:r>
        <w:rPr>
          <w:rFonts w:ascii="Times New Roman" w:hAnsi="Times New Roman" w:cs="FrankRuehl"/>
          <w:b/>
          <w:bCs/>
          <w:spacing w:val="40"/>
          <w:sz w:val="22"/>
          <w:szCs w:val="22"/>
          <w:rtl/>
        </w:rPr>
        <w:t xml:space="preserve">: </w:t>
      </w:r>
      <w:r>
        <w:rPr>
          <w:rFonts w:ascii="Times New Roman" w:hAnsi="Times New Roman" w:cs="FrankRuehl"/>
          <w:sz w:val="22"/>
          <w:szCs w:val="22"/>
          <w:rtl/>
        </w:rPr>
        <w:t xml:space="preserve">נציגי משרד מבקר המדינה בחנו את משך הזמן שחלף מן המועד שבו התקבל </w:t>
      </w:r>
      <w:r>
        <w:rPr>
          <w:rFonts w:ascii="Times New Roman" w:hAnsi="Times New Roman" w:cs="FrankRuehl"/>
          <w:sz w:val="22"/>
          <w:szCs w:val="22"/>
          <w:rtl/>
        </w:rPr>
        <w:t>במינהלה</w:t>
      </w:r>
      <w:r>
        <w:rPr>
          <w:rFonts w:ascii="Times New Roman" w:hAnsi="Times New Roman" w:cs="FrankRuehl"/>
          <w:sz w:val="22"/>
          <w:szCs w:val="22"/>
          <w:rtl/>
        </w:rPr>
        <w:t xml:space="preserve"> הרפואית תיקו של תובע שקצין תגמולים הכיר בו כנכה, עד למועד אשר נקבע ל</w:t>
      </w:r>
      <w:r>
        <w:rPr>
          <w:rFonts w:ascii="Times New Roman" w:hAnsi="Times New Roman" w:cs="FrankRuehl"/>
          <w:sz w:val="22"/>
          <w:szCs w:val="22"/>
          <w:rtl/>
        </w:rPr>
        <w:t xml:space="preserve">התכנסות </w:t>
      </w:r>
      <w:r>
        <w:rPr>
          <w:rFonts w:ascii="Times New Roman" w:hAnsi="Times New Roman" w:cs="FrankRuehl"/>
          <w:sz w:val="22"/>
          <w:szCs w:val="22"/>
          <w:rtl/>
        </w:rPr>
        <w:t>וע"ר</w:t>
      </w:r>
      <w:r>
        <w:rPr>
          <w:rFonts w:ascii="Times New Roman" w:hAnsi="Times New Roman" w:cs="FrankRuehl"/>
          <w:sz w:val="22"/>
          <w:szCs w:val="22"/>
          <w:rtl/>
        </w:rPr>
        <w:t xml:space="preserve"> מחוזית. מטרת בחינה זו הייתה לוודא אם פרק זמן זה אינו עולה על 45 יום ממועד סיום הכנת התיק </w:t>
      </w:r>
      <w:r>
        <w:rPr>
          <w:rFonts w:ascii="Times New Roman" w:hAnsi="Times New Roman" w:cs="FrankRuehl"/>
          <w:sz w:val="22"/>
          <w:szCs w:val="22"/>
          <w:rtl/>
        </w:rPr>
        <w:t>לווע"ר</w:t>
      </w:r>
      <w:r>
        <w:rPr>
          <w:rFonts w:ascii="Times New Roman" w:hAnsi="Times New Roman" w:cs="FrankRuehl"/>
          <w:sz w:val="22"/>
          <w:szCs w:val="22"/>
          <w:rtl/>
        </w:rPr>
        <w:t xml:space="preserve">, כנדרש בהוראות האגף. לצורך כך, נסקרו דוחות סטטיסטיים, שהכינה יחידת המחשוב באגף.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מנתונים לשנים 2005 ו-2006 עלה, כי שיעור הנכים שזומנו </w:t>
      </w:r>
      <w:r>
        <w:rPr>
          <w:rFonts w:ascii="Times New Roman" w:hAnsi="Times New Roman" w:cs="FrankRuehl"/>
          <w:sz w:val="22"/>
          <w:szCs w:val="22"/>
          <w:rtl/>
        </w:rPr>
        <w:t>לווע"ר</w:t>
      </w:r>
      <w:r>
        <w:rPr>
          <w:rFonts w:ascii="Times New Roman" w:hAnsi="Times New Roman" w:cs="FrankRuehl"/>
          <w:sz w:val="22"/>
          <w:szCs w:val="22"/>
          <w:rtl/>
        </w:rPr>
        <w:t xml:space="preserve"> מחוזית</w:t>
      </w:r>
      <w:r>
        <w:rPr>
          <w:rFonts w:ascii="Times New Roman" w:hAnsi="Times New Roman" w:cs="FrankRuehl"/>
          <w:sz w:val="22"/>
          <w:szCs w:val="22"/>
          <w:rtl/>
        </w:rPr>
        <w:t xml:space="preserve"> בתוך 45 יום עמד בשנת 2005 ברמה הארצית על כ-71% ובשנת 2006 על כ-67% בלבד.</w:t>
      </w:r>
    </w:p>
    <w:p w:rsidR="00000000">
      <w:pPr>
        <w:pStyle w:val="RESHET"/>
      </w:pPr>
      <w:r>
        <w:rPr>
          <w:rtl/>
        </w:rPr>
        <w:t xml:space="preserve">יצוין, כי על אף שנתונים אלה משקפים את משך הזמן מרגע קבלת התיק ביחידה הרפואית, היינו ללא השפעת עיכובים הנגרמים בשל הכנת התיק בלשכות השונות או בשל המתנה לביצוע בדיקות שונות, האגף אינו </w:t>
      </w:r>
      <w:r>
        <w:rPr>
          <w:rtl/>
        </w:rPr>
        <w:t xml:space="preserve">עומד בדרישות ההוראות ושיעור לא מבוטל של נכים ממתין למעלה מ-45 יום לכינוס </w:t>
      </w:r>
      <w:r>
        <w:rPr>
          <w:rtl/>
        </w:rPr>
        <w:t>וע"ר</w:t>
      </w:r>
      <w:r>
        <w:rPr>
          <w:rtl/>
        </w:rPr>
        <w:t>. היעדר מחויבות ללוח הזמנים שבהוראות פוגע באיכות השירות.</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לדעת משרד מבקר המדינה, על האגף לבחון את הגורמים לעיכובים אלה ולבצע את כל הדרוש על מנת לעמוד בדרישות ההוראות. בהתייחסותו מי</w:t>
      </w:r>
      <w:r>
        <w:rPr>
          <w:rFonts w:ascii="Times New Roman" w:hAnsi="Times New Roman" w:cs="FrankRuehl"/>
          <w:sz w:val="22"/>
          <w:szCs w:val="22"/>
          <w:rtl/>
        </w:rPr>
        <w:t xml:space="preserve">ולי 2007 לממצאי הביקורת ציין האגף, כי השינויים הארגוניים </w:t>
      </w:r>
      <w:r>
        <w:rPr>
          <w:rFonts w:ascii="Times New Roman" w:hAnsi="Times New Roman" w:cs="FrankRuehl"/>
          <w:sz w:val="22"/>
          <w:szCs w:val="22"/>
          <w:rtl/>
        </w:rPr>
        <w:t>והמחשוביים</w:t>
      </w:r>
      <w:r>
        <w:rPr>
          <w:rFonts w:ascii="Times New Roman" w:hAnsi="Times New Roman" w:cs="FrankRuehl"/>
          <w:sz w:val="22"/>
          <w:szCs w:val="22"/>
          <w:rtl/>
        </w:rPr>
        <w:t xml:space="preserve"> העתידים להתבצע באגף יסייעו לאגף לעמוד בזמן היעד שהוגדר בהוראות.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3. </w:t>
      </w:r>
      <w:r>
        <w:rPr>
          <w:rFonts w:ascii="Times New Roman" w:hAnsi="Times New Roman" w:cs="FrankRuehl"/>
          <w:sz w:val="22"/>
          <w:szCs w:val="22"/>
          <w:rtl/>
        </w:rPr>
        <w:tab/>
      </w:r>
      <w:r>
        <w:rPr>
          <w:rFonts w:ascii="Times New Roman" w:hAnsi="Times New Roman" w:cs="FrankRuehl"/>
          <w:b/>
          <w:bCs/>
          <w:spacing w:val="40"/>
          <w:sz w:val="22"/>
          <w:szCs w:val="22"/>
          <w:rtl/>
        </w:rPr>
        <w:t>תביעות שהטיפול בהן נמשך למעלה משנה:</w:t>
      </w:r>
      <w:r>
        <w:rPr>
          <w:rFonts w:ascii="Times New Roman" w:hAnsi="Times New Roman" w:cs="FrankRuehl"/>
          <w:sz w:val="22"/>
          <w:szCs w:val="22"/>
          <w:rtl/>
        </w:rPr>
        <w:t xml:space="preserve"> </w:t>
      </w:r>
      <w:r>
        <w:rPr>
          <w:rFonts w:ascii="Times New Roman" w:hAnsi="Times New Roman" w:cs="FrankRuehl"/>
          <w:b/>
          <w:bCs/>
          <w:sz w:val="22"/>
          <w:szCs w:val="22"/>
          <w:rtl/>
        </w:rPr>
        <w:t>במסגרת הביקורת נבחנו מקרים פרטניים של תביעות, שהטיפול בהן נמשך למעלה משנה ובחלק מהמק</w:t>
      </w:r>
      <w:r>
        <w:rPr>
          <w:rFonts w:ascii="Times New Roman" w:hAnsi="Times New Roman" w:cs="FrankRuehl"/>
          <w:b/>
          <w:bCs/>
          <w:sz w:val="22"/>
          <w:szCs w:val="22"/>
          <w:rtl/>
        </w:rPr>
        <w:t xml:space="preserve">רים אף קרוב לשלוש שנים. נמצא, כי שיעור התביעות שהטיפול בהן נמשך שנה ומעלה בכל אחת מהשנים 2005 ו-2006 עמד על כ-4% מכלל התביעות </w:t>
      </w:r>
      <w:r>
        <w:rPr>
          <w:rFonts w:ascii="Times New Roman" w:hAnsi="Times New Roman" w:cs="FrankRuehl"/>
          <w:b/>
          <w:bCs/>
          <w:sz w:val="22"/>
          <w:szCs w:val="22"/>
          <w:rtl/>
        </w:rPr>
        <w:t>בווע"ר</w:t>
      </w:r>
      <w:r>
        <w:rPr>
          <w:rFonts w:ascii="Times New Roman" w:hAnsi="Times New Roman" w:cs="FrankRuehl"/>
          <w:b/>
          <w:bCs/>
          <w:sz w:val="22"/>
          <w:szCs w:val="22"/>
          <w:rtl/>
        </w:rPr>
        <w:t xml:space="preserve"> מחוזיות ועל כ-10.5% מכלל התביעות </w:t>
      </w:r>
      <w:r>
        <w:rPr>
          <w:rFonts w:ascii="Times New Roman" w:hAnsi="Times New Roman" w:cs="FrankRuehl"/>
          <w:b/>
          <w:bCs/>
          <w:sz w:val="22"/>
          <w:szCs w:val="22"/>
          <w:rtl/>
        </w:rPr>
        <w:t>בווע"ר</w:t>
      </w:r>
      <w:r>
        <w:rPr>
          <w:rFonts w:ascii="Times New Roman" w:hAnsi="Times New Roman" w:cs="FrankRuehl"/>
          <w:b/>
          <w:bCs/>
          <w:sz w:val="22"/>
          <w:szCs w:val="22"/>
          <w:rtl/>
        </w:rPr>
        <w:t xml:space="preserve"> עליונות. מעבר לפגיעה בנכה שההחלטה בתביעתו מתעכבת, יש במקרים אלה כדי לפגוע בתדמיתו ש</w:t>
      </w:r>
      <w:r>
        <w:rPr>
          <w:rFonts w:ascii="Times New Roman" w:hAnsi="Times New Roman" w:cs="FrankRuehl"/>
          <w:b/>
          <w:bCs/>
          <w:sz w:val="22"/>
          <w:szCs w:val="22"/>
          <w:rtl/>
        </w:rPr>
        <w:t xml:space="preserve">ל האגף בכל הנוגע לטיפול בנכים </w:t>
      </w:r>
      <w:r>
        <w:rPr>
          <w:rFonts w:ascii="Times New Roman" w:hAnsi="Times New Roman" w:cs="FrankRuehl"/>
          <w:b/>
          <w:bCs/>
          <w:sz w:val="22"/>
          <w:szCs w:val="22"/>
          <w:rtl/>
        </w:rPr>
        <w:t>בווע"ר</w:t>
      </w:r>
      <w:r>
        <w:rPr>
          <w:rFonts w:ascii="Times New Roman" w:hAnsi="Times New Roman" w:cs="FrankRuehl"/>
          <w:b/>
          <w:bCs/>
          <w:sz w:val="22"/>
          <w:szCs w:val="22"/>
          <w:rtl/>
        </w:rPr>
        <w:t>, הן בקרב הציבור בכלל והן בקרב אוכלוסיית הנכים ובני משפחותיהם בפרט.</w:t>
      </w:r>
      <w:r>
        <w:rPr>
          <w:rFonts w:ascii="Times New Roman" w:hAnsi="Times New Roman" w:cs="FrankRuehl"/>
          <w:sz w:val="22"/>
          <w:szCs w:val="22"/>
          <w:rtl/>
        </w:rPr>
        <w:t xml:space="preserve"> הנתונים בדוגמאות להלן מתבססים על דוחות מנובמבר 2006 - מועד בו הטיפול במקרים טרם הסתיים. בהתייחסותו</w:t>
      </w:r>
      <w:r>
        <w:rPr>
          <w:rFonts w:ascii="Times New Roman" w:hAnsi="Times New Roman" w:cs="FrankRuehl"/>
          <w:b/>
          <w:bCs/>
          <w:sz w:val="22"/>
          <w:szCs w:val="22"/>
          <w:rtl/>
        </w:rPr>
        <w:t xml:space="preserve"> </w:t>
      </w:r>
      <w:r>
        <w:rPr>
          <w:rFonts w:ascii="Times New Roman" w:hAnsi="Times New Roman" w:cs="FrankRuehl"/>
          <w:sz w:val="22"/>
          <w:szCs w:val="22"/>
          <w:rtl/>
        </w:rPr>
        <w:t>מיולי 2007 לממצאי הביקורת ציין האגף, כי לגבי חלק מהמק</w:t>
      </w:r>
      <w:r>
        <w:rPr>
          <w:rFonts w:ascii="Times New Roman" w:hAnsi="Times New Roman" w:cs="FrankRuehl"/>
          <w:sz w:val="22"/>
          <w:szCs w:val="22"/>
          <w:rtl/>
        </w:rPr>
        <w:t>רים קיים באגף תיעוד חלקי בלבד המקשה על שחזור פשר העיכוב. עוד ציין, כי הוא ער לבעיית החוסר בתיעוד וכי שילוב מערכת מחשוב תומכת בתהליך תסייע רבות בפתרון בעיה זו. יצוין, כי מערכת המחשוב שהייתה קיימת באגף בעת הביקורת פועלת באותה מתכונת משנת 1984, בלי שהותאמה לש</w:t>
      </w:r>
      <w:r>
        <w:rPr>
          <w:rFonts w:ascii="Times New Roman" w:hAnsi="Times New Roman" w:cs="FrankRuehl"/>
          <w:sz w:val="22"/>
          <w:szCs w:val="22"/>
          <w:rtl/>
        </w:rPr>
        <w:t>ינויים השונים שחלו בתהליך ברבות השנים.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להלן מספר דוגמאות: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בנובמבר 2003 הגיש נכה א' בקשה לקבוע את דרגת נכותו מחדש עקב החמרת הנכות. יו"ר </w:t>
      </w:r>
      <w:r>
        <w:rPr>
          <w:rFonts w:ascii="Times New Roman" w:hAnsi="Times New Roman" w:cs="FrankRuehl"/>
          <w:sz w:val="22"/>
          <w:szCs w:val="22"/>
          <w:rtl/>
        </w:rPr>
        <w:t>וע"ר</w:t>
      </w:r>
      <w:r>
        <w:rPr>
          <w:rFonts w:ascii="Times New Roman" w:hAnsi="Times New Roman" w:cs="FrankRuehl"/>
          <w:sz w:val="22"/>
          <w:szCs w:val="22"/>
          <w:rtl/>
        </w:rPr>
        <w:t xml:space="preserve"> מחוזיות במטה, אשר הכין את התיק לקראת הדיון </w:t>
      </w:r>
      <w:r>
        <w:rPr>
          <w:rFonts w:ascii="Times New Roman" w:hAnsi="Times New Roman" w:cs="FrankRuehl"/>
          <w:sz w:val="22"/>
          <w:szCs w:val="22"/>
          <w:rtl/>
        </w:rPr>
        <w:t>בווע"ר</w:t>
      </w:r>
      <w:r>
        <w:rPr>
          <w:rFonts w:ascii="Times New Roman" w:hAnsi="Times New Roman" w:cs="FrankRuehl"/>
          <w:sz w:val="22"/>
          <w:szCs w:val="22"/>
          <w:rtl/>
        </w:rPr>
        <w:t>, שלח אותו לבצע שתי בדיקות ולאחר תשעה חודשים, באוגוסט 2004, הועבר ת</w:t>
      </w:r>
      <w:r>
        <w:rPr>
          <w:rFonts w:ascii="Times New Roman" w:hAnsi="Times New Roman" w:cs="FrankRuehl"/>
          <w:sz w:val="22"/>
          <w:szCs w:val="22"/>
          <w:rtl/>
        </w:rPr>
        <w:t xml:space="preserve">יקו לקצין תגמולים, על פי בקשתו של האחרון, לצורך בדיקה נוספת הקשורה לסוגיית ההכרה בנכה. התיק שהה אצל קצין התגמולים במשך שנה, והוחזר ליחידה </w:t>
      </w:r>
      <w:r>
        <w:rPr>
          <w:rFonts w:ascii="Times New Roman" w:hAnsi="Times New Roman" w:cs="FrankRuehl"/>
          <w:sz w:val="22"/>
          <w:szCs w:val="22"/>
          <w:rtl/>
        </w:rPr>
        <w:t>לווע"ר</w:t>
      </w:r>
      <w:r>
        <w:rPr>
          <w:rFonts w:ascii="Times New Roman" w:hAnsi="Times New Roman" w:cs="FrankRuehl"/>
          <w:sz w:val="22"/>
          <w:szCs w:val="22"/>
          <w:rtl/>
        </w:rPr>
        <w:t xml:space="preserve"> בספטמבר 2005. בנובמבר 2005 ובינואר 2006 התקיימו דיונים </w:t>
      </w:r>
      <w:r>
        <w:rPr>
          <w:rFonts w:ascii="Times New Roman" w:hAnsi="Times New Roman" w:cs="FrankRuehl"/>
          <w:sz w:val="22"/>
          <w:szCs w:val="22"/>
          <w:rtl/>
        </w:rPr>
        <w:t>בווע"ר</w:t>
      </w:r>
      <w:r>
        <w:rPr>
          <w:rFonts w:ascii="Times New Roman" w:hAnsi="Times New Roman" w:cs="FrankRuehl"/>
          <w:sz w:val="22"/>
          <w:szCs w:val="22"/>
          <w:rtl/>
        </w:rPr>
        <w:t xml:space="preserve"> בעניינו של נכה א'. במקרה זה, התעכב הטיפול בבקשתו </w:t>
      </w:r>
      <w:r>
        <w:rPr>
          <w:rFonts w:ascii="Times New Roman" w:hAnsi="Times New Roman" w:cs="FrankRuehl"/>
          <w:sz w:val="22"/>
          <w:szCs w:val="22"/>
          <w:rtl/>
        </w:rPr>
        <w:t xml:space="preserve">של נכה א' לקביעת דרגת נכותו משך תשעה חודשים ממועד הגשת הבקשה ועד שהועבר התיק לקצין תגמולים והטיפול הנוסף בסוגיית ההכרה נמשך עוד כשנה וחצי.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נכה ב' הגיש באפריל 2004 בקשה </w:t>
      </w:r>
      <w:r>
        <w:rPr>
          <w:rFonts w:ascii="Times New Roman" w:hAnsi="Times New Roman" w:cs="FrankRuehl"/>
          <w:sz w:val="22"/>
          <w:szCs w:val="22"/>
          <w:rtl/>
        </w:rPr>
        <w:t>לווע"ר</w:t>
      </w:r>
      <w:r>
        <w:rPr>
          <w:rFonts w:ascii="Times New Roman" w:hAnsi="Times New Roman" w:cs="FrankRuehl"/>
          <w:sz w:val="22"/>
          <w:szCs w:val="22"/>
          <w:rtl/>
        </w:rPr>
        <w:t xml:space="preserve"> חוזרת</w:t>
      </w:r>
      <w:r>
        <w:rPr>
          <w:rStyle w:val="FootnoteReference"/>
          <w:rFonts w:ascii="Times New Roman" w:hAnsi="Times New Roman" w:cs="FrankRuehl"/>
          <w:sz w:val="22"/>
          <w:szCs w:val="22"/>
          <w:rtl/>
        </w:rPr>
        <w:footnoteReference w:id="25"/>
      </w:r>
      <w:r>
        <w:rPr>
          <w:rFonts w:ascii="Times New Roman" w:hAnsi="Times New Roman" w:cs="FrankRuehl"/>
          <w:sz w:val="22"/>
          <w:szCs w:val="22"/>
          <w:rtl/>
        </w:rPr>
        <w:t xml:space="preserve">. במאי אותה שנה נשלח נכה ב' על ידי יו"ר </w:t>
      </w:r>
      <w:r>
        <w:rPr>
          <w:rFonts w:ascii="Times New Roman" w:hAnsi="Times New Roman" w:cs="FrankRuehl"/>
          <w:sz w:val="22"/>
          <w:szCs w:val="22"/>
          <w:rtl/>
        </w:rPr>
        <w:t>וע"ר</w:t>
      </w:r>
      <w:r>
        <w:rPr>
          <w:rFonts w:ascii="Times New Roman" w:hAnsi="Times New Roman" w:cs="FrankRuehl"/>
          <w:sz w:val="22"/>
          <w:szCs w:val="22"/>
          <w:rtl/>
        </w:rPr>
        <w:t xml:space="preserve"> מחוזיות לסדרת בדיקות. רק ביונ</w:t>
      </w:r>
      <w:r>
        <w:rPr>
          <w:rFonts w:ascii="Times New Roman" w:hAnsi="Times New Roman" w:cs="FrankRuehl"/>
          <w:sz w:val="22"/>
          <w:szCs w:val="22"/>
          <w:rtl/>
        </w:rPr>
        <w:t xml:space="preserve">י 2005, כעבור יותר משנה, שלחה לו המזכירות הרפואית של יחידת </w:t>
      </w:r>
      <w:r>
        <w:rPr>
          <w:rFonts w:ascii="Times New Roman" w:hAnsi="Times New Roman" w:cs="FrankRuehl"/>
          <w:sz w:val="22"/>
          <w:szCs w:val="22"/>
          <w:rtl/>
        </w:rPr>
        <w:t>וע"ר</w:t>
      </w:r>
      <w:r>
        <w:rPr>
          <w:rFonts w:ascii="Times New Roman" w:hAnsi="Times New Roman" w:cs="FrankRuehl"/>
          <w:sz w:val="22"/>
          <w:szCs w:val="22"/>
          <w:rtl/>
        </w:rPr>
        <w:t xml:space="preserve"> התראה על אי-ביצוע הבדיקות האמורות. זאת על אף, שלדברי נציגי יחידת </w:t>
      </w:r>
      <w:r>
        <w:rPr>
          <w:rFonts w:ascii="Times New Roman" w:hAnsi="Times New Roman" w:cs="FrankRuehl"/>
          <w:sz w:val="22"/>
          <w:szCs w:val="22"/>
          <w:rtl/>
        </w:rPr>
        <w:t>הווע"ר</w:t>
      </w:r>
      <w:r>
        <w:rPr>
          <w:rFonts w:ascii="Times New Roman" w:hAnsi="Times New Roman" w:cs="FrankRuehl"/>
          <w:sz w:val="22"/>
          <w:szCs w:val="22"/>
          <w:rtl/>
        </w:rPr>
        <w:t>, אחת לחודשיים מופק דוח חריגים, המתריע על נכים שנשלחו לבדיקות ותוצאותיהן לא הגיעו. בהתייחסותו מיולי 2007 לממצאי הביקורת צ</w:t>
      </w:r>
      <w:r>
        <w:rPr>
          <w:rFonts w:ascii="Times New Roman" w:hAnsi="Times New Roman" w:cs="FrankRuehl"/>
          <w:sz w:val="22"/>
          <w:szCs w:val="22"/>
          <w:rtl/>
        </w:rPr>
        <w:t>יין האגף, כי בשל עומס העבודה המוטל על היחידה, על אף שדוח חריגים מופק כל חודשיים, מכתבי ההתראה נשלחים לעתים רחוקות יותר. משרד מבקר המדינה מעיר, כי דוח חריגים מהווה כלי בקרה חשוב בידי האגף והפקתו התדירה נועדה לאפשר מעקב יעיל ואפקטיבי אחר מצב הטיפול בנכים. על</w:t>
      </w:r>
      <w:r>
        <w:rPr>
          <w:rFonts w:ascii="Times New Roman" w:hAnsi="Times New Roman" w:cs="FrankRuehl"/>
          <w:sz w:val="22"/>
          <w:szCs w:val="22"/>
          <w:rtl/>
        </w:rPr>
        <w:t xml:space="preserve"> כן, על האגף להקפיד על לוח הזמנים שהוא עצמו קבע, ולעשות שימוש בדוח זה עם הפקתו.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נכה ג' הגיש תביעה לקביעת דרגת נכות בספטמבר 2004. רק בפברואר 2005, למעלה מחמישה חודשים לאחר מכן, ביקשה לשכת תל אביב דוח סוציאלי מהעובדת המטפלת בנכה ג' בלשכה. הדוח התקבל רק עשרה </w:t>
      </w:r>
      <w:r>
        <w:rPr>
          <w:rFonts w:ascii="Times New Roman" w:hAnsi="Times New Roman" w:cs="FrankRuehl"/>
          <w:sz w:val="22"/>
          <w:szCs w:val="22"/>
          <w:rtl/>
        </w:rPr>
        <w:t xml:space="preserve">חודשים לאחר מכן, בדצמבר 2005. בהתייחסותו מיולי 2007 לממצאי הביקורת ציין האגף, שלא נמצא הסבר לפשר המתנה ארוכה זו. תיקו של נכה ג' נשלח למטה, ובינואר 2006 זומנה </w:t>
      </w:r>
      <w:r>
        <w:rPr>
          <w:rFonts w:ascii="Times New Roman" w:hAnsi="Times New Roman" w:cs="FrankRuehl"/>
          <w:sz w:val="22"/>
          <w:szCs w:val="22"/>
          <w:rtl/>
        </w:rPr>
        <w:t>וע"ר</w:t>
      </w:r>
      <w:r>
        <w:rPr>
          <w:rFonts w:ascii="Times New Roman" w:hAnsi="Times New Roman" w:cs="FrankRuehl"/>
          <w:sz w:val="22"/>
          <w:szCs w:val="22"/>
          <w:rtl/>
        </w:rPr>
        <w:t xml:space="preserve">. </w:t>
      </w:r>
      <w:r>
        <w:rPr>
          <w:rFonts w:ascii="Times New Roman" w:hAnsi="Times New Roman" w:cs="FrankRuehl"/>
          <w:sz w:val="22"/>
          <w:szCs w:val="22"/>
          <w:rtl/>
        </w:rPr>
        <w:t>וע"ר</w:t>
      </w:r>
      <w:r>
        <w:rPr>
          <w:rFonts w:ascii="Times New Roman" w:hAnsi="Times New Roman" w:cs="FrankRuehl"/>
          <w:sz w:val="22"/>
          <w:szCs w:val="22"/>
          <w:rtl/>
        </w:rPr>
        <w:t xml:space="preserve"> זו לא קבעה את דרגת הנכות של נכה ג', אלא דרשה ממנו לבצע בדיקות נוספות. עד מאי 2006 נשלח </w:t>
      </w:r>
      <w:r>
        <w:rPr>
          <w:rFonts w:ascii="Times New Roman" w:hAnsi="Times New Roman" w:cs="FrankRuehl"/>
          <w:sz w:val="22"/>
          <w:szCs w:val="22"/>
          <w:rtl/>
        </w:rPr>
        <w:t xml:space="preserve">נכה ג' לבדיקות נוספות על פי דרישת </w:t>
      </w:r>
      <w:r>
        <w:rPr>
          <w:rFonts w:ascii="Times New Roman" w:hAnsi="Times New Roman" w:cs="FrankRuehl"/>
          <w:sz w:val="22"/>
          <w:szCs w:val="22"/>
          <w:rtl/>
        </w:rPr>
        <w:t>הווע"ר</w:t>
      </w:r>
      <w:r>
        <w:rPr>
          <w:rFonts w:ascii="Times New Roman" w:hAnsi="Times New Roman" w:cs="FrankRuehl"/>
          <w:sz w:val="22"/>
          <w:szCs w:val="22"/>
          <w:rtl/>
        </w:rPr>
        <w:t xml:space="preserve"> ואף הופיע בפני </w:t>
      </w:r>
      <w:r>
        <w:rPr>
          <w:rFonts w:ascii="Times New Roman" w:hAnsi="Times New Roman" w:cs="FrankRuehl"/>
          <w:sz w:val="22"/>
          <w:szCs w:val="22"/>
          <w:rtl/>
        </w:rPr>
        <w:t>וע"ר</w:t>
      </w:r>
      <w:r>
        <w:rPr>
          <w:rFonts w:ascii="Times New Roman" w:hAnsi="Times New Roman" w:cs="FrankRuehl"/>
          <w:sz w:val="22"/>
          <w:szCs w:val="22"/>
          <w:rtl/>
        </w:rPr>
        <w:t xml:space="preserve"> נוספת. במאי 2006 ביקשה </w:t>
      </w:r>
      <w:r>
        <w:rPr>
          <w:rFonts w:ascii="Times New Roman" w:hAnsi="Times New Roman" w:cs="FrankRuehl"/>
          <w:sz w:val="22"/>
          <w:szCs w:val="22"/>
          <w:rtl/>
        </w:rPr>
        <w:t>הווע"ר</w:t>
      </w:r>
      <w:r>
        <w:rPr>
          <w:rFonts w:ascii="Times New Roman" w:hAnsi="Times New Roman" w:cs="FrankRuehl"/>
          <w:sz w:val="22"/>
          <w:szCs w:val="22"/>
          <w:rtl/>
        </w:rPr>
        <w:t xml:space="preserve"> ממנו לבצע הערכה אצל מומחה, כאשר היה עליו להמתין לבדיקה עד אוקטובר 2006.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נכה ד' הגיש בקשה לוועדה חוזרת באוקטובר 2004. רק ביוני 2006 - לאחר למעלה משנה וחצי - הגיע התי</w:t>
      </w:r>
      <w:r>
        <w:rPr>
          <w:rFonts w:ascii="Times New Roman" w:hAnsi="Times New Roman" w:cs="FrankRuehl"/>
          <w:sz w:val="22"/>
          <w:szCs w:val="22"/>
          <w:rtl/>
        </w:rPr>
        <w:t xml:space="preserve">ק למטה לצורך קביעת מועד להתכנסות </w:t>
      </w:r>
      <w:r>
        <w:rPr>
          <w:rFonts w:ascii="Times New Roman" w:hAnsi="Times New Roman" w:cs="FrankRuehl"/>
          <w:sz w:val="22"/>
          <w:szCs w:val="22"/>
          <w:rtl/>
        </w:rPr>
        <w:t>וע"ר</w:t>
      </w:r>
      <w:r>
        <w:rPr>
          <w:rFonts w:ascii="Times New Roman" w:hAnsi="Times New Roman" w:cs="FrankRuehl"/>
          <w:sz w:val="22"/>
          <w:szCs w:val="22"/>
          <w:rtl/>
        </w:rPr>
        <w:t xml:space="preserve">. יצוין, שבמערכת הממוחשבת של האגף לא מופיעים כל רישומים לגבי תקופה זו. באוגוסט ובאוקטובר 2006 הופיע נכה ד' בפני </w:t>
      </w:r>
      <w:r>
        <w:rPr>
          <w:rFonts w:ascii="Times New Roman" w:hAnsi="Times New Roman" w:cs="FrankRuehl"/>
          <w:sz w:val="22"/>
          <w:szCs w:val="22"/>
          <w:rtl/>
        </w:rPr>
        <w:t>וע"ר</w:t>
      </w:r>
      <w:r>
        <w:rPr>
          <w:rFonts w:ascii="Times New Roman" w:hAnsi="Times New Roman" w:cs="FrankRuehl"/>
          <w:sz w:val="22"/>
          <w:szCs w:val="22"/>
          <w:rtl/>
        </w:rPr>
        <w:t>, שקבעה את דרגת נכותו.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בינואר 2005 החליט בית המשפט המחוזי לקבל את ערעורו של נכה ה'</w:t>
      </w:r>
      <w:r>
        <w:rPr>
          <w:rStyle w:val="FootnoteReference"/>
          <w:rFonts w:ascii="Times New Roman" w:hAnsi="Times New Roman" w:cs="FrankRuehl"/>
          <w:sz w:val="22"/>
          <w:szCs w:val="22"/>
          <w:rtl/>
        </w:rPr>
        <w:footnoteReference w:id="26"/>
      </w:r>
      <w:r>
        <w:rPr>
          <w:rFonts w:ascii="Times New Roman" w:hAnsi="Times New Roman" w:cs="FrankRuehl"/>
          <w:sz w:val="22"/>
          <w:szCs w:val="22"/>
          <w:rtl/>
        </w:rPr>
        <w:t xml:space="preserve"> על החלטת ועדת ערעור</w:t>
      </w:r>
      <w:r>
        <w:rPr>
          <w:rFonts w:ascii="Times New Roman" w:hAnsi="Times New Roman" w:cs="FrankRuehl"/>
          <w:sz w:val="22"/>
          <w:szCs w:val="22"/>
          <w:rtl/>
        </w:rPr>
        <w:t xml:space="preserve">. בשל אובדן תיקו הרפואי, לאחר שחזר מבית המשפט, רק באוגוסט 2005 הודיע לו האגף, כי הוא יזומן </w:t>
      </w:r>
      <w:r>
        <w:rPr>
          <w:rFonts w:ascii="Times New Roman" w:hAnsi="Times New Roman" w:cs="FrankRuehl"/>
          <w:sz w:val="22"/>
          <w:szCs w:val="22"/>
          <w:rtl/>
        </w:rPr>
        <w:t>לווע"ר</w:t>
      </w:r>
      <w:r>
        <w:rPr>
          <w:rFonts w:ascii="Times New Roman" w:hAnsi="Times New Roman" w:cs="FrankRuehl"/>
          <w:sz w:val="22"/>
          <w:szCs w:val="22"/>
          <w:rtl/>
        </w:rPr>
        <w:t xml:space="preserve">. בפועל נבדק נכה ה' על ידי </w:t>
      </w:r>
      <w:r>
        <w:rPr>
          <w:rFonts w:ascii="Times New Roman" w:hAnsi="Times New Roman" w:cs="FrankRuehl"/>
          <w:sz w:val="22"/>
          <w:szCs w:val="22"/>
          <w:rtl/>
        </w:rPr>
        <w:t>וע"ר</w:t>
      </w:r>
      <w:r>
        <w:rPr>
          <w:rFonts w:ascii="Times New Roman" w:hAnsi="Times New Roman" w:cs="FrankRuehl"/>
          <w:sz w:val="22"/>
          <w:szCs w:val="22"/>
          <w:rtl/>
        </w:rPr>
        <w:t xml:space="preserve"> רק בפברואר 2006. זאת, משום שהחומר הרפואי שיועד </w:t>
      </w:r>
      <w:r>
        <w:rPr>
          <w:rFonts w:ascii="Times New Roman" w:hAnsi="Times New Roman" w:cs="FrankRuehl"/>
          <w:sz w:val="22"/>
          <w:szCs w:val="22"/>
          <w:rtl/>
        </w:rPr>
        <w:t>לווע"ר</w:t>
      </w:r>
      <w:r>
        <w:rPr>
          <w:rFonts w:ascii="Times New Roman" w:hAnsi="Times New Roman" w:cs="FrankRuehl"/>
          <w:sz w:val="22"/>
          <w:szCs w:val="22"/>
          <w:rtl/>
        </w:rPr>
        <w:t xml:space="preserve"> אבד פעם נוספת. לדברי נציגי נציבות תלונות הציבור במשרד מבקר המדינה, מקרים </w:t>
      </w:r>
      <w:r>
        <w:rPr>
          <w:rFonts w:ascii="Times New Roman" w:hAnsi="Times New Roman" w:cs="FrankRuehl"/>
          <w:sz w:val="22"/>
          <w:szCs w:val="22"/>
          <w:rtl/>
        </w:rPr>
        <w:t>של אובדן מסמכים חוזרים על עצמם בתלונות הנכים שהנציבות מקבלת.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בביקורת עלה, כי קיימים מקרים שבהם מדובר בנכה עם מספר פגימות, אשר חלקן הוכרו וחלקן לא. במקרים כאלה נוצר לעתים עיכוב בטיפול בתביעה שהוכרה, כשתיקו של הנכה נמצא בבית משפט בשל ערעורו בגין הפגימה שלא ה</w:t>
      </w:r>
      <w:r>
        <w:rPr>
          <w:rFonts w:ascii="Times New Roman" w:hAnsi="Times New Roman" w:cs="FrankRuehl"/>
          <w:sz w:val="22"/>
          <w:szCs w:val="22"/>
          <w:rtl/>
        </w:rPr>
        <w:t xml:space="preserve">וכרה. לדברי בעלי תפקידים ביחידת </w:t>
      </w:r>
      <w:r>
        <w:rPr>
          <w:rFonts w:ascii="Times New Roman" w:hAnsi="Times New Roman" w:cs="FrankRuehl"/>
          <w:sz w:val="22"/>
          <w:szCs w:val="22"/>
          <w:rtl/>
        </w:rPr>
        <w:t>וע"ר</w:t>
      </w:r>
      <w:r>
        <w:rPr>
          <w:rFonts w:ascii="Times New Roman" w:hAnsi="Times New Roman" w:cs="FrankRuehl"/>
          <w:sz w:val="22"/>
          <w:szCs w:val="22"/>
          <w:rtl/>
        </w:rPr>
        <w:t xml:space="preserve">, על אף שניתן לצלם את תיקו של הנכה על מנת שניתן יהיה לזמנו </w:t>
      </w:r>
      <w:r>
        <w:rPr>
          <w:rFonts w:ascii="Times New Roman" w:hAnsi="Times New Roman" w:cs="FrankRuehl"/>
          <w:sz w:val="22"/>
          <w:szCs w:val="22"/>
          <w:rtl/>
        </w:rPr>
        <w:t>לווע"ר</w:t>
      </w:r>
      <w:r>
        <w:rPr>
          <w:rFonts w:ascii="Times New Roman" w:hAnsi="Times New Roman" w:cs="FrankRuehl"/>
          <w:sz w:val="22"/>
          <w:szCs w:val="22"/>
          <w:rtl/>
        </w:rPr>
        <w:t xml:space="preserve"> בגין הפגימות שהוכרו, לא נהוג לעשות זאת, שכן עלול להיווצר מצב שבו יהיו לאותו נכה מספר תיקים, שלא כולם מעודכנים בשינויים ובהחלטות שהתקבלו. לדעת משרד מבקר המ</w:t>
      </w:r>
      <w:r>
        <w:rPr>
          <w:rFonts w:ascii="Times New Roman" w:hAnsi="Times New Roman" w:cs="FrankRuehl"/>
          <w:sz w:val="22"/>
          <w:szCs w:val="22"/>
          <w:rtl/>
        </w:rPr>
        <w:t xml:space="preserve">דינה, הקושי </w:t>
      </w:r>
      <w:r>
        <w:rPr>
          <w:rFonts w:ascii="Times New Roman" w:hAnsi="Times New Roman" w:cs="FrankRuehl"/>
          <w:sz w:val="22"/>
          <w:szCs w:val="22"/>
          <w:rtl/>
        </w:rPr>
        <w:t>המינהלי</w:t>
      </w:r>
      <w:r>
        <w:rPr>
          <w:rFonts w:ascii="Times New Roman" w:hAnsi="Times New Roman" w:cs="FrankRuehl"/>
          <w:sz w:val="22"/>
          <w:szCs w:val="22"/>
          <w:rtl/>
        </w:rPr>
        <w:t xml:space="preserve"> שהוזכר לעיל, אינו מהווה סיבה מספקת ליצירת עיכובים ממושכים בקביעת דרגת הנכות לגבי פגימות שהוכרו. על כן, מן הראוי, שהאגף ימצא דרך שתאפשר טיפול במקביל - מחד גיסא לטפל בפגימות שהוכרו, ומאידך גיסא לאפשר המשך תקין של ההליך המשפטי בפגימות שלא </w:t>
      </w:r>
      <w:r>
        <w:rPr>
          <w:rFonts w:ascii="Times New Roman" w:hAnsi="Times New Roman" w:cs="FrankRuehl"/>
          <w:sz w:val="22"/>
          <w:szCs w:val="22"/>
          <w:rtl/>
        </w:rPr>
        <w:t>הוכרו.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בהתייחסותו מיולי 2007 לממצאי הביקורת ציין האגף, כי התהליך לקביעת דרגת הנכות הוא רב-שלבי ומורכב, ומעורבים בו גורמים נוספים מלבד </w:t>
      </w:r>
      <w:r>
        <w:rPr>
          <w:rFonts w:ascii="Times New Roman" w:hAnsi="Times New Roman" w:cs="FrankRuehl"/>
          <w:sz w:val="22"/>
          <w:szCs w:val="22"/>
          <w:rtl/>
        </w:rPr>
        <w:t>הווע"ר</w:t>
      </w:r>
      <w:r>
        <w:rPr>
          <w:rFonts w:ascii="Times New Roman" w:hAnsi="Times New Roman" w:cs="FrankRuehl"/>
          <w:sz w:val="22"/>
          <w:szCs w:val="22"/>
          <w:rtl/>
        </w:rPr>
        <w:t>, ובהם הנכה והמוסדות הרפואיים שבהם מתבצעות הבדיקות. במקרים רבים משכם של התורים הנדרשים לביצוע הבדיקות הרפואיות משפיע</w:t>
      </w:r>
      <w:r>
        <w:rPr>
          <w:rFonts w:ascii="Times New Roman" w:hAnsi="Times New Roman" w:cs="FrankRuehl"/>
          <w:sz w:val="22"/>
          <w:szCs w:val="22"/>
          <w:rtl/>
        </w:rPr>
        <w:t xml:space="preserve"> על משך הזמן הכולל לקביעת דרגת נכות. מעבר לכך, בשל היעדר מערכת מחשוב תומכת בכל שלב בתהליך, הטיפול בנכים בעלי מספר פגימות בתחומים שונים מתנהל ב"טור", וכתוצאה מכך מתארכת תקופת קביעת דרגת הנכות הכוללת. </w:t>
      </w:r>
    </w:p>
    <w:p w:rsidR="00000000">
      <w:pPr>
        <w:pStyle w:val="PlainText"/>
        <w:widowControl/>
        <w:spacing w:after="240" w:line="224" w:lineRule="exact"/>
        <w:rPr>
          <w:rFonts w:ascii="Times New Roman" w:hAnsi="Times New Roman" w:cs="FrankRuehl"/>
          <w:sz w:val="22"/>
          <w:szCs w:val="22"/>
        </w:rPr>
      </w:pPr>
      <w:r>
        <w:rPr>
          <w:rFonts w:ascii="Times New Roman" w:hAnsi="Times New Roman" w:cs="FrankRuehl"/>
          <w:sz w:val="22"/>
          <w:szCs w:val="22"/>
          <w:rtl/>
        </w:rPr>
        <w:t>נוכח כל האמור לעיל עולה, כי במקרים שבהם הלשכות מעורבות ב</w:t>
      </w:r>
      <w:r>
        <w:rPr>
          <w:rFonts w:ascii="Times New Roman" w:hAnsi="Times New Roman" w:cs="FrankRuehl"/>
          <w:sz w:val="22"/>
          <w:szCs w:val="22"/>
          <w:rtl/>
        </w:rPr>
        <w:t xml:space="preserve">תהליך יש לכך השפעה על התמשכות התהליכים ועל יצירת עיכובים. לדעת משרד מבקר המדינה, על האגף לבחון את התהליך שעובר התיק הרפואי בלשכות השונות טרם הגעתו ליחידה הרפואית, ולמצוא דרכים לייעול התהליך ולצמצום העיכובים הנגרמים בעטיו. </w:t>
      </w:r>
    </w:p>
    <w:p w:rsidR="00000000">
      <w:pPr>
        <w:pStyle w:val="RESHET"/>
        <w:spacing w:line="224" w:lineRule="exact"/>
      </w:pPr>
      <w:r>
        <w:rPr>
          <w:rtl/>
        </w:rPr>
        <w:t xml:space="preserve">משרד מבקר המדינה מעיר, כי להחלטה </w:t>
      </w:r>
      <w:r>
        <w:rPr>
          <w:rtl/>
        </w:rPr>
        <w:t xml:space="preserve">בנוגע לדרגת הנכות השלכה ישירה על מועד קבלת התגמולים וההטבות המגיעים לנכים. בהיעדר מנגנונים שנועדו להגביר את יעילותה של העבודה ביחידת </w:t>
      </w:r>
      <w:r>
        <w:rPr>
          <w:rtl/>
        </w:rPr>
        <w:t>הווע"ר</w:t>
      </w:r>
      <w:r>
        <w:rPr>
          <w:rtl/>
        </w:rPr>
        <w:t xml:space="preserve"> - וביניהם לוחות זמנים מרביים - נוצרת פגיעה ביעילות הארגון </w:t>
      </w:r>
      <w:r>
        <w:rPr>
          <w:rtl/>
        </w:rPr>
        <w:t>ובמועילותו</w:t>
      </w:r>
      <w:r>
        <w:rPr>
          <w:rtl/>
        </w:rPr>
        <w:t xml:space="preserve"> לאוכלוסיית הנכים. זאת, כיוון שהתמשכות ההליך לקב</w:t>
      </w:r>
      <w:r>
        <w:rPr>
          <w:rtl/>
        </w:rPr>
        <w:t>יעת דרגת נכות יש בו כדי לפגוע במימוש תפקידו של האגף לסייע לנכים. אמנם, חוק הנכים מסמיך את קצין התגמולים לשלם, במקרים מסוימים, מלווה לאדם שהוכר כנכה אף טרם שנקבעה לו דרגת נכות. אולם, מאחר שבחלק מהמקרים סכום זה נמוך מסכום התגמולים וההטבות המגיעים לנכה, על הא</w:t>
      </w:r>
      <w:r>
        <w:rPr>
          <w:rtl/>
        </w:rPr>
        <w:t xml:space="preserve">גף לנקוט את כל האמצעים - לרבות קביעת לוח זמנים מחייב לכל שלב בתהליך - כדי שעבודתו תתבצע ללא עיכובים מיותרים. כמו כן, על האגף לבצע בקרה כדי לוודא עמידה בלוחות הזמנים שייקבעו. מעבר לכך, על האגף למצוא פתרון למצב שבו מתעכבת התכנסות </w:t>
      </w:r>
      <w:r>
        <w:rPr>
          <w:rtl/>
        </w:rPr>
        <w:t>וע"ר</w:t>
      </w:r>
      <w:r>
        <w:rPr>
          <w:rtl/>
        </w:rPr>
        <w:t xml:space="preserve"> בגין פגימות שהוכרו במקר</w:t>
      </w:r>
      <w:r>
        <w:rPr>
          <w:rtl/>
        </w:rPr>
        <w:t xml:space="preserve">ים שבהם תיקו של הנכה נמצא בבית משפט בגין ערעור שהגיש על פגימה שלא הוכרה. </w:t>
      </w:r>
    </w:p>
    <w:p w:rsidR="00000000">
      <w:pPr>
        <w:pStyle w:val="PlainText"/>
        <w:widowControl/>
        <w:spacing w:after="6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Pr>
      </w:pPr>
    </w:p>
    <w:p w:rsidR="00000000">
      <w:pPr>
        <w:pStyle w:val="KOT4"/>
      </w:pPr>
      <w:r>
        <w:rPr>
          <w:rtl/>
        </w:rPr>
        <w:t xml:space="preserve">הדרכת </w:t>
      </w:r>
      <w:r>
        <w:rPr>
          <w:rtl/>
        </w:rPr>
        <w:t>הווע"ר</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 xml:space="preserve">בביקורת עלה, כי בשנים 1997-2003 נערכו באגף מספר כנסים ייעודיים להדרכה ולהנחיית רופאי </w:t>
      </w:r>
      <w:r>
        <w:rPr>
          <w:rFonts w:ascii="Times New Roman" w:hAnsi="Times New Roman" w:cs="FrankRuehl"/>
          <w:sz w:val="22"/>
          <w:szCs w:val="22"/>
          <w:rtl/>
        </w:rPr>
        <w:t>הווע"ר</w:t>
      </w:r>
      <w:r>
        <w:rPr>
          <w:rFonts w:ascii="Times New Roman" w:hAnsi="Times New Roman" w:cs="FrankRuehl"/>
          <w:sz w:val="22"/>
          <w:szCs w:val="22"/>
          <w:rtl/>
        </w:rPr>
        <w:t>. עם זאת, נמצאו פערים בתדירות הכנסים בין המחוזות השונים. כך למשל, בחיפה נערכ</w:t>
      </w:r>
      <w:r>
        <w:rPr>
          <w:rFonts w:ascii="Times New Roman" w:hAnsi="Times New Roman" w:cs="FrankRuehl"/>
          <w:sz w:val="22"/>
          <w:szCs w:val="22"/>
          <w:rtl/>
        </w:rPr>
        <w:t xml:space="preserve">ו במהלך תקופה זו שישה כנסים, בירושלים ארבעה כנסים ובטבריה שלושה כנסים, ואילו בבאר שבע ובתל אביב נערך כנס אחד בלבד. יתרה מזו, מאז שנת 1999 לא נערכו בתל אביב ובבאר שבע כנסים ייעודיים לרופאי </w:t>
      </w:r>
      <w:r>
        <w:rPr>
          <w:rFonts w:ascii="Times New Roman" w:hAnsi="Times New Roman" w:cs="FrankRuehl"/>
          <w:sz w:val="22"/>
          <w:szCs w:val="22"/>
          <w:rtl/>
        </w:rPr>
        <w:t>וע"ר</w:t>
      </w:r>
      <w:r>
        <w:rPr>
          <w:rFonts w:ascii="Times New Roman" w:hAnsi="Times New Roman" w:cs="FrankRuehl"/>
          <w:sz w:val="22"/>
          <w:szCs w:val="22"/>
          <w:rtl/>
        </w:rPr>
        <w:t xml:space="preserve"> ואילו בשאר המחוזות לא נערכו כנסים כאלה מאז שנת 2003. כמו כן, למ</w:t>
      </w:r>
      <w:r>
        <w:rPr>
          <w:rFonts w:ascii="Times New Roman" w:hAnsi="Times New Roman" w:cs="FrankRuehl"/>
          <w:sz w:val="22"/>
          <w:szCs w:val="22"/>
          <w:rtl/>
        </w:rPr>
        <w:t xml:space="preserve">עט מפגש אחד של רופאי </w:t>
      </w:r>
      <w:r>
        <w:rPr>
          <w:rFonts w:ascii="Times New Roman" w:hAnsi="Times New Roman" w:cs="FrankRuehl"/>
          <w:sz w:val="22"/>
          <w:szCs w:val="22"/>
          <w:rtl/>
        </w:rPr>
        <w:t>הווע"ר</w:t>
      </w:r>
      <w:r>
        <w:rPr>
          <w:rFonts w:ascii="Times New Roman" w:hAnsi="Times New Roman" w:cs="FrankRuehl"/>
          <w:sz w:val="22"/>
          <w:szCs w:val="22"/>
          <w:rtl/>
        </w:rPr>
        <w:t xml:space="preserve"> עם נציג של הייעוץ המשפטי של האגף בשנת 2004, לא התקיימו באגף ימי עיון, השתלמויות או הדרכות, שעסקו בפסיקה משמעותית חדשה או בפסיקה חוזרת בנוגע לנושאים מרכזיים בעבודת </w:t>
      </w:r>
      <w:r>
        <w:rPr>
          <w:rFonts w:ascii="Times New Roman" w:hAnsi="Times New Roman" w:cs="FrankRuehl"/>
          <w:sz w:val="22"/>
          <w:szCs w:val="22"/>
          <w:rtl/>
        </w:rPr>
        <w:t>הווע"ר</w:t>
      </w:r>
      <w:r>
        <w:rPr>
          <w:rFonts w:ascii="Times New Roman" w:hAnsi="Times New Roman" w:cs="FrankRuehl"/>
          <w:sz w:val="22"/>
          <w:szCs w:val="22"/>
          <w:rtl/>
        </w:rPr>
        <w:t xml:space="preserve">, והשפעתה על התנהלות הרופאים </w:t>
      </w:r>
      <w:r>
        <w:rPr>
          <w:rFonts w:ascii="Times New Roman" w:hAnsi="Times New Roman" w:cs="FrankRuehl"/>
          <w:sz w:val="22"/>
          <w:szCs w:val="22"/>
          <w:rtl/>
        </w:rPr>
        <w:t>בווע"ר</w:t>
      </w:r>
      <w:r>
        <w:rPr>
          <w:rFonts w:ascii="Times New Roman" w:hAnsi="Times New Roman" w:cs="FrankRuehl"/>
          <w:sz w:val="22"/>
          <w:szCs w:val="22"/>
          <w:rtl/>
        </w:rPr>
        <w:t>.</w:t>
      </w:r>
    </w:p>
    <w:p w:rsidR="00000000">
      <w:pPr>
        <w:pStyle w:val="PlainText"/>
        <w:widowControl/>
        <w:spacing w:after="6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Pr>
      </w:pPr>
    </w:p>
    <w:p w:rsidR="00000000">
      <w:pPr>
        <w:pStyle w:val="KOT4"/>
      </w:pPr>
      <w:r>
        <w:rPr>
          <w:rtl/>
        </w:rPr>
        <w:t xml:space="preserve">ערעורים על החלטות </w:t>
      </w:r>
      <w:r>
        <w:rPr>
          <w:rtl/>
        </w:rPr>
        <w:t>וע</w:t>
      </w:r>
      <w:r>
        <w:rPr>
          <w:rtl/>
        </w:rPr>
        <w:t>"ר</w:t>
      </w:r>
      <w:r>
        <w:rPr>
          <w:rtl/>
        </w:rPr>
        <w:t xml:space="preserve"> עליונה</w:t>
      </w:r>
    </w:p>
    <w:p w:rsidR="00000000">
      <w:pPr>
        <w:pStyle w:val="PlainText"/>
        <w:widowControl/>
        <w:spacing w:after="240" w:line="224" w:lineRule="exact"/>
        <w:rPr>
          <w:rFonts w:ascii="Times New Roman" w:hAnsi="Times New Roman" w:cs="FrankRuehl"/>
          <w:sz w:val="22"/>
          <w:szCs w:val="22"/>
        </w:rPr>
      </w:pPr>
      <w:r>
        <w:rPr>
          <w:rFonts w:ascii="Times New Roman" w:hAnsi="Times New Roman" w:cs="FrankRuehl"/>
          <w:sz w:val="22"/>
          <w:szCs w:val="22"/>
          <w:rtl/>
        </w:rPr>
        <w:t xml:space="preserve">כאמור, על החלטת </w:t>
      </w:r>
      <w:r>
        <w:rPr>
          <w:rFonts w:ascii="Times New Roman" w:hAnsi="Times New Roman" w:cs="FrankRuehl"/>
          <w:sz w:val="22"/>
          <w:szCs w:val="22"/>
          <w:rtl/>
        </w:rPr>
        <w:t>וע"ר</w:t>
      </w:r>
      <w:r>
        <w:rPr>
          <w:rFonts w:ascii="Times New Roman" w:hAnsi="Times New Roman" w:cs="FrankRuehl"/>
          <w:sz w:val="22"/>
          <w:szCs w:val="22"/>
          <w:rtl/>
        </w:rPr>
        <w:t xml:space="preserve"> עליונה ניתן להגיש ערעור לבית המשפט המחוזי. כך למשל, בשנת 2005 טיפל המטה ב-1,275 ערעורים של נכים </w:t>
      </w:r>
      <w:r>
        <w:rPr>
          <w:rFonts w:ascii="Times New Roman" w:hAnsi="Times New Roman" w:cs="FrankRuehl"/>
          <w:sz w:val="22"/>
          <w:szCs w:val="22"/>
          <w:rtl/>
        </w:rPr>
        <w:t>לווע"ר</w:t>
      </w:r>
      <w:r>
        <w:rPr>
          <w:rFonts w:ascii="Times New Roman" w:hAnsi="Times New Roman" w:cs="FrankRuehl"/>
          <w:sz w:val="22"/>
          <w:szCs w:val="22"/>
          <w:rtl/>
        </w:rPr>
        <w:t xml:space="preserve"> עליונה. בביקורת עלה, כי במהלך השנים האגף לא בדק מהו שיעור הערעורים שהתקבלו ומאילו סיבות, האם קיימים פערים בעניין זה בין המ</w:t>
      </w:r>
      <w:r>
        <w:rPr>
          <w:rFonts w:ascii="Times New Roman" w:hAnsi="Times New Roman" w:cs="FrankRuehl"/>
          <w:sz w:val="22"/>
          <w:szCs w:val="22"/>
          <w:rtl/>
        </w:rPr>
        <w:t xml:space="preserve">חוזות, והאם מנתונים אלה ניתן להפיק לקחים אודות סדרי </w:t>
      </w:r>
      <w:r>
        <w:rPr>
          <w:rFonts w:ascii="Times New Roman" w:hAnsi="Times New Roman" w:cs="FrankRuehl"/>
          <w:sz w:val="22"/>
          <w:szCs w:val="22"/>
          <w:rtl/>
        </w:rPr>
        <w:t>עבודותן</w:t>
      </w:r>
      <w:r>
        <w:rPr>
          <w:rFonts w:ascii="Times New Roman" w:hAnsi="Times New Roman" w:cs="FrankRuehl"/>
          <w:sz w:val="22"/>
          <w:szCs w:val="22"/>
          <w:rtl/>
        </w:rPr>
        <w:t xml:space="preserve"> של </w:t>
      </w:r>
      <w:r>
        <w:rPr>
          <w:rFonts w:ascii="Times New Roman" w:hAnsi="Times New Roman" w:cs="FrankRuehl"/>
          <w:sz w:val="22"/>
          <w:szCs w:val="22"/>
          <w:rtl/>
        </w:rPr>
        <w:t>הווע"ר</w:t>
      </w:r>
      <w:r>
        <w:rPr>
          <w:rFonts w:ascii="Times New Roman" w:hAnsi="Times New Roman" w:cs="FrankRuehl"/>
          <w:sz w:val="22"/>
          <w:szCs w:val="22"/>
          <w:rtl/>
        </w:rPr>
        <w:t>.</w:t>
      </w:r>
    </w:p>
    <w:p w:rsidR="00000000">
      <w:pPr>
        <w:pStyle w:val="RESHET"/>
        <w:spacing w:line="224" w:lineRule="exact"/>
      </w:pPr>
      <w:r>
        <w:rPr>
          <w:rtl/>
        </w:rPr>
        <w:t xml:space="preserve">נוכח האמור לעיל, ראוי שהאגף יקפיד על עריכת השתלמויות וימי עיון שוטפים שיתמקדו בעבודת </w:t>
      </w:r>
      <w:r>
        <w:rPr>
          <w:rtl/>
        </w:rPr>
        <w:t>הווע"ר</w:t>
      </w:r>
      <w:r>
        <w:rPr>
          <w:rtl/>
        </w:rPr>
        <w:t xml:space="preserve"> ובשינויים העשויים לחול בה, בין היתר, בעקבות שינוי תקנות ופסיקה, ועל ניתוח נתונים אודות שיעור </w:t>
      </w:r>
      <w:r>
        <w:rPr>
          <w:rtl/>
        </w:rPr>
        <w:t xml:space="preserve">הערעורים ממחוזות שונים שהתקבלו בבתי המשפט כדי להסיק מהם מסקנות אופרטיביות. יש בצעדים אלה כדי ליעל את עבודת </w:t>
      </w:r>
      <w:r>
        <w:rPr>
          <w:rtl/>
        </w:rPr>
        <w:t>הווע"ר</w:t>
      </w:r>
      <w:r>
        <w:rPr>
          <w:rtl/>
        </w:rPr>
        <w:t>.</w:t>
      </w:r>
    </w:p>
    <w:p w:rsidR="00000000">
      <w:pPr>
        <w:pStyle w:val="KOT4"/>
      </w:pPr>
      <w:r>
        <w:rPr>
          <w:rtl/>
        </w:rPr>
        <w:t xml:space="preserve">התנאים למינוי ממונה על </w:t>
      </w:r>
      <w:r>
        <w:rPr>
          <w:rtl/>
        </w:rPr>
        <w:t>וע"ר</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1. </w:t>
      </w:r>
      <w:r>
        <w:rPr>
          <w:rFonts w:ascii="Times New Roman" w:hAnsi="Times New Roman" w:cs="FrankRuehl"/>
          <w:sz w:val="22"/>
          <w:szCs w:val="22"/>
          <w:rtl/>
        </w:rPr>
        <w:tab/>
        <w:t xml:space="preserve">כאמור, בתקנות הנכים נקבע, כי שר הביטחון ימנה רשימה של רופאים, ומהם ימנה את יושבי הראש של </w:t>
      </w:r>
      <w:r>
        <w:rPr>
          <w:rFonts w:ascii="Times New Roman" w:hAnsi="Times New Roman" w:cs="FrankRuehl"/>
          <w:sz w:val="22"/>
          <w:szCs w:val="22"/>
          <w:rtl/>
        </w:rPr>
        <w:t>הווע"ר</w:t>
      </w:r>
      <w:r>
        <w:rPr>
          <w:rFonts w:ascii="Times New Roman" w:hAnsi="Times New Roman" w:cs="FrankRuehl"/>
          <w:sz w:val="22"/>
          <w:szCs w:val="22"/>
          <w:rtl/>
        </w:rPr>
        <w:t>. עוד נקבע, כי</w:t>
      </w:r>
      <w:r>
        <w:rPr>
          <w:rFonts w:ascii="Times New Roman" w:hAnsi="Times New Roman" w:cs="FrankRuehl"/>
          <w:sz w:val="22"/>
          <w:szCs w:val="22"/>
          <w:rtl/>
        </w:rPr>
        <w:t xml:space="preserve"> אחד מיושבי הראש ימלא תפקיד של ממונה על </w:t>
      </w:r>
      <w:r>
        <w:rPr>
          <w:rFonts w:ascii="Times New Roman" w:hAnsi="Times New Roman" w:cs="FrankRuehl"/>
          <w:sz w:val="22"/>
          <w:szCs w:val="22"/>
          <w:rtl/>
        </w:rPr>
        <w:t>וע"ר</w:t>
      </w:r>
      <w:r>
        <w:rPr>
          <w:rFonts w:ascii="Times New Roman" w:hAnsi="Times New Roman" w:cs="FrankRuehl"/>
          <w:sz w:val="22"/>
          <w:szCs w:val="22"/>
          <w:rtl/>
        </w:rPr>
        <w:t xml:space="preserve"> ויפקח על ביצוע תקנות אלה.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בביקורת עלה, כי על אף הקביעה בתקנות, המשרד מינה מעת לעת לתפקיד הממונה על </w:t>
      </w:r>
      <w:r>
        <w:rPr>
          <w:rFonts w:ascii="Times New Roman" w:hAnsi="Times New Roman" w:cs="FrankRuehl"/>
          <w:sz w:val="22"/>
          <w:szCs w:val="22"/>
          <w:rtl/>
        </w:rPr>
        <w:t>וע"ר</w:t>
      </w:r>
      <w:r>
        <w:rPr>
          <w:rFonts w:ascii="Times New Roman" w:hAnsi="Times New Roman" w:cs="FrankRuehl"/>
          <w:sz w:val="22"/>
          <w:szCs w:val="22"/>
          <w:rtl/>
        </w:rPr>
        <w:t xml:space="preserve"> רופאים שלא נכללו לפני מינוים ברשימת הרופאים לעניין תקנות הנכים (ועדות רפואיות). לנציגי משרד מבקר המדינה נמ</w:t>
      </w:r>
      <w:r>
        <w:rPr>
          <w:rFonts w:ascii="Times New Roman" w:hAnsi="Times New Roman" w:cs="FrankRuehl"/>
          <w:sz w:val="22"/>
          <w:szCs w:val="22"/>
          <w:rtl/>
        </w:rPr>
        <w:t xml:space="preserve">סר, כי למעשה יושבי ראש של </w:t>
      </w:r>
      <w:r>
        <w:rPr>
          <w:rFonts w:ascii="Times New Roman" w:hAnsi="Times New Roman" w:cs="FrankRuehl"/>
          <w:sz w:val="22"/>
          <w:szCs w:val="22"/>
          <w:rtl/>
        </w:rPr>
        <w:t>וע"ר</w:t>
      </w:r>
      <w:r>
        <w:rPr>
          <w:rFonts w:ascii="Times New Roman" w:hAnsi="Times New Roman" w:cs="FrankRuehl"/>
          <w:sz w:val="22"/>
          <w:szCs w:val="22"/>
          <w:rtl/>
        </w:rPr>
        <w:t xml:space="preserve"> לא גילו עניין בתפקיד של ממונה על </w:t>
      </w:r>
      <w:r>
        <w:rPr>
          <w:rFonts w:ascii="Times New Roman" w:hAnsi="Times New Roman" w:cs="FrankRuehl"/>
          <w:sz w:val="22"/>
          <w:szCs w:val="22"/>
          <w:rtl/>
        </w:rPr>
        <w:t>וע"ר</w:t>
      </w:r>
      <w:r>
        <w:rPr>
          <w:rFonts w:ascii="Times New Roman" w:hAnsi="Times New Roman" w:cs="FrankRuehl"/>
          <w:sz w:val="22"/>
          <w:szCs w:val="22"/>
          <w:rtl/>
        </w:rPr>
        <w:t xml:space="preserve"> - תפקיד שלביצועו נדרש אדם לעבוד בשירות המדינה במשרה מלאה.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b/>
          <w:bCs/>
          <w:sz w:val="22"/>
          <w:szCs w:val="22"/>
          <w:rtl/>
        </w:rPr>
        <w:t xml:space="preserve">לדעת משרד מבקר המדינה, נוכח מציאות זו, על המשרד לשקול אם ראוי ליזום שינוי של התקנות, באופן שתיכלל בהן הגדרה רחבה יותר של התנאים </w:t>
      </w:r>
      <w:r>
        <w:rPr>
          <w:rFonts w:ascii="Times New Roman" w:hAnsi="Times New Roman" w:cs="FrankRuehl"/>
          <w:b/>
          <w:bCs/>
          <w:sz w:val="22"/>
          <w:szCs w:val="22"/>
          <w:rtl/>
        </w:rPr>
        <w:t xml:space="preserve">למינוי לתפקיד הממונה על </w:t>
      </w:r>
      <w:r>
        <w:rPr>
          <w:rFonts w:ascii="Times New Roman" w:hAnsi="Times New Roman" w:cs="FrankRuehl"/>
          <w:b/>
          <w:bCs/>
          <w:sz w:val="22"/>
          <w:szCs w:val="22"/>
          <w:rtl/>
        </w:rPr>
        <w:t>וע"ר</w:t>
      </w:r>
      <w:r>
        <w:rPr>
          <w:rFonts w:ascii="Times New Roman" w:hAnsi="Times New Roman" w:cs="FrankRuehl"/>
          <w:b/>
          <w:bCs/>
          <w:sz w:val="22"/>
          <w:szCs w:val="22"/>
          <w:rtl/>
        </w:rPr>
        <w:t>. אולם, זאת בלי להקל בדרישות לניסיון ולהשכלה החיוניות למילוי התפקיד.</w:t>
      </w:r>
      <w:r>
        <w:rPr>
          <w:rFonts w:ascii="Times New Roman" w:hAnsi="Times New Roman" w:cs="FrankRuehl"/>
          <w:sz w:val="22"/>
          <w:szCs w:val="22"/>
          <w:rtl/>
        </w:rPr>
        <w:t xml:space="preserve"> בהתייחסותו מיולי 2007 לממצאי הביקורת ציין האגף, כי בעקבות הביקורת, הונחו בעלי התפקידים הרלוונטיים לפעול לתיקון התקנות.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במהלך הביקורת מסרו בעלי תפקידים באג</w:t>
      </w:r>
      <w:r>
        <w:rPr>
          <w:rFonts w:ascii="Times New Roman" w:hAnsi="Times New Roman" w:cs="FrankRuehl"/>
          <w:sz w:val="22"/>
          <w:szCs w:val="22"/>
          <w:rtl/>
        </w:rPr>
        <w:t xml:space="preserve">ף </w:t>
      </w:r>
      <w:r>
        <w:rPr>
          <w:rFonts w:ascii="Times New Roman" w:hAnsi="Times New Roman" w:cs="FrankRuehl"/>
          <w:sz w:val="22"/>
          <w:szCs w:val="22"/>
          <w:rtl/>
        </w:rPr>
        <w:t>אב"מ</w:t>
      </w:r>
      <w:r>
        <w:rPr>
          <w:rFonts w:ascii="Times New Roman" w:hAnsi="Times New Roman" w:cs="FrankRuehl"/>
          <w:sz w:val="22"/>
          <w:szCs w:val="22"/>
          <w:rtl/>
        </w:rPr>
        <w:t xml:space="preserve">, </w:t>
      </w:r>
      <w:r>
        <w:rPr>
          <w:rFonts w:ascii="Times New Roman" w:hAnsi="Times New Roman" w:cs="FrankRuehl"/>
          <w:sz w:val="22"/>
          <w:szCs w:val="22"/>
          <w:rtl/>
        </w:rPr>
        <w:t>באמ"א</w:t>
      </w:r>
      <w:r>
        <w:rPr>
          <w:rFonts w:ascii="Times New Roman" w:hAnsi="Times New Roman" w:cs="FrankRuehl"/>
          <w:sz w:val="22"/>
          <w:szCs w:val="22"/>
          <w:rtl/>
        </w:rPr>
        <w:t xml:space="preserve"> ובאגף, כי לקראת המכרז לתפקיד ממונה על </w:t>
      </w:r>
      <w:r>
        <w:rPr>
          <w:rFonts w:ascii="Times New Roman" w:hAnsi="Times New Roman" w:cs="FrankRuehl"/>
          <w:sz w:val="22"/>
          <w:szCs w:val="22"/>
          <w:rtl/>
        </w:rPr>
        <w:t>הווע"ר</w:t>
      </w:r>
      <w:r>
        <w:rPr>
          <w:rFonts w:ascii="Times New Roman" w:hAnsi="Times New Roman" w:cs="FrankRuehl"/>
          <w:sz w:val="22"/>
          <w:szCs w:val="22"/>
          <w:rtl/>
        </w:rPr>
        <w:t xml:space="preserve"> המחוזיות התקיים במשרד הליך של בחירת מועמד מועדף, שמטרתו לאפשר להנהלת המשרד לזהות את המועמד שלדעתה הוא הטוב ביותר. יצוין, שבתקשי"ר מפורטים כללים הנוגעים לבחירה של מועמד הנהלה</w:t>
      </w:r>
      <w:r>
        <w:rPr>
          <w:rStyle w:val="FootnoteReference"/>
          <w:rFonts w:ascii="Times New Roman" w:hAnsi="Times New Roman" w:cs="FrankRuehl"/>
          <w:sz w:val="22"/>
          <w:szCs w:val="22"/>
          <w:rtl/>
        </w:rPr>
        <w:footnoteReference w:id="27"/>
      </w:r>
      <w:r>
        <w:rPr>
          <w:rFonts w:ascii="Times New Roman" w:hAnsi="Times New Roman" w:cs="FrankRuehl"/>
          <w:sz w:val="22"/>
          <w:szCs w:val="22"/>
          <w:rtl/>
        </w:rPr>
        <w:t>, שמתייחסים אך ורק למשר</w:t>
      </w:r>
      <w:r>
        <w:rPr>
          <w:rFonts w:ascii="Times New Roman" w:hAnsi="Times New Roman" w:cs="FrankRuehl"/>
          <w:sz w:val="22"/>
          <w:szCs w:val="22"/>
          <w:rtl/>
        </w:rPr>
        <w:t>ות זוטרות</w:t>
      </w:r>
      <w:r>
        <w:rPr>
          <w:rStyle w:val="FootnoteReference"/>
          <w:rFonts w:ascii="Times New Roman" w:hAnsi="Times New Roman" w:cs="FrankRuehl"/>
          <w:sz w:val="22"/>
          <w:szCs w:val="22"/>
          <w:rtl/>
        </w:rPr>
        <w:footnoteReference w:id="28"/>
      </w:r>
      <w:r>
        <w:rPr>
          <w:rFonts w:ascii="Times New Roman" w:hAnsi="Times New Roman" w:cs="FrankRuehl"/>
          <w:sz w:val="22"/>
          <w:szCs w:val="22"/>
          <w:rtl/>
        </w:rPr>
        <w:t xml:space="preserve">, בעת עריכת מכרז פנימי, שעה שההליך לבחירת מועמד מועדף לקראת איוש משרה במכרז פומבי אינו מעוגן בתקשי"ר.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בהתייחסותה מיולי 2007 לממצאי הביקורת השיבה נציבות שירות המדינה, ש"אין מניעה לקיים הליך אשר מטרתו לקבע דעת המשרד לקראת המכרז אולם בשום פנים ואופ</w:t>
      </w:r>
      <w:r>
        <w:rPr>
          <w:rFonts w:ascii="Times New Roman" w:hAnsi="Times New Roman" w:cs="FrankRuehl"/>
          <w:sz w:val="22"/>
          <w:szCs w:val="22"/>
          <w:rtl/>
        </w:rPr>
        <w:t>ן לא מדובר בקביעת דעה קדומה אשר אל לה להשתנות במידת הצורך לאור מה שמתרחש בהליך המכרז עצמו". משרד מבקר המדינה מעיר, שנוכח עמדתה של נציבות שירות המדינה, מן הראוי שהיא תיתן הנחיות מפורטות כיצד ובאילו נסיבות ניתן לקיים את ההליך האמור במסגרת מכרז פומבי.</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pPr>
      <w:r>
        <w:rPr>
          <w:rtl/>
        </w:rPr>
        <w:t>למש</w:t>
      </w:r>
      <w:r>
        <w:rPr>
          <w:rtl/>
        </w:rPr>
        <w:t xml:space="preserve">כי הזמן בטיפול בתביעות לקביעת דרגת נכות השלכה ישירה על מועד קבלת התגמולים וההטבות המגיעים לנכים. בהיעדר מנגנונים שנועדו להגביר את יעילותה של העבודה ביחידת </w:t>
      </w:r>
      <w:r>
        <w:rPr>
          <w:rtl/>
        </w:rPr>
        <w:t>הווע"ר</w:t>
      </w:r>
      <w:r>
        <w:rPr>
          <w:rtl/>
        </w:rPr>
        <w:t>, נוצרת פגיעה לא רק ביעילות הארגון אלא גם במועילות שלו לאוכלוסיית הנכים. זאת, כיוון שהתמשכות הה</w:t>
      </w:r>
      <w:r>
        <w:rPr>
          <w:rtl/>
        </w:rPr>
        <w:t xml:space="preserve">ליך לקביעת דרגת נכות יש בה כדי לפגוע במימוש תפקידו העיקרי של האגף לסייע לנכים. </w:t>
      </w:r>
    </w:p>
    <w:p w:rsidR="00000000">
      <w:pPr>
        <w:pStyle w:val="RESHET"/>
      </w:pPr>
      <w:r>
        <w:rPr>
          <w:rtl/>
        </w:rPr>
        <w:t xml:space="preserve">נוכח הודעת ראש האגף בהתייחסותו לממצאי הביקורת, כי </w:t>
      </w:r>
      <w:r>
        <w:rPr>
          <w:rtl/>
        </w:rPr>
        <w:t>הווע"ר</w:t>
      </w:r>
      <w:r>
        <w:rPr>
          <w:rtl/>
        </w:rPr>
        <w:t xml:space="preserve"> נמצאות בשלב של ארגון מחדש מעיר משרד מבקר המדינה, כי על האגף לוודא, שבמסגרת הארגון מחדש של </w:t>
      </w:r>
      <w:r>
        <w:rPr>
          <w:rtl/>
        </w:rPr>
        <w:t>הווע"ר</w:t>
      </w:r>
      <w:r>
        <w:rPr>
          <w:rtl/>
        </w:rPr>
        <w:t xml:space="preserve"> יתוקנו הליקויים שהעלה </w:t>
      </w:r>
      <w:r>
        <w:rPr>
          <w:rtl/>
        </w:rPr>
        <w:t>דוח זה.</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sz w:val="22"/>
          <w:szCs w:val="22"/>
          <w:rtl/>
        </w:rPr>
        <w:sectPr>
          <w:headerReference w:type="even" r:id="rId5"/>
          <w:headerReference w:type="default" r:id="rId6"/>
          <w:headerReference w:type="first" r:id="rId7"/>
          <w:pgSz w:w="11906" w:h="16838" w:code="9"/>
          <w:pgMar w:top="1758" w:right="2552" w:bottom="4253" w:left="2552" w:header="1247" w:footer="709" w:gutter="0"/>
          <w:pgNumType w:start="577"/>
          <w:cols w:space="708"/>
          <w:docGrid w:linePitch="360"/>
        </w:sectPr>
      </w:pPr>
    </w:p>
    <w:p w:rsidR="00000000">
      <w:pPr>
        <w:pStyle w:val="PlainText"/>
        <w:widowControl/>
        <w:spacing w:after="120" w:line="230" w:lineRule="exact"/>
        <w:rPr>
          <w:rFonts w:ascii="Times New Roman" w:hAnsi="Times New Roman" w:cs="FrankRuehl" w:hint="cs"/>
          <w:sz w:val="22"/>
          <w:szCs w:val="22"/>
        </w:rPr>
      </w:pPr>
    </w:p>
    <w:sectPr>
      <w:headerReference w:type="first" r:id="rId8"/>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לקוחים מתוך הדוח השנתי של האגף לשנת 2005, האחרון שהיה קיים בעת הביקורת.</w:t>
      </w:r>
    </w:p>
  </w:footnote>
  <w:footnote w:id="3">
    <w:p w:rsidR="00000000">
      <w:pPr>
        <w:pStyle w:val="FootnoteText"/>
        <w:keepLines/>
        <w:spacing w:line="200" w:lineRule="exact"/>
        <w:ind w:left="397" w:hanging="397"/>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מספר </w:t>
      </w:r>
      <w:r>
        <w:rPr>
          <w:rFonts w:cs="FrankRuehl"/>
          <w:rtl/>
        </w:rPr>
        <w:t>הווע"ר</w:t>
      </w:r>
      <w:r>
        <w:rPr>
          <w:rFonts w:cs="FrankRuehl"/>
          <w:rtl/>
        </w:rPr>
        <w:t xml:space="preserve"> מתייחס למספר ההתכנסויות של </w:t>
      </w:r>
      <w:r>
        <w:rPr>
          <w:rFonts w:cs="FrankRuehl"/>
          <w:rtl/>
        </w:rPr>
        <w:t>וע"ר</w:t>
      </w:r>
      <w:r>
        <w:rPr>
          <w:rFonts w:cs="FrankRuehl"/>
          <w:rtl/>
        </w:rPr>
        <w:t xml:space="preserve">, כשבמסגרת התכנסותה של </w:t>
      </w:r>
      <w:r>
        <w:rPr>
          <w:rFonts w:cs="FrankRuehl"/>
          <w:rtl/>
        </w:rPr>
        <w:t>וע"ר</w:t>
      </w:r>
      <w:r>
        <w:rPr>
          <w:rFonts w:cs="FrankRuehl"/>
          <w:rtl/>
        </w:rPr>
        <w:t xml:space="preserve"> נדונה, בדרך כלל, דרגת נכותם של אחד עד שלושה </w:t>
      </w:r>
      <w:r>
        <w:rPr>
          <w:rStyle w:val="FootnoteReference"/>
          <w:rFonts w:ascii="FrankRuehl" w:hAnsi="FrankRuehl" w:cs="FrankRuehl"/>
          <w:vertAlign w:val="baseline"/>
          <w:rtl/>
        </w:rPr>
        <w:t>נכים.</w:t>
      </w:r>
    </w:p>
  </w:footnote>
  <w:footnote w:id="4">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המינהלה</w:t>
      </w:r>
      <w:r>
        <w:rPr>
          <w:rFonts w:cs="FrankRuehl"/>
          <w:rtl/>
        </w:rPr>
        <w:t xml:space="preserve"> הרפואית היא חלק </w:t>
      </w:r>
      <w:r>
        <w:rPr>
          <w:rStyle w:val="FootnoteReference"/>
          <w:rFonts w:ascii="FrankRuehl" w:hAnsi="FrankRuehl" w:cs="FrankRuehl"/>
          <w:vertAlign w:val="baseline"/>
          <w:rtl/>
        </w:rPr>
        <w:t>מהיחידה</w:t>
      </w:r>
      <w:r>
        <w:rPr>
          <w:rFonts w:cs="FrankRuehl"/>
          <w:rtl/>
        </w:rPr>
        <w:t xml:space="preserve"> הרפואית ותפ</w:t>
      </w:r>
      <w:r>
        <w:rPr>
          <w:rFonts w:cs="FrankRuehl"/>
          <w:rtl/>
        </w:rPr>
        <w:t xml:space="preserve">קידה לטפל בכל העניינים </w:t>
      </w:r>
      <w:r>
        <w:rPr>
          <w:rFonts w:cs="FrankRuehl"/>
          <w:rtl/>
        </w:rPr>
        <w:t>המינהליים</w:t>
      </w:r>
      <w:r>
        <w:rPr>
          <w:rFonts w:cs="FrankRuehl"/>
          <w:rtl/>
        </w:rPr>
        <w:t xml:space="preserve"> הקשורים </w:t>
      </w:r>
      <w:r>
        <w:rPr>
          <w:rFonts w:cs="FrankRuehl"/>
          <w:rtl/>
        </w:rPr>
        <w:t>בווע"ר</w:t>
      </w:r>
      <w:r>
        <w:rPr>
          <w:rFonts w:cs="FrankRuehl"/>
          <w:rtl/>
        </w:rPr>
        <w:t xml:space="preserve"> מחוזיות </w:t>
      </w:r>
      <w:r>
        <w:rPr>
          <w:rFonts w:cs="FrankRuehl"/>
          <w:rtl/>
        </w:rPr>
        <w:t>ווע"ר</w:t>
      </w:r>
      <w:r>
        <w:rPr>
          <w:rFonts w:cs="FrankRuehl"/>
          <w:rtl/>
        </w:rPr>
        <w:t xml:space="preserve"> עליונות.</w:t>
      </w:r>
    </w:p>
  </w:footnote>
  <w:footnote w:id="5">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בסיום הכנת תיק </w:t>
      </w:r>
      <w:r>
        <w:rPr>
          <w:rFonts w:cs="FrankRuehl"/>
          <w:rtl/>
        </w:rPr>
        <w:t>לווע"ר</w:t>
      </w:r>
      <w:r>
        <w:rPr>
          <w:rFonts w:cs="FrankRuehl"/>
          <w:rtl/>
        </w:rPr>
        <w:t xml:space="preserve"> הכוונה להשלמת איסוף כל החומר הרפואי הדרוש </w:t>
      </w:r>
      <w:r>
        <w:rPr>
          <w:rFonts w:cs="FrankRuehl"/>
          <w:rtl/>
        </w:rPr>
        <w:t>לווע"ר</w:t>
      </w:r>
      <w:r>
        <w:rPr>
          <w:rFonts w:cs="FrankRuehl"/>
          <w:rtl/>
        </w:rPr>
        <w:t xml:space="preserve"> ולקבלת תוצאות כל הבדיקות הרפואיות שדרש יו"ר </w:t>
      </w:r>
      <w:r>
        <w:rPr>
          <w:rFonts w:cs="FrankRuehl"/>
          <w:rtl/>
        </w:rPr>
        <w:t>הווע"ר</w:t>
      </w:r>
      <w:r>
        <w:rPr>
          <w:rFonts w:cs="FrankRuehl"/>
          <w:rtl/>
        </w:rPr>
        <w:t>.</w:t>
      </w:r>
    </w:p>
  </w:footnote>
  <w:footnote w:id="6">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במטה האגף מתקיימות </w:t>
      </w:r>
      <w:r>
        <w:rPr>
          <w:rFonts w:cs="FrankRuehl"/>
          <w:rtl/>
        </w:rPr>
        <w:t>וע"ר</w:t>
      </w:r>
      <w:r>
        <w:rPr>
          <w:rFonts w:cs="FrankRuehl"/>
          <w:rtl/>
        </w:rPr>
        <w:t xml:space="preserve"> מחוזיות </w:t>
      </w:r>
      <w:r>
        <w:rPr>
          <w:rStyle w:val="FootnoteReference"/>
          <w:rFonts w:ascii="FrankRuehl" w:hAnsi="FrankRuehl" w:cs="FrankRuehl"/>
          <w:vertAlign w:val="baseline"/>
          <w:rtl/>
        </w:rPr>
        <w:t>ווע</w:t>
      </w:r>
      <w:r>
        <w:rPr>
          <w:rFonts w:cs="FrankRuehl"/>
          <w:rtl/>
        </w:rPr>
        <w:t>"ר</w:t>
      </w:r>
      <w:r>
        <w:rPr>
          <w:rFonts w:cs="FrankRuehl"/>
          <w:rtl/>
        </w:rPr>
        <w:t xml:space="preserve"> עליונות עבור לשכות</w:t>
      </w:r>
      <w:r>
        <w:rPr>
          <w:rFonts w:cs="FrankRuehl"/>
          <w:rtl/>
        </w:rPr>
        <w:t xml:space="preserve"> שיקום אחרות ברחבי הארץ.</w:t>
      </w:r>
    </w:p>
  </w:footnote>
  <w:footnote w:id="7">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המטה באגף מרכז מספר יחידות וביניהן היחידה </w:t>
      </w:r>
      <w:r>
        <w:rPr>
          <w:rFonts w:cs="FrankRuehl"/>
          <w:rtl/>
        </w:rPr>
        <w:t>לווע"ר</w:t>
      </w:r>
      <w:r>
        <w:rPr>
          <w:rFonts w:cs="FrankRuehl"/>
          <w:rtl/>
        </w:rPr>
        <w:t xml:space="preserve">, היחידה להכרה וקביעת זכאות, יחידת המחשוב, הייעוץ המשפטי ועוד. במטה מתקיימות גם </w:t>
      </w:r>
      <w:r>
        <w:rPr>
          <w:rFonts w:cs="FrankRuehl"/>
          <w:rtl/>
        </w:rPr>
        <w:t>וע"ר</w:t>
      </w:r>
      <w:r>
        <w:rPr>
          <w:rFonts w:cs="FrankRuehl"/>
          <w:rtl/>
        </w:rPr>
        <w:t xml:space="preserve"> מחוזיות </w:t>
      </w:r>
      <w:r>
        <w:rPr>
          <w:rFonts w:cs="FrankRuehl"/>
          <w:rtl/>
        </w:rPr>
        <w:t>ווע"ר</w:t>
      </w:r>
      <w:r>
        <w:rPr>
          <w:rFonts w:cs="FrankRuehl"/>
          <w:rtl/>
        </w:rPr>
        <w:t xml:space="preserve"> עליונות עבור לשכות שיקום אחרות ברחבי הארץ. מושבם של המטה ושל </w:t>
      </w:r>
      <w:r>
        <w:rPr>
          <w:rFonts w:cs="FrankRuehl"/>
          <w:rtl/>
        </w:rPr>
        <w:t>הווע"ר</w:t>
      </w:r>
      <w:r>
        <w:rPr>
          <w:rFonts w:cs="FrankRuehl"/>
          <w:rtl/>
        </w:rPr>
        <w:t xml:space="preserve"> המחוזית </w:t>
      </w:r>
      <w:r>
        <w:rPr>
          <w:rFonts w:cs="FrankRuehl"/>
          <w:rtl/>
        </w:rPr>
        <w:t>ווע"ר</w:t>
      </w:r>
      <w:r>
        <w:rPr>
          <w:rFonts w:cs="FrankRuehl"/>
          <w:rtl/>
        </w:rPr>
        <w:t xml:space="preserve"> עליונה שבמטה הוא בת"א.</w:t>
      </w:r>
    </w:p>
  </w:footnote>
  <w:footnote w:id="8">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נכה שסבור, כי נכותו המוכרת החמירה, רשאי לבקש </w:t>
      </w:r>
      <w:r>
        <w:rPr>
          <w:rFonts w:cs="FrankRuehl"/>
          <w:rtl/>
        </w:rPr>
        <w:t>שווע"ר</w:t>
      </w:r>
      <w:r>
        <w:rPr>
          <w:rFonts w:cs="FrankRuehl"/>
          <w:rtl/>
        </w:rPr>
        <w:t xml:space="preserve"> תקבע דרגת נכותו מחדש.</w:t>
      </w:r>
    </w:p>
  </w:footnote>
  <w:footnote w:id="9">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נכות, שהנכה טוען שנגרמה בעקבות הנכות המוכרת.</w:t>
      </w:r>
    </w:p>
  </w:footnote>
  <w:footnote w:id="10">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רע"א 6846/03 רואי נ' משרד הביטחון, קצין תגמולים פ"ד נט(5) 178 (2005).</w:t>
      </w:r>
    </w:p>
  </w:footnote>
  <w:footnote w:id="11">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הנתונים לקוחים מתוך הדוח השנתי </w:t>
      </w:r>
      <w:r>
        <w:rPr>
          <w:rFonts w:cs="FrankRuehl"/>
          <w:rtl/>
        </w:rPr>
        <w:t>של האגף לשנת 2005, האחרון שהיה קיים בעת הביקורת.</w:t>
      </w:r>
    </w:p>
  </w:footnote>
  <w:footnote w:id="12">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מספר </w:t>
      </w:r>
      <w:r>
        <w:rPr>
          <w:rFonts w:cs="FrankRuehl"/>
          <w:rtl/>
        </w:rPr>
        <w:t>הווע"ר</w:t>
      </w:r>
      <w:r>
        <w:rPr>
          <w:rFonts w:cs="FrankRuehl"/>
          <w:rtl/>
        </w:rPr>
        <w:t xml:space="preserve"> מתייחס למספר ההתכנסויות של </w:t>
      </w:r>
      <w:r>
        <w:rPr>
          <w:rFonts w:cs="FrankRuehl"/>
          <w:rtl/>
        </w:rPr>
        <w:t>וע"ר</w:t>
      </w:r>
      <w:r>
        <w:rPr>
          <w:rFonts w:cs="FrankRuehl"/>
          <w:rtl/>
        </w:rPr>
        <w:t xml:space="preserve">, כשבמסגרת התכנסותה של </w:t>
      </w:r>
      <w:r>
        <w:rPr>
          <w:rFonts w:cs="FrankRuehl"/>
          <w:rtl/>
        </w:rPr>
        <w:t>וע"ר</w:t>
      </w:r>
      <w:r>
        <w:rPr>
          <w:rFonts w:cs="FrankRuehl"/>
          <w:rtl/>
        </w:rPr>
        <w:t xml:space="preserve"> נדונה, בדרך כלל, דרגת נכותם של אחד עד שלושה נכים.</w:t>
      </w:r>
    </w:p>
  </w:footnote>
  <w:footnote w:id="13">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המינהלה</w:t>
      </w:r>
      <w:r>
        <w:rPr>
          <w:rFonts w:cs="FrankRuehl"/>
          <w:rtl/>
        </w:rPr>
        <w:t xml:space="preserve"> הרפואית היא חלק מהיחידה הרפואית ותפקידה לטפל בכל העניינים המנהליים הקשור</w:t>
      </w:r>
      <w:r>
        <w:rPr>
          <w:rFonts w:cs="FrankRuehl"/>
          <w:rtl/>
        </w:rPr>
        <w:t xml:space="preserve">ים </w:t>
      </w:r>
      <w:r>
        <w:rPr>
          <w:rFonts w:cs="FrankRuehl"/>
          <w:rtl/>
        </w:rPr>
        <w:t>בווע"ר</w:t>
      </w:r>
      <w:r>
        <w:rPr>
          <w:rFonts w:cs="FrankRuehl"/>
          <w:rtl/>
        </w:rPr>
        <w:t xml:space="preserve"> מחוזיות ועליונות. בן היתר, זימון נכים ורופאים </w:t>
      </w:r>
      <w:r>
        <w:rPr>
          <w:rFonts w:cs="FrankRuehl"/>
          <w:rtl/>
        </w:rPr>
        <w:t>לווע"ר</w:t>
      </w:r>
      <w:r>
        <w:rPr>
          <w:rFonts w:cs="FrankRuehl"/>
          <w:rtl/>
        </w:rPr>
        <w:t xml:space="preserve">, הכנת תיק </w:t>
      </w:r>
      <w:r>
        <w:rPr>
          <w:rFonts w:cs="FrankRuehl"/>
          <w:rtl/>
        </w:rPr>
        <w:t>לווע"ר</w:t>
      </w:r>
      <w:r>
        <w:rPr>
          <w:rFonts w:cs="FrankRuehl"/>
          <w:rtl/>
        </w:rPr>
        <w:t xml:space="preserve">, מעקב אחר הפניית נכה לבדיקות וקבלת התוצאות, העברת תיקים לבית משפט בעת הגשת ערעור על </w:t>
      </w:r>
      <w:r>
        <w:rPr>
          <w:rFonts w:cs="FrankRuehl"/>
          <w:rtl/>
        </w:rPr>
        <w:t>וע"ר</w:t>
      </w:r>
      <w:r>
        <w:rPr>
          <w:rFonts w:cs="FrankRuehl"/>
          <w:rtl/>
        </w:rPr>
        <w:t xml:space="preserve"> עליונה ועוד.</w:t>
      </w:r>
    </w:p>
  </w:footnote>
  <w:footnote w:id="14">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התהליך לקביעת דרגת נכות הוא תהליך מורכב ורב-שלבי, הכולל, בין היתר, את ה</w:t>
      </w:r>
      <w:r>
        <w:rPr>
          <w:rFonts w:cs="FrankRuehl"/>
          <w:rtl/>
        </w:rPr>
        <w:t xml:space="preserve">שלבים הבאים: הגשת התביעה ובחינתה על ידי הגורמים המוסמכים באגף, השלמת תיעוד חסר, ביצוע בדיקות והערכות רפואיות והתכנסויות חוזרות של </w:t>
      </w:r>
      <w:r>
        <w:rPr>
          <w:rFonts w:cs="FrankRuehl"/>
          <w:rtl/>
        </w:rPr>
        <w:t>וע"ר</w:t>
      </w:r>
      <w:r>
        <w:rPr>
          <w:rFonts w:cs="FrankRuehl"/>
          <w:rtl/>
        </w:rPr>
        <w:t xml:space="preserve"> לצורך השלמת מידע חסר.</w:t>
      </w:r>
    </w:p>
  </w:footnote>
  <w:footnote w:id="15">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ב"סיום הכנת תיק </w:t>
      </w:r>
      <w:r>
        <w:rPr>
          <w:rFonts w:cs="FrankRuehl"/>
          <w:rtl/>
        </w:rPr>
        <w:t>לווע"ר</w:t>
      </w:r>
      <w:r>
        <w:rPr>
          <w:rFonts w:cs="FrankRuehl"/>
          <w:rtl/>
        </w:rPr>
        <w:t xml:space="preserve">", הכוונה להשלמת איסוף כל החומר הרפואי הדרוש </w:t>
      </w:r>
      <w:r>
        <w:rPr>
          <w:rFonts w:cs="FrankRuehl"/>
          <w:rtl/>
        </w:rPr>
        <w:t>לווע"ר</w:t>
      </w:r>
      <w:r>
        <w:rPr>
          <w:rFonts w:cs="FrankRuehl"/>
          <w:rtl/>
        </w:rPr>
        <w:t xml:space="preserve"> ולקבלת תוצאות כל הבדיק</w:t>
      </w:r>
      <w:r>
        <w:rPr>
          <w:rFonts w:cs="FrankRuehl"/>
          <w:rtl/>
        </w:rPr>
        <w:t xml:space="preserve">ות הרפואיות שדרש יו"ר </w:t>
      </w:r>
      <w:r>
        <w:rPr>
          <w:rFonts w:cs="FrankRuehl"/>
          <w:rtl/>
        </w:rPr>
        <w:t>הווע"ר</w:t>
      </w:r>
      <w:r>
        <w:rPr>
          <w:rFonts w:cs="FrankRuehl"/>
          <w:rtl/>
        </w:rPr>
        <w:t>.</w:t>
      </w:r>
    </w:p>
  </w:footnote>
  <w:footnote w:id="16">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הנתונים לגבי מספר התביעות שטופלו בכל שנה מתייחסים לתיקים שהטיפול בהם הסתיים בשנה המסוימת ללא קשר לשנה בה החל הטיפול בתביעה.</w:t>
      </w:r>
    </w:p>
  </w:footnote>
  <w:footnote w:id="17">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משך זמן הטיפול הכולל נמדד ממועד הגשת הבקשה על ידי הנכה ועד משלוח הודעה לנכה על דרגת הנכות שקבעה </w:t>
      </w:r>
      <w:r>
        <w:rPr>
          <w:rFonts w:cs="FrankRuehl"/>
          <w:rtl/>
        </w:rPr>
        <w:t xml:space="preserve">לו </w:t>
      </w:r>
      <w:r>
        <w:rPr>
          <w:rFonts w:cs="FrankRuehl"/>
          <w:rtl/>
        </w:rPr>
        <w:t>וע"ר</w:t>
      </w:r>
      <w:r>
        <w:rPr>
          <w:rFonts w:cs="FrankRuehl"/>
          <w:rtl/>
        </w:rPr>
        <w:t>.</w:t>
      </w:r>
    </w:p>
  </w:footnote>
  <w:footnote w:id="18">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בדוחות הסטטיסטיים של האגף פרק הזמן של 8-49 חודשים מחולק לתת תקופות. כיוון שניתוח הנתונים בדוח זה מתייחס למשך הטיפול מעל שבעה חודשים כיחידה אחת, כך הובאו גם הנתונים שבטבלה.</w:t>
      </w:r>
    </w:p>
  </w:footnote>
  <w:footnote w:id="19">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יצוין, כי בהתאם להוראות אגף השיקום, </w:t>
      </w:r>
      <w:r>
        <w:rPr>
          <w:rFonts w:cs="FrankRuehl"/>
          <w:rtl/>
        </w:rPr>
        <w:t>בווע"ר</w:t>
      </w:r>
      <w:r>
        <w:rPr>
          <w:rFonts w:cs="FrankRuehl"/>
          <w:rtl/>
        </w:rPr>
        <w:t xml:space="preserve"> עליונה ניתן אישור הארכה לת</w:t>
      </w:r>
      <w:r>
        <w:rPr>
          <w:rFonts w:cs="FrankRuehl"/>
          <w:rtl/>
        </w:rPr>
        <w:t xml:space="preserve">וספות נימוקי ערעור עד לסך הכולל של 135 יום לעומת 45 יום </w:t>
      </w:r>
      <w:r>
        <w:rPr>
          <w:rFonts w:cs="FrankRuehl"/>
          <w:rtl/>
        </w:rPr>
        <w:t>בווע"ר</w:t>
      </w:r>
      <w:r>
        <w:rPr>
          <w:rFonts w:cs="FrankRuehl"/>
          <w:rtl/>
        </w:rPr>
        <w:t xml:space="preserve"> מחוזית.</w:t>
      </w:r>
    </w:p>
  </w:footnote>
  <w:footnote w:id="20">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בשנים 2003-2005 טופלו בהתאמה 9,175, 8,263 ו-7,685 תביעות.</w:t>
      </w:r>
    </w:p>
  </w:footnote>
  <w:footnote w:id="21">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מ-7,685 תביעות ב-2005 ל-8,288 תביעות ב-2006.</w:t>
      </w:r>
    </w:p>
  </w:footnote>
  <w:footnote w:id="22">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במחוז תל אביב ישנן מספר עובדות מרפאה אשר כל אחת מהן עוסקת בענייני </w:t>
      </w:r>
      <w:r>
        <w:rPr>
          <w:rFonts w:cs="FrankRuehl"/>
          <w:rtl/>
        </w:rPr>
        <w:t>הווע"ר</w:t>
      </w:r>
      <w:r>
        <w:rPr>
          <w:rFonts w:cs="FrankRuehl"/>
          <w:rtl/>
        </w:rPr>
        <w:t xml:space="preserve"> </w:t>
      </w:r>
      <w:r>
        <w:rPr>
          <w:rFonts w:cs="FrankRuehl"/>
          <w:rtl/>
        </w:rPr>
        <w:t>בחלק קטן ממשרתה.</w:t>
      </w:r>
    </w:p>
  </w:footnote>
  <w:footnote w:id="23">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כאמור, </w:t>
      </w:r>
      <w:r>
        <w:rPr>
          <w:rFonts w:cs="FrankRuehl"/>
          <w:rtl/>
        </w:rPr>
        <w:t>וע"ר</w:t>
      </w:r>
      <w:r>
        <w:rPr>
          <w:rFonts w:cs="FrankRuehl"/>
          <w:rtl/>
        </w:rPr>
        <w:t xml:space="preserve"> עליונות נערכות בירושלים, בחיפה (גם עבור לשכת טבריה) ובמטה, כאשר המטה מרכז </w:t>
      </w:r>
      <w:r>
        <w:rPr>
          <w:rFonts w:cs="FrankRuehl"/>
          <w:rtl/>
        </w:rPr>
        <w:t>וע"ר</w:t>
      </w:r>
      <w:r>
        <w:rPr>
          <w:rFonts w:cs="FrankRuehl"/>
          <w:rtl/>
        </w:rPr>
        <w:t xml:space="preserve"> עליונות עבור לשכות תל אביב, דן, רחובות, נתניה ובאר שבע.</w:t>
      </w:r>
    </w:p>
  </w:footnote>
  <w:footnote w:id="24">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התיקים מגיעים </w:t>
      </w:r>
      <w:r>
        <w:rPr>
          <w:rFonts w:cs="FrankRuehl"/>
          <w:rtl/>
        </w:rPr>
        <w:t>למינהלה</w:t>
      </w:r>
      <w:r>
        <w:rPr>
          <w:rFonts w:cs="FrankRuehl"/>
          <w:rtl/>
        </w:rPr>
        <w:t xml:space="preserve"> הרפואית מהלשכות השונות.</w:t>
      </w:r>
    </w:p>
  </w:footnote>
  <w:footnote w:id="25">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וע"ר</w:t>
      </w:r>
      <w:r>
        <w:rPr>
          <w:rFonts w:cs="FrankRuehl"/>
          <w:rtl/>
        </w:rPr>
        <w:t xml:space="preserve"> הדנה בדרגת נכות זמנית שפג תוקפה </w:t>
      </w:r>
      <w:r>
        <w:rPr>
          <w:rFonts w:cs="FrankRuehl"/>
          <w:rtl/>
        </w:rPr>
        <w:t>או בנכות מוכרת שהחמירה.</w:t>
      </w:r>
    </w:p>
  </w:footnote>
  <w:footnote w:id="26">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תלונתו של נכה ה' נבדקה על ידי נציבות תלונות הציבור במשרד מבקר המדינה.</w:t>
      </w:r>
    </w:p>
  </w:footnote>
  <w:footnote w:id="27">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סעיף 11.421.</w:t>
      </w:r>
    </w:p>
  </w:footnote>
  <w:footnote w:id="28">
    <w:p w:rsidR="00000000">
      <w:pPr>
        <w:pStyle w:val="FootnoteText"/>
        <w:keepLines/>
        <w:widowControl/>
        <w:spacing w:line="200" w:lineRule="exact"/>
        <w:ind w:left="397" w:hanging="397"/>
        <w:rPr>
          <w:rFonts w:cs="FrankRuehl" w:hint="cs"/>
          <w:rtl/>
        </w:rPr>
      </w:pPr>
      <w:r>
        <w:rPr>
          <w:rStyle w:val="FootnoteReference"/>
          <w:rFonts w:cs="FrankRuehl"/>
        </w:rPr>
        <w:footnoteRef/>
      </w:r>
      <w:r>
        <w:rPr>
          <w:rFonts w:cs="FrankRuehl"/>
          <w:rtl/>
        </w:rPr>
        <w:t xml:space="preserve"> </w:t>
      </w:r>
      <w:r>
        <w:rPr>
          <w:rFonts w:cs="FrankRuehl" w:hint="cs"/>
          <w:rtl/>
        </w:rPr>
        <w:tab/>
      </w:r>
      <w:r>
        <w:rPr>
          <w:rFonts w:cs="FrankRuehl"/>
          <w:rtl/>
        </w:rPr>
        <w:t xml:space="preserve">עד דרגה 20 בדירוג </w:t>
      </w:r>
      <w:r>
        <w:rPr>
          <w:rFonts w:cs="FrankRuehl"/>
          <w:rtl/>
        </w:rPr>
        <w:t>המינהלי</w:t>
      </w:r>
      <w:r>
        <w:rPr>
          <w:rFonts w:cs="FrankRuehl"/>
          <w:rtl/>
        </w:rPr>
        <w:t xml:space="preserve"> או עד דרגה 41 בדירוג האקדמאי.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586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577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577</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20"/>
    <w:rsid w:val="001C2820"/>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740E48-C4BE-4BCA-8F3D-63678E8830F1}"/>
</file>

<file path=customXml/itemProps2.xml><?xml version="1.0" encoding="utf-8"?>
<ds:datastoreItem xmlns:ds="http://schemas.openxmlformats.org/officeDocument/2006/customXml" ds:itemID="{3E88172E-622A-4DA5-847B-649CD2B79BD2}"/>
</file>

<file path=customXml/itemProps3.xml><?xml version="1.0" encoding="utf-8"?>
<ds:datastoreItem xmlns:ds="http://schemas.openxmlformats.org/officeDocument/2006/customXml" ds:itemID="{C51B09DC-017E-4C21-91E1-A63208B7109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