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000000">
      <w:pPr>
        <w:pStyle w:val="NAME"/>
        <w:rPr>
          <w:rFonts w:hint="cs"/>
          <w:sz w:val="32"/>
          <w:rtl/>
        </w:rPr>
      </w:pPr>
      <w:bookmarkStart w:id="0" w:name="_GoBack"/>
      <w:bookmarkEnd w:id="0"/>
      <w:r>
        <w:rPr>
          <w:rFonts w:hint="cs"/>
          <w:sz w:val="32"/>
          <w:rtl/>
        </w:rPr>
        <w:t>משרד הפנים</w:t>
      </w:r>
    </w:p>
    <w:p w:rsidR="00000000">
      <w:pPr>
        <w:spacing w:after="120" w:line="230" w:lineRule="exact"/>
        <w:rPr>
          <w:rFonts w:hint="cs"/>
          <w:szCs w:val="22"/>
          <w:rtl/>
        </w:rPr>
      </w:pPr>
    </w:p>
    <w:p w:rsidR="00000000">
      <w:pPr>
        <w:spacing w:after="120" w:line="230" w:lineRule="exact"/>
        <w:rPr>
          <w:rFonts w:hint="cs"/>
          <w:szCs w:val="22"/>
          <w:rtl/>
        </w:rPr>
      </w:pPr>
    </w:p>
    <w:p w:rsidR="00000000">
      <w:pPr>
        <w:pStyle w:val="KOT3A"/>
        <w:rPr>
          <w:rtl/>
        </w:rPr>
      </w:pPr>
      <w:r>
        <w:rPr>
          <w:rFonts w:hint="cs"/>
          <w:rtl/>
        </w:rPr>
        <w:t>פעולות הביקורת</w:t>
      </w:r>
    </w:p>
    <w:p w:rsidR="00000000">
      <w:pPr>
        <w:pStyle w:val="PATIAH"/>
        <w:rPr>
          <w:rFonts w:hint="cs"/>
          <w:rtl/>
        </w:rPr>
      </w:pPr>
      <w:r>
        <w:rPr>
          <w:rFonts w:hint="cs"/>
          <w:rtl/>
        </w:rPr>
        <w:t>במסגרת בדיקה מערכתית נבדק הטיפול במבקשי מקלט מדיני בישראל. במינהל האוכלוסין נבדקו ההסדרים שנקבעו לטיפול במבקשי מקלט מדיני ויישומם, ובכלל זה הטיפול במבקשי מקלט שהסתננו לישראל מגבול מצרים (ראו עמ' 97).</w:t>
      </w:r>
    </w:p>
    <w:p w:rsidR="00000000">
      <w:pPr>
        <w:pStyle w:val="PATIAH"/>
        <w:rPr>
          <w:rFonts w:hint="cs"/>
          <w:rtl/>
        </w:rPr>
      </w:pPr>
      <w:r>
        <w:rPr>
          <w:rtl/>
        </w:rPr>
        <w:t xml:space="preserve">במינהל לתכנון, תקצוב ופיתוח </w:t>
      </w:r>
      <w:r>
        <w:rPr>
          <w:rtl/>
        </w:rPr>
        <w:t xml:space="preserve">של משרד הפנים </w:t>
      </w:r>
      <w:r>
        <w:rPr>
          <w:rFonts w:hint="cs"/>
          <w:rtl/>
        </w:rPr>
        <w:t>ו</w:t>
      </w:r>
      <w:r>
        <w:rPr>
          <w:rtl/>
        </w:rPr>
        <w:t>בחשבות המשרד</w:t>
      </w:r>
      <w:r>
        <w:rPr>
          <w:rFonts w:hint="cs"/>
          <w:rtl/>
        </w:rPr>
        <w:t xml:space="preserve"> נבדקו הקצאת מענקי האיזון לרשויות המקומיות, יישום המלצות ועדת גדיש ומידת </w:t>
      </w:r>
      <w:r>
        <w:rPr>
          <w:rFonts w:hint="cs"/>
          <w:spacing w:val="-2"/>
          <w:rtl/>
        </w:rPr>
        <w:t xml:space="preserve">השוויון בחלוקת המענקים בין הרשויות. בדיקת השלמה נעשתה </w:t>
      </w:r>
      <w:r>
        <w:rPr>
          <w:spacing w:val="-2"/>
          <w:rtl/>
        </w:rPr>
        <w:t>באגף התקציבים</w:t>
      </w:r>
      <w:r>
        <w:rPr>
          <w:rtl/>
        </w:rPr>
        <w:t xml:space="preserve"> שבמשרד האוצר.</w:t>
      </w:r>
    </w:p>
    <w:p w:rsidR="00000000">
      <w:pPr>
        <w:rPr>
          <w:rFonts w:hint="cs"/>
          <w:rtl/>
        </w:rPr>
      </w:pPr>
    </w:p>
    <w:p w:rsidR="00000000">
      <w:pPr>
        <w:pStyle w:val="KOT1"/>
        <w:rPr>
          <w:rFonts w:hint="cs"/>
          <w:rtl/>
        </w:rPr>
      </w:pPr>
      <w:r>
        <w:rPr>
          <w:rFonts w:hint="cs"/>
          <w:rtl/>
        </w:rPr>
        <w:t>הקצאת מענקי איזון לרשויות המקומיות</w:t>
      </w:r>
    </w:p>
    <w:p w:rsidR="00000000">
      <w:pPr>
        <w:pStyle w:val="KOT3A"/>
        <w:rPr>
          <w:rFonts w:hint="cs"/>
          <w:spacing w:val="0"/>
          <w:rtl/>
        </w:rPr>
      </w:pPr>
      <w:r>
        <w:rPr>
          <w:rFonts w:hint="cs"/>
          <w:spacing w:val="0"/>
          <w:rtl/>
        </w:rPr>
        <w:t>תקציר</w:t>
      </w:r>
    </w:p>
    <w:p w:rsidR="00000000">
      <w:pPr>
        <w:pStyle w:val="takzir"/>
        <w:rPr>
          <w:rFonts w:hint="cs"/>
          <w:rtl/>
        </w:rPr>
      </w:pPr>
      <w:r>
        <w:rPr>
          <w:rtl/>
        </w:rPr>
        <w:t>מש</w:t>
      </w:r>
      <w:r>
        <w:rPr>
          <w:rFonts w:hint="cs"/>
          <w:rtl/>
        </w:rPr>
        <w:t xml:space="preserve">רד הפנים מופקד מטעם הממשלה על </w:t>
      </w:r>
      <w:r>
        <w:rPr>
          <w:rFonts w:hint="cs"/>
          <w:rtl/>
        </w:rPr>
        <w:t>השלטון המקומי. הממשלה נותנת באמצעותו לרוב הרשויות המקומיות מענק כללי (להלן - מענק האיזון או המענק). המענק ניתן לרשויות לפי מבחנים מסוימים, והוא נועד לאפשר להן לספק לתושביהן שירותים מוניציפליי</w:t>
      </w:r>
      <w:r>
        <w:rPr>
          <w:rFonts w:hint="eastAsia"/>
          <w:rtl/>
        </w:rPr>
        <w:t>ם</w:t>
      </w:r>
      <w:r>
        <w:rPr>
          <w:rFonts w:hint="cs"/>
          <w:rtl/>
        </w:rPr>
        <w:t xml:space="preserve"> ברמה מינימלית נאותה</w:t>
      </w:r>
      <w:r>
        <w:rPr>
          <w:rStyle w:val="FootnoteReference"/>
          <w:rtl/>
        </w:rPr>
        <w:footnoteReference w:id="2"/>
      </w:r>
      <w:r>
        <w:rPr>
          <w:rFonts w:hint="cs"/>
          <w:rtl/>
        </w:rPr>
        <w:t>. בשנים 2004-2007 הסתכם התקציב השנתי של מענ</w:t>
      </w:r>
      <w:r>
        <w:rPr>
          <w:rFonts w:hint="cs"/>
          <w:rtl/>
        </w:rPr>
        <w:t>ק האיזון בכ-2.5 מיליארד ש</w:t>
      </w:r>
      <w:r>
        <w:rPr>
          <w:rtl/>
        </w:rPr>
        <w:t>"</w:t>
      </w:r>
      <w:r>
        <w:rPr>
          <w:rFonts w:hint="cs"/>
          <w:rtl/>
        </w:rPr>
        <w:t>ח. בשנת 2007 קיבלו מענקי איזון 231 מ-252 הרשויות המקומיות בארץ.</w:t>
      </w:r>
    </w:p>
    <w:p w:rsidR="00000000">
      <w:pPr>
        <w:pStyle w:val="takzir"/>
        <w:rPr>
          <w:rFonts w:hint="cs"/>
          <w:rtl/>
        </w:rPr>
      </w:pPr>
      <w:r>
        <w:rPr>
          <w:rFonts w:hint="cs"/>
          <w:rtl/>
        </w:rPr>
        <w:t xml:space="preserve">מענקי האיזון נקבעו במשך השנים בשיטות שונות. </w:t>
      </w:r>
      <w:r>
        <w:rPr>
          <w:rFonts w:hint="eastAsia"/>
          <w:rtl/>
        </w:rPr>
        <w:t>בפברואר</w:t>
      </w:r>
      <w:r>
        <w:rPr>
          <w:rtl/>
        </w:rPr>
        <w:t xml:space="preserve"> 2000 מינה שר הפנים דאז</w:t>
      </w:r>
      <w:r>
        <w:rPr>
          <w:rFonts w:hint="cs"/>
          <w:rtl/>
        </w:rPr>
        <w:t>,</w:t>
      </w:r>
      <w:r>
        <w:rPr>
          <w:rtl/>
        </w:rPr>
        <w:t xml:space="preserve"> </w:t>
      </w:r>
      <w:r>
        <w:rPr>
          <w:rFonts w:hint="cs"/>
          <w:rtl/>
        </w:rPr>
        <w:t xml:space="preserve">מר נתן שרנסקי, </w:t>
      </w:r>
      <w:r>
        <w:rPr>
          <w:rtl/>
        </w:rPr>
        <w:t xml:space="preserve">ועדה </w:t>
      </w:r>
      <w:r>
        <w:rPr>
          <w:rFonts w:hint="cs"/>
          <w:rtl/>
        </w:rPr>
        <w:t xml:space="preserve">שתפקידה לבחון ולשפר את </w:t>
      </w:r>
      <w:r>
        <w:rPr>
          <w:rtl/>
        </w:rPr>
        <w:t>הקריטריונים להקצאת מענקי האיזון לרשויות המקומיו</w:t>
      </w:r>
      <w:r>
        <w:rPr>
          <w:rtl/>
        </w:rPr>
        <w:t>ת (</w:t>
      </w:r>
      <w:r>
        <w:rPr>
          <w:rFonts w:hint="cs"/>
          <w:rtl/>
        </w:rPr>
        <w:t xml:space="preserve">להלן - </w:t>
      </w:r>
      <w:r>
        <w:rPr>
          <w:rtl/>
        </w:rPr>
        <w:t>ועדת גדיש)</w:t>
      </w:r>
      <w:r>
        <w:rPr>
          <w:rFonts w:hint="cs"/>
          <w:rtl/>
        </w:rPr>
        <w:t>, ובספטמבר 2001 הגישה הוועדה את המלצותיה לשר הפנים דאז,</w:t>
      </w:r>
      <w:r>
        <w:rPr>
          <w:rtl/>
        </w:rPr>
        <w:t xml:space="preserve"> </w:t>
      </w:r>
      <w:r>
        <w:rPr>
          <w:rFonts w:hint="cs"/>
          <w:rtl/>
        </w:rPr>
        <w:t xml:space="preserve">מר אלי ישי (להלן - נוסחת גדיש או המלצות ועדת גדיש). </w:t>
      </w:r>
      <w:r>
        <w:rPr>
          <w:rtl/>
        </w:rPr>
        <w:t>במר</w:t>
      </w:r>
      <w:r>
        <w:rPr>
          <w:rFonts w:hint="cs"/>
          <w:rtl/>
        </w:rPr>
        <w:t>ס</w:t>
      </w:r>
      <w:r>
        <w:rPr>
          <w:rtl/>
        </w:rPr>
        <w:t xml:space="preserve"> 2003 </w:t>
      </w:r>
      <w:r>
        <w:rPr>
          <w:rFonts w:hint="cs"/>
          <w:rtl/>
        </w:rPr>
        <w:t xml:space="preserve">אימצה </w:t>
      </w:r>
      <w:r>
        <w:rPr>
          <w:rtl/>
        </w:rPr>
        <w:t xml:space="preserve">הממשלה את </w:t>
      </w:r>
      <w:r>
        <w:rPr>
          <w:rFonts w:hint="cs"/>
          <w:rtl/>
        </w:rPr>
        <w:t>המלצות הוועדה, ומשנת 2004 החל משרד הפנים להקצות על פיהן את מענק האיזון.</w:t>
      </w:r>
    </w:p>
    <w:p w:rsidR="00000000">
      <w:pPr>
        <w:pStyle w:val="takzir"/>
        <w:rPr>
          <w:rFonts w:hint="cs"/>
          <w:rtl/>
        </w:rPr>
      </w:pPr>
    </w:p>
    <w:p w:rsidR="00000000">
      <w:pPr>
        <w:pStyle w:val="KOT4"/>
        <w:rPr>
          <w:rFonts w:hint="cs"/>
          <w:rtl/>
        </w:rPr>
      </w:pPr>
      <w:r>
        <w:rPr>
          <w:rFonts w:hint="cs"/>
          <w:rtl/>
        </w:rPr>
        <w:t>פעולות הביקורת</w:t>
      </w:r>
    </w:p>
    <w:p w:rsidR="00000000">
      <w:pPr>
        <w:pStyle w:val="takzir"/>
        <w:rPr>
          <w:rFonts w:hint="cs"/>
          <w:rtl/>
        </w:rPr>
      </w:pPr>
      <w:r>
        <w:rPr>
          <w:rFonts w:hint="cs"/>
          <w:rtl/>
        </w:rPr>
        <w:t>בחודשים מרס-או</w:t>
      </w:r>
      <w:r>
        <w:rPr>
          <w:rFonts w:hint="cs"/>
          <w:rtl/>
        </w:rPr>
        <w:t xml:space="preserve">גוסט 2007 בדק משרד מבקר המדינה כיצד מקצה משרד הפנים את מענקי האיזון לרשויות המקומיות. נבדקו, בין היתר, אופן יישומן של המלצות ועדת גדיש ומידת השוויון בחלוקת מענקי האיזון בין הרשויות המקומיות במגזרים השונים. הבדיקה נעשתה </w:t>
      </w:r>
      <w:r>
        <w:rPr>
          <w:rtl/>
        </w:rPr>
        <w:t>במינהל לתכנון, תקצוב ופיתוח של משרד ה</w:t>
      </w:r>
      <w:r>
        <w:rPr>
          <w:rtl/>
        </w:rPr>
        <w:t xml:space="preserve">פנים </w:t>
      </w:r>
      <w:r>
        <w:rPr>
          <w:rFonts w:hint="cs"/>
          <w:rtl/>
        </w:rPr>
        <w:t>ו</w:t>
      </w:r>
      <w:r>
        <w:rPr>
          <w:rtl/>
        </w:rPr>
        <w:t>בחשבות המשרד</w:t>
      </w:r>
      <w:r>
        <w:rPr>
          <w:rFonts w:hint="cs"/>
          <w:rtl/>
        </w:rPr>
        <w:t xml:space="preserve">. בדיקת השלמה נעשתה </w:t>
      </w:r>
      <w:r>
        <w:rPr>
          <w:rtl/>
        </w:rPr>
        <w:t>באגף התקציבים שבמשרד האוצר.</w:t>
      </w:r>
    </w:p>
    <w:p w:rsidR="00000000">
      <w:pPr>
        <w:pStyle w:val="takzir"/>
        <w:rPr>
          <w:rFonts w:hint="cs"/>
          <w:rtl/>
        </w:rPr>
      </w:pPr>
    </w:p>
    <w:p w:rsidR="00000000">
      <w:pPr>
        <w:pStyle w:val="KOT4"/>
        <w:rPr>
          <w:rFonts w:hint="cs"/>
          <w:rtl/>
        </w:rPr>
      </w:pPr>
      <w:bookmarkStart w:id="1" w:name="_Toc182212139"/>
      <w:r>
        <w:rPr>
          <w:rFonts w:hint="cs"/>
          <w:rtl/>
        </w:rPr>
        <w:t>עיקרי הממצאים</w:t>
      </w:r>
    </w:p>
    <w:p w:rsidR="00000000">
      <w:pPr>
        <w:pStyle w:val="takzir"/>
        <w:rPr>
          <w:rFonts w:hint="cs"/>
          <w:rtl/>
        </w:rPr>
      </w:pPr>
      <w:r>
        <w:rPr>
          <w:rStyle w:val="7"/>
          <w:rFonts w:hint="cs"/>
          <w:spacing w:val="0"/>
          <w:szCs w:val="22"/>
          <w:rtl/>
        </w:rPr>
        <w:t>1.</w:t>
      </w:r>
      <w:r>
        <w:rPr>
          <w:rStyle w:val="7"/>
          <w:rFonts w:hint="cs"/>
          <w:szCs w:val="22"/>
          <w:rtl/>
        </w:rPr>
        <w:tab/>
        <w:t>פערים בין מענקי האיזון</w:t>
      </w:r>
      <w:bookmarkEnd w:id="1"/>
      <w:r>
        <w:rPr>
          <w:rStyle w:val="53"/>
          <w:rFonts w:hint="cs"/>
          <w:szCs w:val="22"/>
          <w:rtl/>
        </w:rPr>
        <w:t xml:space="preserve"> המוקצים לרשויות במגזרים השונים</w:t>
      </w:r>
      <w:r>
        <w:rPr>
          <w:rStyle w:val="53"/>
          <w:szCs w:val="22"/>
          <w:rtl/>
        </w:rPr>
        <w:t>:</w:t>
      </w:r>
      <w:r>
        <w:rPr>
          <w:rFonts w:hint="cs"/>
          <w:rtl/>
        </w:rPr>
        <w:t xml:space="preserve"> בעבר היה פער ניכר לטובת המגזר היהודי בין מענקי האיזון שהוקצו במשך השנים לרשויות מקומיות במגזר זה ובין מענקי האיזון שה</w:t>
      </w:r>
      <w:r>
        <w:rPr>
          <w:rFonts w:hint="cs"/>
          <w:rtl/>
        </w:rPr>
        <w:t xml:space="preserve">וקצו לרשויות במגזרי המיעוטים. בדיון שהתקיים בדצמבר 1999 בין נציגים ממשרדי ראש הממשלה, האוצר והפנים ובין נציגי </w:t>
      </w:r>
      <w:r>
        <w:rPr>
          <w:rtl/>
        </w:rPr>
        <w:t>הרשויות המקומיות במגזר הערבי</w:t>
      </w:r>
      <w:r>
        <w:rPr>
          <w:rFonts w:hint="cs"/>
          <w:rtl/>
        </w:rPr>
        <w:t xml:space="preserve"> הוחלט, בין היתר, להשוות בהדרגה, עד שנת 2003,</w:t>
      </w:r>
      <w:r>
        <w:rPr>
          <w:rtl/>
        </w:rPr>
        <w:t xml:space="preserve"> </w:t>
      </w:r>
      <w:r>
        <w:rPr>
          <w:rFonts w:hint="cs"/>
          <w:rtl/>
        </w:rPr>
        <w:t>את</w:t>
      </w:r>
      <w:r>
        <w:rPr>
          <w:rtl/>
        </w:rPr>
        <w:t xml:space="preserve"> שיעור</w:t>
      </w:r>
      <w:r>
        <w:rPr>
          <w:rFonts w:hint="cs"/>
          <w:rtl/>
        </w:rPr>
        <w:t>י</w:t>
      </w:r>
      <w:r>
        <w:rPr>
          <w:rtl/>
        </w:rPr>
        <w:t xml:space="preserve"> מענק האיזון</w:t>
      </w:r>
      <w:r>
        <w:rPr>
          <w:rStyle w:val="FootnoteReference"/>
          <w:rtl/>
        </w:rPr>
        <w:footnoteReference w:id="3"/>
      </w:r>
      <w:r>
        <w:rPr>
          <w:rtl/>
        </w:rPr>
        <w:t xml:space="preserve"> </w:t>
      </w:r>
      <w:r>
        <w:rPr>
          <w:rFonts w:hint="cs"/>
          <w:rtl/>
        </w:rPr>
        <w:t>ל</w:t>
      </w:r>
      <w:r>
        <w:rPr>
          <w:rtl/>
        </w:rPr>
        <w:t xml:space="preserve">רשויות </w:t>
      </w:r>
      <w:r>
        <w:rPr>
          <w:rFonts w:hint="cs"/>
          <w:rtl/>
        </w:rPr>
        <w:t>ב</w:t>
      </w:r>
      <w:r>
        <w:rPr>
          <w:rtl/>
        </w:rPr>
        <w:t xml:space="preserve">מגזר הערבי </w:t>
      </w:r>
      <w:r>
        <w:rPr>
          <w:rFonts w:hint="cs"/>
          <w:rtl/>
        </w:rPr>
        <w:t>לשיעורי מענק האיזון ל</w:t>
      </w:r>
      <w:r>
        <w:rPr>
          <w:rtl/>
        </w:rPr>
        <w:t xml:space="preserve">רשויות </w:t>
      </w:r>
      <w:r>
        <w:rPr>
          <w:rFonts w:hint="cs"/>
          <w:rtl/>
        </w:rPr>
        <w:t>ב</w:t>
      </w:r>
      <w:r>
        <w:rPr>
          <w:rtl/>
        </w:rPr>
        <w:t>מגזר היהודי</w:t>
      </w:r>
      <w:r>
        <w:rPr>
          <w:rFonts w:hint="cs"/>
          <w:rtl/>
        </w:rPr>
        <w:t>.</w:t>
      </w:r>
      <w:r>
        <w:rPr>
          <w:rtl/>
        </w:rPr>
        <w:t xml:space="preserve"> </w:t>
      </w:r>
      <w:r>
        <w:rPr>
          <w:rFonts w:hint="eastAsia"/>
          <w:rtl/>
        </w:rPr>
        <w:t>‏</w:t>
      </w:r>
      <w:r>
        <w:rPr>
          <w:rtl/>
        </w:rPr>
        <w:t>במר</w:t>
      </w:r>
      <w:r>
        <w:rPr>
          <w:rFonts w:hint="cs"/>
          <w:rtl/>
        </w:rPr>
        <w:t>ס</w:t>
      </w:r>
      <w:r>
        <w:rPr>
          <w:rtl/>
        </w:rPr>
        <w:t xml:space="preserve"> 2005 הודיע שר הפנים דאז, מר אופיר פינס</w:t>
      </w:r>
      <w:r>
        <w:rPr>
          <w:rFonts w:hint="cs"/>
          <w:rtl/>
        </w:rPr>
        <w:t>, בפגישה עם נציגי המרכז לזכויות האזרחים הערבים בישראל כי משרד הפנים פועל "לקביעת מענקי האיזון שיש בהם שוויון מוחלט בין הרשויות הערביות לשאר הרשויות במדינה"; ו</w:t>
      </w:r>
      <w:r>
        <w:rPr>
          <w:rtl/>
        </w:rPr>
        <w:t xml:space="preserve">בתחילת </w:t>
      </w:r>
      <w:r>
        <w:rPr>
          <w:rFonts w:hint="cs"/>
          <w:rtl/>
        </w:rPr>
        <w:t xml:space="preserve">שנת </w:t>
      </w:r>
      <w:r>
        <w:rPr>
          <w:rtl/>
        </w:rPr>
        <w:t>2006 הודיע משרד הפנים</w:t>
      </w:r>
      <w:r>
        <w:rPr>
          <w:rFonts w:hint="cs"/>
          <w:rtl/>
        </w:rPr>
        <w:t xml:space="preserve"> לוועד רא</w:t>
      </w:r>
      <w:r>
        <w:rPr>
          <w:rFonts w:hint="cs"/>
          <w:rtl/>
        </w:rPr>
        <w:t>שי הרשויות הערביות שיעשה מהלך מדורג להקצאה שוויונית של מענק האיזון בין כלל המגזרים, מהלך שיסתיים ביוני 2007. ואולם בפועל, כפי שיתואר להלן, לא הושג השוויון המבוקש.</w:t>
      </w:r>
    </w:p>
    <w:p w:rsidR="00000000">
      <w:pPr>
        <w:pStyle w:val="takzir"/>
        <w:rPr>
          <w:rFonts w:hint="cs"/>
          <w:rtl/>
        </w:rPr>
      </w:pPr>
      <w:r>
        <w:rPr>
          <w:rFonts w:hint="cs"/>
          <w:rtl/>
        </w:rPr>
        <w:t>משרד מבקר המדינה בדק אם ההקצאה של מענקי האיזון בשנים 2004-2007 הביאה לצמצום הפערים בין שיעורי</w:t>
      </w:r>
      <w:r>
        <w:rPr>
          <w:rFonts w:hint="cs"/>
          <w:rtl/>
        </w:rPr>
        <w:t xml:space="preserve"> ההקצאה</w:t>
      </w:r>
      <w:r>
        <w:rPr>
          <w:rStyle w:val="FootnoteReference"/>
          <w:rtl/>
        </w:rPr>
        <w:footnoteReference w:id="4"/>
      </w:r>
      <w:r>
        <w:rPr>
          <w:rFonts w:hint="cs"/>
          <w:rtl/>
        </w:rPr>
        <w:t xml:space="preserve"> של מענקי האיזון המוקצים למגזר היהודי לבין שיעורי ההקצאה של מענקי האיזון המוקצים למגזרי המיעוטים. נבדקו, בין היתר, שיעורי ההקצאה של מענקי האיזון לקבוצת יישובים בעלי מאפיינים דומים: עיריות ומועצות מקומיות באשכולות החברתיים-כלכליים 1-4</w:t>
      </w:r>
      <w:r>
        <w:rPr>
          <w:rStyle w:val="FootnoteReference"/>
          <w:rtl/>
        </w:rPr>
        <w:footnoteReference w:id="5"/>
      </w:r>
      <w:r>
        <w:rPr>
          <w:rFonts w:hint="cs"/>
          <w:rtl/>
        </w:rPr>
        <w:t xml:space="preserve"> המונות עד 50,</w:t>
      </w:r>
      <w:r>
        <w:rPr>
          <w:rFonts w:hint="cs"/>
          <w:rtl/>
        </w:rPr>
        <w:t>000 תושבים</w:t>
      </w:r>
      <w:r>
        <w:rPr>
          <w:rStyle w:val="FootnoteReference"/>
          <w:rtl/>
        </w:rPr>
        <w:footnoteReference w:id="6"/>
      </w:r>
      <w:r>
        <w:rPr>
          <w:rFonts w:hint="cs"/>
          <w:rtl/>
        </w:rPr>
        <w:t xml:space="preserve"> (להלן - קבוצת היישובים הדומים).</w:t>
      </w:r>
    </w:p>
    <w:p w:rsidR="00000000">
      <w:pPr>
        <w:pStyle w:val="takzir"/>
        <w:rPr>
          <w:rFonts w:hint="cs"/>
          <w:rtl/>
        </w:rPr>
      </w:pPr>
      <w:r>
        <w:rPr>
          <w:rFonts w:hint="cs"/>
          <w:rtl/>
        </w:rPr>
        <w:t xml:space="preserve">השוואה בין שיעורי ההקצאה של מענקי האיזון למגזרים השונים בקבוצת היישובים הדומים העלתה כי בשנים 2004-2007 היו שיעורי ההקצאה ליישובים במגזרי המיעוטים נמוכים משיעורי ההקצאה ליישובים במגזר היהודי: לדוגמה, בשנת 2004 </w:t>
      </w:r>
      <w:r>
        <w:rPr>
          <w:rFonts w:hint="cs"/>
          <w:rtl/>
        </w:rPr>
        <w:t>הי</w:t>
      </w:r>
      <w:r>
        <w:rPr>
          <w:rFonts w:hint="cs"/>
          <w:rtl/>
        </w:rPr>
        <w:t>ה שיעור ההקצאה למגזר היהודי בקבוצת היישובים הדומים כ-76% ולמגזרי המיעוטים בקבוצת היישובים הדומים כ-66% בלבד; ובשנת 2007 היה שיעור ההקצאה למגזר היהודי כ-86% ולמגזרי המיעוטים כ-81% בלבד. יצוין כי בשנים 2004-2006 גדל היקף מענקי האיזון שהוקצו לרשויות המקומיות,</w:t>
      </w:r>
      <w:r>
        <w:rPr>
          <w:rFonts w:hint="cs"/>
          <w:rtl/>
        </w:rPr>
        <w:t xml:space="preserve"> אך בשנת 2007 פחת היקפם</w:t>
      </w:r>
      <w:r>
        <w:rPr>
          <w:rStyle w:val="FootnoteReference"/>
          <w:rtl/>
        </w:rPr>
        <w:footnoteReference w:id="7"/>
      </w:r>
      <w:r>
        <w:rPr>
          <w:rFonts w:hint="cs"/>
          <w:rtl/>
        </w:rPr>
        <w:t>.</w:t>
      </w:r>
    </w:p>
    <w:p w:rsidR="00000000">
      <w:pPr>
        <w:pStyle w:val="takzir"/>
        <w:rPr>
          <w:rFonts w:hint="cs"/>
          <w:rtl/>
        </w:rPr>
      </w:pPr>
      <w:r>
        <w:rPr>
          <w:rFonts w:hint="cs"/>
          <w:rtl/>
        </w:rPr>
        <w:t>מהאמור לעיל עולה כי בשנים 2004-2007 אמנם גדלו שיעור ההקצאה למגזרי המיעוטים ושיעור ההקצאה למגזר היהודי, והפער ביניהם צומצם מ-13% בשנת 2004 ל-6% בשנת 2007</w:t>
      </w:r>
      <w:r>
        <w:rPr>
          <w:rStyle w:val="FootnoteReference"/>
          <w:rtl/>
        </w:rPr>
        <w:footnoteReference w:id="8"/>
      </w:r>
      <w:r>
        <w:rPr>
          <w:rFonts w:hint="cs"/>
          <w:rtl/>
        </w:rPr>
        <w:t>, ואולם משרד הפנים טרם מילא את התחייבותו להשוות את שיעורי ההקצאה למגזרים השונ</w:t>
      </w:r>
      <w:r>
        <w:rPr>
          <w:rFonts w:hint="cs"/>
          <w:rtl/>
        </w:rPr>
        <w:t>ים.</w:t>
      </w:r>
    </w:p>
    <w:p w:rsidR="00000000">
      <w:pPr>
        <w:pStyle w:val="takzir"/>
        <w:rPr>
          <w:rFonts w:hint="cs"/>
          <w:rtl/>
        </w:rPr>
      </w:pPr>
      <w:r>
        <w:rPr>
          <w:rFonts w:hint="cs"/>
          <w:rtl/>
        </w:rPr>
        <w:t>חישוב שעשה משרד מבקר המדינה העלה כי הערך הכספי של הפער בקבוצת היישובים הדומים בין שיעורי ההקצאה ליישובי המיעוטים ובין שיעורי ההקצאה ליישובים היהודיים הסתכם בשנים 2004-2007 בכ-308 מיליון ש"ח.</w:t>
      </w:r>
    </w:p>
    <w:p w:rsidR="00000000">
      <w:pPr>
        <w:pStyle w:val="takzir"/>
        <w:rPr>
          <w:rFonts w:hint="cs"/>
          <w:rtl/>
        </w:rPr>
      </w:pPr>
      <w:r>
        <w:rPr>
          <w:rFonts w:hint="cs"/>
          <w:rtl/>
        </w:rPr>
        <w:t>2.</w:t>
      </w:r>
      <w:r>
        <w:rPr>
          <w:rStyle w:val="7"/>
          <w:rFonts w:hint="cs"/>
          <w:szCs w:val="22"/>
          <w:rtl/>
        </w:rPr>
        <w:tab/>
        <w:t>אופן הקצאת מענקי האיזון</w:t>
      </w:r>
      <w:r>
        <w:rPr>
          <w:rStyle w:val="7"/>
          <w:szCs w:val="22"/>
          <w:rtl/>
        </w:rPr>
        <w:t>:</w:t>
      </w:r>
      <w:r>
        <w:rPr>
          <w:rStyle w:val="7"/>
          <w:rFonts w:hint="cs"/>
          <w:szCs w:val="22"/>
          <w:rtl/>
        </w:rPr>
        <w:t xml:space="preserve"> </w:t>
      </w:r>
      <w:r>
        <w:rPr>
          <w:rFonts w:hint="cs"/>
          <w:rtl/>
        </w:rPr>
        <w:t>מאחר שיכולתן של הרשויות המקומית ל</w:t>
      </w:r>
      <w:r>
        <w:rPr>
          <w:rFonts w:hint="cs"/>
          <w:rtl/>
        </w:rPr>
        <w:t xml:space="preserve">ספק לתושביהן שירותים ברמה מינימלית נאותה תלויה במידה רבה במצבן החברתי-כלכלי, המליצה ועדת </w:t>
      </w:r>
      <w:r>
        <w:rPr>
          <w:rtl/>
        </w:rPr>
        <w:t>גדיש</w:t>
      </w:r>
      <w:r>
        <w:rPr>
          <w:rFonts w:hint="cs"/>
          <w:rtl/>
        </w:rPr>
        <w:t xml:space="preserve"> בין היתר לתת משקל רב למצבה החברתי-כלכלי של הרשות המקומית בחישוב מענק האיזון שייקבע לה.</w:t>
      </w:r>
    </w:p>
    <w:p w:rsidR="00000000">
      <w:pPr>
        <w:pStyle w:val="takzir"/>
        <w:rPr>
          <w:rFonts w:hint="cs"/>
          <w:rtl/>
        </w:rPr>
      </w:pPr>
      <w:r>
        <w:rPr>
          <w:rFonts w:hint="cs"/>
          <w:rtl/>
        </w:rPr>
        <w:t>בשנים 2004-2007 היה התקציב שאושר למענק האיזון נמוך מהתקציב הנדרש ליישום נוס</w:t>
      </w:r>
      <w:r>
        <w:rPr>
          <w:rFonts w:hint="cs"/>
          <w:rtl/>
        </w:rPr>
        <w:t>חת גדיש במלואה והגיע ל-80% עד 90% ממנו, והדבר חייב את משרד הפנים להתאים את סכומי המענק למגבלת התקציב. לפיכך חישב משרד הפנים לכל רשות מקומית את המענק שתקבל באופן המביא בחשבון הן את המלצות ועדת גדיש</w:t>
      </w:r>
      <w:r>
        <w:rPr>
          <w:rStyle w:val="FootnoteReference"/>
          <w:rtl/>
        </w:rPr>
        <w:footnoteReference w:id="9"/>
      </w:r>
      <w:r>
        <w:rPr>
          <w:rFonts w:hint="cs"/>
          <w:rtl/>
        </w:rPr>
        <w:t xml:space="preserve"> והן את מגבלת התקציב.</w:t>
      </w:r>
    </w:p>
    <w:p w:rsidR="00000000">
      <w:pPr>
        <w:pStyle w:val="takzir"/>
        <w:rPr>
          <w:rFonts w:hint="cs"/>
          <w:rtl/>
        </w:rPr>
      </w:pPr>
      <w:r>
        <w:rPr>
          <w:rFonts w:hint="cs"/>
          <w:rtl/>
        </w:rPr>
        <w:t>משרד מבקר המדינה בדק אם היו פערים בין</w:t>
      </w:r>
      <w:r>
        <w:rPr>
          <w:rFonts w:hint="cs"/>
          <w:rtl/>
        </w:rPr>
        <w:t xml:space="preserve"> שיעורי ההקצאה של מענקי האיזון שקבע משרד הפנים לרשויות המקומיות בשנים 2004-2007. הבדיקה העלתה כי היו פערים ניכרים ביניהם, כמפורט להלן:</w:t>
      </w:r>
    </w:p>
    <w:p w:rsidR="00000000">
      <w:pPr>
        <w:pStyle w:val="takzir"/>
        <w:tabs>
          <w:tab w:val="left" w:pos="510"/>
        </w:tabs>
        <w:rPr>
          <w:rFonts w:hint="cs"/>
          <w:rtl/>
        </w:rPr>
      </w:pPr>
      <w:r>
        <w:rPr>
          <w:rFonts w:hint="cs"/>
          <w:rtl/>
        </w:rPr>
        <w:t>(א)</w:t>
      </w:r>
      <w:r>
        <w:rPr>
          <w:rFonts w:hint="cs"/>
          <w:rtl/>
        </w:rPr>
        <w:tab/>
        <w:t>סטיות התקן</w:t>
      </w:r>
      <w:r>
        <w:rPr>
          <w:rStyle w:val="FootnoteReference"/>
          <w:rtl/>
        </w:rPr>
        <w:footnoteReference w:id="10"/>
      </w:r>
      <w:r>
        <w:rPr>
          <w:rFonts w:hint="cs"/>
          <w:rtl/>
        </w:rPr>
        <w:t xml:space="preserve"> של שיעורי ההקצאה שנקבעו לרשויות המקומיות בשנים 2004-2007 היו גבוהות, אם כי ניכרה בהן מגמת צמצום במהלך אות</w:t>
      </w:r>
      <w:r>
        <w:rPr>
          <w:rFonts w:hint="cs"/>
          <w:rtl/>
        </w:rPr>
        <w:t>ן שנים: בשנת 2004 היה שיעור ההקצאה הממוצע 69% וסטיית התקן הייתה 28%; בשנת 2005 הם היו 81%</w:t>
      </w:r>
      <w:r>
        <w:br/>
      </w:r>
      <w:r>
        <w:rPr>
          <w:rFonts w:hint="cs"/>
          <w:rtl/>
        </w:rPr>
        <w:t xml:space="preserve"> ו-23%, בהתאמה; בשנת 2006 - 87% ו-19%, בהתאמה; ובשנת 2007 - 84% ו-15%, בהתאמה. </w:t>
      </w:r>
    </w:p>
    <w:p w:rsidR="00000000">
      <w:pPr>
        <w:pStyle w:val="takzir"/>
        <w:tabs>
          <w:tab w:val="left" w:pos="510"/>
        </w:tabs>
        <w:rPr>
          <w:rFonts w:hint="cs"/>
          <w:rtl/>
        </w:rPr>
      </w:pPr>
      <w:r>
        <w:rPr>
          <w:rFonts w:hint="cs"/>
          <w:rtl/>
        </w:rPr>
        <w:t>(ב)</w:t>
      </w:r>
      <w:r>
        <w:rPr>
          <w:rFonts w:hint="cs"/>
          <w:rtl/>
        </w:rPr>
        <w:tab/>
        <w:t>בשנים 2004-2007 היו פערים ניכרים בין שיעורי ההקצאה הממוצעים שנקבעו לרשויות מקומיות</w:t>
      </w:r>
      <w:r>
        <w:rPr>
          <w:rFonts w:hint="cs"/>
          <w:rtl/>
        </w:rPr>
        <w:t xml:space="preserve"> המדורגות באשכולות החברתיים-כלכליים השונים, ושיעור ההקצאה הממוצע בחלק מהאשכולות הנמוכים היה קטן מזה של אשכולות גבוהים יותר. לדוגמה, בשנת 2007 שיעור ההקצאה הממוצע באשכול 3 היה הנמוך ביותר </w:t>
      </w:r>
      <w:r>
        <w:rPr>
          <w:rtl/>
        </w:rPr>
        <w:br/>
      </w:r>
      <w:r>
        <w:rPr>
          <w:rFonts w:hint="cs"/>
          <w:rtl/>
        </w:rPr>
        <w:t>(79%), ואילו שיעור ההקצאה הממוצע באשכול 7 היה הגבוה ביותר (117%). יצ</w:t>
      </w:r>
      <w:r>
        <w:rPr>
          <w:rFonts w:hint="cs"/>
          <w:rtl/>
        </w:rPr>
        <w:t xml:space="preserve">וין כי רוב יישובי המיעוטים מדורגים באשכולות הנמוכים. </w:t>
      </w:r>
    </w:p>
    <w:p w:rsidR="00000000">
      <w:pPr>
        <w:pStyle w:val="takzir"/>
        <w:rPr>
          <w:rFonts w:hint="cs"/>
          <w:highlight w:val="yellow"/>
          <w:rtl/>
        </w:rPr>
      </w:pPr>
      <w:r>
        <w:rPr>
          <w:rFonts w:hint="cs"/>
          <w:rtl/>
        </w:rPr>
        <w:t>האמור לעיל מלמד שהאופן שבו הקצה משרד הפנים את מענקי האיזון בשנים 2004-2007 הביא להיווצרות פערים גדולים בין שיעורי ההקצאה שנקבעו לרשויות המקומיות; בשנת 2007 אמנם צומצמו</w:t>
      </w:r>
      <w:r>
        <w:rPr>
          <w:rFonts w:hint="cs"/>
        </w:rPr>
        <w:t xml:space="preserve"> </w:t>
      </w:r>
      <w:r>
        <w:rPr>
          <w:rFonts w:hint="cs"/>
          <w:rtl/>
        </w:rPr>
        <w:t>הפערים, אולם הם עדיין היו גדולים.</w:t>
      </w:r>
    </w:p>
    <w:p w:rsidR="00000000">
      <w:pPr>
        <w:pStyle w:val="takzir"/>
        <w:rPr>
          <w:rFonts w:hint="cs"/>
          <w:highlight w:val="yellow"/>
          <w:rtl/>
        </w:rPr>
      </w:pPr>
      <w:bookmarkStart w:id="2" w:name="_Toc182212141"/>
      <w:r>
        <w:rPr>
          <w:rFonts w:hint="cs"/>
          <w:rtl/>
        </w:rPr>
        <w:t>3.</w:t>
      </w:r>
      <w:r>
        <w:rPr>
          <w:rStyle w:val="7"/>
          <w:rFonts w:hint="cs"/>
          <w:szCs w:val="22"/>
          <w:rtl/>
        </w:rPr>
        <w:tab/>
        <w:t>מענק האיזון וחלוקת ההכנסות העצמיות של הרשויות</w:t>
      </w:r>
      <w:bookmarkEnd w:id="2"/>
      <w:r>
        <w:rPr>
          <w:rStyle w:val="7"/>
          <w:szCs w:val="22"/>
          <w:rtl/>
        </w:rPr>
        <w:t>:</w:t>
      </w:r>
      <w:r>
        <w:rPr>
          <w:rFonts w:hint="cs"/>
          <w:rtl/>
        </w:rPr>
        <w:t xml:space="preserve"> </w:t>
      </w:r>
      <w:r>
        <w:rPr>
          <w:rtl/>
        </w:rPr>
        <w:t xml:space="preserve">חלק ניכר מהפערים בהכנסות הרשויות המקומיות נובע משונות גדולה </w:t>
      </w:r>
      <w:r>
        <w:rPr>
          <w:rFonts w:hint="cs"/>
          <w:rtl/>
        </w:rPr>
        <w:t>ב</w:t>
      </w:r>
      <w:r>
        <w:rPr>
          <w:rtl/>
        </w:rPr>
        <w:t>הכנסות</w:t>
      </w:r>
      <w:r>
        <w:rPr>
          <w:rFonts w:hint="cs"/>
          <w:rtl/>
        </w:rPr>
        <w:t xml:space="preserve"> </w:t>
      </w:r>
      <w:r>
        <w:rPr>
          <w:rtl/>
        </w:rPr>
        <w:t xml:space="preserve">שמקורן בשימוש </w:t>
      </w:r>
      <w:r>
        <w:rPr>
          <w:rFonts w:hint="cs"/>
          <w:rtl/>
        </w:rPr>
        <w:t>בנכסי מ</w:t>
      </w:r>
      <w:r>
        <w:rPr>
          <w:rtl/>
        </w:rPr>
        <w:t>קרקע</w:t>
      </w:r>
      <w:r>
        <w:rPr>
          <w:rFonts w:hint="cs"/>
          <w:rtl/>
        </w:rPr>
        <w:t>ין</w:t>
      </w:r>
      <w:r>
        <w:rPr>
          <w:rtl/>
        </w:rPr>
        <w:t xml:space="preserve"> </w:t>
      </w:r>
      <w:r>
        <w:rPr>
          <w:rFonts w:hint="cs"/>
          <w:rtl/>
        </w:rPr>
        <w:t>שלא</w:t>
      </w:r>
      <w:r>
        <w:rPr>
          <w:rtl/>
        </w:rPr>
        <w:t xml:space="preserve"> ל</w:t>
      </w:r>
      <w:r>
        <w:rPr>
          <w:rFonts w:hint="cs"/>
          <w:rtl/>
        </w:rPr>
        <w:t xml:space="preserve">צורכי </w:t>
      </w:r>
      <w:r>
        <w:rPr>
          <w:rtl/>
        </w:rPr>
        <w:t>מגורים</w:t>
      </w:r>
      <w:r>
        <w:rPr>
          <w:rFonts w:hint="cs"/>
          <w:rtl/>
        </w:rPr>
        <w:t>,</w:t>
      </w:r>
      <w:r>
        <w:rPr>
          <w:rtl/>
        </w:rPr>
        <w:t xml:space="preserve"> ובפרט </w:t>
      </w:r>
      <w:r>
        <w:rPr>
          <w:rFonts w:hint="cs"/>
          <w:rtl/>
        </w:rPr>
        <w:t>ב</w:t>
      </w:r>
      <w:r>
        <w:rPr>
          <w:rtl/>
        </w:rPr>
        <w:t>הכנסות מארנונה על נכסים אלה (</w:t>
      </w:r>
      <w:r>
        <w:rPr>
          <w:rFonts w:hint="cs"/>
          <w:rtl/>
        </w:rPr>
        <w:t xml:space="preserve">להלן - </w:t>
      </w:r>
      <w:r>
        <w:rPr>
          <w:rtl/>
        </w:rPr>
        <w:t xml:space="preserve">ארנונה שאינה למגורים), הכוללים בעיקר מבני מסחר, </w:t>
      </w:r>
      <w:r>
        <w:rPr>
          <w:rFonts w:hint="cs"/>
          <w:rtl/>
        </w:rPr>
        <w:t xml:space="preserve">מבני </w:t>
      </w:r>
      <w:r>
        <w:rPr>
          <w:rtl/>
        </w:rPr>
        <w:t>תעשייה, משרדים ומתקני תשתית</w:t>
      </w:r>
      <w:r>
        <w:rPr>
          <w:rFonts w:hint="cs"/>
          <w:rtl/>
        </w:rPr>
        <w:t>. לחלק מהרשויות המקומיות, בעיקר רשויות במרכז הארץ, יש הכנסות גדולות מארנונה שאינה למגורים משום שבזכות מיקומן הגאוגרפי יש בהן פעילות עסקית רחבה, המאפשרת להן לגבות ארנונה רבה; ואילו ל</w:t>
      </w:r>
      <w:r>
        <w:rPr>
          <w:rtl/>
        </w:rPr>
        <w:t xml:space="preserve">רשויות מקומיות </w:t>
      </w:r>
      <w:r>
        <w:rPr>
          <w:rFonts w:hint="cs"/>
          <w:rtl/>
        </w:rPr>
        <w:t>קטנות ש</w:t>
      </w:r>
      <w:r>
        <w:rPr>
          <w:rtl/>
        </w:rPr>
        <w:t>נמצאות באזורי פריפריה</w:t>
      </w:r>
      <w:r>
        <w:rPr>
          <w:rFonts w:hint="cs"/>
          <w:rtl/>
        </w:rPr>
        <w:t xml:space="preserve"> ומעמדן החברתי-כלכלי נמוך ולרשויות במגזרי המיעוטים יש רק </w:t>
      </w:r>
      <w:r>
        <w:rPr>
          <w:rtl/>
        </w:rPr>
        <w:t xml:space="preserve">הכנסות </w:t>
      </w:r>
      <w:r>
        <w:rPr>
          <w:rFonts w:hint="cs"/>
          <w:rtl/>
        </w:rPr>
        <w:t xml:space="preserve">מעטות </w:t>
      </w:r>
      <w:r>
        <w:rPr>
          <w:rtl/>
        </w:rPr>
        <w:t>מארנונה שאינה למגורים</w:t>
      </w:r>
      <w:r>
        <w:rPr>
          <w:rStyle w:val="FootnoteReference"/>
          <w:rtl/>
        </w:rPr>
        <w:footnoteReference w:id="11"/>
      </w:r>
      <w:r>
        <w:rPr>
          <w:rFonts w:hint="cs"/>
          <w:rtl/>
        </w:rPr>
        <w:t>.</w:t>
      </w:r>
      <w:r>
        <w:rPr>
          <w:rtl/>
        </w:rPr>
        <w:t xml:space="preserve"> </w:t>
      </w:r>
      <w:r>
        <w:rPr>
          <w:rFonts w:hint="cs"/>
          <w:rtl/>
        </w:rPr>
        <w:t>גם עקב כך יש פערים גדולים בין הרשויות המקומיות בחוסן הכלכלי וביכולת לספק לתושביהן שירותים ראויים.</w:t>
      </w:r>
    </w:p>
    <w:p w:rsidR="00000000">
      <w:pPr>
        <w:pStyle w:val="takzir"/>
        <w:rPr>
          <w:rtl/>
        </w:rPr>
      </w:pPr>
      <w:r>
        <w:rPr>
          <w:rFonts w:hint="cs"/>
          <w:rtl/>
        </w:rPr>
        <w:t xml:space="preserve">נוסחת גדיש לקביעת מענק האיזון מביאה בחשבון גם את הכנסות הרשויות </w:t>
      </w:r>
      <w:r>
        <w:rPr>
          <w:rFonts w:hint="cs"/>
          <w:rtl/>
        </w:rPr>
        <w:t xml:space="preserve">מארנונה שאינה למגורים, ולפיכך מענקי האיזון שנקבעו על פיה היו אמורים לצמצם את הפערים בין הכנסות הרשויות ולאפשר גם לרשויות חלשות לספק לתושביהן שירותים ברמה נאותה. ואולם בחינת תרומתם של מענקי האיזון שהוקצו לרשויות המקומיות במשך השנים העלתה שהם לא הביאו להשגת </w:t>
      </w:r>
      <w:r>
        <w:rPr>
          <w:rFonts w:hint="cs"/>
          <w:rtl/>
        </w:rPr>
        <w:t>המטרה האמורה.</w:t>
      </w:r>
    </w:p>
    <w:p w:rsidR="00000000">
      <w:pPr>
        <w:pStyle w:val="takzir"/>
        <w:rPr>
          <w:rFonts w:hint="cs"/>
          <w:highlight w:val="magenta"/>
          <w:rtl/>
        </w:rPr>
      </w:pPr>
      <w:r>
        <w:rPr>
          <w:rFonts w:hint="cs"/>
          <w:rtl/>
        </w:rPr>
        <w:t xml:space="preserve">נוכח האמור לעיל הועלו הצעות בדבר דרכים חדשות לחלוקת ההכנסות מארנונה שאינה למגורים: ועדה נוספת </w:t>
      </w:r>
      <w:r>
        <w:rPr>
          <w:rtl/>
        </w:rPr>
        <w:t xml:space="preserve">בראשות </w:t>
      </w:r>
      <w:r>
        <w:rPr>
          <w:rFonts w:hint="cs"/>
          <w:rtl/>
        </w:rPr>
        <w:t xml:space="preserve">מר </w:t>
      </w:r>
      <w:r>
        <w:rPr>
          <w:rtl/>
        </w:rPr>
        <w:t>יעקב גדיש</w:t>
      </w:r>
      <w:r>
        <w:rPr>
          <w:rFonts w:hint="cs"/>
          <w:rtl/>
        </w:rPr>
        <w:t xml:space="preserve"> ז"ל, ש</w:t>
      </w:r>
      <w:r>
        <w:rPr>
          <w:rtl/>
        </w:rPr>
        <w:t>מינה שר הפנים</w:t>
      </w:r>
      <w:r>
        <w:rPr>
          <w:rFonts w:hint="cs"/>
          <w:rtl/>
        </w:rPr>
        <w:t xml:space="preserve"> בשנת 2004 לבחינת הנושא,</w:t>
      </w:r>
      <w:r>
        <w:rPr>
          <w:rtl/>
        </w:rPr>
        <w:t xml:space="preserve"> </w:t>
      </w:r>
      <w:r>
        <w:rPr>
          <w:rFonts w:hint="cs"/>
          <w:rtl/>
        </w:rPr>
        <w:t xml:space="preserve">המליצה, בין היתר, לשנות את דרך החלוקה של </w:t>
      </w:r>
      <w:r>
        <w:rPr>
          <w:rtl/>
        </w:rPr>
        <w:t>ה</w:t>
      </w:r>
      <w:r>
        <w:rPr>
          <w:rFonts w:hint="cs"/>
          <w:rtl/>
        </w:rPr>
        <w:t>הכנסות מ</w:t>
      </w:r>
      <w:r>
        <w:rPr>
          <w:rtl/>
        </w:rPr>
        <w:t xml:space="preserve">ארנונה </w:t>
      </w:r>
      <w:r>
        <w:rPr>
          <w:rFonts w:hint="cs"/>
          <w:rtl/>
        </w:rPr>
        <w:t xml:space="preserve">על </w:t>
      </w:r>
      <w:r>
        <w:rPr>
          <w:rtl/>
        </w:rPr>
        <w:t>מתקנים לאומיים</w:t>
      </w:r>
      <w:r>
        <w:rPr>
          <w:rFonts w:hint="cs"/>
          <w:rtl/>
        </w:rPr>
        <w:t xml:space="preserve"> בין הרשוי</w:t>
      </w:r>
      <w:r>
        <w:rPr>
          <w:rFonts w:hint="cs"/>
          <w:rtl/>
        </w:rPr>
        <w:t xml:space="preserve">ות המקומיות; וביולי 2007 הציע משרד האוצר, במסגרת תכנית </w:t>
      </w:r>
      <w:r>
        <w:rPr>
          <w:rtl/>
        </w:rPr>
        <w:t>ל</w:t>
      </w:r>
      <w:r>
        <w:rPr>
          <w:rFonts w:hint="cs"/>
          <w:rtl/>
        </w:rPr>
        <w:t xml:space="preserve">ביצוע </w:t>
      </w:r>
      <w:r>
        <w:rPr>
          <w:rtl/>
        </w:rPr>
        <w:t xml:space="preserve">שינויים מבניים </w:t>
      </w:r>
      <w:r>
        <w:rPr>
          <w:rFonts w:hint="cs"/>
          <w:rtl/>
        </w:rPr>
        <w:t>במשק כדי לעודד את</w:t>
      </w:r>
      <w:r>
        <w:rPr>
          <w:rtl/>
        </w:rPr>
        <w:t xml:space="preserve"> הצמיחה בשנת 2008, להקים קרן ייעודית לחלוקת ההכנסות מארנונה שאינה למגורים בין הרשויות, ולחלק באמצעותה בין הרשויות 20% מהכנסות אל</w:t>
      </w:r>
      <w:r>
        <w:rPr>
          <w:rFonts w:hint="cs"/>
          <w:rtl/>
        </w:rPr>
        <w:t>ה</w:t>
      </w:r>
      <w:r>
        <w:rPr>
          <w:rtl/>
        </w:rPr>
        <w:t xml:space="preserve"> </w:t>
      </w:r>
      <w:r>
        <w:rPr>
          <w:rFonts w:hint="cs"/>
          <w:rtl/>
        </w:rPr>
        <w:t>על פי ה</w:t>
      </w:r>
      <w:r>
        <w:rPr>
          <w:rtl/>
        </w:rPr>
        <w:t>עקרונות</w:t>
      </w:r>
      <w:r>
        <w:rPr>
          <w:rFonts w:hint="cs"/>
          <w:rtl/>
        </w:rPr>
        <w:t xml:space="preserve"> ל</w:t>
      </w:r>
      <w:r>
        <w:rPr>
          <w:rtl/>
        </w:rPr>
        <w:t>הקצאת מענקי האיז</w:t>
      </w:r>
      <w:r>
        <w:rPr>
          <w:rtl/>
        </w:rPr>
        <w:t>ון</w:t>
      </w:r>
      <w:r>
        <w:rPr>
          <w:rFonts w:hint="cs"/>
          <w:rtl/>
        </w:rPr>
        <w:t>.</w:t>
      </w:r>
    </w:p>
    <w:p w:rsidR="00000000">
      <w:pPr>
        <w:pStyle w:val="takzir"/>
        <w:rPr>
          <w:rFonts w:hint="cs"/>
          <w:rtl/>
        </w:rPr>
      </w:pPr>
      <w:r>
        <w:rPr>
          <w:rFonts w:hint="cs"/>
          <w:rtl/>
        </w:rPr>
        <w:t>לדעת משרד מבקר המדינה, ראוי אפוא שהגורמים הנוגעים בדבר - משרד הפנים, משרד האוצר וראשי השלטון המקומי - יבחנו מהי הדרך המיטבית להבטיח את יכולתן של רשויות מקומיות לספק לתושביהן שירותים ברמה נאותה - הקצאה הולמת של מענקי איזון או שינוי אופן חלוקתן של ההכנסו</w:t>
      </w:r>
      <w:r>
        <w:rPr>
          <w:rFonts w:hint="cs"/>
          <w:rtl/>
        </w:rPr>
        <w:t>ת מארנונה שאינה למגורים.</w:t>
      </w:r>
    </w:p>
    <w:p w:rsidR="00000000">
      <w:pPr>
        <w:pStyle w:val="KOT4"/>
        <w:rPr>
          <w:rFonts w:hint="cs"/>
          <w:rtl/>
        </w:rPr>
      </w:pPr>
      <w:r>
        <w:rPr>
          <w:rFonts w:hint="cs"/>
          <w:rtl/>
        </w:rPr>
        <w:t>סיכום והמלצות</w:t>
      </w:r>
    </w:p>
    <w:p w:rsidR="00000000">
      <w:pPr>
        <w:pStyle w:val="takzir"/>
        <w:rPr>
          <w:rFonts w:hint="cs"/>
          <w:rtl/>
        </w:rPr>
      </w:pPr>
      <w:r>
        <w:rPr>
          <w:rFonts w:hint="cs"/>
          <w:rtl/>
        </w:rPr>
        <w:t xml:space="preserve">בחינת תרומתו של מענק האיזון במשך השנים העלתה שהוא לא הביא לסגירת הפערים בהקצאת המשאבים בין רשויות מקומיות בפריפריה ובמגזרי המיעוטים לבין רשויות מקומיות יהודיות מאזור המרכז. הכנסותיהן של </w:t>
      </w:r>
      <w:r>
        <w:rPr>
          <w:rtl/>
        </w:rPr>
        <w:t>רשויות מקומיות באזורי פריפריה</w:t>
      </w:r>
      <w:r>
        <w:rPr>
          <w:rFonts w:hint="cs"/>
          <w:rtl/>
        </w:rPr>
        <w:t xml:space="preserve"> ו</w:t>
      </w:r>
      <w:r>
        <w:rPr>
          <w:rFonts w:hint="cs"/>
          <w:rtl/>
        </w:rPr>
        <w:t>במגזרי המיעוטים מארנונה</w:t>
      </w:r>
      <w:r>
        <w:rPr>
          <w:rtl/>
        </w:rPr>
        <w:t xml:space="preserve"> שאינ</w:t>
      </w:r>
      <w:r>
        <w:rPr>
          <w:rFonts w:hint="cs"/>
          <w:rtl/>
        </w:rPr>
        <w:t>ה</w:t>
      </w:r>
      <w:r>
        <w:rPr>
          <w:rtl/>
        </w:rPr>
        <w:t xml:space="preserve"> למגורים</w:t>
      </w:r>
      <w:r>
        <w:rPr>
          <w:rFonts w:hint="cs"/>
          <w:rtl/>
        </w:rPr>
        <w:t xml:space="preserve"> נמוכות מאוד, ועקב כך יש פערים גדולים בינן ובין הרשויות האחרות בחוסן הכלכלי וביכולת לספק שירותים ראויים לתושבים. לפיכך על הגורמים הנוגעים בדבר - משרד הפנים, משרד האוצר וראשי השלטון המקומי - לבחון דרכים להבטחת יכולתן של </w:t>
      </w:r>
      <w:r>
        <w:rPr>
          <w:rFonts w:hint="cs"/>
          <w:rtl/>
        </w:rPr>
        <w:t>הרשויות לספק שירותים אלה, ובכללן את שיטת מענק האיזון.</w:t>
      </w:r>
    </w:p>
    <w:p w:rsidR="00000000">
      <w:pPr>
        <w:pStyle w:val="takzir"/>
        <w:rPr>
          <w:rFonts w:hint="cs"/>
          <w:rtl/>
        </w:rPr>
      </w:pPr>
      <w:r>
        <w:rPr>
          <w:rFonts w:hint="cs"/>
          <w:rtl/>
        </w:rPr>
        <w:t>כל עוד ממשיכה הממשלה להקצות מענקי איזון לרשויות המקומיות, על המשרד לפעול בהקדם לסגירת הפערים בין מענקי האיזון המוקצים לרשויות במגזרים השונים ולהבטיח שכל רשות מקומית תוכל לספק לתושביה שירותים מוניציפליים</w:t>
      </w:r>
      <w:r>
        <w:rPr>
          <w:rFonts w:hint="cs"/>
          <w:rtl/>
        </w:rPr>
        <w:t xml:space="preserve"> ברמה נאותה.</w:t>
      </w:r>
    </w:p>
    <w:p w:rsidR="00000000">
      <w:pPr>
        <w:spacing w:after="120" w:line="230" w:lineRule="exact"/>
        <w:jc w:val="both"/>
        <w:rPr>
          <w:rFonts w:cs="FrankRuehl"/>
          <w:szCs w:val="22"/>
          <w:rtl/>
        </w:rPr>
      </w:pPr>
    </w:p>
    <w:p w:rsidR="00000000">
      <w:pPr>
        <w:spacing w:line="240" w:lineRule="atLeast"/>
        <w:jc w:val="center"/>
        <w:rPr>
          <w:b/>
          <w:bCs/>
          <w:sz w:val="32"/>
          <w:szCs w:val="32"/>
        </w:rPr>
      </w:pPr>
      <w:r>
        <w:rPr>
          <w:rFonts w:cs="Times New Roman"/>
          <w:sz w:val="28"/>
          <w:szCs w:val="28"/>
        </w:rPr>
        <w:t>♦</w:t>
      </w:r>
    </w:p>
    <w:p w:rsidR="00000000">
      <w:pPr>
        <w:spacing w:after="120" w:line="230" w:lineRule="exact"/>
        <w:jc w:val="both"/>
        <w:rPr>
          <w:rFonts w:cs="FrankRuehl"/>
          <w:szCs w:val="22"/>
          <w:rtl/>
        </w:rPr>
      </w:pP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r>
      <w:r>
        <w:rPr>
          <w:rFonts w:cs="FrankRuehl"/>
          <w:sz w:val="20"/>
          <w:szCs w:val="22"/>
          <w:rtl/>
        </w:rPr>
        <w:t>מש</w:t>
      </w:r>
      <w:r>
        <w:rPr>
          <w:rFonts w:cs="FrankRuehl" w:hint="cs"/>
          <w:sz w:val="20"/>
          <w:szCs w:val="22"/>
          <w:rtl/>
        </w:rPr>
        <w:t>רד הפנים מופקד מטעם הממשלה על השלטון המקומי. המשרד מסייע, בין הי</w:t>
      </w:r>
      <w:r>
        <w:rPr>
          <w:rFonts w:cs="FrankRuehl"/>
          <w:sz w:val="20"/>
          <w:szCs w:val="22"/>
          <w:rtl/>
        </w:rPr>
        <w:t>תר</w:t>
      </w:r>
      <w:r>
        <w:rPr>
          <w:rFonts w:cs="FrankRuehl" w:hint="cs"/>
          <w:sz w:val="20"/>
          <w:szCs w:val="22"/>
          <w:rtl/>
        </w:rPr>
        <w:t>, בהכוונה ובתיאום של פעולות הרשויות המקומיות בנושאים תקציביים ובענייני שלטון מקומי ומפקח עליהן, והוא פועל בתחומים אלה מכוח הסמכויות שהוקנו לו בחקיקה.</w:t>
      </w:r>
    </w:p>
    <w:p w:rsidR="00000000">
      <w:pPr>
        <w:spacing w:after="120" w:line="230" w:lineRule="exact"/>
        <w:jc w:val="both"/>
        <w:rPr>
          <w:rFonts w:cs="FrankRuehl" w:hint="cs"/>
          <w:sz w:val="20"/>
          <w:szCs w:val="22"/>
          <w:rtl/>
        </w:rPr>
      </w:pPr>
      <w:r>
        <w:rPr>
          <w:rFonts w:cs="FrankRuehl" w:hint="cs"/>
          <w:sz w:val="20"/>
          <w:szCs w:val="22"/>
          <w:rtl/>
        </w:rPr>
        <w:t xml:space="preserve">כדי לסייע לרשויות </w:t>
      </w:r>
      <w:r>
        <w:rPr>
          <w:rFonts w:cs="FrankRuehl" w:hint="cs"/>
          <w:sz w:val="20"/>
          <w:szCs w:val="22"/>
          <w:rtl/>
        </w:rPr>
        <w:t>המקומיות לספק לתושביהן שירותים מוניציפליי</w:t>
      </w:r>
      <w:r>
        <w:rPr>
          <w:rFonts w:cs="FrankRuehl" w:hint="eastAsia"/>
          <w:sz w:val="20"/>
          <w:szCs w:val="22"/>
          <w:rtl/>
        </w:rPr>
        <w:t>ם</w:t>
      </w:r>
      <w:r>
        <w:rPr>
          <w:rFonts w:cs="FrankRuehl" w:hint="cs"/>
          <w:sz w:val="20"/>
          <w:szCs w:val="22"/>
          <w:rtl/>
        </w:rPr>
        <w:t xml:space="preserve"> נותנת הממשלה למרביתן, באמצעות תקציב משרד הפנים, מענק כללי (להלן - מענק האיזון או המענק). מענק זה נועד להשלים את ההפרש שבין הכנסותיהן הפוטנציאליות של הרשויות הזכאיות לקבלו ובין הוצאותיהן הנורמטיביות - דהיינו ההוצאו</w:t>
      </w:r>
      <w:r>
        <w:rPr>
          <w:rFonts w:cs="FrankRuehl" w:hint="cs"/>
          <w:sz w:val="20"/>
          <w:szCs w:val="22"/>
          <w:rtl/>
        </w:rPr>
        <w:t>ת שיאפשרו להן לספק לתושביהן שירותים מוניציפליי</w:t>
      </w:r>
      <w:r>
        <w:rPr>
          <w:rFonts w:cs="FrankRuehl" w:hint="eastAsia"/>
          <w:sz w:val="20"/>
          <w:szCs w:val="22"/>
          <w:rtl/>
        </w:rPr>
        <w:t>ם</w:t>
      </w:r>
      <w:r>
        <w:rPr>
          <w:rFonts w:cs="FrankRuehl" w:hint="cs"/>
          <w:sz w:val="20"/>
          <w:szCs w:val="22"/>
          <w:rtl/>
        </w:rPr>
        <w:t xml:space="preserve"> ברמה מינימלית נאותה</w:t>
      </w:r>
      <w:r>
        <w:rPr>
          <w:rStyle w:val="FootnoteReference"/>
          <w:rFonts w:cs="FrankRuehl"/>
          <w:sz w:val="20"/>
          <w:szCs w:val="22"/>
          <w:rtl/>
        </w:rPr>
        <w:footnoteReference w:id="12"/>
      </w:r>
      <w:r>
        <w:rPr>
          <w:rFonts w:cs="FrankRuehl" w:hint="cs"/>
          <w:sz w:val="20"/>
          <w:szCs w:val="22"/>
          <w:rtl/>
        </w:rPr>
        <w:t>.</w:t>
      </w:r>
    </w:p>
    <w:p w:rsidR="00000000">
      <w:pPr>
        <w:spacing w:after="120" w:line="230" w:lineRule="exact"/>
        <w:jc w:val="both"/>
        <w:rPr>
          <w:rFonts w:cs="FrankRuehl" w:hint="cs"/>
          <w:sz w:val="20"/>
          <w:szCs w:val="22"/>
          <w:highlight w:val="yellow"/>
          <w:rtl/>
        </w:rPr>
      </w:pPr>
      <w:r>
        <w:rPr>
          <w:rFonts w:cs="FrankRuehl" w:hint="cs"/>
          <w:sz w:val="20"/>
          <w:szCs w:val="22"/>
          <w:rtl/>
        </w:rPr>
        <w:t>מענק האיזון הוא מקור חשוב להשלמת תקציבן של הרשויות המקומיות, ובייחוד של הרשויות החלשות הסובלות מגירעונות תקציביים, ובכוחו לתקן עיוותים ופערים בכל הנוגע למקורות ההכנסה של הרשויות. לפיכך ח</w:t>
      </w:r>
      <w:r>
        <w:rPr>
          <w:rFonts w:cs="FrankRuehl" w:hint="cs"/>
          <w:sz w:val="20"/>
          <w:szCs w:val="22"/>
          <w:rtl/>
        </w:rPr>
        <w:t xml:space="preserve">שוב שהמענק יחולק על פי אמות מידה שקופות ושוויוניות, ומתוך התחשבות במצבן החברתי והכלכלי של הרשויות המקומית והשפעתו על יכולתן לספק לתושביהן שירותים ברמה מינימלית נאותה. עם זאת, קשה לבצע </w:t>
      </w:r>
      <w:r>
        <w:rPr>
          <w:rFonts w:cs="FrankRuehl"/>
          <w:sz w:val="20"/>
          <w:szCs w:val="22"/>
          <w:rtl/>
        </w:rPr>
        <w:t>בצעד חד</w:t>
      </w:r>
      <w:r>
        <w:rPr>
          <w:rFonts w:cs="FrankRuehl" w:hint="cs"/>
          <w:sz w:val="20"/>
          <w:szCs w:val="22"/>
          <w:rtl/>
        </w:rPr>
        <w:t>-</w:t>
      </w:r>
      <w:r>
        <w:rPr>
          <w:rFonts w:cs="FrankRuehl"/>
          <w:sz w:val="20"/>
          <w:szCs w:val="22"/>
          <w:rtl/>
        </w:rPr>
        <w:t xml:space="preserve">פעמי </w:t>
      </w:r>
      <w:r>
        <w:rPr>
          <w:rFonts w:cs="FrankRuehl" w:hint="cs"/>
          <w:sz w:val="20"/>
          <w:szCs w:val="22"/>
          <w:rtl/>
        </w:rPr>
        <w:t>שינוי ניכר</w:t>
      </w:r>
      <w:r>
        <w:rPr>
          <w:rFonts w:cs="FrankRuehl"/>
          <w:sz w:val="20"/>
          <w:szCs w:val="22"/>
          <w:rtl/>
        </w:rPr>
        <w:t xml:space="preserve"> בהקצאת מענק האיזון, היות </w:t>
      </w:r>
      <w:r>
        <w:rPr>
          <w:rFonts w:cs="FrankRuehl" w:hint="cs"/>
          <w:sz w:val="20"/>
          <w:szCs w:val="22"/>
          <w:rtl/>
        </w:rPr>
        <w:t xml:space="preserve">שהוא </w:t>
      </w:r>
      <w:r>
        <w:rPr>
          <w:rFonts w:cs="FrankRuehl"/>
          <w:sz w:val="20"/>
          <w:szCs w:val="22"/>
          <w:rtl/>
        </w:rPr>
        <w:t xml:space="preserve">עלול </w:t>
      </w:r>
      <w:r>
        <w:rPr>
          <w:rFonts w:cs="FrankRuehl" w:hint="cs"/>
          <w:sz w:val="20"/>
          <w:szCs w:val="22"/>
          <w:rtl/>
        </w:rPr>
        <w:t>לגרום למשבר כ</w:t>
      </w:r>
      <w:r>
        <w:rPr>
          <w:rFonts w:cs="FrankRuehl" w:hint="cs"/>
          <w:sz w:val="20"/>
          <w:szCs w:val="22"/>
          <w:rtl/>
        </w:rPr>
        <w:t>ספי</w:t>
      </w:r>
      <w:r>
        <w:rPr>
          <w:rFonts w:cs="FrankRuehl"/>
          <w:sz w:val="20"/>
          <w:szCs w:val="22"/>
          <w:rtl/>
        </w:rPr>
        <w:t xml:space="preserve"> </w:t>
      </w:r>
      <w:r>
        <w:rPr>
          <w:rFonts w:cs="FrankRuehl" w:hint="cs"/>
          <w:sz w:val="20"/>
          <w:szCs w:val="22"/>
          <w:rtl/>
        </w:rPr>
        <w:t>ב</w:t>
      </w:r>
      <w:r>
        <w:rPr>
          <w:rFonts w:cs="FrankRuehl"/>
          <w:sz w:val="20"/>
          <w:szCs w:val="22"/>
          <w:rtl/>
        </w:rPr>
        <w:t>רשות</w:t>
      </w:r>
      <w:r>
        <w:rPr>
          <w:rFonts w:cs="FrankRuehl" w:hint="cs"/>
          <w:sz w:val="20"/>
          <w:szCs w:val="22"/>
          <w:rtl/>
        </w:rPr>
        <w:t xml:space="preserve"> המקומית</w:t>
      </w:r>
      <w:r>
        <w:rPr>
          <w:rStyle w:val="FootnoteReference"/>
          <w:rFonts w:cs="FrankRuehl"/>
          <w:sz w:val="20"/>
          <w:szCs w:val="22"/>
          <w:rtl/>
        </w:rPr>
        <w:footnoteReference w:id="13"/>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מענקי האיזון נקבעו בשיטות שונות במשך השנים. עד שנת 1994 המבחנים למתן מענק האיזון לא היו ברורים, אחידים ושוויוניים, ואף נוצר מצב שבו ככל שגדל גירעונה של רשות מקומית, כך גדל מענק האיזון שקיבלה</w:t>
      </w:r>
      <w:r>
        <w:rPr>
          <w:rStyle w:val="FootnoteReference"/>
          <w:rFonts w:cs="FrankRuehl"/>
          <w:sz w:val="20"/>
          <w:szCs w:val="22"/>
          <w:rtl/>
        </w:rPr>
        <w:footnoteReference w:id="14"/>
      </w:r>
      <w:r>
        <w:rPr>
          <w:rFonts w:cs="FrankRuehl" w:hint="cs"/>
          <w:sz w:val="20"/>
          <w:szCs w:val="22"/>
          <w:rtl/>
        </w:rPr>
        <w:t xml:space="preserve">. </w:t>
      </w:r>
      <w:r>
        <w:rPr>
          <w:rFonts w:cs="FrankRuehl"/>
          <w:sz w:val="20"/>
          <w:szCs w:val="22"/>
          <w:rtl/>
        </w:rPr>
        <w:t>בפברואר 1992</w:t>
      </w:r>
      <w:r>
        <w:rPr>
          <w:rFonts w:cs="FrankRuehl" w:hint="cs"/>
          <w:sz w:val="20"/>
          <w:szCs w:val="22"/>
          <w:rtl/>
        </w:rPr>
        <w:t xml:space="preserve"> מינה</w:t>
      </w:r>
      <w:r>
        <w:rPr>
          <w:rFonts w:cs="FrankRuehl"/>
          <w:sz w:val="20"/>
          <w:szCs w:val="22"/>
          <w:rtl/>
        </w:rPr>
        <w:t xml:space="preserve"> שר הפנים דאז, מר אריה </w:t>
      </w:r>
      <w:r>
        <w:rPr>
          <w:rFonts w:cs="FrankRuehl"/>
          <w:sz w:val="20"/>
          <w:szCs w:val="22"/>
          <w:rtl/>
        </w:rPr>
        <w:t>דרעי, ועדה ציבורית בראשות פרופ' יצחק סוארי</w:t>
      </w:r>
      <w:r>
        <w:rPr>
          <w:rFonts w:cs="FrankRuehl" w:hint="cs"/>
          <w:sz w:val="20"/>
          <w:szCs w:val="22"/>
          <w:rtl/>
        </w:rPr>
        <w:t xml:space="preserve"> (להלן - ועדת סוארי) על מנת לקבוע קריטריונים ברורים להקצאת מענק האיזון לרשויות המקומיות. </w:t>
      </w:r>
      <w:r>
        <w:rPr>
          <w:rFonts w:cs="FrankRuehl" w:hint="eastAsia"/>
          <w:sz w:val="20"/>
          <w:szCs w:val="22"/>
          <w:rtl/>
        </w:rPr>
        <w:t>באוגוסט</w:t>
      </w:r>
      <w:r>
        <w:rPr>
          <w:rFonts w:cs="FrankRuehl"/>
          <w:sz w:val="20"/>
          <w:szCs w:val="22"/>
          <w:rtl/>
        </w:rPr>
        <w:t xml:space="preserve"> 1993 הגישה</w:t>
      </w:r>
      <w:bookmarkStart w:id="3" w:name="_Hlt181327414"/>
      <w:r>
        <w:rPr>
          <w:rFonts w:cs="FrankRuehl"/>
          <w:sz w:val="20"/>
          <w:szCs w:val="22"/>
          <w:rtl/>
        </w:rPr>
        <w:t xml:space="preserve"> </w:t>
      </w:r>
      <w:bookmarkEnd w:id="3"/>
      <w:r>
        <w:rPr>
          <w:rFonts w:cs="FrankRuehl"/>
          <w:sz w:val="20"/>
          <w:szCs w:val="22"/>
          <w:rtl/>
        </w:rPr>
        <w:t>ועדת סוארי את המלצותיה</w:t>
      </w:r>
      <w:r>
        <w:rPr>
          <w:rFonts w:cs="FrankRuehl" w:hint="cs"/>
          <w:sz w:val="20"/>
          <w:szCs w:val="22"/>
          <w:rtl/>
        </w:rPr>
        <w:t xml:space="preserve">, </w:t>
      </w:r>
      <w:r>
        <w:rPr>
          <w:rFonts w:cs="FrankRuehl" w:hint="cs"/>
          <w:sz w:val="20"/>
          <w:szCs w:val="22"/>
          <w:rtl/>
        </w:rPr>
        <w:t>ובאותו חודש אישרה אותן הממשלה ו</w:t>
      </w:r>
      <w:r>
        <w:rPr>
          <w:rFonts w:cs="FrankRuehl"/>
          <w:sz w:val="20"/>
          <w:szCs w:val="22"/>
          <w:rtl/>
        </w:rPr>
        <w:t>הטילה על שר הפנים לייש</w:t>
      </w:r>
      <w:r>
        <w:rPr>
          <w:rFonts w:cs="FrankRuehl" w:hint="cs"/>
          <w:sz w:val="20"/>
          <w:szCs w:val="22"/>
          <w:rtl/>
        </w:rPr>
        <w:t>מן. ועדת סוארי המליצה לקבוע ק</w:t>
      </w:r>
      <w:r>
        <w:rPr>
          <w:rFonts w:cs="FrankRuehl" w:hint="cs"/>
          <w:sz w:val="20"/>
          <w:szCs w:val="22"/>
          <w:rtl/>
        </w:rPr>
        <w:t>ריטריונים אחידים להקצאת מענקי האיזון. היא הציעה לקבוע לכל רשות מקומית את סכום ההוצאה המינימלית לנפש בהתחשב בגודל הרשות, סוגה (עירייה, מועצה מקומית או מועצה אזורית) ומצבה החברתי-כלכלי, ולאמוד את פוטנציאל ההכנסות של הרשות; ולקבוע את סכום מענק האיזון שיינתן ל</w:t>
      </w:r>
      <w:r>
        <w:rPr>
          <w:rFonts w:cs="FrankRuehl" w:hint="cs"/>
          <w:sz w:val="20"/>
          <w:szCs w:val="22"/>
          <w:rtl/>
        </w:rPr>
        <w:t>ה על פי ההפרש שבין ההוצאה המינימלית הכוללת שנקבעה לה ובין אומדן פוטנציאל ההכנסות הכולל שנקבע לה (להלן - נוסחת סוארי). בשנים 1994-1999 הקצה משרד הפנים את מענקי האיזון על פי נוסחת סוארי, תוך התאמתה לתנאי המשק ולמדיניות הממשלה, כגון מתן עדיפות בשנה מסוימת למג</w:t>
      </w:r>
      <w:r>
        <w:rPr>
          <w:rFonts w:cs="FrankRuehl" w:hint="cs"/>
          <w:sz w:val="20"/>
          <w:szCs w:val="22"/>
          <w:rtl/>
        </w:rPr>
        <w:t>זרים או לאזורים מסוימים.</w:t>
      </w:r>
    </w:p>
    <w:p w:rsidR="00000000">
      <w:pPr>
        <w:spacing w:after="120" w:line="230" w:lineRule="exact"/>
        <w:jc w:val="both"/>
        <w:rPr>
          <w:rFonts w:cs="FrankRuehl" w:hint="cs"/>
          <w:sz w:val="20"/>
          <w:szCs w:val="22"/>
          <w:rtl/>
        </w:rPr>
      </w:pPr>
      <w:r>
        <w:rPr>
          <w:rFonts w:cs="FrankRuehl"/>
          <w:sz w:val="20"/>
          <w:szCs w:val="22"/>
          <w:rtl/>
        </w:rPr>
        <w:t xml:space="preserve">בדוח </w:t>
      </w:r>
      <w:r>
        <w:rPr>
          <w:rFonts w:cs="FrankRuehl" w:hint="cs"/>
          <w:sz w:val="20"/>
          <w:szCs w:val="22"/>
          <w:rtl/>
        </w:rPr>
        <w:t xml:space="preserve">שנתי </w:t>
      </w:r>
      <w:r>
        <w:rPr>
          <w:rFonts w:cs="FrankRuehl"/>
          <w:sz w:val="20"/>
          <w:szCs w:val="22"/>
          <w:rtl/>
        </w:rPr>
        <w:t>50ב</w:t>
      </w:r>
      <w:r>
        <w:rPr>
          <w:rFonts w:cs="FrankRuehl" w:hint="cs"/>
          <w:sz w:val="20"/>
          <w:szCs w:val="22"/>
          <w:rtl/>
        </w:rPr>
        <w:t xml:space="preserve"> של מבקר המדינה</w:t>
      </w:r>
      <w:r>
        <w:rPr>
          <w:rStyle w:val="FootnoteReference"/>
          <w:rFonts w:cs="FrankRuehl"/>
          <w:sz w:val="20"/>
          <w:szCs w:val="22"/>
          <w:rtl/>
        </w:rPr>
        <w:footnoteReference w:id="15"/>
      </w:r>
      <w:r>
        <w:rPr>
          <w:rFonts w:cs="FrankRuehl" w:hint="cs"/>
          <w:sz w:val="20"/>
          <w:szCs w:val="22"/>
          <w:rtl/>
        </w:rPr>
        <w:t xml:space="preserve"> נאמר שהביקורת </w:t>
      </w:r>
      <w:r>
        <w:rPr>
          <w:rFonts w:cs="FrankRuehl"/>
          <w:sz w:val="20"/>
          <w:szCs w:val="22"/>
          <w:rtl/>
        </w:rPr>
        <w:t xml:space="preserve">העלתה </w:t>
      </w:r>
      <w:bookmarkStart w:id="4" w:name="_Hlt181327408"/>
      <w:bookmarkStart w:id="5" w:name="_Hlt181327409"/>
      <w:r>
        <w:rPr>
          <w:rFonts w:cs="FrankRuehl"/>
          <w:sz w:val="20"/>
          <w:szCs w:val="22"/>
          <w:rtl/>
        </w:rPr>
        <w:t>ל</w:t>
      </w:r>
      <w:bookmarkEnd w:id="4"/>
      <w:bookmarkEnd w:id="5"/>
      <w:r>
        <w:rPr>
          <w:rFonts w:cs="FrankRuehl"/>
          <w:sz w:val="20"/>
          <w:szCs w:val="22"/>
          <w:rtl/>
        </w:rPr>
        <w:t xml:space="preserve">יקויים </w:t>
      </w:r>
      <w:r>
        <w:rPr>
          <w:rFonts w:cs="FrankRuehl" w:hint="cs"/>
          <w:sz w:val="20"/>
          <w:szCs w:val="22"/>
          <w:rtl/>
        </w:rPr>
        <w:t xml:space="preserve">ביישום </w:t>
      </w:r>
      <w:r>
        <w:rPr>
          <w:rFonts w:cs="FrankRuehl"/>
          <w:sz w:val="20"/>
          <w:szCs w:val="22"/>
          <w:rtl/>
        </w:rPr>
        <w:t>המלצות</w:t>
      </w:r>
      <w:r>
        <w:rPr>
          <w:rFonts w:cs="FrankRuehl" w:hint="cs"/>
          <w:sz w:val="20"/>
          <w:szCs w:val="22"/>
          <w:rtl/>
        </w:rPr>
        <w:t>יה של</w:t>
      </w:r>
      <w:r>
        <w:rPr>
          <w:rFonts w:cs="FrankRuehl"/>
          <w:sz w:val="20"/>
          <w:szCs w:val="22"/>
          <w:rtl/>
        </w:rPr>
        <w:t xml:space="preserve"> ועדת סוארי</w:t>
      </w:r>
      <w:r>
        <w:rPr>
          <w:rFonts w:cs="FrankRuehl" w:hint="cs"/>
          <w:sz w:val="20"/>
          <w:szCs w:val="22"/>
          <w:rtl/>
        </w:rPr>
        <w:t xml:space="preserve">. לדוגמה, </w:t>
      </w:r>
      <w:r>
        <w:rPr>
          <w:rFonts w:cs="FrankRuehl"/>
          <w:sz w:val="20"/>
          <w:szCs w:val="22"/>
          <w:rtl/>
        </w:rPr>
        <w:t xml:space="preserve">משרד </w:t>
      </w:r>
      <w:r>
        <w:rPr>
          <w:rFonts w:cs="FrankRuehl" w:hint="cs"/>
          <w:sz w:val="20"/>
          <w:szCs w:val="22"/>
          <w:rtl/>
        </w:rPr>
        <w:t xml:space="preserve">הפנים </w:t>
      </w:r>
      <w:r>
        <w:rPr>
          <w:rFonts w:cs="FrankRuehl"/>
          <w:sz w:val="20"/>
          <w:szCs w:val="22"/>
          <w:rtl/>
        </w:rPr>
        <w:t xml:space="preserve">נתן </w:t>
      </w:r>
      <w:r>
        <w:rPr>
          <w:rFonts w:cs="FrankRuehl" w:hint="cs"/>
          <w:sz w:val="20"/>
          <w:szCs w:val="22"/>
          <w:rtl/>
        </w:rPr>
        <w:t>למספר התושבים ב</w:t>
      </w:r>
      <w:r>
        <w:rPr>
          <w:rFonts w:cs="FrankRuehl"/>
          <w:sz w:val="20"/>
          <w:szCs w:val="22"/>
          <w:rtl/>
        </w:rPr>
        <w:t xml:space="preserve">רשויות מקומיות קטנות </w:t>
      </w:r>
      <w:r>
        <w:rPr>
          <w:rFonts w:cs="FrankRuehl" w:hint="cs"/>
          <w:sz w:val="20"/>
          <w:szCs w:val="22"/>
          <w:rtl/>
        </w:rPr>
        <w:t xml:space="preserve">משקל גדול מהנדרש על פי המלצות הוועדה, ואילו </w:t>
      </w:r>
      <w:r>
        <w:rPr>
          <w:rFonts w:cs="FrankRuehl"/>
          <w:sz w:val="20"/>
          <w:szCs w:val="22"/>
          <w:rtl/>
        </w:rPr>
        <w:t xml:space="preserve">למצב החברתי-כלכלי </w:t>
      </w:r>
      <w:r>
        <w:rPr>
          <w:rFonts w:cs="FrankRuehl" w:hint="cs"/>
          <w:sz w:val="20"/>
          <w:szCs w:val="22"/>
          <w:rtl/>
        </w:rPr>
        <w:t>ב</w:t>
      </w:r>
      <w:r>
        <w:rPr>
          <w:rFonts w:cs="FrankRuehl"/>
          <w:sz w:val="20"/>
          <w:szCs w:val="22"/>
          <w:rtl/>
        </w:rPr>
        <w:t>רשויות המקומיות</w:t>
      </w:r>
      <w:r>
        <w:rPr>
          <w:rFonts w:cs="FrankRuehl" w:hint="cs"/>
          <w:sz w:val="20"/>
          <w:szCs w:val="22"/>
          <w:rtl/>
        </w:rPr>
        <w:t xml:space="preserve"> נתן </w:t>
      </w:r>
      <w:r>
        <w:rPr>
          <w:rFonts w:cs="FrankRuehl" w:hint="cs"/>
          <w:sz w:val="20"/>
          <w:szCs w:val="22"/>
          <w:rtl/>
        </w:rPr>
        <w:t xml:space="preserve">משקל קטן מזה שעליו המליצה. </w:t>
      </w:r>
      <w:r>
        <w:rPr>
          <w:rFonts w:cs="FrankRuehl"/>
          <w:sz w:val="20"/>
          <w:szCs w:val="22"/>
          <w:rtl/>
        </w:rPr>
        <w:t>עקב כך, רשויות מקומיות שמצב</w:t>
      </w:r>
      <w:r>
        <w:rPr>
          <w:rFonts w:cs="FrankRuehl" w:hint="cs"/>
          <w:sz w:val="20"/>
          <w:szCs w:val="22"/>
          <w:rtl/>
        </w:rPr>
        <w:t>ן</w:t>
      </w:r>
      <w:r>
        <w:rPr>
          <w:rFonts w:cs="FrankRuehl"/>
          <w:sz w:val="20"/>
          <w:szCs w:val="22"/>
          <w:rtl/>
        </w:rPr>
        <w:t xml:space="preserve"> החברתי-כלכלי איתן, רבות מהן קטנות מאוד, קיבלו מענקי איזון </w:t>
      </w:r>
      <w:r>
        <w:rPr>
          <w:rFonts w:cs="FrankRuehl" w:hint="cs"/>
          <w:sz w:val="20"/>
          <w:szCs w:val="22"/>
          <w:rtl/>
        </w:rPr>
        <w:t>גדולים</w:t>
      </w:r>
      <w:r>
        <w:rPr>
          <w:rFonts w:cs="FrankRuehl"/>
          <w:sz w:val="20"/>
          <w:szCs w:val="22"/>
          <w:rtl/>
        </w:rPr>
        <w:t xml:space="preserve"> בהרבה </w:t>
      </w:r>
      <w:r>
        <w:rPr>
          <w:rFonts w:cs="FrankRuehl" w:hint="cs"/>
          <w:sz w:val="20"/>
          <w:szCs w:val="22"/>
          <w:rtl/>
        </w:rPr>
        <w:t xml:space="preserve">מאלה שהן היו זכאיות לקבל </w:t>
      </w:r>
      <w:r>
        <w:rPr>
          <w:rFonts w:cs="FrankRuehl"/>
          <w:sz w:val="20"/>
          <w:szCs w:val="22"/>
          <w:rtl/>
        </w:rPr>
        <w:t>על פי המלצות הוועדה.</w:t>
      </w:r>
      <w:r>
        <w:rPr>
          <w:rFonts w:cs="FrankRuehl" w:hint="cs"/>
          <w:sz w:val="20"/>
          <w:szCs w:val="22"/>
          <w:rtl/>
        </w:rPr>
        <w:t xml:space="preserve"> </w:t>
      </w:r>
      <w:r>
        <w:rPr>
          <w:rFonts w:cs="FrankRuehl"/>
          <w:sz w:val="20"/>
          <w:szCs w:val="22"/>
          <w:rtl/>
        </w:rPr>
        <w:t>מבקר המדינה</w:t>
      </w:r>
      <w:r>
        <w:rPr>
          <w:rFonts w:cs="FrankRuehl" w:hint="cs"/>
          <w:sz w:val="20"/>
          <w:szCs w:val="22"/>
          <w:rtl/>
        </w:rPr>
        <w:t xml:space="preserve"> המליץ</w:t>
      </w:r>
      <w:r>
        <w:rPr>
          <w:rFonts w:cs="FrankRuehl"/>
          <w:sz w:val="20"/>
          <w:szCs w:val="22"/>
          <w:rtl/>
        </w:rPr>
        <w:t xml:space="preserve"> למשרד הפנים </w:t>
      </w:r>
      <w:r>
        <w:rPr>
          <w:rFonts w:cs="FrankRuehl" w:hint="cs"/>
          <w:sz w:val="20"/>
          <w:szCs w:val="22"/>
          <w:rtl/>
        </w:rPr>
        <w:t xml:space="preserve">בדוח האמור לעשות </w:t>
      </w:r>
      <w:r>
        <w:rPr>
          <w:rFonts w:cs="FrankRuehl"/>
          <w:sz w:val="20"/>
          <w:szCs w:val="22"/>
          <w:rtl/>
        </w:rPr>
        <w:t>מחקר מקיף ומעמיק על פעילות הרשויות ה</w:t>
      </w:r>
      <w:r>
        <w:rPr>
          <w:rFonts w:cs="FrankRuehl"/>
          <w:sz w:val="20"/>
          <w:szCs w:val="22"/>
          <w:rtl/>
        </w:rPr>
        <w:t xml:space="preserve">מקומיות, הכנסותיהן והוצאותיהן </w:t>
      </w:r>
      <w:r>
        <w:rPr>
          <w:rFonts w:cs="FrankRuehl" w:hint="cs"/>
          <w:sz w:val="20"/>
          <w:szCs w:val="22"/>
          <w:rtl/>
        </w:rPr>
        <w:t xml:space="preserve">כדי לקבוע מהי הדרך </w:t>
      </w:r>
      <w:r>
        <w:rPr>
          <w:rFonts w:cs="FrankRuehl"/>
          <w:sz w:val="20"/>
          <w:szCs w:val="22"/>
          <w:rtl/>
        </w:rPr>
        <w:t>הנכונה לחישוב מענק האיזון.</w:t>
      </w:r>
    </w:p>
    <w:p w:rsidR="00000000">
      <w:pPr>
        <w:spacing w:after="120" w:line="230" w:lineRule="exact"/>
        <w:jc w:val="both"/>
        <w:rPr>
          <w:rFonts w:cs="FrankRuehl" w:hint="cs"/>
          <w:sz w:val="20"/>
          <w:szCs w:val="22"/>
          <w:rtl/>
        </w:rPr>
      </w:pPr>
      <w:r>
        <w:rPr>
          <w:rFonts w:cs="FrankRuehl" w:hint="eastAsia"/>
          <w:sz w:val="20"/>
          <w:szCs w:val="22"/>
          <w:rtl/>
        </w:rPr>
        <w:t>בפברואר</w:t>
      </w:r>
      <w:r>
        <w:rPr>
          <w:rFonts w:cs="FrankRuehl"/>
          <w:sz w:val="20"/>
          <w:szCs w:val="22"/>
          <w:rtl/>
        </w:rPr>
        <w:t xml:space="preserve"> 2000</w:t>
      </w:r>
      <w:r>
        <w:rPr>
          <w:rFonts w:cs="FrankRuehl" w:hint="cs"/>
          <w:sz w:val="20"/>
          <w:szCs w:val="22"/>
          <w:rtl/>
        </w:rPr>
        <w:t>,</w:t>
      </w:r>
      <w:r>
        <w:rPr>
          <w:rFonts w:cs="FrankRuehl"/>
          <w:sz w:val="20"/>
          <w:szCs w:val="22"/>
          <w:rtl/>
        </w:rPr>
        <w:t xml:space="preserve"> לקראת סיום הביקורת </w:t>
      </w:r>
      <w:r>
        <w:rPr>
          <w:rFonts w:cs="FrankRuehl" w:hint="cs"/>
          <w:sz w:val="20"/>
          <w:szCs w:val="22"/>
          <w:rtl/>
        </w:rPr>
        <w:t xml:space="preserve">שממצאיה פורסמו בדוח שנתי 50ב, </w:t>
      </w:r>
      <w:r>
        <w:rPr>
          <w:rFonts w:cs="FrankRuehl"/>
          <w:sz w:val="20"/>
          <w:szCs w:val="22"/>
          <w:rtl/>
        </w:rPr>
        <w:t xml:space="preserve">מינה שר הפנים דאז, מר נתן שרנסקי, ועדה בראשות מר יעקב גדיש ז"ל </w:t>
      </w:r>
      <w:r>
        <w:rPr>
          <w:rFonts w:cs="FrankRuehl" w:hint="cs"/>
          <w:sz w:val="20"/>
          <w:szCs w:val="22"/>
          <w:rtl/>
        </w:rPr>
        <w:t>שתפקידה לבחון</w:t>
      </w:r>
      <w:r>
        <w:rPr>
          <w:rFonts w:cs="FrankRuehl"/>
          <w:sz w:val="20"/>
          <w:szCs w:val="22"/>
          <w:rtl/>
        </w:rPr>
        <w:t xml:space="preserve"> </w:t>
      </w:r>
      <w:r>
        <w:rPr>
          <w:rFonts w:cs="FrankRuehl" w:hint="cs"/>
          <w:sz w:val="20"/>
          <w:szCs w:val="22"/>
          <w:rtl/>
        </w:rPr>
        <w:t xml:space="preserve">ולשפר את </w:t>
      </w:r>
      <w:r>
        <w:rPr>
          <w:rFonts w:cs="FrankRuehl"/>
          <w:sz w:val="20"/>
          <w:szCs w:val="22"/>
          <w:rtl/>
        </w:rPr>
        <w:t>הקריטריונים להקצאת מענקי האיזון</w:t>
      </w:r>
      <w:r>
        <w:rPr>
          <w:rFonts w:cs="FrankRuehl"/>
          <w:sz w:val="20"/>
          <w:szCs w:val="22"/>
          <w:rtl/>
        </w:rPr>
        <w:t xml:space="preserve"> לרשויות המקומיות</w:t>
      </w:r>
      <w:r>
        <w:rPr>
          <w:rFonts w:cs="FrankRuehl" w:hint="cs"/>
          <w:sz w:val="20"/>
          <w:szCs w:val="22"/>
          <w:rtl/>
        </w:rPr>
        <w:t xml:space="preserve"> </w:t>
      </w:r>
      <w:r>
        <w:rPr>
          <w:rFonts w:cs="FrankRuehl"/>
          <w:sz w:val="20"/>
          <w:szCs w:val="22"/>
          <w:rtl/>
        </w:rPr>
        <w:t>(להלן - ועדת גדיש).</w:t>
      </w:r>
      <w:r>
        <w:rPr>
          <w:rFonts w:cs="FrankRuehl" w:hint="cs"/>
          <w:sz w:val="20"/>
          <w:szCs w:val="22"/>
          <w:rtl/>
        </w:rPr>
        <w:t xml:space="preserve"> בספטמבר 2001 הגישה הוועדה את המלצותיה לשר הפנים דאז, מר אלי ישי. </w:t>
      </w:r>
      <w:r>
        <w:rPr>
          <w:rFonts w:cs="FrankRuehl"/>
          <w:sz w:val="20"/>
          <w:szCs w:val="22"/>
          <w:rtl/>
        </w:rPr>
        <w:t>במר</w:t>
      </w:r>
      <w:r>
        <w:rPr>
          <w:rFonts w:cs="FrankRuehl" w:hint="cs"/>
          <w:sz w:val="20"/>
          <w:szCs w:val="22"/>
          <w:rtl/>
        </w:rPr>
        <w:t>ס</w:t>
      </w:r>
      <w:r>
        <w:rPr>
          <w:rFonts w:cs="FrankRuehl"/>
          <w:sz w:val="20"/>
          <w:szCs w:val="22"/>
          <w:rtl/>
        </w:rPr>
        <w:t xml:space="preserve"> 2003 החליטה הממשלה להקצות את מענקי האיזון בהתאם להמלצות ועדת גדיש החל </w:t>
      </w:r>
      <w:r>
        <w:rPr>
          <w:rFonts w:cs="FrankRuehl" w:hint="cs"/>
          <w:sz w:val="20"/>
          <w:szCs w:val="22"/>
          <w:rtl/>
        </w:rPr>
        <w:t>באותה שנה.</w:t>
      </w:r>
    </w:p>
    <w:p w:rsidR="00000000">
      <w:pPr>
        <w:spacing w:after="120" w:line="230" w:lineRule="exact"/>
        <w:jc w:val="both"/>
        <w:rPr>
          <w:rFonts w:cs="FrankRuehl" w:hint="cs"/>
          <w:sz w:val="20"/>
          <w:szCs w:val="22"/>
          <w:rtl/>
        </w:rPr>
      </w:pPr>
      <w:r>
        <w:rPr>
          <w:rFonts w:cs="FrankRuehl" w:hint="cs"/>
          <w:sz w:val="20"/>
          <w:szCs w:val="22"/>
          <w:rtl/>
        </w:rPr>
        <w:t>בחודשים מרס-אוגוסט 2007 בדק משרד מבקר המדינה כיצד מקצה משרד הפנים א</w:t>
      </w:r>
      <w:r>
        <w:rPr>
          <w:rFonts w:cs="FrankRuehl" w:hint="cs"/>
          <w:sz w:val="20"/>
          <w:szCs w:val="22"/>
          <w:rtl/>
        </w:rPr>
        <w:t xml:space="preserve">ת מענקי האיזון לרשויות המקומיות. נבדקו אופן יישומן של המלצות ועדת גדיש; </w:t>
      </w:r>
      <w:r>
        <w:rPr>
          <w:rFonts w:cs="FrankRuehl"/>
          <w:sz w:val="20"/>
          <w:szCs w:val="22"/>
          <w:rtl/>
        </w:rPr>
        <w:t>סדרי התקצוב, ההקצאה והתשלום של מענק</w:t>
      </w:r>
      <w:r>
        <w:rPr>
          <w:rFonts w:cs="FrankRuehl" w:hint="cs"/>
          <w:sz w:val="20"/>
          <w:szCs w:val="22"/>
          <w:rtl/>
        </w:rPr>
        <w:t xml:space="preserve">י האיזון; ומידת השוויון בחלוקתם בין הרשויות המקומיות במגזרים השונים. הבדיקה נעשתה </w:t>
      </w:r>
      <w:r>
        <w:rPr>
          <w:rFonts w:cs="FrankRuehl"/>
          <w:sz w:val="20"/>
          <w:szCs w:val="22"/>
          <w:rtl/>
        </w:rPr>
        <w:t xml:space="preserve">במינהל לתכנון, תקצוב ופיתוח </w:t>
      </w:r>
      <w:r>
        <w:rPr>
          <w:rFonts w:cs="FrankRuehl" w:hint="cs"/>
          <w:sz w:val="20"/>
          <w:szCs w:val="22"/>
          <w:rtl/>
        </w:rPr>
        <w:t>שב</w:t>
      </w:r>
      <w:r>
        <w:rPr>
          <w:rFonts w:cs="FrankRuehl"/>
          <w:sz w:val="20"/>
          <w:szCs w:val="22"/>
          <w:rtl/>
        </w:rPr>
        <w:t xml:space="preserve">משרד הפנים </w:t>
      </w:r>
      <w:r>
        <w:rPr>
          <w:rFonts w:cs="FrankRuehl" w:hint="cs"/>
          <w:sz w:val="20"/>
          <w:szCs w:val="22"/>
          <w:rtl/>
        </w:rPr>
        <w:t>ו</w:t>
      </w:r>
      <w:r>
        <w:rPr>
          <w:rFonts w:cs="FrankRuehl"/>
          <w:sz w:val="20"/>
          <w:szCs w:val="22"/>
          <w:rtl/>
        </w:rPr>
        <w:t>בחשבות המשרד</w:t>
      </w:r>
      <w:r>
        <w:rPr>
          <w:rFonts w:cs="FrankRuehl" w:hint="cs"/>
          <w:sz w:val="20"/>
          <w:szCs w:val="22"/>
          <w:rtl/>
        </w:rPr>
        <w:t>. בדיקת השלמה</w:t>
      </w:r>
      <w:r>
        <w:rPr>
          <w:rFonts w:cs="FrankRuehl" w:hint="cs"/>
          <w:sz w:val="20"/>
          <w:szCs w:val="22"/>
          <w:rtl/>
        </w:rPr>
        <w:t xml:space="preserve"> נעשתה </w:t>
      </w:r>
      <w:r>
        <w:rPr>
          <w:rFonts w:cs="FrankRuehl"/>
          <w:sz w:val="20"/>
          <w:szCs w:val="22"/>
          <w:rtl/>
        </w:rPr>
        <w:t>באגף התקציבים שבמשרד האוצר.</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6" w:name="_Toc182212145"/>
      <w:r>
        <w:rPr>
          <w:rFonts w:hint="cs"/>
          <w:rtl/>
        </w:rPr>
        <w:t>אופן הקצאת מענקי האיזון</w:t>
      </w:r>
      <w:bookmarkEnd w:id="6"/>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r>
      <w:r>
        <w:rPr>
          <w:rFonts w:cs="FrankRuehl"/>
          <w:sz w:val="20"/>
          <w:szCs w:val="22"/>
          <w:rtl/>
        </w:rPr>
        <w:t xml:space="preserve">בשנים 2000-2003 הוקצה מענק האיזון </w:t>
      </w:r>
      <w:r>
        <w:rPr>
          <w:rFonts w:cs="FrankRuehl" w:hint="cs"/>
          <w:sz w:val="20"/>
          <w:szCs w:val="22"/>
          <w:rtl/>
        </w:rPr>
        <w:t>על פי</w:t>
      </w:r>
      <w:r>
        <w:rPr>
          <w:rFonts w:cs="FrankRuehl"/>
          <w:sz w:val="20"/>
          <w:szCs w:val="22"/>
          <w:rtl/>
        </w:rPr>
        <w:t xml:space="preserve"> נוסחת מעבר </w:t>
      </w:r>
      <w:r>
        <w:rPr>
          <w:rFonts w:cs="FrankRuehl" w:hint="cs"/>
          <w:sz w:val="20"/>
          <w:szCs w:val="22"/>
          <w:rtl/>
        </w:rPr>
        <w:t>שהתבססה על נתוני המענק בשנת 1999 תוך עדכונם לפי פרמטרים מסוימים, ובהם הדירוג החברתי-כלכלי</w:t>
      </w:r>
      <w:r>
        <w:rPr>
          <w:rStyle w:val="FootnoteReference"/>
          <w:rFonts w:cs="FrankRuehl"/>
          <w:sz w:val="20"/>
          <w:szCs w:val="22"/>
          <w:rtl/>
        </w:rPr>
        <w:footnoteReference w:id="16"/>
      </w:r>
      <w:r>
        <w:rPr>
          <w:rFonts w:cs="FrankRuehl" w:hint="cs"/>
          <w:sz w:val="20"/>
          <w:szCs w:val="22"/>
          <w:rtl/>
        </w:rPr>
        <w:t xml:space="preserve"> של הרשות המקומית, השינוי במספר תושבי הרשות, השינו</w:t>
      </w:r>
      <w:r>
        <w:rPr>
          <w:rFonts w:cs="FrankRuehl" w:hint="cs"/>
          <w:sz w:val="20"/>
          <w:szCs w:val="22"/>
          <w:rtl/>
        </w:rPr>
        <w:t>י בשטחי הארנונה למגורים והשינוי בפירעון המלוות כאחוז מהוצאות הרשות. בשנת 2004 החל משרד הפנים להקצות את מענק האיזון על פי המלצות ועדת גדיש.</w:t>
      </w:r>
    </w:p>
    <w:p w:rsidR="00000000">
      <w:pPr>
        <w:spacing w:after="120" w:line="230" w:lineRule="exact"/>
        <w:jc w:val="both"/>
        <w:rPr>
          <w:rFonts w:cs="FrankRuehl" w:hint="cs"/>
          <w:sz w:val="20"/>
          <w:szCs w:val="22"/>
          <w:rtl/>
        </w:rPr>
      </w:pPr>
      <w:r>
        <w:rPr>
          <w:rFonts w:cs="FrankRuehl" w:hint="cs"/>
          <w:sz w:val="20"/>
          <w:szCs w:val="22"/>
          <w:rtl/>
        </w:rPr>
        <w:t>בשנים 2004-2007 הסתכם התקציב השנתי שהוקצה למענקי איזון בכ-2.5 מיליארד ש"ח בממוצע. בשנים 2004 ו-2005 קיבלו מענקי איזון</w:t>
      </w:r>
      <w:r>
        <w:rPr>
          <w:rFonts w:cs="FrankRuehl" w:hint="cs"/>
          <w:sz w:val="20"/>
          <w:szCs w:val="22"/>
          <w:rtl/>
        </w:rPr>
        <w:t xml:space="preserve"> 245 מ-264 רשויות מקומיות; בשנת 2006 - 234 מ-253 רשויות ובשנת 2007 - 231 מ-252 רשויות</w:t>
      </w:r>
      <w:r>
        <w:rPr>
          <w:rStyle w:val="FootnoteReference"/>
          <w:rFonts w:cs="FrankRuehl"/>
          <w:sz w:val="20"/>
          <w:szCs w:val="22"/>
          <w:rtl/>
        </w:rPr>
        <w:footnoteReference w:id="17"/>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מענקי האיזון הם חלק ניכר מהסיוע הממשלתי לרשויות המקומיות, ובשל היקפם יש להם השפעה ניכרת על הכנסות הרשויות ועל גודל המשאבים העומדים לרשותן. לדוגמה, ההכנסה הכוללת של הרשו</w:t>
      </w:r>
      <w:r>
        <w:rPr>
          <w:rFonts w:cs="FrankRuehl" w:hint="cs"/>
          <w:sz w:val="20"/>
          <w:szCs w:val="22"/>
          <w:rtl/>
        </w:rPr>
        <w:t>יות המקומיות שקיבלו מענקי איזון בשנת 2003 במסגרת התקציב הרגיל הייתה כ-21 מיליארד ש"ח</w:t>
      </w:r>
      <w:r>
        <w:rPr>
          <w:rStyle w:val="FootnoteReference"/>
          <w:rFonts w:cs="FrankRuehl"/>
          <w:sz w:val="20"/>
          <w:szCs w:val="22"/>
          <w:rtl/>
        </w:rPr>
        <w:footnoteReference w:id="18"/>
      </w:r>
      <w:r>
        <w:rPr>
          <w:rFonts w:cs="FrankRuehl" w:hint="cs"/>
          <w:sz w:val="20"/>
          <w:szCs w:val="22"/>
          <w:rtl/>
        </w:rPr>
        <w:t>; והסכום הכולל של מענקי האיזון שניתנו בפועל באותה שנה היה כ-2.2 מיליארד ש</w:t>
      </w:r>
      <w:r>
        <w:rPr>
          <w:rFonts w:cs="FrankRuehl"/>
          <w:sz w:val="20"/>
          <w:szCs w:val="22"/>
          <w:rtl/>
        </w:rPr>
        <w:t>"</w:t>
      </w:r>
      <w:r>
        <w:rPr>
          <w:rFonts w:cs="FrankRuehl" w:hint="cs"/>
          <w:sz w:val="20"/>
          <w:szCs w:val="22"/>
          <w:rtl/>
        </w:rPr>
        <w:t>ח - דהיינו כ-10.5% מהכנסה זו.</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שיטת ועדת גדיש לחישוב מענק האיזון נבדלה משיטת ועדת סוארי בכמה מר</w:t>
      </w:r>
      <w:r>
        <w:rPr>
          <w:rFonts w:cs="FrankRuehl" w:hint="cs"/>
          <w:sz w:val="20"/>
          <w:szCs w:val="22"/>
          <w:rtl/>
        </w:rPr>
        <w:t>כיבים: בשיטת ועדת גדיש צומצמה ההעדפה ליישובים הקטנים שהייתה גלומה בנוסחת ועדת סוארי; לרשויות מקומיות שדירוגן החברתי-כלכלי נמוך ניתנה עדיפות גדולה יותר מזו שנתנה להן ועדת סוארי; הובאו בחשבון כלל החובות של הרשויות המקומיות לטווח הארוך ולטווח הקצר.</w:t>
      </w:r>
    </w:p>
    <w:p w:rsidR="00000000">
      <w:pPr>
        <w:spacing w:after="120" w:line="230" w:lineRule="exact"/>
        <w:jc w:val="both"/>
        <w:rPr>
          <w:rFonts w:cs="FrankRuehl" w:hint="cs"/>
          <w:sz w:val="20"/>
          <w:szCs w:val="22"/>
          <w:rtl/>
        </w:rPr>
      </w:pPr>
      <w:r>
        <w:rPr>
          <w:rFonts w:cs="FrankRuehl"/>
          <w:sz w:val="20"/>
          <w:szCs w:val="22"/>
          <w:rtl/>
        </w:rPr>
        <w:t>המלצות ועד</w:t>
      </w:r>
      <w:r>
        <w:rPr>
          <w:rFonts w:cs="FrankRuehl"/>
          <w:sz w:val="20"/>
          <w:szCs w:val="22"/>
          <w:rtl/>
        </w:rPr>
        <w:t>ת גדיש כללו כמה עקרונות מנחים לחישוב מענק האיזון, ובהם</w:t>
      </w:r>
      <w:r>
        <w:rPr>
          <w:rFonts w:cs="FrankRuehl" w:hint="cs"/>
          <w:sz w:val="20"/>
          <w:szCs w:val="22"/>
          <w:rtl/>
        </w:rPr>
        <w:t xml:space="preserve"> העקרונות האלה: </w:t>
      </w:r>
      <w:r>
        <w:rPr>
          <w:rFonts w:cs="FrankRuehl"/>
          <w:sz w:val="20"/>
          <w:szCs w:val="22"/>
          <w:rtl/>
        </w:rPr>
        <w:br/>
      </w:r>
      <w:r>
        <w:rPr>
          <w:rFonts w:cs="FrankRuehl" w:hint="cs"/>
          <w:sz w:val="20"/>
          <w:szCs w:val="22"/>
          <w:rtl/>
        </w:rPr>
        <w:t>(א)  מענק האיזון שיינתן לרשות מקומית ייקבע לפי ההפרש בין ההוצאה המינימלית המחושבת שלה</w:t>
      </w:r>
      <w:r>
        <w:rPr>
          <w:rStyle w:val="FootnoteReference"/>
          <w:rFonts w:cs="FrankRuehl"/>
          <w:sz w:val="20"/>
          <w:szCs w:val="22"/>
          <w:rtl/>
        </w:rPr>
        <w:footnoteReference w:id="19"/>
      </w:r>
      <w:r>
        <w:rPr>
          <w:rFonts w:cs="FrankRuehl" w:hint="cs"/>
          <w:sz w:val="20"/>
          <w:szCs w:val="22"/>
          <w:rtl/>
        </w:rPr>
        <w:t xml:space="preserve"> לבין ההכנסה הפוטנציאלית המחושבת שלה</w:t>
      </w:r>
      <w:r>
        <w:rPr>
          <w:rStyle w:val="FootnoteReference"/>
          <w:rFonts w:cs="FrankRuehl"/>
          <w:sz w:val="20"/>
          <w:szCs w:val="22"/>
          <w:rtl/>
        </w:rPr>
        <w:footnoteReference w:id="20"/>
      </w:r>
      <w:r>
        <w:rPr>
          <w:rFonts w:cs="FrankRuehl" w:hint="cs"/>
          <w:sz w:val="20"/>
          <w:szCs w:val="22"/>
          <w:rtl/>
        </w:rPr>
        <w:t xml:space="preserve">;   (ב)  ככל שאוכלוסיית הרשות תהיה גדולה יותר, כך תקטן ההוצאה </w:t>
      </w:r>
      <w:r>
        <w:rPr>
          <w:rFonts w:cs="FrankRuehl" w:hint="cs"/>
          <w:sz w:val="20"/>
          <w:szCs w:val="22"/>
          <w:rtl/>
        </w:rPr>
        <w:t xml:space="preserve">המינימלית המחושבת לנפש; וככל שהדירוג החברתי-כלכלי של הרשות יהיה גבוה יותר ומספר תושביה קטן יותר, כך יגדל נטל ההוצאות שיוטל על תושביה;   (ג)  יינתן משקל גדול יותר להשפעה של הדירוג החברתי-כלכלי על מרכיבי ההכנסה וההוצאה של הרשות; </w:t>
      </w:r>
      <w:r>
        <w:rPr>
          <w:rFonts w:cs="FrankRuehl"/>
          <w:sz w:val="20"/>
          <w:szCs w:val="22"/>
          <w:rtl/>
        </w:rPr>
        <w:br/>
      </w:r>
      <w:r>
        <w:rPr>
          <w:rFonts w:cs="FrankRuehl" w:hint="cs"/>
          <w:sz w:val="20"/>
          <w:szCs w:val="22"/>
          <w:rtl/>
        </w:rPr>
        <w:t>(ד)  ייקבעו סכום מרבי להוצאה</w:t>
      </w:r>
      <w:r>
        <w:rPr>
          <w:rFonts w:cs="FrankRuehl" w:hint="cs"/>
          <w:sz w:val="20"/>
          <w:szCs w:val="22"/>
          <w:rtl/>
        </w:rPr>
        <w:t xml:space="preserve"> המחושבת של הרשות וסכום מינימלי להכנסתה המחושבת, על מנת לגרום לרשויות מקומיות ליצור לעצמן מקורות הכנסה חדשים ולמנוע סבסוד של הוצאות "עודפות".</w:t>
      </w:r>
    </w:p>
    <w:p w:rsidR="00000000">
      <w:pPr>
        <w:spacing w:after="120" w:line="230" w:lineRule="exact"/>
        <w:jc w:val="both"/>
        <w:rPr>
          <w:rFonts w:cs="FrankRuehl" w:hint="cs"/>
          <w:sz w:val="20"/>
          <w:szCs w:val="22"/>
          <w:rtl/>
        </w:rPr>
      </w:pPr>
      <w:r>
        <w:rPr>
          <w:rFonts w:cs="FrankRuehl" w:hint="cs"/>
          <w:sz w:val="20"/>
          <w:szCs w:val="22"/>
          <w:rtl/>
        </w:rPr>
        <w:t>ועדת גדיש הייתה ערה לכך שלגבי חלק מהרשויות המקומיות המעבר מחישוב מענקי האיזון על פי נוסחת סוארי לחישובם על פי נוסח</w:t>
      </w:r>
      <w:r>
        <w:rPr>
          <w:rFonts w:cs="FrankRuehl" w:hint="cs"/>
          <w:sz w:val="20"/>
          <w:szCs w:val="22"/>
          <w:rtl/>
        </w:rPr>
        <w:t>ת גדיש יהיה כרוך בשינויים ניכרים: למקצתן ייקבע על פי נוסחת גדיש מענק גבוה במידה ניכרת מהמענק שנקבע להן קודם לכן; ולמקצתן ייקבע מענק נמוך במידה ניכרת מהמענק הקודם. משום כך, ועל מנת לאפשר לרשויות המקומיות להסתגל לשינויים האמורים, המליצה הוועדה כי יישום המלצו</w:t>
      </w:r>
      <w:r>
        <w:rPr>
          <w:rFonts w:cs="FrankRuehl" w:hint="cs"/>
          <w:sz w:val="20"/>
          <w:szCs w:val="22"/>
          <w:rtl/>
        </w:rPr>
        <w:t>תיה ייעשה בהדרגה, במשך פרק זמן של שש שנים לכל היותר (להלן - תקופת המעבר).</w:t>
      </w:r>
      <w:r>
        <w:rPr>
          <w:rFonts w:cs="FrankRuehl"/>
          <w:sz w:val="20"/>
          <w:szCs w:val="22"/>
          <w:rtl/>
        </w:rPr>
        <w:t xml:space="preserve"> הוועדה קבעה כי "קצב המימוש הינו פונקציה של יכולת ההתאמה בין הרשויות שמגיע</w:t>
      </w:r>
      <w:r>
        <w:rPr>
          <w:rFonts w:cs="FrankRuehl" w:hint="cs"/>
          <w:sz w:val="20"/>
          <w:szCs w:val="22"/>
          <w:rtl/>
        </w:rPr>
        <w:t>ה</w:t>
      </w:r>
      <w:r>
        <w:rPr>
          <w:rFonts w:cs="FrankRuehl"/>
          <w:sz w:val="20"/>
          <w:szCs w:val="22"/>
          <w:rtl/>
        </w:rPr>
        <w:t xml:space="preserve"> להם תוספת מענק ורשויות שצריכות לקבל מענקי איזון מופחתים, וכן במגבלת התקציב הכללי"</w:t>
      </w:r>
      <w:r>
        <w:rPr>
          <w:rFonts w:cs="FrankRuehl" w:hint="cs"/>
          <w:sz w:val="20"/>
          <w:szCs w:val="22"/>
          <w:rtl/>
        </w:rPr>
        <w:t>,</w:t>
      </w:r>
      <w:r>
        <w:rPr>
          <w:rFonts w:cs="FrankRuehl"/>
          <w:sz w:val="20"/>
          <w:szCs w:val="22"/>
          <w:rtl/>
        </w:rPr>
        <w:t xml:space="preserve"> והמליצה כי "ההפחתה במענק</w:t>
      </w:r>
      <w:r>
        <w:rPr>
          <w:rFonts w:cs="FrankRuehl"/>
          <w:sz w:val="20"/>
          <w:szCs w:val="22"/>
          <w:rtl/>
        </w:rPr>
        <w:t xml:space="preserve"> האיזון לרשויות </w:t>
      </w:r>
      <w:r>
        <w:rPr>
          <w:rFonts w:cs="FrankRuehl" w:hint="cs"/>
          <w:sz w:val="20"/>
          <w:szCs w:val="22"/>
          <w:rtl/>
        </w:rPr>
        <w:t xml:space="preserve">תהיה </w:t>
      </w:r>
      <w:r>
        <w:rPr>
          <w:rFonts w:cs="FrankRuehl"/>
          <w:sz w:val="20"/>
          <w:szCs w:val="22"/>
          <w:rtl/>
        </w:rPr>
        <w:t>בין 2% ל-5% בשנה מההוצאה המחושבת של כל רשות, בהתאם להחלטת שר הפנים בדבר יכולת הרשות לעמוד בהפחתה ובתנאי שתסתיים במשך 6 שנים. וזאת מלבד רשויות שבתוכנית הבראה שלגביהן תחול רק מגבלת של 6 שנים"</w:t>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במרס 2003 החליטה הממשלה, במסגרת תכנית להב</w:t>
      </w:r>
      <w:r>
        <w:rPr>
          <w:rFonts w:cs="FrankRuehl" w:hint="cs"/>
          <w:sz w:val="20"/>
          <w:szCs w:val="22"/>
          <w:rtl/>
        </w:rPr>
        <w:t>ראת כלכלת ישראל, לקצץ את התקציב המיועד למענקי איזון במידה ניכרת: מ-2,959 מיליון ש"ח בשנת 2002 ל-2,221 מיליון ש"ח בשנת 2003 ול-2,112 מיליון ש"ח בשנת 2004 (קיצוץ של כ-29% מתקציב מענק האיזון לעומת שנת 2002). עקב כך, משנת 2004, שבה החל משרד הפנים להקצות את מענ</w:t>
      </w:r>
      <w:r>
        <w:rPr>
          <w:rFonts w:cs="FrankRuehl" w:hint="cs"/>
          <w:sz w:val="20"/>
          <w:szCs w:val="22"/>
          <w:rtl/>
        </w:rPr>
        <w:t xml:space="preserve">ק האיזון על פי נוסחת גדיש, היה התקציב שאושר למענקי האיזון נמוך מהתקציב הנדרש ליישום נוסחה זו במלואה. בשנים </w:t>
      </w:r>
      <w:r>
        <w:rPr>
          <w:rFonts w:cs="FrankRuehl"/>
          <w:sz w:val="20"/>
          <w:szCs w:val="22"/>
          <w:rtl/>
        </w:rPr>
        <w:br/>
      </w:r>
      <w:r>
        <w:rPr>
          <w:rFonts w:cs="FrankRuehl" w:hint="cs"/>
          <w:sz w:val="20"/>
          <w:szCs w:val="22"/>
          <w:rtl/>
        </w:rPr>
        <w:t>2004-2007 היה הפער השנתי בין התקציב הנדרש ליישום הנוסחה במלואה לבין התקציב המאושר 300-600 מיליון ש"ח, והתקציב המאושר היה 80% עד 90% ממנו.</w:t>
      </w:r>
    </w:p>
    <w:p w:rsidR="00000000">
      <w:pPr>
        <w:spacing w:after="120" w:line="230" w:lineRule="exact"/>
        <w:jc w:val="both"/>
        <w:rPr>
          <w:rFonts w:cs="FrankRuehl" w:hint="cs"/>
          <w:sz w:val="20"/>
          <w:szCs w:val="22"/>
          <w:rtl/>
        </w:rPr>
      </w:pPr>
      <w:r>
        <w:rPr>
          <w:rFonts w:cs="FrankRuehl" w:hint="cs"/>
          <w:sz w:val="20"/>
          <w:szCs w:val="22"/>
          <w:rtl/>
        </w:rPr>
        <w:t>משרד הפנים</w:t>
      </w:r>
      <w:r>
        <w:rPr>
          <w:rFonts w:cs="FrankRuehl" w:hint="cs"/>
          <w:sz w:val="20"/>
          <w:szCs w:val="22"/>
          <w:rtl/>
        </w:rPr>
        <w:t xml:space="preserve"> קובע את מענק האיזון בדרך זו: (א) חישוב מענק מודל</w:t>
      </w:r>
      <w:r>
        <w:rPr>
          <w:rStyle w:val="FootnoteReference"/>
          <w:rFonts w:cs="FrankRuehl"/>
          <w:sz w:val="20"/>
          <w:szCs w:val="22"/>
          <w:rtl/>
        </w:rPr>
        <w:footnoteReference w:id="21"/>
      </w:r>
      <w:r>
        <w:rPr>
          <w:rFonts w:cs="FrankRuehl" w:hint="cs"/>
          <w:sz w:val="20"/>
          <w:szCs w:val="22"/>
          <w:rtl/>
        </w:rPr>
        <w:t>; (ב) חישוב המענק שיוקצה: בחישוב המענק שיוקצה לרשות המקומית בשנה כלשהי מובאים בחשבון המענק שקיבלה הרשות בשנה הקודמת, מענק המודל שהיא זכאית לו, היחס בין מענק המודל לבין ההוצאה המחושבת שלה והתקציב הכולל שאושר</w:t>
      </w:r>
      <w:r>
        <w:rPr>
          <w:rFonts w:cs="FrankRuehl" w:hint="cs"/>
          <w:sz w:val="20"/>
          <w:szCs w:val="22"/>
          <w:rtl/>
        </w:rPr>
        <w:t xml:space="preserve"> לשנה שבעבורה מחושב המענק</w:t>
      </w:r>
      <w:r>
        <w:rPr>
          <w:rStyle w:val="FootnoteReference"/>
          <w:rFonts w:cs="FrankRuehl"/>
          <w:sz w:val="20"/>
          <w:szCs w:val="22"/>
          <w:rtl/>
        </w:rPr>
        <w:footnoteReference w:id="22"/>
      </w:r>
      <w:r>
        <w:rPr>
          <w:rFonts w:cs="FrankRuehl" w:hint="cs"/>
          <w:sz w:val="20"/>
          <w:szCs w:val="22"/>
          <w:rtl/>
        </w:rPr>
        <w:t xml:space="preserve"> (היחס בין המענק שיוקצה לבין מענק המודל המחושבים עבור רשות מקומית יוגדר להלן "שיעור ההקצאה"). היות ששיעור מסוים מהמענק המוקצה לרשות המקומית מותנה בעמידתה ביעדי גביית מסים, המענק הסופי המועבר לרשות מקומית לא תמיד זהה למענק שהוקצה ל</w:t>
      </w:r>
      <w:r>
        <w:rPr>
          <w:rFonts w:cs="FrankRuehl" w:hint="cs"/>
          <w:sz w:val="20"/>
          <w:szCs w:val="22"/>
          <w:rtl/>
        </w:rPr>
        <w:t>ה.</w:t>
      </w:r>
    </w:p>
    <w:p w:rsidR="00000000">
      <w:pPr>
        <w:spacing w:after="240" w:line="230" w:lineRule="exact"/>
        <w:jc w:val="both"/>
        <w:rPr>
          <w:rFonts w:cs="FrankRuehl" w:hint="cs"/>
          <w:sz w:val="20"/>
          <w:szCs w:val="22"/>
          <w:rtl/>
        </w:rPr>
      </w:pPr>
      <w:r>
        <w:rPr>
          <w:rFonts w:cs="FrankRuehl" w:hint="cs"/>
          <w:sz w:val="20"/>
          <w:szCs w:val="22"/>
          <w:rtl/>
        </w:rPr>
        <w:t>להלן בלוח נתוני משרד הפנים על מענקי האיזון בשנים 2004-2007 (</w:t>
      </w:r>
      <w:r>
        <w:rPr>
          <w:rFonts w:cs="FrankRuehl" w:hint="cs"/>
          <w:sz w:val="20"/>
          <w:szCs w:val="22"/>
          <w:u w:val="single"/>
          <w:rtl/>
        </w:rPr>
        <w:t>במיליוני ש"ח ובאחוזים</w:t>
      </w:r>
      <w:r>
        <w:rPr>
          <w:rFonts w:cs="FrankRuehl" w:hint="cs"/>
          <w:sz w:val="20"/>
          <w:szCs w:val="22"/>
          <w:rtl/>
        </w:rPr>
        <w:t>)</w:t>
      </w:r>
      <w:r>
        <w:rPr>
          <w:rStyle w:val="FootnoteReference"/>
          <w:rFonts w:cs="FrankRuehl"/>
          <w:sz w:val="20"/>
          <w:szCs w:val="22"/>
          <w:rtl/>
        </w:rPr>
        <w:footnoteReference w:id="23"/>
      </w:r>
      <w:r>
        <w:rPr>
          <w:rFonts w:cs="FrankRuehl" w:hint="cs"/>
          <w:sz w:val="20"/>
          <w:szCs w:val="22"/>
          <w:rtl/>
        </w:rPr>
        <w:t>:</w:t>
      </w:r>
    </w:p>
    <w:tbl>
      <w:tblPr>
        <w:tblW w:w="669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1140"/>
        <w:gridCol w:w="1065"/>
        <w:gridCol w:w="1065"/>
        <w:gridCol w:w="1064"/>
        <w:gridCol w:w="2357"/>
      </w:tblGrid>
      <w:tr>
        <w:tblPrEx>
          <w:tblW w:w="669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Ex>
        <w:trPr>
          <w:jc w:val="center"/>
        </w:trPr>
        <w:tc>
          <w:tcPr>
            <w:tcW w:w="852" w:type="pct"/>
            <w:tcBorders>
              <w:top w:val="single" w:sz="12" w:space="0" w:color="000000"/>
              <w:left w:val="single" w:sz="12" w:space="0" w:color="000000"/>
              <w:bottom w:val="single" w:sz="12" w:space="0" w:color="000000"/>
              <w:right w:val="single" w:sz="4" w:space="0" w:color="000000"/>
            </w:tcBorders>
            <w:shd w:val="pct10" w:color="auto" w:fill="auto"/>
            <w:vAlign w:val="bottom"/>
          </w:tcPr>
          <w:p w:rsidR="00000000">
            <w:pPr>
              <w:spacing w:before="40" w:after="40"/>
              <w:rPr>
                <w:rFonts w:cs="FrankRuehl" w:hint="cs"/>
                <w:szCs w:val="20"/>
                <w:rtl/>
              </w:rPr>
            </w:pPr>
            <w:r>
              <w:rPr>
                <w:rFonts w:cs="FrankRuehl"/>
                <w:b/>
                <w:bCs/>
                <w:szCs w:val="20"/>
                <w:rtl/>
              </w:rPr>
              <w:t>2007</w:t>
            </w:r>
            <w:r>
              <w:rPr>
                <w:rFonts w:cs="FrankRuehl" w:hint="cs"/>
                <w:szCs w:val="20"/>
                <w:rtl/>
              </w:rPr>
              <w:t xml:space="preserve"> </w:t>
            </w:r>
          </w:p>
        </w:tc>
        <w:tc>
          <w:tcPr>
            <w:tcW w:w="796" w:type="pct"/>
            <w:tcBorders>
              <w:top w:val="single" w:sz="12" w:space="0" w:color="000000"/>
              <w:left w:val="single" w:sz="4" w:space="0" w:color="000000"/>
              <w:bottom w:val="single" w:sz="12" w:space="0" w:color="000000"/>
              <w:right w:val="single" w:sz="4" w:space="0" w:color="000000"/>
            </w:tcBorders>
            <w:shd w:val="pct10" w:color="auto" w:fill="auto"/>
            <w:vAlign w:val="bottom"/>
          </w:tcPr>
          <w:p w:rsidR="00000000">
            <w:pPr>
              <w:spacing w:before="40" w:after="40"/>
              <w:rPr>
                <w:rFonts w:cs="FrankRuehl" w:hint="cs"/>
                <w:szCs w:val="20"/>
                <w:rtl/>
              </w:rPr>
            </w:pPr>
            <w:r>
              <w:rPr>
                <w:rFonts w:cs="FrankRuehl"/>
                <w:b/>
                <w:bCs/>
                <w:szCs w:val="20"/>
                <w:rtl/>
              </w:rPr>
              <w:t>2006</w:t>
            </w:r>
            <w:r>
              <w:rPr>
                <w:rFonts w:cs="FrankRuehl" w:hint="cs"/>
                <w:szCs w:val="20"/>
                <w:rtl/>
              </w:rPr>
              <w:t xml:space="preserve"> </w:t>
            </w:r>
          </w:p>
        </w:tc>
        <w:tc>
          <w:tcPr>
            <w:tcW w:w="796" w:type="pct"/>
            <w:tcBorders>
              <w:top w:val="single" w:sz="12" w:space="0" w:color="000000"/>
              <w:left w:val="single" w:sz="4" w:space="0" w:color="000000"/>
              <w:bottom w:val="single" w:sz="12" w:space="0" w:color="000000"/>
              <w:right w:val="single" w:sz="4" w:space="0" w:color="000000"/>
            </w:tcBorders>
            <w:shd w:val="pct10" w:color="auto" w:fill="auto"/>
            <w:vAlign w:val="bottom"/>
          </w:tcPr>
          <w:p w:rsidR="00000000">
            <w:pPr>
              <w:spacing w:before="40" w:after="40"/>
              <w:rPr>
                <w:rFonts w:cs="FrankRuehl" w:hint="cs"/>
                <w:szCs w:val="20"/>
                <w:rtl/>
              </w:rPr>
            </w:pPr>
            <w:r>
              <w:rPr>
                <w:rFonts w:cs="FrankRuehl"/>
                <w:b/>
                <w:bCs/>
                <w:szCs w:val="20"/>
                <w:rtl/>
              </w:rPr>
              <w:t>2005</w:t>
            </w:r>
            <w:r>
              <w:rPr>
                <w:rFonts w:cs="FrankRuehl" w:hint="cs"/>
                <w:szCs w:val="20"/>
                <w:rtl/>
              </w:rPr>
              <w:t xml:space="preserve"> </w:t>
            </w:r>
          </w:p>
        </w:tc>
        <w:tc>
          <w:tcPr>
            <w:tcW w:w="795" w:type="pct"/>
            <w:tcBorders>
              <w:top w:val="single" w:sz="12" w:space="0" w:color="000000"/>
              <w:left w:val="single" w:sz="4" w:space="0" w:color="000000"/>
              <w:bottom w:val="single" w:sz="12" w:space="0" w:color="000000"/>
              <w:right w:val="single" w:sz="4" w:space="0" w:color="000000"/>
            </w:tcBorders>
            <w:shd w:val="pct10" w:color="auto" w:fill="auto"/>
            <w:vAlign w:val="bottom"/>
          </w:tcPr>
          <w:p w:rsidR="00000000">
            <w:pPr>
              <w:spacing w:before="40" w:after="40"/>
              <w:rPr>
                <w:rFonts w:cs="FrankRuehl" w:hint="cs"/>
                <w:szCs w:val="20"/>
                <w:rtl/>
              </w:rPr>
            </w:pPr>
            <w:r>
              <w:rPr>
                <w:rFonts w:cs="FrankRuehl"/>
                <w:b/>
                <w:bCs/>
                <w:szCs w:val="20"/>
                <w:rtl/>
              </w:rPr>
              <w:t>2004</w:t>
            </w:r>
            <w:r>
              <w:rPr>
                <w:rFonts w:cs="FrankRuehl" w:hint="cs"/>
                <w:szCs w:val="20"/>
                <w:rtl/>
              </w:rPr>
              <w:t xml:space="preserve"> </w:t>
            </w:r>
          </w:p>
        </w:tc>
        <w:tc>
          <w:tcPr>
            <w:tcW w:w="1761" w:type="pct"/>
            <w:tcBorders>
              <w:top w:val="single" w:sz="12" w:space="0" w:color="000000"/>
              <w:left w:val="single" w:sz="4" w:space="0" w:color="000000"/>
              <w:bottom w:val="single" w:sz="12" w:space="0" w:color="000000"/>
              <w:right w:val="single" w:sz="12" w:space="0" w:color="000000"/>
            </w:tcBorders>
            <w:shd w:val="pct10" w:color="auto" w:fill="auto"/>
            <w:vAlign w:val="bottom"/>
          </w:tcPr>
          <w:p w:rsidR="00000000">
            <w:pPr>
              <w:spacing w:before="40" w:after="40"/>
              <w:rPr>
                <w:rFonts w:cs="FrankRuehl" w:hint="cs"/>
                <w:b/>
                <w:bCs/>
                <w:szCs w:val="20"/>
                <w:rtl/>
              </w:rPr>
            </w:pPr>
          </w:p>
        </w:tc>
      </w:tr>
      <w:tr>
        <w:tblPrEx>
          <w:tblW w:w="6691" w:type="dxa"/>
          <w:jc w:val="center"/>
          <w:tblLook w:val="01E0"/>
        </w:tblPrEx>
        <w:trPr>
          <w:jc w:val="center"/>
        </w:trPr>
        <w:tc>
          <w:tcPr>
            <w:tcW w:w="852" w:type="pct"/>
            <w:tcBorders>
              <w:top w:val="single" w:sz="12" w:space="0" w:color="000000"/>
              <w:left w:val="single" w:sz="12"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2,894</w:t>
            </w:r>
          </w:p>
        </w:tc>
        <w:tc>
          <w:tcPr>
            <w:tcW w:w="796" w:type="pct"/>
            <w:tcBorders>
              <w:top w:val="single" w:sz="12" w:space="0" w:color="000000"/>
              <w:left w:val="single" w:sz="4"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3,000</w:t>
            </w:r>
          </w:p>
        </w:tc>
        <w:tc>
          <w:tcPr>
            <w:tcW w:w="796" w:type="pct"/>
            <w:tcBorders>
              <w:top w:val="single" w:sz="12" w:space="0" w:color="000000"/>
              <w:left w:val="single" w:sz="4"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3,049</w:t>
            </w:r>
          </w:p>
        </w:tc>
        <w:tc>
          <w:tcPr>
            <w:tcW w:w="795" w:type="pct"/>
            <w:tcBorders>
              <w:top w:val="single" w:sz="12" w:space="0" w:color="000000"/>
              <w:left w:val="single" w:sz="4"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2,969</w:t>
            </w:r>
          </w:p>
        </w:tc>
        <w:tc>
          <w:tcPr>
            <w:tcW w:w="1761" w:type="pct"/>
            <w:tcBorders>
              <w:top w:val="single" w:sz="12" w:space="0" w:color="000000"/>
              <w:left w:val="single" w:sz="4" w:space="0" w:color="000000"/>
              <w:bottom w:val="nil"/>
              <w:right w:val="single" w:sz="12" w:space="0" w:color="000000"/>
            </w:tcBorders>
            <w:vAlign w:val="bottom"/>
          </w:tcPr>
          <w:p w:rsidR="00000000">
            <w:pPr>
              <w:spacing w:before="40" w:after="40"/>
              <w:rPr>
                <w:rFonts w:cs="FrankRuehl"/>
                <w:b/>
                <w:bCs/>
                <w:szCs w:val="20"/>
              </w:rPr>
            </w:pPr>
            <w:r>
              <w:rPr>
                <w:rFonts w:cs="FrankRuehl" w:hint="cs"/>
                <w:b/>
                <w:bCs/>
                <w:szCs w:val="20"/>
                <w:rtl/>
              </w:rPr>
              <w:t>מענק המודל</w:t>
            </w:r>
          </w:p>
        </w:tc>
      </w:tr>
      <w:tr>
        <w:tblPrEx>
          <w:tblW w:w="6691" w:type="dxa"/>
          <w:jc w:val="center"/>
          <w:tblLook w:val="01E0"/>
        </w:tblPrEx>
        <w:trPr>
          <w:jc w:val="center"/>
        </w:trPr>
        <w:tc>
          <w:tcPr>
            <w:tcW w:w="852" w:type="pct"/>
            <w:tcBorders>
              <w:top w:val="nil"/>
              <w:left w:val="single" w:sz="12"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2,433</w:t>
            </w:r>
          </w:p>
        </w:tc>
        <w:tc>
          <w:tcPr>
            <w:tcW w:w="796" w:type="pct"/>
            <w:tcBorders>
              <w:top w:val="nil"/>
              <w:left w:val="single" w:sz="4"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2,603</w:t>
            </w:r>
          </w:p>
        </w:tc>
        <w:tc>
          <w:tcPr>
            <w:tcW w:w="796" w:type="pct"/>
            <w:tcBorders>
              <w:top w:val="nil"/>
              <w:left w:val="single" w:sz="4"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2,470</w:t>
            </w:r>
          </w:p>
        </w:tc>
        <w:tc>
          <w:tcPr>
            <w:tcW w:w="795" w:type="pct"/>
            <w:tcBorders>
              <w:top w:val="nil"/>
              <w:left w:val="single" w:sz="4" w:space="0" w:color="000000"/>
              <w:bottom w:val="nil"/>
              <w:right w:val="single" w:sz="4" w:space="0" w:color="000000"/>
            </w:tcBorders>
            <w:vAlign w:val="bottom"/>
          </w:tcPr>
          <w:p w:rsidR="00000000">
            <w:pPr>
              <w:spacing w:before="40" w:after="40"/>
              <w:rPr>
                <w:rFonts w:cs="FrankRuehl" w:hint="cs"/>
                <w:szCs w:val="20"/>
                <w:rtl/>
              </w:rPr>
            </w:pPr>
            <w:r>
              <w:rPr>
                <w:rFonts w:cs="FrankRuehl" w:hint="cs"/>
                <w:szCs w:val="20"/>
                <w:rtl/>
              </w:rPr>
              <w:t>2,047</w:t>
            </w:r>
          </w:p>
        </w:tc>
        <w:tc>
          <w:tcPr>
            <w:tcW w:w="1761" w:type="pct"/>
            <w:tcBorders>
              <w:top w:val="nil"/>
              <w:left w:val="single" w:sz="4" w:space="0" w:color="000000"/>
              <w:bottom w:val="nil"/>
              <w:right w:val="single" w:sz="12" w:space="0" w:color="000000"/>
            </w:tcBorders>
            <w:vAlign w:val="bottom"/>
          </w:tcPr>
          <w:p w:rsidR="00000000">
            <w:pPr>
              <w:spacing w:before="40" w:after="40"/>
              <w:rPr>
                <w:rFonts w:cs="FrankRuehl" w:hint="cs"/>
                <w:b/>
                <w:bCs/>
                <w:szCs w:val="20"/>
                <w:rtl/>
              </w:rPr>
            </w:pPr>
            <w:r>
              <w:rPr>
                <w:rFonts w:cs="FrankRuehl" w:hint="cs"/>
                <w:b/>
                <w:bCs/>
                <w:szCs w:val="20"/>
                <w:rtl/>
              </w:rPr>
              <w:t>המענק שהוקצה</w:t>
            </w:r>
          </w:p>
        </w:tc>
      </w:tr>
      <w:tr>
        <w:tblPrEx>
          <w:tblW w:w="6691" w:type="dxa"/>
          <w:jc w:val="center"/>
          <w:tblLook w:val="01E0"/>
        </w:tblPrEx>
        <w:trPr>
          <w:jc w:val="center"/>
        </w:trPr>
        <w:tc>
          <w:tcPr>
            <w:tcW w:w="852" w:type="pct"/>
            <w:tcBorders>
              <w:top w:val="nil"/>
              <w:left w:val="single" w:sz="12" w:space="0" w:color="000000"/>
              <w:bottom w:val="single" w:sz="12" w:space="0" w:color="000000"/>
              <w:right w:val="single" w:sz="4" w:space="0" w:color="000000"/>
            </w:tcBorders>
            <w:vAlign w:val="bottom"/>
          </w:tcPr>
          <w:p w:rsidR="00000000">
            <w:pPr>
              <w:spacing w:before="40" w:after="40"/>
              <w:rPr>
                <w:rFonts w:cs="FrankRuehl"/>
                <w:szCs w:val="20"/>
                <w:rtl/>
              </w:rPr>
            </w:pPr>
            <w:r>
              <w:rPr>
                <w:rFonts w:cs="FrankRuehl" w:hint="cs"/>
                <w:szCs w:val="20"/>
                <w:rtl/>
              </w:rPr>
              <w:t>84.1%</w:t>
            </w:r>
          </w:p>
        </w:tc>
        <w:tc>
          <w:tcPr>
            <w:tcW w:w="796" w:type="pct"/>
            <w:tcBorders>
              <w:top w:val="nil"/>
              <w:left w:val="single" w:sz="4" w:space="0" w:color="000000"/>
              <w:bottom w:val="single" w:sz="12" w:space="0" w:color="000000"/>
              <w:right w:val="single" w:sz="4" w:space="0" w:color="000000"/>
            </w:tcBorders>
            <w:vAlign w:val="bottom"/>
          </w:tcPr>
          <w:p w:rsidR="00000000">
            <w:pPr>
              <w:spacing w:before="40" w:after="40"/>
              <w:rPr>
                <w:rFonts w:cs="FrankRuehl" w:hint="cs"/>
                <w:szCs w:val="20"/>
                <w:rtl/>
              </w:rPr>
            </w:pPr>
            <w:r>
              <w:rPr>
                <w:rFonts w:cs="FrankRuehl" w:hint="cs"/>
                <w:szCs w:val="20"/>
                <w:rtl/>
              </w:rPr>
              <w:t>86.7%</w:t>
            </w:r>
          </w:p>
        </w:tc>
        <w:tc>
          <w:tcPr>
            <w:tcW w:w="796" w:type="pct"/>
            <w:tcBorders>
              <w:top w:val="nil"/>
              <w:left w:val="single" w:sz="4" w:space="0" w:color="000000"/>
              <w:bottom w:val="single" w:sz="12" w:space="0" w:color="000000"/>
              <w:right w:val="single" w:sz="4" w:space="0" w:color="000000"/>
            </w:tcBorders>
            <w:vAlign w:val="bottom"/>
          </w:tcPr>
          <w:p w:rsidR="00000000">
            <w:pPr>
              <w:spacing w:before="40" w:after="40"/>
              <w:rPr>
                <w:rFonts w:cs="FrankRuehl" w:hint="cs"/>
                <w:szCs w:val="20"/>
                <w:rtl/>
              </w:rPr>
            </w:pPr>
            <w:r>
              <w:rPr>
                <w:rFonts w:cs="FrankRuehl" w:hint="cs"/>
                <w:szCs w:val="20"/>
                <w:rtl/>
              </w:rPr>
              <w:t>81.0%</w:t>
            </w:r>
          </w:p>
        </w:tc>
        <w:tc>
          <w:tcPr>
            <w:tcW w:w="795" w:type="pct"/>
            <w:tcBorders>
              <w:top w:val="nil"/>
              <w:left w:val="single" w:sz="4" w:space="0" w:color="000000"/>
              <w:bottom w:val="single" w:sz="12" w:space="0" w:color="000000"/>
              <w:right w:val="single" w:sz="4" w:space="0" w:color="000000"/>
            </w:tcBorders>
            <w:vAlign w:val="bottom"/>
          </w:tcPr>
          <w:p w:rsidR="00000000">
            <w:pPr>
              <w:spacing w:before="40" w:after="40"/>
              <w:rPr>
                <w:rFonts w:cs="FrankRuehl" w:hint="cs"/>
                <w:szCs w:val="20"/>
                <w:rtl/>
              </w:rPr>
            </w:pPr>
            <w:r>
              <w:rPr>
                <w:rFonts w:cs="FrankRuehl" w:hint="cs"/>
                <w:szCs w:val="20"/>
                <w:rtl/>
              </w:rPr>
              <w:t>68.9%</w:t>
            </w:r>
          </w:p>
        </w:tc>
        <w:tc>
          <w:tcPr>
            <w:tcW w:w="1761" w:type="pct"/>
            <w:tcBorders>
              <w:top w:val="nil"/>
              <w:left w:val="single" w:sz="4" w:space="0" w:color="000000"/>
              <w:bottom w:val="single" w:sz="12" w:space="0" w:color="000000"/>
              <w:right w:val="single" w:sz="12" w:space="0" w:color="000000"/>
            </w:tcBorders>
            <w:vAlign w:val="bottom"/>
          </w:tcPr>
          <w:p w:rsidR="00000000">
            <w:pPr>
              <w:spacing w:before="40" w:after="40"/>
              <w:rPr>
                <w:rFonts w:cs="FrankRuehl" w:hint="cs"/>
                <w:b/>
                <w:bCs/>
                <w:szCs w:val="20"/>
                <w:rtl/>
              </w:rPr>
            </w:pPr>
            <w:r>
              <w:rPr>
                <w:rFonts w:cs="FrankRuehl" w:hint="cs"/>
                <w:b/>
                <w:bCs/>
                <w:szCs w:val="20"/>
                <w:rtl/>
              </w:rPr>
              <w:t>שיעור ההקצאה הממוצע</w:t>
            </w:r>
          </w:p>
        </w:tc>
      </w:tr>
    </w:tbl>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r>
        <w:rPr>
          <w:rFonts w:hint="cs"/>
          <w:rtl/>
        </w:rPr>
        <w:t>הפערים בין מענקי האיז</w:t>
      </w:r>
      <w:r>
        <w:rPr>
          <w:rFonts w:hint="cs"/>
          <w:rtl/>
        </w:rPr>
        <w:t>ון המוקצים למגזרים השונים</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 xml:space="preserve">בפסק דין של בג"ץ נכתב כדלקמן: </w:t>
      </w:r>
      <w:r>
        <w:rPr>
          <w:rFonts w:cs="FrankRuehl"/>
          <w:sz w:val="20"/>
          <w:szCs w:val="22"/>
          <w:rtl/>
        </w:rPr>
        <w:t xml:space="preserve">"השוויון הוא ערך יסוד המהווה את ליבת החיים הדמוקרטיים. בבסיסו של עיקרון זה עומדת התפיסה כי כל אדם ערכו זהה, ואין שוני בין אדם לאדם מטעמים שאינם ענייניים. כמו כן, אין אדם או קבוצה העדיפים על חבריהם </w:t>
      </w:r>
      <w:r>
        <w:rPr>
          <w:rFonts w:cs="FrankRuehl"/>
          <w:sz w:val="20"/>
          <w:szCs w:val="22"/>
          <w:rtl/>
        </w:rPr>
        <w:t xml:space="preserve">בעיני המדינה. עיקרון השוויון חולש על כל תחומי המשפט וחל גם על חלוקת תקציבים ותמיכות על ידי הרשות. הלכות רבות נקבעו בעניין החלת עיקרון השוויון בחלוקת תקציבים ותמיכות. תמציתן של הלכות אלו היא </w:t>
      </w:r>
      <w:r>
        <w:rPr>
          <w:rFonts w:cs="FrankRuehl"/>
          <w:sz w:val="20"/>
          <w:szCs w:val="22"/>
          <w:rtl/>
        </w:rPr>
        <w:t xml:space="preserve">שחלוקת התקציבים והתמיכות על ידי המדינה צריכה להיעשות תוך שמירה על </w:t>
      </w:r>
      <w:r>
        <w:rPr>
          <w:rFonts w:cs="FrankRuehl"/>
          <w:sz w:val="20"/>
          <w:szCs w:val="22"/>
          <w:rtl/>
        </w:rPr>
        <w:t>עקרונות של שוויון וסבירות ותוך קביעת קריטריונים ברורים וגלויים לחלוקת הכספים"</w:t>
      </w:r>
      <w:r>
        <w:rPr>
          <w:rStyle w:val="FootnoteReference"/>
          <w:rFonts w:cs="FrankRuehl"/>
          <w:sz w:val="20"/>
          <w:szCs w:val="22"/>
          <w:rtl/>
        </w:rPr>
        <w:footnoteReference w:id="24"/>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ב</w:t>
      </w:r>
      <w:r>
        <w:rPr>
          <w:rFonts w:cs="FrankRuehl"/>
          <w:sz w:val="20"/>
          <w:szCs w:val="22"/>
          <w:rtl/>
        </w:rPr>
        <w:t>אפריל 2007 מנתה אוכלוסיית ישראל</w:t>
      </w:r>
      <w:r>
        <w:rPr>
          <w:rFonts w:cs="FrankRuehl" w:hint="cs"/>
          <w:sz w:val="20"/>
          <w:szCs w:val="22"/>
          <w:rtl/>
        </w:rPr>
        <w:t>,</w:t>
      </w:r>
      <w:r>
        <w:rPr>
          <w:rFonts w:cs="FrankRuehl"/>
          <w:sz w:val="20"/>
          <w:szCs w:val="22"/>
          <w:rtl/>
        </w:rPr>
        <w:t xml:space="preserve"> לפי נתוני הל</w:t>
      </w:r>
      <w:r>
        <w:rPr>
          <w:rFonts w:cs="FrankRuehl" w:hint="cs"/>
          <w:sz w:val="20"/>
          <w:szCs w:val="22"/>
          <w:rtl/>
        </w:rPr>
        <w:t>שכה המרכזית לסטטיסטיקה,</w:t>
      </w:r>
      <w:r>
        <w:rPr>
          <w:rFonts w:cs="FrankRuehl"/>
          <w:sz w:val="20"/>
          <w:szCs w:val="22"/>
          <w:rtl/>
        </w:rPr>
        <w:t xml:space="preserve"> כ-7.1 מיליון </w:t>
      </w:r>
      <w:r>
        <w:rPr>
          <w:rFonts w:cs="FrankRuehl" w:hint="cs"/>
          <w:sz w:val="20"/>
          <w:szCs w:val="22"/>
          <w:rtl/>
        </w:rPr>
        <w:t>בני אדם</w:t>
      </w:r>
      <w:r>
        <w:rPr>
          <w:rFonts w:cs="FrankRuehl"/>
          <w:sz w:val="20"/>
          <w:szCs w:val="22"/>
          <w:rtl/>
        </w:rPr>
        <w:t xml:space="preserve">; כ-1.4 מיליון </w:t>
      </w:r>
      <w:r>
        <w:rPr>
          <w:rFonts w:cs="FrankRuehl" w:hint="cs"/>
          <w:sz w:val="20"/>
          <w:szCs w:val="22"/>
          <w:rtl/>
        </w:rPr>
        <w:t>(</w:t>
      </w:r>
      <w:r>
        <w:rPr>
          <w:rFonts w:cs="FrankRuehl"/>
          <w:sz w:val="20"/>
          <w:szCs w:val="22"/>
          <w:rtl/>
        </w:rPr>
        <w:t>כ-20%</w:t>
      </w:r>
      <w:r>
        <w:rPr>
          <w:rFonts w:cs="FrankRuehl" w:hint="cs"/>
          <w:sz w:val="20"/>
          <w:szCs w:val="22"/>
          <w:rtl/>
        </w:rPr>
        <w:t>)</w:t>
      </w:r>
      <w:r>
        <w:rPr>
          <w:rFonts w:cs="FrankRuehl"/>
          <w:sz w:val="20"/>
          <w:szCs w:val="22"/>
          <w:rtl/>
        </w:rPr>
        <w:t xml:space="preserve"> מהם שייכים לשלושה מגזרי מיעוטים עיקריים: ערבים, דרוזים ובדוא</w:t>
      </w:r>
      <w:r>
        <w:rPr>
          <w:rFonts w:cs="FrankRuehl"/>
          <w:sz w:val="20"/>
          <w:szCs w:val="22"/>
          <w:rtl/>
        </w:rPr>
        <w:t xml:space="preserve">ים (להלן - מגזרי המיעוטים). </w:t>
      </w:r>
      <w:r>
        <w:rPr>
          <w:rFonts w:cs="FrankRuehl" w:hint="cs"/>
          <w:sz w:val="20"/>
          <w:szCs w:val="22"/>
          <w:rtl/>
        </w:rPr>
        <w:t>באותה שנה היו בישראל</w:t>
      </w:r>
      <w:r>
        <w:rPr>
          <w:rFonts w:cs="FrankRuehl"/>
          <w:sz w:val="20"/>
          <w:szCs w:val="22"/>
          <w:rtl/>
        </w:rPr>
        <w:t xml:space="preserve"> </w:t>
      </w:r>
      <w:r>
        <w:rPr>
          <w:rFonts w:cs="FrankRuehl" w:hint="cs"/>
          <w:sz w:val="20"/>
          <w:szCs w:val="22"/>
          <w:rtl/>
        </w:rPr>
        <w:t>252</w:t>
      </w:r>
      <w:r>
        <w:rPr>
          <w:rFonts w:cs="FrankRuehl"/>
          <w:sz w:val="20"/>
          <w:szCs w:val="22"/>
          <w:rtl/>
        </w:rPr>
        <w:t xml:space="preserve"> רשויות מקומיות, </w:t>
      </w:r>
      <w:r>
        <w:rPr>
          <w:rFonts w:cs="FrankRuehl" w:hint="cs"/>
          <w:sz w:val="20"/>
          <w:szCs w:val="22"/>
          <w:rtl/>
        </w:rPr>
        <w:t xml:space="preserve">מהן </w:t>
      </w:r>
      <w:r>
        <w:rPr>
          <w:rFonts w:cs="FrankRuehl"/>
          <w:sz w:val="20"/>
          <w:szCs w:val="22"/>
          <w:rtl/>
        </w:rPr>
        <w:t>172 רשויות (68%) במגזר היהודי ו-</w:t>
      </w:r>
      <w:r>
        <w:rPr>
          <w:rFonts w:cs="FrankRuehl" w:hint="cs"/>
          <w:sz w:val="20"/>
          <w:szCs w:val="22"/>
          <w:rtl/>
        </w:rPr>
        <w:t>80</w:t>
      </w:r>
      <w:r>
        <w:rPr>
          <w:rFonts w:cs="FrankRuehl"/>
          <w:sz w:val="20"/>
          <w:szCs w:val="22"/>
          <w:rtl/>
        </w:rPr>
        <w:t xml:space="preserve"> רשויות (32%) במגזרי המיעוטים</w:t>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על פי נתוני הלשכה המרכזית לסטטיסטיקה, 76 (96%) מ-79 הרשויות המקומיות במגזרי המיעוטים, לגביהן קיים נתון על דירוגן החברת</w:t>
      </w:r>
      <w:r>
        <w:rPr>
          <w:rFonts w:cs="FrankRuehl" w:hint="cs"/>
          <w:sz w:val="20"/>
          <w:szCs w:val="22"/>
          <w:rtl/>
        </w:rPr>
        <w:t>י-כלכלי</w:t>
      </w:r>
      <w:r>
        <w:rPr>
          <w:rStyle w:val="FootnoteReference"/>
          <w:rFonts w:cs="FrankRuehl"/>
          <w:sz w:val="20"/>
          <w:szCs w:val="22"/>
          <w:rtl/>
        </w:rPr>
        <w:footnoteReference w:id="25"/>
      </w:r>
      <w:r>
        <w:rPr>
          <w:rFonts w:cs="FrankRuehl" w:hint="cs"/>
          <w:sz w:val="20"/>
          <w:szCs w:val="22"/>
          <w:rtl/>
        </w:rPr>
        <w:t>, נמצאות באשכולות החברתיים-כלכליים 1-4 - האשכולות הנמוכים ביותר.</w:t>
      </w:r>
    </w:p>
    <w:p w:rsidR="00000000">
      <w:pPr>
        <w:spacing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r>
      <w:r>
        <w:rPr>
          <w:rFonts w:cs="FrankRuehl" w:hint="eastAsia"/>
          <w:sz w:val="20"/>
          <w:szCs w:val="22"/>
          <w:rtl/>
        </w:rPr>
        <w:t>עד</w:t>
      </w:r>
      <w:r>
        <w:rPr>
          <w:rFonts w:cs="FrankRuehl"/>
          <w:sz w:val="20"/>
          <w:szCs w:val="22"/>
          <w:rtl/>
        </w:rPr>
        <w:t xml:space="preserve"> אמצע שנות </w:t>
      </w:r>
      <w:r>
        <w:rPr>
          <w:rFonts w:cs="FrankRuehl" w:hint="cs"/>
          <w:sz w:val="20"/>
          <w:szCs w:val="22"/>
          <w:rtl/>
        </w:rPr>
        <w:t xml:space="preserve">התשעים של המאה העשרים היו </w:t>
      </w:r>
      <w:r>
        <w:rPr>
          <w:rFonts w:cs="FrankRuehl"/>
          <w:sz w:val="20"/>
          <w:szCs w:val="22"/>
          <w:rtl/>
        </w:rPr>
        <w:t xml:space="preserve">פערים ניכרים </w:t>
      </w:r>
      <w:r>
        <w:rPr>
          <w:rFonts w:cs="FrankRuehl" w:hint="cs"/>
          <w:sz w:val="20"/>
          <w:szCs w:val="22"/>
          <w:rtl/>
        </w:rPr>
        <w:t xml:space="preserve">בין </w:t>
      </w:r>
      <w:r>
        <w:rPr>
          <w:rFonts w:cs="FrankRuehl"/>
          <w:sz w:val="20"/>
          <w:szCs w:val="22"/>
          <w:rtl/>
        </w:rPr>
        <w:t xml:space="preserve">מענקי האיזון </w:t>
      </w:r>
      <w:r>
        <w:rPr>
          <w:rFonts w:cs="FrankRuehl" w:hint="cs"/>
          <w:sz w:val="20"/>
          <w:szCs w:val="22"/>
          <w:rtl/>
        </w:rPr>
        <w:t>שהוקצו ל</w:t>
      </w:r>
      <w:r>
        <w:rPr>
          <w:rFonts w:cs="FrankRuehl"/>
          <w:sz w:val="20"/>
          <w:szCs w:val="22"/>
          <w:rtl/>
        </w:rPr>
        <w:t xml:space="preserve">מגזרי המיעוטים ובין </w:t>
      </w:r>
      <w:r>
        <w:rPr>
          <w:rFonts w:cs="FrankRuehl" w:hint="cs"/>
          <w:sz w:val="20"/>
          <w:szCs w:val="22"/>
          <w:rtl/>
        </w:rPr>
        <w:t>מענקי האיזון שהוקצו ל</w:t>
      </w:r>
      <w:r>
        <w:rPr>
          <w:rFonts w:cs="FrankRuehl"/>
          <w:sz w:val="20"/>
          <w:szCs w:val="22"/>
          <w:rtl/>
        </w:rPr>
        <w:t xml:space="preserve">מגזר היהודי, בהשוואת מענק האיזון לנפש </w:t>
      </w:r>
      <w:r>
        <w:rPr>
          <w:rFonts w:cs="FrankRuehl" w:hint="cs"/>
          <w:sz w:val="20"/>
          <w:szCs w:val="22"/>
          <w:rtl/>
        </w:rPr>
        <w:t>במישור</w:t>
      </w:r>
      <w:r>
        <w:rPr>
          <w:rFonts w:cs="FrankRuehl"/>
          <w:sz w:val="20"/>
          <w:szCs w:val="22"/>
          <w:rtl/>
        </w:rPr>
        <w:t xml:space="preserve"> הבין-מגזרי הארצי,</w:t>
      </w:r>
      <w:r>
        <w:rPr>
          <w:rFonts w:cs="FrankRuehl"/>
          <w:sz w:val="20"/>
          <w:szCs w:val="22"/>
          <w:rtl/>
        </w:rPr>
        <w:t xml:space="preserve"> אם כי </w:t>
      </w:r>
      <w:r>
        <w:rPr>
          <w:rFonts w:cs="FrankRuehl" w:hint="cs"/>
          <w:sz w:val="20"/>
          <w:szCs w:val="22"/>
          <w:rtl/>
        </w:rPr>
        <w:t>הוחל ב</w:t>
      </w:r>
      <w:r>
        <w:rPr>
          <w:rFonts w:cs="FrankRuehl"/>
          <w:sz w:val="20"/>
          <w:szCs w:val="22"/>
          <w:rtl/>
        </w:rPr>
        <w:t>תהליך של צמצום הפערים</w:t>
      </w:r>
      <w:r>
        <w:rPr>
          <w:rFonts w:cs="FrankRuehl" w:hint="cs"/>
          <w:sz w:val="20"/>
          <w:szCs w:val="22"/>
          <w:rtl/>
        </w:rPr>
        <w:t xml:space="preserve"> כבר ב</w:t>
      </w:r>
      <w:r>
        <w:rPr>
          <w:rFonts w:cs="FrankRuehl"/>
          <w:sz w:val="20"/>
          <w:szCs w:val="22"/>
          <w:rtl/>
        </w:rPr>
        <w:t xml:space="preserve">שנות </w:t>
      </w:r>
      <w:r>
        <w:rPr>
          <w:rFonts w:cs="FrankRuehl" w:hint="cs"/>
          <w:sz w:val="20"/>
          <w:szCs w:val="22"/>
          <w:rtl/>
        </w:rPr>
        <w:t>השבעים</w:t>
      </w:r>
      <w:r>
        <w:rPr>
          <w:rStyle w:val="FootnoteReference"/>
          <w:rFonts w:cs="FrankRuehl"/>
          <w:sz w:val="20"/>
          <w:szCs w:val="22"/>
          <w:rtl/>
        </w:rPr>
        <w:footnoteReference w:id="26"/>
      </w:r>
      <w:r>
        <w:rPr>
          <w:rFonts w:cs="FrankRuehl" w:hint="cs"/>
          <w:sz w:val="20"/>
          <w:szCs w:val="22"/>
          <w:rtl/>
        </w:rPr>
        <w:t xml:space="preserve">. </w:t>
      </w:r>
      <w:r>
        <w:rPr>
          <w:rFonts w:cs="FrankRuehl"/>
          <w:sz w:val="20"/>
          <w:szCs w:val="22"/>
          <w:rtl/>
        </w:rPr>
        <w:t xml:space="preserve">בשנת 1996 </w:t>
      </w:r>
      <w:r>
        <w:rPr>
          <w:rFonts w:cs="FrankRuehl" w:hint="cs"/>
          <w:sz w:val="20"/>
          <w:szCs w:val="22"/>
          <w:rtl/>
        </w:rPr>
        <w:t xml:space="preserve">כבר היה </w:t>
      </w:r>
      <w:r>
        <w:rPr>
          <w:rFonts w:cs="FrankRuehl"/>
          <w:sz w:val="20"/>
          <w:szCs w:val="22"/>
          <w:rtl/>
        </w:rPr>
        <w:t xml:space="preserve">מענק האיזון לנפש </w:t>
      </w:r>
      <w:r>
        <w:rPr>
          <w:rFonts w:cs="FrankRuehl" w:hint="cs"/>
          <w:sz w:val="20"/>
          <w:szCs w:val="22"/>
          <w:rtl/>
        </w:rPr>
        <w:t xml:space="preserve">שהוקצה לרשויות </w:t>
      </w:r>
      <w:r>
        <w:rPr>
          <w:rFonts w:cs="FrankRuehl"/>
          <w:sz w:val="20"/>
          <w:szCs w:val="22"/>
          <w:rtl/>
        </w:rPr>
        <w:t>המקומיות הלא יהודיות גדול ב-10%</w:t>
      </w:r>
      <w:r>
        <w:rPr>
          <w:rFonts w:cs="FrankRuehl" w:hint="cs"/>
          <w:sz w:val="20"/>
          <w:szCs w:val="22"/>
          <w:rtl/>
        </w:rPr>
        <w:t xml:space="preserve"> מזה שהוקצה לרשויות </w:t>
      </w:r>
      <w:r>
        <w:rPr>
          <w:rFonts w:cs="FrankRuehl"/>
          <w:sz w:val="20"/>
          <w:szCs w:val="22"/>
          <w:rtl/>
        </w:rPr>
        <w:t>המקומיות היהודיות (</w:t>
      </w:r>
      <w:r>
        <w:rPr>
          <w:rFonts w:cs="FrankRuehl" w:hint="cs"/>
          <w:sz w:val="20"/>
          <w:szCs w:val="22"/>
          <w:rtl/>
        </w:rPr>
        <w:t>חוץ</w:t>
      </w:r>
      <w:r>
        <w:rPr>
          <w:rFonts w:cs="FrankRuehl"/>
          <w:sz w:val="20"/>
          <w:szCs w:val="22"/>
          <w:rtl/>
        </w:rPr>
        <w:t xml:space="preserve"> </w:t>
      </w:r>
      <w:r>
        <w:rPr>
          <w:rFonts w:cs="FrankRuehl" w:hint="cs"/>
          <w:sz w:val="20"/>
          <w:szCs w:val="22"/>
          <w:rtl/>
        </w:rPr>
        <w:t>מ</w:t>
      </w:r>
      <w:r>
        <w:rPr>
          <w:rFonts w:cs="FrankRuehl"/>
          <w:sz w:val="20"/>
          <w:szCs w:val="22"/>
          <w:rtl/>
        </w:rPr>
        <w:t>המועצות האזוריות)</w:t>
      </w:r>
      <w:r>
        <w:rPr>
          <w:rFonts w:cs="FrankRuehl" w:hint="cs"/>
          <w:sz w:val="20"/>
          <w:szCs w:val="22"/>
          <w:rtl/>
        </w:rPr>
        <w:t>; אולם בהשוואה בין חמש קבוצות של רשויות מקומיות שמוינו לפי ג</w:t>
      </w:r>
      <w:r>
        <w:rPr>
          <w:rFonts w:cs="FrankRuehl" w:hint="cs"/>
          <w:sz w:val="20"/>
          <w:szCs w:val="22"/>
          <w:rtl/>
        </w:rPr>
        <w:t xml:space="preserve">ודלן ומדורגות באשכולות החברתיים-כלכליים הנמוכים (1-4), שכאמור, משתייכות אליהם כמעט כל הרשויות המקומיות הלא יהודיות, נמצא </w:t>
      </w:r>
      <w:r>
        <w:rPr>
          <w:rFonts w:cs="FrankRuehl"/>
          <w:sz w:val="20"/>
          <w:szCs w:val="22"/>
          <w:rtl/>
        </w:rPr>
        <w:t>שגם ב</w:t>
      </w:r>
      <w:r>
        <w:rPr>
          <w:rFonts w:cs="FrankRuehl" w:hint="cs"/>
          <w:sz w:val="20"/>
          <w:szCs w:val="22"/>
          <w:rtl/>
        </w:rPr>
        <w:t xml:space="preserve">אותה </w:t>
      </w:r>
      <w:r>
        <w:rPr>
          <w:rFonts w:cs="FrankRuehl"/>
          <w:sz w:val="20"/>
          <w:szCs w:val="22"/>
          <w:rtl/>
        </w:rPr>
        <w:t xml:space="preserve">שנה </w:t>
      </w:r>
      <w:r>
        <w:rPr>
          <w:rFonts w:cs="FrankRuehl" w:hint="cs"/>
          <w:sz w:val="20"/>
          <w:szCs w:val="22"/>
          <w:rtl/>
        </w:rPr>
        <w:t xml:space="preserve">וגם </w:t>
      </w:r>
      <w:r>
        <w:rPr>
          <w:rFonts w:cs="FrankRuehl"/>
          <w:sz w:val="20"/>
          <w:szCs w:val="22"/>
          <w:rtl/>
        </w:rPr>
        <w:t>בשנים שאחריה</w:t>
      </w:r>
      <w:r>
        <w:rPr>
          <w:rFonts w:cs="FrankRuehl" w:hint="cs"/>
          <w:sz w:val="20"/>
          <w:szCs w:val="22"/>
          <w:rtl/>
        </w:rPr>
        <w:t xml:space="preserve"> עדיין נותרו פערים ניכרים לטובת הרשויות המקומיות היהודיות</w:t>
      </w:r>
      <w:r>
        <w:rPr>
          <w:rStyle w:val="FootnoteReference"/>
          <w:rFonts w:cs="FrankRuehl"/>
          <w:sz w:val="20"/>
          <w:szCs w:val="22"/>
          <w:rtl/>
        </w:rPr>
        <w:footnoteReference w:id="27"/>
      </w:r>
      <w:r>
        <w:rPr>
          <w:rFonts w:cs="FrankRuehl" w:hint="cs"/>
          <w:sz w:val="20"/>
          <w:szCs w:val="22"/>
          <w:rtl/>
        </w:rPr>
        <w:t xml:space="preserve"> (על הפערים בהקצאת מענקי האיזון בין המגזרים השו</w:t>
      </w:r>
      <w:r>
        <w:rPr>
          <w:rFonts w:cs="FrankRuehl" w:hint="cs"/>
          <w:sz w:val="20"/>
          <w:szCs w:val="22"/>
          <w:rtl/>
        </w:rPr>
        <w:t>נים בשנים 2004-2007 ומגמת צמצומם ראו להלן בפרק המשנה "הפערים בין שיעורי ההקצאה למגזרים השונים").</w:t>
      </w:r>
    </w:p>
    <w:p w:rsidR="00000000">
      <w:pPr>
        <w:spacing w:after="120" w:line="230" w:lineRule="exact"/>
        <w:jc w:val="both"/>
        <w:rPr>
          <w:rFonts w:cs="FrankRuehl"/>
          <w:sz w:val="20"/>
          <w:szCs w:val="22"/>
          <w:rtl/>
        </w:rPr>
      </w:pPr>
      <w:r>
        <w:rPr>
          <w:rFonts w:cs="FrankRuehl" w:hint="cs"/>
          <w:sz w:val="20"/>
          <w:szCs w:val="22"/>
          <w:rtl/>
        </w:rPr>
        <w:t xml:space="preserve">בדיון שהתקיים בדצמבר 1999 בין נציגים ממשרדי ראש הממשלה, האוצר והפנים ובין נציגי </w:t>
      </w:r>
      <w:r>
        <w:rPr>
          <w:rFonts w:cs="FrankRuehl"/>
          <w:sz w:val="20"/>
          <w:szCs w:val="22"/>
          <w:rtl/>
        </w:rPr>
        <w:t>הרשויות המקומיות במגזר הערבי</w:t>
      </w:r>
      <w:r>
        <w:rPr>
          <w:rFonts w:cs="FrankRuehl" w:hint="cs"/>
          <w:sz w:val="20"/>
          <w:szCs w:val="22"/>
          <w:rtl/>
        </w:rPr>
        <w:t xml:space="preserve"> הוחלט, בין היתר, להשוות בהדרגה עד שנת 2003, את </w:t>
      </w:r>
      <w:r>
        <w:rPr>
          <w:rFonts w:cs="FrankRuehl"/>
          <w:sz w:val="20"/>
          <w:szCs w:val="22"/>
          <w:rtl/>
        </w:rPr>
        <w:t>שיע</w:t>
      </w:r>
      <w:r>
        <w:rPr>
          <w:rFonts w:cs="FrankRuehl"/>
          <w:sz w:val="20"/>
          <w:szCs w:val="22"/>
          <w:rtl/>
        </w:rPr>
        <w:t xml:space="preserve">ור ההקצאה הממוצע של מענק האיזון (שנקבע באותן שנים לפי נוסחת סוארי) </w:t>
      </w:r>
      <w:r>
        <w:rPr>
          <w:rFonts w:cs="FrankRuehl" w:hint="cs"/>
          <w:sz w:val="20"/>
          <w:szCs w:val="22"/>
          <w:rtl/>
        </w:rPr>
        <w:t>הניתן ל</w:t>
      </w:r>
      <w:r>
        <w:rPr>
          <w:rFonts w:cs="FrankRuehl"/>
          <w:sz w:val="20"/>
          <w:szCs w:val="22"/>
          <w:rtl/>
        </w:rPr>
        <w:t xml:space="preserve">רשויות </w:t>
      </w:r>
      <w:r>
        <w:rPr>
          <w:rFonts w:cs="FrankRuehl" w:hint="cs"/>
          <w:sz w:val="20"/>
          <w:szCs w:val="22"/>
          <w:rtl/>
        </w:rPr>
        <w:t xml:space="preserve">אלה </w:t>
      </w:r>
      <w:r>
        <w:rPr>
          <w:rFonts w:cs="FrankRuehl"/>
          <w:sz w:val="20"/>
          <w:szCs w:val="22"/>
          <w:rtl/>
        </w:rPr>
        <w:t xml:space="preserve">לשיעור ההקצאה הממוצע של </w:t>
      </w:r>
      <w:r>
        <w:rPr>
          <w:rFonts w:cs="FrankRuehl" w:hint="cs"/>
          <w:sz w:val="20"/>
          <w:szCs w:val="22"/>
          <w:rtl/>
        </w:rPr>
        <w:t>מענק האיזון הניתן ל</w:t>
      </w:r>
      <w:r>
        <w:rPr>
          <w:rFonts w:cs="FrankRuehl"/>
          <w:sz w:val="20"/>
          <w:szCs w:val="22"/>
          <w:rtl/>
        </w:rPr>
        <w:t xml:space="preserve">רשויות </w:t>
      </w:r>
      <w:r>
        <w:rPr>
          <w:rFonts w:cs="FrankRuehl" w:hint="cs"/>
          <w:sz w:val="20"/>
          <w:szCs w:val="22"/>
          <w:rtl/>
        </w:rPr>
        <w:t>ב</w:t>
      </w:r>
      <w:r>
        <w:rPr>
          <w:rFonts w:cs="FrankRuehl"/>
          <w:sz w:val="20"/>
          <w:szCs w:val="22"/>
          <w:rtl/>
        </w:rPr>
        <w:t>מגזר היהודי</w:t>
      </w:r>
      <w:r>
        <w:rPr>
          <w:rStyle w:val="FootnoteReference"/>
          <w:rFonts w:cs="FrankRuehl"/>
          <w:sz w:val="20"/>
          <w:szCs w:val="22"/>
          <w:rtl/>
        </w:rPr>
        <w:footnoteReference w:id="28"/>
      </w:r>
      <w:r>
        <w:rPr>
          <w:rFonts w:cs="FrankRuehl" w:hint="cs"/>
          <w:sz w:val="20"/>
          <w:szCs w:val="22"/>
          <w:rtl/>
        </w:rPr>
        <w:t xml:space="preserve">. </w:t>
      </w:r>
    </w:p>
    <w:p w:rsidR="00000000">
      <w:pPr>
        <w:spacing w:after="120" w:line="230" w:lineRule="exact"/>
        <w:jc w:val="both"/>
        <w:rPr>
          <w:rFonts w:cs="FrankRuehl" w:hint="cs"/>
          <w:sz w:val="20"/>
          <w:szCs w:val="22"/>
          <w:rtl/>
        </w:rPr>
      </w:pPr>
      <w:r>
        <w:rPr>
          <w:rFonts w:cs="FrankRuehl" w:hint="cs"/>
          <w:sz w:val="20"/>
          <w:szCs w:val="22"/>
          <w:rtl/>
        </w:rPr>
        <w:t>ביולי 2001 הוגשה עתירה לבג"ץ</w:t>
      </w:r>
      <w:r>
        <w:rPr>
          <w:rStyle w:val="FootnoteReference"/>
          <w:rFonts w:cs="FrankRuehl"/>
          <w:sz w:val="20"/>
          <w:szCs w:val="22"/>
        </w:rPr>
        <w:footnoteReference w:id="29"/>
      </w:r>
      <w:r>
        <w:rPr>
          <w:rFonts w:cs="FrankRuehl" w:hint="cs"/>
          <w:sz w:val="20"/>
          <w:szCs w:val="22"/>
          <w:rtl/>
        </w:rPr>
        <w:t xml:space="preserve"> שעניינה, </w:t>
      </w:r>
      <w:r>
        <w:rPr>
          <w:rFonts w:cs="FrankRuehl"/>
          <w:sz w:val="20"/>
          <w:szCs w:val="22"/>
          <w:rtl/>
        </w:rPr>
        <w:t xml:space="preserve">בין היתר, </w:t>
      </w:r>
      <w:r>
        <w:rPr>
          <w:rFonts w:cs="FrankRuehl" w:hint="cs"/>
          <w:sz w:val="20"/>
          <w:szCs w:val="22"/>
          <w:rtl/>
        </w:rPr>
        <w:t>"</w:t>
      </w:r>
      <w:r>
        <w:rPr>
          <w:rFonts w:cs="FrankRuehl"/>
          <w:sz w:val="20"/>
          <w:szCs w:val="22"/>
          <w:rtl/>
        </w:rPr>
        <w:t>חלוקת מענקי האיזון</w:t>
      </w:r>
      <w:r>
        <w:rPr>
          <w:rFonts w:cs="FrankRuehl" w:hint="cs"/>
          <w:sz w:val="20"/>
          <w:szCs w:val="22"/>
          <w:rtl/>
        </w:rPr>
        <w:t xml:space="preserve">, </w:t>
      </w:r>
      <w:r>
        <w:rPr>
          <w:rFonts w:cs="FrankRuehl" w:hint="eastAsia"/>
          <w:sz w:val="20"/>
          <w:szCs w:val="22"/>
          <w:rtl/>
        </w:rPr>
        <w:t>על</w:t>
      </w:r>
      <w:r>
        <w:rPr>
          <w:rFonts w:cs="FrankRuehl"/>
          <w:sz w:val="20"/>
          <w:szCs w:val="22"/>
          <w:rtl/>
        </w:rPr>
        <w:t xml:space="preserve"> בסיס מבחנים שוויוניים ואחידים</w:t>
      </w:r>
      <w:r>
        <w:rPr>
          <w:rFonts w:cs="FrankRuehl" w:hint="cs"/>
          <w:sz w:val="20"/>
          <w:szCs w:val="22"/>
          <w:rtl/>
        </w:rPr>
        <w:t xml:space="preserve"> וב</w:t>
      </w:r>
      <w:r>
        <w:rPr>
          <w:rFonts w:cs="FrankRuehl" w:hint="cs"/>
          <w:sz w:val="20"/>
          <w:szCs w:val="22"/>
          <w:rtl/>
        </w:rPr>
        <w:t xml:space="preserve">התאם </w:t>
      </w:r>
      <w:r>
        <w:rPr>
          <w:rFonts w:cs="FrankRuehl" w:hint="cs"/>
          <w:b/>
          <w:bCs/>
          <w:sz w:val="20"/>
          <w:szCs w:val="22"/>
          <w:rtl/>
        </w:rPr>
        <w:t>לאחוז מימוש</w:t>
      </w:r>
      <w:r>
        <w:rPr>
          <w:rFonts w:cs="FrankRuehl" w:hint="cs"/>
          <w:sz w:val="20"/>
          <w:szCs w:val="22"/>
          <w:rtl/>
        </w:rPr>
        <w:t xml:space="preserve"> [שיעור הקצאה] </w:t>
      </w:r>
      <w:r>
        <w:rPr>
          <w:rFonts w:cs="FrankRuehl" w:hint="cs"/>
          <w:b/>
          <w:bCs/>
          <w:sz w:val="20"/>
          <w:szCs w:val="22"/>
          <w:rtl/>
        </w:rPr>
        <w:t>זהה</w:t>
      </w:r>
      <w:r>
        <w:rPr>
          <w:rFonts w:cs="FrankRuehl" w:hint="cs"/>
          <w:sz w:val="20"/>
          <w:szCs w:val="22"/>
          <w:rtl/>
        </w:rPr>
        <w:t xml:space="preserve"> [ההדגשה במקור] מסל שירותים נורמטיבי לכל הרשויות"</w:t>
      </w:r>
      <w:r>
        <w:rPr>
          <w:rStyle w:val="FootnoteReference"/>
          <w:rFonts w:cs="FrankRuehl"/>
          <w:sz w:val="20"/>
          <w:szCs w:val="22"/>
          <w:rtl/>
        </w:rPr>
        <w:footnoteReference w:id="30"/>
      </w:r>
      <w:r>
        <w:rPr>
          <w:rFonts w:cs="FrankRuehl" w:hint="cs"/>
          <w:sz w:val="20"/>
          <w:szCs w:val="22"/>
          <w:rtl/>
        </w:rPr>
        <w:t xml:space="preserve">. </w:t>
      </w:r>
      <w:r>
        <w:rPr>
          <w:rFonts w:cs="FrankRuehl"/>
          <w:sz w:val="20"/>
          <w:szCs w:val="22"/>
          <w:rtl/>
        </w:rPr>
        <w:t xml:space="preserve">מאז ינואר 2004 </w:t>
      </w:r>
      <w:r>
        <w:rPr>
          <w:rFonts w:cs="FrankRuehl" w:hint="cs"/>
          <w:sz w:val="20"/>
          <w:szCs w:val="22"/>
          <w:rtl/>
        </w:rPr>
        <w:t xml:space="preserve">התמקדה </w:t>
      </w:r>
      <w:r>
        <w:rPr>
          <w:rFonts w:cs="FrankRuehl"/>
          <w:sz w:val="20"/>
          <w:szCs w:val="22"/>
          <w:rtl/>
        </w:rPr>
        <w:t>העתירה במרכיבי נוסחת גדיש</w:t>
      </w:r>
      <w:r>
        <w:rPr>
          <w:rFonts w:cs="FrankRuehl" w:hint="cs"/>
          <w:sz w:val="20"/>
          <w:szCs w:val="22"/>
          <w:rtl/>
        </w:rPr>
        <w:t>, ובאוגוסט 2007 עדיין הייתה תלויה ועומדת. לפיכך לא בדק משרד מבקר המדינה את ההשפעה של מרכיבי נוסחת גדיש על אופן הקצאת מענק ה</w:t>
      </w:r>
      <w:r>
        <w:rPr>
          <w:rFonts w:cs="FrankRuehl" w:hint="cs"/>
          <w:sz w:val="20"/>
          <w:szCs w:val="22"/>
          <w:rtl/>
        </w:rPr>
        <w:t xml:space="preserve">איזון. </w:t>
      </w:r>
    </w:p>
    <w:p w:rsidR="00000000">
      <w:pPr>
        <w:spacing w:after="120" w:line="230" w:lineRule="exact"/>
        <w:jc w:val="both"/>
        <w:rPr>
          <w:rFonts w:cs="FrankRuehl" w:hint="cs"/>
          <w:sz w:val="20"/>
          <w:szCs w:val="22"/>
          <w:rtl/>
        </w:rPr>
      </w:pPr>
      <w:r>
        <w:rPr>
          <w:rFonts w:cs="FrankRuehl"/>
          <w:sz w:val="20"/>
          <w:szCs w:val="22"/>
          <w:rtl/>
        </w:rPr>
        <w:t>במר</w:t>
      </w:r>
      <w:r>
        <w:rPr>
          <w:rFonts w:cs="FrankRuehl" w:hint="cs"/>
          <w:sz w:val="20"/>
          <w:szCs w:val="22"/>
          <w:rtl/>
        </w:rPr>
        <w:t>ס</w:t>
      </w:r>
      <w:r>
        <w:rPr>
          <w:rFonts w:cs="FrankRuehl"/>
          <w:sz w:val="20"/>
          <w:szCs w:val="22"/>
          <w:rtl/>
        </w:rPr>
        <w:t xml:space="preserve"> 2005</w:t>
      </w:r>
      <w:r>
        <w:rPr>
          <w:rFonts w:cs="FrankRuehl" w:hint="cs"/>
          <w:sz w:val="20"/>
          <w:szCs w:val="22"/>
          <w:rtl/>
        </w:rPr>
        <w:t>,</w:t>
      </w:r>
      <w:r>
        <w:rPr>
          <w:rFonts w:cs="FrankRuehl"/>
          <w:sz w:val="20"/>
          <w:szCs w:val="22"/>
          <w:rtl/>
        </w:rPr>
        <w:t xml:space="preserve"> </w:t>
      </w:r>
      <w:r>
        <w:rPr>
          <w:rFonts w:cs="FrankRuehl" w:hint="cs"/>
          <w:sz w:val="20"/>
          <w:szCs w:val="22"/>
          <w:rtl/>
        </w:rPr>
        <w:t xml:space="preserve">בפגישה עם ראשי רשויות בדואיות מהדרום, </w:t>
      </w:r>
      <w:r>
        <w:rPr>
          <w:rFonts w:cs="FrankRuehl"/>
          <w:sz w:val="20"/>
          <w:szCs w:val="22"/>
          <w:rtl/>
        </w:rPr>
        <w:t>הודיע שר הפנים דאז, מר אופיר פינס</w:t>
      </w:r>
      <w:r>
        <w:rPr>
          <w:rFonts w:cs="FrankRuehl" w:hint="cs"/>
          <w:sz w:val="20"/>
          <w:szCs w:val="22"/>
          <w:rtl/>
        </w:rPr>
        <w:t xml:space="preserve"> שמשרד הפנים פועל "לקביעת מענקי האיזון שיש בהם שוויון מוחלט בין הרשויות הערביות לשאר הרשויות במדינה". </w:t>
      </w:r>
      <w:r>
        <w:rPr>
          <w:rFonts w:cs="FrankRuehl"/>
          <w:sz w:val="20"/>
          <w:szCs w:val="22"/>
          <w:rtl/>
        </w:rPr>
        <w:t>בתחילת ינואר 2006 הודיע משרד הפנים</w:t>
      </w:r>
      <w:r>
        <w:rPr>
          <w:rFonts w:cs="FrankRuehl" w:hint="cs"/>
          <w:sz w:val="20"/>
          <w:szCs w:val="22"/>
          <w:rtl/>
        </w:rPr>
        <w:t xml:space="preserve"> לוועד ראשי הרשויות הערביות כי</w:t>
      </w:r>
      <w:r>
        <w:rPr>
          <w:rFonts w:cs="FrankRuehl" w:hint="cs"/>
          <w:sz w:val="20"/>
          <w:szCs w:val="22"/>
          <w:rtl/>
        </w:rPr>
        <w:t xml:space="preserve"> בשנת 2006 ימשיך ביישום מהלך מדורג להקצאה שוויונית של מענק האיזון בין כלל המגזרים, מהלך אשר יסתיים ב-30.6.07.</w:t>
      </w:r>
    </w:p>
    <w:p w:rsidR="00000000">
      <w:pPr>
        <w:spacing w:after="120" w:line="230" w:lineRule="exact"/>
        <w:jc w:val="both"/>
        <w:rPr>
          <w:rFonts w:cs="FrankRuehl" w:hint="cs"/>
          <w:sz w:val="20"/>
          <w:szCs w:val="22"/>
          <w:rtl/>
        </w:rPr>
      </w:pPr>
      <w:r>
        <w:rPr>
          <w:rFonts w:cs="FrankRuehl" w:hint="cs"/>
          <w:sz w:val="20"/>
          <w:szCs w:val="22"/>
          <w:rtl/>
        </w:rPr>
        <w:t>4.</w:t>
      </w:r>
      <w:r>
        <w:rPr>
          <w:rFonts w:cs="FrankRuehl" w:hint="cs"/>
          <w:sz w:val="20"/>
          <w:szCs w:val="22"/>
          <w:rtl/>
        </w:rPr>
        <w:tab/>
        <w:t>משרד מבקר המדינה בדק אם במהלך הקצאת מענקי האיזון בשנים 2004-2007 צומצמו הפערים בין שיעורי ההקצאה למגזר היהודי לבין שיעורי ההקצאה למגזרי המיעוטי</w:t>
      </w:r>
      <w:r>
        <w:rPr>
          <w:rFonts w:cs="FrankRuehl" w:hint="cs"/>
          <w:sz w:val="20"/>
          <w:szCs w:val="22"/>
          <w:rtl/>
        </w:rPr>
        <w:t>ם.</w:t>
      </w:r>
      <w:r>
        <w:rPr>
          <w:rFonts w:cs="FrankRuehl" w:hint="cs"/>
          <w:b/>
          <w:bCs/>
          <w:sz w:val="20"/>
          <w:szCs w:val="22"/>
          <w:rtl/>
        </w:rPr>
        <w:t xml:space="preserve"> </w:t>
      </w:r>
      <w:r>
        <w:rPr>
          <w:rFonts w:cs="FrankRuehl" w:hint="cs"/>
          <w:sz w:val="20"/>
          <w:szCs w:val="22"/>
          <w:rtl/>
        </w:rPr>
        <w:t>השוואת הפערים וניתוחם נעשו הן במישור הכלל-ארצי והן בקבוצת יישובים בעלי מאפייני גודל ומאפיינים חברתיים-כלכליים דומים: עיריות ומועצות מקומיות באשכולות החברתיים-כלכליים 1-4 המונות עד 50,000 תושבים</w:t>
      </w:r>
      <w:r>
        <w:rPr>
          <w:rStyle w:val="FootnoteReference"/>
          <w:rFonts w:cs="FrankRuehl"/>
          <w:sz w:val="20"/>
          <w:szCs w:val="22"/>
          <w:rtl/>
        </w:rPr>
        <w:footnoteReference w:id="31"/>
      </w:r>
      <w:r>
        <w:rPr>
          <w:rFonts w:cs="FrankRuehl" w:hint="cs"/>
          <w:sz w:val="20"/>
          <w:szCs w:val="22"/>
          <w:rtl/>
        </w:rPr>
        <w:t xml:space="preserve"> (להלן - קבוצת היישובים הדומים), חלקן בעלות אוכלוסייה יהודי</w:t>
      </w:r>
      <w:r>
        <w:rPr>
          <w:rFonts w:cs="FrankRuehl" w:hint="cs"/>
          <w:sz w:val="20"/>
          <w:szCs w:val="22"/>
          <w:rtl/>
        </w:rPr>
        <w:t>ת (להלן - יישובים יהודיים) וחלקן בעלות אוכלוסיות מיעוטים (להלן - יישובי מיעוטים)</w:t>
      </w:r>
      <w:r>
        <w:rPr>
          <w:rStyle w:val="FootnoteReference"/>
          <w:rFonts w:cs="FrankRuehl"/>
          <w:sz w:val="20"/>
          <w:szCs w:val="22"/>
          <w:rtl/>
        </w:rPr>
        <w:footnoteReference w:id="32"/>
      </w:r>
      <w:r>
        <w:rPr>
          <w:rFonts w:cs="FrankRuehl" w:hint="cs"/>
          <w:sz w:val="20"/>
          <w:szCs w:val="22"/>
          <w:rtl/>
        </w:rPr>
        <w:t>. יישובי המיעוטים חולקו לשלוש קבוצות משנה: יישובים שאוכלוסייתם ערבית (להלן - יישובים ערביים), יישובים שאוכלוסייתם בדואית (להלן - יישובים בדואיים) ויישובים שאוכלוסייתם דרוזית ו</w:t>
      </w:r>
      <w:r>
        <w:rPr>
          <w:rFonts w:cs="FrankRuehl" w:hint="cs"/>
          <w:sz w:val="20"/>
          <w:szCs w:val="22"/>
          <w:rtl/>
        </w:rPr>
        <w:t>צ'רקסית (להלן - יישובים דרוזיים). כמו כן נעשתה הבחנה לפי גודל בין שלוש קבוצות של יישובים בקבוצת היישובים הדומים: יישובים שאוכלוסייתם מונה עד 10,000 תושבים (להלן - יישובים קטנים); יישובים שאוכלוסייתם מונה בין 10,000 ל-20,000 תושבים (להלן - יישובים בינוניים)</w:t>
      </w:r>
      <w:r>
        <w:rPr>
          <w:rFonts w:cs="FrankRuehl" w:hint="cs"/>
          <w:sz w:val="20"/>
          <w:szCs w:val="22"/>
          <w:rtl/>
        </w:rPr>
        <w:t>; ויישובים שאוכלוסייתם מונה בין 20,000 ל-50,000 תושבים (להלן - יישובים גדולים).</w:t>
      </w:r>
    </w:p>
    <w:p w:rsidR="00000000">
      <w:pPr>
        <w:spacing w:after="120" w:line="230" w:lineRule="exact"/>
        <w:jc w:val="both"/>
        <w:rPr>
          <w:rFonts w:cs="FrankRuehl" w:hint="cs"/>
          <w:sz w:val="20"/>
          <w:szCs w:val="22"/>
          <w:rtl/>
        </w:rPr>
      </w:pPr>
    </w:p>
    <w:p w:rsidR="00000000">
      <w:pPr>
        <w:pStyle w:val="KOT5"/>
        <w:rPr>
          <w:rFonts w:hint="cs"/>
          <w:rtl/>
        </w:rPr>
      </w:pPr>
      <w:bookmarkStart w:id="7" w:name="_Toc182212148"/>
      <w:r>
        <w:rPr>
          <w:rFonts w:hint="cs"/>
          <w:rtl/>
        </w:rPr>
        <w:t>הפערים בין שיעורי ההקצאה</w:t>
      </w:r>
      <w:bookmarkEnd w:id="7"/>
      <w:r>
        <w:rPr>
          <w:rFonts w:hint="cs"/>
          <w:rtl/>
        </w:rPr>
        <w:t xml:space="preserve"> למגזרים השונים</w:t>
      </w:r>
    </w:p>
    <w:p w:rsidR="00000000">
      <w:pPr>
        <w:spacing w:after="240" w:line="230" w:lineRule="exact"/>
        <w:jc w:val="both"/>
        <w:rPr>
          <w:rFonts w:cs="FrankRuehl" w:hint="cs"/>
          <w:sz w:val="20"/>
          <w:szCs w:val="22"/>
          <w:rtl/>
        </w:rPr>
      </w:pPr>
      <w:r>
        <w:rPr>
          <w:rStyle w:val="7"/>
          <w:rFonts w:cs="FrankRuehl" w:hint="cs"/>
          <w:sz w:val="20"/>
          <w:szCs w:val="22"/>
          <w:rtl/>
        </w:rPr>
        <w:t>1.</w:t>
      </w:r>
      <w:r>
        <w:rPr>
          <w:rStyle w:val="7"/>
          <w:rFonts w:cs="FrankRuehl" w:hint="cs"/>
          <w:sz w:val="20"/>
          <w:szCs w:val="22"/>
          <w:rtl/>
        </w:rPr>
        <w:tab/>
        <w:t>הפערים במישור הכלל-ארצי</w:t>
      </w:r>
      <w:r>
        <w:rPr>
          <w:rStyle w:val="7"/>
          <w:rFonts w:cs="FrankRuehl"/>
          <w:sz w:val="20"/>
          <w:szCs w:val="22"/>
          <w:rtl/>
        </w:rPr>
        <w:t>:</w:t>
      </w:r>
      <w:r>
        <w:rPr>
          <w:rFonts w:cs="FrankRuehl" w:hint="cs"/>
          <w:sz w:val="20"/>
          <w:szCs w:val="22"/>
          <w:rtl/>
        </w:rPr>
        <w:t xml:space="preserve"> כפי שמשתקף מהלוח לעיל, בשנים 2004-2006 גדל היקף מענקי האיזון שהוקצו לרשויות המקומיות, אך בשנת 2007 פחת היקפ</w:t>
      </w:r>
      <w:r>
        <w:rPr>
          <w:rFonts w:cs="FrankRuehl" w:hint="cs"/>
          <w:sz w:val="20"/>
          <w:szCs w:val="22"/>
          <w:rtl/>
        </w:rPr>
        <w:t>ם. להלן בלוח נתונים על שיעור ההקצאה הממוצע לכלל המגזרים, שיעור ההקצאה הממוצע למגזר היהודי ושיעור ההקצאה הממוצע לכל אחד ממגזרי המיעוטים בשנים 2004-2007:</w:t>
      </w:r>
    </w:p>
    <w:tbl>
      <w:tblPr>
        <w:tblW w:w="6691" w:type="dxa"/>
        <w:jc w:val="center"/>
        <w:tblBorders>
          <w:top w:val="single" w:sz="4" w:space="0" w:color="auto"/>
          <w:left w:val="single" w:sz="4" w:space="0" w:color="auto"/>
          <w:bottom w:val="single" w:sz="4" w:space="0" w:color="auto"/>
          <w:right w:val="single" w:sz="4" w:space="0" w:color="auto"/>
        </w:tblBorders>
        <w:tblLook w:val="01E0"/>
      </w:tblPr>
      <w:tblGrid>
        <w:gridCol w:w="1205"/>
        <w:gridCol w:w="1249"/>
        <w:gridCol w:w="1206"/>
        <w:gridCol w:w="1176"/>
        <w:gridCol w:w="1226"/>
        <w:gridCol w:w="629"/>
      </w:tblGrid>
      <w:tr>
        <w:tblPrEx>
          <w:tblW w:w="6691" w:type="dxa"/>
          <w:jc w:val="center"/>
          <w:tblBorders>
            <w:top w:val="single" w:sz="4" w:space="0" w:color="auto"/>
            <w:left w:val="single" w:sz="4" w:space="0" w:color="auto"/>
            <w:bottom w:val="single" w:sz="4" w:space="0" w:color="auto"/>
            <w:right w:val="single" w:sz="4" w:space="0" w:color="auto"/>
          </w:tblBorders>
          <w:tblLook w:val="01E0"/>
        </w:tblPrEx>
        <w:trPr>
          <w:jc w:val="center"/>
        </w:trPr>
        <w:tc>
          <w:tcPr>
            <w:tcW w:w="901" w:type="pct"/>
            <w:tcBorders>
              <w:top w:val="single" w:sz="12" w:space="0" w:color="auto"/>
              <w:left w:val="single" w:sz="12" w:space="0" w:color="auto"/>
              <w:bottom w:val="single" w:sz="12" w:space="0" w:color="auto"/>
              <w:right w:val="single" w:sz="4" w:space="0" w:color="auto"/>
            </w:tcBorders>
            <w:shd w:val="pct10" w:color="auto" w:fill="auto"/>
            <w:vAlign w:val="bottom"/>
          </w:tcPr>
          <w:p w:rsidR="00000000">
            <w:pPr>
              <w:spacing w:before="40" w:after="40"/>
              <w:jc w:val="center"/>
              <w:rPr>
                <w:rFonts w:cs="FrankRuehl" w:hint="cs"/>
                <w:b/>
                <w:bCs/>
                <w:szCs w:val="20"/>
                <w:rtl/>
              </w:rPr>
            </w:pPr>
            <w:r>
              <w:rPr>
                <w:rFonts w:cs="FrankRuehl" w:hint="cs"/>
                <w:b/>
                <w:bCs/>
                <w:szCs w:val="20"/>
                <w:rtl/>
              </w:rPr>
              <w:t>כלל המיעוטים</w:t>
            </w:r>
          </w:p>
        </w:tc>
        <w:tc>
          <w:tcPr>
            <w:tcW w:w="933" w:type="pct"/>
            <w:tcBorders>
              <w:top w:val="single" w:sz="12" w:space="0" w:color="auto"/>
              <w:left w:val="single" w:sz="4" w:space="0" w:color="auto"/>
              <w:bottom w:val="single" w:sz="12" w:space="0" w:color="auto"/>
              <w:right w:val="single" w:sz="4" w:space="0" w:color="auto"/>
            </w:tcBorders>
            <w:shd w:val="pct10" w:color="auto" w:fill="auto"/>
            <w:vAlign w:val="bottom"/>
          </w:tcPr>
          <w:p w:rsidR="00000000">
            <w:pPr>
              <w:spacing w:before="40" w:after="40"/>
              <w:jc w:val="center"/>
              <w:rPr>
                <w:rFonts w:cs="FrankRuehl" w:hint="cs"/>
                <w:b/>
                <w:bCs/>
                <w:szCs w:val="20"/>
                <w:rtl/>
              </w:rPr>
            </w:pPr>
            <w:r>
              <w:rPr>
                <w:rFonts w:cs="FrankRuehl" w:hint="cs"/>
                <w:b/>
                <w:bCs/>
                <w:szCs w:val="20"/>
                <w:rtl/>
              </w:rPr>
              <w:t>המגזר הבדואי</w:t>
            </w:r>
          </w:p>
        </w:tc>
        <w:tc>
          <w:tcPr>
            <w:tcW w:w="901" w:type="pct"/>
            <w:tcBorders>
              <w:top w:val="single" w:sz="12" w:space="0" w:color="auto"/>
              <w:left w:val="single" w:sz="4" w:space="0" w:color="auto"/>
              <w:bottom w:val="single" w:sz="12" w:space="0" w:color="auto"/>
              <w:right w:val="single" w:sz="4" w:space="0" w:color="auto"/>
            </w:tcBorders>
            <w:shd w:val="pct10" w:color="auto" w:fill="auto"/>
            <w:vAlign w:val="bottom"/>
          </w:tcPr>
          <w:p w:rsidR="00000000">
            <w:pPr>
              <w:spacing w:before="40" w:after="40"/>
              <w:jc w:val="center"/>
              <w:rPr>
                <w:rFonts w:cs="FrankRuehl" w:hint="cs"/>
                <w:b/>
                <w:bCs/>
                <w:szCs w:val="20"/>
                <w:rtl/>
              </w:rPr>
            </w:pPr>
            <w:r>
              <w:rPr>
                <w:rFonts w:cs="FrankRuehl" w:hint="cs"/>
                <w:b/>
                <w:bCs/>
                <w:szCs w:val="20"/>
                <w:rtl/>
              </w:rPr>
              <w:t>המגזר הדרוזי</w:t>
            </w:r>
          </w:p>
        </w:tc>
        <w:tc>
          <w:tcPr>
            <w:tcW w:w="879" w:type="pct"/>
            <w:tcBorders>
              <w:top w:val="single" w:sz="12" w:space="0" w:color="auto"/>
              <w:left w:val="single" w:sz="4" w:space="0" w:color="auto"/>
              <w:bottom w:val="single" w:sz="12" w:space="0" w:color="auto"/>
              <w:right w:val="single" w:sz="4" w:space="0" w:color="auto"/>
            </w:tcBorders>
            <w:shd w:val="pct10" w:color="auto" w:fill="auto"/>
            <w:vAlign w:val="bottom"/>
          </w:tcPr>
          <w:p w:rsidR="00000000">
            <w:pPr>
              <w:spacing w:before="40" w:after="40"/>
              <w:jc w:val="center"/>
              <w:rPr>
                <w:rFonts w:cs="FrankRuehl" w:hint="cs"/>
                <w:b/>
                <w:bCs/>
                <w:szCs w:val="20"/>
                <w:rtl/>
              </w:rPr>
            </w:pPr>
            <w:r>
              <w:rPr>
                <w:rFonts w:cs="FrankRuehl" w:hint="cs"/>
                <w:b/>
                <w:bCs/>
                <w:szCs w:val="20"/>
                <w:rtl/>
              </w:rPr>
              <w:t>המגזר הערבי</w:t>
            </w:r>
          </w:p>
        </w:tc>
        <w:tc>
          <w:tcPr>
            <w:tcW w:w="916" w:type="pct"/>
            <w:tcBorders>
              <w:top w:val="single" w:sz="12" w:space="0" w:color="auto"/>
              <w:left w:val="single" w:sz="4" w:space="0" w:color="auto"/>
              <w:bottom w:val="single" w:sz="12" w:space="0" w:color="auto"/>
              <w:right w:val="single" w:sz="4" w:space="0" w:color="auto"/>
            </w:tcBorders>
            <w:shd w:val="pct10" w:color="auto" w:fill="auto"/>
            <w:vAlign w:val="bottom"/>
          </w:tcPr>
          <w:p w:rsidR="00000000">
            <w:pPr>
              <w:spacing w:before="40" w:after="40"/>
              <w:jc w:val="center"/>
              <w:rPr>
                <w:rFonts w:cs="FrankRuehl" w:hint="cs"/>
                <w:b/>
                <w:bCs/>
                <w:szCs w:val="20"/>
                <w:rtl/>
              </w:rPr>
            </w:pPr>
            <w:r>
              <w:rPr>
                <w:rFonts w:cs="FrankRuehl" w:hint="cs"/>
                <w:b/>
                <w:bCs/>
                <w:szCs w:val="20"/>
                <w:rtl/>
              </w:rPr>
              <w:t>המגזר היהודי</w:t>
            </w:r>
          </w:p>
        </w:tc>
        <w:tc>
          <w:tcPr>
            <w:tcW w:w="470" w:type="pct"/>
            <w:tcBorders>
              <w:top w:val="single" w:sz="12" w:space="0" w:color="auto"/>
              <w:left w:val="single" w:sz="4" w:space="0" w:color="auto"/>
              <w:bottom w:val="single" w:sz="12" w:space="0" w:color="auto"/>
              <w:right w:val="single" w:sz="12" w:space="0" w:color="auto"/>
            </w:tcBorders>
            <w:shd w:val="pct10" w:color="auto" w:fill="auto"/>
            <w:vAlign w:val="bottom"/>
          </w:tcPr>
          <w:p w:rsidR="00000000">
            <w:pPr>
              <w:spacing w:before="40" w:after="40"/>
              <w:jc w:val="center"/>
              <w:rPr>
                <w:rFonts w:cs="FrankRuehl" w:hint="cs"/>
                <w:b/>
                <w:bCs/>
                <w:szCs w:val="20"/>
                <w:rtl/>
              </w:rPr>
            </w:pPr>
            <w:r>
              <w:rPr>
                <w:rFonts w:cs="FrankRuehl" w:hint="cs"/>
                <w:b/>
                <w:bCs/>
                <w:szCs w:val="20"/>
                <w:rtl/>
              </w:rPr>
              <w:t>השנה</w:t>
            </w:r>
          </w:p>
        </w:tc>
      </w:tr>
      <w:tr>
        <w:tblPrEx>
          <w:tblW w:w="6691" w:type="dxa"/>
          <w:jc w:val="center"/>
          <w:tblLook w:val="01E0"/>
        </w:tblPrEx>
        <w:trPr>
          <w:jc w:val="center"/>
        </w:trPr>
        <w:tc>
          <w:tcPr>
            <w:tcW w:w="901" w:type="pct"/>
            <w:tcBorders>
              <w:top w:val="single" w:sz="12" w:space="0" w:color="auto"/>
              <w:left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65%</w:t>
            </w:r>
          </w:p>
        </w:tc>
        <w:tc>
          <w:tcPr>
            <w:tcW w:w="933" w:type="pct"/>
            <w:tcBorders>
              <w:top w:val="single" w:sz="12" w:space="0" w:color="auto"/>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74%</w:t>
            </w:r>
          </w:p>
        </w:tc>
        <w:tc>
          <w:tcPr>
            <w:tcW w:w="901" w:type="pct"/>
            <w:tcBorders>
              <w:top w:val="single" w:sz="12" w:space="0" w:color="auto"/>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65%</w:t>
            </w:r>
          </w:p>
        </w:tc>
        <w:tc>
          <w:tcPr>
            <w:tcW w:w="879" w:type="pct"/>
            <w:tcBorders>
              <w:top w:val="single" w:sz="12" w:space="0" w:color="auto"/>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63%</w:t>
            </w:r>
          </w:p>
        </w:tc>
        <w:tc>
          <w:tcPr>
            <w:tcW w:w="916" w:type="pct"/>
            <w:tcBorders>
              <w:top w:val="single" w:sz="12" w:space="0" w:color="auto"/>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71%</w:t>
            </w:r>
          </w:p>
        </w:tc>
        <w:tc>
          <w:tcPr>
            <w:tcW w:w="470" w:type="pct"/>
            <w:tcBorders>
              <w:top w:val="single" w:sz="12" w:space="0" w:color="auto"/>
              <w:left w:val="single" w:sz="4" w:space="0" w:color="auto"/>
              <w:right w:val="single" w:sz="12" w:space="0" w:color="auto"/>
            </w:tcBorders>
            <w:vAlign w:val="bottom"/>
          </w:tcPr>
          <w:p w:rsidR="00000000">
            <w:pPr>
              <w:spacing w:before="40" w:after="40"/>
              <w:rPr>
                <w:rFonts w:cs="FrankRuehl" w:hint="cs"/>
                <w:szCs w:val="20"/>
                <w:rtl/>
              </w:rPr>
            </w:pPr>
            <w:r>
              <w:rPr>
                <w:rFonts w:cs="FrankRuehl" w:hint="cs"/>
                <w:szCs w:val="20"/>
                <w:rtl/>
              </w:rPr>
              <w:t>2004</w:t>
            </w:r>
          </w:p>
        </w:tc>
      </w:tr>
      <w:tr>
        <w:tblPrEx>
          <w:tblW w:w="6691" w:type="dxa"/>
          <w:jc w:val="center"/>
          <w:tblLook w:val="01E0"/>
        </w:tblPrEx>
        <w:trPr>
          <w:jc w:val="center"/>
        </w:trPr>
        <w:tc>
          <w:tcPr>
            <w:tcW w:w="901" w:type="pct"/>
            <w:tcBorders>
              <w:left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76%</w:t>
            </w:r>
          </w:p>
        </w:tc>
        <w:tc>
          <w:tcPr>
            <w:tcW w:w="933"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84%</w:t>
            </w:r>
          </w:p>
        </w:tc>
        <w:tc>
          <w:tcPr>
            <w:tcW w:w="901"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80%</w:t>
            </w:r>
          </w:p>
        </w:tc>
        <w:tc>
          <w:tcPr>
            <w:tcW w:w="879"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73%</w:t>
            </w:r>
          </w:p>
        </w:tc>
        <w:tc>
          <w:tcPr>
            <w:tcW w:w="916"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84%</w:t>
            </w:r>
          </w:p>
        </w:tc>
        <w:tc>
          <w:tcPr>
            <w:tcW w:w="470" w:type="pct"/>
            <w:tcBorders>
              <w:left w:val="single" w:sz="4" w:space="0" w:color="auto"/>
              <w:right w:val="single" w:sz="12" w:space="0" w:color="auto"/>
            </w:tcBorders>
            <w:vAlign w:val="bottom"/>
          </w:tcPr>
          <w:p w:rsidR="00000000">
            <w:pPr>
              <w:spacing w:before="40" w:after="40"/>
              <w:rPr>
                <w:rFonts w:cs="FrankRuehl" w:hint="cs"/>
                <w:szCs w:val="20"/>
                <w:rtl/>
              </w:rPr>
            </w:pPr>
            <w:r>
              <w:rPr>
                <w:rFonts w:cs="FrankRuehl" w:hint="cs"/>
                <w:szCs w:val="20"/>
                <w:rtl/>
              </w:rPr>
              <w:t>2005</w:t>
            </w:r>
          </w:p>
        </w:tc>
      </w:tr>
      <w:tr>
        <w:tblPrEx>
          <w:tblW w:w="6691" w:type="dxa"/>
          <w:jc w:val="center"/>
          <w:tblLook w:val="01E0"/>
        </w:tblPrEx>
        <w:trPr>
          <w:jc w:val="center"/>
        </w:trPr>
        <w:tc>
          <w:tcPr>
            <w:tcW w:w="901" w:type="pct"/>
            <w:tcBorders>
              <w:left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82%</w:t>
            </w:r>
          </w:p>
        </w:tc>
        <w:tc>
          <w:tcPr>
            <w:tcW w:w="933"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86%</w:t>
            </w:r>
          </w:p>
        </w:tc>
        <w:tc>
          <w:tcPr>
            <w:tcW w:w="901"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86%</w:t>
            </w:r>
          </w:p>
        </w:tc>
        <w:tc>
          <w:tcPr>
            <w:tcW w:w="879"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80%</w:t>
            </w:r>
          </w:p>
        </w:tc>
        <w:tc>
          <w:tcPr>
            <w:tcW w:w="916" w:type="pct"/>
            <w:tcBorders>
              <w:left w:val="single" w:sz="4"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88%</w:t>
            </w:r>
          </w:p>
        </w:tc>
        <w:tc>
          <w:tcPr>
            <w:tcW w:w="470" w:type="pct"/>
            <w:tcBorders>
              <w:left w:val="single" w:sz="4" w:space="0" w:color="auto"/>
              <w:right w:val="single" w:sz="12" w:space="0" w:color="auto"/>
            </w:tcBorders>
            <w:vAlign w:val="bottom"/>
          </w:tcPr>
          <w:p w:rsidR="00000000">
            <w:pPr>
              <w:spacing w:before="40" w:after="40"/>
              <w:rPr>
                <w:rFonts w:cs="FrankRuehl" w:hint="cs"/>
                <w:szCs w:val="20"/>
                <w:rtl/>
              </w:rPr>
            </w:pPr>
            <w:r>
              <w:rPr>
                <w:rFonts w:cs="FrankRuehl" w:hint="cs"/>
                <w:szCs w:val="20"/>
                <w:rtl/>
              </w:rPr>
              <w:t>2006</w:t>
            </w:r>
          </w:p>
        </w:tc>
      </w:tr>
      <w:tr>
        <w:tblPrEx>
          <w:tblW w:w="6691" w:type="dxa"/>
          <w:jc w:val="center"/>
          <w:tblLook w:val="01E0"/>
        </w:tblPrEx>
        <w:trPr>
          <w:jc w:val="center"/>
        </w:trPr>
        <w:tc>
          <w:tcPr>
            <w:tcW w:w="901" w:type="pct"/>
            <w:tcBorders>
              <w:left w:val="single" w:sz="12" w:space="0" w:color="auto"/>
              <w:bottom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80%</w:t>
            </w:r>
          </w:p>
        </w:tc>
        <w:tc>
          <w:tcPr>
            <w:tcW w:w="933" w:type="pct"/>
            <w:tcBorders>
              <w:left w:val="single" w:sz="4" w:space="0" w:color="auto"/>
              <w:bottom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81%</w:t>
            </w:r>
          </w:p>
        </w:tc>
        <w:tc>
          <w:tcPr>
            <w:tcW w:w="901" w:type="pct"/>
            <w:tcBorders>
              <w:left w:val="single" w:sz="4" w:space="0" w:color="auto"/>
              <w:bottom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84%</w:t>
            </w:r>
          </w:p>
        </w:tc>
        <w:tc>
          <w:tcPr>
            <w:tcW w:w="879" w:type="pct"/>
            <w:tcBorders>
              <w:left w:val="single" w:sz="4" w:space="0" w:color="auto"/>
              <w:bottom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79%</w:t>
            </w:r>
          </w:p>
        </w:tc>
        <w:tc>
          <w:tcPr>
            <w:tcW w:w="916" w:type="pct"/>
            <w:tcBorders>
              <w:left w:val="single" w:sz="4" w:space="0" w:color="auto"/>
              <w:bottom w:val="single" w:sz="12" w:space="0" w:color="auto"/>
              <w:right w:val="single" w:sz="4" w:space="0" w:color="auto"/>
            </w:tcBorders>
            <w:vAlign w:val="bottom"/>
          </w:tcPr>
          <w:p w:rsidR="00000000">
            <w:pPr>
              <w:tabs>
                <w:tab w:val="decimal" w:pos="340"/>
              </w:tabs>
              <w:spacing w:before="40" w:after="40"/>
              <w:rPr>
                <w:rFonts w:cs="FrankRuehl" w:hint="cs"/>
                <w:szCs w:val="20"/>
                <w:rtl/>
              </w:rPr>
            </w:pPr>
            <w:r>
              <w:rPr>
                <w:rFonts w:cs="FrankRuehl" w:hint="cs"/>
                <w:szCs w:val="20"/>
                <w:rtl/>
              </w:rPr>
              <w:t>85%</w:t>
            </w:r>
          </w:p>
        </w:tc>
        <w:tc>
          <w:tcPr>
            <w:tcW w:w="470" w:type="pct"/>
            <w:tcBorders>
              <w:left w:val="single" w:sz="4" w:space="0" w:color="auto"/>
              <w:bottom w:val="single" w:sz="12" w:space="0" w:color="auto"/>
              <w:right w:val="single" w:sz="12" w:space="0" w:color="auto"/>
            </w:tcBorders>
            <w:vAlign w:val="bottom"/>
          </w:tcPr>
          <w:p w:rsidR="00000000">
            <w:pPr>
              <w:spacing w:before="40" w:after="40"/>
              <w:rPr>
                <w:rFonts w:cs="FrankRuehl" w:hint="cs"/>
                <w:szCs w:val="20"/>
                <w:rtl/>
              </w:rPr>
            </w:pPr>
            <w:r>
              <w:rPr>
                <w:rFonts w:cs="FrankRuehl" w:hint="cs"/>
                <w:szCs w:val="20"/>
                <w:rtl/>
              </w:rPr>
              <w:t>2007</w:t>
            </w:r>
          </w:p>
        </w:tc>
      </w:tr>
    </w:tbl>
    <w:p w:rsidR="00000000">
      <w:pPr>
        <w:spacing w:after="120" w:line="230" w:lineRule="exact"/>
        <w:jc w:val="both"/>
        <w:rPr>
          <w:rFonts w:cs="FrankRuehl"/>
          <w:sz w:val="20"/>
          <w:szCs w:val="22"/>
          <w:rtl/>
        </w:rPr>
      </w:pPr>
    </w:p>
    <w:p w:rsidR="00000000">
      <w:pPr>
        <w:pStyle w:val="a"/>
        <w:widowControl/>
        <w:spacing w:after="240" w:line="240" w:lineRule="atLeast"/>
        <w:ind w:left="0"/>
        <w:jc w:val="center"/>
        <w:rPr>
          <w:rFonts w:hint="cs"/>
          <w:u w:val="single"/>
          <w:rtl/>
        </w:rPr>
      </w:pPr>
      <w:r>
        <w:rPr>
          <w:noProof/>
          <w:lang w:eastAsia="en-US"/>
        </w:rPr>
        <w:drawing>
          <wp:inline distT="0" distB="0" distL="0" distR="0">
            <wp:extent cx="4318000" cy="2590800"/>
            <wp:effectExtent l="0" t="0" r="6350" b="0"/>
            <wp:docPr id="1" name="תמונה 1" descr="source2\37-G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32976" name="Picture 1" descr="source2\37-G1.WMF"/>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318000" cy="2590800"/>
                    </a:xfrm>
                    <a:prstGeom prst="rect">
                      <a:avLst/>
                    </a:prstGeom>
                    <a:noFill/>
                    <a:ln>
                      <a:noFill/>
                    </a:ln>
                  </pic:spPr>
                </pic:pic>
              </a:graphicData>
            </a:graphic>
          </wp:inline>
        </w:drawing>
      </w:r>
    </w:p>
    <w:p w:rsidR="00000000">
      <w:pPr>
        <w:spacing w:after="120" w:line="230" w:lineRule="exact"/>
        <w:jc w:val="both"/>
        <w:rPr>
          <w:rFonts w:cs="FrankRuehl" w:hint="cs"/>
          <w:sz w:val="20"/>
          <w:szCs w:val="22"/>
          <w:u w:val="single"/>
          <w:rtl/>
        </w:rPr>
      </w:pPr>
      <w:r>
        <w:rPr>
          <w:rFonts w:cs="FrankRuehl" w:hint="cs"/>
          <w:sz w:val="20"/>
          <w:szCs w:val="22"/>
          <w:rtl/>
        </w:rPr>
        <w:t>הנתונים לעיל מלמדים כי אף ששיעור ההקצאה הממוצע לכלל הרשויות המקומיות גדל מ-69% בשנת 2004 ל-84% בשנת 2007, לא חל צמצום של ממש בפער בין שיעור ההקצאה שנקבע לרשויות במגזר היהודי לבין שיעו</w:t>
      </w:r>
      <w:r>
        <w:rPr>
          <w:rFonts w:cs="FrankRuehl" w:hint="cs"/>
          <w:sz w:val="20"/>
          <w:szCs w:val="22"/>
          <w:rtl/>
        </w:rPr>
        <w:t>ר ההקצאה שנקבע לרשויות במגזרי המיעוטים: בשנת 2004 שיעור ההקצאה למגזר היהודי היה גבוה ב-8.5% משיעור ההקצאה למגזר המיעוטים</w:t>
      </w:r>
      <w:r>
        <w:rPr>
          <w:rStyle w:val="FootnoteReference"/>
          <w:rFonts w:cs="FrankRuehl"/>
          <w:sz w:val="20"/>
          <w:szCs w:val="22"/>
          <w:rtl/>
        </w:rPr>
        <w:footnoteReference w:id="33"/>
      </w:r>
      <w:r>
        <w:rPr>
          <w:rFonts w:cs="FrankRuehl" w:hint="cs"/>
          <w:sz w:val="20"/>
          <w:szCs w:val="22"/>
          <w:rtl/>
        </w:rPr>
        <w:t xml:space="preserve"> ובשנת 2007 הוא היה גבוה ממנו ב-5.9%.</w:t>
      </w:r>
    </w:p>
    <w:p w:rsidR="00000000">
      <w:pPr>
        <w:spacing w:after="240" w:line="230" w:lineRule="exact"/>
        <w:jc w:val="both"/>
        <w:rPr>
          <w:rFonts w:cs="FrankRuehl" w:hint="cs"/>
          <w:sz w:val="20"/>
          <w:szCs w:val="22"/>
          <w:rtl/>
        </w:rPr>
      </w:pPr>
      <w:r>
        <w:rPr>
          <w:rFonts w:cs="FrankRuehl" w:hint="cs"/>
          <w:spacing w:val="-2"/>
          <w:sz w:val="20"/>
          <w:szCs w:val="22"/>
          <w:rtl/>
        </w:rPr>
        <w:t>עוד עולה מהנתונים כי אף ששיעור ההקצאה הממוצע למגזר הערבי גדל במהלך השנים 2004-2007</w:t>
      </w:r>
      <w:r>
        <w:rPr>
          <w:rFonts w:cs="FrankRuehl" w:hint="cs"/>
          <w:sz w:val="20"/>
          <w:szCs w:val="22"/>
          <w:rtl/>
        </w:rPr>
        <w:t>, בשנת 2007 הוא</w:t>
      </w:r>
      <w:r>
        <w:rPr>
          <w:rFonts w:cs="FrankRuehl" w:hint="cs"/>
          <w:sz w:val="20"/>
          <w:szCs w:val="22"/>
          <w:rtl/>
        </w:rPr>
        <w:t xml:space="preserve"> עדיין היה נמוך משיעור ההקצאה הממוצע למגזר היהודי: בשנת 2004 הפער בין שיעורי ההקצאה למגזר הערבי ובין שיעור ההקצאה למגזר היהודי היה 11.3% ובשנת 2007 - 7.1%.</w:t>
      </w:r>
    </w:p>
    <w:p w:rsidR="00000000">
      <w:pPr>
        <w:pStyle w:val="RESHET"/>
        <w:rPr>
          <w:rFonts w:hint="cs"/>
          <w:rtl/>
        </w:rPr>
      </w:pPr>
      <w:r>
        <w:rPr>
          <w:rFonts w:hint="cs"/>
          <w:rtl/>
        </w:rPr>
        <w:t>הנתונים שהובאו בפרק זה מצביעים על כך שהחלטות שהתקבלו על ידי הגורמים הממשלתיים מאז 1999 בדבר סגירת הפ</w:t>
      </w:r>
      <w:r>
        <w:rPr>
          <w:rFonts w:hint="cs"/>
          <w:rtl/>
        </w:rPr>
        <w:t>ער בין הקצאת מענקי האיזון למגזר היהודי לבין ההקצאה למגזר המיעוטים יושמו באופן חלקי. נכון לסוף שנת 2007 ניכר שיפור, אך עדיין קיימים פערי הקצאה בין המגזרים ועל המשרד לפעול לסגירתם.</w:t>
      </w:r>
    </w:p>
    <w:p w:rsidR="00000000">
      <w:pPr>
        <w:spacing w:after="240" w:line="230" w:lineRule="exact"/>
        <w:jc w:val="both"/>
        <w:rPr>
          <w:rFonts w:cs="FrankRuehl" w:hint="cs"/>
          <w:sz w:val="20"/>
          <w:szCs w:val="22"/>
          <w:rtl/>
        </w:rPr>
      </w:pPr>
      <w:r>
        <w:rPr>
          <w:rStyle w:val="53"/>
          <w:rFonts w:cs="FrankRuehl" w:hint="cs"/>
          <w:sz w:val="20"/>
          <w:szCs w:val="22"/>
          <w:rtl/>
        </w:rPr>
        <w:t>2.</w:t>
      </w:r>
      <w:r>
        <w:rPr>
          <w:rStyle w:val="53"/>
          <w:rFonts w:cs="FrankRuehl" w:hint="cs"/>
          <w:sz w:val="20"/>
          <w:szCs w:val="22"/>
          <w:rtl/>
        </w:rPr>
        <w:tab/>
        <w:t>הפערים בקבוצת היישובים הדומים</w:t>
      </w:r>
      <w:r>
        <w:rPr>
          <w:rStyle w:val="53"/>
          <w:rFonts w:cs="FrankRuehl"/>
          <w:sz w:val="20"/>
          <w:szCs w:val="22"/>
          <w:rtl/>
        </w:rPr>
        <w:t>:</w:t>
      </w:r>
      <w:r>
        <w:rPr>
          <w:rStyle w:val="53"/>
          <w:rFonts w:cs="FrankRuehl" w:hint="cs"/>
          <w:sz w:val="20"/>
          <w:szCs w:val="22"/>
          <w:rtl/>
        </w:rPr>
        <w:t xml:space="preserve">  </w:t>
      </w:r>
      <w:r>
        <w:rPr>
          <w:rFonts w:cs="FrankRuehl" w:hint="cs"/>
          <w:sz w:val="20"/>
          <w:szCs w:val="22"/>
          <w:rtl/>
        </w:rPr>
        <w:t>(א)  להלן בלוח שיעורי ההקצאה בשנים 2004-20</w:t>
      </w:r>
      <w:r>
        <w:rPr>
          <w:rFonts w:cs="FrankRuehl" w:hint="cs"/>
          <w:sz w:val="20"/>
          <w:szCs w:val="22"/>
          <w:rtl/>
        </w:rPr>
        <w:t>07 למגזרים השונים בקבוצת היישובים הדומים (ערים ומועצות מקומיות באשכולות 1-4 שאוכלוסייתם מונה עד 50,000 תושבים):</w:t>
      </w:r>
    </w:p>
    <w:p w:rsidR="00000000">
      <w:pPr>
        <w:pStyle w:val="takzir"/>
        <w:spacing w:after="0"/>
        <w:rPr>
          <w:rFonts w:cs="FrankRuehl" w:hint="cs"/>
          <w:b w:val="0"/>
          <w:bCs w:val="0"/>
          <w:noProof w:val="0"/>
          <w:spacing w:val="40"/>
          <w:sz w:val="20"/>
          <w:rtl/>
        </w:rPr>
      </w:pPr>
      <w:r>
        <w:rPr>
          <w:rStyle w:val="53"/>
          <w:rFonts w:cs="FrankRuehl"/>
          <w:noProof w:val="0"/>
          <w:sz w:val="20"/>
          <w:szCs w:val="22"/>
          <w:rtl/>
        </w:rPr>
        <w:br w:type="page"/>
      </w:r>
    </w:p>
    <w:tbl>
      <w:tblPr>
        <w:tblW w:w="669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tblPr>
      <w:tblGrid>
        <w:gridCol w:w="1134"/>
        <w:gridCol w:w="1134"/>
        <w:gridCol w:w="1134"/>
        <w:gridCol w:w="1134"/>
        <w:gridCol w:w="2155"/>
      </w:tblGrid>
      <w:tr>
        <w:tblPrEx>
          <w:tblW w:w="669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tblPrEx>
        <w:trPr>
          <w:jc w:val="center"/>
        </w:trPr>
        <w:tc>
          <w:tcPr>
            <w:tcW w:w="1134" w:type="dxa"/>
            <w:tcBorders>
              <w:top w:val="single" w:sz="12" w:space="0" w:color="auto"/>
              <w:left w:val="single" w:sz="12" w:space="0" w:color="auto"/>
              <w:bottom w:val="single" w:sz="12" w:space="0" w:color="auto"/>
              <w:right w:val="single" w:sz="4" w:space="0" w:color="auto"/>
            </w:tcBorders>
            <w:shd w:val="pct10" w:color="auto" w:fill="auto"/>
            <w:vAlign w:val="bottom"/>
          </w:tcPr>
          <w:p w:rsidR="00000000">
            <w:pPr>
              <w:spacing w:before="40" w:after="20"/>
              <w:jc w:val="center"/>
              <w:rPr>
                <w:rFonts w:cs="FrankRuehl" w:hint="cs"/>
                <w:b/>
                <w:bCs/>
                <w:szCs w:val="20"/>
                <w:rtl/>
              </w:rPr>
            </w:pPr>
            <w:r>
              <w:rPr>
                <w:rFonts w:cs="FrankRuehl" w:hint="cs"/>
                <w:b/>
                <w:bCs/>
                <w:szCs w:val="20"/>
                <w:rtl/>
              </w:rPr>
              <w:t>2007</w:t>
            </w:r>
          </w:p>
        </w:tc>
        <w:tc>
          <w:tcPr>
            <w:tcW w:w="1134" w:type="dxa"/>
            <w:tcBorders>
              <w:top w:val="single" w:sz="12" w:space="0" w:color="auto"/>
              <w:left w:val="single" w:sz="4" w:space="0" w:color="auto"/>
              <w:bottom w:val="single" w:sz="12" w:space="0" w:color="auto"/>
              <w:right w:val="single" w:sz="4" w:space="0" w:color="auto"/>
            </w:tcBorders>
            <w:shd w:val="pct10" w:color="auto" w:fill="auto"/>
            <w:vAlign w:val="bottom"/>
          </w:tcPr>
          <w:p w:rsidR="00000000">
            <w:pPr>
              <w:spacing w:before="40" w:after="20"/>
              <w:jc w:val="center"/>
              <w:rPr>
                <w:rFonts w:cs="FrankRuehl" w:hint="cs"/>
                <w:b/>
                <w:bCs/>
                <w:szCs w:val="20"/>
                <w:rtl/>
              </w:rPr>
            </w:pPr>
            <w:r>
              <w:rPr>
                <w:rFonts w:cs="FrankRuehl" w:hint="cs"/>
                <w:b/>
                <w:bCs/>
                <w:szCs w:val="20"/>
                <w:rtl/>
              </w:rPr>
              <w:t>2006</w:t>
            </w:r>
          </w:p>
        </w:tc>
        <w:tc>
          <w:tcPr>
            <w:tcW w:w="1134" w:type="dxa"/>
            <w:tcBorders>
              <w:top w:val="single" w:sz="12" w:space="0" w:color="auto"/>
              <w:left w:val="single" w:sz="4" w:space="0" w:color="auto"/>
              <w:bottom w:val="single" w:sz="12" w:space="0" w:color="auto"/>
              <w:right w:val="single" w:sz="4" w:space="0" w:color="auto"/>
            </w:tcBorders>
            <w:shd w:val="pct10" w:color="auto" w:fill="auto"/>
            <w:vAlign w:val="bottom"/>
          </w:tcPr>
          <w:p w:rsidR="00000000">
            <w:pPr>
              <w:spacing w:before="40" w:after="20"/>
              <w:jc w:val="center"/>
              <w:rPr>
                <w:rFonts w:cs="FrankRuehl" w:hint="cs"/>
                <w:b/>
                <w:bCs/>
                <w:szCs w:val="20"/>
                <w:rtl/>
              </w:rPr>
            </w:pPr>
            <w:r>
              <w:rPr>
                <w:rFonts w:cs="FrankRuehl" w:hint="cs"/>
                <w:b/>
                <w:bCs/>
                <w:szCs w:val="20"/>
                <w:rtl/>
              </w:rPr>
              <w:t>2005</w:t>
            </w:r>
          </w:p>
        </w:tc>
        <w:tc>
          <w:tcPr>
            <w:tcW w:w="1134" w:type="dxa"/>
            <w:tcBorders>
              <w:top w:val="single" w:sz="12" w:space="0" w:color="auto"/>
              <w:left w:val="single" w:sz="4" w:space="0" w:color="auto"/>
              <w:bottom w:val="single" w:sz="12" w:space="0" w:color="auto"/>
              <w:right w:val="single" w:sz="4" w:space="0" w:color="auto"/>
            </w:tcBorders>
            <w:shd w:val="pct10" w:color="auto" w:fill="auto"/>
            <w:vAlign w:val="bottom"/>
          </w:tcPr>
          <w:p w:rsidR="00000000">
            <w:pPr>
              <w:spacing w:before="40" w:after="20"/>
              <w:jc w:val="center"/>
              <w:rPr>
                <w:rFonts w:cs="FrankRuehl" w:hint="cs"/>
                <w:b/>
                <w:bCs/>
                <w:szCs w:val="20"/>
                <w:rtl/>
              </w:rPr>
            </w:pPr>
            <w:r>
              <w:rPr>
                <w:rFonts w:cs="FrankRuehl" w:hint="cs"/>
                <w:b/>
                <w:bCs/>
                <w:szCs w:val="20"/>
                <w:rtl/>
              </w:rPr>
              <w:t>2004</w:t>
            </w:r>
          </w:p>
        </w:tc>
        <w:tc>
          <w:tcPr>
            <w:tcW w:w="0" w:type="auto"/>
            <w:tcBorders>
              <w:top w:val="single" w:sz="12" w:space="0" w:color="auto"/>
              <w:left w:val="single" w:sz="4" w:space="0" w:color="auto"/>
              <w:bottom w:val="single" w:sz="12" w:space="0" w:color="auto"/>
              <w:right w:val="single" w:sz="12" w:space="0" w:color="auto"/>
            </w:tcBorders>
            <w:shd w:val="pct10" w:color="auto" w:fill="auto"/>
            <w:vAlign w:val="bottom"/>
          </w:tcPr>
          <w:p w:rsidR="00000000">
            <w:pPr>
              <w:spacing w:before="40" w:after="20"/>
              <w:jc w:val="center"/>
              <w:rPr>
                <w:rFonts w:cs="FrankRuehl" w:hint="cs"/>
                <w:b/>
                <w:bCs/>
                <w:szCs w:val="20"/>
                <w:rtl/>
              </w:rPr>
            </w:pPr>
          </w:p>
        </w:tc>
      </w:tr>
      <w:tr>
        <w:tblPrEx>
          <w:tblW w:w="6691" w:type="dxa"/>
          <w:jc w:val="center"/>
          <w:tblLook w:val="01E0"/>
        </w:tblPrEx>
        <w:trPr>
          <w:jc w:val="center"/>
        </w:trPr>
        <w:tc>
          <w:tcPr>
            <w:tcW w:w="1134" w:type="dxa"/>
            <w:tcBorders>
              <w:top w:val="single" w:sz="12" w:space="0" w:color="auto"/>
              <w:left w:val="single" w:sz="12"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85.2%</w:t>
            </w:r>
          </w:p>
        </w:tc>
        <w:tc>
          <w:tcPr>
            <w:tcW w:w="1134" w:type="dxa"/>
            <w:tcBorders>
              <w:top w:val="single" w:sz="12" w:space="0" w:color="auto"/>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88.1%</w:t>
            </w:r>
          </w:p>
        </w:tc>
        <w:tc>
          <w:tcPr>
            <w:tcW w:w="1134" w:type="dxa"/>
            <w:tcBorders>
              <w:top w:val="single" w:sz="12" w:space="0" w:color="auto"/>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87.7%</w:t>
            </w:r>
          </w:p>
        </w:tc>
        <w:tc>
          <w:tcPr>
            <w:tcW w:w="1134" w:type="dxa"/>
            <w:tcBorders>
              <w:top w:val="single" w:sz="12" w:space="0" w:color="auto"/>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76.1%</w:t>
            </w:r>
          </w:p>
        </w:tc>
        <w:tc>
          <w:tcPr>
            <w:tcW w:w="0" w:type="auto"/>
            <w:tcBorders>
              <w:top w:val="single" w:sz="12" w:space="0" w:color="auto"/>
              <w:left w:val="single" w:sz="4" w:space="0" w:color="auto"/>
              <w:bottom w:val="nil"/>
              <w:right w:val="single" w:sz="12" w:space="0" w:color="auto"/>
            </w:tcBorders>
            <w:vAlign w:val="bottom"/>
          </w:tcPr>
          <w:p w:rsidR="00000000">
            <w:pPr>
              <w:spacing w:before="40" w:after="20"/>
              <w:rPr>
                <w:rFonts w:cs="FrankRuehl" w:hint="cs"/>
                <w:b/>
                <w:bCs/>
                <w:szCs w:val="20"/>
                <w:rtl/>
              </w:rPr>
            </w:pPr>
            <w:r>
              <w:rPr>
                <w:rFonts w:cs="FrankRuehl" w:hint="cs"/>
                <w:b/>
                <w:bCs/>
                <w:szCs w:val="20"/>
                <w:rtl/>
              </w:rPr>
              <w:t>יישובים יהודיים</w:t>
            </w:r>
          </w:p>
        </w:tc>
      </w:tr>
      <w:tr>
        <w:tblPrEx>
          <w:tblW w:w="6691" w:type="dxa"/>
          <w:jc w:val="center"/>
          <w:tblLook w:val="01E0"/>
        </w:tblPrEx>
        <w:trPr>
          <w:jc w:val="center"/>
        </w:trPr>
        <w:tc>
          <w:tcPr>
            <w:tcW w:w="1134" w:type="dxa"/>
            <w:tcBorders>
              <w:top w:val="nil"/>
              <w:left w:val="single" w:sz="12"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80.5%</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82.5%</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77.2%</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65.9%</w:t>
            </w:r>
          </w:p>
        </w:tc>
        <w:tc>
          <w:tcPr>
            <w:tcW w:w="0" w:type="auto"/>
            <w:tcBorders>
              <w:top w:val="nil"/>
              <w:left w:val="single" w:sz="4" w:space="0" w:color="auto"/>
              <w:bottom w:val="nil"/>
              <w:right w:val="single" w:sz="12" w:space="0" w:color="auto"/>
            </w:tcBorders>
            <w:vAlign w:val="bottom"/>
          </w:tcPr>
          <w:p w:rsidR="00000000">
            <w:pPr>
              <w:spacing w:before="40" w:after="20"/>
              <w:rPr>
                <w:rFonts w:cs="FrankRuehl" w:hint="cs"/>
                <w:b/>
                <w:bCs/>
                <w:szCs w:val="20"/>
                <w:rtl/>
              </w:rPr>
            </w:pPr>
            <w:r>
              <w:rPr>
                <w:rFonts w:cs="FrankRuehl" w:hint="cs"/>
                <w:b/>
                <w:bCs/>
                <w:szCs w:val="20"/>
                <w:rtl/>
              </w:rPr>
              <w:t>כלל יישובי המיעוטים</w:t>
            </w:r>
          </w:p>
        </w:tc>
      </w:tr>
      <w:tr>
        <w:tblPrEx>
          <w:tblW w:w="6691" w:type="dxa"/>
          <w:jc w:val="center"/>
          <w:tblLook w:val="01E0"/>
        </w:tblPrEx>
        <w:trPr>
          <w:jc w:val="center"/>
        </w:trPr>
        <w:tc>
          <w:tcPr>
            <w:tcW w:w="1134" w:type="dxa"/>
            <w:tcBorders>
              <w:top w:val="nil"/>
              <w:left w:val="single" w:sz="12"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79.4%</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80.9%</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74.8%</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64.0%</w:t>
            </w:r>
          </w:p>
        </w:tc>
        <w:tc>
          <w:tcPr>
            <w:tcW w:w="0" w:type="auto"/>
            <w:tcBorders>
              <w:top w:val="nil"/>
              <w:left w:val="single" w:sz="4" w:space="0" w:color="auto"/>
              <w:bottom w:val="nil"/>
              <w:right w:val="single" w:sz="12" w:space="0" w:color="auto"/>
            </w:tcBorders>
            <w:vAlign w:val="bottom"/>
          </w:tcPr>
          <w:p w:rsidR="00000000">
            <w:pPr>
              <w:spacing w:before="40" w:after="20"/>
              <w:rPr>
                <w:rFonts w:cs="FrankRuehl" w:hint="cs"/>
                <w:b/>
                <w:bCs/>
                <w:szCs w:val="20"/>
                <w:rtl/>
              </w:rPr>
            </w:pPr>
            <w:r>
              <w:rPr>
                <w:rFonts w:cs="FrankRuehl" w:hint="cs"/>
                <w:b/>
                <w:bCs/>
                <w:szCs w:val="20"/>
                <w:rtl/>
              </w:rPr>
              <w:t>יישובים ער</w:t>
            </w:r>
            <w:r>
              <w:rPr>
                <w:rFonts w:cs="FrankRuehl" w:hint="cs"/>
                <w:b/>
                <w:bCs/>
                <w:szCs w:val="20"/>
                <w:rtl/>
              </w:rPr>
              <w:t>ביים</w:t>
            </w:r>
          </w:p>
        </w:tc>
      </w:tr>
      <w:tr>
        <w:tblPrEx>
          <w:tblW w:w="6691" w:type="dxa"/>
          <w:jc w:val="center"/>
          <w:tblLook w:val="01E0"/>
        </w:tblPrEx>
        <w:trPr>
          <w:jc w:val="center"/>
        </w:trPr>
        <w:tc>
          <w:tcPr>
            <w:tcW w:w="1134" w:type="dxa"/>
            <w:tcBorders>
              <w:top w:val="nil"/>
              <w:left w:val="single" w:sz="12"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82.0%</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87.0%</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85.4%</w:t>
            </w:r>
          </w:p>
        </w:tc>
        <w:tc>
          <w:tcPr>
            <w:tcW w:w="1134" w:type="dxa"/>
            <w:tcBorders>
              <w:top w:val="nil"/>
              <w:left w:val="single" w:sz="4" w:space="0" w:color="auto"/>
              <w:bottom w:val="nil"/>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75.5%</w:t>
            </w:r>
          </w:p>
        </w:tc>
        <w:tc>
          <w:tcPr>
            <w:tcW w:w="0" w:type="auto"/>
            <w:tcBorders>
              <w:top w:val="nil"/>
              <w:left w:val="single" w:sz="4" w:space="0" w:color="auto"/>
              <w:bottom w:val="nil"/>
              <w:right w:val="single" w:sz="12" w:space="0" w:color="auto"/>
            </w:tcBorders>
            <w:vAlign w:val="bottom"/>
          </w:tcPr>
          <w:p w:rsidR="00000000">
            <w:pPr>
              <w:spacing w:before="40" w:after="20"/>
              <w:rPr>
                <w:rFonts w:cs="FrankRuehl" w:hint="cs"/>
                <w:b/>
                <w:bCs/>
                <w:szCs w:val="20"/>
                <w:rtl/>
              </w:rPr>
            </w:pPr>
            <w:r>
              <w:rPr>
                <w:rFonts w:cs="FrankRuehl" w:hint="cs"/>
                <w:b/>
                <w:bCs/>
                <w:szCs w:val="20"/>
                <w:rtl/>
              </w:rPr>
              <w:t>יישובים בדואיים</w:t>
            </w:r>
          </w:p>
        </w:tc>
      </w:tr>
      <w:tr>
        <w:tblPrEx>
          <w:tblW w:w="6691" w:type="dxa"/>
          <w:jc w:val="center"/>
          <w:tblLook w:val="01E0"/>
        </w:tblPrEx>
        <w:trPr>
          <w:jc w:val="center"/>
        </w:trPr>
        <w:tc>
          <w:tcPr>
            <w:tcW w:w="1134" w:type="dxa"/>
            <w:tcBorders>
              <w:top w:val="nil"/>
              <w:left w:val="single" w:sz="12" w:space="0" w:color="auto"/>
              <w:bottom w:val="single" w:sz="12" w:space="0" w:color="auto"/>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84.2%</w:t>
            </w:r>
          </w:p>
        </w:tc>
        <w:tc>
          <w:tcPr>
            <w:tcW w:w="1134" w:type="dxa"/>
            <w:tcBorders>
              <w:top w:val="nil"/>
              <w:left w:val="single" w:sz="4" w:space="0" w:color="auto"/>
              <w:bottom w:val="single" w:sz="12" w:space="0" w:color="auto"/>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85.8%</w:t>
            </w:r>
          </w:p>
        </w:tc>
        <w:tc>
          <w:tcPr>
            <w:tcW w:w="1134" w:type="dxa"/>
            <w:tcBorders>
              <w:top w:val="nil"/>
              <w:left w:val="single" w:sz="4" w:space="0" w:color="auto"/>
              <w:bottom w:val="single" w:sz="12" w:space="0" w:color="auto"/>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80.0%</w:t>
            </w:r>
          </w:p>
        </w:tc>
        <w:tc>
          <w:tcPr>
            <w:tcW w:w="1134" w:type="dxa"/>
            <w:tcBorders>
              <w:top w:val="nil"/>
              <w:left w:val="single" w:sz="4" w:space="0" w:color="auto"/>
              <w:bottom w:val="single" w:sz="12" w:space="0" w:color="auto"/>
              <w:right w:val="single" w:sz="4" w:space="0" w:color="auto"/>
            </w:tcBorders>
            <w:vAlign w:val="bottom"/>
          </w:tcPr>
          <w:p w:rsidR="00000000">
            <w:pPr>
              <w:tabs>
                <w:tab w:val="decimal" w:pos="227"/>
              </w:tabs>
              <w:spacing w:before="40" w:after="20"/>
              <w:rPr>
                <w:rFonts w:cs="FrankRuehl" w:hint="cs"/>
                <w:szCs w:val="20"/>
                <w:rtl/>
              </w:rPr>
            </w:pPr>
            <w:r>
              <w:rPr>
                <w:rFonts w:cs="FrankRuehl" w:hint="cs"/>
                <w:szCs w:val="20"/>
                <w:rtl/>
              </w:rPr>
              <w:t>65.2%</w:t>
            </w:r>
          </w:p>
        </w:tc>
        <w:tc>
          <w:tcPr>
            <w:tcW w:w="0" w:type="auto"/>
            <w:tcBorders>
              <w:top w:val="nil"/>
              <w:left w:val="single" w:sz="4" w:space="0" w:color="auto"/>
              <w:bottom w:val="single" w:sz="12" w:space="0" w:color="auto"/>
              <w:right w:val="single" w:sz="12" w:space="0" w:color="auto"/>
            </w:tcBorders>
            <w:vAlign w:val="bottom"/>
          </w:tcPr>
          <w:p w:rsidR="00000000">
            <w:pPr>
              <w:spacing w:before="40" w:after="20"/>
              <w:rPr>
                <w:rFonts w:cs="FrankRuehl" w:hint="cs"/>
                <w:b/>
                <w:bCs/>
                <w:szCs w:val="20"/>
                <w:rtl/>
              </w:rPr>
            </w:pPr>
            <w:r>
              <w:rPr>
                <w:rFonts w:cs="FrankRuehl" w:hint="cs"/>
                <w:b/>
                <w:bCs/>
                <w:szCs w:val="20"/>
                <w:rtl/>
              </w:rPr>
              <w:t>יישובים דרוזיים</w:t>
            </w:r>
          </w:p>
        </w:tc>
      </w:tr>
    </w:tbl>
    <w:p w:rsidR="00000000">
      <w:pPr>
        <w:pStyle w:val="takzir"/>
        <w:spacing w:after="0"/>
        <w:rPr>
          <w:rFonts w:cs="FrankRuehl" w:hint="cs"/>
          <w:b w:val="0"/>
          <w:bCs w:val="0"/>
          <w:noProof w:val="0"/>
          <w:spacing w:val="40"/>
          <w:sz w:val="20"/>
          <w:rtl/>
        </w:rPr>
      </w:pPr>
    </w:p>
    <w:p w:rsidR="00000000">
      <w:pPr>
        <w:pStyle w:val="RESHET"/>
        <w:rPr>
          <w:rFonts w:hint="cs"/>
          <w:rtl/>
        </w:rPr>
      </w:pPr>
      <w:r>
        <w:rPr>
          <w:rFonts w:hint="cs"/>
          <w:rtl/>
        </w:rPr>
        <w:t>מהנתונים בלוח עולה כי בשנים 2004-2007 היו שיעורי ההקצאה שנקבעו ליישובי המיעוטים שבקבוצת היישובים הדומים נמוכים משיעורי ההקצאה שנקבעו ליישובים היהודיים באותה קבוצה; וכי</w:t>
      </w:r>
      <w:r>
        <w:rPr>
          <w:rFonts w:hint="cs"/>
          <w:rtl/>
        </w:rPr>
        <w:t xml:space="preserve"> בכל אותן שנים שיעור ההקצאה שנקבע ליישובים הערביים היה הנמוך ביותר.</w:t>
      </w:r>
    </w:p>
    <w:p w:rsidR="00000000">
      <w:pPr>
        <w:pStyle w:val="RESHET"/>
        <w:rPr>
          <w:rFonts w:hint="cs"/>
          <w:rtl/>
        </w:rPr>
      </w:pPr>
      <w:r>
        <w:rPr>
          <w:rFonts w:hint="cs"/>
          <w:rtl/>
        </w:rPr>
        <w:t>האמור לעיל מלמד כי אף שבמהלך השנים האחרונות הצטמצם הפער בין שיעור ההקצאה למגזרי המיעוטים לשיעור ההקצאה למגזר היהודי, הרי שעדיין נכון לסוף 2007 קיים פער משמעותי בשיעור של כ-6%. על משרד הפני</w:t>
      </w:r>
      <w:r>
        <w:rPr>
          <w:rFonts w:hint="cs"/>
          <w:rtl/>
        </w:rPr>
        <w:t>ם לנהל את פעולותיו בתחום זה באופן שיבטיחו כי עד שנת 2010 ייסגר פער זה באופן מלא.</w:t>
      </w:r>
    </w:p>
    <w:p w:rsidR="00000000">
      <w:pPr>
        <w:pStyle w:val="BodyText"/>
        <w:rPr>
          <w:rFonts w:hint="cs"/>
          <w:rtl/>
        </w:rPr>
      </w:pPr>
      <w:r>
        <w:rPr>
          <w:rFonts w:hint="cs"/>
          <w:rtl/>
        </w:rPr>
        <w:t>(ב)</w:t>
      </w:r>
      <w:r>
        <w:rPr>
          <w:rFonts w:hint="cs"/>
          <w:rtl/>
        </w:rPr>
        <w:tab/>
        <w:t>בדיקת הפערים בין שיעורי ההקצאה שנקבעו למגזרים השונים, לפי שלוש קבוצות היישובים בקבוצת היישובים הדומים שמוינו לפי גודלם, העלתה כדלקמן:</w:t>
      </w:r>
    </w:p>
    <w:p w:rsidR="00000000">
      <w:pPr>
        <w:spacing w:after="120" w:line="230" w:lineRule="exact"/>
        <w:jc w:val="both"/>
        <w:rPr>
          <w:rFonts w:cs="FrankRuehl" w:hint="cs"/>
          <w:sz w:val="20"/>
          <w:szCs w:val="22"/>
          <w:rtl/>
        </w:rPr>
      </w:pPr>
      <w:r>
        <w:rPr>
          <w:rFonts w:cs="FrankRuehl" w:hint="cs"/>
          <w:sz w:val="20"/>
          <w:szCs w:val="22"/>
          <w:rtl/>
        </w:rPr>
        <w:t>בקבוצת היישובים הקטנים הצטמצם הפער בש</w:t>
      </w:r>
      <w:r>
        <w:rPr>
          <w:rFonts w:cs="FrankRuehl" w:hint="cs"/>
          <w:sz w:val="20"/>
          <w:szCs w:val="22"/>
          <w:rtl/>
        </w:rPr>
        <w:t>יעור ההקצאה בין מגזרי המיעוטים ובין המגזר היהודי מ-23% בשנת 2004 ל-10% בשנת 2007; בקבוצת היישובים הבינוניים גדל הפער מ-2% בשנת 2004 לטובת מגזרי המיעוטים ל-9% בשנת 2007 לטובת המגזר היהודי; ובקבוצת היישובים הגדולים הצטמצם הפער מ-21% בשנת 2004 ל-4% בשנת 2007.</w:t>
      </w:r>
    </w:p>
    <w:p w:rsidR="00000000">
      <w:pPr>
        <w:spacing w:after="120" w:line="230" w:lineRule="exact"/>
        <w:jc w:val="both"/>
        <w:rPr>
          <w:rFonts w:cs="FrankRuehl" w:hint="cs"/>
          <w:sz w:val="20"/>
          <w:szCs w:val="22"/>
          <w:rtl/>
        </w:rPr>
      </w:pPr>
      <w:r>
        <w:rPr>
          <w:rFonts w:cs="FrankRuehl" w:hint="cs"/>
          <w:sz w:val="20"/>
          <w:szCs w:val="22"/>
          <w:rtl/>
        </w:rPr>
        <w:t>השוואה בין שיעורי ההקצאה שנקבעו למגזרי המיעוטים העלתה כי בדרך כלל הצטמצמו הפערים ביניהם בשנת 2007 לעומת השנים הקודמות: בקבוצת היישובים הקטנים הפערים בין שיעורי ההקצאה למגזרים אלה הגיעו באותה שנה עד 4% לעומת עד 9% בשנת 2004; הפערים בין שיעורי ההקצאה למגזרי</w:t>
      </w:r>
      <w:r>
        <w:rPr>
          <w:rFonts w:cs="FrankRuehl" w:hint="cs"/>
          <w:sz w:val="20"/>
          <w:szCs w:val="22"/>
          <w:rtl/>
        </w:rPr>
        <w:t xml:space="preserve"> המיעוטים שבקבוצת היישובים הגדולים בשנים 2004-2006 היו ניכרים - ויש שהיה פער של יותר מ-22% לרעת המגזר הערבי בין שיעורי ההקצאה למגזר זה לבין שיעורי ההקצאה לשני מגזרי המיעוטים האחרים - אולם בשנת 2007 הצטמצם הפער ל-3%.</w:t>
      </w:r>
    </w:p>
    <w:p w:rsidR="00000000">
      <w:pPr>
        <w:tabs>
          <w:tab w:val="left" w:pos="510"/>
        </w:tabs>
        <w:spacing w:after="120" w:line="230" w:lineRule="exact"/>
        <w:jc w:val="both"/>
        <w:rPr>
          <w:rFonts w:cs="FrankRuehl" w:hint="cs"/>
          <w:sz w:val="20"/>
          <w:szCs w:val="22"/>
          <w:rtl/>
        </w:rPr>
      </w:pPr>
      <w:r>
        <w:rPr>
          <w:rFonts w:cs="FrankRuehl" w:hint="cs"/>
          <w:sz w:val="20"/>
          <w:szCs w:val="22"/>
          <w:rtl/>
        </w:rPr>
        <w:t>(ג)</w:t>
      </w:r>
      <w:r>
        <w:rPr>
          <w:rFonts w:cs="FrankRuehl" w:hint="cs"/>
          <w:sz w:val="20"/>
          <w:szCs w:val="22"/>
          <w:rtl/>
        </w:rPr>
        <w:tab/>
        <w:t>משרד מבקר המדינה בדק את הפערים בין ש</w:t>
      </w:r>
      <w:r>
        <w:rPr>
          <w:rFonts w:cs="FrankRuehl" w:hint="cs"/>
          <w:sz w:val="20"/>
          <w:szCs w:val="22"/>
          <w:rtl/>
        </w:rPr>
        <w:t>יעורי ההקצאה למגזרים השונים בקבוצת היישובים הדומים גם לפי אשכולות חברתיים-כלכליים, ולהלן הממצאים:</w:t>
      </w:r>
    </w:p>
    <w:p w:rsidR="00000000">
      <w:pPr>
        <w:spacing w:after="240" w:line="230" w:lineRule="exact"/>
        <w:jc w:val="both"/>
        <w:rPr>
          <w:rFonts w:cs="FrankRuehl" w:hint="cs"/>
          <w:sz w:val="20"/>
          <w:szCs w:val="22"/>
          <w:rtl/>
        </w:rPr>
      </w:pPr>
      <w:r>
        <w:rPr>
          <w:rFonts w:cs="FrankRuehl" w:hint="cs"/>
          <w:sz w:val="20"/>
          <w:szCs w:val="22"/>
          <w:rtl/>
        </w:rPr>
        <w:t>השוואה בין שיעור ההקצאה למגזר היהודי ובין שיעור ההקצאה לכלל מגזרי המיעוטים העלתה כדלקמן: בשנת 2004 היו באשכולות 2, 3 ו-4 פערים של 27%, 29% ו-17% בהתאמה, לטובת</w:t>
      </w:r>
      <w:r>
        <w:rPr>
          <w:rFonts w:cs="FrankRuehl" w:hint="cs"/>
          <w:sz w:val="20"/>
          <w:szCs w:val="22"/>
          <w:rtl/>
        </w:rPr>
        <w:t xml:space="preserve"> המגזר היהודי, אך עד שנת 2007 הם הצטמצמו ל-6% לטובת כלל מגזרי המיעוטים ול-15%, </w:t>
      </w:r>
      <w:r>
        <w:rPr>
          <w:rFonts w:cs="FrankRuehl"/>
          <w:sz w:val="20"/>
          <w:szCs w:val="22"/>
          <w:rtl/>
        </w:rPr>
        <w:br/>
      </w:r>
      <w:r>
        <w:rPr>
          <w:rFonts w:cs="FrankRuehl" w:hint="cs"/>
          <w:sz w:val="20"/>
          <w:szCs w:val="22"/>
          <w:rtl/>
        </w:rPr>
        <w:t>ו-10% לטובת המגזר היהודי, בהתאמה. באשכול 1, לעומת זאת, היה בשנת 2004 פער של 3% לטובת כלל מגזרי המיעוטים ובשנת 2007 הוא גדל ל-9%.</w:t>
      </w:r>
    </w:p>
    <w:p w:rsidR="00000000">
      <w:pPr>
        <w:pStyle w:val="RESHET"/>
        <w:rPr>
          <w:rFonts w:hint="cs"/>
          <w:rtl/>
        </w:rPr>
      </w:pPr>
      <w:r>
        <w:rPr>
          <w:rFonts w:hint="cs"/>
          <w:rtl/>
        </w:rPr>
        <w:t>ההשוואות בין שיעורי ההקצאה למגזרים השונים בשנים</w:t>
      </w:r>
      <w:r>
        <w:rPr>
          <w:rFonts w:hint="cs"/>
          <w:rtl/>
        </w:rPr>
        <w:t xml:space="preserve"> 2004-2007 מלמדות שהיו פערים - לעתים פערים ניכרים - בין שיעורי ההקצאה למגזר היהודי ובין שיעורי ההקצאה למגזרי המיעוטים, וגם בין שיעורי ההקצאה למגזרי המיעוטים עצמם. </w:t>
      </w:r>
    </w:p>
    <w:p w:rsidR="00000000">
      <w:pPr>
        <w:spacing w:after="240" w:line="230" w:lineRule="exact"/>
        <w:jc w:val="both"/>
        <w:rPr>
          <w:rFonts w:cs="FrankRuehl" w:hint="cs"/>
          <w:sz w:val="20"/>
          <w:szCs w:val="22"/>
          <w:rtl/>
        </w:rPr>
      </w:pPr>
      <w:bookmarkStart w:id="8" w:name="_Toc177900649"/>
      <w:r>
        <w:rPr>
          <w:rStyle w:val="7"/>
          <w:rFonts w:cs="FrankRuehl" w:hint="cs"/>
          <w:spacing w:val="0"/>
          <w:sz w:val="20"/>
          <w:szCs w:val="22"/>
          <w:rtl/>
        </w:rPr>
        <w:t>3.</w:t>
      </w:r>
      <w:r>
        <w:rPr>
          <w:rStyle w:val="7"/>
          <w:rFonts w:cs="FrankRuehl" w:hint="cs"/>
          <w:sz w:val="20"/>
          <w:szCs w:val="22"/>
          <w:rtl/>
        </w:rPr>
        <w:tab/>
        <w:t>הפער המצטבר</w:t>
      </w:r>
      <w:bookmarkEnd w:id="8"/>
      <w:r>
        <w:rPr>
          <w:rStyle w:val="7"/>
          <w:rFonts w:cs="FrankRuehl" w:hint="cs"/>
          <w:sz w:val="20"/>
          <w:szCs w:val="22"/>
          <w:rtl/>
        </w:rPr>
        <w:t xml:space="preserve"> בקבוצת היישובים הדומים</w:t>
      </w:r>
      <w:r>
        <w:rPr>
          <w:rStyle w:val="7"/>
          <w:rFonts w:cs="FrankRuehl"/>
          <w:sz w:val="20"/>
          <w:szCs w:val="22"/>
          <w:rtl/>
        </w:rPr>
        <w:t>:</w:t>
      </w:r>
      <w:r>
        <w:rPr>
          <w:rFonts w:cs="FrankRuehl" w:hint="cs"/>
          <w:sz w:val="20"/>
          <w:szCs w:val="22"/>
          <w:rtl/>
        </w:rPr>
        <w:t xml:space="preserve"> משרד מבקר המדינה אמד את הפער המצטבר</w:t>
      </w:r>
      <w:r>
        <w:rPr>
          <w:rStyle w:val="FootnoteReference"/>
          <w:rFonts w:cs="FrankRuehl"/>
          <w:sz w:val="20"/>
          <w:szCs w:val="22"/>
          <w:rtl/>
        </w:rPr>
        <w:footnoteReference w:id="34"/>
      </w:r>
      <w:r>
        <w:rPr>
          <w:rFonts w:cs="FrankRuehl" w:hint="cs"/>
          <w:sz w:val="20"/>
          <w:szCs w:val="22"/>
          <w:rtl/>
        </w:rPr>
        <w:t xml:space="preserve"> בין סכומי מענקי </w:t>
      </w:r>
      <w:r>
        <w:rPr>
          <w:rFonts w:cs="FrankRuehl" w:hint="cs"/>
          <w:sz w:val="20"/>
          <w:szCs w:val="22"/>
          <w:rtl/>
        </w:rPr>
        <w:t>האיזון שהוקצו למגזרים השונים בקבוצת היישובים הדומים בשנים 2004-2007. להלן נתוני הפער המצטבר (במיליוני ש"ח):</w:t>
      </w:r>
    </w:p>
    <w:tbl>
      <w:tblPr>
        <w:tblW w:w="66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51"/>
        <w:gridCol w:w="851"/>
        <w:gridCol w:w="851"/>
        <w:gridCol w:w="851"/>
        <w:gridCol w:w="851"/>
        <w:gridCol w:w="2436"/>
      </w:tblGrid>
      <w:tr>
        <w:tblPrEx>
          <w:tblW w:w="66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Ex>
        <w:trPr>
          <w:jc w:val="center"/>
        </w:trPr>
        <w:tc>
          <w:tcPr>
            <w:tcW w:w="851" w:type="dxa"/>
            <w:tcBorders>
              <w:top w:val="single" w:sz="12" w:space="0" w:color="auto"/>
              <w:bottom w:val="single" w:sz="12" w:space="0" w:color="auto"/>
            </w:tcBorders>
            <w:shd w:val="pct10" w:color="auto" w:fill="auto"/>
            <w:vAlign w:val="bottom"/>
          </w:tcPr>
          <w:p w:rsidR="00000000">
            <w:pPr>
              <w:pStyle w:val="Heading5"/>
              <w:spacing w:before="40" w:after="40" w:line="240" w:lineRule="exact"/>
              <w:rPr>
                <w:rFonts w:cs="FrankRuehl" w:hint="cs"/>
                <w:rtl/>
              </w:rPr>
            </w:pPr>
            <w:r>
              <w:rPr>
                <w:rFonts w:cs="FrankRuehl" w:hint="cs"/>
                <w:rtl/>
              </w:rPr>
              <w:t>סה"כ</w:t>
            </w:r>
          </w:p>
        </w:tc>
        <w:tc>
          <w:tcPr>
            <w:tcW w:w="851" w:type="dxa"/>
            <w:tcBorders>
              <w:top w:val="single" w:sz="12" w:space="0" w:color="auto"/>
              <w:bottom w:val="single" w:sz="12" w:space="0" w:color="auto"/>
            </w:tcBorders>
            <w:shd w:val="pct10" w:color="auto" w:fill="auto"/>
            <w:vAlign w:val="bottom"/>
          </w:tcPr>
          <w:p w:rsidR="00000000">
            <w:pPr>
              <w:spacing w:before="40" w:after="40"/>
              <w:rPr>
                <w:rFonts w:cs="FrankRuehl" w:hint="cs"/>
                <w:b/>
                <w:bCs/>
                <w:sz w:val="16"/>
                <w:szCs w:val="20"/>
                <w:rtl/>
              </w:rPr>
            </w:pPr>
            <w:r>
              <w:rPr>
                <w:rFonts w:cs="FrankRuehl" w:hint="cs"/>
                <w:b/>
                <w:bCs/>
                <w:sz w:val="16"/>
                <w:szCs w:val="20"/>
                <w:rtl/>
              </w:rPr>
              <w:t>2007</w:t>
            </w:r>
          </w:p>
        </w:tc>
        <w:tc>
          <w:tcPr>
            <w:tcW w:w="851" w:type="dxa"/>
            <w:tcBorders>
              <w:top w:val="single" w:sz="12" w:space="0" w:color="auto"/>
              <w:bottom w:val="single" w:sz="12" w:space="0" w:color="auto"/>
            </w:tcBorders>
            <w:shd w:val="pct10" w:color="auto" w:fill="auto"/>
            <w:vAlign w:val="bottom"/>
          </w:tcPr>
          <w:p w:rsidR="00000000">
            <w:pPr>
              <w:spacing w:before="40" w:after="40"/>
              <w:rPr>
                <w:rFonts w:cs="FrankRuehl" w:hint="cs"/>
                <w:b/>
                <w:bCs/>
                <w:sz w:val="16"/>
                <w:szCs w:val="20"/>
                <w:rtl/>
              </w:rPr>
            </w:pPr>
            <w:r>
              <w:rPr>
                <w:rFonts w:cs="FrankRuehl" w:hint="cs"/>
                <w:b/>
                <w:bCs/>
                <w:sz w:val="16"/>
                <w:szCs w:val="20"/>
                <w:rtl/>
              </w:rPr>
              <w:t>2006</w:t>
            </w:r>
          </w:p>
        </w:tc>
        <w:tc>
          <w:tcPr>
            <w:tcW w:w="851" w:type="dxa"/>
            <w:tcBorders>
              <w:top w:val="single" w:sz="12" w:space="0" w:color="auto"/>
              <w:bottom w:val="single" w:sz="12" w:space="0" w:color="auto"/>
            </w:tcBorders>
            <w:shd w:val="pct10" w:color="auto" w:fill="auto"/>
            <w:vAlign w:val="bottom"/>
          </w:tcPr>
          <w:p w:rsidR="00000000">
            <w:pPr>
              <w:spacing w:before="40" w:after="40"/>
              <w:rPr>
                <w:rFonts w:cs="FrankRuehl" w:hint="cs"/>
                <w:b/>
                <w:bCs/>
                <w:sz w:val="16"/>
                <w:szCs w:val="20"/>
                <w:rtl/>
              </w:rPr>
            </w:pPr>
            <w:r>
              <w:rPr>
                <w:rFonts w:cs="FrankRuehl" w:hint="cs"/>
                <w:b/>
                <w:bCs/>
                <w:sz w:val="16"/>
                <w:szCs w:val="20"/>
                <w:rtl/>
              </w:rPr>
              <w:t>2005</w:t>
            </w:r>
          </w:p>
        </w:tc>
        <w:tc>
          <w:tcPr>
            <w:tcW w:w="851" w:type="dxa"/>
            <w:tcBorders>
              <w:top w:val="single" w:sz="12" w:space="0" w:color="auto"/>
              <w:bottom w:val="single" w:sz="12" w:space="0" w:color="auto"/>
            </w:tcBorders>
            <w:shd w:val="pct10" w:color="auto" w:fill="auto"/>
            <w:vAlign w:val="bottom"/>
          </w:tcPr>
          <w:p w:rsidR="00000000">
            <w:pPr>
              <w:spacing w:before="40" w:after="40"/>
              <w:rPr>
                <w:rFonts w:cs="FrankRuehl" w:hint="cs"/>
                <w:b/>
                <w:bCs/>
                <w:sz w:val="16"/>
                <w:szCs w:val="20"/>
                <w:rtl/>
              </w:rPr>
            </w:pPr>
            <w:r>
              <w:rPr>
                <w:rFonts w:cs="FrankRuehl" w:hint="cs"/>
                <w:b/>
                <w:bCs/>
                <w:sz w:val="16"/>
                <w:szCs w:val="20"/>
                <w:rtl/>
              </w:rPr>
              <w:t>2004</w:t>
            </w:r>
          </w:p>
        </w:tc>
        <w:tc>
          <w:tcPr>
            <w:tcW w:w="0" w:type="auto"/>
            <w:tcBorders>
              <w:top w:val="single" w:sz="12" w:space="0" w:color="auto"/>
              <w:bottom w:val="single" w:sz="12" w:space="0" w:color="auto"/>
            </w:tcBorders>
            <w:shd w:val="pct10" w:color="auto" w:fill="auto"/>
            <w:vAlign w:val="bottom"/>
          </w:tcPr>
          <w:p w:rsidR="00000000">
            <w:pPr>
              <w:spacing w:before="40" w:after="40"/>
              <w:rPr>
                <w:rFonts w:cs="FrankRuehl" w:hint="cs"/>
                <w:b/>
                <w:bCs/>
                <w:sz w:val="16"/>
                <w:szCs w:val="20"/>
                <w:rtl/>
              </w:rPr>
            </w:pPr>
          </w:p>
        </w:tc>
      </w:tr>
      <w:tr>
        <w:tblPrEx>
          <w:tblW w:w="6691" w:type="dxa"/>
          <w:jc w:val="center"/>
          <w:tblLook w:val="01E0"/>
        </w:tblPrEx>
        <w:trPr>
          <w:jc w:val="center"/>
        </w:trPr>
        <w:tc>
          <w:tcPr>
            <w:tcW w:w="851" w:type="dxa"/>
            <w:tcBorders>
              <w:top w:val="single" w:sz="12" w:space="0" w:color="auto"/>
              <w:bottom w:val="nil"/>
            </w:tcBorders>
            <w:vAlign w:val="bottom"/>
          </w:tcPr>
          <w:p w:rsidR="00000000">
            <w:pPr>
              <w:spacing w:before="40" w:after="40"/>
              <w:rPr>
                <w:rFonts w:cs="FrankRuehl" w:hint="cs"/>
                <w:sz w:val="16"/>
                <w:szCs w:val="20"/>
                <w:rtl/>
              </w:rPr>
            </w:pPr>
            <w:r>
              <w:rPr>
                <w:rFonts w:cs="FrankRuehl" w:hint="cs"/>
                <w:sz w:val="16"/>
                <w:szCs w:val="20"/>
                <w:rtl/>
              </w:rPr>
              <w:t>308.3</w:t>
            </w:r>
          </w:p>
        </w:tc>
        <w:tc>
          <w:tcPr>
            <w:tcW w:w="851" w:type="dxa"/>
            <w:tcBorders>
              <w:top w:val="single" w:sz="12" w:space="0" w:color="auto"/>
              <w:bottom w:val="nil"/>
            </w:tcBorders>
            <w:vAlign w:val="bottom"/>
          </w:tcPr>
          <w:p w:rsidR="00000000">
            <w:pPr>
              <w:spacing w:before="40" w:after="40"/>
              <w:rPr>
                <w:rFonts w:cs="FrankRuehl" w:hint="cs"/>
                <w:sz w:val="16"/>
                <w:szCs w:val="20"/>
                <w:rtl/>
              </w:rPr>
            </w:pPr>
            <w:r>
              <w:rPr>
                <w:rFonts w:cs="FrankRuehl" w:hint="cs"/>
                <w:sz w:val="16"/>
                <w:szCs w:val="20"/>
                <w:rtl/>
              </w:rPr>
              <w:t>52.6</w:t>
            </w:r>
          </w:p>
        </w:tc>
        <w:tc>
          <w:tcPr>
            <w:tcW w:w="851" w:type="dxa"/>
            <w:tcBorders>
              <w:top w:val="single" w:sz="12" w:space="0" w:color="auto"/>
              <w:bottom w:val="nil"/>
            </w:tcBorders>
            <w:vAlign w:val="bottom"/>
          </w:tcPr>
          <w:p w:rsidR="00000000">
            <w:pPr>
              <w:spacing w:before="40" w:after="40"/>
              <w:rPr>
                <w:rFonts w:cs="FrankRuehl" w:hint="cs"/>
                <w:sz w:val="16"/>
                <w:szCs w:val="20"/>
                <w:rtl/>
              </w:rPr>
            </w:pPr>
            <w:r>
              <w:rPr>
                <w:rFonts w:cs="FrankRuehl" w:hint="cs"/>
                <w:sz w:val="16"/>
                <w:szCs w:val="20"/>
                <w:rtl/>
              </w:rPr>
              <w:t>55.2</w:t>
            </w:r>
          </w:p>
        </w:tc>
        <w:tc>
          <w:tcPr>
            <w:tcW w:w="851" w:type="dxa"/>
            <w:tcBorders>
              <w:top w:val="single" w:sz="12" w:space="0" w:color="auto"/>
              <w:bottom w:val="nil"/>
            </w:tcBorders>
            <w:vAlign w:val="bottom"/>
          </w:tcPr>
          <w:p w:rsidR="00000000">
            <w:pPr>
              <w:spacing w:before="40" w:after="40"/>
              <w:rPr>
                <w:rFonts w:cs="FrankRuehl" w:hint="cs"/>
                <w:sz w:val="16"/>
                <w:szCs w:val="20"/>
                <w:rtl/>
              </w:rPr>
            </w:pPr>
            <w:r>
              <w:rPr>
                <w:rFonts w:cs="FrankRuehl" w:hint="cs"/>
                <w:sz w:val="16"/>
                <w:szCs w:val="20"/>
                <w:rtl/>
              </w:rPr>
              <w:t>104.3</w:t>
            </w:r>
          </w:p>
        </w:tc>
        <w:tc>
          <w:tcPr>
            <w:tcW w:w="851" w:type="dxa"/>
            <w:tcBorders>
              <w:top w:val="single" w:sz="12" w:space="0" w:color="auto"/>
              <w:bottom w:val="nil"/>
            </w:tcBorders>
            <w:vAlign w:val="bottom"/>
          </w:tcPr>
          <w:p w:rsidR="00000000">
            <w:pPr>
              <w:spacing w:before="40" w:after="40"/>
              <w:rPr>
                <w:rFonts w:cs="FrankRuehl" w:hint="cs"/>
                <w:sz w:val="16"/>
                <w:szCs w:val="20"/>
                <w:rtl/>
              </w:rPr>
            </w:pPr>
            <w:r>
              <w:rPr>
                <w:rFonts w:cs="FrankRuehl" w:hint="cs"/>
                <w:sz w:val="16"/>
                <w:szCs w:val="20"/>
                <w:rtl/>
              </w:rPr>
              <w:t>96.2</w:t>
            </w:r>
          </w:p>
        </w:tc>
        <w:tc>
          <w:tcPr>
            <w:tcW w:w="0" w:type="auto"/>
            <w:tcBorders>
              <w:top w:val="single" w:sz="12" w:space="0" w:color="auto"/>
              <w:bottom w:val="nil"/>
            </w:tcBorders>
            <w:vAlign w:val="bottom"/>
          </w:tcPr>
          <w:p w:rsidR="00000000">
            <w:pPr>
              <w:spacing w:before="40" w:after="40"/>
              <w:rPr>
                <w:rFonts w:cs="FrankRuehl" w:hint="cs"/>
                <w:b/>
                <w:bCs/>
                <w:sz w:val="16"/>
                <w:szCs w:val="20"/>
                <w:rtl/>
              </w:rPr>
            </w:pPr>
            <w:r>
              <w:rPr>
                <w:rFonts w:cs="FrankRuehl" w:hint="cs"/>
                <w:b/>
                <w:bCs/>
                <w:sz w:val="16"/>
                <w:szCs w:val="20"/>
                <w:rtl/>
              </w:rPr>
              <w:t>כלל היישובים במגזרי המיעוטים</w:t>
            </w:r>
          </w:p>
        </w:tc>
      </w:tr>
      <w:tr>
        <w:tblPrEx>
          <w:tblW w:w="6691" w:type="dxa"/>
          <w:jc w:val="center"/>
          <w:tblLook w:val="01E0"/>
        </w:tblPrEx>
        <w:trPr>
          <w:jc w:val="center"/>
        </w:trPr>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264.7</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44.4</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50.4</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89.7</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80.2</w:t>
            </w:r>
          </w:p>
        </w:tc>
        <w:tc>
          <w:tcPr>
            <w:tcW w:w="0" w:type="auto"/>
            <w:tcBorders>
              <w:top w:val="nil"/>
              <w:bottom w:val="nil"/>
            </w:tcBorders>
            <w:vAlign w:val="bottom"/>
          </w:tcPr>
          <w:p w:rsidR="00000000">
            <w:pPr>
              <w:spacing w:before="40" w:after="40"/>
              <w:rPr>
                <w:rFonts w:cs="FrankRuehl" w:hint="cs"/>
                <w:b/>
                <w:bCs/>
                <w:sz w:val="16"/>
                <w:szCs w:val="20"/>
                <w:rtl/>
              </w:rPr>
            </w:pPr>
            <w:r>
              <w:rPr>
                <w:rFonts w:cs="FrankRuehl" w:hint="cs"/>
                <w:b/>
                <w:bCs/>
                <w:sz w:val="16"/>
                <w:szCs w:val="20"/>
                <w:rtl/>
              </w:rPr>
              <w:t>יישובים ערביים</w:t>
            </w:r>
          </w:p>
        </w:tc>
      </w:tr>
      <w:tr>
        <w:tblPrEx>
          <w:tblW w:w="6691" w:type="dxa"/>
          <w:jc w:val="center"/>
          <w:tblLook w:val="01E0"/>
        </w:tblPrEx>
        <w:trPr>
          <w:jc w:val="center"/>
        </w:trPr>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12.3</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6.1</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1.8</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3.5</w:t>
            </w:r>
          </w:p>
        </w:tc>
        <w:tc>
          <w:tcPr>
            <w:tcW w:w="851" w:type="dxa"/>
            <w:tcBorders>
              <w:top w:val="nil"/>
              <w:bottom w:val="nil"/>
            </w:tcBorders>
            <w:vAlign w:val="bottom"/>
          </w:tcPr>
          <w:p w:rsidR="00000000">
            <w:pPr>
              <w:spacing w:before="40" w:after="40"/>
              <w:rPr>
                <w:rFonts w:cs="FrankRuehl" w:hint="cs"/>
                <w:sz w:val="16"/>
                <w:szCs w:val="20"/>
                <w:rtl/>
              </w:rPr>
            </w:pPr>
            <w:r>
              <w:rPr>
                <w:rFonts w:cs="FrankRuehl" w:hint="cs"/>
                <w:sz w:val="16"/>
                <w:szCs w:val="20"/>
                <w:rtl/>
              </w:rPr>
              <w:t>0.9</w:t>
            </w:r>
          </w:p>
        </w:tc>
        <w:tc>
          <w:tcPr>
            <w:tcW w:w="0" w:type="auto"/>
            <w:tcBorders>
              <w:top w:val="nil"/>
              <w:bottom w:val="nil"/>
            </w:tcBorders>
            <w:vAlign w:val="bottom"/>
          </w:tcPr>
          <w:p w:rsidR="00000000">
            <w:pPr>
              <w:spacing w:before="40" w:after="40"/>
              <w:rPr>
                <w:rFonts w:cs="FrankRuehl" w:hint="cs"/>
                <w:b/>
                <w:bCs/>
                <w:sz w:val="16"/>
                <w:szCs w:val="20"/>
                <w:rtl/>
              </w:rPr>
            </w:pPr>
            <w:r>
              <w:rPr>
                <w:rFonts w:cs="FrankRuehl" w:hint="cs"/>
                <w:b/>
                <w:bCs/>
                <w:sz w:val="16"/>
                <w:szCs w:val="20"/>
                <w:rtl/>
              </w:rPr>
              <w:t>י</w:t>
            </w:r>
            <w:r>
              <w:rPr>
                <w:rFonts w:cs="FrankRuehl" w:hint="cs"/>
                <w:b/>
                <w:bCs/>
                <w:sz w:val="16"/>
                <w:szCs w:val="20"/>
                <w:rtl/>
              </w:rPr>
              <w:t>ישובים בדואיים</w:t>
            </w:r>
          </w:p>
        </w:tc>
      </w:tr>
      <w:tr>
        <w:tblPrEx>
          <w:tblW w:w="6691" w:type="dxa"/>
          <w:jc w:val="center"/>
          <w:tblLook w:val="01E0"/>
        </w:tblPrEx>
        <w:trPr>
          <w:jc w:val="center"/>
        </w:trPr>
        <w:tc>
          <w:tcPr>
            <w:tcW w:w="851" w:type="dxa"/>
            <w:tcBorders>
              <w:top w:val="nil"/>
              <w:bottom w:val="single" w:sz="12" w:space="0" w:color="auto"/>
            </w:tcBorders>
            <w:vAlign w:val="bottom"/>
          </w:tcPr>
          <w:p w:rsidR="00000000">
            <w:pPr>
              <w:spacing w:before="40" w:after="40"/>
              <w:rPr>
                <w:rFonts w:cs="FrankRuehl" w:hint="cs"/>
                <w:sz w:val="16"/>
                <w:szCs w:val="20"/>
                <w:rtl/>
              </w:rPr>
            </w:pPr>
            <w:r>
              <w:rPr>
                <w:rFonts w:cs="FrankRuehl" w:hint="cs"/>
                <w:sz w:val="16"/>
                <w:szCs w:val="20"/>
                <w:rtl/>
              </w:rPr>
              <w:t>31.3</w:t>
            </w:r>
          </w:p>
        </w:tc>
        <w:tc>
          <w:tcPr>
            <w:tcW w:w="851" w:type="dxa"/>
            <w:tcBorders>
              <w:top w:val="nil"/>
              <w:bottom w:val="single" w:sz="12" w:space="0" w:color="auto"/>
            </w:tcBorders>
            <w:vAlign w:val="bottom"/>
          </w:tcPr>
          <w:p w:rsidR="00000000">
            <w:pPr>
              <w:spacing w:before="40" w:after="40"/>
              <w:rPr>
                <w:rFonts w:cs="FrankRuehl" w:hint="cs"/>
                <w:sz w:val="16"/>
                <w:szCs w:val="20"/>
                <w:rtl/>
              </w:rPr>
            </w:pPr>
            <w:r>
              <w:rPr>
                <w:rFonts w:cs="FrankRuehl" w:hint="cs"/>
                <w:sz w:val="16"/>
                <w:szCs w:val="20"/>
                <w:rtl/>
              </w:rPr>
              <w:t>2.1</w:t>
            </w:r>
          </w:p>
        </w:tc>
        <w:tc>
          <w:tcPr>
            <w:tcW w:w="851" w:type="dxa"/>
            <w:tcBorders>
              <w:top w:val="nil"/>
              <w:bottom w:val="single" w:sz="12" w:space="0" w:color="auto"/>
            </w:tcBorders>
            <w:vAlign w:val="bottom"/>
          </w:tcPr>
          <w:p w:rsidR="00000000">
            <w:pPr>
              <w:spacing w:before="40" w:after="40"/>
              <w:rPr>
                <w:rFonts w:cs="FrankRuehl" w:hint="cs"/>
                <w:sz w:val="16"/>
                <w:szCs w:val="20"/>
                <w:rtl/>
              </w:rPr>
            </w:pPr>
            <w:r>
              <w:rPr>
                <w:rFonts w:cs="FrankRuehl" w:hint="cs"/>
                <w:sz w:val="16"/>
                <w:szCs w:val="20"/>
                <w:rtl/>
              </w:rPr>
              <w:t>3.0</w:t>
            </w:r>
          </w:p>
        </w:tc>
        <w:tc>
          <w:tcPr>
            <w:tcW w:w="851" w:type="dxa"/>
            <w:tcBorders>
              <w:top w:val="nil"/>
              <w:bottom w:val="single" w:sz="12" w:space="0" w:color="auto"/>
            </w:tcBorders>
            <w:vAlign w:val="bottom"/>
          </w:tcPr>
          <w:p w:rsidR="00000000">
            <w:pPr>
              <w:spacing w:before="40" w:after="40"/>
              <w:rPr>
                <w:rFonts w:cs="FrankRuehl" w:hint="cs"/>
                <w:sz w:val="16"/>
                <w:szCs w:val="20"/>
                <w:rtl/>
              </w:rPr>
            </w:pPr>
            <w:r>
              <w:rPr>
                <w:rFonts w:cs="FrankRuehl" w:hint="cs"/>
                <w:sz w:val="16"/>
                <w:szCs w:val="20"/>
                <w:rtl/>
              </w:rPr>
              <w:t>11.1</w:t>
            </w:r>
          </w:p>
        </w:tc>
        <w:tc>
          <w:tcPr>
            <w:tcW w:w="851" w:type="dxa"/>
            <w:tcBorders>
              <w:top w:val="nil"/>
              <w:bottom w:val="single" w:sz="12" w:space="0" w:color="auto"/>
            </w:tcBorders>
            <w:vAlign w:val="bottom"/>
          </w:tcPr>
          <w:p w:rsidR="00000000">
            <w:pPr>
              <w:spacing w:before="40" w:after="40"/>
              <w:rPr>
                <w:rFonts w:cs="FrankRuehl" w:hint="cs"/>
                <w:sz w:val="16"/>
                <w:szCs w:val="20"/>
                <w:rtl/>
              </w:rPr>
            </w:pPr>
            <w:r>
              <w:rPr>
                <w:rFonts w:cs="FrankRuehl" w:hint="cs"/>
                <w:sz w:val="16"/>
                <w:szCs w:val="20"/>
                <w:rtl/>
              </w:rPr>
              <w:t>15.1</w:t>
            </w:r>
          </w:p>
        </w:tc>
        <w:tc>
          <w:tcPr>
            <w:tcW w:w="0" w:type="auto"/>
            <w:tcBorders>
              <w:top w:val="nil"/>
              <w:bottom w:val="single" w:sz="12" w:space="0" w:color="auto"/>
            </w:tcBorders>
            <w:vAlign w:val="bottom"/>
          </w:tcPr>
          <w:p w:rsidR="00000000">
            <w:pPr>
              <w:spacing w:before="40" w:after="40"/>
              <w:rPr>
                <w:rFonts w:cs="FrankRuehl" w:hint="cs"/>
                <w:b/>
                <w:bCs/>
                <w:sz w:val="16"/>
                <w:szCs w:val="20"/>
                <w:rtl/>
              </w:rPr>
            </w:pPr>
            <w:r>
              <w:rPr>
                <w:rFonts w:cs="FrankRuehl" w:hint="cs"/>
                <w:b/>
                <w:bCs/>
                <w:sz w:val="16"/>
                <w:szCs w:val="20"/>
                <w:rtl/>
              </w:rPr>
              <w:t>יישובים דרוזיים</w:t>
            </w:r>
          </w:p>
        </w:tc>
      </w:tr>
    </w:tbl>
    <w:p w:rsidR="00000000">
      <w:pPr>
        <w:jc w:val="both"/>
        <w:rPr>
          <w:rFonts w:cs="FrankRuehl" w:hint="cs"/>
          <w:sz w:val="20"/>
          <w:szCs w:val="22"/>
          <w:rtl/>
        </w:rPr>
      </w:pPr>
    </w:p>
    <w:p w:rsidR="00000000">
      <w:pPr>
        <w:pStyle w:val="RESHET"/>
        <w:rPr>
          <w:rFonts w:hint="cs"/>
          <w:rtl/>
        </w:rPr>
      </w:pPr>
      <w:r>
        <w:rPr>
          <w:rFonts w:hint="cs"/>
          <w:rtl/>
        </w:rPr>
        <w:t>מנתוני הלוח עולה כי הסכום הכולל שהוקצה ליישובי המיעוטים בקבוצת היישובים הדומים בשנים 2004-2007 קטן בכ-308 מיליון ש</w:t>
      </w:r>
      <w:r>
        <w:rPr>
          <w:rtl/>
        </w:rPr>
        <w:t>"</w:t>
      </w:r>
      <w:r>
        <w:rPr>
          <w:rFonts w:hint="cs"/>
          <w:rtl/>
        </w:rPr>
        <w:t>ח מהסכום שהיה מוקצה להם אילו שיעור ההקצאה הממוצע שנקבע להם באותן שנים היה זהה לשיעור</w:t>
      </w:r>
      <w:r>
        <w:rPr>
          <w:rFonts w:hint="cs"/>
          <w:rtl/>
        </w:rPr>
        <w:t xml:space="preserve"> ההקצאה הממוצע שנקבע ליישובים היהודיים בקבוצת יישובים זו.</w:t>
      </w:r>
    </w:p>
    <w:p w:rsidR="00000000">
      <w:pPr>
        <w:pStyle w:val="RESHET"/>
        <w:rPr>
          <w:rFonts w:hint="cs"/>
          <w:rtl/>
        </w:rPr>
      </w:pPr>
      <w:r>
        <w:rPr>
          <w:rFonts w:hint="cs"/>
          <w:rtl/>
        </w:rPr>
        <w:t>עוד עולה מהנתונים כי הסכום הכולל שהוקצה בשנים הנדונות ליישובים הערביים בקבוצת היישובים הדומים קטן בכ-265 מיליון ש</w:t>
      </w:r>
      <w:r>
        <w:rPr>
          <w:rtl/>
        </w:rPr>
        <w:t>"</w:t>
      </w:r>
      <w:r>
        <w:rPr>
          <w:rFonts w:hint="cs"/>
          <w:rtl/>
        </w:rPr>
        <w:t>ח מהסכום שהיה מוקצה להם אילו שיעור ההקצאה הממוצע שנקבע להם היה זהה לשיעור ההקצאה הממ</w:t>
      </w:r>
      <w:r>
        <w:rPr>
          <w:rFonts w:hint="cs"/>
          <w:rtl/>
        </w:rPr>
        <w:t>וצע שנקבע ליישובים היהודיים בקבוצת יישובים זו; הסכום הכולל שהוקצה ליישובים הבדואים באותן שנים קטן בכ-12 מיליון ש</w:t>
      </w:r>
      <w:r>
        <w:rPr>
          <w:rtl/>
        </w:rPr>
        <w:t>"</w:t>
      </w:r>
      <w:r>
        <w:rPr>
          <w:rFonts w:hint="cs"/>
          <w:rtl/>
        </w:rPr>
        <w:t>ח מהסכום האמור; והסכום הכולל שהוקצה ליישובים הדרוזיים קטן בכ-31 מיליון ש</w:t>
      </w:r>
      <w:r>
        <w:rPr>
          <w:rtl/>
        </w:rPr>
        <w:t>"</w:t>
      </w:r>
      <w:r>
        <w:rPr>
          <w:rFonts w:hint="cs"/>
          <w:rtl/>
        </w:rPr>
        <w:t>ח מהסכום האמור.</w:t>
      </w:r>
    </w:p>
    <w:p w:rsidR="00000000">
      <w:pPr>
        <w:pStyle w:val="RESHET"/>
        <w:rPr>
          <w:rFonts w:hint="cs"/>
          <w:highlight w:val="cyan"/>
          <w:rtl/>
        </w:rPr>
      </w:pPr>
      <w:r>
        <w:rPr>
          <w:rFonts w:hint="cs"/>
          <w:rtl/>
        </w:rPr>
        <w:t>הנתונים שהובאו בפרק זה מלמדים שהיה פער ניכר בין שיעורי</w:t>
      </w:r>
      <w:r>
        <w:rPr>
          <w:rFonts w:hint="cs"/>
          <w:rtl/>
        </w:rPr>
        <w:t xml:space="preserve"> ההקצאה של מענקי האיזון בשנים 2004-2007 - פער שהתבטא במידה ניכרת בסכומים שהוקצו לרשויות המקומיות במגזרי המיעוטים.</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r>
        <w:rPr>
          <w:rFonts w:hint="cs"/>
          <w:rtl/>
        </w:rPr>
        <w:t>הפערים בין מענקי האיזון המוקצים לכלל הרשויות הזכאיות למענקים</w:t>
      </w:r>
    </w:p>
    <w:p w:rsidR="00000000">
      <w:pPr>
        <w:spacing w:after="120" w:line="230" w:lineRule="exact"/>
        <w:jc w:val="both"/>
        <w:rPr>
          <w:rFonts w:cs="FrankRuehl" w:hint="cs"/>
          <w:sz w:val="20"/>
          <w:szCs w:val="22"/>
          <w:rtl/>
        </w:rPr>
      </w:pPr>
      <w:r>
        <w:rPr>
          <w:rFonts w:cs="FrankRuehl" w:hint="cs"/>
          <w:sz w:val="20"/>
          <w:szCs w:val="22"/>
          <w:rtl/>
        </w:rPr>
        <w:t>כאמור, במסגרת תכנית להבראת כלכלת ישראל קוצץ התקציב המיועד למענקי איזון בשנים 20</w:t>
      </w:r>
      <w:r>
        <w:rPr>
          <w:rFonts w:cs="FrankRuehl" w:hint="cs"/>
          <w:sz w:val="20"/>
          <w:szCs w:val="22"/>
          <w:rtl/>
        </w:rPr>
        <w:t>03 ו-2004 בכ-29% לעומת שנת 2002; ועקב כך, משנת 2004, השנה שבה החל משרד הפנים להקצות את מענקי האיזון על פי נוסחת גדיש, היה התקציב שאושר למענקי האיזון נמוך מהתקציב הנדרש ליישום הנוסחה במלואה. בשנים 2004-2007 היה שיעור ההקצאה הממוצע 68.9%, 81%, 86.7% ו-84.1%,</w:t>
      </w:r>
      <w:r>
        <w:rPr>
          <w:rFonts w:cs="FrankRuehl" w:hint="cs"/>
          <w:sz w:val="20"/>
          <w:szCs w:val="22"/>
          <w:rtl/>
        </w:rPr>
        <w:t xml:space="preserve"> בהתאמה.</w:t>
      </w:r>
    </w:p>
    <w:p w:rsidR="00000000">
      <w:pPr>
        <w:spacing w:after="120" w:line="230" w:lineRule="exact"/>
        <w:jc w:val="both"/>
        <w:rPr>
          <w:rFonts w:cs="FrankRuehl" w:hint="cs"/>
          <w:sz w:val="20"/>
          <w:szCs w:val="22"/>
          <w:rtl/>
        </w:rPr>
      </w:pPr>
      <w:r>
        <w:rPr>
          <w:rFonts w:cs="FrankRuehl" w:hint="cs"/>
          <w:sz w:val="20"/>
          <w:szCs w:val="22"/>
          <w:rtl/>
        </w:rPr>
        <w:t xml:space="preserve">כאמור, ועדת גדיש הייתה ערה לכך שלגבי חלק מהרשויות המקומיות המעבר מחישוב מענקי האיזון על פי נוסחת סוארי לחישובם על פי נוסחת גדיש יהיה כרוך בשינויים ניכרים, ועל מנת לאפשר לרשויות להסתגל לשינויים אלה המליצה כי יישום המלצותיה ייעשה בהדרגה, במשך פרק </w:t>
      </w:r>
      <w:r>
        <w:rPr>
          <w:rFonts w:cs="FrankRuehl" w:hint="cs"/>
          <w:sz w:val="20"/>
          <w:szCs w:val="22"/>
          <w:rtl/>
        </w:rPr>
        <w:t>זמ</w:t>
      </w:r>
      <w:r>
        <w:rPr>
          <w:rFonts w:cs="FrankRuehl" w:hint="cs"/>
          <w:sz w:val="20"/>
          <w:szCs w:val="22"/>
          <w:rtl/>
        </w:rPr>
        <w:t>ן של שש שנים לכל היותר.</w:t>
      </w:r>
      <w:r>
        <w:rPr>
          <w:rFonts w:cs="FrankRuehl"/>
          <w:sz w:val="20"/>
          <w:szCs w:val="22"/>
          <w:rtl/>
        </w:rPr>
        <w:t xml:space="preserve"> </w:t>
      </w:r>
      <w:r>
        <w:rPr>
          <w:rFonts w:cs="FrankRuehl" w:hint="cs"/>
          <w:sz w:val="20"/>
          <w:szCs w:val="22"/>
          <w:rtl/>
        </w:rPr>
        <w:t>לפיכך, מאז שנת 2004 מחשב משרד הפנים לכל רשות מקומית את המענק שתקבל באופן המביא בחשבון הן את המלצות ועדת גדיש בעניין תקופת המעבר והן את מגבלת התקציב.</w:t>
      </w:r>
    </w:p>
    <w:p w:rsidR="00000000">
      <w:pPr>
        <w:spacing w:after="240" w:line="230" w:lineRule="exact"/>
        <w:jc w:val="both"/>
        <w:rPr>
          <w:rFonts w:cs="FrankRuehl" w:hint="cs"/>
          <w:sz w:val="20"/>
          <w:szCs w:val="22"/>
          <w:highlight w:val="cyan"/>
          <w:rtl/>
        </w:rPr>
      </w:pPr>
      <w:r>
        <w:rPr>
          <w:rFonts w:cs="FrankRuehl" w:hint="cs"/>
          <w:sz w:val="20"/>
          <w:szCs w:val="22"/>
          <w:rtl/>
        </w:rPr>
        <w:t>1.</w:t>
      </w:r>
      <w:r>
        <w:rPr>
          <w:rFonts w:cs="FrankRuehl" w:hint="cs"/>
          <w:sz w:val="20"/>
          <w:szCs w:val="22"/>
          <w:rtl/>
        </w:rPr>
        <w:tab/>
        <w:t>משרד מבקר המדינה בדק אם היו פערים בין שיעורי ההקצאה של מענקי האיזון שקבע משרד הפ</w:t>
      </w:r>
      <w:r>
        <w:rPr>
          <w:rFonts w:cs="FrankRuehl" w:hint="cs"/>
          <w:sz w:val="20"/>
          <w:szCs w:val="22"/>
          <w:rtl/>
        </w:rPr>
        <w:t>נים לכלל הרשויות המקומיות הזכאיות למענק איזון בשנים 2004-2007. הבדיקה העלתה כי היו ביניהם פערים ניכרים, כמפורט להלן:</w:t>
      </w:r>
      <w:r>
        <w:rPr>
          <w:rFonts w:cs="FrankRuehl" w:hint="cs"/>
          <w:b/>
          <w:bCs/>
          <w:sz w:val="20"/>
          <w:szCs w:val="22"/>
          <w:rtl/>
        </w:rPr>
        <w:t xml:space="preserve"> </w:t>
      </w:r>
    </w:p>
    <w:p w:rsidR="00000000">
      <w:pPr>
        <w:pStyle w:val="RESHET"/>
        <w:rPr>
          <w:rFonts w:hint="cs"/>
          <w:rtl/>
        </w:rPr>
      </w:pPr>
      <w:r>
        <w:rPr>
          <w:rFonts w:hint="cs"/>
          <w:rtl/>
        </w:rPr>
        <w:t>סטיות התקן</w:t>
      </w:r>
      <w:r>
        <w:rPr>
          <w:rStyle w:val="FootnoteReference"/>
          <w:sz w:val="20"/>
          <w:rtl/>
        </w:rPr>
        <w:footnoteReference w:id="35"/>
      </w:r>
      <w:r>
        <w:rPr>
          <w:rFonts w:hint="cs"/>
          <w:rtl/>
        </w:rPr>
        <w:t xml:space="preserve"> של שיעורי ההקצאה שנקבעו לרשויות המקומיות בשנים 2004-2007 היו גבוהות, אם כי ניכרה בהן מגמת צמצום במהלך אותן שנים. בשנת 2004 היה</w:t>
      </w:r>
      <w:r>
        <w:rPr>
          <w:rFonts w:hint="cs"/>
          <w:rtl/>
        </w:rPr>
        <w:t xml:space="preserve"> שיעור ההקצאה הממוצע 69% וסטיית התקן הייתה 28%; בשנת 2005 הם היו 81% ו-23%, בהתאמה; בשנת 2006 - 87% ו-19%, בהתאמה; ובשנת 2007 - 84% ו-15%, בהתאמה.</w:t>
      </w:r>
    </w:p>
    <w:p w:rsidR="00000000">
      <w:pPr>
        <w:pStyle w:val="RESHET"/>
        <w:rPr>
          <w:rFonts w:hint="cs"/>
          <w:rtl/>
        </w:rPr>
      </w:pPr>
      <w:r>
        <w:rPr>
          <w:rFonts w:hint="cs"/>
          <w:rtl/>
        </w:rPr>
        <w:t xml:space="preserve">עוד הועלה, כי שיעורי ההקצאה ל-35 רשויות מקומיות, שהיו גבוהים משיעור ההקצאה הממוצע, גדלו בין השנים 2004-2006, </w:t>
      </w:r>
      <w:r>
        <w:rPr>
          <w:rFonts w:hint="cs"/>
          <w:rtl/>
        </w:rPr>
        <w:t>ורק בשנת 2007 החלו לרדת.</w:t>
      </w:r>
    </w:p>
    <w:p w:rsidR="00000000">
      <w:pPr>
        <w:pStyle w:val="RESHET"/>
        <w:rPr>
          <w:rFonts w:hint="cs"/>
          <w:rtl/>
        </w:rPr>
      </w:pPr>
      <w:r>
        <w:rPr>
          <w:rFonts w:hint="cs"/>
          <w:rtl/>
        </w:rPr>
        <w:t>מהנתונים דלעיל עולה כי בשנים 2004-2006 היו פערים גדולים בין שיעורי ההקצאה שנקבעו לרשויות המקומיות; וכי בשנת 2007 צומצמו הפערים אולם הם עדיין היו גדולים.</w:t>
      </w:r>
    </w:p>
    <w:p w:rsidR="00000000">
      <w:pPr>
        <w:spacing w:before="180" w:after="240" w:line="230" w:lineRule="exact"/>
        <w:jc w:val="both"/>
        <w:rPr>
          <w:rFonts w:cs="FrankRuehl" w:hint="cs"/>
          <w:sz w:val="20"/>
          <w:szCs w:val="22"/>
          <w:rtl/>
        </w:rPr>
      </w:pPr>
      <w:r>
        <w:rPr>
          <w:rFonts w:cs="FrankRuehl" w:hint="cs"/>
          <w:sz w:val="20"/>
          <w:szCs w:val="22"/>
          <w:rtl/>
        </w:rPr>
        <w:t xml:space="preserve">משרד הפנים השיב למשרד מבקר המדינה כי הוא "חותר להשגת שיעור הקצאה שווה או קרוב </w:t>
      </w:r>
      <w:r>
        <w:rPr>
          <w:rFonts w:cs="FrankRuehl" w:hint="cs"/>
          <w:sz w:val="20"/>
          <w:szCs w:val="22"/>
          <w:rtl/>
        </w:rPr>
        <w:t>ככל האפשר בין כל הרשויות המקומיות הזכאיות למענק. חתירה זו מתבצעת בהתאם ללוחות הזמנים שקבעה הוועדה [ועדת גדיש], בהתאם למגבלת התקציב, ובהתאם ליכולתה של הרשות להתאים את פעילותה לגובה המענק המופחת".</w:t>
      </w:r>
    </w:p>
    <w:p w:rsidR="00000000">
      <w:pPr>
        <w:pStyle w:val="RESHET"/>
        <w:rPr>
          <w:rFonts w:hint="cs"/>
          <w:rtl/>
        </w:rPr>
      </w:pPr>
      <w:r>
        <w:rPr>
          <w:rFonts w:hint="cs"/>
          <w:rtl/>
        </w:rPr>
        <w:t>לדעת משרד מבקר המדינה הפערים שהיו קיימים בשנת 2007 מחייבים את</w:t>
      </w:r>
      <w:r>
        <w:rPr>
          <w:rFonts w:hint="cs"/>
          <w:rtl/>
        </w:rPr>
        <w:t xml:space="preserve"> משרד הפנים לקיים במהלך השנתיים הבאות מעקב ובקרה שוטפים על התהליך לסגירת פערי ההקצאות בין הרשויות, ובמידת הצורך לקבל החלטות אשר יבטיחו השגתה של מטרה חשובה זו.</w:t>
      </w:r>
    </w:p>
    <w:p w:rsidR="00000000">
      <w:pPr>
        <w:spacing w:before="180"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r>
      <w:r>
        <w:rPr>
          <w:rFonts w:cs="FrankRuehl" w:hint="eastAsia"/>
          <w:sz w:val="20"/>
          <w:szCs w:val="22"/>
          <w:rtl/>
        </w:rPr>
        <w:t>כאמור</w:t>
      </w:r>
      <w:r>
        <w:rPr>
          <w:rFonts w:cs="FrankRuehl"/>
          <w:sz w:val="20"/>
          <w:szCs w:val="22"/>
          <w:rtl/>
        </w:rPr>
        <w:t xml:space="preserve">, </w:t>
      </w:r>
      <w:r>
        <w:rPr>
          <w:rFonts w:cs="FrankRuehl" w:hint="cs"/>
          <w:sz w:val="20"/>
          <w:szCs w:val="22"/>
          <w:rtl/>
        </w:rPr>
        <w:t xml:space="preserve">בנוסחת גדיש לחישוב מענק האיזון ניתן משקל רב למצבן החברתי-כלכלי של </w:t>
      </w:r>
      <w:r>
        <w:rPr>
          <w:rFonts w:cs="FrankRuehl"/>
          <w:sz w:val="20"/>
          <w:szCs w:val="22"/>
          <w:rtl/>
        </w:rPr>
        <w:t>הרשויות המקומיות</w:t>
      </w:r>
      <w:r>
        <w:rPr>
          <w:rFonts w:cs="FrankRuehl" w:hint="cs"/>
          <w:sz w:val="20"/>
          <w:szCs w:val="22"/>
          <w:rtl/>
        </w:rPr>
        <w:t>, כדי</w:t>
      </w:r>
      <w:r>
        <w:rPr>
          <w:rFonts w:cs="FrankRuehl" w:hint="cs"/>
          <w:sz w:val="20"/>
          <w:szCs w:val="22"/>
          <w:rtl/>
        </w:rPr>
        <w:t xml:space="preserve"> להביא לכך שגם רשויות מקומיות המדורגות </w:t>
      </w:r>
      <w:r>
        <w:rPr>
          <w:rFonts w:cs="FrankRuehl"/>
          <w:sz w:val="20"/>
          <w:szCs w:val="22"/>
          <w:rtl/>
        </w:rPr>
        <w:t>ב</w:t>
      </w:r>
      <w:r>
        <w:rPr>
          <w:rFonts w:cs="FrankRuehl" w:hint="cs"/>
          <w:sz w:val="20"/>
          <w:szCs w:val="22"/>
          <w:rtl/>
        </w:rPr>
        <w:t>אשכול</w:t>
      </w:r>
      <w:r>
        <w:rPr>
          <w:rFonts w:cs="FrankRuehl"/>
          <w:sz w:val="20"/>
          <w:szCs w:val="22"/>
          <w:rtl/>
        </w:rPr>
        <w:t xml:space="preserve"> חברתי-כלכלי נמוך </w:t>
      </w:r>
      <w:r>
        <w:rPr>
          <w:rFonts w:cs="FrankRuehl" w:hint="cs"/>
          <w:sz w:val="20"/>
          <w:szCs w:val="22"/>
          <w:rtl/>
        </w:rPr>
        <w:t xml:space="preserve">יוכלו </w:t>
      </w:r>
      <w:r>
        <w:rPr>
          <w:rFonts w:cs="FrankRuehl"/>
          <w:sz w:val="20"/>
          <w:szCs w:val="22"/>
          <w:rtl/>
        </w:rPr>
        <w:t xml:space="preserve">לספק </w:t>
      </w:r>
      <w:r>
        <w:rPr>
          <w:rFonts w:cs="FrankRuehl" w:hint="cs"/>
          <w:sz w:val="20"/>
          <w:szCs w:val="22"/>
          <w:rtl/>
        </w:rPr>
        <w:t xml:space="preserve">לתושביהן </w:t>
      </w:r>
      <w:r>
        <w:rPr>
          <w:rFonts w:cs="FrankRuehl"/>
          <w:sz w:val="20"/>
          <w:szCs w:val="22"/>
          <w:rtl/>
        </w:rPr>
        <w:t>שירותים</w:t>
      </w:r>
      <w:r>
        <w:rPr>
          <w:rFonts w:cs="FrankRuehl" w:hint="cs"/>
          <w:sz w:val="20"/>
          <w:szCs w:val="22"/>
          <w:rtl/>
        </w:rPr>
        <w:t xml:space="preserve"> ברמה מינימלית נאותה.</w:t>
      </w:r>
    </w:p>
    <w:p w:rsidR="00000000">
      <w:pPr>
        <w:spacing w:line="230" w:lineRule="exact"/>
        <w:jc w:val="both"/>
        <w:rPr>
          <w:rFonts w:cs="FrankRuehl" w:hint="cs"/>
          <w:sz w:val="20"/>
          <w:szCs w:val="22"/>
          <w:rtl/>
        </w:rPr>
      </w:pPr>
      <w:r>
        <w:rPr>
          <w:rFonts w:cs="FrankRuehl" w:hint="cs"/>
          <w:sz w:val="20"/>
          <w:szCs w:val="22"/>
          <w:rtl/>
        </w:rPr>
        <w:t>משרד מבקר המדינה בדק אם היו פערים בין שיעורי ההקצאה הממוצעים שנקבעו בשנים 2004-2007 לקבוצות הרשויות המקומיות המסווגות לפי אשכולות חברתיים-כלכליי</w:t>
      </w:r>
      <w:r>
        <w:rPr>
          <w:rFonts w:cs="FrankRuehl" w:hint="cs"/>
          <w:sz w:val="20"/>
          <w:szCs w:val="22"/>
          <w:rtl/>
        </w:rPr>
        <w:t xml:space="preserve">ם. להלן בטבלה פירוט שיעור ההקצאה הממוצע שנקבע לרשויות באשכולות 1-10 בכל אחת מהשנים האמורות: </w:t>
      </w:r>
    </w:p>
    <w:p w:rsidR="00000000">
      <w:pPr>
        <w:jc w:val="both"/>
        <w:rPr>
          <w:rFonts w:cs="FrankRuehl" w:hint="cs"/>
          <w:sz w:val="20"/>
          <w:szCs w:val="22"/>
          <w:rtl/>
        </w:rPr>
      </w:pPr>
      <w:r>
        <w:rPr>
          <w:rFonts w:cs="FrankRuehl"/>
          <w:sz w:val="20"/>
          <w:szCs w:val="22"/>
          <w:rtl/>
        </w:rPr>
        <w:br w:type="page"/>
      </w:r>
    </w:p>
    <w:tbl>
      <w:tblPr>
        <w:tblW w:w="6691" w:type="dxa"/>
        <w:jc w:val="center"/>
        <w:tblBorders>
          <w:top w:val="single" w:sz="4" w:space="0" w:color="auto"/>
          <w:left w:val="single" w:sz="4" w:space="0" w:color="auto"/>
          <w:bottom w:val="single" w:sz="4" w:space="0" w:color="auto"/>
          <w:right w:val="single" w:sz="4" w:space="0" w:color="auto"/>
        </w:tblBorders>
        <w:tblLook w:val="01E0"/>
      </w:tblPr>
      <w:tblGrid>
        <w:gridCol w:w="1304"/>
        <w:gridCol w:w="1304"/>
        <w:gridCol w:w="1304"/>
        <w:gridCol w:w="1304"/>
        <w:gridCol w:w="1475"/>
      </w:tblGrid>
      <w:tr>
        <w:tblPrEx>
          <w:tblW w:w="6691" w:type="dxa"/>
          <w:jc w:val="center"/>
          <w:tblBorders>
            <w:top w:val="single" w:sz="4" w:space="0" w:color="auto"/>
            <w:left w:val="single" w:sz="4" w:space="0" w:color="auto"/>
            <w:bottom w:val="single" w:sz="4" w:space="0" w:color="auto"/>
            <w:right w:val="single" w:sz="4" w:space="0" w:color="auto"/>
          </w:tblBorders>
          <w:tblLook w:val="01E0"/>
        </w:tblPrEx>
        <w:trPr>
          <w:cantSplit/>
          <w:jc w:val="center"/>
        </w:trPr>
        <w:tc>
          <w:tcPr>
            <w:tcW w:w="1304" w:type="dxa"/>
            <w:gridSpan w:val="4"/>
            <w:tcBorders>
              <w:top w:val="single" w:sz="12" w:space="0" w:color="auto"/>
              <w:left w:val="single" w:sz="12" w:space="0" w:color="auto"/>
              <w:bottom w:val="single" w:sz="4" w:space="0" w:color="auto"/>
              <w:right w:val="single" w:sz="4" w:space="0" w:color="auto"/>
            </w:tcBorders>
            <w:shd w:val="pct10" w:color="auto" w:fill="auto"/>
            <w:vAlign w:val="bottom"/>
          </w:tcPr>
          <w:p w:rsidR="00000000">
            <w:pPr>
              <w:spacing w:before="20" w:line="200" w:lineRule="exact"/>
              <w:jc w:val="center"/>
              <w:rPr>
                <w:rFonts w:cs="FrankRuehl" w:hint="cs"/>
                <w:b/>
                <w:bCs/>
                <w:sz w:val="20"/>
                <w:szCs w:val="20"/>
                <w:rtl/>
              </w:rPr>
            </w:pPr>
            <w:r>
              <w:rPr>
                <w:rFonts w:cs="FrankRuehl" w:hint="cs"/>
                <w:b/>
                <w:bCs/>
                <w:sz w:val="20"/>
                <w:szCs w:val="20"/>
                <w:rtl/>
              </w:rPr>
              <w:t>שיעור ההקצאה הממוצע</w:t>
            </w:r>
          </w:p>
        </w:tc>
        <w:tc>
          <w:tcPr>
            <w:tcW w:w="0" w:type="auto"/>
            <w:vMerge w:val="restart"/>
            <w:tcBorders>
              <w:top w:val="single" w:sz="12" w:space="0" w:color="auto"/>
              <w:left w:val="single" w:sz="4" w:space="0" w:color="auto"/>
              <w:bottom w:val="single" w:sz="4" w:space="0" w:color="auto"/>
              <w:right w:val="single" w:sz="12" w:space="0" w:color="auto"/>
            </w:tcBorders>
            <w:shd w:val="pct10" w:color="auto" w:fill="auto"/>
            <w:vAlign w:val="bottom"/>
          </w:tcPr>
          <w:p w:rsidR="00000000">
            <w:pPr>
              <w:spacing w:before="20" w:line="200" w:lineRule="exact"/>
              <w:jc w:val="center"/>
              <w:rPr>
                <w:rFonts w:cs="FrankRuehl" w:hint="cs"/>
                <w:b/>
                <w:bCs/>
                <w:sz w:val="20"/>
                <w:szCs w:val="20"/>
                <w:rtl/>
              </w:rPr>
            </w:pPr>
            <w:r>
              <w:rPr>
                <w:rFonts w:cs="FrankRuehl" w:hint="cs"/>
                <w:b/>
                <w:bCs/>
                <w:sz w:val="20"/>
                <w:szCs w:val="20"/>
                <w:rtl/>
              </w:rPr>
              <w:t xml:space="preserve">האשכול </w:t>
            </w:r>
            <w:r>
              <w:rPr>
                <w:rFonts w:cs="FrankRuehl"/>
                <w:b/>
                <w:bCs/>
                <w:sz w:val="20"/>
                <w:szCs w:val="20"/>
                <w:rtl/>
              </w:rPr>
              <w:br/>
            </w:r>
            <w:r>
              <w:rPr>
                <w:rFonts w:cs="FrankRuehl" w:hint="cs"/>
                <w:b/>
                <w:bCs/>
                <w:sz w:val="20"/>
                <w:szCs w:val="20"/>
                <w:rtl/>
              </w:rPr>
              <w:t>החברתי-כלכלי</w:t>
            </w:r>
          </w:p>
        </w:tc>
      </w:tr>
      <w:tr>
        <w:tblPrEx>
          <w:tblW w:w="6691" w:type="dxa"/>
          <w:jc w:val="center"/>
          <w:tblLook w:val="01E0"/>
        </w:tblPrEx>
        <w:trPr>
          <w:cantSplit/>
          <w:jc w:val="center"/>
        </w:trPr>
        <w:tc>
          <w:tcPr>
            <w:tcW w:w="1304" w:type="dxa"/>
            <w:tcBorders>
              <w:top w:val="single" w:sz="4" w:space="0" w:color="auto"/>
              <w:left w:val="single" w:sz="12" w:space="0" w:color="auto"/>
              <w:bottom w:val="single" w:sz="12" w:space="0" w:color="auto"/>
              <w:right w:val="single" w:sz="4" w:space="0" w:color="auto"/>
            </w:tcBorders>
            <w:shd w:val="pct10" w:color="auto" w:fill="auto"/>
            <w:vAlign w:val="bottom"/>
          </w:tcPr>
          <w:p w:rsidR="00000000">
            <w:pPr>
              <w:spacing w:before="20" w:line="200" w:lineRule="exact"/>
              <w:jc w:val="center"/>
              <w:rPr>
                <w:rFonts w:cs="FrankRuehl" w:hint="cs"/>
                <w:b/>
                <w:bCs/>
                <w:sz w:val="20"/>
                <w:szCs w:val="20"/>
                <w:rtl/>
              </w:rPr>
            </w:pPr>
            <w:r>
              <w:rPr>
                <w:rFonts w:cs="FrankRuehl" w:hint="cs"/>
                <w:b/>
                <w:bCs/>
                <w:sz w:val="20"/>
                <w:szCs w:val="20"/>
                <w:rtl/>
              </w:rPr>
              <w:t>2007</w:t>
            </w:r>
          </w:p>
        </w:tc>
        <w:tc>
          <w:tcPr>
            <w:tcW w:w="1304" w:type="dxa"/>
            <w:tcBorders>
              <w:top w:val="single" w:sz="4" w:space="0" w:color="auto"/>
              <w:left w:val="single" w:sz="4" w:space="0" w:color="auto"/>
              <w:bottom w:val="single" w:sz="12" w:space="0" w:color="auto"/>
              <w:right w:val="single" w:sz="4" w:space="0" w:color="auto"/>
            </w:tcBorders>
            <w:shd w:val="pct10" w:color="auto" w:fill="auto"/>
            <w:vAlign w:val="bottom"/>
          </w:tcPr>
          <w:p w:rsidR="00000000">
            <w:pPr>
              <w:spacing w:before="20" w:line="200" w:lineRule="exact"/>
              <w:jc w:val="center"/>
              <w:rPr>
                <w:rFonts w:cs="FrankRuehl" w:hint="cs"/>
                <w:b/>
                <w:bCs/>
                <w:sz w:val="20"/>
                <w:szCs w:val="20"/>
                <w:rtl/>
              </w:rPr>
            </w:pPr>
            <w:r>
              <w:rPr>
                <w:rFonts w:cs="FrankRuehl" w:hint="cs"/>
                <w:b/>
                <w:bCs/>
                <w:sz w:val="20"/>
                <w:szCs w:val="20"/>
                <w:rtl/>
              </w:rPr>
              <w:t>2006</w:t>
            </w:r>
          </w:p>
        </w:tc>
        <w:tc>
          <w:tcPr>
            <w:tcW w:w="1304" w:type="dxa"/>
            <w:tcBorders>
              <w:top w:val="single" w:sz="4" w:space="0" w:color="auto"/>
              <w:left w:val="single" w:sz="4" w:space="0" w:color="auto"/>
              <w:bottom w:val="single" w:sz="12" w:space="0" w:color="auto"/>
              <w:right w:val="single" w:sz="4" w:space="0" w:color="auto"/>
            </w:tcBorders>
            <w:shd w:val="pct10" w:color="auto" w:fill="auto"/>
            <w:vAlign w:val="bottom"/>
          </w:tcPr>
          <w:p w:rsidR="00000000">
            <w:pPr>
              <w:spacing w:before="20" w:line="200" w:lineRule="exact"/>
              <w:jc w:val="center"/>
              <w:rPr>
                <w:rFonts w:cs="FrankRuehl" w:hint="cs"/>
                <w:b/>
                <w:bCs/>
                <w:sz w:val="20"/>
                <w:szCs w:val="20"/>
                <w:rtl/>
              </w:rPr>
            </w:pPr>
            <w:r>
              <w:rPr>
                <w:rFonts w:cs="FrankRuehl" w:hint="cs"/>
                <w:b/>
                <w:bCs/>
                <w:sz w:val="20"/>
                <w:szCs w:val="20"/>
                <w:rtl/>
              </w:rPr>
              <w:t>2005</w:t>
            </w:r>
          </w:p>
        </w:tc>
        <w:tc>
          <w:tcPr>
            <w:tcW w:w="1304" w:type="dxa"/>
            <w:tcBorders>
              <w:top w:val="single" w:sz="4" w:space="0" w:color="auto"/>
              <w:left w:val="single" w:sz="4" w:space="0" w:color="auto"/>
              <w:bottom w:val="single" w:sz="12" w:space="0" w:color="auto"/>
              <w:right w:val="single" w:sz="4" w:space="0" w:color="auto"/>
            </w:tcBorders>
            <w:shd w:val="pct10" w:color="auto" w:fill="auto"/>
            <w:vAlign w:val="bottom"/>
          </w:tcPr>
          <w:p w:rsidR="00000000">
            <w:pPr>
              <w:spacing w:before="20" w:line="200" w:lineRule="exact"/>
              <w:jc w:val="center"/>
              <w:rPr>
                <w:rFonts w:cs="FrankRuehl" w:hint="cs"/>
                <w:b/>
                <w:bCs/>
                <w:sz w:val="20"/>
                <w:szCs w:val="20"/>
                <w:rtl/>
              </w:rPr>
            </w:pPr>
            <w:r>
              <w:rPr>
                <w:rFonts w:cs="FrankRuehl" w:hint="cs"/>
                <w:b/>
                <w:bCs/>
                <w:sz w:val="20"/>
                <w:szCs w:val="20"/>
                <w:rtl/>
              </w:rPr>
              <w:t>2004</w:t>
            </w:r>
          </w:p>
        </w:tc>
        <w:tc>
          <w:tcPr>
            <w:tcW w:w="0" w:type="auto"/>
            <w:vMerge/>
            <w:tcBorders>
              <w:top w:val="nil"/>
              <w:left w:val="single" w:sz="4" w:space="0" w:color="auto"/>
              <w:bottom w:val="single" w:sz="12" w:space="0" w:color="auto"/>
              <w:right w:val="single" w:sz="12" w:space="0" w:color="auto"/>
            </w:tcBorders>
            <w:shd w:val="pct10" w:color="auto" w:fill="auto"/>
            <w:vAlign w:val="bottom"/>
          </w:tcPr>
          <w:p w:rsidR="00000000">
            <w:pPr>
              <w:spacing w:before="20" w:line="200" w:lineRule="exact"/>
              <w:jc w:val="center"/>
              <w:rPr>
                <w:rFonts w:cs="FrankRuehl" w:hint="cs"/>
                <w:b/>
                <w:bCs/>
                <w:sz w:val="20"/>
                <w:szCs w:val="20"/>
                <w:rtl/>
              </w:rPr>
            </w:pPr>
          </w:p>
        </w:tc>
      </w:tr>
      <w:tr>
        <w:tblPrEx>
          <w:tblW w:w="6691" w:type="dxa"/>
          <w:jc w:val="center"/>
          <w:tblLook w:val="01E0"/>
        </w:tblPrEx>
        <w:trPr>
          <w:jc w:val="center"/>
        </w:trPr>
        <w:tc>
          <w:tcPr>
            <w:tcW w:w="1304" w:type="dxa"/>
            <w:tcBorders>
              <w:top w:val="single" w:sz="12" w:space="0" w:color="auto"/>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80%</w:t>
            </w:r>
          </w:p>
        </w:tc>
        <w:tc>
          <w:tcPr>
            <w:tcW w:w="1304" w:type="dxa"/>
            <w:tcBorders>
              <w:top w:val="single" w:sz="12" w:space="0" w:color="auto"/>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86%</w:t>
            </w:r>
          </w:p>
        </w:tc>
        <w:tc>
          <w:tcPr>
            <w:tcW w:w="1304" w:type="dxa"/>
            <w:tcBorders>
              <w:top w:val="single" w:sz="12" w:space="0" w:color="auto"/>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85%</w:t>
            </w:r>
          </w:p>
        </w:tc>
        <w:tc>
          <w:tcPr>
            <w:tcW w:w="1304" w:type="dxa"/>
            <w:tcBorders>
              <w:top w:val="single" w:sz="12" w:space="0" w:color="auto"/>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77%</w:t>
            </w:r>
          </w:p>
        </w:tc>
        <w:tc>
          <w:tcPr>
            <w:tcW w:w="0" w:type="auto"/>
            <w:tcBorders>
              <w:top w:val="single" w:sz="12" w:space="0" w:color="auto"/>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1</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81%</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82%</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77%</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69%</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2</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79%</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81%</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75%</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65%</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3</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83%</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90%</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86%</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71%</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4</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85%</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88%</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82%</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71%</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5</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83</w:t>
            </w:r>
            <w:r>
              <w:rPr>
                <w:rFonts w:cs="FrankRuehl" w:hint="cs"/>
                <w:sz w:val="20"/>
                <w:szCs w:val="20"/>
                <w:rtl/>
              </w:rPr>
              <w:t>%</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82%</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81%</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62%</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6</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117%</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94%</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76%</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73%</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7</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89%</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96%</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84%</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76%</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8</w:t>
            </w:r>
          </w:p>
        </w:tc>
      </w:tr>
      <w:tr>
        <w:tblPrEx>
          <w:tblW w:w="6691" w:type="dxa"/>
          <w:jc w:val="center"/>
          <w:tblLook w:val="01E0"/>
        </w:tblPrEx>
        <w:trPr>
          <w:jc w:val="center"/>
        </w:trPr>
        <w:tc>
          <w:tcPr>
            <w:tcW w:w="1304" w:type="dxa"/>
            <w:tcBorders>
              <w:left w:val="single" w:sz="12" w:space="0" w:color="auto"/>
              <w:right w:val="single" w:sz="4" w:space="0" w:color="auto"/>
            </w:tcBorders>
            <w:vAlign w:val="bottom"/>
          </w:tcPr>
          <w:p w:rsidR="00000000">
            <w:pPr>
              <w:tabs>
                <w:tab w:val="decimal" w:pos="454"/>
              </w:tabs>
              <w:spacing w:before="20" w:line="200" w:lineRule="exact"/>
              <w:rPr>
                <w:rFonts w:cs="FrankRuehl" w:hint="cs"/>
                <w:sz w:val="20"/>
                <w:szCs w:val="20"/>
                <w:vertAlign w:val="superscript"/>
                <w:rtl/>
              </w:rPr>
            </w:pPr>
            <w:r>
              <w:rPr>
                <w:rFonts w:cs="FrankRuehl" w:hint="cs"/>
                <w:sz w:val="20"/>
                <w:szCs w:val="20"/>
                <w:vertAlign w:val="superscript"/>
                <w:rtl/>
              </w:rPr>
              <w:t>**</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vertAlign w:val="superscript"/>
                <w:rtl/>
              </w:rPr>
            </w:pPr>
            <w:r>
              <w:rPr>
                <w:rFonts w:cs="FrankRuehl" w:hint="cs"/>
                <w:sz w:val="20"/>
                <w:szCs w:val="20"/>
                <w:vertAlign w:val="superscript"/>
                <w:rtl/>
              </w:rPr>
              <w:t>*</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97%</w:t>
            </w:r>
          </w:p>
        </w:tc>
        <w:tc>
          <w:tcPr>
            <w:tcW w:w="1304" w:type="dxa"/>
            <w:tcBorders>
              <w:left w:val="single" w:sz="4" w:space="0" w:color="auto"/>
              <w:right w:val="single" w:sz="4" w:space="0" w:color="auto"/>
            </w:tcBorders>
            <w:vAlign w:val="bottom"/>
          </w:tcPr>
          <w:p w:rsidR="00000000">
            <w:pPr>
              <w:tabs>
                <w:tab w:val="decimal" w:pos="454"/>
              </w:tabs>
              <w:spacing w:before="20" w:line="200" w:lineRule="exact"/>
              <w:rPr>
                <w:rFonts w:cs="FrankRuehl" w:hint="cs"/>
                <w:sz w:val="20"/>
                <w:szCs w:val="20"/>
                <w:rtl/>
              </w:rPr>
            </w:pPr>
            <w:r>
              <w:rPr>
                <w:rFonts w:cs="FrankRuehl" w:hint="cs"/>
                <w:sz w:val="20"/>
                <w:szCs w:val="20"/>
                <w:rtl/>
              </w:rPr>
              <w:t>134%</w:t>
            </w:r>
          </w:p>
        </w:tc>
        <w:tc>
          <w:tcPr>
            <w:tcW w:w="0" w:type="auto"/>
            <w:tcBorders>
              <w:left w:val="single" w:sz="4"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9</w:t>
            </w:r>
          </w:p>
        </w:tc>
      </w:tr>
      <w:tr>
        <w:tblPrEx>
          <w:tblW w:w="6691" w:type="dxa"/>
          <w:jc w:val="center"/>
          <w:tblLook w:val="01E0"/>
        </w:tblPrEx>
        <w:trPr>
          <w:jc w:val="center"/>
        </w:trPr>
        <w:tc>
          <w:tcPr>
            <w:tcW w:w="1304" w:type="dxa"/>
            <w:tcBorders>
              <w:left w:val="single" w:sz="12" w:space="0" w:color="auto"/>
              <w:bottom w:val="single" w:sz="12" w:space="0" w:color="auto"/>
              <w:right w:val="single" w:sz="4" w:space="0" w:color="auto"/>
            </w:tcBorders>
            <w:vAlign w:val="bottom"/>
          </w:tcPr>
          <w:p w:rsidR="00000000">
            <w:pPr>
              <w:tabs>
                <w:tab w:val="decimal" w:pos="454"/>
              </w:tabs>
              <w:spacing w:before="20" w:line="200" w:lineRule="exact"/>
              <w:rPr>
                <w:rFonts w:cs="FrankRuehl" w:hint="cs"/>
                <w:sz w:val="20"/>
                <w:szCs w:val="20"/>
                <w:vertAlign w:val="superscript"/>
                <w:rtl/>
              </w:rPr>
            </w:pPr>
            <w:r>
              <w:rPr>
                <w:rFonts w:cs="FrankRuehl" w:hint="cs"/>
                <w:sz w:val="20"/>
                <w:szCs w:val="20"/>
                <w:vertAlign w:val="superscript"/>
                <w:rtl/>
              </w:rPr>
              <w:t>**</w:t>
            </w:r>
          </w:p>
        </w:tc>
        <w:tc>
          <w:tcPr>
            <w:tcW w:w="1304" w:type="dxa"/>
            <w:tcBorders>
              <w:left w:val="single" w:sz="4" w:space="0" w:color="auto"/>
              <w:bottom w:val="single" w:sz="12" w:space="0" w:color="auto"/>
              <w:right w:val="single" w:sz="4" w:space="0" w:color="auto"/>
            </w:tcBorders>
            <w:vAlign w:val="bottom"/>
          </w:tcPr>
          <w:p w:rsidR="00000000">
            <w:pPr>
              <w:tabs>
                <w:tab w:val="decimal" w:pos="454"/>
              </w:tabs>
              <w:spacing w:before="20" w:line="200" w:lineRule="exact"/>
              <w:rPr>
                <w:rFonts w:cs="FrankRuehl" w:hint="cs"/>
                <w:sz w:val="20"/>
                <w:szCs w:val="20"/>
                <w:vertAlign w:val="superscript"/>
                <w:rtl/>
              </w:rPr>
            </w:pPr>
            <w:r>
              <w:rPr>
                <w:rFonts w:cs="FrankRuehl" w:hint="cs"/>
                <w:sz w:val="20"/>
                <w:szCs w:val="20"/>
                <w:vertAlign w:val="superscript"/>
                <w:rtl/>
              </w:rPr>
              <w:t>**</w:t>
            </w:r>
          </w:p>
        </w:tc>
        <w:tc>
          <w:tcPr>
            <w:tcW w:w="1304" w:type="dxa"/>
            <w:tcBorders>
              <w:left w:val="single" w:sz="4" w:space="0" w:color="auto"/>
              <w:bottom w:val="single" w:sz="12" w:space="0" w:color="auto"/>
              <w:right w:val="single" w:sz="4" w:space="0" w:color="auto"/>
            </w:tcBorders>
            <w:vAlign w:val="bottom"/>
          </w:tcPr>
          <w:p w:rsidR="00000000">
            <w:pPr>
              <w:tabs>
                <w:tab w:val="decimal" w:pos="454"/>
              </w:tabs>
              <w:spacing w:before="20" w:line="200" w:lineRule="exact"/>
              <w:rPr>
                <w:rFonts w:cs="FrankRuehl" w:hint="cs"/>
                <w:sz w:val="20"/>
                <w:szCs w:val="20"/>
                <w:vertAlign w:val="superscript"/>
                <w:rtl/>
              </w:rPr>
            </w:pPr>
            <w:r>
              <w:rPr>
                <w:rFonts w:cs="FrankRuehl" w:hint="cs"/>
                <w:sz w:val="20"/>
                <w:szCs w:val="20"/>
                <w:vertAlign w:val="superscript"/>
                <w:rtl/>
              </w:rPr>
              <w:t>**</w:t>
            </w:r>
          </w:p>
        </w:tc>
        <w:tc>
          <w:tcPr>
            <w:tcW w:w="1304" w:type="dxa"/>
            <w:tcBorders>
              <w:left w:val="single" w:sz="4" w:space="0" w:color="auto"/>
              <w:bottom w:val="single" w:sz="12" w:space="0" w:color="auto"/>
              <w:right w:val="single" w:sz="4" w:space="0" w:color="auto"/>
            </w:tcBorders>
            <w:vAlign w:val="bottom"/>
          </w:tcPr>
          <w:p w:rsidR="00000000">
            <w:pPr>
              <w:tabs>
                <w:tab w:val="decimal" w:pos="454"/>
              </w:tabs>
              <w:spacing w:before="20" w:line="200" w:lineRule="exact"/>
              <w:rPr>
                <w:rFonts w:cs="FrankRuehl" w:hint="cs"/>
                <w:sz w:val="20"/>
                <w:szCs w:val="20"/>
                <w:vertAlign w:val="superscript"/>
                <w:rtl/>
              </w:rPr>
            </w:pPr>
            <w:r>
              <w:rPr>
                <w:rFonts w:cs="FrankRuehl" w:hint="cs"/>
                <w:sz w:val="20"/>
                <w:szCs w:val="20"/>
                <w:vertAlign w:val="superscript"/>
                <w:rtl/>
              </w:rPr>
              <w:t>**</w:t>
            </w:r>
          </w:p>
        </w:tc>
        <w:tc>
          <w:tcPr>
            <w:tcW w:w="0" w:type="auto"/>
            <w:tcBorders>
              <w:left w:val="single" w:sz="4" w:space="0" w:color="auto"/>
              <w:bottom w:val="single" w:sz="12" w:space="0" w:color="auto"/>
              <w:right w:val="single" w:sz="12" w:space="0" w:color="auto"/>
            </w:tcBorders>
            <w:vAlign w:val="bottom"/>
          </w:tcPr>
          <w:p w:rsidR="00000000">
            <w:pPr>
              <w:spacing w:before="20" w:line="200" w:lineRule="exact"/>
              <w:rPr>
                <w:rFonts w:cs="FrankRuehl" w:hint="cs"/>
                <w:b/>
                <w:bCs/>
                <w:sz w:val="20"/>
                <w:szCs w:val="20"/>
                <w:rtl/>
              </w:rPr>
            </w:pPr>
            <w:r>
              <w:rPr>
                <w:rFonts w:cs="FrankRuehl" w:hint="cs"/>
                <w:b/>
                <w:bCs/>
                <w:sz w:val="20"/>
                <w:szCs w:val="20"/>
                <w:rtl/>
              </w:rPr>
              <w:t>10</w:t>
            </w:r>
          </w:p>
        </w:tc>
      </w:tr>
      <w:tr>
        <w:tblPrEx>
          <w:tblW w:w="6691" w:type="dxa"/>
          <w:jc w:val="center"/>
          <w:tblLook w:val="01E0"/>
        </w:tblPrEx>
        <w:trPr>
          <w:jc w:val="center"/>
        </w:trPr>
        <w:tc>
          <w:tcPr>
            <w:tcW w:w="1304" w:type="dxa"/>
            <w:tcBorders>
              <w:top w:val="single" w:sz="12" w:space="0" w:color="auto"/>
              <w:left w:val="single" w:sz="12" w:space="0" w:color="auto"/>
              <w:bottom w:val="single" w:sz="12" w:space="0" w:color="auto"/>
              <w:right w:val="single" w:sz="4" w:space="0" w:color="auto"/>
            </w:tcBorders>
            <w:shd w:val="pct10" w:color="auto" w:fill="auto"/>
            <w:vAlign w:val="bottom"/>
          </w:tcPr>
          <w:p w:rsidR="00000000">
            <w:pPr>
              <w:tabs>
                <w:tab w:val="decimal" w:pos="454"/>
              </w:tabs>
              <w:spacing w:before="20" w:line="200" w:lineRule="exact"/>
              <w:rPr>
                <w:rFonts w:cs="FrankRuehl" w:hint="cs"/>
                <w:b/>
                <w:bCs/>
                <w:sz w:val="20"/>
                <w:szCs w:val="20"/>
                <w:rtl/>
              </w:rPr>
            </w:pPr>
            <w:r>
              <w:rPr>
                <w:rFonts w:cs="FrankRuehl" w:hint="cs"/>
                <w:b/>
                <w:bCs/>
                <w:sz w:val="20"/>
                <w:szCs w:val="20"/>
                <w:rtl/>
              </w:rPr>
              <w:t>82.8%</w:t>
            </w:r>
          </w:p>
        </w:tc>
        <w:tc>
          <w:tcPr>
            <w:tcW w:w="1304" w:type="dxa"/>
            <w:tcBorders>
              <w:top w:val="single" w:sz="12" w:space="0" w:color="auto"/>
              <w:left w:val="single" w:sz="4" w:space="0" w:color="auto"/>
              <w:bottom w:val="single" w:sz="12" w:space="0" w:color="auto"/>
              <w:right w:val="single" w:sz="4" w:space="0" w:color="auto"/>
            </w:tcBorders>
            <w:shd w:val="pct10" w:color="auto" w:fill="auto"/>
            <w:vAlign w:val="bottom"/>
          </w:tcPr>
          <w:p w:rsidR="00000000">
            <w:pPr>
              <w:tabs>
                <w:tab w:val="decimal" w:pos="454"/>
              </w:tabs>
              <w:spacing w:before="20" w:line="200" w:lineRule="exact"/>
              <w:rPr>
                <w:rFonts w:cs="FrankRuehl" w:hint="cs"/>
                <w:b/>
                <w:bCs/>
                <w:sz w:val="20"/>
                <w:szCs w:val="20"/>
                <w:rtl/>
              </w:rPr>
            </w:pPr>
            <w:r>
              <w:rPr>
                <w:rFonts w:cs="FrankRuehl" w:hint="cs"/>
                <w:b/>
                <w:bCs/>
                <w:sz w:val="20"/>
                <w:szCs w:val="20"/>
                <w:rtl/>
              </w:rPr>
              <w:t>85.1%</w:t>
            </w:r>
          </w:p>
        </w:tc>
        <w:tc>
          <w:tcPr>
            <w:tcW w:w="1304" w:type="dxa"/>
            <w:tcBorders>
              <w:top w:val="single" w:sz="12" w:space="0" w:color="auto"/>
              <w:left w:val="single" w:sz="4" w:space="0" w:color="auto"/>
              <w:bottom w:val="single" w:sz="12" w:space="0" w:color="auto"/>
              <w:right w:val="single" w:sz="4" w:space="0" w:color="auto"/>
            </w:tcBorders>
            <w:shd w:val="pct10" w:color="auto" w:fill="auto"/>
            <w:vAlign w:val="bottom"/>
          </w:tcPr>
          <w:p w:rsidR="00000000">
            <w:pPr>
              <w:tabs>
                <w:tab w:val="decimal" w:pos="454"/>
              </w:tabs>
              <w:spacing w:before="20" w:line="200" w:lineRule="exact"/>
              <w:rPr>
                <w:rFonts w:cs="FrankRuehl" w:hint="cs"/>
                <w:b/>
                <w:bCs/>
                <w:sz w:val="20"/>
                <w:szCs w:val="20"/>
                <w:rtl/>
              </w:rPr>
            </w:pPr>
            <w:r>
              <w:rPr>
                <w:rFonts w:cs="FrankRuehl" w:hint="cs"/>
                <w:b/>
                <w:bCs/>
                <w:sz w:val="20"/>
                <w:szCs w:val="20"/>
                <w:rtl/>
              </w:rPr>
              <w:t>81%</w:t>
            </w:r>
          </w:p>
        </w:tc>
        <w:tc>
          <w:tcPr>
            <w:tcW w:w="1304" w:type="dxa"/>
            <w:tcBorders>
              <w:top w:val="single" w:sz="12" w:space="0" w:color="auto"/>
              <w:left w:val="single" w:sz="4" w:space="0" w:color="auto"/>
              <w:bottom w:val="single" w:sz="12" w:space="0" w:color="auto"/>
              <w:right w:val="single" w:sz="4" w:space="0" w:color="auto"/>
            </w:tcBorders>
            <w:shd w:val="pct10" w:color="auto" w:fill="auto"/>
            <w:vAlign w:val="bottom"/>
          </w:tcPr>
          <w:p w:rsidR="00000000">
            <w:pPr>
              <w:tabs>
                <w:tab w:val="decimal" w:pos="454"/>
              </w:tabs>
              <w:spacing w:before="20" w:line="200" w:lineRule="exact"/>
              <w:rPr>
                <w:rFonts w:cs="FrankRuehl" w:hint="cs"/>
                <w:b/>
                <w:bCs/>
                <w:sz w:val="20"/>
                <w:szCs w:val="20"/>
                <w:rtl/>
              </w:rPr>
            </w:pPr>
            <w:r>
              <w:rPr>
                <w:rFonts w:cs="FrankRuehl" w:hint="cs"/>
                <w:b/>
                <w:bCs/>
                <w:sz w:val="20"/>
                <w:szCs w:val="20"/>
                <w:rtl/>
              </w:rPr>
              <w:t>69%</w:t>
            </w:r>
          </w:p>
        </w:tc>
        <w:tc>
          <w:tcPr>
            <w:tcW w:w="0" w:type="auto"/>
            <w:tcBorders>
              <w:top w:val="single" w:sz="12" w:space="0" w:color="auto"/>
              <w:left w:val="single" w:sz="4" w:space="0" w:color="auto"/>
              <w:bottom w:val="single" w:sz="12" w:space="0" w:color="auto"/>
              <w:right w:val="single" w:sz="12" w:space="0" w:color="auto"/>
            </w:tcBorders>
            <w:shd w:val="pct10" w:color="auto" w:fill="auto"/>
            <w:vAlign w:val="bottom"/>
          </w:tcPr>
          <w:p w:rsidR="00000000">
            <w:pPr>
              <w:pStyle w:val="Heading6"/>
              <w:spacing w:before="20" w:after="0" w:line="200" w:lineRule="exact"/>
              <w:rPr>
                <w:rFonts w:hint="cs"/>
                <w:rtl/>
              </w:rPr>
            </w:pPr>
            <w:r>
              <w:rPr>
                <w:rFonts w:hint="cs"/>
                <w:rtl/>
              </w:rPr>
              <w:t>ממוצע</w:t>
            </w:r>
          </w:p>
        </w:tc>
      </w:tr>
    </w:tbl>
    <w:p w:rsidR="00000000">
      <w:pPr>
        <w:spacing w:before="120" w:line="200" w:lineRule="exact"/>
        <w:ind w:left="397" w:hanging="397"/>
        <w:jc w:val="both"/>
        <w:rPr>
          <w:rFonts w:cs="FrankRuehl" w:hint="cs"/>
          <w:szCs w:val="20"/>
          <w:rtl/>
        </w:rPr>
      </w:pPr>
      <w:r>
        <w:rPr>
          <w:rFonts w:cs="FrankRuehl" w:hint="cs"/>
          <w:szCs w:val="20"/>
          <w:vertAlign w:val="superscript"/>
          <w:rtl/>
        </w:rPr>
        <w:t>*</w:t>
      </w:r>
      <w:r>
        <w:rPr>
          <w:rFonts w:cs="FrankRuehl" w:hint="cs"/>
          <w:szCs w:val="20"/>
          <w:rtl/>
        </w:rPr>
        <w:t xml:space="preserve"> </w:t>
      </w:r>
      <w:r>
        <w:rPr>
          <w:rFonts w:cs="FrankRuehl" w:hint="cs"/>
          <w:szCs w:val="20"/>
          <w:rtl/>
        </w:rPr>
        <w:tab/>
        <w:t>מתוך 4 רשויות מקומיות שקיבלו מענק איזון רק אחת מהן הייתה זכאית למענק. חישוב שיעור ההקצאה הממוצע לאשכול היה מביא לשיעור חריג בהיקפו. על כן</w:t>
      </w:r>
      <w:r>
        <w:rPr>
          <w:rFonts w:cs="FrankRuehl" w:hint="cs"/>
          <w:szCs w:val="20"/>
          <w:rtl/>
        </w:rPr>
        <w:t xml:space="preserve"> לא נכלל שיעור ההקצאה הממוצע לאשכול.</w:t>
      </w:r>
    </w:p>
    <w:p w:rsidR="00000000">
      <w:pPr>
        <w:spacing w:after="240" w:line="200" w:lineRule="exact"/>
        <w:ind w:left="397" w:hanging="397"/>
        <w:jc w:val="both"/>
        <w:rPr>
          <w:rFonts w:cs="FrankRuehl" w:hint="cs"/>
          <w:szCs w:val="20"/>
          <w:rtl/>
        </w:rPr>
      </w:pPr>
      <w:r>
        <w:rPr>
          <w:rFonts w:cs="FrankRuehl" w:hint="cs"/>
          <w:szCs w:val="20"/>
          <w:vertAlign w:val="superscript"/>
          <w:rtl/>
        </w:rPr>
        <w:t>**</w:t>
      </w:r>
      <w:r>
        <w:rPr>
          <w:rFonts w:cs="FrankRuehl" w:hint="cs"/>
          <w:szCs w:val="20"/>
          <w:rtl/>
        </w:rPr>
        <w:t xml:space="preserve"> </w:t>
      </w:r>
      <w:r>
        <w:rPr>
          <w:rFonts w:cs="FrankRuehl" w:hint="cs"/>
          <w:szCs w:val="20"/>
          <w:rtl/>
        </w:rPr>
        <w:tab/>
        <w:t>לא ניתן לחשב את שיעור ההקצאה הממוצע לאשכול החברתי-כלכלי, היות שבשנה זו כל הרשויות המקומיות באשכול זה שקיבלו מענק איזון לא היו זכאיות לו לפי נוסחת גדיש (מענק המודל שלהן היה שלילי).</w:t>
      </w:r>
    </w:p>
    <w:p w:rsidR="00000000">
      <w:pPr>
        <w:spacing w:after="240" w:line="230" w:lineRule="exact"/>
        <w:jc w:val="both"/>
        <w:rPr>
          <w:rFonts w:cs="FrankRuehl" w:hint="cs"/>
          <w:sz w:val="20"/>
          <w:szCs w:val="22"/>
          <w:rtl/>
        </w:rPr>
      </w:pPr>
      <w:r>
        <w:rPr>
          <w:rFonts w:cs="FrankRuehl" w:hint="cs"/>
          <w:sz w:val="20"/>
          <w:szCs w:val="22"/>
          <w:rtl/>
        </w:rPr>
        <w:t>מהלוח עולה כי בכל אחת מהשנים 2004-2</w:t>
      </w:r>
      <w:r>
        <w:rPr>
          <w:rFonts w:cs="FrankRuehl" w:hint="cs"/>
          <w:sz w:val="20"/>
          <w:szCs w:val="22"/>
          <w:rtl/>
        </w:rPr>
        <w:t>007 נקבע לחלק מהאשכולות הנמוכים, שמדורגים בהם רוב יישובי המיעוטים, שיעור הקצאה ממוצע נמוך מזה שנקבע לאשכולות גבוהים יותר. לדוגמה, בשנת 2007 שיעור ההקצאה הממוצע שנקבע לאשכול 3 היה הנמוך ביותר (79%), ואילו שיעור ההקצאה הממוצע שנקבע לאשכול 7 היה הגבוה ביותר (</w:t>
      </w:r>
      <w:r>
        <w:rPr>
          <w:rFonts w:cs="FrankRuehl" w:hint="cs"/>
          <w:sz w:val="20"/>
          <w:szCs w:val="22"/>
          <w:rtl/>
        </w:rPr>
        <w:t>117%).</w:t>
      </w:r>
    </w:p>
    <w:p w:rsidR="00000000">
      <w:pPr>
        <w:pStyle w:val="RESHET"/>
        <w:rPr>
          <w:rFonts w:hint="cs"/>
          <w:rtl/>
        </w:rPr>
      </w:pPr>
      <w:r>
        <w:rPr>
          <w:rFonts w:hint="cs"/>
          <w:rtl/>
        </w:rPr>
        <w:t>לדעת משרד מבקר המדינה על משרד הפנים לעקוב אחר התפתחות הפערים בין שיעורי ההקצאה לאשכולות הגבוהים ובין שיעורי ההקצאה לאשכולות הנמוכים, ולפעול לסגירת הפערים גם במישור של סיווגן החברתי-כלכלי של הרשויות.</w:t>
      </w:r>
    </w:p>
    <w:p w:rsidR="00000000">
      <w:pPr>
        <w:spacing w:before="180"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רשויות מקומיות שהכנסותיהן המחושבות לפי נוסחת גד</w:t>
      </w:r>
      <w:r>
        <w:rPr>
          <w:rFonts w:cs="FrankRuehl" w:hint="cs"/>
          <w:sz w:val="20"/>
          <w:szCs w:val="22"/>
          <w:rtl/>
        </w:rPr>
        <w:t xml:space="preserve">יש גבוהות מהוצאותיהן המחושבות לפיה אינן זכאיות לקבל מענק איזון (להלן - רשויות לא זכאיות). כדי להקל על רשויות שקיבלו מענק איזון לפני תחילת יישומה של נוסחת גדיש ושבעקבות יישומה יימצא שהן רשויות לא זכאיות, קבע משרד הפנים בשנת 2004, כשהוחל בהקצאת מענקי האיזון </w:t>
      </w:r>
      <w:r>
        <w:rPr>
          <w:rFonts w:cs="FrankRuehl" w:hint="cs"/>
          <w:sz w:val="20"/>
          <w:szCs w:val="22"/>
          <w:rtl/>
        </w:rPr>
        <w:t>לפי נוסחת גדיש, שרשויות כאלה ימשיכו לקבל מענקי איזון, בשיעורים הולכים ופוחתים בתקופת מעבר בת שש שנים. במהלך תקופה זו המשרד אמור להביא לצמצום מספרן של הרשויות הלא זכאיות שעדיין מקבלות מענק איזון</w:t>
      </w:r>
      <w:r>
        <w:rPr>
          <w:rStyle w:val="FootnoteReference"/>
          <w:rFonts w:cs="FrankRuehl"/>
          <w:sz w:val="20"/>
          <w:szCs w:val="22"/>
          <w:rtl/>
        </w:rPr>
        <w:footnoteReference w:id="36"/>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בשנת 2007 היו 51 רשויות מקומיות לא זכאיות, כולן מהמגזר היהוד</w:t>
      </w:r>
      <w:r>
        <w:rPr>
          <w:rFonts w:cs="FrankRuehl" w:hint="cs"/>
          <w:sz w:val="20"/>
          <w:szCs w:val="22"/>
          <w:rtl/>
        </w:rPr>
        <w:t>י, ו-30 מהן קיבלו מענק איזון.</w:t>
      </w:r>
    </w:p>
    <w:p w:rsidR="00000000">
      <w:pPr>
        <w:spacing w:after="120" w:line="230" w:lineRule="exact"/>
        <w:jc w:val="both"/>
        <w:rPr>
          <w:rFonts w:cs="FrankRuehl" w:hint="cs"/>
          <w:sz w:val="20"/>
          <w:szCs w:val="22"/>
          <w:rtl/>
        </w:rPr>
      </w:pPr>
      <w:r>
        <w:rPr>
          <w:rFonts w:cs="FrankRuehl" w:hint="cs"/>
          <w:sz w:val="20"/>
          <w:szCs w:val="22"/>
          <w:rtl/>
        </w:rPr>
        <w:t xml:space="preserve">המינהל לתכנון, תקצוב ופיתוח שבמשרד הפנים מפרסם בכל שנה חוזר ובו כללים לחלוקת המענק לרשויות הלא זכאיות. לפי הכללים האמורים, </w:t>
      </w:r>
      <w:r>
        <w:rPr>
          <w:rFonts w:cs="FrankRuehl"/>
          <w:sz w:val="20"/>
          <w:szCs w:val="22"/>
          <w:rtl/>
        </w:rPr>
        <w:t xml:space="preserve">רשויות </w:t>
      </w:r>
      <w:r>
        <w:rPr>
          <w:rFonts w:cs="FrankRuehl" w:hint="cs"/>
          <w:sz w:val="20"/>
          <w:szCs w:val="22"/>
          <w:rtl/>
        </w:rPr>
        <w:t>אלה</w:t>
      </w:r>
      <w:r>
        <w:rPr>
          <w:rFonts w:cs="FrankRuehl"/>
          <w:sz w:val="20"/>
          <w:szCs w:val="22"/>
          <w:rtl/>
        </w:rPr>
        <w:t xml:space="preserve"> </w:t>
      </w:r>
      <w:r>
        <w:rPr>
          <w:rFonts w:cs="FrankRuehl" w:hint="cs"/>
          <w:sz w:val="20"/>
          <w:szCs w:val="22"/>
          <w:rtl/>
        </w:rPr>
        <w:t xml:space="preserve">היו אמורות לקבל </w:t>
      </w:r>
      <w:r>
        <w:rPr>
          <w:rFonts w:cs="FrankRuehl"/>
          <w:sz w:val="20"/>
          <w:szCs w:val="22"/>
          <w:rtl/>
        </w:rPr>
        <w:t xml:space="preserve">בשנת 2004 </w:t>
      </w:r>
      <w:r>
        <w:rPr>
          <w:rFonts w:cs="FrankRuehl" w:hint="cs"/>
          <w:sz w:val="20"/>
          <w:szCs w:val="22"/>
          <w:rtl/>
        </w:rPr>
        <w:t xml:space="preserve">מענק בשיעור של </w:t>
      </w:r>
      <w:r>
        <w:rPr>
          <w:rFonts w:cs="FrankRuehl"/>
          <w:sz w:val="20"/>
          <w:szCs w:val="22"/>
          <w:rtl/>
        </w:rPr>
        <w:t xml:space="preserve">50% מהמענק </w:t>
      </w:r>
      <w:r>
        <w:rPr>
          <w:rFonts w:cs="FrankRuehl" w:hint="cs"/>
          <w:sz w:val="20"/>
          <w:szCs w:val="22"/>
          <w:rtl/>
        </w:rPr>
        <w:t>ש</w:t>
      </w:r>
      <w:r>
        <w:rPr>
          <w:rFonts w:cs="FrankRuehl"/>
          <w:sz w:val="20"/>
          <w:szCs w:val="22"/>
          <w:rtl/>
        </w:rPr>
        <w:t>קיבלו בשנת 2003</w:t>
      </w:r>
      <w:r>
        <w:rPr>
          <w:rFonts w:cs="FrankRuehl" w:hint="cs"/>
          <w:sz w:val="20"/>
          <w:szCs w:val="22"/>
          <w:rtl/>
        </w:rPr>
        <w:t xml:space="preserve">; </w:t>
      </w:r>
      <w:r>
        <w:rPr>
          <w:rFonts w:cs="FrankRuehl"/>
          <w:sz w:val="20"/>
          <w:szCs w:val="22"/>
          <w:rtl/>
        </w:rPr>
        <w:t xml:space="preserve">בשנת 2005 </w:t>
      </w:r>
      <w:r>
        <w:rPr>
          <w:rFonts w:cs="FrankRuehl" w:hint="cs"/>
          <w:sz w:val="20"/>
          <w:szCs w:val="22"/>
          <w:rtl/>
        </w:rPr>
        <w:t>- מענק בשיעו</w:t>
      </w:r>
      <w:r>
        <w:rPr>
          <w:rFonts w:cs="FrankRuehl" w:hint="cs"/>
          <w:sz w:val="20"/>
          <w:szCs w:val="22"/>
          <w:rtl/>
        </w:rPr>
        <w:t xml:space="preserve">ר </w:t>
      </w:r>
      <w:r>
        <w:rPr>
          <w:rFonts w:cs="FrankRuehl"/>
          <w:sz w:val="20"/>
          <w:szCs w:val="22"/>
          <w:rtl/>
        </w:rPr>
        <w:t xml:space="preserve">75% מהמענק </w:t>
      </w:r>
      <w:r>
        <w:rPr>
          <w:rFonts w:cs="FrankRuehl" w:hint="cs"/>
          <w:spacing w:val="2"/>
          <w:sz w:val="20"/>
          <w:szCs w:val="22"/>
          <w:rtl/>
        </w:rPr>
        <w:t>ש</w:t>
      </w:r>
      <w:r>
        <w:rPr>
          <w:rFonts w:cs="FrankRuehl"/>
          <w:spacing w:val="2"/>
          <w:sz w:val="20"/>
          <w:szCs w:val="22"/>
          <w:rtl/>
        </w:rPr>
        <w:t>קיבלו בשנת 2004</w:t>
      </w:r>
      <w:r>
        <w:rPr>
          <w:rFonts w:cs="FrankRuehl" w:hint="cs"/>
          <w:spacing w:val="2"/>
          <w:sz w:val="20"/>
          <w:szCs w:val="22"/>
          <w:rtl/>
        </w:rPr>
        <w:t xml:space="preserve">; </w:t>
      </w:r>
      <w:r>
        <w:rPr>
          <w:rFonts w:cs="FrankRuehl"/>
          <w:spacing w:val="2"/>
          <w:sz w:val="20"/>
          <w:szCs w:val="22"/>
          <w:rtl/>
        </w:rPr>
        <w:t xml:space="preserve">בשנת 2006 </w:t>
      </w:r>
      <w:r>
        <w:rPr>
          <w:rFonts w:cs="FrankRuehl" w:hint="cs"/>
          <w:spacing w:val="2"/>
          <w:sz w:val="20"/>
          <w:szCs w:val="22"/>
          <w:rtl/>
        </w:rPr>
        <w:t xml:space="preserve">- מענק בשיעור </w:t>
      </w:r>
      <w:r>
        <w:rPr>
          <w:rFonts w:cs="FrankRuehl"/>
          <w:spacing w:val="2"/>
          <w:sz w:val="20"/>
          <w:szCs w:val="22"/>
          <w:rtl/>
        </w:rPr>
        <w:t xml:space="preserve">75% מהמענק </w:t>
      </w:r>
      <w:r>
        <w:rPr>
          <w:rFonts w:cs="FrankRuehl" w:hint="cs"/>
          <w:spacing w:val="2"/>
          <w:sz w:val="20"/>
          <w:szCs w:val="22"/>
          <w:rtl/>
        </w:rPr>
        <w:t>שקיבלו ב</w:t>
      </w:r>
      <w:r>
        <w:rPr>
          <w:rFonts w:cs="FrankRuehl"/>
          <w:spacing w:val="2"/>
          <w:sz w:val="20"/>
          <w:szCs w:val="22"/>
          <w:rtl/>
        </w:rPr>
        <w:t>שנת 2005</w:t>
      </w:r>
      <w:r>
        <w:rPr>
          <w:rFonts w:cs="FrankRuehl" w:hint="cs"/>
          <w:spacing w:val="2"/>
          <w:sz w:val="20"/>
          <w:szCs w:val="22"/>
          <w:rtl/>
        </w:rPr>
        <w:t xml:space="preserve">; </w:t>
      </w:r>
      <w:r>
        <w:rPr>
          <w:rFonts w:cs="FrankRuehl"/>
          <w:spacing w:val="2"/>
          <w:sz w:val="20"/>
          <w:szCs w:val="22"/>
          <w:rtl/>
        </w:rPr>
        <w:t>ובשנת 2007</w:t>
      </w:r>
      <w:r>
        <w:rPr>
          <w:rFonts w:cs="FrankRuehl" w:hint="cs"/>
          <w:spacing w:val="2"/>
          <w:sz w:val="20"/>
          <w:szCs w:val="22"/>
          <w:rtl/>
        </w:rPr>
        <w:t xml:space="preserve"> -</w:t>
      </w:r>
      <w:r>
        <w:rPr>
          <w:rFonts w:cs="FrankRuehl"/>
          <w:sz w:val="20"/>
          <w:szCs w:val="22"/>
          <w:rtl/>
        </w:rPr>
        <w:t xml:space="preserve"> </w:t>
      </w:r>
      <w:r>
        <w:rPr>
          <w:rFonts w:cs="FrankRuehl" w:hint="cs"/>
          <w:sz w:val="20"/>
          <w:szCs w:val="22"/>
          <w:rtl/>
        </w:rPr>
        <w:t xml:space="preserve">מענק בשיעור </w:t>
      </w:r>
      <w:r>
        <w:rPr>
          <w:rFonts w:cs="FrankRuehl"/>
          <w:sz w:val="20"/>
          <w:szCs w:val="22"/>
          <w:rtl/>
        </w:rPr>
        <w:t xml:space="preserve">50% מהמענק </w:t>
      </w:r>
      <w:r>
        <w:rPr>
          <w:rFonts w:cs="FrankRuehl" w:hint="cs"/>
          <w:sz w:val="20"/>
          <w:szCs w:val="22"/>
          <w:rtl/>
        </w:rPr>
        <w:t>שקיבלו ב</w:t>
      </w:r>
      <w:r>
        <w:rPr>
          <w:rFonts w:cs="FrankRuehl"/>
          <w:sz w:val="20"/>
          <w:szCs w:val="22"/>
          <w:rtl/>
        </w:rPr>
        <w:t>שנת 2006</w:t>
      </w:r>
      <w:r>
        <w:rPr>
          <w:rFonts w:cs="FrankRuehl" w:hint="cs"/>
          <w:sz w:val="20"/>
          <w:szCs w:val="22"/>
          <w:rtl/>
        </w:rPr>
        <w:t xml:space="preserve">. </w:t>
      </w:r>
    </w:p>
    <w:p w:rsidR="00000000">
      <w:pPr>
        <w:spacing w:after="240" w:line="230" w:lineRule="exact"/>
        <w:jc w:val="both"/>
        <w:rPr>
          <w:rFonts w:cs="FrankRuehl" w:hint="cs"/>
          <w:sz w:val="20"/>
          <w:szCs w:val="22"/>
          <w:rtl/>
        </w:rPr>
      </w:pPr>
      <w:r>
        <w:rPr>
          <w:rFonts w:cs="FrankRuehl" w:hint="cs"/>
          <w:sz w:val="20"/>
          <w:szCs w:val="22"/>
          <w:rtl/>
        </w:rPr>
        <w:t>משרד מבקר המדינה בדק אם עמד משרד הפנים בכללים שקבע להפחתת מענקי האיזון לרשויות הלא זכאיות.</w:t>
      </w:r>
    </w:p>
    <w:p w:rsidR="00000000">
      <w:pPr>
        <w:pStyle w:val="RESHET"/>
        <w:rPr>
          <w:rFonts w:hint="cs"/>
          <w:rtl/>
        </w:rPr>
      </w:pPr>
      <w:r>
        <w:rPr>
          <w:rFonts w:hint="cs"/>
          <w:rtl/>
        </w:rPr>
        <w:t>הביקורת העלתה שהשיעורים שב</w:t>
      </w:r>
      <w:r>
        <w:rPr>
          <w:rFonts w:hint="cs"/>
          <w:rtl/>
        </w:rPr>
        <w:t>הם הפחית משרד הפנים בכל שנה את המענקים לחלק ניכר מהרשויות הלא זכאיות היו נמוכים משיעורי ההפחתה שנקבעו בכללים האמורים. עקב כך קיבלו הרשויות הלא זכאיות בשנים 2004-2006 כ-25 מיליון ש"ח יותר משהיו אמורות לקבל על פי הכללים</w:t>
      </w:r>
      <w:r>
        <w:rPr>
          <w:rStyle w:val="FootnoteReference"/>
          <w:sz w:val="20"/>
          <w:rtl/>
        </w:rPr>
        <w:footnoteReference w:id="37"/>
      </w:r>
      <w:r>
        <w:rPr>
          <w:rFonts w:hint="cs"/>
          <w:rtl/>
        </w:rPr>
        <w:t xml:space="preserve">. </w:t>
      </w:r>
    </w:p>
    <w:p w:rsidR="00000000">
      <w:pPr>
        <w:pStyle w:val="RESHET"/>
        <w:rPr>
          <w:rFonts w:hint="cs"/>
          <w:highlight w:val="yellow"/>
          <w:rtl/>
        </w:rPr>
      </w:pPr>
      <w:r>
        <w:rPr>
          <w:rFonts w:hint="cs"/>
          <w:rtl/>
        </w:rPr>
        <w:t>עוד הועלה, כי 11 (כ-37%) מ-30 הרשוי</w:t>
      </w:r>
      <w:r>
        <w:rPr>
          <w:rFonts w:hint="cs"/>
          <w:rtl/>
        </w:rPr>
        <w:t xml:space="preserve">ות הלא זכאיות שקיבלו מענק איזון בשנת 2007 היו מדורגות באשכולות החברתיים-כלכליים 8-10: אחת מהן באשכול 10, ארבע באשכול 9 ושש באשכול 8. </w:t>
      </w:r>
    </w:p>
    <w:p w:rsidR="00000000">
      <w:pPr>
        <w:pStyle w:val="RESHET"/>
        <w:rPr>
          <w:rFonts w:hint="cs"/>
          <w:rtl/>
        </w:rPr>
      </w:pPr>
      <w:r>
        <w:rPr>
          <w:rFonts w:hint="cs"/>
          <w:rtl/>
        </w:rPr>
        <w:t>אי-יישום הכללים להפחתת מענק האיזון לרשויות הלא זכאיות מנע את הגדלת שיעור ההקצאה לרשויות מקומיות ששיעור ההקצאה שנקבע להן הי</w:t>
      </w:r>
      <w:r>
        <w:rPr>
          <w:rFonts w:hint="cs"/>
          <w:rtl/>
        </w:rPr>
        <w:t>ה קטן משיעור ההקצאה הממוצע.</w:t>
      </w:r>
      <w:bookmarkStart w:id="9" w:name="_Toc182212147"/>
      <w:r>
        <w:rPr>
          <w:rFonts w:hint="cs"/>
          <w:rtl/>
        </w:rPr>
        <w:t xml:space="preserve"> </w:t>
      </w:r>
    </w:p>
    <w:p w:rsidR="00000000">
      <w:pPr>
        <w:pStyle w:val="RESHET"/>
        <w:rPr>
          <w:rFonts w:hint="cs"/>
          <w:rtl/>
        </w:rPr>
      </w:pPr>
      <w:r>
        <w:rPr>
          <w:rFonts w:hint="cs"/>
          <w:rtl/>
        </w:rPr>
        <w:t>יצוין כי בשל אי-הפחתת מענקי האיזון בשיעורים שנקבעו בכללי משרד הפנים, עלולות אחדות מהרשויות הלא זכאיות להיקלע למצוקה תקציבית בתום תקופת המעבר, כשהמשרד יפסיק לחלוטין את תשלומי מענקי האיזון לרשויות הלא זכאיות.</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10" w:name="_Toc177900651"/>
      <w:bookmarkStart w:id="11" w:name="_Toc182212150"/>
      <w:bookmarkEnd w:id="9"/>
      <w:r>
        <w:rPr>
          <w:rFonts w:hint="cs"/>
          <w:rtl/>
        </w:rPr>
        <w:t>מענק האיזון וחלוקת</w:t>
      </w:r>
      <w:r>
        <w:rPr>
          <w:rFonts w:hint="cs"/>
          <w:rtl/>
        </w:rPr>
        <w:t xml:space="preserve"> ההכנסות העצמיות של הרשויות המקומיות</w:t>
      </w:r>
      <w:bookmarkEnd w:id="11"/>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r>
      <w:r>
        <w:rPr>
          <w:rFonts w:cs="FrankRuehl"/>
          <w:sz w:val="20"/>
          <w:szCs w:val="22"/>
          <w:rtl/>
        </w:rPr>
        <w:t>חלק ניכר מהפערים ב</w:t>
      </w:r>
      <w:r>
        <w:rPr>
          <w:rFonts w:cs="FrankRuehl" w:hint="cs"/>
          <w:sz w:val="20"/>
          <w:szCs w:val="22"/>
          <w:rtl/>
        </w:rPr>
        <w:t xml:space="preserve">ין </w:t>
      </w:r>
      <w:r>
        <w:rPr>
          <w:rFonts w:cs="FrankRuehl"/>
          <w:sz w:val="20"/>
          <w:szCs w:val="22"/>
          <w:rtl/>
        </w:rPr>
        <w:t xml:space="preserve">הכנסות הרשויות המקומיות נובע משונות גדולה </w:t>
      </w:r>
      <w:r>
        <w:rPr>
          <w:rFonts w:cs="FrankRuehl" w:hint="cs"/>
          <w:sz w:val="20"/>
          <w:szCs w:val="22"/>
          <w:rtl/>
        </w:rPr>
        <w:t>ב</w:t>
      </w:r>
      <w:r>
        <w:rPr>
          <w:rFonts w:cs="FrankRuehl"/>
          <w:sz w:val="20"/>
          <w:szCs w:val="22"/>
          <w:rtl/>
        </w:rPr>
        <w:t>הכנסות</w:t>
      </w:r>
      <w:r>
        <w:rPr>
          <w:rFonts w:cs="FrankRuehl" w:hint="cs"/>
          <w:sz w:val="20"/>
          <w:szCs w:val="22"/>
          <w:rtl/>
        </w:rPr>
        <w:t>יהן</w:t>
      </w:r>
      <w:r>
        <w:rPr>
          <w:rFonts w:cs="FrankRuehl"/>
          <w:sz w:val="20"/>
          <w:szCs w:val="22"/>
          <w:rtl/>
        </w:rPr>
        <w:t xml:space="preserve"> שמקורן בשימוש </w:t>
      </w:r>
      <w:r>
        <w:rPr>
          <w:rFonts w:cs="FrankRuehl" w:hint="cs"/>
          <w:sz w:val="20"/>
          <w:szCs w:val="22"/>
          <w:rtl/>
        </w:rPr>
        <w:t>בנכסי מ</w:t>
      </w:r>
      <w:r>
        <w:rPr>
          <w:rFonts w:cs="FrankRuehl"/>
          <w:sz w:val="20"/>
          <w:szCs w:val="22"/>
          <w:rtl/>
        </w:rPr>
        <w:t>קרקע</w:t>
      </w:r>
      <w:r>
        <w:rPr>
          <w:rFonts w:cs="FrankRuehl" w:hint="cs"/>
          <w:sz w:val="20"/>
          <w:szCs w:val="22"/>
          <w:rtl/>
        </w:rPr>
        <w:t>ין</w:t>
      </w:r>
      <w:r>
        <w:rPr>
          <w:rFonts w:cs="FrankRuehl"/>
          <w:sz w:val="20"/>
          <w:szCs w:val="22"/>
          <w:rtl/>
        </w:rPr>
        <w:t xml:space="preserve"> </w:t>
      </w:r>
      <w:r>
        <w:rPr>
          <w:rFonts w:cs="FrankRuehl" w:hint="cs"/>
          <w:sz w:val="20"/>
          <w:szCs w:val="22"/>
          <w:rtl/>
        </w:rPr>
        <w:t>שלא</w:t>
      </w:r>
      <w:r>
        <w:rPr>
          <w:rFonts w:cs="FrankRuehl"/>
          <w:sz w:val="20"/>
          <w:szCs w:val="22"/>
          <w:rtl/>
        </w:rPr>
        <w:t xml:space="preserve"> </w:t>
      </w:r>
      <w:r>
        <w:rPr>
          <w:rFonts w:cs="FrankRuehl" w:hint="cs"/>
          <w:sz w:val="20"/>
          <w:szCs w:val="22"/>
          <w:rtl/>
        </w:rPr>
        <w:t xml:space="preserve">לצורכי </w:t>
      </w:r>
      <w:r>
        <w:rPr>
          <w:rFonts w:cs="FrankRuehl"/>
          <w:sz w:val="20"/>
          <w:szCs w:val="22"/>
          <w:rtl/>
        </w:rPr>
        <w:t>מגורים</w:t>
      </w:r>
      <w:r>
        <w:rPr>
          <w:rFonts w:cs="FrankRuehl" w:hint="cs"/>
          <w:sz w:val="20"/>
          <w:szCs w:val="22"/>
          <w:rtl/>
        </w:rPr>
        <w:t>,</w:t>
      </w:r>
      <w:r>
        <w:rPr>
          <w:rFonts w:cs="FrankRuehl"/>
          <w:sz w:val="20"/>
          <w:szCs w:val="22"/>
          <w:rtl/>
        </w:rPr>
        <w:t xml:space="preserve"> ובפרט </w:t>
      </w:r>
      <w:r>
        <w:rPr>
          <w:rFonts w:cs="FrankRuehl" w:hint="cs"/>
          <w:sz w:val="20"/>
          <w:szCs w:val="22"/>
          <w:rtl/>
        </w:rPr>
        <w:t>ב</w:t>
      </w:r>
      <w:r>
        <w:rPr>
          <w:rFonts w:cs="FrankRuehl"/>
          <w:sz w:val="20"/>
          <w:szCs w:val="22"/>
          <w:rtl/>
        </w:rPr>
        <w:t xml:space="preserve">הכנסות מארנונה על נכסים אלה (להלן - ארנונה שאינה למגורים), הכוללים בעיקר מבני מסחר, </w:t>
      </w:r>
      <w:r>
        <w:rPr>
          <w:rFonts w:cs="FrankRuehl" w:hint="cs"/>
          <w:sz w:val="20"/>
          <w:szCs w:val="22"/>
          <w:rtl/>
        </w:rPr>
        <w:t>מבני</w:t>
      </w:r>
      <w:r>
        <w:rPr>
          <w:rFonts w:cs="FrankRuehl" w:hint="cs"/>
          <w:sz w:val="20"/>
          <w:szCs w:val="22"/>
          <w:rtl/>
        </w:rPr>
        <w:t xml:space="preserve"> </w:t>
      </w:r>
      <w:r>
        <w:rPr>
          <w:rFonts w:cs="FrankRuehl"/>
          <w:sz w:val="20"/>
          <w:szCs w:val="22"/>
          <w:rtl/>
        </w:rPr>
        <w:t>תעשייה, משרדים ומתקני תשתית</w:t>
      </w:r>
      <w:r>
        <w:rPr>
          <w:rStyle w:val="FootnoteReference"/>
          <w:rFonts w:cs="FrankRuehl"/>
          <w:sz w:val="20"/>
          <w:szCs w:val="22"/>
          <w:rtl/>
        </w:rPr>
        <w:footnoteReference w:id="38"/>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לחלק מהרשויות המקומיות, בעיקר רשויות במרכז הארץ, יש הכנסות גדולות מארנונה שאינה למגורים משום שבזכות מיקומן הגאוגרפי יש בהן פעילות עסקית רחבה וביכולתן לגבות ארנונה גבוהה על המקרקעין שהיא מתקיימת בהן; ואילו ל</w:t>
      </w:r>
      <w:r>
        <w:rPr>
          <w:rFonts w:cs="FrankRuehl"/>
          <w:sz w:val="20"/>
          <w:szCs w:val="22"/>
          <w:rtl/>
        </w:rPr>
        <w:t xml:space="preserve">רשויות מקומיות </w:t>
      </w:r>
      <w:r>
        <w:rPr>
          <w:rFonts w:cs="FrankRuehl" w:hint="cs"/>
          <w:sz w:val="20"/>
          <w:szCs w:val="22"/>
          <w:rtl/>
        </w:rPr>
        <w:t>קטנו</w:t>
      </w:r>
      <w:r>
        <w:rPr>
          <w:rFonts w:cs="FrankRuehl" w:hint="cs"/>
          <w:sz w:val="20"/>
          <w:szCs w:val="22"/>
          <w:rtl/>
        </w:rPr>
        <w:t>ת ש</w:t>
      </w:r>
      <w:r>
        <w:rPr>
          <w:rFonts w:cs="FrankRuehl"/>
          <w:sz w:val="20"/>
          <w:szCs w:val="22"/>
          <w:rtl/>
        </w:rPr>
        <w:t>נמצאות באזורי פריפריה</w:t>
      </w:r>
      <w:r>
        <w:rPr>
          <w:rFonts w:cs="FrankRuehl" w:hint="cs"/>
          <w:sz w:val="20"/>
          <w:szCs w:val="22"/>
          <w:rtl/>
        </w:rPr>
        <w:t xml:space="preserve"> ואוכלוסייתן חלשה מהבחינה החברתית-כלכלית, ולרשויות מקומיות במגזרי המיעוטים יש </w:t>
      </w:r>
      <w:r>
        <w:rPr>
          <w:rFonts w:cs="FrankRuehl"/>
          <w:sz w:val="20"/>
          <w:szCs w:val="22"/>
          <w:rtl/>
        </w:rPr>
        <w:t>הכנסות נמוכות מארנונה שאינה למגורים</w:t>
      </w:r>
      <w:r>
        <w:rPr>
          <w:rStyle w:val="FootnoteReference"/>
          <w:rFonts w:cs="FrankRuehl"/>
          <w:sz w:val="20"/>
          <w:szCs w:val="22"/>
          <w:rtl/>
        </w:rPr>
        <w:footnoteReference w:id="39"/>
      </w:r>
      <w:r>
        <w:rPr>
          <w:rFonts w:cs="FrankRuehl" w:hint="cs"/>
          <w:sz w:val="20"/>
          <w:szCs w:val="22"/>
          <w:rtl/>
        </w:rPr>
        <w:t>. מכאן ש</w:t>
      </w:r>
      <w:r>
        <w:rPr>
          <w:rFonts w:cs="FrankRuehl"/>
          <w:sz w:val="20"/>
          <w:szCs w:val="22"/>
          <w:rtl/>
        </w:rPr>
        <w:t xml:space="preserve">הפערים </w:t>
      </w:r>
      <w:r>
        <w:rPr>
          <w:rFonts w:cs="FrankRuehl" w:hint="cs"/>
          <w:sz w:val="20"/>
          <w:szCs w:val="22"/>
          <w:rtl/>
        </w:rPr>
        <w:t>בחוסן הכלכלי וברמת השירותים המוניציפליי</w:t>
      </w:r>
      <w:r>
        <w:rPr>
          <w:rFonts w:cs="FrankRuehl" w:hint="eastAsia"/>
          <w:sz w:val="20"/>
          <w:szCs w:val="22"/>
          <w:rtl/>
        </w:rPr>
        <w:t>ם</w:t>
      </w:r>
      <w:r>
        <w:rPr>
          <w:rFonts w:cs="FrankRuehl" w:hint="cs"/>
          <w:sz w:val="20"/>
          <w:szCs w:val="22"/>
          <w:rtl/>
        </w:rPr>
        <w:t xml:space="preserve"> </w:t>
      </w:r>
      <w:r>
        <w:rPr>
          <w:rFonts w:cs="FrankRuehl"/>
          <w:sz w:val="20"/>
          <w:szCs w:val="22"/>
          <w:rtl/>
        </w:rPr>
        <w:t xml:space="preserve">בין הרשויות </w:t>
      </w:r>
      <w:r>
        <w:rPr>
          <w:rFonts w:cs="FrankRuehl" w:hint="cs"/>
          <w:sz w:val="20"/>
          <w:szCs w:val="22"/>
          <w:rtl/>
        </w:rPr>
        <w:t xml:space="preserve">במגזר </w:t>
      </w:r>
      <w:r>
        <w:rPr>
          <w:rFonts w:cs="FrankRuehl"/>
          <w:sz w:val="20"/>
          <w:szCs w:val="22"/>
          <w:rtl/>
        </w:rPr>
        <w:t xml:space="preserve">היהודי לרשויות במגזרי המיעוטים ובין רשויות </w:t>
      </w:r>
      <w:r>
        <w:rPr>
          <w:rFonts w:cs="FrankRuehl" w:hint="cs"/>
          <w:sz w:val="20"/>
          <w:szCs w:val="22"/>
          <w:rtl/>
        </w:rPr>
        <w:t>ב</w:t>
      </w:r>
      <w:r>
        <w:rPr>
          <w:rFonts w:cs="FrankRuehl" w:hint="cs"/>
          <w:sz w:val="20"/>
          <w:szCs w:val="22"/>
          <w:rtl/>
        </w:rPr>
        <w:t>מרכז הארץ</w:t>
      </w:r>
      <w:r>
        <w:rPr>
          <w:rFonts w:cs="FrankRuehl"/>
          <w:sz w:val="20"/>
          <w:szCs w:val="22"/>
          <w:rtl/>
        </w:rPr>
        <w:t xml:space="preserve"> לרשויות באזורי פריפריה נובעים</w:t>
      </w:r>
      <w:r>
        <w:rPr>
          <w:rFonts w:cs="FrankRuehl" w:hint="cs"/>
          <w:sz w:val="20"/>
          <w:szCs w:val="22"/>
          <w:rtl/>
        </w:rPr>
        <w:t>, בין היתר,</w:t>
      </w:r>
      <w:r>
        <w:rPr>
          <w:rFonts w:cs="FrankRuehl"/>
          <w:sz w:val="20"/>
          <w:szCs w:val="22"/>
          <w:rtl/>
        </w:rPr>
        <w:t xml:space="preserve"> מפערים בהיקף שטחי</w:t>
      </w:r>
      <w:r>
        <w:rPr>
          <w:rFonts w:cs="FrankRuehl" w:hint="cs"/>
          <w:sz w:val="20"/>
          <w:szCs w:val="22"/>
          <w:rtl/>
        </w:rPr>
        <w:t xml:space="preserve"> התעשייה והמסחר</w:t>
      </w:r>
      <w:r>
        <w:rPr>
          <w:rFonts w:cs="FrankRuehl"/>
          <w:sz w:val="20"/>
          <w:szCs w:val="22"/>
          <w:rtl/>
        </w:rPr>
        <w:t xml:space="preserve"> </w:t>
      </w:r>
      <w:r>
        <w:rPr>
          <w:rFonts w:cs="FrankRuehl" w:hint="cs"/>
          <w:sz w:val="20"/>
          <w:szCs w:val="22"/>
          <w:rtl/>
        </w:rPr>
        <w:t xml:space="preserve">שבתחום שיפוטן </w:t>
      </w:r>
      <w:r>
        <w:rPr>
          <w:rFonts w:cs="FrankRuehl"/>
          <w:sz w:val="20"/>
          <w:szCs w:val="22"/>
          <w:rtl/>
        </w:rPr>
        <w:t>ומפערים בתעריפי הארנונה</w:t>
      </w:r>
      <w:r>
        <w:rPr>
          <w:rFonts w:cs="FrankRuehl" w:hint="cs"/>
          <w:sz w:val="20"/>
          <w:szCs w:val="22"/>
          <w:rtl/>
        </w:rPr>
        <w:t xml:space="preserve"> שביכולתן לגבות על שטחים אלה</w:t>
      </w:r>
      <w:r>
        <w:rPr>
          <w:rStyle w:val="FootnoteReference"/>
          <w:rFonts w:cs="FrankRuehl"/>
          <w:sz w:val="20"/>
          <w:szCs w:val="22"/>
          <w:rtl/>
        </w:rPr>
        <w:footnoteReference w:id="40"/>
      </w:r>
      <w:r>
        <w:rPr>
          <w:rFonts w:cs="FrankRuehl" w:hint="cs"/>
          <w:sz w:val="20"/>
          <w:szCs w:val="22"/>
          <w:rtl/>
        </w:rPr>
        <w:t>.</w:t>
      </w:r>
    </w:p>
    <w:p w:rsidR="00000000">
      <w:pPr>
        <w:spacing w:after="120" w:line="230" w:lineRule="exact"/>
        <w:jc w:val="both"/>
        <w:rPr>
          <w:rFonts w:cs="FrankRuehl" w:hint="cs"/>
          <w:sz w:val="20"/>
          <w:szCs w:val="22"/>
          <w:rtl/>
        </w:rPr>
      </w:pPr>
      <w:r>
        <w:rPr>
          <w:rFonts w:cs="FrankRuehl"/>
          <w:sz w:val="20"/>
          <w:szCs w:val="22"/>
          <w:rtl/>
        </w:rPr>
        <w:t xml:space="preserve">עקב </w:t>
      </w:r>
      <w:r>
        <w:rPr>
          <w:rFonts w:cs="FrankRuehl" w:hint="cs"/>
          <w:sz w:val="20"/>
          <w:szCs w:val="22"/>
          <w:rtl/>
        </w:rPr>
        <w:t>ה</w:t>
      </w:r>
      <w:r>
        <w:rPr>
          <w:rFonts w:cs="FrankRuehl"/>
          <w:sz w:val="20"/>
          <w:szCs w:val="22"/>
          <w:rtl/>
        </w:rPr>
        <w:t xml:space="preserve">קיצוצים </w:t>
      </w:r>
      <w:r>
        <w:rPr>
          <w:rFonts w:cs="FrankRuehl" w:hint="cs"/>
          <w:sz w:val="20"/>
          <w:szCs w:val="22"/>
          <w:rtl/>
        </w:rPr>
        <w:t>ה</w:t>
      </w:r>
      <w:r>
        <w:rPr>
          <w:rFonts w:cs="FrankRuehl"/>
          <w:sz w:val="20"/>
          <w:szCs w:val="22"/>
          <w:rtl/>
        </w:rPr>
        <w:t xml:space="preserve">גדולים במענקי </w:t>
      </w:r>
      <w:r>
        <w:rPr>
          <w:rFonts w:cs="FrankRuehl" w:hint="cs"/>
          <w:sz w:val="20"/>
          <w:szCs w:val="22"/>
          <w:rtl/>
        </w:rPr>
        <w:t xml:space="preserve">הממשלה לרשויות המקומיות </w:t>
      </w:r>
      <w:r>
        <w:rPr>
          <w:rFonts w:cs="FrankRuehl"/>
          <w:sz w:val="20"/>
          <w:szCs w:val="22"/>
          <w:rtl/>
        </w:rPr>
        <w:t>ובהשתתפות</w:t>
      </w:r>
      <w:r>
        <w:rPr>
          <w:rFonts w:cs="FrankRuehl" w:hint="cs"/>
          <w:sz w:val="20"/>
          <w:szCs w:val="22"/>
          <w:rtl/>
        </w:rPr>
        <w:t>ה בתקציביהן עלה לדיון ציבורי בשנים האחרונות</w:t>
      </w:r>
      <w:r>
        <w:rPr>
          <w:rFonts w:cs="FrankRuehl" w:hint="cs"/>
          <w:sz w:val="20"/>
          <w:szCs w:val="22"/>
          <w:rtl/>
        </w:rPr>
        <w:t xml:space="preserve"> נושא </w:t>
      </w:r>
      <w:r>
        <w:rPr>
          <w:rFonts w:cs="FrankRuehl"/>
          <w:sz w:val="20"/>
          <w:szCs w:val="22"/>
          <w:rtl/>
        </w:rPr>
        <w:t>חלוקת ההכנסות שמקורן במסים ובהיטלים מקומיים על שימושי קרקע שאינם למגורים, בין רשויות מקומיות</w:t>
      </w:r>
      <w:r>
        <w:rPr>
          <w:rStyle w:val="FootnoteReference"/>
          <w:rFonts w:cs="FrankRuehl"/>
          <w:sz w:val="20"/>
          <w:szCs w:val="22"/>
          <w:rtl/>
        </w:rPr>
        <w:footnoteReference w:id="41"/>
      </w:r>
      <w:r>
        <w:rPr>
          <w:rFonts w:cs="FrankRuehl" w:hint="cs"/>
          <w:sz w:val="20"/>
          <w:szCs w:val="22"/>
          <w:rtl/>
        </w:rPr>
        <w:t>.</w:t>
      </w:r>
      <w:r>
        <w:rPr>
          <w:rFonts w:cs="FrankRuehl"/>
          <w:sz w:val="20"/>
          <w:szCs w:val="22"/>
          <w:rtl/>
        </w:rPr>
        <w:t xml:space="preserve"> </w:t>
      </w:r>
      <w:r>
        <w:rPr>
          <w:rFonts w:cs="FrankRuehl" w:hint="cs"/>
          <w:sz w:val="20"/>
          <w:szCs w:val="22"/>
          <w:rtl/>
        </w:rPr>
        <w:t>העמדות בדיון הציבורי כוללות שתי עמדות קוטביות</w:t>
      </w:r>
      <w:r>
        <w:rPr>
          <w:rStyle w:val="FootnoteReference"/>
          <w:rFonts w:cs="FrankRuehl"/>
          <w:sz w:val="20"/>
          <w:szCs w:val="22"/>
          <w:rtl/>
        </w:rPr>
        <w:footnoteReference w:id="42"/>
      </w:r>
      <w:r>
        <w:rPr>
          <w:rFonts w:cs="FrankRuehl" w:hint="cs"/>
          <w:sz w:val="20"/>
          <w:szCs w:val="22"/>
          <w:rtl/>
        </w:rPr>
        <w:t xml:space="preserve">: האחת </w:t>
      </w:r>
      <w:r>
        <w:rPr>
          <w:rFonts w:cs="FrankRuehl"/>
          <w:sz w:val="20"/>
          <w:szCs w:val="22"/>
          <w:rtl/>
        </w:rPr>
        <w:t xml:space="preserve">שוללת לחלוטין </w:t>
      </w:r>
      <w:r>
        <w:rPr>
          <w:rFonts w:cs="FrankRuehl" w:hint="cs"/>
          <w:sz w:val="20"/>
          <w:szCs w:val="22"/>
          <w:rtl/>
        </w:rPr>
        <w:t xml:space="preserve">יצירת מנגנונים לחלוקה שונה של </w:t>
      </w:r>
      <w:r>
        <w:rPr>
          <w:rFonts w:cs="FrankRuehl"/>
          <w:sz w:val="20"/>
          <w:szCs w:val="22"/>
          <w:rtl/>
        </w:rPr>
        <w:t>ה</w:t>
      </w:r>
      <w:r>
        <w:rPr>
          <w:rFonts w:cs="FrankRuehl" w:hint="cs"/>
          <w:sz w:val="20"/>
          <w:szCs w:val="22"/>
          <w:rtl/>
        </w:rPr>
        <w:t>הכנסות מ</w:t>
      </w:r>
      <w:r>
        <w:rPr>
          <w:rFonts w:cs="FrankRuehl"/>
          <w:sz w:val="20"/>
          <w:szCs w:val="22"/>
          <w:rtl/>
        </w:rPr>
        <w:t xml:space="preserve">ארנונה </w:t>
      </w:r>
      <w:r>
        <w:rPr>
          <w:rFonts w:cs="FrankRuehl" w:hint="cs"/>
          <w:sz w:val="20"/>
          <w:szCs w:val="22"/>
          <w:rtl/>
        </w:rPr>
        <w:t>ו</w:t>
      </w:r>
      <w:r>
        <w:rPr>
          <w:rFonts w:cs="FrankRuehl"/>
          <w:sz w:val="20"/>
          <w:szCs w:val="22"/>
          <w:rtl/>
        </w:rPr>
        <w:t>ההכנסות העצמיות האחרות של הרשויות המקומיו</w:t>
      </w:r>
      <w:r>
        <w:rPr>
          <w:rFonts w:cs="FrankRuehl"/>
          <w:sz w:val="20"/>
          <w:szCs w:val="22"/>
          <w:rtl/>
        </w:rPr>
        <w:t xml:space="preserve">ת </w:t>
      </w:r>
      <w:r>
        <w:rPr>
          <w:rFonts w:cs="FrankRuehl" w:hint="cs"/>
          <w:sz w:val="20"/>
          <w:szCs w:val="22"/>
          <w:rtl/>
        </w:rPr>
        <w:t>ו</w:t>
      </w:r>
      <w:r>
        <w:rPr>
          <w:rFonts w:cs="FrankRuehl"/>
          <w:sz w:val="20"/>
          <w:szCs w:val="22"/>
          <w:rtl/>
        </w:rPr>
        <w:t xml:space="preserve">מטילה על הממשלה את האחריות </w:t>
      </w:r>
      <w:r>
        <w:rPr>
          <w:rFonts w:cs="FrankRuehl" w:hint="cs"/>
          <w:sz w:val="20"/>
          <w:szCs w:val="22"/>
          <w:rtl/>
        </w:rPr>
        <w:t xml:space="preserve">לפתרון בעיית המחסור בהכנסות עצמיות של רשויות מקומיות; והאחרת מצדדת בעשיית </w:t>
      </w:r>
      <w:r>
        <w:rPr>
          <w:rFonts w:cs="FrankRuehl"/>
          <w:sz w:val="20"/>
          <w:szCs w:val="22"/>
          <w:rtl/>
        </w:rPr>
        <w:t>רפורמ</w:t>
      </w:r>
      <w:r>
        <w:rPr>
          <w:rFonts w:cs="FrankRuehl" w:hint="cs"/>
          <w:sz w:val="20"/>
          <w:szCs w:val="22"/>
          <w:rtl/>
        </w:rPr>
        <w:t>ה</w:t>
      </w:r>
      <w:r>
        <w:rPr>
          <w:rFonts w:cs="FrankRuehl"/>
          <w:sz w:val="20"/>
          <w:szCs w:val="22"/>
          <w:rtl/>
        </w:rPr>
        <w:t xml:space="preserve"> כוללנית </w:t>
      </w:r>
      <w:r>
        <w:rPr>
          <w:rFonts w:cs="FrankRuehl" w:hint="cs"/>
          <w:sz w:val="20"/>
          <w:szCs w:val="22"/>
          <w:rtl/>
        </w:rPr>
        <w:t>ב</w:t>
      </w:r>
      <w:r>
        <w:rPr>
          <w:rFonts w:cs="FrankRuehl"/>
          <w:sz w:val="20"/>
          <w:szCs w:val="22"/>
          <w:rtl/>
        </w:rPr>
        <w:t>ארגון השלטון המקומי, כ</w:t>
      </w:r>
      <w:r>
        <w:rPr>
          <w:rFonts w:cs="FrankRuehl" w:hint="cs"/>
          <w:sz w:val="20"/>
          <w:szCs w:val="22"/>
          <w:rtl/>
        </w:rPr>
        <w:t xml:space="preserve">גון קביעה מחודשת של שטחי הרשויות המקומיות </w:t>
      </w:r>
      <w:r>
        <w:rPr>
          <w:rFonts w:cs="FrankRuehl"/>
          <w:sz w:val="20"/>
          <w:szCs w:val="22"/>
          <w:rtl/>
        </w:rPr>
        <w:t xml:space="preserve">או שינוי רדיקלי </w:t>
      </w:r>
      <w:r>
        <w:rPr>
          <w:rFonts w:cs="FrankRuehl" w:hint="cs"/>
          <w:sz w:val="20"/>
          <w:szCs w:val="22"/>
          <w:rtl/>
        </w:rPr>
        <w:t>בדרכי ה</w:t>
      </w:r>
      <w:r>
        <w:rPr>
          <w:rFonts w:cs="FrankRuehl"/>
          <w:sz w:val="20"/>
          <w:szCs w:val="22"/>
          <w:rtl/>
        </w:rPr>
        <w:t xml:space="preserve">מימון </w:t>
      </w:r>
      <w:r>
        <w:rPr>
          <w:rFonts w:cs="FrankRuehl" w:hint="cs"/>
          <w:sz w:val="20"/>
          <w:szCs w:val="22"/>
          <w:rtl/>
        </w:rPr>
        <w:t>של ה</w:t>
      </w:r>
      <w:r>
        <w:rPr>
          <w:rFonts w:cs="FrankRuehl"/>
          <w:sz w:val="20"/>
          <w:szCs w:val="22"/>
          <w:rtl/>
        </w:rPr>
        <w:t>רשויות המקומיות. בין ש</w:t>
      </w:r>
      <w:r>
        <w:rPr>
          <w:rFonts w:cs="FrankRuehl" w:hint="cs"/>
          <w:sz w:val="20"/>
          <w:szCs w:val="22"/>
          <w:rtl/>
        </w:rPr>
        <w:t>ת</w:t>
      </w:r>
      <w:r>
        <w:rPr>
          <w:rFonts w:cs="FrankRuehl"/>
          <w:sz w:val="20"/>
          <w:szCs w:val="22"/>
          <w:rtl/>
        </w:rPr>
        <w:t xml:space="preserve">י </w:t>
      </w:r>
      <w:r>
        <w:rPr>
          <w:rFonts w:cs="FrankRuehl" w:hint="cs"/>
          <w:sz w:val="20"/>
          <w:szCs w:val="22"/>
          <w:rtl/>
        </w:rPr>
        <w:t xml:space="preserve">עמדות </w:t>
      </w:r>
      <w:r>
        <w:rPr>
          <w:rFonts w:cs="FrankRuehl"/>
          <w:sz w:val="20"/>
          <w:szCs w:val="22"/>
          <w:rtl/>
        </w:rPr>
        <w:t>אלה מצוי</w:t>
      </w:r>
      <w:r>
        <w:rPr>
          <w:rFonts w:cs="FrankRuehl"/>
          <w:sz w:val="20"/>
          <w:szCs w:val="22"/>
          <w:rtl/>
        </w:rPr>
        <w:t xml:space="preserve">ות </w:t>
      </w:r>
      <w:r>
        <w:rPr>
          <w:rFonts w:cs="FrankRuehl" w:hint="cs"/>
          <w:sz w:val="20"/>
          <w:szCs w:val="22"/>
          <w:rtl/>
        </w:rPr>
        <w:t xml:space="preserve">עמדות </w:t>
      </w:r>
      <w:r>
        <w:rPr>
          <w:rFonts w:cs="FrankRuehl"/>
          <w:sz w:val="20"/>
          <w:szCs w:val="22"/>
          <w:rtl/>
        </w:rPr>
        <w:t xml:space="preserve">ביניים </w:t>
      </w:r>
      <w:r>
        <w:rPr>
          <w:rFonts w:cs="FrankRuehl" w:hint="cs"/>
          <w:sz w:val="20"/>
          <w:szCs w:val="22"/>
          <w:rtl/>
        </w:rPr>
        <w:t xml:space="preserve">המצדדות ביצירת </w:t>
      </w:r>
      <w:r>
        <w:rPr>
          <w:rFonts w:cs="FrankRuehl"/>
          <w:sz w:val="20"/>
          <w:szCs w:val="22"/>
          <w:rtl/>
        </w:rPr>
        <w:t xml:space="preserve">מנגנונים לניהול משותף של אזורי תעסוקה, </w:t>
      </w:r>
      <w:r>
        <w:rPr>
          <w:rFonts w:cs="FrankRuehl" w:hint="cs"/>
          <w:sz w:val="20"/>
          <w:szCs w:val="22"/>
          <w:rtl/>
        </w:rPr>
        <w:t xml:space="preserve">שינוי מוגבל באופן החלוקה </w:t>
      </w:r>
      <w:r>
        <w:rPr>
          <w:rFonts w:cs="FrankRuehl"/>
          <w:sz w:val="20"/>
          <w:szCs w:val="22"/>
          <w:rtl/>
        </w:rPr>
        <w:t xml:space="preserve">של </w:t>
      </w:r>
      <w:r>
        <w:rPr>
          <w:rFonts w:cs="FrankRuehl" w:hint="cs"/>
          <w:sz w:val="20"/>
          <w:szCs w:val="22"/>
          <w:rtl/>
        </w:rPr>
        <w:t>ה</w:t>
      </w:r>
      <w:r>
        <w:rPr>
          <w:rFonts w:cs="FrankRuehl"/>
          <w:sz w:val="20"/>
          <w:szCs w:val="22"/>
          <w:rtl/>
        </w:rPr>
        <w:t>הכנסות מארנונה וממסים מקומיים אחרים בין רשויות מקומיות סמוכות וביצוע שינויים נקודתיים בגבולות המוניציפליים</w:t>
      </w:r>
      <w:r>
        <w:rPr>
          <w:rFonts w:cs="FrankRuehl" w:hint="cs"/>
          <w:sz w:val="20"/>
          <w:szCs w:val="22"/>
          <w:rtl/>
        </w:rPr>
        <w:t>.</w:t>
      </w:r>
    </w:p>
    <w:p w:rsidR="00000000">
      <w:pPr>
        <w:spacing w:after="120" w:line="230" w:lineRule="exact"/>
        <w:jc w:val="both"/>
        <w:rPr>
          <w:rFonts w:cs="FrankRuehl" w:hint="cs"/>
          <w:b/>
          <w:bCs/>
          <w:sz w:val="20"/>
          <w:szCs w:val="22"/>
          <w:rtl/>
        </w:rPr>
      </w:pPr>
      <w:r>
        <w:rPr>
          <w:rFonts w:cs="FrankRuehl" w:hint="cs"/>
          <w:sz w:val="20"/>
          <w:szCs w:val="22"/>
          <w:rtl/>
        </w:rPr>
        <w:t>2.</w:t>
      </w:r>
      <w:r>
        <w:rPr>
          <w:rFonts w:cs="FrankRuehl" w:hint="cs"/>
          <w:sz w:val="20"/>
          <w:szCs w:val="22"/>
          <w:rtl/>
        </w:rPr>
        <w:tab/>
      </w:r>
      <w:r>
        <w:rPr>
          <w:rFonts w:cs="FrankRuehl"/>
          <w:sz w:val="20"/>
          <w:szCs w:val="22"/>
          <w:rtl/>
        </w:rPr>
        <w:t xml:space="preserve">בשנת 2004 מינה שר הפנים ועדה, </w:t>
      </w:r>
      <w:r>
        <w:rPr>
          <w:rFonts w:cs="FrankRuehl" w:hint="cs"/>
          <w:sz w:val="20"/>
          <w:szCs w:val="22"/>
          <w:rtl/>
        </w:rPr>
        <w:t xml:space="preserve">גם הפעם </w:t>
      </w:r>
      <w:r>
        <w:rPr>
          <w:rFonts w:cs="FrankRuehl"/>
          <w:sz w:val="20"/>
          <w:szCs w:val="22"/>
          <w:rtl/>
        </w:rPr>
        <w:t xml:space="preserve">בראשות </w:t>
      </w:r>
      <w:r>
        <w:rPr>
          <w:rFonts w:cs="FrankRuehl" w:hint="cs"/>
          <w:sz w:val="20"/>
          <w:szCs w:val="22"/>
          <w:rtl/>
        </w:rPr>
        <w:t>מ</w:t>
      </w:r>
      <w:r>
        <w:rPr>
          <w:rFonts w:cs="FrankRuehl" w:hint="cs"/>
          <w:sz w:val="20"/>
          <w:szCs w:val="22"/>
          <w:rtl/>
        </w:rPr>
        <w:t xml:space="preserve">ר </w:t>
      </w:r>
      <w:r>
        <w:rPr>
          <w:rFonts w:cs="FrankRuehl"/>
          <w:sz w:val="20"/>
          <w:szCs w:val="22"/>
          <w:rtl/>
        </w:rPr>
        <w:t>יעקב גדיש</w:t>
      </w:r>
      <w:r>
        <w:rPr>
          <w:rFonts w:cs="FrankRuehl" w:hint="cs"/>
          <w:sz w:val="20"/>
          <w:szCs w:val="22"/>
          <w:rtl/>
        </w:rPr>
        <w:t xml:space="preserve"> ז"ל</w:t>
      </w:r>
      <w:r>
        <w:rPr>
          <w:rFonts w:cs="FrankRuehl"/>
          <w:sz w:val="20"/>
          <w:szCs w:val="22"/>
          <w:rtl/>
        </w:rPr>
        <w:t xml:space="preserve">, לבדיקת אפשרויות לחלוקת ההכנסות מארנונה שאינה למגורים בין הרשויות המקומיות </w:t>
      </w:r>
      <w:r>
        <w:rPr>
          <w:rFonts w:cs="FrankRuehl" w:hint="cs"/>
          <w:sz w:val="20"/>
          <w:szCs w:val="22"/>
          <w:rtl/>
        </w:rPr>
        <w:t xml:space="preserve">בדרך שתביא לצמצום </w:t>
      </w:r>
      <w:r>
        <w:rPr>
          <w:rFonts w:cs="FrankRuehl"/>
          <w:sz w:val="20"/>
          <w:szCs w:val="22"/>
          <w:rtl/>
        </w:rPr>
        <w:t xml:space="preserve">הפערים ביניהן. הוועדה המליצה </w:t>
      </w:r>
      <w:r>
        <w:rPr>
          <w:rFonts w:cs="FrankRuehl" w:hint="cs"/>
          <w:sz w:val="20"/>
          <w:szCs w:val="22"/>
          <w:rtl/>
        </w:rPr>
        <w:t>ל</w:t>
      </w:r>
      <w:r>
        <w:rPr>
          <w:rFonts w:cs="FrankRuehl"/>
          <w:sz w:val="20"/>
          <w:szCs w:val="22"/>
          <w:rtl/>
        </w:rPr>
        <w:t xml:space="preserve">פני שר הפנים </w:t>
      </w:r>
      <w:r>
        <w:rPr>
          <w:rFonts w:cs="FrankRuehl" w:hint="cs"/>
          <w:sz w:val="20"/>
          <w:szCs w:val="22"/>
          <w:rtl/>
        </w:rPr>
        <w:t xml:space="preserve">למסד ולהרחיב </w:t>
      </w:r>
      <w:r>
        <w:rPr>
          <w:rFonts w:cs="FrankRuehl"/>
          <w:sz w:val="20"/>
          <w:szCs w:val="22"/>
          <w:rtl/>
        </w:rPr>
        <w:t xml:space="preserve">הסכמים לניהול משותף של אזורי תעסוקה חדשים וחלוקת ההכנסות מהם </w:t>
      </w:r>
      <w:r>
        <w:rPr>
          <w:rFonts w:cs="FrankRuehl" w:hint="cs"/>
          <w:sz w:val="20"/>
          <w:szCs w:val="22"/>
          <w:rtl/>
        </w:rPr>
        <w:t>ולבחון</w:t>
      </w:r>
      <w:r>
        <w:rPr>
          <w:rFonts w:cs="FrankRuehl"/>
          <w:sz w:val="20"/>
          <w:szCs w:val="22"/>
          <w:rtl/>
        </w:rPr>
        <w:t xml:space="preserve"> </w:t>
      </w:r>
      <w:r>
        <w:rPr>
          <w:rFonts w:cs="FrankRuehl" w:hint="cs"/>
          <w:sz w:val="20"/>
          <w:szCs w:val="22"/>
          <w:rtl/>
        </w:rPr>
        <w:t>את האפשרות לבצע שינויים</w:t>
      </w:r>
      <w:r>
        <w:rPr>
          <w:rFonts w:cs="FrankRuehl" w:hint="cs"/>
          <w:sz w:val="20"/>
          <w:szCs w:val="22"/>
          <w:rtl/>
        </w:rPr>
        <w:t xml:space="preserve"> בדרך החלוקה של ההכנסות מ</w:t>
      </w:r>
      <w:r>
        <w:rPr>
          <w:rFonts w:cs="FrankRuehl"/>
          <w:sz w:val="20"/>
          <w:szCs w:val="22"/>
          <w:rtl/>
        </w:rPr>
        <w:t xml:space="preserve">ארנונה </w:t>
      </w:r>
      <w:r>
        <w:rPr>
          <w:rFonts w:cs="FrankRuehl" w:hint="cs"/>
          <w:sz w:val="20"/>
          <w:szCs w:val="22"/>
          <w:rtl/>
        </w:rPr>
        <w:t xml:space="preserve">על </w:t>
      </w:r>
      <w:r>
        <w:rPr>
          <w:rFonts w:cs="FrankRuehl"/>
          <w:sz w:val="20"/>
          <w:szCs w:val="22"/>
          <w:rtl/>
        </w:rPr>
        <w:t>מתקנים לאומיים</w:t>
      </w:r>
      <w:r>
        <w:rPr>
          <w:rStyle w:val="FootnoteReference"/>
          <w:rFonts w:cs="FrankRuehl"/>
          <w:sz w:val="20"/>
          <w:szCs w:val="22"/>
          <w:rtl/>
        </w:rPr>
        <w:footnoteReference w:id="43"/>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ב</w:t>
      </w:r>
      <w:r>
        <w:rPr>
          <w:rFonts w:cs="FrankRuehl"/>
          <w:sz w:val="20"/>
          <w:szCs w:val="22"/>
          <w:rtl/>
        </w:rPr>
        <w:t xml:space="preserve">יולי 2007 </w:t>
      </w:r>
      <w:r>
        <w:rPr>
          <w:rFonts w:cs="FrankRuehl" w:hint="cs"/>
          <w:sz w:val="20"/>
          <w:szCs w:val="22"/>
          <w:rtl/>
        </w:rPr>
        <w:t xml:space="preserve">הציע משרד האוצר </w:t>
      </w:r>
      <w:r>
        <w:rPr>
          <w:rFonts w:cs="FrankRuehl"/>
          <w:sz w:val="20"/>
          <w:szCs w:val="22"/>
          <w:rtl/>
        </w:rPr>
        <w:t>ל</w:t>
      </w:r>
      <w:r>
        <w:rPr>
          <w:rFonts w:cs="FrankRuehl" w:hint="cs"/>
          <w:sz w:val="20"/>
          <w:szCs w:val="22"/>
          <w:rtl/>
        </w:rPr>
        <w:t xml:space="preserve">עשות </w:t>
      </w:r>
      <w:r>
        <w:rPr>
          <w:rFonts w:cs="FrankRuehl"/>
          <w:sz w:val="20"/>
          <w:szCs w:val="22"/>
          <w:rtl/>
        </w:rPr>
        <w:t xml:space="preserve">שינויים מבניים </w:t>
      </w:r>
      <w:r>
        <w:rPr>
          <w:rFonts w:cs="FrankRuehl" w:hint="cs"/>
          <w:sz w:val="20"/>
          <w:szCs w:val="22"/>
          <w:rtl/>
        </w:rPr>
        <w:t xml:space="preserve">במשק כדי לעודד את </w:t>
      </w:r>
      <w:r>
        <w:rPr>
          <w:rFonts w:cs="FrankRuehl"/>
          <w:sz w:val="20"/>
          <w:szCs w:val="22"/>
          <w:rtl/>
        </w:rPr>
        <w:t xml:space="preserve">הצמיחה בשנת 2008, </w:t>
      </w:r>
      <w:r>
        <w:rPr>
          <w:rFonts w:cs="FrankRuehl" w:hint="cs"/>
          <w:sz w:val="20"/>
          <w:szCs w:val="22"/>
          <w:rtl/>
        </w:rPr>
        <w:t>ו</w:t>
      </w:r>
      <w:r>
        <w:rPr>
          <w:rFonts w:cs="FrankRuehl"/>
          <w:sz w:val="20"/>
          <w:szCs w:val="22"/>
          <w:rtl/>
        </w:rPr>
        <w:t xml:space="preserve">אחד היעדים </w:t>
      </w:r>
      <w:r>
        <w:rPr>
          <w:rFonts w:cs="FrankRuehl" w:hint="cs"/>
          <w:sz w:val="20"/>
          <w:szCs w:val="22"/>
          <w:rtl/>
        </w:rPr>
        <w:t xml:space="preserve">בהצעה זו </w:t>
      </w:r>
      <w:r>
        <w:rPr>
          <w:rFonts w:cs="FrankRuehl"/>
          <w:sz w:val="20"/>
          <w:szCs w:val="22"/>
          <w:rtl/>
        </w:rPr>
        <w:t xml:space="preserve">היה "צמצום פערי ההכנסות בשלטון המקומי". </w:t>
      </w:r>
      <w:r>
        <w:rPr>
          <w:rFonts w:cs="FrankRuehl" w:hint="cs"/>
          <w:sz w:val="20"/>
          <w:szCs w:val="22"/>
          <w:rtl/>
        </w:rPr>
        <w:t xml:space="preserve">בהצעה נאמר כי </w:t>
      </w:r>
      <w:r>
        <w:rPr>
          <w:rFonts w:cs="FrankRuehl"/>
          <w:sz w:val="20"/>
          <w:szCs w:val="22"/>
          <w:rtl/>
        </w:rPr>
        <w:t>"הקצאה בלתי שוויונית של שטחי תעשייה ומסחר אשר</w:t>
      </w:r>
      <w:r>
        <w:rPr>
          <w:rFonts w:cs="FrankRuehl"/>
          <w:sz w:val="20"/>
          <w:szCs w:val="22"/>
          <w:rtl/>
        </w:rPr>
        <w:t xml:space="preserve"> נובעת מאילוצים גיאוגרפיים וגבולות </w:t>
      </w:r>
      <w:r>
        <w:rPr>
          <w:rFonts w:cs="FrankRuehl" w:hint="cs"/>
          <w:sz w:val="20"/>
          <w:szCs w:val="22"/>
          <w:rtl/>
        </w:rPr>
        <w:t>מוניציפליי</w:t>
      </w:r>
      <w:r>
        <w:rPr>
          <w:rFonts w:cs="FrankRuehl" w:hint="eastAsia"/>
          <w:sz w:val="20"/>
          <w:szCs w:val="22"/>
          <w:rtl/>
        </w:rPr>
        <w:t>ם</w:t>
      </w:r>
      <w:r>
        <w:rPr>
          <w:rFonts w:cs="FrankRuehl"/>
          <w:sz w:val="20"/>
          <w:szCs w:val="22"/>
          <w:rtl/>
        </w:rPr>
        <w:t xml:space="preserve"> שנקבעו לפני עשרות שנים גורמת לפערים גדולים בהכנסות העצמיות של הרשויות המקומיות, שמקורן בארנונה שאינה למגורים"</w:t>
      </w:r>
      <w:r>
        <w:rPr>
          <w:rFonts w:cs="FrankRuehl" w:hint="cs"/>
          <w:sz w:val="20"/>
          <w:szCs w:val="22"/>
          <w:rtl/>
        </w:rPr>
        <w:t>;</w:t>
      </w:r>
      <w:r>
        <w:rPr>
          <w:rFonts w:cs="FrankRuehl"/>
          <w:sz w:val="20"/>
          <w:szCs w:val="22"/>
          <w:rtl/>
        </w:rPr>
        <w:t xml:space="preserve"> ו</w:t>
      </w:r>
      <w:r>
        <w:rPr>
          <w:rFonts w:cs="FrankRuehl" w:hint="cs"/>
          <w:sz w:val="20"/>
          <w:szCs w:val="22"/>
          <w:rtl/>
        </w:rPr>
        <w:t xml:space="preserve">כי עקב </w:t>
      </w:r>
      <w:r>
        <w:rPr>
          <w:rFonts w:cs="FrankRuehl"/>
          <w:sz w:val="20"/>
          <w:szCs w:val="22"/>
          <w:rtl/>
        </w:rPr>
        <w:t xml:space="preserve">כך </w:t>
      </w:r>
      <w:r>
        <w:rPr>
          <w:rFonts w:cs="FrankRuehl" w:hint="cs"/>
          <w:sz w:val="20"/>
          <w:szCs w:val="22"/>
          <w:rtl/>
        </w:rPr>
        <w:t xml:space="preserve">שורר </w:t>
      </w:r>
      <w:r>
        <w:rPr>
          <w:rFonts w:cs="FrankRuehl"/>
          <w:sz w:val="20"/>
          <w:szCs w:val="22"/>
          <w:rtl/>
        </w:rPr>
        <w:t xml:space="preserve">מצב של "העדר צדק חלוקתי </w:t>
      </w:r>
      <w:r>
        <w:rPr>
          <w:rFonts w:cs="FrankRuehl" w:hint="cs"/>
          <w:sz w:val="20"/>
          <w:szCs w:val="22"/>
          <w:rtl/>
        </w:rPr>
        <w:t>מוניציפל</w:t>
      </w:r>
      <w:r>
        <w:rPr>
          <w:rFonts w:cs="FrankRuehl" w:hint="eastAsia"/>
          <w:sz w:val="20"/>
          <w:szCs w:val="22"/>
          <w:rtl/>
        </w:rPr>
        <w:t>י</w:t>
      </w:r>
      <w:r>
        <w:rPr>
          <w:rFonts w:cs="FrankRuehl"/>
          <w:sz w:val="20"/>
          <w:szCs w:val="22"/>
          <w:rtl/>
        </w:rPr>
        <w:t>". משרד האוצר הציע להקים קרן ייעודית לחלוקת ההכנס</w:t>
      </w:r>
      <w:r>
        <w:rPr>
          <w:rFonts w:cs="FrankRuehl"/>
          <w:sz w:val="20"/>
          <w:szCs w:val="22"/>
          <w:rtl/>
        </w:rPr>
        <w:t>ות מארנונה שאינה למגורים בין הרשויות המקומיות, ולחלק באמצעותה 20% מהכנסות אל</w:t>
      </w:r>
      <w:r>
        <w:rPr>
          <w:rFonts w:cs="FrankRuehl" w:hint="cs"/>
          <w:sz w:val="20"/>
          <w:szCs w:val="22"/>
          <w:rtl/>
        </w:rPr>
        <w:t>ה</w:t>
      </w:r>
      <w:r>
        <w:rPr>
          <w:rFonts w:cs="FrankRuehl"/>
          <w:sz w:val="20"/>
          <w:szCs w:val="22"/>
          <w:rtl/>
        </w:rPr>
        <w:t xml:space="preserve"> בין הרשויות </w:t>
      </w:r>
      <w:r>
        <w:rPr>
          <w:rFonts w:cs="FrankRuehl" w:hint="cs"/>
          <w:sz w:val="20"/>
          <w:szCs w:val="22"/>
          <w:rtl/>
        </w:rPr>
        <w:t>לפי ה</w:t>
      </w:r>
      <w:r>
        <w:rPr>
          <w:rFonts w:cs="FrankRuehl"/>
          <w:sz w:val="20"/>
          <w:szCs w:val="22"/>
          <w:rtl/>
        </w:rPr>
        <w:t xml:space="preserve">עקרונות </w:t>
      </w:r>
      <w:r>
        <w:rPr>
          <w:rFonts w:cs="FrankRuehl" w:hint="cs"/>
          <w:sz w:val="20"/>
          <w:szCs w:val="22"/>
          <w:rtl/>
        </w:rPr>
        <w:t>ל</w:t>
      </w:r>
      <w:r>
        <w:rPr>
          <w:rFonts w:cs="FrankRuehl"/>
          <w:sz w:val="20"/>
          <w:szCs w:val="22"/>
          <w:rtl/>
        </w:rPr>
        <w:t>הקצאת מענקי האיזון</w:t>
      </w:r>
      <w:r>
        <w:rPr>
          <w:rStyle w:val="FootnoteReference"/>
          <w:rFonts w:cs="FrankRuehl"/>
          <w:sz w:val="20"/>
          <w:szCs w:val="22"/>
          <w:rtl/>
        </w:rPr>
        <w:footnoteReference w:id="44"/>
      </w:r>
      <w:r>
        <w:rPr>
          <w:rFonts w:cs="FrankRuehl" w:hint="cs"/>
          <w:sz w:val="20"/>
          <w:szCs w:val="22"/>
          <w:rtl/>
        </w:rPr>
        <w:t>.</w:t>
      </w:r>
    </w:p>
    <w:p w:rsidR="00000000">
      <w:pPr>
        <w:spacing w:after="240" w:line="230" w:lineRule="exact"/>
        <w:jc w:val="both"/>
        <w:rPr>
          <w:rFonts w:cs="FrankRuehl" w:hint="cs"/>
          <w:sz w:val="20"/>
          <w:szCs w:val="22"/>
          <w:rtl/>
        </w:rPr>
      </w:pPr>
      <w:r>
        <w:rPr>
          <w:rFonts w:cs="FrankRuehl" w:hint="cs"/>
          <w:sz w:val="20"/>
          <w:szCs w:val="22"/>
          <w:rtl/>
        </w:rPr>
        <w:t>3.</w:t>
      </w:r>
      <w:r>
        <w:rPr>
          <w:rFonts w:cs="FrankRuehl" w:hint="cs"/>
          <w:sz w:val="20"/>
          <w:szCs w:val="22"/>
          <w:rtl/>
        </w:rPr>
        <w:tab/>
        <w:t>כאמור, מענק האיזון נועד ליצור "רצפת שירותים" שווה לכל הרשויות המקומיות ובכך לצמצם פערים לא סבירים ביכולתן לספק שירותים ראויים לת</w:t>
      </w:r>
      <w:r>
        <w:rPr>
          <w:rFonts w:cs="FrankRuehl" w:hint="cs"/>
          <w:sz w:val="20"/>
          <w:szCs w:val="22"/>
          <w:rtl/>
        </w:rPr>
        <w:t xml:space="preserve">ושביהן. </w:t>
      </w:r>
    </w:p>
    <w:p w:rsidR="00000000">
      <w:pPr>
        <w:pStyle w:val="RESHET"/>
        <w:rPr>
          <w:rFonts w:hint="cs"/>
          <w:rtl/>
        </w:rPr>
      </w:pPr>
      <w:r>
        <w:rPr>
          <w:rFonts w:hint="cs"/>
          <w:rtl/>
        </w:rPr>
        <w:t>בחינת תרומתם של מענקי האיזון שהוקצו לרשויות המקומיות במשך השנים העלתה שמענקי האיזון אמנם סייעו בצמצום פערי ההכנסות בין הרשויות, אך בשל היקף המענקים והאופן שבו ניתנו הם לא הצליחו להקטין במידה מספקת את הפערים ברמת השירותים שהרשויות מספקות לתושביהן.</w:t>
      </w:r>
    </w:p>
    <w:p w:rsidR="00000000">
      <w:pPr>
        <w:pStyle w:val="RESHET"/>
        <w:rPr>
          <w:rFonts w:hint="cs"/>
          <w:rtl/>
        </w:rPr>
      </w:pPr>
      <w:r>
        <w:rPr>
          <w:rFonts w:hint="cs"/>
          <w:rtl/>
        </w:rPr>
        <w:t>לדעת משרד מבקר המדינה, ראוי אפוא שהגורמים הנוגעים בדבר - משרד הפנים, משרד האוצר וראשי השלטון המקומי - יבחנו מהי הדרך המיטבית להבטיח את יכולתן של רשויות מקומיות לספק לתושביהן שירותים ברמה נאותה - הקצאה הולמת של מענקי איזון או שינוי אופן חלוקתן של ההכנסות מא</w:t>
      </w:r>
      <w:r>
        <w:rPr>
          <w:rFonts w:hint="cs"/>
          <w:rtl/>
        </w:rPr>
        <w:t>רנונה שאינה למגורים.</w:t>
      </w:r>
    </w:p>
    <w:p w:rsidR="00000000">
      <w:pPr>
        <w:spacing w:after="120" w:line="230" w:lineRule="exact"/>
        <w:jc w:val="both"/>
        <w:rPr>
          <w:rFonts w:cs="FrankRuehl"/>
          <w:szCs w:val="22"/>
          <w:rtl/>
        </w:rPr>
      </w:pPr>
      <w:bookmarkEnd w:id="10"/>
    </w:p>
    <w:p w:rsidR="00000000">
      <w:pPr>
        <w:spacing w:after="120" w:line="240" w:lineRule="atLeast"/>
        <w:jc w:val="center"/>
        <w:rPr>
          <w:rFonts w:cs="FrankRuehl" w:hint="cs"/>
          <w:b/>
          <w:bCs/>
          <w:szCs w:val="22"/>
          <w:rtl/>
        </w:rPr>
      </w:pPr>
      <w:r>
        <w:rPr>
          <w:rFonts w:ascii="Monotype Sorts" w:hAnsi="Monotype Sorts"/>
          <w:sz w:val="28"/>
          <w:szCs w:val="28"/>
        </w:rPr>
        <w:sym w:font="Monotype Sorts" w:char="F04F"/>
      </w:r>
    </w:p>
    <w:p w:rsidR="00000000">
      <w:pPr>
        <w:spacing w:after="120" w:line="230" w:lineRule="exact"/>
        <w:jc w:val="both"/>
        <w:rPr>
          <w:rFonts w:cs="FrankRuehl"/>
          <w:szCs w:val="22"/>
          <w:rtl/>
        </w:rPr>
      </w:pPr>
    </w:p>
    <w:p w:rsidR="00000000">
      <w:pPr>
        <w:pStyle w:val="RESHET"/>
        <w:rPr>
          <w:rFonts w:hint="cs"/>
          <w:rtl/>
        </w:rPr>
      </w:pPr>
      <w:r>
        <w:rPr>
          <w:rFonts w:hint="cs"/>
          <w:rtl/>
        </w:rPr>
        <w:t xml:space="preserve">הכנסותיהן של </w:t>
      </w:r>
      <w:r>
        <w:rPr>
          <w:rtl/>
        </w:rPr>
        <w:t>רשויות מקומיות באזורי פריפריה</w:t>
      </w:r>
      <w:r>
        <w:rPr>
          <w:rFonts w:hint="cs"/>
          <w:rtl/>
        </w:rPr>
        <w:t xml:space="preserve"> ובמגזרי המיעוטים מארנונה</w:t>
      </w:r>
      <w:r>
        <w:rPr>
          <w:rtl/>
        </w:rPr>
        <w:t xml:space="preserve"> שאינ</w:t>
      </w:r>
      <w:r>
        <w:rPr>
          <w:rFonts w:hint="cs"/>
          <w:rtl/>
        </w:rPr>
        <w:t>ה</w:t>
      </w:r>
      <w:r>
        <w:rPr>
          <w:rtl/>
        </w:rPr>
        <w:t xml:space="preserve"> למגורים</w:t>
      </w:r>
      <w:r>
        <w:rPr>
          <w:rFonts w:hint="cs"/>
          <w:rtl/>
        </w:rPr>
        <w:t xml:space="preserve"> נמוכות מאוד, ועקב כך יש פערים גדולים בינן ובין הרשויות האחרות בחוסן הכלכלי וביכולת לספק שירותים ראויים לתושבים. לפיכך על הגורמים הנוגעים בדבר - משרד </w:t>
      </w:r>
      <w:r>
        <w:rPr>
          <w:rFonts w:hint="cs"/>
          <w:rtl/>
        </w:rPr>
        <w:t xml:space="preserve">הפנים, משרד האוצר וראשי השלטון המקומי - לבחון דרכים להבטחת יכולתן של הרשויות לספק שירותים אלה, ובכללן את שיטת מענק האיזון. </w:t>
      </w:r>
    </w:p>
    <w:p w:rsidR="00000000">
      <w:pPr>
        <w:pStyle w:val="RESHET"/>
        <w:rPr>
          <w:rFonts w:hint="cs"/>
          <w:highlight w:val="yellow"/>
          <w:rtl/>
        </w:rPr>
      </w:pPr>
      <w:r>
        <w:rPr>
          <w:rFonts w:hint="cs"/>
          <w:rtl/>
        </w:rPr>
        <w:t>כל עוד ממשיכה הממשלה להקצות מענקי איזון לרשויות המקומיות, על המשרד לפעול בהקדם לסגירת הפערים בין מענקי האיזון המוקצים לרשויות במגזרי</w:t>
      </w:r>
      <w:r>
        <w:rPr>
          <w:rFonts w:hint="cs"/>
          <w:rtl/>
        </w:rPr>
        <w:t>ם השונים, כדי להבטיח שכל רשות מקומית תוכל לספק לתושביה שירותים מוניציפליים ברמה נאותה.</w:t>
      </w:r>
    </w:p>
    <w:p w:rsidR="00000000">
      <w:pPr>
        <w:pStyle w:val="RESHET"/>
        <w:rPr>
          <w:rFonts w:hint="cs"/>
          <w:rtl/>
        </w:rPr>
      </w:pPr>
      <w:r>
        <w:rPr>
          <w:rFonts w:hint="cs"/>
          <w:rtl/>
        </w:rPr>
        <w:t xml:space="preserve">משרד הפנים השיב למשרד מבקר המדינה כי הוא "חותר להשגת שיעור הקצאה שווה או קרוב ככל האפשר בין כל הרשויות המקומיות הזכאיות למענק. חתירה זו מתבצעת בהתאם ללוחות הזמנים שקבעה </w:t>
      </w:r>
      <w:r>
        <w:rPr>
          <w:rFonts w:hint="cs"/>
          <w:rtl/>
        </w:rPr>
        <w:t xml:space="preserve">הוועדה [ועדת גדיש], בהתאם למגבלת התקציב, ובהתאם ליכולתה של הרשות להתאים את פעילותה לגובה המענק המופחת". </w:t>
      </w:r>
    </w:p>
    <w:p w:rsidR="00000000">
      <w:pPr>
        <w:pStyle w:val="RESHET"/>
      </w:pPr>
      <w:r>
        <w:rPr>
          <w:rFonts w:hint="cs"/>
          <w:rtl/>
        </w:rPr>
        <w:t>הממצאים שהועלו בדוח זה אכן מצביעים על מגמה של צמצום הפערים בשיעורי ההקצאה בין המגזרים, אך גם על כך שהחלטות שהתקבלו על ידי הגורמים הממשלתיים מאז 1999 בד</w:t>
      </w:r>
      <w:r>
        <w:rPr>
          <w:rFonts w:hint="cs"/>
          <w:rtl/>
        </w:rPr>
        <w:t xml:space="preserve">בר סגירת הפער בין הקצאת מענקי האיזון למגזר היהודי לבין ההקצאה למגזר המיעוטים יושמו באופן חלקי, ונכון לסוף שנת 2007 היו קיימים פערי הקצאה בין המגזרים. לדעת משרד מבקר המדינה על משרד הפנים לעקוב בשנתיים הבאות אחר התפתחות הפערים בין שיעורי ההקצאה בין המגזרים, </w:t>
      </w:r>
      <w:r>
        <w:rPr>
          <w:rFonts w:hint="cs"/>
          <w:rtl/>
        </w:rPr>
        <w:t>ובמידת הצורך לקבל החלטות אשר יבטיחו את סגירת הפער בהקצאת המשאבים עד לתום שנתיים אלו.</w:t>
      </w:r>
    </w:p>
    <w:p w:rsidR="00000000">
      <w:pPr>
        <w:spacing w:after="120" w:line="230" w:lineRule="exact"/>
        <w:jc w:val="both"/>
        <w:rPr>
          <w:rFonts w:cs="FrankRuehl" w:hint="cs"/>
          <w:sz w:val="20"/>
          <w:szCs w:val="22"/>
        </w:rPr>
      </w:pPr>
    </w:p>
    <w:sectPr>
      <w:headerReference w:type="even" r:id="rId6"/>
      <w:headerReference w:type="default" r:id="rId7"/>
      <w:headerReference w:type="first" r:id="rId8"/>
      <w:footnotePr>
        <w:numRestart w:val="eachSect"/>
      </w:footnotePr>
      <w:pgSz w:w="11906" w:h="16838" w:code="9"/>
      <w:pgMar w:top="1758" w:right="2552" w:bottom="4253" w:left="2552" w:header="1247" w:footer="709" w:gutter="0"/>
      <w:pgNumType w:start="985"/>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120"/>
        <w:rPr>
          <w:rFonts w:hint="cs"/>
          <w:sz w:val="16"/>
          <w:szCs w:val="16"/>
          <w:rtl/>
        </w:rPr>
      </w:pPr>
      <w:r>
        <w:rPr>
          <w:rFonts w:hint="cs"/>
          <w:sz w:val="16"/>
          <w:szCs w:val="16"/>
          <w:rtl/>
        </w:rPr>
        <w:t>__________________</w:t>
      </w:r>
    </w:p>
  </w:footnote>
  <w:footnote w:type="continuationSeparator" w:id="1">
    <w:p w:rsidR="00000000">
      <w:pPr>
        <w:spacing w:line="240" w:lineRule="auto"/>
      </w:pPr>
      <w:r>
        <w:continuationSeparator/>
      </w:r>
    </w:p>
  </w:footnote>
  <w:footnote w:id="2">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מענק האיזון הוא ההפרש שבין ההוצאה הנדרשת לרשות המקומית כדי לספק לתושביה רמת שירותים מינימלית (ההוצאה הנורמטיבית) ובין ההכנסה הפוטנציאלית שלה; ההוצאה וההכנסה הללו מחושבו</w:t>
      </w:r>
      <w:r>
        <w:rPr>
          <w:rFonts w:cs="FrankRuehl" w:hint="cs"/>
          <w:sz w:val="18"/>
          <w:rtl/>
        </w:rPr>
        <w:t>ת לכל רשות מקומית לפי נוסחה מסוימת.</w:t>
      </w:r>
    </w:p>
  </w:footnote>
  <w:footnote w:id="3">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שיעור המענק שקבע משרד הפנים לרשות מקומית מתוך המענק שחושב לה על פי הנוסחה שנהגה באותה עת להקצאת מענקי איזון ("נוסחת סוארי"), שהייתה שונה מהשיטה שהונהגה בהמשך.</w:t>
      </w:r>
    </w:p>
  </w:footnote>
  <w:footnote w:id="4">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"שיעור ההקצאה" הוא היחס בין "מענק ההקצאה" - המענק שקובע מ</w:t>
      </w:r>
      <w:r>
        <w:rPr>
          <w:rFonts w:cs="FrankRuehl" w:hint="cs"/>
          <w:sz w:val="18"/>
          <w:rtl/>
        </w:rPr>
        <w:t xml:space="preserve">שרד הפנים בהתחשב, בין היתר, במגבלת התקציב ובין "מענק המודל" - המענק הנגזר מנוסחת גדיש. </w:t>
      </w:r>
    </w:p>
  </w:footnote>
  <w:footnote w:id="5">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הלשכה המרכזית לסטטיסטיקה מדרגת אחת לכמה שנים את הרשויות המקומיות בישראל לפי הרמה החברתית-כלכלית של תושביהן. הדירוג של הרשויות נעשה לפי עשרה אשכולות חברתיים-כלכליים הו</w:t>
      </w:r>
      <w:r>
        <w:rPr>
          <w:rFonts w:cs="FrankRuehl" w:hint="cs"/>
          <w:sz w:val="18"/>
          <w:rtl/>
        </w:rPr>
        <w:t>מוגניים; אשכול 1 כולל את הרשויות המקומיות המדורגות בדירוג החברתי-כלכלי הנמוך ביותר, ואשכול 10 כולל את הרשויות המקומיות המדורגות בדירוג החברתי-כלכלי הגבוה ביותר.</w:t>
      </w:r>
    </w:p>
  </w:footnote>
  <w:footnote w:id="6">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b/>
          <w:bCs/>
          <w:sz w:val="18"/>
          <w:rtl/>
        </w:rPr>
        <w:tab/>
      </w:r>
      <w:r>
        <w:rPr>
          <w:rFonts w:cs="FrankRuehl" w:hint="cs"/>
          <w:sz w:val="18"/>
          <w:rtl/>
        </w:rPr>
        <w:t>ההשוואה נעשתה בין עיריות ומועצות מקומיות המונות עד 50,000 תושבים היות שרוב אוכלוסיית המיעוטים</w:t>
      </w:r>
      <w:r>
        <w:rPr>
          <w:rFonts w:cs="FrankRuehl" w:hint="cs"/>
          <w:sz w:val="18"/>
          <w:rtl/>
        </w:rPr>
        <w:t xml:space="preserve"> מתגוררת ברשויות כאלה.</w:t>
      </w:r>
    </w:p>
  </w:footnote>
  <w:footnote w:id="7">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סך המענקים שהוקצו בכל אחת מהשנים הנדונות (במיליוני ש"ח) היה כדלקמן: בשנת 2004 - 2,047; בשנת 2005 - 2,470; בשנת 2006 - 2,554; ובשנת 2007 - 2,386.</w:t>
      </w:r>
    </w:p>
  </w:footnote>
  <w:footnote w:id="8">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הפער בין שיעורי ההקצאה האמורים בשנת 2004 חושב כך: 13%=76%/(66%-76%), והפער בין שיעור</w:t>
      </w:r>
      <w:r>
        <w:rPr>
          <w:rFonts w:cs="FrankRuehl" w:hint="cs"/>
          <w:sz w:val="18"/>
          <w:rtl/>
        </w:rPr>
        <w:t xml:space="preserve">ים אלה בשנת 2007 חושב כך: 6%=86%/(81%-86%). </w:t>
      </w:r>
    </w:p>
  </w:footnote>
  <w:footnote w:id="9">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ab/>
      </w:r>
      <w:r>
        <w:rPr>
          <w:rFonts w:cs="FrankRuehl" w:hint="cs"/>
          <w:sz w:val="18"/>
          <w:rtl/>
        </w:rPr>
        <w:t>ועדת גדיש הייתה ערה לכך שלגבי חלק מהרשויות המקומיות המעבר לחישוב מענקי האיזון על פי העקרונות שהמליצה עליהם יהיה כרוך בשינויים ניכרים: למקצתן ייקבע מענק גבוה במידה ניכרת מהמענק שנקבע להן קודם לכן; ולמקצתן ייקבע</w:t>
      </w:r>
      <w:r>
        <w:rPr>
          <w:rFonts w:cs="FrankRuehl" w:hint="cs"/>
          <w:sz w:val="18"/>
          <w:rtl/>
        </w:rPr>
        <w:t xml:space="preserve"> מענק נמוך במידה ניכרת מהמענק הקודם. משום כך, ועל מנת לאפשר לרשויות המקומיות להסתגל לשינויים האמורים, המליצה הוועדה כי המלצותיה לחישוב מענקי האיזון ייושמו בהדרגה, במשך תקופת מעבר של שש שנים לכל היותר.</w:t>
      </w:r>
    </w:p>
  </w:footnote>
  <w:footnote w:id="10">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סטיית תקן היא מדד סטטיסטי למידת הפיזור של קבוצת ערכים</w:t>
      </w:r>
      <w:r>
        <w:rPr>
          <w:rFonts w:cs="FrankRuehl" w:hint="cs"/>
          <w:sz w:val="18"/>
          <w:rtl/>
        </w:rPr>
        <w:t xml:space="preserve"> סביב הממוצע שלהם. סטיית תקן גבוהה מצביעה על מידה גדולה של אי-שוויון.</w:t>
      </w:r>
      <w:r>
        <w:rPr>
          <w:rFonts w:cs="FrankRuehl" w:hint="cs"/>
          <w:b/>
          <w:bCs/>
          <w:sz w:val="18"/>
          <w:rtl/>
        </w:rPr>
        <w:t xml:space="preserve"> </w:t>
      </w:r>
    </w:p>
  </w:footnote>
  <w:footnote w:id="11">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ab/>
      </w:r>
      <w:r>
        <w:rPr>
          <w:rFonts w:cs="FrankRuehl" w:hint="cs"/>
          <w:sz w:val="18"/>
          <w:rtl/>
        </w:rPr>
        <w:t>בעניין זה ראו את הפרק "הכנסות מארנונה בגין שימושי קרקע עסקיים במחוז הדרום" ב</w:t>
      </w:r>
      <w:r>
        <w:rPr>
          <w:rFonts w:cs="FrankRuehl" w:hint="cs"/>
          <w:b/>
          <w:bCs/>
          <w:sz w:val="18"/>
          <w:rtl/>
        </w:rPr>
        <w:t xml:space="preserve">דוח שנתי 50ב של מבקר המדינה </w:t>
      </w:r>
      <w:r>
        <w:rPr>
          <w:rFonts w:cs="FrankRuehl" w:hint="cs"/>
          <w:sz w:val="18"/>
          <w:rtl/>
        </w:rPr>
        <w:t xml:space="preserve">(2000), עמ' 25-31. </w:t>
      </w:r>
    </w:p>
  </w:footnote>
  <w:footnote w:id="12">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בדבר אופן החישוב של ההוצאה הנורמטיבית ראו להלן.</w:t>
      </w:r>
    </w:p>
  </w:footnote>
  <w:footnote w:id="13">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ערן רזי</w:t>
      </w:r>
      <w:r>
        <w:rPr>
          <w:rFonts w:cs="FrankRuehl" w:hint="cs"/>
          <w:sz w:val="18"/>
          <w:rtl/>
        </w:rPr>
        <w:t xml:space="preserve">ן, </w:t>
      </w:r>
      <w:r>
        <w:rPr>
          <w:rFonts w:cs="FrankRuehl" w:hint="cs"/>
          <w:b/>
          <w:bCs/>
          <w:sz w:val="18"/>
          <w:rtl/>
        </w:rPr>
        <w:t>פערים בחוסן התקציבי של רשויות מקומיות בישראל 1972-1995</w:t>
      </w:r>
      <w:r>
        <w:rPr>
          <w:rFonts w:cs="FrankRuehl" w:hint="cs"/>
          <w:sz w:val="18"/>
          <w:rtl/>
        </w:rPr>
        <w:t>, מכון פלורסהיימר למחקרי מדיניות, פברואר 1998, עמ' 17.</w:t>
      </w:r>
    </w:p>
  </w:footnote>
  <w:footnote w:id="14">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hint="cs"/>
          <w:sz w:val="18"/>
          <w:rtl/>
        </w:rPr>
        <w:tab/>
        <w:t>ראו את הפרק "המענק לאיזון תקציבי הרשויות המקומיות" ב</w:t>
      </w:r>
      <w:r>
        <w:rPr>
          <w:rFonts w:cs="FrankRuehl" w:hint="cs"/>
          <w:b/>
          <w:bCs/>
          <w:sz w:val="18"/>
          <w:rtl/>
        </w:rPr>
        <w:t xml:space="preserve">דוח שנתי 50ב של מבקר המדינה </w:t>
      </w:r>
      <w:r>
        <w:rPr>
          <w:rFonts w:cs="FrankRuehl"/>
          <w:b/>
          <w:bCs/>
          <w:sz w:val="18"/>
          <w:rtl/>
        </w:rPr>
        <w:br/>
      </w:r>
      <w:r>
        <w:rPr>
          <w:rFonts w:cs="FrankRuehl" w:hint="cs"/>
          <w:b/>
          <w:bCs/>
          <w:sz w:val="18"/>
          <w:rtl/>
        </w:rPr>
        <w:t>(2000)</w:t>
      </w:r>
      <w:r>
        <w:rPr>
          <w:rFonts w:cs="FrankRuehl" w:hint="cs"/>
          <w:sz w:val="18"/>
          <w:rtl/>
        </w:rPr>
        <w:t>, עמ' 498.</w:t>
      </w:r>
    </w:p>
  </w:footnote>
  <w:footnote w:id="15">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שם.</w:t>
      </w:r>
    </w:p>
  </w:footnote>
  <w:footnote w:id="16">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הלשכה המרכזית לסטטיסטיקה עושה בכל כמ</w:t>
      </w:r>
      <w:r>
        <w:rPr>
          <w:rFonts w:cs="FrankRuehl" w:hint="cs"/>
          <w:sz w:val="18"/>
          <w:rtl/>
        </w:rPr>
        <w:t>ה שנים עבור גופים ממשלתיים וציבוריים אחדים (בהם משרד הפנים, משרד הבינוי והשיכון והסוכנות היהודית) מחקר לאפיון ודירוג של הרשויות המקומיות בישראל לפי הרמה החברתית-כלכלית של תושביהן. המחקר מציג מדד המסכם מכלול של נתונים חברתיים-כלכליים ומדרג את הרשויות לפי עש</w:t>
      </w:r>
      <w:r>
        <w:rPr>
          <w:rFonts w:cs="FrankRuehl" w:hint="cs"/>
          <w:sz w:val="18"/>
          <w:rtl/>
        </w:rPr>
        <w:t>רה אשכולות חברתיים-כלכליים הומוגניים. אשכול 1 כולל את הרשויות המקומיות המשתייכות לדירוג החברתי-כלכלי הנמוך ביותר, ואשכול 10 כולל את הרשויות המקומיות המשתייכות לדירוג החברתי-כלכלי הגבוה ביותר.</w:t>
      </w:r>
    </w:p>
  </w:footnote>
  <w:footnote w:id="17">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ההבדלים במספר הרשויות המקומיות בשנים הנדונות נובעים מאיחודן של</w:t>
      </w:r>
      <w:r>
        <w:rPr>
          <w:rFonts w:cs="FrankRuehl" w:hint="cs"/>
          <w:sz w:val="18"/>
          <w:rtl/>
        </w:rPr>
        <w:t xml:space="preserve"> רשויות מקומיות. </w:t>
      </w:r>
    </w:p>
  </w:footnote>
  <w:footnote w:id="18">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לפי</w:t>
      </w:r>
      <w:r>
        <w:rPr>
          <w:rFonts w:cs="FrankRuehl" w:hint="cs"/>
          <w:b/>
          <w:bCs/>
          <w:sz w:val="18"/>
          <w:rtl/>
        </w:rPr>
        <w:t xml:space="preserve"> דוח נתונים כספיים מבוקרים - רשויות מקומיות לשנת 2003</w:t>
      </w:r>
      <w:r>
        <w:rPr>
          <w:rFonts w:cs="FrankRuehl" w:hint="cs"/>
          <w:sz w:val="18"/>
          <w:rtl/>
        </w:rPr>
        <w:t>, האגף לביקורת ברשויות המקומיות, משרד הפנים.</w:t>
      </w:r>
    </w:p>
  </w:footnote>
  <w:footnote w:id="19">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ההוצאה הנדרשת לרשות המקומית על מנת שתוכל לספק לתושביה שירותים מוניציפליים ברמה מינימלית נאותה.</w:t>
      </w:r>
    </w:p>
  </w:footnote>
  <w:footnote w:id="20">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סך ההכנסות שהרשות המקומית יכולה להגי</w:t>
      </w:r>
      <w:r>
        <w:rPr>
          <w:rFonts w:cs="FrankRuehl" w:hint="cs"/>
          <w:sz w:val="18"/>
          <w:rtl/>
        </w:rPr>
        <w:t>ע אליהן.</w:t>
      </w:r>
    </w:p>
  </w:footnote>
  <w:footnote w:id="21">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ab/>
      </w:r>
      <w:r>
        <w:rPr>
          <w:rFonts w:cs="FrankRuehl" w:hint="cs"/>
          <w:sz w:val="18"/>
          <w:rtl/>
        </w:rPr>
        <w:t>מענק המודל של רשות מקומית הוא ההפרש בין ההוצאה המינימלית הנדרשת לה להספקת השירותים המוניציפליים לבין הכנסתה הפוטנציאלית, בתוספת הוצאותיה על תשלומי פנסיה ופירעו</w:t>
      </w:r>
      <w:r>
        <w:rPr>
          <w:rFonts w:cs="FrankRuehl" w:hint="eastAsia"/>
          <w:sz w:val="18"/>
          <w:rtl/>
        </w:rPr>
        <w:t>ן</w:t>
      </w:r>
      <w:r>
        <w:rPr>
          <w:rFonts w:cs="FrankRuehl" w:hint="cs"/>
          <w:sz w:val="18"/>
          <w:rtl/>
        </w:rPr>
        <w:t xml:space="preserve"> מלוות, המוכרות לצורך חישוב מענק המודל. אם מענק המודל חיובי, הרשות זכאית לקבל מענק אי</w:t>
      </w:r>
      <w:r>
        <w:rPr>
          <w:rFonts w:cs="FrankRuehl" w:hint="cs"/>
          <w:sz w:val="18"/>
          <w:rtl/>
        </w:rPr>
        <w:t>זון; ואם מענק המודל שלילי, היא אינה זכאית לקבל מענק איזון. על פי נוסחת גדיש, לצורך חישוב מענק המודל מחושבות לכל רשות מקומית ההוצאה המינימלית שלה והכנסתה הפוטנציאלית; וההפרש ביניהן הוא הבסיס למענק המודל. ההוצאה המינימלית נקבעת באמצעות נוסחה המביאה בחשבון את</w:t>
      </w:r>
      <w:r>
        <w:rPr>
          <w:rFonts w:cs="FrankRuehl" w:hint="cs"/>
          <w:sz w:val="18"/>
          <w:rtl/>
        </w:rPr>
        <w:t xml:space="preserve"> סוג היישוב (עירייה, מועצה מקומית או מועצה אזורית); גודלו (ככל שמספר התושבים ביישוב יהיה קטן יותר, כך יגדל המענק לנפש שיוקצה לו); דירוגו החברתי-כלכלי; הרכב הגילים באוכלוסייתו (ככל ששיעור התושבים בני 18 ומטה באוכלוסיית היישוב גבוה יותר, כך גדלות הוצאותיו על</w:t>
      </w:r>
      <w:r>
        <w:rPr>
          <w:rFonts w:cs="FrankRuehl" w:hint="cs"/>
          <w:sz w:val="18"/>
          <w:rtl/>
        </w:rPr>
        <w:t xml:space="preserve"> חינוך, וככל ששיעור התושבים בני יותר מ-65 באוכלוסייתו גבוה יותר, כך גדלות הוצאותיו על רווחה) ומיקומו באזור עדיפות לאומית. המקדם בגין אזור עדיפות לאומית הוצא מהנוסחה להקצאת מענק האיזון לשנת 2007 בעקבות פסק דין של בג"ץ שניתן ב-27.2.06 (בג"ץ 11163/03 </w:t>
      </w:r>
      <w:r>
        <w:rPr>
          <w:rFonts w:cs="FrankRuehl" w:hint="cs"/>
          <w:b/>
          <w:bCs/>
          <w:sz w:val="18"/>
          <w:rtl/>
        </w:rPr>
        <w:t>ועדת המע</w:t>
      </w:r>
      <w:r>
        <w:rPr>
          <w:rFonts w:cs="FrankRuehl" w:hint="cs"/>
          <w:b/>
          <w:bCs/>
          <w:sz w:val="18"/>
          <w:rtl/>
        </w:rPr>
        <w:t>קב העליונה לענייני הערבים בישראל ואח'</w:t>
      </w:r>
      <w:r>
        <w:rPr>
          <w:rFonts w:cs="FrankRuehl" w:hint="cs"/>
          <w:sz w:val="18"/>
          <w:rtl/>
        </w:rPr>
        <w:t xml:space="preserve"> </w:t>
      </w:r>
      <w:r>
        <w:rPr>
          <w:rFonts w:cs="FrankRuehl" w:hint="cs"/>
          <w:b/>
          <w:bCs/>
          <w:sz w:val="18"/>
          <w:rtl/>
        </w:rPr>
        <w:t>נ'</w:t>
      </w:r>
      <w:r>
        <w:rPr>
          <w:rFonts w:cs="FrankRuehl" w:hint="cs"/>
          <w:sz w:val="18"/>
          <w:rtl/>
        </w:rPr>
        <w:t xml:space="preserve"> </w:t>
      </w:r>
      <w:r>
        <w:rPr>
          <w:rFonts w:cs="FrankRuehl" w:hint="cs"/>
          <w:b/>
          <w:bCs/>
          <w:sz w:val="18"/>
          <w:rtl/>
        </w:rPr>
        <w:t>ראש ממשלת ישראל</w:t>
      </w:r>
      <w:r>
        <w:rPr>
          <w:rFonts w:cs="FrankRuehl" w:hint="cs"/>
          <w:sz w:val="18"/>
          <w:rtl/>
        </w:rPr>
        <w:t xml:space="preserve"> [פורסם בתקדין]. ההכנסה הפוטנציאלית כוללת את ההכנסות מארנונה למגורים ומארנונה על נכסים אחרים, הכנסות עצמיות אחרות והכנסות ממשרדי ממשלה ייעודיים, ובקביעתה מובאים בחשבון מצבה החברתי-כלכלי של הרשות המקומ</w:t>
      </w:r>
      <w:r>
        <w:rPr>
          <w:rFonts w:cs="FrankRuehl" w:hint="cs"/>
          <w:sz w:val="18"/>
          <w:rtl/>
        </w:rPr>
        <w:t xml:space="preserve">ית ומעמדה כקולטת עלייה. </w:t>
      </w:r>
    </w:p>
  </w:footnote>
  <w:footnote w:id="22">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 xml:space="preserve">סכום המענק המוקצה שונה במעט מסכום המענק שאושר משום שהמשרד שומר חלק ממנו כרזרבה לעדכונים ולתיקונים במהלך השנה. </w:t>
      </w:r>
    </w:p>
  </w:footnote>
  <w:footnote w:id="23">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הנתונים הכספיים בדוח זה הם במחירים שוטפים, אלא אם כן צוין אחרת.</w:t>
      </w:r>
    </w:p>
  </w:footnote>
  <w:footnote w:id="24">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 xml:space="preserve">בג"ץ 11020/05, </w:t>
      </w:r>
      <w:r>
        <w:rPr>
          <w:rFonts w:cs="FrankRuehl" w:hint="cs"/>
          <w:b/>
          <w:bCs/>
          <w:sz w:val="18"/>
          <w:rtl/>
        </w:rPr>
        <w:t>פנים להתחדשות יהודית בישראל ואח' נ'</w:t>
      </w:r>
      <w:r>
        <w:rPr>
          <w:rFonts w:cs="FrankRuehl" w:hint="cs"/>
          <w:b/>
          <w:bCs/>
          <w:sz w:val="18"/>
          <w:rtl/>
        </w:rPr>
        <w:t xml:space="preserve"> שרת החינוך התרבות והספורט ואח' </w:t>
      </w:r>
      <w:r>
        <w:rPr>
          <w:rFonts w:cs="FrankRuehl" w:hint="cs"/>
          <w:sz w:val="18"/>
          <w:rtl/>
        </w:rPr>
        <w:t>[פורסם בתקדין].</w:t>
      </w:r>
    </w:p>
  </w:footnote>
  <w:footnote w:id="25">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ab/>
      </w:r>
      <w:r>
        <w:rPr>
          <w:rFonts w:cs="FrankRuehl" w:hint="cs"/>
          <w:sz w:val="18"/>
          <w:rtl/>
        </w:rPr>
        <w:t xml:space="preserve">הלשכה המרכזית לסטטיסטיקה טרם קבעה דרוג חברתי-כלכלי למועצה האזורית אבו-בסמה, שהוקמה בשנת 2005 ומאגדת שבעה כפרים בדואים (אשר עד להקמת מועצה זו היו בלתי מוכרים). </w:t>
      </w:r>
    </w:p>
  </w:footnote>
  <w:footnote w:id="26">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 xml:space="preserve">ערן רזין, </w:t>
      </w:r>
      <w:r>
        <w:rPr>
          <w:rFonts w:cs="FrankRuehl" w:hint="cs"/>
          <w:b/>
          <w:bCs/>
          <w:sz w:val="18"/>
          <w:rtl/>
        </w:rPr>
        <w:t>פערים בחוסן התקציבי של רשויות מקומ</w:t>
      </w:r>
      <w:r>
        <w:rPr>
          <w:rFonts w:cs="FrankRuehl" w:hint="cs"/>
          <w:b/>
          <w:bCs/>
          <w:sz w:val="18"/>
          <w:rtl/>
        </w:rPr>
        <w:t>יות בישראל 1972-1995</w:t>
      </w:r>
      <w:r>
        <w:rPr>
          <w:rFonts w:cs="FrankRuehl" w:hint="cs"/>
          <w:sz w:val="18"/>
          <w:rtl/>
        </w:rPr>
        <w:t>, מכון פלורסהיימר למחקרי מדיניות, פברואר 1998, עמ' 37.</w:t>
      </w:r>
    </w:p>
  </w:footnote>
  <w:footnote w:id="27">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 xml:space="preserve">ערן רזין, </w:t>
      </w:r>
      <w:r>
        <w:rPr>
          <w:rFonts w:cs="FrankRuehl" w:hint="cs"/>
          <w:b/>
          <w:bCs/>
          <w:sz w:val="18"/>
          <w:rtl/>
        </w:rPr>
        <w:t>פערים תקציביים בין רשויות מקומיות ערביות ליהודיות - האם מצטמצם הפער?</w:t>
      </w:r>
      <w:r>
        <w:rPr>
          <w:rFonts w:cs="FrankRuehl" w:hint="cs"/>
          <w:sz w:val="18"/>
          <w:rtl/>
        </w:rPr>
        <w:t xml:space="preserve">, מכון פלורסהיימר למחקרי מדיניות, דצמבר 1999, עמ' 9-11; ערן רזין, </w:t>
      </w:r>
      <w:r>
        <w:rPr>
          <w:rFonts w:cs="FrankRuehl" w:hint="cs"/>
          <w:b/>
          <w:bCs/>
          <w:sz w:val="18"/>
          <w:rtl/>
        </w:rPr>
        <w:t>פערים בחוסן התקציבי של רשויות מקומי</w:t>
      </w:r>
      <w:r>
        <w:rPr>
          <w:rFonts w:cs="FrankRuehl" w:hint="cs"/>
          <w:b/>
          <w:bCs/>
          <w:sz w:val="18"/>
          <w:rtl/>
        </w:rPr>
        <w:t>ות בישראל בשנת 2000 - יציבות ותמורה בתקופה של תהפוכות פוליטיות</w:t>
      </w:r>
      <w:r>
        <w:rPr>
          <w:rFonts w:cs="FrankRuehl" w:hint="cs"/>
          <w:sz w:val="18"/>
          <w:rtl/>
        </w:rPr>
        <w:t>, מכון פלורסהיימר למחקרי מדיניות, יולי 2002, עמ' 12.</w:t>
      </w:r>
    </w:p>
  </w:footnote>
  <w:footnote w:id="28">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היות שבשנים 2000-2003 הוקצו מענקי האיזון על פי נוסחת מעבר, ולא לפי נוסחת ועדת סוארי, השוואה בין שיעורי ההקצאה לרשויות, בהתאם להסכם, הייתה ל</w:t>
      </w:r>
      <w:r>
        <w:rPr>
          <w:rFonts w:cs="FrankRuehl" w:hint="cs"/>
          <w:sz w:val="18"/>
          <w:rtl/>
        </w:rPr>
        <w:t>א רלוונטית באותן שנים.</w:t>
      </w:r>
    </w:p>
  </w:footnote>
  <w:footnote w:id="29">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 xml:space="preserve">בג"ץ 6223/01, </w:t>
      </w:r>
      <w:r>
        <w:rPr>
          <w:rFonts w:cs="FrankRuehl" w:hint="cs"/>
          <w:b/>
          <w:bCs/>
          <w:sz w:val="18"/>
          <w:rtl/>
        </w:rPr>
        <w:t>הוועד הארצי של ראשי הרשויות הערביות בישראל, עיריית נצרת, עדאללה (המרכז המשפטי לזכויות המיעוט הערבי בישראל) נ'</w:t>
      </w:r>
      <w:r>
        <w:rPr>
          <w:rFonts w:cs="FrankRuehl" w:hint="cs"/>
          <w:sz w:val="18"/>
          <w:rtl/>
        </w:rPr>
        <w:t xml:space="preserve"> </w:t>
      </w:r>
      <w:r>
        <w:rPr>
          <w:rFonts w:cs="FrankRuehl" w:hint="cs"/>
          <w:b/>
          <w:bCs/>
          <w:sz w:val="18"/>
          <w:rtl/>
        </w:rPr>
        <w:t>משרד הפנים, שר האוצר וראש הממשלה</w:t>
      </w:r>
      <w:r>
        <w:rPr>
          <w:rFonts w:cs="FrankRuehl" w:hint="cs"/>
          <w:sz w:val="18"/>
          <w:rtl/>
        </w:rPr>
        <w:t>.</w:t>
      </w:r>
    </w:p>
  </w:footnote>
  <w:footnote w:id="30">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לפי מכתב מינואר 2007 בנושא "בג"ץ 6223/01 הועד הארצי של ראשי הרשויות הער</w:t>
      </w:r>
      <w:r>
        <w:rPr>
          <w:rFonts w:cs="FrankRuehl" w:hint="cs"/>
          <w:sz w:val="18"/>
          <w:rtl/>
        </w:rPr>
        <w:t>ביות בישראל נ' משרד הפנים", ששלחה הממונה על העניינים המינהליים בפרקליטות המדינה למנכ"ל משרד הפנים.</w:t>
      </w:r>
    </w:p>
  </w:footnote>
  <w:footnote w:id="31">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hint="cs"/>
          <w:sz w:val="18"/>
          <w:rtl/>
        </w:rPr>
        <w:tab/>
        <w:t>ההשוואה נעשתה בין רשויות מקומיות המונות עד 50,000 תושבים, היות שרוב אוכלוסיית המיעוטים מתגוררת ברשויות כאלה (למעט העיר נצרת ויישובים קטנים במועצות אזוריות)</w:t>
      </w:r>
      <w:r>
        <w:rPr>
          <w:rFonts w:cs="FrankRuehl" w:hint="cs"/>
          <w:sz w:val="18"/>
          <w:rtl/>
        </w:rPr>
        <w:t>.</w:t>
      </w:r>
    </w:p>
  </w:footnote>
  <w:footnote w:id="32">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יישובים שאוכלוסייתם מעורבת לא נכללו בבדיקה זו.</w:t>
      </w:r>
    </w:p>
  </w:footnote>
  <w:footnote w:id="33">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הפער בין שיעורי ההקצאה האמורים בשנת 2004 חושב כך: 8.5%=71%/(65%-71%), ובאופן זה חושבו גם הפערים בין שיעורים אלה שצוינו בהמשך הדוח.</w:t>
      </w:r>
    </w:p>
  </w:footnote>
  <w:footnote w:id="34">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הפער המצטבר המחושב הוא סכום הפערים הכספיים השנתיים: הפער שבין שיעור הה</w:t>
      </w:r>
      <w:r>
        <w:rPr>
          <w:rFonts w:cs="FrankRuehl" w:hint="cs"/>
          <w:sz w:val="18"/>
          <w:rtl/>
        </w:rPr>
        <w:t>קצאה הממוצע למגזרי המיעוטים ובין שיעור ההקצאה הממוצע למגזר היהודי ביישובים שאוכלוסייתם מונה עד 50,000 תושבים באשכולות 1-4, כפול סכום מענק המודל הכולל שנקבע למגזרי המיעוטים ביישובים אלו בכל שנה.</w:t>
      </w:r>
    </w:p>
  </w:footnote>
  <w:footnote w:id="35">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סטיית תקן היא מדד סטטיסטי למידת הפיזור של קבוצת ערכים סביב ה</w:t>
      </w:r>
      <w:r>
        <w:rPr>
          <w:rFonts w:cs="FrankRuehl" w:hint="cs"/>
          <w:sz w:val="18"/>
          <w:rtl/>
        </w:rPr>
        <w:t>ממוצע שלהם.</w:t>
      </w:r>
      <w:r>
        <w:rPr>
          <w:rFonts w:cs="FrankRuehl" w:hint="cs"/>
          <w:b/>
          <w:bCs/>
          <w:sz w:val="18"/>
          <w:rtl/>
        </w:rPr>
        <w:t xml:space="preserve"> </w:t>
      </w:r>
      <w:r>
        <w:rPr>
          <w:rFonts w:cs="FrankRuehl" w:hint="cs"/>
          <w:sz w:val="18"/>
          <w:rtl/>
        </w:rPr>
        <w:t>סטיית תקן גבוהה מצביעה על מידה גדולה של אי-שוויון. משרד מבקר המדינה חישב את סטיית התקן של שיעורי ההקצאה לכל הרשויות המקומיות הזכאיות למענק איזון. היות שבכל שנה נקבעים לכמה רשויות שיעורי הקצאה גדולים מאוד, והדבר עלול לגרום לעיוות בחישוב סטיית הת</w:t>
      </w:r>
      <w:r>
        <w:rPr>
          <w:rFonts w:cs="FrankRuehl" w:hint="cs"/>
          <w:sz w:val="18"/>
          <w:rtl/>
        </w:rPr>
        <w:t>קן, הובאו בחשבון בחישוב זה, כדי למנוע את העיוות, שיעורי הקצאה של 150% לרשויות אלה (בשנת 2004 היו 14 רשויות כאלה; בשנת 2005 - 11; ובשנים 2006 ו-2007 - שש רשויות).</w:t>
      </w:r>
    </w:p>
  </w:footnote>
  <w:footnote w:id="36">
    <w:p w:rsidR="00000000">
      <w:pPr>
        <w:pStyle w:val="FootnoteText"/>
        <w:keepLines/>
        <w:widowControl/>
        <w:spacing w:line="200" w:lineRule="exact"/>
        <w:ind w:left="397" w:hanging="397"/>
        <w:rPr>
          <w:rStyle w:val="1"/>
          <w:rFonts w:cs="FrankRuehl" w:hint="cs"/>
          <w:sz w:val="18"/>
        </w:rPr>
      </w:pPr>
      <w:r>
        <w:rPr>
          <w:rStyle w:val="FootnoteReference"/>
          <w:rFonts w:ascii="FrankRuehl" w:hAnsi="FrankRuehl" w:cs="FrankRuehl"/>
          <w:vertAlign w:val="baseline"/>
        </w:rPr>
        <w:footnoteRef/>
      </w:r>
      <w:r>
        <w:rPr>
          <w:rFonts w:cs="FrankRuehl"/>
          <w:sz w:val="18"/>
          <w:rtl/>
        </w:rPr>
        <w:tab/>
      </w:r>
      <w:r>
        <w:rPr>
          <w:rStyle w:val="1"/>
          <w:rFonts w:cs="FrankRuehl" w:hint="cs"/>
          <w:sz w:val="18"/>
          <w:rtl/>
        </w:rPr>
        <w:t>כאמור, ועדת גדיש קבעה שרשות מקומית הזכאית לקבל על פי נוסחת גדיש מענק נמוך מהמענק שקיבלה לפני</w:t>
      </w:r>
      <w:r>
        <w:rPr>
          <w:rStyle w:val="1"/>
          <w:rFonts w:cs="FrankRuehl" w:hint="cs"/>
          <w:sz w:val="18"/>
          <w:rtl/>
        </w:rPr>
        <w:t xml:space="preserve"> יישום המלצותיה, המענק שתקבל יופחת בהדרגה בשיעורים מסוימים במשך תקופת מעבר של שש שנים, באופן שבתום תקופה זו הוא ישתווה למענק שהיא זכאית לו על פי הנוסחה. עוד קבעה הוועדה שמענק האיזון שיינתן לרשות כזאת המבצעת תכנית הבראה יופחת בהתאם ליכולתה, לפי שיקול דעתו ש</w:t>
      </w:r>
      <w:r>
        <w:rPr>
          <w:rStyle w:val="1"/>
          <w:rFonts w:cs="FrankRuehl" w:hint="cs"/>
          <w:sz w:val="18"/>
          <w:rtl/>
        </w:rPr>
        <w:t xml:space="preserve">ל שר הפנים, ובלבד שבתום שש שנים ישתווה למענק שהיא זכאית לו על פי הנוסחה. משמעות הדבר היא ששר הפנים יוכל להחליט, על פי שיקול דעתו, אם ליישם את כללי ההפחתה האלה גם לגבי הרשויות הלא זכאיות המבצעות תכנית הבראה, אולם בתום שש שנים הן אינן אמורות לקבל מענק איזון </w:t>
      </w:r>
      <w:r>
        <w:rPr>
          <w:rStyle w:val="1"/>
          <w:rFonts w:cs="FrankRuehl" w:hint="cs"/>
          <w:sz w:val="18"/>
          <w:rtl/>
        </w:rPr>
        <w:t xml:space="preserve">כלל. </w:t>
      </w:r>
    </w:p>
  </w:footnote>
  <w:footnote w:id="37">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סכום זה אינו כולל סכומים שקיבלו רשויות מקומיות לא זכאיות שמבצעות תכניות הבראה ואת ירושלים: ירושלים קיבלה מענק איזון בשנים 2004-2006 אף שהיא לא הייתה זכאית לקבלו לפי נוסחת גדיש; ועדת גדיש ציינה בנספח להמלצותיה כי מצבה וצרכיה המיוחדים של ירושלים לא ב</w:t>
      </w:r>
      <w:r>
        <w:rPr>
          <w:rFonts w:cs="FrankRuehl" w:hint="cs"/>
          <w:sz w:val="18"/>
          <w:rtl/>
        </w:rPr>
        <w:t>או לידי ביטוי בנוסחה, ולכן היא ממליצה לתת לה את המענק. לפיכך הסכום האמור הוא סכום היתר הכולל שניתן ל-21 מ-28 רשויות לא זכאיות שקיבלו מענק בשנת 2004; ל-19 מ-28 רשויות לא זכאיות שקיבלו מענק בשנת 2005; ל-22 מ-30 רשויות לא זכאיות שקיבלו מענק בשנת 2006; ול-23 מ</w:t>
      </w:r>
      <w:r>
        <w:rPr>
          <w:rFonts w:cs="FrankRuehl" w:hint="cs"/>
          <w:sz w:val="18"/>
          <w:rtl/>
        </w:rPr>
        <w:t>-30 רשויות לא זכאיות שקיבלו מענק בשנת 2007.</w:t>
      </w:r>
    </w:p>
  </w:footnote>
  <w:footnote w:id="38">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hint="cs"/>
          <w:sz w:val="18"/>
          <w:rtl/>
        </w:rPr>
        <w:tab/>
        <w:t>ערן רזין ואנה חזן,</w:t>
      </w:r>
      <w:r>
        <w:rPr>
          <w:rFonts w:cs="FrankRuehl" w:hint="cs"/>
          <w:b/>
          <w:bCs/>
          <w:sz w:val="18"/>
          <w:rtl/>
        </w:rPr>
        <w:t xml:space="preserve"> חלוקת העושר המוניציפלי בישראל - צמצום פערים בהכנסות הרשויות המקומיות,</w:t>
      </w:r>
      <w:r>
        <w:rPr>
          <w:rFonts w:cs="FrankRuehl" w:hint="cs"/>
          <w:sz w:val="18"/>
          <w:rtl/>
        </w:rPr>
        <w:t xml:space="preserve"> מכון פלורסהיימר למחקרי מדיניות, ינואר 2006, עמ' 20.</w:t>
      </w:r>
    </w:p>
  </w:footnote>
  <w:footnote w:id="39">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ab/>
      </w:r>
      <w:r>
        <w:rPr>
          <w:rFonts w:cs="FrankRuehl" w:hint="cs"/>
          <w:sz w:val="18"/>
          <w:rtl/>
        </w:rPr>
        <w:t>ראו את הפרק "הכנסות מארנונה בגין שימושי קרקע עסקיים במחוז הדרום" ב</w:t>
      </w:r>
      <w:r>
        <w:rPr>
          <w:rFonts w:cs="FrankRuehl" w:hint="cs"/>
          <w:b/>
          <w:bCs/>
          <w:sz w:val="18"/>
          <w:rtl/>
        </w:rPr>
        <w:t>ד</w:t>
      </w:r>
      <w:r>
        <w:rPr>
          <w:rFonts w:cs="FrankRuehl" w:hint="cs"/>
          <w:b/>
          <w:bCs/>
          <w:sz w:val="18"/>
          <w:rtl/>
        </w:rPr>
        <w:t>וח שנתי 50ב של מבקר המדינה (2000)</w:t>
      </w:r>
      <w:r>
        <w:rPr>
          <w:rFonts w:cs="FrankRuehl" w:hint="cs"/>
          <w:sz w:val="18"/>
          <w:rtl/>
        </w:rPr>
        <w:t>, עמ' 25-31.</w:t>
      </w:r>
    </w:p>
  </w:footnote>
  <w:footnote w:id="40">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 xml:space="preserve">ערן רזין ואנה חזן, </w:t>
      </w:r>
      <w:r>
        <w:rPr>
          <w:rFonts w:cs="FrankRuehl" w:hint="cs"/>
          <w:b/>
          <w:bCs/>
          <w:sz w:val="18"/>
          <w:rtl/>
        </w:rPr>
        <w:t>חלוקת העושר המוניציפלי בישראל - צמצום פערים בהכנסות הרשויות המקומיות,</w:t>
      </w:r>
      <w:r>
        <w:rPr>
          <w:rFonts w:cs="FrankRuehl" w:hint="cs"/>
          <w:sz w:val="18"/>
          <w:rtl/>
        </w:rPr>
        <w:t xml:space="preserve"> מכון פלורסהיימר למחקרי מדיניות, ינואר 2006, עמ' 26.</w:t>
      </w:r>
    </w:p>
  </w:footnote>
  <w:footnote w:id="41">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שם, עמ' 17.</w:t>
      </w:r>
    </w:p>
  </w:footnote>
  <w:footnote w:id="42">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ab/>
        <w:t xml:space="preserve">ערן רזין (עורך), </w:t>
      </w:r>
      <w:r>
        <w:rPr>
          <w:rFonts w:cs="FrankRuehl" w:hint="cs"/>
          <w:b/>
          <w:bCs/>
          <w:sz w:val="18"/>
          <w:rtl/>
        </w:rPr>
        <w:t>חלוקה מחדש של הכנסות הרשויות המקומ</w:t>
      </w:r>
      <w:r>
        <w:rPr>
          <w:rFonts w:cs="FrankRuehl" w:hint="cs"/>
          <w:b/>
          <w:bCs/>
          <w:sz w:val="18"/>
          <w:rtl/>
        </w:rPr>
        <w:t>יות - הסדרים כספיים ושינויים טריטוריאליים</w:t>
      </w:r>
      <w:r>
        <w:rPr>
          <w:rFonts w:cs="FrankRuehl" w:hint="cs"/>
          <w:sz w:val="18"/>
          <w:rtl/>
        </w:rPr>
        <w:t>, ועידת השלטון המקומי השנייה של בית הספר לממשל ולמדיניות, אוניברסיטת תל אביב, 30-31 במאי 2006, מכון פלורסהיימר למחקרי מדיניות ואוניברסיטת תל אביב, בית הספר לממשל ולמדיניות, 2006, עמ' 11.</w:t>
      </w:r>
    </w:p>
  </w:footnote>
  <w:footnote w:id="43">
    <w:p w:rsidR="00000000">
      <w:pPr>
        <w:pStyle w:val="FootnoteText"/>
        <w:keepLines/>
        <w:widowControl/>
        <w:spacing w:line="200" w:lineRule="exact"/>
        <w:ind w:left="397" w:hanging="397"/>
        <w:rPr>
          <w:rFonts w:cs="FrankRuehl" w:hint="cs"/>
          <w:sz w:val="18"/>
          <w:highlight w:val="green"/>
        </w:rPr>
      </w:pPr>
      <w:r>
        <w:rPr>
          <w:rStyle w:val="FootnoteReference"/>
          <w:rFonts w:ascii="FrankRuehl" w:hAnsi="FrankRuehl" w:cs="FrankRuehl"/>
          <w:vertAlign w:val="baseline"/>
        </w:rPr>
        <w:footnoteRef/>
      </w:r>
      <w:r>
        <w:rPr>
          <w:rFonts w:cs="FrankRuehl" w:hint="cs"/>
          <w:sz w:val="18"/>
          <w:rtl/>
        </w:rPr>
        <w:tab/>
        <w:t xml:space="preserve">ערן רזין ואנה חזן, </w:t>
      </w:r>
      <w:r>
        <w:rPr>
          <w:rFonts w:cs="FrankRuehl" w:hint="cs"/>
          <w:b/>
          <w:bCs/>
          <w:sz w:val="18"/>
          <w:rtl/>
        </w:rPr>
        <w:t>חלוקת ה</w:t>
      </w:r>
      <w:r>
        <w:rPr>
          <w:rFonts w:cs="FrankRuehl" w:hint="cs"/>
          <w:b/>
          <w:bCs/>
          <w:sz w:val="18"/>
          <w:rtl/>
        </w:rPr>
        <w:t>עושר המוניציפלי בישראל - צמצום פערים בהכנסות הרשויות המקומיות,</w:t>
      </w:r>
      <w:r>
        <w:rPr>
          <w:rFonts w:cs="FrankRuehl" w:hint="cs"/>
          <w:sz w:val="18"/>
          <w:rtl/>
        </w:rPr>
        <w:t xml:space="preserve"> מכון פלורסהיימר למחקרי מדיניות, ינואר 2006, עמ' 63-75.</w:t>
      </w:r>
    </w:p>
  </w:footnote>
  <w:footnote w:id="44">
    <w:p w:rsidR="00000000">
      <w:pPr>
        <w:pStyle w:val="FootnoteText"/>
        <w:keepLines/>
        <w:widowControl/>
        <w:spacing w:line="200" w:lineRule="exact"/>
        <w:ind w:left="397" w:hanging="397"/>
        <w:rPr>
          <w:rFonts w:hint="cs"/>
        </w:rPr>
      </w:pPr>
      <w:r>
        <w:rPr>
          <w:rStyle w:val="FootnoteReference"/>
          <w:rFonts w:ascii="FrankRuehl" w:hAnsi="FrankRuehl" w:cs="FrankRuehl"/>
          <w:vertAlign w:val="baseline"/>
        </w:rPr>
        <w:footnoteRef/>
      </w:r>
      <w:r>
        <w:rPr>
          <w:rFonts w:cs="FrankRuehl" w:hint="cs"/>
          <w:sz w:val="18"/>
          <w:rtl/>
        </w:rPr>
        <w:tab/>
      </w:r>
      <w:r>
        <w:rPr>
          <w:rFonts w:cs="FrankRuehl" w:hint="cs"/>
          <w:b/>
          <w:bCs/>
          <w:sz w:val="18"/>
          <w:rtl/>
        </w:rPr>
        <w:t>שינויים מבניים מרכזיים לשנת 2008</w:t>
      </w:r>
      <w:r>
        <w:rPr>
          <w:rFonts w:cs="FrankRuehl" w:hint="cs"/>
          <w:sz w:val="18"/>
          <w:rtl/>
        </w:rPr>
        <w:t>, משרד האוצר, אגף התקציבים, יולי 2007, עמ' 13</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1002</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58ב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rPr>
        <w:rFonts w:ascii="FrankRuehl" w:hAnsi="FrankRuehl" w:cs="FrankRuehl" w:hint="cs"/>
        <w:szCs w:val="20"/>
        <w:rtl/>
      </w:rPr>
    </w:pPr>
    <w:r>
      <w:rPr>
        <w:rFonts w:ascii="FrankRuehl" w:hAnsi="FrankRuehl" w:cs="FrankRuehl" w:hint="cs"/>
        <w:szCs w:val="20"/>
        <w:rtl/>
      </w:rPr>
      <w:t>משרד הפנ</w:t>
    </w:r>
    <w:r>
      <w:rPr>
        <w:rFonts w:ascii="FrankRuehl" w:hAnsi="FrankRuehl" w:cs="FrankRuehl" w:hint="cs"/>
        <w:szCs w:val="20"/>
        <w:rtl/>
      </w:rPr>
      <w:t>ים</w:t>
    </w:r>
    <w:r>
      <w:rPr>
        <w:rFonts w:ascii="FrankRuehl" w:hAnsi="FrankRuehl" w:cs="FrankRuehl" w:hint="cs"/>
        <w:szCs w:val="20"/>
        <w:rtl/>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1001</w:t>
    </w:r>
    <w:r>
      <w:rPr>
        <w:rStyle w:val="PageNumber"/>
        <w:rFonts w:ascii="FrankRuehl" w:hAnsi="FrankRuehl" w:cs="FrankRuehl"/>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spacing w:after="120" w:line="230" w:lineRule="exac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985</w:t>
    </w:r>
    <w:r>
      <w:rPr>
        <w:rStyle w:val="PageNumber"/>
        <w:rFonts w:ascii="FrankRuehl" w:hAnsi="FrankRuehl" w:cs="FrankRuehl"/>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11E82CB2"/>
    <w:multiLevelType w:val="hybridMultilevel"/>
    <w:tmpl w:val="90E0643E"/>
    <w:lvl w:ilvl="0">
      <w:start w:val="1"/>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B3A42B3"/>
    <w:multiLevelType w:val="hybridMultilevel"/>
    <w:tmpl w:val="55087162"/>
    <w:lvl w:ilvl="0">
      <w:start w:val="1"/>
      <w:numFmt w:val="decimal"/>
      <w:lvlText w:val="%1."/>
      <w:lvlJc w:val="left"/>
      <w:pPr>
        <w:tabs>
          <w:tab w:val="num" w:pos="720"/>
        </w:tabs>
        <w:ind w:left="720" w:right="720" w:hanging="360"/>
      </w:pPr>
      <w:rPr>
        <w:rFonts w:hint="default"/>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3">
    <w:nsid w:val="1CAC26CA"/>
    <w:multiLevelType w:val="hybridMultilevel"/>
    <w:tmpl w:val="A7DE5A1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04956BD"/>
    <w:multiLevelType w:val="multilevel"/>
    <w:tmpl w:val="91FCDD0A"/>
    <w:lvl w:ilvl="0">
      <w:start w:val="1"/>
      <w:numFmt w:val="decimal"/>
      <w:lvlText w:val="%1."/>
      <w:lvlJc w:val="left"/>
      <w:pPr>
        <w:tabs>
          <w:tab w:val="num" w:pos="720"/>
        </w:tabs>
        <w:ind w:left="720" w:right="720" w:hanging="360"/>
      </w:p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5">
    <w:nsid w:val="3443390D"/>
    <w:multiLevelType w:val="singleLevel"/>
    <w:tmpl w:val="A07AD338"/>
    <w:lvl w:ilvl="0">
      <w:start w:val="1"/>
      <w:numFmt w:val="upperRoman"/>
      <w:lvlText w:val="%1."/>
      <w:lvlJc w:val="center"/>
      <w:pPr>
        <w:tabs>
          <w:tab w:val="num" w:pos="648"/>
        </w:tabs>
        <w:ind w:right="648" w:hanging="360"/>
      </w:pPr>
    </w:lvl>
  </w:abstractNum>
  <w:abstractNum w:abstractNumId="6">
    <w:nsid w:val="36B74EAB"/>
    <w:multiLevelType w:val="hybridMultilevel"/>
    <w:tmpl w:val="8E20EE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B26536B"/>
    <w:multiLevelType w:val="hybridMultilevel"/>
    <w:tmpl w:val="376EEEB6"/>
    <w:lvl w:ilvl="0">
      <w:start w:val="1"/>
      <w:numFmt w:val="decimal"/>
      <w:lvlText w:val="%1."/>
      <w:lvlJc w:val="left"/>
      <w:pPr>
        <w:tabs>
          <w:tab w:val="num" w:pos="720"/>
        </w:tabs>
        <w:ind w:left="720" w:right="720" w:hanging="360"/>
      </w:pPr>
      <w:rPr>
        <w:rFonts w:hint="default"/>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8">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9">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63F3284A"/>
    <w:multiLevelType w:val="multilevel"/>
    <w:tmpl w:val="B5F27F26"/>
    <w:lvl w:ilvl="0">
      <w:start w:val="1"/>
      <w:numFmt w:val="decimal"/>
      <w:lvlText w:val="%1."/>
      <w:lvlJc w:val="left"/>
      <w:pPr>
        <w:tabs>
          <w:tab w:val="num" w:pos="720"/>
        </w:tabs>
        <w:ind w:left="720" w:right="720" w:hanging="360"/>
      </w:pPr>
      <w:rPr>
        <w:rFonts w:hint="default"/>
      </w:rPr>
    </w:lvl>
    <w:lvl w:ilvl="1">
      <w:start w:val="1"/>
      <w:numFmt w:val="hebrew1"/>
      <w:lvlText w:val="%2."/>
      <w:lvlJc w:val="left"/>
      <w:pPr>
        <w:tabs>
          <w:tab w:val="num" w:pos="1440"/>
        </w:tabs>
        <w:ind w:left="1440" w:right="1440" w:hanging="360"/>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1">
    <w:nsid w:val="6A1C7FB5"/>
    <w:multiLevelType w:val="singleLevel"/>
    <w:tmpl w:val="CB646ABA"/>
    <w:lvl w:ilvl="0">
      <w:start w:val="1"/>
      <w:numFmt w:val="hebrew1"/>
      <w:lvlText w:val="%1."/>
      <w:lvlJc w:val="center"/>
      <w:pPr>
        <w:tabs>
          <w:tab w:val="num" w:pos="797"/>
        </w:tabs>
        <w:ind w:left="797" w:hanging="360"/>
      </w:pPr>
    </w:lvl>
  </w:abstractNum>
  <w:abstractNum w:abstractNumId="12">
    <w:nsid w:val="7119128F"/>
    <w:multiLevelType w:val="hybridMultilevel"/>
    <w:tmpl w:val="2E6AEBE8"/>
    <w:lvl w:ilvl="0">
      <w:start w:val="1"/>
      <w:numFmt w:val="decimal"/>
      <w:lvlText w:val="%1."/>
      <w:lvlJc w:val="left"/>
      <w:pPr>
        <w:tabs>
          <w:tab w:val="num" w:pos="720"/>
        </w:tabs>
        <w:ind w:left="720" w:right="720" w:hanging="360"/>
      </w:pPr>
      <w:rPr>
        <w:rFonts w:hint="default"/>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3">
    <w:nsid w:val="729101E2"/>
    <w:multiLevelType w:val="hybridMultilevel"/>
    <w:tmpl w:val="05FE4398"/>
    <w:lvl w:ilvl="0">
      <w:start w:val="1"/>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7E6E1BAD"/>
    <w:multiLevelType w:val="hybridMultilevel"/>
    <w:tmpl w:val="07C6AA34"/>
    <w:lvl w:ilvl="0">
      <w:start w:val="1"/>
      <w:numFmt w:val="decimal"/>
      <w:lvlText w:val="%1."/>
      <w:lvlJc w:val="left"/>
      <w:pPr>
        <w:tabs>
          <w:tab w:val="num" w:pos="227"/>
        </w:tabs>
        <w:ind w:left="227" w:right="227" w:hanging="227"/>
      </w:pPr>
      <w:rPr>
        <w:rFonts w:hint="default"/>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5">
    <w:nsid w:val="7E8346BB"/>
    <w:multiLevelType w:val="hybridMultilevel"/>
    <w:tmpl w:val="3E628EAC"/>
    <w:lvl w:ilvl="0">
      <w:start w:val="1"/>
      <w:numFmt w:val="hebrew1"/>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8"/>
  </w:num>
  <w:num w:numId="2">
    <w:abstractNumId w:val="5"/>
  </w:num>
  <w:num w:numId="3">
    <w:abstractNumId w:val="11"/>
  </w:num>
  <w:num w:numId="4">
    <w:abstractNumId w:val="9"/>
  </w:num>
  <w:num w:numId="5">
    <w:abstractNumId w:val="0"/>
  </w:num>
  <w:num w:numId="6">
    <w:abstractNumId w:val="14"/>
  </w:num>
  <w:num w:numId="7">
    <w:abstractNumId w:val="10"/>
  </w:num>
  <w:num w:numId="8">
    <w:abstractNumId w:val="4"/>
  </w:num>
  <w:num w:numId="9">
    <w:abstractNumId w:val="2"/>
  </w:num>
  <w:num w:numId="10">
    <w:abstractNumId w:val="12"/>
  </w:num>
  <w:num w:numId="11">
    <w:abstractNumId w:val="7"/>
  </w:num>
  <w:num w:numId="12">
    <w:abstractNumId w:val="6"/>
  </w:num>
  <w:num w:numId="13">
    <w:abstractNumId w:val="3"/>
  </w:num>
  <w:num w:numId="14">
    <w:abstractNumId w:val="15"/>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397"/>
  <w:evenAndOddHeaders/>
  <w:noPunctuationKerning/>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E94"/>
    <w:rsid w:val="00B02E94"/>
  </w:rsids>
  <w:docVars>
    <w:docVar w:name="sivug" w:val="0"/>
  </w:docVars>
  <m:mathPr>
    <m:mathFont m:val="Cambria Math"/>
    <m:wrapRight/>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uiPriority w:val="9"/>
    <w:qFormat/>
    <w:pPr>
      <w:keepNext/>
      <w:widowControl w:val="0"/>
      <w:spacing w:before="240" w:after="480" w:line="312" w:lineRule="auto"/>
      <w:jc w:val="center"/>
      <w:outlineLvl w:val="0"/>
    </w:pPr>
    <w:rPr>
      <w:b/>
      <w:bCs/>
      <w:kern w:val="32"/>
      <w:sz w:val="32"/>
      <w:szCs w:val="36"/>
      <w:u w:val="single"/>
      <w:lang w:eastAsia="he-IL"/>
    </w:rPr>
  </w:style>
  <w:style w:type="paragraph" w:styleId="Heading2">
    <w:name w:val="heading 2"/>
    <w:basedOn w:val="Normal"/>
    <w:next w:val="Normal"/>
    <w:uiPriority w:val="9"/>
    <w:qFormat/>
    <w:pPr>
      <w:keepNext/>
      <w:widowControl w:val="0"/>
      <w:spacing w:before="100" w:beforeAutospacing="1" w:after="240" w:line="264" w:lineRule="auto"/>
      <w:jc w:val="center"/>
      <w:outlineLvl w:val="1"/>
    </w:pPr>
    <w:rPr>
      <w:b/>
      <w:bCs/>
      <w:sz w:val="28"/>
      <w:szCs w:val="32"/>
      <w:lang w:eastAsia="he-IL"/>
    </w:rPr>
  </w:style>
  <w:style w:type="paragraph" w:styleId="Heading3">
    <w:name w:val="heading 3"/>
    <w:basedOn w:val="Normal"/>
    <w:next w:val="Normal"/>
    <w:uiPriority w:val="9"/>
    <w:qFormat/>
    <w:pPr>
      <w:widowControl w:val="0"/>
      <w:spacing w:before="100" w:beforeAutospacing="1" w:line="288" w:lineRule="auto"/>
      <w:outlineLvl w:val="2"/>
    </w:pPr>
    <w:rPr>
      <w:b/>
      <w:bCs/>
      <w:szCs w:val="28"/>
      <w:u w:val="single"/>
      <w:lang w:eastAsia="he-IL"/>
    </w:rPr>
  </w:style>
  <w:style w:type="paragraph" w:styleId="Heading4">
    <w:name w:val="heading 4"/>
    <w:basedOn w:val="Normal"/>
    <w:next w:val="Normal"/>
    <w:uiPriority w:val="9"/>
    <w:qFormat/>
    <w:pPr>
      <w:widowControl w:val="0"/>
      <w:spacing w:before="100" w:beforeAutospacing="1" w:line="264" w:lineRule="auto"/>
      <w:outlineLvl w:val="3"/>
    </w:pPr>
    <w:rPr>
      <w:b/>
      <w:bCs/>
      <w:sz w:val="22"/>
      <w:szCs w:val="26"/>
      <w:lang w:eastAsia="he-IL"/>
    </w:rPr>
  </w:style>
  <w:style w:type="paragraph" w:styleId="Heading5">
    <w:name w:val="heading 5"/>
    <w:basedOn w:val="Normal"/>
    <w:next w:val="Normal"/>
    <w:uiPriority w:val="9"/>
    <w:qFormat/>
    <w:pPr>
      <w:keepNext/>
      <w:spacing w:line="269" w:lineRule="auto"/>
      <w:outlineLvl w:val="4"/>
    </w:pPr>
    <w:rPr>
      <w:b/>
      <w:bCs/>
      <w:sz w:val="16"/>
      <w:szCs w:val="20"/>
    </w:rPr>
  </w:style>
  <w:style w:type="paragraph" w:styleId="Heading6">
    <w:name w:val="heading 6"/>
    <w:basedOn w:val="Normal"/>
    <w:next w:val="Normal"/>
    <w:uiPriority w:val="9"/>
    <w:qFormat/>
    <w:pPr>
      <w:keepNext/>
      <w:spacing w:before="40" w:after="40"/>
      <w:jc w:val="right"/>
      <w:outlineLvl w:val="5"/>
    </w:pPr>
    <w:rPr>
      <w:rFonts w:cs="FrankRuehl"/>
      <w:b/>
      <w:bCs/>
      <w:sz w:val="20"/>
      <w:szCs w:val="20"/>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pPr>
    <w:rPr>
      <w:sz w:val="26"/>
      <w:szCs w:val="26"/>
    </w:rPr>
  </w:style>
  <w:style w:type="paragraph" w:customStyle="1" w:styleId="KOT5">
    <w:name w:val="KOT5"/>
    <w:basedOn w:val="KOT4"/>
    <w:pPr>
      <w:spacing w:after="120" w:line="260" w:lineRule="exact"/>
    </w:pPr>
    <w:rPr>
      <w:sz w:val="22"/>
      <w:szCs w:val="22"/>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pPr>
      <w:widowControl w:val="0"/>
      <w:spacing w:line="312" w:lineRule="auto"/>
      <w:ind w:left="567" w:hanging="567"/>
      <w:jc w:val="both"/>
    </w:pPr>
    <w:rPr>
      <w:sz w:val="20"/>
      <w:szCs w:val="20"/>
      <w:lang w:eastAsia="he-IL"/>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312" w:lineRule="auto"/>
      <w:ind w:left="-567"/>
      <w:jc w:val="both"/>
    </w:pPr>
    <w:rPr>
      <w:sz w:val="20"/>
      <w:szCs w:val="20"/>
      <w:lang w:eastAsia="he-IL"/>
    </w:rPr>
  </w:style>
  <w:style w:type="paragraph" w:styleId="PlainText">
    <w:name w:val="Plain Text"/>
    <w:basedOn w:val="Normal"/>
    <w:pPr>
      <w:widowControl w:val="0"/>
      <w:spacing w:line="312" w:lineRule="auto"/>
      <w:jc w:val="both"/>
    </w:pPr>
    <w:rPr>
      <w:rFonts w:ascii="Courier New" w:hAnsi="Courier New" w:cs="Courier New"/>
      <w:sz w:val="20"/>
      <w:szCs w:val="20"/>
      <w:lang w:eastAsia="he-IL"/>
    </w:rPr>
  </w:style>
  <w:style w:type="character" w:customStyle="1" w:styleId="7">
    <w:name w:val="כותרת 7 תו"/>
    <w:basedOn w:val="DefaultParagraphFont"/>
    <w:rPr>
      <w:rFonts w:cs="David"/>
      <w:b/>
      <w:bCs/>
      <w:spacing w:val="40"/>
      <w:szCs w:val="24"/>
      <w:lang w:val="en-US" w:eastAsia="he-IL" w:bidi="he-IL"/>
    </w:rPr>
  </w:style>
  <w:style w:type="character" w:customStyle="1" w:styleId="53">
    <w:name w:val="כותרת 5 תו3"/>
    <w:basedOn w:val="DefaultParagraphFont"/>
    <w:rPr>
      <w:rFonts w:cs="David"/>
      <w:b/>
      <w:bCs/>
      <w:spacing w:val="40"/>
      <w:szCs w:val="24"/>
      <w:lang w:val="en-US" w:eastAsia="he-IL" w:bidi="he-IL"/>
    </w:rPr>
  </w:style>
  <w:style w:type="character" w:customStyle="1" w:styleId="1">
    <w:name w:val="טקסט הערות שוליים תו1"/>
    <w:basedOn w:val="DefaultParagraphFont"/>
    <w:rPr>
      <w:rFonts w:cs="David"/>
      <w:lang w:val="en-US" w:eastAsia="he-IL" w:bidi="he-IL"/>
    </w:rPr>
  </w:style>
  <w:style w:type="paragraph" w:styleId="BodyText">
    <w:name w:val="Body Text"/>
    <w:basedOn w:val="Normal"/>
    <w:pPr>
      <w:tabs>
        <w:tab w:val="left" w:pos="510"/>
      </w:tabs>
      <w:spacing w:before="180" w:after="120" w:line="230" w:lineRule="exact"/>
      <w:jc w:val="both"/>
    </w:pPr>
    <w:rPr>
      <w:rFonts w:cs="FrankRuehl"/>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1.wmf"/><Relationship Id="rId10"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theme" Target="theme/theme1.xml"/><Relationship Id="rId14"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D117BD7-8E5E-4B64-8525-705702B3F885}"/>
</file>

<file path=customXml/itemProps2.xml><?xml version="1.0" encoding="utf-8"?>
<ds:datastoreItem xmlns:ds="http://schemas.openxmlformats.org/officeDocument/2006/customXml" ds:itemID="{7BEE5B6E-F67F-4054-BE85-139DF3737FBC}"/>
</file>

<file path=customXml/itemProps3.xml><?xml version="1.0" encoding="utf-8"?>
<ds:datastoreItem xmlns:ds="http://schemas.openxmlformats.org/officeDocument/2006/customXml" ds:itemID="{54C51FAD-6FEA-4016-9494-1E32D9B4813A}"/>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