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Heading5"/>
        <w:ind w:left="2550"/>
        <w:rPr>
          <w:rFonts w:hint="cs"/>
          <w:rtl/>
        </w:rPr>
      </w:pPr>
      <w:bookmarkStart w:id="0" w:name="_GoBack"/>
      <w:bookmarkEnd w:id="0"/>
      <w:r>
        <w:rPr>
          <w:rFonts w:hint="cs"/>
          <w:rtl/>
        </w:rPr>
        <w:t>מבקר המדינה</w:t>
      </w:r>
    </w:p>
    <w:p w:rsidR="00000000">
      <w:pPr>
        <w:pStyle w:val="BodyTextIndent"/>
        <w:ind w:left="2550"/>
        <w:rPr>
          <w:rFonts w:hint="cs"/>
          <w:rtl/>
        </w:rPr>
      </w:pPr>
      <w:r>
        <w:rPr>
          <w:rFonts w:hint="cs"/>
          <w:rtl/>
        </w:rPr>
        <w:t>ממצאי ביקורת בנושא:</w:t>
      </w:r>
    </w:p>
    <w:p w:rsidR="00000000">
      <w:pPr>
        <w:pStyle w:val="BodyTextIndent"/>
        <w:ind w:left="2550"/>
        <w:rPr>
          <w:rFonts w:hint="cs"/>
          <w:b/>
          <w:bCs/>
          <w:rtl/>
        </w:rPr>
      </w:pPr>
      <w:r>
        <w:rPr>
          <w:rFonts w:hint="cs"/>
          <w:b/>
          <w:bCs/>
          <w:rtl/>
        </w:rPr>
        <w:t xml:space="preserve">קבלת פנים במשרד הביטחון </w:t>
      </w:r>
      <w:r>
        <w:rPr>
          <w:b/>
          <w:bCs/>
          <w:rtl/>
        </w:rPr>
        <w:br/>
      </w:r>
      <w:r>
        <w:rPr>
          <w:rFonts w:hint="cs"/>
          <w:b/>
          <w:bCs/>
          <w:rtl/>
        </w:rPr>
        <w:t>לרגל יום העצמאות</w:t>
      </w: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sz w:val="22"/>
          <w:lang w:eastAsia="he-IL"/>
        </w:rPr>
      </w:pPr>
    </w:p>
    <w:p w:rsidR="00000000">
      <w:pPr>
        <w:spacing w:line="312" w:lineRule="auto"/>
        <w:jc w:val="center"/>
        <w:rPr>
          <w:rFonts w:hint="cs"/>
          <w:sz w:val="22"/>
          <w:rtl/>
          <w:lang w:eastAsia="he-IL"/>
        </w:rPr>
      </w:pPr>
    </w:p>
    <w:p w:rsidR="00000000">
      <w:pPr>
        <w:spacing w:line="312" w:lineRule="auto"/>
        <w:jc w:val="center"/>
        <w:rPr>
          <w:rFonts w:hint="cs"/>
          <w:sz w:val="22"/>
          <w:lang w:eastAsia="he-IL"/>
        </w:rPr>
      </w:pPr>
    </w:p>
    <w:p w:rsidR="00000000">
      <w:pPr>
        <w:spacing w:line="312" w:lineRule="auto"/>
        <w:jc w:val="center"/>
        <w:rPr>
          <w:sz w:val="22"/>
          <w:lang w:eastAsia="he-IL"/>
        </w:rPr>
      </w:pPr>
    </w:p>
    <w:p w:rsidR="00000000">
      <w:pPr>
        <w:spacing w:line="312" w:lineRule="auto"/>
        <w:jc w:val="center"/>
        <w:rPr>
          <w:rFonts w:cs="FrankRuehl" w:hint="cs"/>
          <w:sz w:val="22"/>
          <w:rtl/>
          <w:lang w:eastAsia="he-IL"/>
        </w:rPr>
      </w:pPr>
      <w:r>
        <w:rPr>
          <w:rFonts w:cs="FrankRuehl" w:hint="cs"/>
          <w:sz w:val="22"/>
          <w:rtl/>
          <w:lang w:eastAsia="he-IL"/>
        </w:rPr>
        <w:t>מס' קטלוגי 001-2010</w:t>
      </w:r>
    </w:p>
    <w:p w:rsidR="00000000">
      <w:pPr>
        <w:spacing w:line="312" w:lineRule="auto"/>
        <w:jc w:val="center"/>
        <w:rPr>
          <w:rFonts w:cs="FrankRuehl"/>
          <w:sz w:val="20"/>
          <w:szCs w:val="20"/>
          <w:lang w:eastAsia="he-IL"/>
        </w:rPr>
      </w:pPr>
      <w:r>
        <w:rPr>
          <w:rFonts w:cs="FrankRuehl"/>
          <w:sz w:val="20"/>
          <w:szCs w:val="20"/>
          <w:lang w:eastAsia="he-IL"/>
        </w:rPr>
        <w:t>ISSN 0793-1948</w:t>
      </w:r>
    </w:p>
    <w:p w:rsidR="00000000">
      <w:pPr>
        <w:spacing w:line="312" w:lineRule="auto"/>
        <w:jc w:val="center"/>
        <w:rPr>
          <w:rFonts w:cs="FrankRuehl" w:hint="cs"/>
          <w:sz w:val="22"/>
          <w:rtl/>
          <w:lang w:eastAsia="he-IL"/>
        </w:rPr>
      </w:pPr>
    </w:p>
    <w:p w:rsidR="00000000">
      <w:pPr>
        <w:pStyle w:val="PlainText"/>
        <w:widowControl/>
        <w:spacing w:after="120" w:line="240" w:lineRule="atLeast"/>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noProof/>
          <w:rtl/>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072" name="Picture 1" descr="isra"/>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000000">
      <w:pPr>
        <w:spacing w:before="120" w:line="312" w:lineRule="auto"/>
        <w:jc w:val="center"/>
        <w:rPr>
          <w:rFonts w:hint="cs"/>
          <w:b/>
          <w:bCs/>
          <w:noProof/>
          <w:sz w:val="72"/>
          <w:szCs w:val="72"/>
          <w:rtl/>
        </w:rPr>
      </w:pPr>
      <w:r>
        <w:rPr>
          <w:rFonts w:hint="cs"/>
          <w:b/>
          <w:bCs/>
          <w:noProof/>
          <w:sz w:val="72"/>
          <w:szCs w:val="72"/>
          <w:rtl/>
        </w:rPr>
        <w:t>מבקר המדינה</w:t>
      </w:r>
    </w:p>
    <w:p w:rsidR="00000000">
      <w:pPr>
        <w:spacing w:line="312" w:lineRule="auto"/>
        <w:rPr>
          <w:rFonts w:hint="cs"/>
          <w:rtl/>
          <w:lang w:eastAsia="he-IL"/>
        </w:rPr>
      </w:pPr>
    </w:p>
    <w:p w:rsidR="00000000">
      <w:pPr>
        <w:spacing w:line="312" w:lineRule="auto"/>
        <w:rPr>
          <w:rFonts w:hint="cs"/>
          <w:rtl/>
          <w:lang w:eastAsia="he-IL"/>
        </w:rPr>
      </w:pPr>
    </w:p>
    <w:p w:rsidR="00000000">
      <w:pPr>
        <w:spacing w:line="312" w:lineRule="auto"/>
        <w:rPr>
          <w:rFonts w:hint="cs"/>
          <w:lang w:eastAsia="he-IL"/>
        </w:rPr>
      </w:pPr>
    </w:p>
    <w:p w:rsidR="00000000">
      <w:pPr>
        <w:spacing w:line="500" w:lineRule="exact"/>
        <w:jc w:val="center"/>
        <w:rPr>
          <w:rFonts w:hint="cs"/>
          <w:sz w:val="44"/>
          <w:szCs w:val="44"/>
          <w:rtl/>
          <w:lang w:eastAsia="he-IL"/>
        </w:rPr>
      </w:pPr>
      <w:r>
        <w:rPr>
          <w:rFonts w:hint="cs"/>
          <w:sz w:val="44"/>
          <w:szCs w:val="44"/>
          <w:rtl/>
          <w:lang w:eastAsia="he-IL"/>
        </w:rPr>
        <w:t>ממצאי ביקורת בנושא:</w:t>
      </w:r>
    </w:p>
    <w:p w:rsidR="00000000">
      <w:pPr>
        <w:spacing w:line="500" w:lineRule="exact"/>
        <w:jc w:val="center"/>
        <w:rPr>
          <w:rFonts w:hint="cs"/>
          <w:sz w:val="44"/>
          <w:szCs w:val="44"/>
          <w:rtl/>
          <w:lang w:eastAsia="he-IL"/>
        </w:rPr>
      </w:pPr>
    </w:p>
    <w:p w:rsidR="00000000">
      <w:pPr>
        <w:pStyle w:val="Heading9"/>
        <w:rPr>
          <w:rFonts w:hint="cs"/>
          <w:rtl/>
        </w:rPr>
      </w:pPr>
      <w:r>
        <w:rPr>
          <w:rFonts w:hint="cs"/>
          <w:rtl/>
        </w:rPr>
        <w:t xml:space="preserve">קבלת פנים במשרד הביטחון לרגל יום העצמאות </w:t>
      </w:r>
    </w:p>
    <w:p w:rsidR="00000000">
      <w:pPr>
        <w:spacing w:line="360" w:lineRule="auto"/>
        <w:jc w:val="center"/>
        <w:rPr>
          <w:sz w:val="28"/>
          <w:szCs w:val="28"/>
        </w:rPr>
      </w:pPr>
    </w:p>
    <w:p w:rsidR="00000000">
      <w:pPr>
        <w:spacing w:line="300" w:lineRule="atLeast"/>
        <w:jc w:val="center"/>
        <w:rPr>
          <w:rFonts w:hint="cs"/>
          <w:sz w:val="28"/>
          <w:szCs w:val="28"/>
          <w:rtl/>
        </w:rPr>
      </w:pPr>
    </w:p>
    <w:p w:rsidR="00000000">
      <w:pPr>
        <w:spacing w:line="312" w:lineRule="auto"/>
        <w:jc w:val="center"/>
        <w:rPr>
          <w:rFonts w:hint="cs"/>
          <w:sz w:val="32"/>
          <w:szCs w:val="32"/>
          <w:rtl/>
          <w:lang w:eastAsia="he-IL"/>
        </w:rPr>
      </w:pPr>
    </w:p>
    <w:p w:rsidR="00000000">
      <w:pPr>
        <w:spacing w:line="312" w:lineRule="auto"/>
        <w:jc w:val="center"/>
        <w:rPr>
          <w:rFonts w:hint="cs"/>
          <w:sz w:val="32"/>
          <w:szCs w:val="32"/>
          <w:rtl/>
          <w:lang w:eastAsia="he-IL"/>
        </w:rPr>
      </w:pPr>
    </w:p>
    <w:p w:rsidR="00000000">
      <w:pPr>
        <w:pStyle w:val="PlainText"/>
        <w:widowControl/>
        <w:spacing w:line="230" w:lineRule="exact"/>
        <w:jc w:val="center"/>
        <w:rPr>
          <w:rFonts w:ascii="Times New Roman" w:eastAsia="MS Mincho" w:hAnsi="Times New Roman" w:cs="FrankRuehl"/>
          <w:sz w:val="22"/>
          <w:szCs w:val="22"/>
          <w:lang w:eastAsia="en-US"/>
        </w:rPr>
      </w:pPr>
    </w:p>
    <w:p w:rsidR="00000000">
      <w:pPr>
        <w:spacing w:line="312" w:lineRule="auto"/>
        <w:jc w:val="center"/>
        <w:rPr>
          <w:rFonts w:hint="cs"/>
          <w:sz w:val="32"/>
          <w:szCs w:val="32"/>
          <w:lang w:eastAsia="he-IL"/>
        </w:rPr>
      </w:pPr>
    </w:p>
    <w:p w:rsidR="00000000">
      <w:pPr>
        <w:spacing w:line="312" w:lineRule="auto"/>
        <w:jc w:val="center"/>
        <w:rPr>
          <w:rFonts w:hint="cs"/>
          <w:sz w:val="32"/>
          <w:szCs w:val="32"/>
          <w:rtl/>
          <w:lang w:eastAsia="he-IL"/>
        </w:rPr>
      </w:pPr>
    </w:p>
    <w:p w:rsidR="00000000">
      <w:pPr>
        <w:spacing w:line="312" w:lineRule="auto"/>
        <w:jc w:val="center"/>
        <w:rPr>
          <w:sz w:val="32"/>
          <w:szCs w:val="32"/>
          <w:lang w:eastAsia="he-IL"/>
        </w:rPr>
      </w:pPr>
    </w:p>
    <w:p w:rsidR="00000000">
      <w:pPr>
        <w:spacing w:line="312" w:lineRule="auto"/>
        <w:jc w:val="center"/>
        <w:rPr>
          <w:rFonts w:hint="cs"/>
          <w:sz w:val="20"/>
          <w:rtl/>
          <w:lang w:eastAsia="he-IL"/>
        </w:rPr>
      </w:pPr>
      <w:r>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49620" name="Picture 2" descr="logo-bl"/>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000000">
      <w:pPr>
        <w:pStyle w:val="Heading7"/>
        <w:widowControl/>
        <w:spacing w:before="0" w:after="0" w:line="380" w:lineRule="exact"/>
        <w:rPr>
          <w:rFonts w:hint="cs"/>
          <w:rtl/>
        </w:rPr>
      </w:pPr>
      <w:r>
        <w:rPr>
          <w:rFonts w:hint="cs"/>
          <w:rtl/>
        </w:rPr>
        <w:t>ירושלים, ניסן התש"ע, מרץ 2010</w:t>
      </w:r>
    </w:p>
    <w:p w:rsidR="00000000">
      <w:pPr>
        <w:pStyle w:val="PlainText"/>
        <w:widowControl/>
        <w:spacing w:after="120" w:line="230" w:lineRule="exact"/>
        <w:rPr>
          <w:rFonts w:ascii="Times New Roman" w:eastAsia="MS Mincho" w:hAnsi="Times New Roman" w:cs="FrankRuehl"/>
          <w:sz w:val="22"/>
          <w:szCs w:val="22"/>
          <w:rtl/>
          <w:lang w:eastAsia="en-US"/>
        </w:rPr>
        <w:sectPr>
          <w:footnotePr>
            <w:numRestart w:val="eachSect"/>
          </w:footnotePr>
          <w:pgSz w:w="11906" w:h="16838" w:code="9"/>
          <w:pgMar w:top="2098" w:right="2608" w:bottom="4253" w:left="2608" w:header="1531" w:footer="3686" w:gutter="0"/>
          <w:cols w:space="708"/>
          <w:titlePg/>
          <w:docGrid w:linePitch="360"/>
        </w:sectPr>
      </w:pPr>
    </w:p>
    <w:p w:rsidR="00000000">
      <w:pPr>
        <w:pStyle w:val="NAME"/>
        <w:rPr>
          <w:rFonts w:hint="cs"/>
          <w:rtl/>
        </w:rPr>
      </w:pPr>
      <w:r>
        <w:rPr>
          <w:rFonts w:hint="cs"/>
          <w:rtl/>
        </w:rPr>
        <w:t>ממצאי</w:t>
      </w:r>
      <w:r>
        <w:rPr>
          <w:rFonts w:hint="cs"/>
          <w:rtl/>
        </w:rPr>
        <w:t xml:space="preserve"> ביקורת בנושא:</w:t>
      </w:r>
      <w:r>
        <w:rPr>
          <w:rtl/>
        </w:rPr>
        <w:br/>
      </w:r>
      <w:r>
        <w:rPr>
          <w:rFonts w:hint="cs"/>
          <w:rtl/>
        </w:rPr>
        <w:t xml:space="preserve">קבלת פנים במשרד הביטחון </w:t>
      </w:r>
      <w:r>
        <w:rPr>
          <w:rtl/>
        </w:rPr>
        <w:br/>
      </w:r>
      <w:r>
        <w:rPr>
          <w:rFonts w:hint="cs"/>
          <w:rtl/>
        </w:rPr>
        <w:t>לרגל יום העצמאות</w:t>
      </w:r>
      <w:r>
        <w:rPr>
          <w:rFonts w:hint="cs"/>
          <w:b/>
          <w:bCs/>
          <w:sz w:val="24"/>
          <w:szCs w:val="28"/>
          <w:u w:val="single"/>
          <w:rtl/>
        </w:rPr>
        <w:t xml:space="preserve">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r>
        <w:rPr>
          <w:rFonts w:cs="FrankRuehl" w:hint="cs"/>
          <w:sz w:val="22"/>
          <w:szCs w:val="22"/>
          <w:rtl/>
        </w:rPr>
        <w:t>מדי שנה בשנה, לאורך שנים רבות, נערכת במוצאי יום העצמאות במתחם משרד הביטחון (להלן - המשרד) שבמחנה רבין</w:t>
      </w:r>
      <w:r>
        <w:rPr>
          <w:rStyle w:val="FootnoteReference"/>
          <w:rFonts w:cs="FrankRuehl"/>
          <w:sz w:val="22"/>
          <w:szCs w:val="22"/>
          <w:rtl/>
        </w:rPr>
        <w:footnoteReference w:id="2"/>
      </w:r>
      <w:r>
        <w:rPr>
          <w:rFonts w:cs="FrankRuehl" w:hint="cs"/>
          <w:sz w:val="22"/>
          <w:szCs w:val="22"/>
          <w:rtl/>
        </w:rPr>
        <w:t xml:space="preserve"> קבלת פנים לרגל יום העצמאות של מדינת ישראל. מדובר באירוע ממלכתי מרכזי של מערכת הביטחון, כשלשון</w:t>
      </w:r>
      <w:r>
        <w:rPr>
          <w:rFonts w:cs="FrankRuehl" w:hint="cs"/>
          <w:sz w:val="22"/>
          <w:szCs w:val="22"/>
          <w:rtl/>
        </w:rPr>
        <w:t xml:space="preserve"> ההזמנה היא: "שר הביטחון... ורעייתו מתכבדים להזמינכם לקבלת פנים...".</w:t>
      </w:r>
    </w:p>
    <w:p w:rsidR="00000000">
      <w:pPr>
        <w:spacing w:after="120" w:line="230" w:lineRule="exact"/>
        <w:jc w:val="both"/>
        <w:rPr>
          <w:rFonts w:cs="FrankRuehl" w:hint="cs"/>
          <w:sz w:val="22"/>
          <w:szCs w:val="22"/>
          <w:rtl/>
        </w:rPr>
      </w:pPr>
      <w:r>
        <w:rPr>
          <w:rFonts w:cs="FrankRuehl" w:hint="cs"/>
          <w:sz w:val="22"/>
          <w:szCs w:val="22"/>
          <w:rtl/>
        </w:rPr>
        <w:t xml:space="preserve">אוכלוסיית המוזמנים מורכבת מכ-25 קבוצות קבועות, ובהן: סגל הפיקוד הכללי - קצינים בשירות סדיר ובמילואים (להלן - ספ"כ צה"ל), מפקדי גדודים בשירות סדיר ובמילואים (להלן </w:t>
      </w:r>
      <w:r>
        <w:rPr>
          <w:rFonts w:cs="FrankRuehl"/>
          <w:sz w:val="22"/>
          <w:szCs w:val="22"/>
          <w:rtl/>
        </w:rPr>
        <w:t>-</w:t>
      </w:r>
      <w:r>
        <w:rPr>
          <w:rFonts w:cs="FrankRuehl" w:hint="cs"/>
          <w:sz w:val="22"/>
          <w:szCs w:val="22"/>
          <w:rtl/>
        </w:rPr>
        <w:t xml:space="preserve"> מג"דים), נספחים צבאיים,</w:t>
      </w:r>
      <w:r>
        <w:rPr>
          <w:rFonts w:cs="FrankRuehl" w:hint="cs"/>
          <w:sz w:val="22"/>
          <w:szCs w:val="22"/>
          <w:rtl/>
        </w:rPr>
        <w:t xml:space="preserve"> נציגי המשרד, נציגי משטרת ישראל, נציגי תעשיות ביטחוניות ועוד. לעתים מתווספות או נשמטות קבוצות. בקבוצות הקבועות נכללת קבוצה של "אורחי שר הביטחון" (פירוט המוזמנים לקבוצות השונות ראו בנספח).</w:t>
      </w:r>
    </w:p>
    <w:p w:rsidR="00000000">
      <w:pPr>
        <w:spacing w:after="120" w:line="230" w:lineRule="exact"/>
        <w:jc w:val="both"/>
        <w:rPr>
          <w:rFonts w:cs="FrankRuehl" w:hint="cs"/>
          <w:sz w:val="22"/>
          <w:szCs w:val="22"/>
          <w:rtl/>
        </w:rPr>
      </w:pPr>
      <w:r>
        <w:rPr>
          <w:rFonts w:cs="FrankRuehl" w:hint="cs"/>
          <w:sz w:val="22"/>
          <w:szCs w:val="22"/>
          <w:rtl/>
        </w:rPr>
        <w:t>על פי נתוני המשרד, בשנת 2009 נשלחו כ-6,000 הזמנות זוגיות</w:t>
      </w:r>
      <w:r>
        <w:rPr>
          <w:rStyle w:val="FootnoteReference"/>
          <w:rFonts w:cs="FrankRuehl"/>
          <w:sz w:val="22"/>
          <w:szCs w:val="22"/>
          <w:rtl/>
        </w:rPr>
        <w:footnoteReference w:id="3"/>
      </w:r>
      <w:r>
        <w:rPr>
          <w:rFonts w:cs="FrankRuehl" w:hint="cs"/>
          <w:sz w:val="22"/>
          <w:szCs w:val="22"/>
          <w:rtl/>
        </w:rPr>
        <w:t>, בחלוקה של</w:t>
      </w:r>
      <w:r>
        <w:rPr>
          <w:rFonts w:cs="FrankRuehl" w:hint="cs"/>
          <w:sz w:val="22"/>
          <w:szCs w:val="22"/>
          <w:rtl/>
        </w:rPr>
        <w:t xml:space="preserve"> כשליש למוזמנים מצה"ל ומהמשרד, כשליש למוזמנים מהקבוצות האחרות וכשליש לאורחי שר הביטחון. בקבוצת אורחי השר נכללו, בין היתר, אנשי עסקים, עיתונאים, סופרים וחברי מפלגה. עלות האירוע בשנת 2009 הסתכמה בכ-1.5 מיליון ש"ח.</w:t>
      </w:r>
    </w:p>
    <w:p w:rsidR="00000000">
      <w:pPr>
        <w:spacing w:after="120" w:line="230" w:lineRule="exact"/>
        <w:jc w:val="both"/>
        <w:rPr>
          <w:rFonts w:cs="FrankRuehl" w:hint="cs"/>
          <w:sz w:val="22"/>
          <w:szCs w:val="22"/>
          <w:rtl/>
        </w:rPr>
      </w:pPr>
      <w:r>
        <w:rPr>
          <w:rFonts w:cs="FrankRuehl" w:hint="cs"/>
          <w:sz w:val="22"/>
          <w:szCs w:val="22"/>
          <w:rtl/>
        </w:rPr>
        <w:t>בחודשים יוני ויולי 2009 בדק משרד מבקר המדינה</w:t>
      </w:r>
      <w:r>
        <w:rPr>
          <w:rFonts w:cs="FrankRuehl" w:hint="cs"/>
          <w:sz w:val="22"/>
          <w:szCs w:val="22"/>
          <w:rtl/>
        </w:rPr>
        <w:t xml:space="preserve"> את תהליך קביעת הרשימה של האורחים לקבלת הפנים שנערכה בשנה זו ואת מספר המוזמנים לאירועים אלה בחמש השנים האחרונות. הביקורת נערכה בלשכת שר הביטחון, ובדיקות השלמה נערכו באגף מבצעים לוגיסטיים ונכסים שבמשרד</w:t>
      </w:r>
      <w:r>
        <w:rPr>
          <w:rStyle w:val="FootnoteReference"/>
          <w:rFonts w:cs="FrankRuehl"/>
          <w:sz w:val="22"/>
          <w:szCs w:val="22"/>
          <w:rtl/>
        </w:rPr>
        <w:footnoteReference w:id="4"/>
      </w:r>
      <w:r>
        <w:rPr>
          <w:rFonts w:cs="FrankRuehl" w:hint="cs"/>
          <w:sz w:val="22"/>
          <w:szCs w:val="22"/>
          <w:rtl/>
        </w:rPr>
        <w:t xml:space="preserve"> ובצה"ל. בירור</w:t>
      </w:r>
      <w:r>
        <w:rPr>
          <w:rFonts w:cs="FrankRuehl" w:hint="eastAsia"/>
          <w:sz w:val="22"/>
          <w:szCs w:val="22"/>
          <w:rtl/>
        </w:rPr>
        <w:t>י</w:t>
      </w:r>
      <w:r>
        <w:rPr>
          <w:rFonts w:cs="FrankRuehl" w:hint="cs"/>
          <w:sz w:val="22"/>
          <w:szCs w:val="22"/>
          <w:rtl/>
        </w:rPr>
        <w:t xml:space="preserve"> השלמה נערכו באוקטובר 2009.</w:t>
      </w:r>
    </w:p>
    <w:p w:rsidR="00000000">
      <w:pPr>
        <w:spacing w:after="240" w:line="230" w:lineRule="exact"/>
        <w:jc w:val="both"/>
        <w:rPr>
          <w:rFonts w:cs="FrankRuehl" w:hint="cs"/>
          <w:sz w:val="22"/>
          <w:szCs w:val="22"/>
          <w:rtl/>
        </w:rPr>
      </w:pPr>
      <w:r>
        <w:rPr>
          <w:rFonts w:cs="FrankRuehl" w:hint="cs"/>
          <w:sz w:val="22"/>
          <w:szCs w:val="22"/>
          <w:rtl/>
        </w:rPr>
        <w:t xml:space="preserve">על פי נתוני </w:t>
      </w:r>
      <w:r>
        <w:rPr>
          <w:rFonts w:cs="FrankRuehl" w:hint="cs"/>
          <w:sz w:val="22"/>
          <w:szCs w:val="22"/>
          <w:rtl/>
        </w:rPr>
        <w:t>המשרד, לקבלת הפנים שנערכה בשנת 2004</w:t>
      </w:r>
      <w:r>
        <w:rPr>
          <w:rStyle w:val="FootnoteReference"/>
          <w:rFonts w:cs="FrankRuehl"/>
          <w:sz w:val="22"/>
          <w:szCs w:val="22"/>
          <w:rtl/>
        </w:rPr>
        <w:footnoteReference w:id="5"/>
      </w:r>
      <w:r>
        <w:rPr>
          <w:rFonts w:cs="FrankRuehl" w:hint="cs"/>
          <w:sz w:val="22"/>
          <w:szCs w:val="22"/>
          <w:rtl/>
        </w:rPr>
        <w:t xml:space="preserve"> הוציא המשרד 3,793 הזמנות, וביניהן 1,821 לספ"כ צה"ל ולמג"דים ו-660 לאורחי שר הביטחון; לקבלת הפנים שנערכה בשנת 2007</w:t>
      </w:r>
      <w:r>
        <w:rPr>
          <w:rStyle w:val="FootnoteReference"/>
          <w:rFonts w:cs="FrankRuehl"/>
          <w:sz w:val="22"/>
          <w:szCs w:val="22"/>
          <w:rtl/>
        </w:rPr>
        <w:footnoteReference w:id="6"/>
      </w:r>
      <w:r>
        <w:rPr>
          <w:rFonts w:cs="FrankRuehl" w:hint="cs"/>
          <w:sz w:val="22"/>
          <w:szCs w:val="22"/>
          <w:rtl/>
        </w:rPr>
        <w:t xml:space="preserve"> הוצאו 5,187 הזמנות, וביניהן 1,820 לספ"כ צה"ל ולמג"דים ו-1,536 לאורחי שר הביטחון, ולקבלת הפנים שנערכה בשנ</w:t>
      </w:r>
      <w:r>
        <w:rPr>
          <w:rFonts w:cs="FrankRuehl" w:hint="cs"/>
          <w:sz w:val="22"/>
          <w:szCs w:val="22"/>
          <w:rtl/>
        </w:rPr>
        <w:t>ת 2009</w:t>
      </w:r>
      <w:r>
        <w:rPr>
          <w:rStyle w:val="FootnoteReference"/>
          <w:rFonts w:cs="FrankRuehl"/>
          <w:sz w:val="22"/>
          <w:szCs w:val="22"/>
          <w:rtl/>
        </w:rPr>
        <w:footnoteReference w:id="7"/>
      </w:r>
      <w:r>
        <w:rPr>
          <w:rFonts w:cs="FrankRuehl" w:hint="cs"/>
          <w:sz w:val="22"/>
          <w:szCs w:val="22"/>
          <w:rtl/>
        </w:rPr>
        <w:t xml:space="preserve"> הוצאו 6,063 הזמנות </w:t>
      </w:r>
      <w:r>
        <w:rPr>
          <w:rFonts w:cs="FrankRuehl"/>
          <w:sz w:val="22"/>
          <w:szCs w:val="22"/>
          <w:rtl/>
        </w:rPr>
        <w:t>-</w:t>
      </w:r>
      <w:r>
        <w:rPr>
          <w:rFonts w:cs="FrankRuehl" w:hint="cs"/>
          <w:sz w:val="22"/>
          <w:szCs w:val="22"/>
          <w:rtl/>
        </w:rPr>
        <w:t xml:space="preserve"> 1,443 לספ"כ צה"ל ולמג"דים </w:t>
      </w:r>
      <w:r>
        <w:rPr>
          <w:rFonts w:cs="FrankRuehl"/>
          <w:sz w:val="22"/>
          <w:szCs w:val="22"/>
          <w:rtl/>
        </w:rPr>
        <w:br/>
      </w:r>
      <w:r>
        <w:rPr>
          <w:rFonts w:cs="FrankRuehl" w:hint="cs"/>
          <w:sz w:val="22"/>
          <w:szCs w:val="22"/>
          <w:rtl/>
        </w:rPr>
        <w:t xml:space="preserve">ו-2,187 לאורחי שר הביטחון. </w:t>
      </w:r>
    </w:p>
    <w:p w:rsidR="00000000">
      <w:pPr>
        <w:pStyle w:val="BodyText"/>
        <w:spacing w:before="0" w:after="0" w:line="180" w:lineRule="exact"/>
        <w:rPr>
          <w:rFonts w:hint="cs"/>
          <w:rtl/>
        </w:rPr>
      </w:pPr>
      <w:r>
        <w:rPr>
          <w:rtl/>
        </w:rPr>
        <w:br w:type="page"/>
      </w:r>
    </w:p>
    <w:p w:rsidR="00000000">
      <w:pPr>
        <w:pStyle w:val="RESHET"/>
        <w:spacing w:line="224" w:lineRule="exact"/>
        <w:rPr>
          <w:rFonts w:hint="cs"/>
          <w:strike/>
          <w:sz w:val="22"/>
          <w:rtl/>
        </w:rPr>
      </w:pPr>
      <w:r>
        <w:rPr>
          <w:rFonts w:hint="cs"/>
          <w:sz w:val="22"/>
          <w:rtl/>
        </w:rPr>
        <w:t>משמעות הנתונים היא שבמשך השנים 2009-2004 חל גידול של כ-60% במספר הכולל של ההזמנות שנשלחו, שעה שמספרן של ההזמנות שנשלחו לאורחי שר הביטחון גדל בכ-230%. הגידול במספר ההזמנות</w:t>
      </w:r>
      <w:r>
        <w:rPr>
          <w:rFonts w:hint="cs"/>
          <w:sz w:val="22"/>
          <w:rtl/>
        </w:rPr>
        <w:t xml:space="preserve"> לאורחי השר בולט במיוחד נוכח הירידה של כ-20% במספרן של ההזמנות שנשלחו לספ"כ צה"ל ולמג"דים בשנים 2009-2007</w:t>
      </w:r>
      <w:r>
        <w:rPr>
          <w:rStyle w:val="FootnoteReference"/>
          <w:sz w:val="22"/>
          <w:rtl/>
        </w:rPr>
        <w:footnoteReference w:id="8"/>
      </w:r>
      <w:r>
        <w:rPr>
          <w:rFonts w:hint="cs"/>
          <w:sz w:val="22"/>
          <w:rtl/>
        </w:rPr>
        <w:t xml:space="preserve">. </w:t>
      </w:r>
    </w:p>
    <w:p w:rsidR="00000000">
      <w:pPr>
        <w:pStyle w:val="BodyText"/>
        <w:spacing w:line="224" w:lineRule="exact"/>
        <w:rPr>
          <w:rFonts w:hint="cs"/>
          <w:rtl/>
        </w:rPr>
      </w:pPr>
      <w:r>
        <w:rPr>
          <w:rFonts w:hint="cs"/>
          <w:rtl/>
        </w:rPr>
        <w:t>בדיקת התהליך לקביעת רשימת המוזמנים בכלל ולקבלת הפנים שנערכה בשנת 2009 בפרט העלתה אי-סדרים מהותיים, בעיקר בנוגע להכנת רשימת המוזמנים בקבוצת "אורחי ש</w:t>
      </w:r>
      <w:r>
        <w:rPr>
          <w:rFonts w:hint="cs"/>
          <w:rtl/>
        </w:rPr>
        <w:t>ר הביטחון". להלן הפירוט:</w:t>
      </w:r>
    </w:p>
    <w:p w:rsidR="00000000" w:rsidP="00567571">
      <w:pPr>
        <w:numPr>
          <w:ilvl w:val="0"/>
          <w:numId w:val="2"/>
        </w:numPr>
        <w:tabs>
          <w:tab w:val="clear" w:pos="360"/>
        </w:tabs>
        <w:spacing w:after="120" w:line="224" w:lineRule="exact"/>
        <w:ind w:left="284" w:hanging="284"/>
        <w:jc w:val="both"/>
        <w:rPr>
          <w:rFonts w:cs="FrankRuehl" w:hint="cs"/>
          <w:sz w:val="22"/>
          <w:szCs w:val="22"/>
        </w:rPr>
      </w:pPr>
      <w:r>
        <w:rPr>
          <w:rFonts w:cs="FrankRuehl" w:hint="cs"/>
          <w:sz w:val="22"/>
          <w:szCs w:val="22"/>
          <w:rtl/>
        </w:rPr>
        <w:t>במשרד בכלל, לרבות בלשכת שר הביטחון, אין מסמך המגדיר את ייעודו של אירוע זה ובהמשך לכך את תוכנו. כמו כן, לא נקבע גורם אחראי על האירוע, מעבר לאחריות רמ"ט שר הביטחון בכל עניין הנוגע ללשכת השר ולא נקבעו כללים או אמות מידה, לא בנוגע לתמה</w:t>
      </w:r>
      <w:r>
        <w:rPr>
          <w:rFonts w:cs="FrankRuehl" w:hint="cs"/>
          <w:sz w:val="22"/>
          <w:szCs w:val="22"/>
          <w:rtl/>
        </w:rPr>
        <w:t>יל המוזמנים, לא בנוגע למספר הכולל של המוזמנים ולא בנוגע למספר אורחי שר הביטחון. בהיעדר גורם מרכז, האירוע מתנהל על פי קביעות משתנות של שרי הביטחון ועוזריהם, ללא בקרה ושליטה ראויה על רשימת המוזמנים בכללותה;</w:t>
      </w:r>
    </w:p>
    <w:p w:rsidR="00000000" w:rsidP="00567571">
      <w:pPr>
        <w:numPr>
          <w:ilvl w:val="0"/>
          <w:numId w:val="2"/>
        </w:numPr>
        <w:tabs>
          <w:tab w:val="clear" w:pos="360"/>
        </w:tabs>
        <w:spacing w:after="120" w:line="224" w:lineRule="exact"/>
        <w:ind w:left="284" w:hanging="284"/>
        <w:jc w:val="both"/>
        <w:rPr>
          <w:rFonts w:cs="FrankRuehl" w:hint="cs"/>
          <w:spacing w:val="-2"/>
          <w:sz w:val="22"/>
          <w:szCs w:val="22"/>
        </w:rPr>
      </w:pPr>
      <w:r>
        <w:rPr>
          <w:rFonts w:cs="FrankRuehl" w:hint="cs"/>
          <w:spacing w:val="-2"/>
          <w:sz w:val="22"/>
          <w:szCs w:val="22"/>
          <w:rtl/>
        </w:rPr>
        <w:t>רשימת אורחי שר הביטחון נקבעת על ידי השר ורעייתו, עו</w:t>
      </w:r>
      <w:r>
        <w:rPr>
          <w:rFonts w:cs="FrankRuehl" w:hint="cs"/>
          <w:spacing w:val="-2"/>
          <w:sz w:val="22"/>
          <w:szCs w:val="22"/>
          <w:rtl/>
        </w:rPr>
        <w:t>זריו ויועציו, ללא גורם מתאם ומרכז;</w:t>
      </w:r>
    </w:p>
    <w:p w:rsidR="00000000" w:rsidP="00567571">
      <w:pPr>
        <w:numPr>
          <w:ilvl w:val="0"/>
          <w:numId w:val="2"/>
        </w:numPr>
        <w:tabs>
          <w:tab w:val="clear" w:pos="360"/>
        </w:tabs>
        <w:spacing w:after="120" w:line="224" w:lineRule="exact"/>
        <w:ind w:left="284" w:hanging="284"/>
        <w:jc w:val="both"/>
        <w:rPr>
          <w:rFonts w:cs="FrankRuehl" w:hint="cs"/>
          <w:sz w:val="22"/>
          <w:szCs w:val="22"/>
        </w:rPr>
      </w:pPr>
      <w:r>
        <w:rPr>
          <w:rFonts w:cs="FrankRuehl" w:hint="cs"/>
          <w:sz w:val="22"/>
          <w:szCs w:val="22"/>
          <w:rtl/>
        </w:rPr>
        <w:t>לשכת שר הביטחון אינה מעבירה לאגף מבצעים לוגיסטיים ונכסים שבמשרד האחראי, כאמור, להדפסת ההזמנות ולהפצתן, רשימה אחת הכוללת את כל המוזמנים, אלא עוזרי השר ורמ"ט השר מעבירים רשימות חלקיות, המתעדכנות מספר פעמים עד האירוע;</w:t>
      </w:r>
    </w:p>
    <w:p w:rsidR="00000000" w:rsidP="00567571">
      <w:pPr>
        <w:numPr>
          <w:ilvl w:val="0"/>
          <w:numId w:val="2"/>
        </w:numPr>
        <w:tabs>
          <w:tab w:val="clear" w:pos="360"/>
        </w:tabs>
        <w:spacing w:after="240" w:line="224" w:lineRule="exact"/>
        <w:ind w:left="284" w:hanging="284"/>
        <w:jc w:val="both"/>
        <w:rPr>
          <w:rFonts w:cs="FrankRuehl" w:hint="cs"/>
          <w:sz w:val="22"/>
          <w:szCs w:val="22"/>
        </w:rPr>
      </w:pPr>
      <w:r>
        <w:rPr>
          <w:rFonts w:cs="FrankRuehl" w:hint="cs"/>
          <w:sz w:val="22"/>
          <w:szCs w:val="22"/>
          <w:rtl/>
        </w:rPr>
        <w:t>לחלק מ</w:t>
      </w:r>
      <w:r>
        <w:rPr>
          <w:rFonts w:cs="FrankRuehl" w:hint="cs"/>
          <w:sz w:val="22"/>
          <w:szCs w:val="22"/>
          <w:rtl/>
        </w:rPr>
        <w:t>המוזמנים נשלחו במקביל מספר הזמנות לכתובות שונות, וחלק אחר של המוזמנים הוזמנו כאורחי השר, וגם קיבלו הזמנה נוספת בגין השתייכותם לאחת מהקבוצות האחרות המוזמנות.</w:t>
      </w:r>
    </w:p>
    <w:p w:rsidR="00000000">
      <w:pPr>
        <w:pStyle w:val="RESHET"/>
        <w:spacing w:line="224" w:lineRule="exact"/>
        <w:rPr>
          <w:rFonts w:hint="cs"/>
          <w:sz w:val="22"/>
          <w:rtl/>
        </w:rPr>
      </w:pPr>
      <w:r>
        <w:rPr>
          <w:rFonts w:hint="cs"/>
          <w:sz w:val="22"/>
          <w:rtl/>
        </w:rPr>
        <w:t xml:space="preserve">משרד מבקר המדינה מעיר, כי התהליך לקביעת רשימת המוזמנים התנהל באופן לקוי ביסודו, ללא יד מכוונת וללא </w:t>
      </w:r>
      <w:r>
        <w:rPr>
          <w:rFonts w:hint="cs"/>
          <w:sz w:val="22"/>
          <w:rtl/>
        </w:rPr>
        <w:t>שליטה מרכזית. מעבר לכך, בשלוש השנים האחרונות חל גידול משמעותי ביותר במספר ההזמנות שנשלחו לאורחי שר הביטחון לעומת מספר ההזמנות שנשלחו לקבוצות האחרות. התנהלות שכזו, הנעשית שלא בהתאם לכללי מינהל תקין היא ליקוי מהותי, במיוחד כשמדובר במספר רב של אורחים, שלא ברו</w:t>
      </w:r>
      <w:r>
        <w:rPr>
          <w:rFonts w:hint="cs"/>
          <w:sz w:val="22"/>
          <w:rtl/>
        </w:rPr>
        <w:t xml:space="preserve">רה החשיבות והרלוונטיות שלהם לאירוע. הדבר חמור במיוחד כשמדובר באירוע ממלכתי מרכזי של מערכת הביטחון, הקבוע וידוע מראש ושיש לו נראות ציבורית בולטת. </w:t>
      </w:r>
    </w:p>
    <w:p w:rsidR="00000000">
      <w:pPr>
        <w:pStyle w:val="RESHET"/>
        <w:spacing w:line="224" w:lineRule="exact"/>
        <w:rPr>
          <w:rFonts w:hint="cs"/>
          <w:sz w:val="22"/>
          <w:rtl/>
        </w:rPr>
      </w:pPr>
      <w:r>
        <w:rPr>
          <w:rFonts w:hint="cs"/>
          <w:sz w:val="22"/>
          <w:rtl/>
        </w:rPr>
        <w:t>על כן, יש חשיבות שהנושא יתוקן לאלתר גם במהותו וגם בנראותו הציבורית, ושייקבעו כללים לארגון ולקיום אירוע זה, אות</w:t>
      </w:r>
      <w:r>
        <w:rPr>
          <w:rFonts w:hint="cs"/>
          <w:sz w:val="22"/>
          <w:rtl/>
        </w:rPr>
        <w:t>ם יאשר שר הביטחון. על כללים אלה להתייחס, בין היתר, לייעוד האירוע ולתוכנו, למהות קבוצות המוזמנים, לתמהיל המוזמנים, למספרם הכולל ולמספר אורחי שר הביטחון. כמו כן, על הכללים לקבוע מי הם בעלי התפקידים המופקדים על הכנת רשימת המוזמנים, ומי הגורם הנושא באחריות הכו</w:t>
      </w:r>
      <w:r>
        <w:rPr>
          <w:rFonts w:hint="cs"/>
          <w:sz w:val="22"/>
          <w:rtl/>
        </w:rPr>
        <w:t>ללת לנושא ולריכוזו. כל זאת, כדי להבטיח, כי כבר באירוע המתוכנן להתקיים במאי 2010, במוצאי יום העצמאות ה-62 למדינת ישראל, יבואו על תיקונם הליקויים שעליהם מצביע משרד מבקר המדינה עתה.</w:t>
      </w:r>
    </w:p>
    <w:p w:rsidR="00000000">
      <w:pPr>
        <w:spacing w:before="180" w:after="120" w:line="230" w:lineRule="exact"/>
        <w:jc w:val="both"/>
        <w:rPr>
          <w:rFonts w:cs="FrankRuehl" w:hint="cs"/>
          <w:sz w:val="22"/>
          <w:szCs w:val="22"/>
          <w:rtl/>
        </w:rPr>
      </w:pPr>
      <w:r>
        <w:rPr>
          <w:rFonts w:cs="FrankRuehl"/>
          <w:sz w:val="22"/>
          <w:szCs w:val="22"/>
          <w:rtl/>
        </w:rPr>
        <w:br w:type="page"/>
      </w:r>
      <w:r>
        <w:rPr>
          <w:rFonts w:cs="FrankRuehl" w:hint="cs"/>
          <w:sz w:val="22"/>
          <w:szCs w:val="22"/>
          <w:rtl/>
        </w:rPr>
        <w:t>בפברואר 2010 הודיע שר הביטחון למבקר המדינה, כי הערות הביקורת מקובלות, וכי בע</w:t>
      </w:r>
      <w:r>
        <w:rPr>
          <w:rFonts w:cs="FrankRuehl" w:hint="cs"/>
          <w:sz w:val="22"/>
          <w:szCs w:val="22"/>
          <w:rtl/>
        </w:rPr>
        <w:t>קבותיהן, "בימים אלה אנו פועלים ליישום הלקחים על מנת ששליחת ההזמנות לקבלת הפנים במוצאי יום העצמאות התש"ע-2010, תבוצע בהתאם לכללים ברורים, תוך התייחסות לקבוצות המוזמנים, לתמהיל הנכון ולהיקפים השונים". עוד הוסיף שר הביטחון, כי "הוקמה ועדה מייעצת, העוסקת במכלו</w:t>
      </w:r>
      <w:r>
        <w:rPr>
          <w:rFonts w:cs="FrankRuehl" w:hint="cs"/>
          <w:sz w:val="22"/>
          <w:szCs w:val="22"/>
          <w:rtl/>
        </w:rPr>
        <w:t>ל הסוגיות הנוגעות להיערכות לקבלת הפנים, כך שאירוע קבלת פנים המתקיים ברחבת משרד הביטחון במוצאי יום העצמאות, יוסיף להיות אירוע ממלכתי, חשוב, מרכזי מכובד".</w:t>
      </w:r>
    </w:p>
    <w:p w:rsidR="00000000">
      <w:pPr>
        <w:tabs>
          <w:tab w:val="center" w:pos="4746"/>
        </w:tabs>
        <w:spacing w:line="240" w:lineRule="atLeast"/>
        <w:rPr>
          <w:rtl/>
        </w:rPr>
      </w:pPr>
    </w:p>
    <w:p w:rsidR="00000000">
      <w:pPr>
        <w:tabs>
          <w:tab w:val="center" w:pos="4746"/>
        </w:tabs>
        <w:spacing w:line="240" w:lineRule="atLeast"/>
        <w:rPr>
          <w:rFonts w:hint="cs"/>
          <w:rtl/>
        </w:rPr>
      </w:pPr>
      <w:r>
        <w:rPr>
          <w:rFonts w:hint="cs"/>
          <w:rtl/>
        </w:rPr>
        <w:tab/>
      </w:r>
      <w:r>
        <w:rPr>
          <w:noProof/>
        </w:rPr>
        <w:drawing>
          <wp:inline distT="0" distB="0" distL="0" distR="0">
            <wp:extent cx="1600200" cy="1000125"/>
            <wp:effectExtent l="0" t="0" r="0" b="9525"/>
            <wp:docPr id="3" name="תמונה 3"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64611" name="Picture 3" descr="חתימה_TIF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000125"/>
                    </a:xfrm>
                    <a:prstGeom prst="rect">
                      <a:avLst/>
                    </a:prstGeom>
                    <a:noFill/>
                    <a:ln>
                      <a:noFill/>
                    </a:ln>
                  </pic:spPr>
                </pic:pic>
              </a:graphicData>
            </a:graphic>
          </wp:inline>
        </w:drawing>
      </w:r>
    </w:p>
    <w:p w:rsidR="00000000">
      <w:pPr>
        <w:tabs>
          <w:tab w:val="center" w:pos="4746"/>
        </w:tabs>
        <w:spacing w:line="280" w:lineRule="exact"/>
        <w:rPr>
          <w:rFonts w:hint="cs"/>
          <w:b/>
          <w:bCs/>
          <w:rtl/>
          <w:lang w:eastAsia="he-IL"/>
        </w:rPr>
      </w:pPr>
      <w:r>
        <w:rPr>
          <w:rFonts w:hint="cs"/>
          <w:b/>
          <w:bCs/>
          <w:rtl/>
          <w:lang w:eastAsia="he-IL"/>
        </w:rPr>
        <w:tab/>
        <w:t>מיכה לינדנשטראוס, שופט (בדימ')</w:t>
      </w:r>
    </w:p>
    <w:p w:rsidR="00000000">
      <w:pPr>
        <w:tabs>
          <w:tab w:val="center" w:pos="4746"/>
        </w:tabs>
        <w:spacing w:line="280" w:lineRule="exact"/>
        <w:rPr>
          <w:rFonts w:hint="cs"/>
          <w:rtl/>
          <w:lang w:eastAsia="he-IL"/>
        </w:rPr>
      </w:pPr>
      <w:r>
        <w:rPr>
          <w:rFonts w:hint="cs"/>
          <w:rtl/>
          <w:lang w:eastAsia="he-IL"/>
        </w:rPr>
        <w:tab/>
        <w:t>מבקר המדינה</w:t>
      </w:r>
    </w:p>
    <w:p w:rsidR="00000000">
      <w:pPr>
        <w:tabs>
          <w:tab w:val="center" w:pos="4746"/>
        </w:tabs>
        <w:spacing w:line="280" w:lineRule="exact"/>
        <w:rPr>
          <w:rFonts w:hint="cs"/>
          <w:rtl/>
          <w:lang w:eastAsia="he-IL"/>
        </w:rPr>
      </w:pPr>
      <w:r>
        <w:rPr>
          <w:rFonts w:hint="cs"/>
          <w:rtl/>
          <w:lang w:eastAsia="he-IL"/>
        </w:rPr>
        <w:tab/>
        <w:t>ונציב תלונות הציבור</w:t>
      </w:r>
    </w:p>
    <w:p w:rsidR="00000000">
      <w:pPr>
        <w:tabs>
          <w:tab w:val="left" w:pos="898"/>
        </w:tabs>
        <w:rPr>
          <w:rFonts w:hint="cs"/>
          <w:sz w:val="22"/>
          <w:szCs w:val="22"/>
          <w:rtl/>
        </w:rPr>
      </w:pPr>
      <w:r>
        <w:rPr>
          <w:rFonts w:hint="cs"/>
          <w:sz w:val="22"/>
          <w:szCs w:val="22"/>
          <w:rtl/>
        </w:rPr>
        <w:t xml:space="preserve">ירושלים, </w:t>
      </w:r>
      <w:r>
        <w:rPr>
          <w:rFonts w:hint="cs"/>
          <w:sz w:val="22"/>
          <w:szCs w:val="22"/>
          <w:rtl/>
        </w:rPr>
        <w:tab/>
        <w:t>ניסן התש"ע</w:t>
      </w:r>
    </w:p>
    <w:p w:rsidR="00000000">
      <w:pPr>
        <w:tabs>
          <w:tab w:val="left" w:pos="898"/>
        </w:tabs>
        <w:rPr>
          <w:rFonts w:hint="cs"/>
          <w:sz w:val="22"/>
          <w:szCs w:val="22"/>
          <w:rtl/>
        </w:rPr>
      </w:pPr>
      <w:r>
        <w:rPr>
          <w:rFonts w:hint="cs"/>
          <w:sz w:val="22"/>
          <w:szCs w:val="22"/>
          <w:rtl/>
        </w:rPr>
        <w:tab/>
        <w:t>מרץ 2010</w:t>
      </w:r>
    </w:p>
    <w:p w:rsidR="00000000">
      <w:pPr>
        <w:tabs>
          <w:tab w:val="left" w:pos="898"/>
        </w:tabs>
        <w:rPr>
          <w:rFonts w:hint="cs"/>
          <w:sz w:val="22"/>
          <w:szCs w:val="22"/>
          <w:rtl/>
        </w:rPr>
      </w:pPr>
    </w:p>
    <w:p w:rsidR="00000000">
      <w:pPr>
        <w:spacing w:after="120" w:line="230" w:lineRule="exact"/>
        <w:jc w:val="center"/>
        <w:rPr>
          <w:rFonts w:hint="cs"/>
          <w:sz w:val="20"/>
          <w:szCs w:val="20"/>
          <w:rtl/>
        </w:rPr>
      </w:pPr>
      <w:r>
        <w:rPr>
          <w:b/>
          <w:bCs/>
          <w:rtl/>
        </w:rPr>
        <w:br w:type="page"/>
      </w:r>
      <w:r>
        <w:rPr>
          <w:rFonts w:hint="cs"/>
          <w:sz w:val="20"/>
          <w:szCs w:val="20"/>
          <w:rtl/>
        </w:rPr>
        <w:t>נספח</w:t>
      </w:r>
    </w:p>
    <w:p w:rsidR="00000000">
      <w:pPr>
        <w:spacing w:after="120" w:line="230" w:lineRule="exact"/>
        <w:jc w:val="both"/>
        <w:rPr>
          <w:rFonts w:hint="cs"/>
          <w:b/>
          <w:bCs/>
          <w:sz w:val="22"/>
          <w:szCs w:val="22"/>
          <w:rtl/>
        </w:rPr>
      </w:pPr>
      <w:r>
        <w:rPr>
          <w:rFonts w:hint="cs"/>
          <w:b/>
          <w:bCs/>
          <w:sz w:val="22"/>
          <w:szCs w:val="22"/>
          <w:rtl/>
        </w:rPr>
        <w:t>פירוט מספר ההזמנות הזוגיות שנשלחו על פי הקבוצות השונות בשנים 2004-2009*</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874"/>
        <w:gridCol w:w="875"/>
        <w:gridCol w:w="875"/>
        <w:gridCol w:w="922"/>
        <w:gridCol w:w="922"/>
        <w:gridCol w:w="2223"/>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trHeight w:val="20"/>
          <w:jc w:val="center"/>
        </w:trPr>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2009</w:t>
            </w:r>
          </w:p>
          <w:p w:rsidR="00000000">
            <w:pPr>
              <w:spacing w:before="40" w:after="20" w:line="220" w:lineRule="exact"/>
              <w:jc w:val="center"/>
              <w:rPr>
                <w:rFonts w:cs="FrankRuehl" w:hint="cs"/>
                <w:b/>
                <w:bCs/>
                <w:sz w:val="20"/>
                <w:szCs w:val="20"/>
                <w:rtl/>
              </w:rPr>
            </w:pPr>
            <w:r>
              <w:rPr>
                <w:rFonts w:cs="FrankRuehl" w:hint="cs"/>
                <w:b/>
                <w:bCs/>
                <w:sz w:val="20"/>
                <w:szCs w:val="20"/>
                <w:rtl/>
              </w:rPr>
              <w:t>(השר ברק)</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2008</w:t>
            </w:r>
          </w:p>
          <w:p w:rsidR="00000000">
            <w:pPr>
              <w:spacing w:before="40" w:after="20" w:line="220" w:lineRule="exact"/>
              <w:jc w:val="center"/>
              <w:rPr>
                <w:rFonts w:cs="FrankRuehl" w:hint="cs"/>
                <w:b/>
                <w:bCs/>
                <w:sz w:val="20"/>
                <w:szCs w:val="20"/>
                <w:rtl/>
              </w:rPr>
            </w:pPr>
            <w:r>
              <w:rPr>
                <w:rFonts w:cs="FrankRuehl" w:hint="cs"/>
                <w:b/>
                <w:bCs/>
                <w:sz w:val="20"/>
                <w:szCs w:val="20"/>
                <w:rtl/>
              </w:rPr>
              <w:t>(השר ברק)</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2007</w:t>
            </w:r>
          </w:p>
          <w:p w:rsidR="00000000">
            <w:pPr>
              <w:spacing w:before="40" w:after="20" w:line="220" w:lineRule="exact"/>
              <w:jc w:val="center"/>
              <w:rPr>
                <w:rFonts w:cs="FrankRuehl" w:hint="cs"/>
                <w:b/>
                <w:bCs/>
                <w:sz w:val="20"/>
                <w:szCs w:val="20"/>
                <w:rtl/>
              </w:rPr>
            </w:pPr>
            <w:r>
              <w:rPr>
                <w:rFonts w:cs="FrankRuehl" w:hint="cs"/>
                <w:b/>
                <w:bCs/>
                <w:sz w:val="20"/>
                <w:szCs w:val="20"/>
                <w:rtl/>
              </w:rPr>
              <w:t>(השר פרץ)</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2005</w:t>
            </w:r>
          </w:p>
          <w:p w:rsidR="00000000">
            <w:pPr>
              <w:spacing w:before="40" w:after="20" w:line="220" w:lineRule="exact"/>
              <w:jc w:val="center"/>
              <w:rPr>
                <w:rFonts w:cs="FrankRuehl" w:hint="cs"/>
                <w:b/>
                <w:bCs/>
                <w:sz w:val="20"/>
                <w:szCs w:val="20"/>
                <w:rtl/>
              </w:rPr>
            </w:pPr>
            <w:r>
              <w:rPr>
                <w:rFonts w:cs="FrankRuehl" w:hint="cs"/>
                <w:b/>
                <w:bCs/>
                <w:sz w:val="20"/>
                <w:szCs w:val="20"/>
                <w:rtl/>
              </w:rPr>
              <w:t>(השר מופז)</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2004</w:t>
            </w:r>
          </w:p>
          <w:p w:rsidR="00000000">
            <w:pPr>
              <w:spacing w:before="40" w:after="20" w:line="220" w:lineRule="exact"/>
              <w:jc w:val="center"/>
              <w:rPr>
                <w:rFonts w:cs="FrankRuehl" w:hint="cs"/>
                <w:b/>
                <w:bCs/>
                <w:sz w:val="20"/>
                <w:szCs w:val="20"/>
                <w:rtl/>
              </w:rPr>
            </w:pPr>
            <w:r>
              <w:rPr>
                <w:rFonts w:cs="FrankRuehl" w:hint="cs"/>
                <w:b/>
                <w:bCs/>
                <w:sz w:val="20"/>
                <w:szCs w:val="20"/>
                <w:rtl/>
              </w:rPr>
              <w:t>(השר מופז)</w:t>
            </w:r>
          </w:p>
        </w:tc>
        <w:tc>
          <w:tcPr>
            <w:tcW w:w="0" w:type="auto"/>
            <w:tcBorders>
              <w:top w:val="single" w:sz="12" w:space="0" w:color="auto"/>
              <w:bottom w:val="single" w:sz="12" w:space="0" w:color="auto"/>
            </w:tcBorders>
            <w:shd w:val="pct10" w:color="auto" w:fill="auto"/>
            <w:vAlign w:val="bottom"/>
          </w:tcPr>
          <w:p w:rsidR="00000000">
            <w:pPr>
              <w:pStyle w:val="Heading3"/>
              <w:spacing w:before="40" w:after="20" w:line="220" w:lineRule="exact"/>
              <w:jc w:val="center"/>
              <w:rPr>
                <w:rFonts w:cs="FrankRuehl" w:hint="cs"/>
                <w:sz w:val="20"/>
                <w:szCs w:val="20"/>
                <w:rtl/>
              </w:rPr>
            </w:pPr>
            <w:r>
              <w:rPr>
                <w:rFonts w:cs="FrankRuehl" w:hint="cs"/>
                <w:sz w:val="20"/>
                <w:szCs w:val="20"/>
                <w:rtl/>
              </w:rPr>
              <w:t>קבוצות</w:t>
            </w:r>
          </w:p>
        </w:tc>
      </w:tr>
      <w:tr>
        <w:tblPrEx>
          <w:tblW w:w="6691" w:type="dxa"/>
          <w:jc w:val="center"/>
          <w:tblCellMar>
            <w:left w:w="57" w:type="dxa"/>
            <w:right w:w="57" w:type="dxa"/>
          </w:tblCellMar>
          <w:tblLook w:val="01E0"/>
        </w:tblPrEx>
        <w:trPr>
          <w:trHeight w:val="20"/>
          <w:jc w:val="center"/>
        </w:trPr>
        <w:tc>
          <w:tcPr>
            <w:tcW w:w="0" w:type="auto"/>
            <w:tcBorders>
              <w:top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1,443</w:t>
            </w:r>
          </w:p>
        </w:tc>
        <w:tc>
          <w:tcPr>
            <w:tcW w:w="0" w:type="auto"/>
            <w:tcBorders>
              <w:top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1,499</w:t>
            </w:r>
          </w:p>
        </w:tc>
        <w:tc>
          <w:tcPr>
            <w:tcW w:w="0" w:type="auto"/>
            <w:tcBorders>
              <w:top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1,820</w:t>
            </w:r>
          </w:p>
        </w:tc>
        <w:tc>
          <w:tcPr>
            <w:tcW w:w="0" w:type="auto"/>
            <w:tcBorders>
              <w:top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1,798</w:t>
            </w:r>
          </w:p>
        </w:tc>
        <w:tc>
          <w:tcPr>
            <w:tcW w:w="0" w:type="auto"/>
            <w:tcBorders>
              <w:top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1,821</w:t>
            </w:r>
          </w:p>
        </w:tc>
        <w:tc>
          <w:tcPr>
            <w:tcW w:w="0" w:type="auto"/>
            <w:tcBorders>
              <w:top w:val="single" w:sz="12" w:space="0" w:color="auto"/>
            </w:tcBorders>
            <w:vAlign w:val="center"/>
          </w:tcPr>
          <w:p w:rsidR="00000000">
            <w:pPr>
              <w:pStyle w:val="FootnoteText"/>
              <w:spacing w:before="40" w:after="20" w:line="220" w:lineRule="exact"/>
              <w:rPr>
                <w:rFonts w:cs="FrankRuehl" w:hint="cs"/>
                <w:rtl/>
              </w:rPr>
            </w:pPr>
            <w:r>
              <w:rPr>
                <w:rFonts w:cs="FrankRuehl" w:hint="cs"/>
                <w:rtl/>
              </w:rPr>
              <w:t>ספ"כ צה"ל ומג"דים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655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667</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534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509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431</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נציגי המשרד</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21</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מג"ב</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25</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מ"י</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17</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17</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14</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שב"ס</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144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140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126</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126</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תעשיות ביטחוניות</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מוסד</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שב"כ</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49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51</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ארגון נכי צה"ל</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26</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17</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16</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מועצה ציבורית להנצחת החייל</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97</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162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141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154</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אלמנות</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45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62</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משפחו</w:t>
            </w:r>
            <w:r>
              <w:rPr>
                <w:rFonts w:cs="FrankRuehl" w:hint="cs"/>
                <w:sz w:val="20"/>
                <w:szCs w:val="20"/>
                <w:rtl/>
              </w:rPr>
              <w:t>ת שכולות</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73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73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40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38</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38</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ארגון יד לבנים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36</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משפחות נעדרים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ארגון אלמנות ויתומי צה"ל</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28</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ארגון נפגעי פעולות איבה</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39</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בעלי עיטור גבורה</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 xml:space="preserve">151 </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136</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70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כתבים צבאיים ועיתונאים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100</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נספחים צבאיי</w:t>
            </w:r>
            <w:r>
              <w:rPr>
                <w:rFonts w:cs="FrankRuehl" w:hint="cs"/>
                <w:sz w:val="20"/>
                <w:szCs w:val="20"/>
                <w:rtl/>
              </w:rPr>
              <w:t>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243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248</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191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ראשי ערים ומועצות</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211</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212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225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סגל א' מדינה</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28</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מנהלי בתי חולים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800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פרויקט "עתידים"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35</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ראשי מכינות צבאיות</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68</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50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וטרנים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83</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62</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קב"טים</w:t>
            </w:r>
          </w:p>
        </w:tc>
      </w:tr>
      <w:tr>
        <w:tblPrEx>
          <w:tblW w:w="6691" w:type="dxa"/>
          <w:jc w:val="center"/>
          <w:tblCellMar>
            <w:left w:w="57" w:type="dxa"/>
            <w:right w:w="57" w:type="dxa"/>
          </w:tblCellMar>
          <w:tblLook w:val="01E0"/>
        </w:tblPrEx>
        <w:trPr>
          <w:trHeight w:val="20"/>
          <w:jc w:val="center"/>
        </w:trPr>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154</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160</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ind w:left="170"/>
              <w:rPr>
                <w:rFonts w:cs="FrankRuehl" w:hint="cs"/>
                <w:sz w:val="20"/>
                <w:szCs w:val="20"/>
                <w:rtl/>
              </w:rPr>
            </w:pPr>
            <w:r>
              <w:rPr>
                <w:rFonts w:cs="FrankRuehl" w:hint="cs"/>
                <w:sz w:val="20"/>
                <w:szCs w:val="20"/>
                <w:rtl/>
              </w:rPr>
              <w:t>-</w:t>
            </w:r>
          </w:p>
        </w:tc>
        <w:tc>
          <w:tcPr>
            <w:tcW w:w="0" w:type="auto"/>
            <w:vAlign w:val="center"/>
          </w:tcPr>
          <w:p w:rsidR="00000000">
            <w:pPr>
              <w:spacing w:before="40" w:after="20" w:line="220" w:lineRule="exact"/>
              <w:rPr>
                <w:rFonts w:cs="FrankRuehl" w:hint="cs"/>
                <w:sz w:val="20"/>
                <w:szCs w:val="20"/>
                <w:rtl/>
              </w:rPr>
            </w:pPr>
            <w:r>
              <w:rPr>
                <w:rFonts w:cs="FrankRuehl" w:hint="cs"/>
                <w:sz w:val="20"/>
                <w:szCs w:val="20"/>
                <w:rtl/>
              </w:rPr>
              <w:t>אורחי סגן שר הביטחון</w:t>
            </w:r>
          </w:p>
        </w:tc>
      </w:tr>
      <w:tr>
        <w:tblPrEx>
          <w:tblW w:w="6691" w:type="dxa"/>
          <w:jc w:val="center"/>
          <w:tblCellMar>
            <w:left w:w="57" w:type="dxa"/>
            <w:right w:w="57" w:type="dxa"/>
          </w:tblCellMar>
          <w:tblLook w:val="01E0"/>
        </w:tblPrEx>
        <w:trPr>
          <w:trHeight w:val="20"/>
          <w:jc w:val="center"/>
        </w:trPr>
        <w:tc>
          <w:tcPr>
            <w:tcW w:w="0" w:type="auto"/>
            <w:tcBorders>
              <w:bottom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2,187</w:t>
            </w:r>
          </w:p>
        </w:tc>
        <w:tc>
          <w:tcPr>
            <w:tcW w:w="0" w:type="auto"/>
            <w:tcBorders>
              <w:bottom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1,758</w:t>
            </w:r>
          </w:p>
        </w:tc>
        <w:tc>
          <w:tcPr>
            <w:tcW w:w="0" w:type="auto"/>
            <w:tcBorders>
              <w:bottom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1,536</w:t>
            </w:r>
          </w:p>
        </w:tc>
        <w:tc>
          <w:tcPr>
            <w:tcW w:w="0" w:type="auto"/>
            <w:tcBorders>
              <w:bottom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8</w:t>
            </w:r>
            <w:r>
              <w:rPr>
                <w:rFonts w:cs="FrankRuehl" w:hint="cs"/>
                <w:sz w:val="20"/>
                <w:szCs w:val="20"/>
                <w:rtl/>
              </w:rPr>
              <w:t>76</w:t>
            </w:r>
          </w:p>
        </w:tc>
        <w:tc>
          <w:tcPr>
            <w:tcW w:w="0" w:type="auto"/>
            <w:tcBorders>
              <w:bottom w:val="single" w:sz="12" w:space="0" w:color="auto"/>
            </w:tcBorders>
            <w:vAlign w:val="center"/>
          </w:tcPr>
          <w:p w:rsidR="00000000">
            <w:pPr>
              <w:spacing w:before="40" w:after="20" w:line="220" w:lineRule="exact"/>
              <w:ind w:left="170"/>
              <w:rPr>
                <w:rFonts w:cs="FrankRuehl" w:hint="cs"/>
                <w:sz w:val="20"/>
                <w:szCs w:val="20"/>
                <w:rtl/>
              </w:rPr>
            </w:pPr>
            <w:r>
              <w:rPr>
                <w:rFonts w:cs="FrankRuehl" w:hint="cs"/>
                <w:sz w:val="20"/>
                <w:szCs w:val="20"/>
                <w:rtl/>
              </w:rPr>
              <w:t>660</w:t>
            </w:r>
          </w:p>
        </w:tc>
        <w:tc>
          <w:tcPr>
            <w:tcW w:w="0" w:type="auto"/>
            <w:tcBorders>
              <w:bottom w:val="single" w:sz="12" w:space="0" w:color="auto"/>
            </w:tcBorders>
            <w:vAlign w:val="center"/>
          </w:tcPr>
          <w:p w:rsidR="00000000">
            <w:pPr>
              <w:spacing w:before="40" w:after="20" w:line="220" w:lineRule="exact"/>
              <w:rPr>
                <w:rFonts w:cs="FrankRuehl" w:hint="cs"/>
                <w:sz w:val="20"/>
                <w:szCs w:val="20"/>
                <w:rtl/>
              </w:rPr>
            </w:pPr>
            <w:r>
              <w:rPr>
                <w:rFonts w:cs="FrankRuehl" w:hint="cs"/>
                <w:sz w:val="20"/>
                <w:szCs w:val="20"/>
                <w:rtl/>
              </w:rPr>
              <w:t>אורחי שר הביטחון</w:t>
            </w:r>
          </w:p>
        </w:tc>
      </w:tr>
      <w:tr>
        <w:tblPrEx>
          <w:tblW w:w="6691" w:type="dxa"/>
          <w:jc w:val="center"/>
          <w:tblCellMar>
            <w:left w:w="57" w:type="dxa"/>
            <w:right w:w="57" w:type="dxa"/>
          </w:tblCellMar>
          <w:tblLook w:val="01E0"/>
        </w:tblPrEx>
        <w:trPr>
          <w:trHeight w:val="20"/>
          <w:jc w:val="center"/>
        </w:trPr>
        <w:tc>
          <w:tcPr>
            <w:tcW w:w="0" w:type="auto"/>
            <w:tcBorders>
              <w:top w:val="single" w:sz="12" w:space="0" w:color="auto"/>
              <w:bottom w:val="single" w:sz="12" w:space="0" w:color="auto"/>
            </w:tcBorders>
            <w:shd w:val="pct10" w:color="auto" w:fill="auto"/>
            <w:vAlign w:val="center"/>
          </w:tcPr>
          <w:p w:rsidR="00000000">
            <w:pPr>
              <w:spacing w:before="40" w:after="20" w:line="220" w:lineRule="exact"/>
              <w:ind w:left="170"/>
              <w:rPr>
                <w:rFonts w:cs="FrankRuehl" w:hint="cs"/>
                <w:b/>
                <w:bCs/>
                <w:sz w:val="20"/>
                <w:szCs w:val="20"/>
                <w:rtl/>
              </w:rPr>
            </w:pPr>
            <w:r>
              <w:rPr>
                <w:rFonts w:cs="FrankRuehl" w:hint="cs"/>
                <w:b/>
                <w:bCs/>
                <w:sz w:val="20"/>
                <w:szCs w:val="20"/>
                <w:rtl/>
              </w:rPr>
              <w:t>6,063</w:t>
            </w:r>
          </w:p>
        </w:tc>
        <w:tc>
          <w:tcPr>
            <w:tcW w:w="0" w:type="auto"/>
            <w:tcBorders>
              <w:top w:val="single" w:sz="12" w:space="0" w:color="auto"/>
              <w:bottom w:val="single" w:sz="12" w:space="0" w:color="auto"/>
            </w:tcBorders>
            <w:shd w:val="pct10" w:color="auto" w:fill="auto"/>
            <w:vAlign w:val="center"/>
          </w:tcPr>
          <w:p w:rsidR="00000000">
            <w:pPr>
              <w:spacing w:before="40" w:after="20" w:line="220" w:lineRule="exact"/>
              <w:ind w:left="170"/>
              <w:rPr>
                <w:rFonts w:cs="FrankRuehl" w:hint="cs"/>
                <w:b/>
                <w:bCs/>
                <w:sz w:val="20"/>
                <w:szCs w:val="20"/>
                <w:rtl/>
              </w:rPr>
            </w:pPr>
            <w:r>
              <w:rPr>
                <w:rFonts w:cs="FrankRuehl" w:hint="cs"/>
                <w:b/>
                <w:bCs/>
                <w:sz w:val="20"/>
                <w:szCs w:val="20"/>
                <w:rtl/>
              </w:rPr>
              <w:t>5,605</w:t>
            </w:r>
          </w:p>
        </w:tc>
        <w:tc>
          <w:tcPr>
            <w:tcW w:w="0" w:type="auto"/>
            <w:tcBorders>
              <w:top w:val="single" w:sz="12" w:space="0" w:color="auto"/>
              <w:bottom w:val="single" w:sz="12" w:space="0" w:color="auto"/>
            </w:tcBorders>
            <w:shd w:val="pct10" w:color="auto" w:fill="auto"/>
            <w:vAlign w:val="center"/>
          </w:tcPr>
          <w:p w:rsidR="00000000">
            <w:pPr>
              <w:spacing w:before="40" w:after="20" w:line="220" w:lineRule="exact"/>
              <w:ind w:left="170"/>
              <w:rPr>
                <w:rFonts w:cs="FrankRuehl" w:hint="cs"/>
                <w:b/>
                <w:bCs/>
                <w:sz w:val="20"/>
                <w:szCs w:val="20"/>
                <w:rtl/>
              </w:rPr>
            </w:pPr>
            <w:r>
              <w:rPr>
                <w:rFonts w:cs="FrankRuehl" w:hint="cs"/>
                <w:b/>
                <w:bCs/>
                <w:sz w:val="20"/>
                <w:szCs w:val="20"/>
                <w:rtl/>
              </w:rPr>
              <w:t>5,187</w:t>
            </w:r>
          </w:p>
        </w:tc>
        <w:tc>
          <w:tcPr>
            <w:tcW w:w="0" w:type="auto"/>
            <w:tcBorders>
              <w:top w:val="single" w:sz="12" w:space="0" w:color="auto"/>
              <w:bottom w:val="single" w:sz="12" w:space="0" w:color="auto"/>
            </w:tcBorders>
            <w:shd w:val="pct10" w:color="auto" w:fill="auto"/>
            <w:vAlign w:val="center"/>
          </w:tcPr>
          <w:p w:rsidR="00000000">
            <w:pPr>
              <w:spacing w:before="40" w:after="20" w:line="220" w:lineRule="exact"/>
              <w:ind w:left="170"/>
              <w:rPr>
                <w:rFonts w:cs="FrankRuehl" w:hint="cs"/>
                <w:b/>
                <w:bCs/>
                <w:sz w:val="20"/>
                <w:szCs w:val="20"/>
                <w:rtl/>
              </w:rPr>
            </w:pPr>
            <w:r>
              <w:rPr>
                <w:rFonts w:cs="FrankRuehl" w:hint="cs"/>
                <w:b/>
                <w:bCs/>
                <w:sz w:val="20"/>
                <w:szCs w:val="20"/>
                <w:rtl/>
              </w:rPr>
              <w:t>5,178</w:t>
            </w:r>
          </w:p>
        </w:tc>
        <w:tc>
          <w:tcPr>
            <w:tcW w:w="0" w:type="auto"/>
            <w:tcBorders>
              <w:top w:val="single" w:sz="12" w:space="0" w:color="auto"/>
              <w:bottom w:val="single" w:sz="12" w:space="0" w:color="auto"/>
            </w:tcBorders>
            <w:shd w:val="pct10" w:color="auto" w:fill="auto"/>
            <w:vAlign w:val="center"/>
          </w:tcPr>
          <w:p w:rsidR="00000000">
            <w:pPr>
              <w:spacing w:before="40" w:after="20" w:line="220" w:lineRule="exact"/>
              <w:ind w:left="170"/>
              <w:rPr>
                <w:rFonts w:cs="FrankRuehl" w:hint="cs"/>
                <w:b/>
                <w:bCs/>
                <w:sz w:val="20"/>
                <w:szCs w:val="20"/>
                <w:rtl/>
              </w:rPr>
            </w:pPr>
            <w:r>
              <w:rPr>
                <w:rFonts w:cs="FrankRuehl" w:hint="cs"/>
                <w:b/>
                <w:bCs/>
                <w:sz w:val="20"/>
                <w:szCs w:val="20"/>
                <w:rtl/>
              </w:rPr>
              <w:t>3,793</w:t>
            </w:r>
          </w:p>
        </w:tc>
        <w:tc>
          <w:tcPr>
            <w:tcW w:w="0" w:type="auto"/>
            <w:tcBorders>
              <w:top w:val="single" w:sz="12" w:space="0" w:color="auto"/>
              <w:bottom w:val="single" w:sz="12" w:space="0" w:color="auto"/>
            </w:tcBorders>
            <w:shd w:val="pct10" w:color="auto" w:fill="auto"/>
            <w:vAlign w:val="center"/>
          </w:tcPr>
          <w:p w:rsidR="00000000">
            <w:pPr>
              <w:spacing w:before="40" w:after="20" w:line="220" w:lineRule="exact"/>
              <w:jc w:val="right"/>
              <w:rPr>
                <w:rFonts w:cs="FrankRuehl" w:hint="cs"/>
                <w:b/>
                <w:bCs/>
                <w:sz w:val="20"/>
                <w:szCs w:val="20"/>
                <w:rtl/>
              </w:rPr>
            </w:pPr>
            <w:r>
              <w:rPr>
                <w:rFonts w:cs="FrankRuehl" w:hint="cs"/>
                <w:b/>
                <w:bCs/>
                <w:sz w:val="20"/>
                <w:szCs w:val="20"/>
                <w:rtl/>
              </w:rPr>
              <w:t>ס"ה</w:t>
            </w:r>
          </w:p>
        </w:tc>
      </w:tr>
    </w:tbl>
    <w:p w:rsidR="00000000">
      <w:pPr>
        <w:pStyle w:val="BodyTextIndent2"/>
        <w:rPr>
          <w:rFonts w:hint="cs"/>
          <w:rtl/>
        </w:rPr>
      </w:pPr>
      <w:r>
        <w:rPr>
          <w:rFonts w:hint="cs"/>
          <w:rtl/>
        </w:rPr>
        <w:t>*</w:t>
      </w:r>
      <w:r>
        <w:rPr>
          <w:rFonts w:hint="cs"/>
          <w:rtl/>
        </w:rPr>
        <w:tab/>
        <w:t>קבלת הפנים שתוכננה לרגל יום העצמאות התשס"ו-2006 בוטלה. מקור הנתונים באגף מבצעים לוגיסטיים ונכסים שבמשרד.</w:t>
      </w: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098" w:right="2608" w:bottom="4253" w:left="2608" w:header="1531" w:footer="368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6</w:t>
    </w:r>
    <w:r>
      <w:rPr>
        <w:rStyle w:val="PageNumber"/>
        <w:rFonts w:ascii="David" w:hAnsi="Davi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5</w:t>
    </w:r>
    <w:r>
      <w:rPr>
        <w:rStyle w:val="PageNumber"/>
        <w:rFonts w:ascii="David" w:hAnsi="David"/>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3</w:t>
    </w:r>
    <w:r>
      <w:rPr>
        <w:rStyle w:val="PageNumber"/>
        <w:rFonts w:ascii="David" w:hAnsi="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line="312" w:lineRule="auto"/>
        <w:rPr>
          <w:sz w:val="16"/>
          <w:szCs w:val="16"/>
        </w:rPr>
      </w:pPr>
      <w:r>
        <w:rPr>
          <w:rFonts w:hint="cs"/>
          <w:sz w:val="16"/>
          <w:szCs w:val="16"/>
          <w:rtl/>
        </w:rPr>
        <w:t>__________________</w:t>
      </w:r>
    </w:p>
  </w:footnote>
  <w:footnote w:type="continuationSeparator" w:id="1">
    <w:p w:rsidR="00000000">
      <w:r>
        <w:continuationSeparator/>
      </w:r>
    </w:p>
  </w:footnote>
  <w:footnote w:id="2">
    <w:p w:rsidR="00000000">
      <w:pPr>
        <w:pStyle w:val="FootnoteText"/>
        <w:spacing w:line="200" w:lineRule="exact"/>
        <w:ind w:left="397" w:hanging="397"/>
        <w:jc w:val="both"/>
        <w:rPr>
          <w:rStyle w:val="FootnoteReference"/>
          <w:rFonts w:ascii="FrankRuehl" w:hAnsi="FrankRuehl" w:cs="FrankRuehl" w:hint="cs"/>
          <w:sz w:val="18"/>
          <w:vertAlign w:val="baseline"/>
          <w:rtl/>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מחנה זה מכונה גם מחנה מטכ"ל או מחנה הקריה.</w:t>
      </w:r>
    </w:p>
  </w:footnote>
  <w:footnote w:id="3">
    <w:p w:rsidR="00000000">
      <w:pPr>
        <w:pStyle w:val="FootnoteText"/>
        <w:spacing w:line="200" w:lineRule="exact"/>
        <w:ind w:left="397" w:hanging="397"/>
        <w:jc w:val="both"/>
        <w:rPr>
          <w:rStyle w:val="FootnoteReference"/>
          <w:rFonts w:ascii="FrankRuehl" w:hAnsi="FrankRuehl" w:cs="FrankRuehl" w:hint="cs"/>
          <w:sz w:val="18"/>
          <w:vertAlign w:val="baseline"/>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המונח הזמנות מתייחס לכל אורך הדוח להזמנו</w:t>
      </w:r>
      <w:r>
        <w:rPr>
          <w:rStyle w:val="FootnoteReference"/>
          <w:rFonts w:ascii="FrankRuehl" w:hAnsi="FrankRuehl" w:cs="FrankRuehl" w:hint="cs"/>
          <w:sz w:val="18"/>
          <w:vertAlign w:val="baseline"/>
          <w:rtl/>
        </w:rPr>
        <w:t>ת זוגיות.</w:t>
      </w:r>
    </w:p>
  </w:footnote>
  <w:footnote w:id="4">
    <w:p w:rsidR="00000000">
      <w:pPr>
        <w:pStyle w:val="FootnoteText"/>
        <w:spacing w:line="200" w:lineRule="exact"/>
        <w:ind w:left="397" w:hanging="397"/>
        <w:jc w:val="both"/>
        <w:rPr>
          <w:rStyle w:val="FootnoteReference"/>
          <w:rFonts w:ascii="FrankRuehl" w:hAnsi="FrankRuehl" w:cs="FrankRuehl" w:hint="cs"/>
          <w:sz w:val="18"/>
          <w:vertAlign w:val="baseline"/>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אגף זה אחראי לריכוז רשימת המוזמנים, להדפסת ההזמנות ולהפצתן למוזמנים.</w:t>
      </w:r>
    </w:p>
  </w:footnote>
  <w:footnote w:id="5">
    <w:p w:rsidR="00000000">
      <w:pPr>
        <w:pStyle w:val="FootnoteText"/>
        <w:spacing w:line="200" w:lineRule="exact"/>
        <w:ind w:left="397" w:hanging="397"/>
        <w:jc w:val="both"/>
        <w:rPr>
          <w:rStyle w:val="FootnoteReference"/>
          <w:rFonts w:ascii="FrankRuehl" w:hAnsi="FrankRuehl" w:cs="FrankRuehl" w:hint="cs"/>
          <w:sz w:val="18"/>
          <w:vertAlign w:val="baseline"/>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במועד זה כיהן כשר הביטחון רא"ל (מיל') שאול מופז.</w:t>
      </w:r>
    </w:p>
  </w:footnote>
  <w:footnote w:id="6">
    <w:p w:rsidR="00000000">
      <w:pPr>
        <w:pStyle w:val="FootnoteText"/>
        <w:spacing w:line="200" w:lineRule="exact"/>
        <w:ind w:left="397" w:hanging="397"/>
        <w:jc w:val="both"/>
        <w:rPr>
          <w:rStyle w:val="FootnoteReference"/>
          <w:rFonts w:ascii="FrankRuehl" w:hAnsi="FrankRuehl" w:cs="FrankRuehl" w:hint="cs"/>
          <w:sz w:val="18"/>
          <w:vertAlign w:val="baseline"/>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במועד זה כיהן כשר הביטחון מר עמיר פרץ.</w:t>
      </w:r>
    </w:p>
  </w:footnote>
  <w:footnote w:id="7">
    <w:p w:rsidR="00000000">
      <w:pPr>
        <w:pStyle w:val="FootnoteText"/>
        <w:spacing w:line="200" w:lineRule="exact"/>
        <w:ind w:left="397" w:hanging="397"/>
        <w:jc w:val="both"/>
        <w:rPr>
          <w:rStyle w:val="FootnoteReference"/>
          <w:rFonts w:ascii="FrankRuehl" w:hAnsi="FrankRuehl" w:cs="FrankRuehl" w:hint="cs"/>
          <w:sz w:val="18"/>
          <w:vertAlign w:val="baseline"/>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במועד זה כיהן כשר הביטחון רא"ל (מיל') אהוד ברק.</w:t>
      </w:r>
    </w:p>
  </w:footnote>
  <w:footnote w:id="8">
    <w:p w:rsidR="00000000">
      <w:pPr>
        <w:pStyle w:val="FootnoteText"/>
        <w:spacing w:line="200" w:lineRule="exact"/>
        <w:ind w:left="397" w:hanging="397"/>
        <w:jc w:val="both"/>
        <w:rPr>
          <w:rStyle w:val="FootnoteReference"/>
          <w:rFonts w:ascii="FrankRuehl" w:hAnsi="FrankRuehl" w:cs="FrankRuehl" w:hint="cs"/>
          <w:sz w:val="18"/>
          <w:vertAlign w:val="baseline"/>
          <w:rtl/>
        </w:rPr>
      </w:pPr>
      <w:r>
        <w:rPr>
          <w:rStyle w:val="FootnoteReference"/>
          <w:rFonts w:ascii="FrankRuehl" w:hAnsi="FrankRuehl" w:cs="FrankRuehl"/>
          <w:sz w:val="18"/>
          <w:vertAlign w:val="baseline"/>
        </w:rPr>
        <w:footnoteRef/>
      </w:r>
      <w:r>
        <w:rPr>
          <w:rStyle w:val="FootnoteReference"/>
          <w:rFonts w:ascii="FrankRuehl" w:hAnsi="FrankRuehl" w:cs="FrankRuehl"/>
          <w:sz w:val="18"/>
          <w:vertAlign w:val="baseline"/>
          <w:rtl/>
        </w:rPr>
        <w:t xml:space="preserve"> </w:t>
      </w:r>
      <w:r>
        <w:rPr>
          <w:rStyle w:val="FootnoteReference"/>
          <w:rFonts w:ascii="FrankRuehl" w:hAnsi="FrankRuehl" w:cs="FrankRuehl"/>
          <w:sz w:val="18"/>
          <w:vertAlign w:val="baseline"/>
          <w:rtl/>
        </w:rPr>
        <w:tab/>
      </w:r>
      <w:r>
        <w:rPr>
          <w:rStyle w:val="FootnoteReference"/>
          <w:rFonts w:ascii="FrankRuehl" w:hAnsi="FrankRuehl" w:cs="FrankRuehl" w:hint="cs"/>
          <w:sz w:val="18"/>
          <w:vertAlign w:val="baseline"/>
          <w:rtl/>
        </w:rPr>
        <w:t>ב-24.1.10 הודיעה לשכת הרמט</w:t>
      </w:r>
      <w:r>
        <w:rPr>
          <w:rStyle w:val="FootnoteReference"/>
          <w:rFonts w:ascii="FrankRuehl" w:hAnsi="FrankRuehl" w:cs="FrankRuehl" w:hint="cs"/>
          <w:sz w:val="18"/>
          <w:vertAlign w:val="baseline"/>
          <w:rtl/>
        </w:rPr>
        <w:t xml:space="preserve">כ"ל לעוזר ראש המטה של שר הביטחון, כי הירידה במספר המוזמנים לספ"כ צה"ל ולמג"דים מקורה בצמצום תקנים ולא בשינוי בהרכב האוכלוסייה המוזמנת.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jc w:val="right"/>
      <w:rPr>
        <w:rFonts w:hint="cs"/>
        <w:szCs w:val="20"/>
        <w:rtl/>
      </w:rPr>
    </w:pPr>
    <w:r>
      <w:rPr>
        <w:rFonts w:hint="cs"/>
        <w:szCs w:val="20"/>
        <w:rtl/>
      </w:rPr>
      <w:t>מצאי ביקורת: קבלת פנים במשרד הביטחון לרגל יום העצמאות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jc w:val="right"/>
      <w:rPr>
        <w:rFonts w:hint="cs"/>
        <w:szCs w:val="20"/>
        <w:rtl/>
      </w:rPr>
    </w:pPr>
    <w:r>
      <w:rPr>
        <w:rFonts w:hint="cs"/>
        <w:szCs w:val="20"/>
        <w:rtl/>
      </w:rPr>
      <w:t>מצאי ביקורת: קבלת פנים במשרד הביטחון לרגל</w:t>
    </w:r>
    <w:r>
      <w:rPr>
        <w:rFonts w:hint="cs"/>
        <w:szCs w:val="20"/>
        <w:rtl/>
      </w:rPr>
      <w:t xml:space="preserve"> יום העצמאות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BF2C30"/>
    <w:multiLevelType w:val="hybridMultilevel"/>
    <w:tmpl w:val="6A8E3580"/>
    <w:lvl w:ilvl="0">
      <w:start w:val="1"/>
      <w:numFmt w:val="decimal"/>
      <w:lvlText w:val="%1."/>
      <w:lvlJc w:val="left"/>
      <w:pPr>
        <w:tabs>
          <w:tab w:val="num" w:pos="720"/>
        </w:tabs>
        <w:ind w:left="720" w:hanging="360"/>
      </w:pPr>
      <w:rPr>
        <w:lang w:bidi="he-IL"/>
      </w:rPr>
    </w:lvl>
    <w:lvl w:ilvl="1">
      <w:start w:val="1"/>
      <w:numFmt w:val="hebrew1"/>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2"/>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71"/>
    <w:rsid w:val="00567571"/>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spacing w:before="40" w:after="40"/>
      <w:jc w:val="right"/>
      <w:outlineLvl w:val="1"/>
    </w:pPr>
    <w:rPr>
      <w:b/>
      <w:bCs/>
      <w:szCs w:val="20"/>
    </w:rPr>
  </w:style>
  <w:style w:type="paragraph" w:styleId="Heading3">
    <w:name w:val="heading 3"/>
    <w:basedOn w:val="Normal"/>
    <w:next w:val="Normal"/>
    <w:uiPriority w:val="9"/>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widowControl w:val="0"/>
      <w:spacing w:before="240" w:after="60" w:line="312" w:lineRule="auto"/>
      <w:jc w:val="both"/>
      <w:outlineLvl w:val="3"/>
    </w:pPr>
    <w:rPr>
      <w:rFonts w:cs="Times New Roman"/>
      <w:b/>
      <w:bCs/>
      <w:sz w:val="28"/>
      <w:szCs w:val="28"/>
      <w:lang w:eastAsia="he-IL"/>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uiPriority w:val="9"/>
    <w:qFormat/>
    <w:pPr>
      <w:keepNext/>
      <w:spacing w:before="120" w:line="500" w:lineRule="exact"/>
      <w:jc w:val="center"/>
      <w:outlineLvl w:val="5"/>
    </w:pPr>
    <w:rPr>
      <w:sz w:val="48"/>
      <w:szCs w:val="48"/>
    </w:rPr>
  </w:style>
  <w:style w:type="paragraph" w:styleId="Heading7">
    <w:name w:val="heading 7"/>
    <w:basedOn w:val="Normal"/>
    <w:next w:val="Normal"/>
    <w:uiPriority w:val="9"/>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jc w:val="both"/>
      <w:outlineLvl w:val="7"/>
    </w:pPr>
    <w:rPr>
      <w:spacing w:val="40"/>
      <w:sz w:val="20"/>
      <w:lang w:eastAsia="he-IL"/>
    </w:rPr>
  </w:style>
  <w:style w:type="paragraph" w:styleId="Heading9">
    <w:name w:val="heading 9"/>
    <w:basedOn w:val="Normal"/>
    <w:next w:val="Normal"/>
    <w:uiPriority w:val="9"/>
    <w:qFormat/>
    <w:pPr>
      <w:keepNext/>
      <w:spacing w:line="500" w:lineRule="exact"/>
      <w:jc w:val="center"/>
      <w:outlineLvl w:val="8"/>
    </w:pPr>
    <w:rPr>
      <w:b/>
      <w:bCs/>
      <w:sz w:val="56"/>
      <w:szCs w:val="56"/>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Heading10">
    <w:name w:val="Heading 1_0"/>
    <w:basedOn w:val="Normal"/>
    <w:next w:val="Normal"/>
    <w:pPr>
      <w:widowControl w:val="0"/>
      <w:spacing w:before="240" w:after="480" w:line="288" w:lineRule="auto"/>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pPr>
    <w:rPr>
      <w:b/>
      <w:bCs/>
      <w:szCs w:val="28"/>
      <w:u w:val="single"/>
      <w:lang w:eastAsia="he-IL"/>
    </w:rPr>
  </w:style>
  <w:style w:type="paragraph" w:customStyle="1" w:styleId="1">
    <w:name w:val="נושא הערה1"/>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pPr>
    <w:rPr>
      <w:b/>
      <w:bCs/>
      <w:sz w:val="28"/>
      <w:szCs w:val="28"/>
    </w:rPr>
  </w:style>
  <w:style w:type="paragraph" w:styleId="BodyText">
    <w:name w:val="Body Text"/>
    <w:basedOn w:val="Normal"/>
    <w:pPr>
      <w:spacing w:before="180" w:after="120" w:line="230" w:lineRule="exact"/>
      <w:jc w:val="both"/>
    </w:pPr>
    <w:rPr>
      <w:rFonts w:cs="FrankRuehl"/>
      <w:sz w:val="22"/>
      <w:szCs w:val="22"/>
    </w:rPr>
  </w:style>
  <w:style w:type="character" w:customStyle="1" w:styleId="53">
    <w:name w:val="כותרת 53"/>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5">
    <w:name w:val="כותרת 5 תו"/>
    <w:basedOn w:val="DefaultParagraphFont"/>
    <w:rPr>
      <w:rFonts w:cs="David"/>
      <w:b/>
      <w:bCs/>
      <w:spacing w:val="40"/>
      <w:szCs w:val="24"/>
      <w:lang w:val="en-US" w:eastAsia="he-IL" w:bidi="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3">
    <w:name w:val="כותרת 3 תו"/>
    <w:basedOn w:val="DefaultParagraphFont"/>
    <w:rPr>
      <w:rFonts w:ascii="Arial" w:hAnsi="Arial" w:cs="Arial"/>
      <w:b/>
      <w:bCs/>
      <w:sz w:val="26"/>
      <w:szCs w:val="26"/>
      <w:lang w:val="en-US" w:eastAsia="he-IL" w:bidi="he-IL"/>
    </w:rPr>
  </w:style>
  <w:style w:type="paragraph" w:styleId="BodyTextIndent">
    <w:name w:val="Body Text Indent"/>
    <w:basedOn w:val="Normal"/>
    <w:pPr>
      <w:spacing w:line="360" w:lineRule="exact"/>
      <w:ind w:left="3119"/>
    </w:pPr>
    <w:rPr>
      <w:sz w:val="32"/>
      <w:szCs w:val="32"/>
    </w:rPr>
  </w:style>
  <w:style w:type="character" w:customStyle="1" w:styleId="7">
    <w:name w:val="כותרת 7 תו"/>
    <w:basedOn w:val="DefaultParagraphFont"/>
    <w:rPr>
      <w:rFonts w:cs="David"/>
      <w:b/>
      <w:bCs/>
      <w:spacing w:val="40"/>
      <w:szCs w:val="24"/>
      <w:lang w:val="en-US" w:eastAsia="he-IL" w:bidi="he-IL"/>
    </w:rPr>
  </w:style>
  <w:style w:type="character" w:customStyle="1" w:styleId="6">
    <w:name w:val="כותרת 6 תו"/>
    <w:basedOn w:val="DefaultParagraphFont"/>
    <w:rPr>
      <w:rFonts w:cs="David"/>
      <w:spacing w:val="40"/>
      <w:szCs w:val="24"/>
      <w:lang w:val="en-US" w:eastAsia="he-IL" w:bidi="he-IL"/>
    </w:rPr>
  </w:style>
  <w:style w:type="character" w:styleId="CommentReference">
    <w:name w:val="annotation reference"/>
    <w:basedOn w:val="DefaultParagraphFont"/>
    <w:semiHidden/>
    <w:rPr>
      <w:sz w:val="16"/>
      <w:szCs w:val="16"/>
    </w:rPr>
  </w:style>
  <w:style w:type="character" w:customStyle="1" w:styleId="a0">
    <w:name w:val="טקסט הערות שוליים תו"/>
    <w:basedOn w:val="DefaultParagraphFont"/>
    <w:rPr>
      <w:rFonts w:cs="David"/>
      <w:sz w:val="24"/>
      <w:lang w:val="en-US" w:eastAsia="he-IL" w:bidi="he-IL"/>
    </w:rPr>
  </w:style>
  <w:style w:type="paragraph" w:customStyle="1" w:styleId="reshet0">
    <w:name w:val="reshet"/>
    <w:basedOn w:val="Normal"/>
    <w:pPr>
      <w:widowControl w:val="0"/>
      <w:numPr>
        <w:ilvl w:val="1"/>
        <w:numId w:val="1"/>
      </w:numPr>
      <w:spacing w:line="360" w:lineRule="auto"/>
      <w:jc w:val="both"/>
    </w:pPr>
    <w:rPr>
      <w:rFonts w:cs="Times New Roman"/>
      <w:noProof/>
      <w:lang w:eastAsia="he-IL"/>
    </w:rPr>
  </w:style>
  <w:style w:type="character" w:customStyle="1" w:styleId="reshet1">
    <w:name w:val="reshet תו"/>
    <w:basedOn w:val="DefaultParagraphFont"/>
    <w:locked/>
    <w:rPr>
      <w:noProof/>
      <w:sz w:val="24"/>
      <w:szCs w:val="24"/>
      <w:lang w:val="en-US" w:eastAsia="he-IL" w:bidi="he-IL"/>
    </w:rPr>
  </w:style>
  <w:style w:type="character" w:customStyle="1" w:styleId="KOT3A0">
    <w:name w:val="KOT3A תו"/>
    <w:basedOn w:val="DefaultParagraphFont"/>
    <w:rPr>
      <w:rFonts w:cs="David"/>
      <w:b/>
      <w:bCs/>
      <w:spacing w:val="40"/>
      <w:sz w:val="24"/>
      <w:szCs w:val="30"/>
      <w:lang w:val="en-US" w:eastAsia="en-US" w:bidi="he-IL"/>
    </w:rPr>
  </w:style>
  <w:style w:type="character" w:customStyle="1" w:styleId="KOT30">
    <w:name w:val="KOT3 תו"/>
    <w:basedOn w:val="KOT3A0"/>
    <w:rPr>
      <w:rFonts w:cs="David"/>
      <w:b/>
      <w:bCs/>
      <w:spacing w:val="40"/>
      <w:sz w:val="24"/>
      <w:szCs w:val="28"/>
      <w:lang w:val="en-US" w:eastAsia="en-US" w:bidi="he-IL"/>
    </w:rPr>
  </w:style>
  <w:style w:type="character" w:customStyle="1" w:styleId="KOT40">
    <w:name w:val="KOT4 תו"/>
    <w:basedOn w:val="KOT30"/>
    <w:rPr>
      <w:rFonts w:cs="David"/>
      <w:b/>
      <w:bCs/>
      <w:spacing w:val="40"/>
      <w:sz w:val="26"/>
      <w:szCs w:val="26"/>
      <w:lang w:val="en-US" w:eastAsia="en-US" w:bidi="he-IL"/>
    </w:rPr>
  </w:style>
  <w:style w:type="character" w:customStyle="1" w:styleId="KOT50">
    <w:name w:val="KOT5 תו"/>
    <w:basedOn w:val="KOT40"/>
    <w:rPr>
      <w:rFonts w:cs="David"/>
      <w:b/>
      <w:bCs/>
      <w:spacing w:val="40"/>
      <w:sz w:val="22"/>
      <w:szCs w:val="22"/>
      <w:lang w:val="en-US" w:eastAsia="en-US" w:bidi="he-IL"/>
    </w:rPr>
  </w:style>
  <w:style w:type="paragraph" w:styleId="BodyTextIndent2">
    <w:name w:val="Body Text Indent 2"/>
    <w:basedOn w:val="Normal"/>
    <w:pPr>
      <w:spacing w:before="120" w:line="200" w:lineRule="exact"/>
      <w:ind w:left="397" w:hanging="397"/>
      <w:jc w:val="both"/>
    </w:pPr>
    <w:rPr>
      <w:rFonts w:cs="FrankRueh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jpeg"/><Relationship Id="rId17" Type="http://schemas.openxmlformats.org/officeDocument/2006/relationships/customXml" Target="../customXml/item1.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15" Type="http://schemas.openxmlformats.org/officeDocument/2006/relationships/numbering" Target="numbering.xml"/><Relationship Id="rId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BA4AF2-27DA-42B4-9C7D-93775A798396}"/>
</file>

<file path=customXml/itemProps2.xml><?xml version="1.0" encoding="utf-8"?>
<ds:datastoreItem xmlns:ds="http://schemas.openxmlformats.org/officeDocument/2006/customXml" ds:itemID="{BAD76A96-2DB1-48BE-AB1E-4B48D86E1A46}"/>
</file>

<file path=customXml/itemProps3.xml><?xml version="1.0" encoding="utf-8"?>
<ds:datastoreItem xmlns:ds="http://schemas.openxmlformats.org/officeDocument/2006/customXml" ds:itemID="{D10B89D4-7166-4C60-8197-B8661057768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