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1 -->
  <w:body>
    <w:p w:rsidR="00280FB6" w:rsidP="00280FB6">
      <w:pPr>
        <w:pStyle w:val="NAME"/>
        <w:ind w:left="0" w:right="0"/>
        <w:jc w:val="right"/>
        <w:rPr>
          <w:rFonts w:hint="cs"/>
          <w:rtl/>
        </w:rPr>
      </w:pPr>
      <w:r w:rsidRPr="00280FB6" w:rsidR="00AB0E75">
        <w:rPr>
          <w:rFonts w:hint="cs"/>
          <w:rtl/>
        </w:rPr>
        <w:t>רשות המסים בישראל</w:t>
      </w:r>
    </w:p>
    <w:p w:rsidR="00280FB6" w:rsidP="00280FB6">
      <w:pPr>
        <w:pStyle w:val="Footer"/>
        <w:tabs>
          <w:tab w:val="clear" w:pos="4153"/>
          <w:tab w:val="clear" w:pos="8306"/>
        </w:tabs>
        <w:spacing w:after="120" w:line="230" w:lineRule="exact"/>
        <w:ind w:left="0" w:right="0"/>
        <w:jc w:val="both"/>
        <w:rPr>
          <w:rFonts w:cs="FrankRuehl"/>
          <w:szCs w:val="22"/>
          <w:rtl/>
        </w:rPr>
      </w:pPr>
    </w:p>
    <w:p w:rsidR="00280FB6" w:rsidP="00280FB6">
      <w:pPr>
        <w:spacing w:after="120" w:line="230" w:lineRule="exact"/>
        <w:ind w:left="0" w:right="0"/>
        <w:jc w:val="both"/>
        <w:rPr>
          <w:rFonts w:cs="FrankRuehl"/>
          <w:szCs w:val="22"/>
          <w:rtl/>
        </w:rPr>
      </w:pPr>
    </w:p>
    <w:p w:rsidR="00280FB6" w:rsidP="00280FB6">
      <w:pPr>
        <w:pStyle w:val="KOT1"/>
        <w:ind w:left="0" w:right="0"/>
        <w:jc w:val="center"/>
        <w:rPr>
          <w:rFonts w:hint="cs"/>
          <w:rtl/>
        </w:rPr>
      </w:pPr>
      <w:r w:rsidRPr="00280FB6" w:rsidR="00AB0E75">
        <w:rPr>
          <w:rFonts w:hint="cs"/>
          <w:rtl/>
        </w:rPr>
        <w:t>המאבק ב"הון השחור"</w:t>
      </w:r>
    </w:p>
    <w:p w:rsidR="00AB0E75" w:rsidRPr="00280FB6" w:rsidP="00280FB6">
      <w:pPr>
        <w:pStyle w:val="KOT4"/>
        <w:ind w:left="0" w:right="0"/>
        <w:jc w:val="left"/>
        <w:rPr>
          <w:rFonts w:hint="cs"/>
          <w:rtl/>
        </w:rPr>
      </w:pPr>
      <w:r w:rsidRPr="00280FB6">
        <w:rPr>
          <w:rFonts w:hint="cs"/>
          <w:rtl/>
        </w:rPr>
        <w:t>רקע</w:t>
      </w:r>
    </w:p>
    <w:p w:rsidR="00AB0E75" w:rsidRPr="00280FB6" w:rsidP="00280FB6">
      <w:pPr>
        <w:spacing w:after="120" w:line="230" w:lineRule="exact"/>
        <w:ind w:left="0" w:right="0"/>
        <w:jc w:val="both"/>
        <w:rPr>
          <w:rFonts w:cs="FrankRuehl" w:hint="cs"/>
          <w:sz w:val="20"/>
          <w:szCs w:val="22"/>
          <w:rtl/>
        </w:rPr>
      </w:pPr>
      <w:r w:rsidRPr="00280FB6">
        <w:rPr>
          <w:rFonts w:cs="FrankRuehl" w:hint="cs"/>
          <w:sz w:val="20"/>
          <w:szCs w:val="22"/>
          <w:rtl/>
        </w:rPr>
        <w:t>"הון שחור" הוא כינוי להכנסות שאינן מדווחות לרשות המסים בישראל (להלן - רשות המסים) ולרשויות מאסדרות אחרות, וממילא אינן נכללות בנתוני התפוקה הלאומית הגולמית</w:t>
      </w:r>
      <w:r>
        <w:rPr>
          <w:rFonts w:ascii="FrankRuehl" w:hAnsi="FrankRuehl" w:cs="FrankRuehl"/>
          <w:sz w:val="22"/>
          <w:szCs w:val="22"/>
          <w:vertAlign w:val="superscript"/>
          <w:rtl/>
        </w:rPr>
        <w:footnoteReference w:id="2"/>
      </w:r>
      <w:r w:rsidRPr="00280FB6">
        <w:rPr>
          <w:rFonts w:cs="FrankRuehl" w:hint="cs"/>
          <w:sz w:val="20"/>
          <w:szCs w:val="22"/>
          <w:rtl/>
        </w:rPr>
        <w:t>. יש להבחין בין הון שחור הנובע מפעילות חוקית שאינה מדווחת לרשויות המס, כגון: העלמת הכנסות של נותני שירותים, ובין הון שחור הנובע מפעילות שאינה חוקית, כמו: סחר בסמים, הימורים וסחר בנשים, דהיינו מפשיעה. על ההון השחור הנובע מפעילות חוקית מבקשת המדינה לאכוף באמצעות רשות המסים את חובת תשלום המס; את תופעת ההון השחור הנובע מפשיעה מבקשת המדינה למגר באמצעות משטרת ישראל וגופי אכיפה נוספים בשיתוף רשות המסים. ההון השחור מוטמע בכלכלה הישראלית באמצעות פעילויות במזומן בסכומים גדולים וכן באמצעות חלפני כספים, מקלטי מס, רכישות נדל"ן ועוד.</w:t>
      </w:r>
    </w:p>
    <w:p w:rsidR="00AB0E75" w:rsidRPr="00280FB6" w:rsidP="00280FB6">
      <w:pPr>
        <w:spacing w:after="120" w:line="230" w:lineRule="exact"/>
        <w:ind w:left="0" w:right="0"/>
        <w:jc w:val="both"/>
        <w:rPr>
          <w:rFonts w:cs="FrankRuehl" w:hint="cs"/>
          <w:sz w:val="20"/>
          <w:szCs w:val="22"/>
          <w:rtl/>
        </w:rPr>
      </w:pPr>
      <w:r w:rsidRPr="00280FB6">
        <w:rPr>
          <w:rFonts w:cs="FrankRuehl" w:hint="cs"/>
          <w:sz w:val="20"/>
          <w:szCs w:val="22"/>
          <w:rtl/>
        </w:rPr>
        <w:t>שר האוצר דאז מינה צוות מקצועי בראשות מנהל רשות המסים דאז מר דורון ארבלי (להלן - ועדת ארבלי), לבחינת הפעולות הנדרשות להעמקת גביית המסים בישראל ולטיפול בהון השחור. בדוח שהגישה הוועדה צוין כי על פי הערכת הבנק</w:t>
      </w:r>
      <w:r w:rsidRPr="00280FB6">
        <w:rPr>
          <w:rFonts w:cs="FrankRuehl" w:hint="cs"/>
          <w:sz w:val="20"/>
          <w:szCs w:val="22"/>
        </w:rPr>
        <w:t xml:space="preserve"> </w:t>
      </w:r>
      <w:r w:rsidRPr="00280FB6">
        <w:rPr>
          <w:rFonts w:cs="FrankRuehl" w:hint="cs"/>
          <w:sz w:val="20"/>
          <w:szCs w:val="22"/>
          <w:rtl/>
        </w:rPr>
        <w:t>העולמי לשנת 2010, ההיקף האמיתי של הפעילות</w:t>
      </w:r>
      <w:r w:rsidRPr="00280FB6">
        <w:rPr>
          <w:rFonts w:cs="FrankRuehl" w:hint="cs"/>
          <w:sz w:val="20"/>
          <w:szCs w:val="22"/>
        </w:rPr>
        <w:t xml:space="preserve"> </w:t>
      </w:r>
      <w:r w:rsidRPr="00280FB6">
        <w:rPr>
          <w:rFonts w:cs="FrankRuehl" w:hint="cs"/>
          <w:sz w:val="20"/>
          <w:szCs w:val="22"/>
          <w:rtl/>
        </w:rPr>
        <w:t>הכלכלית</w:t>
      </w:r>
      <w:r w:rsidRPr="00280FB6">
        <w:rPr>
          <w:rFonts w:cs="FrankRuehl" w:hint="cs"/>
          <w:sz w:val="20"/>
          <w:szCs w:val="22"/>
        </w:rPr>
        <w:t xml:space="preserve"> </w:t>
      </w:r>
      <w:r w:rsidRPr="00280FB6">
        <w:rPr>
          <w:rFonts w:cs="FrankRuehl" w:hint="cs"/>
          <w:sz w:val="20"/>
          <w:szCs w:val="22"/>
          <w:rtl/>
        </w:rPr>
        <w:t>בישראל גדול</w:t>
      </w:r>
      <w:r w:rsidRPr="00280FB6">
        <w:rPr>
          <w:rFonts w:cs="FrankRuehl" w:hint="cs"/>
          <w:sz w:val="20"/>
          <w:szCs w:val="22"/>
        </w:rPr>
        <w:t xml:space="preserve"> </w:t>
      </w:r>
      <w:r w:rsidRPr="00280FB6">
        <w:rPr>
          <w:rFonts w:cs="FrankRuehl" w:hint="cs"/>
          <w:sz w:val="20"/>
          <w:szCs w:val="22"/>
          <w:rtl/>
        </w:rPr>
        <w:t>בכ-23%</w:t>
      </w:r>
      <w:r w:rsidRPr="00280FB6">
        <w:rPr>
          <w:rFonts w:cs="FrankRuehl" w:hint="cs"/>
          <w:sz w:val="20"/>
          <w:szCs w:val="22"/>
        </w:rPr>
        <w:t xml:space="preserve"> </w:t>
      </w:r>
      <w:r w:rsidRPr="00280FB6">
        <w:rPr>
          <w:rFonts w:cs="FrankRuehl" w:hint="cs"/>
          <w:sz w:val="20"/>
          <w:szCs w:val="22"/>
          <w:rtl/>
        </w:rPr>
        <w:t>מהיקף הפעילות הכלכלית</w:t>
      </w:r>
      <w:r w:rsidRPr="00280FB6">
        <w:rPr>
          <w:rFonts w:cs="FrankRuehl" w:hint="cs"/>
          <w:sz w:val="20"/>
          <w:szCs w:val="22"/>
        </w:rPr>
        <w:t xml:space="preserve"> </w:t>
      </w:r>
      <w:r w:rsidRPr="00280FB6">
        <w:rPr>
          <w:rFonts w:cs="FrankRuehl" w:hint="cs"/>
          <w:sz w:val="20"/>
          <w:szCs w:val="22"/>
          <w:rtl/>
        </w:rPr>
        <w:t>המדווחת.</w:t>
      </w:r>
      <w:r w:rsidRPr="00280FB6">
        <w:rPr>
          <w:rFonts w:cs="FrankRuehl" w:hint="cs"/>
          <w:sz w:val="20"/>
          <w:szCs w:val="22"/>
        </w:rPr>
        <w:t xml:space="preserve"> </w:t>
      </w:r>
      <w:r w:rsidRPr="00280FB6">
        <w:rPr>
          <w:rFonts w:cs="FrankRuehl" w:hint="cs"/>
          <w:sz w:val="20"/>
          <w:szCs w:val="22"/>
          <w:rtl/>
        </w:rPr>
        <w:t>על סמך נתונים אלה העריכה רשות המסים בינואר 2013 כי בפעילות הכלכלית שאינה מדווחת קיים פוטנציאל מס של עד</w:t>
      </w:r>
      <w:r w:rsidRPr="00280FB6">
        <w:rPr>
          <w:rFonts w:cs="FrankRuehl" w:hint="cs"/>
          <w:sz w:val="20"/>
          <w:szCs w:val="22"/>
        </w:rPr>
        <w:t xml:space="preserve"> </w:t>
      </w:r>
      <w:r w:rsidRPr="00280FB6">
        <w:rPr>
          <w:rFonts w:cs="FrankRuehl" w:hint="cs"/>
          <w:sz w:val="20"/>
          <w:szCs w:val="22"/>
          <w:rtl/>
        </w:rPr>
        <w:t>כ</w:t>
      </w:r>
      <w:r w:rsidRPr="00280FB6">
        <w:rPr>
          <w:rFonts w:cs="FrankRuehl"/>
          <w:sz w:val="20"/>
          <w:szCs w:val="22"/>
        </w:rPr>
        <w:t>-</w:t>
      </w:r>
      <w:r w:rsidRPr="00280FB6">
        <w:rPr>
          <w:rFonts w:cs="FrankRuehl" w:hint="cs"/>
          <w:sz w:val="20"/>
          <w:szCs w:val="22"/>
          <w:rtl/>
        </w:rPr>
        <w:t>50</w:t>
      </w:r>
      <w:r w:rsidRPr="00280FB6">
        <w:rPr>
          <w:rFonts w:cs="FrankRuehl" w:hint="cs"/>
          <w:sz w:val="20"/>
          <w:szCs w:val="22"/>
        </w:rPr>
        <w:t xml:space="preserve"> </w:t>
      </w:r>
      <w:r w:rsidRPr="00280FB6">
        <w:rPr>
          <w:rFonts w:cs="FrankRuehl" w:hint="cs"/>
          <w:sz w:val="20"/>
          <w:szCs w:val="22"/>
          <w:rtl/>
        </w:rPr>
        <w:t>מיליארד</w:t>
      </w:r>
      <w:r w:rsidRPr="00280FB6">
        <w:rPr>
          <w:rFonts w:cs="FrankRuehl" w:hint="cs"/>
          <w:sz w:val="20"/>
          <w:szCs w:val="22"/>
        </w:rPr>
        <w:t xml:space="preserve"> </w:t>
      </w:r>
      <w:r w:rsidRPr="00280FB6">
        <w:rPr>
          <w:rFonts w:cs="FrankRuehl" w:hint="cs"/>
          <w:sz w:val="20"/>
          <w:szCs w:val="22"/>
          <w:rtl/>
        </w:rPr>
        <w:t>ש</w:t>
      </w:r>
      <w:r w:rsidRPr="00280FB6">
        <w:rPr>
          <w:rFonts w:cs="FrankRuehl"/>
          <w:sz w:val="20"/>
          <w:szCs w:val="22"/>
        </w:rPr>
        <w:t>"</w:t>
      </w:r>
      <w:r w:rsidRPr="00280FB6">
        <w:rPr>
          <w:rFonts w:cs="FrankRuehl" w:hint="cs"/>
          <w:sz w:val="20"/>
          <w:szCs w:val="22"/>
          <w:rtl/>
        </w:rPr>
        <w:t>ח בשנה. לפי הערכה אחרת של רשות המסים</w:t>
      </w:r>
      <w:r>
        <w:rPr>
          <w:rFonts w:ascii="FrankRuehl" w:hAnsi="FrankRuehl" w:cs="FrankRuehl"/>
          <w:sz w:val="22"/>
          <w:szCs w:val="22"/>
          <w:vertAlign w:val="superscript"/>
          <w:rtl/>
        </w:rPr>
        <w:footnoteReference w:id="3"/>
      </w:r>
      <w:r w:rsidRPr="00280FB6">
        <w:rPr>
          <w:rFonts w:cs="FrankRuehl" w:hint="cs"/>
          <w:sz w:val="20"/>
          <w:szCs w:val="22"/>
          <w:rtl/>
        </w:rPr>
        <w:t>, פוטנציאל המס מהפעילות הכלכלית שאינה</w:t>
      </w:r>
      <w:r w:rsidRPr="00280FB6">
        <w:rPr>
          <w:rFonts w:cs="FrankRuehl" w:hint="cs"/>
          <w:sz w:val="20"/>
          <w:szCs w:val="22"/>
        </w:rPr>
        <w:t xml:space="preserve"> </w:t>
      </w:r>
      <w:r w:rsidRPr="00280FB6">
        <w:rPr>
          <w:rFonts w:cs="FrankRuehl" w:hint="cs"/>
          <w:sz w:val="20"/>
          <w:szCs w:val="22"/>
          <w:rtl/>
        </w:rPr>
        <w:t>מדווחת</w:t>
      </w:r>
      <w:r w:rsidRPr="00280FB6">
        <w:rPr>
          <w:rFonts w:cs="FrankRuehl" w:hint="cs"/>
          <w:sz w:val="20"/>
          <w:szCs w:val="22"/>
        </w:rPr>
        <w:t xml:space="preserve"> </w:t>
      </w:r>
      <w:r w:rsidRPr="00280FB6">
        <w:rPr>
          <w:rFonts w:cs="FrankRuehl" w:hint="cs"/>
          <w:sz w:val="20"/>
          <w:szCs w:val="22"/>
          <w:rtl/>
        </w:rPr>
        <w:t>מסתכם</w:t>
      </w:r>
      <w:r w:rsidRPr="00280FB6">
        <w:rPr>
          <w:rFonts w:cs="FrankRuehl" w:hint="cs"/>
          <w:sz w:val="20"/>
          <w:szCs w:val="22"/>
        </w:rPr>
        <w:t xml:space="preserve"> </w:t>
      </w:r>
      <w:r w:rsidRPr="00280FB6">
        <w:rPr>
          <w:rFonts w:cs="FrankRuehl" w:hint="cs"/>
          <w:sz w:val="20"/>
          <w:szCs w:val="22"/>
          <w:rtl/>
        </w:rPr>
        <w:t>בכ-10</w:t>
      </w:r>
      <w:r w:rsidRPr="00280FB6">
        <w:rPr>
          <w:rFonts w:cs="FrankRuehl" w:hint="cs"/>
          <w:sz w:val="20"/>
          <w:szCs w:val="22"/>
        </w:rPr>
        <w:t xml:space="preserve"> </w:t>
      </w:r>
      <w:r w:rsidRPr="00280FB6">
        <w:rPr>
          <w:rFonts w:cs="FrankRuehl" w:hint="cs"/>
          <w:sz w:val="20"/>
          <w:szCs w:val="22"/>
          <w:rtl/>
        </w:rPr>
        <w:t>מיליארד</w:t>
      </w:r>
      <w:r w:rsidRPr="00280FB6">
        <w:rPr>
          <w:rFonts w:cs="FrankRuehl" w:hint="cs"/>
          <w:sz w:val="20"/>
          <w:szCs w:val="22"/>
        </w:rPr>
        <w:t xml:space="preserve"> </w:t>
      </w:r>
      <w:r w:rsidRPr="00280FB6">
        <w:rPr>
          <w:rFonts w:cs="FrankRuehl" w:hint="cs"/>
          <w:sz w:val="20"/>
          <w:szCs w:val="22"/>
          <w:rtl/>
        </w:rPr>
        <w:t>ש</w:t>
      </w:r>
      <w:r w:rsidRPr="00280FB6">
        <w:rPr>
          <w:rFonts w:cs="FrankRuehl"/>
          <w:sz w:val="20"/>
          <w:szCs w:val="22"/>
        </w:rPr>
        <w:t>"</w:t>
      </w:r>
      <w:r w:rsidRPr="00280FB6">
        <w:rPr>
          <w:rFonts w:cs="FrankRuehl" w:hint="cs"/>
          <w:sz w:val="20"/>
          <w:szCs w:val="22"/>
          <w:rtl/>
        </w:rPr>
        <w:t>ח</w:t>
      </w:r>
      <w:r w:rsidRPr="00280FB6">
        <w:rPr>
          <w:rFonts w:cs="FrankRuehl" w:hint="cs"/>
          <w:sz w:val="20"/>
          <w:szCs w:val="22"/>
        </w:rPr>
        <w:t xml:space="preserve"> </w:t>
      </w:r>
      <w:r w:rsidRPr="00280FB6">
        <w:rPr>
          <w:rFonts w:cs="FrankRuehl" w:hint="cs"/>
          <w:sz w:val="20"/>
          <w:szCs w:val="22"/>
          <w:rtl/>
        </w:rPr>
        <w:t xml:space="preserve">בשנה. </w:t>
      </w:r>
    </w:p>
    <w:p w:rsidR="00AB0E75" w:rsidRPr="00280FB6" w:rsidP="00280FB6">
      <w:pPr>
        <w:spacing w:after="120" w:line="230" w:lineRule="exact"/>
        <w:ind w:left="0" w:right="0"/>
        <w:jc w:val="both"/>
        <w:rPr>
          <w:rFonts w:cs="FrankRuehl" w:hint="cs"/>
          <w:sz w:val="20"/>
          <w:szCs w:val="22"/>
          <w:rtl/>
        </w:rPr>
      </w:pPr>
      <w:r w:rsidRPr="00280FB6">
        <w:rPr>
          <w:rFonts w:cs="FrankRuehl" w:hint="cs"/>
          <w:sz w:val="20"/>
          <w:szCs w:val="22"/>
          <w:rtl/>
        </w:rPr>
        <w:t>במחקר שנעשה בקרב 25 מדינות</w:t>
      </w:r>
      <w:r w:rsidRPr="00280FB6">
        <w:rPr>
          <w:rFonts w:cs="FrankRuehl" w:hint="cs"/>
          <w:sz w:val="20"/>
          <w:szCs w:val="22"/>
        </w:rPr>
        <w:t xml:space="preserve"> </w:t>
      </w:r>
      <w:r w:rsidRPr="00280FB6">
        <w:rPr>
          <w:rFonts w:cs="FrankRuehl" w:hint="cs"/>
          <w:sz w:val="20"/>
          <w:szCs w:val="22"/>
          <w:rtl/>
        </w:rPr>
        <w:t>החברות ב</w:t>
      </w:r>
      <w:r w:rsidRPr="00280FB6">
        <w:rPr>
          <w:rFonts w:cs="FrankRuehl"/>
          <w:sz w:val="20"/>
          <w:szCs w:val="22"/>
        </w:rPr>
        <w:t>OECD-</w:t>
      </w:r>
      <w:r w:rsidRPr="00280FB6">
        <w:rPr>
          <w:rFonts w:cs="FrankRuehl" w:hint="cs"/>
          <w:sz w:val="20"/>
          <w:szCs w:val="22"/>
          <w:rtl/>
        </w:rPr>
        <w:t xml:space="preserve"> דורגה ישראל</w:t>
      </w:r>
      <w:r w:rsidRPr="00280FB6">
        <w:rPr>
          <w:rFonts w:cs="FrankRuehl" w:hint="cs"/>
          <w:sz w:val="20"/>
          <w:szCs w:val="22"/>
        </w:rPr>
        <w:t xml:space="preserve"> </w:t>
      </w:r>
      <w:r w:rsidRPr="00280FB6">
        <w:rPr>
          <w:rFonts w:cs="FrankRuehl" w:hint="cs"/>
          <w:sz w:val="20"/>
          <w:szCs w:val="22"/>
          <w:rtl/>
        </w:rPr>
        <w:t>במקום</w:t>
      </w:r>
      <w:r w:rsidRPr="00280FB6">
        <w:rPr>
          <w:rFonts w:cs="FrankRuehl" w:hint="cs"/>
          <w:sz w:val="20"/>
          <w:szCs w:val="22"/>
        </w:rPr>
        <w:t xml:space="preserve"> </w:t>
      </w:r>
      <w:r w:rsidRPr="00280FB6">
        <w:rPr>
          <w:rFonts w:cs="FrankRuehl" w:hint="cs"/>
          <w:sz w:val="20"/>
          <w:szCs w:val="22"/>
          <w:rtl/>
        </w:rPr>
        <w:t>ה-20 בכל הנוגע לשיעור ההון</w:t>
      </w:r>
      <w:r w:rsidRPr="00280FB6">
        <w:rPr>
          <w:rFonts w:cs="FrankRuehl" w:hint="cs"/>
          <w:sz w:val="20"/>
          <w:szCs w:val="22"/>
        </w:rPr>
        <w:t xml:space="preserve"> </w:t>
      </w:r>
      <w:r w:rsidRPr="00280FB6">
        <w:rPr>
          <w:rFonts w:cs="FrankRuehl" w:hint="cs"/>
          <w:sz w:val="20"/>
          <w:szCs w:val="22"/>
          <w:rtl/>
        </w:rPr>
        <w:t>השחור</w:t>
      </w:r>
      <w:r w:rsidRPr="00280FB6">
        <w:rPr>
          <w:rFonts w:cs="FrankRuehl" w:hint="cs"/>
          <w:sz w:val="20"/>
          <w:szCs w:val="22"/>
        </w:rPr>
        <w:t xml:space="preserve"> </w:t>
      </w:r>
      <w:r w:rsidRPr="00280FB6">
        <w:rPr>
          <w:rFonts w:cs="FrankRuehl" w:hint="cs"/>
          <w:sz w:val="20"/>
          <w:szCs w:val="22"/>
          <w:rtl/>
        </w:rPr>
        <w:t>מן התוצר המקומי הגולמי (להלן - התמ"ג)</w:t>
      </w:r>
      <w:r>
        <w:rPr>
          <w:rFonts w:ascii="FrankRuehl" w:hAnsi="FrankRuehl" w:cs="FrankRuehl"/>
          <w:sz w:val="22"/>
          <w:szCs w:val="22"/>
          <w:vertAlign w:val="superscript"/>
          <w:rtl/>
        </w:rPr>
        <w:footnoteReference w:id="4"/>
      </w:r>
      <w:r w:rsidRPr="00280FB6">
        <w:rPr>
          <w:rFonts w:cs="FrankRuehl" w:hint="cs"/>
          <w:sz w:val="20"/>
          <w:szCs w:val="22"/>
          <w:rtl/>
        </w:rPr>
        <w:t>. על פי הערכות ארגון ה-</w:t>
      </w:r>
      <w:r w:rsidRPr="00280FB6">
        <w:rPr>
          <w:rFonts w:cs="FrankRuehl"/>
          <w:sz w:val="20"/>
          <w:szCs w:val="22"/>
        </w:rPr>
        <w:t>OECD</w:t>
      </w:r>
      <w:r w:rsidRPr="00280FB6">
        <w:rPr>
          <w:rFonts w:cs="FrankRuehl" w:hint="cs"/>
          <w:sz w:val="20"/>
          <w:szCs w:val="22"/>
          <w:rtl/>
        </w:rPr>
        <w:t>, שיעור ההון השחור בישראל הנובע מפשיעה בכלל התמ"ג הוא כ-5%-3%, כלומר כ-45-30 מיליארד ש"ח בשנה</w:t>
      </w:r>
      <w:r>
        <w:rPr>
          <w:rFonts w:ascii="FrankRuehl" w:hAnsi="FrankRuehl" w:cs="FrankRuehl"/>
          <w:sz w:val="22"/>
          <w:szCs w:val="22"/>
          <w:vertAlign w:val="superscript"/>
          <w:rtl/>
        </w:rPr>
        <w:footnoteReference w:id="5"/>
      </w:r>
      <w:r w:rsidRPr="00280FB6">
        <w:rPr>
          <w:rFonts w:cs="FrankRuehl" w:hint="cs"/>
          <w:sz w:val="20"/>
          <w:szCs w:val="22"/>
          <w:rtl/>
        </w:rPr>
        <w:t xml:space="preserve">. </w:t>
      </w:r>
    </w:p>
    <w:p w:rsidR="00AB0E75" w:rsidRPr="00280FB6" w:rsidP="00280FB6">
      <w:pPr>
        <w:spacing w:after="120" w:line="230" w:lineRule="exact"/>
        <w:ind w:left="0" w:right="0"/>
        <w:jc w:val="both"/>
        <w:rPr>
          <w:rFonts w:cs="FrankRuehl"/>
          <w:sz w:val="20"/>
          <w:szCs w:val="22"/>
        </w:rPr>
      </w:pPr>
      <w:r w:rsidRPr="00280FB6">
        <w:rPr>
          <w:rFonts w:cs="FrankRuehl" w:hint="cs"/>
          <w:sz w:val="20"/>
          <w:szCs w:val="22"/>
          <w:rtl/>
        </w:rPr>
        <w:t xml:space="preserve">לקיומו של הון שחור בשיעור כה גדול יש השפעות המכרסמות ביסודותיה של הכלכלה והחברה הישראלית, מהסיבות האלה: </w:t>
      </w:r>
      <w:r w:rsidR="00F66B29">
        <w:rPr>
          <w:rFonts w:cs="FrankRuehl" w:hint="cs"/>
          <w:sz w:val="20"/>
          <w:szCs w:val="22"/>
          <w:rtl/>
        </w:rPr>
        <w:t xml:space="preserve">  </w:t>
      </w:r>
      <w:r w:rsidRPr="00280FB6">
        <w:rPr>
          <w:rFonts w:cs="FrankRuehl" w:hint="cs"/>
          <w:sz w:val="20"/>
          <w:szCs w:val="22"/>
          <w:rtl/>
        </w:rPr>
        <w:t xml:space="preserve">(א) </w:t>
      </w:r>
      <w:r w:rsidR="00F66B29">
        <w:rPr>
          <w:rFonts w:cs="FrankRuehl" w:hint="cs"/>
          <w:sz w:val="20"/>
          <w:szCs w:val="22"/>
          <w:rtl/>
        </w:rPr>
        <w:t xml:space="preserve"> </w:t>
      </w:r>
      <w:r w:rsidRPr="00280FB6">
        <w:rPr>
          <w:rFonts w:cs="FrankRuehl" w:hint="cs"/>
          <w:sz w:val="20"/>
          <w:szCs w:val="22"/>
          <w:rtl/>
        </w:rPr>
        <w:t>הוא אינו מאפשר להרחיב את בסיס המס</w:t>
      </w:r>
      <w:r>
        <w:rPr>
          <w:rFonts w:ascii="FrankRuehl" w:hAnsi="FrankRuehl" w:cs="FrankRuehl"/>
          <w:sz w:val="22"/>
          <w:szCs w:val="22"/>
          <w:vertAlign w:val="superscript"/>
          <w:rtl/>
        </w:rPr>
        <w:footnoteReference w:id="6"/>
      </w:r>
      <w:r w:rsidRPr="00280FB6">
        <w:rPr>
          <w:rFonts w:cs="FrankRuehl" w:hint="cs"/>
          <w:sz w:val="20"/>
          <w:szCs w:val="22"/>
          <w:rtl/>
        </w:rPr>
        <w:t xml:space="preserve"> ולהקטין עקב כך את שיעורי המסים הישירים ואת שיעורי המסים שאינם ישירים, וכך הוא גורם להכבדת נטל המס על מי שמשלמים מס אמת; </w:t>
      </w:r>
      <w:r w:rsidR="00F66B29">
        <w:rPr>
          <w:rFonts w:cs="FrankRuehl" w:hint="cs"/>
          <w:sz w:val="20"/>
          <w:szCs w:val="22"/>
          <w:rtl/>
        </w:rPr>
        <w:t xml:space="preserve">  </w:t>
      </w:r>
      <w:r w:rsidRPr="00280FB6">
        <w:rPr>
          <w:rFonts w:cs="FrankRuehl" w:hint="cs"/>
          <w:sz w:val="20"/>
          <w:szCs w:val="22"/>
          <w:rtl/>
        </w:rPr>
        <w:t xml:space="preserve">(ב) </w:t>
      </w:r>
      <w:r w:rsidR="00F66B29">
        <w:rPr>
          <w:rFonts w:cs="FrankRuehl" w:hint="cs"/>
          <w:sz w:val="20"/>
          <w:szCs w:val="22"/>
          <w:rtl/>
        </w:rPr>
        <w:t xml:space="preserve"> </w:t>
      </w:r>
      <w:r w:rsidRPr="00280FB6">
        <w:rPr>
          <w:rFonts w:cs="FrankRuehl" w:hint="cs"/>
          <w:sz w:val="20"/>
          <w:szCs w:val="22"/>
          <w:rtl/>
        </w:rPr>
        <w:t xml:space="preserve">הוא גורם לאבדן כספים, משום שהמוסד לביטוח לאומי משלם למי שאינם מדווחים על הכנסותיהם קצבאות, תשלומי העברה אחרים וכן תשלומי דיור וחינוך שאינם מגיעים להם; </w:t>
      </w:r>
      <w:r w:rsidR="00F66B29">
        <w:rPr>
          <w:rFonts w:cs="FrankRuehl" w:hint="cs"/>
          <w:sz w:val="20"/>
          <w:szCs w:val="22"/>
          <w:rtl/>
        </w:rPr>
        <w:t xml:space="preserve">  </w:t>
      </w:r>
      <w:r w:rsidRPr="00280FB6">
        <w:rPr>
          <w:rFonts w:cs="FrankRuehl" w:hint="cs"/>
          <w:sz w:val="20"/>
          <w:szCs w:val="22"/>
          <w:rtl/>
        </w:rPr>
        <w:t xml:space="preserve">(ג) </w:t>
      </w:r>
      <w:r w:rsidR="00F66B29">
        <w:rPr>
          <w:rFonts w:cs="FrankRuehl" w:hint="cs"/>
          <w:sz w:val="20"/>
          <w:szCs w:val="22"/>
          <w:rtl/>
        </w:rPr>
        <w:t xml:space="preserve"> </w:t>
      </w:r>
      <w:r w:rsidRPr="00280FB6">
        <w:rPr>
          <w:rFonts w:cs="FrankRuehl" w:hint="cs"/>
          <w:sz w:val="20"/>
          <w:szCs w:val="22"/>
          <w:rtl/>
        </w:rPr>
        <w:t>הוא משמש מקור למימון פעילויות שאינן חוקיות, כמו סחר בסמים, סחר בנשים והימורים בלתי חוקיים.</w:t>
      </w:r>
    </w:p>
    <w:p w:rsidR="00AB0E75" w:rsidRPr="00280FB6" w:rsidP="00280FB6">
      <w:pPr>
        <w:spacing w:after="120" w:line="230" w:lineRule="exact"/>
        <w:ind w:left="0" w:right="0"/>
        <w:jc w:val="both"/>
        <w:rPr>
          <w:rFonts w:cs="FrankRuehl" w:hint="cs"/>
          <w:sz w:val="20"/>
          <w:szCs w:val="22"/>
          <w:rtl/>
        </w:rPr>
      </w:pPr>
      <w:r w:rsidRPr="00280FB6">
        <w:rPr>
          <w:rFonts w:cs="FrankRuehl" w:hint="cs"/>
          <w:sz w:val="20"/>
          <w:szCs w:val="22"/>
          <w:rtl/>
        </w:rPr>
        <w:t>חלק מהמלצות ועדת ארבלי מצאו את ביטוין בהצעות חוק ממשלתיות בתחומים שונים, כמו טיפול בנותני שירותי מטבע, ייעול תהליכי פסילת ספרים, סמכויות גבייה, הרחבת מעגל העוסקים המחויבים בהגשת דוח מקוון למע"ם ומיסוי נאמנויות. חלק מהצעות החוק אושרו בכנסת בשנים 2014-2013 והיו לחוקים</w:t>
      </w:r>
      <w:r>
        <w:rPr>
          <w:rFonts w:ascii="FrankRuehl" w:hAnsi="FrankRuehl" w:cs="FrankRuehl"/>
          <w:sz w:val="22"/>
          <w:szCs w:val="22"/>
          <w:vertAlign w:val="superscript"/>
          <w:rtl/>
        </w:rPr>
        <w:footnoteReference w:id="7"/>
      </w:r>
      <w:r w:rsidRPr="00280FB6">
        <w:rPr>
          <w:rFonts w:cs="FrankRuehl" w:hint="cs"/>
          <w:sz w:val="20"/>
          <w:szCs w:val="22"/>
          <w:rtl/>
        </w:rPr>
        <w:t>, ואחרות נמצאות בתהליך חקיקה</w:t>
      </w:r>
      <w:r>
        <w:rPr>
          <w:rFonts w:ascii="FrankRuehl" w:hAnsi="FrankRuehl" w:cs="FrankRuehl"/>
          <w:sz w:val="22"/>
          <w:szCs w:val="22"/>
          <w:vertAlign w:val="superscript"/>
          <w:rtl/>
        </w:rPr>
        <w:footnoteReference w:id="8"/>
      </w:r>
      <w:r w:rsidRPr="00280FB6">
        <w:rPr>
          <w:rFonts w:cs="FrankRuehl" w:hint="cs"/>
          <w:sz w:val="20"/>
          <w:szCs w:val="22"/>
          <w:rtl/>
        </w:rPr>
        <w:t xml:space="preserve">. </w:t>
      </w:r>
    </w:p>
    <w:p w:rsidR="00AB0E75" w:rsidRPr="00280FB6" w:rsidP="00280FB6">
      <w:pPr>
        <w:spacing w:after="120" w:line="230" w:lineRule="exact"/>
        <w:ind w:left="0" w:right="0"/>
        <w:jc w:val="both"/>
        <w:rPr>
          <w:rFonts w:cs="FrankRuehl" w:hint="cs"/>
          <w:sz w:val="20"/>
          <w:szCs w:val="22"/>
          <w:rtl/>
        </w:rPr>
      </w:pPr>
      <w:r w:rsidRPr="00280FB6">
        <w:rPr>
          <w:rFonts w:cs="FrankRuehl" w:hint="cs"/>
          <w:sz w:val="20"/>
          <w:szCs w:val="22"/>
          <w:rtl/>
        </w:rPr>
        <w:t>משרד מבקר המדינה בדק מגוון של נושאים שיש להם נגיעה למלחמה בתופעת ההון השחור. יישום מכלול ההמלצות בנושאים אלה יכול להביא להפחתה של ממש בהון השחור ולמניעת העברת כסף שמקורו בפשיעה לישראל במטרה להלבינו. ואלה הנושאים שנבדקו: "קו הצדק"</w:t>
      </w:r>
      <w:r>
        <w:rPr>
          <w:rFonts w:ascii="FrankRuehl" w:hAnsi="FrankRuehl" w:cs="FrankRuehl"/>
          <w:sz w:val="22"/>
          <w:szCs w:val="22"/>
          <w:vertAlign w:val="superscript"/>
          <w:rtl/>
        </w:rPr>
        <w:footnoteReference w:id="9"/>
      </w:r>
      <w:r w:rsidRPr="00280FB6">
        <w:rPr>
          <w:rFonts w:cs="FrankRuehl" w:hint="cs"/>
          <w:sz w:val="20"/>
          <w:szCs w:val="22"/>
          <w:rtl/>
        </w:rPr>
        <w:t xml:space="preserve"> וגמול למודיעים; פעילות יחידות החקירה של רשות המסים; מבצע משותף של רשות המסים ומשטרת ישראל למאבק בפשיעה; הפטור מדיווח לעולים חדשים ולתושבים חוזרים ותיקים; והליך הגילוי מרצון. משרד מבקר המדינה הצביע על כשלים במערכת המיסוי המאפשרים את קיומו של ההון השחור, ועל שימוש לא שלם של הרשות בכלים העומדים לרשותה בתחום זה. </w:t>
      </w:r>
    </w:p>
    <w:p w:rsidR="00AB0E75" w:rsidRPr="00280FB6" w:rsidP="00280FB6">
      <w:pPr>
        <w:spacing w:after="120" w:line="230" w:lineRule="exact"/>
        <w:ind w:left="0" w:right="0"/>
        <w:jc w:val="both"/>
        <w:rPr>
          <w:rFonts w:cs="FrankRuehl" w:hint="cs"/>
          <w:sz w:val="20"/>
          <w:szCs w:val="22"/>
          <w:rtl/>
        </w:rPr>
      </w:pPr>
      <w:r w:rsidRPr="00280FB6">
        <w:rPr>
          <w:rFonts w:cs="FrankRuehl" w:hint="cs"/>
          <w:sz w:val="20"/>
          <w:szCs w:val="22"/>
          <w:rtl/>
        </w:rPr>
        <w:t>על מנת להציג תמונה מלאה יותר בנושא המאבק בהון השחור משרד מבקר המדינה מוצא לנכון לכלול במסגרת דוח זה גם תקציר של דוח הביקורת בנושא הפעלת המערכת החדשה לאיתור חשבוניות פיקטיביות. דוח זה פורסם באוקטובר 2013 בדוח שנתי 64א של מבקר המדינה בעמוד 191.</w:t>
      </w:r>
    </w:p>
    <w:p w:rsidR="00AB0E75" w:rsidP="00280FB6">
      <w:pPr>
        <w:spacing w:after="120" w:line="230" w:lineRule="exact"/>
        <w:ind w:left="0" w:right="0"/>
        <w:jc w:val="both"/>
        <w:rPr>
          <w:rFonts w:cs="FrankRuehl" w:hint="cs"/>
          <w:sz w:val="20"/>
          <w:szCs w:val="22"/>
          <w:rtl/>
        </w:rPr>
      </w:pPr>
    </w:p>
    <w:p w:rsidR="00F66B29" w:rsidRPr="00280FB6" w:rsidP="00280FB6">
      <w:pPr>
        <w:spacing w:after="120" w:line="230" w:lineRule="exact"/>
        <w:ind w:left="0" w:right="0"/>
        <w:jc w:val="both"/>
        <w:rPr>
          <w:rFonts w:cs="FrankRuehl" w:hint="cs"/>
          <w:sz w:val="20"/>
          <w:szCs w:val="22"/>
          <w:rtl/>
        </w:rPr>
      </w:pPr>
    </w:p>
    <w:p w:rsidR="00AB0E75" w:rsidP="00280FB6">
      <w:pPr>
        <w:pStyle w:val="KOT4"/>
        <w:ind w:left="0" w:right="0"/>
        <w:jc w:val="left"/>
        <w:rPr>
          <w:rFonts w:hint="cs"/>
          <w:sz w:val="20"/>
          <w:rtl/>
        </w:rPr>
      </w:pPr>
      <w:r>
        <w:rPr>
          <w:rFonts w:hint="cs"/>
          <w:rtl/>
        </w:rPr>
        <w:t>חובת דיווח כללית</w:t>
      </w:r>
    </w:p>
    <w:p w:rsidR="00AB0E75" w:rsidRPr="00280FB6" w:rsidP="00280FB6">
      <w:pPr>
        <w:spacing w:after="120" w:line="230" w:lineRule="exact"/>
        <w:ind w:left="0" w:right="0"/>
        <w:jc w:val="both"/>
        <w:rPr>
          <w:rFonts w:cs="FrankRuehl" w:hint="cs"/>
          <w:sz w:val="20"/>
          <w:szCs w:val="22"/>
          <w:rtl/>
        </w:rPr>
      </w:pPr>
      <w:bookmarkStart w:id="0" w:name="OLE_LINK8"/>
      <w:bookmarkStart w:id="1" w:name="OLE_LINK7"/>
      <w:r w:rsidRPr="00280FB6">
        <w:rPr>
          <w:rFonts w:cs="FrankRuehl" w:hint="cs"/>
          <w:sz w:val="20"/>
          <w:szCs w:val="22"/>
          <w:rtl/>
        </w:rPr>
        <w:t>אחד הפתרונות הנהוגים בעולם להתמודדות עם תופעת ההון השחור הוא החלת חובת דיווח על כלל תושבי המדינה. על פי דוח בנק ישראל לשנת 2013</w:t>
      </w:r>
      <w:r>
        <w:rPr>
          <w:rFonts w:ascii="FrankRuehl" w:hAnsi="FrankRuehl" w:cs="FrankRuehl"/>
          <w:sz w:val="22"/>
          <w:szCs w:val="22"/>
          <w:vertAlign w:val="superscript"/>
          <w:rtl/>
        </w:rPr>
        <w:footnoteReference w:id="10"/>
      </w:r>
      <w:r w:rsidRPr="00280FB6">
        <w:rPr>
          <w:rFonts w:cs="FrankRuehl" w:hint="cs"/>
          <w:sz w:val="20"/>
          <w:szCs w:val="22"/>
          <w:rtl/>
        </w:rPr>
        <w:t>, בחמש מ-34 מדינות ה-</w:t>
      </w:r>
      <w:r w:rsidRPr="00280FB6">
        <w:rPr>
          <w:rFonts w:cs="FrankRuehl"/>
          <w:sz w:val="20"/>
          <w:szCs w:val="22"/>
        </w:rPr>
        <w:t>OECD</w:t>
      </w:r>
      <w:r w:rsidRPr="00280FB6">
        <w:rPr>
          <w:rFonts w:cs="FrankRuehl" w:hint="cs"/>
          <w:sz w:val="20"/>
          <w:szCs w:val="22"/>
          <w:rtl/>
        </w:rPr>
        <w:t xml:space="preserve"> מוטלת חובת דיווח במתכונות שונות על כלל הנישומים: בארצות הברית, בקנדה, ביוון, בפולין ובהונגריה. </w:t>
      </w:r>
      <w:bookmarkEnd w:id="0"/>
      <w:bookmarkEnd w:id="1"/>
    </w:p>
    <w:p w:rsidR="00AB0E75" w:rsidRPr="00280FB6" w:rsidP="00280FB6">
      <w:pPr>
        <w:spacing w:after="120" w:line="230" w:lineRule="exact"/>
        <w:ind w:left="0" w:right="0"/>
        <w:jc w:val="both"/>
        <w:rPr>
          <w:rFonts w:cs="FrankRuehl" w:hint="cs"/>
          <w:sz w:val="20"/>
          <w:szCs w:val="22"/>
          <w:rtl/>
        </w:rPr>
      </w:pPr>
      <w:r w:rsidRPr="00280FB6">
        <w:rPr>
          <w:rFonts w:cs="FrankRuehl" w:hint="cs"/>
          <w:sz w:val="20"/>
          <w:szCs w:val="22"/>
          <w:rtl/>
        </w:rPr>
        <w:t>במשך השנים הוקמו בישראל כמה ועדות לבחינת הנהגתה של חובת דיווח כללית. הוועדות ציינו בין יתרונותיה של חובת דיווח כזאת את אלה:   (א)  הגברת הצדק החברתי באמצעות דרישה מכל תושבי המדינה לדיווח שנתי מלא ולשקיפות מלאה אל מול מערכת המס;   (ב)  עצם הדרישה לדיווח מכל תושב תיצור "תודעת מס" שעשויה להקטין את התמריץ להעלמת הכנסות ולהגדיל את הכנסות הממשלה ממסים;   (ג)  קיום מידע מלא ככל האפשר על ההכנ</w:t>
      </w:r>
      <w:r w:rsidRPr="00280FB6">
        <w:rPr>
          <w:rFonts w:cs="FrankRuehl" w:hint="cs"/>
          <w:sz w:val="20"/>
          <w:szCs w:val="22"/>
          <w:rtl/>
        </w:rPr>
        <w:t xml:space="preserve">סות של היחידים והמשפחות מכל המקורות;   (ד)  שכלול כלי הפעולה של מדינת הרווחה באמצעות התאמתם של תשלומי ההעברה והתמיכות להכנסות הכוללות של התא המשפחתי. </w:t>
      </w:r>
    </w:p>
    <w:p w:rsidR="00AB0E75" w:rsidRPr="00280FB6" w:rsidP="00280FB6">
      <w:pPr>
        <w:spacing w:after="120" w:line="230" w:lineRule="exact"/>
        <w:ind w:left="0" w:right="0"/>
        <w:jc w:val="both"/>
        <w:rPr>
          <w:rFonts w:cs="FrankRuehl" w:hint="cs"/>
          <w:sz w:val="20"/>
          <w:szCs w:val="22"/>
          <w:rtl/>
        </w:rPr>
      </w:pPr>
      <w:r w:rsidRPr="00280FB6">
        <w:rPr>
          <w:rFonts w:cs="FrankRuehl" w:hint="cs"/>
          <w:sz w:val="20"/>
          <w:szCs w:val="22"/>
          <w:rtl/>
        </w:rPr>
        <w:t>הוועדות ציינו גם חסרונות להנהגת חובת דיווח כללית:   (א)  הנהגתה תביא לתוספת של מיליוני דוחות מס לשנה</w:t>
      </w:r>
      <w:r>
        <w:rPr>
          <w:rFonts w:ascii="FrankRuehl" w:hAnsi="FrankRuehl" w:cs="FrankRuehl"/>
          <w:sz w:val="22"/>
          <w:szCs w:val="22"/>
          <w:vertAlign w:val="superscript"/>
          <w:rtl/>
        </w:rPr>
        <w:footnoteReference w:id="11"/>
      </w:r>
      <w:r w:rsidRPr="00280FB6">
        <w:rPr>
          <w:rFonts w:cs="FrankRuehl" w:hint="cs"/>
          <w:sz w:val="20"/>
          <w:szCs w:val="22"/>
          <w:rtl/>
        </w:rPr>
        <w:t xml:space="preserve">, והטיפול בהם על ידי הרשות והגשתם על ידי הציבור יצריכו משאבים מרובים;   </w:t>
      </w:r>
      <w:r w:rsidR="00F66B29">
        <w:rPr>
          <w:rFonts w:cs="FrankRuehl"/>
          <w:sz w:val="20"/>
          <w:szCs w:val="22"/>
          <w:rtl/>
        </w:rPr>
        <w:br/>
      </w:r>
      <w:r w:rsidRPr="00280FB6">
        <w:rPr>
          <w:rFonts w:cs="FrankRuehl" w:hint="cs"/>
          <w:sz w:val="20"/>
          <w:szCs w:val="22"/>
          <w:rtl/>
        </w:rPr>
        <w:t xml:space="preserve">(ב)  רוב הדוחות לא יניבו תשואות מס;   (ג)  בין הנדרשים להגיש דוחות ייכללו מגזרים כגון עולים חדשים, בני מיעוטים, חרדים, קשישים ואוכלוסיות מעוטות הכנסה, ולגביהן צפויות בעיות אכיפה. </w:t>
      </w:r>
    </w:p>
    <w:p w:rsidR="00AB0E75" w:rsidRPr="00280FB6" w:rsidP="00280FB6">
      <w:pPr>
        <w:spacing w:after="120" w:line="230" w:lineRule="exact"/>
        <w:ind w:left="0" w:right="0"/>
        <w:jc w:val="both"/>
        <w:rPr>
          <w:rFonts w:cs="FrankRuehl" w:hint="cs"/>
          <w:sz w:val="20"/>
          <w:szCs w:val="22"/>
          <w:rtl/>
        </w:rPr>
      </w:pPr>
      <w:bookmarkStart w:id="2" w:name="OLE_LINK19"/>
      <w:bookmarkStart w:id="3" w:name="OLE_LINK18"/>
      <w:r w:rsidRPr="00280FB6">
        <w:rPr>
          <w:rFonts w:cs="FrankRuehl" w:hint="cs"/>
          <w:sz w:val="20"/>
          <w:szCs w:val="22"/>
          <w:rtl/>
        </w:rPr>
        <w:t xml:space="preserve">באפריל 2014 פנה משרד מבקר המדינה לגופים הכלכליים הנוגעים בדבר: בנק ישראל, המוסד </w:t>
      </w:r>
      <w:r w:rsidRPr="00F66B29">
        <w:rPr>
          <w:rFonts w:cs="FrankRuehl" w:hint="cs"/>
          <w:spacing w:val="-2"/>
          <w:sz w:val="20"/>
          <w:szCs w:val="22"/>
          <w:rtl/>
        </w:rPr>
        <w:t xml:space="preserve">לביטוח לאומי, משרד האוצר ורשות המסים וביקש לדעת מה עמדתם לגבי הנהגת חובת דיווח כללית. מתגובתם עלה כי הם מתנגדים למהלך זה, בין היתר מהסיבות האלה: </w:t>
      </w:r>
      <w:bookmarkEnd w:id="2"/>
      <w:bookmarkEnd w:id="3"/>
      <w:r w:rsidRPr="00F66B29">
        <w:rPr>
          <w:rFonts w:cs="FrankRuehl" w:hint="cs"/>
          <w:spacing w:val="-2"/>
          <w:sz w:val="20"/>
          <w:szCs w:val="22"/>
          <w:rtl/>
        </w:rPr>
        <w:t xml:space="preserve">  (א)  העלות התפעולית הגבוהה של המהלך ומגבלות המשאבים של רשות המסים;   (ב)  המשאבים שיוקצו למהלך</w:t>
      </w:r>
      <w:r w:rsidRPr="00280FB6">
        <w:rPr>
          <w:rFonts w:cs="FrankRuehl" w:hint="cs"/>
          <w:sz w:val="20"/>
          <w:szCs w:val="22"/>
          <w:rtl/>
        </w:rPr>
        <w:t xml:space="preserve"> זה לא יביאו לצמצום העלמות המסים יותר משימושים חלופיים באותם המשאבים;   (ג)  המהלך יגרום ליתר חיכוך בין נישומים לרשויות המס ויטריח את כלל הציבור במילוי ובמשלוח של דוחות אל רשות המסים;   (ד)  המהלך יפגע בהכנסות המדינה, שכן תושבים יקבלו החזרי מס שעד כה לא נדרשו.</w:t>
      </w:r>
    </w:p>
    <w:p w:rsidR="00AB0E75" w:rsidRPr="00F66B29" w:rsidP="00F66B29">
      <w:pPr>
        <w:pStyle w:val="BodyText"/>
        <w:spacing w:before="0" w:after="240"/>
        <w:ind w:left="0" w:right="0"/>
        <w:jc w:val="both"/>
        <w:rPr>
          <w:rFonts w:hint="cs"/>
          <w:sz w:val="20"/>
          <w:rtl/>
        </w:rPr>
      </w:pPr>
      <w:r w:rsidRPr="00F66B29">
        <w:rPr>
          <w:rFonts w:hint="cs"/>
          <w:sz w:val="20"/>
          <w:rtl/>
        </w:rPr>
        <w:t xml:space="preserve">יצוין כי ביוני 2014 שלחה רשות המסים לכ-105,000 תושבים מכתבים ובהם דרישה למילוי טופס המשתרע על עמוד אחד בלבד שכותרתו: "פרטים אישיים והצהרה על מקורות הכנסה", על פי קריטריונים כגון נסיעות רבות לחו"ל, בעלות על כמה דירות, רכישת רכבי יוקרה ועוד. עד יולי 2014 הגישו כ-25,000 מאותם תושבים את הטופס. רשות המסים הסבירה כי מהלך זה נועד להרחיב את מאגר הנתונים שלה במסגרת המאבק בהון השחור ובהעלמת הכנסות, והוא חלק ממהלך רחב להגדלת מספר המדווחים לרשות. </w:t>
      </w:r>
    </w:p>
    <w:p w:rsidR="00AB0E75" w:rsidP="00F66B29">
      <w:pPr>
        <w:pStyle w:val="RESHET"/>
        <w:ind w:left="227" w:right="227"/>
        <w:jc w:val="both"/>
        <w:rPr>
          <w:rFonts w:hint="cs"/>
          <w:rtl/>
        </w:rPr>
      </w:pPr>
      <w:r>
        <w:rPr>
          <w:rFonts w:hint="cs"/>
          <w:rtl/>
        </w:rPr>
        <w:t>ועדות המומחים שעסקו בעבר בנושא המליצו להנהיג חובת דיווח כללית וציינו בין תועלותיה המרכזיות חלוקה צודקת יותר של הסיוע הממשלתי על פי "מבחן הכנסה". ואכן, לדעת מבקר המדינה, הנהגת חובה זו עשויה לייעל את תהליכי העבודה של מנגנוני התמיכה באוכלוסיות הזכאיות לתשלומי העברה מהמדינה, והיא גם תאפשר לשכירים במשק למצות את זכויותיהם, בכלל זה לגבי הכרה בהוצאות על ידי רשות המסים ובקבלת זיכויים ממס. חובת דיווח כללית תעמיק את הציות לחוקי המס ותביא לצמצום ההכנסות הבלתי מדווחות, ויש בכך גם שדר חיובי ומלכד מטעם המדינה לתושביה. לדעת מבקר המדינה, בשל כל אלה יש מקום לבחינה מחודשת בסוגיה חשובה זו במטרה לשאוף להגדיל ככל האפשר את מעגל מדווחי ההכנסה, להגדיל את הכנסות המדינה ולהביא לצדק חברתי.</w:t>
      </w:r>
    </w:p>
    <w:p w:rsidR="00AB0E75">
      <w:pPr>
        <w:ind w:left="0" w:right="0"/>
        <w:jc w:val="left"/>
        <w:rPr>
          <w:rFonts w:hint="cs"/>
          <w:rtl/>
        </w:rPr>
      </w:pPr>
    </w:p>
    <w:p w:rsidR="005F2A32">
      <w:pPr>
        <w:ind w:left="0" w:right="0"/>
        <w:jc w:val="left"/>
        <w:rPr>
          <w:rtl/>
        </w:rPr>
        <w:sectPr w:rsidSect="005F2A32">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3"/>
          <w:cols w:space="720"/>
          <w:titlePg/>
          <w:rtlGutter/>
        </w:sectPr>
      </w:pPr>
    </w:p>
    <w:p w:rsidR="005F2A32">
      <w:pPr>
        <w:ind w:left="0" w:right="0"/>
        <w:jc w:val="left"/>
        <w:rPr>
          <w:rtl/>
        </w:rPr>
      </w:pPr>
    </w:p>
    <w:sectPr w:rsidSect="005F2A32">
      <w:headerReference w:type="first" r:id="rId12"/>
      <w:footnotePr>
        <w:numRestart w:val="eachSect"/>
      </w:footnotePr>
      <w:pgSz w:w="11906" w:h="16838" w:code="9"/>
      <w:pgMar w:top="1758" w:right="2552" w:bottom="4253" w:left="2552" w:header="1247" w:footer="1134" w:gutter="0"/>
      <w:cols w:space="720"/>
      <w:titlePg/>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Ruehl">
    <w:panose1 w:val="00000000000000000000"/>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B6" w:rsidP="00280FB6">
    <w:pPr>
      <w:pStyle w:val="Footer"/>
      <w:tabs>
        <w:tab w:val="left" w:pos="1222"/>
      </w:tabs>
      <w:spacing w:line="160" w:lineRule="exact"/>
      <w:ind w:left="0" w:right="0"/>
      <w:jc w:val="left"/>
      <w:rPr>
        <w:sz w:val="16"/>
        <w:szCs w:val="16"/>
        <w:rtl/>
      </w:rPr>
    </w:pPr>
    <w:r>
      <w:rPr>
        <w:sz w:val="16"/>
        <w:szCs w:val="16"/>
        <w:rtl/>
      </w:rPr>
      <w:t>שם הדוח:</w:t>
      <w:tab/>
    </w:r>
    <w:r w:rsidRPr="00280FB6">
      <w:rPr>
        <w:rFonts w:hint="cs"/>
        <w:sz w:val="16"/>
        <w:szCs w:val="16"/>
        <w:rtl/>
      </w:rPr>
      <w:t>רשות המסים בישראל - המאבק ב"הון השחור"  - רקע</w:t>
    </w:r>
  </w:p>
  <w:p w:rsidR="001275A6">
    <w:pPr>
      <w:pStyle w:val="Footer"/>
      <w:tabs>
        <w:tab w:val="left" w:pos="1222"/>
      </w:tabs>
      <w:spacing w:line="160" w:lineRule="exact"/>
      <w:ind w:left="0" w:right="0"/>
      <w:jc w:val="left"/>
      <w:rPr>
        <w:rFonts w:hint="cs"/>
        <w:sz w:val="16"/>
        <w:szCs w:val="16"/>
        <w:rtl/>
      </w:rPr>
    </w:pPr>
    <w:r>
      <w:rPr>
        <w:sz w:val="16"/>
        <w:szCs w:val="16"/>
        <w:rtl/>
      </w:rPr>
      <w:t>מסגרת הפרסום:</w:t>
      <w:tab/>
    </w:r>
    <w:r>
      <w:rPr>
        <w:rFonts w:hint="cs"/>
        <w:sz w:val="16"/>
        <w:szCs w:val="16"/>
        <w:rtl/>
      </w:rPr>
      <w:t>דוח שנתי 65א</w:t>
    </w:r>
  </w:p>
  <w:p w:rsidR="00836CD0" w:rsidP="00836CD0">
    <w:pPr>
      <w:pStyle w:val="Footer"/>
      <w:tabs>
        <w:tab w:val="left" w:pos="1222"/>
      </w:tabs>
      <w:spacing w:line="160" w:lineRule="exact"/>
      <w:ind w:left="0" w:right="0"/>
      <w:jc w:val="left"/>
      <w:rPr>
        <w:sz w:val="16"/>
        <w:szCs w:val="16"/>
        <w:rtl/>
      </w:rPr>
    </w:pPr>
    <w:r>
      <w:rPr>
        <w:sz w:val="16"/>
        <w:szCs w:val="16"/>
        <w:rtl/>
      </w:rPr>
      <w:t xml:space="preserve">שנת </w:t>
    </w:r>
    <w:r>
      <w:rPr>
        <w:rFonts w:hint="cs"/>
        <w:sz w:val="16"/>
        <w:szCs w:val="16"/>
        <w:rtl/>
      </w:rPr>
      <w:t>ה</w:t>
    </w:r>
    <w:r>
      <w:rPr>
        <w:sz w:val="16"/>
        <w:szCs w:val="16"/>
        <w:rtl/>
      </w:rPr>
      <w:t>פרסום:</w:t>
      <w:tab/>
      <w:t>התשע"</w:t>
    </w:r>
    <w:r>
      <w:rPr>
        <w:rFonts w:hint="cs"/>
        <w:sz w:val="16"/>
        <w:szCs w:val="16"/>
        <w:rtl/>
      </w:rPr>
      <w:t>ה</w:t>
    </w:r>
    <w:r>
      <w:rPr>
        <w:sz w:val="16"/>
        <w:szCs w:val="16"/>
        <w:rtl/>
      </w:rPr>
      <w:t>-2014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B6" w:rsidP="00280FB6">
    <w:pPr>
      <w:pStyle w:val="Footer"/>
      <w:tabs>
        <w:tab w:val="left" w:pos="1222"/>
      </w:tabs>
      <w:spacing w:line="160" w:lineRule="exact"/>
      <w:ind w:left="0" w:right="0"/>
      <w:jc w:val="left"/>
      <w:rPr>
        <w:sz w:val="16"/>
        <w:szCs w:val="16"/>
        <w:rtl/>
      </w:rPr>
    </w:pPr>
    <w:r>
      <w:rPr>
        <w:sz w:val="16"/>
        <w:szCs w:val="16"/>
        <w:rtl/>
      </w:rPr>
      <w:t>שם הדוח:</w:t>
      <w:tab/>
    </w:r>
    <w:r w:rsidRPr="00280FB6">
      <w:rPr>
        <w:rFonts w:hint="cs"/>
        <w:sz w:val="16"/>
        <w:szCs w:val="16"/>
        <w:rtl/>
      </w:rPr>
      <w:t>רשות המסים בישראל - המאבק ב"הון השחור"  - רקע</w:t>
    </w:r>
  </w:p>
  <w:p w:rsidR="001275A6">
    <w:pPr>
      <w:pStyle w:val="Footer"/>
      <w:tabs>
        <w:tab w:val="left" w:pos="1222"/>
      </w:tabs>
      <w:spacing w:line="160" w:lineRule="exact"/>
      <w:ind w:left="0" w:right="0"/>
      <w:jc w:val="left"/>
      <w:rPr>
        <w:rFonts w:hint="cs"/>
        <w:sz w:val="16"/>
        <w:szCs w:val="16"/>
        <w:rtl/>
      </w:rPr>
    </w:pPr>
    <w:r>
      <w:rPr>
        <w:sz w:val="16"/>
        <w:szCs w:val="16"/>
        <w:rtl/>
      </w:rPr>
      <w:t>מסגרת הפרסום:</w:t>
      <w:tab/>
    </w:r>
    <w:r>
      <w:rPr>
        <w:rFonts w:hint="cs"/>
        <w:sz w:val="16"/>
        <w:szCs w:val="16"/>
        <w:rtl/>
      </w:rPr>
      <w:t>דוח שנתי 65א</w:t>
    </w:r>
  </w:p>
  <w:p w:rsidR="00836CD0" w:rsidP="00836CD0">
    <w:pPr>
      <w:pStyle w:val="Footer"/>
      <w:tabs>
        <w:tab w:val="left" w:pos="1222"/>
      </w:tabs>
      <w:spacing w:line="160" w:lineRule="exact"/>
      <w:ind w:left="0" w:right="0"/>
      <w:jc w:val="left"/>
      <w:rPr>
        <w:sz w:val="16"/>
        <w:szCs w:val="16"/>
        <w:rtl/>
      </w:rPr>
    </w:pPr>
    <w:r>
      <w:rPr>
        <w:sz w:val="16"/>
        <w:szCs w:val="16"/>
        <w:rtl/>
      </w:rPr>
      <w:t xml:space="preserve">שנת </w:t>
    </w:r>
    <w:r>
      <w:rPr>
        <w:rFonts w:hint="cs"/>
        <w:sz w:val="16"/>
        <w:szCs w:val="16"/>
        <w:rtl/>
      </w:rPr>
      <w:t>ה</w:t>
    </w:r>
    <w:r>
      <w:rPr>
        <w:sz w:val="16"/>
        <w:szCs w:val="16"/>
        <w:rtl/>
      </w:rPr>
      <w:t>פרסום:</w:t>
      <w:tab/>
      <w:t>התשע"</w:t>
    </w:r>
    <w:r>
      <w:rPr>
        <w:rFonts w:hint="cs"/>
        <w:sz w:val="16"/>
        <w:szCs w:val="16"/>
        <w:rtl/>
      </w:rPr>
      <w:t>ה</w:t>
    </w:r>
    <w:r>
      <w:rPr>
        <w:sz w:val="16"/>
        <w:szCs w:val="16"/>
        <w:rtl/>
      </w:rPr>
      <w:t>-2014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FB6" w:rsidP="00280FB6">
    <w:pPr>
      <w:pStyle w:val="Footer"/>
      <w:tabs>
        <w:tab w:val="left" w:pos="1222"/>
      </w:tabs>
      <w:spacing w:line="160" w:lineRule="exact"/>
      <w:ind w:left="0" w:right="0"/>
      <w:jc w:val="left"/>
      <w:rPr>
        <w:sz w:val="16"/>
        <w:szCs w:val="16"/>
        <w:rtl/>
      </w:rPr>
    </w:pPr>
    <w:r>
      <w:rPr>
        <w:sz w:val="16"/>
        <w:szCs w:val="16"/>
        <w:rtl/>
      </w:rPr>
      <w:t>שם הדוח:</w:t>
      <w:tab/>
    </w:r>
    <w:r w:rsidRPr="00280FB6">
      <w:rPr>
        <w:rFonts w:hint="cs"/>
        <w:sz w:val="16"/>
        <w:szCs w:val="16"/>
        <w:rtl/>
      </w:rPr>
      <w:t>רשות המסים בישראל - המאבק ב"הון השחור"  - רקע</w:t>
    </w:r>
  </w:p>
  <w:p w:rsidR="001275A6">
    <w:pPr>
      <w:pStyle w:val="Footer"/>
      <w:tabs>
        <w:tab w:val="left" w:pos="1222"/>
      </w:tabs>
      <w:spacing w:line="160" w:lineRule="exact"/>
      <w:ind w:left="0" w:right="0"/>
      <w:jc w:val="left"/>
      <w:rPr>
        <w:rFonts w:hint="cs"/>
        <w:sz w:val="16"/>
        <w:szCs w:val="16"/>
        <w:rtl/>
      </w:rPr>
    </w:pPr>
    <w:r>
      <w:rPr>
        <w:sz w:val="16"/>
        <w:szCs w:val="16"/>
        <w:rtl/>
      </w:rPr>
      <w:t>מסגרת הפרסום:</w:t>
      <w:tab/>
    </w:r>
    <w:r>
      <w:rPr>
        <w:rFonts w:hint="cs"/>
        <w:sz w:val="16"/>
        <w:szCs w:val="16"/>
        <w:rtl/>
      </w:rPr>
      <w:t>דוח שנתי 65א</w:t>
    </w:r>
  </w:p>
  <w:p w:rsidR="001275A6" w:rsidP="00836CD0">
    <w:pPr>
      <w:pStyle w:val="Footer"/>
      <w:tabs>
        <w:tab w:val="left" w:pos="1222"/>
      </w:tabs>
      <w:spacing w:line="160" w:lineRule="exact"/>
      <w:ind w:left="0" w:right="0"/>
      <w:jc w:val="left"/>
      <w:rPr>
        <w:sz w:val="16"/>
        <w:szCs w:val="16"/>
        <w:rtl/>
      </w:rPr>
    </w:pPr>
    <w:r>
      <w:rPr>
        <w:sz w:val="16"/>
        <w:szCs w:val="16"/>
        <w:rtl/>
      </w:rPr>
      <w:t xml:space="preserve">שנת </w:t>
    </w:r>
    <w:r w:rsidR="0049529A">
      <w:rPr>
        <w:rFonts w:hint="cs"/>
        <w:sz w:val="16"/>
        <w:szCs w:val="16"/>
        <w:rtl/>
      </w:rPr>
      <w:t>ה</w:t>
    </w:r>
    <w:r>
      <w:rPr>
        <w:sz w:val="16"/>
        <w:szCs w:val="16"/>
        <w:rtl/>
      </w:rPr>
      <w:t>פרסום:</w:t>
      <w:tab/>
      <w:t>התשע"</w:t>
    </w:r>
    <w:r w:rsidR="00836CD0">
      <w:rPr>
        <w:rFonts w:hint="cs"/>
        <w:sz w:val="16"/>
        <w:szCs w:val="16"/>
        <w:rtl/>
      </w:rPr>
      <w:t>ה</w:t>
    </w:r>
    <w:r>
      <w:rPr>
        <w:sz w:val="16"/>
        <w:szCs w:val="16"/>
        <w:rtl/>
      </w:rPr>
      <w:t>-2014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600">
      <w:pPr>
        <w:spacing w:after="120"/>
        <w:ind w:left="0" w:right="0"/>
        <w:jc w:val="left"/>
        <w:rPr>
          <w:sz w:val="16"/>
          <w:szCs w:val="16"/>
        </w:rPr>
      </w:pPr>
      <w:r>
        <w:rPr>
          <w:sz w:val="16"/>
          <w:szCs w:val="16"/>
          <w:rtl/>
        </w:rPr>
        <w:t>__________________</w:t>
      </w:r>
    </w:p>
  </w:footnote>
  <w:footnote w:type="continuationSeparator" w:id="1">
    <w:p w:rsidR="00EB0600">
      <w:pPr>
        <w:ind w:left="0" w:right="0"/>
        <w:jc w:val="left"/>
      </w:pPr>
      <w:r>
        <w:t>_______________</w:t>
      </w:r>
    </w:p>
  </w:footnote>
  <w:footnote w:id="2">
    <w:p w:rsidR="00F66B29" w:rsidRPr="00280FB6" w:rsidP="00280FB6">
      <w:pPr>
        <w:pStyle w:val="FootnoteText"/>
        <w:keepLines/>
        <w:spacing w:line="200" w:lineRule="exact"/>
        <w:ind w:left="397" w:right="0" w:hanging="397"/>
        <w:jc w:val="both"/>
        <w:rPr>
          <w:rFonts w:cs="FrankRuehl" w:hint="cs"/>
          <w:sz w:val="18"/>
          <w:rtl/>
        </w:rPr>
      </w:pPr>
      <w:r w:rsidRPr="00280FB6">
        <w:rPr>
          <w:rStyle w:val="FootnoteReference"/>
          <w:rFonts w:ascii="FrankRuehl" w:hAnsi="FrankRuehl" w:cs="FrankRuehl"/>
          <w:vertAlign w:val="baseline"/>
        </w:rPr>
        <w:footnoteRef/>
      </w:r>
      <w:r w:rsidRPr="00280FB6">
        <w:rPr>
          <w:rStyle w:val="FootnoteReference"/>
          <w:rFonts w:ascii="FrankRuehl" w:hAnsi="FrankRuehl" w:cs="FrankRuehl" w:hint="cs"/>
          <w:vertAlign w:val="baseline"/>
          <w:rtl/>
        </w:rPr>
        <w:t xml:space="preserve"> </w:t>
      </w:r>
      <w:r w:rsidRPr="00280FB6">
        <w:rPr>
          <w:rFonts w:cs="FrankRuehl" w:hint="cs"/>
          <w:sz w:val="18"/>
          <w:rtl/>
        </w:rPr>
        <w:tab/>
        <w:t>הערך הכולל של תפוקת המוצרים המוגמרים והשירותים בתקופה מסוימת במחירים שוטפים.</w:t>
      </w:r>
    </w:p>
  </w:footnote>
  <w:footnote w:id="3">
    <w:p w:rsidR="00F66B29" w:rsidRPr="00280FB6" w:rsidP="00280FB6">
      <w:pPr>
        <w:pStyle w:val="FootnoteText"/>
        <w:keepLines/>
        <w:spacing w:line="200" w:lineRule="exact"/>
        <w:ind w:left="397" w:right="0" w:hanging="397"/>
        <w:jc w:val="both"/>
        <w:rPr>
          <w:rFonts w:cs="FrankRuehl"/>
          <w:sz w:val="18"/>
        </w:rPr>
      </w:pPr>
      <w:r w:rsidRPr="00280FB6">
        <w:rPr>
          <w:rStyle w:val="FootnoteReference"/>
          <w:rFonts w:ascii="FrankRuehl" w:hAnsi="FrankRuehl" w:cs="FrankRuehl"/>
          <w:vertAlign w:val="baseline"/>
        </w:rPr>
        <w:footnoteRef/>
      </w:r>
      <w:r w:rsidRPr="00280FB6">
        <w:rPr>
          <w:rFonts w:cs="FrankRuehl" w:hint="cs"/>
          <w:sz w:val="18"/>
          <w:rtl/>
        </w:rPr>
        <w:t xml:space="preserve"> </w:t>
        <w:tab/>
        <w:t>שהובאה גם היא בדוח ועדת ארבלי (במבוא). התל"ג לשנת 2010 היה כ-טריליון ש"ח.</w:t>
      </w:r>
    </w:p>
  </w:footnote>
  <w:footnote w:id="4">
    <w:p w:rsidR="00F66B29" w:rsidRPr="00280FB6" w:rsidP="00280FB6">
      <w:pPr>
        <w:pStyle w:val="FootnoteText"/>
        <w:keepLines/>
        <w:spacing w:line="200" w:lineRule="exact"/>
        <w:ind w:left="397" w:right="0" w:hanging="397"/>
        <w:jc w:val="both"/>
        <w:rPr>
          <w:rFonts w:cs="FrankRuehl" w:hint="cs"/>
          <w:sz w:val="18"/>
          <w:rtl/>
        </w:rPr>
      </w:pPr>
      <w:r w:rsidRPr="00280FB6">
        <w:rPr>
          <w:rStyle w:val="FootnoteReference"/>
          <w:rFonts w:ascii="FrankRuehl" w:hAnsi="FrankRuehl" w:cs="FrankRuehl"/>
          <w:vertAlign w:val="baseline"/>
        </w:rPr>
        <w:footnoteRef/>
      </w:r>
      <w:r w:rsidRPr="00280FB6">
        <w:rPr>
          <w:rStyle w:val="FootnoteReference"/>
          <w:rFonts w:ascii="FrankRuehl" w:hAnsi="FrankRuehl" w:cs="FrankRuehl" w:hint="cs"/>
          <w:vertAlign w:val="baseline"/>
          <w:rtl/>
        </w:rPr>
        <w:t xml:space="preserve"> </w:t>
      </w:r>
      <w:r w:rsidRPr="00280FB6">
        <w:rPr>
          <w:rFonts w:cs="FrankRuehl" w:hint="cs"/>
          <w:sz w:val="18"/>
          <w:rtl/>
        </w:rPr>
        <w:tab/>
        <w:t>במקום הראשון מדורגת המדינה שבה שיעור ההון השחור מן התמ"ג הוא הנמוך ביותר.</w:t>
      </w:r>
    </w:p>
  </w:footnote>
  <w:footnote w:id="5">
    <w:p w:rsidR="00F66B29" w:rsidRPr="00280FB6" w:rsidP="00280FB6">
      <w:pPr>
        <w:pStyle w:val="FootnoteText"/>
        <w:keepLines/>
        <w:spacing w:line="200" w:lineRule="exact"/>
        <w:ind w:left="397" w:right="0" w:hanging="397"/>
        <w:jc w:val="both"/>
        <w:rPr>
          <w:rFonts w:cs="FrankRuehl"/>
          <w:sz w:val="18"/>
        </w:rPr>
      </w:pPr>
      <w:r w:rsidRPr="00280FB6">
        <w:rPr>
          <w:rStyle w:val="FootnoteReference"/>
          <w:rFonts w:ascii="FrankRuehl" w:hAnsi="FrankRuehl" w:cs="FrankRuehl"/>
          <w:vertAlign w:val="baseline"/>
        </w:rPr>
        <w:footnoteRef/>
      </w:r>
      <w:r w:rsidRPr="00280FB6">
        <w:rPr>
          <w:rFonts w:cs="FrankRuehl" w:hint="cs"/>
          <w:sz w:val="18"/>
          <w:rtl/>
        </w:rPr>
        <w:t xml:space="preserve"> </w:t>
        <w:tab/>
        <w:t xml:space="preserve">גם הערכה זו מובאת בדוח ועדת ארבלי. </w:t>
      </w:r>
    </w:p>
  </w:footnote>
  <w:footnote w:id="6">
    <w:p w:rsidR="00F66B29" w:rsidRPr="00280FB6" w:rsidP="00280FB6">
      <w:pPr>
        <w:pStyle w:val="FootnoteText"/>
        <w:keepLines/>
        <w:spacing w:line="200" w:lineRule="exact"/>
        <w:ind w:left="397" w:right="0" w:hanging="397"/>
        <w:jc w:val="both"/>
        <w:rPr>
          <w:rFonts w:cs="FrankRuehl" w:hint="cs"/>
          <w:sz w:val="18"/>
          <w:rtl/>
        </w:rPr>
      </w:pPr>
      <w:r w:rsidRPr="00280FB6">
        <w:rPr>
          <w:rStyle w:val="FootnoteReference"/>
          <w:rFonts w:ascii="FrankRuehl" w:hAnsi="FrankRuehl" w:cs="FrankRuehl"/>
          <w:vertAlign w:val="baseline"/>
        </w:rPr>
        <w:footnoteRef/>
      </w:r>
      <w:r w:rsidRPr="00280FB6">
        <w:rPr>
          <w:rStyle w:val="FootnoteReference"/>
          <w:rFonts w:ascii="FrankRuehl" w:hAnsi="FrankRuehl" w:cs="FrankRuehl" w:hint="cs"/>
          <w:vertAlign w:val="baseline"/>
          <w:rtl/>
        </w:rPr>
        <w:t xml:space="preserve"> </w:t>
      </w:r>
      <w:r w:rsidRPr="00280FB6">
        <w:rPr>
          <w:rFonts w:cs="FrankRuehl" w:hint="cs"/>
          <w:sz w:val="18"/>
          <w:rtl/>
        </w:rPr>
        <w:tab/>
        <w:t>היקף הסחורות, ההכנסות או השירותים שעליהם מוטל המס.</w:t>
      </w:r>
    </w:p>
  </w:footnote>
  <w:footnote w:id="7">
    <w:p w:rsidR="00F66B29" w:rsidRPr="00280FB6" w:rsidP="00280FB6">
      <w:pPr>
        <w:pStyle w:val="FootnoteText"/>
        <w:keepLines/>
        <w:spacing w:line="200" w:lineRule="exact"/>
        <w:ind w:left="397" w:right="0" w:hanging="397"/>
        <w:jc w:val="both"/>
        <w:rPr>
          <w:rFonts w:cs="FrankRuehl"/>
          <w:sz w:val="18"/>
        </w:rPr>
      </w:pPr>
      <w:r w:rsidRPr="00280FB6">
        <w:rPr>
          <w:rStyle w:val="FootnoteReference"/>
          <w:rFonts w:ascii="FrankRuehl" w:hAnsi="FrankRuehl" w:cs="FrankRuehl"/>
          <w:vertAlign w:val="baseline"/>
        </w:rPr>
        <w:footnoteRef/>
      </w:r>
      <w:r w:rsidRPr="00280FB6">
        <w:rPr>
          <w:rStyle w:val="FootnoteReference"/>
          <w:rFonts w:ascii="FrankRuehl" w:hAnsi="FrankRuehl" w:cs="FrankRuehl" w:hint="cs"/>
          <w:vertAlign w:val="baseline"/>
          <w:rtl/>
        </w:rPr>
        <w:t xml:space="preserve"> </w:t>
      </w:r>
      <w:r w:rsidRPr="00280FB6">
        <w:rPr>
          <w:rFonts w:cs="FrankRuehl" w:hint="cs"/>
          <w:sz w:val="18"/>
          <w:rtl/>
        </w:rPr>
        <w:tab/>
        <w:t xml:space="preserve">במסגרת החוק לשינוי סדרי עדיפויות לאומיים (תיקוני חקיקה להשגת יעדי התקציב לשנים </w:t>
      </w:r>
      <w:r>
        <w:rPr>
          <w:rFonts w:cs="FrankRuehl"/>
          <w:sz w:val="18"/>
          <w:rtl/>
        </w:rPr>
        <w:br/>
      </w:r>
      <w:r w:rsidRPr="00280FB6">
        <w:rPr>
          <w:rFonts w:cs="FrankRuehl" w:hint="cs"/>
          <w:sz w:val="18"/>
          <w:rtl/>
        </w:rPr>
        <w:t>2014-2013), התשע"ג-2013.</w:t>
      </w:r>
    </w:p>
  </w:footnote>
  <w:footnote w:id="8">
    <w:p w:rsidR="00F66B29" w:rsidRPr="00280FB6" w:rsidP="00280FB6">
      <w:pPr>
        <w:pStyle w:val="FootnoteText"/>
        <w:keepLines/>
        <w:spacing w:line="200" w:lineRule="exact"/>
        <w:ind w:left="397" w:right="0" w:hanging="397"/>
        <w:jc w:val="both"/>
        <w:rPr>
          <w:rFonts w:cs="FrankRuehl" w:hint="cs"/>
          <w:sz w:val="18"/>
          <w:rtl/>
        </w:rPr>
      </w:pPr>
      <w:r w:rsidRPr="00280FB6">
        <w:rPr>
          <w:rStyle w:val="FootnoteReference"/>
          <w:rFonts w:ascii="FrankRuehl" w:hAnsi="FrankRuehl" w:cs="FrankRuehl"/>
          <w:vertAlign w:val="baseline"/>
        </w:rPr>
        <w:footnoteRef/>
      </w:r>
      <w:r w:rsidRPr="00280FB6">
        <w:rPr>
          <w:rStyle w:val="FootnoteReference"/>
          <w:rFonts w:ascii="FrankRuehl" w:hAnsi="FrankRuehl" w:cs="FrankRuehl" w:hint="cs"/>
          <w:vertAlign w:val="baseline"/>
          <w:rtl/>
        </w:rPr>
        <w:t xml:space="preserve"> </w:t>
      </w:r>
      <w:r w:rsidRPr="00280FB6">
        <w:rPr>
          <w:rFonts w:cs="FrankRuehl" w:hint="cs"/>
          <w:sz w:val="18"/>
          <w:rtl/>
        </w:rPr>
        <w:tab/>
        <w:t>בעיקר במסגרת הצעת חוק להעמקת גביית המסים והגברת האכיפה (אמצעים לאכיפת תשלום מסים ולהרתעה מפני הלבנת הון) (תיקוני חקיקה והוראת שעה), התשע"ג-2013.</w:t>
      </w:r>
    </w:p>
  </w:footnote>
  <w:footnote w:id="9">
    <w:p w:rsidR="00F66B29" w:rsidRPr="00280FB6" w:rsidP="00280FB6">
      <w:pPr>
        <w:pStyle w:val="FootnoteText"/>
        <w:keepLines/>
        <w:spacing w:line="200" w:lineRule="exact"/>
        <w:ind w:left="397" w:right="0" w:hanging="397"/>
        <w:jc w:val="both"/>
        <w:rPr>
          <w:rFonts w:cs="FrankRuehl" w:hint="cs"/>
          <w:sz w:val="18"/>
          <w:rtl/>
        </w:rPr>
      </w:pPr>
      <w:r w:rsidRPr="00280FB6">
        <w:rPr>
          <w:rStyle w:val="FootnoteReference"/>
          <w:rFonts w:ascii="FrankRuehl" w:hAnsi="FrankRuehl" w:cs="FrankRuehl"/>
          <w:vertAlign w:val="baseline"/>
        </w:rPr>
        <w:footnoteRef/>
      </w:r>
      <w:r w:rsidRPr="00280FB6">
        <w:rPr>
          <w:rStyle w:val="FootnoteReference"/>
          <w:rFonts w:ascii="FrankRuehl" w:hAnsi="FrankRuehl" w:cs="FrankRuehl" w:hint="cs"/>
          <w:vertAlign w:val="baseline"/>
          <w:rtl/>
        </w:rPr>
        <w:t xml:space="preserve"> </w:t>
      </w:r>
      <w:r w:rsidRPr="00280FB6">
        <w:rPr>
          <w:rFonts w:cs="FrankRuehl" w:hint="cs"/>
          <w:sz w:val="18"/>
          <w:rtl/>
        </w:rPr>
        <w:tab/>
        <w:t>מוקד טלפוני שהציבור יכול לפנות אליו כדי למסור מידע על עברות מס, תוך הבטחת סודיות מלאה של פרטי המוסר.</w:t>
      </w:r>
    </w:p>
  </w:footnote>
  <w:footnote w:id="10">
    <w:p w:rsidR="00F66B29" w:rsidRPr="00280FB6" w:rsidP="00280FB6">
      <w:pPr>
        <w:pStyle w:val="FootnoteText"/>
        <w:keepLines/>
        <w:spacing w:line="200" w:lineRule="exact"/>
        <w:ind w:left="397" w:right="0" w:hanging="397"/>
        <w:jc w:val="both"/>
        <w:rPr>
          <w:rFonts w:cs="FrankRuehl" w:hint="cs"/>
          <w:sz w:val="18"/>
          <w:rtl/>
        </w:rPr>
      </w:pPr>
      <w:r w:rsidRPr="00280FB6">
        <w:rPr>
          <w:rStyle w:val="FootnoteReference"/>
          <w:rFonts w:ascii="FrankRuehl" w:hAnsi="FrankRuehl" w:cs="FrankRuehl"/>
          <w:vertAlign w:val="baseline"/>
        </w:rPr>
        <w:footnoteRef/>
      </w:r>
      <w:r w:rsidRPr="00280FB6">
        <w:rPr>
          <w:rStyle w:val="FootnoteReference"/>
          <w:rFonts w:ascii="FrankRuehl" w:hAnsi="FrankRuehl" w:cs="FrankRuehl" w:hint="cs"/>
          <w:vertAlign w:val="baseline"/>
          <w:rtl/>
        </w:rPr>
        <w:t xml:space="preserve"> </w:t>
      </w:r>
      <w:r w:rsidRPr="00280FB6">
        <w:rPr>
          <w:rFonts w:cs="FrankRuehl" w:hint="cs"/>
          <w:sz w:val="18"/>
          <w:rtl/>
        </w:rPr>
        <w:tab/>
        <w:t>ראו אתר בנק ישראל בפרק "האם הטלת חובת דיווח כללית בישראל היא הפתרון להעמקת הציות לחוקי המס?".</w:t>
      </w:r>
    </w:p>
  </w:footnote>
  <w:footnote w:id="11">
    <w:p w:rsidR="00F66B29" w:rsidRPr="00280FB6" w:rsidP="00280FB6">
      <w:pPr>
        <w:pStyle w:val="FootnoteText"/>
        <w:keepLines/>
        <w:spacing w:line="200" w:lineRule="exact"/>
        <w:ind w:left="397" w:right="0" w:hanging="397"/>
        <w:jc w:val="both"/>
        <w:rPr>
          <w:rFonts w:cs="FrankRuehl" w:hint="cs"/>
          <w:sz w:val="18"/>
          <w:rtl/>
        </w:rPr>
      </w:pPr>
      <w:r w:rsidRPr="00280FB6">
        <w:rPr>
          <w:rStyle w:val="FootnoteReference"/>
          <w:rFonts w:ascii="FrankRuehl" w:hAnsi="FrankRuehl" w:cs="FrankRuehl"/>
          <w:vertAlign w:val="baseline"/>
        </w:rPr>
        <w:footnoteRef/>
      </w:r>
      <w:r w:rsidRPr="00280FB6">
        <w:rPr>
          <w:rStyle w:val="FootnoteReference"/>
          <w:rFonts w:ascii="FrankRuehl" w:hAnsi="FrankRuehl" w:cs="FrankRuehl" w:hint="cs"/>
          <w:vertAlign w:val="baseline"/>
          <w:rtl/>
        </w:rPr>
        <w:t xml:space="preserve"> </w:t>
      </w:r>
      <w:r w:rsidRPr="00280FB6">
        <w:rPr>
          <w:rFonts w:cs="FrankRuehl" w:hint="cs"/>
          <w:sz w:val="18"/>
          <w:rtl/>
        </w:rPr>
        <w:tab/>
        <w:t>בשנת 1999 העריכה כי תביא לתוספת של 1.8 מיליון דוחות.</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A6">
    <w:pPr>
      <w:pStyle w:val="Header"/>
      <w:tabs>
        <w:tab w:val="clear" w:pos="4153"/>
        <w:tab w:val="right" w:pos="6804"/>
        <w:tab w:val="clear" w:pos="8306"/>
      </w:tabs>
      <w:ind w:left="0" w:right="0"/>
      <w:jc w:val="left"/>
      <w:rPr>
        <w:rFonts w:ascii="FrankRuehl" w:hAnsi="FrankRuehl" w:cs="FrankRuehl" w:hint="cs"/>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36CD0">
      <w:rPr>
        <w:rFonts w:ascii="FrankRuehl" w:hAnsi="FrankRuehl" w:cs="FrankRuehl"/>
        <w:noProof/>
        <w:szCs w:val="20"/>
        <w:rtl/>
      </w:rPr>
      <w:t>4</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A6" w:rsidP="00F66B29">
    <w:pPr>
      <w:pStyle w:val="Header"/>
      <w:tabs>
        <w:tab w:val="clear" w:pos="4153"/>
        <w:tab w:val="right" w:pos="6804"/>
        <w:tab w:val="clear" w:pos="8306"/>
      </w:tabs>
      <w:ind w:left="0" w:right="0"/>
      <w:jc w:val="left"/>
      <w:rPr>
        <w:rFonts w:ascii="FrankRuehl" w:hAnsi="FrankRuehl" w:cs="FrankRuehl"/>
        <w:szCs w:val="20"/>
        <w:rtl/>
      </w:rPr>
    </w:pPr>
    <w:r w:rsidRPr="00280FB6" w:rsidR="00280FB6">
      <w:rPr>
        <w:rFonts w:ascii="FrankRuehl" w:hAnsi="FrankRuehl" w:cs="FrankRuehl" w:hint="cs"/>
        <w:noProof/>
        <w:szCs w:val="20"/>
        <w:rtl/>
      </w:rPr>
      <w:t>רשות המסים בישראל</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36CD0">
      <w:rPr>
        <w:rFonts w:ascii="FrankRuehl" w:hAnsi="FrankRuehl" w:cs="FrankRuehl"/>
        <w:noProof/>
        <w:szCs w:val="20"/>
        <w:rtl/>
      </w:rPr>
      <w:t>5</w:t>
    </w:r>
    <w:r>
      <w:rPr>
        <w:rFonts w:ascii="FrankRuehl" w:hAnsi="FrankRuehl" w:cs="FrankRuehl"/>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A6">
    <w:pPr>
      <w:pStyle w:val="Header"/>
      <w:tabs>
        <w:tab w:val="clear" w:pos="4153"/>
        <w:tab w:val="right" w:pos="6804"/>
        <w:tab w:val="clear" w:pos="8306"/>
      </w:tabs>
      <w:ind w:left="0" w:right="0"/>
      <w:jc w:val="left"/>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836CD0">
      <w:rPr>
        <w:rFonts w:ascii="FrankRuehl" w:hAnsi="FrankRuehl" w:cs="FrankRuehl"/>
        <w:noProof/>
        <w:szCs w:val="20"/>
        <w:rtl/>
      </w:rPr>
      <w:t>3</w:t>
    </w:r>
    <w:r>
      <w:rPr>
        <w:rFonts w:ascii="FrankRuehl" w:hAnsi="FrankRuehl" w:cs="FrankRuehl"/>
        <w:szCs w:val="2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A32">
    <w:pPr>
      <w:pStyle w:val="Header"/>
      <w:tabs>
        <w:tab w:val="clear" w:pos="4153"/>
        <w:tab w:val="right" w:pos="6804"/>
        <w:tab w:val="clear" w:pos="8306"/>
      </w:tabs>
      <w:ind w:left="0" w:right="0"/>
      <w:jc w:val="left"/>
      <w:rPr>
        <w:rFonts w:ascii="FrankRuehl" w:hAnsi="FrankRuehl" w:cs="FrankRuehl"/>
        <w:szCs w:val="20"/>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0000"/>
    <w:rsid w:val="001275A6"/>
    <w:rsid w:val="00280FB6"/>
    <w:rsid w:val="0049529A"/>
    <w:rsid w:val="005F2A32"/>
    <w:rsid w:val="00836CD0"/>
    <w:rsid w:val="00AB0E75"/>
    <w:rsid w:val="00F66B29"/>
  </w:rsids>
  <w:docVars>
    <w:docVar w:name="sivug" w:val="0"/>
    <w:docVar w:name="space" w:val="-1"/>
  </w:docVar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ind w:left="0" w:right="0"/>
      <w:jc w:val="left"/>
    </w:pPr>
    <w:rPr>
      <w:rFonts w:cs="David"/>
      <w:sz w:val="24"/>
      <w:szCs w:val="24"/>
      <w:lang w:val="en-US" w:eastAsia="en-US" w:bidi="he-IL"/>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ind w:left="0" w:right="0"/>
      <w:jc w:val="left"/>
      <w:outlineLvl w:val="1"/>
    </w:pPr>
    <w:rPr>
      <w:sz w:val="26"/>
      <w:szCs w:val="26"/>
    </w:rPr>
  </w:style>
  <w:style w:type="paragraph" w:customStyle="1" w:styleId="KOT5">
    <w:name w:val="KOT5"/>
    <w:basedOn w:val="KOT4"/>
    <w:pPr>
      <w:spacing w:after="120" w:line="260" w:lineRule="exact"/>
      <w:ind w:left="0" w:right="0"/>
      <w:jc w:val="lef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ind w:left="0" w:right="0"/>
      <w:jc w:val="left"/>
      <w:outlineLvl w:val="3"/>
    </w:pPr>
    <w:rPr>
      <w:rFonts w:cs="FrankRuehl"/>
      <w:spacing w:val="40"/>
      <w:sz w:val="20"/>
    </w:rPr>
  </w:style>
  <w:style w:type="paragraph" w:customStyle="1" w:styleId="KOT7">
    <w:name w:val="KOT7"/>
    <w:basedOn w:val="KOT6"/>
    <w:locked/>
    <w:pPr>
      <w:ind w:left="0" w:right="0"/>
      <w:jc w:val="left"/>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lang w:val="en-US" w:eastAsia="en-US" w:bidi="he-IL"/>
    </w:rPr>
  </w:style>
  <w:style w:type="paragraph" w:customStyle="1" w:styleId="tab-name">
    <w:name w:val="tab-name"/>
    <w:basedOn w:val="KOT5"/>
    <w:qFormat/>
    <w:pPr>
      <w:ind w:left="0" w:right="0"/>
      <w:jc w:val="center"/>
      <w:outlineLvl w:val="9"/>
    </w:p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header" Target="header4.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F8114C-988E-42A9-9069-EF20E9368330}">
  <ds:schemaRefs>
    <ds:schemaRef ds:uri="http://schemas.openxmlformats.org/officeDocument/2006/bibliography"/>
  </ds:schemaRefs>
</ds:datastoreItem>
</file>

<file path=customXml/itemProps2.xml><?xml version="1.0" encoding="utf-8"?>
<ds:datastoreItem xmlns:ds="http://schemas.openxmlformats.org/officeDocument/2006/customXml" ds:itemID="{B632E97F-0352-431F-9181-98E10B590948}"/>
</file>

<file path=customXml/itemProps3.xml><?xml version="1.0" encoding="utf-8"?>
<ds:datastoreItem xmlns:ds="http://schemas.openxmlformats.org/officeDocument/2006/customXml" ds:itemID="{E997D7CF-9DD9-4A36-A2C8-850350E8BE39}"/>
</file>

<file path=customXml/itemProps4.xml><?xml version="1.0" encoding="utf-8"?>
<ds:datastoreItem xmlns:ds="http://schemas.openxmlformats.org/officeDocument/2006/customXml" ds:itemID="{E23F0277-FF9A-4A44-9882-DBDD9669B0FC}"/>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