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11 -->
  <w:body>
    <w:p w:rsidR="00F20C1A">
      <w:pPr>
        <w:pStyle w:val="NAME"/>
        <w:rPr>
          <w:rtl/>
        </w:rPr>
      </w:pPr>
      <w:bookmarkStart w:id="0" w:name="_Toc349122061"/>
      <w:bookmarkStart w:id="1" w:name="_Toc349136480"/>
      <w:bookmarkStart w:id="2" w:name="_Toc352831083"/>
      <w:bookmarkStart w:id="3" w:name="_Toc354324568"/>
      <w:bookmarkStart w:id="4" w:name="_Toc354661923"/>
      <w:bookmarkStart w:id="5" w:name="_GoBack"/>
      <w:bookmarkEnd w:id="5"/>
      <w:r>
        <w:rPr>
          <w:rFonts w:hint="cs"/>
          <w:rtl/>
        </w:rPr>
        <w:t xml:space="preserve">משרד האוצר </w:t>
      </w:r>
    </w:p>
    <w:p w:rsidR="00F20C1A">
      <w:pPr>
        <w:pStyle w:val="Footer"/>
        <w:tabs>
          <w:tab w:val="clear" w:pos="4153"/>
          <w:tab w:val="clear" w:pos="8306"/>
        </w:tabs>
        <w:spacing w:after="120" w:line="230" w:lineRule="exact"/>
        <w:jc w:val="both"/>
        <w:rPr>
          <w:rFonts w:cs="FrankRuehl"/>
          <w:szCs w:val="22"/>
          <w:rtl/>
        </w:rPr>
      </w:pPr>
    </w:p>
    <w:p w:rsidR="00F20C1A">
      <w:pPr>
        <w:spacing w:after="120" w:line="230" w:lineRule="exact"/>
        <w:jc w:val="both"/>
        <w:rPr>
          <w:rFonts w:cs="FrankRuehl"/>
          <w:szCs w:val="22"/>
          <w:rtl/>
        </w:rPr>
      </w:pPr>
    </w:p>
    <w:p w:rsidR="00F20C1A" w:rsidP="00D21B59">
      <w:pPr>
        <w:pStyle w:val="KOT1"/>
        <w:rPr>
          <w:rtl/>
        </w:rPr>
      </w:pPr>
      <w:r>
        <w:rPr>
          <w:rtl/>
        </w:rPr>
        <w:t>תכנון ויישום של תכניות עבודה</w:t>
      </w:r>
    </w:p>
    <w:p w:rsidR="00F20C1A">
      <w:pPr>
        <w:pStyle w:val="KOT4"/>
        <w:jc w:val="center"/>
        <w:rPr>
          <w:sz w:val="30"/>
          <w:szCs w:val="30"/>
          <w:rtl/>
        </w:rPr>
      </w:pPr>
      <w:r>
        <w:rPr>
          <w:sz w:val="30"/>
          <w:szCs w:val="30"/>
          <w:rtl/>
        </w:rPr>
        <w:t>תקציר</w:t>
      </w: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7717D4">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691" w:type="dxa"/>
            <w:shd w:val="pct25" w:color="00FF00" w:fill="auto"/>
          </w:tcPr>
          <w:p w:rsidR="00F20C1A">
            <w:pPr>
              <w:pStyle w:val="KOT4"/>
              <w:spacing w:before="120"/>
              <w:jc w:val="center"/>
              <w:rPr>
                <w:rtl/>
              </w:rPr>
            </w:pPr>
            <w:r>
              <w:rPr>
                <w:rFonts w:hint="cs"/>
                <w:rtl/>
              </w:rPr>
              <w:t>רקע כללי</w:t>
            </w:r>
          </w:p>
        </w:tc>
      </w:tr>
      <w:tr w:rsidTr="007717D4">
        <w:tblPrEx>
          <w:tblW w:w="6691" w:type="dxa"/>
          <w:jc w:val="center"/>
          <w:tblLook w:val="04A0"/>
        </w:tblPrEx>
        <w:trPr>
          <w:jc w:val="center"/>
        </w:trPr>
        <w:tc>
          <w:tcPr>
            <w:tcW w:w="6691" w:type="dxa"/>
          </w:tcPr>
          <w:p w:rsidR="00F20C1A">
            <w:pPr>
              <w:pStyle w:val="PATIAH"/>
              <w:spacing w:before="60"/>
              <w:rPr>
                <w:sz w:val="22"/>
                <w:szCs w:val="22"/>
                <w:rtl/>
              </w:rPr>
            </w:pPr>
            <w:r>
              <w:rPr>
                <w:sz w:val="22"/>
                <w:szCs w:val="22"/>
                <w:rtl/>
              </w:rPr>
              <w:t>בשנים האחרונות מתקיי</w:t>
            </w:r>
            <w:r>
              <w:rPr>
                <w:rFonts w:hint="cs"/>
                <w:sz w:val="22"/>
                <w:szCs w:val="22"/>
                <w:rtl/>
              </w:rPr>
              <w:t>מת</w:t>
            </w:r>
            <w:r>
              <w:rPr>
                <w:sz w:val="22"/>
                <w:szCs w:val="22"/>
                <w:rtl/>
              </w:rPr>
              <w:t xml:space="preserve"> בכל משרדי הממשלה הטמעת תרבות ארגונית </w:t>
            </w:r>
            <w:r>
              <w:rPr>
                <w:rFonts w:hint="cs"/>
                <w:sz w:val="22"/>
                <w:szCs w:val="22"/>
                <w:rtl/>
              </w:rPr>
              <w:t xml:space="preserve">של </w:t>
            </w:r>
            <w:r>
              <w:rPr>
                <w:sz w:val="22"/>
                <w:szCs w:val="22"/>
                <w:rtl/>
              </w:rPr>
              <w:t>תהליכי תכנון</w:t>
            </w:r>
            <w:r>
              <w:rPr>
                <w:rFonts w:hint="cs"/>
                <w:sz w:val="22"/>
                <w:szCs w:val="22"/>
                <w:rtl/>
              </w:rPr>
              <w:t xml:space="preserve">, </w:t>
            </w:r>
            <w:r>
              <w:rPr>
                <w:sz w:val="22"/>
                <w:szCs w:val="22"/>
                <w:rtl/>
              </w:rPr>
              <w:t>מדידה, הערכה ובקרה. במרכיבי</w:t>
            </w:r>
            <w:r>
              <w:rPr>
                <w:rFonts w:hint="cs"/>
                <w:sz w:val="22"/>
                <w:szCs w:val="22"/>
                <w:rtl/>
              </w:rPr>
              <w:t>ה</w:t>
            </w:r>
            <w:r>
              <w:rPr>
                <w:sz w:val="22"/>
                <w:szCs w:val="22"/>
                <w:rtl/>
              </w:rPr>
              <w:t>: בניית מתודולוגיה ממשלתית אחידה</w:t>
            </w:r>
            <w:r>
              <w:rPr>
                <w:rFonts w:hint="cs"/>
                <w:sz w:val="22"/>
                <w:szCs w:val="22"/>
                <w:rtl/>
              </w:rPr>
              <w:t xml:space="preserve"> </w:t>
            </w:r>
            <w:r>
              <w:rPr>
                <w:sz w:val="22"/>
                <w:szCs w:val="22"/>
                <w:rtl/>
              </w:rPr>
              <w:t>ומיסוד הכנתן של תכניות עבודה מדידות.</w:t>
            </w:r>
            <w:r>
              <w:rPr>
                <w:rFonts w:hint="cs"/>
                <w:sz w:val="22"/>
                <w:szCs w:val="22"/>
                <w:rtl/>
              </w:rPr>
              <w:t xml:space="preserve"> </w:t>
            </w:r>
            <w:r>
              <w:rPr>
                <w:sz w:val="22"/>
                <w:szCs w:val="22"/>
                <w:rtl/>
              </w:rPr>
              <w:t xml:space="preserve">תכניות </w:t>
            </w:r>
            <w:r>
              <w:rPr>
                <w:rFonts w:hint="cs"/>
                <w:sz w:val="22"/>
                <w:szCs w:val="22"/>
                <w:rtl/>
              </w:rPr>
              <w:t>ה</w:t>
            </w:r>
            <w:r>
              <w:rPr>
                <w:sz w:val="22"/>
                <w:szCs w:val="22"/>
                <w:rtl/>
              </w:rPr>
              <w:t>עבודה משמשות כלי ניהול חיוני למימוש יעדיהם</w:t>
            </w:r>
            <w:r>
              <w:rPr>
                <w:rFonts w:hint="cs"/>
                <w:sz w:val="22"/>
                <w:szCs w:val="22"/>
                <w:rtl/>
              </w:rPr>
              <w:t xml:space="preserve"> של הממשלה ו</w:t>
            </w:r>
            <w:r>
              <w:rPr>
                <w:sz w:val="22"/>
                <w:szCs w:val="22"/>
                <w:rtl/>
              </w:rPr>
              <w:t>משרדי</w:t>
            </w:r>
            <w:r>
              <w:rPr>
                <w:rFonts w:hint="cs"/>
                <w:sz w:val="22"/>
                <w:szCs w:val="22"/>
                <w:rtl/>
              </w:rPr>
              <w:t xml:space="preserve"> </w:t>
            </w:r>
            <w:r>
              <w:rPr>
                <w:sz w:val="22"/>
                <w:szCs w:val="22"/>
                <w:rtl/>
              </w:rPr>
              <w:t>הממשלה ולייעול עבודתם.</w:t>
            </w:r>
          </w:p>
          <w:p w:rsidR="00F20C1A">
            <w:pPr>
              <w:pStyle w:val="PATIAH"/>
              <w:rPr>
                <w:sz w:val="22"/>
                <w:szCs w:val="22"/>
                <w:rtl/>
              </w:rPr>
            </w:pPr>
            <w:r>
              <w:rPr>
                <w:sz w:val="22"/>
                <w:szCs w:val="22"/>
                <w:rtl/>
              </w:rPr>
              <w:t xml:space="preserve">בהיות משרד </w:t>
            </w:r>
            <w:r>
              <w:rPr>
                <w:rFonts w:hint="cs"/>
                <w:sz w:val="22"/>
                <w:szCs w:val="22"/>
                <w:rtl/>
              </w:rPr>
              <w:t xml:space="preserve">האוצר משרד </w:t>
            </w:r>
            <w:r>
              <w:rPr>
                <w:sz w:val="22"/>
                <w:szCs w:val="22"/>
                <w:rtl/>
              </w:rPr>
              <w:t xml:space="preserve">מטה מרכזי </w:t>
            </w:r>
            <w:r>
              <w:rPr>
                <w:rFonts w:hint="cs"/>
                <w:sz w:val="22"/>
                <w:szCs w:val="22"/>
                <w:rtl/>
              </w:rPr>
              <w:t>ה</w:t>
            </w:r>
            <w:r>
              <w:rPr>
                <w:sz w:val="22"/>
                <w:szCs w:val="22"/>
                <w:rtl/>
              </w:rPr>
              <w:t>שותף לביצוען של רפורמות רוחביות</w:t>
            </w:r>
            <w:r>
              <w:rPr>
                <w:rFonts w:hint="cs"/>
                <w:sz w:val="22"/>
                <w:szCs w:val="22"/>
                <w:rtl/>
              </w:rPr>
              <w:t xml:space="preserve"> במשק</w:t>
            </w:r>
            <w:r>
              <w:rPr>
                <w:sz w:val="22"/>
                <w:szCs w:val="22"/>
                <w:rtl/>
              </w:rPr>
              <w:t xml:space="preserve">, </w:t>
            </w:r>
            <w:r>
              <w:rPr>
                <w:rFonts w:hint="cs"/>
                <w:sz w:val="22"/>
                <w:szCs w:val="22"/>
                <w:rtl/>
              </w:rPr>
              <w:t>מן הראוי ש</w:t>
            </w:r>
            <w:r>
              <w:rPr>
                <w:sz w:val="22"/>
                <w:szCs w:val="22"/>
                <w:rtl/>
              </w:rPr>
              <w:t>יתקיימו</w:t>
            </w:r>
            <w:r>
              <w:rPr>
                <w:rFonts w:hint="cs"/>
                <w:sz w:val="22"/>
                <w:szCs w:val="22"/>
                <w:rtl/>
              </w:rPr>
              <w:t xml:space="preserve"> בו</w:t>
            </w:r>
            <w:r>
              <w:rPr>
                <w:sz w:val="22"/>
                <w:szCs w:val="22"/>
                <w:rtl/>
              </w:rPr>
              <w:t xml:space="preserve"> מתודות מסודרות בבנייתן של תכניות העבודה ובביצוע</w:t>
            </w:r>
            <w:r>
              <w:rPr>
                <w:rFonts w:hint="cs"/>
                <w:sz w:val="22"/>
                <w:szCs w:val="22"/>
                <w:rtl/>
              </w:rPr>
              <w:t xml:space="preserve"> </w:t>
            </w:r>
            <w:r>
              <w:rPr>
                <w:sz w:val="22"/>
                <w:szCs w:val="22"/>
                <w:rtl/>
              </w:rPr>
              <w:t>מעקב ובקרה על</w:t>
            </w:r>
            <w:r>
              <w:rPr>
                <w:rFonts w:hint="cs"/>
                <w:sz w:val="22"/>
                <w:szCs w:val="22"/>
                <w:rtl/>
              </w:rPr>
              <w:t xml:space="preserve"> </w:t>
            </w:r>
            <w:r>
              <w:rPr>
                <w:sz w:val="22"/>
                <w:szCs w:val="22"/>
                <w:rtl/>
              </w:rPr>
              <w:t>יישומן</w:t>
            </w:r>
            <w:r>
              <w:rPr>
                <w:rFonts w:hint="cs"/>
                <w:sz w:val="22"/>
                <w:szCs w:val="22"/>
                <w:rtl/>
              </w:rPr>
              <w:t xml:space="preserve"> </w:t>
            </w:r>
            <w:r>
              <w:rPr>
                <w:sz w:val="22"/>
                <w:szCs w:val="22"/>
                <w:rtl/>
              </w:rPr>
              <w:t>ועל השגת יעדיהן.</w:t>
            </w:r>
          </w:p>
        </w:tc>
      </w:tr>
    </w:tbl>
    <w:p w:rsidR="00F20C1A">
      <w:pPr>
        <w:pStyle w:val="takzir"/>
        <w:jc w:val="center"/>
        <w:rPr>
          <w:noProof w:val="0"/>
          <w:rtl/>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7717D4">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691" w:type="dxa"/>
            <w:shd w:val="pct25" w:color="00FF00" w:fill="auto"/>
          </w:tcPr>
          <w:p w:rsidR="00F20C1A">
            <w:pPr>
              <w:pStyle w:val="KOT4"/>
              <w:spacing w:before="120"/>
              <w:jc w:val="center"/>
              <w:rPr>
                <w:rtl/>
              </w:rPr>
            </w:pPr>
            <w:r>
              <w:rPr>
                <w:rtl/>
              </w:rPr>
              <w:t>פעולות הביקורת</w:t>
            </w:r>
          </w:p>
        </w:tc>
      </w:tr>
      <w:tr w:rsidTr="007717D4">
        <w:tblPrEx>
          <w:tblW w:w="6691" w:type="dxa"/>
          <w:jc w:val="center"/>
          <w:tblLook w:val="04A0"/>
        </w:tblPrEx>
        <w:trPr>
          <w:jc w:val="center"/>
        </w:trPr>
        <w:tc>
          <w:tcPr>
            <w:tcW w:w="6691" w:type="dxa"/>
          </w:tcPr>
          <w:p w:rsidR="00F20C1A">
            <w:pPr>
              <w:pStyle w:val="takzir"/>
              <w:spacing w:before="60"/>
              <w:rPr>
                <w:b w:val="0"/>
                <w:bCs w:val="0"/>
                <w:noProof w:val="0"/>
                <w:rtl/>
              </w:rPr>
            </w:pPr>
            <w:r>
              <w:rPr>
                <w:b w:val="0"/>
                <w:bCs w:val="0"/>
                <w:noProof w:val="0"/>
                <w:rtl/>
              </w:rPr>
              <w:t>בחודשים מאי-דצמבר 2013 בחן משרד מבקר המדינה את תכנו</w:t>
            </w:r>
            <w:r>
              <w:rPr>
                <w:rFonts w:hint="cs"/>
                <w:b w:val="0"/>
                <w:bCs w:val="0"/>
                <w:noProof w:val="0"/>
                <w:rtl/>
              </w:rPr>
              <w:t>נ</w:t>
            </w:r>
            <w:r>
              <w:rPr>
                <w:b w:val="0"/>
                <w:bCs w:val="0"/>
                <w:noProof w:val="0"/>
                <w:rtl/>
              </w:rPr>
              <w:t>ן של תכניות עבודה במשרד</w:t>
            </w:r>
            <w:r>
              <w:rPr>
                <w:rFonts w:hint="cs"/>
                <w:b w:val="0"/>
                <w:bCs w:val="0"/>
                <w:noProof w:val="0"/>
                <w:rtl/>
              </w:rPr>
              <w:t xml:space="preserve"> </w:t>
            </w:r>
            <w:r>
              <w:rPr>
                <w:b w:val="0"/>
                <w:bCs w:val="0"/>
                <w:noProof w:val="0"/>
                <w:rtl/>
              </w:rPr>
              <w:t>האוצר בשנים 2013-2010</w:t>
            </w:r>
            <w:r>
              <w:rPr>
                <w:rFonts w:hint="cs"/>
                <w:b w:val="0"/>
                <w:bCs w:val="0"/>
                <w:noProof w:val="0"/>
                <w:rtl/>
              </w:rPr>
              <w:t xml:space="preserve"> </w:t>
            </w:r>
            <w:r>
              <w:rPr>
                <w:b w:val="0"/>
                <w:bCs w:val="0"/>
                <w:noProof w:val="0"/>
                <w:rtl/>
              </w:rPr>
              <w:t>ואת המעקב והבקרה על יישומן. הבדיקה נעשתה בשמונה</w:t>
            </w:r>
            <w:r>
              <w:rPr>
                <w:rFonts w:hint="cs"/>
                <w:b w:val="0"/>
                <w:bCs w:val="0"/>
                <w:noProof w:val="0"/>
                <w:rtl/>
              </w:rPr>
              <w:t xml:space="preserve"> </w:t>
            </w:r>
            <w:r>
              <w:rPr>
                <w:b w:val="0"/>
                <w:bCs w:val="0"/>
                <w:noProof w:val="0"/>
                <w:rtl/>
              </w:rPr>
              <w:t>יחידות</w:t>
            </w:r>
            <w:r>
              <w:rPr>
                <w:rFonts w:hint="cs"/>
                <w:b w:val="0"/>
                <w:bCs w:val="0"/>
                <w:noProof w:val="0"/>
                <w:rtl/>
              </w:rPr>
              <w:t xml:space="preserve"> ואגפים</w:t>
            </w:r>
            <w:r>
              <w:rPr>
                <w:b w:val="0"/>
                <w:bCs w:val="0"/>
                <w:noProof w:val="0"/>
                <w:rtl/>
              </w:rPr>
              <w:t>: בלשכת המנכ"ל; באגף התקציבים; באגף החשב הכללי;</w:t>
            </w:r>
            <w:r>
              <w:rPr>
                <w:rFonts w:hint="cs"/>
                <w:b w:val="0"/>
                <w:bCs w:val="0"/>
                <w:noProof w:val="0"/>
                <w:rtl/>
              </w:rPr>
              <w:t xml:space="preserve"> </w:t>
            </w:r>
            <w:r>
              <w:rPr>
                <w:b w:val="0"/>
                <w:bCs w:val="0"/>
                <w:noProof w:val="0"/>
                <w:rtl/>
              </w:rPr>
              <w:t>באגף שוק ההון, ביטוח וחיסכון</w:t>
            </w:r>
            <w:r>
              <w:rPr>
                <w:rFonts w:hint="cs"/>
                <w:b w:val="0"/>
                <w:bCs w:val="0"/>
                <w:noProof w:val="0"/>
                <w:rtl/>
              </w:rPr>
              <w:t xml:space="preserve"> (להלן - אגף שוק ההון)</w:t>
            </w:r>
            <w:r>
              <w:rPr>
                <w:b w:val="0"/>
                <w:bCs w:val="0"/>
                <w:noProof w:val="0"/>
                <w:rtl/>
              </w:rPr>
              <w:t>; באגף הכלכלן הראשי - מחקר, הכנסות המדינה</w:t>
            </w:r>
            <w:r>
              <w:rPr>
                <w:rFonts w:hint="cs"/>
                <w:b w:val="0"/>
                <w:bCs w:val="0"/>
                <w:noProof w:val="0"/>
                <w:rtl/>
              </w:rPr>
              <w:t xml:space="preserve"> </w:t>
            </w:r>
            <w:r>
              <w:rPr>
                <w:b w:val="0"/>
                <w:bCs w:val="0"/>
                <w:noProof w:val="0"/>
                <w:rtl/>
              </w:rPr>
              <w:t>וקשרים בינלאומיים</w:t>
            </w:r>
            <w:r>
              <w:rPr>
                <w:rFonts w:hint="cs"/>
                <w:b w:val="0"/>
                <w:bCs w:val="0"/>
                <w:noProof w:val="0"/>
                <w:rtl/>
              </w:rPr>
              <w:t xml:space="preserve"> (להלן - אגף הכלכלן הראשי)</w:t>
            </w:r>
            <w:r>
              <w:rPr>
                <w:b w:val="0"/>
                <w:bCs w:val="0"/>
                <w:noProof w:val="0"/>
                <w:rtl/>
              </w:rPr>
              <w:t>;</w:t>
            </w:r>
            <w:r>
              <w:rPr>
                <w:rFonts w:hint="cs"/>
                <w:b w:val="0"/>
                <w:bCs w:val="0"/>
                <w:noProof w:val="0"/>
                <w:rtl/>
              </w:rPr>
              <w:t xml:space="preserve"> </w:t>
            </w:r>
            <w:r>
              <w:rPr>
                <w:b w:val="0"/>
                <w:bCs w:val="0"/>
                <w:noProof w:val="0"/>
                <w:rtl/>
              </w:rPr>
              <w:t xml:space="preserve">באגף המינהל; בלשכה המשפטית; </w:t>
            </w:r>
            <w:r>
              <w:rPr>
                <w:rFonts w:hint="cs"/>
                <w:b w:val="0"/>
                <w:bCs w:val="0"/>
                <w:noProof w:val="0"/>
                <w:rtl/>
              </w:rPr>
              <w:t>ו</w:t>
            </w:r>
            <w:r>
              <w:rPr>
                <w:b w:val="0"/>
                <w:bCs w:val="0"/>
                <w:noProof w:val="0"/>
                <w:rtl/>
              </w:rPr>
              <w:t>במטה התקשוב הממשלתי</w:t>
            </w:r>
            <w:r>
              <w:rPr>
                <w:rFonts w:hint="cs"/>
                <w:b w:val="0"/>
                <w:bCs w:val="0"/>
                <w:noProof w:val="0"/>
                <w:rtl/>
              </w:rPr>
              <w:t xml:space="preserve"> (להלן - מטה התקשוב)</w:t>
            </w:r>
            <w:r>
              <w:rPr>
                <w:b w:val="0"/>
                <w:bCs w:val="0"/>
                <w:noProof w:val="0"/>
                <w:rtl/>
              </w:rPr>
              <w:t>.</w:t>
            </w:r>
          </w:p>
        </w:tc>
      </w:tr>
    </w:tbl>
    <w:p w:rsidR="00F20C1A">
      <w:pPr>
        <w:pStyle w:val="takzir"/>
        <w:rPr>
          <w:noProof w:val="0"/>
          <w:sz w:val="28"/>
          <w:rtl/>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00FF00" w:fill="auto"/>
        <w:tblLook w:val="04A0"/>
      </w:tblPr>
      <w:tblGrid>
        <w:gridCol w:w="6691"/>
      </w:tblGrid>
      <w:tr w:rsidTr="007717D4">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00FF00" w:fill="auto"/>
          <w:tblLook w:val="04A0"/>
        </w:tblPrEx>
        <w:trPr>
          <w:cantSplit/>
          <w:jc w:val="center"/>
        </w:trPr>
        <w:tc>
          <w:tcPr>
            <w:tcW w:w="6691" w:type="dxa"/>
            <w:shd w:val="pct25" w:color="00FF00" w:fill="auto"/>
          </w:tcPr>
          <w:p w:rsidR="00F20C1A">
            <w:pPr>
              <w:pStyle w:val="KOT4"/>
              <w:spacing w:before="120"/>
              <w:jc w:val="center"/>
              <w:rPr>
                <w:rtl/>
              </w:rPr>
            </w:pPr>
            <w:r>
              <w:rPr>
                <w:rFonts w:hint="cs"/>
                <w:rtl/>
              </w:rPr>
              <w:t>הליקויים העיקריים</w:t>
            </w:r>
          </w:p>
        </w:tc>
      </w:tr>
    </w:tbl>
    <w:p w:rsidR="00F20C1A">
      <w:pPr>
        <w:keepNext/>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7717D4">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jc w:val="center"/>
        </w:trPr>
        <w:tc>
          <w:tcPr>
            <w:tcW w:w="6691" w:type="dxa"/>
            <w:shd w:val="pct10" w:color="auto" w:fill="auto"/>
          </w:tcPr>
          <w:p w:rsidR="00F20C1A">
            <w:pPr>
              <w:pStyle w:val="KOT5"/>
              <w:spacing w:before="120"/>
              <w:jc w:val="center"/>
              <w:rPr>
                <w:sz w:val="24"/>
                <w:szCs w:val="24"/>
                <w:rtl/>
              </w:rPr>
            </w:pPr>
            <w:r>
              <w:rPr>
                <w:rFonts w:hint="cs"/>
                <w:sz w:val="24"/>
                <w:szCs w:val="24"/>
                <w:rtl/>
              </w:rPr>
              <w:t>במשרד האוצר לא מתקיים תהליך תכנון שמתווה תכנית אסטרטגית משרדית ואגפית</w:t>
            </w:r>
          </w:p>
        </w:tc>
      </w:tr>
      <w:tr w:rsidTr="007717D4">
        <w:tblPrEx>
          <w:tblW w:w="6691" w:type="dxa"/>
          <w:jc w:val="center"/>
          <w:tblLook w:val="04A0"/>
        </w:tblPrEx>
        <w:trPr>
          <w:cantSplit/>
          <w:jc w:val="center"/>
        </w:trPr>
        <w:tc>
          <w:tcPr>
            <w:tcW w:w="6691" w:type="dxa"/>
          </w:tcPr>
          <w:p w:rsidR="00F20C1A">
            <w:pPr>
              <w:pStyle w:val="takzir"/>
              <w:spacing w:before="60"/>
              <w:rPr>
                <w:b w:val="0"/>
                <w:bCs w:val="0"/>
                <w:noProof w:val="0"/>
                <w:rtl/>
              </w:rPr>
            </w:pPr>
            <w:r>
              <w:rPr>
                <w:b w:val="0"/>
                <w:bCs w:val="0"/>
                <w:noProof w:val="0"/>
                <w:rtl/>
              </w:rPr>
              <w:t xml:space="preserve">אין במשרד האוצר גורם תכנון שמתווה תכנית אסטרטגית ברמה המשרדית </w:t>
            </w:r>
            <w:r>
              <w:rPr>
                <w:rFonts w:hint="cs"/>
                <w:b w:val="0"/>
                <w:bCs w:val="0"/>
                <w:noProof w:val="0"/>
                <w:rtl/>
              </w:rPr>
              <w:t>ומ</w:t>
            </w:r>
            <w:r>
              <w:rPr>
                <w:b w:val="0"/>
                <w:bCs w:val="0"/>
                <w:noProof w:val="0"/>
                <w:rtl/>
              </w:rPr>
              <w:t>וודא שתכניות העבודה</w:t>
            </w:r>
            <w:r>
              <w:rPr>
                <w:rFonts w:hint="cs"/>
                <w:b w:val="0"/>
                <w:bCs w:val="0"/>
                <w:noProof w:val="0"/>
                <w:rtl/>
              </w:rPr>
              <w:t xml:space="preserve"> </w:t>
            </w:r>
            <w:r>
              <w:rPr>
                <w:b w:val="0"/>
                <w:bCs w:val="0"/>
                <w:noProof w:val="0"/>
                <w:rtl/>
              </w:rPr>
              <w:t>של האגפים במשרד נגזרות ממנה, מממשות את יעדיה ומתואמות</w:t>
            </w:r>
            <w:r>
              <w:rPr>
                <w:rFonts w:hint="cs"/>
                <w:b w:val="0"/>
                <w:bCs w:val="0"/>
                <w:noProof w:val="0"/>
                <w:rtl/>
              </w:rPr>
              <w:t xml:space="preserve"> אִ</w:t>
            </w:r>
            <w:r>
              <w:rPr>
                <w:b w:val="0"/>
                <w:bCs w:val="0"/>
                <w:noProof w:val="0"/>
                <w:rtl/>
              </w:rPr>
              <w:t>תה. רק חלק מהאגפים</w:t>
            </w:r>
            <w:r>
              <w:rPr>
                <w:rFonts w:hint="cs"/>
                <w:b w:val="0"/>
                <w:bCs w:val="0"/>
                <w:noProof w:val="0"/>
                <w:rtl/>
              </w:rPr>
              <w:t xml:space="preserve"> </w:t>
            </w:r>
            <w:r>
              <w:rPr>
                <w:b w:val="0"/>
                <w:bCs w:val="0"/>
                <w:noProof w:val="0"/>
                <w:rtl/>
              </w:rPr>
              <w:t>פועלים על פי תכנית אסטרטגית אגפית.</w:t>
            </w:r>
          </w:p>
        </w:tc>
      </w:tr>
    </w:tbl>
    <w:p w:rsidR="00F20C1A">
      <w:pPr>
        <w:keepNext/>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7717D4">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jc w:val="center"/>
        </w:trPr>
        <w:tc>
          <w:tcPr>
            <w:tcW w:w="6691" w:type="dxa"/>
            <w:shd w:val="pct10" w:color="auto" w:fill="auto"/>
          </w:tcPr>
          <w:p w:rsidR="00F20C1A">
            <w:pPr>
              <w:pStyle w:val="KOT5"/>
              <w:spacing w:before="120"/>
              <w:jc w:val="center"/>
              <w:rPr>
                <w:sz w:val="24"/>
                <w:szCs w:val="24"/>
                <w:rtl/>
              </w:rPr>
            </w:pPr>
            <w:r>
              <w:rPr>
                <w:rFonts w:hint="cs"/>
                <w:sz w:val="24"/>
                <w:szCs w:val="24"/>
                <w:rtl/>
              </w:rPr>
              <w:t xml:space="preserve">במשרד האוצר אין גורם מתכלל המופקד </w:t>
            </w:r>
            <w:r>
              <w:rPr>
                <w:sz w:val="24"/>
                <w:szCs w:val="24"/>
                <w:rtl/>
              </w:rPr>
              <w:br/>
            </w:r>
            <w:r>
              <w:rPr>
                <w:rFonts w:hint="cs"/>
                <w:sz w:val="24"/>
                <w:szCs w:val="24"/>
                <w:rtl/>
              </w:rPr>
              <w:t>על בחינת יישומן של תכניות העבודה</w:t>
            </w:r>
          </w:p>
        </w:tc>
      </w:tr>
      <w:tr w:rsidTr="007717D4">
        <w:tblPrEx>
          <w:tblW w:w="6691" w:type="dxa"/>
          <w:jc w:val="center"/>
          <w:tblLook w:val="04A0"/>
        </w:tblPrEx>
        <w:trPr>
          <w:cantSplit/>
          <w:jc w:val="center"/>
        </w:trPr>
        <w:tc>
          <w:tcPr>
            <w:tcW w:w="6691" w:type="dxa"/>
          </w:tcPr>
          <w:p w:rsidR="00F20C1A">
            <w:pPr>
              <w:pStyle w:val="takzir"/>
              <w:spacing w:before="60"/>
              <w:rPr>
                <w:b w:val="0"/>
                <w:bCs w:val="0"/>
                <w:noProof w:val="0"/>
                <w:rtl/>
              </w:rPr>
            </w:pPr>
            <w:r>
              <w:rPr>
                <w:b w:val="0"/>
                <w:bCs w:val="0"/>
                <w:noProof w:val="0"/>
                <w:rtl/>
              </w:rPr>
              <w:t xml:space="preserve">אין במשרד האוצר - ובכלל זה בלשכת המנכ"ל - גוף מרכז ומתכלל </w:t>
            </w:r>
            <w:r>
              <w:rPr>
                <w:rFonts w:hint="cs"/>
                <w:b w:val="0"/>
                <w:bCs w:val="0"/>
                <w:noProof w:val="0"/>
                <w:rtl/>
              </w:rPr>
              <w:t>המופקד על ה</w:t>
            </w:r>
            <w:r>
              <w:rPr>
                <w:b w:val="0"/>
                <w:bCs w:val="0"/>
                <w:noProof w:val="0"/>
                <w:rtl/>
              </w:rPr>
              <w:t xml:space="preserve">מעקב, </w:t>
            </w:r>
            <w:r>
              <w:rPr>
                <w:rFonts w:hint="cs"/>
                <w:b w:val="0"/>
                <w:bCs w:val="0"/>
                <w:noProof w:val="0"/>
                <w:rtl/>
              </w:rPr>
              <w:t>על ה</w:t>
            </w:r>
            <w:r>
              <w:rPr>
                <w:b w:val="0"/>
                <w:bCs w:val="0"/>
                <w:noProof w:val="0"/>
                <w:rtl/>
              </w:rPr>
              <w:t>בקרה ו</w:t>
            </w:r>
            <w:r>
              <w:rPr>
                <w:rFonts w:hint="cs"/>
                <w:b w:val="0"/>
                <w:bCs w:val="0"/>
                <w:noProof w:val="0"/>
                <w:rtl/>
              </w:rPr>
              <w:t xml:space="preserve">על </w:t>
            </w:r>
            <w:r>
              <w:rPr>
                <w:b w:val="0"/>
                <w:bCs w:val="0"/>
                <w:noProof w:val="0"/>
                <w:rtl/>
              </w:rPr>
              <w:t xml:space="preserve">הפקת </w:t>
            </w:r>
            <w:r>
              <w:rPr>
                <w:rFonts w:hint="cs"/>
                <w:b w:val="0"/>
                <w:bCs w:val="0"/>
                <w:noProof w:val="0"/>
                <w:rtl/>
              </w:rPr>
              <w:t>ה</w:t>
            </w:r>
            <w:r>
              <w:rPr>
                <w:b w:val="0"/>
                <w:bCs w:val="0"/>
                <w:noProof w:val="0"/>
                <w:rtl/>
              </w:rPr>
              <w:t>לקחים בנושא</w:t>
            </w:r>
            <w:r>
              <w:rPr>
                <w:rFonts w:hint="cs"/>
                <w:b w:val="0"/>
                <w:bCs w:val="0"/>
                <w:noProof w:val="0"/>
                <w:rtl/>
              </w:rPr>
              <w:t xml:space="preserve"> </w:t>
            </w:r>
            <w:r>
              <w:rPr>
                <w:b w:val="0"/>
                <w:bCs w:val="0"/>
                <w:noProof w:val="0"/>
                <w:rtl/>
              </w:rPr>
              <w:t xml:space="preserve">יישום תכניות העבודה של כל אחד מאגפי המשרד. </w:t>
            </w:r>
            <w:r>
              <w:rPr>
                <w:rFonts w:hint="cs"/>
                <w:b w:val="0"/>
                <w:bCs w:val="0"/>
                <w:noProof w:val="0"/>
                <w:rtl/>
              </w:rPr>
              <w:t xml:space="preserve">היעדר </w:t>
            </w:r>
            <w:r>
              <w:rPr>
                <w:b w:val="0"/>
                <w:bCs w:val="0"/>
                <w:noProof w:val="0"/>
                <w:rtl/>
              </w:rPr>
              <w:t>מנגנון</w:t>
            </w:r>
            <w:r>
              <w:rPr>
                <w:rFonts w:hint="cs"/>
                <w:b w:val="0"/>
                <w:bCs w:val="0"/>
                <w:noProof w:val="0"/>
                <w:rtl/>
              </w:rPr>
              <w:t xml:space="preserve"> </w:t>
            </w:r>
            <w:r>
              <w:rPr>
                <w:b w:val="0"/>
                <w:bCs w:val="0"/>
                <w:noProof w:val="0"/>
                <w:rtl/>
              </w:rPr>
              <w:t>כזה פוגע בעבודת המטה של המשרד בכל הנוגע לבחינת יישומן</w:t>
            </w:r>
            <w:r>
              <w:rPr>
                <w:rFonts w:hint="cs"/>
                <w:b w:val="0"/>
                <w:bCs w:val="0"/>
                <w:noProof w:val="0"/>
                <w:rtl/>
              </w:rPr>
              <w:t xml:space="preserve"> </w:t>
            </w:r>
            <w:r>
              <w:rPr>
                <w:b w:val="0"/>
                <w:bCs w:val="0"/>
                <w:noProof w:val="0"/>
                <w:rtl/>
              </w:rPr>
              <w:t>של תכניות העבודה ולבחינת השפעותיהן</w:t>
            </w:r>
            <w:r>
              <w:rPr>
                <w:rFonts w:hint="cs"/>
                <w:b w:val="0"/>
                <w:bCs w:val="0"/>
                <w:noProof w:val="0"/>
                <w:rtl/>
              </w:rPr>
              <w:t xml:space="preserve"> </w:t>
            </w:r>
            <w:r>
              <w:rPr>
                <w:b w:val="0"/>
                <w:bCs w:val="0"/>
                <w:noProof w:val="0"/>
                <w:rtl/>
              </w:rPr>
              <w:t>על השגת המטרות והיעדים ועל ביצוע הרפורמות והתהליכים שהמשרד מקדם.</w:t>
            </w:r>
          </w:p>
        </w:tc>
      </w:tr>
    </w:tbl>
    <w:p w:rsidR="00F20C1A">
      <w:pPr>
        <w:keepNext/>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7717D4">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jc w:val="center"/>
        </w:trPr>
        <w:tc>
          <w:tcPr>
            <w:tcW w:w="6691" w:type="dxa"/>
            <w:shd w:val="pct10" w:color="auto" w:fill="auto"/>
          </w:tcPr>
          <w:p w:rsidR="00F20C1A">
            <w:pPr>
              <w:pStyle w:val="KOT5"/>
              <w:spacing w:before="120"/>
              <w:jc w:val="center"/>
              <w:rPr>
                <w:sz w:val="24"/>
                <w:szCs w:val="24"/>
                <w:rtl/>
              </w:rPr>
            </w:pPr>
            <w:r>
              <w:rPr>
                <w:rFonts w:hint="cs"/>
                <w:sz w:val="24"/>
                <w:szCs w:val="24"/>
                <w:rtl/>
              </w:rPr>
              <w:t>במשרד האוצר אין מערכת ממוחשבת לניהול תכניות העבודה</w:t>
            </w:r>
          </w:p>
        </w:tc>
      </w:tr>
      <w:tr w:rsidTr="007717D4">
        <w:tblPrEx>
          <w:tblW w:w="6691" w:type="dxa"/>
          <w:jc w:val="center"/>
          <w:tblLook w:val="04A0"/>
        </w:tblPrEx>
        <w:trPr>
          <w:cantSplit/>
          <w:jc w:val="center"/>
        </w:trPr>
        <w:tc>
          <w:tcPr>
            <w:tcW w:w="6691" w:type="dxa"/>
          </w:tcPr>
          <w:p w:rsidR="00F20C1A">
            <w:pPr>
              <w:pStyle w:val="takzir"/>
              <w:spacing w:before="60"/>
              <w:rPr>
                <w:b w:val="0"/>
                <w:bCs w:val="0"/>
                <w:noProof w:val="0"/>
                <w:rtl/>
              </w:rPr>
            </w:pPr>
            <w:r>
              <w:rPr>
                <w:b w:val="0"/>
                <w:bCs w:val="0"/>
                <w:noProof w:val="0"/>
                <w:rtl/>
              </w:rPr>
              <w:t xml:space="preserve">משרד האוצר טרם הטמיע מערכת </w:t>
            </w:r>
            <w:r>
              <w:rPr>
                <w:rFonts w:hint="cs"/>
                <w:b w:val="0"/>
                <w:bCs w:val="0"/>
                <w:noProof w:val="0"/>
                <w:rtl/>
              </w:rPr>
              <w:t xml:space="preserve">ממוחשבת </w:t>
            </w:r>
            <w:r>
              <w:rPr>
                <w:b w:val="0"/>
                <w:bCs w:val="0"/>
                <w:noProof w:val="0"/>
                <w:rtl/>
              </w:rPr>
              <w:t xml:space="preserve">לניהול תכניות עבודה באגפיו השונים. מערכת </w:t>
            </w:r>
            <w:r>
              <w:rPr>
                <w:rFonts w:hint="cs"/>
                <w:b w:val="0"/>
                <w:bCs w:val="0"/>
                <w:noProof w:val="0"/>
                <w:rtl/>
              </w:rPr>
              <w:t>כ</w:t>
            </w:r>
            <w:r>
              <w:rPr>
                <w:b w:val="0"/>
                <w:bCs w:val="0"/>
                <w:noProof w:val="0"/>
                <w:rtl/>
              </w:rPr>
              <w:t>זו אמורה</w:t>
            </w:r>
            <w:r>
              <w:rPr>
                <w:rFonts w:hint="cs"/>
                <w:b w:val="0"/>
                <w:bCs w:val="0"/>
                <w:noProof w:val="0"/>
                <w:rtl/>
              </w:rPr>
              <w:t xml:space="preserve"> </w:t>
            </w:r>
            <w:r>
              <w:rPr>
                <w:b w:val="0"/>
                <w:bCs w:val="0"/>
                <w:noProof w:val="0"/>
                <w:rtl/>
              </w:rPr>
              <w:t>לייעל</w:t>
            </w:r>
            <w:r>
              <w:rPr>
                <w:rFonts w:hint="cs"/>
                <w:b w:val="0"/>
                <w:bCs w:val="0"/>
                <w:noProof w:val="0"/>
                <w:rtl/>
              </w:rPr>
              <w:t xml:space="preserve"> </w:t>
            </w:r>
            <w:r>
              <w:rPr>
                <w:b w:val="0"/>
                <w:bCs w:val="0"/>
                <w:noProof w:val="0"/>
                <w:rtl/>
              </w:rPr>
              <w:t xml:space="preserve">את התכנון, </w:t>
            </w:r>
            <w:r>
              <w:rPr>
                <w:rFonts w:hint="cs"/>
                <w:b w:val="0"/>
                <w:bCs w:val="0"/>
                <w:noProof w:val="0"/>
                <w:rtl/>
              </w:rPr>
              <w:t xml:space="preserve">את </w:t>
            </w:r>
            <w:r>
              <w:rPr>
                <w:b w:val="0"/>
                <w:bCs w:val="0"/>
                <w:noProof w:val="0"/>
                <w:rtl/>
              </w:rPr>
              <w:t>הבקרה ו</w:t>
            </w:r>
            <w:r>
              <w:rPr>
                <w:rFonts w:hint="cs"/>
                <w:b w:val="0"/>
                <w:bCs w:val="0"/>
                <w:noProof w:val="0"/>
                <w:rtl/>
              </w:rPr>
              <w:t xml:space="preserve">את </w:t>
            </w:r>
            <w:r>
              <w:rPr>
                <w:b w:val="0"/>
                <w:bCs w:val="0"/>
                <w:noProof w:val="0"/>
                <w:rtl/>
              </w:rPr>
              <w:t xml:space="preserve">שיתוף הפעולה </w:t>
            </w:r>
            <w:r>
              <w:rPr>
                <w:rFonts w:hint="cs"/>
                <w:b w:val="0"/>
                <w:bCs w:val="0"/>
                <w:noProof w:val="0"/>
                <w:rtl/>
              </w:rPr>
              <w:t>ב</w:t>
            </w:r>
            <w:r>
              <w:rPr>
                <w:b w:val="0"/>
                <w:bCs w:val="0"/>
                <w:noProof w:val="0"/>
                <w:rtl/>
              </w:rPr>
              <w:t>משרד.</w:t>
            </w:r>
          </w:p>
        </w:tc>
      </w:tr>
    </w:tbl>
    <w:p w:rsidR="00F20C1A">
      <w:pPr>
        <w:keepNext/>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7717D4">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jc w:val="center"/>
        </w:trPr>
        <w:tc>
          <w:tcPr>
            <w:tcW w:w="6691" w:type="dxa"/>
            <w:shd w:val="pct10" w:color="auto" w:fill="auto"/>
          </w:tcPr>
          <w:p w:rsidR="00F20C1A">
            <w:pPr>
              <w:pStyle w:val="KOT5"/>
              <w:spacing w:before="120"/>
              <w:jc w:val="center"/>
              <w:rPr>
                <w:sz w:val="24"/>
                <w:szCs w:val="24"/>
                <w:rtl/>
              </w:rPr>
            </w:pPr>
            <w:r>
              <w:rPr>
                <w:rFonts w:hint="cs"/>
                <w:sz w:val="24"/>
                <w:szCs w:val="24"/>
                <w:rtl/>
              </w:rPr>
              <w:t>משרד האוצר אינו מקיים תהליך סדור של הכנת תכניות עבודה</w:t>
            </w:r>
          </w:p>
        </w:tc>
      </w:tr>
      <w:tr w:rsidTr="007717D4">
        <w:tblPrEx>
          <w:tblW w:w="6691" w:type="dxa"/>
          <w:jc w:val="center"/>
          <w:tblLook w:val="04A0"/>
        </w:tblPrEx>
        <w:trPr>
          <w:cantSplit/>
          <w:jc w:val="center"/>
        </w:trPr>
        <w:tc>
          <w:tcPr>
            <w:tcW w:w="6691" w:type="dxa"/>
          </w:tcPr>
          <w:p w:rsidR="00F20C1A">
            <w:pPr>
              <w:pStyle w:val="takzir"/>
              <w:spacing w:before="60"/>
              <w:rPr>
                <w:b w:val="0"/>
                <w:bCs w:val="0"/>
                <w:noProof w:val="0"/>
                <w:rtl/>
              </w:rPr>
            </w:pPr>
            <w:r>
              <w:rPr>
                <w:rFonts w:hint="cs"/>
                <w:b w:val="0"/>
                <w:bCs w:val="0"/>
                <w:noProof w:val="0"/>
                <w:rtl/>
              </w:rPr>
              <w:t xml:space="preserve">מדריך </w:t>
            </w:r>
            <w:r>
              <w:rPr>
                <w:b w:val="0"/>
                <w:bCs w:val="0"/>
                <w:noProof w:val="0"/>
                <w:rtl/>
              </w:rPr>
              <w:t>התכנון</w:t>
            </w:r>
            <w:r>
              <w:rPr>
                <w:rFonts w:hint="cs"/>
                <w:b w:val="0"/>
                <w:bCs w:val="0"/>
                <w:noProof w:val="0"/>
                <w:rtl/>
              </w:rPr>
              <w:t xml:space="preserve"> הממשלתי (להלן - מדריך התכנון או המדריך)</w:t>
            </w:r>
            <w:r>
              <w:rPr>
                <w:b w:val="0"/>
                <w:bCs w:val="0"/>
                <w:noProof w:val="0"/>
                <w:vertAlign w:val="superscript"/>
                <w:rtl/>
              </w:rPr>
              <w:footnoteReference w:id="2"/>
            </w:r>
            <w:r>
              <w:rPr>
                <w:b w:val="0"/>
                <w:bCs w:val="0"/>
                <w:noProof w:val="0"/>
                <w:rtl/>
              </w:rPr>
              <w:t xml:space="preserve"> הופץ למשרדי הממשלה ב-2007</w:t>
            </w:r>
            <w:r>
              <w:rPr>
                <w:rFonts w:hint="cs"/>
                <w:b w:val="0"/>
                <w:bCs w:val="0"/>
                <w:noProof w:val="0"/>
                <w:rtl/>
              </w:rPr>
              <w:t>, ו</w:t>
            </w:r>
            <w:r>
              <w:rPr>
                <w:b w:val="0"/>
                <w:bCs w:val="0"/>
                <w:noProof w:val="0"/>
                <w:rtl/>
              </w:rPr>
              <w:t>הנהלת משרד האוצר אימצה את</w:t>
            </w:r>
            <w:r>
              <w:rPr>
                <w:rFonts w:hint="cs"/>
                <w:b w:val="0"/>
                <w:bCs w:val="0"/>
                <w:noProof w:val="0"/>
                <w:rtl/>
              </w:rPr>
              <w:t xml:space="preserve"> </w:t>
            </w:r>
            <w:r>
              <w:rPr>
                <w:b w:val="0"/>
                <w:bCs w:val="0"/>
                <w:noProof w:val="0"/>
                <w:rtl/>
              </w:rPr>
              <w:t>מתודולוגיית התכנון, המדידה והבקרה שנקבע</w:t>
            </w:r>
            <w:r>
              <w:rPr>
                <w:rFonts w:hint="cs"/>
                <w:b w:val="0"/>
                <w:bCs w:val="0"/>
                <w:noProof w:val="0"/>
                <w:rtl/>
              </w:rPr>
              <w:t>ה</w:t>
            </w:r>
            <w:r>
              <w:rPr>
                <w:b w:val="0"/>
                <w:bCs w:val="0"/>
                <w:noProof w:val="0"/>
                <w:rtl/>
              </w:rPr>
              <w:t xml:space="preserve"> </w:t>
            </w:r>
            <w:r>
              <w:rPr>
                <w:rFonts w:hint="cs"/>
                <w:b w:val="0"/>
                <w:bCs w:val="0"/>
                <w:noProof w:val="0"/>
                <w:rtl/>
              </w:rPr>
              <w:t>בו. למרות זאת</w:t>
            </w:r>
            <w:r>
              <w:rPr>
                <w:b w:val="0"/>
                <w:bCs w:val="0"/>
                <w:noProof w:val="0"/>
                <w:rtl/>
              </w:rPr>
              <w:t xml:space="preserve"> לא הונחו אגפי</w:t>
            </w:r>
            <w:r>
              <w:rPr>
                <w:rFonts w:hint="cs"/>
                <w:b w:val="0"/>
                <w:bCs w:val="0"/>
                <w:noProof w:val="0"/>
                <w:rtl/>
              </w:rPr>
              <w:t xml:space="preserve"> </w:t>
            </w:r>
            <w:r>
              <w:rPr>
                <w:b w:val="0"/>
                <w:bCs w:val="0"/>
                <w:noProof w:val="0"/>
                <w:rtl/>
              </w:rPr>
              <w:t>המשרד לפעול</w:t>
            </w:r>
            <w:r>
              <w:rPr>
                <w:rFonts w:hint="cs"/>
                <w:b w:val="0"/>
                <w:bCs w:val="0"/>
                <w:noProof w:val="0"/>
                <w:rtl/>
              </w:rPr>
              <w:t xml:space="preserve"> </w:t>
            </w:r>
            <w:r>
              <w:rPr>
                <w:b w:val="0"/>
                <w:bCs w:val="0"/>
                <w:noProof w:val="0"/>
                <w:rtl/>
              </w:rPr>
              <w:t>על פי</w:t>
            </w:r>
            <w:r>
              <w:rPr>
                <w:rFonts w:hint="cs"/>
                <w:b w:val="0"/>
                <w:bCs w:val="0"/>
                <w:noProof w:val="0"/>
                <w:rtl/>
              </w:rPr>
              <w:t>ה</w:t>
            </w:r>
            <w:r>
              <w:rPr>
                <w:b w:val="0"/>
                <w:bCs w:val="0"/>
                <w:noProof w:val="0"/>
                <w:rtl/>
              </w:rPr>
              <w:t>.</w:t>
            </w:r>
          </w:p>
        </w:tc>
      </w:tr>
    </w:tbl>
    <w:p w:rsidR="00F20C1A" w:rsidP="003D339F">
      <w:pPr>
        <w:pStyle w:val="Header"/>
        <w:tabs>
          <w:tab w:val="clear" w:pos="4153"/>
          <w:tab w:val="clear" w:pos="8306"/>
        </w:tabs>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7717D4">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jc w:val="center"/>
        </w:trPr>
        <w:tc>
          <w:tcPr>
            <w:tcW w:w="6691" w:type="dxa"/>
            <w:shd w:val="pct10" w:color="auto" w:fill="auto"/>
          </w:tcPr>
          <w:p w:rsidR="00F20C1A">
            <w:pPr>
              <w:pStyle w:val="KOT5"/>
              <w:spacing w:before="120"/>
              <w:jc w:val="center"/>
              <w:rPr>
                <w:sz w:val="24"/>
                <w:szCs w:val="24"/>
                <w:rtl/>
              </w:rPr>
            </w:pPr>
            <w:r>
              <w:rPr>
                <w:rFonts w:hint="cs"/>
                <w:sz w:val="24"/>
                <w:szCs w:val="24"/>
                <w:rtl/>
              </w:rPr>
              <w:t>משרד האוצר אינו מקיים ת</w:t>
            </w:r>
            <w:r>
              <w:rPr>
                <w:sz w:val="24"/>
                <w:szCs w:val="24"/>
                <w:rtl/>
              </w:rPr>
              <w:t>ה</w:t>
            </w:r>
            <w:r>
              <w:rPr>
                <w:rFonts w:hint="cs"/>
                <w:sz w:val="24"/>
                <w:szCs w:val="24"/>
                <w:rtl/>
              </w:rPr>
              <w:t>ליך סדור של מעקב ובקרה על יישומן של תכניות העבודה</w:t>
            </w:r>
          </w:p>
        </w:tc>
      </w:tr>
      <w:tr w:rsidTr="007717D4">
        <w:tblPrEx>
          <w:tblW w:w="6691" w:type="dxa"/>
          <w:jc w:val="center"/>
          <w:tblLook w:val="04A0"/>
        </w:tblPrEx>
        <w:trPr>
          <w:cantSplit/>
          <w:jc w:val="center"/>
        </w:trPr>
        <w:tc>
          <w:tcPr>
            <w:tcW w:w="6691" w:type="dxa"/>
          </w:tcPr>
          <w:p w:rsidR="00F20C1A">
            <w:pPr>
              <w:pStyle w:val="takzir"/>
              <w:spacing w:before="60"/>
              <w:rPr>
                <w:b w:val="0"/>
                <w:bCs w:val="0"/>
                <w:noProof w:val="0"/>
                <w:rtl/>
              </w:rPr>
            </w:pPr>
            <w:r>
              <w:rPr>
                <w:b w:val="0"/>
                <w:bCs w:val="0"/>
                <w:noProof w:val="0"/>
                <w:rtl/>
              </w:rPr>
              <w:t xml:space="preserve">לא כל האגפים שנבדקו מבצעים מעקב, בקרה ודיווח שיטתיים על יישום תכניות העבודה </w:t>
            </w:r>
            <w:r>
              <w:rPr>
                <w:rFonts w:hint="eastAsia"/>
                <w:b w:val="0"/>
                <w:bCs w:val="0"/>
                <w:noProof w:val="0"/>
                <w:rtl/>
              </w:rPr>
              <w:t>שלהם</w:t>
            </w:r>
            <w:r>
              <w:rPr>
                <w:b w:val="0"/>
                <w:bCs w:val="0"/>
                <w:noProof w:val="0"/>
                <w:rtl/>
              </w:rPr>
              <w:t xml:space="preserve">. </w:t>
            </w:r>
            <w:r>
              <w:rPr>
                <w:rFonts w:hint="eastAsia"/>
                <w:b w:val="0"/>
                <w:bCs w:val="0"/>
                <w:noProof w:val="0"/>
                <w:rtl/>
              </w:rPr>
              <w:t>אשר</w:t>
            </w:r>
            <w:r>
              <w:rPr>
                <w:b w:val="0"/>
                <w:bCs w:val="0"/>
                <w:noProof w:val="0"/>
                <w:rtl/>
              </w:rPr>
              <w:t xml:space="preserve"> </w:t>
            </w:r>
            <w:r>
              <w:rPr>
                <w:rFonts w:hint="eastAsia"/>
                <w:b w:val="0"/>
                <w:bCs w:val="0"/>
                <w:noProof w:val="0"/>
                <w:rtl/>
              </w:rPr>
              <w:t>ל</w:t>
            </w:r>
            <w:r>
              <w:rPr>
                <w:b w:val="0"/>
                <w:bCs w:val="0"/>
                <w:noProof w:val="0"/>
                <w:rtl/>
              </w:rPr>
              <w:t xml:space="preserve">אגפים שכן מבצעים זאת - קיימים הבדלים ניכרים </w:t>
            </w:r>
            <w:r>
              <w:rPr>
                <w:rFonts w:hint="eastAsia"/>
                <w:b w:val="0"/>
                <w:bCs w:val="0"/>
                <w:noProof w:val="0"/>
                <w:rtl/>
              </w:rPr>
              <w:t>ביניהם</w:t>
            </w:r>
            <w:r>
              <w:rPr>
                <w:b w:val="0"/>
                <w:bCs w:val="0"/>
                <w:noProof w:val="0"/>
                <w:rtl/>
              </w:rPr>
              <w:t xml:space="preserve"> באופן </w:t>
            </w:r>
            <w:r>
              <w:rPr>
                <w:rFonts w:hint="eastAsia"/>
                <w:b w:val="0"/>
                <w:bCs w:val="0"/>
                <w:noProof w:val="0"/>
                <w:rtl/>
              </w:rPr>
              <w:t>ה</w:t>
            </w:r>
            <w:r>
              <w:rPr>
                <w:b w:val="0"/>
                <w:bCs w:val="0"/>
                <w:noProof w:val="0"/>
                <w:rtl/>
              </w:rPr>
              <w:t>ביצוע.</w:t>
            </w:r>
          </w:p>
        </w:tc>
      </w:tr>
    </w:tbl>
    <w:p w:rsidR="00F20C1A">
      <w:pPr>
        <w:pStyle w:val="takzir"/>
        <w:rPr>
          <w:noProof w:val="0"/>
          <w:rtl/>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7717D4">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691" w:type="dxa"/>
            <w:shd w:val="pct10" w:color="auto" w:fill="auto"/>
          </w:tcPr>
          <w:p w:rsidR="00F20C1A">
            <w:pPr>
              <w:pStyle w:val="KOT5"/>
              <w:spacing w:before="120"/>
              <w:jc w:val="center"/>
              <w:rPr>
                <w:sz w:val="24"/>
                <w:szCs w:val="24"/>
                <w:rtl/>
              </w:rPr>
            </w:pPr>
            <w:r>
              <w:rPr>
                <w:rFonts w:hint="cs"/>
                <w:sz w:val="24"/>
                <w:szCs w:val="24"/>
                <w:rtl/>
              </w:rPr>
              <w:t>משרד האוצר לא קיים בקרה על שירותי ייעוץ להטמעת תרבות של תכנון, בקרה ומדידה</w:t>
            </w:r>
          </w:p>
        </w:tc>
      </w:tr>
      <w:tr w:rsidTr="007717D4">
        <w:tblPrEx>
          <w:tblW w:w="6691" w:type="dxa"/>
          <w:jc w:val="center"/>
          <w:tblLook w:val="04A0"/>
        </w:tblPrEx>
        <w:trPr>
          <w:jc w:val="center"/>
        </w:trPr>
        <w:tc>
          <w:tcPr>
            <w:tcW w:w="6691" w:type="dxa"/>
          </w:tcPr>
          <w:p w:rsidR="00F20C1A">
            <w:pPr>
              <w:pStyle w:val="takzir"/>
              <w:spacing w:before="60"/>
              <w:rPr>
                <w:b w:val="0"/>
                <w:bCs w:val="0"/>
                <w:noProof w:val="0"/>
                <w:rtl/>
              </w:rPr>
            </w:pPr>
            <w:r>
              <w:rPr>
                <w:rFonts w:hint="cs"/>
                <w:b w:val="0"/>
                <w:bCs w:val="0"/>
                <w:noProof w:val="0"/>
                <w:rtl/>
              </w:rPr>
              <w:t>נמצא כי הנהלת משרד האוצר</w:t>
            </w:r>
            <w:r>
              <w:rPr>
                <w:b w:val="0"/>
                <w:bCs w:val="0"/>
                <w:noProof w:val="0"/>
                <w:rtl/>
              </w:rPr>
              <w:t>, חרף אחריותה וסמכותה, לא</w:t>
            </w:r>
            <w:r>
              <w:rPr>
                <w:rFonts w:hint="cs"/>
                <w:b w:val="0"/>
                <w:bCs w:val="0"/>
                <w:noProof w:val="0"/>
                <w:rtl/>
              </w:rPr>
              <w:t xml:space="preserve"> </w:t>
            </w:r>
            <w:r>
              <w:rPr>
                <w:b w:val="0"/>
                <w:bCs w:val="0"/>
                <w:noProof w:val="0"/>
                <w:rtl/>
              </w:rPr>
              <w:t>חייבה את אגפי המשרד להיעזר</w:t>
            </w:r>
            <w:r>
              <w:rPr>
                <w:rFonts w:hint="cs"/>
                <w:b w:val="0"/>
                <w:bCs w:val="0"/>
                <w:noProof w:val="0"/>
                <w:rtl/>
              </w:rPr>
              <w:t xml:space="preserve"> </w:t>
            </w:r>
            <w:r>
              <w:rPr>
                <w:b w:val="0"/>
                <w:bCs w:val="0"/>
                <w:noProof w:val="0"/>
                <w:rtl/>
              </w:rPr>
              <w:t>בשירותי חברת הייעוץ שהעסיק המשרד בשנים</w:t>
            </w:r>
            <w:r>
              <w:rPr>
                <w:rFonts w:hint="cs"/>
                <w:b w:val="0"/>
                <w:bCs w:val="0"/>
                <w:noProof w:val="0"/>
                <w:rtl/>
              </w:rPr>
              <w:t xml:space="preserve"> </w:t>
            </w:r>
            <w:r>
              <w:rPr>
                <w:b w:val="0"/>
                <w:bCs w:val="0"/>
                <w:noProof w:val="0"/>
                <w:rtl/>
              </w:rPr>
              <w:t>2012-2009</w:t>
            </w:r>
            <w:r>
              <w:rPr>
                <w:rFonts w:hint="cs"/>
                <w:b w:val="0"/>
                <w:bCs w:val="0"/>
                <w:noProof w:val="0"/>
                <w:rtl/>
              </w:rPr>
              <w:t xml:space="preserve">. מלבד זאת, הנהלת </w:t>
            </w:r>
            <w:r w:rsidR="00D21B59">
              <w:rPr>
                <w:rFonts w:hint="cs"/>
                <w:b w:val="0"/>
                <w:bCs w:val="0"/>
                <w:noProof w:val="0"/>
                <w:rtl/>
              </w:rPr>
              <w:t>ה</w:t>
            </w:r>
            <w:r>
              <w:rPr>
                <w:rFonts w:hint="cs"/>
                <w:b w:val="0"/>
                <w:bCs w:val="0"/>
                <w:noProof w:val="0"/>
                <w:rtl/>
              </w:rPr>
              <w:t>משרד לא קיימה בקרה מספקת ומלאה על התפוקות ועל איכות התוצרים שהתקבלו</w:t>
            </w:r>
            <w:r>
              <w:rPr>
                <w:b w:val="0"/>
                <w:bCs w:val="0"/>
                <w:noProof w:val="0"/>
                <w:rtl/>
              </w:rPr>
              <w:t xml:space="preserve"> </w:t>
            </w:r>
            <w:r>
              <w:rPr>
                <w:rFonts w:hint="eastAsia"/>
                <w:b w:val="0"/>
                <w:bCs w:val="0"/>
                <w:noProof w:val="0"/>
                <w:rtl/>
              </w:rPr>
              <w:t>במהלך</w:t>
            </w:r>
            <w:r>
              <w:rPr>
                <w:rFonts w:hint="cs"/>
                <w:b w:val="0"/>
                <w:bCs w:val="0"/>
                <w:noProof w:val="0"/>
                <w:rtl/>
              </w:rPr>
              <w:t xml:space="preserve"> </w:t>
            </w:r>
            <w:r>
              <w:rPr>
                <w:b w:val="0"/>
                <w:bCs w:val="0"/>
                <w:noProof w:val="0"/>
                <w:rtl/>
              </w:rPr>
              <w:t>ההתקשרות עם</w:t>
            </w:r>
            <w:r>
              <w:rPr>
                <w:rFonts w:hint="cs"/>
                <w:b w:val="0"/>
                <w:bCs w:val="0"/>
                <w:noProof w:val="0"/>
                <w:rtl/>
              </w:rPr>
              <w:t xml:space="preserve"> חברת הייעוץ.</w:t>
            </w:r>
            <w:r>
              <w:rPr>
                <w:b w:val="0"/>
                <w:bCs w:val="0"/>
                <w:noProof w:val="0"/>
                <w:rtl/>
              </w:rPr>
              <w:t xml:space="preserve"> </w:t>
            </w:r>
          </w:p>
        </w:tc>
      </w:tr>
    </w:tbl>
    <w:p w:rsidR="00F20C1A">
      <w:pPr>
        <w:pStyle w:val="takzir"/>
        <w:rPr>
          <w:noProof w:val="0"/>
          <w:rtl/>
        </w:rPr>
      </w:pPr>
    </w:p>
    <w:tbl>
      <w:tblPr>
        <w:bidiVisual/>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04"/>
      </w:tblGrid>
      <w:tr w:rsidTr="007717D4">
        <w:tblPrEx>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804" w:type="dxa"/>
            <w:shd w:val="pct25" w:color="00FF00" w:fill="auto"/>
          </w:tcPr>
          <w:p w:rsidR="00F20C1A">
            <w:pPr>
              <w:pStyle w:val="KOT4"/>
              <w:spacing w:before="120"/>
              <w:jc w:val="center"/>
              <w:rPr>
                <w:rtl/>
              </w:rPr>
            </w:pPr>
            <w:r>
              <w:rPr>
                <w:rFonts w:hint="cs"/>
                <w:rtl/>
              </w:rPr>
              <w:t>ה</w:t>
            </w:r>
            <w:r>
              <w:rPr>
                <w:rtl/>
              </w:rPr>
              <w:t xml:space="preserve">המלצות </w:t>
            </w:r>
            <w:r>
              <w:rPr>
                <w:rFonts w:hint="cs"/>
                <w:rtl/>
              </w:rPr>
              <w:t>העיקריות</w:t>
            </w:r>
          </w:p>
        </w:tc>
      </w:tr>
      <w:tr w:rsidTr="007717D4">
        <w:tblPrEx>
          <w:tblW w:w="6804" w:type="dxa"/>
          <w:jc w:val="center"/>
          <w:tblLook w:val="04A0"/>
        </w:tblPrEx>
        <w:trPr>
          <w:jc w:val="center"/>
        </w:trPr>
        <w:tc>
          <w:tcPr>
            <w:tcW w:w="6804" w:type="dxa"/>
          </w:tcPr>
          <w:p w:rsidR="00F20C1A">
            <w:pPr>
              <w:pStyle w:val="takzir"/>
              <w:spacing w:before="60"/>
              <w:rPr>
                <w:b w:val="0"/>
                <w:bCs w:val="0"/>
                <w:rtl/>
              </w:rPr>
            </w:pPr>
            <w:r>
              <w:rPr>
                <w:rFonts w:hint="cs"/>
                <w:b w:val="0"/>
                <w:bCs w:val="0"/>
                <w:noProof w:val="0"/>
                <w:rtl/>
              </w:rPr>
              <w:t xml:space="preserve">על מנכ"ל משרד האוצר לפעול בהקדם להטמעת </w:t>
            </w:r>
            <w:r>
              <w:rPr>
                <w:b w:val="0"/>
                <w:bCs w:val="0"/>
                <w:noProof w:val="0"/>
                <w:rtl/>
              </w:rPr>
              <w:t xml:space="preserve">תרבות </w:t>
            </w:r>
            <w:r>
              <w:rPr>
                <w:rFonts w:hint="cs"/>
                <w:b w:val="0"/>
                <w:bCs w:val="0"/>
                <w:noProof w:val="0"/>
                <w:rtl/>
              </w:rPr>
              <w:t xml:space="preserve">של תהליכי </w:t>
            </w:r>
            <w:r>
              <w:rPr>
                <w:b w:val="0"/>
                <w:bCs w:val="0"/>
                <w:noProof w:val="0"/>
                <w:rtl/>
              </w:rPr>
              <w:t>תכנון, מדידה ובקרה</w:t>
            </w:r>
            <w:r>
              <w:rPr>
                <w:rFonts w:hint="cs"/>
                <w:b w:val="0"/>
                <w:bCs w:val="0"/>
                <w:noProof w:val="0"/>
                <w:rtl/>
              </w:rPr>
              <w:t xml:space="preserve">, זאת משום שמשרד האוצר מוביל נושאים ורפורמות </w:t>
            </w:r>
            <w:r>
              <w:rPr>
                <w:b w:val="0"/>
                <w:bCs w:val="0"/>
                <w:noProof w:val="0"/>
                <w:rtl/>
              </w:rPr>
              <w:t>שהם בליב</w:t>
            </w:r>
            <w:r>
              <w:rPr>
                <w:rFonts w:hint="cs"/>
                <w:b w:val="0"/>
                <w:bCs w:val="0"/>
                <w:noProof w:val="0"/>
                <w:rtl/>
              </w:rPr>
              <w:t>ת הפעילות</w:t>
            </w:r>
            <w:r>
              <w:rPr>
                <w:b w:val="0"/>
                <w:bCs w:val="0"/>
                <w:noProof w:val="0"/>
                <w:rtl/>
              </w:rPr>
              <w:t xml:space="preserve"> הכלכלית של מדינת ישראל</w:t>
            </w:r>
            <w:r>
              <w:rPr>
                <w:rFonts w:hint="cs"/>
                <w:b w:val="0"/>
                <w:bCs w:val="0"/>
                <w:noProof w:val="0"/>
                <w:rtl/>
              </w:rPr>
              <w:t xml:space="preserve"> </w:t>
            </w:r>
            <w:r>
              <w:rPr>
                <w:b w:val="0"/>
                <w:bCs w:val="0"/>
                <w:noProof w:val="0"/>
                <w:rtl/>
              </w:rPr>
              <w:t>ובהיקפים</w:t>
            </w:r>
            <w:r>
              <w:rPr>
                <w:rFonts w:hint="cs"/>
                <w:b w:val="0"/>
                <w:bCs w:val="0"/>
                <w:noProof w:val="0"/>
                <w:rtl/>
              </w:rPr>
              <w:t xml:space="preserve"> </w:t>
            </w:r>
            <w:r>
              <w:rPr>
                <w:b w:val="0"/>
                <w:bCs w:val="0"/>
                <w:noProof w:val="0"/>
                <w:rtl/>
              </w:rPr>
              <w:t>של מיליארדי שקלים. להיעדרן של תכניות עבודה מסודרות עלולה להיות השפעה</w:t>
            </w:r>
            <w:r>
              <w:rPr>
                <w:rFonts w:hint="cs"/>
                <w:b w:val="0"/>
                <w:bCs w:val="0"/>
                <w:noProof w:val="0"/>
                <w:rtl/>
              </w:rPr>
              <w:t xml:space="preserve"> </w:t>
            </w:r>
            <w:r>
              <w:rPr>
                <w:b w:val="0"/>
                <w:bCs w:val="0"/>
                <w:noProof w:val="0"/>
                <w:rtl/>
              </w:rPr>
              <w:t>מהותית על</w:t>
            </w:r>
            <w:r>
              <w:rPr>
                <w:rFonts w:hint="cs"/>
                <w:b w:val="0"/>
                <w:bCs w:val="0"/>
                <w:noProof w:val="0"/>
                <w:rtl/>
              </w:rPr>
              <w:t xml:space="preserve"> </w:t>
            </w:r>
            <w:r>
              <w:rPr>
                <w:b w:val="0"/>
                <w:bCs w:val="0"/>
                <w:noProof w:val="0"/>
                <w:rtl/>
              </w:rPr>
              <w:t>כלל המשק.</w:t>
            </w:r>
          </w:p>
        </w:tc>
      </w:tr>
    </w:tbl>
    <w:p w:rsidR="00F20C1A">
      <w:pPr>
        <w:pStyle w:val="takzir"/>
        <w:rPr>
          <w:noProof w:val="0"/>
          <w:rtl/>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7717D4">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18" w:type="dxa"/>
            <w:shd w:val="pct25" w:color="00FF00" w:fill="auto"/>
          </w:tcPr>
          <w:p w:rsidR="00F20C1A">
            <w:pPr>
              <w:pStyle w:val="KOT4"/>
              <w:spacing w:before="120"/>
              <w:jc w:val="center"/>
              <w:rPr>
                <w:rtl/>
              </w:rPr>
            </w:pPr>
            <w:r>
              <w:rPr>
                <w:rtl/>
              </w:rPr>
              <w:t>סיכום</w:t>
            </w:r>
          </w:p>
        </w:tc>
      </w:tr>
      <w:tr w:rsidTr="007717D4">
        <w:tblPrEx>
          <w:tblW w:w="6691" w:type="dxa"/>
          <w:jc w:val="center"/>
          <w:tblLook w:val="04A0"/>
        </w:tblPrEx>
        <w:trPr>
          <w:cantSplit/>
          <w:jc w:val="center"/>
        </w:trPr>
        <w:tc>
          <w:tcPr>
            <w:tcW w:w="7018" w:type="dxa"/>
          </w:tcPr>
          <w:p w:rsidR="00F20C1A">
            <w:pPr>
              <w:spacing w:before="60" w:after="120"/>
              <w:jc w:val="both"/>
              <w:rPr>
                <w:b/>
                <w:bCs/>
                <w:sz w:val="22"/>
                <w:szCs w:val="22"/>
                <w:rtl/>
                <w:lang w:eastAsia="he-IL"/>
              </w:rPr>
            </w:pPr>
            <w:r>
              <w:rPr>
                <w:b/>
                <w:bCs/>
                <w:sz w:val="22"/>
                <w:szCs w:val="22"/>
                <w:rtl/>
                <w:lang w:eastAsia="he-IL"/>
              </w:rPr>
              <w:t xml:space="preserve">תכניות עבודה הן כלי ניהול </w:t>
            </w:r>
            <w:r>
              <w:rPr>
                <w:rFonts w:hint="cs"/>
                <w:b/>
                <w:bCs/>
                <w:sz w:val="22"/>
                <w:szCs w:val="22"/>
                <w:rtl/>
                <w:lang w:eastAsia="he-IL"/>
              </w:rPr>
              <w:t>מרכזי</w:t>
            </w:r>
            <w:r>
              <w:rPr>
                <w:b/>
                <w:bCs/>
                <w:sz w:val="22"/>
                <w:szCs w:val="22"/>
                <w:rtl/>
                <w:lang w:eastAsia="he-IL"/>
              </w:rPr>
              <w:t xml:space="preserve"> המאפשר למקבלי ההחלטות לתכנן את הפעולות</w:t>
            </w:r>
            <w:r>
              <w:rPr>
                <w:rFonts w:hint="cs"/>
                <w:b/>
                <w:bCs/>
                <w:sz w:val="22"/>
                <w:szCs w:val="22"/>
                <w:rtl/>
                <w:lang w:eastAsia="he-IL"/>
              </w:rPr>
              <w:t xml:space="preserve"> </w:t>
            </w:r>
            <w:r>
              <w:rPr>
                <w:b/>
                <w:bCs/>
                <w:sz w:val="22"/>
                <w:szCs w:val="22"/>
                <w:rtl/>
                <w:lang w:eastAsia="he-IL"/>
              </w:rPr>
              <w:t>הנדרשות</w:t>
            </w:r>
            <w:r>
              <w:rPr>
                <w:rFonts w:hint="cs"/>
                <w:b/>
                <w:bCs/>
                <w:sz w:val="22"/>
                <w:szCs w:val="22"/>
                <w:rtl/>
                <w:lang w:eastAsia="he-IL"/>
              </w:rPr>
              <w:t xml:space="preserve"> </w:t>
            </w:r>
            <w:r>
              <w:rPr>
                <w:b/>
                <w:bCs/>
                <w:sz w:val="22"/>
                <w:szCs w:val="22"/>
                <w:rtl/>
                <w:lang w:eastAsia="he-IL"/>
              </w:rPr>
              <w:t>להשגת יעדי הארגון, לבחון את מידת השגתם של יעדים אלו, לשנות</w:t>
            </w:r>
            <w:r>
              <w:rPr>
                <w:rFonts w:hint="cs"/>
                <w:b/>
                <w:bCs/>
                <w:sz w:val="22"/>
                <w:szCs w:val="22"/>
                <w:rtl/>
                <w:lang w:eastAsia="he-IL"/>
              </w:rPr>
              <w:t xml:space="preserve"> </w:t>
            </w:r>
            <w:r>
              <w:rPr>
                <w:b/>
                <w:bCs/>
                <w:sz w:val="22"/>
                <w:szCs w:val="22"/>
                <w:rtl/>
                <w:lang w:eastAsia="he-IL"/>
              </w:rPr>
              <w:t>את הפעולות בהתאם</w:t>
            </w:r>
            <w:r>
              <w:rPr>
                <w:rFonts w:hint="cs"/>
                <w:b/>
                <w:bCs/>
                <w:sz w:val="22"/>
                <w:szCs w:val="22"/>
                <w:rtl/>
                <w:lang w:eastAsia="he-IL"/>
              </w:rPr>
              <w:t xml:space="preserve">, ובדרך זו - </w:t>
            </w:r>
            <w:r>
              <w:rPr>
                <w:b/>
                <w:bCs/>
                <w:sz w:val="22"/>
                <w:szCs w:val="22"/>
                <w:rtl/>
                <w:lang w:eastAsia="he-IL"/>
              </w:rPr>
              <w:t>לייעל את עבודת</w:t>
            </w:r>
            <w:r>
              <w:rPr>
                <w:rFonts w:hint="cs"/>
                <w:b/>
                <w:bCs/>
                <w:sz w:val="22"/>
                <w:szCs w:val="22"/>
                <w:rtl/>
                <w:lang w:eastAsia="he-IL"/>
              </w:rPr>
              <w:t xml:space="preserve"> הארגון</w:t>
            </w:r>
            <w:r>
              <w:rPr>
                <w:b/>
                <w:bCs/>
                <w:sz w:val="22"/>
                <w:szCs w:val="22"/>
                <w:rtl/>
                <w:lang w:eastAsia="he-IL"/>
              </w:rPr>
              <w:t xml:space="preserve">. הממצאים שבדוח זה מלמדים שמשרד האוצר </w:t>
            </w:r>
            <w:r>
              <w:rPr>
                <w:rFonts w:hint="cs"/>
                <w:b/>
                <w:bCs/>
                <w:sz w:val="22"/>
                <w:szCs w:val="22"/>
                <w:rtl/>
                <w:lang w:eastAsia="he-IL"/>
              </w:rPr>
              <w:t xml:space="preserve">לא </w:t>
            </w:r>
            <w:r>
              <w:rPr>
                <w:b/>
                <w:bCs/>
                <w:sz w:val="22"/>
                <w:szCs w:val="22"/>
                <w:rtl/>
                <w:lang w:eastAsia="he-IL"/>
              </w:rPr>
              <w:t>עשה את כל הנדרש כדי להטמיע תהליכי</w:t>
            </w:r>
            <w:r>
              <w:rPr>
                <w:rFonts w:hint="cs"/>
                <w:b/>
                <w:bCs/>
                <w:sz w:val="22"/>
                <w:szCs w:val="22"/>
                <w:rtl/>
                <w:lang w:eastAsia="he-IL"/>
              </w:rPr>
              <w:t xml:space="preserve"> </w:t>
            </w:r>
            <w:r>
              <w:rPr>
                <w:b/>
                <w:bCs/>
                <w:sz w:val="22"/>
                <w:szCs w:val="22"/>
                <w:rtl/>
                <w:lang w:eastAsia="he-IL"/>
              </w:rPr>
              <w:t xml:space="preserve">תכנון, בקרה ומדידה בכל אגפיו. </w:t>
            </w:r>
            <w:r>
              <w:rPr>
                <w:rFonts w:hint="cs"/>
                <w:b/>
                <w:bCs/>
                <w:sz w:val="22"/>
                <w:szCs w:val="22"/>
                <w:rtl/>
                <w:lang w:eastAsia="he-IL"/>
              </w:rPr>
              <w:t xml:space="preserve">הדבר מקשה על המשרד </w:t>
            </w:r>
            <w:r>
              <w:rPr>
                <w:b/>
                <w:bCs/>
                <w:sz w:val="22"/>
                <w:szCs w:val="22"/>
                <w:rtl/>
                <w:lang w:eastAsia="he-IL"/>
              </w:rPr>
              <w:t>לשפר את שיתוף הפעולה בין אגפי</w:t>
            </w:r>
            <w:r>
              <w:rPr>
                <w:rFonts w:hint="cs"/>
                <w:b/>
                <w:bCs/>
                <w:sz w:val="22"/>
                <w:szCs w:val="22"/>
                <w:rtl/>
                <w:lang w:eastAsia="he-IL"/>
              </w:rPr>
              <w:t>ו</w:t>
            </w:r>
            <w:r>
              <w:rPr>
                <w:b/>
                <w:bCs/>
                <w:sz w:val="22"/>
                <w:szCs w:val="22"/>
                <w:rtl/>
                <w:lang w:eastAsia="he-IL"/>
              </w:rPr>
              <w:t xml:space="preserve"> ומלמד </w:t>
            </w:r>
            <w:r>
              <w:rPr>
                <w:rFonts w:hint="cs"/>
                <w:b/>
                <w:bCs/>
                <w:sz w:val="22"/>
                <w:szCs w:val="22"/>
                <w:rtl/>
                <w:lang w:eastAsia="he-IL"/>
              </w:rPr>
              <w:t xml:space="preserve">כי </w:t>
            </w:r>
            <w:r>
              <w:rPr>
                <w:b/>
                <w:bCs/>
                <w:sz w:val="22"/>
                <w:szCs w:val="22"/>
                <w:rtl/>
                <w:lang w:eastAsia="he-IL"/>
              </w:rPr>
              <w:t>משילות</w:t>
            </w:r>
            <w:r>
              <w:rPr>
                <w:rFonts w:hint="cs"/>
                <w:b/>
                <w:bCs/>
                <w:sz w:val="22"/>
                <w:szCs w:val="22"/>
                <w:rtl/>
                <w:lang w:eastAsia="he-IL"/>
              </w:rPr>
              <w:t>ו</w:t>
            </w:r>
            <w:r>
              <w:rPr>
                <w:b/>
                <w:bCs/>
                <w:sz w:val="22"/>
                <w:szCs w:val="22"/>
                <w:rtl/>
                <w:lang w:eastAsia="he-IL"/>
              </w:rPr>
              <w:t xml:space="preserve"> </w:t>
            </w:r>
            <w:r>
              <w:rPr>
                <w:rFonts w:hint="cs"/>
                <w:b/>
                <w:bCs/>
                <w:sz w:val="22"/>
                <w:szCs w:val="22"/>
                <w:rtl/>
                <w:lang w:eastAsia="he-IL"/>
              </w:rPr>
              <w:t>ה</w:t>
            </w:r>
            <w:r>
              <w:rPr>
                <w:b/>
                <w:bCs/>
                <w:sz w:val="22"/>
                <w:szCs w:val="22"/>
                <w:rtl/>
                <w:lang w:eastAsia="he-IL"/>
              </w:rPr>
              <w:t>ניהולית</w:t>
            </w:r>
            <w:r>
              <w:rPr>
                <w:rFonts w:hint="cs"/>
                <w:b/>
                <w:bCs/>
                <w:sz w:val="22"/>
                <w:szCs w:val="22"/>
                <w:rtl/>
                <w:lang w:eastAsia="he-IL"/>
              </w:rPr>
              <w:t xml:space="preserve"> </w:t>
            </w:r>
            <w:r>
              <w:rPr>
                <w:rFonts w:hint="eastAsia"/>
                <w:b/>
                <w:bCs/>
                <w:sz w:val="22"/>
                <w:szCs w:val="22"/>
                <w:rtl/>
                <w:lang w:eastAsia="he-IL"/>
              </w:rPr>
              <w:t>אינה</w:t>
            </w:r>
            <w:r>
              <w:rPr>
                <w:b/>
                <w:bCs/>
                <w:sz w:val="22"/>
                <w:szCs w:val="22"/>
                <w:rtl/>
                <w:lang w:eastAsia="he-IL"/>
              </w:rPr>
              <w:t xml:space="preserve"> </w:t>
            </w:r>
            <w:r>
              <w:rPr>
                <w:rFonts w:hint="eastAsia"/>
                <w:b/>
                <w:bCs/>
                <w:sz w:val="22"/>
                <w:szCs w:val="22"/>
                <w:rtl/>
                <w:lang w:eastAsia="he-IL"/>
              </w:rPr>
              <w:t>מספקת</w:t>
            </w:r>
            <w:r>
              <w:rPr>
                <w:b/>
                <w:bCs/>
                <w:sz w:val="22"/>
                <w:szCs w:val="22"/>
                <w:rtl/>
                <w:lang w:eastAsia="he-IL"/>
              </w:rPr>
              <w:t>.</w:t>
            </w:r>
          </w:p>
          <w:p w:rsidR="00F20C1A">
            <w:pPr>
              <w:spacing w:after="120"/>
              <w:jc w:val="both"/>
              <w:rPr>
                <w:b/>
                <w:bCs/>
                <w:sz w:val="22"/>
                <w:szCs w:val="22"/>
                <w:rtl/>
                <w:lang w:eastAsia="he-IL"/>
              </w:rPr>
            </w:pPr>
            <w:r>
              <w:rPr>
                <w:b/>
                <w:bCs/>
                <w:sz w:val="22"/>
                <w:szCs w:val="22"/>
                <w:rtl/>
                <w:lang w:eastAsia="he-IL"/>
              </w:rPr>
              <w:t xml:space="preserve">תכנית העבודה היא כלי חשוב לפיקוח ולבקרה על </w:t>
            </w:r>
            <w:r>
              <w:rPr>
                <w:rFonts w:hint="cs"/>
                <w:b/>
                <w:bCs/>
                <w:sz w:val="22"/>
                <w:szCs w:val="22"/>
                <w:rtl/>
                <w:lang w:eastAsia="he-IL"/>
              </w:rPr>
              <w:t>דרכי השימוש של המשרדים ב</w:t>
            </w:r>
            <w:r>
              <w:rPr>
                <w:b/>
                <w:bCs/>
                <w:sz w:val="22"/>
                <w:szCs w:val="22"/>
                <w:rtl/>
                <w:lang w:eastAsia="he-IL"/>
              </w:rPr>
              <w:t>תקציבי</w:t>
            </w:r>
            <w:r>
              <w:rPr>
                <w:rFonts w:hint="cs"/>
                <w:b/>
                <w:bCs/>
                <w:sz w:val="22"/>
                <w:szCs w:val="22"/>
                <w:rtl/>
                <w:lang w:eastAsia="he-IL"/>
              </w:rPr>
              <w:t>ה</w:t>
            </w:r>
            <w:r>
              <w:rPr>
                <w:b/>
                <w:bCs/>
                <w:sz w:val="22"/>
                <w:szCs w:val="22"/>
                <w:rtl/>
                <w:lang w:eastAsia="he-IL"/>
              </w:rPr>
              <w:t>ם</w:t>
            </w:r>
            <w:r>
              <w:rPr>
                <w:rFonts w:hint="cs"/>
                <w:b/>
                <w:bCs/>
                <w:sz w:val="22"/>
                <w:szCs w:val="22"/>
                <w:rtl/>
                <w:lang w:eastAsia="he-IL"/>
              </w:rPr>
              <w:t xml:space="preserve"> </w:t>
            </w:r>
            <w:r>
              <w:rPr>
                <w:b/>
                <w:bCs/>
                <w:sz w:val="22"/>
                <w:szCs w:val="22"/>
                <w:rtl/>
                <w:lang w:eastAsia="he-IL"/>
              </w:rPr>
              <w:t xml:space="preserve">לביצוע משימותיהם ועל </w:t>
            </w:r>
            <w:r>
              <w:rPr>
                <w:rFonts w:hint="cs"/>
                <w:b/>
                <w:bCs/>
                <w:sz w:val="22"/>
                <w:szCs w:val="22"/>
                <w:rtl/>
                <w:lang w:eastAsia="he-IL"/>
              </w:rPr>
              <w:t>מידת ההתאמה בין ה</w:t>
            </w:r>
            <w:r>
              <w:rPr>
                <w:b/>
                <w:bCs/>
                <w:sz w:val="22"/>
                <w:szCs w:val="22"/>
                <w:rtl/>
                <w:lang w:eastAsia="he-IL"/>
              </w:rPr>
              <w:t xml:space="preserve">תוצאות </w:t>
            </w:r>
            <w:r>
              <w:rPr>
                <w:rFonts w:hint="cs"/>
                <w:b/>
                <w:bCs/>
                <w:sz w:val="22"/>
                <w:szCs w:val="22"/>
                <w:rtl/>
                <w:lang w:eastAsia="he-IL"/>
              </w:rPr>
              <w:t xml:space="preserve">המושגות ובין </w:t>
            </w:r>
            <w:r>
              <w:rPr>
                <w:b/>
                <w:bCs/>
                <w:sz w:val="22"/>
                <w:szCs w:val="22"/>
                <w:rtl/>
                <w:lang w:eastAsia="he-IL"/>
              </w:rPr>
              <w:t>מדיניות הממשלה.</w:t>
            </w:r>
            <w:r>
              <w:rPr>
                <w:rFonts w:hint="cs"/>
                <w:b/>
                <w:bCs/>
                <w:sz w:val="22"/>
                <w:szCs w:val="22"/>
                <w:rtl/>
                <w:lang w:eastAsia="he-IL"/>
              </w:rPr>
              <w:t xml:space="preserve"> </w:t>
            </w:r>
            <w:r>
              <w:rPr>
                <w:b/>
                <w:bCs/>
                <w:sz w:val="22"/>
                <w:szCs w:val="22"/>
                <w:rtl/>
                <w:lang w:eastAsia="he-IL"/>
              </w:rPr>
              <w:t>מצופה שמשרד האוצר, בהיותו גוף מטה מרכזי המפקח על התקציב והשותף לביצוען</w:t>
            </w:r>
            <w:r>
              <w:rPr>
                <w:rFonts w:hint="cs"/>
                <w:b/>
                <w:bCs/>
                <w:sz w:val="22"/>
                <w:szCs w:val="22"/>
                <w:rtl/>
                <w:lang w:eastAsia="he-IL"/>
              </w:rPr>
              <w:t xml:space="preserve"> </w:t>
            </w:r>
            <w:r>
              <w:rPr>
                <w:b/>
                <w:bCs/>
                <w:sz w:val="22"/>
                <w:szCs w:val="22"/>
                <w:rtl/>
                <w:lang w:eastAsia="he-IL"/>
              </w:rPr>
              <w:t xml:space="preserve">של רפורמות רוחביות, ישמש דוגמה לשאר המשרדים וישלים בהקדם </w:t>
            </w:r>
            <w:r>
              <w:rPr>
                <w:rFonts w:hint="cs"/>
                <w:b/>
                <w:bCs/>
                <w:sz w:val="22"/>
                <w:szCs w:val="22"/>
                <w:rtl/>
                <w:lang w:eastAsia="he-IL"/>
              </w:rPr>
              <w:t xml:space="preserve">את </w:t>
            </w:r>
            <w:r>
              <w:rPr>
                <w:b/>
                <w:bCs/>
                <w:sz w:val="22"/>
                <w:szCs w:val="22"/>
                <w:rtl/>
                <w:lang w:eastAsia="he-IL"/>
              </w:rPr>
              <w:t>הטמע</w:t>
            </w:r>
            <w:r>
              <w:rPr>
                <w:rFonts w:hint="cs"/>
                <w:b/>
                <w:bCs/>
                <w:sz w:val="22"/>
                <w:szCs w:val="22"/>
                <w:rtl/>
                <w:lang w:eastAsia="he-IL"/>
              </w:rPr>
              <w:t>ת</w:t>
            </w:r>
            <w:r>
              <w:rPr>
                <w:b/>
                <w:bCs/>
                <w:sz w:val="22"/>
                <w:szCs w:val="22"/>
                <w:rtl/>
                <w:lang w:eastAsia="he-IL"/>
              </w:rPr>
              <w:t>ה</w:t>
            </w:r>
            <w:r>
              <w:rPr>
                <w:rFonts w:hint="cs"/>
                <w:b/>
                <w:bCs/>
                <w:sz w:val="22"/>
                <w:szCs w:val="22"/>
                <w:rtl/>
                <w:lang w:eastAsia="he-IL"/>
              </w:rPr>
              <w:t xml:space="preserve"> </w:t>
            </w:r>
            <w:r>
              <w:rPr>
                <w:b/>
                <w:bCs/>
                <w:sz w:val="22"/>
                <w:szCs w:val="22"/>
                <w:rtl/>
                <w:lang w:eastAsia="he-IL"/>
              </w:rPr>
              <w:t xml:space="preserve">של תרבות </w:t>
            </w:r>
            <w:r>
              <w:rPr>
                <w:rFonts w:hint="cs"/>
                <w:b/>
                <w:bCs/>
                <w:sz w:val="22"/>
                <w:szCs w:val="22"/>
                <w:rtl/>
                <w:lang w:eastAsia="he-IL"/>
              </w:rPr>
              <w:t>ה</w:t>
            </w:r>
            <w:r>
              <w:rPr>
                <w:b/>
                <w:bCs/>
                <w:sz w:val="22"/>
                <w:szCs w:val="22"/>
                <w:rtl/>
                <w:lang w:eastAsia="he-IL"/>
              </w:rPr>
              <w:t xml:space="preserve">תכנון, </w:t>
            </w:r>
            <w:r>
              <w:rPr>
                <w:rFonts w:hint="cs"/>
                <w:b/>
                <w:bCs/>
                <w:sz w:val="22"/>
                <w:szCs w:val="22"/>
                <w:rtl/>
                <w:lang w:eastAsia="he-IL"/>
              </w:rPr>
              <w:t>ה</w:t>
            </w:r>
            <w:r>
              <w:rPr>
                <w:b/>
                <w:bCs/>
                <w:sz w:val="22"/>
                <w:szCs w:val="22"/>
                <w:rtl/>
                <w:lang w:eastAsia="he-IL"/>
              </w:rPr>
              <w:t>מדידה ו</w:t>
            </w:r>
            <w:r>
              <w:rPr>
                <w:rFonts w:hint="cs"/>
                <w:b/>
                <w:bCs/>
                <w:sz w:val="22"/>
                <w:szCs w:val="22"/>
                <w:rtl/>
                <w:lang w:eastAsia="he-IL"/>
              </w:rPr>
              <w:t>ה</w:t>
            </w:r>
            <w:r>
              <w:rPr>
                <w:b/>
                <w:bCs/>
                <w:sz w:val="22"/>
                <w:szCs w:val="22"/>
                <w:rtl/>
                <w:lang w:eastAsia="he-IL"/>
              </w:rPr>
              <w:t xml:space="preserve">בקרה. </w:t>
            </w:r>
            <w:r>
              <w:rPr>
                <w:rFonts w:hint="cs"/>
                <w:b/>
                <w:bCs/>
                <w:sz w:val="22"/>
                <w:szCs w:val="22"/>
                <w:rtl/>
                <w:lang w:eastAsia="he-IL"/>
              </w:rPr>
              <w:t xml:space="preserve">במסגרת </w:t>
            </w:r>
            <w:r>
              <w:rPr>
                <w:b/>
                <w:bCs/>
                <w:sz w:val="22"/>
                <w:szCs w:val="22"/>
                <w:rtl/>
                <w:lang w:eastAsia="he-IL"/>
              </w:rPr>
              <w:t xml:space="preserve">תהליך זה </w:t>
            </w:r>
            <w:r>
              <w:rPr>
                <w:rFonts w:hint="cs"/>
                <w:b/>
                <w:bCs/>
                <w:sz w:val="22"/>
                <w:szCs w:val="22"/>
                <w:rtl/>
                <w:lang w:eastAsia="he-IL"/>
              </w:rPr>
              <w:t xml:space="preserve">יש להכין </w:t>
            </w:r>
            <w:r>
              <w:rPr>
                <w:b/>
                <w:bCs/>
                <w:sz w:val="22"/>
                <w:szCs w:val="22"/>
                <w:rtl/>
                <w:lang w:eastAsia="he-IL"/>
              </w:rPr>
              <w:t>תכניות כלל-משרדיות</w:t>
            </w:r>
            <w:r>
              <w:rPr>
                <w:rFonts w:hint="cs"/>
                <w:b/>
                <w:bCs/>
                <w:sz w:val="22"/>
                <w:szCs w:val="22"/>
                <w:rtl/>
                <w:lang w:eastAsia="he-IL"/>
              </w:rPr>
              <w:t xml:space="preserve"> ולגזור מהן, באגפים השונים, </w:t>
            </w:r>
            <w:r>
              <w:rPr>
                <w:b/>
                <w:bCs/>
                <w:sz w:val="22"/>
                <w:szCs w:val="22"/>
                <w:rtl/>
                <w:lang w:eastAsia="he-IL"/>
              </w:rPr>
              <w:t>תכניות עבודה מפורטות ומסודרות</w:t>
            </w:r>
            <w:r>
              <w:rPr>
                <w:rFonts w:hint="cs"/>
                <w:b/>
                <w:bCs/>
                <w:sz w:val="22"/>
                <w:szCs w:val="22"/>
                <w:rtl/>
                <w:lang w:eastAsia="he-IL"/>
              </w:rPr>
              <w:t>.</w:t>
            </w:r>
          </w:p>
          <w:p w:rsidR="00F20C1A">
            <w:pPr>
              <w:spacing w:after="120"/>
              <w:jc w:val="both"/>
              <w:rPr>
                <w:b/>
                <w:bCs/>
                <w:sz w:val="22"/>
                <w:szCs w:val="22"/>
                <w:rtl/>
                <w:lang w:eastAsia="he-IL"/>
              </w:rPr>
            </w:pPr>
            <w:r>
              <w:rPr>
                <w:rFonts w:hint="cs"/>
                <w:b/>
                <w:bCs/>
                <w:sz w:val="22"/>
                <w:szCs w:val="22"/>
                <w:rtl/>
                <w:lang w:eastAsia="he-IL"/>
              </w:rPr>
              <w:t xml:space="preserve">לדעת משרד מבקר המדינה, </w:t>
            </w:r>
            <w:r>
              <w:rPr>
                <w:b/>
                <w:bCs/>
                <w:sz w:val="22"/>
                <w:szCs w:val="22"/>
                <w:rtl/>
                <w:lang w:eastAsia="he-IL"/>
              </w:rPr>
              <w:t>התמשכות הטמעת</w:t>
            </w:r>
            <w:r>
              <w:rPr>
                <w:rFonts w:hint="cs"/>
                <w:b/>
                <w:bCs/>
                <w:sz w:val="22"/>
                <w:szCs w:val="22"/>
                <w:rtl/>
                <w:lang w:eastAsia="he-IL"/>
              </w:rPr>
              <w:t>ם</w:t>
            </w:r>
            <w:r>
              <w:rPr>
                <w:b/>
                <w:bCs/>
                <w:sz w:val="22"/>
                <w:szCs w:val="22"/>
                <w:rtl/>
                <w:lang w:eastAsia="he-IL"/>
              </w:rPr>
              <w:t xml:space="preserve"> של תהליכי </w:t>
            </w:r>
            <w:r>
              <w:rPr>
                <w:rFonts w:hint="cs"/>
                <w:b/>
                <w:bCs/>
                <w:sz w:val="22"/>
                <w:szCs w:val="22"/>
                <w:rtl/>
                <w:lang w:eastAsia="he-IL"/>
              </w:rPr>
              <w:t>ה</w:t>
            </w:r>
            <w:r>
              <w:rPr>
                <w:b/>
                <w:bCs/>
                <w:sz w:val="22"/>
                <w:szCs w:val="22"/>
                <w:rtl/>
                <w:lang w:eastAsia="he-IL"/>
              </w:rPr>
              <w:t xml:space="preserve">תכנון, </w:t>
            </w:r>
            <w:r>
              <w:rPr>
                <w:rFonts w:hint="cs"/>
                <w:b/>
                <w:bCs/>
                <w:sz w:val="22"/>
                <w:szCs w:val="22"/>
                <w:rtl/>
                <w:lang w:eastAsia="he-IL"/>
              </w:rPr>
              <w:t>ה</w:t>
            </w:r>
            <w:r>
              <w:rPr>
                <w:b/>
                <w:bCs/>
                <w:sz w:val="22"/>
                <w:szCs w:val="22"/>
                <w:rtl/>
                <w:lang w:eastAsia="he-IL"/>
              </w:rPr>
              <w:t>בקרה ו</w:t>
            </w:r>
            <w:r>
              <w:rPr>
                <w:rFonts w:hint="cs"/>
                <w:b/>
                <w:bCs/>
                <w:sz w:val="22"/>
                <w:szCs w:val="22"/>
                <w:rtl/>
                <w:lang w:eastAsia="he-IL"/>
              </w:rPr>
              <w:t>ה</w:t>
            </w:r>
            <w:r>
              <w:rPr>
                <w:b/>
                <w:bCs/>
                <w:sz w:val="22"/>
                <w:szCs w:val="22"/>
                <w:rtl/>
                <w:lang w:eastAsia="he-IL"/>
              </w:rPr>
              <w:t>מדידה, אופן העסקתן של חברות הייעוץ</w:t>
            </w:r>
            <w:r>
              <w:rPr>
                <w:rFonts w:hint="cs"/>
                <w:b/>
                <w:bCs/>
                <w:sz w:val="22"/>
                <w:szCs w:val="22"/>
                <w:rtl/>
                <w:lang w:eastAsia="he-IL"/>
              </w:rPr>
              <w:t xml:space="preserve"> </w:t>
            </w:r>
            <w:r>
              <w:rPr>
                <w:b/>
                <w:bCs/>
                <w:sz w:val="22"/>
                <w:szCs w:val="22"/>
                <w:rtl/>
                <w:lang w:eastAsia="he-IL"/>
              </w:rPr>
              <w:t xml:space="preserve">ועלות שירותיהן </w:t>
            </w:r>
            <w:r>
              <w:rPr>
                <w:rFonts w:hint="cs"/>
                <w:b/>
                <w:bCs/>
                <w:sz w:val="22"/>
                <w:szCs w:val="22"/>
                <w:rtl/>
                <w:lang w:eastAsia="he-IL"/>
              </w:rPr>
              <w:t xml:space="preserve">- כל אלה </w:t>
            </w:r>
            <w:r>
              <w:rPr>
                <w:b/>
                <w:bCs/>
                <w:sz w:val="22"/>
                <w:szCs w:val="22"/>
                <w:rtl/>
                <w:lang w:eastAsia="he-IL"/>
              </w:rPr>
              <w:t xml:space="preserve">מלמדים על </w:t>
            </w:r>
            <w:r>
              <w:rPr>
                <w:rFonts w:hint="cs"/>
                <w:b/>
                <w:bCs/>
                <w:sz w:val="22"/>
                <w:szCs w:val="22"/>
                <w:rtl/>
                <w:lang w:eastAsia="he-IL"/>
              </w:rPr>
              <w:t>ליקוי</w:t>
            </w:r>
            <w:r>
              <w:rPr>
                <w:b/>
                <w:bCs/>
                <w:sz w:val="22"/>
                <w:szCs w:val="22"/>
                <w:rtl/>
                <w:lang w:eastAsia="he-IL"/>
              </w:rPr>
              <w:t xml:space="preserve"> </w:t>
            </w:r>
            <w:r>
              <w:rPr>
                <w:rFonts w:hint="cs"/>
                <w:b/>
                <w:bCs/>
                <w:sz w:val="22"/>
                <w:szCs w:val="22"/>
                <w:rtl/>
                <w:lang w:eastAsia="he-IL"/>
              </w:rPr>
              <w:t>מתמשך</w:t>
            </w:r>
            <w:r>
              <w:rPr>
                <w:b/>
                <w:bCs/>
                <w:sz w:val="22"/>
                <w:szCs w:val="22"/>
                <w:rtl/>
                <w:lang w:eastAsia="he-IL"/>
              </w:rPr>
              <w:t xml:space="preserve"> </w:t>
            </w:r>
            <w:r>
              <w:rPr>
                <w:rFonts w:hint="cs"/>
                <w:b/>
                <w:bCs/>
                <w:sz w:val="22"/>
                <w:szCs w:val="22"/>
                <w:rtl/>
                <w:lang w:eastAsia="he-IL"/>
              </w:rPr>
              <w:t>בעבודת</w:t>
            </w:r>
            <w:r>
              <w:rPr>
                <w:b/>
                <w:bCs/>
                <w:sz w:val="22"/>
                <w:szCs w:val="22"/>
                <w:rtl/>
                <w:lang w:eastAsia="he-IL"/>
              </w:rPr>
              <w:t xml:space="preserve"> הנהלת </w:t>
            </w:r>
            <w:r>
              <w:rPr>
                <w:rFonts w:hint="cs"/>
                <w:b/>
                <w:bCs/>
                <w:sz w:val="22"/>
                <w:szCs w:val="22"/>
                <w:rtl/>
                <w:lang w:eastAsia="he-IL"/>
              </w:rPr>
              <w:t>משרד האוצר</w:t>
            </w:r>
            <w:r>
              <w:rPr>
                <w:b/>
                <w:bCs/>
                <w:sz w:val="22"/>
                <w:szCs w:val="22"/>
                <w:rtl/>
                <w:lang w:eastAsia="he-IL"/>
              </w:rPr>
              <w:t xml:space="preserve"> בכל הנוגע</w:t>
            </w:r>
            <w:r>
              <w:rPr>
                <w:rFonts w:hint="cs"/>
                <w:b/>
                <w:bCs/>
                <w:sz w:val="22"/>
                <w:szCs w:val="22"/>
                <w:rtl/>
                <w:lang w:eastAsia="he-IL"/>
              </w:rPr>
              <w:t xml:space="preserve"> </w:t>
            </w:r>
            <w:r>
              <w:rPr>
                <w:b/>
                <w:bCs/>
                <w:sz w:val="22"/>
                <w:szCs w:val="22"/>
                <w:rtl/>
                <w:lang w:eastAsia="he-IL"/>
              </w:rPr>
              <w:t>ל</w:t>
            </w:r>
            <w:r>
              <w:rPr>
                <w:rFonts w:hint="cs"/>
                <w:b/>
                <w:bCs/>
                <w:sz w:val="22"/>
                <w:szCs w:val="22"/>
                <w:rtl/>
                <w:lang w:eastAsia="he-IL"/>
              </w:rPr>
              <w:t>תהליכי התכנון והניהול של המשרד. הממצאים</w:t>
            </w:r>
            <w:r>
              <w:rPr>
                <w:b/>
                <w:bCs/>
                <w:sz w:val="22"/>
                <w:szCs w:val="22"/>
                <w:rtl/>
                <w:lang w:eastAsia="he-IL"/>
              </w:rPr>
              <w:t xml:space="preserve"> </w:t>
            </w:r>
            <w:r>
              <w:rPr>
                <w:rFonts w:hint="cs"/>
                <w:b/>
                <w:bCs/>
                <w:sz w:val="22"/>
                <w:szCs w:val="22"/>
                <w:rtl/>
                <w:lang w:eastAsia="he-IL"/>
              </w:rPr>
              <w:t xml:space="preserve">מחייבים כי תוגבר </w:t>
            </w:r>
            <w:r>
              <w:rPr>
                <w:b/>
                <w:bCs/>
                <w:sz w:val="22"/>
                <w:szCs w:val="22"/>
                <w:rtl/>
                <w:lang w:eastAsia="he-IL"/>
              </w:rPr>
              <w:t xml:space="preserve">מעורבותו של שר האוצר </w:t>
            </w:r>
            <w:r>
              <w:rPr>
                <w:rFonts w:hint="cs"/>
                <w:b/>
                <w:bCs/>
                <w:sz w:val="22"/>
                <w:szCs w:val="22"/>
                <w:rtl/>
                <w:lang w:eastAsia="he-IL"/>
              </w:rPr>
              <w:t>ב</w:t>
            </w:r>
            <w:r>
              <w:rPr>
                <w:b/>
                <w:bCs/>
                <w:sz w:val="22"/>
                <w:szCs w:val="22"/>
                <w:rtl/>
                <w:lang w:eastAsia="he-IL"/>
              </w:rPr>
              <w:t xml:space="preserve">הטמעת תהליכי התכנון והבקרה </w:t>
            </w:r>
            <w:r>
              <w:rPr>
                <w:rFonts w:hint="cs"/>
                <w:b/>
                <w:bCs/>
                <w:sz w:val="22"/>
                <w:szCs w:val="22"/>
                <w:rtl/>
                <w:lang w:eastAsia="he-IL"/>
              </w:rPr>
              <w:t>ב</w:t>
            </w:r>
            <w:r>
              <w:rPr>
                <w:b/>
                <w:bCs/>
                <w:sz w:val="22"/>
                <w:szCs w:val="22"/>
                <w:rtl/>
                <w:lang w:eastAsia="he-IL"/>
              </w:rPr>
              <w:t>משרד.</w:t>
            </w:r>
          </w:p>
        </w:tc>
      </w:tr>
    </w:tbl>
    <w:p w:rsidR="00F20C1A">
      <w:pPr>
        <w:spacing w:after="120" w:line="230" w:lineRule="exact"/>
        <w:jc w:val="both"/>
        <w:rPr>
          <w:rFonts w:cs="FrankRuehl"/>
          <w:sz w:val="20"/>
          <w:szCs w:val="22"/>
          <w:rtl/>
        </w:rPr>
      </w:pPr>
    </w:p>
    <w:p w:rsidR="00F20C1A">
      <w:pPr>
        <w:pStyle w:val="KOT1"/>
        <w:keepNext w:val="0"/>
        <w:spacing w:after="0" w:line="240" w:lineRule="atLeast"/>
        <w:rPr>
          <w:rFonts w:ascii="Arial" w:hAnsi="Arial" w:cs="Arial"/>
          <w:lang w:eastAsia="en-US"/>
        </w:rPr>
      </w:pPr>
      <w:r>
        <w:rPr>
          <w:rFonts w:ascii="Arial" w:hAnsi="Arial" w:cs="Arial"/>
          <w:lang w:eastAsia="en-US"/>
        </w:rPr>
        <w:t>♦</w:t>
      </w:r>
    </w:p>
    <w:p w:rsidR="00F20C1A">
      <w:pPr>
        <w:spacing w:after="120" w:line="230" w:lineRule="exact"/>
        <w:jc w:val="both"/>
        <w:rPr>
          <w:rFonts w:cs="FrankRuehl"/>
          <w:sz w:val="20"/>
          <w:szCs w:val="22"/>
          <w:rtl/>
        </w:rPr>
      </w:pPr>
    </w:p>
    <w:p w:rsidR="00F20C1A" w:rsidRPr="00A52254" w:rsidP="00A52254">
      <w:pPr>
        <w:pStyle w:val="KOT4"/>
        <w:rPr>
          <w:rtl/>
        </w:rPr>
      </w:pPr>
      <w:bookmarkEnd w:id="0"/>
      <w:bookmarkEnd w:id="1"/>
      <w:bookmarkEnd w:id="2"/>
      <w:bookmarkEnd w:id="3"/>
      <w:bookmarkEnd w:id="4"/>
      <w:r>
        <w:rPr>
          <w:rtl/>
        </w:rPr>
        <w:br w:type="page"/>
      </w:r>
      <w:r w:rsidRPr="00A52254">
        <w:rPr>
          <w:rFonts w:hint="cs"/>
          <w:rtl/>
        </w:rPr>
        <w:t>מבוא</w:t>
      </w:r>
    </w:p>
    <w:p w:rsidR="00F20C1A">
      <w:pPr>
        <w:spacing w:after="120" w:line="230" w:lineRule="exact"/>
        <w:jc w:val="both"/>
        <w:outlineLvl w:val="0"/>
        <w:rPr>
          <w:rFonts w:cs="FrankRuehl"/>
          <w:sz w:val="20"/>
          <w:szCs w:val="22"/>
          <w:rtl/>
        </w:rPr>
      </w:pPr>
      <w:r>
        <w:rPr>
          <w:rFonts w:cs="FrankRuehl"/>
          <w:sz w:val="20"/>
          <w:szCs w:val="22"/>
          <w:rtl/>
        </w:rPr>
        <w:t xml:space="preserve">תכניות העבודה השנתיות והרב-שנתיות של משרד ממשלתי אמורות להציג את יעדי פעילותו לתקופה המוגדרת, את תכנון פעילותו </w:t>
      </w:r>
      <w:r>
        <w:rPr>
          <w:rFonts w:cs="FrankRuehl" w:hint="eastAsia"/>
          <w:sz w:val="20"/>
          <w:szCs w:val="22"/>
          <w:rtl/>
        </w:rPr>
        <w:t>ואת</w:t>
      </w:r>
      <w:r>
        <w:rPr>
          <w:rFonts w:cs="FrankRuehl"/>
          <w:sz w:val="20"/>
          <w:szCs w:val="22"/>
          <w:rtl/>
        </w:rPr>
        <w:t xml:space="preserve"> השינויים</w:t>
      </w:r>
      <w:r>
        <w:rPr>
          <w:rFonts w:cs="FrankRuehl" w:hint="cs"/>
          <w:sz w:val="20"/>
          <w:szCs w:val="22"/>
          <w:rtl/>
        </w:rPr>
        <w:t xml:space="preserve"> והתוצאות</w:t>
      </w:r>
      <w:r>
        <w:rPr>
          <w:rFonts w:cs="FrankRuehl"/>
          <w:sz w:val="20"/>
          <w:szCs w:val="22"/>
          <w:rtl/>
        </w:rPr>
        <w:t xml:space="preserve"> המצופים בעקבות</w:t>
      </w:r>
      <w:r>
        <w:rPr>
          <w:rFonts w:cs="FrankRuehl" w:hint="eastAsia"/>
          <w:sz w:val="20"/>
          <w:szCs w:val="22"/>
          <w:rtl/>
        </w:rPr>
        <w:t>יה</w:t>
      </w:r>
      <w:r>
        <w:rPr>
          <w:rFonts w:cs="FrankRuehl"/>
          <w:sz w:val="20"/>
          <w:szCs w:val="22"/>
          <w:rtl/>
        </w:rPr>
        <w:t xml:space="preserve">. תכניות העבודה משמשות כלי </w:t>
      </w:r>
      <w:r>
        <w:rPr>
          <w:rFonts w:cs="FrankRuehl" w:hint="cs"/>
          <w:sz w:val="20"/>
          <w:szCs w:val="22"/>
          <w:rtl/>
        </w:rPr>
        <w:t>מרכזי</w:t>
      </w:r>
      <w:r>
        <w:rPr>
          <w:rFonts w:cs="FrankRuehl"/>
          <w:sz w:val="20"/>
          <w:szCs w:val="22"/>
          <w:rtl/>
        </w:rPr>
        <w:t xml:space="preserve"> למימוש יעדי </w:t>
      </w:r>
      <w:r>
        <w:rPr>
          <w:rFonts w:cs="FrankRuehl" w:hint="cs"/>
          <w:sz w:val="20"/>
          <w:szCs w:val="22"/>
          <w:rtl/>
        </w:rPr>
        <w:t>הממשלה ומשרדיה</w:t>
      </w:r>
      <w:r>
        <w:rPr>
          <w:rFonts w:cs="FrankRuehl"/>
          <w:sz w:val="20"/>
          <w:szCs w:val="22"/>
          <w:rtl/>
        </w:rPr>
        <w:t>.</w:t>
      </w:r>
    </w:p>
    <w:p w:rsidR="00F20C1A">
      <w:pPr>
        <w:spacing w:after="120" w:line="230" w:lineRule="exact"/>
        <w:jc w:val="both"/>
        <w:rPr>
          <w:rFonts w:cs="FrankRuehl"/>
          <w:sz w:val="20"/>
          <w:szCs w:val="22"/>
          <w:rtl/>
        </w:rPr>
      </w:pPr>
      <w:r>
        <w:rPr>
          <w:rFonts w:cs="FrankRuehl"/>
          <w:sz w:val="20"/>
          <w:szCs w:val="22"/>
          <w:rtl/>
        </w:rPr>
        <w:t xml:space="preserve">בשנים האחרונות מוביל משרד ראש הממשלה מהלך להטמעת תרבות ארגונית בכל משרדי הממשלה </w:t>
      </w:r>
      <w:r>
        <w:rPr>
          <w:rFonts w:cs="FrankRuehl" w:hint="cs"/>
          <w:sz w:val="20"/>
          <w:szCs w:val="22"/>
          <w:rtl/>
        </w:rPr>
        <w:t xml:space="preserve">המחייבת קיום </w:t>
      </w:r>
      <w:r>
        <w:rPr>
          <w:rFonts w:cs="FrankRuehl"/>
          <w:sz w:val="20"/>
          <w:szCs w:val="22"/>
          <w:rtl/>
        </w:rPr>
        <w:t xml:space="preserve">תהליכי תכנון, מדידה, הערכה ובקרה. במרכיביו של מהלך זה: בניית מתודולוגיה ממשלתית אחידה ומיסוד של הכנת תכניות עבודה מדידות. </w:t>
      </w:r>
    </w:p>
    <w:p w:rsidR="00F20C1A">
      <w:pPr>
        <w:spacing w:after="120" w:line="230" w:lineRule="exact"/>
        <w:jc w:val="both"/>
        <w:rPr>
          <w:rFonts w:cs="FrankRuehl"/>
          <w:sz w:val="20"/>
          <w:szCs w:val="22"/>
          <w:rtl/>
        </w:rPr>
      </w:pPr>
      <w:r>
        <w:rPr>
          <w:rFonts w:cs="FrankRuehl"/>
          <w:sz w:val="20"/>
          <w:szCs w:val="22"/>
          <w:rtl/>
        </w:rPr>
        <w:t xml:space="preserve">כדי לסייע בהטמעת שפת תכנון אחידה </w:t>
      </w:r>
      <w:r>
        <w:rPr>
          <w:rFonts w:cs="FrankRuehl" w:hint="cs"/>
          <w:sz w:val="20"/>
          <w:szCs w:val="22"/>
          <w:rtl/>
        </w:rPr>
        <w:t>ב</w:t>
      </w:r>
      <w:r>
        <w:rPr>
          <w:rFonts w:cs="FrankRuehl"/>
          <w:sz w:val="20"/>
          <w:szCs w:val="22"/>
          <w:rtl/>
        </w:rPr>
        <w:t xml:space="preserve">משרדי הממשלה </w:t>
      </w:r>
      <w:r>
        <w:rPr>
          <w:rFonts w:cs="FrankRuehl" w:hint="cs"/>
          <w:sz w:val="20"/>
          <w:szCs w:val="22"/>
          <w:rtl/>
        </w:rPr>
        <w:t xml:space="preserve">נכתב </w:t>
      </w:r>
      <w:r>
        <w:rPr>
          <w:rFonts w:cs="FrankRuehl"/>
          <w:sz w:val="20"/>
          <w:szCs w:val="22"/>
          <w:rtl/>
        </w:rPr>
        <w:t xml:space="preserve">"מדריך התכנון הממשלתי". כתב </w:t>
      </w:r>
      <w:r>
        <w:rPr>
          <w:rFonts w:cs="FrankRuehl" w:hint="cs"/>
          <w:sz w:val="20"/>
          <w:szCs w:val="22"/>
          <w:rtl/>
        </w:rPr>
        <w:t xml:space="preserve">אותו </w:t>
      </w:r>
      <w:r>
        <w:rPr>
          <w:rFonts w:cs="FrankRuehl"/>
          <w:sz w:val="20"/>
          <w:szCs w:val="22"/>
          <w:rtl/>
        </w:rPr>
        <w:t xml:space="preserve">צוות בין-משרדי בראשות האגף לתכנון מדיניות במשרד ראש הממשלה. גרסתו הראשונה הופצה למשרדי הממשלה בדצמבר 2007, ועד ספטמבר 2010 הוא עודכן פעמים מספר. </w:t>
      </w:r>
      <w:r>
        <w:rPr>
          <w:rFonts w:cs="FrankRuehl" w:hint="cs"/>
          <w:sz w:val="20"/>
          <w:szCs w:val="22"/>
          <w:rtl/>
        </w:rPr>
        <w:t>ה</w:t>
      </w:r>
      <w:r>
        <w:rPr>
          <w:rFonts w:cs="FrankRuehl"/>
          <w:sz w:val="20"/>
          <w:szCs w:val="22"/>
          <w:rtl/>
        </w:rPr>
        <w:t xml:space="preserve">מדריך נועד לשמש אחד הכלים המרכזיים לחיזוק עבודת המטה במשרדי הממשלה ולשיפור אפשרויות הניהול והבקרה של המשרדים. </w:t>
      </w:r>
    </w:p>
    <w:p w:rsidR="00F20C1A">
      <w:pPr>
        <w:spacing w:after="120" w:line="230" w:lineRule="exact"/>
        <w:jc w:val="both"/>
        <w:rPr>
          <w:rFonts w:cs="FrankRuehl"/>
          <w:sz w:val="20"/>
          <w:szCs w:val="22"/>
          <w:rtl/>
        </w:rPr>
      </w:pPr>
      <w:r>
        <w:rPr>
          <w:rFonts w:cs="FrankRuehl" w:hint="cs"/>
          <w:sz w:val="20"/>
          <w:szCs w:val="22"/>
          <w:rtl/>
        </w:rPr>
        <w:t>במדריך התכנון נכתב שהוא נועד</w:t>
      </w:r>
      <w:r>
        <w:rPr>
          <w:rFonts w:cs="FrankRuehl"/>
          <w:sz w:val="20"/>
          <w:szCs w:val="22"/>
          <w:rtl/>
        </w:rPr>
        <w:t xml:space="preserve"> לשמש </w:t>
      </w:r>
      <w:r>
        <w:rPr>
          <w:rFonts w:cs="FrankRuehl" w:hint="cs"/>
          <w:sz w:val="20"/>
          <w:szCs w:val="22"/>
          <w:rtl/>
        </w:rPr>
        <w:t>כלי עזר להתוויית תהליך התכנון בתוך המשרד וליצירת תשתית מושגית משותפת למשרדים השונים. כמו כן, המדריך משמש כלי מנחה להכנת תכניות עבודה. על</w:t>
      </w:r>
      <w:r>
        <w:rPr>
          <w:rFonts w:cs="FrankRuehl"/>
          <w:sz w:val="20"/>
          <w:szCs w:val="22"/>
          <w:rtl/>
        </w:rPr>
        <w:t xml:space="preserve"> תכניות אלה לשקף את כלל פעילותו המתוכננת של המשרד לתקופה נתונה כדי להגיע למצב עתידי רצוי. תכנית עבודה כוללת שלושה רבדים: מטרות, יעדים ומשימות. המטרות הן ההישגים הרחבים שאליהם המשרד מכוון </w:t>
      </w:r>
      <w:r>
        <w:rPr>
          <w:rFonts w:cs="FrankRuehl" w:hint="cs"/>
          <w:sz w:val="20"/>
          <w:szCs w:val="22"/>
          <w:rtl/>
        </w:rPr>
        <w:t>-</w:t>
      </w:r>
      <w:r>
        <w:rPr>
          <w:rFonts w:cs="FrankRuehl"/>
          <w:sz w:val="20"/>
          <w:szCs w:val="22"/>
          <w:rtl/>
        </w:rPr>
        <w:t xml:space="preserve"> הן בדרך כלל רב-שנתיות, מגדירות את העתיד הרצוי ומצביעות על כיווני הפעולה של המשרד. את המטרות אפשר לתרגם ליעדים </w:t>
      </w:r>
      <w:r>
        <w:rPr>
          <w:rFonts w:cs="FrankRuehl" w:hint="cs"/>
          <w:sz w:val="20"/>
          <w:szCs w:val="22"/>
          <w:rtl/>
        </w:rPr>
        <w:t>-</w:t>
      </w:r>
      <w:r>
        <w:rPr>
          <w:rFonts w:cs="FrankRuehl"/>
          <w:sz w:val="20"/>
          <w:szCs w:val="22"/>
          <w:rtl/>
        </w:rPr>
        <w:t xml:space="preserve"> הישגי ביניים המקרבים את המשרד אל המטרה ומסמנים את השינוי שהמשרד רוצה להשיג בתקופה מוגדרת. לאחר שהמשרד </w:t>
      </w:r>
      <w:r>
        <w:rPr>
          <w:rFonts w:cs="FrankRuehl" w:hint="cs"/>
          <w:sz w:val="20"/>
          <w:szCs w:val="22"/>
          <w:rtl/>
        </w:rPr>
        <w:t>מ</w:t>
      </w:r>
      <w:r>
        <w:rPr>
          <w:rFonts w:cs="FrankRuehl"/>
          <w:sz w:val="20"/>
          <w:szCs w:val="22"/>
          <w:rtl/>
        </w:rPr>
        <w:t xml:space="preserve">גדיר את המטרות </w:t>
      </w:r>
      <w:r>
        <w:rPr>
          <w:rFonts w:cs="FrankRuehl" w:hint="cs"/>
          <w:sz w:val="20"/>
          <w:szCs w:val="22"/>
          <w:rtl/>
        </w:rPr>
        <w:t xml:space="preserve">ואת </w:t>
      </w:r>
      <w:r>
        <w:rPr>
          <w:rFonts w:cs="FrankRuehl"/>
          <w:sz w:val="20"/>
          <w:szCs w:val="22"/>
          <w:rtl/>
        </w:rPr>
        <w:t xml:space="preserve">היעדים, הוא מתחיל לפרט את המשימות הנדרשות להשגת היעדים. למשימות </w:t>
      </w:r>
      <w:r>
        <w:rPr>
          <w:rFonts w:cs="FrankRuehl" w:hint="cs"/>
          <w:sz w:val="20"/>
          <w:szCs w:val="22"/>
          <w:rtl/>
        </w:rPr>
        <w:t xml:space="preserve">מוצמדים </w:t>
      </w:r>
      <w:r>
        <w:rPr>
          <w:rFonts w:cs="FrankRuehl"/>
          <w:sz w:val="20"/>
          <w:szCs w:val="22"/>
          <w:rtl/>
        </w:rPr>
        <w:t xml:space="preserve">לוחות זמנים, מוקצים משאבים, </w:t>
      </w:r>
      <w:r>
        <w:rPr>
          <w:rFonts w:cs="FrankRuehl" w:hint="cs"/>
          <w:sz w:val="20"/>
          <w:szCs w:val="22"/>
          <w:rtl/>
        </w:rPr>
        <w:t xml:space="preserve">מותווים </w:t>
      </w:r>
      <w:r>
        <w:rPr>
          <w:rFonts w:cs="FrankRuehl"/>
          <w:sz w:val="20"/>
          <w:szCs w:val="22"/>
          <w:rtl/>
        </w:rPr>
        <w:t xml:space="preserve">שלבי התארגנות </w:t>
      </w:r>
      <w:r>
        <w:rPr>
          <w:rFonts w:cs="FrankRuehl" w:hint="cs"/>
          <w:sz w:val="20"/>
          <w:szCs w:val="22"/>
          <w:rtl/>
        </w:rPr>
        <w:t xml:space="preserve">ונקבעים </w:t>
      </w:r>
      <w:r>
        <w:rPr>
          <w:rFonts w:cs="FrankRuehl"/>
          <w:sz w:val="20"/>
          <w:szCs w:val="22"/>
          <w:rtl/>
        </w:rPr>
        <w:t xml:space="preserve">מדדי תפוקה. </w:t>
      </w:r>
    </w:p>
    <w:p w:rsidR="00F20C1A">
      <w:pPr>
        <w:spacing w:after="120" w:line="230" w:lineRule="exact"/>
        <w:jc w:val="both"/>
        <w:rPr>
          <w:rFonts w:cs="FrankRuehl"/>
          <w:sz w:val="20"/>
          <w:szCs w:val="22"/>
          <w:rtl/>
        </w:rPr>
      </w:pPr>
      <w:r>
        <w:rPr>
          <w:rFonts w:cs="FrankRuehl" w:hint="cs"/>
          <w:sz w:val="20"/>
          <w:szCs w:val="22"/>
          <w:rtl/>
        </w:rPr>
        <w:t>ה</w:t>
      </w:r>
      <w:r>
        <w:rPr>
          <w:rFonts w:cs="FrankRuehl"/>
          <w:sz w:val="20"/>
          <w:szCs w:val="22"/>
          <w:rtl/>
        </w:rPr>
        <w:t>שימוש במונח</w:t>
      </w:r>
      <w:r>
        <w:rPr>
          <w:rFonts w:cs="FrankRuehl" w:hint="cs"/>
          <w:sz w:val="20"/>
          <w:szCs w:val="22"/>
          <w:rtl/>
        </w:rPr>
        <w:t xml:space="preserve"> </w:t>
      </w:r>
      <w:r>
        <w:rPr>
          <w:rFonts w:cs="FrankRuehl"/>
          <w:sz w:val="20"/>
          <w:szCs w:val="22"/>
          <w:rtl/>
        </w:rPr>
        <w:t>"שלבי התארגנות"</w:t>
      </w:r>
      <w:r>
        <w:rPr>
          <w:rStyle w:val="FootnoteReference"/>
          <w:rFonts w:ascii="FrankRuehl" w:hAnsi="FrankRuehl" w:cs="FrankRuehl"/>
          <w:sz w:val="22"/>
          <w:szCs w:val="22"/>
          <w:rtl/>
        </w:rPr>
        <w:footnoteReference w:id="3"/>
      </w:r>
      <w:r>
        <w:rPr>
          <w:rFonts w:cs="FrankRuehl"/>
          <w:sz w:val="20"/>
          <w:szCs w:val="22"/>
          <w:rtl/>
        </w:rPr>
        <w:t xml:space="preserve"> </w:t>
      </w:r>
      <w:r>
        <w:rPr>
          <w:rFonts w:cs="FrankRuehl" w:hint="cs"/>
          <w:sz w:val="20"/>
          <w:szCs w:val="22"/>
          <w:rtl/>
        </w:rPr>
        <w:t>במדריך התכנון נועד</w:t>
      </w:r>
      <w:r>
        <w:rPr>
          <w:rFonts w:cs="FrankRuehl"/>
          <w:sz w:val="20"/>
          <w:szCs w:val="22"/>
          <w:rtl/>
        </w:rPr>
        <w:t xml:space="preserve"> לתיאור פעולות ההתארגנות במערכת הממשלתית </w:t>
      </w:r>
      <w:r>
        <w:rPr>
          <w:rFonts w:cs="FrankRuehl" w:hint="cs"/>
          <w:sz w:val="20"/>
          <w:szCs w:val="22"/>
          <w:rtl/>
        </w:rPr>
        <w:t xml:space="preserve">לצורך </w:t>
      </w:r>
      <w:r>
        <w:rPr>
          <w:rFonts w:cs="FrankRuehl"/>
          <w:sz w:val="20"/>
          <w:szCs w:val="22"/>
          <w:rtl/>
        </w:rPr>
        <w:t>ביצוע המשימה</w:t>
      </w:r>
      <w:r>
        <w:rPr>
          <w:rFonts w:cs="FrankRuehl" w:hint="cs"/>
          <w:sz w:val="20"/>
          <w:szCs w:val="22"/>
          <w:rtl/>
        </w:rPr>
        <w:t>.</w:t>
      </w:r>
      <w:r>
        <w:rPr>
          <w:rFonts w:cs="FrankRuehl"/>
          <w:sz w:val="20"/>
          <w:szCs w:val="22"/>
          <w:rtl/>
        </w:rPr>
        <w:t xml:space="preserve"> לכל </w:t>
      </w:r>
      <w:r>
        <w:rPr>
          <w:rFonts w:cs="FrankRuehl" w:hint="cs"/>
          <w:sz w:val="20"/>
          <w:szCs w:val="22"/>
          <w:rtl/>
        </w:rPr>
        <w:t xml:space="preserve">משימה </w:t>
      </w:r>
      <w:r>
        <w:rPr>
          <w:rFonts w:cs="FrankRuehl"/>
          <w:sz w:val="20"/>
          <w:szCs w:val="22"/>
          <w:rtl/>
        </w:rPr>
        <w:t xml:space="preserve">בתכנית העבודה מוצמדים מדדים המשקפים את </w:t>
      </w:r>
      <w:r>
        <w:rPr>
          <w:rFonts w:cs="FrankRuehl" w:hint="cs"/>
          <w:sz w:val="20"/>
          <w:szCs w:val="22"/>
          <w:rtl/>
        </w:rPr>
        <w:t>מידת ביצועה:</w:t>
      </w:r>
      <w:r>
        <w:rPr>
          <w:rFonts w:cs="FrankRuehl"/>
          <w:sz w:val="20"/>
          <w:szCs w:val="22"/>
          <w:rtl/>
        </w:rPr>
        <w:t xml:space="preserve"> "מדדי תפוקה"</w:t>
      </w:r>
      <w:r>
        <w:rPr>
          <w:rStyle w:val="FootnoteReference"/>
          <w:rFonts w:ascii="FrankRuehl" w:hAnsi="FrankRuehl" w:cs="FrankRuehl"/>
          <w:sz w:val="22"/>
          <w:szCs w:val="22"/>
          <w:rtl/>
        </w:rPr>
        <w:footnoteReference w:id="4"/>
      </w:r>
      <w:r>
        <w:rPr>
          <w:rFonts w:cs="FrankRuehl"/>
          <w:sz w:val="20"/>
          <w:szCs w:val="22"/>
          <w:rtl/>
        </w:rPr>
        <w:t xml:space="preserve"> </w:t>
      </w:r>
      <w:r>
        <w:rPr>
          <w:rFonts w:cs="FrankRuehl" w:hint="cs"/>
          <w:sz w:val="20"/>
          <w:szCs w:val="22"/>
          <w:rtl/>
        </w:rPr>
        <w:t xml:space="preserve">- </w:t>
      </w:r>
      <w:r>
        <w:rPr>
          <w:rFonts w:cs="FrankRuehl"/>
          <w:sz w:val="20"/>
          <w:szCs w:val="22"/>
          <w:rtl/>
        </w:rPr>
        <w:t>לתיאור תוצרי הפעילות; "מדדי תוצאה"</w:t>
      </w:r>
      <w:r>
        <w:rPr>
          <w:rStyle w:val="FootnoteReference"/>
          <w:rFonts w:ascii="FrankRuehl" w:hAnsi="FrankRuehl" w:cs="FrankRuehl"/>
          <w:sz w:val="22"/>
          <w:szCs w:val="22"/>
          <w:rtl/>
        </w:rPr>
        <w:footnoteReference w:id="5"/>
      </w:r>
      <w:r>
        <w:rPr>
          <w:rFonts w:cs="FrankRuehl"/>
          <w:sz w:val="20"/>
          <w:szCs w:val="22"/>
          <w:rtl/>
        </w:rPr>
        <w:t xml:space="preserve"> </w:t>
      </w:r>
      <w:r>
        <w:rPr>
          <w:rFonts w:cs="FrankRuehl" w:hint="cs"/>
          <w:sz w:val="20"/>
          <w:szCs w:val="22"/>
          <w:rtl/>
        </w:rPr>
        <w:t>-</w:t>
      </w:r>
      <w:r>
        <w:rPr>
          <w:rFonts w:cs="FrankRuehl"/>
          <w:sz w:val="20"/>
          <w:szCs w:val="22"/>
          <w:rtl/>
        </w:rPr>
        <w:t xml:space="preserve"> להגדרת השינויים המצופים בסביבה החיצונית (בקבוצת היעד, במשק או בחברה) המשקפים את הערך שיצרה הממשלה בפעילותה. </w:t>
      </w:r>
    </w:p>
    <w:p w:rsidR="00F20C1A">
      <w:pPr>
        <w:spacing w:after="120" w:line="230" w:lineRule="exact"/>
        <w:jc w:val="both"/>
        <w:outlineLvl w:val="0"/>
        <w:rPr>
          <w:rFonts w:cs="FrankRuehl"/>
          <w:sz w:val="20"/>
          <w:szCs w:val="22"/>
          <w:rtl/>
        </w:rPr>
      </w:pPr>
      <w:r>
        <w:rPr>
          <w:rFonts w:cs="FrankRuehl"/>
          <w:sz w:val="20"/>
          <w:szCs w:val="22"/>
          <w:rtl/>
        </w:rPr>
        <w:t>בשנת 2009 בחרה ועדת המכרזים של משרד האוצר בחבר</w:t>
      </w:r>
      <w:r>
        <w:rPr>
          <w:rFonts w:cs="FrankRuehl" w:hint="cs"/>
          <w:sz w:val="20"/>
          <w:szCs w:val="22"/>
          <w:rtl/>
        </w:rPr>
        <w:t xml:space="preserve">ת ייעוץ (להלן - חברה </w:t>
      </w:r>
      <w:r>
        <w:rPr>
          <w:rFonts w:cs="FrankRuehl"/>
          <w:sz w:val="20"/>
          <w:szCs w:val="22"/>
          <w:rtl/>
        </w:rPr>
        <w:t>א'</w:t>
      </w:r>
      <w:r>
        <w:rPr>
          <w:rFonts w:cs="FrankRuehl" w:hint="cs"/>
          <w:sz w:val="20"/>
          <w:szCs w:val="22"/>
          <w:rtl/>
        </w:rPr>
        <w:t>)</w:t>
      </w:r>
      <w:r>
        <w:rPr>
          <w:rFonts w:cs="FrankRuehl"/>
          <w:sz w:val="20"/>
          <w:szCs w:val="22"/>
          <w:rtl/>
        </w:rPr>
        <w:t xml:space="preserve"> לספקית שירותי הייעוץ לאגפי המשרד לשם יישום והטמעה של תרבות ותהליכי עבודה של תכנון, בקרה ומדידה</w:t>
      </w:r>
      <w:r>
        <w:rPr>
          <w:rFonts w:cs="FrankRuehl" w:hint="cs"/>
          <w:sz w:val="20"/>
          <w:szCs w:val="22"/>
          <w:rtl/>
        </w:rPr>
        <w:t xml:space="preserve"> לפי המתודולוגיה של מדריך התכנון. בשנת 2012 לאחר שחברה א' סיימה את מתן שירותיה נבחרה חברת ייעוץ נוספת להספקת השירותים לעיל (להלן - חברה ב'). </w:t>
      </w:r>
    </w:p>
    <w:p w:rsidR="00F20C1A">
      <w:pPr>
        <w:spacing w:after="120" w:line="230" w:lineRule="exact"/>
        <w:jc w:val="both"/>
        <w:outlineLvl w:val="0"/>
        <w:rPr>
          <w:rFonts w:cs="FrankRuehl"/>
          <w:sz w:val="20"/>
          <w:szCs w:val="22"/>
          <w:rtl/>
        </w:rPr>
      </w:pPr>
      <w:r>
        <w:rPr>
          <w:rFonts w:cs="FrankRuehl" w:hint="cs"/>
          <w:sz w:val="20"/>
          <w:szCs w:val="22"/>
          <w:rtl/>
        </w:rPr>
        <w:t>הוועדה לשינוי חברתי כלכלי בראשות פרופ' מנואל טרכטנברג המליצה, בין היתר, לבסס תכניות עבודה ממשלתיות ככלי תכנון מרכזי בעבודת יחידות הממשלה.</w:t>
      </w:r>
      <w:r>
        <w:rPr>
          <w:rFonts w:cs="FrankRuehl"/>
          <w:sz w:val="20"/>
          <w:szCs w:val="22"/>
          <w:rtl/>
        </w:rPr>
        <w:t xml:space="preserve"> בסוף דצמבר 2011</w:t>
      </w:r>
      <w:r>
        <w:rPr>
          <w:rFonts w:cs="FrankRuehl" w:hint="cs"/>
          <w:sz w:val="20"/>
          <w:szCs w:val="22"/>
          <w:rtl/>
        </w:rPr>
        <w:t>,</w:t>
      </w:r>
      <w:r>
        <w:rPr>
          <w:rFonts w:cs="FrankRuehl"/>
          <w:sz w:val="20"/>
          <w:szCs w:val="22"/>
          <w:rtl/>
        </w:rPr>
        <w:t xml:space="preserve"> </w:t>
      </w:r>
      <w:r>
        <w:rPr>
          <w:rFonts w:cs="FrankRuehl" w:hint="cs"/>
          <w:sz w:val="20"/>
          <w:szCs w:val="22"/>
          <w:rtl/>
        </w:rPr>
        <w:t xml:space="preserve">במסגרת אימוץ המלצותיה, </w:t>
      </w:r>
      <w:r>
        <w:rPr>
          <w:rFonts w:cs="FrankRuehl"/>
          <w:sz w:val="20"/>
          <w:szCs w:val="22"/>
          <w:rtl/>
        </w:rPr>
        <w:t>החליטה הממשלה</w:t>
      </w:r>
      <w:r>
        <w:rPr>
          <w:rStyle w:val="FootnoteReference"/>
          <w:rFonts w:ascii="FrankRuehl" w:hAnsi="FrankRuehl" w:cs="FrankRuehl"/>
          <w:sz w:val="22"/>
          <w:szCs w:val="22"/>
          <w:rtl/>
        </w:rPr>
        <w:footnoteReference w:id="6"/>
      </w:r>
      <w:r>
        <w:rPr>
          <w:rFonts w:cs="FrankRuehl"/>
          <w:sz w:val="20"/>
          <w:szCs w:val="22"/>
          <w:rtl/>
        </w:rPr>
        <w:t xml:space="preserve"> לחייב את משרדי הממשלה לפעול בהתאם למדריך התכנון. בהחלטה נקבע, בין השאר, כי יחידות הממשלה ומשרדיה יבססו את פעולתם על תכניות עבודה שנתיות</w:t>
      </w:r>
      <w:r>
        <w:rPr>
          <w:rFonts w:cs="FrankRuehl" w:hint="cs"/>
          <w:sz w:val="20"/>
          <w:szCs w:val="22"/>
          <w:rtl/>
        </w:rPr>
        <w:t>,</w:t>
      </w:r>
      <w:r>
        <w:rPr>
          <w:rFonts w:cs="FrankRuehl"/>
          <w:sz w:val="20"/>
          <w:szCs w:val="22"/>
          <w:rtl/>
        </w:rPr>
        <w:t xml:space="preserve"> </w:t>
      </w:r>
      <w:r>
        <w:rPr>
          <w:rFonts w:cs="FrankRuehl" w:hint="cs"/>
          <w:sz w:val="20"/>
          <w:szCs w:val="22"/>
          <w:rtl/>
        </w:rPr>
        <w:t xml:space="preserve">ובהן יפורט </w:t>
      </w:r>
      <w:r>
        <w:rPr>
          <w:rFonts w:cs="FrankRuehl"/>
          <w:sz w:val="20"/>
          <w:szCs w:val="22"/>
          <w:rtl/>
        </w:rPr>
        <w:t xml:space="preserve">אופן המימוש של מדיניות הממשלה על יעדיה. </w:t>
      </w:r>
    </w:p>
    <w:p w:rsidR="00F20C1A">
      <w:pPr>
        <w:spacing w:after="120" w:line="230" w:lineRule="exact"/>
        <w:jc w:val="both"/>
        <w:rPr>
          <w:rFonts w:cs="FrankRuehl"/>
          <w:sz w:val="20"/>
          <w:szCs w:val="22"/>
        </w:rPr>
      </w:pPr>
      <w:r>
        <w:rPr>
          <w:rFonts w:cs="FrankRuehl"/>
          <w:sz w:val="20"/>
          <w:szCs w:val="22"/>
          <w:rtl/>
        </w:rPr>
        <w:t>בחודשים מאי-דצמבר 2013 בחן משרד מבקר המדינה את התכנון של תכניות עבודה במשרד האוצר בשנים 2013-2010 ואת המעקב והבקרה על יישומן. הבדיקה נעשתה בשמונה יחידות</w:t>
      </w:r>
      <w:r>
        <w:rPr>
          <w:rFonts w:cs="FrankRuehl" w:hint="cs"/>
          <w:sz w:val="20"/>
          <w:szCs w:val="22"/>
          <w:rtl/>
        </w:rPr>
        <w:t xml:space="preserve"> ואגפים</w:t>
      </w:r>
      <w:r>
        <w:rPr>
          <w:rFonts w:cs="FrankRuehl"/>
          <w:sz w:val="20"/>
          <w:szCs w:val="22"/>
          <w:rtl/>
        </w:rPr>
        <w:t>: בלשכת המנכ"ל</w:t>
      </w:r>
      <w:r>
        <w:rPr>
          <w:rStyle w:val="FootnoteReference"/>
          <w:rFonts w:ascii="FrankRuehl" w:hAnsi="FrankRuehl" w:cs="FrankRuehl"/>
          <w:sz w:val="22"/>
          <w:szCs w:val="22"/>
          <w:rtl/>
        </w:rPr>
        <w:footnoteReference w:id="7"/>
      </w:r>
      <w:r>
        <w:rPr>
          <w:rFonts w:cs="FrankRuehl"/>
          <w:sz w:val="20"/>
          <w:szCs w:val="22"/>
          <w:rtl/>
        </w:rPr>
        <w:t>; באגף התקציבים; באגף החשב הכללי; באגף שוק ההון; באגף הכלכלן הראשי; באגף המינהל; בלשכה המשפטית; ובמטה התקשוב</w:t>
      </w:r>
      <w:r>
        <w:rPr>
          <w:rFonts w:cs="FrankRuehl" w:hint="cs"/>
          <w:sz w:val="20"/>
          <w:szCs w:val="22"/>
          <w:rtl/>
        </w:rPr>
        <w:t xml:space="preserve">. </w:t>
      </w:r>
    </w:p>
    <w:p w:rsidR="00F20C1A">
      <w:pPr>
        <w:spacing w:after="120" w:line="230" w:lineRule="exact"/>
        <w:jc w:val="both"/>
        <w:rPr>
          <w:rFonts w:cs="FrankRuehl"/>
          <w:sz w:val="20"/>
          <w:szCs w:val="22"/>
          <w:rtl/>
        </w:rPr>
      </w:pPr>
    </w:p>
    <w:p w:rsidR="00F20C1A">
      <w:pPr>
        <w:spacing w:after="120" w:line="230" w:lineRule="exact"/>
        <w:jc w:val="both"/>
        <w:rPr>
          <w:rFonts w:cs="FrankRuehl"/>
          <w:sz w:val="20"/>
          <w:szCs w:val="22"/>
          <w:rtl/>
        </w:rPr>
      </w:pPr>
    </w:p>
    <w:p w:rsidR="00F20C1A">
      <w:pPr>
        <w:pStyle w:val="KOT4"/>
        <w:rPr>
          <w:rtl/>
        </w:rPr>
      </w:pPr>
      <w:r>
        <w:rPr>
          <w:rFonts w:hint="cs"/>
          <w:rtl/>
        </w:rPr>
        <w:t>ה</w:t>
      </w:r>
      <w:r>
        <w:rPr>
          <w:rtl/>
        </w:rPr>
        <w:t xml:space="preserve">תכנון </w:t>
      </w:r>
      <w:r>
        <w:rPr>
          <w:rFonts w:hint="cs"/>
          <w:rtl/>
        </w:rPr>
        <w:t>ה</w:t>
      </w:r>
      <w:r>
        <w:rPr>
          <w:rtl/>
        </w:rPr>
        <w:t xml:space="preserve">אסטרטגי וריכוז תכניות </w:t>
      </w:r>
      <w:r>
        <w:rPr>
          <w:rFonts w:hint="cs"/>
          <w:rtl/>
        </w:rPr>
        <w:t>ה</w:t>
      </w:r>
      <w:r>
        <w:rPr>
          <w:rtl/>
        </w:rPr>
        <w:t xml:space="preserve">עבודה </w:t>
      </w:r>
      <w:r>
        <w:rPr>
          <w:rFonts w:hint="eastAsia"/>
          <w:rtl/>
        </w:rPr>
        <w:t>ב</w:t>
      </w:r>
      <w:r>
        <w:rPr>
          <w:rtl/>
        </w:rPr>
        <w:t>הנהלת משרד האוצר</w:t>
      </w:r>
      <w:r>
        <w:rPr>
          <w:rFonts w:hint="cs"/>
          <w:rtl/>
        </w:rPr>
        <w:t xml:space="preserve"> ובאגפיו</w:t>
      </w:r>
    </w:p>
    <w:p w:rsidR="00F20C1A" w:rsidP="007717D4">
      <w:pPr>
        <w:spacing w:after="240" w:line="230" w:lineRule="exact"/>
        <w:ind w:left="340" w:hanging="340"/>
        <w:jc w:val="both"/>
        <w:outlineLvl w:val="0"/>
        <w:rPr>
          <w:rFonts w:cs="FrankRuehl"/>
          <w:sz w:val="20"/>
          <w:szCs w:val="22"/>
          <w:rtl/>
        </w:rPr>
      </w:pPr>
      <w:r>
        <w:rPr>
          <w:rFonts w:cs="FrankRuehl" w:hint="cs"/>
          <w:sz w:val="20"/>
          <w:szCs w:val="22"/>
          <w:rtl/>
        </w:rPr>
        <w:t xml:space="preserve">1. </w:t>
      </w:r>
      <w:r>
        <w:rPr>
          <w:rFonts w:cs="FrankRuehl" w:hint="cs"/>
          <w:sz w:val="20"/>
          <w:szCs w:val="22"/>
          <w:rtl/>
        </w:rPr>
        <w:tab/>
      </w:r>
      <w:r>
        <w:rPr>
          <w:rFonts w:cs="FrankRuehl"/>
          <w:sz w:val="20"/>
          <w:szCs w:val="22"/>
          <w:rtl/>
        </w:rPr>
        <w:t xml:space="preserve">בהקדמה לתכנית העבודה של משרד האוצר לשנת 2012 </w:t>
      </w:r>
      <w:r>
        <w:rPr>
          <w:rFonts w:cs="FrankRuehl" w:hint="cs"/>
          <w:sz w:val="20"/>
          <w:szCs w:val="22"/>
          <w:rtl/>
        </w:rPr>
        <w:t xml:space="preserve">נכתב </w:t>
      </w:r>
      <w:r>
        <w:rPr>
          <w:rFonts w:cs="FrankRuehl"/>
          <w:sz w:val="20"/>
          <w:szCs w:val="22"/>
          <w:rtl/>
        </w:rPr>
        <w:t xml:space="preserve">כי "משרד האוצר מחויב במיוחד להכנת ויישום תוכניות עבודה פנימיות. בראש ובראשונה מכיוון שמדובר במשרד המטה הכלכלי המרכזי בממשלה, הפועל לעיתים לקידום תוכניות ורפורמות מבניות ביתר משרדי הממשלה, וראוי שיחיל את הנורמות הארגוניות הללו גם על עצמו, וכך יוכל לחולל שינויים עמוקים יותר במשרדים הביצועיים. שנית, ולא פחות חשוב מכך, משום שמדיניות כלכלית ותכנון ארוך טווח באמצעות תוכניות עבודה משולבים זו בזה. מטרתו של משרד האוצר היא לסייע בניווט הכלכלה הישראלית ולתמוך ביעדים מקרו-כלכליים לאורך זמן; מבט למרחקים כאלה מחייב תוכניות עבודה מסודרות שיהוו תשתית להצלחת המשרד במשימותיו". </w:t>
      </w:r>
      <w:r>
        <w:rPr>
          <w:rFonts w:cs="FrankRuehl" w:hint="eastAsia"/>
          <w:sz w:val="20"/>
          <w:szCs w:val="22"/>
          <w:rtl/>
        </w:rPr>
        <w:t>הנחיות</w:t>
      </w:r>
      <w:r>
        <w:rPr>
          <w:rFonts w:cs="FrankRuehl"/>
          <w:sz w:val="20"/>
          <w:szCs w:val="22"/>
          <w:rtl/>
        </w:rPr>
        <w:t xml:space="preserve"> </w:t>
      </w:r>
      <w:r>
        <w:rPr>
          <w:rFonts w:cs="FrankRuehl" w:hint="cs"/>
          <w:sz w:val="20"/>
          <w:szCs w:val="22"/>
          <w:rtl/>
        </w:rPr>
        <w:t xml:space="preserve">כגון אלה </w:t>
      </w:r>
      <w:r>
        <w:rPr>
          <w:rFonts w:cs="FrankRuehl" w:hint="eastAsia"/>
          <w:sz w:val="20"/>
          <w:szCs w:val="22"/>
          <w:rtl/>
        </w:rPr>
        <w:t>נכתבו</w:t>
      </w:r>
      <w:r>
        <w:rPr>
          <w:rFonts w:cs="FrankRuehl"/>
          <w:sz w:val="20"/>
          <w:szCs w:val="22"/>
          <w:rtl/>
        </w:rPr>
        <w:t xml:space="preserve"> </w:t>
      </w:r>
      <w:r>
        <w:rPr>
          <w:rFonts w:cs="FrankRuehl" w:hint="eastAsia"/>
          <w:sz w:val="20"/>
          <w:szCs w:val="22"/>
          <w:rtl/>
        </w:rPr>
        <w:t>גם</w:t>
      </w:r>
      <w:r>
        <w:rPr>
          <w:rFonts w:cs="FrankRuehl"/>
          <w:sz w:val="20"/>
          <w:szCs w:val="22"/>
          <w:rtl/>
        </w:rPr>
        <w:t xml:space="preserve"> </w:t>
      </w:r>
      <w:r>
        <w:rPr>
          <w:rFonts w:cs="FrankRuehl" w:hint="eastAsia"/>
          <w:sz w:val="20"/>
          <w:szCs w:val="22"/>
          <w:rtl/>
        </w:rPr>
        <w:t>בתקנון</w:t>
      </w:r>
      <w:r>
        <w:rPr>
          <w:rFonts w:cs="FrankRuehl"/>
          <w:sz w:val="20"/>
          <w:szCs w:val="22"/>
          <w:rtl/>
        </w:rPr>
        <w:t xml:space="preserve"> </w:t>
      </w:r>
      <w:r>
        <w:rPr>
          <w:rFonts w:cs="FrankRuehl" w:hint="eastAsia"/>
          <w:sz w:val="20"/>
          <w:szCs w:val="22"/>
          <w:rtl/>
        </w:rPr>
        <w:t>שירות</w:t>
      </w:r>
      <w:r>
        <w:rPr>
          <w:rFonts w:cs="FrankRuehl"/>
          <w:sz w:val="20"/>
          <w:szCs w:val="22"/>
          <w:rtl/>
        </w:rPr>
        <w:t xml:space="preserve"> </w:t>
      </w:r>
      <w:r>
        <w:rPr>
          <w:rFonts w:cs="FrankRuehl" w:hint="eastAsia"/>
          <w:sz w:val="20"/>
          <w:szCs w:val="22"/>
          <w:rtl/>
        </w:rPr>
        <w:t>המדינה</w:t>
      </w:r>
      <w:r>
        <w:rPr>
          <w:rStyle w:val="FootnoteReference"/>
          <w:rFonts w:ascii="FrankRuehl" w:hAnsi="FrankRuehl" w:cs="FrankRuehl"/>
          <w:sz w:val="22"/>
          <w:szCs w:val="22"/>
          <w:rtl/>
        </w:rPr>
        <w:footnoteReference w:id="8"/>
      </w:r>
      <w:r>
        <w:rPr>
          <w:rFonts w:cs="FrankRuehl"/>
          <w:sz w:val="20"/>
          <w:szCs w:val="22"/>
          <w:rtl/>
        </w:rPr>
        <w:t xml:space="preserve"> (להלן - התקשי"ר)</w:t>
      </w:r>
      <w:r>
        <w:rPr>
          <w:rFonts w:cs="FrankRuehl" w:hint="cs"/>
          <w:sz w:val="20"/>
          <w:szCs w:val="22"/>
          <w:rtl/>
        </w:rPr>
        <w:t xml:space="preserve"> </w:t>
      </w:r>
      <w:r>
        <w:rPr>
          <w:rFonts w:cs="FrankRuehl"/>
          <w:sz w:val="20"/>
          <w:szCs w:val="22"/>
          <w:rtl/>
        </w:rPr>
        <w:t>ובדוח מבקר המדינה 53ב</w:t>
      </w:r>
      <w:r>
        <w:rPr>
          <w:rStyle w:val="FootnoteReference"/>
          <w:rFonts w:ascii="FrankRuehl" w:hAnsi="FrankRuehl" w:cs="FrankRuehl"/>
          <w:sz w:val="22"/>
          <w:szCs w:val="22"/>
          <w:rtl/>
        </w:rPr>
        <w:footnoteReference w:id="9"/>
      </w:r>
      <w:r>
        <w:rPr>
          <w:rFonts w:cs="FrankRuehl" w:hint="cs"/>
          <w:sz w:val="20"/>
          <w:szCs w:val="22"/>
          <w:rtl/>
        </w:rPr>
        <w:t>.</w:t>
      </w:r>
    </w:p>
    <w:p w:rsidR="00F20C1A" w:rsidP="007717D4">
      <w:pPr>
        <w:pStyle w:val="RESHET"/>
        <w:ind w:left="567"/>
        <w:rPr>
          <w:rtl/>
        </w:rPr>
      </w:pPr>
      <w:r>
        <w:rPr>
          <w:rtl/>
        </w:rPr>
        <w:t>מהביקורת עולה</w:t>
      </w:r>
      <w:r>
        <w:rPr>
          <w:rFonts w:hint="cs"/>
          <w:rtl/>
        </w:rPr>
        <w:t xml:space="preserve"> כי</w:t>
      </w:r>
      <w:r>
        <w:rPr>
          <w:rtl/>
        </w:rPr>
        <w:t xml:space="preserve"> </w:t>
      </w:r>
      <w:r>
        <w:rPr>
          <w:rFonts w:hint="cs"/>
          <w:rtl/>
        </w:rPr>
        <w:t xml:space="preserve">הכנת תכנית עבודה כוללת במשרד אינה מבוצעת באופן מתודי, רציף ועקבי, והדבר תלוי רבות בבעלי התפקידים. וכי נכון לתקופת ביצוע הביקורת </w:t>
      </w:r>
      <w:r>
        <w:rPr>
          <w:rtl/>
        </w:rPr>
        <w:t xml:space="preserve">אין במשרד האוצר גורם תכנון שמתווה תכנית אסטרטגית משרדית </w:t>
      </w:r>
      <w:r>
        <w:rPr>
          <w:rFonts w:hint="cs"/>
          <w:rtl/>
        </w:rPr>
        <w:t>ומ</w:t>
      </w:r>
      <w:r>
        <w:rPr>
          <w:rtl/>
        </w:rPr>
        <w:t>וודא שתכניות העבודה של האגפים במשרד</w:t>
      </w:r>
      <w:r>
        <w:rPr>
          <w:rFonts w:hint="cs"/>
          <w:rtl/>
        </w:rPr>
        <w:t xml:space="preserve"> מותאמות לה</w:t>
      </w:r>
      <w:r>
        <w:rPr>
          <w:rtl/>
        </w:rPr>
        <w:t>. לדעת משרד מבקר המדינה, ראוי שמשרד האוצר יגבש את מטרותיו ו</w:t>
      </w:r>
      <w:r>
        <w:rPr>
          <w:rFonts w:hint="eastAsia"/>
          <w:rtl/>
        </w:rPr>
        <w:t>את</w:t>
      </w:r>
      <w:r>
        <w:rPr>
          <w:rtl/>
        </w:rPr>
        <w:t xml:space="preserve"> יעדיו ויבנה תכנית אסטרטגית משרדית ארוכת טווח, </w:t>
      </w:r>
      <w:r>
        <w:rPr>
          <w:rFonts w:hint="cs"/>
          <w:rtl/>
        </w:rPr>
        <w:t xml:space="preserve">ועל פיה </w:t>
      </w:r>
      <w:r>
        <w:rPr>
          <w:rFonts w:hint="eastAsia"/>
          <w:rtl/>
        </w:rPr>
        <w:t>יוכנו</w:t>
      </w:r>
      <w:r>
        <w:rPr>
          <w:rtl/>
        </w:rPr>
        <w:t xml:space="preserve"> </w:t>
      </w:r>
      <w:r>
        <w:rPr>
          <w:rFonts w:hint="eastAsia"/>
          <w:rtl/>
        </w:rPr>
        <w:t>התכניות</w:t>
      </w:r>
      <w:r>
        <w:rPr>
          <w:rtl/>
        </w:rPr>
        <w:t xml:space="preserve"> </w:t>
      </w:r>
      <w:r>
        <w:rPr>
          <w:rFonts w:hint="eastAsia"/>
          <w:rtl/>
        </w:rPr>
        <w:t>האסטרטגיות</w:t>
      </w:r>
      <w:r>
        <w:rPr>
          <w:rtl/>
        </w:rPr>
        <w:t xml:space="preserve"> </w:t>
      </w:r>
      <w:r>
        <w:rPr>
          <w:rFonts w:hint="eastAsia"/>
          <w:rtl/>
        </w:rPr>
        <w:t>ו</w:t>
      </w:r>
      <w:r>
        <w:rPr>
          <w:rtl/>
        </w:rPr>
        <w:t>תכניות העבודה הפנימיות של כל יחידות המשרד ואגפיו.</w:t>
      </w:r>
      <w:r>
        <w:rPr>
          <w:rFonts w:hint="cs"/>
          <w:rtl/>
        </w:rPr>
        <w:t xml:space="preserve"> </w:t>
      </w:r>
    </w:p>
    <w:p w:rsidR="00F20C1A" w:rsidP="007717D4">
      <w:pPr>
        <w:spacing w:before="180" w:after="120" w:line="230" w:lineRule="exact"/>
        <w:ind w:left="340" w:hanging="340"/>
        <w:jc w:val="both"/>
        <w:rPr>
          <w:rFonts w:cs="FrankRuehl"/>
          <w:sz w:val="20"/>
          <w:szCs w:val="22"/>
          <w:rtl/>
        </w:rPr>
      </w:pPr>
      <w:r>
        <w:rPr>
          <w:rFonts w:cs="FrankRuehl"/>
          <w:sz w:val="20"/>
          <w:szCs w:val="22"/>
          <w:rtl/>
        </w:rPr>
        <w:tab/>
      </w:r>
      <w:r>
        <w:rPr>
          <w:rFonts w:cs="FrankRuehl" w:hint="cs"/>
          <w:sz w:val="20"/>
          <w:szCs w:val="22"/>
          <w:rtl/>
        </w:rPr>
        <w:t>מר ירום אריאב, מנכ"ל משרד האוצר בשנים 2009-2007, מסר בתשובתו למשרד מבקר המדינה ממרץ 2014 כלהלן: "</w:t>
      </w:r>
      <w:r>
        <w:rPr>
          <w:rFonts w:cs="FrankRuehl"/>
          <w:sz w:val="20"/>
          <w:szCs w:val="22"/>
          <w:rtl/>
        </w:rPr>
        <w:t>בתקופתי כמנכ"ל</w:t>
      </w:r>
      <w:r>
        <w:rPr>
          <w:rFonts w:cs="FrankRuehl" w:hint="cs"/>
          <w:sz w:val="20"/>
          <w:szCs w:val="22"/>
          <w:rtl/>
        </w:rPr>
        <w:t xml:space="preserve">... </w:t>
      </w:r>
      <w:r>
        <w:rPr>
          <w:rFonts w:cs="FrankRuehl"/>
          <w:sz w:val="20"/>
          <w:szCs w:val="22"/>
          <w:rtl/>
        </w:rPr>
        <w:t xml:space="preserve">הקדשתי מאמצים רבים בכדי להגיע לתכנית עבודה קוהרנטית למשרד האוצר, אשר נגזרת מתכניות העבודה של האגפים השונים, אבל מחפשת מכפיל כח באמצעות תיאום תכניות בינאגפי. בעניין זה שיתפתי פעולה באופן הדוק </w:t>
      </w:r>
      <w:r>
        <w:rPr>
          <w:rFonts w:cs="FrankRuehl"/>
          <w:sz w:val="20"/>
          <w:szCs w:val="22"/>
          <w:rtl/>
        </w:rPr>
        <w:t>עם משרד ראש הממשלה</w:t>
      </w:r>
      <w:r>
        <w:rPr>
          <w:rFonts w:cs="FrankRuehl" w:hint="cs"/>
          <w:sz w:val="20"/>
          <w:szCs w:val="22"/>
          <w:rtl/>
        </w:rPr>
        <w:t>..</w:t>
      </w:r>
      <w:r>
        <w:rPr>
          <w:rFonts w:cs="FrankRuehl"/>
          <w:sz w:val="20"/>
          <w:szCs w:val="22"/>
          <w:rtl/>
        </w:rPr>
        <w:t>.</w:t>
      </w:r>
      <w:r>
        <w:rPr>
          <w:rFonts w:cs="FrankRuehl" w:hint="cs"/>
          <w:sz w:val="20"/>
          <w:szCs w:val="22"/>
          <w:rtl/>
        </w:rPr>
        <w:t xml:space="preserve"> </w:t>
      </w:r>
      <w:r>
        <w:rPr>
          <w:rFonts w:cs="FrankRuehl"/>
          <w:sz w:val="20"/>
          <w:szCs w:val="22"/>
          <w:rtl/>
        </w:rPr>
        <w:t>גיבשנו חזון משותף, מטרות של כלל האוצר ותכניות של המשרד.</w:t>
      </w:r>
      <w:r>
        <w:rPr>
          <w:rFonts w:cs="FrankRuehl" w:hint="cs"/>
          <w:sz w:val="20"/>
          <w:szCs w:val="22"/>
          <w:rtl/>
        </w:rPr>
        <w:t>..</w:t>
      </w:r>
      <w:r>
        <w:rPr>
          <w:rFonts w:cs="FrankRuehl"/>
          <w:sz w:val="20"/>
          <w:szCs w:val="22"/>
          <w:rtl/>
        </w:rPr>
        <w:t xml:space="preserve"> קיימנו עשרות ישיבות הנהלה בהן הציג כל אגף את תכנית העבודה שלו והתקיים דיון. חלק ניכר מישיבות ההנהלה של האוצר היו מוקדשות לתכניות העבודה האגפיות</w:t>
      </w:r>
      <w:r>
        <w:rPr>
          <w:rFonts w:cs="FrankRuehl" w:hint="cs"/>
          <w:sz w:val="20"/>
          <w:szCs w:val="22"/>
          <w:rtl/>
        </w:rPr>
        <w:t>".</w:t>
      </w:r>
    </w:p>
    <w:p w:rsidR="00F20C1A" w:rsidP="007717D4">
      <w:pPr>
        <w:spacing w:after="120" w:line="230" w:lineRule="exact"/>
        <w:ind w:left="340" w:hanging="340"/>
        <w:jc w:val="both"/>
        <w:outlineLvl w:val="0"/>
        <w:rPr>
          <w:rFonts w:cs="FrankRuehl"/>
          <w:sz w:val="20"/>
          <w:szCs w:val="22"/>
          <w:rtl/>
        </w:rPr>
      </w:pPr>
      <w:r>
        <w:rPr>
          <w:rFonts w:cs="FrankRuehl"/>
          <w:sz w:val="20"/>
          <w:szCs w:val="22"/>
          <w:rtl/>
        </w:rPr>
        <w:tab/>
      </w:r>
      <w:r>
        <w:rPr>
          <w:rFonts w:cs="FrankRuehl" w:hint="cs"/>
          <w:sz w:val="20"/>
          <w:szCs w:val="22"/>
          <w:rtl/>
        </w:rPr>
        <w:t>ממסמך שהעבירה חברה א' למשרד מבקר המדינה באפריל 2014 עולה כי בראשית תקופת ההתקשרות עמה (יוני 2009 - דצמבר 2009) הוקם צוות היגוי שעסק בהטמעת תהליכי תכנון בהתאם למתודולוגיה אחידה. עם תחלופת נושאי משרה מרכזיים במשרד האוצר חלו שינויים באופי הפעילות, בניהולה ובבקרתה בעקבות השתנות של תפיסות ניהול במשרד.</w:t>
      </w:r>
    </w:p>
    <w:p w:rsidR="00F20C1A" w:rsidP="007717D4">
      <w:pPr>
        <w:spacing w:after="120" w:line="230" w:lineRule="exact"/>
        <w:ind w:left="340" w:hanging="340"/>
        <w:jc w:val="both"/>
        <w:outlineLvl w:val="0"/>
        <w:rPr>
          <w:rFonts w:cs="FrankRuehl"/>
          <w:sz w:val="20"/>
          <w:szCs w:val="22"/>
          <w:rtl/>
        </w:rPr>
      </w:pPr>
      <w:r>
        <w:rPr>
          <w:rFonts w:cs="FrankRuehl" w:hint="cs"/>
          <w:sz w:val="20"/>
          <w:szCs w:val="22"/>
          <w:rtl/>
        </w:rPr>
        <w:tab/>
      </w:r>
      <w:r>
        <w:rPr>
          <w:rFonts w:cs="FrankRuehl"/>
          <w:sz w:val="20"/>
          <w:szCs w:val="22"/>
          <w:rtl/>
        </w:rPr>
        <w:t>עוזרת מנכ"לית משרד האוצר</w:t>
      </w:r>
      <w:r>
        <w:rPr>
          <w:rFonts w:cs="FrankRuehl" w:hint="cs"/>
          <w:sz w:val="20"/>
          <w:szCs w:val="22"/>
          <w:rtl/>
        </w:rPr>
        <w:t xml:space="preserve">, המופקדת על תכניות העבודה, </w:t>
      </w:r>
      <w:r>
        <w:rPr>
          <w:rFonts w:cs="FrankRuehl"/>
          <w:sz w:val="20"/>
          <w:szCs w:val="22"/>
          <w:rtl/>
        </w:rPr>
        <w:t xml:space="preserve">מסרה למשרד מבקר המדינה באוקטובר 2013, כי בימים אלו החל המשרד לבנות תכנית אסטרטגית משרדית, וממנה ייגזרו תכניות העבודה של האגפים. התכנית </w:t>
      </w:r>
      <w:r>
        <w:rPr>
          <w:rFonts w:cs="FrankRuehl" w:hint="cs"/>
          <w:sz w:val="20"/>
          <w:szCs w:val="22"/>
          <w:rtl/>
        </w:rPr>
        <w:t xml:space="preserve">תורכב </w:t>
      </w:r>
      <w:r>
        <w:rPr>
          <w:rFonts w:cs="FrankRuehl"/>
          <w:sz w:val="20"/>
          <w:szCs w:val="22"/>
          <w:rtl/>
        </w:rPr>
        <w:t>מיעדים אסטרטגיים ומפרויקטים אסטרטגיים. קביעת היעדים תיעשה "מלמעלה למטה" (על פי קביעת המטרות והיעדים במשרד ראש הממשלה ובלשכת השר) ו"מלמטה למעלה" (על פי קביעת היעדים באגפים עצמם), ותכניות העבודה של האגפים ייבנו בהלימה ליעדים</w:t>
      </w:r>
      <w:r>
        <w:rPr>
          <w:rFonts w:cs="FrankRuehl" w:hint="cs"/>
          <w:sz w:val="20"/>
          <w:szCs w:val="22"/>
          <w:rtl/>
        </w:rPr>
        <w:t xml:space="preserve"> אלו</w:t>
      </w:r>
      <w:r>
        <w:rPr>
          <w:rFonts w:cs="FrankRuehl"/>
          <w:sz w:val="20"/>
          <w:szCs w:val="22"/>
          <w:rtl/>
        </w:rPr>
        <w:t xml:space="preserve">. </w:t>
      </w:r>
      <w:r>
        <w:rPr>
          <w:rFonts w:cs="FrankRuehl" w:hint="cs"/>
          <w:sz w:val="20"/>
          <w:szCs w:val="22"/>
          <w:rtl/>
        </w:rPr>
        <w:t>נוסף על כך</w:t>
      </w:r>
      <w:r>
        <w:rPr>
          <w:rFonts w:cs="FrankRuehl"/>
          <w:sz w:val="20"/>
          <w:szCs w:val="22"/>
          <w:rtl/>
        </w:rPr>
        <w:t xml:space="preserve">, </w:t>
      </w:r>
      <w:r>
        <w:rPr>
          <w:rFonts w:cs="FrankRuehl" w:hint="cs"/>
          <w:sz w:val="20"/>
          <w:szCs w:val="22"/>
          <w:rtl/>
        </w:rPr>
        <w:t>לשכת מנכ"ל משרד האוצר מסרה בתשובתה למשרד מבקר המדינה מפברואר 2014 כי "</w:t>
      </w:r>
      <w:r>
        <w:rPr>
          <w:rFonts w:cs="FrankRuehl"/>
          <w:sz w:val="20"/>
          <w:szCs w:val="22"/>
          <w:rtl/>
        </w:rPr>
        <w:t xml:space="preserve">כחלק מהליך גיבוש התכנית, הטמעתה ובמטרה לשפר את התיאום והשיתוף בין האגפים, נוסד פורום מורחב של הנהלות האגפים השונים. עם סיום גיבוש התכנית האסטרטגית בוחנת כיום לשכת </w:t>
      </w:r>
      <w:r>
        <w:rPr>
          <w:rFonts w:cs="FrankRuehl" w:hint="cs"/>
          <w:sz w:val="20"/>
          <w:szCs w:val="22"/>
          <w:rtl/>
        </w:rPr>
        <w:t>ה</w:t>
      </w:r>
      <w:r>
        <w:rPr>
          <w:rFonts w:cs="FrankRuehl"/>
          <w:sz w:val="20"/>
          <w:szCs w:val="22"/>
          <w:rtl/>
        </w:rPr>
        <w:t>מנכ"ל את אופן הסדרת הפיקוח, המעקב והבקרה אחר ביצוע ויישום התוכנית האסטרטגית</w:t>
      </w:r>
      <w:r>
        <w:rPr>
          <w:rFonts w:cs="FrankRuehl" w:hint="cs"/>
          <w:sz w:val="20"/>
          <w:szCs w:val="22"/>
          <w:rtl/>
        </w:rPr>
        <w:t>".</w:t>
      </w:r>
    </w:p>
    <w:p w:rsidR="00F20C1A" w:rsidP="007717D4">
      <w:pPr>
        <w:spacing w:after="120" w:line="230" w:lineRule="exact"/>
        <w:ind w:left="340" w:hanging="340"/>
        <w:jc w:val="both"/>
        <w:outlineLvl w:val="0"/>
        <w:rPr>
          <w:rFonts w:cs="FrankRuehl"/>
          <w:sz w:val="20"/>
          <w:szCs w:val="22"/>
          <w:rtl/>
        </w:rPr>
      </w:pPr>
      <w:r>
        <w:rPr>
          <w:rFonts w:cs="FrankRuehl" w:hint="cs"/>
          <w:sz w:val="20"/>
          <w:szCs w:val="22"/>
          <w:rtl/>
        </w:rPr>
        <w:t xml:space="preserve">2. </w:t>
      </w:r>
      <w:r>
        <w:rPr>
          <w:rFonts w:cs="FrankRuehl" w:hint="cs"/>
          <w:sz w:val="20"/>
          <w:szCs w:val="22"/>
          <w:rtl/>
        </w:rPr>
        <w:tab/>
      </w:r>
      <w:r>
        <w:rPr>
          <w:rFonts w:cs="FrankRuehl"/>
          <w:sz w:val="20"/>
          <w:szCs w:val="22"/>
          <w:rtl/>
        </w:rPr>
        <w:t>חלק ניכר מפעילויות אגפי המשרד נוגע למדיניות כלל-משקית במגוון תחומים</w:t>
      </w:r>
      <w:r>
        <w:rPr>
          <w:rFonts w:cs="FrankRuehl" w:hint="cs"/>
          <w:sz w:val="20"/>
          <w:szCs w:val="22"/>
          <w:rtl/>
        </w:rPr>
        <w:t>,</w:t>
      </w:r>
      <w:r>
        <w:rPr>
          <w:rFonts w:cs="FrankRuehl"/>
          <w:sz w:val="20"/>
          <w:szCs w:val="22"/>
          <w:rtl/>
        </w:rPr>
        <w:t xml:space="preserve"> </w:t>
      </w:r>
      <w:r>
        <w:rPr>
          <w:rFonts w:cs="FrankRuehl" w:hint="cs"/>
          <w:sz w:val="20"/>
          <w:szCs w:val="22"/>
          <w:rtl/>
        </w:rPr>
        <w:t>ו</w:t>
      </w:r>
      <w:r>
        <w:rPr>
          <w:rFonts w:cs="FrankRuehl"/>
          <w:sz w:val="20"/>
          <w:szCs w:val="22"/>
          <w:rtl/>
        </w:rPr>
        <w:t xml:space="preserve">מקצועיותו והתנהלותו של כל אגף יש בהם כדי להשפיע על כלל המשק. לפיכך בתהליכים ארוכי טווח, שתוצאותיהם נראות לעתים לאחר שנים רבות, הכרחי שהאגפים המקצועיים יגדירו אסטרטגיה ממוקדת וייחודית לתחום פעילותם, וזאת מתוך התאמתה לאסטרטגיה הכלל-משרדית. </w:t>
      </w:r>
    </w:p>
    <w:p w:rsidR="00F20C1A" w:rsidP="007717D4">
      <w:pPr>
        <w:spacing w:after="240" w:line="230" w:lineRule="exact"/>
        <w:ind w:left="340" w:hanging="340"/>
        <w:jc w:val="both"/>
        <w:outlineLvl w:val="0"/>
        <w:rPr>
          <w:rFonts w:cs="FrankRuehl"/>
          <w:sz w:val="20"/>
          <w:szCs w:val="22"/>
          <w:rtl/>
        </w:rPr>
      </w:pPr>
      <w:r>
        <w:rPr>
          <w:rFonts w:cs="FrankRuehl" w:hint="cs"/>
          <w:sz w:val="20"/>
          <w:szCs w:val="22"/>
          <w:rtl/>
        </w:rPr>
        <w:tab/>
      </w:r>
      <w:r>
        <w:rPr>
          <w:rFonts w:cs="FrankRuehl"/>
          <w:sz w:val="20"/>
          <w:szCs w:val="22"/>
          <w:rtl/>
        </w:rPr>
        <w:t>לאגף החשב הכללי חזון ויעדי-על רב-שנתיים</w:t>
      </w:r>
      <w:r>
        <w:rPr>
          <w:rFonts w:cs="FrankRuehl" w:hint="cs"/>
          <w:sz w:val="20"/>
          <w:szCs w:val="22"/>
          <w:rtl/>
        </w:rPr>
        <w:t>.</w:t>
      </w:r>
      <w:r>
        <w:rPr>
          <w:rFonts w:cs="FrankRuehl"/>
          <w:sz w:val="20"/>
          <w:szCs w:val="22"/>
          <w:rtl/>
        </w:rPr>
        <w:t xml:space="preserve"> הוא בנה תכנית אסטרטגית למימושם, וממנה נגזרות תכניות העבודה השנתיות של</w:t>
      </w:r>
      <w:r>
        <w:rPr>
          <w:rFonts w:cs="FrankRuehl" w:hint="cs"/>
          <w:sz w:val="20"/>
          <w:szCs w:val="22"/>
          <w:rtl/>
        </w:rPr>
        <w:t>ו</w:t>
      </w:r>
      <w:r>
        <w:rPr>
          <w:rFonts w:cs="FrankRuehl"/>
          <w:sz w:val="20"/>
          <w:szCs w:val="22"/>
          <w:rtl/>
        </w:rPr>
        <w:t xml:space="preserve">. בשאר האגפים </w:t>
      </w:r>
      <w:r>
        <w:rPr>
          <w:rFonts w:cs="FrankRuehl" w:hint="cs"/>
          <w:sz w:val="20"/>
          <w:szCs w:val="22"/>
          <w:rtl/>
        </w:rPr>
        <w:t>אין</w:t>
      </w:r>
      <w:r>
        <w:rPr>
          <w:rFonts w:cs="FrankRuehl"/>
          <w:sz w:val="20"/>
          <w:szCs w:val="22"/>
          <w:rtl/>
        </w:rPr>
        <w:t xml:space="preserve"> תכנון אסטרטגי ארוך טווח. בכמה מן האגפים החל </w:t>
      </w:r>
      <w:r>
        <w:rPr>
          <w:rFonts w:cs="FrankRuehl" w:hint="cs"/>
          <w:sz w:val="20"/>
          <w:szCs w:val="22"/>
          <w:rtl/>
        </w:rPr>
        <w:t xml:space="preserve">תהליך כזה </w:t>
      </w:r>
      <w:r>
        <w:rPr>
          <w:rFonts w:cs="FrankRuehl"/>
          <w:sz w:val="20"/>
          <w:szCs w:val="22"/>
          <w:rtl/>
        </w:rPr>
        <w:t xml:space="preserve">בשנת 2013, ואולם </w:t>
      </w:r>
      <w:r>
        <w:rPr>
          <w:rFonts w:cs="FrankRuehl" w:hint="cs"/>
          <w:sz w:val="20"/>
          <w:szCs w:val="22"/>
          <w:rtl/>
        </w:rPr>
        <w:t xml:space="preserve">עד </w:t>
      </w:r>
      <w:r>
        <w:rPr>
          <w:rFonts w:cs="FrankRuehl"/>
          <w:sz w:val="20"/>
          <w:szCs w:val="22"/>
          <w:rtl/>
        </w:rPr>
        <w:t xml:space="preserve">מועד סיום הביקורת </w:t>
      </w:r>
      <w:r>
        <w:rPr>
          <w:rFonts w:cs="FrankRuehl" w:hint="cs"/>
          <w:sz w:val="20"/>
          <w:szCs w:val="22"/>
          <w:rtl/>
        </w:rPr>
        <w:t xml:space="preserve">הוא </w:t>
      </w:r>
      <w:r>
        <w:rPr>
          <w:rFonts w:cs="FrankRuehl"/>
          <w:sz w:val="20"/>
          <w:szCs w:val="22"/>
          <w:rtl/>
        </w:rPr>
        <w:t xml:space="preserve">טרם הושלם. </w:t>
      </w:r>
    </w:p>
    <w:p w:rsidR="00F20C1A" w:rsidP="007717D4">
      <w:pPr>
        <w:pStyle w:val="RESHET"/>
        <w:ind w:left="567"/>
        <w:rPr>
          <w:rtl/>
        </w:rPr>
      </w:pPr>
      <w:r>
        <w:rPr>
          <w:rtl/>
        </w:rPr>
        <w:t>מעיון בתכניות העבודה של האגפים</w:t>
      </w:r>
      <w:r>
        <w:rPr>
          <w:rFonts w:hint="cs"/>
          <w:rtl/>
        </w:rPr>
        <w:t xml:space="preserve"> שנבדקו</w:t>
      </w:r>
      <w:r>
        <w:rPr>
          <w:rtl/>
        </w:rPr>
        <w:t xml:space="preserve"> במשרד האוצר עולה</w:t>
      </w:r>
      <w:r>
        <w:rPr>
          <w:rFonts w:hint="cs"/>
          <w:rtl/>
        </w:rPr>
        <w:t xml:space="preserve"> כי</w:t>
      </w:r>
      <w:r>
        <w:rPr>
          <w:rtl/>
        </w:rPr>
        <w:t xml:space="preserve"> תכניות העבודה השנתיות של האג</w:t>
      </w:r>
      <w:r>
        <w:rPr>
          <w:rFonts w:hint="cs"/>
          <w:rtl/>
        </w:rPr>
        <w:t>פים אינן</w:t>
      </w:r>
      <w:r>
        <w:rPr>
          <w:rtl/>
        </w:rPr>
        <w:t xml:space="preserve"> נגזרות מתכנית אסטרטגית אגפית רב-שנתית</w:t>
      </w:r>
      <w:r>
        <w:rPr>
          <w:rFonts w:hint="cs"/>
          <w:rtl/>
        </w:rPr>
        <w:t>,</w:t>
      </w:r>
      <w:r>
        <w:rPr>
          <w:rtl/>
        </w:rPr>
        <w:t xml:space="preserve"> למעט אגף החשב הכללי.</w:t>
      </w:r>
    </w:p>
    <w:p w:rsidR="00F20C1A" w:rsidP="007717D4">
      <w:pPr>
        <w:spacing w:before="180" w:after="240" w:line="230" w:lineRule="exact"/>
        <w:ind w:left="340" w:hanging="340"/>
        <w:jc w:val="both"/>
        <w:rPr>
          <w:rFonts w:cs="FrankRuehl"/>
          <w:sz w:val="20"/>
          <w:szCs w:val="22"/>
          <w:rtl/>
        </w:rPr>
      </w:pPr>
      <w:r>
        <w:rPr>
          <w:rFonts w:cs="FrankRuehl"/>
          <w:sz w:val="20"/>
          <w:szCs w:val="22"/>
          <w:rtl/>
        </w:rPr>
        <w:tab/>
      </w:r>
      <w:r>
        <w:rPr>
          <w:rFonts w:cs="FrankRuehl" w:hint="cs"/>
          <w:sz w:val="20"/>
          <w:szCs w:val="22"/>
          <w:rtl/>
        </w:rPr>
        <w:t>אגף המינהל מסר בתשובתו למשרד מבקר המדינה מפברואר 2014 כי האגף "קבע לעצמו ייעוד/חזון ומטרות רב שנתיות... בדמות התכנית האסטרטגית... אלה הם העקרונות והקווים המנחים אותנו בקביעת תכנית העבודה השנתית של האגף, יעדי אגף המינהל ומימוש המשימות הנגזרות מכך. בכל שנה אנו בוחנים נושאים אלה מחדש, מתקפים ו/או מעדכנים בהתאם לנדרש"</w:t>
      </w:r>
      <w:r>
        <w:rPr>
          <w:rStyle w:val="FootnoteReference"/>
          <w:rFonts w:ascii="FrankRuehl" w:hAnsi="FrankRuehl" w:cs="FrankRuehl"/>
          <w:sz w:val="22"/>
          <w:szCs w:val="22"/>
          <w:rtl/>
        </w:rPr>
        <w:footnoteReference w:id="10"/>
      </w:r>
      <w:r>
        <w:rPr>
          <w:rFonts w:cs="FrankRuehl" w:hint="cs"/>
          <w:sz w:val="20"/>
          <w:szCs w:val="22"/>
          <w:rtl/>
        </w:rPr>
        <w:t xml:space="preserve">. </w:t>
      </w:r>
    </w:p>
    <w:p w:rsidR="00F20C1A" w:rsidP="006C76E4">
      <w:pPr>
        <w:pStyle w:val="RESHET"/>
        <w:keepLines/>
        <w:ind w:left="567"/>
        <w:rPr>
          <w:rtl/>
        </w:rPr>
      </w:pPr>
      <w:r>
        <w:rPr>
          <w:rtl/>
        </w:rPr>
        <w:t>לדעת משרד מבקר המדינה, על הנהלת משרד האוצר לפעול לכך שכל אגפיו ינהיגו תכנון וחשיבה אסטרטגית רב-שנתיים שמהם ייגזרו תכניות העבודה השנתיות. מן הראוי שבפרקי זמן קבועים ימפ</w:t>
      </w:r>
      <w:r>
        <w:rPr>
          <w:rFonts w:hint="cs"/>
          <w:rtl/>
        </w:rPr>
        <w:t>ה</w:t>
      </w:r>
      <w:r>
        <w:rPr>
          <w:rtl/>
        </w:rPr>
        <w:t xml:space="preserve"> </w:t>
      </w:r>
      <w:r>
        <w:rPr>
          <w:rFonts w:hint="cs"/>
          <w:rtl/>
        </w:rPr>
        <w:t xml:space="preserve">כל </w:t>
      </w:r>
      <w:r>
        <w:rPr>
          <w:rtl/>
        </w:rPr>
        <w:t>אגף את תחומי פעילות</w:t>
      </w:r>
      <w:r>
        <w:rPr>
          <w:rFonts w:hint="cs"/>
          <w:rtl/>
        </w:rPr>
        <w:t>ו</w:t>
      </w:r>
      <w:r>
        <w:rPr>
          <w:rtl/>
        </w:rPr>
        <w:t xml:space="preserve"> וינתח את יעדיו הרב-שנתיים </w:t>
      </w:r>
      <w:r w:rsidRPr="007717D4">
        <w:rPr>
          <w:rtl/>
        </w:rPr>
        <w:t>ואת מידת התאמתם לפעילותו המרכזית. ניתוח זה יאפשר לאגפים להתאים את</w:t>
      </w:r>
      <w:r>
        <w:rPr>
          <w:rtl/>
        </w:rPr>
        <w:t xml:space="preserve"> מטרותיהם, את יעדיהם ואת משימותיהם לפעילויות הליבה שלהם ולקבוע סדרי עדיפויות חדשים ותכניות עבודה המותאמות יותר להשגת המטרות והיעדים. </w:t>
      </w:r>
    </w:p>
    <w:p w:rsidR="00F20C1A" w:rsidP="007717D4">
      <w:pPr>
        <w:spacing w:before="180" w:after="120" w:line="230" w:lineRule="exact"/>
        <w:ind w:left="340" w:hanging="340"/>
        <w:jc w:val="both"/>
        <w:outlineLvl w:val="0"/>
        <w:rPr>
          <w:rFonts w:cs="FrankRuehl"/>
          <w:sz w:val="20"/>
          <w:szCs w:val="22"/>
          <w:rtl/>
        </w:rPr>
      </w:pPr>
      <w:r>
        <w:rPr>
          <w:rFonts w:cs="FrankRuehl" w:hint="cs"/>
          <w:sz w:val="20"/>
          <w:szCs w:val="22"/>
          <w:rtl/>
        </w:rPr>
        <w:t xml:space="preserve">3. </w:t>
      </w:r>
      <w:r>
        <w:rPr>
          <w:rFonts w:cs="FrankRuehl" w:hint="cs"/>
          <w:sz w:val="20"/>
          <w:szCs w:val="22"/>
          <w:rtl/>
        </w:rPr>
        <w:tab/>
        <w:t xml:space="preserve">במסמך שהעבירה חברה א' למשרד מבקר המדינה מאפריל 2014 נכתב כי "יש לקחת בחשבון כי מבנה המשרד </w:t>
      </w:r>
      <w:r>
        <w:rPr>
          <w:rFonts w:cs="FrankRuehl"/>
          <w:sz w:val="20"/>
          <w:szCs w:val="22"/>
          <w:rtl/>
        </w:rPr>
        <w:t>[</w:t>
      </w:r>
      <w:r>
        <w:rPr>
          <w:rFonts w:cs="FrankRuehl" w:hint="cs"/>
          <w:sz w:val="20"/>
          <w:szCs w:val="22"/>
          <w:rtl/>
        </w:rPr>
        <w:t>האוצר</w:t>
      </w:r>
      <w:r>
        <w:rPr>
          <w:rFonts w:cs="FrankRuehl"/>
          <w:sz w:val="20"/>
          <w:szCs w:val="22"/>
          <w:rtl/>
        </w:rPr>
        <w:t>]</w:t>
      </w:r>
      <w:r>
        <w:rPr>
          <w:rFonts w:cs="FrankRuehl" w:hint="cs"/>
          <w:sz w:val="20"/>
          <w:szCs w:val="22"/>
          <w:rtl/>
        </w:rPr>
        <w:t xml:space="preserve"> וההיררכיה בו שונים מהותית ממשרדי ממשלה אחרים, עובדה שהשפיעה ועדיין משפיעה על אופן הטמעת תהליכי עבודה במשרד. בשונה ממשרדי ממשלה אחרים בהם כל יחידות המשרד כפופות ברמה המקצועית והניהולית למנכ"ל המשרד והוא המנהל הישיר של כל מנהלי האגפים והחטיבות, במשרד האוצר יחסי ההיררכיה בין מנכ"ל המשרד לראשי האגפים המרכזיים... אינם היררכיים לגמרי... עובדה זו משפיעה על היכולת לבצע תהליכי שינוי רוחביים".</w:t>
      </w:r>
    </w:p>
    <w:p w:rsidR="00F20C1A" w:rsidP="007717D4">
      <w:pPr>
        <w:spacing w:after="240" w:line="230" w:lineRule="exact"/>
        <w:ind w:left="340" w:hanging="340"/>
        <w:jc w:val="both"/>
        <w:outlineLvl w:val="0"/>
        <w:rPr>
          <w:rFonts w:cs="FrankRuehl"/>
          <w:sz w:val="20"/>
          <w:szCs w:val="22"/>
          <w:rtl/>
        </w:rPr>
      </w:pPr>
      <w:r>
        <w:rPr>
          <w:rFonts w:cs="FrankRuehl"/>
          <w:sz w:val="20"/>
          <w:szCs w:val="22"/>
          <w:rtl/>
        </w:rPr>
        <w:tab/>
      </w:r>
      <w:r>
        <w:rPr>
          <w:rFonts w:cs="FrankRuehl" w:hint="cs"/>
          <w:sz w:val="20"/>
          <w:szCs w:val="22"/>
          <w:rtl/>
        </w:rPr>
        <w:t xml:space="preserve">מנכ"ל משרד האוצר לשעבר מר </w:t>
      </w:r>
      <w:r>
        <w:rPr>
          <w:rFonts w:cs="FrankRuehl" w:hint="eastAsia"/>
          <w:sz w:val="20"/>
          <w:szCs w:val="22"/>
          <w:rtl/>
        </w:rPr>
        <w:t>חיים</w:t>
      </w:r>
      <w:r>
        <w:rPr>
          <w:rFonts w:cs="FrankRuehl"/>
          <w:sz w:val="20"/>
          <w:szCs w:val="22"/>
          <w:rtl/>
        </w:rPr>
        <w:t xml:space="preserve"> שני מסר בתשובתו למשרד מבקר המדינה</w:t>
      </w:r>
      <w:r>
        <w:rPr>
          <w:rFonts w:cs="FrankRuehl" w:hint="cs"/>
          <w:sz w:val="20"/>
          <w:szCs w:val="22"/>
          <w:rtl/>
        </w:rPr>
        <w:t xml:space="preserve"> מאפריל 2014 </w:t>
      </w:r>
      <w:r>
        <w:rPr>
          <w:rFonts w:cs="FrankRuehl"/>
          <w:sz w:val="20"/>
          <w:szCs w:val="22"/>
          <w:rtl/>
        </w:rPr>
        <w:t xml:space="preserve">כי </w:t>
      </w:r>
      <w:r>
        <w:rPr>
          <w:rFonts w:cs="FrankRuehl" w:hint="cs"/>
          <w:sz w:val="20"/>
          <w:szCs w:val="22"/>
          <w:rtl/>
        </w:rPr>
        <w:t xml:space="preserve">הממצאים העולים מדוח זה "הינם רק סימפטום למשרד שאינו מתנהל בצורה היררכית. תהליך תכנוני בארגון 'רגיל' שבו יעדים נגזרים מחזון ותכניות עבודה נבנות ומאושרות בדרך כלל בצורה היררכית מתוך מטרה לממש את היעדים </w:t>
      </w:r>
      <w:r>
        <w:rPr>
          <w:rFonts w:cs="FrankRuehl" w:hint="eastAsia"/>
          <w:b/>
          <w:bCs/>
          <w:sz w:val="20"/>
          <w:szCs w:val="22"/>
          <w:rtl/>
        </w:rPr>
        <w:t>אינו</w:t>
      </w:r>
      <w:r>
        <w:rPr>
          <w:rFonts w:cs="FrankRuehl"/>
          <w:b/>
          <w:bCs/>
          <w:sz w:val="20"/>
          <w:szCs w:val="22"/>
          <w:rtl/>
        </w:rPr>
        <w:t xml:space="preserve"> </w:t>
      </w:r>
      <w:r>
        <w:rPr>
          <w:rFonts w:cs="FrankRuehl" w:hint="eastAsia"/>
          <w:b/>
          <w:bCs/>
          <w:sz w:val="20"/>
          <w:szCs w:val="22"/>
          <w:rtl/>
        </w:rPr>
        <w:t>יכול</w:t>
      </w:r>
      <w:r>
        <w:rPr>
          <w:rFonts w:cs="FrankRuehl"/>
          <w:b/>
          <w:bCs/>
          <w:sz w:val="20"/>
          <w:szCs w:val="22"/>
          <w:rtl/>
        </w:rPr>
        <w:t xml:space="preserve"> </w:t>
      </w:r>
      <w:r>
        <w:rPr>
          <w:rFonts w:cs="FrankRuehl" w:hint="eastAsia"/>
          <w:b/>
          <w:bCs/>
          <w:sz w:val="20"/>
          <w:szCs w:val="22"/>
          <w:rtl/>
        </w:rPr>
        <w:t>להתבצע</w:t>
      </w:r>
      <w:r>
        <w:rPr>
          <w:rFonts w:cs="FrankRuehl"/>
          <w:b/>
          <w:bCs/>
          <w:sz w:val="20"/>
          <w:szCs w:val="22"/>
          <w:rtl/>
        </w:rPr>
        <w:t xml:space="preserve"> </w:t>
      </w:r>
      <w:r>
        <w:rPr>
          <w:rFonts w:cs="FrankRuehl" w:hint="eastAsia"/>
          <w:b/>
          <w:bCs/>
          <w:sz w:val="20"/>
          <w:szCs w:val="22"/>
          <w:rtl/>
        </w:rPr>
        <w:t>באמת</w:t>
      </w:r>
      <w:r>
        <w:rPr>
          <w:rFonts w:cs="FrankRuehl" w:hint="cs"/>
          <w:sz w:val="20"/>
          <w:szCs w:val="22"/>
          <w:rtl/>
        </w:rPr>
        <w:t xml:space="preserve"> [ההדגשה במקור] במשרד האוצר במבנהו הנוכחי". עוד הוסיף המנכ"ל לשעבר בתשובתו כי ניסיונות "לכפות" תהליכי שיתוף וממשק אחיד נחלו הצלחה חלקית בלבד.</w:t>
      </w:r>
    </w:p>
    <w:p w:rsidR="00F20C1A" w:rsidP="007717D4">
      <w:pPr>
        <w:pStyle w:val="RESHET"/>
        <w:ind w:left="567"/>
        <w:rPr>
          <w:rtl/>
        </w:rPr>
      </w:pPr>
      <w:r>
        <w:rPr>
          <w:rFonts w:hint="eastAsia"/>
          <w:rtl/>
        </w:rPr>
        <w:t>אחד</w:t>
      </w:r>
      <w:r>
        <w:rPr>
          <w:rtl/>
        </w:rPr>
        <w:t xml:space="preserve"> </w:t>
      </w:r>
      <w:r>
        <w:rPr>
          <w:rFonts w:hint="eastAsia"/>
          <w:rtl/>
        </w:rPr>
        <w:t>המרכיבים</w:t>
      </w:r>
      <w:r>
        <w:rPr>
          <w:rtl/>
        </w:rPr>
        <w:t xml:space="preserve"> </w:t>
      </w:r>
      <w:r>
        <w:rPr>
          <w:rFonts w:hint="eastAsia"/>
          <w:rtl/>
        </w:rPr>
        <w:t>המרכזיים</w:t>
      </w:r>
      <w:r>
        <w:rPr>
          <w:rtl/>
        </w:rPr>
        <w:t xml:space="preserve"> </w:t>
      </w:r>
      <w:r>
        <w:rPr>
          <w:rFonts w:hint="cs"/>
          <w:rtl/>
        </w:rPr>
        <w:t>ב</w:t>
      </w:r>
      <w:r>
        <w:rPr>
          <w:rFonts w:hint="eastAsia"/>
          <w:rtl/>
        </w:rPr>
        <w:t>יישומ</w:t>
      </w:r>
      <w:r>
        <w:rPr>
          <w:rFonts w:hint="cs"/>
          <w:rtl/>
        </w:rPr>
        <w:t>ם</w:t>
      </w:r>
      <w:r>
        <w:rPr>
          <w:rtl/>
        </w:rPr>
        <w:t xml:space="preserve"> </w:t>
      </w:r>
      <w:r>
        <w:rPr>
          <w:rFonts w:hint="eastAsia"/>
          <w:rtl/>
        </w:rPr>
        <w:t>של</w:t>
      </w:r>
      <w:r>
        <w:rPr>
          <w:rtl/>
        </w:rPr>
        <w:t xml:space="preserve"> </w:t>
      </w:r>
      <w:r>
        <w:rPr>
          <w:rFonts w:hint="eastAsia"/>
          <w:rtl/>
        </w:rPr>
        <w:t>תהליכי</w:t>
      </w:r>
      <w:r>
        <w:rPr>
          <w:rtl/>
        </w:rPr>
        <w:t xml:space="preserve"> </w:t>
      </w:r>
      <w:r>
        <w:rPr>
          <w:rFonts w:hint="eastAsia"/>
          <w:rtl/>
        </w:rPr>
        <w:t>תכנון</w:t>
      </w:r>
      <w:r>
        <w:rPr>
          <w:rtl/>
        </w:rPr>
        <w:t xml:space="preserve"> </w:t>
      </w:r>
      <w:r>
        <w:rPr>
          <w:rFonts w:hint="eastAsia"/>
          <w:rtl/>
        </w:rPr>
        <w:t>ופעילות</w:t>
      </w:r>
      <w:r>
        <w:rPr>
          <w:rtl/>
        </w:rPr>
        <w:t xml:space="preserve"> </w:t>
      </w:r>
      <w:r>
        <w:rPr>
          <w:rFonts w:hint="eastAsia"/>
          <w:rtl/>
        </w:rPr>
        <w:t>על</w:t>
      </w:r>
      <w:r>
        <w:rPr>
          <w:rtl/>
        </w:rPr>
        <w:t xml:space="preserve"> </w:t>
      </w:r>
      <w:r>
        <w:rPr>
          <w:rFonts w:hint="eastAsia"/>
          <w:rtl/>
        </w:rPr>
        <w:t>פי</w:t>
      </w:r>
      <w:r>
        <w:rPr>
          <w:rtl/>
        </w:rPr>
        <w:t xml:space="preserve"> </w:t>
      </w:r>
      <w:r>
        <w:rPr>
          <w:rFonts w:hint="eastAsia"/>
          <w:rtl/>
        </w:rPr>
        <w:t>תכניות</w:t>
      </w:r>
      <w:r>
        <w:rPr>
          <w:rtl/>
        </w:rPr>
        <w:t xml:space="preserve"> </w:t>
      </w:r>
      <w:r>
        <w:rPr>
          <w:rFonts w:hint="eastAsia"/>
          <w:rtl/>
        </w:rPr>
        <w:t>עבודה</w:t>
      </w:r>
      <w:r>
        <w:rPr>
          <w:rtl/>
        </w:rPr>
        <w:t xml:space="preserve"> </w:t>
      </w:r>
      <w:r>
        <w:rPr>
          <w:rFonts w:hint="eastAsia"/>
          <w:rtl/>
        </w:rPr>
        <w:t>המגובשות</w:t>
      </w:r>
      <w:r>
        <w:rPr>
          <w:rtl/>
        </w:rPr>
        <w:t xml:space="preserve"> </w:t>
      </w:r>
      <w:r>
        <w:rPr>
          <w:rFonts w:hint="eastAsia"/>
          <w:rtl/>
        </w:rPr>
        <w:t>ברמה</w:t>
      </w:r>
      <w:r>
        <w:rPr>
          <w:rtl/>
        </w:rPr>
        <w:t xml:space="preserve"> </w:t>
      </w:r>
      <w:r>
        <w:rPr>
          <w:rFonts w:hint="eastAsia"/>
          <w:rtl/>
        </w:rPr>
        <w:t>המשרדית</w:t>
      </w:r>
      <w:r>
        <w:rPr>
          <w:rtl/>
        </w:rPr>
        <w:t xml:space="preserve"> </w:t>
      </w:r>
      <w:r>
        <w:rPr>
          <w:rFonts w:hint="eastAsia"/>
          <w:rtl/>
        </w:rPr>
        <w:t>הוא</w:t>
      </w:r>
      <w:r>
        <w:rPr>
          <w:rtl/>
        </w:rPr>
        <w:t xml:space="preserve"> </w:t>
      </w:r>
      <w:r>
        <w:rPr>
          <w:rFonts w:hint="eastAsia"/>
          <w:rtl/>
        </w:rPr>
        <w:t>קיומה</w:t>
      </w:r>
      <w:r>
        <w:rPr>
          <w:rtl/>
        </w:rPr>
        <w:t xml:space="preserve"> </w:t>
      </w:r>
      <w:r>
        <w:rPr>
          <w:rFonts w:hint="eastAsia"/>
          <w:rtl/>
        </w:rPr>
        <w:t>של</w:t>
      </w:r>
      <w:r>
        <w:rPr>
          <w:rtl/>
        </w:rPr>
        <w:t xml:space="preserve"> </w:t>
      </w:r>
      <w:r>
        <w:rPr>
          <w:rFonts w:hint="eastAsia"/>
          <w:rtl/>
        </w:rPr>
        <w:t>משילות</w:t>
      </w:r>
      <w:r>
        <w:rPr>
          <w:rtl/>
        </w:rPr>
        <w:t xml:space="preserve"> </w:t>
      </w:r>
      <w:r>
        <w:rPr>
          <w:rFonts w:hint="eastAsia"/>
          <w:rtl/>
        </w:rPr>
        <w:t>ניהולית</w:t>
      </w:r>
      <w:r>
        <w:rPr>
          <w:rtl/>
        </w:rPr>
        <w:t xml:space="preserve"> </w:t>
      </w:r>
      <w:r>
        <w:rPr>
          <w:rFonts w:hint="eastAsia"/>
          <w:rtl/>
        </w:rPr>
        <w:t>המאפשרת</w:t>
      </w:r>
      <w:r>
        <w:rPr>
          <w:rtl/>
        </w:rPr>
        <w:t xml:space="preserve"> הגדרה אחידה ואכיפה של הפעילות המשרדית בידי גורם מוסמך אחד. </w:t>
      </w:r>
      <w:r>
        <w:rPr>
          <w:rFonts w:hint="eastAsia"/>
          <w:rtl/>
        </w:rPr>
        <w:t>לדעת</w:t>
      </w:r>
      <w:r>
        <w:rPr>
          <w:rtl/>
        </w:rPr>
        <w:t xml:space="preserve"> </w:t>
      </w:r>
      <w:r>
        <w:rPr>
          <w:rFonts w:hint="eastAsia"/>
          <w:rtl/>
        </w:rPr>
        <w:t>משרד</w:t>
      </w:r>
      <w:r>
        <w:rPr>
          <w:rtl/>
        </w:rPr>
        <w:t xml:space="preserve"> </w:t>
      </w:r>
      <w:r>
        <w:rPr>
          <w:rFonts w:hint="eastAsia"/>
          <w:rtl/>
        </w:rPr>
        <w:t>מבקר</w:t>
      </w:r>
      <w:r>
        <w:rPr>
          <w:rtl/>
        </w:rPr>
        <w:t xml:space="preserve"> </w:t>
      </w:r>
      <w:r>
        <w:rPr>
          <w:rFonts w:hint="eastAsia"/>
          <w:rtl/>
        </w:rPr>
        <w:t>המדינה</w:t>
      </w:r>
      <w:r>
        <w:rPr>
          <w:rtl/>
        </w:rPr>
        <w:t>, מהממצאים עולה שהמשילות הניהולית במשרד האוצר אינה מספקת</w:t>
      </w:r>
      <w:r>
        <w:rPr>
          <w:rFonts w:hint="cs"/>
          <w:rtl/>
        </w:rPr>
        <w:t xml:space="preserve"> ואינה מאפשרת הטמעת תהליכי עבודה רוחביים באופן יעיל.</w:t>
      </w:r>
    </w:p>
    <w:p w:rsidR="00F20C1A" w:rsidP="007717D4">
      <w:pPr>
        <w:spacing w:before="180" w:after="120" w:line="230" w:lineRule="exact"/>
        <w:ind w:left="340" w:hanging="340"/>
        <w:jc w:val="both"/>
        <w:rPr>
          <w:rFonts w:cs="FrankRuehl"/>
          <w:sz w:val="20"/>
          <w:szCs w:val="22"/>
          <w:rtl/>
        </w:rPr>
      </w:pPr>
      <w:r>
        <w:rPr>
          <w:rFonts w:cs="FrankRuehl" w:hint="cs"/>
          <w:sz w:val="20"/>
          <w:szCs w:val="22"/>
          <w:rtl/>
        </w:rPr>
        <w:t xml:space="preserve">4. </w:t>
      </w:r>
      <w:r>
        <w:rPr>
          <w:rFonts w:cs="FrankRuehl" w:hint="cs"/>
          <w:sz w:val="20"/>
          <w:szCs w:val="22"/>
          <w:rtl/>
        </w:rPr>
        <w:tab/>
      </w:r>
      <w:r>
        <w:rPr>
          <w:rFonts w:cs="FrankRuehl"/>
          <w:sz w:val="20"/>
          <w:szCs w:val="22"/>
          <w:rtl/>
        </w:rPr>
        <w:t xml:space="preserve">בחינת תכניות העבודה של אגפי המשרד מעלה כי משימות רבות המוגדרות באגף אחד כמחייבות שיתוף פעולה עם אגף אחר במשרד אינן מופיעות בתכנית העבודה של האגף האחר, האמור לשתף פעולה. </w:t>
      </w:r>
    </w:p>
    <w:p w:rsidR="00F20C1A" w:rsidP="007717D4">
      <w:pPr>
        <w:spacing w:after="240" w:line="230" w:lineRule="exact"/>
        <w:ind w:left="340" w:hanging="340"/>
        <w:jc w:val="both"/>
        <w:rPr>
          <w:rFonts w:cs="FrankRuehl"/>
          <w:sz w:val="20"/>
          <w:szCs w:val="22"/>
          <w:rtl/>
        </w:rPr>
      </w:pPr>
      <w:r>
        <w:rPr>
          <w:rFonts w:cs="FrankRuehl" w:hint="cs"/>
          <w:sz w:val="20"/>
          <w:szCs w:val="22"/>
          <w:rtl/>
        </w:rPr>
        <w:tab/>
      </w:r>
      <w:r>
        <w:rPr>
          <w:rFonts w:cs="FrankRuehl"/>
          <w:sz w:val="20"/>
          <w:szCs w:val="22"/>
          <w:rtl/>
        </w:rPr>
        <w:t xml:space="preserve">לדוגמה, בתכנית העבודה לשנת 2012 של צוות באגף התקציבים שפועל מול משרד הבינוי והשיכון </w:t>
      </w:r>
      <w:r>
        <w:rPr>
          <w:rFonts w:cs="FrankRuehl" w:hint="cs"/>
          <w:sz w:val="20"/>
          <w:szCs w:val="22"/>
          <w:rtl/>
        </w:rPr>
        <w:t>נכתב בנוגע ל</w:t>
      </w:r>
      <w:r>
        <w:rPr>
          <w:rFonts w:cs="FrankRuehl"/>
          <w:sz w:val="20"/>
          <w:szCs w:val="22"/>
          <w:rtl/>
        </w:rPr>
        <w:t xml:space="preserve">כמה משימות </w:t>
      </w:r>
      <w:r>
        <w:rPr>
          <w:rFonts w:cs="FrankRuehl" w:hint="cs"/>
          <w:sz w:val="20"/>
          <w:szCs w:val="22"/>
          <w:rtl/>
        </w:rPr>
        <w:t xml:space="preserve">שהן יתבצעו </w:t>
      </w:r>
      <w:r>
        <w:rPr>
          <w:rFonts w:cs="FrankRuehl"/>
          <w:sz w:val="20"/>
          <w:szCs w:val="22"/>
          <w:rtl/>
        </w:rPr>
        <w:t xml:space="preserve">בשיתוף אגף החשב הכללי, ואולם משימות אלו אינן מופיעות בתכנית העבודה של אגף החשב הכללי. </w:t>
      </w:r>
    </w:p>
    <w:p w:rsidR="00F20C1A" w:rsidP="007717D4">
      <w:pPr>
        <w:pStyle w:val="RESHET"/>
        <w:ind w:left="567"/>
        <w:rPr>
          <w:rtl/>
        </w:rPr>
      </w:pPr>
      <w:r>
        <w:rPr>
          <w:rFonts w:hint="cs"/>
          <w:rtl/>
        </w:rPr>
        <w:t xml:space="preserve">מן הראוי שמשימות שמחייבות שיתופי פעולה בין-אגפיים יופיעו בתכניות העבודה של כל אחד מהאגפים הרלוונטיים. </w:t>
      </w:r>
    </w:p>
    <w:p w:rsidR="00F20C1A" w:rsidP="007717D4">
      <w:pPr>
        <w:spacing w:after="240" w:line="230" w:lineRule="exact"/>
        <w:ind w:left="340" w:hanging="340"/>
        <w:jc w:val="both"/>
        <w:outlineLvl w:val="0"/>
        <w:rPr>
          <w:rFonts w:cs="FrankRuehl"/>
          <w:sz w:val="20"/>
          <w:szCs w:val="22"/>
          <w:rtl/>
        </w:rPr>
      </w:pPr>
      <w:r>
        <w:rPr>
          <w:rFonts w:cs="FrankRuehl" w:hint="cs"/>
          <w:sz w:val="20"/>
          <w:szCs w:val="22"/>
          <w:rtl/>
        </w:rPr>
        <w:t xml:space="preserve">5. </w:t>
      </w:r>
      <w:r>
        <w:rPr>
          <w:rFonts w:cs="FrankRuehl" w:hint="cs"/>
          <w:sz w:val="20"/>
          <w:szCs w:val="22"/>
          <w:rtl/>
        </w:rPr>
        <w:tab/>
      </w:r>
      <w:r>
        <w:rPr>
          <w:rFonts w:cs="FrankRuehl"/>
          <w:sz w:val="20"/>
          <w:szCs w:val="22"/>
          <w:rtl/>
        </w:rPr>
        <w:t>על פי התקשי"ר</w:t>
      </w:r>
      <w:r>
        <w:rPr>
          <w:rStyle w:val="FootnoteReference"/>
          <w:rFonts w:ascii="FrankRuehl" w:hAnsi="FrankRuehl" w:cs="FrankRuehl"/>
          <w:sz w:val="22"/>
          <w:szCs w:val="22"/>
          <w:rtl/>
        </w:rPr>
        <w:footnoteReference w:id="11"/>
      </w:r>
      <w:r>
        <w:rPr>
          <w:rFonts w:cs="FrankRuehl"/>
          <w:sz w:val="20"/>
          <w:szCs w:val="22"/>
          <w:rtl/>
        </w:rPr>
        <w:t>, הנהלות משרדי הממשלה חייבות לתעד בשיטתיות ובמועדים קבועים את מידת השגת היעדים שנקבעו בתכניות העבודה ואת מידת העמידה במדדים שנקבעו בהן ולפרסם את התוצאות.</w:t>
      </w:r>
      <w:r>
        <w:rPr>
          <w:rFonts w:cs="FrankRuehl" w:hint="cs"/>
          <w:sz w:val="20"/>
          <w:szCs w:val="22"/>
          <w:rtl/>
        </w:rPr>
        <w:t xml:space="preserve"> </w:t>
      </w:r>
    </w:p>
    <w:p w:rsidR="00F20C1A" w:rsidRPr="007717D4" w:rsidP="007717D4">
      <w:pPr>
        <w:pStyle w:val="RESHET"/>
        <w:ind w:left="567"/>
        <w:rPr>
          <w:rtl/>
        </w:rPr>
      </w:pPr>
      <w:r w:rsidRPr="007717D4">
        <w:rPr>
          <w:rtl/>
        </w:rPr>
        <w:t xml:space="preserve">מהביקורת עולה כי אין במשרד האוצר - ובכלל זה בלשכת המנכ"ל - גוף מרכז ומתכלל שאחראי למעקב, לבקרה ולהפקת לקחים בנושא יישום תכניות העבודה של כל אחד מאגפי המשרד. </w:t>
      </w:r>
      <w:r w:rsidRPr="007717D4">
        <w:rPr>
          <w:rFonts w:hint="cs"/>
          <w:rtl/>
        </w:rPr>
        <w:t xml:space="preserve">היעדר </w:t>
      </w:r>
      <w:r w:rsidRPr="007717D4">
        <w:rPr>
          <w:rtl/>
        </w:rPr>
        <w:t>מנגנון כזה פוגע בעבודת המטה של המשרד בכל הנוגע לבחינת יישומן של תכניות העבודה ולבחינת השפעותיהן על השגת המטרות והיעדים ועל ביצוע הרפורמות והתהליכים שהמשרד מקדם.</w:t>
      </w:r>
    </w:p>
    <w:p w:rsidR="00F20C1A" w:rsidP="007717D4">
      <w:pPr>
        <w:spacing w:before="180" w:after="120" w:line="230" w:lineRule="exact"/>
        <w:ind w:left="340" w:hanging="340"/>
        <w:jc w:val="both"/>
        <w:outlineLvl w:val="0"/>
        <w:rPr>
          <w:rFonts w:cs="FrankRuehl"/>
          <w:sz w:val="20"/>
          <w:szCs w:val="22"/>
          <w:rtl/>
        </w:rPr>
      </w:pPr>
      <w:r>
        <w:rPr>
          <w:rFonts w:cs="FrankRuehl"/>
          <w:sz w:val="20"/>
          <w:szCs w:val="22"/>
          <w:rtl/>
        </w:rPr>
        <w:tab/>
      </w:r>
      <w:r>
        <w:rPr>
          <w:rFonts w:cs="FrankRuehl" w:hint="cs"/>
          <w:sz w:val="20"/>
          <w:szCs w:val="22"/>
          <w:rtl/>
        </w:rPr>
        <w:t xml:space="preserve">לשכת מנכ"ל משרד האוצר מסרה בתשובתה כי "לקראת בניית תכניות עבודה לשנת 2015 ייבנה תהליך מתכלל, ברמת המשרד, גם בנושא תכניות העבודה האגפיות". </w:t>
      </w:r>
    </w:p>
    <w:p w:rsidR="00F20C1A" w:rsidP="007717D4">
      <w:pPr>
        <w:spacing w:after="120" w:line="230" w:lineRule="exact"/>
        <w:ind w:left="340" w:hanging="340"/>
        <w:jc w:val="both"/>
        <w:outlineLvl w:val="0"/>
        <w:rPr>
          <w:rFonts w:cs="FrankRuehl"/>
          <w:sz w:val="20"/>
          <w:szCs w:val="22"/>
          <w:rtl/>
        </w:rPr>
      </w:pPr>
      <w:r>
        <w:rPr>
          <w:rFonts w:cs="FrankRuehl" w:hint="cs"/>
          <w:sz w:val="20"/>
          <w:szCs w:val="22"/>
          <w:rtl/>
        </w:rPr>
        <w:t xml:space="preserve">6. </w:t>
      </w:r>
      <w:r>
        <w:rPr>
          <w:rFonts w:cs="FrankRuehl" w:hint="cs"/>
          <w:sz w:val="20"/>
          <w:szCs w:val="22"/>
          <w:rtl/>
        </w:rPr>
        <w:tab/>
      </w:r>
      <w:r>
        <w:rPr>
          <w:rFonts w:cs="FrankRuehl"/>
          <w:sz w:val="20"/>
          <w:szCs w:val="22"/>
          <w:rtl/>
        </w:rPr>
        <w:t>בתקשי"ר</w:t>
      </w:r>
      <w:r>
        <w:rPr>
          <w:rStyle w:val="FootnoteReference"/>
          <w:rFonts w:ascii="FrankRuehl" w:hAnsi="FrankRuehl" w:cs="FrankRuehl"/>
          <w:sz w:val="22"/>
          <w:szCs w:val="22"/>
          <w:rtl/>
        </w:rPr>
        <w:footnoteReference w:id="12"/>
      </w:r>
      <w:r>
        <w:rPr>
          <w:rFonts w:cs="FrankRuehl" w:hint="cs"/>
          <w:sz w:val="20"/>
          <w:szCs w:val="22"/>
          <w:rtl/>
        </w:rPr>
        <w:t xml:space="preserve"> נקבע</w:t>
      </w:r>
      <w:r>
        <w:rPr>
          <w:rFonts w:cs="FrankRuehl"/>
          <w:sz w:val="20"/>
          <w:szCs w:val="22"/>
          <w:rtl/>
        </w:rPr>
        <w:t xml:space="preserve"> כי</w:t>
      </w:r>
      <w:r>
        <w:rPr>
          <w:rFonts w:cs="FrankRuehl" w:hint="cs"/>
          <w:sz w:val="20"/>
          <w:szCs w:val="22"/>
          <w:rtl/>
        </w:rPr>
        <w:t xml:space="preserve"> </w:t>
      </w:r>
      <w:r>
        <w:rPr>
          <w:rFonts w:cs="FrankRuehl"/>
          <w:sz w:val="20"/>
          <w:szCs w:val="22"/>
          <w:rtl/>
        </w:rPr>
        <w:t xml:space="preserve">הנהלות משרדי הממשלה נדרשות "להרחיב את השימוש במערכות מידע ככלי עזר ניהולי למעקב ובקרה אחר מימוש היעדים השנתיים והרב שנתיים תוך שימת דגש על זמינות מידע שהינו חיוני ללקוחות החיצוניים ולאנשי המשרד". </w:t>
      </w:r>
    </w:p>
    <w:p w:rsidR="00F20C1A" w:rsidP="007717D4">
      <w:pPr>
        <w:spacing w:after="120" w:line="230" w:lineRule="exact"/>
        <w:ind w:left="340" w:hanging="340"/>
        <w:jc w:val="both"/>
        <w:outlineLvl w:val="0"/>
        <w:rPr>
          <w:rFonts w:cs="FrankRuehl"/>
          <w:sz w:val="20"/>
          <w:szCs w:val="22"/>
          <w:rtl/>
        </w:rPr>
      </w:pPr>
      <w:r>
        <w:rPr>
          <w:rFonts w:cs="FrankRuehl" w:hint="cs"/>
          <w:sz w:val="20"/>
          <w:szCs w:val="22"/>
          <w:rtl/>
        </w:rPr>
        <w:tab/>
      </w:r>
      <w:r>
        <w:rPr>
          <w:rFonts w:cs="FrankRuehl"/>
          <w:sz w:val="20"/>
          <w:szCs w:val="22"/>
          <w:rtl/>
        </w:rPr>
        <w:t xml:space="preserve">לפי החלטת הממשלה מדצמבר 2011, "משרד ראש הממשלה בסיוע יחידת 'ממשל זמין' יקדם הטמעת מערכת ממוחשבת במשרדי הממשלה לשם ניהול תוכניות העבודה ולמעקב אחר ביצוען". מחשוב הנתונים מעניק למנהלי היחידות במשרדי הממשלה אפשרויות ניהול טובות יותר ויוצר תשתית מרכזית </w:t>
      </w:r>
      <w:r>
        <w:rPr>
          <w:rFonts w:cs="FrankRuehl" w:hint="cs"/>
          <w:sz w:val="20"/>
          <w:szCs w:val="22"/>
          <w:rtl/>
        </w:rPr>
        <w:t xml:space="preserve">המאפשרת </w:t>
      </w:r>
      <w:r>
        <w:rPr>
          <w:rFonts w:cs="FrankRuehl"/>
          <w:sz w:val="20"/>
          <w:szCs w:val="22"/>
          <w:rtl/>
        </w:rPr>
        <w:t>שיתוף פעולה בין גופים שותפים במשרד ומחוצה לו.</w:t>
      </w:r>
    </w:p>
    <w:p w:rsidR="00F20C1A" w:rsidP="007717D4">
      <w:pPr>
        <w:spacing w:after="240" w:line="230" w:lineRule="exact"/>
        <w:ind w:left="340" w:hanging="340"/>
        <w:jc w:val="both"/>
        <w:outlineLvl w:val="0"/>
        <w:rPr>
          <w:rFonts w:cs="FrankRuehl"/>
          <w:sz w:val="20"/>
          <w:szCs w:val="22"/>
          <w:rtl/>
        </w:rPr>
      </w:pPr>
      <w:r>
        <w:rPr>
          <w:rFonts w:cs="FrankRuehl" w:hint="cs"/>
          <w:sz w:val="20"/>
          <w:szCs w:val="22"/>
          <w:rtl/>
        </w:rPr>
        <w:tab/>
      </w:r>
      <w:r>
        <w:rPr>
          <w:rFonts w:cs="FrankRuehl"/>
          <w:sz w:val="20"/>
          <w:szCs w:val="22"/>
          <w:rtl/>
        </w:rPr>
        <w:t>משרד</w:t>
      </w:r>
      <w:r>
        <w:rPr>
          <w:rFonts w:cs="FrankRuehl" w:hint="cs"/>
          <w:sz w:val="20"/>
          <w:szCs w:val="22"/>
          <w:rtl/>
        </w:rPr>
        <w:t xml:space="preserve"> התעשייה, המסחר והתעסוקה</w:t>
      </w:r>
      <w:r>
        <w:rPr>
          <w:rStyle w:val="FootnoteReference"/>
          <w:rFonts w:ascii="FrankRuehl" w:hAnsi="FrankRuehl" w:cs="FrankRuehl"/>
          <w:sz w:val="22"/>
          <w:szCs w:val="22"/>
          <w:rtl/>
        </w:rPr>
        <w:footnoteReference w:id="13"/>
      </w:r>
      <w:r>
        <w:rPr>
          <w:rFonts w:cs="FrankRuehl"/>
          <w:sz w:val="20"/>
          <w:szCs w:val="22"/>
          <w:rtl/>
        </w:rPr>
        <w:t xml:space="preserve"> </w:t>
      </w:r>
      <w:r>
        <w:rPr>
          <w:rFonts w:cs="FrankRuehl" w:hint="cs"/>
          <w:sz w:val="20"/>
          <w:szCs w:val="22"/>
          <w:rtl/>
        </w:rPr>
        <w:t>(להלן - משרד התמ"ת)</w:t>
      </w:r>
      <w:r>
        <w:rPr>
          <w:rFonts w:cs="FrankRuehl"/>
          <w:sz w:val="20"/>
          <w:szCs w:val="22"/>
          <w:rtl/>
        </w:rPr>
        <w:t xml:space="preserve"> פיתח בראשית 2011 מערכת ממוחשבת</w:t>
      </w:r>
      <w:r>
        <w:rPr>
          <w:rFonts w:cs="FrankRuehl" w:hint="cs"/>
          <w:sz w:val="20"/>
          <w:szCs w:val="22"/>
          <w:rtl/>
        </w:rPr>
        <w:t xml:space="preserve"> לתכנון ממשלתי רוחבי (</w:t>
      </w:r>
      <w:r>
        <w:rPr>
          <w:rFonts w:cs="FrankRuehl"/>
          <w:sz w:val="20"/>
          <w:szCs w:val="22"/>
          <w:rtl/>
        </w:rPr>
        <w:t xml:space="preserve">תמ"ר). המערכת הוטמעה בכמה משרדי ממשלה ומאפשרת להם מעקב ובקרה על תכניות עבודה. במדריך התכנון נכתב על מערכת זו: "משרד התמ"ת... אפיין ופיתח מערכת ממוחשבת לניהול תוכניות עבודה, המהווה רכיב משמעותי בגישה המשרדית לניהול ממוקד מטרה. המערכת אינטרנטית, תומכת במתודולוגיית התכנון הממשלתית ומיועדת לניהול, לתכנון ולביצוע תוכניות העבודה המפורטות של יחידות המשרד. יתרונה הגדול של המערכת הוא ביכולתה להפוך את תוכניות העבודה לכלי ניהולי אפקטיבי... בעזרת המערכת ניתן לעקוב אחר ביצוע המשימות, למדוד את התפוקות והתוצאות ולראות בכל שלב את מידת התקדמות המשרד לקראת מימוש יעדיו והגשמת מטרותיו. יתרון נוסף של המערכת טמון בכך שהיא מאפשרת את שימור הידע ואת זמינותו. כמו כן, משמשת המערכת זרז ל-'משילות נכונה' על ידי מתן אפשרות לשקיפות התכנון והביצוע הן כלפי פנים והן כלפי חוץ". </w:t>
      </w:r>
    </w:p>
    <w:p w:rsidR="00F20C1A" w:rsidP="007717D4">
      <w:pPr>
        <w:pStyle w:val="RESHET"/>
        <w:ind w:left="567"/>
        <w:rPr>
          <w:rtl/>
        </w:rPr>
      </w:pPr>
      <w:r>
        <w:rPr>
          <w:rtl/>
        </w:rPr>
        <w:t xml:space="preserve">נמצא כי משרד האוצר </w:t>
      </w:r>
      <w:r>
        <w:rPr>
          <w:rFonts w:hint="cs"/>
          <w:rtl/>
        </w:rPr>
        <w:t>-</w:t>
      </w:r>
      <w:r>
        <w:rPr>
          <w:rtl/>
        </w:rPr>
        <w:t xml:space="preserve"> משרד מטה מרכזי העובד עם כל משרדי הממשלה באופן שוטף </w:t>
      </w:r>
      <w:r>
        <w:rPr>
          <w:rFonts w:hint="cs"/>
          <w:rtl/>
        </w:rPr>
        <w:t>-</w:t>
      </w:r>
      <w:r>
        <w:rPr>
          <w:rtl/>
        </w:rPr>
        <w:t xml:space="preserve"> טרם הטמיע מערכת לניהול תכניות </w:t>
      </w:r>
      <w:r>
        <w:rPr>
          <w:rFonts w:hint="cs"/>
          <w:rtl/>
        </w:rPr>
        <w:t>ה</w:t>
      </w:r>
      <w:r>
        <w:rPr>
          <w:rtl/>
        </w:rPr>
        <w:t xml:space="preserve">עבודה באגפיו השונים. מערכת </w:t>
      </w:r>
      <w:r>
        <w:rPr>
          <w:rFonts w:hint="cs"/>
          <w:rtl/>
        </w:rPr>
        <w:t>כ</w:t>
      </w:r>
      <w:r>
        <w:rPr>
          <w:rtl/>
        </w:rPr>
        <w:t xml:space="preserve">זו, אם וכאשר תוטמע בכל אגפי המשרד, יכולה לייעל במידה ניכרת את התכנון, </w:t>
      </w:r>
      <w:r>
        <w:rPr>
          <w:rFonts w:hint="cs"/>
          <w:rtl/>
        </w:rPr>
        <w:t xml:space="preserve">את </w:t>
      </w:r>
      <w:r>
        <w:rPr>
          <w:rtl/>
        </w:rPr>
        <w:t>הבקרה ו</w:t>
      </w:r>
      <w:r>
        <w:rPr>
          <w:rFonts w:hint="cs"/>
          <w:rtl/>
        </w:rPr>
        <w:t xml:space="preserve">את </w:t>
      </w:r>
      <w:r>
        <w:rPr>
          <w:rtl/>
        </w:rPr>
        <w:t xml:space="preserve">שיתוף הפעולה </w:t>
      </w:r>
      <w:r>
        <w:rPr>
          <w:rFonts w:hint="cs"/>
          <w:rtl/>
        </w:rPr>
        <w:t>ב</w:t>
      </w:r>
      <w:r>
        <w:rPr>
          <w:rtl/>
        </w:rPr>
        <w:t>משרד.</w:t>
      </w:r>
    </w:p>
    <w:p w:rsidR="00F20C1A" w:rsidP="007717D4">
      <w:pPr>
        <w:spacing w:before="180" w:after="120" w:line="230" w:lineRule="exact"/>
        <w:ind w:left="340" w:hanging="340"/>
        <w:jc w:val="both"/>
        <w:outlineLvl w:val="0"/>
        <w:rPr>
          <w:rFonts w:cs="FrankRuehl"/>
          <w:sz w:val="20"/>
          <w:szCs w:val="22"/>
          <w:rtl/>
        </w:rPr>
      </w:pPr>
      <w:r>
        <w:rPr>
          <w:rFonts w:cs="FrankRuehl"/>
          <w:sz w:val="20"/>
          <w:szCs w:val="22"/>
          <w:rtl/>
        </w:rPr>
        <w:tab/>
      </w:r>
      <w:r>
        <w:rPr>
          <w:rFonts w:cs="FrankRuehl" w:hint="cs"/>
          <w:sz w:val="20"/>
          <w:szCs w:val="22"/>
          <w:rtl/>
        </w:rPr>
        <w:t xml:space="preserve">לשכת מנכ"לית משרד האוצר מסרה בתשובתה כי </w:t>
      </w:r>
      <w:r>
        <w:rPr>
          <w:rFonts w:cs="FrankRuehl"/>
          <w:sz w:val="20"/>
          <w:szCs w:val="22"/>
          <w:rtl/>
        </w:rPr>
        <w:t xml:space="preserve">בכוונת </w:t>
      </w:r>
      <w:r>
        <w:rPr>
          <w:rFonts w:cs="FrankRuehl" w:hint="cs"/>
          <w:sz w:val="20"/>
          <w:szCs w:val="22"/>
          <w:rtl/>
        </w:rPr>
        <w:t>ה</w:t>
      </w:r>
      <w:r>
        <w:rPr>
          <w:rFonts w:cs="FrankRuehl"/>
          <w:sz w:val="20"/>
          <w:szCs w:val="22"/>
          <w:rtl/>
        </w:rPr>
        <w:t xml:space="preserve">מנכ"לית </w:t>
      </w:r>
      <w:r>
        <w:rPr>
          <w:rFonts w:cs="FrankRuehl" w:hint="eastAsia"/>
          <w:sz w:val="20"/>
          <w:szCs w:val="22"/>
          <w:rtl/>
        </w:rPr>
        <w:t>לקבוע</w:t>
      </w:r>
      <w:r>
        <w:rPr>
          <w:rFonts w:cs="FrankRuehl"/>
          <w:sz w:val="20"/>
          <w:szCs w:val="22"/>
          <w:rtl/>
        </w:rPr>
        <w:t xml:space="preserve"> </w:t>
      </w:r>
      <w:r>
        <w:rPr>
          <w:rFonts w:cs="FrankRuehl" w:hint="eastAsia"/>
          <w:sz w:val="20"/>
          <w:szCs w:val="22"/>
          <w:rtl/>
        </w:rPr>
        <w:t>מערכת</w:t>
      </w:r>
      <w:r>
        <w:rPr>
          <w:rFonts w:cs="FrankRuehl"/>
          <w:sz w:val="20"/>
          <w:szCs w:val="22"/>
          <w:rtl/>
        </w:rPr>
        <w:t xml:space="preserve"> אחידה </w:t>
      </w:r>
      <w:r>
        <w:rPr>
          <w:rFonts w:cs="FrankRuehl" w:hint="eastAsia"/>
          <w:sz w:val="20"/>
          <w:szCs w:val="22"/>
          <w:rtl/>
        </w:rPr>
        <w:t>לניהול</w:t>
      </w:r>
      <w:r>
        <w:rPr>
          <w:rFonts w:cs="FrankRuehl"/>
          <w:sz w:val="20"/>
          <w:szCs w:val="22"/>
          <w:rtl/>
        </w:rPr>
        <w:t xml:space="preserve"> </w:t>
      </w:r>
      <w:r>
        <w:rPr>
          <w:rFonts w:cs="FrankRuehl" w:hint="eastAsia"/>
          <w:sz w:val="20"/>
          <w:szCs w:val="22"/>
          <w:rtl/>
        </w:rPr>
        <w:t>תכניות</w:t>
      </w:r>
      <w:r>
        <w:rPr>
          <w:rFonts w:cs="FrankRuehl"/>
          <w:sz w:val="20"/>
          <w:szCs w:val="22"/>
          <w:rtl/>
        </w:rPr>
        <w:t xml:space="preserve"> </w:t>
      </w:r>
      <w:r>
        <w:rPr>
          <w:rFonts w:cs="FrankRuehl" w:hint="cs"/>
          <w:sz w:val="20"/>
          <w:szCs w:val="22"/>
          <w:rtl/>
        </w:rPr>
        <w:t>ה</w:t>
      </w:r>
      <w:r>
        <w:rPr>
          <w:rFonts w:cs="FrankRuehl" w:hint="eastAsia"/>
          <w:sz w:val="20"/>
          <w:szCs w:val="22"/>
          <w:rtl/>
        </w:rPr>
        <w:t>עבודה</w:t>
      </w:r>
      <w:r>
        <w:rPr>
          <w:rFonts w:cs="FrankRuehl"/>
          <w:sz w:val="20"/>
          <w:szCs w:val="22"/>
          <w:rtl/>
        </w:rPr>
        <w:t xml:space="preserve"> ש</w:t>
      </w:r>
      <w:r>
        <w:rPr>
          <w:rFonts w:cs="FrankRuehl" w:hint="eastAsia"/>
          <w:sz w:val="20"/>
          <w:szCs w:val="22"/>
          <w:rtl/>
        </w:rPr>
        <w:t>תאפשר</w:t>
      </w:r>
      <w:r>
        <w:rPr>
          <w:rFonts w:cs="FrankRuehl"/>
          <w:sz w:val="20"/>
          <w:szCs w:val="22"/>
          <w:rtl/>
        </w:rPr>
        <w:t xml:space="preserve"> </w:t>
      </w:r>
      <w:r>
        <w:rPr>
          <w:rFonts w:cs="FrankRuehl" w:hint="eastAsia"/>
          <w:sz w:val="20"/>
          <w:szCs w:val="22"/>
          <w:rtl/>
        </w:rPr>
        <w:t>בקרה</w:t>
      </w:r>
      <w:r>
        <w:rPr>
          <w:rFonts w:cs="FrankRuehl"/>
          <w:sz w:val="20"/>
          <w:szCs w:val="22"/>
          <w:rtl/>
        </w:rPr>
        <w:t xml:space="preserve"> </w:t>
      </w:r>
      <w:r>
        <w:rPr>
          <w:rFonts w:cs="FrankRuehl" w:hint="eastAsia"/>
          <w:sz w:val="20"/>
          <w:szCs w:val="22"/>
          <w:rtl/>
        </w:rPr>
        <w:t>גם</w:t>
      </w:r>
      <w:r>
        <w:rPr>
          <w:rFonts w:cs="FrankRuehl"/>
          <w:sz w:val="20"/>
          <w:szCs w:val="22"/>
          <w:rtl/>
        </w:rPr>
        <w:t xml:space="preserve"> </w:t>
      </w:r>
      <w:r>
        <w:rPr>
          <w:rFonts w:cs="FrankRuehl" w:hint="eastAsia"/>
          <w:sz w:val="20"/>
          <w:szCs w:val="22"/>
          <w:rtl/>
        </w:rPr>
        <w:t>ברמה</w:t>
      </w:r>
      <w:r>
        <w:rPr>
          <w:rFonts w:cs="FrankRuehl"/>
          <w:sz w:val="20"/>
          <w:szCs w:val="22"/>
          <w:rtl/>
        </w:rPr>
        <w:t xml:space="preserve"> </w:t>
      </w:r>
      <w:r>
        <w:rPr>
          <w:rFonts w:cs="FrankRuehl" w:hint="eastAsia"/>
          <w:sz w:val="20"/>
          <w:szCs w:val="22"/>
          <w:rtl/>
        </w:rPr>
        <w:t>האגפית</w:t>
      </w:r>
      <w:r>
        <w:rPr>
          <w:rFonts w:cs="FrankRuehl"/>
          <w:sz w:val="20"/>
          <w:szCs w:val="22"/>
          <w:rtl/>
        </w:rPr>
        <w:t>.</w:t>
      </w:r>
    </w:p>
    <w:p w:rsidR="00F20C1A">
      <w:pPr>
        <w:spacing w:after="120" w:line="230" w:lineRule="exact"/>
        <w:jc w:val="both"/>
        <w:rPr>
          <w:rFonts w:cs="FrankRuehl"/>
          <w:sz w:val="20"/>
          <w:szCs w:val="22"/>
          <w:lang w:eastAsia="he-IL"/>
        </w:rPr>
      </w:pPr>
    </w:p>
    <w:p w:rsidR="00F20C1A">
      <w:pPr>
        <w:spacing w:after="120" w:line="230" w:lineRule="exact"/>
        <w:jc w:val="both"/>
        <w:rPr>
          <w:rFonts w:cs="FrankRuehl"/>
          <w:sz w:val="20"/>
          <w:szCs w:val="22"/>
          <w:lang w:eastAsia="he-IL"/>
        </w:rPr>
      </w:pPr>
    </w:p>
    <w:p w:rsidR="00F20C1A">
      <w:pPr>
        <w:pStyle w:val="KOT4"/>
        <w:rPr>
          <w:rtl/>
        </w:rPr>
      </w:pPr>
      <w:r>
        <w:rPr>
          <w:rtl/>
        </w:rPr>
        <w:t>תכניות העבודה באגפי משרד האוצר</w:t>
      </w:r>
    </w:p>
    <w:p w:rsidR="00F20C1A">
      <w:pPr>
        <w:pStyle w:val="KOT5"/>
        <w:rPr>
          <w:rtl/>
        </w:rPr>
      </w:pPr>
      <w:r>
        <w:rPr>
          <w:rtl/>
        </w:rPr>
        <w:t xml:space="preserve">הכנת תכניות עבודה </w:t>
      </w:r>
      <w:r>
        <w:rPr>
          <w:rFonts w:hint="eastAsia"/>
          <w:rtl/>
        </w:rPr>
        <w:t>באגפי</w:t>
      </w:r>
      <w:r>
        <w:rPr>
          <w:rtl/>
        </w:rPr>
        <w:t xml:space="preserve"> משרד האוצר</w:t>
      </w:r>
    </w:p>
    <w:p w:rsidR="00F20C1A" w:rsidP="007717D4">
      <w:pPr>
        <w:spacing w:after="240" w:line="230" w:lineRule="exact"/>
        <w:jc w:val="both"/>
        <w:rPr>
          <w:rFonts w:cs="FrankRuehl"/>
          <w:sz w:val="20"/>
          <w:szCs w:val="22"/>
          <w:rtl/>
        </w:rPr>
      </w:pPr>
      <w:r>
        <w:rPr>
          <w:rFonts w:cs="FrankRuehl"/>
          <w:sz w:val="20"/>
          <w:szCs w:val="22"/>
          <w:rtl/>
        </w:rPr>
        <w:t xml:space="preserve">במדריך התכנון נקבע כי "עיגון החשיבה התוצאתית בעבודת הממשלה מסייע בתהליכי קבלת החלטות ומאפשר לשדרג משמעותית את יכולת המעקב והבקרה אחרי ביצוע משרדי הממשלה. במקביל לכל אלה, מגבירה החשיבה התוצאתית את שקיפות פעולות הממשלה כלפי הציבור". </w:t>
      </w:r>
    </w:p>
    <w:p w:rsidR="00F20C1A" w:rsidP="007717D4">
      <w:pPr>
        <w:pStyle w:val="RESHET"/>
        <w:rPr>
          <w:rtl/>
        </w:rPr>
      </w:pPr>
      <w:r>
        <w:rPr>
          <w:rtl/>
        </w:rPr>
        <w:t>בדיקת משרד מבקר המדינה העלתה, כי אף שמדריך התכנון הופץ למשרדי הממשלה כבר בסוף שנת 2007 ועל פי החלטת הממשלה</w:t>
      </w:r>
      <w:r>
        <w:rPr>
          <w:rFonts w:hint="cs"/>
          <w:rtl/>
        </w:rPr>
        <w:t xml:space="preserve"> מסוף 2011</w:t>
      </w:r>
      <w:r>
        <w:rPr>
          <w:rtl/>
        </w:rPr>
        <w:t xml:space="preserve"> הם חויבו לפעול על פיו, ולמרות החשיבות שבקיומו של תהליך סדור ושיטתי להכנת תכניות עבודה שנתיות, במשרד האוצר טרם הושלם תהליך זה. נמצא כי קיימים הבדלים ניכרים בין האגפים והלשכות השונות במשרד האוצר באופן הכנתן והצגתן של תכניות</w:t>
      </w:r>
      <w:r>
        <w:rPr>
          <w:color w:val="FF0000"/>
          <w:rtl/>
        </w:rPr>
        <w:t xml:space="preserve"> </w:t>
      </w:r>
      <w:r>
        <w:rPr>
          <w:rtl/>
        </w:rPr>
        <w:t>העבודה ובהטמעת המתודולוגיה של מדריך התכנון בתכניות אלו. להלן כמה דוגמאות:</w:t>
      </w:r>
    </w:p>
    <w:p w:rsidR="00F20C1A" w:rsidP="007717D4">
      <w:pPr>
        <w:spacing w:before="180" w:after="120" w:line="230" w:lineRule="exact"/>
        <w:ind w:left="340" w:hanging="340"/>
        <w:jc w:val="both"/>
        <w:rPr>
          <w:rFonts w:cs="FrankRuehl"/>
          <w:sz w:val="20"/>
          <w:szCs w:val="22"/>
          <w:rtl/>
        </w:rPr>
      </w:pPr>
      <w:r>
        <w:rPr>
          <w:rFonts w:cs="FrankRuehl" w:hint="cs"/>
          <w:sz w:val="20"/>
          <w:szCs w:val="22"/>
          <w:rtl/>
        </w:rPr>
        <w:t>1</w:t>
      </w:r>
      <w:r>
        <w:rPr>
          <w:rFonts w:cs="FrankRuehl"/>
          <w:sz w:val="20"/>
          <w:szCs w:val="22"/>
          <w:rtl/>
        </w:rPr>
        <w:t xml:space="preserve">. </w:t>
      </w:r>
      <w:r>
        <w:rPr>
          <w:rFonts w:cs="FrankRuehl" w:hint="cs"/>
          <w:sz w:val="20"/>
          <w:szCs w:val="22"/>
          <w:rtl/>
        </w:rPr>
        <w:tab/>
      </w:r>
      <w:r>
        <w:rPr>
          <w:rFonts w:cs="FrankRuehl"/>
          <w:sz w:val="20"/>
          <w:szCs w:val="22"/>
          <w:rtl/>
        </w:rPr>
        <w:t xml:space="preserve">יש תכניות עבודה שאינן כוללות פרטים בסיסיים, כגון פירוט המשימות, לוחות הזמנים והשותפים והאחראים לביצוען. כך למשל עולה מתכניות העבודה של הלשכה המשפטית. גם </w:t>
      </w:r>
      <w:r>
        <w:rPr>
          <w:rFonts w:cs="FrankRuehl" w:hint="cs"/>
          <w:sz w:val="20"/>
          <w:szCs w:val="22"/>
          <w:rtl/>
        </w:rPr>
        <w:t xml:space="preserve">למטה </w:t>
      </w:r>
      <w:r>
        <w:rPr>
          <w:rFonts w:cs="FrankRuehl"/>
          <w:sz w:val="20"/>
          <w:szCs w:val="22"/>
          <w:rtl/>
        </w:rPr>
        <w:t xml:space="preserve">התקשוב יש תכניות עבודה שאינן כוללות פירוט של האחראים ושל השותפים ולוחות </w:t>
      </w:r>
      <w:r>
        <w:rPr>
          <w:rFonts w:cs="FrankRuehl" w:hint="cs"/>
          <w:sz w:val="20"/>
          <w:szCs w:val="22"/>
          <w:rtl/>
        </w:rPr>
        <w:t>ה</w:t>
      </w:r>
      <w:r>
        <w:rPr>
          <w:rFonts w:cs="FrankRuehl"/>
          <w:sz w:val="20"/>
          <w:szCs w:val="22"/>
          <w:rtl/>
        </w:rPr>
        <w:t>זמנים לביצוע המשימ</w:t>
      </w:r>
      <w:r>
        <w:rPr>
          <w:rFonts w:cs="FrankRuehl" w:hint="cs"/>
          <w:sz w:val="20"/>
          <w:szCs w:val="22"/>
          <w:rtl/>
        </w:rPr>
        <w:t>ות</w:t>
      </w:r>
      <w:r>
        <w:rPr>
          <w:rFonts w:cs="FrankRuehl"/>
          <w:sz w:val="20"/>
          <w:szCs w:val="22"/>
          <w:rtl/>
        </w:rPr>
        <w:t xml:space="preserve">. </w:t>
      </w:r>
    </w:p>
    <w:p w:rsidR="00F20C1A" w:rsidP="007717D4">
      <w:pPr>
        <w:spacing w:after="120" w:line="230" w:lineRule="exact"/>
        <w:ind w:left="340" w:hanging="340"/>
        <w:jc w:val="both"/>
        <w:outlineLvl w:val="0"/>
        <w:rPr>
          <w:rFonts w:cs="FrankRuehl"/>
          <w:sz w:val="20"/>
          <w:szCs w:val="22"/>
          <w:rtl/>
        </w:rPr>
      </w:pPr>
      <w:r>
        <w:rPr>
          <w:rFonts w:cs="FrankRuehl" w:hint="cs"/>
          <w:sz w:val="20"/>
          <w:szCs w:val="22"/>
          <w:rtl/>
        </w:rPr>
        <w:t xml:space="preserve">2. </w:t>
      </w:r>
      <w:r>
        <w:rPr>
          <w:rFonts w:cs="FrankRuehl" w:hint="cs"/>
          <w:sz w:val="20"/>
          <w:szCs w:val="22"/>
          <w:rtl/>
        </w:rPr>
        <w:tab/>
      </w:r>
      <w:r>
        <w:rPr>
          <w:rFonts w:cs="FrankRuehl"/>
          <w:sz w:val="20"/>
          <w:szCs w:val="22"/>
          <w:rtl/>
        </w:rPr>
        <w:t>מעיון בתכניות העבודה</w:t>
      </w:r>
      <w:r>
        <w:rPr>
          <w:rFonts w:cs="FrankRuehl" w:hint="cs"/>
          <w:sz w:val="20"/>
          <w:szCs w:val="22"/>
          <w:rtl/>
        </w:rPr>
        <w:t xml:space="preserve"> </w:t>
      </w:r>
      <w:r>
        <w:rPr>
          <w:rFonts w:cs="FrankRuehl"/>
          <w:sz w:val="20"/>
          <w:szCs w:val="22"/>
          <w:rtl/>
        </w:rPr>
        <w:t xml:space="preserve">בכל האגפים והלשכות שנבדקו </w:t>
      </w:r>
      <w:r>
        <w:rPr>
          <w:rFonts w:cs="FrankRuehl" w:hint="cs"/>
          <w:sz w:val="20"/>
          <w:szCs w:val="22"/>
          <w:rtl/>
        </w:rPr>
        <w:t>עולה</w:t>
      </w:r>
      <w:r>
        <w:rPr>
          <w:rFonts w:cs="FrankRuehl"/>
          <w:sz w:val="20"/>
          <w:szCs w:val="22"/>
          <w:rtl/>
        </w:rPr>
        <w:t xml:space="preserve"> כי יש משימות </w:t>
      </w:r>
      <w:r>
        <w:rPr>
          <w:rFonts w:cs="FrankRuehl" w:hint="eastAsia"/>
          <w:sz w:val="20"/>
          <w:szCs w:val="22"/>
          <w:rtl/>
        </w:rPr>
        <w:t>שניסוחן</w:t>
      </w:r>
      <w:r>
        <w:rPr>
          <w:rFonts w:cs="FrankRuehl"/>
          <w:sz w:val="20"/>
          <w:szCs w:val="22"/>
          <w:rtl/>
        </w:rPr>
        <w:t xml:space="preserve"> אינו </w:t>
      </w:r>
      <w:r>
        <w:rPr>
          <w:rFonts w:cs="FrankRuehl" w:hint="eastAsia"/>
          <w:sz w:val="20"/>
          <w:szCs w:val="22"/>
          <w:rtl/>
        </w:rPr>
        <w:t>בגדר</w:t>
      </w:r>
      <w:r>
        <w:rPr>
          <w:rFonts w:cs="FrankRuehl"/>
          <w:sz w:val="20"/>
          <w:szCs w:val="22"/>
          <w:rtl/>
        </w:rPr>
        <w:t xml:space="preserve"> </w:t>
      </w:r>
      <w:r>
        <w:rPr>
          <w:rFonts w:cs="FrankRuehl" w:hint="eastAsia"/>
          <w:sz w:val="20"/>
          <w:szCs w:val="22"/>
          <w:rtl/>
        </w:rPr>
        <w:t>הוראות</w:t>
      </w:r>
      <w:r>
        <w:rPr>
          <w:rFonts w:cs="FrankRuehl"/>
          <w:sz w:val="20"/>
          <w:szCs w:val="22"/>
          <w:rtl/>
        </w:rPr>
        <w:t xml:space="preserve"> ברורות לביצוע פעולות, וכי יש הבדלים באופן הצגת המשימות והיעדים לא רק בין האגפים השונים, אלא גם בין יחידות וצוותים בתוך האגפים. </w:t>
      </w:r>
    </w:p>
    <w:p w:rsidR="00F20C1A" w:rsidP="007717D4">
      <w:pPr>
        <w:spacing w:after="120" w:line="230" w:lineRule="exact"/>
        <w:ind w:left="340" w:hanging="340"/>
        <w:jc w:val="both"/>
        <w:outlineLvl w:val="0"/>
        <w:rPr>
          <w:rFonts w:cs="FrankRuehl"/>
          <w:sz w:val="20"/>
          <w:szCs w:val="22"/>
          <w:rtl/>
        </w:rPr>
      </w:pPr>
      <w:r>
        <w:rPr>
          <w:rFonts w:cs="FrankRuehl" w:hint="cs"/>
          <w:sz w:val="20"/>
          <w:szCs w:val="22"/>
          <w:rtl/>
        </w:rPr>
        <w:t>3.</w:t>
      </w:r>
      <w:r>
        <w:rPr>
          <w:rFonts w:cs="FrankRuehl" w:hint="cs"/>
          <w:sz w:val="20"/>
          <w:szCs w:val="22"/>
          <w:rtl/>
        </w:rPr>
        <w:tab/>
      </w:r>
      <w:r>
        <w:rPr>
          <w:rFonts w:cs="FrankRuehl"/>
          <w:sz w:val="20"/>
          <w:szCs w:val="22"/>
          <w:rtl/>
        </w:rPr>
        <w:t xml:space="preserve">ברוב תכניות העבודה של האגפים שנבדקו לא </w:t>
      </w:r>
      <w:r>
        <w:rPr>
          <w:rFonts w:cs="FrankRuehl" w:hint="cs"/>
          <w:sz w:val="20"/>
          <w:szCs w:val="22"/>
          <w:rtl/>
        </w:rPr>
        <w:t>נקבעו סדרי עדיפויות ל</w:t>
      </w:r>
      <w:r>
        <w:rPr>
          <w:rFonts w:cs="FrankRuehl"/>
          <w:sz w:val="20"/>
          <w:szCs w:val="22"/>
          <w:rtl/>
        </w:rPr>
        <w:t>משימות, וגם בענ</w:t>
      </w:r>
      <w:r>
        <w:rPr>
          <w:rFonts w:cs="FrankRuehl" w:hint="cs"/>
          <w:sz w:val="20"/>
          <w:szCs w:val="22"/>
          <w:rtl/>
        </w:rPr>
        <w:t>י</w:t>
      </w:r>
      <w:r>
        <w:rPr>
          <w:rFonts w:cs="FrankRuehl"/>
          <w:sz w:val="20"/>
          <w:szCs w:val="22"/>
          <w:rtl/>
        </w:rPr>
        <w:t xml:space="preserve">ין זה </w:t>
      </w:r>
      <w:r>
        <w:rPr>
          <w:rFonts w:cs="FrankRuehl" w:hint="cs"/>
          <w:sz w:val="20"/>
          <w:szCs w:val="22"/>
          <w:rtl/>
        </w:rPr>
        <w:t xml:space="preserve">אין אחידות </w:t>
      </w:r>
      <w:r>
        <w:rPr>
          <w:rFonts w:cs="FrankRuehl"/>
          <w:sz w:val="20"/>
          <w:szCs w:val="22"/>
          <w:rtl/>
        </w:rPr>
        <w:t>בין היחידות או הצוותים בתוך האגפים. כך למשל, כמה צוותים באגף התקציבים ובאגף הכלכלן הראשי נוהגים לתעדף את המשימות בתכנית העבודה</w:t>
      </w:r>
      <w:r>
        <w:rPr>
          <w:rFonts w:cs="FrankRuehl" w:hint="cs"/>
          <w:sz w:val="20"/>
          <w:szCs w:val="22"/>
          <w:rtl/>
        </w:rPr>
        <w:t xml:space="preserve"> - לא כך</w:t>
      </w:r>
      <w:r>
        <w:rPr>
          <w:rFonts w:cs="FrankRuehl"/>
          <w:sz w:val="20"/>
          <w:szCs w:val="22"/>
          <w:rtl/>
        </w:rPr>
        <w:t xml:space="preserve"> בשאר </w:t>
      </w:r>
      <w:r>
        <w:rPr>
          <w:rFonts w:cs="FrankRuehl" w:hint="cs"/>
          <w:sz w:val="20"/>
          <w:szCs w:val="22"/>
          <w:rtl/>
        </w:rPr>
        <w:t>הצוותים ו</w:t>
      </w:r>
      <w:r>
        <w:rPr>
          <w:rFonts w:cs="FrankRuehl"/>
          <w:sz w:val="20"/>
          <w:szCs w:val="22"/>
          <w:rtl/>
        </w:rPr>
        <w:t xml:space="preserve">האגפים שנבדקו. </w:t>
      </w:r>
    </w:p>
    <w:p w:rsidR="00F20C1A" w:rsidP="007717D4">
      <w:pPr>
        <w:spacing w:after="120" w:line="230" w:lineRule="exact"/>
        <w:ind w:left="340" w:hanging="340"/>
        <w:jc w:val="both"/>
        <w:outlineLvl w:val="0"/>
        <w:rPr>
          <w:rFonts w:cs="FrankRuehl"/>
          <w:sz w:val="20"/>
          <w:szCs w:val="22"/>
          <w:rtl/>
        </w:rPr>
      </w:pPr>
      <w:r>
        <w:rPr>
          <w:rFonts w:cs="FrankRuehl" w:hint="cs"/>
          <w:sz w:val="20"/>
          <w:szCs w:val="22"/>
          <w:rtl/>
        </w:rPr>
        <w:t>4</w:t>
      </w:r>
      <w:r>
        <w:rPr>
          <w:rFonts w:cs="FrankRuehl"/>
          <w:sz w:val="20"/>
          <w:szCs w:val="22"/>
          <w:rtl/>
        </w:rPr>
        <w:t xml:space="preserve">. </w:t>
      </w:r>
      <w:r>
        <w:rPr>
          <w:rFonts w:cs="FrankRuehl" w:hint="cs"/>
          <w:sz w:val="20"/>
          <w:szCs w:val="22"/>
          <w:rtl/>
        </w:rPr>
        <w:tab/>
      </w:r>
      <w:r>
        <w:rPr>
          <w:rFonts w:cs="FrankRuehl"/>
          <w:sz w:val="20"/>
          <w:szCs w:val="22"/>
          <w:rtl/>
        </w:rPr>
        <w:t xml:space="preserve">יש אגפים שאינם מפרטים </w:t>
      </w:r>
      <w:r>
        <w:rPr>
          <w:rFonts w:cs="FrankRuehl" w:hint="cs"/>
          <w:sz w:val="20"/>
          <w:szCs w:val="22"/>
          <w:rtl/>
        </w:rPr>
        <w:t>את שלבי ה</w:t>
      </w:r>
      <w:r>
        <w:rPr>
          <w:rFonts w:cs="FrankRuehl"/>
          <w:sz w:val="20"/>
          <w:szCs w:val="22"/>
          <w:rtl/>
        </w:rPr>
        <w:t xml:space="preserve">התארגנות </w:t>
      </w:r>
      <w:r>
        <w:rPr>
          <w:rFonts w:cs="FrankRuehl" w:hint="cs"/>
          <w:sz w:val="20"/>
          <w:szCs w:val="22"/>
          <w:rtl/>
        </w:rPr>
        <w:t xml:space="preserve">ואת </w:t>
      </w:r>
      <w:r>
        <w:rPr>
          <w:rFonts w:cs="FrankRuehl"/>
          <w:sz w:val="20"/>
          <w:szCs w:val="22"/>
          <w:rtl/>
        </w:rPr>
        <w:t xml:space="preserve">מדדי </w:t>
      </w:r>
      <w:r>
        <w:rPr>
          <w:rFonts w:cs="FrankRuehl" w:hint="cs"/>
          <w:sz w:val="20"/>
          <w:szCs w:val="22"/>
          <w:rtl/>
        </w:rPr>
        <w:t>התפוקה וה</w:t>
      </w:r>
      <w:r>
        <w:rPr>
          <w:rFonts w:cs="FrankRuehl"/>
          <w:sz w:val="20"/>
          <w:szCs w:val="22"/>
          <w:rtl/>
        </w:rPr>
        <w:t xml:space="preserve">תוצאה. כך למשל בתכניות העבודה של הלשכה המשפטית, של חלק מיחידות אגף הכלכלן הראשי ושל </w:t>
      </w:r>
      <w:r>
        <w:rPr>
          <w:rFonts w:cs="FrankRuehl" w:hint="cs"/>
          <w:sz w:val="20"/>
          <w:szCs w:val="22"/>
          <w:rtl/>
        </w:rPr>
        <w:t xml:space="preserve">מטה </w:t>
      </w:r>
      <w:r>
        <w:rPr>
          <w:rFonts w:cs="FrankRuehl"/>
          <w:sz w:val="20"/>
          <w:szCs w:val="22"/>
          <w:rtl/>
        </w:rPr>
        <w:t>התקשוב. נוסף על כך, בתכניות העבודה של אגפים מסוימים אין מדדי תפוקה כמותיים, אף שהדבר אפשרי ונחוץ לפיקוח ו</w:t>
      </w:r>
      <w:r>
        <w:rPr>
          <w:rFonts w:cs="FrankRuehl" w:hint="cs"/>
          <w:sz w:val="20"/>
          <w:szCs w:val="22"/>
          <w:rtl/>
        </w:rPr>
        <w:t>ל</w:t>
      </w:r>
      <w:r>
        <w:rPr>
          <w:rFonts w:cs="FrankRuehl"/>
          <w:sz w:val="20"/>
          <w:szCs w:val="22"/>
          <w:rtl/>
        </w:rPr>
        <w:t xml:space="preserve">בקרה על השגת היעדים. כך למשל </w:t>
      </w:r>
      <w:r>
        <w:rPr>
          <w:rFonts w:cs="FrankRuehl" w:hint="cs"/>
          <w:sz w:val="20"/>
          <w:szCs w:val="22"/>
          <w:rtl/>
        </w:rPr>
        <w:t>הם נעדרים מ</w:t>
      </w:r>
      <w:r>
        <w:rPr>
          <w:rFonts w:cs="FrankRuehl"/>
          <w:sz w:val="20"/>
          <w:szCs w:val="22"/>
          <w:rtl/>
        </w:rPr>
        <w:t xml:space="preserve">תכניות העבודה של אגף המינהל </w:t>
      </w:r>
      <w:r>
        <w:rPr>
          <w:rFonts w:cs="FrankRuehl" w:hint="cs"/>
          <w:sz w:val="20"/>
          <w:szCs w:val="22"/>
          <w:rtl/>
        </w:rPr>
        <w:t>ו</w:t>
      </w:r>
      <w:r>
        <w:rPr>
          <w:rFonts w:cs="FrankRuehl"/>
          <w:sz w:val="20"/>
          <w:szCs w:val="22"/>
          <w:rtl/>
        </w:rPr>
        <w:t>מחלק מתכניות העבודה של</w:t>
      </w:r>
      <w:r>
        <w:rPr>
          <w:rFonts w:cs="FrankRuehl" w:hint="cs"/>
          <w:sz w:val="20"/>
          <w:szCs w:val="22"/>
          <w:rtl/>
        </w:rPr>
        <w:t xml:space="preserve"> </w:t>
      </w:r>
      <w:r>
        <w:rPr>
          <w:rFonts w:cs="FrankRuehl"/>
          <w:sz w:val="20"/>
          <w:szCs w:val="22"/>
          <w:rtl/>
        </w:rPr>
        <w:t xml:space="preserve">אגף החשב הכללי. </w:t>
      </w:r>
    </w:p>
    <w:p w:rsidR="00F20C1A" w:rsidP="007717D4">
      <w:pPr>
        <w:spacing w:after="120" w:line="230" w:lineRule="exact"/>
        <w:ind w:left="340" w:hanging="340"/>
        <w:jc w:val="both"/>
        <w:outlineLvl w:val="0"/>
        <w:rPr>
          <w:rFonts w:cs="FrankRuehl"/>
          <w:sz w:val="20"/>
          <w:szCs w:val="22"/>
          <w:rtl/>
        </w:rPr>
      </w:pPr>
      <w:r>
        <w:rPr>
          <w:rFonts w:cs="FrankRuehl" w:hint="cs"/>
          <w:sz w:val="20"/>
          <w:szCs w:val="22"/>
          <w:rtl/>
        </w:rPr>
        <w:t>5</w:t>
      </w:r>
      <w:r>
        <w:rPr>
          <w:rFonts w:cs="FrankRuehl"/>
          <w:sz w:val="20"/>
          <w:szCs w:val="22"/>
          <w:rtl/>
        </w:rPr>
        <w:t xml:space="preserve">. </w:t>
      </w:r>
      <w:r>
        <w:rPr>
          <w:rFonts w:cs="FrankRuehl" w:hint="cs"/>
          <w:sz w:val="20"/>
          <w:szCs w:val="22"/>
          <w:rtl/>
        </w:rPr>
        <w:tab/>
      </w:r>
      <w:r>
        <w:rPr>
          <w:rFonts w:cs="FrankRuehl"/>
          <w:sz w:val="20"/>
          <w:szCs w:val="22"/>
          <w:rtl/>
        </w:rPr>
        <w:t>יש אגפים שאינם נוהגים לשלב בתכנית העבודה את פעילותם השוטפת</w:t>
      </w:r>
      <w:r>
        <w:rPr>
          <w:rFonts w:cs="FrankRuehl" w:hint="cs"/>
          <w:sz w:val="20"/>
          <w:szCs w:val="22"/>
          <w:rtl/>
        </w:rPr>
        <w:t>,</w:t>
      </w:r>
      <w:r>
        <w:rPr>
          <w:rFonts w:cs="FrankRuehl"/>
          <w:sz w:val="20"/>
          <w:szCs w:val="22"/>
          <w:rtl/>
        </w:rPr>
        <w:t xml:space="preserve"> </w:t>
      </w:r>
      <w:r>
        <w:rPr>
          <w:rFonts w:cs="FrankRuehl" w:hint="cs"/>
          <w:sz w:val="20"/>
          <w:szCs w:val="22"/>
          <w:rtl/>
        </w:rPr>
        <w:t xml:space="preserve">למשל </w:t>
      </w:r>
      <w:r>
        <w:rPr>
          <w:rFonts w:cs="FrankRuehl"/>
          <w:sz w:val="20"/>
          <w:szCs w:val="22"/>
          <w:rtl/>
        </w:rPr>
        <w:t>אגף התקציבים ואגף שוק ההון. לדוגמה, בניית תקציב המדינה, אף שנעשית מדי שנה בשנה, אינה מופיעה בתכניות העבודה של אגף התקציבים.</w:t>
      </w:r>
    </w:p>
    <w:p w:rsidR="00F20C1A" w:rsidRPr="007717D4" w:rsidP="007717D4">
      <w:pPr>
        <w:pStyle w:val="BodyText"/>
        <w:spacing w:before="0" w:after="240"/>
        <w:outlineLvl w:val="0"/>
        <w:rPr>
          <w:sz w:val="20"/>
          <w:rtl/>
        </w:rPr>
      </w:pPr>
      <w:r w:rsidRPr="007717D4">
        <w:rPr>
          <w:rFonts w:hint="cs"/>
          <w:sz w:val="20"/>
          <w:rtl/>
        </w:rPr>
        <w:t xml:space="preserve">אגף שוק ההון ציין בתשובתו למשרד מבקר המדינה מפברואר 2014 כי פעילותו השוטפת תלויה בבקשות מן החוץ, כגון בקשות של חברות לאישור פוליסות או למתן היתרים, טיפול בפניות הציבור וכדומה, ולכן אינו נוהג לשלב פעילות זו בתכניות העבודה. אגף התקציבים מסר בתשובתו מפברואר 2014 כי האגף "אינו נוהג לכלול במסגרת תכניות העבודה השנתיות שלו פעילויות שוטפות של האגף ובכלל זה הליך בניית תקציב המדינה. לצד זאת, יש לציין כי במידה והאגף מקדם תכנית עבודה שמטרתה היא שינוי הליך בניית תקציב המדינה היא מובאת במסגרת הליך בניית ואישור תכניות העבודה השנתיות של האגף". </w:t>
      </w:r>
    </w:p>
    <w:p w:rsidR="00F20C1A" w:rsidP="007717D4">
      <w:pPr>
        <w:pStyle w:val="RESHET"/>
        <w:rPr>
          <w:rtl/>
        </w:rPr>
      </w:pPr>
      <w:r>
        <w:rPr>
          <w:rFonts w:hint="cs"/>
          <w:rtl/>
        </w:rPr>
        <w:t>לדעת משרד מבקר המדינה וכפי שעולה ממדריך התכנון, חשיבות רבה נודעת לשילוב הפעילויות השוטפות של האגפים במסגרת תכניות העבודה. הדבר יאפשר למקבלי ההחלטות לבחון את סדר העדיפויות בהתייחס ללוח הזמנים של כלל פעולות האגף.</w:t>
      </w:r>
    </w:p>
    <w:p w:rsidR="00F20C1A" w:rsidP="007717D4">
      <w:pPr>
        <w:pStyle w:val="RESHET"/>
        <w:rPr>
          <w:rtl/>
        </w:rPr>
      </w:pPr>
      <w:r>
        <w:rPr>
          <w:rtl/>
        </w:rPr>
        <w:t>משרד מבקר המדינה מעיר כי מן הראוי שהנהלת משרד האוצר</w:t>
      </w:r>
      <w:r>
        <w:rPr>
          <w:rFonts w:hint="cs"/>
          <w:rtl/>
        </w:rPr>
        <w:t xml:space="preserve"> ו</w:t>
      </w:r>
      <w:r>
        <w:rPr>
          <w:rtl/>
        </w:rPr>
        <w:t xml:space="preserve">מנהלי האגפים יטמיעו תהליך מסודר </w:t>
      </w:r>
      <w:r>
        <w:rPr>
          <w:rFonts w:hint="cs"/>
          <w:rtl/>
        </w:rPr>
        <w:t xml:space="preserve">ושיטתי </w:t>
      </w:r>
      <w:r>
        <w:rPr>
          <w:rtl/>
        </w:rPr>
        <w:t xml:space="preserve">של תכנון ושל מדידה הכולל </w:t>
      </w:r>
      <w:r>
        <w:rPr>
          <w:rFonts w:hint="cs"/>
          <w:rtl/>
        </w:rPr>
        <w:t xml:space="preserve">הכנת </w:t>
      </w:r>
      <w:r>
        <w:rPr>
          <w:rtl/>
        </w:rPr>
        <w:t xml:space="preserve">תכניות עבודה מפורטות ומסודרות. לשם כך עליהם לחייב את כל האגפים לפעול על פי המתודולוגיה של מדריך התכנון, כפי שקבעה הממשלה. </w:t>
      </w:r>
    </w:p>
    <w:p w:rsidR="00F20C1A">
      <w:pPr>
        <w:spacing w:after="120" w:line="230" w:lineRule="exact"/>
        <w:jc w:val="both"/>
        <w:outlineLvl w:val="0"/>
        <w:rPr>
          <w:rFonts w:cs="FrankRuehl"/>
          <w:b/>
          <w:bCs/>
          <w:sz w:val="20"/>
          <w:szCs w:val="22"/>
          <w:rtl/>
        </w:rPr>
      </w:pPr>
    </w:p>
    <w:p w:rsidR="00F20C1A">
      <w:pPr>
        <w:pStyle w:val="KOT5"/>
        <w:rPr>
          <w:rtl/>
        </w:rPr>
      </w:pPr>
      <w:r>
        <w:rPr>
          <w:rtl/>
        </w:rPr>
        <w:t xml:space="preserve">מעקב ובקרה </w:t>
      </w:r>
      <w:r>
        <w:rPr>
          <w:rFonts w:hint="cs"/>
          <w:rtl/>
        </w:rPr>
        <w:t xml:space="preserve">של </w:t>
      </w:r>
      <w:r>
        <w:rPr>
          <w:rFonts w:hint="eastAsia"/>
          <w:rtl/>
        </w:rPr>
        <w:t>אגפי</w:t>
      </w:r>
      <w:r>
        <w:rPr>
          <w:rtl/>
        </w:rPr>
        <w:t xml:space="preserve"> משרד האוצר על יישומן של ת</w:t>
      </w:r>
      <w:r>
        <w:rPr>
          <w:rFonts w:hint="eastAsia"/>
          <w:rtl/>
        </w:rPr>
        <w:t>כניות</w:t>
      </w:r>
      <w:r>
        <w:rPr>
          <w:rtl/>
        </w:rPr>
        <w:t xml:space="preserve"> העבודה </w:t>
      </w:r>
    </w:p>
    <w:p w:rsidR="00F20C1A" w:rsidP="007717D4">
      <w:pPr>
        <w:spacing w:after="240" w:line="230" w:lineRule="exact"/>
        <w:jc w:val="both"/>
        <w:outlineLvl w:val="0"/>
        <w:rPr>
          <w:rFonts w:cs="FrankRuehl"/>
          <w:sz w:val="20"/>
          <w:szCs w:val="22"/>
          <w:rtl/>
        </w:rPr>
      </w:pPr>
      <w:r>
        <w:rPr>
          <w:rFonts w:cs="FrankRuehl"/>
          <w:sz w:val="20"/>
          <w:szCs w:val="22"/>
          <w:rtl/>
        </w:rPr>
        <w:t>בדוח מבקר המדינה 53ב נכתב כי "ראוי שתתלווה לתוכנית העבודה השנתית תוכנית המפרטת את מערך הבקרה שיופעל עליה – שיטות הבקרה</w:t>
      </w:r>
      <w:r>
        <w:rPr>
          <w:rFonts w:cs="FrankRuehl" w:hint="cs"/>
          <w:sz w:val="20"/>
          <w:szCs w:val="22"/>
          <w:rtl/>
        </w:rPr>
        <w:t>,</w:t>
      </w:r>
      <w:r>
        <w:rPr>
          <w:rFonts w:cs="FrankRuehl"/>
          <w:sz w:val="20"/>
          <w:szCs w:val="22"/>
          <w:rtl/>
        </w:rPr>
        <w:t xml:space="preserve"> הדיווח ומועדי הפעלתן. בתום שנת עבודה, או בתום תקופה, כפי שייקבע, יש להכין דוח על השגת יעדי תוכנית העבודה, הערכת ההישגים והפקת לקחים ליישום"</w:t>
      </w:r>
      <w:r>
        <w:rPr>
          <w:rStyle w:val="FootnoteReference"/>
          <w:rFonts w:ascii="FrankRuehl" w:hAnsi="FrankRuehl" w:cs="FrankRuehl"/>
          <w:sz w:val="22"/>
          <w:szCs w:val="22"/>
          <w:rtl/>
        </w:rPr>
        <w:footnoteReference w:id="14"/>
      </w:r>
      <w:r>
        <w:rPr>
          <w:rFonts w:cs="FrankRuehl"/>
          <w:sz w:val="20"/>
          <w:szCs w:val="22"/>
          <w:rtl/>
        </w:rPr>
        <w:t>. מהספרות המקצועית עולה כי תכניות עבודה ומדידת ביצועים, לבד מתרומתן לתכנון, הן גם מקור ללמידה וליצירת דיאלוג ושותפות בין הגופים השונים</w:t>
      </w:r>
      <w:r>
        <w:rPr>
          <w:rStyle w:val="FootnoteReference"/>
          <w:rFonts w:ascii="FrankRuehl" w:hAnsi="FrankRuehl" w:cs="FrankRuehl"/>
          <w:sz w:val="22"/>
          <w:szCs w:val="22"/>
          <w:rtl/>
        </w:rPr>
        <w:footnoteReference w:id="15"/>
      </w:r>
      <w:r>
        <w:rPr>
          <w:rFonts w:cs="FrankRuehl"/>
          <w:sz w:val="20"/>
          <w:szCs w:val="22"/>
          <w:rtl/>
        </w:rPr>
        <w:t>. מדידת ביצועים מכילה מידע שיכול לשמש לא רק להערכה, אלא גם ללמידה</w:t>
      </w:r>
      <w:r>
        <w:rPr>
          <w:rFonts w:cs="FrankRuehl" w:hint="cs"/>
          <w:sz w:val="20"/>
          <w:szCs w:val="22"/>
          <w:rtl/>
        </w:rPr>
        <w:t xml:space="preserve"> ולהפקת לקחים.</w:t>
      </w:r>
    </w:p>
    <w:p w:rsidR="00F20C1A" w:rsidP="007717D4">
      <w:pPr>
        <w:pStyle w:val="RESHET"/>
        <w:rPr>
          <w:rtl/>
        </w:rPr>
      </w:pPr>
      <w:r>
        <w:rPr>
          <w:rtl/>
        </w:rPr>
        <w:t>בדיקת משרד מבקר המדינה העלתה, כי</w:t>
      </w:r>
      <w:r>
        <w:rPr>
          <w:rFonts w:hint="cs"/>
          <w:rtl/>
        </w:rPr>
        <w:t xml:space="preserve"> אין אחידות בין ה</w:t>
      </w:r>
      <w:r>
        <w:rPr>
          <w:rtl/>
        </w:rPr>
        <w:t xml:space="preserve">אגפים </w:t>
      </w:r>
      <w:r>
        <w:rPr>
          <w:rFonts w:hint="cs"/>
          <w:rtl/>
        </w:rPr>
        <w:t xml:space="preserve">שנבדקו בנוגע למעקב, לבקרה ולדיווח שיטתיים </w:t>
      </w:r>
      <w:r>
        <w:rPr>
          <w:rtl/>
        </w:rPr>
        <w:t>על יישום תכניות העבודה</w:t>
      </w:r>
      <w:r>
        <w:rPr>
          <w:rFonts w:hint="cs"/>
          <w:rtl/>
        </w:rPr>
        <w:t>.</w:t>
      </w:r>
      <w:r>
        <w:rPr>
          <w:rtl/>
        </w:rPr>
        <w:t xml:space="preserve"> להלן כמה דוגמאות:</w:t>
      </w:r>
    </w:p>
    <w:p w:rsidR="00F20C1A" w:rsidP="007717D4">
      <w:pPr>
        <w:spacing w:before="180" w:after="120" w:line="230" w:lineRule="exact"/>
        <w:ind w:left="340" w:hanging="340"/>
        <w:jc w:val="both"/>
        <w:outlineLvl w:val="0"/>
        <w:rPr>
          <w:rFonts w:cs="FrankRuehl"/>
          <w:sz w:val="20"/>
          <w:szCs w:val="22"/>
          <w:rtl/>
        </w:rPr>
      </w:pPr>
      <w:r>
        <w:rPr>
          <w:rFonts w:cs="FrankRuehl" w:hint="cs"/>
          <w:sz w:val="20"/>
          <w:szCs w:val="22"/>
          <w:rtl/>
        </w:rPr>
        <w:t>1</w:t>
      </w:r>
      <w:r>
        <w:rPr>
          <w:rFonts w:cs="FrankRuehl"/>
          <w:sz w:val="20"/>
          <w:szCs w:val="22"/>
          <w:rtl/>
        </w:rPr>
        <w:t xml:space="preserve">. </w:t>
      </w:r>
      <w:r>
        <w:rPr>
          <w:rFonts w:cs="FrankRuehl" w:hint="cs"/>
          <w:sz w:val="20"/>
          <w:szCs w:val="22"/>
          <w:rtl/>
        </w:rPr>
        <w:tab/>
      </w:r>
      <w:r>
        <w:rPr>
          <w:rFonts w:cs="FrankRuehl"/>
          <w:sz w:val="20"/>
          <w:szCs w:val="22"/>
          <w:rtl/>
        </w:rPr>
        <w:t xml:space="preserve">נמצא כי האגפים שנבדקו </w:t>
      </w:r>
      <w:r>
        <w:rPr>
          <w:rFonts w:cs="FrankRuehl" w:hint="cs"/>
          <w:sz w:val="20"/>
          <w:szCs w:val="22"/>
          <w:rtl/>
        </w:rPr>
        <w:t xml:space="preserve">אינם </w:t>
      </w:r>
      <w:r>
        <w:rPr>
          <w:rFonts w:cs="FrankRuehl"/>
          <w:sz w:val="20"/>
          <w:szCs w:val="22"/>
          <w:rtl/>
        </w:rPr>
        <w:t xml:space="preserve">מנהלים מעקב ובקרה על יישום תכניות העבודה </w:t>
      </w:r>
      <w:r>
        <w:rPr>
          <w:rFonts w:cs="FrankRuehl" w:hint="cs"/>
          <w:sz w:val="20"/>
          <w:szCs w:val="22"/>
          <w:rtl/>
        </w:rPr>
        <w:t xml:space="preserve">שלהם </w:t>
      </w:r>
      <w:r>
        <w:rPr>
          <w:rFonts w:cs="FrankRuehl"/>
          <w:sz w:val="20"/>
          <w:szCs w:val="22"/>
          <w:rtl/>
        </w:rPr>
        <w:t xml:space="preserve">באופן </w:t>
      </w:r>
      <w:r>
        <w:rPr>
          <w:rFonts w:cs="FrankRuehl" w:hint="cs"/>
          <w:sz w:val="20"/>
          <w:szCs w:val="22"/>
          <w:rtl/>
        </w:rPr>
        <w:t>מסודר</w:t>
      </w:r>
      <w:r>
        <w:rPr>
          <w:rFonts w:cs="FrankRuehl"/>
          <w:sz w:val="20"/>
          <w:szCs w:val="22"/>
          <w:rtl/>
        </w:rPr>
        <w:t xml:space="preserve"> ורציף</w:t>
      </w:r>
      <w:r>
        <w:rPr>
          <w:rFonts w:cs="FrankRuehl" w:hint="cs"/>
          <w:sz w:val="20"/>
          <w:szCs w:val="22"/>
          <w:rtl/>
        </w:rPr>
        <w:t>, חוץ מאגף החשב הכללי</w:t>
      </w:r>
      <w:r>
        <w:rPr>
          <w:rFonts w:cs="FrankRuehl"/>
          <w:sz w:val="20"/>
          <w:szCs w:val="22"/>
          <w:rtl/>
        </w:rPr>
        <w:t xml:space="preserve">. </w:t>
      </w:r>
    </w:p>
    <w:p w:rsidR="00F20C1A" w:rsidP="007717D4">
      <w:pPr>
        <w:spacing w:after="120" w:line="230" w:lineRule="exact"/>
        <w:ind w:left="340" w:hanging="340"/>
        <w:jc w:val="both"/>
        <w:rPr>
          <w:rFonts w:cs="FrankRuehl"/>
          <w:sz w:val="20"/>
          <w:szCs w:val="22"/>
          <w:rtl/>
        </w:rPr>
      </w:pPr>
      <w:r>
        <w:rPr>
          <w:rFonts w:cs="FrankRuehl" w:hint="cs"/>
          <w:sz w:val="20"/>
          <w:szCs w:val="22"/>
          <w:rtl/>
        </w:rPr>
        <w:t>2</w:t>
      </w:r>
      <w:r>
        <w:rPr>
          <w:rFonts w:cs="FrankRuehl"/>
          <w:sz w:val="20"/>
          <w:szCs w:val="22"/>
          <w:rtl/>
        </w:rPr>
        <w:t xml:space="preserve">. </w:t>
      </w:r>
      <w:r>
        <w:rPr>
          <w:rFonts w:cs="FrankRuehl" w:hint="cs"/>
          <w:sz w:val="20"/>
          <w:szCs w:val="22"/>
          <w:rtl/>
        </w:rPr>
        <w:tab/>
      </w:r>
      <w:r>
        <w:rPr>
          <w:rFonts w:cs="FrankRuehl"/>
          <w:sz w:val="20"/>
          <w:szCs w:val="22"/>
          <w:rtl/>
        </w:rPr>
        <w:t xml:space="preserve">מהמסמכים עולה כי חלק מיחידות </w:t>
      </w:r>
      <w:r>
        <w:rPr>
          <w:rFonts w:cs="FrankRuehl" w:hint="cs"/>
          <w:sz w:val="20"/>
          <w:szCs w:val="22"/>
          <w:rtl/>
        </w:rPr>
        <w:t xml:space="preserve">מטה </w:t>
      </w:r>
      <w:r>
        <w:rPr>
          <w:rFonts w:cs="FrankRuehl"/>
          <w:sz w:val="20"/>
          <w:szCs w:val="22"/>
          <w:rtl/>
        </w:rPr>
        <w:t xml:space="preserve">התקשוב </w:t>
      </w:r>
      <w:r>
        <w:rPr>
          <w:rFonts w:cs="FrankRuehl" w:hint="cs"/>
          <w:sz w:val="20"/>
          <w:szCs w:val="22"/>
          <w:rtl/>
        </w:rPr>
        <w:t>ומ</w:t>
      </w:r>
      <w:r>
        <w:rPr>
          <w:rFonts w:cs="FrankRuehl"/>
          <w:sz w:val="20"/>
          <w:szCs w:val="22"/>
          <w:rtl/>
        </w:rPr>
        <w:t>צוותי אגף התקציבים מבצעים מעקב ובקרה, ואילו יתר</w:t>
      </w:r>
      <w:r>
        <w:rPr>
          <w:rFonts w:cs="FrankRuehl" w:hint="cs"/>
          <w:sz w:val="20"/>
          <w:szCs w:val="22"/>
          <w:rtl/>
        </w:rPr>
        <w:t xml:space="preserve"> הצוותים</w:t>
      </w:r>
      <w:r>
        <w:rPr>
          <w:rFonts w:cs="FrankRuehl"/>
          <w:sz w:val="20"/>
          <w:szCs w:val="22"/>
          <w:rtl/>
        </w:rPr>
        <w:t xml:space="preserve"> באותם אגפים אינם נוהגים לעשות זאת</w:t>
      </w:r>
      <w:r>
        <w:rPr>
          <w:rFonts w:cs="FrankRuehl" w:hint="cs"/>
          <w:sz w:val="20"/>
          <w:szCs w:val="22"/>
          <w:rtl/>
        </w:rPr>
        <w:t>.</w:t>
      </w:r>
      <w:r>
        <w:rPr>
          <w:rFonts w:cs="FrankRuehl"/>
          <w:sz w:val="20"/>
          <w:szCs w:val="22"/>
          <w:rtl/>
        </w:rPr>
        <w:t xml:space="preserve"> </w:t>
      </w:r>
      <w:r>
        <w:rPr>
          <w:rFonts w:cs="FrankRuehl" w:hint="cs"/>
          <w:sz w:val="20"/>
          <w:szCs w:val="22"/>
          <w:rtl/>
        </w:rPr>
        <w:t xml:space="preserve">הביקורת העלתה </w:t>
      </w:r>
      <w:r>
        <w:rPr>
          <w:rFonts w:cs="FrankRuehl"/>
          <w:sz w:val="20"/>
          <w:szCs w:val="22"/>
          <w:rtl/>
        </w:rPr>
        <w:t xml:space="preserve">כי תכניות העבודה של </w:t>
      </w:r>
      <w:r>
        <w:rPr>
          <w:rFonts w:cs="FrankRuehl" w:hint="cs"/>
          <w:sz w:val="20"/>
          <w:szCs w:val="22"/>
          <w:rtl/>
        </w:rPr>
        <w:t xml:space="preserve">כל </w:t>
      </w:r>
      <w:r>
        <w:rPr>
          <w:rFonts w:cs="FrankRuehl"/>
          <w:sz w:val="20"/>
          <w:szCs w:val="22"/>
          <w:rtl/>
        </w:rPr>
        <w:t>צוות באגף התקציבים תלויות במידה רבה בזהות סגן הממונה</w:t>
      </w:r>
      <w:r>
        <w:rPr>
          <w:rFonts w:cs="FrankRuehl" w:hint="cs"/>
          <w:sz w:val="20"/>
          <w:szCs w:val="22"/>
          <w:rtl/>
        </w:rPr>
        <w:t xml:space="preserve"> על התקציבים המופקד על אותו צוות</w:t>
      </w:r>
      <w:r>
        <w:rPr>
          <w:rFonts w:cs="FrankRuehl"/>
          <w:sz w:val="20"/>
          <w:szCs w:val="22"/>
          <w:rtl/>
        </w:rPr>
        <w:t xml:space="preserve">: יש סגנים המבצעים מעקב ובקרה באופן שוטף ומסודר, ויש מי שאינם מבצעים </w:t>
      </w:r>
      <w:r>
        <w:rPr>
          <w:rFonts w:cs="FrankRuehl" w:hint="cs"/>
          <w:sz w:val="20"/>
          <w:szCs w:val="22"/>
          <w:rtl/>
        </w:rPr>
        <w:t xml:space="preserve">כל </w:t>
      </w:r>
      <w:r>
        <w:rPr>
          <w:rFonts w:cs="FrankRuehl"/>
          <w:sz w:val="20"/>
          <w:szCs w:val="22"/>
          <w:rtl/>
        </w:rPr>
        <w:t>מעקב</w:t>
      </w:r>
      <w:r>
        <w:rPr>
          <w:rFonts w:cs="FrankRuehl" w:hint="cs"/>
          <w:sz w:val="20"/>
          <w:szCs w:val="22"/>
          <w:rtl/>
        </w:rPr>
        <w:t xml:space="preserve"> ובקרה על יישומן</w:t>
      </w:r>
      <w:r>
        <w:rPr>
          <w:rFonts w:cs="FrankRuehl"/>
          <w:sz w:val="20"/>
          <w:szCs w:val="22"/>
          <w:rtl/>
        </w:rPr>
        <w:t xml:space="preserve">. </w:t>
      </w:r>
    </w:p>
    <w:p w:rsidR="00F20C1A" w:rsidP="007717D4">
      <w:pPr>
        <w:spacing w:after="120" w:line="230" w:lineRule="exact"/>
        <w:ind w:left="340" w:hanging="340"/>
        <w:jc w:val="both"/>
        <w:outlineLvl w:val="0"/>
        <w:rPr>
          <w:rFonts w:cs="FrankRuehl"/>
          <w:sz w:val="20"/>
          <w:szCs w:val="22"/>
          <w:rtl/>
        </w:rPr>
      </w:pPr>
      <w:r>
        <w:rPr>
          <w:rFonts w:cs="FrankRuehl" w:hint="cs"/>
          <w:sz w:val="20"/>
          <w:szCs w:val="22"/>
          <w:rtl/>
        </w:rPr>
        <w:t>3.</w:t>
      </w:r>
      <w:r>
        <w:rPr>
          <w:rFonts w:cs="FrankRuehl" w:hint="cs"/>
          <w:sz w:val="20"/>
          <w:szCs w:val="22"/>
          <w:rtl/>
        </w:rPr>
        <w:tab/>
      </w:r>
      <w:r>
        <w:rPr>
          <w:rFonts w:cs="FrankRuehl"/>
          <w:sz w:val="20"/>
          <w:szCs w:val="22"/>
          <w:rtl/>
        </w:rPr>
        <w:t xml:space="preserve">כמה אגפים מסרו למשרד מבקר המדינה בתקופת הביקורת כי הם מבצעים מעקבים שוטפים על יישומן של תכניות העבודה, ואולם מהמסמכים שנמסרו </w:t>
      </w:r>
      <w:r>
        <w:rPr>
          <w:rFonts w:cs="FrankRuehl" w:hint="cs"/>
          <w:sz w:val="20"/>
          <w:szCs w:val="22"/>
          <w:rtl/>
        </w:rPr>
        <w:t xml:space="preserve">לביקורת </w:t>
      </w:r>
      <w:r>
        <w:rPr>
          <w:rFonts w:cs="FrankRuehl"/>
          <w:sz w:val="20"/>
          <w:szCs w:val="22"/>
          <w:rtl/>
        </w:rPr>
        <w:t xml:space="preserve">לא ניכר שנעשו מעקבים כאלה. כך למשל, לא נמצאו אסמכתאות לכך שאגף המינהל, אגף שוק ההון, הלשכה המשפטית ואגף הכלכלן הראשי מבצעים מעקב ובקרה באופן שוטף. </w:t>
      </w:r>
    </w:p>
    <w:p w:rsidR="00F20C1A">
      <w:pPr>
        <w:spacing w:after="120" w:line="230" w:lineRule="exact"/>
        <w:jc w:val="both"/>
        <w:outlineLvl w:val="0"/>
        <w:rPr>
          <w:rFonts w:cs="FrankRuehl"/>
          <w:sz w:val="20"/>
          <w:szCs w:val="22"/>
          <w:rtl/>
        </w:rPr>
      </w:pPr>
      <w:r>
        <w:rPr>
          <w:rFonts w:cs="FrankRuehl" w:hint="cs"/>
          <w:sz w:val="20"/>
          <w:szCs w:val="22"/>
          <w:rtl/>
        </w:rPr>
        <w:t xml:space="preserve">אגף התקציבים מסר בתשובתו כי "מידי שנה מבצע האגף את עבודת המעקב אחר יישום תכניות העבודה ברמה האגפית. מעקב זה הינו אחיד בדרישותיו כלפי הצוותים השונים באגף. בנוסף, הסגנים באגף קובעים (את) רמת המעקב אחר תכניות העבודה ברמת הצוות. מעקב זה באופיו הוא פרטני יותר ועל-כן טבעי כי ייתכנו בו שינויים על צרכיהם של הצוותים השונים באגף". </w:t>
      </w:r>
    </w:p>
    <w:p w:rsidR="00F20C1A" w:rsidP="007717D4">
      <w:pPr>
        <w:tabs>
          <w:tab w:val="left" w:pos="7357"/>
        </w:tabs>
        <w:spacing w:after="240" w:line="230" w:lineRule="exact"/>
        <w:jc w:val="both"/>
        <w:rPr>
          <w:rFonts w:cs="FrankRuehl"/>
          <w:sz w:val="20"/>
          <w:szCs w:val="22"/>
          <w:rtl/>
        </w:rPr>
      </w:pPr>
      <w:r>
        <w:rPr>
          <w:rFonts w:cs="FrankRuehl" w:hint="cs"/>
          <w:sz w:val="20"/>
          <w:szCs w:val="22"/>
          <w:rtl/>
        </w:rPr>
        <w:t xml:space="preserve">אגף שוק ההון מסר בתשובתו כי הוא "ערך בקרה אחר תכניות העבודה ובדק את ההתקדמות בכל התכניות מדי רבעון". אגף המינהל ציין בתשובתו כי הוא "מקיים מעקב ובקרה רבעוני אחר ביצוע </w:t>
      </w:r>
      <w:r>
        <w:rPr>
          <w:rFonts w:cs="FrankRuehl" w:hint="cs"/>
          <w:sz w:val="20"/>
          <w:szCs w:val="22"/>
          <w:rtl/>
        </w:rPr>
        <w:t xml:space="preserve">יעדי תכניות העבודה של יחידותיו. כל מנהל יחידה מעדכן בסוף הרבעון את סטטוס הביצוע מול התכנון. עדכונים אלה מועלים למצגת מרוכזת שנתית. כלומר, בכל רבעון מעדכנים את </w:t>
      </w:r>
      <w:r>
        <w:rPr>
          <w:rFonts w:cs="FrankRuehl" w:hint="cs"/>
          <w:b/>
          <w:bCs/>
          <w:sz w:val="20"/>
          <w:szCs w:val="22"/>
          <w:rtl/>
        </w:rPr>
        <w:t xml:space="preserve">אותה המצגת </w:t>
      </w:r>
      <w:r>
        <w:rPr>
          <w:rFonts w:cs="FrankRuehl" w:hint="cs"/>
          <w:sz w:val="20"/>
          <w:szCs w:val="22"/>
          <w:rtl/>
        </w:rPr>
        <w:t>[</w:t>
      </w:r>
      <w:r>
        <w:rPr>
          <w:rFonts w:cs="FrankRuehl"/>
          <w:sz w:val="20"/>
          <w:szCs w:val="22"/>
          <w:rtl/>
        </w:rPr>
        <w:t xml:space="preserve">ההדגשה </w:t>
      </w:r>
      <w:r>
        <w:rPr>
          <w:rFonts w:cs="FrankRuehl" w:hint="eastAsia"/>
          <w:sz w:val="20"/>
          <w:szCs w:val="22"/>
          <w:rtl/>
        </w:rPr>
        <w:t>במקור</w:t>
      </w:r>
      <w:r>
        <w:rPr>
          <w:rFonts w:cs="FrankRuehl" w:hint="cs"/>
          <w:b/>
          <w:bCs/>
          <w:sz w:val="20"/>
          <w:szCs w:val="22"/>
          <w:rtl/>
        </w:rPr>
        <w:t xml:space="preserve">] </w:t>
      </w:r>
      <w:r>
        <w:rPr>
          <w:rFonts w:cs="FrankRuehl" w:hint="cs"/>
          <w:sz w:val="20"/>
          <w:szCs w:val="22"/>
          <w:rtl/>
        </w:rPr>
        <w:t>ולכן במסמכים לא ניתן להפריד דיווח ביצוע מול תכנון של כל רבעון".</w:t>
      </w:r>
    </w:p>
    <w:p w:rsidR="00F20C1A" w:rsidP="007717D4">
      <w:pPr>
        <w:pStyle w:val="RESHET"/>
        <w:rPr>
          <w:rtl/>
        </w:rPr>
      </w:pPr>
      <w:r>
        <w:rPr>
          <w:rtl/>
        </w:rPr>
        <w:t xml:space="preserve">לדעת משרד מבקר המדינה, תיעוד תהליך המעקב והבקרה ודיווח תורמים לקיומם של הליכי חשיבה ותכנון סדורים, להבניה של שיקול הדעת, לעמידה בחובת ההנמקה ולרציפותו ולשימורו של הזיכרון הארגוני בטווח הקצר והארוך. </w:t>
      </w:r>
      <w:r>
        <w:rPr>
          <w:rFonts w:hint="cs"/>
          <w:rtl/>
        </w:rPr>
        <w:t xml:space="preserve">לנוכח </w:t>
      </w:r>
      <w:r>
        <w:rPr>
          <w:rtl/>
        </w:rPr>
        <w:t xml:space="preserve">היעדר </w:t>
      </w:r>
      <w:r>
        <w:rPr>
          <w:rFonts w:hint="cs"/>
          <w:rtl/>
        </w:rPr>
        <w:t xml:space="preserve">המסמכים המתעדים </w:t>
      </w:r>
      <w:r>
        <w:rPr>
          <w:rtl/>
        </w:rPr>
        <w:t>ע</w:t>
      </w:r>
      <w:r>
        <w:rPr>
          <w:rFonts w:hint="cs"/>
          <w:rtl/>
        </w:rPr>
        <w:t>ו</w:t>
      </w:r>
      <w:r>
        <w:rPr>
          <w:rtl/>
        </w:rPr>
        <w:t>לה ספק בנוגע ליכולת הלמידה והפקת הלקחים מיישומן של תכניות העבודה.</w:t>
      </w:r>
      <w:r>
        <w:rPr>
          <w:rFonts w:hint="eastAsia"/>
          <w:rtl/>
        </w:rPr>
        <w:t xml:space="preserve"> </w:t>
      </w:r>
      <w:r>
        <w:rPr>
          <w:rFonts w:hint="cs"/>
          <w:rtl/>
        </w:rPr>
        <w:t xml:space="preserve">אשר </w:t>
      </w:r>
      <w:r>
        <w:rPr>
          <w:rFonts w:hint="eastAsia"/>
          <w:rtl/>
        </w:rPr>
        <w:t>לאגף</w:t>
      </w:r>
      <w:r>
        <w:rPr>
          <w:rFonts w:hint="cs"/>
          <w:rtl/>
        </w:rPr>
        <w:t xml:space="preserve"> המינהל,</w:t>
      </w:r>
      <w:r>
        <w:rPr>
          <w:rtl/>
        </w:rPr>
        <w:t xml:space="preserve"> </w:t>
      </w:r>
      <w:r>
        <w:rPr>
          <w:rFonts w:hint="eastAsia"/>
          <w:rtl/>
        </w:rPr>
        <w:t>הפרדת</w:t>
      </w:r>
      <w:r>
        <w:rPr>
          <w:rtl/>
        </w:rPr>
        <w:t xml:space="preserve"> </w:t>
      </w:r>
      <w:r>
        <w:rPr>
          <w:rFonts w:hint="eastAsia"/>
          <w:rtl/>
        </w:rPr>
        <w:t>דיווחי</w:t>
      </w:r>
      <w:r>
        <w:rPr>
          <w:rtl/>
        </w:rPr>
        <w:t xml:space="preserve"> </w:t>
      </w:r>
      <w:r>
        <w:rPr>
          <w:rFonts w:hint="eastAsia"/>
          <w:rtl/>
        </w:rPr>
        <w:t>המעקב</w:t>
      </w:r>
      <w:r>
        <w:rPr>
          <w:rtl/>
        </w:rPr>
        <w:t xml:space="preserve"> </w:t>
      </w:r>
      <w:r>
        <w:rPr>
          <w:rFonts w:hint="eastAsia"/>
          <w:rtl/>
        </w:rPr>
        <w:t>והבקרה</w:t>
      </w:r>
      <w:r>
        <w:rPr>
          <w:rtl/>
        </w:rPr>
        <w:t xml:space="preserve"> </w:t>
      </w:r>
      <w:r>
        <w:rPr>
          <w:rFonts w:hint="eastAsia"/>
          <w:rtl/>
        </w:rPr>
        <w:t>הרבעוניים</w:t>
      </w:r>
      <w:r>
        <w:rPr>
          <w:rtl/>
        </w:rPr>
        <w:t xml:space="preserve"> </w:t>
      </w:r>
      <w:r>
        <w:rPr>
          <w:rFonts w:hint="cs"/>
          <w:rtl/>
        </w:rPr>
        <w:t>יאפשרו</w:t>
      </w:r>
      <w:r>
        <w:rPr>
          <w:rtl/>
        </w:rPr>
        <w:t xml:space="preserve"> </w:t>
      </w:r>
      <w:r>
        <w:rPr>
          <w:rFonts w:hint="cs"/>
          <w:rtl/>
        </w:rPr>
        <w:t xml:space="preserve">לו </w:t>
      </w:r>
      <w:r>
        <w:rPr>
          <w:rFonts w:hint="eastAsia"/>
          <w:rtl/>
        </w:rPr>
        <w:t>לבצע</w:t>
      </w:r>
      <w:r>
        <w:rPr>
          <w:rtl/>
        </w:rPr>
        <w:t xml:space="preserve"> </w:t>
      </w:r>
      <w:r>
        <w:rPr>
          <w:rFonts w:hint="eastAsia"/>
          <w:rtl/>
        </w:rPr>
        <w:t>מעקב</w:t>
      </w:r>
      <w:r>
        <w:rPr>
          <w:rFonts w:hint="cs"/>
          <w:rtl/>
        </w:rPr>
        <w:t xml:space="preserve"> והפקת לקחים</w:t>
      </w:r>
      <w:r>
        <w:rPr>
          <w:rtl/>
        </w:rPr>
        <w:t xml:space="preserve"> </w:t>
      </w:r>
      <w:r>
        <w:rPr>
          <w:rFonts w:hint="cs"/>
          <w:rtl/>
        </w:rPr>
        <w:t>באופן יעיל</w:t>
      </w:r>
      <w:r>
        <w:rPr>
          <w:rtl/>
        </w:rPr>
        <w:t xml:space="preserve"> </w:t>
      </w:r>
      <w:r>
        <w:rPr>
          <w:rFonts w:hint="cs"/>
          <w:rtl/>
        </w:rPr>
        <w:t xml:space="preserve">יותר. </w:t>
      </w:r>
    </w:p>
    <w:p w:rsidR="00F20C1A">
      <w:pPr>
        <w:spacing w:after="120" w:line="230" w:lineRule="exact"/>
        <w:jc w:val="both"/>
        <w:rPr>
          <w:rFonts w:cs="FrankRuehl"/>
          <w:sz w:val="20"/>
          <w:szCs w:val="22"/>
          <w:lang w:eastAsia="he-IL"/>
        </w:rPr>
      </w:pPr>
    </w:p>
    <w:p w:rsidR="00F20C1A">
      <w:pPr>
        <w:pStyle w:val="KOT5"/>
        <w:rPr>
          <w:rtl/>
        </w:rPr>
      </w:pPr>
      <w:r>
        <w:rPr>
          <w:rtl/>
        </w:rPr>
        <w:t xml:space="preserve">רציפות בהטמעת תהליכי תכנון, מדידה, בקרה ותיעוד למען הלמידה הארגונית </w:t>
      </w:r>
    </w:p>
    <w:p w:rsidR="00F20C1A">
      <w:pPr>
        <w:spacing w:after="120" w:line="230" w:lineRule="exact"/>
        <w:jc w:val="both"/>
        <w:rPr>
          <w:rFonts w:cs="FrankRuehl"/>
          <w:sz w:val="20"/>
          <w:szCs w:val="22"/>
          <w:rtl/>
        </w:rPr>
      </w:pPr>
      <w:r>
        <w:rPr>
          <w:rFonts w:cs="FrankRuehl"/>
          <w:sz w:val="20"/>
          <w:szCs w:val="22"/>
          <w:rtl/>
        </w:rPr>
        <w:t xml:space="preserve">למידה ארגונית היא תהליך מתוכנן ורציף של שיפור </w:t>
      </w:r>
      <w:r>
        <w:rPr>
          <w:rFonts w:cs="FrankRuehl" w:hint="cs"/>
          <w:sz w:val="20"/>
          <w:szCs w:val="22"/>
          <w:rtl/>
        </w:rPr>
        <w:t xml:space="preserve">הביצועים </w:t>
      </w:r>
      <w:r>
        <w:rPr>
          <w:rFonts w:cs="FrankRuehl"/>
          <w:sz w:val="20"/>
          <w:szCs w:val="22"/>
          <w:rtl/>
        </w:rPr>
        <w:t xml:space="preserve">של פעולות ארגוניות על ידי שימוש שיטתי ועקבי במנגנוני איסוף מידע, תיעודו, ניתוחו, הפקת לקחים, הפצת מידע והטמעתו. אחד המשאבים החשובים ביותר למיצוי </w:t>
      </w:r>
      <w:r>
        <w:rPr>
          <w:rFonts w:cs="FrankRuehl" w:hint="cs"/>
          <w:sz w:val="20"/>
          <w:szCs w:val="22"/>
          <w:rtl/>
        </w:rPr>
        <w:t>ה</w:t>
      </w:r>
      <w:r>
        <w:rPr>
          <w:rFonts w:cs="FrankRuehl"/>
          <w:sz w:val="20"/>
          <w:szCs w:val="22"/>
          <w:rtl/>
        </w:rPr>
        <w:t xml:space="preserve">מיטבי של תרבות ארגונית ושל מנהיגות ארגונית </w:t>
      </w:r>
      <w:r>
        <w:rPr>
          <w:rFonts w:cs="FrankRuehl" w:hint="cs"/>
          <w:sz w:val="20"/>
          <w:szCs w:val="22"/>
          <w:rtl/>
        </w:rPr>
        <w:t xml:space="preserve">הוא </w:t>
      </w:r>
      <w:r>
        <w:rPr>
          <w:rFonts w:cs="FrankRuehl"/>
          <w:sz w:val="20"/>
          <w:szCs w:val="22"/>
          <w:rtl/>
        </w:rPr>
        <w:t xml:space="preserve">הידע המצטבר </w:t>
      </w:r>
      <w:r>
        <w:rPr>
          <w:rFonts w:cs="FrankRuehl" w:hint="eastAsia"/>
          <w:sz w:val="20"/>
          <w:szCs w:val="22"/>
          <w:rtl/>
        </w:rPr>
        <w:t>וההופך</w:t>
      </w:r>
      <w:r>
        <w:rPr>
          <w:rFonts w:cs="FrankRuehl"/>
          <w:sz w:val="20"/>
          <w:szCs w:val="22"/>
          <w:rtl/>
        </w:rPr>
        <w:t xml:space="preserve"> </w:t>
      </w:r>
      <w:r>
        <w:rPr>
          <w:rFonts w:cs="FrankRuehl" w:hint="eastAsia"/>
          <w:sz w:val="20"/>
          <w:szCs w:val="22"/>
          <w:rtl/>
        </w:rPr>
        <w:t>ל</w:t>
      </w:r>
      <w:r>
        <w:rPr>
          <w:rFonts w:cs="FrankRuehl"/>
          <w:sz w:val="20"/>
          <w:szCs w:val="22"/>
          <w:rtl/>
        </w:rPr>
        <w:t xml:space="preserve">זיכרון ארגוני. </w:t>
      </w:r>
      <w:r>
        <w:rPr>
          <w:rFonts w:cs="FrankRuehl" w:hint="cs"/>
          <w:sz w:val="20"/>
          <w:szCs w:val="22"/>
          <w:rtl/>
        </w:rPr>
        <w:t xml:space="preserve">יש לטפל בו </w:t>
      </w:r>
      <w:r>
        <w:rPr>
          <w:rFonts w:cs="FrankRuehl"/>
          <w:sz w:val="20"/>
          <w:szCs w:val="22"/>
          <w:rtl/>
        </w:rPr>
        <w:t xml:space="preserve">כחלק מתהליכי העבודה ומנוהלי העבודה הקבועים ומדפוסי הניהול בכל הרמות. </w:t>
      </w:r>
    </w:p>
    <w:p w:rsidR="00F20C1A">
      <w:pPr>
        <w:spacing w:after="120" w:line="230" w:lineRule="exact"/>
        <w:jc w:val="both"/>
        <w:rPr>
          <w:rFonts w:cs="FrankRuehl"/>
          <w:sz w:val="20"/>
          <w:szCs w:val="22"/>
          <w:rtl/>
        </w:rPr>
      </w:pPr>
      <w:r>
        <w:rPr>
          <w:rFonts w:cs="FrankRuehl" w:hint="cs"/>
          <w:sz w:val="20"/>
          <w:szCs w:val="22"/>
          <w:rtl/>
        </w:rPr>
        <w:t>לה</w:t>
      </w:r>
      <w:r>
        <w:rPr>
          <w:rFonts w:cs="FrankRuehl"/>
          <w:sz w:val="20"/>
          <w:szCs w:val="22"/>
          <w:rtl/>
        </w:rPr>
        <w:t>טמע</w:t>
      </w:r>
      <w:r>
        <w:rPr>
          <w:rFonts w:cs="FrankRuehl" w:hint="cs"/>
          <w:sz w:val="20"/>
          <w:szCs w:val="22"/>
          <w:rtl/>
        </w:rPr>
        <w:t>ת</w:t>
      </w:r>
      <w:r>
        <w:rPr>
          <w:rFonts w:cs="FrankRuehl"/>
          <w:sz w:val="20"/>
          <w:szCs w:val="22"/>
          <w:rtl/>
        </w:rPr>
        <w:t xml:space="preserve"> תרבות של תכנון, של בקרה ושל מדידה </w:t>
      </w:r>
      <w:r>
        <w:rPr>
          <w:rFonts w:cs="FrankRuehl" w:hint="cs"/>
          <w:sz w:val="20"/>
          <w:szCs w:val="22"/>
          <w:rtl/>
        </w:rPr>
        <w:t xml:space="preserve">יש חשיבות רבה, </w:t>
      </w:r>
      <w:r>
        <w:rPr>
          <w:rFonts w:cs="FrankRuehl"/>
          <w:sz w:val="20"/>
          <w:szCs w:val="22"/>
          <w:rtl/>
        </w:rPr>
        <w:t>ו</w:t>
      </w:r>
      <w:r>
        <w:rPr>
          <w:rFonts w:cs="FrankRuehl" w:hint="cs"/>
          <w:sz w:val="20"/>
          <w:szCs w:val="22"/>
          <w:rtl/>
        </w:rPr>
        <w:t xml:space="preserve">זאת </w:t>
      </w:r>
      <w:r>
        <w:rPr>
          <w:rFonts w:cs="FrankRuehl"/>
          <w:sz w:val="20"/>
          <w:szCs w:val="22"/>
          <w:rtl/>
        </w:rPr>
        <w:t xml:space="preserve">בייחוד </w:t>
      </w:r>
      <w:r>
        <w:rPr>
          <w:rFonts w:cs="FrankRuehl" w:hint="cs"/>
          <w:sz w:val="20"/>
          <w:szCs w:val="22"/>
          <w:rtl/>
        </w:rPr>
        <w:t xml:space="preserve">בארגונים </w:t>
      </w:r>
      <w:r>
        <w:rPr>
          <w:rFonts w:cs="FrankRuehl"/>
          <w:sz w:val="20"/>
          <w:szCs w:val="22"/>
          <w:rtl/>
        </w:rPr>
        <w:t xml:space="preserve">שבהם קיימת תחלופה רבה של </w:t>
      </w:r>
      <w:r>
        <w:rPr>
          <w:rFonts w:cs="FrankRuehl" w:hint="cs"/>
          <w:sz w:val="20"/>
          <w:szCs w:val="22"/>
          <w:rtl/>
        </w:rPr>
        <w:t xml:space="preserve">מנהלים ושל </w:t>
      </w:r>
      <w:r>
        <w:rPr>
          <w:rFonts w:cs="FrankRuehl"/>
          <w:sz w:val="20"/>
          <w:szCs w:val="22"/>
          <w:rtl/>
        </w:rPr>
        <w:t>עובדי</w:t>
      </w:r>
      <w:r>
        <w:rPr>
          <w:rFonts w:cs="FrankRuehl" w:hint="cs"/>
          <w:sz w:val="20"/>
          <w:szCs w:val="22"/>
          <w:rtl/>
        </w:rPr>
        <w:t>ם מן השורה</w:t>
      </w:r>
      <w:r>
        <w:rPr>
          <w:rFonts w:cs="FrankRuehl"/>
          <w:sz w:val="20"/>
          <w:szCs w:val="22"/>
          <w:rtl/>
        </w:rPr>
        <w:t xml:space="preserve">. כך מתאפשר לשמר את הידע המצטבר </w:t>
      </w:r>
      <w:r>
        <w:rPr>
          <w:rFonts w:cs="FrankRuehl" w:hint="cs"/>
          <w:sz w:val="20"/>
          <w:szCs w:val="22"/>
          <w:rtl/>
        </w:rPr>
        <w:t>ברמות השונות של ה</w:t>
      </w:r>
      <w:r>
        <w:rPr>
          <w:rFonts w:cs="FrankRuehl"/>
          <w:sz w:val="20"/>
          <w:szCs w:val="22"/>
          <w:rtl/>
        </w:rPr>
        <w:t xml:space="preserve">מערכת ולשמור על </w:t>
      </w:r>
      <w:r>
        <w:rPr>
          <w:rFonts w:cs="FrankRuehl" w:hint="cs"/>
          <w:sz w:val="20"/>
          <w:szCs w:val="22"/>
          <w:rtl/>
        </w:rPr>
        <w:t>ה</w:t>
      </w:r>
      <w:r>
        <w:rPr>
          <w:rFonts w:cs="FrankRuehl"/>
          <w:sz w:val="20"/>
          <w:szCs w:val="22"/>
          <w:rtl/>
        </w:rPr>
        <w:t xml:space="preserve">רצף </w:t>
      </w:r>
      <w:r>
        <w:rPr>
          <w:rFonts w:cs="FrankRuehl" w:hint="cs"/>
          <w:sz w:val="20"/>
          <w:szCs w:val="22"/>
          <w:rtl/>
        </w:rPr>
        <w:t>ה</w:t>
      </w:r>
      <w:r>
        <w:rPr>
          <w:rFonts w:cs="FrankRuehl"/>
          <w:sz w:val="20"/>
          <w:szCs w:val="22"/>
          <w:rtl/>
        </w:rPr>
        <w:t xml:space="preserve">תפעולי והמשכיות העבודה. </w:t>
      </w:r>
    </w:p>
    <w:p w:rsidR="00F20C1A">
      <w:pPr>
        <w:spacing w:after="120" w:line="230" w:lineRule="exact"/>
        <w:jc w:val="both"/>
        <w:rPr>
          <w:rFonts w:cs="FrankRuehl"/>
          <w:sz w:val="20"/>
          <w:szCs w:val="22"/>
          <w:rtl/>
        </w:rPr>
      </w:pPr>
      <w:r>
        <w:rPr>
          <w:rFonts w:cs="FrankRuehl"/>
          <w:sz w:val="20"/>
          <w:szCs w:val="22"/>
          <w:rtl/>
        </w:rPr>
        <w:t xml:space="preserve">הביקורת העלתה כי בשנים 2009-2007 החל מנכ"ל משרד האוצר דאז </w:t>
      </w:r>
      <w:r>
        <w:rPr>
          <w:rFonts w:cs="FrankRuehl" w:hint="eastAsia"/>
          <w:sz w:val="20"/>
          <w:szCs w:val="22"/>
          <w:rtl/>
        </w:rPr>
        <w:t>מר</w:t>
      </w:r>
      <w:r>
        <w:rPr>
          <w:rFonts w:cs="FrankRuehl"/>
          <w:sz w:val="20"/>
          <w:szCs w:val="22"/>
          <w:rtl/>
        </w:rPr>
        <w:t xml:space="preserve"> ירום </w:t>
      </w:r>
      <w:r>
        <w:rPr>
          <w:rFonts w:cs="FrankRuehl" w:hint="eastAsia"/>
          <w:sz w:val="20"/>
          <w:szCs w:val="22"/>
          <w:rtl/>
        </w:rPr>
        <w:t>אריאב</w:t>
      </w:r>
      <w:r>
        <w:rPr>
          <w:rFonts w:cs="FrankRuehl"/>
          <w:sz w:val="20"/>
          <w:szCs w:val="22"/>
          <w:rtl/>
        </w:rPr>
        <w:t xml:space="preserve"> להטמיע את המתודולוגיה של מדריך התכנון בכל אגפי המשרד, מתוך הגדרת יעדים </w:t>
      </w:r>
      <w:r>
        <w:rPr>
          <w:rFonts w:cs="FrankRuehl" w:hint="cs"/>
          <w:sz w:val="20"/>
          <w:szCs w:val="22"/>
          <w:rtl/>
        </w:rPr>
        <w:t>ל</w:t>
      </w:r>
      <w:r>
        <w:rPr>
          <w:rFonts w:cs="FrankRuehl"/>
          <w:sz w:val="20"/>
          <w:szCs w:val="22"/>
          <w:rtl/>
        </w:rPr>
        <w:t xml:space="preserve">אגפים </w:t>
      </w:r>
      <w:r>
        <w:rPr>
          <w:rFonts w:cs="FrankRuehl" w:hint="cs"/>
          <w:sz w:val="20"/>
          <w:szCs w:val="22"/>
          <w:rtl/>
        </w:rPr>
        <w:t xml:space="preserve">השונים </w:t>
      </w:r>
      <w:r>
        <w:rPr>
          <w:rFonts w:cs="FrankRuehl"/>
          <w:sz w:val="20"/>
          <w:szCs w:val="22"/>
          <w:rtl/>
        </w:rPr>
        <w:t>המותאמים למדיניות המשרד הכוללת. לשם כך החל המנכ"ל לרכז ולתכלל בלשכתו את נושא הטמעת תכניות העבודה</w:t>
      </w:r>
      <w:r>
        <w:rPr>
          <w:rFonts w:cs="FrankRuehl" w:hint="cs"/>
          <w:sz w:val="20"/>
          <w:szCs w:val="22"/>
          <w:rtl/>
        </w:rPr>
        <w:t>,</w:t>
      </w:r>
      <w:r>
        <w:rPr>
          <w:rFonts w:cs="FrankRuehl"/>
          <w:sz w:val="20"/>
          <w:szCs w:val="22"/>
          <w:rtl/>
        </w:rPr>
        <w:t xml:space="preserve"> ואולם עם סיום כהונתו </w:t>
      </w:r>
      <w:r>
        <w:rPr>
          <w:rFonts w:cs="FrankRuehl" w:hint="cs"/>
          <w:sz w:val="20"/>
          <w:szCs w:val="22"/>
          <w:rtl/>
        </w:rPr>
        <w:t>שונתה מתכונת הטמעת</w:t>
      </w:r>
      <w:r>
        <w:rPr>
          <w:rFonts w:cs="FrankRuehl"/>
          <w:sz w:val="20"/>
          <w:szCs w:val="22"/>
          <w:rtl/>
        </w:rPr>
        <w:t xml:space="preserve"> </w:t>
      </w:r>
      <w:r>
        <w:rPr>
          <w:rFonts w:cs="FrankRuehl" w:hint="cs"/>
          <w:sz w:val="20"/>
          <w:szCs w:val="22"/>
          <w:rtl/>
        </w:rPr>
        <w:t>ה</w:t>
      </w:r>
      <w:r>
        <w:rPr>
          <w:rFonts w:cs="FrankRuehl"/>
          <w:sz w:val="20"/>
          <w:szCs w:val="22"/>
          <w:rtl/>
        </w:rPr>
        <w:t>תהליך.</w:t>
      </w:r>
      <w:r>
        <w:rPr>
          <w:rFonts w:cs="FrankRuehl" w:hint="cs"/>
          <w:sz w:val="20"/>
          <w:szCs w:val="22"/>
          <w:rtl/>
        </w:rPr>
        <w:t xml:space="preserve"> </w:t>
      </w:r>
    </w:p>
    <w:p w:rsidR="00F20C1A" w:rsidP="007717D4">
      <w:pPr>
        <w:spacing w:after="240" w:line="230" w:lineRule="exact"/>
        <w:jc w:val="both"/>
        <w:rPr>
          <w:rFonts w:cs="FrankRuehl"/>
          <w:sz w:val="20"/>
          <w:szCs w:val="22"/>
          <w:rtl/>
        </w:rPr>
      </w:pPr>
      <w:r>
        <w:rPr>
          <w:rFonts w:cs="FrankRuehl" w:hint="cs"/>
          <w:sz w:val="20"/>
          <w:szCs w:val="22"/>
          <w:rtl/>
        </w:rPr>
        <w:t xml:space="preserve">מתברר כי חילופים של נושאי משרות ושינוי תפיסות הניהול השפיעו על אופי הניהול של הכנת תכניות העבודה ושל הבקרה עליהם. </w:t>
      </w:r>
    </w:p>
    <w:p w:rsidR="00F20C1A" w:rsidP="007717D4">
      <w:pPr>
        <w:pStyle w:val="RESHET"/>
        <w:rPr>
          <w:rtl/>
        </w:rPr>
      </w:pPr>
      <w:r>
        <w:rPr>
          <w:rtl/>
        </w:rPr>
        <w:t xml:space="preserve">כיום אין באגפי משרד האוצר </w:t>
      </w:r>
      <w:r>
        <w:rPr>
          <w:rFonts w:hint="cs"/>
          <w:rtl/>
        </w:rPr>
        <w:t xml:space="preserve">שנבדקו </w:t>
      </w:r>
      <w:r>
        <w:rPr>
          <w:rtl/>
        </w:rPr>
        <w:t xml:space="preserve">רציפות בהטמעת תהליכי תכנון, מדידה ובקרה, וקיומם תלוי במידה רבה </w:t>
      </w:r>
      <w:r>
        <w:rPr>
          <w:rFonts w:hint="cs"/>
          <w:rtl/>
        </w:rPr>
        <w:t>ב</w:t>
      </w:r>
      <w:r>
        <w:rPr>
          <w:rtl/>
        </w:rPr>
        <w:t xml:space="preserve">יזמתם של </w:t>
      </w:r>
      <w:r>
        <w:rPr>
          <w:rFonts w:hint="cs"/>
          <w:rtl/>
        </w:rPr>
        <w:t>בעלי התפקידים הבכירים באגפים</w:t>
      </w:r>
      <w:r>
        <w:rPr>
          <w:rtl/>
        </w:rPr>
        <w:t>. בשנים האחרונות החלו תהליכי הטמעה מסוג זה, אבל הופסקו בעקבות חילופי מנהלים.</w:t>
      </w:r>
    </w:p>
    <w:p w:rsidR="00F20C1A" w:rsidP="007717D4">
      <w:pPr>
        <w:spacing w:before="180" w:after="120" w:line="230" w:lineRule="exact"/>
        <w:jc w:val="both"/>
        <w:rPr>
          <w:rFonts w:cs="FrankRuehl"/>
          <w:sz w:val="20"/>
          <w:szCs w:val="22"/>
          <w:rtl/>
        </w:rPr>
      </w:pPr>
      <w:r>
        <w:rPr>
          <w:rFonts w:cs="FrankRuehl"/>
          <w:sz w:val="20"/>
          <w:szCs w:val="22"/>
          <w:rtl/>
        </w:rPr>
        <w:t>לדוגמה, בפגישות שקיימו נציגי משרד מבקר המדינה עם כמה מסגני הממונה על התקציבים הוסבר כי בשנים האחרונות התחלפו רבים מן הממונים על האגף, ולכן לא בכל שנה אושרו תכניות העבודה של</w:t>
      </w:r>
      <w:r>
        <w:rPr>
          <w:rFonts w:cs="FrankRuehl" w:hint="cs"/>
          <w:sz w:val="20"/>
          <w:szCs w:val="22"/>
          <w:rtl/>
        </w:rPr>
        <w:t xml:space="preserve"> האגף</w:t>
      </w:r>
      <w:r>
        <w:rPr>
          <w:rFonts w:cs="FrankRuehl"/>
          <w:sz w:val="20"/>
          <w:szCs w:val="22"/>
          <w:rtl/>
        </w:rPr>
        <w:t xml:space="preserve">. </w:t>
      </w:r>
    </w:p>
    <w:p w:rsidR="00F20C1A">
      <w:pPr>
        <w:spacing w:after="120" w:line="230" w:lineRule="exact"/>
        <w:jc w:val="both"/>
        <w:rPr>
          <w:rFonts w:cs="FrankRuehl"/>
          <w:sz w:val="20"/>
          <w:szCs w:val="22"/>
          <w:rtl/>
        </w:rPr>
      </w:pPr>
      <w:r>
        <w:rPr>
          <w:rFonts w:cs="FrankRuehl" w:hint="cs"/>
          <w:sz w:val="20"/>
          <w:szCs w:val="22"/>
          <w:rtl/>
        </w:rPr>
        <w:t xml:space="preserve">אגף התקציבים מסר בתשובתו כי "מידי שנה מתנהל באגף הליך של תכנון ואישור תכניות העבודה השנתיות... לצד האמור, בשנת 2013 עקב מספר נסיבות חריגות לא התקיים באגף ההליך המתואר לעיל. יש לציין כי למעט השנה האמורה, בכל אחת מהשנים בעשור האחרון התקיים באגף הליך תכנון ואישור תכניות העבודה". </w:t>
      </w:r>
    </w:p>
    <w:p w:rsidR="00F20C1A">
      <w:pPr>
        <w:spacing w:after="120" w:line="230" w:lineRule="exact"/>
        <w:jc w:val="both"/>
        <w:rPr>
          <w:rFonts w:cs="FrankRuehl"/>
          <w:sz w:val="20"/>
          <w:szCs w:val="22"/>
          <w:rtl/>
        </w:rPr>
      </w:pPr>
      <w:r>
        <w:rPr>
          <w:rFonts w:cs="FrankRuehl" w:hint="cs"/>
          <w:sz w:val="20"/>
          <w:szCs w:val="22"/>
          <w:rtl/>
        </w:rPr>
        <w:t xml:space="preserve">בנושא זה </w:t>
      </w:r>
      <w:r>
        <w:rPr>
          <w:rFonts w:cs="FrankRuehl"/>
          <w:sz w:val="20"/>
          <w:szCs w:val="22"/>
          <w:rtl/>
        </w:rPr>
        <w:t>מסרה חבר</w:t>
      </w:r>
      <w:r>
        <w:rPr>
          <w:rFonts w:cs="FrankRuehl" w:hint="cs"/>
          <w:sz w:val="20"/>
          <w:szCs w:val="22"/>
          <w:rtl/>
        </w:rPr>
        <w:t>ה</w:t>
      </w:r>
      <w:r>
        <w:rPr>
          <w:rFonts w:cs="FrankRuehl"/>
          <w:sz w:val="20"/>
          <w:szCs w:val="22"/>
          <w:rtl/>
        </w:rPr>
        <w:t xml:space="preserve"> א' למשרד מבקר המדינה כי "לאורך שנתיים</w:t>
      </w:r>
      <w:r>
        <w:rPr>
          <w:rFonts w:cs="FrankRuehl" w:hint="cs"/>
          <w:sz w:val="20"/>
          <w:szCs w:val="22"/>
          <w:rtl/>
        </w:rPr>
        <w:t xml:space="preserve"> </w:t>
      </w:r>
      <w:r>
        <w:rPr>
          <w:rFonts w:cs="FrankRuehl"/>
          <w:sz w:val="20"/>
          <w:szCs w:val="22"/>
          <w:rtl/>
        </w:rPr>
        <w:t>-</w:t>
      </w:r>
      <w:r>
        <w:rPr>
          <w:rFonts w:cs="FrankRuehl" w:hint="cs"/>
          <w:sz w:val="20"/>
          <w:szCs w:val="22"/>
          <w:rtl/>
        </w:rPr>
        <w:t xml:space="preserve"> </w:t>
      </w:r>
      <w:r>
        <w:rPr>
          <w:rFonts w:cs="FrankRuehl"/>
          <w:sz w:val="20"/>
          <w:szCs w:val="22"/>
          <w:rtl/>
        </w:rPr>
        <w:t xml:space="preserve">שלוש, ניתן להעריך כי חלק גדול מהסגל הניהולי והעובדים </w:t>
      </w:r>
      <w:r>
        <w:rPr>
          <w:rFonts w:cs="FrankRuehl" w:hint="cs"/>
          <w:sz w:val="20"/>
          <w:szCs w:val="22"/>
          <w:rtl/>
        </w:rPr>
        <w:t xml:space="preserve">במשרד </w:t>
      </w:r>
      <w:r>
        <w:rPr>
          <w:rFonts w:cs="FrankRuehl"/>
          <w:sz w:val="20"/>
          <w:szCs w:val="22"/>
          <w:rtl/>
        </w:rPr>
        <w:t xml:space="preserve">התחלפו (במיוחד במשרד האוצר שידוע כמשרד בו </w:t>
      </w:r>
      <w:r>
        <w:rPr>
          <w:rFonts w:cs="FrankRuehl"/>
          <w:sz w:val="20"/>
          <w:szCs w:val="22"/>
          <w:rtl/>
        </w:rPr>
        <w:t>מתקיימים 'סבבים' וכוח האדם צעיר יחסית)</w:t>
      </w:r>
      <w:r>
        <w:rPr>
          <w:rFonts w:cs="FrankRuehl" w:hint="cs"/>
          <w:sz w:val="20"/>
          <w:szCs w:val="22"/>
          <w:rtl/>
        </w:rPr>
        <w:t>.</w:t>
      </w:r>
      <w:r>
        <w:rPr>
          <w:rFonts w:cs="FrankRuehl"/>
          <w:sz w:val="20"/>
          <w:szCs w:val="22"/>
          <w:rtl/>
        </w:rPr>
        <w:t xml:space="preserve"> לא סביר לצפות שכאשר לא מתקיים רצף תכנוני וחלק ניכר מכוח האדם מתחלף יתקיים שימור ידע ויכולות".</w:t>
      </w:r>
    </w:p>
    <w:p w:rsidR="00F20C1A" w:rsidP="007717D4">
      <w:pPr>
        <w:spacing w:after="240" w:line="230" w:lineRule="exact"/>
        <w:jc w:val="both"/>
        <w:rPr>
          <w:rFonts w:cs="FrankRuehl"/>
          <w:sz w:val="20"/>
          <w:szCs w:val="22"/>
          <w:rtl/>
        </w:rPr>
      </w:pPr>
      <w:r>
        <w:rPr>
          <w:rFonts w:cs="FrankRuehl" w:hint="cs"/>
          <w:sz w:val="20"/>
          <w:szCs w:val="22"/>
          <w:rtl/>
        </w:rPr>
        <w:t xml:space="preserve">חברה ב' מסרה למשרד מבקר המדינה כי "עבודת הצוות המקצועי מטעמנו החלה בחודש דצמבר 2012. כחלוף חמישה חודשים ממועד תחילת העבודה, קרי אפריל 2013, לבקשת המשרד, ולאחר הבחירות הכלליות נתבקשנו להפסיק את עבודתנו, בין היתר, עקב חילופי השר והמנכ"ל". </w:t>
      </w:r>
    </w:p>
    <w:p w:rsidR="00F20C1A" w:rsidP="007717D4">
      <w:pPr>
        <w:pStyle w:val="RESHET"/>
        <w:rPr>
          <w:rtl/>
        </w:rPr>
      </w:pPr>
      <w:r>
        <w:rPr>
          <w:rtl/>
        </w:rPr>
        <w:t xml:space="preserve">נוכח תכיפות התחלופה בקרב נושאי התפקידים באגפי משרד האוצר, בהם בכירים רבים, </w:t>
      </w:r>
      <w:r>
        <w:rPr>
          <w:rFonts w:hint="cs"/>
          <w:rtl/>
        </w:rPr>
        <w:t xml:space="preserve">על </w:t>
      </w:r>
      <w:r>
        <w:rPr>
          <w:rtl/>
        </w:rPr>
        <w:t xml:space="preserve">המשרד </w:t>
      </w:r>
      <w:r>
        <w:rPr>
          <w:rFonts w:hint="cs"/>
          <w:rtl/>
        </w:rPr>
        <w:t>להטמיע</w:t>
      </w:r>
      <w:r>
        <w:rPr>
          <w:rtl/>
        </w:rPr>
        <w:t xml:space="preserve"> ביתר שאת ובהקדם תרבות ארגונית הכוללת קיום </w:t>
      </w:r>
      <w:r>
        <w:rPr>
          <w:rFonts w:hint="eastAsia"/>
          <w:rtl/>
        </w:rPr>
        <w:t>תהליכי</w:t>
      </w:r>
      <w:r>
        <w:rPr>
          <w:rtl/>
        </w:rPr>
        <w:t xml:space="preserve"> תכנון, מדידה בקרה</w:t>
      </w:r>
      <w:r>
        <w:rPr>
          <w:rFonts w:hint="cs"/>
          <w:rtl/>
        </w:rPr>
        <w:t xml:space="preserve"> ותיעוד</w:t>
      </w:r>
      <w:r>
        <w:rPr>
          <w:rtl/>
        </w:rPr>
        <w:t>, זאת כדי לשמור על רצף ניהולי שאיננו תלוי ב</w:t>
      </w:r>
      <w:r>
        <w:rPr>
          <w:rFonts w:hint="cs"/>
          <w:rtl/>
        </w:rPr>
        <w:t xml:space="preserve">בעלי </w:t>
      </w:r>
      <w:r>
        <w:rPr>
          <w:rtl/>
        </w:rPr>
        <w:t>התפקידים.</w:t>
      </w:r>
    </w:p>
    <w:p w:rsidR="00F20C1A">
      <w:pPr>
        <w:spacing w:after="120" w:line="230" w:lineRule="exact"/>
        <w:jc w:val="both"/>
        <w:rPr>
          <w:rFonts w:cs="FrankRuehl"/>
          <w:sz w:val="20"/>
          <w:szCs w:val="22"/>
        </w:rPr>
      </w:pPr>
    </w:p>
    <w:p w:rsidR="00F20C1A">
      <w:pPr>
        <w:spacing w:after="120" w:line="230" w:lineRule="exact"/>
        <w:jc w:val="both"/>
        <w:rPr>
          <w:rFonts w:cs="FrankRuehl"/>
          <w:sz w:val="20"/>
          <w:szCs w:val="22"/>
          <w:rtl/>
        </w:rPr>
      </w:pPr>
    </w:p>
    <w:p w:rsidR="00F20C1A">
      <w:pPr>
        <w:pStyle w:val="KOT4"/>
        <w:rPr>
          <w:rtl/>
        </w:rPr>
      </w:pPr>
      <w:r>
        <w:rPr>
          <w:rtl/>
        </w:rPr>
        <w:t xml:space="preserve">העסקת חברות ייעוץ לצורך הטמעת </w:t>
      </w:r>
      <w:r>
        <w:rPr>
          <w:rFonts w:hint="cs"/>
          <w:rtl/>
        </w:rPr>
        <w:t>תרבות של תכנון, בקרה ומדידה</w:t>
      </w:r>
    </w:p>
    <w:p w:rsidR="00F20C1A">
      <w:pPr>
        <w:spacing w:after="120" w:line="230" w:lineRule="exact"/>
        <w:jc w:val="both"/>
        <w:outlineLvl w:val="0"/>
        <w:rPr>
          <w:rFonts w:cs="FrankRuehl"/>
          <w:sz w:val="20"/>
          <w:szCs w:val="22"/>
          <w:rtl/>
        </w:rPr>
      </w:pPr>
      <w:r>
        <w:rPr>
          <w:rFonts w:cs="FrankRuehl"/>
          <w:sz w:val="20"/>
          <w:szCs w:val="22"/>
          <w:rtl/>
        </w:rPr>
        <w:t xml:space="preserve">בשנת 2008 פרסם </w:t>
      </w:r>
      <w:r>
        <w:rPr>
          <w:rFonts w:cs="FrankRuehl" w:hint="cs"/>
          <w:sz w:val="20"/>
          <w:szCs w:val="22"/>
          <w:rtl/>
        </w:rPr>
        <w:t xml:space="preserve">אגף </w:t>
      </w:r>
      <w:r>
        <w:rPr>
          <w:rFonts w:cs="FrankRuehl"/>
          <w:sz w:val="20"/>
          <w:szCs w:val="22"/>
          <w:rtl/>
        </w:rPr>
        <w:t>החשב הכללי מכרז מרכזי</w:t>
      </w:r>
      <w:r>
        <w:rPr>
          <w:rStyle w:val="FootnoteReference"/>
          <w:rFonts w:ascii="FrankRuehl" w:hAnsi="FrankRuehl" w:cs="FrankRuehl"/>
          <w:sz w:val="22"/>
          <w:szCs w:val="22"/>
          <w:rtl/>
        </w:rPr>
        <w:footnoteReference w:id="16"/>
      </w:r>
      <w:r>
        <w:rPr>
          <w:rFonts w:cs="FrankRuehl"/>
          <w:sz w:val="20"/>
          <w:szCs w:val="22"/>
          <w:rtl/>
        </w:rPr>
        <w:t xml:space="preserve"> עבור משרד ראש הממשלה (להלן - המכרז) "בכדי להקים מאגר של חברות יועצים, אשר יעניקו סיוע תהליכי למשרדי הממשלה ויחידות סמך המבקשים להטמיע תרבות ותהליכי עבודה של תכנון, בקרה ומדידה". המכרז הגדיר כמה תפוקות אשר להשגתן נדרשים שירותי הייעוץ, ובהן: יצירת תרבות של תכנון, של בקרה ושל מדידה במשרד הממשלתי לשם קביעה ויישום של מדיניות ולשם עמידה בתפוקות ובתוצאות שהוגדרו למשרד; בניית מתודולוגיה ותהליכי עבודה פנים-משרדיים ליישום מדיניות המשרד באמצעות שילוב נכון של תהליכי תכנון, בקרה ומדידה; העצמת המשרד הממשלתי והעברת הידע הנרכש כך שיוכל לפעול עצמאית על בסיס המתודולוגיה לאחר השלמת הליווי של חברות הייעוץ. במכרז זכו שמונה ספקים, והם נכללו במאגר חברות הייעוץ.</w:t>
      </w:r>
    </w:p>
    <w:p w:rsidR="00F20C1A">
      <w:pPr>
        <w:spacing w:after="120" w:line="230" w:lineRule="exact"/>
        <w:jc w:val="both"/>
        <w:outlineLvl w:val="0"/>
        <w:rPr>
          <w:rFonts w:cs="FrankRuehl"/>
          <w:sz w:val="20"/>
          <w:szCs w:val="22"/>
          <w:rtl/>
        </w:rPr>
      </w:pPr>
      <w:r>
        <w:rPr>
          <w:rFonts w:cs="FrankRuehl"/>
          <w:sz w:val="20"/>
          <w:szCs w:val="22"/>
          <w:rtl/>
        </w:rPr>
        <w:t xml:space="preserve">משרד שהיה מעוניין לקבל את שירותי הייעוץ נדרש למנות צוות מקצועי (להלן - הצוות) שתפקידו לסייע למנכ"ל המשרד בבחירת </w:t>
      </w:r>
      <w:r>
        <w:rPr>
          <w:rFonts w:cs="FrankRuehl" w:hint="cs"/>
          <w:sz w:val="20"/>
          <w:szCs w:val="22"/>
          <w:rtl/>
        </w:rPr>
        <w:t xml:space="preserve">ספק מקרב </w:t>
      </w:r>
      <w:r>
        <w:rPr>
          <w:rFonts w:cs="FrankRuehl"/>
          <w:sz w:val="20"/>
          <w:szCs w:val="22"/>
          <w:rtl/>
        </w:rPr>
        <w:t>שמונת הספקים שנבחרו במכרז המרכזי. תהליך הבחירה היה כלהלן:</w:t>
      </w:r>
      <w:r w:rsidR="007717D4">
        <w:rPr>
          <w:rFonts w:cs="FrankRuehl" w:hint="cs"/>
          <w:sz w:val="20"/>
          <w:szCs w:val="22"/>
          <w:rtl/>
        </w:rPr>
        <w:t xml:space="preserve">  </w:t>
      </w:r>
      <w:r>
        <w:rPr>
          <w:rFonts w:cs="FrankRuehl"/>
          <w:sz w:val="20"/>
          <w:szCs w:val="22"/>
          <w:rtl/>
        </w:rPr>
        <w:t xml:space="preserve"> (1) </w:t>
      </w:r>
      <w:r w:rsidR="007717D4">
        <w:rPr>
          <w:rFonts w:cs="FrankRuehl" w:hint="cs"/>
          <w:sz w:val="20"/>
          <w:szCs w:val="22"/>
          <w:rtl/>
        </w:rPr>
        <w:t xml:space="preserve"> </w:t>
      </w:r>
      <w:r>
        <w:rPr>
          <w:rFonts w:cs="FrankRuehl"/>
          <w:sz w:val="20"/>
          <w:szCs w:val="22"/>
          <w:rtl/>
        </w:rPr>
        <w:t xml:space="preserve">מתוך מאגר החברות היה על המנכ"ל או </w:t>
      </w:r>
      <w:r>
        <w:rPr>
          <w:rFonts w:cs="FrankRuehl" w:hint="cs"/>
          <w:sz w:val="20"/>
          <w:szCs w:val="22"/>
          <w:rtl/>
        </w:rPr>
        <w:t xml:space="preserve">על </w:t>
      </w:r>
      <w:r>
        <w:rPr>
          <w:rFonts w:cs="FrankRuehl"/>
          <w:sz w:val="20"/>
          <w:szCs w:val="22"/>
          <w:rtl/>
        </w:rPr>
        <w:t>הצוות לזמן לפגישה את חמשת הספקים המתאימים ביותר לצורכי המשרד, על פי התרשמותם. בפגישה נדרש הצוות להעריך את מידת התאמתו של כל ספק לצורכי המשרד ואת יכולתו להביא להצלחת הייעוץ;</w:t>
      </w:r>
      <w:r w:rsidR="007717D4">
        <w:rPr>
          <w:rFonts w:cs="FrankRuehl" w:hint="cs"/>
          <w:sz w:val="20"/>
          <w:szCs w:val="22"/>
          <w:rtl/>
        </w:rPr>
        <w:t xml:space="preserve">  </w:t>
      </w:r>
      <w:r>
        <w:rPr>
          <w:rFonts w:cs="FrankRuehl"/>
          <w:sz w:val="20"/>
          <w:szCs w:val="22"/>
          <w:rtl/>
        </w:rPr>
        <w:t xml:space="preserve"> </w:t>
      </w:r>
      <w:r>
        <w:rPr>
          <w:rFonts w:cs="FrankRuehl" w:hint="cs"/>
          <w:sz w:val="20"/>
          <w:szCs w:val="22"/>
          <w:rtl/>
        </w:rPr>
        <w:t>(</w:t>
      </w:r>
      <w:r>
        <w:rPr>
          <w:rFonts w:cs="FrankRuehl"/>
          <w:sz w:val="20"/>
          <w:szCs w:val="22"/>
          <w:rtl/>
        </w:rPr>
        <w:t xml:space="preserve">2) </w:t>
      </w:r>
      <w:r w:rsidR="007717D4">
        <w:rPr>
          <w:rFonts w:cs="FrankRuehl" w:hint="cs"/>
          <w:sz w:val="20"/>
          <w:szCs w:val="22"/>
          <w:rtl/>
        </w:rPr>
        <w:t xml:space="preserve"> </w:t>
      </w:r>
      <w:r>
        <w:rPr>
          <w:rFonts w:cs="FrankRuehl" w:hint="cs"/>
          <w:sz w:val="20"/>
          <w:szCs w:val="22"/>
          <w:rtl/>
        </w:rPr>
        <w:t xml:space="preserve">מקרב </w:t>
      </w:r>
      <w:r>
        <w:rPr>
          <w:rFonts w:cs="FrankRuehl"/>
          <w:sz w:val="20"/>
          <w:szCs w:val="22"/>
          <w:rtl/>
        </w:rPr>
        <w:t xml:space="preserve">חמשת הספקים שהוערכו היה על המשרד לבחור שני ספקים ולבקש מהם הצעה מותאמת וממוקדת שיש בה לספק את צרכיו הייחודיים של המשרד; </w:t>
      </w:r>
      <w:r w:rsidR="007717D4">
        <w:rPr>
          <w:rFonts w:cs="FrankRuehl" w:hint="cs"/>
          <w:sz w:val="20"/>
          <w:szCs w:val="22"/>
          <w:rtl/>
        </w:rPr>
        <w:t xml:space="preserve">  </w:t>
      </w:r>
      <w:r>
        <w:rPr>
          <w:rFonts w:cs="FrankRuehl" w:hint="cs"/>
          <w:sz w:val="20"/>
          <w:szCs w:val="22"/>
          <w:rtl/>
        </w:rPr>
        <w:t>(</w:t>
      </w:r>
      <w:r>
        <w:rPr>
          <w:rFonts w:cs="FrankRuehl"/>
          <w:sz w:val="20"/>
          <w:szCs w:val="22"/>
          <w:rtl/>
        </w:rPr>
        <w:t xml:space="preserve">3) </w:t>
      </w:r>
      <w:r w:rsidR="007717D4">
        <w:rPr>
          <w:rFonts w:cs="FrankRuehl" w:hint="cs"/>
          <w:sz w:val="20"/>
          <w:szCs w:val="22"/>
          <w:rtl/>
        </w:rPr>
        <w:t xml:space="preserve"> </w:t>
      </w:r>
      <w:r>
        <w:rPr>
          <w:rFonts w:cs="FrankRuehl"/>
          <w:sz w:val="20"/>
          <w:szCs w:val="22"/>
          <w:rtl/>
        </w:rPr>
        <w:t xml:space="preserve">מנכ"ל המשרד והצוות נדרשו לבדוק את הצעות שני הספקים, לבחור </w:t>
      </w:r>
      <w:r>
        <w:rPr>
          <w:rFonts w:cs="FrankRuehl" w:hint="cs"/>
          <w:sz w:val="20"/>
          <w:szCs w:val="22"/>
          <w:rtl/>
        </w:rPr>
        <w:t>ב</w:t>
      </w:r>
      <w:r>
        <w:rPr>
          <w:rFonts w:cs="FrankRuehl"/>
          <w:sz w:val="20"/>
          <w:szCs w:val="22"/>
          <w:rtl/>
        </w:rPr>
        <w:t xml:space="preserve">אחד </w:t>
      </w:r>
      <w:r>
        <w:rPr>
          <w:rFonts w:cs="FrankRuehl" w:hint="cs"/>
          <w:sz w:val="20"/>
          <w:szCs w:val="22"/>
          <w:rtl/>
        </w:rPr>
        <w:t xml:space="preserve">מהם </w:t>
      </w:r>
      <w:r>
        <w:rPr>
          <w:rFonts w:cs="FrankRuehl"/>
          <w:sz w:val="20"/>
          <w:szCs w:val="22"/>
          <w:rtl/>
        </w:rPr>
        <w:t xml:space="preserve">ולהביא את הצעת הבחירה לאישור סופי של ועדת המכרזים המשרדית. </w:t>
      </w:r>
    </w:p>
    <w:p w:rsidR="00F20C1A">
      <w:pPr>
        <w:spacing w:after="120" w:line="230" w:lineRule="exact"/>
        <w:jc w:val="both"/>
        <w:outlineLvl w:val="0"/>
        <w:rPr>
          <w:rFonts w:cs="FrankRuehl"/>
          <w:sz w:val="20"/>
          <w:szCs w:val="22"/>
          <w:rtl/>
        </w:rPr>
      </w:pPr>
      <w:r>
        <w:rPr>
          <w:rFonts w:cs="FrankRuehl"/>
          <w:sz w:val="20"/>
          <w:szCs w:val="22"/>
          <w:rtl/>
        </w:rPr>
        <w:t>בהתאם לתנאי המכרז, בשנת 2009 בחרה ועדת המכרזים של משרד האוצר בחברה א' לספקית שירותי הייעוץ לאגפי המשרד לשם יישום והטמעה של תרבות ותהליכי עבודה של תכנון, בקרה ומדידה. עיקר עבודתה של החברה הייתה הטמעת המתודולוגיה של מדריך התכנון באגפים השונים וליווי האגפים בבניית תכניות עבודה</w:t>
      </w:r>
      <w:r>
        <w:rPr>
          <w:rStyle w:val="FootnoteReference"/>
          <w:rFonts w:ascii="FrankRuehl" w:hAnsi="FrankRuehl" w:cs="FrankRuehl"/>
          <w:sz w:val="22"/>
          <w:szCs w:val="22"/>
          <w:rtl/>
        </w:rPr>
        <w:footnoteReference w:id="17"/>
      </w:r>
      <w:r>
        <w:rPr>
          <w:rFonts w:cs="FrankRuehl"/>
          <w:sz w:val="20"/>
          <w:szCs w:val="22"/>
          <w:rtl/>
        </w:rPr>
        <w:t xml:space="preserve">. </w:t>
      </w:r>
    </w:p>
    <w:p w:rsidR="00F20C1A">
      <w:pPr>
        <w:spacing w:after="120" w:line="230" w:lineRule="exact"/>
        <w:jc w:val="both"/>
        <w:rPr>
          <w:rFonts w:cs="FrankRuehl"/>
          <w:sz w:val="20"/>
          <w:szCs w:val="22"/>
          <w:rtl/>
        </w:rPr>
      </w:pPr>
      <w:r>
        <w:rPr>
          <w:rFonts w:cs="FrankRuehl"/>
          <w:sz w:val="20"/>
          <w:szCs w:val="22"/>
          <w:rtl/>
        </w:rPr>
        <w:t xml:space="preserve">בהסכם שנחתם בין משרד האוצר לבין חברה א' </w:t>
      </w:r>
      <w:r>
        <w:rPr>
          <w:rFonts w:cs="FrankRuehl" w:hint="cs"/>
          <w:sz w:val="20"/>
          <w:szCs w:val="22"/>
          <w:rtl/>
        </w:rPr>
        <w:t xml:space="preserve">באוגוסט 2009 </w:t>
      </w:r>
      <w:r>
        <w:rPr>
          <w:rFonts w:cs="FrankRuehl"/>
          <w:sz w:val="20"/>
          <w:szCs w:val="22"/>
          <w:rtl/>
        </w:rPr>
        <w:t xml:space="preserve">הוגדרו אבני הדרך </w:t>
      </w:r>
      <w:r>
        <w:rPr>
          <w:rFonts w:cs="FrankRuehl" w:hint="cs"/>
          <w:sz w:val="20"/>
          <w:szCs w:val="22"/>
          <w:rtl/>
        </w:rPr>
        <w:t>(שלבי ה</w:t>
      </w:r>
      <w:r>
        <w:rPr>
          <w:rFonts w:cs="FrankRuehl"/>
          <w:sz w:val="20"/>
          <w:szCs w:val="22"/>
          <w:rtl/>
        </w:rPr>
        <w:t>ביצוע</w:t>
      </w:r>
      <w:r>
        <w:rPr>
          <w:rFonts w:cs="FrankRuehl" w:hint="cs"/>
          <w:sz w:val="20"/>
          <w:szCs w:val="22"/>
          <w:rtl/>
        </w:rPr>
        <w:t>)</w:t>
      </w:r>
      <w:r>
        <w:rPr>
          <w:rFonts w:cs="FrankRuehl"/>
          <w:sz w:val="20"/>
          <w:szCs w:val="22"/>
          <w:rtl/>
        </w:rPr>
        <w:t xml:space="preserve"> עד להשלמת העבודה במלואה. תקופת ההתקשרות להשגת היעדים </w:t>
      </w:r>
      <w:r>
        <w:rPr>
          <w:rFonts w:cs="FrankRuehl" w:hint="cs"/>
          <w:sz w:val="20"/>
          <w:szCs w:val="22"/>
          <w:rtl/>
        </w:rPr>
        <w:t xml:space="preserve">נקבעה </w:t>
      </w:r>
      <w:r>
        <w:rPr>
          <w:rFonts w:cs="FrankRuehl"/>
          <w:sz w:val="20"/>
          <w:szCs w:val="22"/>
          <w:rtl/>
        </w:rPr>
        <w:t>לשנה עם אופציה להארכה עד שנתיים נוספות</w:t>
      </w:r>
      <w:r>
        <w:rPr>
          <w:rStyle w:val="FootnoteReference"/>
          <w:rFonts w:ascii="FrankRuehl" w:hAnsi="FrankRuehl" w:cs="FrankRuehl"/>
          <w:sz w:val="22"/>
          <w:szCs w:val="22"/>
          <w:rtl/>
        </w:rPr>
        <w:footnoteReference w:id="18"/>
      </w:r>
      <w:r>
        <w:rPr>
          <w:rFonts w:cs="FrankRuehl" w:hint="cs"/>
          <w:sz w:val="20"/>
          <w:szCs w:val="22"/>
          <w:rtl/>
        </w:rPr>
        <w:t xml:space="preserve">. בנובמבר 2010 </w:t>
      </w:r>
      <w:r>
        <w:rPr>
          <w:rFonts w:cs="FrankRuehl"/>
          <w:sz w:val="20"/>
          <w:szCs w:val="22"/>
          <w:rtl/>
        </w:rPr>
        <w:t>נחתמה בין משרד האוצר לבין חברה א' תוספת להסכם העיקרי</w:t>
      </w:r>
      <w:r>
        <w:rPr>
          <w:rFonts w:cs="FrankRuehl" w:hint="cs"/>
          <w:sz w:val="20"/>
          <w:szCs w:val="22"/>
          <w:rtl/>
        </w:rPr>
        <w:t>,</w:t>
      </w:r>
      <w:r>
        <w:rPr>
          <w:rFonts w:cs="FrankRuehl"/>
          <w:sz w:val="20"/>
          <w:szCs w:val="22"/>
          <w:rtl/>
        </w:rPr>
        <w:t xml:space="preserve"> </w:t>
      </w:r>
      <w:r>
        <w:rPr>
          <w:rFonts w:cs="FrankRuehl" w:hint="cs"/>
          <w:sz w:val="20"/>
          <w:szCs w:val="22"/>
          <w:rtl/>
        </w:rPr>
        <w:t>ו</w:t>
      </w:r>
      <w:r>
        <w:rPr>
          <w:rFonts w:cs="FrankRuehl"/>
          <w:sz w:val="20"/>
          <w:szCs w:val="22"/>
          <w:rtl/>
        </w:rPr>
        <w:t>על פי</w:t>
      </w:r>
      <w:r>
        <w:rPr>
          <w:rFonts w:cs="FrankRuehl" w:hint="cs"/>
          <w:sz w:val="20"/>
          <w:szCs w:val="22"/>
          <w:rtl/>
        </w:rPr>
        <w:t>ה</w:t>
      </w:r>
      <w:r>
        <w:rPr>
          <w:rFonts w:cs="FrankRuehl"/>
          <w:sz w:val="20"/>
          <w:szCs w:val="22"/>
          <w:rtl/>
        </w:rPr>
        <w:t xml:space="preserve"> </w:t>
      </w:r>
      <w:r>
        <w:rPr>
          <w:rFonts w:cs="FrankRuehl" w:hint="cs"/>
          <w:sz w:val="20"/>
          <w:szCs w:val="22"/>
          <w:rtl/>
        </w:rPr>
        <w:t>ניתן לממש את האופציה הראשונה שבמסגרת ההסכם העיקרי ולהאריך את</w:t>
      </w:r>
      <w:r>
        <w:rPr>
          <w:rFonts w:cs="FrankRuehl"/>
          <w:sz w:val="20"/>
          <w:szCs w:val="22"/>
          <w:rtl/>
        </w:rPr>
        <w:t xml:space="preserve"> תקופת ההתקשרות בשנה</w:t>
      </w:r>
      <w:r>
        <w:rPr>
          <w:rFonts w:cs="FrankRuehl" w:hint="cs"/>
          <w:sz w:val="20"/>
          <w:szCs w:val="22"/>
          <w:rtl/>
        </w:rPr>
        <w:t xml:space="preserve">. ממסמכים שצירף אגף המינהל בתשובתו עולה כי </w:t>
      </w:r>
      <w:r>
        <w:rPr>
          <w:rFonts w:cs="FrankRuehl"/>
          <w:sz w:val="20"/>
          <w:szCs w:val="22"/>
          <w:rtl/>
        </w:rPr>
        <w:t>בסך הכול שילם משרד האוצר לחברה א' בשנים 2012-2009 סכום כולל של כ-</w:t>
      </w:r>
      <w:r>
        <w:rPr>
          <w:rFonts w:cs="FrankRuehl" w:hint="cs"/>
          <w:sz w:val="20"/>
          <w:szCs w:val="22"/>
          <w:rtl/>
        </w:rPr>
        <w:t>1.7</w:t>
      </w:r>
      <w:r>
        <w:rPr>
          <w:rFonts w:cs="FrankRuehl"/>
          <w:sz w:val="20"/>
          <w:szCs w:val="22"/>
          <w:rtl/>
        </w:rPr>
        <w:t xml:space="preserve"> מיליון ש"ח.</w:t>
      </w:r>
    </w:p>
    <w:p w:rsidR="00F20C1A" w:rsidP="007717D4">
      <w:pPr>
        <w:spacing w:after="240" w:line="230" w:lineRule="exact"/>
        <w:ind w:left="340" w:hanging="340"/>
        <w:jc w:val="both"/>
        <w:outlineLvl w:val="0"/>
        <w:rPr>
          <w:rFonts w:cs="FrankRuehl"/>
          <w:sz w:val="20"/>
          <w:szCs w:val="22"/>
          <w:rtl/>
        </w:rPr>
      </w:pPr>
      <w:r>
        <w:rPr>
          <w:rFonts w:cs="FrankRuehl" w:hint="cs"/>
          <w:sz w:val="20"/>
          <w:szCs w:val="22"/>
          <w:rtl/>
        </w:rPr>
        <w:t>1</w:t>
      </w:r>
      <w:r>
        <w:rPr>
          <w:rFonts w:cs="FrankRuehl"/>
          <w:sz w:val="20"/>
          <w:szCs w:val="22"/>
          <w:rtl/>
        </w:rPr>
        <w:t>.</w:t>
      </w:r>
      <w:r>
        <w:rPr>
          <w:rFonts w:cs="FrankRuehl" w:hint="cs"/>
          <w:sz w:val="20"/>
          <w:szCs w:val="22"/>
          <w:rtl/>
        </w:rPr>
        <w:tab/>
        <w:t xml:space="preserve">כאמור, תקופת ההתקשרות עם חברה א' לוותה בין היתר בתחלופה של בעלי תפקידים מרכזיים בהנהלת משרד האוצר, דבר שהשפיע על תפיסת העבודה ועל יחסי הגומלין בין מנהלי האגפים. הביקורת העלתה כי במהלך התקופה, </w:t>
      </w:r>
      <w:r>
        <w:rPr>
          <w:rFonts w:cs="FrankRuehl" w:hint="eastAsia"/>
          <w:sz w:val="20"/>
          <w:szCs w:val="22"/>
          <w:rtl/>
        </w:rPr>
        <w:t>אף</w:t>
      </w:r>
      <w:r>
        <w:rPr>
          <w:rFonts w:cs="FrankRuehl"/>
          <w:sz w:val="20"/>
          <w:szCs w:val="22"/>
          <w:rtl/>
        </w:rPr>
        <w:t xml:space="preserve"> </w:t>
      </w:r>
      <w:r>
        <w:rPr>
          <w:rFonts w:cs="FrankRuehl" w:hint="cs"/>
          <w:sz w:val="20"/>
          <w:szCs w:val="22"/>
          <w:rtl/>
        </w:rPr>
        <w:t xml:space="preserve">שהנהלת משרד האוצר </w:t>
      </w:r>
      <w:r>
        <w:rPr>
          <w:rFonts w:cs="FrankRuehl"/>
          <w:sz w:val="20"/>
          <w:szCs w:val="22"/>
          <w:rtl/>
        </w:rPr>
        <w:t xml:space="preserve">אימצה </w:t>
      </w:r>
      <w:r>
        <w:rPr>
          <w:rFonts w:cs="FrankRuehl" w:hint="eastAsia"/>
          <w:sz w:val="20"/>
          <w:szCs w:val="22"/>
          <w:rtl/>
        </w:rPr>
        <w:t>את</w:t>
      </w:r>
      <w:r>
        <w:rPr>
          <w:rFonts w:cs="FrankRuehl"/>
          <w:sz w:val="20"/>
          <w:szCs w:val="22"/>
          <w:rtl/>
        </w:rPr>
        <w:t xml:space="preserve"> מדריך התכנון, </w:t>
      </w:r>
      <w:r>
        <w:rPr>
          <w:rFonts w:cs="FrankRuehl" w:hint="cs"/>
          <w:sz w:val="20"/>
          <w:szCs w:val="22"/>
          <w:rtl/>
        </w:rPr>
        <w:t xml:space="preserve">היא </w:t>
      </w:r>
      <w:r>
        <w:rPr>
          <w:rFonts w:cs="FrankRuehl" w:hint="eastAsia"/>
          <w:sz w:val="20"/>
          <w:szCs w:val="22"/>
          <w:rtl/>
        </w:rPr>
        <w:t>לא</w:t>
      </w:r>
      <w:r>
        <w:rPr>
          <w:rFonts w:cs="FrankRuehl"/>
          <w:sz w:val="20"/>
          <w:szCs w:val="22"/>
          <w:rtl/>
        </w:rPr>
        <w:t xml:space="preserve"> </w:t>
      </w:r>
      <w:r>
        <w:rPr>
          <w:rFonts w:cs="FrankRuehl" w:hint="cs"/>
          <w:sz w:val="20"/>
          <w:szCs w:val="22"/>
          <w:rtl/>
        </w:rPr>
        <w:t xml:space="preserve">תמיד </w:t>
      </w:r>
      <w:r>
        <w:rPr>
          <w:rFonts w:cs="FrankRuehl"/>
          <w:sz w:val="20"/>
          <w:szCs w:val="22"/>
          <w:rtl/>
        </w:rPr>
        <w:t xml:space="preserve">חייבה את </w:t>
      </w:r>
      <w:r>
        <w:rPr>
          <w:rFonts w:cs="FrankRuehl" w:hint="eastAsia"/>
          <w:sz w:val="20"/>
          <w:szCs w:val="22"/>
          <w:rtl/>
        </w:rPr>
        <w:t>אגפי</w:t>
      </w:r>
      <w:r>
        <w:rPr>
          <w:rFonts w:cs="FrankRuehl"/>
          <w:sz w:val="20"/>
          <w:szCs w:val="22"/>
          <w:rtl/>
        </w:rPr>
        <w:t xml:space="preserve"> המשרד לפעול </w:t>
      </w:r>
      <w:r>
        <w:rPr>
          <w:rFonts w:cs="FrankRuehl" w:hint="eastAsia"/>
          <w:sz w:val="20"/>
          <w:szCs w:val="22"/>
          <w:rtl/>
        </w:rPr>
        <w:t>על</w:t>
      </w:r>
      <w:r>
        <w:rPr>
          <w:rFonts w:cs="FrankRuehl"/>
          <w:sz w:val="20"/>
          <w:szCs w:val="22"/>
          <w:rtl/>
        </w:rPr>
        <w:t xml:space="preserve"> פי ה</w:t>
      </w:r>
      <w:r>
        <w:rPr>
          <w:rFonts w:cs="FrankRuehl" w:hint="eastAsia"/>
          <w:sz w:val="20"/>
          <w:szCs w:val="22"/>
          <w:rtl/>
        </w:rPr>
        <w:t>מתודולוגיה</w:t>
      </w:r>
      <w:r>
        <w:rPr>
          <w:rFonts w:cs="FrankRuehl"/>
          <w:sz w:val="20"/>
          <w:szCs w:val="22"/>
          <w:rtl/>
        </w:rPr>
        <w:t xml:space="preserve"> שבו ולא חייבה אותם להיעזר בשירותיה של חברה א', ולמעשה הותירה לאגפים חופש פעולה באימוץ ובהטמעה של התהליך. זאת ועוד, האגפים שבחרו לעבוד עם החברה הגדירו באופן עצמאי את תכולת העבודה, את אבני הדרך ואת לוחות הזמנים לקבלת הייעוץ. </w:t>
      </w:r>
    </w:p>
    <w:p w:rsidR="00F20C1A" w:rsidP="007717D4">
      <w:pPr>
        <w:pStyle w:val="RESHET"/>
        <w:ind w:left="567"/>
        <w:rPr>
          <w:rtl/>
        </w:rPr>
      </w:pPr>
      <w:r>
        <w:rPr>
          <w:rtl/>
        </w:rPr>
        <w:t>משרד מבקר המדינה מעיר כי משהחליט</w:t>
      </w:r>
      <w:r>
        <w:rPr>
          <w:rFonts w:hint="cs"/>
          <w:rtl/>
        </w:rPr>
        <w:t xml:space="preserve">ה הנהלת </w:t>
      </w:r>
      <w:r>
        <w:rPr>
          <w:rtl/>
        </w:rPr>
        <w:t>משרד האוצר לפעול בהתאם למדריך התכנון</w:t>
      </w:r>
      <w:r>
        <w:rPr>
          <w:rFonts w:hint="cs"/>
          <w:rtl/>
        </w:rPr>
        <w:t xml:space="preserve"> ומשנרכשו שירותיה של חברה א' למטרה זו</w:t>
      </w:r>
      <w:r>
        <w:rPr>
          <w:rtl/>
        </w:rPr>
        <w:t>, היה עלי</w:t>
      </w:r>
      <w:r>
        <w:rPr>
          <w:rFonts w:hint="cs"/>
          <w:rtl/>
        </w:rPr>
        <w:t xml:space="preserve">ה </w:t>
      </w:r>
      <w:r>
        <w:rPr>
          <w:rtl/>
        </w:rPr>
        <w:t xml:space="preserve">להנחות את כלל אגפי המשרד לעבוד על פי מתודולוגיה זהה, שתאפשר יצירת שפה אחידה ושתייעל את שיתוף הפעולה בין האגפים ואת יכולת המעקב, הבקרה והפקת הלקחים. </w:t>
      </w:r>
    </w:p>
    <w:p w:rsidR="00F20C1A" w:rsidP="007717D4">
      <w:pPr>
        <w:spacing w:before="180" w:after="120" w:line="230" w:lineRule="exact"/>
        <w:ind w:left="340" w:hanging="340"/>
        <w:jc w:val="both"/>
        <w:outlineLvl w:val="0"/>
        <w:rPr>
          <w:rFonts w:cs="FrankRuehl"/>
          <w:sz w:val="20"/>
          <w:szCs w:val="22"/>
          <w:rtl/>
        </w:rPr>
      </w:pPr>
      <w:r>
        <w:rPr>
          <w:rFonts w:cs="FrankRuehl" w:hint="cs"/>
          <w:sz w:val="20"/>
          <w:szCs w:val="22"/>
          <w:rtl/>
        </w:rPr>
        <w:t>2</w:t>
      </w:r>
      <w:r>
        <w:rPr>
          <w:rFonts w:cs="FrankRuehl"/>
          <w:sz w:val="20"/>
          <w:szCs w:val="22"/>
          <w:rtl/>
        </w:rPr>
        <w:t xml:space="preserve">. </w:t>
      </w:r>
      <w:r>
        <w:rPr>
          <w:rFonts w:cs="FrankRuehl" w:hint="cs"/>
          <w:sz w:val="20"/>
          <w:szCs w:val="22"/>
          <w:rtl/>
        </w:rPr>
        <w:tab/>
      </w:r>
      <w:r>
        <w:rPr>
          <w:rFonts w:cs="FrankRuehl"/>
          <w:sz w:val="20"/>
          <w:szCs w:val="22"/>
          <w:rtl/>
        </w:rPr>
        <w:t>בשנת 2011</w:t>
      </w:r>
      <w:r>
        <w:rPr>
          <w:rFonts w:cs="FrankRuehl" w:hint="cs"/>
          <w:sz w:val="20"/>
          <w:szCs w:val="22"/>
          <w:rtl/>
        </w:rPr>
        <w:t>,</w:t>
      </w:r>
      <w:r>
        <w:rPr>
          <w:rFonts w:cs="FrankRuehl"/>
          <w:sz w:val="20"/>
          <w:szCs w:val="22"/>
          <w:rtl/>
        </w:rPr>
        <w:t xml:space="preserve"> עם סיום הסכם ההתקשרות</w:t>
      </w:r>
      <w:r>
        <w:rPr>
          <w:rFonts w:cs="FrankRuehl" w:hint="cs"/>
          <w:sz w:val="20"/>
          <w:szCs w:val="22"/>
          <w:rtl/>
        </w:rPr>
        <w:t>,</w:t>
      </w:r>
      <w:r>
        <w:rPr>
          <w:rFonts w:cs="FrankRuehl"/>
          <w:sz w:val="20"/>
          <w:szCs w:val="22"/>
          <w:rtl/>
        </w:rPr>
        <w:t xml:space="preserve"> סיימה חברה א' את עבודתה עם משרד האוצר. ב</w:t>
      </w:r>
      <w:r>
        <w:rPr>
          <w:rFonts w:cs="FrankRuehl" w:hint="cs"/>
          <w:sz w:val="20"/>
          <w:szCs w:val="22"/>
          <w:rtl/>
        </w:rPr>
        <w:t xml:space="preserve">דצמבר </w:t>
      </w:r>
      <w:r>
        <w:rPr>
          <w:rFonts w:cs="FrankRuehl"/>
          <w:sz w:val="20"/>
          <w:szCs w:val="22"/>
          <w:rtl/>
        </w:rPr>
        <w:t>2012 בחר המשרד בחברת ייעוץ אחרת</w:t>
      </w:r>
      <w:r>
        <w:rPr>
          <w:rStyle w:val="FootnoteReference"/>
          <w:rFonts w:ascii="FrankRuehl" w:hAnsi="FrankRuehl" w:cs="FrankRuehl"/>
          <w:b/>
          <w:bCs/>
          <w:sz w:val="22"/>
          <w:szCs w:val="22"/>
          <w:rtl/>
        </w:rPr>
        <w:footnoteReference w:id="19"/>
      </w:r>
      <w:r>
        <w:rPr>
          <w:rFonts w:cs="FrankRuehl" w:hint="cs"/>
          <w:sz w:val="20"/>
          <w:szCs w:val="22"/>
          <w:rtl/>
        </w:rPr>
        <w:t xml:space="preserve">. </w:t>
      </w:r>
      <w:r>
        <w:rPr>
          <w:rFonts w:cs="FrankRuehl"/>
          <w:sz w:val="20"/>
          <w:szCs w:val="22"/>
          <w:rtl/>
        </w:rPr>
        <w:t>תהליך בחירתה היה זהה לתהליך בחירתה של חברה א'.</w:t>
      </w:r>
      <w:r>
        <w:rPr>
          <w:rFonts w:cs="FrankRuehl" w:hint="cs"/>
          <w:sz w:val="20"/>
          <w:szCs w:val="22"/>
          <w:rtl/>
        </w:rPr>
        <w:t xml:space="preserve"> </w:t>
      </w:r>
    </w:p>
    <w:p w:rsidR="00F20C1A" w:rsidP="007717D4">
      <w:pPr>
        <w:spacing w:after="120" w:line="230" w:lineRule="exact"/>
        <w:ind w:left="340" w:hanging="340"/>
        <w:jc w:val="both"/>
        <w:outlineLvl w:val="0"/>
        <w:rPr>
          <w:rFonts w:cs="FrankRuehl"/>
          <w:sz w:val="20"/>
          <w:szCs w:val="22"/>
          <w:rtl/>
        </w:rPr>
      </w:pPr>
      <w:r>
        <w:rPr>
          <w:rFonts w:cs="FrankRuehl" w:hint="cs"/>
          <w:sz w:val="20"/>
          <w:szCs w:val="22"/>
          <w:rtl/>
        </w:rPr>
        <w:tab/>
      </w:r>
      <w:r>
        <w:rPr>
          <w:rFonts w:cs="FrankRuehl"/>
          <w:sz w:val="20"/>
          <w:szCs w:val="22"/>
          <w:rtl/>
        </w:rPr>
        <w:t xml:space="preserve">בסעיף 5.6.1.1 במכרז נקבע כי "אחת לחצי שנה יעביר הזוכה בפועל למזמין תיעוד מלא של התהליך והעבודה שנעשתה על ידי יועציו, ובכלל זה מסמכי הכנה ועבודה, רישומי פגישות, סיכומי דיונים ועיקרי תובנות שהתגבשו אצל הזוכה בפועל במהלך העבודה. במסגרת זו, יימסר דיווח מרכז של הפעולות שנעשו על ידי הזוכה בפועל, קשיים ואתגרים שהתגלו במהלך העבודה, תובנות ולקחים שהתגבשו אצל עובדיו". על פי סעיף 5.6.1.2 באותו מכרז: "אחת לשנה יגבש, יכתוב, יערוך ויפיק הזוכה בפועל מסמך עבודה, אשר יסכם את התהליכים שנעשו ובעיקר את התובנות המרכזיות מנקודת מבטו. המסמך יוכן ברמה תכנית ועיצובית אשר תאפשר הפצתו לגורמים בממשלה ומחוצה לה, על פי שיקול דעתו של המזמין. מסמך זה אמור לסכם את כלל הידע שנצבר על ידי הזוכה בפועל, לצורך שימוש עתידי בו בהקשרים שונים". </w:t>
      </w:r>
    </w:p>
    <w:p w:rsidR="00F20C1A" w:rsidP="007717D4">
      <w:pPr>
        <w:spacing w:after="240" w:line="230" w:lineRule="exact"/>
        <w:ind w:left="340" w:hanging="340"/>
        <w:jc w:val="both"/>
        <w:outlineLvl w:val="0"/>
        <w:rPr>
          <w:rFonts w:cs="FrankRuehl"/>
          <w:sz w:val="20"/>
          <w:szCs w:val="22"/>
          <w:rtl/>
        </w:rPr>
      </w:pPr>
      <w:r>
        <w:rPr>
          <w:rFonts w:cs="FrankRuehl"/>
          <w:sz w:val="20"/>
          <w:szCs w:val="22"/>
          <w:rtl/>
        </w:rPr>
        <w:tab/>
      </w:r>
      <w:r>
        <w:rPr>
          <w:rFonts w:cs="FrankRuehl" w:hint="cs"/>
          <w:sz w:val="20"/>
          <w:szCs w:val="22"/>
          <w:rtl/>
        </w:rPr>
        <w:t>הביקורת העלתה כי בתקופת ההתקשרות התבצע תהליך בקרה על פי תפיסתו הניהולית של הצוות הבכיר במשרד, תפיסה שהשתנתה לעתים עם חילופי עובדים בצוות, ולא בהכרח על פי תנאי המכרזים וההסכמים שנחתמו. כך אפוא את הבקרה המקצועית על התוצרים ביצעו לעתים ראשי האגפים שבחרו להשתמש בשירותי הייעוץ, ואילו האחראי בלשכת המנכ"ל ביצע בקרה תקציבית בלבד.</w:t>
      </w:r>
    </w:p>
    <w:p w:rsidR="00F20C1A" w:rsidP="00D21B59">
      <w:pPr>
        <w:pStyle w:val="RESHET"/>
        <w:ind w:left="567"/>
        <w:rPr>
          <w:rtl/>
        </w:rPr>
      </w:pPr>
      <w:r>
        <w:rPr>
          <w:rFonts w:hint="cs"/>
          <w:rtl/>
        </w:rPr>
        <w:t>מה</w:t>
      </w:r>
      <w:r>
        <w:rPr>
          <w:rtl/>
        </w:rPr>
        <w:t xml:space="preserve">בדיקה שעשה משרד מבקר המדינה </w:t>
      </w:r>
      <w:r>
        <w:rPr>
          <w:rFonts w:hint="cs"/>
          <w:rtl/>
        </w:rPr>
        <w:t xml:space="preserve">עולה </w:t>
      </w:r>
      <w:r>
        <w:rPr>
          <w:rtl/>
        </w:rPr>
        <w:t xml:space="preserve">כי עם סיום ההתקשרות עם חברה א' לא ביצע משרד האוצר תהליך הפקת לקחים, ובכלל זה </w:t>
      </w:r>
      <w:r>
        <w:rPr>
          <w:rFonts w:hint="cs"/>
          <w:rtl/>
        </w:rPr>
        <w:t xml:space="preserve">לא נבחנו </w:t>
      </w:r>
      <w:r>
        <w:rPr>
          <w:rtl/>
        </w:rPr>
        <w:t>ההתקשרות עם החברה</w:t>
      </w:r>
      <w:r>
        <w:rPr>
          <w:rFonts w:hint="cs"/>
          <w:rtl/>
        </w:rPr>
        <w:t>,</w:t>
      </w:r>
      <w:r>
        <w:rPr>
          <w:rtl/>
        </w:rPr>
        <w:t xml:space="preserve"> תהליכי העבודה עמה ותוצריה. עוד עולה כי, שלא כנדרש במסמכי המכרז, </w:t>
      </w:r>
      <w:r>
        <w:rPr>
          <w:rFonts w:hint="cs"/>
          <w:rtl/>
        </w:rPr>
        <w:t xml:space="preserve">עד מועד סיום הביקורת </w:t>
      </w:r>
      <w:r>
        <w:rPr>
          <w:rtl/>
        </w:rPr>
        <w:t xml:space="preserve">לא המציאו </w:t>
      </w:r>
      <w:r>
        <w:rPr>
          <w:rFonts w:hint="cs"/>
          <w:rtl/>
        </w:rPr>
        <w:t>חבר</w:t>
      </w:r>
      <w:r w:rsidR="00D21B59">
        <w:rPr>
          <w:rFonts w:hint="cs"/>
          <w:rtl/>
        </w:rPr>
        <w:t>ות</w:t>
      </w:r>
      <w:r>
        <w:rPr>
          <w:rFonts w:hint="cs"/>
          <w:rtl/>
        </w:rPr>
        <w:t xml:space="preserve"> א' וב' </w:t>
      </w:r>
      <w:r>
        <w:rPr>
          <w:rtl/>
        </w:rPr>
        <w:t>להנהלת המשרד סיכום של תהליכי עבודתן</w:t>
      </w:r>
      <w:r>
        <w:rPr>
          <w:rFonts w:hint="cs"/>
          <w:rtl/>
        </w:rPr>
        <w:t>, לא סיכום שנתי ולא חצי שנתי</w:t>
      </w:r>
      <w:r>
        <w:rPr>
          <w:rtl/>
        </w:rPr>
        <w:t>.</w:t>
      </w:r>
      <w:r>
        <w:rPr>
          <w:rFonts w:hint="cs"/>
          <w:rtl/>
        </w:rPr>
        <w:t xml:space="preserve"> </w:t>
      </w:r>
    </w:p>
    <w:p w:rsidR="00F20C1A" w:rsidP="007717D4">
      <w:pPr>
        <w:spacing w:before="180" w:after="240" w:line="230" w:lineRule="exact"/>
        <w:ind w:left="340" w:hanging="340"/>
        <w:jc w:val="both"/>
        <w:outlineLvl w:val="0"/>
        <w:rPr>
          <w:rFonts w:cs="FrankRuehl"/>
          <w:sz w:val="20"/>
          <w:szCs w:val="22"/>
          <w:rtl/>
        </w:rPr>
      </w:pPr>
      <w:r>
        <w:rPr>
          <w:rFonts w:cs="FrankRuehl"/>
          <w:sz w:val="20"/>
          <w:szCs w:val="22"/>
          <w:rtl/>
        </w:rPr>
        <w:tab/>
      </w:r>
      <w:r>
        <w:rPr>
          <w:rFonts w:cs="FrankRuehl" w:hint="cs"/>
          <w:sz w:val="20"/>
          <w:szCs w:val="22"/>
          <w:rtl/>
        </w:rPr>
        <w:t xml:space="preserve">חברה ב' מסרה למשרד מבקר המדינה כי "במהלך התקופה שמתחילת העבודה, שנמשכה כאמור חמישה חודשים בלבד, הועברו לכל אגף מסמכים רלוונטיים, תוצרים, סיכומי פגישות, תובנות עיקריות וכו'... לנוכח העובדה שחלפו רק חמישה חודשים מתחילת העבודה, ולאור העובדה שבתקופה בה בוצעה העבודה העברנו לגופים השונים מסמכים, תובנות ותוצרים שונים, ניתן היה להבין כי אין מקום להגשת דו"ח חצי שנתי מקום בו מחד נפסקה עבודה טרם חלוף המועד שנקבע להגשת דוחות, ומאידך, בפועל הועברו דוחות שוטפים לכל הגופים הרלוונטיים". </w:t>
      </w:r>
    </w:p>
    <w:p w:rsidR="00F20C1A" w:rsidRPr="007717D4" w:rsidP="007717D4">
      <w:pPr>
        <w:pStyle w:val="RESHET"/>
        <w:ind w:left="567"/>
        <w:rPr>
          <w:rtl/>
        </w:rPr>
      </w:pPr>
      <w:r w:rsidRPr="007717D4">
        <w:rPr>
          <w:rFonts w:hint="cs"/>
          <w:rtl/>
        </w:rPr>
        <w:t>יש לעקוב מ</w:t>
      </w:r>
      <w:r w:rsidRPr="007717D4">
        <w:rPr>
          <w:rtl/>
        </w:rPr>
        <w:t xml:space="preserve">עקב שיטתי </w:t>
      </w:r>
      <w:r w:rsidRPr="007717D4">
        <w:rPr>
          <w:rFonts w:hint="cs"/>
          <w:rtl/>
        </w:rPr>
        <w:t xml:space="preserve">ולהפיק </w:t>
      </w:r>
      <w:r w:rsidRPr="007717D4">
        <w:rPr>
          <w:rtl/>
        </w:rPr>
        <w:t xml:space="preserve">לקחים בעניין התפוקות והתוצרים המתקבלים </w:t>
      </w:r>
      <w:r w:rsidRPr="007717D4">
        <w:rPr>
          <w:rFonts w:hint="cs"/>
          <w:rtl/>
        </w:rPr>
        <w:t>מ</w:t>
      </w:r>
      <w:r w:rsidRPr="007717D4">
        <w:rPr>
          <w:rtl/>
        </w:rPr>
        <w:t>הטמעת תהליכים באמצעות שירותי ייעוץ</w:t>
      </w:r>
      <w:r w:rsidRPr="007717D4">
        <w:rPr>
          <w:rFonts w:hint="cs"/>
          <w:rtl/>
        </w:rPr>
        <w:t xml:space="preserve">. בחינתם של </w:t>
      </w:r>
      <w:r w:rsidRPr="007717D4">
        <w:rPr>
          <w:rtl/>
        </w:rPr>
        <w:t>תהליכי העבודה הפנימיים ה</w:t>
      </w:r>
      <w:r w:rsidRPr="007717D4">
        <w:rPr>
          <w:rFonts w:hint="cs"/>
          <w:rtl/>
        </w:rPr>
        <w:t>נ</w:t>
      </w:r>
      <w:r w:rsidRPr="007717D4">
        <w:rPr>
          <w:rtl/>
        </w:rPr>
        <w:t xml:space="preserve">לווים </w:t>
      </w:r>
      <w:r w:rsidRPr="007717D4">
        <w:rPr>
          <w:rFonts w:hint="cs"/>
          <w:rtl/>
        </w:rPr>
        <w:t>ל</w:t>
      </w:r>
      <w:r w:rsidRPr="007717D4">
        <w:rPr>
          <w:rtl/>
        </w:rPr>
        <w:t xml:space="preserve">פעילות זו </w:t>
      </w:r>
      <w:r w:rsidRPr="007717D4">
        <w:rPr>
          <w:rFonts w:hint="cs"/>
          <w:rtl/>
        </w:rPr>
        <w:t xml:space="preserve">תשפר את </w:t>
      </w:r>
      <w:r w:rsidRPr="007717D4">
        <w:rPr>
          <w:rtl/>
        </w:rPr>
        <w:t>איכות שירות</w:t>
      </w:r>
      <w:r w:rsidRPr="007717D4">
        <w:rPr>
          <w:rFonts w:hint="cs"/>
          <w:rtl/>
        </w:rPr>
        <w:t>יה של החברה המייעצת</w:t>
      </w:r>
      <w:r w:rsidRPr="007717D4">
        <w:rPr>
          <w:rtl/>
        </w:rPr>
        <w:t>, וזאת לאורך זמן וללא תלות בזהות</w:t>
      </w:r>
      <w:r w:rsidRPr="007717D4">
        <w:rPr>
          <w:rFonts w:hint="cs"/>
          <w:rtl/>
        </w:rPr>
        <w:t>ה</w:t>
      </w:r>
      <w:r w:rsidRPr="007717D4">
        <w:rPr>
          <w:rtl/>
        </w:rPr>
        <w:t xml:space="preserve"> ו</w:t>
      </w:r>
      <w:r w:rsidRPr="007717D4">
        <w:rPr>
          <w:rFonts w:hint="cs"/>
          <w:rtl/>
        </w:rPr>
        <w:t xml:space="preserve">בזהות </w:t>
      </w:r>
      <w:r w:rsidRPr="007717D4">
        <w:rPr>
          <w:rtl/>
        </w:rPr>
        <w:t>נושאי התפקידים במשרד עצמו.</w:t>
      </w:r>
    </w:p>
    <w:p w:rsidR="00F20C1A">
      <w:pPr>
        <w:spacing w:after="120" w:line="230" w:lineRule="exact"/>
        <w:jc w:val="both"/>
        <w:rPr>
          <w:rFonts w:cs="FrankRuehl"/>
          <w:sz w:val="20"/>
          <w:szCs w:val="22"/>
          <w:lang w:eastAsia="he-IL"/>
        </w:rPr>
      </w:pPr>
    </w:p>
    <w:p w:rsidR="00F20C1A">
      <w:pPr>
        <w:spacing w:after="120" w:line="230" w:lineRule="exact"/>
        <w:jc w:val="both"/>
        <w:rPr>
          <w:rFonts w:cs="FrankRuehl"/>
          <w:sz w:val="20"/>
          <w:szCs w:val="22"/>
          <w:lang w:eastAsia="he-IL"/>
        </w:rPr>
      </w:pPr>
    </w:p>
    <w:p w:rsidR="00F20C1A" w:rsidP="007717D4">
      <w:pPr>
        <w:pStyle w:val="KOT4"/>
        <w:rPr>
          <w:rtl/>
        </w:rPr>
      </w:pPr>
      <w:r>
        <w:rPr>
          <w:rFonts w:hint="eastAsia"/>
          <w:rtl/>
        </w:rPr>
        <w:t>סיכום</w:t>
      </w:r>
    </w:p>
    <w:p w:rsidR="00F20C1A" w:rsidP="007717D4">
      <w:pPr>
        <w:pStyle w:val="RESHET"/>
        <w:rPr>
          <w:rtl/>
        </w:rPr>
      </w:pPr>
      <w:r>
        <w:rPr>
          <w:rtl/>
        </w:rPr>
        <w:t xml:space="preserve">הממצאים בדוח זה מלמדים כי משרד האוצר </w:t>
      </w:r>
      <w:r>
        <w:rPr>
          <w:rFonts w:hint="cs"/>
          <w:rtl/>
        </w:rPr>
        <w:t>לא</w:t>
      </w:r>
      <w:r>
        <w:rPr>
          <w:rtl/>
        </w:rPr>
        <w:t xml:space="preserve"> עשה די </w:t>
      </w:r>
      <w:r>
        <w:rPr>
          <w:rFonts w:hint="cs"/>
          <w:rtl/>
        </w:rPr>
        <w:t>הצורך</w:t>
      </w:r>
      <w:r>
        <w:rPr>
          <w:rtl/>
        </w:rPr>
        <w:t xml:space="preserve"> להטמיע תהליכי תכנון, בקרה ומדידה בכל אגפיו. במשרד אין גורם תכנון שמתווה תכנית אסטרטגית משרדית </w:t>
      </w:r>
      <w:r>
        <w:rPr>
          <w:rFonts w:hint="cs"/>
          <w:rtl/>
        </w:rPr>
        <w:t>ומ</w:t>
      </w:r>
      <w:r>
        <w:rPr>
          <w:rtl/>
        </w:rPr>
        <w:t>וודא שתכניות העבודה של האגפים נגזרו ממנה</w:t>
      </w:r>
      <w:r>
        <w:rPr>
          <w:rFonts w:hint="cs"/>
          <w:rtl/>
        </w:rPr>
        <w:t xml:space="preserve"> והותאמו לה</w:t>
      </w:r>
      <w:r>
        <w:rPr>
          <w:rtl/>
        </w:rPr>
        <w:t xml:space="preserve">. </w:t>
      </w:r>
      <w:r>
        <w:rPr>
          <w:rFonts w:hint="cs"/>
          <w:rtl/>
        </w:rPr>
        <w:t xml:space="preserve">בשל </w:t>
      </w:r>
      <w:r>
        <w:rPr>
          <w:rtl/>
        </w:rPr>
        <w:t xml:space="preserve">אי-ההטמעה של תכנון ופיקוח מרכזי המשותף לכלל האגפים </w:t>
      </w:r>
      <w:r>
        <w:rPr>
          <w:rFonts w:hint="cs"/>
          <w:rtl/>
        </w:rPr>
        <w:t xml:space="preserve">קשה </w:t>
      </w:r>
      <w:r>
        <w:rPr>
          <w:rtl/>
        </w:rPr>
        <w:t xml:space="preserve">לשפר את שיתוף הפעולה </w:t>
      </w:r>
      <w:r>
        <w:rPr>
          <w:rFonts w:hint="cs"/>
          <w:rtl/>
        </w:rPr>
        <w:t xml:space="preserve">ביניהם, והדבר </w:t>
      </w:r>
      <w:r>
        <w:rPr>
          <w:rtl/>
        </w:rPr>
        <w:t xml:space="preserve">מלמד </w:t>
      </w:r>
      <w:r>
        <w:rPr>
          <w:rFonts w:hint="cs"/>
          <w:rtl/>
        </w:rPr>
        <w:t>שה</w:t>
      </w:r>
      <w:r>
        <w:rPr>
          <w:rtl/>
        </w:rPr>
        <w:t xml:space="preserve">משילות </w:t>
      </w:r>
      <w:r>
        <w:rPr>
          <w:rFonts w:hint="cs"/>
          <w:rtl/>
        </w:rPr>
        <w:t>ה</w:t>
      </w:r>
      <w:r>
        <w:rPr>
          <w:rtl/>
        </w:rPr>
        <w:t xml:space="preserve">ניהולית </w:t>
      </w:r>
      <w:r>
        <w:rPr>
          <w:rFonts w:hint="cs"/>
          <w:rtl/>
        </w:rPr>
        <w:t>אינה מספקת</w:t>
      </w:r>
      <w:r>
        <w:rPr>
          <w:rtl/>
        </w:rPr>
        <w:t xml:space="preserve">. </w:t>
      </w:r>
      <w:r>
        <w:rPr>
          <w:rFonts w:hint="cs"/>
          <w:rtl/>
        </w:rPr>
        <w:t>משרד מבקר המדינה מעיר כי הממצאים</w:t>
      </w:r>
      <w:r>
        <w:rPr>
          <w:rtl/>
        </w:rPr>
        <w:t xml:space="preserve"> </w:t>
      </w:r>
      <w:r>
        <w:rPr>
          <w:rFonts w:hint="cs"/>
          <w:rtl/>
        </w:rPr>
        <w:t xml:space="preserve">מחייבים שתוגבר </w:t>
      </w:r>
      <w:r>
        <w:rPr>
          <w:rtl/>
        </w:rPr>
        <w:t xml:space="preserve">מעורבותו של שר האוצר </w:t>
      </w:r>
      <w:r>
        <w:rPr>
          <w:rFonts w:hint="cs"/>
          <w:rtl/>
        </w:rPr>
        <w:t>ב</w:t>
      </w:r>
      <w:r>
        <w:rPr>
          <w:rtl/>
        </w:rPr>
        <w:t>הטמעת תהליכי התכנון והבקרה המשרדיים.</w:t>
      </w:r>
    </w:p>
    <w:p w:rsidR="00F20C1A" w:rsidP="007717D4">
      <w:pPr>
        <w:pStyle w:val="RESHET"/>
        <w:rPr>
          <w:rtl/>
        </w:rPr>
      </w:pPr>
      <w:r>
        <w:rPr>
          <w:rFonts w:hint="cs"/>
          <w:rtl/>
        </w:rPr>
        <w:t xml:space="preserve">לדעת </w:t>
      </w:r>
      <w:r>
        <w:rPr>
          <w:rtl/>
        </w:rPr>
        <w:t>משרד מבקר המדינה</w:t>
      </w:r>
      <w:r>
        <w:rPr>
          <w:rFonts w:hint="cs"/>
          <w:rtl/>
        </w:rPr>
        <w:t>,</w:t>
      </w:r>
      <w:r>
        <w:rPr>
          <w:rtl/>
        </w:rPr>
        <w:t xml:space="preserve"> התמשכות הטמעת</w:t>
      </w:r>
      <w:r>
        <w:rPr>
          <w:rFonts w:hint="cs"/>
          <w:rtl/>
        </w:rPr>
        <w:t>ם של</w:t>
      </w:r>
      <w:r>
        <w:rPr>
          <w:rtl/>
        </w:rPr>
        <w:t xml:space="preserve"> תהליכי </w:t>
      </w:r>
      <w:r>
        <w:rPr>
          <w:rFonts w:hint="cs"/>
          <w:rtl/>
        </w:rPr>
        <w:t>ה</w:t>
      </w:r>
      <w:r>
        <w:rPr>
          <w:rtl/>
        </w:rPr>
        <w:t xml:space="preserve">תכנון, </w:t>
      </w:r>
      <w:r>
        <w:rPr>
          <w:rFonts w:hint="cs"/>
          <w:rtl/>
        </w:rPr>
        <w:t>ה</w:t>
      </w:r>
      <w:r>
        <w:rPr>
          <w:rtl/>
        </w:rPr>
        <w:t>בקרה ו</w:t>
      </w:r>
      <w:r>
        <w:rPr>
          <w:rFonts w:hint="cs"/>
          <w:rtl/>
        </w:rPr>
        <w:t>ה</w:t>
      </w:r>
      <w:r>
        <w:rPr>
          <w:rtl/>
        </w:rPr>
        <w:t>מדידה</w:t>
      </w:r>
      <w:r>
        <w:rPr>
          <w:rFonts w:hint="cs"/>
          <w:rtl/>
        </w:rPr>
        <w:t xml:space="preserve"> </w:t>
      </w:r>
      <w:r>
        <w:rPr>
          <w:rtl/>
        </w:rPr>
        <w:t xml:space="preserve">והעסקת חברות הייעוץ לאורך זמן רב </w:t>
      </w:r>
      <w:r>
        <w:rPr>
          <w:rFonts w:hint="cs"/>
          <w:rtl/>
        </w:rPr>
        <w:t xml:space="preserve">ללא הפקת לקחים - כל אלה </w:t>
      </w:r>
      <w:r>
        <w:rPr>
          <w:rtl/>
        </w:rPr>
        <w:t xml:space="preserve">מלמדים </w:t>
      </w:r>
      <w:r>
        <w:rPr>
          <w:rFonts w:hint="cs"/>
          <w:rtl/>
        </w:rPr>
        <w:t>על ליקוי</w:t>
      </w:r>
      <w:r>
        <w:rPr>
          <w:rtl/>
        </w:rPr>
        <w:t xml:space="preserve"> </w:t>
      </w:r>
      <w:r>
        <w:rPr>
          <w:rFonts w:hint="cs"/>
          <w:rtl/>
        </w:rPr>
        <w:t>מתמשך</w:t>
      </w:r>
      <w:r>
        <w:rPr>
          <w:rtl/>
        </w:rPr>
        <w:t xml:space="preserve"> </w:t>
      </w:r>
      <w:r>
        <w:rPr>
          <w:rFonts w:hint="cs"/>
          <w:rtl/>
        </w:rPr>
        <w:t>בעבודת</w:t>
      </w:r>
      <w:r>
        <w:rPr>
          <w:rtl/>
        </w:rPr>
        <w:t xml:space="preserve"> הנהלת המשרד בכל הנוגע ל</w:t>
      </w:r>
      <w:r>
        <w:rPr>
          <w:rFonts w:hint="cs"/>
          <w:rtl/>
        </w:rPr>
        <w:t>תהליכי התכנון והניהול של המשרד.</w:t>
      </w:r>
      <w:r>
        <w:rPr>
          <w:rtl/>
        </w:rPr>
        <w:t xml:space="preserve"> </w:t>
      </w:r>
    </w:p>
    <w:p w:rsidR="00F20C1A" w:rsidP="007717D4">
      <w:pPr>
        <w:pStyle w:val="RESHET"/>
      </w:pPr>
      <w:r>
        <w:rPr>
          <w:rtl/>
        </w:rPr>
        <w:t xml:space="preserve">תכניות </w:t>
      </w:r>
      <w:r>
        <w:rPr>
          <w:rFonts w:hint="cs"/>
          <w:rtl/>
        </w:rPr>
        <w:t>ה</w:t>
      </w:r>
      <w:r>
        <w:rPr>
          <w:rtl/>
        </w:rPr>
        <w:t xml:space="preserve">עבודה </w:t>
      </w:r>
      <w:r>
        <w:rPr>
          <w:rFonts w:hint="cs"/>
          <w:rtl/>
        </w:rPr>
        <w:t xml:space="preserve">הן </w:t>
      </w:r>
      <w:r>
        <w:rPr>
          <w:rtl/>
        </w:rPr>
        <w:t xml:space="preserve">כלי ניהול חשוב למימוש יעדיהם של משרדי הממשלה ושל ממשלת ישראל. הן מאפשרות למקבלי ההחלטות </w:t>
      </w:r>
      <w:r>
        <w:rPr>
          <w:rFonts w:hint="cs"/>
          <w:rtl/>
        </w:rPr>
        <w:t xml:space="preserve">לתכנן את המשימות הנדרשות להשגת יעדיהם, </w:t>
      </w:r>
      <w:r>
        <w:rPr>
          <w:rtl/>
        </w:rPr>
        <w:t>לבחון את מידת השגתם</w:t>
      </w:r>
      <w:r>
        <w:rPr>
          <w:rFonts w:hint="cs"/>
          <w:rtl/>
        </w:rPr>
        <w:t>,</w:t>
      </w:r>
      <w:r>
        <w:rPr>
          <w:rtl/>
        </w:rPr>
        <w:t xml:space="preserve"> לשנות</w:t>
      </w:r>
      <w:r>
        <w:rPr>
          <w:rFonts w:hint="cs"/>
          <w:rtl/>
        </w:rPr>
        <w:t xml:space="preserve"> את התכניות</w:t>
      </w:r>
      <w:r>
        <w:rPr>
          <w:rtl/>
        </w:rPr>
        <w:t xml:space="preserve"> בהתאם</w:t>
      </w:r>
      <w:r>
        <w:rPr>
          <w:rFonts w:hint="cs"/>
          <w:rtl/>
        </w:rPr>
        <w:t xml:space="preserve"> -</w:t>
      </w:r>
      <w:r>
        <w:rPr>
          <w:rtl/>
        </w:rPr>
        <w:t xml:space="preserve"> ובכך לייעל את עבודת משרד</w:t>
      </w:r>
      <w:r>
        <w:rPr>
          <w:rFonts w:hint="cs"/>
          <w:rtl/>
        </w:rPr>
        <w:t>י הממשלה</w:t>
      </w:r>
      <w:r>
        <w:rPr>
          <w:rtl/>
        </w:rPr>
        <w:t>.</w:t>
      </w:r>
      <w:r>
        <w:rPr>
          <w:rFonts w:hint="cs"/>
          <w:rtl/>
        </w:rPr>
        <w:t xml:space="preserve"> </w:t>
      </w:r>
      <w:r>
        <w:rPr>
          <w:rFonts w:hint="eastAsia"/>
          <w:rtl/>
        </w:rPr>
        <w:t>מן</w:t>
      </w:r>
      <w:r>
        <w:rPr>
          <w:rtl/>
        </w:rPr>
        <w:t xml:space="preserve"> הראוי שמשרד האוצר יטמיע בהקדם תרבות של תכנון, </w:t>
      </w:r>
      <w:r>
        <w:rPr>
          <w:rFonts w:hint="eastAsia"/>
          <w:rtl/>
        </w:rPr>
        <w:t>של</w:t>
      </w:r>
      <w:r>
        <w:rPr>
          <w:rtl/>
        </w:rPr>
        <w:t xml:space="preserve"> מדידה ו</w:t>
      </w:r>
      <w:r>
        <w:rPr>
          <w:rFonts w:hint="eastAsia"/>
          <w:rtl/>
        </w:rPr>
        <w:t>של</w:t>
      </w:r>
      <w:r>
        <w:rPr>
          <w:rtl/>
        </w:rPr>
        <w:t xml:space="preserve"> בקרה, </w:t>
      </w:r>
      <w:r>
        <w:rPr>
          <w:rFonts w:hint="eastAsia"/>
          <w:rtl/>
        </w:rPr>
        <w:t>שכן</w:t>
      </w:r>
      <w:r>
        <w:rPr>
          <w:rtl/>
        </w:rPr>
        <w:t xml:space="preserve"> הוא </w:t>
      </w:r>
      <w:r>
        <w:rPr>
          <w:rFonts w:hint="eastAsia"/>
          <w:rtl/>
        </w:rPr>
        <w:t>מוביל</w:t>
      </w:r>
      <w:r>
        <w:rPr>
          <w:rtl/>
        </w:rPr>
        <w:t xml:space="preserve"> נושאים ורפורמות שהם בליב</w:t>
      </w:r>
      <w:r>
        <w:rPr>
          <w:rFonts w:hint="eastAsia"/>
          <w:rtl/>
        </w:rPr>
        <w:t>ת</w:t>
      </w:r>
      <w:r>
        <w:rPr>
          <w:rtl/>
        </w:rPr>
        <w:t xml:space="preserve"> </w:t>
      </w:r>
      <w:r>
        <w:rPr>
          <w:rFonts w:hint="eastAsia"/>
          <w:rtl/>
        </w:rPr>
        <w:t>הפעילות</w:t>
      </w:r>
      <w:r>
        <w:rPr>
          <w:rtl/>
        </w:rPr>
        <w:t xml:space="preserve"> הכלכלית של מדינת ישראל ובהיקפים של מיליארדי שקלים. להיעדרן של תכניות עבודה מסודרות עלולה להיות השפעה מהותית על כלל המשק.</w:t>
      </w:r>
      <w:r>
        <w:rPr>
          <w:rFonts w:hint="cs"/>
          <w:rtl/>
        </w:rPr>
        <w:t xml:space="preserve"> </w:t>
      </w:r>
    </w:p>
    <w:p w:rsidR="00F20C1A">
      <w:pPr>
        <w:spacing w:after="120" w:line="230" w:lineRule="exact"/>
        <w:jc w:val="both"/>
        <w:outlineLvl w:val="0"/>
        <w:rPr>
          <w:rFonts w:cs="FrankRuehl"/>
          <w:sz w:val="20"/>
          <w:szCs w:val="22"/>
          <w:rtl/>
        </w:rPr>
      </w:pPr>
    </w:p>
    <w:p w:rsidR="00A52254">
      <w:pPr>
        <w:spacing w:after="120" w:line="230" w:lineRule="exact"/>
        <w:jc w:val="both"/>
        <w:rPr>
          <w:rFonts w:cs="FrankRuehl"/>
          <w:sz w:val="20"/>
          <w:szCs w:val="22"/>
          <w:rtl/>
        </w:rPr>
        <w:sectPr w:rsidSect="00A52254">
          <w:headerReference w:type="even" r:id="rId5"/>
          <w:headerReference w:type="default" r:id="rId6"/>
          <w:footerReference w:type="even" r:id="rId7"/>
          <w:footerReference w:type="default" r:id="rId8"/>
          <w:headerReference w:type="first" r:id="rId9"/>
          <w:footerReference w:type="first" r:id="rId10"/>
          <w:footnotePr>
            <w:numRestart w:val="eachSect"/>
          </w:footnotePr>
          <w:pgSz w:w="11906" w:h="16838" w:code="9"/>
          <w:pgMar w:top="1758" w:right="2552" w:bottom="4253" w:left="2552" w:header="1247" w:footer="1134" w:gutter="0"/>
          <w:pgNumType w:start="217"/>
          <w:cols w:space="720"/>
          <w:titlePg/>
          <w:rtlGutter/>
        </w:sectPr>
      </w:pPr>
    </w:p>
    <w:p w:rsidR="00F20C1A">
      <w:pPr>
        <w:spacing w:after="120" w:line="230" w:lineRule="exact"/>
        <w:jc w:val="both"/>
        <w:rPr>
          <w:rFonts w:cs="FrankRuehl"/>
          <w:sz w:val="20"/>
          <w:szCs w:val="22"/>
          <w:rtl/>
        </w:rPr>
      </w:pPr>
    </w:p>
    <w:sectPr>
      <w:headerReference w:type="first" r:id="rId11"/>
      <w:footnotePr>
        <w:numRestart w:val="eachSect"/>
      </w:footnotePr>
      <w:pgSz w:w="11906" w:h="16838" w:code="9"/>
      <w:pgMar w:top="1758" w:right="2552" w:bottom="4253" w:left="2552" w:header="1247" w:footer="1134" w:gutter="0"/>
      <w:cols w:space="720"/>
      <w:titlePg/>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Ruehl">
    <w:panose1 w:val="020E0503060101010101"/>
    <w:charset w:val="B1"/>
    <w:family w:val="auto"/>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20C1A">
    <w:pPr>
      <w:pStyle w:val="Footer"/>
      <w:tabs>
        <w:tab w:val="left" w:pos="1222"/>
      </w:tabs>
      <w:spacing w:line="160" w:lineRule="exact"/>
      <w:rPr>
        <w:sz w:val="16"/>
        <w:szCs w:val="16"/>
        <w:rtl/>
      </w:rPr>
    </w:pPr>
    <w:r>
      <w:rPr>
        <w:sz w:val="16"/>
        <w:szCs w:val="16"/>
        <w:rtl/>
      </w:rPr>
      <w:t>שם הדוח:</w:t>
    </w:r>
    <w:r>
      <w:rPr>
        <w:sz w:val="16"/>
        <w:szCs w:val="16"/>
        <w:rtl/>
      </w:rPr>
      <w:tab/>
    </w:r>
    <w:r>
      <w:rPr>
        <w:rFonts w:hint="cs"/>
        <w:sz w:val="16"/>
        <w:szCs w:val="16"/>
        <w:rtl/>
      </w:rPr>
      <w:t xml:space="preserve">משרד האוצר - </w:t>
    </w:r>
    <w:r>
      <w:rPr>
        <w:sz w:val="16"/>
        <w:szCs w:val="16"/>
        <w:rtl/>
      </w:rPr>
      <w:t>תכנון ויישום של ת</w:t>
    </w:r>
    <w:r>
      <w:rPr>
        <w:rFonts w:hint="cs"/>
        <w:sz w:val="16"/>
        <w:szCs w:val="16"/>
        <w:rtl/>
      </w:rPr>
      <w:t>ו</w:t>
    </w:r>
    <w:r>
      <w:rPr>
        <w:sz w:val="16"/>
        <w:szCs w:val="16"/>
        <w:rtl/>
      </w:rPr>
      <w:t>כניות עבודה</w:t>
    </w:r>
  </w:p>
  <w:p w:rsidR="00F20C1A">
    <w:pPr>
      <w:pStyle w:val="Footer"/>
      <w:tabs>
        <w:tab w:val="left" w:pos="1222"/>
      </w:tabs>
      <w:spacing w:line="160" w:lineRule="exact"/>
      <w:rPr>
        <w:sz w:val="16"/>
        <w:szCs w:val="16"/>
        <w:rtl/>
      </w:rPr>
    </w:pPr>
    <w:r>
      <w:rPr>
        <w:sz w:val="16"/>
        <w:szCs w:val="16"/>
        <w:rtl/>
      </w:rPr>
      <w:t>מסגרת הפרסום:</w:t>
    </w:r>
    <w:r>
      <w:rPr>
        <w:sz w:val="16"/>
        <w:szCs w:val="16"/>
        <w:rtl/>
      </w:rPr>
      <w:tab/>
    </w:r>
    <w:r>
      <w:rPr>
        <w:rFonts w:hint="cs"/>
        <w:sz w:val="16"/>
        <w:szCs w:val="16"/>
        <w:rtl/>
      </w:rPr>
      <w:t>דוח שנתי 65א</w:t>
    </w:r>
  </w:p>
  <w:p w:rsidR="00F20C1A">
    <w:pPr>
      <w:pStyle w:val="Footer"/>
      <w:tabs>
        <w:tab w:val="left" w:pos="1222"/>
      </w:tabs>
      <w:spacing w:line="160" w:lineRule="exact"/>
      <w:rPr>
        <w:sz w:val="16"/>
        <w:szCs w:val="16"/>
        <w:rtl/>
      </w:rPr>
    </w:pPr>
    <w:r>
      <w:rPr>
        <w:sz w:val="16"/>
        <w:szCs w:val="16"/>
        <w:rtl/>
      </w:rPr>
      <w:t xml:space="preserve">שנת </w:t>
    </w:r>
    <w:r>
      <w:rPr>
        <w:rFonts w:hint="cs"/>
        <w:sz w:val="16"/>
        <w:szCs w:val="16"/>
        <w:rtl/>
      </w:rPr>
      <w:t>ה</w:t>
    </w:r>
    <w:r>
      <w:rPr>
        <w:sz w:val="16"/>
        <w:szCs w:val="16"/>
        <w:rtl/>
      </w:rPr>
      <w:t>פרסום:</w:t>
    </w:r>
    <w:r>
      <w:rPr>
        <w:sz w:val="16"/>
        <w:szCs w:val="16"/>
        <w:rtl/>
      </w:rPr>
      <w:tab/>
      <w:t>התשע"</w:t>
    </w:r>
    <w:r>
      <w:rPr>
        <w:rFonts w:hint="cs"/>
        <w:sz w:val="16"/>
        <w:szCs w:val="16"/>
        <w:rtl/>
      </w:rPr>
      <w:t>ה</w:t>
    </w:r>
    <w:r>
      <w:rPr>
        <w:sz w:val="16"/>
        <w:szCs w:val="16"/>
        <w:rtl/>
      </w:rPr>
      <w:t>-2014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20C1A">
    <w:pPr>
      <w:pStyle w:val="Footer"/>
      <w:tabs>
        <w:tab w:val="left" w:pos="1222"/>
      </w:tabs>
      <w:spacing w:line="160" w:lineRule="exact"/>
      <w:rPr>
        <w:sz w:val="16"/>
        <w:szCs w:val="16"/>
        <w:rtl/>
      </w:rPr>
    </w:pPr>
    <w:r>
      <w:rPr>
        <w:sz w:val="16"/>
        <w:szCs w:val="16"/>
        <w:rtl/>
      </w:rPr>
      <w:t>שם הדוח:</w:t>
    </w:r>
    <w:r>
      <w:rPr>
        <w:sz w:val="16"/>
        <w:szCs w:val="16"/>
        <w:rtl/>
      </w:rPr>
      <w:tab/>
    </w:r>
    <w:r>
      <w:rPr>
        <w:rFonts w:hint="cs"/>
        <w:sz w:val="16"/>
        <w:szCs w:val="16"/>
        <w:rtl/>
      </w:rPr>
      <w:t xml:space="preserve">משרד האוצר - </w:t>
    </w:r>
    <w:r>
      <w:rPr>
        <w:sz w:val="16"/>
        <w:szCs w:val="16"/>
        <w:rtl/>
      </w:rPr>
      <w:t>תכנון ויישום של ת</w:t>
    </w:r>
    <w:r>
      <w:rPr>
        <w:rFonts w:hint="cs"/>
        <w:sz w:val="16"/>
        <w:szCs w:val="16"/>
        <w:rtl/>
      </w:rPr>
      <w:t>ו</w:t>
    </w:r>
    <w:r>
      <w:rPr>
        <w:sz w:val="16"/>
        <w:szCs w:val="16"/>
        <w:rtl/>
      </w:rPr>
      <w:t>כניות עבודה</w:t>
    </w:r>
  </w:p>
  <w:p w:rsidR="00F20C1A">
    <w:pPr>
      <w:pStyle w:val="Footer"/>
      <w:tabs>
        <w:tab w:val="left" w:pos="1222"/>
      </w:tabs>
      <w:spacing w:line="160" w:lineRule="exact"/>
      <w:rPr>
        <w:sz w:val="16"/>
        <w:szCs w:val="16"/>
        <w:rtl/>
      </w:rPr>
    </w:pPr>
    <w:r>
      <w:rPr>
        <w:sz w:val="16"/>
        <w:szCs w:val="16"/>
        <w:rtl/>
      </w:rPr>
      <w:t>מסגרת הפרסום:</w:t>
    </w:r>
    <w:r>
      <w:rPr>
        <w:sz w:val="16"/>
        <w:szCs w:val="16"/>
        <w:rtl/>
      </w:rPr>
      <w:tab/>
    </w:r>
    <w:r>
      <w:rPr>
        <w:rFonts w:hint="cs"/>
        <w:sz w:val="16"/>
        <w:szCs w:val="16"/>
        <w:rtl/>
      </w:rPr>
      <w:t>דוח שנתי 65א</w:t>
    </w:r>
  </w:p>
  <w:p w:rsidR="00F20C1A">
    <w:pPr>
      <w:pStyle w:val="Footer"/>
      <w:tabs>
        <w:tab w:val="left" w:pos="1222"/>
      </w:tabs>
      <w:spacing w:line="160" w:lineRule="exact"/>
      <w:rPr>
        <w:sz w:val="16"/>
        <w:szCs w:val="16"/>
        <w:rtl/>
      </w:rPr>
    </w:pPr>
    <w:r>
      <w:rPr>
        <w:sz w:val="16"/>
        <w:szCs w:val="16"/>
        <w:rtl/>
      </w:rPr>
      <w:t xml:space="preserve">שנת </w:t>
    </w:r>
    <w:r>
      <w:rPr>
        <w:rFonts w:hint="cs"/>
        <w:sz w:val="16"/>
        <w:szCs w:val="16"/>
        <w:rtl/>
      </w:rPr>
      <w:t>ה</w:t>
    </w:r>
    <w:r>
      <w:rPr>
        <w:sz w:val="16"/>
        <w:szCs w:val="16"/>
        <w:rtl/>
      </w:rPr>
      <w:t>פרסום:</w:t>
    </w:r>
    <w:r>
      <w:rPr>
        <w:sz w:val="16"/>
        <w:szCs w:val="16"/>
        <w:rtl/>
      </w:rPr>
      <w:tab/>
      <w:t>התשע"</w:t>
    </w:r>
    <w:r>
      <w:rPr>
        <w:rFonts w:hint="cs"/>
        <w:sz w:val="16"/>
        <w:szCs w:val="16"/>
        <w:rtl/>
      </w:rPr>
      <w:t>ה</w:t>
    </w:r>
    <w:r>
      <w:rPr>
        <w:sz w:val="16"/>
        <w:szCs w:val="16"/>
        <w:rtl/>
      </w:rPr>
      <w:t>-2014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20C1A">
    <w:pPr>
      <w:pStyle w:val="Footer"/>
      <w:tabs>
        <w:tab w:val="left" w:pos="1222"/>
      </w:tabs>
      <w:spacing w:line="160" w:lineRule="exact"/>
      <w:rPr>
        <w:sz w:val="16"/>
        <w:szCs w:val="16"/>
        <w:rtl/>
      </w:rPr>
    </w:pPr>
    <w:r>
      <w:rPr>
        <w:sz w:val="16"/>
        <w:szCs w:val="16"/>
        <w:rtl/>
      </w:rPr>
      <w:t>שם הדוח:</w:t>
    </w:r>
    <w:r>
      <w:rPr>
        <w:sz w:val="16"/>
        <w:szCs w:val="16"/>
        <w:rtl/>
      </w:rPr>
      <w:tab/>
    </w:r>
    <w:r>
      <w:rPr>
        <w:rFonts w:hint="cs"/>
        <w:sz w:val="16"/>
        <w:szCs w:val="16"/>
        <w:rtl/>
      </w:rPr>
      <w:t xml:space="preserve">משרד האוצר - </w:t>
    </w:r>
    <w:r>
      <w:rPr>
        <w:sz w:val="16"/>
        <w:szCs w:val="16"/>
        <w:rtl/>
      </w:rPr>
      <w:t>תכנון ויישום של ת</w:t>
    </w:r>
    <w:r>
      <w:rPr>
        <w:rFonts w:hint="cs"/>
        <w:sz w:val="16"/>
        <w:szCs w:val="16"/>
        <w:rtl/>
      </w:rPr>
      <w:t>ו</w:t>
    </w:r>
    <w:r>
      <w:rPr>
        <w:sz w:val="16"/>
        <w:szCs w:val="16"/>
        <w:rtl/>
      </w:rPr>
      <w:t>כניות עבודה</w:t>
    </w:r>
  </w:p>
  <w:p w:rsidR="00F20C1A">
    <w:pPr>
      <w:pStyle w:val="Footer"/>
      <w:tabs>
        <w:tab w:val="left" w:pos="1222"/>
      </w:tabs>
      <w:spacing w:line="160" w:lineRule="exact"/>
      <w:rPr>
        <w:sz w:val="16"/>
        <w:szCs w:val="16"/>
        <w:rtl/>
      </w:rPr>
    </w:pPr>
    <w:r>
      <w:rPr>
        <w:sz w:val="16"/>
        <w:szCs w:val="16"/>
        <w:rtl/>
      </w:rPr>
      <w:t>מסגרת הפרסום:</w:t>
    </w:r>
    <w:r>
      <w:rPr>
        <w:sz w:val="16"/>
        <w:szCs w:val="16"/>
        <w:rtl/>
      </w:rPr>
      <w:tab/>
    </w:r>
    <w:r>
      <w:rPr>
        <w:rFonts w:hint="cs"/>
        <w:sz w:val="16"/>
        <w:szCs w:val="16"/>
        <w:rtl/>
      </w:rPr>
      <w:t>דוח שנתי 65א</w:t>
    </w:r>
  </w:p>
  <w:p w:rsidR="00F20C1A">
    <w:pPr>
      <w:pStyle w:val="Footer"/>
      <w:tabs>
        <w:tab w:val="left" w:pos="1222"/>
      </w:tabs>
      <w:spacing w:line="160" w:lineRule="exact"/>
      <w:rPr>
        <w:sz w:val="16"/>
        <w:szCs w:val="16"/>
        <w:rtl/>
      </w:rPr>
    </w:pPr>
    <w:r>
      <w:rPr>
        <w:sz w:val="16"/>
        <w:szCs w:val="16"/>
        <w:rtl/>
      </w:rPr>
      <w:t xml:space="preserve">שנת </w:t>
    </w:r>
    <w:r>
      <w:rPr>
        <w:rFonts w:hint="cs"/>
        <w:sz w:val="16"/>
        <w:szCs w:val="16"/>
        <w:rtl/>
      </w:rPr>
      <w:t>ה</w:t>
    </w:r>
    <w:r>
      <w:rPr>
        <w:sz w:val="16"/>
        <w:szCs w:val="16"/>
        <w:rtl/>
      </w:rPr>
      <w:t>פרסום:</w:t>
    </w:r>
    <w:r>
      <w:rPr>
        <w:sz w:val="16"/>
        <w:szCs w:val="16"/>
        <w:rtl/>
      </w:rPr>
      <w:tab/>
      <w:t>התשע"</w:t>
    </w:r>
    <w:r>
      <w:rPr>
        <w:rFonts w:hint="cs"/>
        <w:sz w:val="16"/>
        <w:szCs w:val="16"/>
        <w:rtl/>
      </w:rPr>
      <w:t>ה</w:t>
    </w:r>
    <w:r>
      <w:rPr>
        <w:sz w:val="16"/>
        <w:szCs w:val="16"/>
        <w:rtl/>
      </w:rPr>
      <w:t>-2014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E67BC4">
      <w:pPr>
        <w:spacing w:after="120"/>
        <w:rPr>
          <w:sz w:val="16"/>
          <w:szCs w:val="16"/>
        </w:rPr>
      </w:pPr>
      <w:r>
        <w:rPr>
          <w:sz w:val="16"/>
          <w:szCs w:val="16"/>
          <w:rtl/>
        </w:rPr>
        <w:t>__________________</w:t>
      </w:r>
    </w:p>
  </w:footnote>
  <w:footnote w:type="continuationSeparator" w:id="1">
    <w:p w:rsidR="00E67BC4">
      <w:r>
        <w:t>_______________</w:t>
      </w:r>
    </w:p>
  </w:footnote>
  <w:footnote w:id="2">
    <w:p w:rsidR="00F20C1A">
      <w:pPr>
        <w:pStyle w:val="FootnoteText"/>
        <w:keepLines/>
        <w:spacing w:line="200" w:lineRule="exact"/>
        <w:ind w:left="397" w:hanging="397"/>
        <w:jc w:val="both"/>
        <w:rPr>
          <w:rFonts w:cs="FrankRuehl"/>
          <w:sz w:val="18"/>
          <w:rtl/>
        </w:rPr>
      </w:pPr>
      <w:r>
        <w:rPr>
          <w:rStyle w:val="FootnoteReference"/>
          <w:rFonts w:ascii="FrankRuehl" w:hAnsi="FrankRuehl" w:cs="FrankRuehl"/>
          <w:vertAlign w:val="baseline"/>
        </w:rPr>
        <w:footnoteRef/>
      </w:r>
      <w:r>
        <w:rPr>
          <w:rFonts w:cs="FrankRuehl"/>
          <w:sz w:val="18"/>
          <w:rtl/>
        </w:rPr>
        <w:t xml:space="preserve"> </w:t>
      </w:r>
      <w:r>
        <w:rPr>
          <w:rFonts w:cs="FrankRuehl" w:hint="cs"/>
          <w:b/>
          <w:bCs/>
          <w:sz w:val="18"/>
          <w:rtl/>
        </w:rPr>
        <w:tab/>
      </w:r>
      <w:r>
        <w:rPr>
          <w:rFonts w:cs="FrankRuehl"/>
          <w:b/>
          <w:bCs/>
          <w:sz w:val="18"/>
          <w:rtl/>
        </w:rPr>
        <w:t>מדריך התכנון הממשלתי</w:t>
      </w:r>
      <w:r>
        <w:rPr>
          <w:rFonts w:cs="FrankRuehl"/>
          <w:sz w:val="18"/>
          <w:rtl/>
        </w:rPr>
        <w:t>, ספטמבר 2010, גרסה מעודכנת (4.1).</w:t>
      </w:r>
    </w:p>
  </w:footnote>
  <w:footnote w:id="3">
    <w:p w:rsidR="00F20C1A">
      <w:pPr>
        <w:pStyle w:val="FootnoteText"/>
        <w:keepLines/>
        <w:spacing w:line="200" w:lineRule="exact"/>
        <w:ind w:left="397" w:hanging="397"/>
        <w:jc w:val="both"/>
        <w:rPr>
          <w:rFonts w:cs="FrankRuehl"/>
          <w:sz w:val="18"/>
        </w:rPr>
      </w:pPr>
      <w:r>
        <w:rPr>
          <w:rStyle w:val="FootnoteReference"/>
          <w:rFonts w:ascii="FrankRuehl" w:hAnsi="FrankRuehl" w:cs="FrankRuehl"/>
          <w:vertAlign w:val="baseline"/>
        </w:rPr>
        <w:footnoteRef/>
      </w:r>
      <w:r>
        <w:rPr>
          <w:rFonts w:cs="FrankRuehl"/>
          <w:sz w:val="18"/>
          <w:rtl/>
        </w:rPr>
        <w:t xml:space="preserve"> </w:t>
      </w:r>
      <w:r>
        <w:rPr>
          <w:rFonts w:cs="FrankRuehl"/>
          <w:sz w:val="18"/>
          <w:rtl/>
        </w:rPr>
        <w:tab/>
        <w:t xml:space="preserve">שלבי </w:t>
      </w:r>
      <w:r>
        <w:rPr>
          <w:rFonts w:cs="FrankRuehl" w:hint="cs"/>
          <w:sz w:val="18"/>
          <w:rtl/>
        </w:rPr>
        <w:t>ה</w:t>
      </w:r>
      <w:r>
        <w:rPr>
          <w:rFonts w:cs="FrankRuehl"/>
          <w:sz w:val="18"/>
          <w:rtl/>
        </w:rPr>
        <w:t xml:space="preserve">התארגנות מתארים את רצף הפעולות לביצוע המשימה. הם ברורים, קצובים בזמן ובדרך כלל עוקבים. לכל משימה יש להגדיר כמה שלבי התארגנות שיאפשרו </w:t>
      </w:r>
      <w:r>
        <w:rPr>
          <w:rFonts w:cs="FrankRuehl" w:hint="eastAsia"/>
          <w:sz w:val="18"/>
          <w:rtl/>
        </w:rPr>
        <w:t>חיזוי</w:t>
      </w:r>
      <w:r>
        <w:rPr>
          <w:rFonts w:cs="FrankRuehl"/>
          <w:sz w:val="18"/>
          <w:rtl/>
        </w:rPr>
        <w:t xml:space="preserve"> של חסמים אפשריים ומעקב על ביצועה. על כן מומלץ כי שלבי ההתארגנות יוגדרו: פעולות מרכזיות לאורך ביצוע המשימה שכל אחת מהן </w:t>
      </w:r>
      <w:r>
        <w:rPr>
          <w:rFonts w:cs="FrankRuehl" w:hint="cs"/>
          <w:sz w:val="18"/>
          <w:rtl/>
        </w:rPr>
        <w:t xml:space="preserve">היא </w:t>
      </w:r>
      <w:r>
        <w:rPr>
          <w:rFonts w:cs="FrankRuehl"/>
          <w:sz w:val="18"/>
          <w:rtl/>
        </w:rPr>
        <w:t>שלב נפרד והכרחי, שלב שאי-ביצועו מונע את המשך התהליך. לרוב לא יוגדרו שלבי התארגנות למשימות שוטפות מכיוון שמשימות אלו מעצם טבען מגדירות פעולות חוזרות ונשנות שאין צורך להיערך אליהן מחדש (מתוך מדריך התכנון, ראו הערה 1 לעיל, עמ' 59).</w:t>
      </w:r>
    </w:p>
  </w:footnote>
  <w:footnote w:id="4">
    <w:p w:rsidR="00F20C1A">
      <w:pPr>
        <w:pStyle w:val="FootnoteText"/>
        <w:keepLines/>
        <w:spacing w:line="200" w:lineRule="exact"/>
        <w:ind w:left="397" w:hanging="397"/>
        <w:jc w:val="both"/>
        <w:rPr>
          <w:rFonts w:cs="FrankRuehl"/>
          <w:sz w:val="18"/>
        </w:rPr>
      </w:pPr>
      <w:r>
        <w:rPr>
          <w:rStyle w:val="FootnoteReference"/>
          <w:rFonts w:ascii="FrankRuehl" w:hAnsi="FrankRuehl" w:cs="FrankRuehl"/>
          <w:vertAlign w:val="baseline"/>
        </w:rPr>
        <w:footnoteRef/>
      </w:r>
      <w:r>
        <w:rPr>
          <w:rFonts w:cs="FrankRuehl"/>
          <w:sz w:val="18"/>
          <w:rtl/>
        </w:rPr>
        <w:t xml:space="preserve"> </w:t>
      </w:r>
      <w:r>
        <w:rPr>
          <w:rFonts w:cs="FrankRuehl"/>
          <w:sz w:val="18"/>
          <w:rtl/>
        </w:rPr>
        <w:tab/>
        <w:t xml:space="preserve">מדדי </w:t>
      </w:r>
      <w:r>
        <w:rPr>
          <w:rFonts w:cs="FrankRuehl" w:hint="cs"/>
          <w:sz w:val="18"/>
          <w:rtl/>
        </w:rPr>
        <w:t>ה</w:t>
      </w:r>
      <w:r>
        <w:rPr>
          <w:rFonts w:cs="FrankRuehl"/>
          <w:sz w:val="18"/>
          <w:rtl/>
        </w:rPr>
        <w:t xml:space="preserve">תפוקה הם תוצרי </w:t>
      </w:r>
      <w:r>
        <w:rPr>
          <w:rFonts w:cs="FrankRuehl" w:hint="cs"/>
          <w:sz w:val="18"/>
          <w:rtl/>
        </w:rPr>
        <w:t>ה</w:t>
      </w:r>
      <w:r>
        <w:rPr>
          <w:rFonts w:cs="FrankRuehl"/>
          <w:sz w:val="18"/>
          <w:rtl/>
        </w:rPr>
        <w:t xml:space="preserve">פעילות </w:t>
      </w:r>
      <w:r>
        <w:rPr>
          <w:rFonts w:cs="FrankRuehl" w:hint="cs"/>
          <w:sz w:val="18"/>
          <w:rtl/>
        </w:rPr>
        <w:t xml:space="preserve">של משרדי </w:t>
      </w:r>
      <w:r>
        <w:rPr>
          <w:rFonts w:cs="FrankRuehl"/>
          <w:sz w:val="18"/>
          <w:rtl/>
        </w:rPr>
        <w:t>הממשל</w:t>
      </w:r>
      <w:r>
        <w:rPr>
          <w:rFonts w:cs="FrankRuehl" w:hint="cs"/>
          <w:sz w:val="18"/>
          <w:rtl/>
        </w:rPr>
        <w:t>ה</w:t>
      </w:r>
      <w:r>
        <w:rPr>
          <w:rFonts w:cs="FrankRuehl"/>
          <w:sz w:val="18"/>
          <w:rtl/>
        </w:rPr>
        <w:t xml:space="preserve"> המשקפים את ליבת</w:t>
      </w:r>
      <w:r>
        <w:rPr>
          <w:rFonts w:cs="FrankRuehl" w:hint="cs"/>
          <w:sz w:val="18"/>
          <w:rtl/>
        </w:rPr>
        <w:t xml:space="preserve"> פעילותם</w:t>
      </w:r>
      <w:r>
        <w:rPr>
          <w:rFonts w:cs="FrankRuehl"/>
          <w:sz w:val="18"/>
          <w:rtl/>
        </w:rPr>
        <w:t xml:space="preserve">. מדדים אלו בדרך כלל מתארים פעולות המכוונות להשגת </w:t>
      </w:r>
      <w:r>
        <w:rPr>
          <w:rFonts w:cs="FrankRuehl" w:hint="cs"/>
          <w:sz w:val="18"/>
          <w:rtl/>
        </w:rPr>
        <w:t xml:space="preserve">יעדים ומודדים </w:t>
      </w:r>
      <w:r>
        <w:rPr>
          <w:rFonts w:cs="FrankRuehl"/>
          <w:sz w:val="18"/>
          <w:rtl/>
        </w:rPr>
        <w:t xml:space="preserve">תפוקות ולא תשומות </w:t>
      </w:r>
      <w:r>
        <w:rPr>
          <w:rFonts w:cs="FrankRuehl" w:hint="cs"/>
          <w:sz w:val="18"/>
          <w:rtl/>
        </w:rPr>
        <w:t>(</w:t>
      </w:r>
      <w:r>
        <w:rPr>
          <w:rFonts w:cs="FrankRuehl"/>
          <w:sz w:val="18"/>
          <w:rtl/>
        </w:rPr>
        <w:t>מתוך מדריך התכנון, ראו הערה 1 לעיל, עמ' 62</w:t>
      </w:r>
      <w:r>
        <w:rPr>
          <w:rFonts w:cs="FrankRuehl" w:hint="cs"/>
          <w:sz w:val="18"/>
          <w:rtl/>
        </w:rPr>
        <w:t>)</w:t>
      </w:r>
      <w:r>
        <w:rPr>
          <w:rFonts w:cs="FrankRuehl"/>
          <w:sz w:val="18"/>
          <w:rtl/>
        </w:rPr>
        <w:t>.</w:t>
      </w:r>
    </w:p>
  </w:footnote>
  <w:footnote w:id="5">
    <w:p w:rsidR="00F20C1A">
      <w:pPr>
        <w:pStyle w:val="FootnoteText"/>
        <w:keepLines/>
        <w:spacing w:line="200" w:lineRule="exact"/>
        <w:ind w:left="397" w:hanging="397"/>
        <w:jc w:val="both"/>
        <w:rPr>
          <w:rFonts w:cs="FrankRuehl"/>
          <w:sz w:val="18"/>
        </w:rPr>
      </w:pPr>
      <w:r>
        <w:rPr>
          <w:rStyle w:val="FootnoteReference"/>
          <w:rFonts w:ascii="FrankRuehl" w:hAnsi="FrankRuehl" w:cs="FrankRuehl"/>
          <w:vertAlign w:val="baseline"/>
        </w:rPr>
        <w:footnoteRef/>
      </w:r>
      <w:r>
        <w:rPr>
          <w:rFonts w:cs="FrankRuehl"/>
          <w:sz w:val="18"/>
          <w:rtl/>
        </w:rPr>
        <w:t xml:space="preserve"> </w:t>
      </w:r>
      <w:r>
        <w:rPr>
          <w:rFonts w:cs="FrankRuehl"/>
          <w:sz w:val="18"/>
          <w:rtl/>
        </w:rPr>
        <w:tab/>
        <w:t xml:space="preserve">מדדי </w:t>
      </w:r>
      <w:r>
        <w:rPr>
          <w:rFonts w:cs="FrankRuehl" w:hint="cs"/>
          <w:sz w:val="18"/>
          <w:rtl/>
        </w:rPr>
        <w:t>ה</w:t>
      </w:r>
      <w:r>
        <w:rPr>
          <w:rFonts w:cs="FrankRuehl"/>
          <w:sz w:val="18"/>
          <w:rtl/>
        </w:rPr>
        <w:t>תוצאה ישקפו בדרך כלל את הערך שהממשלה רוצה לייצר עבור הציבור ואשר לשמו נדרשת הפעולה. מדדים אלו מושפעים מפעולות הממשלה ומתארים את השינויים הרצויים בסביבתה, אך גם בסביבה החיצונית שמחוץ לשליטתה (מתוך מדריך התכנון, ראו הערה 1</w:t>
      </w:r>
      <w:r>
        <w:rPr>
          <w:rFonts w:cs="FrankRuehl" w:hint="cs"/>
          <w:sz w:val="18"/>
          <w:rtl/>
        </w:rPr>
        <w:t xml:space="preserve"> </w:t>
      </w:r>
      <w:r>
        <w:rPr>
          <w:rFonts w:cs="FrankRuehl"/>
          <w:sz w:val="18"/>
          <w:rtl/>
        </w:rPr>
        <w:t>לעיל, עמ' 64-63).</w:t>
      </w:r>
    </w:p>
  </w:footnote>
  <w:footnote w:id="6">
    <w:p w:rsidR="00F20C1A">
      <w:pPr>
        <w:pStyle w:val="FootnoteText"/>
        <w:keepLines/>
        <w:spacing w:line="200" w:lineRule="exact"/>
        <w:ind w:left="397" w:hanging="397"/>
        <w:jc w:val="both"/>
        <w:rPr>
          <w:rFonts w:cs="FrankRuehl"/>
          <w:sz w:val="18"/>
        </w:rPr>
      </w:pPr>
      <w:r>
        <w:rPr>
          <w:rStyle w:val="FootnoteReference"/>
          <w:rFonts w:ascii="FrankRuehl" w:hAnsi="FrankRuehl" w:cs="FrankRuehl"/>
          <w:vertAlign w:val="baseline"/>
        </w:rPr>
        <w:footnoteRef/>
      </w:r>
      <w:r>
        <w:rPr>
          <w:rFonts w:cs="FrankRuehl"/>
          <w:sz w:val="18"/>
          <w:rtl/>
        </w:rPr>
        <w:t xml:space="preserve"> </w:t>
      </w:r>
      <w:r>
        <w:rPr>
          <w:rFonts w:cs="FrankRuehl"/>
          <w:sz w:val="18"/>
          <w:rtl/>
        </w:rPr>
        <w:tab/>
      </w:r>
      <w:r>
        <w:rPr>
          <w:rFonts w:cs="FrankRuehl" w:hint="cs"/>
          <w:sz w:val="18"/>
          <w:rtl/>
        </w:rPr>
        <w:t xml:space="preserve">החלטת ממשלה מס' </w:t>
      </w:r>
      <w:r>
        <w:rPr>
          <w:rFonts w:cs="FrankRuehl"/>
          <w:sz w:val="18"/>
          <w:rtl/>
        </w:rPr>
        <w:t>4028</w:t>
      </w:r>
      <w:r>
        <w:rPr>
          <w:rFonts w:cs="FrankRuehl" w:hint="cs"/>
          <w:sz w:val="18"/>
          <w:rtl/>
        </w:rPr>
        <w:t>.</w:t>
      </w:r>
    </w:p>
  </w:footnote>
  <w:footnote w:id="7">
    <w:p w:rsidR="00F20C1A">
      <w:pPr>
        <w:pStyle w:val="FootnoteText"/>
        <w:keepLines/>
        <w:spacing w:line="200" w:lineRule="exact"/>
        <w:ind w:left="397" w:hanging="397"/>
        <w:jc w:val="both"/>
        <w:rPr>
          <w:rFonts w:cs="FrankRuehl"/>
          <w:sz w:val="18"/>
          <w:rtl/>
        </w:rPr>
      </w:pPr>
      <w:r>
        <w:rPr>
          <w:rStyle w:val="FootnoteReference"/>
          <w:rFonts w:ascii="FrankRuehl" w:hAnsi="FrankRuehl" w:cs="FrankRuehl"/>
          <w:vertAlign w:val="baseline"/>
        </w:rPr>
        <w:footnoteRef/>
      </w:r>
      <w:r>
        <w:rPr>
          <w:rFonts w:cs="FrankRuehl"/>
          <w:sz w:val="18"/>
          <w:rtl/>
        </w:rPr>
        <w:t xml:space="preserve"> </w:t>
      </w:r>
      <w:r>
        <w:rPr>
          <w:rFonts w:cs="FrankRuehl" w:hint="cs"/>
          <w:sz w:val="18"/>
          <w:rtl/>
        </w:rPr>
        <w:tab/>
        <w:t>מאפריל 2013 ובמשך תקופת הביקורת, מנכ"לית משרד האוצר היא הגב' יעל אנדורן.</w:t>
      </w:r>
    </w:p>
  </w:footnote>
  <w:footnote w:id="8">
    <w:p w:rsidR="00F20C1A">
      <w:pPr>
        <w:pStyle w:val="FootnoteText"/>
        <w:keepLines/>
        <w:spacing w:line="200" w:lineRule="exact"/>
        <w:ind w:left="397" w:hanging="397"/>
        <w:jc w:val="both"/>
        <w:rPr>
          <w:rFonts w:cs="FrankRuehl"/>
          <w:sz w:val="18"/>
        </w:rPr>
      </w:pPr>
      <w:r>
        <w:rPr>
          <w:rStyle w:val="FootnoteReference"/>
          <w:rFonts w:ascii="FrankRuehl" w:hAnsi="FrankRuehl" w:cs="FrankRuehl"/>
          <w:vertAlign w:val="baseline"/>
        </w:rPr>
        <w:footnoteRef/>
      </w:r>
      <w:r>
        <w:rPr>
          <w:rFonts w:cs="FrankRuehl"/>
          <w:sz w:val="18"/>
          <w:rtl/>
        </w:rPr>
        <w:t xml:space="preserve"> </w:t>
      </w:r>
      <w:r>
        <w:rPr>
          <w:rFonts w:cs="FrankRuehl"/>
          <w:sz w:val="18"/>
          <w:rtl/>
        </w:rPr>
        <w:tab/>
      </w:r>
      <w:r>
        <w:rPr>
          <w:rFonts w:cs="FrankRuehl" w:hint="eastAsia"/>
          <w:b/>
          <w:bCs/>
          <w:sz w:val="18"/>
          <w:rtl/>
        </w:rPr>
        <w:t>התקשי</w:t>
      </w:r>
      <w:r>
        <w:rPr>
          <w:rFonts w:cs="FrankRuehl"/>
          <w:b/>
          <w:bCs/>
          <w:sz w:val="18"/>
          <w:rtl/>
        </w:rPr>
        <w:t>"ר</w:t>
      </w:r>
      <w:r>
        <w:rPr>
          <w:rFonts w:cs="FrankRuehl"/>
          <w:sz w:val="18"/>
          <w:rtl/>
        </w:rPr>
        <w:t>, חלק 6</w:t>
      </w:r>
      <w:r>
        <w:rPr>
          <w:rFonts w:cs="FrankRuehl" w:hint="cs"/>
          <w:sz w:val="18"/>
          <w:rtl/>
        </w:rPr>
        <w:t>,</w:t>
      </w:r>
      <w:r>
        <w:rPr>
          <w:rFonts w:cs="FrankRuehl"/>
          <w:sz w:val="18"/>
          <w:rtl/>
        </w:rPr>
        <w:t xml:space="preserve"> פרק 60</w:t>
      </w:r>
      <w:r>
        <w:rPr>
          <w:rFonts w:cs="FrankRuehl" w:hint="cs"/>
          <w:sz w:val="18"/>
          <w:rtl/>
        </w:rPr>
        <w:t>,</w:t>
      </w:r>
      <w:r>
        <w:rPr>
          <w:rFonts w:cs="FrankRuehl"/>
          <w:sz w:val="18"/>
          <w:rtl/>
        </w:rPr>
        <w:t xml:space="preserve"> סעיף 141.</w:t>
      </w:r>
    </w:p>
  </w:footnote>
  <w:footnote w:id="9">
    <w:p w:rsidR="00F20C1A">
      <w:pPr>
        <w:pStyle w:val="FootnoteText"/>
        <w:keepLines/>
        <w:spacing w:line="200" w:lineRule="exact"/>
        <w:ind w:left="397" w:hanging="397"/>
        <w:jc w:val="both"/>
        <w:rPr>
          <w:rFonts w:cs="FrankRuehl"/>
          <w:sz w:val="18"/>
        </w:rPr>
      </w:pPr>
      <w:r>
        <w:rPr>
          <w:rStyle w:val="FootnoteReference"/>
          <w:rFonts w:ascii="FrankRuehl" w:hAnsi="FrankRuehl" w:cs="FrankRuehl"/>
          <w:vertAlign w:val="baseline"/>
        </w:rPr>
        <w:footnoteRef/>
      </w:r>
      <w:r>
        <w:rPr>
          <w:rFonts w:cs="FrankRuehl"/>
          <w:sz w:val="18"/>
          <w:rtl/>
        </w:rPr>
        <w:t xml:space="preserve"> </w:t>
      </w:r>
      <w:r>
        <w:rPr>
          <w:rFonts w:cs="FrankRuehl"/>
          <w:sz w:val="18"/>
          <w:rtl/>
        </w:rPr>
        <w:tab/>
        <w:t xml:space="preserve">ראו מבקר המדינה, </w:t>
      </w:r>
      <w:r>
        <w:rPr>
          <w:rFonts w:cs="FrankRuehl"/>
          <w:b/>
          <w:bCs/>
          <w:sz w:val="18"/>
          <w:rtl/>
        </w:rPr>
        <w:t>דוח שנתי 53ב</w:t>
      </w:r>
      <w:r>
        <w:rPr>
          <w:rFonts w:cs="FrankRuehl"/>
          <w:sz w:val="18"/>
          <w:rtl/>
        </w:rPr>
        <w:t>, "עבודת המטה במשרדי הממשלה", עמ' 49.</w:t>
      </w:r>
      <w:r>
        <w:rPr>
          <w:rFonts w:cs="FrankRuehl" w:hint="cs"/>
          <w:sz w:val="18"/>
          <w:rtl/>
        </w:rPr>
        <w:t xml:space="preserve"> ראו גם מבקר המדינה, </w:t>
      </w:r>
      <w:r>
        <w:rPr>
          <w:rFonts w:cs="FrankRuehl" w:hint="cs"/>
          <w:b/>
          <w:bCs/>
          <w:sz w:val="18"/>
          <w:rtl/>
        </w:rPr>
        <w:t>דוח שנתי 55ב</w:t>
      </w:r>
      <w:r>
        <w:rPr>
          <w:rFonts w:cs="FrankRuehl" w:hint="cs"/>
          <w:sz w:val="18"/>
          <w:rtl/>
        </w:rPr>
        <w:t xml:space="preserve"> (2004), "עבודה המטה של משרדי הממשלה", עמ' 198. </w:t>
      </w:r>
    </w:p>
  </w:footnote>
  <w:footnote w:id="10">
    <w:p w:rsidR="00F20C1A">
      <w:pPr>
        <w:pStyle w:val="FootnoteText"/>
        <w:keepLines/>
        <w:spacing w:line="200" w:lineRule="exact"/>
        <w:ind w:left="397" w:hanging="397"/>
        <w:jc w:val="both"/>
        <w:rPr>
          <w:rFonts w:cs="FrankRuehl"/>
          <w:sz w:val="18"/>
          <w:rtl/>
        </w:rPr>
      </w:pPr>
      <w:r>
        <w:rPr>
          <w:rStyle w:val="FootnoteReference"/>
          <w:rFonts w:ascii="FrankRuehl" w:hAnsi="FrankRuehl" w:cs="FrankRuehl"/>
          <w:vertAlign w:val="baseline"/>
        </w:rPr>
        <w:footnoteRef/>
      </w:r>
      <w:r>
        <w:rPr>
          <w:rFonts w:cs="FrankRuehl"/>
          <w:sz w:val="18"/>
          <w:rtl/>
        </w:rPr>
        <w:t xml:space="preserve"> </w:t>
      </w:r>
      <w:r>
        <w:rPr>
          <w:rFonts w:cs="FrankRuehl"/>
          <w:sz w:val="18"/>
          <w:rtl/>
        </w:rPr>
        <w:tab/>
      </w:r>
      <w:r>
        <w:rPr>
          <w:rFonts w:cs="FrankRuehl" w:hint="cs"/>
          <w:sz w:val="18"/>
          <w:rtl/>
        </w:rPr>
        <w:t>עד חודש יוני 2014, כ-6 חודשים לאחר מועד סיום הביקורת, לא העבירו שאר האגפים שנבדקו את תגובותיהם בעניי</w:t>
      </w:r>
      <w:r>
        <w:rPr>
          <w:rFonts w:cs="FrankRuehl" w:hint="eastAsia"/>
          <w:sz w:val="18"/>
          <w:rtl/>
        </w:rPr>
        <w:t>ן</w:t>
      </w:r>
      <w:r>
        <w:rPr>
          <w:rFonts w:cs="FrankRuehl" w:hint="cs"/>
          <w:sz w:val="18"/>
          <w:rtl/>
        </w:rPr>
        <w:t xml:space="preserve"> זה.</w:t>
      </w:r>
    </w:p>
  </w:footnote>
  <w:footnote w:id="11">
    <w:p w:rsidR="00F20C1A">
      <w:pPr>
        <w:pStyle w:val="FootnoteText"/>
        <w:keepLines/>
        <w:spacing w:line="200" w:lineRule="exact"/>
        <w:ind w:left="397" w:hanging="397"/>
        <w:jc w:val="both"/>
        <w:rPr>
          <w:rFonts w:cs="FrankRuehl"/>
          <w:sz w:val="18"/>
          <w:rtl/>
        </w:rPr>
      </w:pPr>
      <w:r>
        <w:rPr>
          <w:rStyle w:val="FootnoteReference"/>
          <w:rFonts w:ascii="FrankRuehl" w:hAnsi="FrankRuehl" w:cs="FrankRuehl"/>
          <w:vertAlign w:val="baseline"/>
        </w:rPr>
        <w:footnoteRef/>
      </w:r>
      <w:r>
        <w:rPr>
          <w:rFonts w:cs="FrankRuehl"/>
          <w:sz w:val="18"/>
          <w:rtl/>
        </w:rPr>
        <w:t xml:space="preserve"> </w:t>
      </w:r>
      <w:r>
        <w:rPr>
          <w:rFonts w:cs="FrankRuehl"/>
          <w:sz w:val="18"/>
          <w:rtl/>
        </w:rPr>
        <w:tab/>
        <w:t xml:space="preserve">ראו הערה </w:t>
      </w:r>
      <w:r>
        <w:rPr>
          <w:rFonts w:cs="FrankRuehl" w:hint="cs"/>
          <w:sz w:val="18"/>
          <w:rtl/>
        </w:rPr>
        <w:t>10</w:t>
      </w:r>
      <w:r>
        <w:rPr>
          <w:rFonts w:cs="FrankRuehl"/>
          <w:sz w:val="18"/>
          <w:rtl/>
        </w:rPr>
        <w:t xml:space="preserve"> לעיל, סעיף 153</w:t>
      </w:r>
      <w:r>
        <w:rPr>
          <w:rFonts w:cs="FrankRuehl" w:hint="cs"/>
          <w:sz w:val="18"/>
          <w:rtl/>
        </w:rPr>
        <w:t>.</w:t>
      </w:r>
    </w:p>
  </w:footnote>
  <w:footnote w:id="12">
    <w:p w:rsidR="00F20C1A">
      <w:pPr>
        <w:pStyle w:val="FootnoteText"/>
        <w:keepLines/>
        <w:spacing w:line="200" w:lineRule="exact"/>
        <w:ind w:left="397" w:hanging="397"/>
        <w:jc w:val="both"/>
        <w:rPr>
          <w:rFonts w:cs="FrankRuehl"/>
          <w:sz w:val="18"/>
          <w:rtl/>
        </w:rPr>
      </w:pPr>
      <w:r>
        <w:rPr>
          <w:rStyle w:val="FootnoteReference"/>
          <w:rFonts w:ascii="FrankRuehl" w:hAnsi="FrankRuehl" w:cs="FrankRuehl"/>
          <w:vertAlign w:val="baseline"/>
        </w:rPr>
        <w:footnoteRef/>
      </w:r>
      <w:r>
        <w:rPr>
          <w:rFonts w:cs="FrankRuehl"/>
          <w:sz w:val="18"/>
          <w:rtl/>
        </w:rPr>
        <w:t xml:space="preserve"> </w:t>
      </w:r>
      <w:r>
        <w:rPr>
          <w:rFonts w:cs="FrankRuehl"/>
          <w:sz w:val="18"/>
          <w:rtl/>
        </w:rPr>
        <w:tab/>
        <w:t xml:space="preserve">ראו הערה </w:t>
      </w:r>
      <w:r>
        <w:rPr>
          <w:rFonts w:cs="FrankRuehl" w:hint="cs"/>
          <w:sz w:val="18"/>
          <w:rtl/>
        </w:rPr>
        <w:t>10</w:t>
      </w:r>
      <w:r>
        <w:rPr>
          <w:rFonts w:cs="FrankRuehl"/>
          <w:sz w:val="18"/>
          <w:rtl/>
        </w:rPr>
        <w:t xml:space="preserve"> לעיל</w:t>
      </w:r>
      <w:r>
        <w:rPr>
          <w:rFonts w:cs="FrankRuehl" w:hint="cs"/>
          <w:sz w:val="18"/>
          <w:rtl/>
        </w:rPr>
        <w:t>.</w:t>
      </w:r>
    </w:p>
  </w:footnote>
  <w:footnote w:id="13">
    <w:p w:rsidR="00F20C1A">
      <w:pPr>
        <w:pStyle w:val="FootnoteText"/>
        <w:keepLines/>
        <w:spacing w:line="200" w:lineRule="exact"/>
        <w:ind w:left="397" w:hanging="397"/>
        <w:jc w:val="both"/>
        <w:rPr>
          <w:rFonts w:cs="FrankRuehl"/>
          <w:sz w:val="18"/>
          <w:rtl/>
        </w:rPr>
      </w:pPr>
      <w:r>
        <w:rPr>
          <w:rStyle w:val="FootnoteReference"/>
          <w:rFonts w:ascii="FrankRuehl" w:hAnsi="FrankRuehl" w:cs="FrankRuehl"/>
          <w:vertAlign w:val="baseline"/>
        </w:rPr>
        <w:footnoteRef/>
      </w:r>
      <w:r>
        <w:rPr>
          <w:rFonts w:cs="FrankRuehl"/>
          <w:sz w:val="18"/>
          <w:rtl/>
        </w:rPr>
        <w:t xml:space="preserve"> </w:t>
      </w:r>
      <w:r>
        <w:rPr>
          <w:rFonts w:cs="FrankRuehl"/>
          <w:sz w:val="18"/>
          <w:rtl/>
        </w:rPr>
        <w:tab/>
      </w:r>
      <w:r>
        <w:rPr>
          <w:rFonts w:cs="FrankRuehl" w:hint="cs"/>
          <w:sz w:val="18"/>
          <w:rtl/>
        </w:rPr>
        <w:t>באפריל 2013 החליטה הממשלה על שינוי שמו של משרד התמ"ת ל"משרד הכלכלה" (החלטת ממשלה מס' 29).</w:t>
      </w:r>
    </w:p>
  </w:footnote>
  <w:footnote w:id="14">
    <w:p w:rsidR="00F20C1A">
      <w:pPr>
        <w:pStyle w:val="FootnoteText"/>
        <w:keepLines/>
        <w:spacing w:line="200" w:lineRule="exact"/>
        <w:ind w:left="397" w:hanging="397"/>
        <w:jc w:val="both"/>
        <w:rPr>
          <w:rFonts w:cs="FrankRuehl"/>
          <w:sz w:val="18"/>
          <w:rtl/>
        </w:rPr>
      </w:pPr>
      <w:r>
        <w:rPr>
          <w:rStyle w:val="FootnoteReference"/>
          <w:rFonts w:ascii="FrankRuehl" w:hAnsi="FrankRuehl" w:cs="FrankRuehl"/>
          <w:vertAlign w:val="baseline"/>
        </w:rPr>
        <w:footnoteRef/>
      </w:r>
      <w:r>
        <w:rPr>
          <w:rFonts w:cs="FrankRuehl"/>
          <w:sz w:val="18"/>
          <w:rtl/>
        </w:rPr>
        <w:t xml:space="preserve"> </w:t>
      </w:r>
      <w:r>
        <w:rPr>
          <w:rFonts w:cs="FrankRuehl"/>
          <w:sz w:val="18"/>
          <w:rtl/>
        </w:rPr>
        <w:tab/>
        <w:t xml:space="preserve">ראו מבקר המדינה, </w:t>
      </w:r>
      <w:r>
        <w:rPr>
          <w:rFonts w:cs="FrankRuehl"/>
          <w:b/>
          <w:bCs/>
          <w:sz w:val="18"/>
          <w:rtl/>
        </w:rPr>
        <w:t>דוח שנתי 53ב</w:t>
      </w:r>
      <w:r>
        <w:rPr>
          <w:rFonts w:cs="FrankRuehl"/>
          <w:sz w:val="18"/>
          <w:rtl/>
        </w:rPr>
        <w:t>, עמ' 49.</w:t>
      </w:r>
    </w:p>
  </w:footnote>
  <w:footnote w:id="15">
    <w:p w:rsidR="00F20C1A">
      <w:pPr>
        <w:pStyle w:val="FootnoteText"/>
        <w:keepLines/>
        <w:spacing w:line="200" w:lineRule="exact"/>
        <w:ind w:left="397" w:hanging="397"/>
        <w:jc w:val="both"/>
        <w:rPr>
          <w:rFonts w:cs="FrankRuehl"/>
          <w:sz w:val="18"/>
          <w:rtl/>
        </w:rPr>
      </w:pPr>
      <w:r>
        <w:rPr>
          <w:rStyle w:val="FootnoteReference"/>
          <w:rFonts w:ascii="FrankRuehl" w:hAnsi="FrankRuehl" w:cs="FrankRuehl"/>
          <w:vertAlign w:val="baseline"/>
        </w:rPr>
        <w:footnoteRef/>
      </w:r>
      <w:r>
        <w:rPr>
          <w:rFonts w:cs="FrankRuehl"/>
          <w:sz w:val="18"/>
          <w:rtl/>
        </w:rPr>
        <w:t xml:space="preserve"> </w:t>
      </w:r>
      <w:r>
        <w:rPr>
          <w:rFonts w:cs="FrankRuehl"/>
          <w:sz w:val="18"/>
          <w:rtl/>
        </w:rPr>
        <w:tab/>
      </w:r>
      <w:r>
        <w:rPr>
          <w:rFonts w:cs="FrankRuehl"/>
          <w:sz w:val="18"/>
        </w:rPr>
        <w:t xml:space="preserve">Robert D. Behn, "Why Measure Performance? Different Purposes Require Different Measures", </w:t>
      </w:r>
      <w:r>
        <w:rPr>
          <w:rFonts w:cs="FrankRuehl"/>
          <w:b/>
          <w:bCs/>
          <w:sz w:val="18"/>
        </w:rPr>
        <w:t>Public Administration Review</w:t>
      </w:r>
      <w:r>
        <w:rPr>
          <w:rFonts w:cs="FrankRuehl"/>
          <w:sz w:val="18"/>
        </w:rPr>
        <w:t>, Vol. 63, No. 5 (2003).</w:t>
      </w:r>
    </w:p>
  </w:footnote>
  <w:footnote w:id="16">
    <w:p w:rsidR="00F20C1A">
      <w:pPr>
        <w:pStyle w:val="FootnoteText"/>
        <w:keepLines/>
        <w:spacing w:line="200" w:lineRule="exact"/>
        <w:ind w:left="397" w:hanging="397"/>
        <w:jc w:val="both"/>
        <w:rPr>
          <w:rFonts w:cs="FrankRuehl"/>
          <w:sz w:val="18"/>
        </w:rPr>
      </w:pPr>
      <w:r>
        <w:rPr>
          <w:rStyle w:val="FootnoteReference"/>
          <w:rFonts w:ascii="FrankRuehl" w:hAnsi="FrankRuehl" w:cs="FrankRuehl"/>
          <w:vertAlign w:val="baseline"/>
        </w:rPr>
        <w:footnoteRef/>
      </w:r>
      <w:r>
        <w:rPr>
          <w:rFonts w:cs="FrankRuehl"/>
          <w:sz w:val="18"/>
          <w:rtl/>
        </w:rPr>
        <w:t xml:space="preserve"> </w:t>
      </w:r>
      <w:r>
        <w:rPr>
          <w:rFonts w:cs="FrankRuehl"/>
          <w:sz w:val="18"/>
          <w:rtl/>
        </w:rPr>
        <w:tab/>
        <w:t xml:space="preserve">מכרז מרכזי מספר מממ-42-2008, "מתן שירותי ייעוץ להטמעת תרבות ותהליכי עבודה של תכנון, בקרה ומדידה בעבודת משרדי הממשלה ויחידות הסמך". </w:t>
      </w:r>
    </w:p>
  </w:footnote>
  <w:footnote w:id="17">
    <w:p w:rsidR="00F20C1A">
      <w:pPr>
        <w:pStyle w:val="FootnoteText"/>
        <w:keepLines/>
        <w:spacing w:line="200" w:lineRule="exact"/>
        <w:ind w:left="397" w:hanging="397"/>
        <w:jc w:val="both"/>
        <w:rPr>
          <w:rFonts w:cs="FrankRuehl"/>
          <w:sz w:val="18"/>
        </w:rPr>
      </w:pPr>
      <w:r>
        <w:rPr>
          <w:rStyle w:val="FootnoteReference"/>
          <w:rFonts w:ascii="FrankRuehl" w:hAnsi="FrankRuehl" w:cs="FrankRuehl"/>
          <w:vertAlign w:val="baseline"/>
        </w:rPr>
        <w:footnoteRef/>
      </w:r>
      <w:r>
        <w:rPr>
          <w:rFonts w:cs="FrankRuehl"/>
          <w:sz w:val="18"/>
          <w:rtl/>
        </w:rPr>
        <w:t xml:space="preserve"> </w:t>
      </w:r>
      <w:r>
        <w:rPr>
          <w:rFonts w:cs="FrankRuehl"/>
          <w:sz w:val="18"/>
          <w:rtl/>
        </w:rPr>
        <w:tab/>
        <w:t>חברה א' עבדה עם האגפים האלה במשרד האוצר: לשכת המנכ"ל, האגף לקשרים בינלאומיים, אגף כלכלה ומחקר, אגף דוברות והסברה, מינהל הכנסות המדינה, הלשכה המשפטית, אגף התקציבים, אגף שכר והסכמי עבודה, אגף המינהל, רשות החברות ואגף החשב הכללי.</w:t>
      </w:r>
    </w:p>
  </w:footnote>
  <w:footnote w:id="18">
    <w:p w:rsidR="00F20C1A">
      <w:pPr>
        <w:pStyle w:val="FootnoteText"/>
        <w:keepLines/>
        <w:spacing w:line="200" w:lineRule="exact"/>
        <w:ind w:left="397" w:hanging="397"/>
        <w:jc w:val="both"/>
        <w:rPr>
          <w:rFonts w:cs="FrankRuehl"/>
          <w:sz w:val="18"/>
        </w:rPr>
      </w:pPr>
      <w:r>
        <w:rPr>
          <w:rStyle w:val="FootnoteReference"/>
          <w:rFonts w:ascii="FrankRuehl" w:hAnsi="FrankRuehl" w:cs="FrankRuehl"/>
          <w:vertAlign w:val="baseline"/>
        </w:rPr>
        <w:footnoteRef/>
      </w:r>
      <w:r>
        <w:rPr>
          <w:rFonts w:cs="FrankRuehl"/>
          <w:sz w:val="18"/>
          <w:rtl/>
        </w:rPr>
        <w:t xml:space="preserve"> </w:t>
      </w:r>
      <w:r>
        <w:rPr>
          <w:rFonts w:cs="FrankRuehl"/>
          <w:sz w:val="18"/>
          <w:rtl/>
        </w:rPr>
        <w:tab/>
      </w:r>
      <w:r>
        <w:rPr>
          <w:rFonts w:cs="FrankRuehl" w:hint="cs"/>
          <w:sz w:val="18"/>
          <w:rtl/>
        </w:rPr>
        <w:t>בהסכם העיקרי נקבעו אבני הדרך האלה:</w:t>
      </w:r>
      <w:r w:rsidR="007717D4">
        <w:rPr>
          <w:rFonts w:cs="FrankRuehl" w:hint="cs"/>
          <w:sz w:val="18"/>
          <w:rtl/>
        </w:rPr>
        <w:t xml:space="preserve">  </w:t>
      </w:r>
      <w:r>
        <w:rPr>
          <w:rFonts w:cs="FrankRuehl" w:hint="cs"/>
          <w:sz w:val="18"/>
          <w:rtl/>
        </w:rPr>
        <w:t xml:space="preserve"> (1) </w:t>
      </w:r>
      <w:r w:rsidR="007717D4">
        <w:rPr>
          <w:rFonts w:cs="FrankRuehl" w:hint="cs"/>
          <w:sz w:val="18"/>
          <w:rtl/>
        </w:rPr>
        <w:t xml:space="preserve"> </w:t>
      </w:r>
      <w:r>
        <w:rPr>
          <w:rFonts w:cs="FrankRuehl"/>
          <w:sz w:val="18"/>
          <w:rtl/>
        </w:rPr>
        <w:t xml:space="preserve">בניית מתודולוגיה; </w:t>
      </w:r>
      <w:r w:rsidR="007717D4">
        <w:rPr>
          <w:rFonts w:cs="FrankRuehl" w:hint="cs"/>
          <w:sz w:val="18"/>
          <w:rtl/>
        </w:rPr>
        <w:t xml:space="preserve">  </w:t>
      </w:r>
      <w:r>
        <w:rPr>
          <w:rFonts w:cs="FrankRuehl" w:hint="cs"/>
          <w:sz w:val="18"/>
          <w:rtl/>
        </w:rPr>
        <w:t>(2)</w:t>
      </w:r>
      <w:r>
        <w:rPr>
          <w:rFonts w:cs="FrankRuehl"/>
          <w:sz w:val="18"/>
          <w:rtl/>
        </w:rPr>
        <w:t xml:space="preserve"> </w:t>
      </w:r>
      <w:r w:rsidR="007717D4">
        <w:rPr>
          <w:rFonts w:cs="FrankRuehl" w:hint="cs"/>
          <w:sz w:val="18"/>
          <w:rtl/>
        </w:rPr>
        <w:t xml:space="preserve"> </w:t>
      </w:r>
      <w:r>
        <w:rPr>
          <w:rFonts w:cs="FrankRuehl"/>
          <w:sz w:val="18"/>
          <w:rtl/>
        </w:rPr>
        <w:t xml:space="preserve">ליווי הכנתן של תכניות עבודה באגפים ובהנהלת המשרד; </w:t>
      </w:r>
      <w:r w:rsidR="007717D4">
        <w:rPr>
          <w:rFonts w:cs="FrankRuehl" w:hint="cs"/>
          <w:sz w:val="18"/>
          <w:rtl/>
        </w:rPr>
        <w:t xml:space="preserve">  </w:t>
      </w:r>
      <w:r>
        <w:rPr>
          <w:rFonts w:cs="FrankRuehl" w:hint="cs"/>
          <w:sz w:val="18"/>
          <w:rtl/>
        </w:rPr>
        <w:t xml:space="preserve">(3) </w:t>
      </w:r>
      <w:r w:rsidR="007717D4">
        <w:rPr>
          <w:rFonts w:cs="FrankRuehl" w:hint="cs"/>
          <w:sz w:val="18"/>
          <w:rtl/>
        </w:rPr>
        <w:t xml:space="preserve"> </w:t>
      </w:r>
      <w:r>
        <w:rPr>
          <w:rFonts w:cs="FrankRuehl"/>
          <w:sz w:val="18"/>
          <w:rtl/>
        </w:rPr>
        <w:t>מעקב ותחקיר באגפים ובהנהלת המשרד.</w:t>
      </w:r>
    </w:p>
  </w:footnote>
  <w:footnote w:id="19">
    <w:p w:rsidR="00F20C1A">
      <w:pPr>
        <w:pStyle w:val="FootnoteText"/>
        <w:keepLines/>
        <w:spacing w:line="200" w:lineRule="exact"/>
        <w:ind w:left="397" w:hanging="397"/>
        <w:jc w:val="both"/>
        <w:rPr>
          <w:rFonts w:cs="FrankRuehl"/>
          <w:sz w:val="18"/>
        </w:rPr>
      </w:pPr>
      <w:r>
        <w:rPr>
          <w:rStyle w:val="FootnoteReference"/>
          <w:rFonts w:ascii="FrankRuehl" w:hAnsi="FrankRuehl" w:cs="FrankRuehl"/>
          <w:vertAlign w:val="baseline"/>
        </w:rPr>
        <w:footnoteRef/>
      </w:r>
      <w:r>
        <w:rPr>
          <w:rFonts w:cs="FrankRuehl"/>
          <w:sz w:val="18"/>
          <w:rtl/>
        </w:rPr>
        <w:t xml:space="preserve"> </w:t>
      </w:r>
      <w:r>
        <w:rPr>
          <w:rFonts w:cs="FrankRuehl"/>
          <w:sz w:val="18"/>
          <w:rtl/>
        </w:rPr>
        <w:tab/>
        <w:t xml:space="preserve">חברה ב' החלה לעבוד עם האגפים האלה: אגף כלכלה והכנסות המדינה, אגף המינהל, אגף דוברות והסברה, הלשכה המשפטית, אגף שכר והסכמי עבודה, אגף שוק ההון, רשות החברות הממשלתיות, </w:t>
      </w:r>
      <w:r>
        <w:rPr>
          <w:rFonts w:cs="FrankRuehl" w:hint="cs"/>
          <w:sz w:val="18"/>
          <w:rtl/>
        </w:rPr>
        <w:t xml:space="preserve">מטה </w:t>
      </w:r>
      <w:r>
        <w:rPr>
          <w:rFonts w:cs="FrankRuehl"/>
          <w:sz w:val="18"/>
          <w:rtl/>
        </w:rPr>
        <w:t xml:space="preserve">התקשוב, הרשות לזכויות ניצולי השואה והמדפיס הממשלתי.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20C1A">
    <w:pPr>
      <w:pStyle w:val="Header"/>
      <w:tabs>
        <w:tab w:val="clear" w:pos="4153"/>
        <w:tab w:val="right" w:pos="6804"/>
        <w:tab w:val="clear" w:pos="8306"/>
      </w:tabs>
      <w:rPr>
        <w:rFonts w:ascii="FrankRuehl" w:hAnsi="FrankRuehl" w:cs="FrankRuehl"/>
        <w:szCs w:val="20"/>
        <w:rtl/>
      </w:rPr>
    </w:pPr>
    <w:r>
      <w:rPr>
        <w:rFonts w:ascii="FrankRuehl" w:hAnsi="FrankRuehl" w:cs="FrankRuehl"/>
        <w:szCs w:val="20"/>
      </w:rPr>
      <w:fldChar w:fldCharType="begin"/>
    </w:r>
    <w:r>
      <w:rPr>
        <w:rFonts w:ascii="FrankRuehl" w:hAnsi="FrankRuehl" w:cs="FrankRuehl"/>
        <w:szCs w:val="20"/>
      </w:rPr>
      <w:instrText xml:space="preserve"> PAGE </w:instrText>
    </w:r>
    <w:r>
      <w:rPr>
        <w:rFonts w:ascii="FrankRuehl" w:hAnsi="FrankRuehl" w:cs="FrankRuehl"/>
        <w:szCs w:val="20"/>
      </w:rPr>
      <w:fldChar w:fldCharType="separate"/>
    </w:r>
    <w:r w:rsidR="009937C8">
      <w:rPr>
        <w:rFonts w:ascii="FrankRuehl" w:hAnsi="FrankRuehl" w:cs="FrankRuehl"/>
        <w:noProof/>
        <w:szCs w:val="20"/>
        <w:rtl/>
      </w:rPr>
      <w:t>230</w:t>
    </w:r>
    <w:r>
      <w:rPr>
        <w:rFonts w:ascii="FrankRuehl" w:hAnsi="FrankRuehl" w:cs="FrankRuehl"/>
        <w:szCs w:val="20"/>
      </w:rPr>
      <w:fldChar w:fldCharType="end"/>
    </w:r>
    <w:r>
      <w:rPr>
        <w:rFonts w:ascii="FrankRuehl" w:hAnsi="FrankRuehl" w:cs="FrankRuehl"/>
        <w:szCs w:val="20"/>
        <w:rtl/>
      </w:rPr>
      <w:tab/>
    </w:r>
    <w:r>
      <w:rPr>
        <w:rFonts w:ascii="FrankRuehl" w:hAnsi="FrankRuehl" w:cs="FrankRuehl" w:hint="cs"/>
        <w:szCs w:val="20"/>
        <w:rtl/>
      </w:rPr>
      <w:t>דוח שנתי 65א</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20C1A">
    <w:pPr>
      <w:pStyle w:val="Header"/>
      <w:tabs>
        <w:tab w:val="clear" w:pos="4153"/>
        <w:tab w:val="right" w:pos="6804"/>
        <w:tab w:val="clear" w:pos="8306"/>
      </w:tabs>
      <w:rPr>
        <w:rFonts w:ascii="FrankRuehl" w:hAnsi="FrankRuehl" w:cs="FrankRuehl"/>
        <w:szCs w:val="20"/>
        <w:rtl/>
      </w:rPr>
    </w:pPr>
    <w:r>
      <w:rPr>
        <w:rFonts w:ascii="FrankRuehl" w:hAnsi="FrankRuehl" w:cs="FrankRuehl" w:hint="cs"/>
        <w:noProof/>
        <w:szCs w:val="20"/>
        <w:rtl/>
      </w:rPr>
      <w:t>משרד האוצר</w:t>
    </w:r>
    <w:r>
      <w:rPr>
        <w:rFonts w:ascii="FrankRuehl" w:hAnsi="FrankRuehl" w:cs="FrankRuehl"/>
        <w:szCs w:val="20"/>
        <w:rtl/>
      </w:rPr>
      <w:tab/>
    </w:r>
    <w:r>
      <w:rPr>
        <w:rFonts w:ascii="FrankRuehl" w:hAnsi="FrankRuehl" w:cs="FrankRuehl"/>
        <w:szCs w:val="20"/>
      </w:rPr>
      <w:fldChar w:fldCharType="begin"/>
    </w:r>
    <w:r>
      <w:rPr>
        <w:rFonts w:ascii="FrankRuehl" w:hAnsi="FrankRuehl" w:cs="FrankRuehl"/>
        <w:szCs w:val="20"/>
      </w:rPr>
      <w:instrText xml:space="preserve"> PAGE </w:instrText>
    </w:r>
    <w:r>
      <w:rPr>
        <w:rFonts w:ascii="FrankRuehl" w:hAnsi="FrankRuehl" w:cs="FrankRuehl"/>
        <w:szCs w:val="20"/>
      </w:rPr>
      <w:fldChar w:fldCharType="separate"/>
    </w:r>
    <w:r w:rsidR="009937C8">
      <w:rPr>
        <w:rFonts w:ascii="FrankRuehl" w:hAnsi="FrankRuehl" w:cs="FrankRuehl"/>
        <w:noProof/>
        <w:szCs w:val="20"/>
        <w:rtl/>
      </w:rPr>
      <w:t>219</w:t>
    </w:r>
    <w:r>
      <w:rPr>
        <w:rFonts w:ascii="FrankRuehl" w:hAnsi="FrankRuehl" w:cs="FrankRuehl"/>
        <w:szCs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20C1A">
    <w:pPr>
      <w:pStyle w:val="Header"/>
      <w:tabs>
        <w:tab w:val="clear" w:pos="4153"/>
        <w:tab w:val="right" w:pos="6804"/>
        <w:tab w:val="clear" w:pos="8306"/>
      </w:tabs>
      <w:rPr>
        <w:rFonts w:ascii="FrankRuehl" w:hAnsi="FrankRuehl" w:cs="FrankRuehl"/>
        <w:szCs w:val="20"/>
        <w:rtl/>
      </w:rPr>
    </w:pPr>
    <w:r>
      <w:rPr>
        <w:rFonts w:ascii="FrankRuehl" w:hAnsi="FrankRuehl" w:cs="FrankRuehl"/>
        <w:szCs w:val="20"/>
        <w:rtl/>
      </w:rPr>
      <w:tab/>
    </w:r>
    <w:r>
      <w:rPr>
        <w:rFonts w:ascii="FrankRuehl" w:hAnsi="FrankRuehl" w:cs="FrankRuehl"/>
        <w:szCs w:val="20"/>
      </w:rPr>
      <w:fldChar w:fldCharType="begin"/>
    </w:r>
    <w:r>
      <w:rPr>
        <w:rFonts w:ascii="FrankRuehl" w:hAnsi="FrankRuehl" w:cs="FrankRuehl"/>
        <w:szCs w:val="20"/>
      </w:rPr>
      <w:instrText xml:space="preserve"> PAGE </w:instrText>
    </w:r>
    <w:r>
      <w:rPr>
        <w:rFonts w:ascii="FrankRuehl" w:hAnsi="FrankRuehl" w:cs="FrankRuehl"/>
        <w:szCs w:val="20"/>
      </w:rPr>
      <w:fldChar w:fldCharType="separate"/>
    </w:r>
    <w:r w:rsidR="009937C8">
      <w:rPr>
        <w:rFonts w:ascii="FrankRuehl" w:hAnsi="FrankRuehl" w:cs="FrankRuehl"/>
        <w:noProof/>
        <w:szCs w:val="20"/>
        <w:rtl/>
      </w:rPr>
      <w:t>217</w:t>
    </w:r>
    <w:r>
      <w:rPr>
        <w:rFonts w:ascii="FrankRuehl" w:hAnsi="FrankRuehl" w:cs="FrankRuehl"/>
        <w:szCs w:val="20"/>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2254" w:rsidRPr="00A52254" w:rsidP="00A52254">
    <w:pPr>
      <w:pStyle w:val="Header"/>
      <w:rPr>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D"/>
    <w:multiLevelType w:val="singleLevel"/>
    <w:tmpl w:val="E4701908"/>
    <w:lvl w:ilvl="0">
      <w:start w:val="1"/>
      <w:numFmt w:val="decimal"/>
      <w:lvlText w:val="%1."/>
      <w:lvlJc w:val="left"/>
      <w:pPr>
        <w:tabs>
          <w:tab w:val="num" w:pos="1440"/>
        </w:tabs>
        <w:ind w:left="1440" w:hanging="360"/>
      </w:pPr>
      <w:rPr>
        <w:rFonts w:cs="Times New Roman"/>
      </w:rPr>
    </w:lvl>
  </w:abstractNum>
  <w:abstractNum w:abstractNumId="1">
    <w:nsid w:val="0137389B"/>
    <w:multiLevelType w:val="hybridMultilevel"/>
    <w:tmpl w:val="BE565D9E"/>
    <w:lvl w:ilvl="0">
      <w:start w:val="1"/>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
    <w:nsid w:val="065A68EB"/>
    <w:multiLevelType w:val="hybridMultilevel"/>
    <w:tmpl w:val="FA66CDD8"/>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
    <w:nsid w:val="0BBD731A"/>
    <w:multiLevelType w:val="hybridMultilevel"/>
    <w:tmpl w:val="E9829DCA"/>
    <w:lvl w:ilvl="0">
      <w:start w:val="1"/>
      <w:numFmt w:val="hebrew1"/>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124753B3"/>
    <w:multiLevelType w:val="hybridMultilevel"/>
    <w:tmpl w:val="8A76377C"/>
    <w:lvl w:ilvl="0">
      <w:start w:val="1"/>
      <w:numFmt w:val="hebrew1"/>
      <w:lvlText w:val="(%1."/>
      <w:lvlJc w:val="left"/>
      <w:pPr>
        <w:ind w:left="720" w:hanging="360"/>
      </w:pPr>
      <w:rPr>
        <w:rFonts w:cs="Times New Roman" w:hint="default"/>
        <w:sz w:val="2"/>
        <w:szCs w:val="24"/>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5">
    <w:nsid w:val="12DD5B4C"/>
    <w:multiLevelType w:val="hybridMultilevel"/>
    <w:tmpl w:val="1FEC07B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25670F67"/>
    <w:multiLevelType w:val="hybridMultilevel"/>
    <w:tmpl w:val="D3E46C7E"/>
    <w:lvl w:ilvl="0">
      <w:start w:val="1"/>
      <w:numFmt w:val="hebrew1"/>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2BF93B40"/>
    <w:multiLevelType w:val="hybridMultilevel"/>
    <w:tmpl w:val="F41445D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2E302C0E"/>
    <w:multiLevelType w:val="hybridMultilevel"/>
    <w:tmpl w:val="BD1C6DF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3443390D"/>
    <w:multiLevelType w:val="singleLevel"/>
    <w:tmpl w:val="A07AD338"/>
    <w:lvl w:ilvl="0">
      <w:start w:val="1"/>
      <w:numFmt w:val="upperRoman"/>
      <w:lvlText w:val="%1."/>
      <w:lvlJc w:val="center"/>
      <w:pPr>
        <w:tabs>
          <w:tab w:val="num" w:pos="648"/>
        </w:tabs>
        <w:ind w:left="648" w:hanging="360"/>
      </w:pPr>
      <w:rPr>
        <w:rFonts w:cs="Times New Roman"/>
      </w:rPr>
    </w:lvl>
  </w:abstractNum>
  <w:abstractNum w:abstractNumId="10">
    <w:nsid w:val="3FD638CD"/>
    <w:multiLevelType w:val="hybridMultilevel"/>
    <w:tmpl w:val="7B38B6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3FFC6428"/>
    <w:multiLevelType w:val="hybridMultilevel"/>
    <w:tmpl w:val="1CD22AEE"/>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2">
    <w:nsid w:val="413561E6"/>
    <w:multiLevelType w:val="singleLevel"/>
    <w:tmpl w:val="5678B488"/>
    <w:lvl w:ilvl="0">
      <w:start w:val="1"/>
      <w:numFmt w:val="decimal"/>
      <w:lvlText w:val="%1."/>
      <w:lvlJc w:val="left"/>
      <w:pPr>
        <w:tabs>
          <w:tab w:val="num" w:pos="360"/>
        </w:tabs>
        <w:ind w:left="360" w:hanging="360"/>
      </w:pPr>
      <w:rPr>
        <w:rFonts w:cs="Times New Roman" w:hint="default"/>
        <w:sz w:val="28"/>
      </w:rPr>
    </w:lvl>
  </w:abstractNum>
  <w:abstractNum w:abstractNumId="13">
    <w:nsid w:val="49980C73"/>
    <w:multiLevelType w:val="hybridMultilevel"/>
    <w:tmpl w:val="F5F8B472"/>
    <w:lvl w:ilvl="0">
      <w:start w:val="1"/>
      <w:numFmt w:val="hebrew1"/>
      <w:lvlText w:val="(%1)"/>
      <w:lvlJc w:val="left"/>
      <w:pPr>
        <w:tabs>
          <w:tab w:val="num" w:pos="720"/>
        </w:tabs>
        <w:ind w:left="720" w:hanging="360"/>
      </w:pPr>
      <w:rPr>
        <w:rFonts w:cs="Times New Roman" w:hint="default"/>
        <w:sz w:val="2"/>
        <w:szCs w:val="24"/>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4">
    <w:nsid w:val="4AFA29B6"/>
    <w:multiLevelType w:val="hybridMultilevel"/>
    <w:tmpl w:val="35A44E56"/>
    <w:lvl w:ilvl="0">
      <w:start w:val="1"/>
      <w:numFmt w:val="hebrew1"/>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4D0635ED"/>
    <w:multiLevelType w:val="hybridMultilevel"/>
    <w:tmpl w:val="E2E6182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55403117"/>
    <w:multiLevelType w:val="hybridMultilevel"/>
    <w:tmpl w:val="D8A81D96"/>
    <w:lvl w:ilvl="0">
      <w:start w:val="1"/>
      <w:numFmt w:val="decimal"/>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7">
    <w:nsid w:val="57AC20D5"/>
    <w:multiLevelType w:val="hybridMultilevel"/>
    <w:tmpl w:val="B5C6DF58"/>
    <w:lvl w:ilvl="0">
      <w:start w:val="1"/>
      <w:numFmt w:val="hebrew1"/>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67BF5139"/>
    <w:multiLevelType w:val="multilevel"/>
    <w:tmpl w:val="DC6C961C"/>
    <w:lvl w:ilvl="0">
      <w:start w:val="1"/>
      <w:numFmt w:val="decimal"/>
      <w:pStyle w:val="a6"/>
      <w:lvlText w:val="%1."/>
      <w:lvlJc w:val="right"/>
      <w:pPr>
        <w:tabs>
          <w:tab w:val="num" w:pos="2721"/>
        </w:tabs>
        <w:ind w:left="2721" w:hanging="397"/>
      </w:pPr>
      <w:rPr>
        <w:rFonts w:cs="FrankRuehl" w:hint="cs"/>
        <w:bCs w:val="0"/>
        <w:iCs w:val="0"/>
        <w:sz w:val="24"/>
        <w:szCs w:val="24"/>
      </w:rPr>
    </w:lvl>
    <w:lvl w:ilvl="1">
      <w:start w:val="1"/>
      <w:numFmt w:val="hebrew1"/>
      <w:lvlText w:val="(%2)"/>
      <w:lvlJc w:val="right"/>
      <w:pPr>
        <w:tabs>
          <w:tab w:val="num" w:pos="2001"/>
        </w:tabs>
        <w:ind w:left="2001" w:hanging="397"/>
      </w:pPr>
      <w:rPr>
        <w:rFonts w:cs="Times New Roman" w:hint="default"/>
        <w:sz w:val="2"/>
        <w:szCs w:val="24"/>
      </w:rPr>
    </w:lvl>
    <w:lvl w:ilvl="2">
      <w:start w:val="1"/>
      <w:numFmt w:val="decimal"/>
      <w:lvlRestart w:val="0"/>
      <w:lvlText w:val="%3)"/>
      <w:lvlJc w:val="right"/>
      <w:pPr>
        <w:tabs>
          <w:tab w:val="num" w:pos="2001"/>
        </w:tabs>
        <w:ind w:left="2001" w:hanging="397"/>
      </w:pPr>
      <w:rPr>
        <w:rFonts w:cs="Times New Roman" w:hint="default"/>
      </w:rPr>
    </w:lvl>
    <w:lvl w:ilvl="3">
      <w:start w:val="1"/>
      <w:numFmt w:val="decimal"/>
      <w:lvlText w:val="(%4)"/>
      <w:lvlJc w:val="right"/>
      <w:pPr>
        <w:tabs>
          <w:tab w:val="num" w:pos="2001"/>
        </w:tabs>
        <w:ind w:left="2001" w:hanging="397"/>
      </w:pPr>
      <w:rPr>
        <w:rFonts w:cs="Times New Roman" w:hint="default"/>
        <w:bCs w:val="0"/>
        <w:iCs w:val="0"/>
      </w:rPr>
    </w:lvl>
    <w:lvl w:ilvl="4">
      <w:start w:val="1"/>
      <w:numFmt w:val="lowerLetter"/>
      <w:lvlText w:val="(%5)"/>
      <w:lvlJc w:val="left"/>
      <w:pPr>
        <w:tabs>
          <w:tab w:val="num" w:pos="2553"/>
        </w:tabs>
        <w:ind w:left="2553" w:hanging="360"/>
      </w:pPr>
      <w:rPr>
        <w:rFonts w:cs="Times New Roman" w:hint="default"/>
      </w:rPr>
    </w:lvl>
    <w:lvl w:ilvl="5">
      <w:start w:val="1"/>
      <w:numFmt w:val="lowerRoman"/>
      <w:lvlText w:val="(%6)"/>
      <w:lvlJc w:val="left"/>
      <w:pPr>
        <w:tabs>
          <w:tab w:val="num" w:pos="2913"/>
        </w:tabs>
        <w:ind w:left="2913" w:hanging="360"/>
      </w:pPr>
      <w:rPr>
        <w:rFonts w:cs="Times New Roman" w:hint="default"/>
      </w:rPr>
    </w:lvl>
    <w:lvl w:ilvl="6">
      <w:start w:val="1"/>
      <w:numFmt w:val="decimal"/>
      <w:lvlText w:val="%7."/>
      <w:lvlJc w:val="left"/>
      <w:pPr>
        <w:tabs>
          <w:tab w:val="num" w:pos="3273"/>
        </w:tabs>
        <w:ind w:left="3273" w:hanging="360"/>
      </w:pPr>
      <w:rPr>
        <w:rFonts w:cs="Times New Roman" w:hint="default"/>
      </w:rPr>
    </w:lvl>
    <w:lvl w:ilvl="7">
      <w:start w:val="1"/>
      <w:numFmt w:val="lowerLetter"/>
      <w:lvlText w:val="%8."/>
      <w:lvlJc w:val="left"/>
      <w:pPr>
        <w:tabs>
          <w:tab w:val="num" w:pos="3633"/>
        </w:tabs>
        <w:ind w:left="3633" w:hanging="360"/>
      </w:pPr>
      <w:rPr>
        <w:rFonts w:cs="Times New Roman" w:hint="default"/>
      </w:rPr>
    </w:lvl>
    <w:lvl w:ilvl="8">
      <w:start w:val="1"/>
      <w:numFmt w:val="lowerRoman"/>
      <w:lvlText w:val="%9."/>
      <w:lvlJc w:val="left"/>
      <w:pPr>
        <w:tabs>
          <w:tab w:val="num" w:pos="3993"/>
        </w:tabs>
        <w:ind w:left="3993" w:hanging="360"/>
      </w:pPr>
      <w:rPr>
        <w:rFonts w:cs="Times New Roman" w:hint="default"/>
      </w:rPr>
    </w:lvl>
  </w:abstractNum>
  <w:abstractNum w:abstractNumId="19">
    <w:nsid w:val="6A1C7FB5"/>
    <w:multiLevelType w:val="singleLevel"/>
    <w:tmpl w:val="CB646ABA"/>
    <w:lvl w:ilvl="0">
      <w:start w:val="1"/>
      <w:numFmt w:val="hebrew1"/>
      <w:lvlText w:val="%1."/>
      <w:lvlJc w:val="center"/>
      <w:pPr>
        <w:tabs>
          <w:tab w:val="num" w:pos="797"/>
        </w:tabs>
        <w:ind w:left="797" w:hanging="360"/>
      </w:pPr>
      <w:rPr>
        <w:rFonts w:cs="Times New Roman"/>
        <w:sz w:val="2"/>
        <w:szCs w:val="24"/>
      </w:rPr>
    </w:lvl>
  </w:abstractNum>
  <w:abstractNum w:abstractNumId="20">
    <w:nsid w:val="6D1B7DBB"/>
    <w:multiLevelType w:val="hybridMultilevel"/>
    <w:tmpl w:val="DF240F68"/>
    <w:lvl w:ilvl="0">
      <w:start w:val="1"/>
      <w:numFmt w:val="hebrew1"/>
      <w:lvlText w:val="(%1)"/>
      <w:lvlJc w:val="left"/>
      <w:pPr>
        <w:ind w:left="870" w:hanging="360"/>
      </w:pPr>
      <w:rPr>
        <w:rFonts w:hint="default"/>
      </w:rPr>
    </w:lvl>
    <w:lvl w:ilvl="1" w:tentative="1">
      <w:start w:val="1"/>
      <w:numFmt w:val="lowerLetter"/>
      <w:lvlText w:val="%2."/>
      <w:lvlJc w:val="left"/>
      <w:pPr>
        <w:ind w:left="1590" w:hanging="360"/>
      </w:pPr>
    </w:lvl>
    <w:lvl w:ilvl="2" w:tentative="1">
      <w:start w:val="1"/>
      <w:numFmt w:val="lowerRoman"/>
      <w:lvlText w:val="%3."/>
      <w:lvlJc w:val="right"/>
      <w:pPr>
        <w:ind w:left="2310" w:hanging="180"/>
      </w:pPr>
    </w:lvl>
    <w:lvl w:ilvl="3" w:tentative="1">
      <w:start w:val="1"/>
      <w:numFmt w:val="decimal"/>
      <w:lvlText w:val="%4."/>
      <w:lvlJc w:val="left"/>
      <w:pPr>
        <w:ind w:left="3030" w:hanging="360"/>
      </w:pPr>
    </w:lvl>
    <w:lvl w:ilvl="4" w:tentative="1">
      <w:start w:val="1"/>
      <w:numFmt w:val="lowerLetter"/>
      <w:lvlText w:val="%5."/>
      <w:lvlJc w:val="left"/>
      <w:pPr>
        <w:ind w:left="3750" w:hanging="360"/>
      </w:pPr>
    </w:lvl>
    <w:lvl w:ilvl="5" w:tentative="1">
      <w:start w:val="1"/>
      <w:numFmt w:val="lowerRoman"/>
      <w:lvlText w:val="%6."/>
      <w:lvlJc w:val="right"/>
      <w:pPr>
        <w:ind w:left="4470" w:hanging="180"/>
      </w:pPr>
    </w:lvl>
    <w:lvl w:ilvl="6" w:tentative="1">
      <w:start w:val="1"/>
      <w:numFmt w:val="decimal"/>
      <w:lvlText w:val="%7."/>
      <w:lvlJc w:val="left"/>
      <w:pPr>
        <w:ind w:left="5190" w:hanging="360"/>
      </w:pPr>
    </w:lvl>
    <w:lvl w:ilvl="7" w:tentative="1">
      <w:start w:val="1"/>
      <w:numFmt w:val="lowerLetter"/>
      <w:lvlText w:val="%8."/>
      <w:lvlJc w:val="left"/>
      <w:pPr>
        <w:ind w:left="5910" w:hanging="360"/>
      </w:pPr>
    </w:lvl>
    <w:lvl w:ilvl="8" w:tentative="1">
      <w:start w:val="1"/>
      <w:numFmt w:val="lowerRoman"/>
      <w:lvlText w:val="%9."/>
      <w:lvlJc w:val="right"/>
      <w:pPr>
        <w:ind w:left="6630" w:hanging="180"/>
      </w:pPr>
    </w:lvl>
  </w:abstractNum>
  <w:abstractNum w:abstractNumId="21">
    <w:nsid w:val="7C757186"/>
    <w:multiLevelType w:val="hybridMultilevel"/>
    <w:tmpl w:val="E3781540"/>
    <w:lvl w:ilvl="0">
      <w:start w:val="1"/>
      <w:numFmt w:val="decimal"/>
      <w:lvlText w:val="%1."/>
      <w:lvlJc w:val="left"/>
      <w:pPr>
        <w:ind w:left="510" w:hanging="360"/>
      </w:pPr>
      <w:rPr>
        <w:rFonts w:hint="default"/>
      </w:rPr>
    </w:lvl>
    <w:lvl w:ilvl="1" w:tentative="1">
      <w:start w:val="1"/>
      <w:numFmt w:val="lowerLetter"/>
      <w:lvlText w:val="%2."/>
      <w:lvlJc w:val="left"/>
      <w:pPr>
        <w:ind w:left="1230" w:hanging="360"/>
      </w:pPr>
    </w:lvl>
    <w:lvl w:ilvl="2" w:tentative="1">
      <w:start w:val="1"/>
      <w:numFmt w:val="lowerRoman"/>
      <w:lvlText w:val="%3."/>
      <w:lvlJc w:val="right"/>
      <w:pPr>
        <w:ind w:left="1950" w:hanging="180"/>
      </w:pPr>
    </w:lvl>
    <w:lvl w:ilvl="3" w:tentative="1">
      <w:start w:val="1"/>
      <w:numFmt w:val="decimal"/>
      <w:lvlText w:val="%4."/>
      <w:lvlJc w:val="left"/>
      <w:pPr>
        <w:ind w:left="2670" w:hanging="360"/>
      </w:pPr>
    </w:lvl>
    <w:lvl w:ilvl="4" w:tentative="1">
      <w:start w:val="1"/>
      <w:numFmt w:val="lowerLetter"/>
      <w:lvlText w:val="%5."/>
      <w:lvlJc w:val="left"/>
      <w:pPr>
        <w:ind w:left="3390" w:hanging="360"/>
      </w:pPr>
    </w:lvl>
    <w:lvl w:ilvl="5" w:tentative="1">
      <w:start w:val="1"/>
      <w:numFmt w:val="lowerRoman"/>
      <w:lvlText w:val="%6."/>
      <w:lvlJc w:val="right"/>
      <w:pPr>
        <w:ind w:left="4110" w:hanging="180"/>
      </w:pPr>
    </w:lvl>
    <w:lvl w:ilvl="6" w:tentative="1">
      <w:start w:val="1"/>
      <w:numFmt w:val="decimal"/>
      <w:lvlText w:val="%7."/>
      <w:lvlJc w:val="left"/>
      <w:pPr>
        <w:ind w:left="4830" w:hanging="360"/>
      </w:pPr>
    </w:lvl>
    <w:lvl w:ilvl="7" w:tentative="1">
      <w:start w:val="1"/>
      <w:numFmt w:val="lowerLetter"/>
      <w:lvlText w:val="%8."/>
      <w:lvlJc w:val="left"/>
      <w:pPr>
        <w:ind w:left="5550" w:hanging="360"/>
      </w:pPr>
    </w:lvl>
    <w:lvl w:ilvl="8" w:tentative="1">
      <w:start w:val="1"/>
      <w:numFmt w:val="lowerRoman"/>
      <w:lvlText w:val="%9."/>
      <w:lvlJc w:val="right"/>
      <w:pPr>
        <w:ind w:left="6270" w:hanging="180"/>
      </w:pPr>
    </w:lvl>
  </w:abstractNum>
  <w:num w:numId="1">
    <w:abstractNumId w:val="18"/>
  </w:num>
  <w:num w:numId="2">
    <w:abstractNumId w:val="11"/>
  </w:num>
  <w:num w:numId="3">
    <w:abstractNumId w:val="10"/>
  </w:num>
  <w:num w:numId="4">
    <w:abstractNumId w:val="21"/>
  </w:num>
  <w:num w:numId="5">
    <w:abstractNumId w:val="20"/>
  </w:num>
  <w:num w:numId="6">
    <w:abstractNumId w:val="12"/>
  </w:num>
  <w:num w:numId="7">
    <w:abstractNumId w:val="9"/>
  </w:num>
  <w:num w:numId="8">
    <w:abstractNumId w:val="19"/>
  </w:num>
  <w:num w:numId="9">
    <w:abstractNumId w:val="16"/>
  </w:num>
  <w:num w:numId="10">
    <w:abstractNumId w:val="0"/>
  </w:num>
  <w:num w:numId="11">
    <w:abstractNumId w:val="1"/>
  </w:num>
  <w:num w:numId="12">
    <w:abstractNumId w:val="5"/>
  </w:num>
  <w:num w:numId="13">
    <w:abstractNumId w:val="13"/>
  </w:num>
  <w:num w:numId="14">
    <w:abstractNumId w:val="15"/>
  </w:num>
  <w:num w:numId="15">
    <w:abstractNumId w:val="8"/>
  </w:num>
  <w:num w:numId="16">
    <w:abstractNumId w:val="4"/>
  </w:num>
  <w:num w:numId="17">
    <w:abstractNumId w:val="2"/>
  </w:num>
  <w:num w:numId="18">
    <w:abstractNumId w:val="6"/>
  </w:num>
  <w:num w:numId="19">
    <w:abstractNumId w:val="3"/>
  </w:num>
  <w:num w:numId="20">
    <w:abstractNumId w:val="17"/>
  </w:num>
  <w:num w:numId="21">
    <w:abstractNumId w:val="14"/>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TrackMoves/>
  <w:defaultTabStop w:val="340"/>
  <w:evenAndOddHeaders/>
  <w:drawingGridHorizontalSpacing w:val="72"/>
  <w:drawingGridVerticalSpacing w:val="98"/>
  <w:displayHorizontalDrawingGridEvery w:val="2"/>
  <w:displayVerticalDrawingGridEvery w:val="2"/>
  <w:noPunctuationKerning/>
  <w:characterSpacingControl w:val="doNotCompress"/>
  <w:footnotePr>
    <w:numRestart w:val="eachSect"/>
    <w:footnote w:id="0"/>
    <w:footnote w:id="1"/>
  </w:foot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7D4"/>
    <w:rsid w:val="00047353"/>
    <w:rsid w:val="0012109D"/>
    <w:rsid w:val="003D339F"/>
    <w:rsid w:val="00515F3F"/>
    <w:rsid w:val="006C76E4"/>
    <w:rsid w:val="007717D4"/>
    <w:rsid w:val="009937C8"/>
    <w:rsid w:val="00A25DAA"/>
    <w:rsid w:val="00A52254"/>
    <w:rsid w:val="00C30902"/>
    <w:rsid w:val="00D21B59"/>
    <w:rsid w:val="00E67BC4"/>
    <w:rsid w:val="00E95B77"/>
    <w:rsid w:val="00F20C1A"/>
  </w:rsids>
  <w:docVars>
    <w:docVar w:name="sivug" w:val="0"/>
    <w:docVar w:name="space" w:val="-1"/>
  </w:docVars>
  <m:mathPr>
    <m:mathFont m:val="Cambria Math"/>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240" w:lineRule="exact"/>
    </w:pPr>
    <w:rPr>
      <w:rFonts w:cs="David"/>
      <w:sz w:val="24"/>
      <w:szCs w:val="24"/>
    </w:rPr>
  </w:style>
  <w:style w:type="paragraph" w:styleId="Heading1">
    <w:name w:val="heading 1"/>
    <w:basedOn w:val="Normal"/>
    <w:next w:val="Normal"/>
    <w:qFormat/>
    <w:locked/>
    <w:pPr>
      <w:keepNext/>
      <w:widowControl w:val="0"/>
      <w:spacing w:line="700" w:lineRule="atLeast"/>
      <w:jc w:val="center"/>
      <w:outlineLvl w:val="0"/>
    </w:pPr>
    <w:rPr>
      <w:b/>
      <w:bCs/>
      <w:sz w:val="56"/>
      <w:szCs w:val="56"/>
      <w:lang w:eastAsia="he-IL"/>
    </w:rPr>
  </w:style>
  <w:style w:type="paragraph" w:styleId="Heading2">
    <w:name w:val="heading 2"/>
    <w:basedOn w:val="Normal"/>
    <w:next w:val="Normal"/>
    <w:qFormat/>
    <w:locked/>
    <w:pPr>
      <w:keepNext/>
      <w:spacing w:line="360" w:lineRule="exact"/>
      <w:ind w:left="1293"/>
      <w:outlineLvl w:val="1"/>
    </w:pPr>
    <w:rPr>
      <w:sz w:val="32"/>
      <w:szCs w:val="32"/>
    </w:rPr>
  </w:style>
  <w:style w:type="paragraph" w:styleId="Heading3">
    <w:name w:val="heading 3"/>
    <w:basedOn w:val="Normal"/>
    <w:next w:val="Normal"/>
    <w:qFormat/>
    <w:locked/>
    <w:pPr>
      <w:keepNext/>
      <w:widowControl w:val="0"/>
      <w:spacing w:line="312" w:lineRule="auto"/>
      <w:jc w:val="both"/>
      <w:outlineLvl w:val="2"/>
    </w:pPr>
    <w:rPr>
      <w:b/>
      <w:bCs/>
      <w:sz w:val="38"/>
      <w:szCs w:val="36"/>
      <w:lang w:eastAsia="he-IL"/>
    </w:rPr>
  </w:style>
  <w:style w:type="paragraph" w:styleId="Heading4">
    <w:name w:val="heading 4"/>
    <w:basedOn w:val="Normal"/>
    <w:next w:val="Normal"/>
    <w:qFormat/>
    <w:locked/>
    <w:pPr>
      <w:widowControl w:val="0"/>
      <w:spacing w:before="100" w:beforeAutospacing="1" w:line="264" w:lineRule="auto"/>
      <w:outlineLvl w:val="3"/>
    </w:pPr>
    <w:rPr>
      <w:b/>
      <w:bCs/>
      <w:sz w:val="22"/>
      <w:szCs w:val="26"/>
      <w:lang w:eastAsia="he-IL"/>
    </w:rPr>
  </w:style>
  <w:style w:type="paragraph" w:styleId="Heading5">
    <w:name w:val="heading 5"/>
    <w:basedOn w:val="Normal"/>
    <w:next w:val="Normal"/>
    <w:qFormat/>
    <w:locked/>
    <w:pPr>
      <w:keepNext/>
      <w:spacing w:after="120" w:line="360" w:lineRule="exact"/>
      <w:ind w:left="3649"/>
      <w:outlineLvl w:val="4"/>
    </w:pPr>
    <w:rPr>
      <w:b/>
      <w:bCs/>
      <w:sz w:val="32"/>
      <w:szCs w:val="32"/>
      <w:lang w:eastAsia="he-IL"/>
    </w:rPr>
  </w:style>
  <w:style w:type="paragraph" w:styleId="Heading6">
    <w:name w:val="heading 6"/>
    <w:basedOn w:val="Normal"/>
    <w:next w:val="Normal"/>
    <w:qFormat/>
    <w:locked/>
    <w:pPr>
      <w:keepNext/>
      <w:spacing w:before="60" w:after="60" w:line="220" w:lineRule="exact"/>
      <w:jc w:val="right"/>
      <w:outlineLvl w:val="5"/>
    </w:pPr>
    <w:rPr>
      <w:rFonts w:cs="FrankRuehl"/>
      <w:b/>
      <w:bCs/>
      <w:sz w:val="22"/>
      <w:szCs w:val="22"/>
    </w:rPr>
  </w:style>
  <w:style w:type="paragraph" w:styleId="Heading7">
    <w:name w:val="heading 7"/>
    <w:basedOn w:val="Normal"/>
    <w:next w:val="Normal"/>
    <w:qFormat/>
    <w:locked/>
    <w:pPr>
      <w:keepNext/>
      <w:widowControl w:val="0"/>
      <w:spacing w:before="120" w:after="120" w:line="312" w:lineRule="auto"/>
      <w:jc w:val="center"/>
      <w:outlineLvl w:val="6"/>
    </w:pPr>
    <w:rPr>
      <w:sz w:val="36"/>
      <w:szCs w:val="36"/>
      <w:lang w:eastAsia="he-IL"/>
    </w:rPr>
  </w:style>
  <w:style w:type="paragraph" w:styleId="Heading8">
    <w:name w:val="heading 8"/>
    <w:basedOn w:val="Normal"/>
    <w:next w:val="Normal"/>
    <w:qFormat/>
    <w:locked/>
    <w:pPr>
      <w:keepNext/>
      <w:snapToGrid w:val="0"/>
      <w:spacing w:after="120" w:line="240" w:lineRule="auto"/>
      <w:ind w:left="153" w:firstLine="567"/>
      <w:jc w:val="both"/>
      <w:outlineLvl w:val="7"/>
    </w:pPr>
    <w:rPr>
      <w:b/>
      <w:bCs/>
      <w:sz w:val="36"/>
      <w:szCs w:val="36"/>
      <w:lang w:eastAsia="he-IL"/>
    </w:rPr>
  </w:style>
  <w:style w:type="paragraph" w:styleId="Heading9">
    <w:name w:val="heading 9"/>
    <w:basedOn w:val="Normal"/>
    <w:next w:val="Normal"/>
    <w:qFormat/>
    <w:locked/>
    <w:pPr>
      <w:keepNext/>
      <w:spacing w:before="40" w:after="40" w:line="240" w:lineRule="auto"/>
      <w:jc w:val="center"/>
      <w:outlineLvl w:val="8"/>
    </w:pPr>
    <w:rPr>
      <w:noProof/>
      <w:sz w:val="48"/>
      <w:szCs w:val="28"/>
      <w:lang w:eastAsia="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כותרת 1 תו"/>
    <w:locked/>
    <w:rPr>
      <w:rFonts w:ascii="Cambria" w:hAnsi="Cambria" w:cs="Times New Roman"/>
      <w:b/>
      <w:bCs/>
      <w:kern w:val="32"/>
      <w:sz w:val="32"/>
      <w:szCs w:val="32"/>
    </w:rPr>
  </w:style>
  <w:style w:type="character" w:customStyle="1" w:styleId="2">
    <w:name w:val="כותרת 2 תו"/>
    <w:locked/>
    <w:rPr>
      <w:rFonts w:ascii="Cambria" w:hAnsi="Cambria" w:cs="Times New Roman"/>
      <w:b/>
      <w:bCs/>
      <w:i/>
      <w:iCs/>
      <w:sz w:val="28"/>
      <w:szCs w:val="28"/>
    </w:rPr>
  </w:style>
  <w:style w:type="character" w:customStyle="1" w:styleId="3">
    <w:name w:val="כותרת 3 תו"/>
    <w:locked/>
    <w:rPr>
      <w:rFonts w:ascii="Cambria" w:hAnsi="Cambria" w:cs="Times New Roman"/>
      <w:b/>
      <w:bCs/>
      <w:sz w:val="26"/>
      <w:szCs w:val="26"/>
    </w:rPr>
  </w:style>
  <w:style w:type="character" w:customStyle="1" w:styleId="4">
    <w:name w:val="כותרת 4 תו"/>
    <w:locked/>
    <w:rPr>
      <w:rFonts w:ascii="Calibri" w:hAnsi="Calibri" w:cs="Arial"/>
      <w:b/>
      <w:bCs/>
      <w:sz w:val="28"/>
      <w:szCs w:val="28"/>
    </w:rPr>
  </w:style>
  <w:style w:type="character" w:customStyle="1" w:styleId="5">
    <w:name w:val="כותרת 5 תו"/>
    <w:locked/>
    <w:rPr>
      <w:rFonts w:ascii="Calibri" w:hAnsi="Calibri" w:cs="Arial"/>
      <w:b/>
      <w:bCs/>
      <w:i/>
      <w:iCs/>
      <w:sz w:val="26"/>
      <w:szCs w:val="26"/>
    </w:rPr>
  </w:style>
  <w:style w:type="character" w:customStyle="1" w:styleId="6">
    <w:name w:val="כותרת 6 תו"/>
    <w:locked/>
    <w:rPr>
      <w:rFonts w:ascii="Calibri" w:hAnsi="Calibri" w:cs="Arial"/>
      <w:b/>
      <w:bCs/>
    </w:rPr>
  </w:style>
  <w:style w:type="character" w:customStyle="1" w:styleId="7">
    <w:name w:val="כותרת 7 תו"/>
    <w:locked/>
    <w:rPr>
      <w:rFonts w:ascii="Calibri" w:hAnsi="Calibri" w:cs="Arial"/>
      <w:sz w:val="24"/>
      <w:szCs w:val="24"/>
    </w:rPr>
  </w:style>
  <w:style w:type="character" w:customStyle="1" w:styleId="8">
    <w:name w:val="כותרת 8 תו"/>
    <w:locked/>
    <w:rPr>
      <w:rFonts w:ascii="Calibri" w:hAnsi="Calibri" w:cs="Arial"/>
      <w:i/>
      <w:iCs/>
      <w:sz w:val="24"/>
      <w:szCs w:val="24"/>
    </w:rPr>
  </w:style>
  <w:style w:type="character" w:customStyle="1" w:styleId="9">
    <w:name w:val="כותרת 9 תו"/>
    <w:locked/>
    <w:rPr>
      <w:rFonts w:ascii="Cambria" w:hAnsi="Cambria" w:cs="Times New Roman"/>
    </w:rPr>
  </w:style>
  <w:style w:type="paragraph" w:styleId="Title">
    <w:name w:val="Title"/>
    <w:basedOn w:val="Normal"/>
    <w:qFormat/>
    <w:locked/>
    <w:pPr>
      <w:jc w:val="center"/>
    </w:pPr>
    <w:rPr>
      <w:b/>
      <w:bCs/>
      <w:u w:val="single"/>
    </w:rPr>
  </w:style>
  <w:style w:type="character" w:customStyle="1" w:styleId="a">
    <w:name w:val="כותרת טקסט תו"/>
    <w:locked/>
    <w:rPr>
      <w:rFonts w:ascii="Cambria" w:hAnsi="Cambria" w:cs="Times New Roman"/>
      <w:b/>
      <w:bCs/>
      <w:kern w:val="28"/>
      <w:sz w:val="32"/>
      <w:szCs w:val="32"/>
    </w:rPr>
  </w:style>
  <w:style w:type="paragraph" w:customStyle="1" w:styleId="KOT1">
    <w:name w:val="KOT1"/>
    <w:basedOn w:val="Normal"/>
    <w:pPr>
      <w:keepNext/>
      <w:spacing w:after="360" w:line="400" w:lineRule="exact"/>
      <w:jc w:val="center"/>
    </w:pPr>
    <w:rPr>
      <w:b/>
      <w:bCs/>
      <w:sz w:val="36"/>
      <w:szCs w:val="36"/>
      <w:lang w:eastAsia="he-IL"/>
    </w:rPr>
  </w:style>
  <w:style w:type="paragraph" w:customStyle="1" w:styleId="KOT2">
    <w:name w:val="KOT2"/>
    <w:basedOn w:val="Normal"/>
    <w:pPr>
      <w:keepNext/>
      <w:spacing w:after="360" w:line="360" w:lineRule="exact"/>
      <w:jc w:val="center"/>
    </w:pPr>
    <w:rPr>
      <w:b/>
      <w:bCs/>
      <w:sz w:val="32"/>
      <w:szCs w:val="32"/>
      <w:lang w:eastAsia="he-IL"/>
    </w:rPr>
  </w:style>
  <w:style w:type="paragraph" w:customStyle="1" w:styleId="30">
    <w:name w:val="כותרת 3_0"/>
    <w:basedOn w:val="Normal"/>
    <w:next w:val="Normal"/>
    <w:pPr>
      <w:spacing w:before="100" w:beforeAutospacing="1" w:line="288" w:lineRule="auto"/>
      <w:outlineLvl w:val="2"/>
    </w:pPr>
    <w:rPr>
      <w:b/>
      <w:bCs/>
      <w:szCs w:val="28"/>
      <w:u w:val="single"/>
    </w:rPr>
  </w:style>
  <w:style w:type="paragraph" w:customStyle="1" w:styleId="40">
    <w:name w:val="כותרת 4_0"/>
    <w:basedOn w:val="Normal"/>
    <w:next w:val="Normal"/>
    <w:pPr>
      <w:spacing w:before="100" w:beforeAutospacing="1" w:line="264" w:lineRule="auto"/>
      <w:outlineLvl w:val="3"/>
    </w:pPr>
    <w:rPr>
      <w:b/>
      <w:bCs/>
      <w:sz w:val="22"/>
      <w:szCs w:val="26"/>
    </w:rPr>
  </w:style>
  <w:style w:type="paragraph" w:customStyle="1" w:styleId="a0">
    <w:name w:val="נבנצלים"/>
    <w:basedOn w:val="Normal"/>
    <w:next w:val="Normal"/>
    <w:pPr>
      <w:widowControl w:val="0"/>
      <w:spacing w:line="269" w:lineRule="auto"/>
      <w:ind w:left="-567"/>
      <w:jc w:val="both"/>
    </w:pPr>
    <w:rPr>
      <w:sz w:val="20"/>
      <w:szCs w:val="20"/>
      <w:lang w:eastAsia="he-IL"/>
    </w:rPr>
  </w:style>
  <w:style w:type="paragraph" w:styleId="BodyText">
    <w:name w:val="Body Text"/>
    <w:basedOn w:val="Normal"/>
    <w:semiHidden/>
    <w:pPr>
      <w:spacing w:before="180" w:after="120" w:line="230" w:lineRule="exact"/>
      <w:jc w:val="both"/>
    </w:pPr>
    <w:rPr>
      <w:rFonts w:cs="FrankRuehl"/>
      <w:sz w:val="22"/>
      <w:szCs w:val="22"/>
    </w:rPr>
  </w:style>
  <w:style w:type="character" w:customStyle="1" w:styleId="a1">
    <w:name w:val="גוף טקסט תו"/>
    <w:locked/>
    <w:rPr>
      <w:rFonts w:cs="David"/>
      <w:sz w:val="24"/>
      <w:szCs w:val="24"/>
      <w:lang w:bidi="he-IL"/>
    </w:rPr>
  </w:style>
  <w:style w:type="paragraph" w:styleId="BodyText2">
    <w:name w:val="Body Text 2"/>
    <w:basedOn w:val="Normal"/>
    <w:semiHidden/>
    <w:pPr>
      <w:widowControl w:val="0"/>
      <w:spacing w:line="312" w:lineRule="auto"/>
      <w:ind w:right="567"/>
      <w:jc w:val="both"/>
    </w:pPr>
    <w:rPr>
      <w:rFonts w:cs="FrankRuehl"/>
      <w:lang w:eastAsia="he-IL"/>
    </w:rPr>
  </w:style>
  <w:style w:type="character" w:customStyle="1" w:styleId="20">
    <w:name w:val="גוף טקסט 2 תו"/>
    <w:locked/>
    <w:rPr>
      <w:rFonts w:cs="David"/>
      <w:sz w:val="24"/>
      <w:szCs w:val="24"/>
      <w:lang w:bidi="he-IL"/>
    </w:rPr>
  </w:style>
  <w:style w:type="paragraph" w:styleId="Header">
    <w:name w:val="header"/>
    <w:basedOn w:val="Normal"/>
    <w:semiHidden/>
    <w:pPr>
      <w:tabs>
        <w:tab w:val="center" w:pos="4153"/>
        <w:tab w:val="right" w:pos="8306"/>
      </w:tabs>
    </w:pPr>
  </w:style>
  <w:style w:type="character" w:customStyle="1" w:styleId="a2">
    <w:name w:val="כותרת עליונה תו"/>
    <w:locked/>
    <w:rPr>
      <w:rFonts w:cs="David"/>
      <w:sz w:val="24"/>
      <w:szCs w:val="24"/>
      <w:lang w:bidi="he-IL"/>
    </w:rPr>
  </w:style>
  <w:style w:type="paragraph" w:styleId="Footer">
    <w:name w:val="footer"/>
    <w:basedOn w:val="Normal"/>
    <w:semiHidden/>
    <w:pPr>
      <w:tabs>
        <w:tab w:val="center" w:pos="4153"/>
        <w:tab w:val="right" w:pos="8306"/>
      </w:tabs>
    </w:pPr>
  </w:style>
  <w:style w:type="character" w:customStyle="1" w:styleId="a3">
    <w:name w:val="כותרת תחתונה תו"/>
    <w:locked/>
    <w:rPr>
      <w:rFonts w:cs="David"/>
      <w:sz w:val="24"/>
      <w:szCs w:val="24"/>
      <w:lang w:bidi="he-IL"/>
    </w:rPr>
  </w:style>
  <w:style w:type="character" w:styleId="PageNumber">
    <w:name w:val="page number"/>
    <w:semiHidden/>
    <w:rPr>
      <w:rFonts w:cs="Times New Roman"/>
    </w:rPr>
  </w:style>
  <w:style w:type="paragraph" w:styleId="FootnoteText">
    <w:name w:val="footnote text"/>
    <w:basedOn w:val="Normal"/>
    <w:semiHidden/>
    <w:rPr>
      <w:sz w:val="20"/>
      <w:szCs w:val="20"/>
    </w:rPr>
  </w:style>
  <w:style w:type="character" w:customStyle="1" w:styleId="10">
    <w:name w:val="טקסט הערת שוליים תו1"/>
    <w:semiHidden/>
    <w:locked/>
    <w:rPr>
      <w:rFonts w:cs="David"/>
      <w:sz w:val="20"/>
      <w:szCs w:val="20"/>
      <w:lang w:bidi="he-IL"/>
    </w:rPr>
  </w:style>
  <w:style w:type="character" w:styleId="FootnoteReference">
    <w:name w:val="footnote reference"/>
    <w:semiHidden/>
    <w:rPr>
      <w:rFonts w:cs="Times New Roman"/>
      <w:vertAlign w:val="superscript"/>
    </w:rPr>
  </w:style>
  <w:style w:type="paragraph" w:styleId="EndnoteText">
    <w:name w:val="endnote text"/>
    <w:basedOn w:val="Normal"/>
    <w:semiHidden/>
    <w:pPr>
      <w:jc w:val="both"/>
    </w:pPr>
    <w:rPr>
      <w:szCs w:val="20"/>
    </w:rPr>
  </w:style>
  <w:style w:type="character" w:customStyle="1" w:styleId="a4">
    <w:name w:val="טקסט הערת סיום תו"/>
    <w:semiHidden/>
    <w:locked/>
    <w:rPr>
      <w:rFonts w:cs="David"/>
      <w:sz w:val="20"/>
      <w:szCs w:val="20"/>
      <w:lang w:bidi="he-IL"/>
    </w:rPr>
  </w:style>
  <w:style w:type="character" w:styleId="EndnoteReference">
    <w:name w:val="endnote reference"/>
    <w:semiHidden/>
    <w:rPr>
      <w:rFonts w:cs="Times New Roman"/>
      <w:vertAlign w:val="superscript"/>
    </w:rPr>
  </w:style>
  <w:style w:type="paragraph" w:styleId="BodyText3">
    <w:name w:val="Body Text 3"/>
    <w:basedOn w:val="Normal"/>
    <w:semiHidden/>
    <w:pPr>
      <w:widowControl w:val="0"/>
      <w:jc w:val="both"/>
    </w:pPr>
  </w:style>
  <w:style w:type="character" w:customStyle="1" w:styleId="31">
    <w:name w:val="גוף טקסט 3 תו"/>
    <w:locked/>
    <w:rPr>
      <w:rFonts w:cs="David"/>
      <w:sz w:val="16"/>
      <w:szCs w:val="16"/>
      <w:lang w:bidi="he-IL"/>
    </w:rPr>
  </w:style>
  <w:style w:type="paragraph" w:customStyle="1" w:styleId="KOT3A">
    <w:name w:val="KOT3A"/>
    <w:basedOn w:val="Normal"/>
    <w:pPr>
      <w:spacing w:after="120" w:line="360" w:lineRule="exact"/>
    </w:pPr>
    <w:rPr>
      <w:b/>
      <w:bCs/>
      <w:spacing w:val="40"/>
      <w:szCs w:val="30"/>
    </w:rPr>
  </w:style>
  <w:style w:type="paragraph" w:customStyle="1" w:styleId="KOT3">
    <w:name w:val="KOT3"/>
    <w:basedOn w:val="KOT3A"/>
    <w:pPr>
      <w:keepNext/>
      <w:spacing w:after="360"/>
      <w:jc w:val="center"/>
    </w:pPr>
    <w:rPr>
      <w:spacing w:val="0"/>
      <w:szCs w:val="28"/>
    </w:rPr>
  </w:style>
  <w:style w:type="paragraph" w:customStyle="1" w:styleId="KOT4">
    <w:name w:val="KOT4"/>
    <w:basedOn w:val="KOT3"/>
    <w:pPr>
      <w:spacing w:after="240" w:line="300" w:lineRule="exact"/>
      <w:jc w:val="left"/>
      <w:outlineLvl w:val="1"/>
    </w:pPr>
    <w:rPr>
      <w:sz w:val="26"/>
      <w:szCs w:val="26"/>
    </w:rPr>
  </w:style>
  <w:style w:type="paragraph" w:customStyle="1" w:styleId="KOT5">
    <w:name w:val="KOT5"/>
    <w:basedOn w:val="KOT4"/>
    <w:pPr>
      <w:spacing w:after="120" w:line="260" w:lineRule="exact"/>
      <w:outlineLvl w:val="2"/>
    </w:pPr>
    <w:rPr>
      <w:sz w:val="22"/>
      <w:szCs w:val="22"/>
    </w:rPr>
  </w:style>
  <w:style w:type="character" w:customStyle="1" w:styleId="100">
    <w:name w:val="סגנון (עברית ושפות אחרות) ‏10 נק'"/>
    <w:rPr>
      <w:rFonts w:ascii="Times New Roman" w:hAnsi="Times New Roman"/>
      <w:sz w:val="24"/>
      <w:vertAlign w:val="baseline"/>
    </w:rPr>
  </w:style>
  <w:style w:type="paragraph" w:customStyle="1" w:styleId="NAME">
    <w:name w:val="NAME"/>
    <w:basedOn w:val="Normal"/>
    <w:pPr>
      <w:pBdr>
        <w:bottom w:val="single" w:sz="4" w:space="6" w:color="auto"/>
      </w:pBdr>
      <w:spacing w:after="120" w:line="312" w:lineRule="auto"/>
      <w:jc w:val="right"/>
      <w:outlineLvl w:val="0"/>
    </w:pPr>
    <w:rPr>
      <w:sz w:val="42"/>
      <w:szCs w:val="42"/>
      <w:lang w:eastAsia="he-IL"/>
    </w:rPr>
  </w:style>
  <w:style w:type="paragraph" w:customStyle="1" w:styleId="PATIAH">
    <w:name w:val="PATIAH"/>
    <w:basedOn w:val="Normal"/>
    <w:pPr>
      <w:spacing w:after="120" w:line="260" w:lineRule="exact"/>
      <w:jc w:val="both"/>
    </w:pPr>
    <w:rPr>
      <w:sz w:val="20"/>
      <w:lang w:eastAsia="he-IL"/>
    </w:rPr>
  </w:style>
  <w:style w:type="paragraph" w:customStyle="1" w:styleId="RESHET">
    <w:name w:val="RESHET"/>
    <w:basedOn w:val="Normal"/>
    <w:pPr>
      <w:pBdr>
        <w:top w:val="single" w:sz="4" w:space="4" w:color="FFFFFF"/>
        <w:left w:val="single" w:sz="4" w:space="11" w:color="FFFFFF"/>
        <w:bottom w:val="single" w:sz="4" w:space="6" w:color="FFFFFF"/>
        <w:right w:val="single" w:sz="4" w:space="11" w:color="FFFFFF"/>
      </w:pBdr>
      <w:shd w:val="pct25" w:color="00FF00" w:fill="auto"/>
      <w:spacing w:after="120" w:line="230" w:lineRule="exact"/>
      <w:ind w:left="227" w:right="227"/>
      <w:jc w:val="both"/>
    </w:pPr>
    <w:rPr>
      <w:rFonts w:cs="FrankRuehl"/>
      <w:b/>
      <w:bCs/>
      <w:sz w:val="20"/>
      <w:szCs w:val="22"/>
      <w:lang w:eastAsia="he-IL"/>
    </w:rPr>
  </w:style>
  <w:style w:type="paragraph" w:customStyle="1" w:styleId="takzir">
    <w:name w:val="takzir"/>
    <w:basedOn w:val="Normal"/>
    <w:pPr>
      <w:spacing w:after="120"/>
      <w:jc w:val="both"/>
    </w:pPr>
    <w:rPr>
      <w:b/>
      <w:bCs/>
      <w:noProof/>
      <w:sz w:val="22"/>
      <w:szCs w:val="22"/>
      <w:lang w:eastAsia="he-IL"/>
    </w:rPr>
  </w:style>
  <w:style w:type="paragraph" w:styleId="PlainText">
    <w:name w:val="Plain Text"/>
    <w:basedOn w:val="Normal"/>
    <w:semiHidden/>
    <w:pPr>
      <w:widowControl w:val="0"/>
      <w:spacing w:line="312" w:lineRule="auto"/>
      <w:jc w:val="both"/>
    </w:pPr>
    <w:rPr>
      <w:rFonts w:ascii="Courier New" w:hAnsi="Courier New" w:cs="Courier New"/>
      <w:sz w:val="20"/>
      <w:szCs w:val="20"/>
      <w:lang w:eastAsia="he-IL"/>
    </w:rPr>
  </w:style>
  <w:style w:type="character" w:customStyle="1" w:styleId="a5">
    <w:name w:val="טקסט רגיל תו"/>
    <w:semiHidden/>
    <w:locked/>
    <w:rPr>
      <w:rFonts w:ascii="Courier New" w:hAnsi="Courier New" w:cs="Courier New"/>
      <w:sz w:val="20"/>
      <w:szCs w:val="20"/>
    </w:rPr>
  </w:style>
  <w:style w:type="paragraph" w:styleId="Caption">
    <w:name w:val="caption"/>
    <w:basedOn w:val="Normal"/>
    <w:next w:val="Normal"/>
    <w:qFormat/>
    <w:locked/>
    <w:pPr>
      <w:tabs>
        <w:tab w:val="left" w:pos="1021"/>
        <w:tab w:val="center" w:pos="5131"/>
      </w:tabs>
      <w:spacing w:line="280" w:lineRule="exact"/>
    </w:pPr>
    <w:rPr>
      <w:b/>
      <w:bCs/>
      <w:sz w:val="28"/>
      <w:szCs w:val="28"/>
    </w:rPr>
  </w:style>
  <w:style w:type="character" w:customStyle="1" w:styleId="51">
    <w:name w:val="כותרת 51"/>
    <w:rPr>
      <w:rFonts w:ascii="Times New Roman" w:hAnsi="Times New Roman"/>
      <w:b/>
      <w:color w:val="auto"/>
      <w:spacing w:val="40"/>
      <w:w w:val="100"/>
      <w:position w:val="0"/>
      <w:sz w:val="24"/>
      <w:u w:val="none"/>
      <w:vertAlign w:val="baseline"/>
    </w:rPr>
  </w:style>
  <w:style w:type="character" w:customStyle="1" w:styleId="61">
    <w:name w:val="כותרת 61"/>
    <w:rPr>
      <w:rFonts w:ascii="Times New Roman" w:hAnsi="Times New Roman"/>
      <w:color w:val="auto"/>
      <w:spacing w:val="40"/>
      <w:w w:val="100"/>
      <w:position w:val="0"/>
      <w:sz w:val="24"/>
      <w:u w:val="none"/>
    </w:rPr>
  </w:style>
  <w:style w:type="character" w:customStyle="1" w:styleId="PersonalComposeStyle">
    <w:name w:val="Personal Compose Style"/>
    <w:rPr>
      <w:rFonts w:ascii="Arial" w:hAnsi="Arial"/>
      <w:color w:val="auto"/>
      <w:sz w:val="20"/>
    </w:rPr>
  </w:style>
  <w:style w:type="character" w:customStyle="1" w:styleId="PersonalReplyStyle">
    <w:name w:val="Personal Reply Style"/>
    <w:rPr>
      <w:rFonts w:ascii="Arial" w:hAnsi="Arial"/>
      <w:color w:val="auto"/>
      <w:sz w:val="20"/>
    </w:rPr>
  </w:style>
  <w:style w:type="character" w:customStyle="1" w:styleId="52">
    <w:name w:val="כותרת 52"/>
    <w:rPr>
      <w:rFonts w:ascii="Times New Roman" w:hAnsi="Times New Roman"/>
      <w:b/>
      <w:color w:val="auto"/>
      <w:spacing w:val="40"/>
      <w:w w:val="100"/>
      <w:position w:val="0"/>
      <w:sz w:val="24"/>
      <w:u w:val="none"/>
      <w:vertAlign w:val="baseline"/>
    </w:rPr>
  </w:style>
  <w:style w:type="character" w:customStyle="1" w:styleId="520">
    <w:name w:val="כותרת 5 תו2"/>
    <w:rPr>
      <w:b/>
      <w:spacing w:val="40"/>
      <w:sz w:val="24"/>
      <w:lang w:val="en-US" w:eastAsia="he-IL" w:bidi="he-IL"/>
    </w:rPr>
  </w:style>
  <w:style w:type="character" w:customStyle="1" w:styleId="71">
    <w:name w:val="כותרת 7 תו1"/>
    <w:rPr>
      <w:b/>
      <w:spacing w:val="40"/>
      <w:sz w:val="24"/>
      <w:lang w:val="en-US" w:eastAsia="he-IL" w:bidi="he-IL"/>
    </w:rPr>
  </w:style>
  <w:style w:type="paragraph" w:customStyle="1" w:styleId="a6">
    <w:name w:val="ממוספר"/>
    <w:basedOn w:val="Normal"/>
    <w:pPr>
      <w:numPr>
        <w:numId w:val="1"/>
      </w:numPr>
      <w:spacing w:after="240" w:line="312" w:lineRule="auto"/>
      <w:ind w:right="397"/>
      <w:jc w:val="both"/>
    </w:pPr>
    <w:rPr>
      <w:rFonts w:cs="FrankRuehl"/>
      <w:lang w:eastAsia="he-IL"/>
    </w:rPr>
  </w:style>
  <w:style w:type="paragraph" w:customStyle="1" w:styleId="a7">
    <w:name w:val="טקסט מודגש"/>
    <w:basedOn w:val="Normal"/>
    <w:pPr>
      <w:spacing w:after="240" w:line="312" w:lineRule="auto"/>
      <w:jc w:val="both"/>
    </w:pPr>
    <w:rPr>
      <w:b/>
      <w:bCs/>
      <w:sz w:val="22"/>
      <w:szCs w:val="22"/>
      <w:lang w:eastAsia="he-IL"/>
    </w:rPr>
  </w:style>
  <w:style w:type="paragraph" w:customStyle="1" w:styleId="11">
    <w:name w:val="ציטוט1"/>
    <w:basedOn w:val="Normal"/>
    <w:pPr>
      <w:spacing w:after="240" w:line="240" w:lineRule="auto"/>
      <w:ind w:left="851" w:right="851"/>
      <w:jc w:val="both"/>
    </w:pPr>
    <w:rPr>
      <w:rFonts w:cs="FrankRuehl"/>
      <w:lang w:eastAsia="he-IL"/>
    </w:rPr>
  </w:style>
  <w:style w:type="paragraph" w:styleId="BodyTextIndent2">
    <w:name w:val="Body Text Indent 2"/>
    <w:basedOn w:val="Normal"/>
    <w:semiHidden/>
    <w:pPr>
      <w:spacing w:after="240" w:line="240" w:lineRule="auto"/>
      <w:ind w:left="540" w:hanging="540"/>
      <w:jc w:val="both"/>
    </w:pPr>
    <w:rPr>
      <w:rFonts w:cs="FrankRuehl"/>
      <w:lang w:eastAsia="he-IL"/>
    </w:rPr>
  </w:style>
  <w:style w:type="character" w:customStyle="1" w:styleId="21">
    <w:name w:val="כניסה בגוף טקסט 2 תו"/>
    <w:semiHidden/>
    <w:locked/>
    <w:rPr>
      <w:rFonts w:cs="David"/>
      <w:sz w:val="24"/>
      <w:szCs w:val="24"/>
      <w:lang w:bidi="he-IL"/>
    </w:rPr>
  </w:style>
  <w:style w:type="character" w:customStyle="1" w:styleId="notes">
    <w:name w:val="notes"/>
  </w:style>
  <w:style w:type="paragraph" w:styleId="BlockText">
    <w:name w:val="Block Text"/>
    <w:basedOn w:val="Normal"/>
    <w:semiHidden/>
    <w:pPr>
      <w:spacing w:line="240" w:lineRule="auto"/>
      <w:ind w:left="509"/>
    </w:pPr>
    <w:rPr>
      <w:sz w:val="20"/>
      <w:lang w:eastAsia="he-IL"/>
    </w:rPr>
  </w:style>
  <w:style w:type="character" w:customStyle="1" w:styleId="a8">
    <w:name w:val="טקסט הערות שוליים תו"/>
    <w:rPr>
      <w:lang w:val="en-US" w:eastAsia="en-US"/>
    </w:rPr>
  </w:style>
  <w:style w:type="character" w:customStyle="1" w:styleId="a9">
    <w:name w:val="טקסט הערת שוליים תו"/>
    <w:locked/>
    <w:rPr>
      <w:lang w:val="en-US" w:eastAsia="en-US"/>
    </w:rPr>
  </w:style>
  <w:style w:type="character" w:customStyle="1" w:styleId="a10">
    <w:name w:val="תו תו"/>
    <w:semiHidden/>
    <w:locked/>
    <w:rPr>
      <w:lang w:val="en-US" w:eastAsia="he-IL" w:bidi="he-IL"/>
    </w:rPr>
  </w:style>
  <w:style w:type="paragraph" w:styleId="BodyTextIndent3">
    <w:name w:val="Body Text Indent 3"/>
    <w:basedOn w:val="Normal"/>
    <w:semiHidden/>
    <w:pPr>
      <w:spacing w:after="120"/>
      <w:ind w:left="283"/>
    </w:pPr>
    <w:rPr>
      <w:sz w:val="16"/>
      <w:szCs w:val="16"/>
    </w:rPr>
  </w:style>
  <w:style w:type="character" w:customStyle="1" w:styleId="32">
    <w:name w:val="כניסה בגוף טקסט 3 תו"/>
    <w:semiHidden/>
    <w:locked/>
    <w:rPr>
      <w:rFonts w:cs="David"/>
      <w:sz w:val="16"/>
      <w:szCs w:val="16"/>
      <w:lang w:bidi="he-IL"/>
    </w:rPr>
  </w:style>
  <w:style w:type="paragraph" w:customStyle="1" w:styleId="12">
    <w:name w:val="פיסקת רשימה1"/>
    <w:basedOn w:val="Normal"/>
    <w:pPr>
      <w:ind w:left="720"/>
    </w:pPr>
  </w:style>
  <w:style w:type="paragraph" w:styleId="BalloonText">
    <w:name w:val="Balloon Text"/>
    <w:basedOn w:val="Normal"/>
    <w:semiHidden/>
    <w:rPr>
      <w:rFonts w:ascii="Tahoma" w:hAnsi="Tahoma" w:cs="Tahoma"/>
      <w:sz w:val="16"/>
      <w:szCs w:val="16"/>
    </w:rPr>
  </w:style>
  <w:style w:type="character" w:customStyle="1" w:styleId="a11">
    <w:name w:val="טקסט בלונים תו"/>
    <w:semiHidden/>
    <w:locked/>
    <w:rPr>
      <w:rFonts w:cs="Times New Roman"/>
      <w:sz w:val="2"/>
    </w:rPr>
  </w:style>
  <w:style w:type="paragraph" w:styleId="BodyTextIndent">
    <w:name w:val="Body Text Indent"/>
    <w:basedOn w:val="Normal"/>
    <w:semiHidden/>
    <w:pPr>
      <w:spacing w:after="120"/>
      <w:ind w:left="283"/>
    </w:pPr>
  </w:style>
  <w:style w:type="character" w:customStyle="1" w:styleId="a12">
    <w:name w:val="כניסה בגוף טקסט תו"/>
    <w:semiHidden/>
    <w:locked/>
    <w:rPr>
      <w:rFonts w:cs="David"/>
      <w:sz w:val="24"/>
      <w:szCs w:val="24"/>
      <w:lang w:bidi="he-IL"/>
    </w:rPr>
  </w:style>
  <w:style w:type="character" w:styleId="CommentReference">
    <w:name w:val="annotation reference"/>
    <w:semiHidden/>
    <w:rPr>
      <w:rFonts w:cs="Times New Roman"/>
      <w:sz w:val="16"/>
    </w:rPr>
  </w:style>
  <w:style w:type="paragraph" w:styleId="CommentText">
    <w:name w:val="annotation text"/>
    <w:basedOn w:val="Normal"/>
    <w:semiHidden/>
    <w:rPr>
      <w:sz w:val="20"/>
      <w:szCs w:val="20"/>
    </w:rPr>
  </w:style>
  <w:style w:type="character" w:customStyle="1" w:styleId="a13">
    <w:name w:val="טקסט הערה תו"/>
    <w:semiHidden/>
    <w:locked/>
    <w:rPr>
      <w:rFonts w:cs="David"/>
      <w:sz w:val="20"/>
      <w:szCs w:val="20"/>
      <w:lang w:bidi="he-IL"/>
    </w:rPr>
  </w:style>
  <w:style w:type="paragraph" w:styleId="CommentSubject">
    <w:name w:val="annotation subject"/>
    <w:basedOn w:val="CommentText"/>
    <w:next w:val="CommentText"/>
    <w:semiHidden/>
    <w:rPr>
      <w:b/>
      <w:bCs/>
    </w:rPr>
  </w:style>
  <w:style w:type="character" w:customStyle="1" w:styleId="a14">
    <w:name w:val="נושא הערה תו"/>
    <w:semiHidden/>
    <w:locked/>
    <w:rPr>
      <w:rFonts w:cs="David"/>
      <w:b/>
      <w:bCs/>
      <w:sz w:val="20"/>
      <w:szCs w:val="20"/>
      <w:lang w:bidi="he-IL"/>
    </w:rPr>
  </w:style>
  <w:style w:type="paragraph" w:customStyle="1" w:styleId="310">
    <w:name w:val="כותרת 31"/>
    <w:basedOn w:val="Normal"/>
    <w:next w:val="Normal"/>
    <w:pPr>
      <w:spacing w:before="100" w:beforeAutospacing="1" w:line="288" w:lineRule="auto"/>
      <w:outlineLvl w:val="2"/>
    </w:pPr>
    <w:rPr>
      <w:b/>
      <w:bCs/>
      <w:szCs w:val="28"/>
      <w:u w:val="single"/>
    </w:rPr>
  </w:style>
  <w:style w:type="paragraph" w:customStyle="1" w:styleId="41">
    <w:name w:val="כותרת 41"/>
    <w:basedOn w:val="Normal"/>
    <w:next w:val="Normal"/>
    <w:pPr>
      <w:spacing w:before="100" w:beforeAutospacing="1" w:line="264" w:lineRule="auto"/>
      <w:outlineLvl w:val="3"/>
    </w:pPr>
    <w:rPr>
      <w:b/>
      <w:bCs/>
      <w:sz w:val="22"/>
      <w:szCs w:val="26"/>
    </w:rPr>
  </w:style>
  <w:style w:type="character" w:customStyle="1" w:styleId="default">
    <w:name w:val="default"/>
    <w:rPr>
      <w:rFonts w:ascii="Times New Roman" w:hAnsi="Times New Roman"/>
      <w:sz w:val="26"/>
    </w:rPr>
  </w:style>
  <w:style w:type="character" w:customStyle="1" w:styleId="510">
    <w:name w:val="כותרת 5 תו1"/>
    <w:locked/>
    <w:rPr>
      <w:rFonts w:cs="David"/>
      <w:b/>
      <w:bCs/>
      <w:sz w:val="32"/>
      <w:szCs w:val="32"/>
      <w:lang w:eastAsia="he-IL"/>
    </w:rPr>
  </w:style>
  <w:style w:type="character" w:customStyle="1" w:styleId="72">
    <w:name w:val="כותרת 7 תו2"/>
    <w:locked/>
    <w:rPr>
      <w:rFonts w:cs="David"/>
      <w:sz w:val="36"/>
      <w:szCs w:val="36"/>
      <w:lang w:eastAsia="he-IL"/>
    </w:rPr>
  </w:style>
  <w:style w:type="paragraph" w:customStyle="1" w:styleId="Arial10">
    <w:name w:val="סגנון (לטיני) Arial (עברית ושפות אחרות) ‏10 נק' שמאל מרווח בין ש..."/>
    <w:basedOn w:val="Normal"/>
    <w:pPr>
      <w:widowControl w:val="0"/>
      <w:spacing w:line="360" w:lineRule="auto"/>
      <w:jc w:val="right"/>
    </w:pPr>
    <w:rPr>
      <w:rFonts w:ascii="David" w:hAnsi="David"/>
      <w:sz w:val="20"/>
      <w:szCs w:val="20"/>
      <w:lang w:eastAsia="he-IL"/>
    </w:rPr>
  </w:style>
  <w:style w:type="character" w:customStyle="1" w:styleId="17">
    <w:name w:val="תו תו17"/>
    <w:semiHidden/>
    <w:locked/>
    <w:rPr>
      <w:b/>
      <w:spacing w:val="40"/>
      <w:sz w:val="24"/>
      <w:lang w:val="en-US" w:eastAsia="he-IL" w:bidi="he-IL"/>
    </w:rPr>
  </w:style>
  <w:style w:type="character" w:customStyle="1" w:styleId="22">
    <w:name w:val="תו תו2"/>
    <w:rPr>
      <w:b/>
      <w:spacing w:val="40"/>
      <w:sz w:val="24"/>
      <w:lang w:val="en-US" w:eastAsia="he-IL" w:bidi="he-IL"/>
    </w:rPr>
  </w:style>
  <w:style w:type="paragraph" w:customStyle="1" w:styleId="KOT6">
    <w:name w:val="KOT6"/>
    <w:basedOn w:val="KOT5"/>
    <w:locked/>
    <w:pPr>
      <w:outlineLvl w:val="3"/>
    </w:pPr>
    <w:rPr>
      <w:rFonts w:cs="FrankRuehl"/>
      <w:spacing w:val="40"/>
      <w:sz w:val="20"/>
    </w:rPr>
  </w:style>
  <w:style w:type="paragraph" w:customStyle="1" w:styleId="KOT7">
    <w:name w:val="KOT7"/>
    <w:basedOn w:val="KOT6"/>
    <w:locked/>
    <w:pPr>
      <w:outlineLvl w:val="4"/>
    </w:pPr>
    <w:rPr>
      <w:b w:val="0"/>
      <w:bCs w:val="0"/>
    </w:rPr>
  </w:style>
  <w:style w:type="character" w:customStyle="1" w:styleId="610">
    <w:name w:val="כותרת 6 תו1"/>
    <w:rPr>
      <w:rFonts w:cs="David"/>
      <w:spacing w:val="40"/>
      <w:szCs w:val="24"/>
      <w:lang w:val="en-US" w:eastAsia="he-IL" w:bidi="he-IL"/>
    </w:rPr>
  </w:style>
  <w:style w:type="paragraph" w:customStyle="1" w:styleId="320">
    <w:name w:val="כותרת 32"/>
    <w:basedOn w:val="Normal"/>
    <w:next w:val="Normal"/>
    <w:pPr>
      <w:widowControl w:val="0"/>
      <w:spacing w:before="100" w:beforeAutospacing="1" w:line="288" w:lineRule="auto"/>
      <w:outlineLvl w:val="2"/>
    </w:pPr>
    <w:rPr>
      <w:b/>
      <w:bCs/>
      <w:szCs w:val="28"/>
      <w:u w:val="single"/>
      <w:lang w:eastAsia="he-IL"/>
    </w:rPr>
  </w:style>
  <w:style w:type="paragraph" w:customStyle="1" w:styleId="42">
    <w:name w:val="כותרת 42"/>
    <w:basedOn w:val="Normal"/>
    <w:next w:val="Normal"/>
    <w:pPr>
      <w:widowControl w:val="0"/>
      <w:spacing w:before="100" w:beforeAutospacing="1" w:line="264" w:lineRule="auto"/>
      <w:outlineLvl w:val="3"/>
    </w:pPr>
    <w:rPr>
      <w:b/>
      <w:bCs/>
      <w:sz w:val="22"/>
      <w:szCs w:val="26"/>
      <w:lang w:eastAsia="he-IL"/>
    </w:rPr>
  </w:style>
  <w:style w:type="character" w:customStyle="1" w:styleId="410">
    <w:name w:val="כותרת 41 תו"/>
    <w:rPr>
      <w:rFonts w:cs="David"/>
      <w:b/>
      <w:bCs/>
      <w:sz w:val="22"/>
      <w:szCs w:val="26"/>
    </w:rPr>
  </w:style>
  <w:style w:type="character" w:styleId="Hyperlink">
    <w:name w:val="Hyperlink"/>
    <w:semiHidden/>
    <w:locked/>
    <w:rPr>
      <w:color w:val="0000FF"/>
      <w:u w:val="single"/>
    </w:rPr>
  </w:style>
  <w:style w:type="paragraph" w:styleId="DocumentMap">
    <w:name w:val="Document Map"/>
    <w:basedOn w:val="Normal"/>
    <w:semiHidden/>
    <w:locked/>
    <w:pPr>
      <w:widowControl w:val="0"/>
      <w:shd w:val="clear" w:color="auto" w:fill="000080"/>
      <w:spacing w:line="312" w:lineRule="auto"/>
      <w:jc w:val="both"/>
    </w:pPr>
    <w:rPr>
      <w:rFonts w:ascii="Tahoma" w:hAnsi="Tahoma" w:cs="Tahoma"/>
      <w:sz w:val="20"/>
      <w:szCs w:val="20"/>
      <w:lang w:eastAsia="he-IL"/>
    </w:rPr>
  </w:style>
  <w:style w:type="character" w:customStyle="1" w:styleId="a15">
    <w:name w:val="מפת מסמך תו"/>
    <w:semiHidden/>
    <w:rPr>
      <w:rFonts w:ascii="Tahoma" w:hAnsi="Tahoma" w:cs="Tahoma"/>
      <w:shd w:val="clear" w:color="auto" w:fill="000080"/>
      <w:lang w:eastAsia="he-IL"/>
    </w:rPr>
  </w:style>
  <w:style w:type="paragraph" w:styleId="ListParagraph">
    <w:name w:val="List Paragraph"/>
    <w:basedOn w:val="Normal"/>
    <w:qFormat/>
    <w:pPr>
      <w:spacing w:after="200" w:line="276" w:lineRule="auto"/>
      <w:ind w:left="720"/>
      <w:contextualSpacing/>
    </w:pPr>
    <w:rPr>
      <w:rFonts w:ascii="Rockwell" w:eastAsia="Rockwell" w:hAnsi="Rockwell"/>
      <w:sz w:val="22"/>
      <w:szCs w:val="22"/>
    </w:rPr>
  </w:style>
  <w:style w:type="paragraph" w:customStyle="1" w:styleId="a16">
    <w:name w:val="נבנצאל"/>
    <w:basedOn w:val="Normal"/>
    <w:next w:val="Normal"/>
    <w:pPr>
      <w:spacing w:after="200" w:line="276" w:lineRule="auto"/>
      <w:ind w:left="-567"/>
    </w:pPr>
    <w:rPr>
      <w:rFonts w:ascii="Rockwell" w:eastAsia="Rockwell" w:hAnsi="Rockwell"/>
      <w:sz w:val="22"/>
      <w:szCs w:val="20"/>
    </w:rPr>
  </w:style>
  <w:style w:type="character" w:customStyle="1" w:styleId="a17">
    <w:name w:val="נבנצאל תו"/>
    <w:locked/>
    <w:rPr>
      <w:rFonts w:ascii="Rockwell" w:eastAsia="Rockwell" w:hAnsi="Rockwell" w:cs="David"/>
      <w:sz w:val="22"/>
    </w:rPr>
  </w:style>
  <w:style w:type="paragraph" w:styleId="Date">
    <w:name w:val="Date"/>
    <w:basedOn w:val="Normal"/>
    <w:next w:val="Normal"/>
    <w:semiHidden/>
    <w:locked/>
    <w:pPr>
      <w:spacing w:before="120" w:after="200" w:line="240" w:lineRule="auto"/>
    </w:pPr>
    <w:rPr>
      <w:rFonts w:ascii="Rockwell" w:eastAsia="Rockwell" w:hAnsi="Rockwell"/>
      <w:sz w:val="22"/>
      <w:szCs w:val="22"/>
    </w:rPr>
  </w:style>
  <w:style w:type="character" w:customStyle="1" w:styleId="a18">
    <w:name w:val="תאריך תו"/>
    <w:rPr>
      <w:rFonts w:ascii="Rockwell" w:eastAsia="Rockwell" w:hAnsi="Rockwell" w:cs="David"/>
      <w:sz w:val="22"/>
      <w:szCs w:val="22"/>
    </w:rPr>
  </w:style>
  <w:style w:type="paragraph" w:styleId="Revision">
    <w:name w:val="Revision"/>
    <w:hidden/>
    <w:semiHidden/>
    <w:rPr>
      <w:rFonts w:ascii="Rockwell" w:eastAsia="Rockwell" w:hAnsi="Rockwell" w:cs="David"/>
      <w:sz w:val="22"/>
      <w:szCs w:val="22"/>
    </w:rPr>
  </w:style>
  <w:style w:type="paragraph" w:customStyle="1" w:styleId="tab-name">
    <w:name w:val="tab-name"/>
    <w:basedOn w:val="KOT5"/>
    <w:qFormat/>
    <w:pPr>
      <w:jc w:val="center"/>
      <w:outlineLvl w:val="9"/>
    </w:pPr>
  </w:style>
  <w:style w:type="character" w:styleId="FollowedHyperlink">
    <w:name w:val="FollowedHyperlink"/>
    <w:semiHidden/>
    <w:rPr>
      <w:rFonts w:cs="Times New Roman"/>
      <w:color w:val="606420"/>
      <w:u w:val="single"/>
    </w:rPr>
  </w:style>
  <w:style w:type="character" w:customStyle="1" w:styleId="st">
    <w:name w:val="st"/>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numbering" Target="numbering.xml"/><Relationship Id="rId8" Type="http://schemas.openxmlformats.org/officeDocument/2006/relationships/footer" Target="footer2.xml"/><Relationship Id="rId3" Type="http://schemas.openxmlformats.org/officeDocument/2006/relationships/webSettings" Target="webSettings.xml"/><Relationship Id="rId12" Type="http://schemas.openxmlformats.org/officeDocument/2006/relationships/theme" Target="theme/theme1.xml"/><Relationship Id="rId7"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 Type="http://schemas.openxmlformats.org/officeDocument/2006/relationships/footnotes" Target="footnotes.xml"/><Relationship Id="rId11" Type="http://schemas.openxmlformats.org/officeDocument/2006/relationships/header" Target="header4.xml"/><Relationship Id="rId6" Type="http://schemas.openxmlformats.org/officeDocument/2006/relationships/header" Target="header2.xml"/><Relationship Id="rId5" Type="http://schemas.openxmlformats.org/officeDocument/2006/relationships/header" Target="header1.xml"/><Relationship Id="rId15" Type="http://schemas.openxmlformats.org/officeDocument/2006/relationships/customXml" Target="../customXml/item1.xml"/><Relationship Id="rId10" Type="http://schemas.openxmlformats.org/officeDocument/2006/relationships/footer" Target="footer3.xml"/><Relationship Id="rId14" Type="http://schemas.openxmlformats.org/officeDocument/2006/relationships/styles" Target="styles.xml"/><Relationship Id="rId4" Type="http://schemas.openxmlformats.org/officeDocument/2006/relationships/fontTable" Target="fontTable.xml"/><Relationship Id="rId9"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64D459DCDBE1C04FBE70D8D923394CD3" ma:contentTypeVersion="2" ma:contentTypeDescription="צור מסמך חדש." ma:contentTypeScope="" ma:versionID="3b3d791f89300efca45be244c8ab8eee">
  <xsd:schema xmlns:xsd="http://www.w3.org/2001/XMLSchema" xmlns:xs="http://www.w3.org/2001/XMLSchema" xmlns:p="http://schemas.microsoft.com/office/2006/metadata/properties" xmlns:ns1="http://schemas.microsoft.com/sharepoint/v3" xmlns:ns2="2427becb-8270-4354-8f06-4353a268df37" targetNamespace="http://schemas.microsoft.com/office/2006/metadata/properties" ma:root="true" ma:fieldsID="3f32651d6f91e9dea68c269a9733e2c2" ns1:_="" ns2:_="">
    <xsd:import namespace="http://schemas.microsoft.com/sharepoint/v3"/>
    <xsd:import namespace="2427becb-8270-4354-8f06-4353a268df37"/>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מתזמן תאריך התחלה" ma:description="'מתזמן תאריך התחלה' הוא עמודת אתר שיוצרת תכונת הפרסום. היא משמשת לציון התאריך והשעה שבהם יופיע הדף לראשונה בפני מבקרי האתר." ma:hidden="true" ma:internalName="PublishingStartDate">
      <xsd:simpleType>
        <xsd:restriction base="dms:Unknown"/>
      </xsd:simpleType>
    </xsd:element>
    <xsd:element name="PublishingExpirationDate" ma:index="9" nillable="true" ma:displayName="מתזמן תאריך סיום" ma:description="'תזמון תאריך הסיום' הוא עמודת אתר שיוצרת תכונת הפרסום. היא משמשת לציון התאריך והשעה שבהם הדף לא יופיע עוד בפני מבקרי האתר."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427becb-8270-4354-8f06-4353a268df37" elementFormDefault="qualified">
    <xsd:import namespace="http://schemas.microsoft.com/office/2006/documentManagement/types"/>
    <xsd:import namespace="http://schemas.microsoft.com/office/infopath/2007/PartnerControls"/>
    <xsd:element name="SharedWithUsers" ma:index="10"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DA55E075-2CA4-47D1-A9EB-DA0257F6DF2F}"/>
</file>

<file path=customXml/itemProps2.xml><?xml version="1.0" encoding="utf-8"?>
<ds:datastoreItem xmlns:ds="http://schemas.openxmlformats.org/officeDocument/2006/customXml" ds:itemID="{29BCEDD9-D287-4012-BC09-73C2F17BB443}"/>
</file>

<file path=customXml/itemProps3.xml><?xml version="1.0" encoding="utf-8"?>
<ds:datastoreItem xmlns:ds="http://schemas.openxmlformats.org/officeDocument/2006/customXml" ds:itemID="{4F72BE02-4DD1-40CF-A27F-824AB449F1E3}"/>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0x01010064D459DCDBE1C04FBE70D8D923394CD3</vt:lpwstr>
  </property>
</Properties>
</file>