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EF04CE" w:rsidRPr="00EF04CE" w:rsidP="00EF04CE">
      <w:pPr>
        <w:pStyle w:val="NAME"/>
        <w:rPr>
          <w:rtl/>
        </w:rPr>
      </w:pPr>
      <w:bookmarkStart w:id="0" w:name="_Toc349122061"/>
      <w:bookmarkStart w:id="1" w:name="_Toc349136480"/>
      <w:bookmarkStart w:id="2" w:name="_Toc352831083"/>
      <w:bookmarkStart w:id="3" w:name="_Toc354324568"/>
      <w:bookmarkStart w:id="4" w:name="_Toc354661923"/>
      <w:r w:rsidRPr="00EF04CE">
        <w:rPr>
          <w:rFonts w:hint="cs"/>
          <w:rtl/>
        </w:rPr>
        <w:t>ההיערכות למיגון המתקנים הרגישים במדינת ישראל כנגד האיום עליהם</w:t>
      </w:r>
    </w:p>
    <w:p w:rsidR="001275A6">
      <w:pPr>
        <w:pStyle w:val="Footer"/>
        <w:tabs>
          <w:tab w:val="clear" w:pos="4153"/>
          <w:tab w:val="clear" w:pos="8306"/>
        </w:tabs>
        <w:spacing w:after="120" w:line="230" w:lineRule="exact"/>
        <w:jc w:val="both"/>
        <w:rPr>
          <w:rFonts w:cs="FrankRuehl"/>
          <w:szCs w:val="22"/>
          <w:rtl/>
        </w:rPr>
      </w:pPr>
    </w:p>
    <w:p w:rsidR="001275A6">
      <w:pPr>
        <w:spacing w:after="120" w:line="230" w:lineRule="exact"/>
        <w:jc w:val="both"/>
        <w:rPr>
          <w:rFonts w:cs="FrankRuehl"/>
          <w:szCs w:val="22"/>
          <w:rtl/>
        </w:rPr>
      </w:pPr>
    </w:p>
    <w:p w:rsidR="001275A6">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F04CE">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25" w:color="00FF00" w:fill="auto"/>
          </w:tcPr>
          <w:p w:rsidR="001275A6">
            <w:pPr>
              <w:pStyle w:val="KOT4"/>
              <w:spacing w:before="120"/>
              <w:jc w:val="center"/>
              <w:rPr>
                <w:rtl/>
              </w:rPr>
            </w:pPr>
            <w:r>
              <w:rPr>
                <w:rFonts w:hint="cs"/>
                <w:rtl/>
              </w:rPr>
              <w:t>רקע כללי</w:t>
            </w:r>
          </w:p>
        </w:tc>
      </w:tr>
      <w:tr w:rsidTr="00EF04CE">
        <w:tblPrEx>
          <w:tblW w:w="6691" w:type="dxa"/>
          <w:jc w:val="center"/>
          <w:tblLook w:val="04A0"/>
        </w:tblPrEx>
        <w:trPr>
          <w:jc w:val="center"/>
        </w:trPr>
        <w:tc>
          <w:tcPr>
            <w:tcW w:w="6691" w:type="dxa"/>
          </w:tcPr>
          <w:p w:rsidR="00EF04CE" w:rsidRPr="00EF04CE" w:rsidP="00EF04CE">
            <w:pPr>
              <w:pStyle w:val="PATIAH"/>
              <w:spacing w:before="60" w:line="250" w:lineRule="exact"/>
              <w:rPr>
                <w:sz w:val="22"/>
                <w:szCs w:val="22"/>
                <w:rtl/>
              </w:rPr>
            </w:pPr>
            <w:r w:rsidRPr="00EF04CE">
              <w:rPr>
                <w:rFonts w:hint="cs"/>
                <w:sz w:val="22"/>
                <w:szCs w:val="22"/>
                <w:rtl/>
              </w:rPr>
              <w:t xml:space="preserve">בתקופה מאפריל עד נובמבר 2013 (להלן </w:t>
            </w:r>
            <w:r w:rsidRPr="00EF04CE">
              <w:rPr>
                <w:sz w:val="22"/>
                <w:szCs w:val="22"/>
                <w:rtl/>
              </w:rPr>
              <w:t>-</w:t>
            </w:r>
            <w:r w:rsidRPr="00EF04CE">
              <w:rPr>
                <w:rFonts w:hint="cs"/>
                <w:sz w:val="22"/>
                <w:szCs w:val="22"/>
                <w:rtl/>
              </w:rPr>
              <w:t xml:space="preserve"> הביקורת הנוכחית) בדק משרד מבקר המדינה את ההסדרה של המיגון על המתקנים הרגישים ברמה הלאומית, לרבות איום הייחוס למיגון המתקנים הרגישים; הטיפול במיגון מתקנים רגישים בעדיפות עליונה, לפי הנחיית ראש הממשלה; ההיערכות למיגון מתקנים רגישים אזרחיים, ביטחוניים וצבאיים; ובחינת האפשרות לשימוש בשיטות חלופיות למיגון מתקנים רגישים. בביקורת הנוכחית נבדקה גם מידת תיקון הליקויים שהועלו בביקורת קודמת, שנערכה בין אוקטובר 2009 ליולי 2010, ושבה נבדקו היבטים שונים בהיערכות של גורמים שונים למיגון המתקנים הרגישים במדינת ישראל כנגד האיום עליהם (להלן </w:t>
            </w:r>
            <w:r w:rsidRPr="00EF04CE">
              <w:rPr>
                <w:sz w:val="22"/>
                <w:szCs w:val="22"/>
                <w:rtl/>
              </w:rPr>
              <w:t>-</w:t>
            </w:r>
            <w:r w:rsidRPr="00EF04CE">
              <w:rPr>
                <w:rFonts w:hint="cs"/>
                <w:sz w:val="22"/>
                <w:szCs w:val="22"/>
                <w:rtl/>
              </w:rPr>
              <w:t xml:space="preserve"> הביקורת הקודמת). נתונים אחדים עודכנו בספטמבר 2014</w:t>
            </w:r>
            <w:r>
              <w:rPr>
                <w:sz w:val="22"/>
                <w:szCs w:val="22"/>
                <w:vertAlign w:val="superscript"/>
                <w:rtl/>
              </w:rPr>
              <w:footnoteReference w:id="2"/>
            </w:r>
            <w:r w:rsidR="00594542">
              <w:rPr>
                <w:rFonts w:hint="cs"/>
                <w:sz w:val="22"/>
                <w:szCs w:val="22"/>
                <w:rtl/>
              </w:rPr>
              <w:t>.</w:t>
            </w:r>
          </w:p>
          <w:p w:rsidR="00EF04CE" w:rsidRPr="00EF04CE" w:rsidP="00EF04CE">
            <w:pPr>
              <w:pStyle w:val="PATIAH"/>
              <w:spacing w:line="250" w:lineRule="exact"/>
              <w:rPr>
                <w:sz w:val="22"/>
                <w:szCs w:val="22"/>
                <w:rtl/>
              </w:rPr>
            </w:pPr>
            <w:r w:rsidRPr="00EF04CE">
              <w:rPr>
                <w:rFonts w:hint="cs"/>
                <w:sz w:val="22"/>
                <w:szCs w:val="22"/>
                <w:rtl/>
              </w:rPr>
              <w:t xml:space="preserve">הביקורת הנוכחית נערכה במשרד ראש הממשלה; במשרד הביטחון; במשרד להגנת העורף; במשרד לביטחון הפנים; בצה"ל; ובחברות ממשלתיות. </w:t>
            </w:r>
          </w:p>
          <w:p w:rsidR="00EF04CE" w:rsidRPr="00EF04CE" w:rsidP="00EF04CE">
            <w:pPr>
              <w:pStyle w:val="PATIAH"/>
              <w:spacing w:line="250" w:lineRule="exact"/>
              <w:rPr>
                <w:sz w:val="22"/>
                <w:szCs w:val="22"/>
                <w:rtl/>
              </w:rPr>
            </w:pPr>
            <w:r w:rsidRPr="00EF04CE">
              <w:rPr>
                <w:rFonts w:hint="cs"/>
                <w:sz w:val="22"/>
                <w:szCs w:val="22"/>
                <w:rtl/>
              </w:rPr>
              <w:t xml:space="preserve">במהלך ביקורת זאת היה המשרד להגנת העורף, שהוקם בינואר 2011, ממונה על תחום הכנת העורף למלחמה ועל היערכות העורף לאסונות טבע. המשרד נסמך לוגיסטית על משרד הביטחון (להלן </w:t>
            </w:r>
            <w:r w:rsidRPr="00EF04CE">
              <w:rPr>
                <w:sz w:val="22"/>
                <w:szCs w:val="22"/>
                <w:rtl/>
              </w:rPr>
              <w:t>-</w:t>
            </w:r>
            <w:r w:rsidRPr="00EF04CE">
              <w:rPr>
                <w:rFonts w:hint="cs"/>
                <w:sz w:val="22"/>
                <w:szCs w:val="22"/>
                <w:rtl/>
              </w:rPr>
              <w:t xml:space="preserve"> </w:t>
            </w:r>
            <w:r w:rsidRPr="00EF04CE">
              <w:rPr>
                <w:rFonts w:hint="cs"/>
                <w:sz w:val="22"/>
                <w:szCs w:val="22"/>
                <w:rtl/>
              </w:rPr>
              <w:t>משהב"ט</w:t>
            </w:r>
            <w:r w:rsidRPr="00EF04CE">
              <w:rPr>
                <w:rFonts w:hint="cs"/>
                <w:sz w:val="22"/>
                <w:szCs w:val="22"/>
                <w:rtl/>
              </w:rPr>
              <w:t xml:space="preserve">) ושכן בתוכו. רשות החירום הלאומית (להלן </w:t>
            </w:r>
            <w:r w:rsidRPr="00EF04CE">
              <w:rPr>
                <w:sz w:val="22"/>
                <w:szCs w:val="22"/>
                <w:rtl/>
              </w:rPr>
              <w:t>-</w:t>
            </w:r>
            <w:r w:rsidRPr="00EF04CE">
              <w:rPr>
                <w:rFonts w:hint="cs"/>
                <w:sz w:val="22"/>
                <w:szCs w:val="22"/>
                <w:rtl/>
              </w:rPr>
              <w:t xml:space="preserve"> </w:t>
            </w:r>
            <w:r w:rsidRPr="00EF04CE">
              <w:rPr>
                <w:rFonts w:hint="cs"/>
                <w:sz w:val="22"/>
                <w:szCs w:val="22"/>
                <w:rtl/>
              </w:rPr>
              <w:t>רח"ל</w:t>
            </w:r>
            <w:r w:rsidRPr="00EF04CE">
              <w:rPr>
                <w:rFonts w:hint="cs"/>
                <w:sz w:val="22"/>
                <w:szCs w:val="22"/>
                <w:rtl/>
              </w:rPr>
              <w:t xml:space="preserve">), שפעלה מאז הקמתה בשנת 2007 </w:t>
            </w:r>
            <w:r w:rsidRPr="00EF04CE">
              <w:rPr>
                <w:rFonts w:hint="cs"/>
                <w:sz w:val="22"/>
                <w:szCs w:val="22"/>
                <w:rtl/>
              </w:rPr>
              <w:t>במשהב"ט</w:t>
            </w:r>
            <w:r w:rsidRPr="00EF04CE">
              <w:rPr>
                <w:rFonts w:hint="cs"/>
                <w:sz w:val="22"/>
                <w:szCs w:val="22"/>
                <w:rtl/>
              </w:rPr>
              <w:t xml:space="preserve">, הפסיקה את פעילותה בשנת 2012 ומוזגה במשרד להגנת העורף. ב-1.6.14, לאחר שטיוטת דוח הביקורת הועברה לגופים המבוקרים הרלוונטיים לקבלת התייחסותם לממצאי הביקורת, החליטה ממשלת ישראל, בין השאר, לבטל את המשרד להגנת העורף; להעביר את שטח הפעולה של </w:t>
            </w:r>
            <w:r w:rsidRPr="00EF04CE">
              <w:rPr>
                <w:rFonts w:hint="cs"/>
                <w:sz w:val="22"/>
                <w:szCs w:val="22"/>
                <w:rtl/>
              </w:rPr>
              <w:t>רח"ל</w:t>
            </w:r>
            <w:r w:rsidRPr="00EF04CE">
              <w:rPr>
                <w:rFonts w:hint="cs"/>
                <w:sz w:val="22"/>
                <w:szCs w:val="22"/>
                <w:rtl/>
              </w:rPr>
              <w:t xml:space="preserve"> מהמשרד להגנת העורף </w:t>
            </w:r>
            <w:r w:rsidRPr="00EF04CE">
              <w:rPr>
                <w:rFonts w:hint="cs"/>
                <w:sz w:val="22"/>
                <w:szCs w:val="22"/>
                <w:rtl/>
              </w:rPr>
              <w:t>למשהב"ט</w:t>
            </w:r>
            <w:r w:rsidRPr="00EF04CE">
              <w:rPr>
                <w:rFonts w:hint="cs"/>
                <w:sz w:val="22"/>
                <w:szCs w:val="22"/>
                <w:rtl/>
              </w:rPr>
              <w:t xml:space="preserve">; ולהחזיר לשר הביטחון את הסמכויות שהוקנו לשר להגנת העורף, שעניינן תכנון המשק החיוני של המדינה לשעת חירום והפעלתו בשעת חירום. </w:t>
            </w:r>
          </w:p>
          <w:p w:rsidR="001275A6" w:rsidP="00EF04CE">
            <w:pPr>
              <w:pStyle w:val="PATIAH"/>
              <w:spacing w:line="250" w:lineRule="exact"/>
              <w:rPr>
                <w:sz w:val="22"/>
                <w:szCs w:val="22"/>
                <w:rtl/>
              </w:rPr>
            </w:pPr>
            <w:r w:rsidRPr="00EF04CE">
              <w:rPr>
                <w:rFonts w:hint="cs"/>
                <w:sz w:val="22"/>
                <w:szCs w:val="22"/>
                <w:rtl/>
              </w:rPr>
              <w:t>ועדת המשנה של הוועדה לענייני ביקורת המדינה של הכנסת, בהתייעצות עם מבקר המדינה, החליטה שלא להניח פרק זה במלואו על שולחן הכנסת, ולפרסם רק את עיקרי התקציר ואת עיקרי הסיכום שלו, לשם שמירה על ביטחון המדינה, בהתאם לסעיף 17 לחוק מבקר המדינה, התשי"ח-1958 [נוסח משולב].</w:t>
            </w:r>
          </w:p>
        </w:tc>
      </w:tr>
      <w:tr w:rsidTr="00594542">
        <w:tblPrEx>
          <w:tblW w:w="6691" w:type="dxa"/>
          <w:jc w:val="center"/>
          <w:shd w:val="pct25" w:color="00FF00" w:fill="auto"/>
          <w:tblLook w:val="04A0"/>
        </w:tblPrEx>
        <w:trPr>
          <w:cantSplit/>
          <w:jc w:val="center"/>
        </w:trPr>
        <w:tc>
          <w:tcPr>
            <w:tcW w:w="6691" w:type="dxa"/>
            <w:shd w:val="pct25" w:color="00FF00" w:fill="auto"/>
          </w:tcPr>
          <w:p w:rsidR="001275A6">
            <w:pPr>
              <w:pStyle w:val="KOT4"/>
              <w:spacing w:before="120"/>
              <w:jc w:val="center"/>
              <w:rPr>
                <w:rtl/>
              </w:rPr>
            </w:pPr>
            <w:r>
              <w:rPr>
                <w:rFonts w:hint="cs"/>
                <w:rtl/>
              </w:rPr>
              <w:t>הליקויים העיקריים</w:t>
            </w:r>
          </w:p>
        </w:tc>
      </w:tr>
      <w:tr w:rsidTr="00E44678">
        <w:tblPrEx>
          <w:tblW w:w="6691" w:type="dxa"/>
          <w:jc w:val="center"/>
          <w:tblLook w:val="04A0"/>
        </w:tblPrEx>
        <w:trPr>
          <w:cantSplit/>
          <w:jc w:val="center"/>
        </w:trPr>
        <w:tc>
          <w:tcPr>
            <w:tcW w:w="6691" w:type="dxa"/>
          </w:tcPr>
          <w:p w:rsidR="000D4858" w:rsidP="000D4858">
            <w:pPr>
              <w:pStyle w:val="takzir"/>
              <w:spacing w:before="60"/>
              <w:ind w:left="340" w:hanging="340"/>
              <w:rPr>
                <w:b w:val="0"/>
                <w:bCs w:val="0"/>
                <w:noProof w:val="0"/>
                <w:rtl/>
              </w:rPr>
            </w:pPr>
            <w:r w:rsidRPr="00EF04CE">
              <w:rPr>
                <w:rFonts w:hint="cs"/>
                <w:b w:val="0"/>
                <w:bCs w:val="0"/>
                <w:noProof w:val="0"/>
                <w:rtl/>
              </w:rPr>
              <w:t xml:space="preserve">1. </w:t>
            </w:r>
            <w:r w:rsidRPr="00EF04CE">
              <w:rPr>
                <w:b w:val="0"/>
                <w:bCs w:val="0"/>
                <w:noProof w:val="0"/>
                <w:rtl/>
              </w:rPr>
              <w:tab/>
            </w:r>
            <w:r w:rsidRPr="00EF04CE">
              <w:rPr>
                <w:rFonts w:hint="cs"/>
                <w:b w:val="0"/>
                <w:bCs w:val="0"/>
                <w:noProof w:val="0"/>
                <w:rtl/>
              </w:rPr>
              <w:t xml:space="preserve">בביקורת הקודמת נמצא, כי עבודת המטה בנושא הסדרת ההגנה על המתקנים הרגישים במדינת ישראל נמשכה כשש שנים, וכי עד מועד סיום הביקורת הקודמת (יולי 2010) לא הבשילה עבודת המטה </w:t>
            </w:r>
            <w:r w:rsidRPr="00EF04CE">
              <w:rPr>
                <w:rFonts w:hint="cs"/>
                <w:b w:val="0"/>
                <w:bCs w:val="0"/>
                <w:noProof w:val="0"/>
                <w:rtl/>
              </w:rPr>
              <w:t>במשהב"ט</w:t>
            </w:r>
            <w:r w:rsidRPr="00EF04CE">
              <w:rPr>
                <w:rFonts w:hint="cs"/>
                <w:b w:val="0"/>
                <w:bCs w:val="0"/>
                <w:noProof w:val="0"/>
                <w:rtl/>
              </w:rPr>
              <w:t xml:space="preserve">, בהובלת </w:t>
            </w:r>
            <w:r w:rsidRPr="00EF04CE">
              <w:rPr>
                <w:rFonts w:hint="cs"/>
                <w:b w:val="0"/>
                <w:bCs w:val="0"/>
                <w:noProof w:val="0"/>
                <w:rtl/>
              </w:rPr>
              <w:t>רח"ל</w:t>
            </w:r>
            <w:r w:rsidRPr="00EF04CE">
              <w:rPr>
                <w:rFonts w:hint="cs"/>
                <w:b w:val="0"/>
                <w:bCs w:val="0"/>
                <w:noProof w:val="0"/>
                <w:rtl/>
              </w:rPr>
              <w:t xml:space="preserve">, לכלל הצעת החלטה לקבינט המדיני-ביטחוני. משרד מבקר המדינה העיר אז, כי מצב זה מהווה ליקוי מהותי  נוכח האיום הקיים עליהם ונוכח האיום הצפוי בשנים הקרובות. </w:t>
            </w:r>
          </w:p>
          <w:p w:rsidR="000D4858" w:rsidP="000D4858">
            <w:pPr>
              <w:pStyle w:val="takzir"/>
              <w:ind w:left="340" w:hanging="340"/>
              <w:rPr>
                <w:b w:val="0"/>
                <w:bCs w:val="0"/>
                <w:noProof w:val="0"/>
                <w:rtl/>
              </w:rPr>
            </w:pPr>
            <w:r>
              <w:rPr>
                <w:b w:val="0"/>
                <w:bCs w:val="0"/>
                <w:noProof w:val="0"/>
              </w:rPr>
              <w:tab/>
            </w:r>
            <w:r w:rsidRPr="00EF04CE">
              <w:rPr>
                <w:rFonts w:hint="cs"/>
                <w:b w:val="0"/>
                <w:bCs w:val="0"/>
                <w:noProof w:val="0"/>
                <w:rtl/>
              </w:rPr>
              <w:t xml:space="preserve">נמצא, כי עד מועד סיום הביקורת הנוכחית לא מומשו רוב ההחלטות של ועדת השרים לענייני העורף ממאי 2011 בנושא ההגנה על מתקנים רגישים בישראל, וכי עבודת המטה בנושא הסדרת תפיסת המיגון על המתקנים הרגישים במדינת ישראל, שהחלה למעשה כבר בתקופת פעילות </w:t>
            </w:r>
            <w:r w:rsidRPr="00EF04CE">
              <w:rPr>
                <w:rFonts w:hint="cs"/>
                <w:b w:val="0"/>
                <w:bCs w:val="0"/>
                <w:noProof w:val="0"/>
                <w:rtl/>
              </w:rPr>
              <w:t>רח"ל</w:t>
            </w:r>
            <w:r w:rsidRPr="00EF04CE">
              <w:rPr>
                <w:rFonts w:hint="cs"/>
                <w:b w:val="0"/>
                <w:bCs w:val="0"/>
                <w:noProof w:val="0"/>
                <w:rtl/>
              </w:rPr>
              <w:t xml:space="preserve"> (ספטמבר 2011), מצויה במועד סיום הביקורת בשלבים ראשוניים, מתודולוגיים בעיקרם, וטרם הובילה לנקיטת צעדים מעשיים. במצב זה נותרה בעינה מאז שנת 2004 בעיה בהיערכות למיגון המתקנים הרגישים האזרחיים במדינת ישראל מול האיום הקיים עליהם והאיום הצפוי בשנים הקרובות.</w:t>
            </w:r>
          </w:p>
          <w:p w:rsidR="000D4858" w:rsidP="000D4858">
            <w:pPr>
              <w:pStyle w:val="takzir"/>
              <w:ind w:left="340" w:hanging="340"/>
              <w:rPr>
                <w:b w:val="0"/>
                <w:bCs w:val="0"/>
                <w:noProof w:val="0"/>
                <w:rtl/>
              </w:rPr>
            </w:pPr>
            <w:r w:rsidRPr="00EF04CE">
              <w:rPr>
                <w:rFonts w:hint="cs"/>
                <w:b w:val="0"/>
                <w:bCs w:val="0"/>
                <w:noProof w:val="0"/>
                <w:rtl/>
              </w:rPr>
              <w:t xml:space="preserve">2. </w:t>
            </w:r>
            <w:r w:rsidRPr="00EF04CE">
              <w:rPr>
                <w:b w:val="0"/>
                <w:bCs w:val="0"/>
                <w:noProof w:val="0"/>
                <w:rtl/>
              </w:rPr>
              <w:tab/>
            </w:r>
            <w:r w:rsidRPr="00EF04CE">
              <w:rPr>
                <w:rFonts w:hint="cs"/>
                <w:b w:val="0"/>
                <w:bCs w:val="0"/>
                <w:noProof w:val="0"/>
                <w:rtl/>
              </w:rPr>
              <w:t xml:space="preserve">בביקורת הקודמת העיר משרד מבקר המדינה, כי בהיעדר הסדרה של הגנת המתקנים הרגישים במישור הלאומי על כל היבטיה, לא נקבעו איום ייחוס ותרחיש ייחוס להגנה על מתקנים אלה, לרבות בתחום מיגונם מפני </w:t>
            </w:r>
            <w:r w:rsidR="00E53031">
              <w:rPr>
                <w:rFonts w:hint="cs"/>
                <w:b w:val="0"/>
                <w:bCs w:val="0"/>
                <w:noProof w:val="0"/>
                <w:rtl/>
              </w:rPr>
              <w:t>ה</w:t>
            </w:r>
            <w:r w:rsidRPr="00EF04CE">
              <w:rPr>
                <w:rFonts w:hint="cs"/>
                <w:b w:val="0"/>
                <w:bCs w:val="0"/>
                <w:noProof w:val="0"/>
                <w:rtl/>
              </w:rPr>
              <w:t xml:space="preserve">איום. בביקורת הנוכחית נמצא, כי למרות האיום הקיים על המתקנים הרגישים והאיום הצפוי בשנים הקרובות, ליקוי זה לא תוקן. </w:t>
            </w:r>
          </w:p>
          <w:p w:rsidR="001275A6" w:rsidP="000D4858">
            <w:pPr>
              <w:pStyle w:val="takzir"/>
              <w:ind w:left="340" w:hanging="340"/>
              <w:rPr>
                <w:b w:val="0"/>
                <w:bCs w:val="0"/>
                <w:noProof w:val="0"/>
                <w:rtl/>
              </w:rPr>
            </w:pPr>
            <w:r w:rsidRPr="00EF04CE">
              <w:rPr>
                <w:rFonts w:hint="cs"/>
                <w:b w:val="0"/>
                <w:bCs w:val="0"/>
                <w:noProof w:val="0"/>
                <w:rtl/>
              </w:rPr>
              <w:t xml:space="preserve">3. </w:t>
            </w:r>
            <w:r w:rsidRPr="00EF04CE">
              <w:rPr>
                <w:b w:val="0"/>
                <w:bCs w:val="0"/>
                <w:noProof w:val="0"/>
                <w:rtl/>
              </w:rPr>
              <w:tab/>
            </w:r>
            <w:r w:rsidRPr="00EF04CE">
              <w:rPr>
                <w:rFonts w:hint="cs"/>
                <w:b w:val="0"/>
                <w:bCs w:val="0"/>
                <w:noProof w:val="0"/>
                <w:rtl/>
              </w:rPr>
              <w:t xml:space="preserve">במרץ 2012 הנחה ראש הממשלה לקבוע רשימה של מתקנים רגישים שחיוני למגן אותם, באחריות השר להגנת העורף וצה"ל. בביקורת נמצא, כי אף על פי שמדובר במאמץ ייחודי לקדם את הפרויקט ולסיימו בלוח זמנים קצר, ואף שמדובר בפתרון חלקי בלבד, במועד סיום הביקורת, נובמבר 2013, נעשו עבודות למיגון רק בחלק קטן מהמתקנים הרגישים. מבדיקת עדכון שערך משרד מבקר המדינה בספטמבר 2014 עם פיקוד העורף נמצא, כי חלה התקדמות בביצוע עבודות המיגון במתקנים רגישים אלה. </w:t>
            </w:r>
          </w:p>
        </w:tc>
      </w:tr>
    </w:tbl>
    <w:p w:rsidR="001275A6" w:rsidP="00594542">
      <w:pPr>
        <w:rPr>
          <w:rtl/>
        </w:rPr>
      </w:pPr>
    </w:p>
    <w:p w:rsidR="00E60BE8" w:rsidP="00594542">
      <w:pPr>
        <w:rPr>
          <w:rtl/>
        </w:rPr>
      </w:pPr>
    </w:p>
    <w:p w:rsidR="00E60BE8" w:rsidP="00594542">
      <w:pPr>
        <w:rPr>
          <w:rtl/>
        </w:rPr>
      </w:pPr>
    </w:p>
    <w:p w:rsidR="00E60BE8" w:rsidP="00594542">
      <w:pPr>
        <w:rPr>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94542">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25" w:color="00FF00" w:fill="auto"/>
          </w:tcPr>
          <w:p w:rsidR="001275A6">
            <w:pPr>
              <w:pStyle w:val="KOT4"/>
              <w:spacing w:before="120"/>
              <w:jc w:val="center"/>
              <w:rPr>
                <w:rtl/>
              </w:rPr>
            </w:pPr>
            <w:r>
              <w:rPr>
                <w:rFonts w:hint="cs"/>
                <w:rtl/>
              </w:rPr>
              <w:t>ה</w:t>
            </w:r>
            <w:r>
              <w:rPr>
                <w:rtl/>
              </w:rPr>
              <w:t xml:space="preserve">המלצות </w:t>
            </w:r>
            <w:r>
              <w:rPr>
                <w:rFonts w:hint="cs"/>
                <w:rtl/>
              </w:rPr>
              <w:t>העיקריות</w:t>
            </w:r>
          </w:p>
        </w:tc>
      </w:tr>
      <w:tr w:rsidTr="00594542">
        <w:tblPrEx>
          <w:tblW w:w="6691" w:type="dxa"/>
          <w:jc w:val="center"/>
          <w:tblLook w:val="04A0"/>
        </w:tblPrEx>
        <w:trPr>
          <w:cantSplit/>
          <w:jc w:val="center"/>
        </w:trPr>
        <w:tc>
          <w:tcPr>
            <w:tcW w:w="6691" w:type="dxa"/>
          </w:tcPr>
          <w:p w:rsidR="000D4858" w:rsidP="000D4858">
            <w:pPr>
              <w:pStyle w:val="takzir"/>
              <w:spacing w:before="60"/>
              <w:ind w:left="340" w:hanging="340"/>
              <w:rPr>
                <w:b w:val="0"/>
                <w:bCs w:val="0"/>
                <w:noProof w:val="0"/>
                <w:rtl/>
              </w:rPr>
            </w:pPr>
            <w:r w:rsidRPr="000D4858">
              <w:rPr>
                <w:rFonts w:hint="cs"/>
                <w:b w:val="0"/>
                <w:bCs w:val="0"/>
                <w:noProof w:val="0"/>
                <w:rtl/>
              </w:rPr>
              <w:t xml:space="preserve">1. </w:t>
            </w:r>
            <w:r w:rsidRPr="000D4858">
              <w:rPr>
                <w:b w:val="0"/>
                <w:bCs w:val="0"/>
                <w:noProof w:val="0"/>
                <w:rtl/>
              </w:rPr>
              <w:tab/>
            </w:r>
            <w:r w:rsidRPr="000D4858">
              <w:rPr>
                <w:rFonts w:hint="cs"/>
                <w:b w:val="0"/>
                <w:bCs w:val="0"/>
                <w:noProof w:val="0"/>
                <w:rtl/>
              </w:rPr>
              <w:t xml:space="preserve">מן הראוי שראש הממשלה ינחה על קידום הפעילות לגיבוש תפיסת ההגנה על המתקנים הרגישים במדינת ישראל. </w:t>
            </w:r>
          </w:p>
          <w:p w:rsidR="000D4858" w:rsidRPr="000D4858" w:rsidP="000D4858">
            <w:pPr>
              <w:pStyle w:val="takzir"/>
              <w:ind w:left="340" w:hanging="340"/>
              <w:rPr>
                <w:b w:val="0"/>
                <w:bCs w:val="0"/>
                <w:noProof w:val="0"/>
                <w:rtl/>
              </w:rPr>
            </w:pPr>
            <w:r w:rsidRPr="000D4858">
              <w:rPr>
                <w:rFonts w:hint="cs"/>
                <w:b w:val="0"/>
                <w:bCs w:val="0"/>
                <w:noProof w:val="0"/>
                <w:rtl/>
              </w:rPr>
              <w:t xml:space="preserve">2. </w:t>
            </w:r>
            <w:r w:rsidRPr="000D4858">
              <w:rPr>
                <w:b w:val="0"/>
                <w:bCs w:val="0"/>
                <w:noProof w:val="0"/>
                <w:rtl/>
              </w:rPr>
              <w:tab/>
            </w:r>
            <w:r w:rsidRPr="000D4858">
              <w:rPr>
                <w:rFonts w:hint="cs"/>
                <w:b w:val="0"/>
                <w:bCs w:val="0"/>
                <w:noProof w:val="0"/>
                <w:rtl/>
              </w:rPr>
              <w:t xml:space="preserve">בעקבות העברת שטח הפעולה של </w:t>
            </w:r>
            <w:r w:rsidRPr="000D4858">
              <w:rPr>
                <w:rFonts w:hint="cs"/>
                <w:b w:val="0"/>
                <w:bCs w:val="0"/>
                <w:noProof w:val="0"/>
                <w:rtl/>
              </w:rPr>
              <w:t>רח"ל</w:t>
            </w:r>
            <w:r w:rsidRPr="000D4858">
              <w:rPr>
                <w:rFonts w:hint="cs"/>
                <w:b w:val="0"/>
                <w:bCs w:val="0"/>
                <w:noProof w:val="0"/>
                <w:rtl/>
              </w:rPr>
              <w:t xml:space="preserve"> לטיפול בעורף במצבי חירום מהמשרד להגנת העורף </w:t>
            </w:r>
            <w:r w:rsidRPr="000D4858">
              <w:rPr>
                <w:rFonts w:hint="cs"/>
                <w:b w:val="0"/>
                <w:bCs w:val="0"/>
                <w:noProof w:val="0"/>
                <w:rtl/>
              </w:rPr>
              <w:t>למשהב"ט</w:t>
            </w:r>
            <w:r w:rsidRPr="000D4858">
              <w:rPr>
                <w:rFonts w:hint="cs"/>
                <w:b w:val="0"/>
                <w:bCs w:val="0"/>
                <w:noProof w:val="0"/>
                <w:rtl/>
              </w:rPr>
              <w:t xml:space="preserve">, על </w:t>
            </w:r>
            <w:r w:rsidRPr="000D4858">
              <w:rPr>
                <w:rFonts w:hint="cs"/>
                <w:b w:val="0"/>
                <w:bCs w:val="0"/>
                <w:noProof w:val="0"/>
                <w:rtl/>
              </w:rPr>
              <w:t>משהב"ט</w:t>
            </w:r>
            <w:r w:rsidRPr="000D4858">
              <w:rPr>
                <w:rFonts w:hint="cs"/>
                <w:b w:val="0"/>
                <w:bCs w:val="0"/>
                <w:noProof w:val="0"/>
                <w:rtl/>
              </w:rPr>
              <w:t xml:space="preserve"> לטפל בדחיפות בהיערכות למיגון המתקנים הרגישים במדינת ישראל נוכח האיום הקיים על המתקנים הרגישים במדינת ישראל ונוכח האיום הצפוי בשנים הקרובות.</w:t>
            </w:r>
          </w:p>
          <w:p w:rsidR="000D4858" w:rsidP="000D4858">
            <w:pPr>
              <w:pStyle w:val="takzir"/>
              <w:ind w:left="340" w:hanging="340"/>
              <w:rPr>
                <w:b w:val="0"/>
                <w:bCs w:val="0"/>
                <w:noProof w:val="0"/>
                <w:rtl/>
              </w:rPr>
            </w:pPr>
            <w:r w:rsidRPr="000D4858">
              <w:rPr>
                <w:rFonts w:hint="cs"/>
                <w:b w:val="0"/>
                <w:bCs w:val="0"/>
                <w:noProof w:val="0"/>
                <w:rtl/>
              </w:rPr>
              <w:t xml:space="preserve">3. </w:t>
            </w:r>
            <w:r w:rsidRPr="000D4858">
              <w:rPr>
                <w:b w:val="0"/>
                <w:bCs w:val="0"/>
                <w:noProof w:val="0"/>
                <w:rtl/>
              </w:rPr>
              <w:tab/>
            </w:r>
            <w:r w:rsidRPr="000D4858">
              <w:rPr>
                <w:rFonts w:hint="cs"/>
                <w:b w:val="0"/>
                <w:bCs w:val="0"/>
                <w:noProof w:val="0"/>
                <w:rtl/>
              </w:rPr>
              <w:t xml:space="preserve">על </w:t>
            </w:r>
            <w:r w:rsidRPr="000D4858">
              <w:rPr>
                <w:rFonts w:hint="cs"/>
                <w:b w:val="0"/>
                <w:bCs w:val="0"/>
                <w:noProof w:val="0"/>
                <w:rtl/>
              </w:rPr>
              <w:t>משהב"ט</w:t>
            </w:r>
            <w:r w:rsidRPr="000D4858">
              <w:rPr>
                <w:rFonts w:hint="cs"/>
                <w:b w:val="0"/>
                <w:bCs w:val="0"/>
                <w:noProof w:val="0"/>
                <w:rtl/>
              </w:rPr>
              <w:t xml:space="preserve"> לרכז את עבודת המטה להגדרת האיום ותרחישי הייחוס למיגון אותם מתקנים על יסוד קביעת הגופים המוסמכים לכך. </w:t>
            </w:r>
          </w:p>
          <w:p w:rsidR="000D4858" w:rsidP="000D4858">
            <w:pPr>
              <w:pStyle w:val="takzir"/>
              <w:ind w:left="340" w:hanging="340"/>
              <w:rPr>
                <w:b w:val="0"/>
                <w:bCs w:val="0"/>
                <w:noProof w:val="0"/>
                <w:rtl/>
              </w:rPr>
            </w:pPr>
            <w:r w:rsidRPr="000D4858">
              <w:rPr>
                <w:rFonts w:hint="cs"/>
                <w:b w:val="0"/>
                <w:bCs w:val="0"/>
                <w:noProof w:val="0"/>
                <w:rtl/>
              </w:rPr>
              <w:t xml:space="preserve">4. </w:t>
            </w:r>
            <w:r w:rsidRPr="000D4858">
              <w:rPr>
                <w:b w:val="0"/>
                <w:bCs w:val="0"/>
                <w:noProof w:val="0"/>
                <w:rtl/>
              </w:rPr>
              <w:tab/>
            </w:r>
            <w:r w:rsidRPr="000D4858">
              <w:rPr>
                <w:rFonts w:hint="cs"/>
                <w:b w:val="0"/>
                <w:bCs w:val="0"/>
                <w:noProof w:val="0"/>
                <w:rtl/>
              </w:rPr>
              <w:t xml:space="preserve">על מנכ"ל </w:t>
            </w:r>
            <w:r w:rsidRPr="000D4858">
              <w:rPr>
                <w:rFonts w:hint="cs"/>
                <w:b w:val="0"/>
                <w:bCs w:val="0"/>
                <w:noProof w:val="0"/>
                <w:rtl/>
              </w:rPr>
              <w:t>משהב"ט</w:t>
            </w:r>
            <w:r w:rsidRPr="000D4858">
              <w:rPr>
                <w:rFonts w:hint="cs"/>
                <w:b w:val="0"/>
                <w:bCs w:val="0"/>
                <w:noProof w:val="0"/>
                <w:rtl/>
              </w:rPr>
              <w:t xml:space="preserve"> לקבוע בהקדם את הגורם שיהיה מופקד </w:t>
            </w:r>
            <w:r w:rsidRPr="000D4858">
              <w:rPr>
                <w:rFonts w:hint="cs"/>
                <w:b w:val="0"/>
                <w:bCs w:val="0"/>
                <w:noProof w:val="0"/>
                <w:rtl/>
              </w:rPr>
              <w:t>במשהב"ט</w:t>
            </w:r>
            <w:r w:rsidRPr="000D4858">
              <w:rPr>
                <w:rFonts w:hint="cs"/>
                <w:b w:val="0"/>
                <w:bCs w:val="0"/>
                <w:noProof w:val="0"/>
                <w:rtl/>
              </w:rPr>
              <w:t xml:space="preserve"> על הסדרת מיגון המתקנים הביטחוניים הרגישים שבאחריות </w:t>
            </w:r>
            <w:r w:rsidRPr="000D4858">
              <w:rPr>
                <w:rFonts w:hint="cs"/>
                <w:b w:val="0"/>
                <w:bCs w:val="0"/>
                <w:noProof w:val="0"/>
                <w:rtl/>
              </w:rPr>
              <w:t>משהב"ט</w:t>
            </w:r>
            <w:r w:rsidRPr="000D4858">
              <w:rPr>
                <w:rFonts w:hint="cs"/>
                <w:b w:val="0"/>
                <w:bCs w:val="0"/>
                <w:noProof w:val="0"/>
                <w:rtl/>
              </w:rPr>
              <w:t xml:space="preserve">. על גורם זה לקבוע את אופן הכנת איום הייחוס להגנת המתקנים הביטחוניים הרגישים שבאחריות </w:t>
            </w:r>
            <w:r w:rsidRPr="000D4858">
              <w:rPr>
                <w:rFonts w:hint="cs"/>
                <w:b w:val="0"/>
                <w:bCs w:val="0"/>
                <w:noProof w:val="0"/>
                <w:rtl/>
              </w:rPr>
              <w:t>משהב"ט</w:t>
            </w:r>
            <w:r w:rsidRPr="000D4858">
              <w:rPr>
                <w:rFonts w:hint="cs"/>
                <w:b w:val="0"/>
                <w:bCs w:val="0"/>
                <w:noProof w:val="0"/>
                <w:rtl/>
              </w:rPr>
              <w:t xml:space="preserve"> מפני האיום הקיים עליהם. </w:t>
            </w:r>
          </w:p>
          <w:p w:rsidR="001275A6" w:rsidP="000D4858">
            <w:pPr>
              <w:pStyle w:val="takzir"/>
              <w:ind w:left="340" w:hanging="340"/>
              <w:rPr>
                <w:b w:val="0"/>
                <w:bCs w:val="0"/>
                <w:rtl/>
              </w:rPr>
            </w:pPr>
            <w:r w:rsidRPr="000D4858">
              <w:rPr>
                <w:rFonts w:hint="cs"/>
                <w:b w:val="0"/>
                <w:bCs w:val="0"/>
                <w:noProof w:val="0"/>
                <w:rtl/>
              </w:rPr>
              <w:t xml:space="preserve">5. </w:t>
            </w:r>
            <w:r w:rsidRPr="000D4858">
              <w:rPr>
                <w:b w:val="0"/>
                <w:bCs w:val="0"/>
                <w:noProof w:val="0"/>
                <w:rtl/>
              </w:rPr>
              <w:tab/>
            </w:r>
            <w:r w:rsidRPr="000D4858">
              <w:rPr>
                <w:rFonts w:hint="cs"/>
                <w:b w:val="0"/>
                <w:bCs w:val="0"/>
                <w:noProof w:val="0"/>
                <w:rtl/>
              </w:rPr>
              <w:t xml:space="preserve">על </w:t>
            </w:r>
            <w:r w:rsidRPr="000D4858">
              <w:rPr>
                <w:rFonts w:hint="cs"/>
                <w:b w:val="0"/>
                <w:bCs w:val="0"/>
                <w:noProof w:val="0"/>
                <w:rtl/>
              </w:rPr>
              <w:t>משהב"ט</w:t>
            </w:r>
            <w:r w:rsidRPr="000D4858">
              <w:rPr>
                <w:rFonts w:hint="cs"/>
                <w:b w:val="0"/>
                <w:bCs w:val="0"/>
                <w:noProof w:val="0"/>
                <w:rtl/>
              </w:rPr>
              <w:t xml:space="preserve"> לרכז עבודת מטה, שתבדוק היתכנותו של הרעיון של שימוש בשיטות חלופיות למיגון מתקנים רגישים, לרבות עלותן מול תועלתן. </w:t>
            </w:r>
          </w:p>
        </w:tc>
      </w:tr>
    </w:tbl>
    <w:p w:rsidR="001275A6">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0D4858" w:rsidRPr="000D4858" w:rsidP="000D4858">
            <w:pPr>
              <w:spacing w:before="60" w:after="120"/>
              <w:jc w:val="both"/>
              <w:rPr>
                <w:b/>
                <w:bCs/>
                <w:sz w:val="22"/>
                <w:szCs w:val="22"/>
                <w:rtl/>
                <w:lang w:eastAsia="he-IL"/>
              </w:rPr>
            </w:pPr>
            <w:r w:rsidRPr="000D4858">
              <w:rPr>
                <w:rFonts w:hint="cs"/>
                <w:b/>
                <w:bCs/>
                <w:sz w:val="22"/>
                <w:szCs w:val="22"/>
                <w:rtl/>
                <w:lang w:eastAsia="he-IL"/>
              </w:rPr>
              <w:t xml:space="preserve">מממצאי הביקורת עולה, כי שעה שבאיום יש התקדמות מתמדת, לא חלה התקדמות ממשית במתן המענה לאיום זה על המתקנים הרגישים </w:t>
            </w:r>
            <w:r w:rsidRPr="000D4858">
              <w:rPr>
                <w:b/>
                <w:bCs/>
                <w:sz w:val="22"/>
                <w:szCs w:val="22"/>
                <w:rtl/>
                <w:lang w:eastAsia="he-IL"/>
              </w:rPr>
              <w:t>-</w:t>
            </w:r>
            <w:r w:rsidRPr="000D4858">
              <w:rPr>
                <w:rFonts w:hint="cs"/>
                <w:b/>
                <w:bCs/>
                <w:sz w:val="22"/>
                <w:szCs w:val="22"/>
                <w:rtl/>
                <w:lang w:eastAsia="he-IL"/>
              </w:rPr>
              <w:t xml:space="preserve"> האזרחיים והביטחוניים </w:t>
            </w:r>
            <w:r w:rsidRPr="000D4858">
              <w:rPr>
                <w:b/>
                <w:bCs/>
                <w:sz w:val="22"/>
                <w:szCs w:val="22"/>
                <w:rtl/>
                <w:lang w:eastAsia="he-IL"/>
              </w:rPr>
              <w:t>-</w:t>
            </w:r>
            <w:r w:rsidRPr="000D4858">
              <w:rPr>
                <w:rFonts w:hint="cs"/>
                <w:b/>
                <w:bCs/>
                <w:sz w:val="22"/>
                <w:szCs w:val="22"/>
                <w:rtl/>
                <w:lang w:eastAsia="he-IL"/>
              </w:rPr>
              <w:t xml:space="preserve"> מאז החל הטיפול בכך בשנת 2004. אפילו ניסיון למגן חלקית מתקנים אזרחיים רגישים ביותר, לפי הוראת ראש הממשלה, טרם הסתיים עד מועד סיום הביקורת. מצב זה משקף את הליקוי הבסיסי בהסדרת תפיסת המיגון על המתקנים הרגישים האזרחיים במדינת ישראל, והוא היעדר גורם אחד הנושא בסמכות ובאחריות לריכוז ולתיאום כלל הגורמים הרלוונטיים האמורים לטפל בסוגיה זאת. </w:t>
            </w:r>
          </w:p>
          <w:p w:rsidR="001275A6" w:rsidP="000D4858">
            <w:pPr>
              <w:spacing w:before="60" w:after="120"/>
              <w:jc w:val="both"/>
              <w:rPr>
                <w:b/>
                <w:bCs/>
                <w:sz w:val="22"/>
                <w:szCs w:val="22"/>
                <w:rtl/>
                <w:lang w:eastAsia="he-IL"/>
              </w:rPr>
            </w:pPr>
            <w:r w:rsidRPr="000D4858">
              <w:rPr>
                <w:rFonts w:hint="cs"/>
                <w:b/>
                <w:bCs/>
                <w:sz w:val="22"/>
                <w:szCs w:val="22"/>
                <w:rtl/>
                <w:lang w:eastAsia="he-IL"/>
              </w:rPr>
              <w:t xml:space="preserve">כאמור, במהלך ביקורת זאת החליטה ממשלת ישראל על ביטולו של המשרד להגנת העורף ועל העברת שטח הפעולה של </w:t>
            </w:r>
            <w:r w:rsidRPr="000D4858">
              <w:rPr>
                <w:rFonts w:hint="cs"/>
                <w:b/>
                <w:bCs/>
                <w:sz w:val="22"/>
                <w:szCs w:val="22"/>
                <w:rtl/>
                <w:lang w:eastAsia="he-IL"/>
              </w:rPr>
              <w:t>רח"ל</w:t>
            </w:r>
            <w:r w:rsidRPr="000D4858">
              <w:rPr>
                <w:rFonts w:hint="cs"/>
                <w:b/>
                <w:bCs/>
                <w:sz w:val="22"/>
                <w:szCs w:val="22"/>
                <w:rtl/>
                <w:lang w:eastAsia="he-IL"/>
              </w:rPr>
              <w:t xml:space="preserve"> </w:t>
            </w:r>
            <w:r w:rsidRPr="000D4858">
              <w:rPr>
                <w:rFonts w:hint="cs"/>
                <w:b/>
                <w:bCs/>
                <w:sz w:val="22"/>
                <w:szCs w:val="22"/>
                <w:rtl/>
                <w:lang w:eastAsia="he-IL"/>
              </w:rPr>
              <w:t>למשהב"ט</w:t>
            </w:r>
            <w:r w:rsidRPr="000D4858">
              <w:rPr>
                <w:rFonts w:hint="cs"/>
                <w:b/>
                <w:bCs/>
                <w:sz w:val="22"/>
                <w:szCs w:val="22"/>
                <w:rtl/>
                <w:lang w:eastAsia="he-IL"/>
              </w:rPr>
              <w:t xml:space="preserve">. בהתייחסותו לממצאי הביקורת מסר מנכ"ל </w:t>
            </w:r>
            <w:r w:rsidRPr="000D4858">
              <w:rPr>
                <w:rFonts w:hint="cs"/>
                <w:b/>
                <w:bCs/>
                <w:sz w:val="22"/>
                <w:szCs w:val="22"/>
                <w:rtl/>
                <w:lang w:eastAsia="he-IL"/>
              </w:rPr>
              <w:t>משהב"ט</w:t>
            </w:r>
            <w:r w:rsidRPr="000D4858">
              <w:rPr>
                <w:rFonts w:hint="cs"/>
                <w:b/>
                <w:bCs/>
                <w:sz w:val="22"/>
                <w:szCs w:val="22"/>
                <w:rtl/>
                <w:lang w:eastAsia="he-IL"/>
              </w:rPr>
              <w:t xml:space="preserve"> למשרד מבקר המדינה, כי </w:t>
            </w:r>
            <w:r w:rsidRPr="000D4858">
              <w:rPr>
                <w:rFonts w:hint="cs"/>
                <w:b/>
                <w:bCs/>
                <w:sz w:val="22"/>
                <w:szCs w:val="22"/>
                <w:rtl/>
                <w:lang w:eastAsia="he-IL"/>
              </w:rPr>
              <w:t>משהב"ט</w:t>
            </w:r>
            <w:r w:rsidRPr="000D4858">
              <w:rPr>
                <w:rFonts w:hint="cs"/>
                <w:b/>
                <w:bCs/>
                <w:sz w:val="22"/>
                <w:szCs w:val="22"/>
                <w:rtl/>
                <w:lang w:eastAsia="he-IL"/>
              </w:rPr>
              <w:t xml:space="preserve"> נושא באחריות לרכז את כלל עבודת המטה בנושא מיגון המתקנים הרגישים מול כלל משרדי הממשלה והרשויות הממלכתיות הרלוונטיות. משרד מבקר המדינה מעיר, כי על </w:t>
            </w:r>
            <w:r w:rsidRPr="000D4858">
              <w:rPr>
                <w:rFonts w:hint="cs"/>
                <w:b/>
                <w:bCs/>
                <w:sz w:val="22"/>
                <w:szCs w:val="22"/>
                <w:rtl/>
                <w:lang w:eastAsia="he-IL"/>
              </w:rPr>
              <w:t>משהב"ט</w:t>
            </w:r>
            <w:r w:rsidRPr="000D4858">
              <w:rPr>
                <w:rFonts w:hint="cs"/>
                <w:b/>
                <w:bCs/>
                <w:sz w:val="22"/>
                <w:szCs w:val="22"/>
                <w:rtl/>
                <w:lang w:eastAsia="he-IL"/>
              </w:rPr>
              <w:t xml:space="preserve"> לקדם נושא זה בדחיפות, נוכח האיום הקיים על המתקנים הרגישים במדינת ישראל ונוכח האיום הצפוי בשנים הקרובות.</w:t>
            </w:r>
          </w:p>
        </w:tc>
      </w:tr>
    </w:tbl>
    <w:p w:rsidR="001275A6">
      <w:pPr>
        <w:spacing w:after="120" w:line="230" w:lineRule="exact"/>
        <w:jc w:val="both"/>
        <w:rPr>
          <w:rFonts w:cs="FrankRuehl"/>
          <w:sz w:val="20"/>
          <w:szCs w:val="22"/>
          <w:rtl/>
        </w:rPr>
      </w:pPr>
      <w:bookmarkEnd w:id="0"/>
      <w:bookmarkEnd w:id="1"/>
      <w:bookmarkEnd w:id="2"/>
      <w:bookmarkEnd w:id="3"/>
      <w:bookmarkEnd w:id="4"/>
    </w:p>
    <w:p w:rsidR="00594542">
      <w:pPr>
        <w:spacing w:after="120" w:line="230" w:lineRule="exact"/>
        <w:jc w:val="both"/>
        <w:rPr>
          <w:rFonts w:cs="FrankRuehl"/>
          <w:sz w:val="20"/>
          <w:szCs w:val="22"/>
          <w:rtl/>
        </w:rPr>
        <w:sectPr w:rsidSect="008E6A31">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53"/>
          <w:cols w:space="720"/>
          <w:titlePg/>
          <w:rtlGutter/>
        </w:sectPr>
      </w:pPr>
    </w:p>
    <w:p w:rsidR="00594542">
      <w:pPr>
        <w:spacing w:after="120" w:line="230" w:lineRule="exact"/>
        <w:jc w:val="both"/>
        <w:rPr>
          <w:rFonts w:cs="FrankRuehl"/>
          <w:sz w:val="20"/>
          <w:szCs w:val="22"/>
          <w:rtl/>
        </w:rPr>
      </w:pPr>
      <w:bookmarkStart w:id="5" w:name="_GoBack"/>
      <w:bookmarkEnd w:id="5"/>
    </w:p>
    <w:sectPr w:rsidSect="00594542">
      <w:headerReference w:type="first" r:id="rId12"/>
      <w:footerReference w:type="first" r:id="rId13"/>
      <w:footnotePr>
        <w:numRestart w:val="eachSect"/>
      </w:footnotePr>
      <w:pgSz w:w="11906" w:h="16838" w:code="9"/>
      <w:pgMar w:top="1758" w:right="2552" w:bottom="4253" w:left="2552" w:header="1247" w:footer="1134"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04CE" w:rsidP="00EF04CE">
    <w:pPr>
      <w:pStyle w:val="Footer"/>
      <w:tabs>
        <w:tab w:val="left" w:pos="1222"/>
      </w:tabs>
      <w:spacing w:line="160" w:lineRule="exact"/>
      <w:rPr>
        <w:sz w:val="16"/>
        <w:szCs w:val="16"/>
        <w:rtl/>
      </w:rPr>
    </w:pPr>
    <w:r>
      <w:rPr>
        <w:sz w:val="16"/>
        <w:szCs w:val="16"/>
        <w:rtl/>
      </w:rPr>
      <w:t>שם הדוח:</w:t>
    </w:r>
    <w:r>
      <w:rPr>
        <w:sz w:val="16"/>
        <w:szCs w:val="16"/>
        <w:rtl/>
      </w:rPr>
      <w:tab/>
    </w:r>
    <w:r w:rsidRPr="00EF04CE">
      <w:rPr>
        <w:rFonts w:hint="cs"/>
        <w:sz w:val="16"/>
        <w:szCs w:val="16"/>
        <w:rtl/>
      </w:rPr>
      <w:t>ההיערכות למיגון המתקנים הרגישים במדינת ישראל כנגד האיום עליהם</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04CE" w:rsidP="00EF04CE">
    <w:pPr>
      <w:pStyle w:val="Footer"/>
      <w:tabs>
        <w:tab w:val="left" w:pos="1222"/>
      </w:tabs>
      <w:spacing w:line="160" w:lineRule="exact"/>
      <w:rPr>
        <w:sz w:val="16"/>
        <w:szCs w:val="16"/>
        <w:rtl/>
      </w:rPr>
    </w:pPr>
    <w:r>
      <w:rPr>
        <w:sz w:val="16"/>
        <w:szCs w:val="16"/>
        <w:rtl/>
      </w:rPr>
      <w:t>שם הדוח:</w:t>
    </w:r>
    <w:r>
      <w:rPr>
        <w:sz w:val="16"/>
        <w:szCs w:val="16"/>
        <w:rtl/>
      </w:rPr>
      <w:tab/>
    </w:r>
    <w:r w:rsidRPr="00EF04CE">
      <w:rPr>
        <w:rFonts w:hint="cs"/>
        <w:sz w:val="16"/>
        <w:szCs w:val="16"/>
        <w:rtl/>
      </w:rPr>
      <w:t>ההיערכות למיגון המתקנים הרגישים במדינת ישראל כנגד האיום עליהם</w:t>
    </w:r>
  </w:p>
  <w:p w:rsidR="005750D3" w:rsidP="00F20FC2">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w:t>
    </w:r>
    <w:r w:rsidR="00F20FC2">
      <w:rPr>
        <w:rFonts w:hint="cs"/>
        <w:sz w:val="16"/>
        <w:szCs w:val="16"/>
        <w:rtl/>
      </w:rPr>
      <w:t>ב</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rsidP="009718F9">
    <w:pPr>
      <w:pStyle w:val="Footer"/>
      <w:tabs>
        <w:tab w:val="left" w:pos="1222"/>
      </w:tabs>
      <w:spacing w:line="160" w:lineRule="exact"/>
      <w:rPr>
        <w:sz w:val="16"/>
        <w:szCs w:val="16"/>
        <w:rtl/>
      </w:rPr>
    </w:pPr>
    <w:r>
      <w:rPr>
        <w:sz w:val="16"/>
        <w:szCs w:val="16"/>
        <w:rtl/>
      </w:rPr>
      <w:t>שם הדוח:</w:t>
    </w:r>
    <w:r>
      <w:rPr>
        <w:sz w:val="16"/>
        <w:szCs w:val="16"/>
        <w:rtl/>
      </w:rPr>
      <w:tab/>
    </w:r>
    <w:r w:rsidRPr="00EF04CE">
      <w:rPr>
        <w:rFonts w:hint="cs"/>
        <w:sz w:val="16"/>
        <w:szCs w:val="16"/>
        <w:rtl/>
      </w:rPr>
      <w:t>ההיערכות למיגון המתקנים הרגישים במדינת ישראל כנגד האיום עליהם</w:t>
    </w:r>
  </w:p>
  <w:p w:rsidR="005750D3" w:rsidP="00386F2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65ב</w:t>
    </w:r>
  </w:p>
  <w:p w:rsidR="001275A6"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3413" w:rsidRPr="00F03413" w:rsidP="00F0341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11E24">
      <w:pPr>
        <w:spacing w:after="120"/>
        <w:rPr>
          <w:sz w:val="16"/>
          <w:szCs w:val="16"/>
        </w:rPr>
      </w:pPr>
      <w:r>
        <w:rPr>
          <w:sz w:val="16"/>
          <w:szCs w:val="16"/>
          <w:rtl/>
        </w:rPr>
        <w:t>__________________</w:t>
      </w:r>
    </w:p>
  </w:footnote>
  <w:footnote w:type="continuationSeparator" w:id="1">
    <w:p w:rsidR="00D11E24">
      <w:r>
        <w:t>_______________</w:t>
      </w:r>
    </w:p>
  </w:footnote>
  <w:footnote w:id="2">
    <w:p w:rsidR="00EF04CE" w:rsidRPr="008D3516" w:rsidP="00EF04CE">
      <w:pPr>
        <w:pStyle w:val="FootnoteText"/>
        <w:keepLines/>
        <w:spacing w:line="200" w:lineRule="exact"/>
        <w:ind w:left="397" w:hanging="397"/>
        <w:jc w:val="both"/>
        <w:rPr>
          <w:rFonts w:cs="FrankRuehl"/>
          <w:b/>
          <w:bCs/>
          <w:rtl/>
        </w:rPr>
      </w:pPr>
      <w:r w:rsidRPr="008D3516">
        <w:rPr>
          <w:rStyle w:val="FootnoteReference"/>
          <w:rFonts w:ascii="FrankRuehl" w:hAnsi="FrankRuehl" w:cs="FrankRuehl"/>
          <w:b/>
          <w:bCs/>
          <w:vertAlign w:val="baseline"/>
        </w:rPr>
        <w:footnoteRef/>
      </w:r>
      <w:r w:rsidRPr="008D3516">
        <w:rPr>
          <w:rFonts w:cs="FrankRuehl"/>
          <w:rtl/>
        </w:rPr>
        <w:t xml:space="preserve"> </w:t>
      </w:r>
      <w:r w:rsidRPr="008D3516">
        <w:rPr>
          <w:rFonts w:cs="FrankRuehl"/>
          <w:rtl/>
        </w:rPr>
        <w:tab/>
        <w:t>ביקורת זאת הסתיימה לפני מבצע "צוק איתן", והנושאים שנבדקו בה אינם מתייחסים למבצע זה.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0D3" w:rsidP="00AF6302">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E53031">
      <w:rPr>
        <w:rFonts w:ascii="FrankRuehl" w:hAnsi="FrankRuehl" w:cs="FrankRuehl"/>
        <w:noProof/>
        <w:szCs w:val="20"/>
        <w:rtl/>
      </w:rPr>
      <w:t>54</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65</w:t>
    </w:r>
    <w:r w:rsidR="00AF6302">
      <w:rPr>
        <w:rFonts w:ascii="FrankRuehl" w:hAnsi="FrankRuehl" w:cs="FrankRuehl" w:hint="cs"/>
        <w:szCs w:val="20"/>
        <w:rtl/>
      </w:rPr>
      <w:t>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sidRPr="00EF04CE">
      <w:rPr>
        <w:rFonts w:ascii="FrankRuehl" w:hAnsi="FrankRuehl" w:cs="FrankRuehl" w:hint="cs"/>
        <w:noProof/>
        <w:szCs w:val="20"/>
        <w:rtl/>
      </w:rPr>
      <w:t>ההיערכות למיגון המתקנים הרגישים במדינת ישראל כנגד האיום עליהם</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F03413">
      <w:rPr>
        <w:rFonts w:ascii="FrankRuehl" w:hAnsi="FrankRuehl" w:cs="FrankRuehl"/>
        <w:noProof/>
        <w:szCs w:val="20"/>
        <w:rtl/>
      </w:rPr>
      <w:t>55</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E53031">
      <w:rPr>
        <w:rFonts w:ascii="FrankRuehl" w:hAnsi="FrankRuehl" w:cs="FrankRuehl"/>
        <w:noProof/>
        <w:szCs w:val="20"/>
        <w:rtl/>
      </w:rPr>
      <w:t>53</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542" w:rsidRPr="00594542" w:rsidP="00594542">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4">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D6"/>
    <w:rsid w:val="000D4858"/>
    <w:rsid w:val="001275A6"/>
    <w:rsid w:val="00154C8F"/>
    <w:rsid w:val="002365FA"/>
    <w:rsid w:val="002450D6"/>
    <w:rsid w:val="00386F23"/>
    <w:rsid w:val="004B030F"/>
    <w:rsid w:val="005537D7"/>
    <w:rsid w:val="005750D3"/>
    <w:rsid w:val="00594542"/>
    <w:rsid w:val="008D3516"/>
    <w:rsid w:val="008E6A31"/>
    <w:rsid w:val="009718F9"/>
    <w:rsid w:val="00A60DB6"/>
    <w:rsid w:val="00AF6302"/>
    <w:rsid w:val="00D11E24"/>
    <w:rsid w:val="00E53031"/>
    <w:rsid w:val="00E60BE8"/>
    <w:rsid w:val="00EF04CE"/>
    <w:rsid w:val="00F03413"/>
    <w:rsid w:val="00F20FC2"/>
  </w:rsids>
  <w:docVars>
    <w:docVar w:name="sivug" w:val="0"/>
    <w:docVar w:name="space" w:val="-1"/>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qFormat/>
    <w:locked/>
    <w:pPr>
      <w:keepNext/>
      <w:spacing w:line="360" w:lineRule="exact"/>
      <w:ind w:left="1293"/>
      <w:outlineLvl w:val="1"/>
    </w:pPr>
    <w:rPr>
      <w:sz w:val="32"/>
      <w:szCs w:val="32"/>
    </w:rPr>
  </w:style>
  <w:style w:type="paragraph" w:styleId="Heading3">
    <w:name w:val="heading 3"/>
    <w:basedOn w:val="Normal"/>
    <w:next w:val="Normal"/>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semiHidden/>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semiHidden/>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semiHidden/>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pPr>
      <w:spacing w:after="200" w:line="276" w:lineRule="auto"/>
      <w:ind w:left="-567"/>
    </w:pPr>
    <w:rPr>
      <w:rFonts w:ascii="Rockwell" w:eastAsia="Rockwell" w:hAnsi="Rockwell"/>
      <w:sz w:val="22"/>
      <w:szCs w:val="20"/>
    </w:rPr>
  </w:style>
  <w:style w:type="character" w:customStyle="1" w:styleId="a17">
    <w:name w:val="נבנצאל תו"/>
    <w:locked/>
    <w:rPr>
      <w:rFonts w:ascii="Rockwell" w:eastAsia="Rockwell" w:hAnsi="Rockwell" w:cs="David"/>
      <w:sz w:val="22"/>
    </w:rPr>
  </w:style>
  <w:style w:type="paragraph" w:styleId="Date">
    <w:name w:val="Date"/>
    <w:basedOn w:val="Normal"/>
    <w:next w:val="Normal"/>
    <w:semiHidden/>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semiHidden/>
    <w:rPr>
      <w:rFonts w:ascii="Rockwell" w:eastAsia="Rockwell" w:hAnsi="Rockwell" w:cs="David"/>
      <w:sz w:val="22"/>
      <w:szCs w:val="22"/>
    </w:rPr>
  </w:style>
  <w:style w:type="paragraph" w:customStyle="1" w:styleId="tab-name">
    <w:name w:val="tab-name"/>
    <w:basedOn w:val="KOT5"/>
    <w:qFormat/>
    <w:pPr>
      <w:jc w:val="cente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C2ECA6-FF84-4588-8676-077AF9FBC9AD}">
  <ds:schemaRefs>
    <ds:schemaRef ds:uri="http://schemas.openxmlformats.org/officeDocument/2006/bibliography"/>
  </ds:schemaRefs>
</ds:datastoreItem>
</file>

<file path=customXml/itemProps2.xml><?xml version="1.0" encoding="utf-8"?>
<ds:datastoreItem xmlns:ds="http://schemas.openxmlformats.org/officeDocument/2006/customXml" ds:itemID="{72D13B76-DB64-45EF-B7A6-E63AFFB73498}"/>
</file>

<file path=customXml/itemProps3.xml><?xml version="1.0" encoding="utf-8"?>
<ds:datastoreItem xmlns:ds="http://schemas.openxmlformats.org/officeDocument/2006/customXml" ds:itemID="{E3CCBE0D-A383-4B50-B265-992B35746F93}"/>
</file>

<file path=customXml/itemProps4.xml><?xml version="1.0" encoding="utf-8"?>
<ds:datastoreItem xmlns:ds="http://schemas.openxmlformats.org/officeDocument/2006/customXml" ds:itemID="{B1CA87FF-017D-416C-99B2-8B64E131DCEB}"/>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