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60E90">
      <w:pPr>
        <w:pStyle w:val="NAME"/>
        <w:rPr>
          <w:rtl/>
        </w:rPr>
      </w:pPr>
      <w:bookmarkStart w:id="0" w:name="_Toc349122061"/>
      <w:bookmarkStart w:id="1" w:name="_Toc349136480"/>
      <w:bookmarkStart w:id="2" w:name="_Toc352831083"/>
      <w:bookmarkStart w:id="3" w:name="_Toc354324568"/>
      <w:bookmarkStart w:id="4" w:name="_Toc354661923"/>
      <w:r>
        <w:rPr>
          <w:rFonts w:hint="cs"/>
          <w:rtl/>
        </w:rPr>
        <w:t xml:space="preserve">היבטים במתן שירותים לזקן </w:t>
      </w:r>
      <w:r>
        <w:br/>
      </w:r>
      <w:r>
        <w:rPr>
          <w:rFonts w:hint="cs"/>
          <w:rtl/>
        </w:rPr>
        <w:t>ברשויות המקומיות</w:t>
      </w:r>
    </w:p>
    <w:p w:rsidR="00F60E90">
      <w:pPr>
        <w:pStyle w:val="Footer"/>
        <w:tabs>
          <w:tab w:val="clear" w:pos="4153"/>
          <w:tab w:val="clear" w:pos="8306"/>
        </w:tabs>
        <w:spacing w:after="120" w:line="230" w:lineRule="exact"/>
        <w:jc w:val="both"/>
        <w:rPr>
          <w:rFonts w:cs="FrankRuehl"/>
          <w:szCs w:val="22"/>
          <w:rtl/>
        </w:rPr>
      </w:pPr>
    </w:p>
    <w:p w:rsidR="00F60E90">
      <w:pPr>
        <w:spacing w:after="120" w:line="230" w:lineRule="exact"/>
        <w:jc w:val="both"/>
        <w:rPr>
          <w:rFonts w:cs="FrankRuehl"/>
          <w:szCs w:val="22"/>
          <w:rtl/>
        </w:rPr>
      </w:pPr>
    </w:p>
    <w:p w:rsidR="00F60E90">
      <w:pPr>
        <w:pStyle w:val="KOT4"/>
        <w:jc w:val="center"/>
        <w:rPr>
          <w:sz w:val="30"/>
          <w:szCs w:val="30"/>
          <w:rtl/>
        </w:rPr>
      </w:pPr>
      <w:r>
        <w:rPr>
          <w:sz w:val="30"/>
          <w:szCs w:val="30"/>
          <w:rtl/>
        </w:rPr>
        <w:t>תקציר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F60E90">
            <w:pPr>
              <w:pStyle w:val="KOT4"/>
              <w:spacing w:before="120"/>
              <w:jc w:val="center"/>
              <w:rPr>
                <w:rtl/>
              </w:rPr>
            </w:pPr>
            <w:r>
              <w:rPr>
                <w:rFonts w:hint="cs"/>
                <w:rtl/>
              </w:rPr>
              <w:t>רקע כללי</w:t>
            </w:r>
          </w:p>
        </w:tc>
      </w:tr>
      <w:tr w:rsidTr="00D53830">
        <w:tblPrEx>
          <w:tblW w:w="6691" w:type="dxa"/>
          <w:jc w:val="center"/>
          <w:tblLook w:val="04A0"/>
        </w:tblPrEx>
        <w:trPr>
          <w:jc w:val="center"/>
        </w:trPr>
        <w:tc>
          <w:tcPr>
            <w:tcW w:w="7018" w:type="dxa"/>
          </w:tcPr>
          <w:p w:rsidR="00F60E90">
            <w:pPr>
              <w:pStyle w:val="PATIAH"/>
              <w:spacing w:before="60"/>
              <w:rPr>
                <w:sz w:val="22"/>
                <w:szCs w:val="22"/>
                <w:rtl/>
              </w:rPr>
            </w:pPr>
            <w:r>
              <w:rPr>
                <w:rFonts w:hint="cs"/>
                <w:sz w:val="22"/>
                <w:szCs w:val="22"/>
                <w:rtl/>
              </w:rPr>
              <w:t>על</w:t>
            </w:r>
            <w:r>
              <w:rPr>
                <w:sz w:val="22"/>
                <w:szCs w:val="22"/>
                <w:rtl/>
              </w:rPr>
              <w:t xml:space="preserve"> פי נתוני הלשכה המרכזית לסטטיסטיקה (להלן - </w:t>
            </w:r>
            <w:r>
              <w:rPr>
                <w:rFonts w:hint="cs"/>
                <w:sz w:val="22"/>
                <w:szCs w:val="22"/>
                <w:rtl/>
              </w:rPr>
              <w:t>הלמ</w:t>
            </w:r>
            <w:r>
              <w:rPr>
                <w:sz w:val="22"/>
                <w:szCs w:val="22"/>
                <w:rtl/>
              </w:rPr>
              <w:t xml:space="preserve">"ס) </w:t>
            </w:r>
            <w:r>
              <w:rPr>
                <w:rFonts w:hint="cs"/>
                <w:sz w:val="22"/>
                <w:szCs w:val="22"/>
                <w:rtl/>
              </w:rPr>
              <w:t>אוכלוסיית</w:t>
            </w:r>
            <w:r>
              <w:rPr>
                <w:sz w:val="22"/>
                <w:szCs w:val="22"/>
                <w:rtl/>
              </w:rPr>
              <w:t xml:space="preserve"> </w:t>
            </w:r>
            <w:r>
              <w:rPr>
                <w:rFonts w:hint="cs"/>
                <w:sz w:val="22"/>
                <w:szCs w:val="22"/>
                <w:rtl/>
              </w:rPr>
              <w:t>הזקנים</w:t>
            </w:r>
            <w:r>
              <w:rPr>
                <w:sz w:val="22"/>
                <w:szCs w:val="22"/>
                <w:vertAlign w:val="superscript"/>
                <w:rtl/>
              </w:rPr>
              <w:footnoteReference w:id="2"/>
            </w:r>
            <w:r>
              <w:rPr>
                <w:sz w:val="22"/>
                <w:szCs w:val="22"/>
                <w:rtl/>
              </w:rPr>
              <w:t xml:space="preserve"> בישראל מנתה בתחילת 2013 כ-833,000 </w:t>
            </w:r>
            <w:r>
              <w:rPr>
                <w:rFonts w:hint="cs"/>
                <w:sz w:val="22"/>
                <w:szCs w:val="22"/>
                <w:rtl/>
              </w:rPr>
              <w:t xml:space="preserve">זקנים </w:t>
            </w:r>
            <w:r>
              <w:rPr>
                <w:sz w:val="22"/>
                <w:szCs w:val="22"/>
                <w:rtl/>
              </w:rPr>
              <w:t xml:space="preserve">(468,000 נשים ו-365,000 גברים), דהיינו כ-10% מהאוכלוסייה כולה. מספרם של הזקנים עולה מדי </w:t>
            </w:r>
            <w:r>
              <w:rPr>
                <w:rFonts w:hint="cs"/>
                <w:sz w:val="22"/>
                <w:szCs w:val="22"/>
                <w:rtl/>
              </w:rPr>
              <w:t>שנה</w:t>
            </w:r>
            <w:r>
              <w:rPr>
                <w:sz w:val="22"/>
                <w:szCs w:val="22"/>
                <w:rtl/>
              </w:rPr>
              <w:t xml:space="preserve">, ועל פי תחזיות </w:t>
            </w:r>
            <w:r>
              <w:rPr>
                <w:rFonts w:hint="cs"/>
                <w:sz w:val="22"/>
                <w:szCs w:val="22"/>
                <w:rtl/>
              </w:rPr>
              <w:t>הלמ</w:t>
            </w:r>
            <w:r>
              <w:rPr>
                <w:sz w:val="22"/>
                <w:szCs w:val="22"/>
                <w:rtl/>
              </w:rPr>
              <w:t>"ס הוא צפוי להמשיך ולעלות בקצב מהיר. הזדקנות האוכלוסייה עשויה להגדיל את הביקוש לשירותים הציבוריים והפרטי</w:t>
            </w:r>
            <w:r>
              <w:rPr>
                <w:rFonts w:hint="cs"/>
                <w:sz w:val="22"/>
                <w:szCs w:val="22"/>
                <w:rtl/>
              </w:rPr>
              <w:t>י</w:t>
            </w:r>
            <w:r>
              <w:rPr>
                <w:sz w:val="22"/>
                <w:szCs w:val="22"/>
                <w:rtl/>
              </w:rPr>
              <w:t>ם הנוגעים לטיפול בזקן</w:t>
            </w:r>
            <w:r>
              <w:rPr>
                <w:rFonts w:hint="cs"/>
                <w:sz w:val="22"/>
                <w:szCs w:val="22"/>
                <w:rtl/>
              </w:rPr>
              <w:t>; ביקוש רב</w:t>
            </w:r>
            <w:r>
              <w:rPr>
                <w:sz w:val="22"/>
                <w:szCs w:val="22"/>
                <w:rtl/>
              </w:rPr>
              <w:t xml:space="preserve"> </w:t>
            </w:r>
            <w:r>
              <w:rPr>
                <w:rFonts w:hint="cs"/>
                <w:sz w:val="22"/>
                <w:szCs w:val="22"/>
                <w:rtl/>
              </w:rPr>
              <w:t>ה</w:t>
            </w:r>
            <w:r>
              <w:rPr>
                <w:sz w:val="22"/>
                <w:szCs w:val="22"/>
                <w:rtl/>
              </w:rPr>
              <w:t>מחייב היערכות</w:t>
            </w:r>
            <w:r>
              <w:rPr>
                <w:rFonts w:hint="cs"/>
                <w:sz w:val="22"/>
                <w:szCs w:val="22"/>
                <w:rtl/>
              </w:rPr>
              <w:t xml:space="preserve"> מתאימה של</w:t>
            </w:r>
            <w:r>
              <w:rPr>
                <w:sz w:val="22"/>
                <w:szCs w:val="22"/>
                <w:rtl/>
              </w:rPr>
              <w:t xml:space="preserve"> הגופים המטפלים.</w:t>
            </w:r>
          </w:p>
          <w:p w:rsidR="00F60E90">
            <w:pPr>
              <w:pStyle w:val="PATIAH"/>
              <w:rPr>
                <w:sz w:val="22"/>
                <w:szCs w:val="22"/>
                <w:rtl/>
              </w:rPr>
            </w:pPr>
            <w:r>
              <w:rPr>
                <w:rFonts w:hint="cs"/>
                <w:sz w:val="22"/>
                <w:szCs w:val="22"/>
                <w:rtl/>
              </w:rPr>
              <w:t>על</w:t>
            </w:r>
            <w:r>
              <w:rPr>
                <w:sz w:val="22"/>
                <w:szCs w:val="22"/>
                <w:rtl/>
              </w:rPr>
              <w:t xml:space="preserve"> </w:t>
            </w:r>
            <w:r>
              <w:rPr>
                <w:rFonts w:hint="cs"/>
                <w:sz w:val="22"/>
                <w:szCs w:val="22"/>
                <w:rtl/>
              </w:rPr>
              <w:t>מערך</w:t>
            </w:r>
            <w:r>
              <w:rPr>
                <w:sz w:val="22"/>
                <w:szCs w:val="22"/>
                <w:rtl/>
              </w:rPr>
              <w:t xml:space="preserve"> </w:t>
            </w:r>
            <w:r>
              <w:rPr>
                <w:rFonts w:hint="cs"/>
                <w:sz w:val="22"/>
                <w:szCs w:val="22"/>
                <w:rtl/>
              </w:rPr>
              <w:t>השירותים</w:t>
            </w:r>
            <w:r>
              <w:rPr>
                <w:sz w:val="22"/>
                <w:szCs w:val="22"/>
                <w:rtl/>
              </w:rPr>
              <w:t xml:space="preserve"> </w:t>
            </w:r>
            <w:r>
              <w:rPr>
                <w:rFonts w:hint="cs"/>
                <w:sz w:val="22"/>
                <w:szCs w:val="22"/>
                <w:rtl/>
              </w:rPr>
              <w:t>הציבוריים</w:t>
            </w:r>
            <w:r>
              <w:rPr>
                <w:sz w:val="22"/>
                <w:szCs w:val="22"/>
                <w:rtl/>
              </w:rPr>
              <w:t xml:space="preserve"> </w:t>
            </w:r>
            <w:r>
              <w:rPr>
                <w:rFonts w:hint="cs"/>
                <w:sz w:val="22"/>
                <w:szCs w:val="22"/>
                <w:rtl/>
              </w:rPr>
              <w:t>לטיפול</w:t>
            </w:r>
            <w:r>
              <w:rPr>
                <w:sz w:val="22"/>
                <w:szCs w:val="22"/>
                <w:rtl/>
              </w:rPr>
              <w:t xml:space="preserve"> </w:t>
            </w:r>
            <w:r>
              <w:rPr>
                <w:rFonts w:hint="cs"/>
                <w:sz w:val="22"/>
                <w:szCs w:val="22"/>
                <w:rtl/>
              </w:rPr>
              <w:t>בזקנים</w:t>
            </w:r>
            <w:r>
              <w:rPr>
                <w:sz w:val="22"/>
                <w:szCs w:val="22"/>
                <w:rtl/>
              </w:rPr>
              <w:t xml:space="preserve"> </w:t>
            </w:r>
            <w:r>
              <w:rPr>
                <w:rFonts w:hint="cs"/>
                <w:sz w:val="22"/>
                <w:szCs w:val="22"/>
                <w:rtl/>
              </w:rPr>
              <w:t>מופקדים</w:t>
            </w:r>
            <w:r>
              <w:rPr>
                <w:sz w:val="22"/>
                <w:szCs w:val="22"/>
                <w:rtl/>
              </w:rPr>
              <w:t xml:space="preserve"> </w:t>
            </w:r>
            <w:r>
              <w:rPr>
                <w:rFonts w:hint="cs"/>
                <w:sz w:val="22"/>
                <w:szCs w:val="22"/>
                <w:rtl/>
              </w:rPr>
              <w:t>כמה</w:t>
            </w:r>
            <w:r>
              <w:rPr>
                <w:sz w:val="22"/>
                <w:szCs w:val="22"/>
                <w:rtl/>
              </w:rPr>
              <w:t xml:space="preserve"> </w:t>
            </w:r>
            <w:r>
              <w:rPr>
                <w:rFonts w:hint="cs"/>
                <w:sz w:val="22"/>
                <w:szCs w:val="22"/>
                <w:rtl/>
              </w:rPr>
              <w:t>גופים</w:t>
            </w:r>
            <w:r>
              <w:rPr>
                <w:sz w:val="22"/>
                <w:szCs w:val="22"/>
                <w:rtl/>
              </w:rPr>
              <w:t xml:space="preserve">, </w:t>
            </w:r>
            <w:r>
              <w:rPr>
                <w:rFonts w:hint="cs"/>
                <w:sz w:val="22"/>
                <w:szCs w:val="22"/>
                <w:rtl/>
              </w:rPr>
              <w:t>והעיקריים</w:t>
            </w:r>
            <w:r>
              <w:rPr>
                <w:sz w:val="22"/>
                <w:szCs w:val="22"/>
                <w:rtl/>
              </w:rPr>
              <w:t xml:space="preserve"> </w:t>
            </w:r>
            <w:r>
              <w:rPr>
                <w:rFonts w:hint="cs"/>
                <w:sz w:val="22"/>
                <w:szCs w:val="22"/>
                <w:rtl/>
              </w:rPr>
              <w:t>שבהם</w:t>
            </w:r>
            <w:r>
              <w:rPr>
                <w:sz w:val="22"/>
                <w:szCs w:val="22"/>
                <w:rtl/>
              </w:rPr>
              <w:t xml:space="preserve"> </w:t>
            </w:r>
            <w:r>
              <w:rPr>
                <w:rFonts w:hint="cs"/>
                <w:sz w:val="22"/>
                <w:szCs w:val="22"/>
                <w:rtl/>
              </w:rPr>
              <w:t>הם משרד</w:t>
            </w:r>
            <w:r>
              <w:rPr>
                <w:sz w:val="22"/>
                <w:szCs w:val="22"/>
                <w:rtl/>
              </w:rPr>
              <w:t xml:space="preserve"> </w:t>
            </w:r>
            <w:r>
              <w:rPr>
                <w:rFonts w:hint="cs"/>
                <w:sz w:val="22"/>
                <w:szCs w:val="22"/>
                <w:rtl/>
              </w:rPr>
              <w:t>הרווחה</w:t>
            </w:r>
            <w:r>
              <w:rPr>
                <w:sz w:val="22"/>
                <w:szCs w:val="22"/>
                <w:rtl/>
              </w:rPr>
              <w:t xml:space="preserve"> </w:t>
            </w:r>
            <w:r>
              <w:rPr>
                <w:rFonts w:hint="cs"/>
                <w:sz w:val="22"/>
                <w:szCs w:val="22"/>
                <w:rtl/>
              </w:rPr>
              <w:t>והשירותים</w:t>
            </w:r>
            <w:r>
              <w:rPr>
                <w:sz w:val="22"/>
                <w:szCs w:val="22"/>
                <w:rtl/>
              </w:rPr>
              <w:t xml:space="preserve"> </w:t>
            </w:r>
            <w:r>
              <w:rPr>
                <w:rFonts w:hint="cs"/>
                <w:sz w:val="22"/>
                <w:szCs w:val="22"/>
                <w:rtl/>
              </w:rPr>
              <w:t>החברתיים</w:t>
            </w:r>
            <w:r>
              <w:rPr>
                <w:sz w:val="22"/>
                <w:szCs w:val="22"/>
                <w:rtl/>
              </w:rPr>
              <w:t xml:space="preserve"> (להלן - </w:t>
            </w:r>
            <w:r>
              <w:rPr>
                <w:rFonts w:hint="cs"/>
                <w:sz w:val="22"/>
                <w:szCs w:val="22"/>
                <w:rtl/>
              </w:rPr>
              <w:t>משרד</w:t>
            </w:r>
            <w:r>
              <w:rPr>
                <w:sz w:val="22"/>
                <w:szCs w:val="22"/>
                <w:rtl/>
              </w:rPr>
              <w:t xml:space="preserve"> </w:t>
            </w:r>
            <w:r>
              <w:rPr>
                <w:rFonts w:hint="cs"/>
                <w:sz w:val="22"/>
                <w:szCs w:val="22"/>
                <w:rtl/>
              </w:rPr>
              <w:t>הרווחה</w:t>
            </w:r>
            <w:r>
              <w:rPr>
                <w:sz w:val="22"/>
                <w:szCs w:val="22"/>
                <w:rtl/>
              </w:rPr>
              <w:t xml:space="preserve">), </w:t>
            </w:r>
            <w:r>
              <w:rPr>
                <w:rFonts w:hint="cs"/>
                <w:sz w:val="22"/>
                <w:szCs w:val="22"/>
                <w:rtl/>
              </w:rPr>
              <w:t xml:space="preserve">הרשויות המקומיות באמצעות </w:t>
            </w:r>
            <w:r>
              <w:rPr>
                <w:sz w:val="22"/>
                <w:szCs w:val="22"/>
                <w:rtl/>
              </w:rPr>
              <w:t xml:space="preserve">המחלקות לשירותים חברתיים (להלן - המחלקות לשירותים חברתיים או מחלקות הרווחה), </w:t>
            </w:r>
            <w:r>
              <w:rPr>
                <w:rFonts w:hint="cs"/>
                <w:sz w:val="22"/>
                <w:szCs w:val="22"/>
                <w:rtl/>
              </w:rPr>
              <w:t>משרד</w:t>
            </w:r>
            <w:r>
              <w:rPr>
                <w:sz w:val="22"/>
                <w:szCs w:val="22"/>
                <w:rtl/>
              </w:rPr>
              <w:t xml:space="preserve"> </w:t>
            </w:r>
            <w:r>
              <w:rPr>
                <w:rFonts w:hint="cs"/>
                <w:sz w:val="22"/>
                <w:szCs w:val="22"/>
                <w:rtl/>
              </w:rPr>
              <w:t>הבריאות</w:t>
            </w:r>
            <w:r>
              <w:rPr>
                <w:sz w:val="22"/>
                <w:szCs w:val="22"/>
                <w:rtl/>
              </w:rPr>
              <w:t xml:space="preserve">, </w:t>
            </w:r>
            <w:r>
              <w:rPr>
                <w:rFonts w:hint="cs"/>
                <w:sz w:val="22"/>
                <w:szCs w:val="22"/>
                <w:rtl/>
              </w:rPr>
              <w:t>המשרד</w:t>
            </w:r>
            <w:r>
              <w:rPr>
                <w:sz w:val="22"/>
                <w:szCs w:val="22"/>
                <w:rtl/>
              </w:rPr>
              <w:t xml:space="preserve"> </w:t>
            </w:r>
            <w:r>
              <w:rPr>
                <w:rFonts w:hint="cs"/>
                <w:sz w:val="22"/>
                <w:szCs w:val="22"/>
                <w:rtl/>
              </w:rPr>
              <w:t>לאזרחים</w:t>
            </w:r>
            <w:r>
              <w:rPr>
                <w:sz w:val="22"/>
                <w:szCs w:val="22"/>
                <w:rtl/>
              </w:rPr>
              <w:t xml:space="preserve"> </w:t>
            </w:r>
            <w:r>
              <w:rPr>
                <w:rFonts w:hint="cs"/>
                <w:sz w:val="22"/>
                <w:szCs w:val="22"/>
                <w:rtl/>
              </w:rPr>
              <w:t>ותיקים</w:t>
            </w:r>
            <w:r>
              <w:rPr>
                <w:sz w:val="22"/>
                <w:szCs w:val="22"/>
                <w:rtl/>
              </w:rPr>
              <w:t xml:space="preserve">, </w:t>
            </w:r>
            <w:r>
              <w:rPr>
                <w:rFonts w:hint="cs"/>
                <w:sz w:val="22"/>
                <w:szCs w:val="22"/>
                <w:rtl/>
              </w:rPr>
              <w:t>המוסד</w:t>
            </w:r>
            <w:r>
              <w:rPr>
                <w:sz w:val="22"/>
                <w:szCs w:val="22"/>
                <w:rtl/>
              </w:rPr>
              <w:t xml:space="preserve"> </w:t>
            </w:r>
            <w:r>
              <w:rPr>
                <w:rFonts w:hint="cs"/>
                <w:sz w:val="22"/>
                <w:szCs w:val="22"/>
                <w:rtl/>
              </w:rPr>
              <w:t>לביטוח</w:t>
            </w:r>
            <w:r>
              <w:rPr>
                <w:sz w:val="22"/>
                <w:szCs w:val="22"/>
                <w:rtl/>
              </w:rPr>
              <w:t xml:space="preserve"> </w:t>
            </w:r>
            <w:r>
              <w:rPr>
                <w:rFonts w:hint="cs"/>
                <w:sz w:val="22"/>
                <w:szCs w:val="22"/>
                <w:rtl/>
              </w:rPr>
              <w:t>לאומי</w:t>
            </w:r>
            <w:r>
              <w:rPr>
                <w:sz w:val="22"/>
                <w:szCs w:val="22"/>
                <w:rtl/>
              </w:rPr>
              <w:t xml:space="preserve"> </w:t>
            </w:r>
            <w:r>
              <w:rPr>
                <w:rFonts w:hint="cs"/>
                <w:sz w:val="22"/>
                <w:szCs w:val="22"/>
                <w:rtl/>
              </w:rPr>
              <w:t>וקופות</w:t>
            </w:r>
            <w:r>
              <w:rPr>
                <w:sz w:val="22"/>
                <w:szCs w:val="22"/>
                <w:rtl/>
              </w:rPr>
              <w:t xml:space="preserve"> </w:t>
            </w:r>
            <w:r>
              <w:rPr>
                <w:rFonts w:hint="cs"/>
                <w:sz w:val="22"/>
                <w:szCs w:val="22"/>
                <w:rtl/>
              </w:rPr>
              <w:t>החולים</w:t>
            </w:r>
            <w:r>
              <w:rPr>
                <w:sz w:val="22"/>
                <w:szCs w:val="22"/>
                <w:rtl/>
              </w:rPr>
              <w:t>.</w:t>
            </w:r>
          </w:p>
          <w:p w:rsidR="00F60E90">
            <w:pPr>
              <w:pStyle w:val="PATIAH"/>
              <w:rPr>
                <w:sz w:val="22"/>
                <w:szCs w:val="22"/>
                <w:rtl/>
              </w:rPr>
            </w:pPr>
            <w:r>
              <w:rPr>
                <w:rFonts w:hint="eastAsia"/>
                <w:sz w:val="22"/>
                <w:szCs w:val="22"/>
                <w:rtl/>
              </w:rPr>
              <w:t>משרד</w:t>
            </w:r>
            <w:r>
              <w:rPr>
                <w:sz w:val="22"/>
                <w:szCs w:val="22"/>
                <w:rtl/>
              </w:rPr>
              <w:t xml:space="preserve"> </w:t>
            </w:r>
            <w:r>
              <w:rPr>
                <w:rFonts w:hint="eastAsia"/>
                <w:sz w:val="22"/>
                <w:szCs w:val="22"/>
                <w:rtl/>
              </w:rPr>
              <w:t>הרווחה</w:t>
            </w:r>
            <w:r>
              <w:rPr>
                <w:sz w:val="22"/>
                <w:szCs w:val="22"/>
                <w:rtl/>
              </w:rPr>
              <w:t>:</w:t>
            </w:r>
            <w:r>
              <w:rPr>
                <w:rFonts w:hint="cs"/>
                <w:sz w:val="22"/>
                <w:szCs w:val="22"/>
                <w:rtl/>
              </w:rPr>
              <w:t xml:space="preserve"> </w:t>
            </w:r>
            <w:r>
              <w:rPr>
                <w:sz w:val="22"/>
                <w:szCs w:val="22"/>
                <w:rtl/>
              </w:rPr>
              <w:t xml:space="preserve">השירות לזקן שבאגף לשירותים חברתיים ואישיים (להלן - השירות לזקן) פועל באמצעות המחלקות לשירותים חברתיים ומטפל </w:t>
            </w:r>
            <w:r>
              <w:rPr>
                <w:rFonts w:hint="cs"/>
                <w:sz w:val="22"/>
                <w:szCs w:val="22"/>
                <w:rtl/>
              </w:rPr>
              <w:t>בזקנים</w:t>
            </w:r>
            <w:r>
              <w:rPr>
                <w:sz w:val="22"/>
                <w:szCs w:val="22"/>
                <w:rtl/>
              </w:rPr>
              <w:t xml:space="preserve"> המתגוררים בקהילה או במוסדות</w:t>
            </w:r>
            <w:r>
              <w:rPr>
                <w:rFonts w:hint="cs"/>
                <w:sz w:val="22"/>
                <w:szCs w:val="22"/>
                <w:rtl/>
              </w:rPr>
              <w:t xml:space="preserve">. המשרד </w:t>
            </w:r>
            <w:r>
              <w:rPr>
                <w:sz w:val="22"/>
                <w:szCs w:val="22"/>
                <w:rtl/>
              </w:rPr>
              <w:t xml:space="preserve">משתתף במימון 75% מעלותן של הפעילויות </w:t>
            </w:r>
            <w:r>
              <w:rPr>
                <w:rFonts w:hint="cs"/>
                <w:sz w:val="22"/>
                <w:szCs w:val="22"/>
                <w:rtl/>
              </w:rPr>
              <w:t>למען הזקן</w:t>
            </w:r>
            <w:r>
              <w:rPr>
                <w:sz w:val="22"/>
                <w:szCs w:val="22"/>
                <w:rtl/>
              </w:rPr>
              <w:t xml:space="preserve"> </w:t>
            </w:r>
            <w:r>
              <w:rPr>
                <w:rFonts w:hint="cs"/>
                <w:sz w:val="22"/>
                <w:szCs w:val="22"/>
                <w:rtl/>
              </w:rPr>
              <w:t>ב</w:t>
            </w:r>
            <w:r>
              <w:rPr>
                <w:sz w:val="22"/>
                <w:szCs w:val="22"/>
                <w:rtl/>
              </w:rPr>
              <w:t>רשויות המקומיות</w:t>
            </w:r>
            <w:r>
              <w:rPr>
                <w:rFonts w:hint="cs"/>
                <w:sz w:val="22"/>
                <w:szCs w:val="22"/>
                <w:rtl/>
              </w:rPr>
              <w:t>.</w:t>
            </w:r>
          </w:p>
          <w:p w:rsidR="00F60E90">
            <w:pPr>
              <w:pStyle w:val="PATIAH"/>
              <w:rPr>
                <w:sz w:val="22"/>
                <w:szCs w:val="22"/>
                <w:rtl/>
              </w:rPr>
            </w:pPr>
            <w:r>
              <w:rPr>
                <w:rFonts w:hint="eastAsia"/>
                <w:sz w:val="22"/>
                <w:szCs w:val="22"/>
                <w:rtl/>
              </w:rPr>
              <w:t>המחלקות</w:t>
            </w:r>
            <w:r>
              <w:rPr>
                <w:sz w:val="22"/>
                <w:szCs w:val="22"/>
                <w:rtl/>
              </w:rPr>
              <w:t xml:space="preserve"> </w:t>
            </w:r>
            <w:r>
              <w:rPr>
                <w:rFonts w:hint="eastAsia"/>
                <w:sz w:val="22"/>
                <w:szCs w:val="22"/>
                <w:rtl/>
              </w:rPr>
              <w:t>לשירותים</w:t>
            </w:r>
            <w:r>
              <w:rPr>
                <w:sz w:val="22"/>
                <w:szCs w:val="22"/>
                <w:rtl/>
              </w:rPr>
              <w:t xml:space="preserve"> </w:t>
            </w:r>
            <w:r>
              <w:rPr>
                <w:rFonts w:hint="eastAsia"/>
                <w:sz w:val="22"/>
                <w:szCs w:val="22"/>
                <w:rtl/>
              </w:rPr>
              <w:t>חברתיים</w:t>
            </w:r>
            <w:r>
              <w:rPr>
                <w:sz w:val="22"/>
                <w:szCs w:val="22"/>
                <w:rtl/>
              </w:rPr>
              <w:t xml:space="preserve">: </w:t>
            </w:r>
            <w:r>
              <w:rPr>
                <w:rFonts w:hint="cs"/>
                <w:sz w:val="22"/>
                <w:szCs w:val="22"/>
                <w:rtl/>
              </w:rPr>
              <w:t xml:space="preserve">מחלקות הרווחה </w:t>
            </w:r>
            <w:r>
              <w:rPr>
                <w:sz w:val="22"/>
                <w:szCs w:val="22"/>
                <w:rtl/>
              </w:rPr>
              <w:t xml:space="preserve">אחראיות לטיפול באוכלוסיות החלשות, לרבות אוכלוסיית הזקנים, והטיפול נעשה באמצעות עובדים סוציאליים (להלן - </w:t>
            </w:r>
            <w:r>
              <w:rPr>
                <w:rFonts w:hint="cs"/>
                <w:sz w:val="22"/>
                <w:szCs w:val="22"/>
                <w:rtl/>
              </w:rPr>
              <w:t>עו</w:t>
            </w:r>
            <w:r>
              <w:rPr>
                <w:sz w:val="22"/>
                <w:szCs w:val="22"/>
                <w:rtl/>
              </w:rPr>
              <w:t>"סים)</w:t>
            </w:r>
            <w:r>
              <w:rPr>
                <w:rFonts w:hint="cs"/>
                <w:sz w:val="22"/>
                <w:szCs w:val="22"/>
                <w:rtl/>
              </w:rPr>
              <w:t xml:space="preserve"> הפועלים על פי</w:t>
            </w:r>
            <w:r>
              <w:rPr>
                <w:sz w:val="22"/>
                <w:szCs w:val="22"/>
                <w:rtl/>
              </w:rPr>
              <w:t xml:space="preserve"> </w:t>
            </w:r>
            <w:r>
              <w:rPr>
                <w:rFonts w:hint="cs"/>
                <w:sz w:val="22"/>
                <w:szCs w:val="22"/>
                <w:rtl/>
              </w:rPr>
              <w:t>תקנון</w:t>
            </w:r>
            <w:r>
              <w:rPr>
                <w:sz w:val="22"/>
                <w:szCs w:val="22"/>
                <w:rtl/>
              </w:rPr>
              <w:t xml:space="preserve"> </w:t>
            </w:r>
            <w:r>
              <w:rPr>
                <w:rFonts w:hint="cs"/>
                <w:sz w:val="22"/>
                <w:szCs w:val="22"/>
                <w:rtl/>
              </w:rPr>
              <w:t>ה</w:t>
            </w:r>
            <w:r>
              <w:rPr>
                <w:sz w:val="22"/>
                <w:szCs w:val="22"/>
                <w:rtl/>
              </w:rPr>
              <w:t xml:space="preserve">עבודה </w:t>
            </w:r>
            <w:r>
              <w:rPr>
                <w:rFonts w:hint="cs"/>
                <w:sz w:val="22"/>
                <w:szCs w:val="22"/>
                <w:rtl/>
              </w:rPr>
              <w:t>ה</w:t>
            </w:r>
            <w:r>
              <w:rPr>
                <w:sz w:val="22"/>
                <w:szCs w:val="22"/>
                <w:rtl/>
              </w:rPr>
              <w:t xml:space="preserve">סוציאלית (להלן - </w:t>
            </w:r>
            <w:r>
              <w:rPr>
                <w:rFonts w:hint="cs"/>
                <w:sz w:val="22"/>
                <w:szCs w:val="22"/>
                <w:rtl/>
              </w:rPr>
              <w:t>ה</w:t>
            </w:r>
            <w:r>
              <w:rPr>
                <w:sz w:val="22"/>
                <w:szCs w:val="22"/>
                <w:rtl/>
              </w:rPr>
              <w:t>תע"ס)</w:t>
            </w:r>
            <w:r>
              <w:rPr>
                <w:rFonts w:hint="cs"/>
                <w:sz w:val="22"/>
                <w:szCs w:val="22"/>
                <w:rtl/>
              </w:rPr>
              <w:t>.</w:t>
            </w:r>
            <w:r>
              <w:rPr>
                <w:sz w:val="22"/>
                <w:szCs w:val="22"/>
                <w:rtl/>
              </w:rPr>
              <w:t xml:space="preserve"> </w:t>
            </w:r>
          </w:p>
          <w:p w:rsidR="00F60E90">
            <w:pPr>
              <w:pStyle w:val="PATIAH"/>
              <w:rPr>
                <w:sz w:val="22"/>
                <w:szCs w:val="22"/>
                <w:rtl/>
              </w:rPr>
            </w:pPr>
            <w:r>
              <w:rPr>
                <w:rFonts w:hint="eastAsia"/>
                <w:sz w:val="22"/>
                <w:szCs w:val="22"/>
                <w:rtl/>
              </w:rPr>
              <w:t>המשרד</w:t>
            </w:r>
            <w:r>
              <w:rPr>
                <w:sz w:val="22"/>
                <w:szCs w:val="22"/>
                <w:rtl/>
              </w:rPr>
              <w:t xml:space="preserve"> </w:t>
            </w:r>
            <w:r>
              <w:rPr>
                <w:rFonts w:hint="eastAsia"/>
                <w:sz w:val="22"/>
                <w:szCs w:val="22"/>
                <w:rtl/>
              </w:rPr>
              <w:t>לאזרחים</w:t>
            </w:r>
            <w:r>
              <w:rPr>
                <w:sz w:val="22"/>
                <w:szCs w:val="22"/>
                <w:rtl/>
              </w:rPr>
              <w:t xml:space="preserve"> </w:t>
            </w:r>
            <w:r>
              <w:rPr>
                <w:rFonts w:hint="eastAsia"/>
                <w:sz w:val="22"/>
                <w:szCs w:val="22"/>
                <w:rtl/>
              </w:rPr>
              <w:t>ותיקים</w:t>
            </w:r>
            <w:r>
              <w:rPr>
                <w:sz w:val="22"/>
                <w:szCs w:val="22"/>
                <w:rtl/>
              </w:rPr>
              <w:t xml:space="preserve">: בשנת 2007 הוקם המשרד כגוף מטה בממשלה </w:t>
            </w:r>
            <w:r>
              <w:rPr>
                <w:rFonts w:hint="cs"/>
                <w:sz w:val="22"/>
                <w:szCs w:val="22"/>
                <w:rtl/>
              </w:rPr>
              <w:t>שמטרתו</w:t>
            </w:r>
            <w:r>
              <w:rPr>
                <w:sz w:val="22"/>
                <w:szCs w:val="22"/>
                <w:rtl/>
              </w:rPr>
              <w:t xml:space="preserve"> </w:t>
            </w:r>
            <w:r>
              <w:rPr>
                <w:rFonts w:hint="cs"/>
                <w:sz w:val="22"/>
                <w:szCs w:val="22"/>
                <w:rtl/>
              </w:rPr>
              <w:t>לפתח</w:t>
            </w:r>
            <w:r>
              <w:rPr>
                <w:sz w:val="22"/>
                <w:szCs w:val="22"/>
                <w:rtl/>
              </w:rPr>
              <w:t xml:space="preserve"> תכניות ושירותים לאזרחים הוותיקים, </w:t>
            </w:r>
            <w:r>
              <w:rPr>
                <w:rFonts w:hint="cs"/>
                <w:sz w:val="22"/>
                <w:szCs w:val="22"/>
                <w:rtl/>
              </w:rPr>
              <w:t>לשפר</w:t>
            </w:r>
            <w:r>
              <w:rPr>
                <w:sz w:val="22"/>
                <w:szCs w:val="22"/>
                <w:rtl/>
              </w:rPr>
              <w:t xml:space="preserve"> </w:t>
            </w:r>
            <w:r>
              <w:rPr>
                <w:rFonts w:hint="cs"/>
                <w:sz w:val="22"/>
                <w:szCs w:val="22"/>
                <w:rtl/>
              </w:rPr>
              <w:t>את</w:t>
            </w:r>
            <w:r>
              <w:rPr>
                <w:sz w:val="22"/>
                <w:szCs w:val="22"/>
                <w:rtl/>
              </w:rPr>
              <w:t xml:space="preserve"> איכות חייהם ו</w:t>
            </w:r>
            <w:r>
              <w:rPr>
                <w:rFonts w:hint="cs"/>
                <w:sz w:val="22"/>
                <w:szCs w:val="22"/>
                <w:rtl/>
              </w:rPr>
              <w:t>לקדם</w:t>
            </w:r>
            <w:r>
              <w:rPr>
                <w:sz w:val="22"/>
                <w:szCs w:val="22"/>
                <w:rtl/>
              </w:rPr>
              <w:t xml:space="preserve"> </w:t>
            </w:r>
            <w:r>
              <w:rPr>
                <w:rFonts w:hint="cs"/>
                <w:sz w:val="22"/>
                <w:szCs w:val="22"/>
                <w:rtl/>
              </w:rPr>
              <w:t>את</w:t>
            </w:r>
            <w:r>
              <w:rPr>
                <w:sz w:val="22"/>
                <w:szCs w:val="22"/>
                <w:rtl/>
              </w:rPr>
              <w:t xml:space="preserve"> </w:t>
            </w:r>
            <w:r>
              <w:rPr>
                <w:rFonts w:hint="cs"/>
                <w:sz w:val="22"/>
                <w:szCs w:val="22"/>
                <w:rtl/>
              </w:rPr>
              <w:t>ענייניהם</w:t>
            </w:r>
            <w:r>
              <w:rPr>
                <w:sz w:val="22"/>
                <w:szCs w:val="22"/>
                <w:rtl/>
              </w:rPr>
              <w:t>.</w:t>
            </w:r>
          </w:p>
        </w:tc>
      </w:tr>
    </w:tbl>
    <w:p w:rsidR="00F60E90">
      <w:pPr>
        <w:pStyle w:val="takzir"/>
        <w:jc w:val="cente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F60E90">
            <w:pPr>
              <w:pStyle w:val="KOT4"/>
              <w:spacing w:before="120"/>
              <w:jc w:val="center"/>
              <w:rPr>
                <w:rtl/>
              </w:rPr>
            </w:pPr>
            <w:r>
              <w:rPr>
                <w:rtl/>
              </w:rPr>
              <w:t>פעולות הביקורת</w:t>
            </w:r>
          </w:p>
        </w:tc>
      </w:tr>
      <w:tr w:rsidTr="00D53830">
        <w:tblPrEx>
          <w:tblW w:w="6691" w:type="dxa"/>
          <w:jc w:val="center"/>
          <w:tblLook w:val="04A0"/>
        </w:tblPrEx>
        <w:trPr>
          <w:jc w:val="center"/>
        </w:trPr>
        <w:tc>
          <w:tcPr>
            <w:tcW w:w="7018" w:type="dxa"/>
          </w:tcPr>
          <w:p w:rsidR="00F60E90">
            <w:pPr>
              <w:pStyle w:val="takzir"/>
              <w:spacing w:before="60"/>
              <w:rPr>
                <w:b w:val="0"/>
                <w:bCs w:val="0"/>
                <w:noProof w:val="0"/>
                <w:rtl/>
              </w:rPr>
            </w:pPr>
            <w:r>
              <w:rPr>
                <w:rFonts w:hint="cs"/>
                <w:b w:val="0"/>
                <w:bCs w:val="0"/>
                <w:noProof w:val="0"/>
                <w:rtl/>
              </w:rPr>
              <w:t>בחודשים</w:t>
            </w:r>
            <w:r>
              <w:rPr>
                <w:b w:val="0"/>
                <w:bCs w:val="0"/>
                <w:noProof w:val="0"/>
                <w:rtl/>
              </w:rPr>
              <w:t xml:space="preserve"> </w:t>
            </w:r>
            <w:r>
              <w:rPr>
                <w:rFonts w:hint="cs"/>
                <w:b w:val="0"/>
                <w:bCs w:val="0"/>
                <w:noProof w:val="0"/>
                <w:rtl/>
              </w:rPr>
              <w:t>נובמבר</w:t>
            </w:r>
            <w:r>
              <w:rPr>
                <w:b w:val="0"/>
                <w:bCs w:val="0"/>
                <w:noProof w:val="0"/>
                <w:rtl/>
              </w:rPr>
              <w:t xml:space="preserve"> 2013</w:t>
            </w:r>
            <w:r>
              <w:rPr>
                <w:rFonts w:hint="cs"/>
                <w:b w:val="0"/>
                <w:bCs w:val="0"/>
                <w:noProof w:val="0"/>
                <w:rtl/>
              </w:rPr>
              <w:t xml:space="preserve"> </w:t>
            </w:r>
            <w:r>
              <w:rPr>
                <w:b w:val="0"/>
                <w:bCs w:val="0"/>
                <w:noProof w:val="0"/>
                <w:rtl/>
              </w:rPr>
              <w:t>-</w:t>
            </w:r>
            <w:r>
              <w:rPr>
                <w:rFonts w:hint="cs"/>
                <w:b w:val="0"/>
                <w:bCs w:val="0"/>
                <w:noProof w:val="0"/>
                <w:rtl/>
              </w:rPr>
              <w:t xml:space="preserve"> </w:t>
            </w:r>
            <w:r>
              <w:rPr>
                <w:b w:val="0"/>
                <w:bCs w:val="0"/>
                <w:noProof w:val="0"/>
                <w:rtl/>
              </w:rPr>
              <w:t xml:space="preserve">אפריל 2014 </w:t>
            </w:r>
            <w:r>
              <w:rPr>
                <w:rFonts w:hint="cs"/>
                <w:b w:val="0"/>
                <w:bCs w:val="0"/>
                <w:noProof w:val="0"/>
                <w:rtl/>
              </w:rPr>
              <w:t>בדק</w:t>
            </w:r>
            <w:r>
              <w:rPr>
                <w:b w:val="0"/>
                <w:bCs w:val="0"/>
                <w:noProof w:val="0"/>
                <w:rtl/>
              </w:rPr>
              <w:t xml:space="preserve"> </w:t>
            </w:r>
            <w:r>
              <w:rPr>
                <w:rFonts w:hint="cs"/>
                <w:b w:val="0"/>
                <w:bCs w:val="0"/>
                <w:noProof w:val="0"/>
                <w:rtl/>
              </w:rPr>
              <w:t>משרד</w:t>
            </w:r>
            <w:r>
              <w:rPr>
                <w:b w:val="0"/>
                <w:bCs w:val="0"/>
                <w:noProof w:val="0"/>
                <w:rtl/>
              </w:rPr>
              <w:t xml:space="preserve"> </w:t>
            </w:r>
            <w:r>
              <w:rPr>
                <w:rFonts w:hint="cs"/>
                <w:b w:val="0"/>
                <w:bCs w:val="0"/>
                <w:noProof w:val="0"/>
                <w:rtl/>
              </w:rPr>
              <w:t>מבקר</w:t>
            </w:r>
            <w:r>
              <w:rPr>
                <w:b w:val="0"/>
                <w:bCs w:val="0"/>
                <w:noProof w:val="0"/>
                <w:rtl/>
              </w:rPr>
              <w:t xml:space="preserve"> </w:t>
            </w:r>
            <w:r>
              <w:rPr>
                <w:rFonts w:hint="cs"/>
                <w:b w:val="0"/>
                <w:bCs w:val="0"/>
                <w:noProof w:val="0"/>
                <w:rtl/>
              </w:rPr>
              <w:t>המדינה</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השירות</w:t>
            </w:r>
            <w:r>
              <w:rPr>
                <w:b w:val="0"/>
                <w:bCs w:val="0"/>
                <w:noProof w:val="0"/>
                <w:rtl/>
              </w:rPr>
              <w:t xml:space="preserve"> </w:t>
            </w:r>
            <w:r>
              <w:rPr>
                <w:rFonts w:hint="cs"/>
                <w:b w:val="0"/>
                <w:bCs w:val="0"/>
                <w:noProof w:val="0"/>
                <w:rtl/>
              </w:rPr>
              <w:t>הניתן</w:t>
            </w:r>
            <w:r>
              <w:rPr>
                <w:b w:val="0"/>
                <w:bCs w:val="0"/>
                <w:noProof w:val="0"/>
                <w:rtl/>
              </w:rPr>
              <w:t xml:space="preserve"> </w:t>
            </w:r>
            <w:r>
              <w:rPr>
                <w:rFonts w:hint="cs"/>
                <w:b w:val="0"/>
                <w:bCs w:val="0"/>
                <w:noProof w:val="0"/>
                <w:rtl/>
              </w:rPr>
              <w:t>לזקן</w:t>
            </w:r>
            <w:r>
              <w:rPr>
                <w:b w:val="0"/>
                <w:bCs w:val="0"/>
                <w:noProof w:val="0"/>
                <w:rtl/>
              </w:rPr>
              <w:t xml:space="preserve"> </w:t>
            </w:r>
            <w:r>
              <w:rPr>
                <w:rFonts w:hint="cs"/>
                <w:b w:val="0"/>
                <w:bCs w:val="0"/>
                <w:noProof w:val="0"/>
                <w:rtl/>
              </w:rPr>
              <w:t>בתוך הקהילה</w:t>
            </w:r>
            <w:r>
              <w:rPr>
                <w:b w:val="0"/>
                <w:bCs w:val="0"/>
                <w:noProof w:val="0"/>
                <w:rtl/>
              </w:rPr>
              <w:t xml:space="preserve">. </w:t>
            </w:r>
            <w:r>
              <w:rPr>
                <w:rFonts w:hint="cs"/>
                <w:b w:val="0"/>
                <w:bCs w:val="0"/>
                <w:noProof w:val="0"/>
                <w:rtl/>
              </w:rPr>
              <w:t>הביקורת</w:t>
            </w:r>
            <w:r>
              <w:rPr>
                <w:b w:val="0"/>
                <w:bCs w:val="0"/>
                <w:noProof w:val="0"/>
                <w:rtl/>
              </w:rPr>
              <w:t xml:space="preserve"> </w:t>
            </w:r>
            <w:r>
              <w:rPr>
                <w:rFonts w:hint="cs"/>
                <w:b w:val="0"/>
                <w:bCs w:val="0"/>
                <w:noProof w:val="0"/>
                <w:rtl/>
              </w:rPr>
              <w:t>נערכה</w:t>
            </w:r>
            <w:r>
              <w:rPr>
                <w:b w:val="0"/>
                <w:bCs w:val="0"/>
                <w:noProof w:val="0"/>
                <w:rtl/>
              </w:rPr>
              <w:t xml:space="preserve"> </w:t>
            </w:r>
            <w:r>
              <w:rPr>
                <w:rFonts w:hint="cs"/>
                <w:b w:val="0"/>
                <w:bCs w:val="0"/>
                <w:noProof w:val="0"/>
                <w:rtl/>
              </w:rPr>
              <w:t>בעיריות</w:t>
            </w:r>
            <w:r>
              <w:rPr>
                <w:b w:val="0"/>
                <w:bCs w:val="0"/>
                <w:noProof w:val="0"/>
                <w:rtl/>
              </w:rPr>
              <w:t xml:space="preserve"> </w:t>
            </w:r>
            <w:r>
              <w:rPr>
                <w:rFonts w:hint="cs"/>
                <w:b w:val="0"/>
                <w:bCs w:val="0"/>
                <w:noProof w:val="0"/>
                <w:rtl/>
              </w:rPr>
              <w:t>אום</w:t>
            </w:r>
            <w:r>
              <w:rPr>
                <w:b w:val="0"/>
                <w:bCs w:val="0"/>
                <w:noProof w:val="0"/>
                <w:rtl/>
              </w:rPr>
              <w:t xml:space="preserve"> </w:t>
            </w:r>
            <w:r>
              <w:rPr>
                <w:rFonts w:hint="cs"/>
                <w:b w:val="0"/>
                <w:bCs w:val="0"/>
                <w:noProof w:val="0"/>
                <w:rtl/>
              </w:rPr>
              <w:t>אל</w:t>
            </w:r>
            <w:r>
              <w:rPr>
                <w:b w:val="0"/>
                <w:bCs w:val="0"/>
                <w:noProof w:val="0"/>
                <w:rtl/>
              </w:rPr>
              <w:t xml:space="preserve">-פחם, באקה </w:t>
            </w:r>
            <w:r>
              <w:rPr>
                <w:rFonts w:hint="cs"/>
                <w:b w:val="0"/>
                <w:bCs w:val="0"/>
                <w:noProof w:val="0"/>
                <w:rtl/>
              </w:rPr>
              <w:t>אל</w:t>
            </w:r>
            <w:r>
              <w:rPr>
                <w:b w:val="0"/>
                <w:bCs w:val="0"/>
                <w:noProof w:val="0"/>
                <w:rtl/>
              </w:rPr>
              <w:t>-</w:t>
            </w:r>
            <w:r>
              <w:rPr>
                <w:rFonts w:hint="cs"/>
                <w:b w:val="0"/>
                <w:bCs w:val="0"/>
                <w:noProof w:val="0"/>
                <w:rtl/>
              </w:rPr>
              <w:t>גרבייה,</w:t>
            </w:r>
            <w:r>
              <w:rPr>
                <w:b w:val="0"/>
                <w:bCs w:val="0"/>
                <w:noProof w:val="0"/>
                <w:rtl/>
              </w:rPr>
              <w:t xml:space="preserve"> </w:t>
            </w:r>
            <w:r>
              <w:rPr>
                <w:rFonts w:hint="cs"/>
                <w:b w:val="0"/>
                <w:bCs w:val="0"/>
                <w:noProof w:val="0"/>
                <w:rtl/>
              </w:rPr>
              <w:t>חיפה</w:t>
            </w:r>
            <w:r>
              <w:rPr>
                <w:b w:val="0"/>
                <w:bCs w:val="0"/>
                <w:noProof w:val="0"/>
                <w:rtl/>
              </w:rPr>
              <w:t xml:space="preserve">, </w:t>
            </w:r>
            <w:r>
              <w:rPr>
                <w:rFonts w:hint="cs"/>
                <w:b w:val="0"/>
                <w:bCs w:val="0"/>
                <w:noProof w:val="0"/>
                <w:rtl/>
              </w:rPr>
              <w:t>מגדל</w:t>
            </w:r>
            <w:r>
              <w:rPr>
                <w:b w:val="0"/>
                <w:bCs w:val="0"/>
                <w:noProof w:val="0"/>
                <w:rtl/>
              </w:rPr>
              <w:t xml:space="preserve"> </w:t>
            </w:r>
            <w:r>
              <w:rPr>
                <w:rFonts w:hint="cs"/>
                <w:b w:val="0"/>
                <w:bCs w:val="0"/>
                <w:noProof w:val="0"/>
                <w:rtl/>
              </w:rPr>
              <w:t>העמק</w:t>
            </w:r>
            <w:r>
              <w:rPr>
                <w:b w:val="0"/>
                <w:bCs w:val="0"/>
                <w:noProof w:val="0"/>
                <w:rtl/>
              </w:rPr>
              <w:t xml:space="preserve">, </w:t>
            </w:r>
            <w:r>
              <w:rPr>
                <w:rFonts w:hint="cs"/>
                <w:b w:val="0"/>
                <w:bCs w:val="0"/>
                <w:noProof w:val="0"/>
                <w:rtl/>
              </w:rPr>
              <w:t>מודיעין</w:t>
            </w:r>
            <w:r>
              <w:rPr>
                <w:b w:val="0"/>
                <w:bCs w:val="0"/>
                <w:noProof w:val="0"/>
                <w:rtl/>
              </w:rPr>
              <w:t xml:space="preserve"> </w:t>
            </w:r>
            <w:r>
              <w:rPr>
                <w:rFonts w:hint="cs"/>
                <w:b w:val="0"/>
                <w:bCs w:val="0"/>
                <w:noProof w:val="0"/>
                <w:rtl/>
              </w:rPr>
              <w:t>עילית</w:t>
            </w:r>
            <w:r>
              <w:rPr>
                <w:b w:val="0"/>
                <w:bCs w:val="0"/>
                <w:noProof w:val="0"/>
                <w:rtl/>
              </w:rPr>
              <w:t>,</w:t>
            </w:r>
            <w:r>
              <w:rPr>
                <w:rFonts w:hint="cs"/>
                <w:b w:val="0"/>
                <w:bCs w:val="0"/>
                <w:noProof w:val="0"/>
                <w:rtl/>
              </w:rPr>
              <w:t xml:space="preserve"> עפולה</w:t>
            </w:r>
            <w:r>
              <w:rPr>
                <w:b w:val="0"/>
                <w:bCs w:val="0"/>
                <w:noProof w:val="0"/>
                <w:rtl/>
              </w:rPr>
              <w:t xml:space="preserve">, </w:t>
            </w:r>
            <w:r>
              <w:rPr>
                <w:rFonts w:hint="cs"/>
                <w:b w:val="0"/>
                <w:bCs w:val="0"/>
                <w:noProof w:val="0"/>
                <w:rtl/>
              </w:rPr>
              <w:t>קלנסווה</w:t>
            </w:r>
            <w:r>
              <w:rPr>
                <w:b w:val="0"/>
                <w:bCs w:val="0"/>
                <w:noProof w:val="0"/>
                <w:rtl/>
              </w:rPr>
              <w:t xml:space="preserve"> </w:t>
            </w:r>
            <w:r>
              <w:rPr>
                <w:rFonts w:hint="cs"/>
                <w:b w:val="0"/>
                <w:bCs w:val="0"/>
                <w:noProof w:val="0"/>
                <w:rtl/>
              </w:rPr>
              <w:t>ו</w:t>
            </w:r>
            <w:r>
              <w:rPr>
                <w:b w:val="0"/>
                <w:bCs w:val="0"/>
                <w:noProof w:val="0"/>
                <w:rtl/>
              </w:rPr>
              <w:t xml:space="preserve">קריית שמונה </w:t>
            </w:r>
            <w:r>
              <w:rPr>
                <w:rFonts w:hint="cs"/>
                <w:b w:val="0"/>
                <w:bCs w:val="0"/>
                <w:noProof w:val="0"/>
                <w:rtl/>
              </w:rPr>
              <w:t>ובמועצות</w:t>
            </w:r>
            <w:r>
              <w:rPr>
                <w:b w:val="0"/>
                <w:bCs w:val="0"/>
                <w:noProof w:val="0"/>
                <w:rtl/>
              </w:rPr>
              <w:t xml:space="preserve"> </w:t>
            </w:r>
            <w:r>
              <w:rPr>
                <w:rFonts w:hint="cs"/>
                <w:b w:val="0"/>
                <w:bCs w:val="0"/>
                <w:noProof w:val="0"/>
                <w:rtl/>
              </w:rPr>
              <w:t>האזוריות</w:t>
            </w:r>
            <w:r>
              <w:rPr>
                <w:b w:val="0"/>
                <w:bCs w:val="0"/>
                <w:noProof w:val="0"/>
                <w:rtl/>
              </w:rPr>
              <w:t xml:space="preserve"> </w:t>
            </w:r>
            <w:r>
              <w:rPr>
                <w:rFonts w:hint="cs"/>
                <w:b w:val="0"/>
                <w:bCs w:val="0"/>
                <w:noProof w:val="0"/>
                <w:rtl/>
              </w:rPr>
              <w:t>הגליל</w:t>
            </w:r>
            <w:r>
              <w:rPr>
                <w:b w:val="0"/>
                <w:bCs w:val="0"/>
                <w:noProof w:val="0"/>
                <w:rtl/>
              </w:rPr>
              <w:t xml:space="preserve"> </w:t>
            </w:r>
            <w:r>
              <w:rPr>
                <w:rFonts w:hint="cs"/>
                <w:b w:val="0"/>
                <w:bCs w:val="0"/>
                <w:noProof w:val="0"/>
                <w:rtl/>
              </w:rPr>
              <w:t>העליון</w:t>
            </w:r>
            <w:r>
              <w:rPr>
                <w:b w:val="0"/>
                <w:bCs w:val="0"/>
                <w:noProof w:val="0"/>
                <w:rtl/>
              </w:rPr>
              <w:t xml:space="preserve">, </w:t>
            </w:r>
            <w:r>
              <w:rPr>
                <w:rFonts w:hint="cs"/>
                <w:b w:val="0"/>
                <w:bCs w:val="0"/>
                <w:noProof w:val="0"/>
                <w:rtl/>
              </w:rPr>
              <w:t>מרום</w:t>
            </w:r>
            <w:r>
              <w:rPr>
                <w:b w:val="0"/>
                <w:bCs w:val="0"/>
                <w:noProof w:val="0"/>
                <w:rtl/>
              </w:rPr>
              <w:t xml:space="preserve"> </w:t>
            </w:r>
            <w:r>
              <w:rPr>
                <w:rFonts w:hint="cs"/>
                <w:b w:val="0"/>
                <w:bCs w:val="0"/>
                <w:noProof w:val="0"/>
                <w:rtl/>
              </w:rPr>
              <w:t>הגליל</w:t>
            </w:r>
            <w:r>
              <w:rPr>
                <w:b w:val="0"/>
                <w:bCs w:val="0"/>
                <w:noProof w:val="0"/>
                <w:rtl/>
              </w:rPr>
              <w:t xml:space="preserve"> </w:t>
            </w:r>
            <w:r>
              <w:rPr>
                <w:rFonts w:hint="cs"/>
                <w:b w:val="0"/>
                <w:bCs w:val="0"/>
                <w:noProof w:val="0"/>
                <w:rtl/>
              </w:rPr>
              <w:t>ולב</w:t>
            </w:r>
            <w:r>
              <w:rPr>
                <w:b w:val="0"/>
                <w:bCs w:val="0"/>
                <w:noProof w:val="0"/>
                <w:rtl/>
              </w:rPr>
              <w:t xml:space="preserve"> </w:t>
            </w:r>
            <w:r>
              <w:rPr>
                <w:rFonts w:hint="cs"/>
                <w:b w:val="0"/>
                <w:bCs w:val="0"/>
                <w:noProof w:val="0"/>
                <w:rtl/>
              </w:rPr>
              <w:t>השרון (להלן - הרשויות המקומיות שנבדקו)</w:t>
            </w:r>
            <w:r>
              <w:rPr>
                <w:b w:val="0"/>
                <w:bCs w:val="0"/>
                <w:noProof w:val="0"/>
                <w:rtl/>
              </w:rPr>
              <w:t xml:space="preserve">. </w:t>
            </w:r>
            <w:r>
              <w:rPr>
                <w:rFonts w:hint="cs"/>
                <w:b w:val="0"/>
                <w:bCs w:val="0"/>
                <w:noProof w:val="0"/>
                <w:rtl/>
              </w:rPr>
              <w:t>בדיקות</w:t>
            </w:r>
            <w:r>
              <w:rPr>
                <w:b w:val="0"/>
                <w:bCs w:val="0"/>
                <w:noProof w:val="0"/>
                <w:rtl/>
              </w:rPr>
              <w:t xml:space="preserve"> </w:t>
            </w:r>
            <w:r>
              <w:rPr>
                <w:rFonts w:hint="cs"/>
                <w:b w:val="0"/>
                <w:bCs w:val="0"/>
                <w:noProof w:val="0"/>
                <w:rtl/>
              </w:rPr>
              <w:t>השלמה</w:t>
            </w:r>
            <w:r>
              <w:rPr>
                <w:b w:val="0"/>
                <w:bCs w:val="0"/>
                <w:noProof w:val="0"/>
                <w:rtl/>
              </w:rPr>
              <w:t xml:space="preserve"> </w:t>
            </w:r>
            <w:r>
              <w:rPr>
                <w:rFonts w:hint="cs"/>
                <w:b w:val="0"/>
                <w:bCs w:val="0"/>
                <w:noProof w:val="0"/>
                <w:rtl/>
              </w:rPr>
              <w:t>נערכו</w:t>
            </w:r>
            <w:r>
              <w:rPr>
                <w:b w:val="0"/>
                <w:bCs w:val="0"/>
                <w:noProof w:val="0"/>
                <w:rtl/>
              </w:rPr>
              <w:t xml:space="preserve"> </w:t>
            </w:r>
            <w:r>
              <w:rPr>
                <w:rFonts w:hint="cs"/>
                <w:b w:val="0"/>
                <w:bCs w:val="0"/>
                <w:noProof w:val="0"/>
                <w:rtl/>
              </w:rPr>
              <w:t>במשרד</w:t>
            </w:r>
            <w:r>
              <w:rPr>
                <w:b w:val="0"/>
                <w:bCs w:val="0"/>
                <w:noProof w:val="0"/>
                <w:rtl/>
              </w:rPr>
              <w:t xml:space="preserve"> </w:t>
            </w:r>
            <w:r>
              <w:rPr>
                <w:rFonts w:hint="cs"/>
                <w:b w:val="0"/>
                <w:bCs w:val="0"/>
                <w:noProof w:val="0"/>
                <w:rtl/>
              </w:rPr>
              <w:t>הרווחה</w:t>
            </w:r>
            <w:r>
              <w:rPr>
                <w:b w:val="0"/>
                <w:bCs w:val="0"/>
                <w:noProof w:val="0"/>
                <w:rtl/>
              </w:rPr>
              <w:t xml:space="preserve"> </w:t>
            </w:r>
            <w:r>
              <w:rPr>
                <w:rFonts w:hint="cs"/>
                <w:b w:val="0"/>
                <w:bCs w:val="0"/>
                <w:noProof w:val="0"/>
                <w:rtl/>
              </w:rPr>
              <w:t>ובמשרד</w:t>
            </w:r>
            <w:r>
              <w:rPr>
                <w:b w:val="0"/>
                <w:bCs w:val="0"/>
                <w:noProof w:val="0"/>
                <w:rtl/>
              </w:rPr>
              <w:t xml:space="preserve"> </w:t>
            </w:r>
            <w:r>
              <w:rPr>
                <w:rFonts w:hint="cs"/>
                <w:b w:val="0"/>
                <w:bCs w:val="0"/>
                <w:noProof w:val="0"/>
                <w:rtl/>
              </w:rPr>
              <w:t>לאזרחים</w:t>
            </w:r>
            <w:r>
              <w:rPr>
                <w:b w:val="0"/>
                <w:bCs w:val="0"/>
                <w:noProof w:val="0"/>
                <w:rtl/>
              </w:rPr>
              <w:t xml:space="preserve"> </w:t>
            </w:r>
            <w:r>
              <w:rPr>
                <w:rFonts w:hint="cs"/>
                <w:b w:val="0"/>
                <w:bCs w:val="0"/>
                <w:noProof w:val="0"/>
                <w:rtl/>
              </w:rPr>
              <w:t>ותיקים</w:t>
            </w:r>
            <w:r>
              <w:rPr>
                <w:b w:val="0"/>
                <w:bCs w:val="0"/>
                <w:noProof w:val="0"/>
                <w:rtl/>
              </w:rPr>
              <w:t>.</w:t>
            </w:r>
          </w:p>
        </w:tc>
      </w:tr>
    </w:tbl>
    <w:p w:rsidR="00F60E90">
      <w:pPr>
        <w:pStyle w:val="takzir"/>
        <w:rPr>
          <w:noProof w:val="0"/>
          <w:sz w:val="28"/>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Ex>
        <w:trPr>
          <w:cantSplit/>
          <w:jc w:val="center"/>
        </w:trPr>
        <w:tc>
          <w:tcPr>
            <w:tcW w:w="7018" w:type="dxa"/>
            <w:shd w:val="pct25" w:color="00FF00" w:fill="auto"/>
          </w:tcPr>
          <w:p w:rsidR="00F60E90">
            <w:pPr>
              <w:pStyle w:val="KOT4"/>
              <w:spacing w:before="120"/>
              <w:jc w:val="center"/>
              <w:rPr>
                <w:rtl/>
              </w:rPr>
            </w:pPr>
            <w:r>
              <w:rPr>
                <w:rFonts w:hint="cs"/>
                <w:rtl/>
              </w:rPr>
              <w:t>הליקויים העיקריים</w:t>
            </w:r>
          </w:p>
        </w:tc>
      </w:tr>
    </w:tbl>
    <w:p w:rsidR="00F60E90">
      <w:pPr>
        <w:keepNext/>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sz w:val="24"/>
                <w:szCs w:val="24"/>
                <w:rtl/>
              </w:rPr>
              <w:br w:type="page"/>
            </w:r>
            <w:r>
              <w:rPr>
                <w:rFonts w:hint="eastAsia"/>
                <w:sz w:val="24"/>
                <w:szCs w:val="24"/>
                <w:rtl/>
              </w:rPr>
              <w:t>היעדר</w:t>
            </w:r>
            <w:r>
              <w:rPr>
                <w:sz w:val="24"/>
                <w:szCs w:val="24"/>
                <w:rtl/>
              </w:rPr>
              <w:t xml:space="preserve"> </w:t>
            </w:r>
            <w:r>
              <w:rPr>
                <w:rFonts w:hint="cs"/>
                <w:sz w:val="24"/>
                <w:szCs w:val="24"/>
                <w:rtl/>
              </w:rPr>
              <w:t>תקינה</w:t>
            </w:r>
            <w:r>
              <w:rPr>
                <w:sz w:val="24"/>
                <w:szCs w:val="24"/>
                <w:rtl/>
              </w:rPr>
              <w:t xml:space="preserve"> </w:t>
            </w:r>
            <w:r>
              <w:rPr>
                <w:rFonts w:hint="eastAsia"/>
                <w:sz w:val="24"/>
                <w:szCs w:val="24"/>
                <w:rtl/>
              </w:rPr>
              <w:t>ועומס</w:t>
            </w:r>
            <w:r>
              <w:rPr>
                <w:sz w:val="24"/>
                <w:szCs w:val="24"/>
                <w:rtl/>
              </w:rPr>
              <w:t xml:space="preserve"> </w:t>
            </w:r>
            <w:r>
              <w:rPr>
                <w:rFonts w:hint="eastAsia"/>
                <w:sz w:val="24"/>
                <w:szCs w:val="24"/>
                <w:rtl/>
              </w:rPr>
              <w:t>עבודה</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rFonts w:hint="cs"/>
                <w:b w:val="0"/>
                <w:bCs w:val="0"/>
                <w:noProof w:val="0"/>
                <w:rtl/>
              </w:rPr>
              <w:t>בדרישות</w:t>
            </w:r>
            <w:r>
              <w:rPr>
                <w:b w:val="0"/>
                <w:bCs w:val="0"/>
                <w:noProof w:val="0"/>
                <w:rtl/>
              </w:rPr>
              <w:t xml:space="preserve"> מהמועמדים למשרה עו"ס לטיפול בזקן לא </w:t>
            </w:r>
            <w:r>
              <w:rPr>
                <w:rFonts w:hint="cs"/>
                <w:b w:val="0"/>
                <w:bCs w:val="0"/>
                <w:noProof w:val="0"/>
                <w:rtl/>
              </w:rPr>
              <w:t>התבקשה</w:t>
            </w:r>
            <w:r>
              <w:rPr>
                <w:b w:val="0"/>
                <w:bCs w:val="0"/>
                <w:noProof w:val="0"/>
                <w:rtl/>
              </w:rPr>
              <w:t xml:space="preserve"> הכשרה מקצועית כלשהי בתחום הזקנה, למעט דרישה בסיסית של רישום בפנקס </w:t>
            </w:r>
            <w:r>
              <w:rPr>
                <w:rFonts w:hint="cs"/>
                <w:b w:val="0"/>
                <w:bCs w:val="0"/>
                <w:noProof w:val="0"/>
                <w:rtl/>
              </w:rPr>
              <w:t>העו</w:t>
            </w:r>
            <w:r>
              <w:rPr>
                <w:b w:val="0"/>
                <w:bCs w:val="0"/>
                <w:noProof w:val="0"/>
                <w:rtl/>
              </w:rPr>
              <w:t>"סים.</w:t>
            </w:r>
          </w:p>
          <w:p w:rsidR="00F60E90">
            <w:pPr>
              <w:pStyle w:val="takzir"/>
              <w:rPr>
                <w:b w:val="0"/>
                <w:bCs w:val="0"/>
                <w:noProof w:val="0"/>
                <w:rtl/>
              </w:rPr>
            </w:pPr>
            <w:r>
              <w:rPr>
                <w:rFonts w:hint="cs"/>
                <w:b w:val="0"/>
                <w:bCs w:val="0"/>
                <w:noProof w:val="0"/>
                <w:rtl/>
              </w:rPr>
              <w:t>משרד</w:t>
            </w:r>
            <w:r>
              <w:rPr>
                <w:b w:val="0"/>
                <w:bCs w:val="0"/>
                <w:noProof w:val="0"/>
                <w:rtl/>
              </w:rPr>
              <w:t xml:space="preserve"> </w:t>
            </w:r>
            <w:r>
              <w:rPr>
                <w:rFonts w:hint="cs"/>
                <w:b w:val="0"/>
                <w:bCs w:val="0"/>
                <w:noProof w:val="0"/>
                <w:rtl/>
              </w:rPr>
              <w:t>הרווחה</w:t>
            </w:r>
            <w:r>
              <w:rPr>
                <w:b w:val="0"/>
                <w:bCs w:val="0"/>
                <w:noProof w:val="0"/>
                <w:rtl/>
              </w:rPr>
              <w:t xml:space="preserve"> </w:t>
            </w:r>
            <w:r>
              <w:rPr>
                <w:rFonts w:hint="cs"/>
                <w:b w:val="0"/>
                <w:bCs w:val="0"/>
                <w:noProof w:val="0"/>
                <w:rtl/>
              </w:rPr>
              <w:t>לא</w:t>
            </w:r>
            <w:r>
              <w:rPr>
                <w:b w:val="0"/>
                <w:bCs w:val="0"/>
                <w:noProof w:val="0"/>
                <w:rtl/>
              </w:rPr>
              <w:t xml:space="preserve"> </w:t>
            </w:r>
            <w:r>
              <w:rPr>
                <w:rFonts w:hint="cs"/>
                <w:b w:val="0"/>
                <w:bCs w:val="0"/>
                <w:noProof w:val="0"/>
                <w:rtl/>
              </w:rPr>
              <w:t>קבע</w:t>
            </w:r>
            <w:r>
              <w:rPr>
                <w:b w:val="0"/>
                <w:bCs w:val="0"/>
                <w:noProof w:val="0"/>
                <w:rtl/>
              </w:rPr>
              <w:t xml:space="preserve"> </w:t>
            </w:r>
            <w:r>
              <w:rPr>
                <w:rFonts w:hint="cs"/>
                <w:b w:val="0"/>
                <w:bCs w:val="0"/>
                <w:noProof w:val="0"/>
                <w:rtl/>
              </w:rPr>
              <w:t>כללים</w:t>
            </w:r>
            <w:r>
              <w:rPr>
                <w:b w:val="0"/>
                <w:bCs w:val="0"/>
                <w:noProof w:val="0"/>
                <w:rtl/>
              </w:rPr>
              <w:t xml:space="preserve"> </w:t>
            </w:r>
            <w:r>
              <w:rPr>
                <w:rFonts w:hint="cs"/>
                <w:b w:val="0"/>
                <w:bCs w:val="0"/>
                <w:noProof w:val="0"/>
                <w:rtl/>
              </w:rPr>
              <w:t>הנוגעים</w:t>
            </w:r>
            <w:r>
              <w:rPr>
                <w:b w:val="0"/>
                <w:bCs w:val="0"/>
                <w:noProof w:val="0"/>
                <w:rtl/>
              </w:rPr>
              <w:t xml:space="preserve"> </w:t>
            </w:r>
            <w:r>
              <w:rPr>
                <w:rFonts w:hint="cs"/>
                <w:b w:val="0"/>
                <w:bCs w:val="0"/>
                <w:noProof w:val="0"/>
                <w:rtl/>
              </w:rPr>
              <w:t>למספר</w:t>
            </w:r>
            <w:r>
              <w:rPr>
                <w:b w:val="0"/>
                <w:bCs w:val="0"/>
                <w:noProof w:val="0"/>
                <w:rtl/>
              </w:rPr>
              <w:t xml:space="preserve"> </w:t>
            </w:r>
            <w:r>
              <w:rPr>
                <w:rFonts w:hint="cs"/>
                <w:b w:val="0"/>
                <w:bCs w:val="0"/>
                <w:noProof w:val="0"/>
                <w:rtl/>
              </w:rPr>
              <w:t>הזקנים</w:t>
            </w:r>
            <w:r>
              <w:rPr>
                <w:b w:val="0"/>
                <w:bCs w:val="0"/>
                <w:noProof w:val="0"/>
                <w:rtl/>
              </w:rPr>
              <w:t xml:space="preserve"> </w:t>
            </w:r>
            <w:r>
              <w:rPr>
                <w:rFonts w:hint="cs"/>
                <w:b w:val="0"/>
                <w:bCs w:val="0"/>
                <w:noProof w:val="0"/>
                <w:rtl/>
              </w:rPr>
              <w:t>שראוי</w:t>
            </w:r>
            <w:r>
              <w:rPr>
                <w:b w:val="0"/>
                <w:bCs w:val="0"/>
                <w:noProof w:val="0"/>
                <w:rtl/>
              </w:rPr>
              <w:t xml:space="preserve"> </w:t>
            </w:r>
            <w:r>
              <w:rPr>
                <w:rFonts w:hint="cs"/>
                <w:b w:val="0"/>
                <w:bCs w:val="0"/>
                <w:noProof w:val="0"/>
                <w:rtl/>
              </w:rPr>
              <w:t>שעו</w:t>
            </w:r>
            <w:r>
              <w:rPr>
                <w:b w:val="0"/>
                <w:bCs w:val="0"/>
                <w:noProof w:val="0"/>
                <w:rtl/>
              </w:rPr>
              <w:t xml:space="preserve">"ס לזקן יטפל בהם כדי להבטיח טיפול נאות ומקצועי. </w:t>
            </w:r>
            <w:r>
              <w:rPr>
                <w:rFonts w:hint="cs"/>
                <w:b w:val="0"/>
                <w:bCs w:val="0"/>
                <w:noProof w:val="0"/>
                <w:rtl/>
              </w:rPr>
              <w:t>בעניין</w:t>
            </w:r>
            <w:r>
              <w:rPr>
                <w:b w:val="0"/>
                <w:bCs w:val="0"/>
                <w:noProof w:val="0"/>
                <w:rtl/>
              </w:rPr>
              <w:t xml:space="preserve"> </w:t>
            </w:r>
            <w:r>
              <w:rPr>
                <w:rFonts w:hint="cs"/>
                <w:b w:val="0"/>
                <w:bCs w:val="0"/>
                <w:noProof w:val="0"/>
                <w:rtl/>
              </w:rPr>
              <w:t>זה</w:t>
            </w:r>
            <w:r>
              <w:rPr>
                <w:b w:val="0"/>
                <w:bCs w:val="0"/>
                <w:noProof w:val="0"/>
                <w:rtl/>
              </w:rPr>
              <w:t xml:space="preserve"> </w:t>
            </w:r>
            <w:r>
              <w:rPr>
                <w:rFonts w:hint="cs"/>
                <w:b w:val="0"/>
                <w:bCs w:val="0"/>
                <w:noProof w:val="0"/>
                <w:rtl/>
              </w:rPr>
              <w:t>גם</w:t>
            </w:r>
            <w:r>
              <w:rPr>
                <w:b w:val="0"/>
                <w:bCs w:val="0"/>
                <w:noProof w:val="0"/>
                <w:rtl/>
              </w:rPr>
              <w:t xml:space="preserve"> </w:t>
            </w:r>
            <w:r>
              <w:rPr>
                <w:rFonts w:hint="cs"/>
                <w:b w:val="0"/>
                <w:bCs w:val="0"/>
                <w:noProof w:val="0"/>
                <w:rtl/>
              </w:rPr>
              <w:t>נמצא</w:t>
            </w:r>
            <w:r>
              <w:rPr>
                <w:b w:val="0"/>
                <w:bCs w:val="0"/>
                <w:noProof w:val="0"/>
                <w:rtl/>
              </w:rPr>
              <w:t xml:space="preserve"> </w:t>
            </w:r>
            <w:r>
              <w:rPr>
                <w:rFonts w:hint="cs"/>
                <w:b w:val="0"/>
                <w:bCs w:val="0"/>
                <w:noProof w:val="0"/>
                <w:rtl/>
              </w:rPr>
              <w:t>שמספר</w:t>
            </w:r>
            <w:r>
              <w:rPr>
                <w:b w:val="0"/>
                <w:bCs w:val="0"/>
                <w:noProof w:val="0"/>
                <w:rtl/>
              </w:rPr>
              <w:t xml:space="preserve"> </w:t>
            </w:r>
            <w:r>
              <w:rPr>
                <w:rFonts w:hint="cs"/>
                <w:b w:val="0"/>
                <w:bCs w:val="0"/>
                <w:noProof w:val="0"/>
                <w:rtl/>
              </w:rPr>
              <w:t>הזקנים</w:t>
            </w:r>
            <w:r>
              <w:rPr>
                <w:b w:val="0"/>
                <w:bCs w:val="0"/>
                <w:noProof w:val="0"/>
                <w:rtl/>
              </w:rPr>
              <w:t xml:space="preserve"> </w:t>
            </w:r>
            <w:r>
              <w:rPr>
                <w:rFonts w:hint="cs"/>
                <w:b w:val="0"/>
                <w:bCs w:val="0"/>
                <w:noProof w:val="0"/>
                <w:rtl/>
              </w:rPr>
              <w:t>המצויים</w:t>
            </w:r>
            <w:r>
              <w:rPr>
                <w:b w:val="0"/>
                <w:bCs w:val="0"/>
                <w:noProof w:val="0"/>
                <w:rtl/>
              </w:rPr>
              <w:t xml:space="preserve"> </w:t>
            </w:r>
            <w:r>
              <w:rPr>
                <w:rFonts w:hint="cs"/>
                <w:b w:val="0"/>
                <w:bCs w:val="0"/>
                <w:noProof w:val="0"/>
                <w:rtl/>
              </w:rPr>
              <w:t>בטיפולו</w:t>
            </w:r>
            <w:r>
              <w:rPr>
                <w:b w:val="0"/>
                <w:bCs w:val="0"/>
                <w:noProof w:val="0"/>
                <w:rtl/>
              </w:rPr>
              <w:t xml:space="preserve"> </w:t>
            </w:r>
            <w:r>
              <w:rPr>
                <w:rFonts w:hint="cs"/>
                <w:b w:val="0"/>
                <w:bCs w:val="0"/>
                <w:noProof w:val="0"/>
                <w:rtl/>
              </w:rPr>
              <w:t>של</w:t>
            </w:r>
            <w:r>
              <w:rPr>
                <w:b w:val="0"/>
                <w:bCs w:val="0"/>
                <w:noProof w:val="0"/>
                <w:rtl/>
              </w:rPr>
              <w:t xml:space="preserve"> </w:t>
            </w:r>
            <w:r>
              <w:rPr>
                <w:rFonts w:hint="cs"/>
                <w:b w:val="0"/>
                <w:bCs w:val="0"/>
                <w:noProof w:val="0"/>
                <w:rtl/>
              </w:rPr>
              <w:t>עו</w:t>
            </w:r>
            <w:r>
              <w:rPr>
                <w:b w:val="0"/>
                <w:bCs w:val="0"/>
                <w:noProof w:val="0"/>
                <w:rtl/>
              </w:rPr>
              <w:t xml:space="preserve">"ס </w:t>
            </w:r>
            <w:r>
              <w:rPr>
                <w:rFonts w:hint="cs"/>
                <w:b w:val="0"/>
                <w:bCs w:val="0"/>
                <w:noProof w:val="0"/>
                <w:rtl/>
              </w:rPr>
              <w:t>אחד</w:t>
            </w:r>
            <w:r>
              <w:rPr>
                <w:b w:val="0"/>
                <w:bCs w:val="0"/>
                <w:noProof w:val="0"/>
                <w:rtl/>
              </w:rPr>
              <w:t xml:space="preserve"> </w:t>
            </w:r>
            <w:r>
              <w:rPr>
                <w:rFonts w:hint="cs"/>
                <w:b w:val="0"/>
                <w:bCs w:val="0"/>
                <w:noProof w:val="0"/>
                <w:rtl/>
              </w:rPr>
              <w:t>משתנה</w:t>
            </w:r>
            <w:r>
              <w:rPr>
                <w:b w:val="0"/>
                <w:bCs w:val="0"/>
                <w:noProof w:val="0"/>
                <w:rtl/>
              </w:rPr>
              <w:t xml:space="preserve"> </w:t>
            </w:r>
            <w:r>
              <w:rPr>
                <w:rFonts w:hint="cs"/>
                <w:b w:val="0"/>
                <w:bCs w:val="0"/>
                <w:noProof w:val="0"/>
                <w:rtl/>
              </w:rPr>
              <w:t>מרשות</w:t>
            </w:r>
            <w:r>
              <w:rPr>
                <w:b w:val="0"/>
                <w:bCs w:val="0"/>
                <w:noProof w:val="0"/>
                <w:rtl/>
              </w:rPr>
              <w:t xml:space="preserve"> </w:t>
            </w:r>
            <w:r>
              <w:rPr>
                <w:rFonts w:hint="cs"/>
                <w:b w:val="0"/>
                <w:bCs w:val="0"/>
                <w:noProof w:val="0"/>
                <w:rtl/>
              </w:rPr>
              <w:t>לרשות</w:t>
            </w:r>
            <w:r>
              <w:rPr>
                <w:b w:val="0"/>
                <w:bCs w:val="0"/>
                <w:noProof w:val="0"/>
                <w:rtl/>
              </w:rPr>
              <w:t xml:space="preserve"> </w:t>
            </w:r>
            <w:r>
              <w:rPr>
                <w:rFonts w:hint="cs"/>
                <w:b w:val="0"/>
                <w:bCs w:val="0"/>
                <w:noProof w:val="0"/>
                <w:rtl/>
              </w:rPr>
              <w:t>והוא</w:t>
            </w:r>
            <w:r>
              <w:rPr>
                <w:b w:val="0"/>
                <w:bCs w:val="0"/>
                <w:noProof w:val="0"/>
                <w:rtl/>
              </w:rPr>
              <w:t xml:space="preserve"> </w:t>
            </w:r>
            <w:r>
              <w:rPr>
                <w:rFonts w:hint="cs"/>
                <w:b w:val="0"/>
                <w:bCs w:val="0"/>
                <w:noProof w:val="0"/>
                <w:rtl/>
              </w:rPr>
              <w:t>נע</w:t>
            </w:r>
            <w:r>
              <w:rPr>
                <w:b w:val="0"/>
                <w:bCs w:val="0"/>
                <w:noProof w:val="0"/>
                <w:rtl/>
              </w:rPr>
              <w:t xml:space="preserve"> </w:t>
            </w:r>
            <w:r>
              <w:rPr>
                <w:rFonts w:hint="cs"/>
                <w:b w:val="0"/>
                <w:bCs w:val="0"/>
                <w:noProof w:val="0"/>
                <w:rtl/>
              </w:rPr>
              <w:t>בין</w:t>
            </w:r>
            <w:r>
              <w:rPr>
                <w:b w:val="0"/>
                <w:bCs w:val="0"/>
                <w:noProof w:val="0"/>
                <w:rtl/>
              </w:rPr>
              <w:t xml:space="preserve"> 275 </w:t>
            </w:r>
            <w:r>
              <w:rPr>
                <w:rFonts w:hint="cs"/>
                <w:b w:val="0"/>
                <w:bCs w:val="0"/>
                <w:noProof w:val="0"/>
                <w:rtl/>
              </w:rPr>
              <w:t>ל</w:t>
            </w:r>
            <w:r>
              <w:rPr>
                <w:b w:val="0"/>
                <w:bCs w:val="0"/>
                <w:noProof w:val="0"/>
                <w:rtl/>
              </w:rPr>
              <w:t xml:space="preserve">-650 </w:t>
            </w:r>
            <w:r>
              <w:rPr>
                <w:rFonts w:hint="cs"/>
                <w:b w:val="0"/>
                <w:bCs w:val="0"/>
                <w:noProof w:val="0"/>
                <w:rtl/>
              </w:rPr>
              <w:t>זקנים</w:t>
            </w:r>
            <w:r>
              <w:rPr>
                <w:b w:val="0"/>
                <w:bCs w:val="0"/>
                <w:noProof w:val="0"/>
                <w:rtl/>
              </w:rPr>
              <w:t>.</w:t>
            </w:r>
          </w:p>
          <w:p w:rsidR="00F60E90">
            <w:pPr>
              <w:pStyle w:val="takzir"/>
              <w:rPr>
                <w:b w:val="0"/>
                <w:bCs w:val="0"/>
                <w:noProof w:val="0"/>
                <w:rtl/>
              </w:rPr>
            </w:pPr>
            <w:r>
              <w:rPr>
                <w:b w:val="0"/>
                <w:bCs w:val="0"/>
                <w:noProof w:val="0"/>
                <w:rtl/>
              </w:rPr>
              <w:t xml:space="preserve">עומס העבודה הרב המוטל על כתפי </w:t>
            </w:r>
            <w:r>
              <w:rPr>
                <w:rFonts w:hint="cs"/>
                <w:b w:val="0"/>
                <w:bCs w:val="0"/>
                <w:noProof w:val="0"/>
                <w:rtl/>
              </w:rPr>
              <w:t>העו</w:t>
            </w:r>
            <w:r>
              <w:rPr>
                <w:b w:val="0"/>
                <w:bCs w:val="0"/>
                <w:noProof w:val="0"/>
                <w:rtl/>
              </w:rPr>
              <w:t xml:space="preserve">"סים מגביל את יכולתם להבטיח </w:t>
            </w:r>
            <w:r>
              <w:rPr>
                <w:rFonts w:hint="cs"/>
                <w:b w:val="0"/>
                <w:bCs w:val="0"/>
                <w:noProof w:val="0"/>
                <w:rtl/>
              </w:rPr>
              <w:t>רצף</w:t>
            </w:r>
            <w:r>
              <w:rPr>
                <w:b w:val="0"/>
                <w:bCs w:val="0"/>
                <w:noProof w:val="0"/>
                <w:rtl/>
              </w:rPr>
              <w:t xml:space="preserve"> טיפול</w:t>
            </w:r>
            <w:r>
              <w:rPr>
                <w:rFonts w:hint="cs"/>
                <w:b w:val="0"/>
                <w:bCs w:val="0"/>
                <w:noProof w:val="0"/>
                <w:rtl/>
              </w:rPr>
              <w:t>י</w:t>
            </w:r>
            <w:r>
              <w:rPr>
                <w:b w:val="0"/>
                <w:bCs w:val="0"/>
                <w:noProof w:val="0"/>
                <w:rtl/>
              </w:rPr>
              <w:t xml:space="preserve"> </w:t>
            </w:r>
            <w:r>
              <w:rPr>
                <w:rFonts w:hint="cs"/>
                <w:b w:val="0"/>
                <w:bCs w:val="0"/>
                <w:noProof w:val="0"/>
                <w:rtl/>
              </w:rPr>
              <w:t>ומעקב</w:t>
            </w:r>
            <w:r>
              <w:rPr>
                <w:b w:val="0"/>
                <w:bCs w:val="0"/>
                <w:noProof w:val="0"/>
                <w:rtl/>
              </w:rPr>
              <w:t xml:space="preserve"> </w:t>
            </w:r>
            <w:r>
              <w:rPr>
                <w:rFonts w:hint="cs"/>
                <w:b w:val="0"/>
                <w:bCs w:val="0"/>
                <w:noProof w:val="0"/>
                <w:rtl/>
              </w:rPr>
              <w:t>תקופתי</w:t>
            </w:r>
            <w:r>
              <w:rPr>
                <w:b w:val="0"/>
                <w:bCs w:val="0"/>
                <w:noProof w:val="0"/>
                <w:rtl/>
              </w:rPr>
              <w:t xml:space="preserve"> </w:t>
            </w:r>
            <w:r>
              <w:rPr>
                <w:rFonts w:hint="cs"/>
                <w:b w:val="0"/>
                <w:bCs w:val="0"/>
                <w:noProof w:val="0"/>
                <w:rtl/>
              </w:rPr>
              <w:t>אחר</w:t>
            </w:r>
            <w:r>
              <w:rPr>
                <w:b w:val="0"/>
                <w:bCs w:val="0"/>
                <w:noProof w:val="0"/>
                <w:rtl/>
              </w:rPr>
              <w:t xml:space="preserve"> </w:t>
            </w:r>
            <w:r>
              <w:rPr>
                <w:rFonts w:hint="cs"/>
                <w:b w:val="0"/>
                <w:bCs w:val="0"/>
                <w:noProof w:val="0"/>
                <w:rtl/>
              </w:rPr>
              <w:t>הזקנים</w:t>
            </w:r>
            <w:r>
              <w:rPr>
                <w:b w:val="0"/>
                <w:bCs w:val="0"/>
                <w:noProof w:val="0"/>
                <w:rtl/>
              </w:rPr>
              <w:t xml:space="preserve"> </w:t>
            </w:r>
            <w:r>
              <w:rPr>
                <w:rFonts w:hint="cs"/>
                <w:b w:val="0"/>
                <w:bCs w:val="0"/>
                <w:noProof w:val="0"/>
                <w:rtl/>
              </w:rPr>
              <w:t>שבטיפולם</w:t>
            </w:r>
            <w:r>
              <w:rPr>
                <w:b w:val="0"/>
                <w:bCs w:val="0"/>
                <w:noProof w:val="0"/>
                <w:rtl/>
              </w:rPr>
              <w:t xml:space="preserve">; </w:t>
            </w:r>
            <w:r>
              <w:rPr>
                <w:rFonts w:hint="cs"/>
                <w:b w:val="0"/>
                <w:bCs w:val="0"/>
                <w:noProof w:val="0"/>
                <w:rtl/>
              </w:rPr>
              <w:t>הטיפול</w:t>
            </w:r>
            <w:r>
              <w:rPr>
                <w:b w:val="0"/>
                <w:bCs w:val="0"/>
                <w:noProof w:val="0"/>
                <w:rtl/>
              </w:rPr>
              <w:t xml:space="preserve"> </w:t>
            </w:r>
            <w:r>
              <w:rPr>
                <w:rFonts w:hint="cs"/>
                <w:b w:val="0"/>
                <w:bCs w:val="0"/>
                <w:noProof w:val="0"/>
                <w:rtl/>
              </w:rPr>
              <w:t>הוא</w:t>
            </w:r>
            <w:r>
              <w:rPr>
                <w:b w:val="0"/>
                <w:bCs w:val="0"/>
                <w:noProof w:val="0"/>
                <w:rtl/>
              </w:rPr>
              <w:t xml:space="preserve"> </w:t>
            </w:r>
            <w:r>
              <w:rPr>
                <w:rFonts w:hint="cs"/>
                <w:b w:val="0"/>
                <w:bCs w:val="0"/>
                <w:noProof w:val="0"/>
                <w:rtl/>
              </w:rPr>
              <w:t>תגובתי</w:t>
            </w:r>
            <w:r>
              <w:rPr>
                <w:b w:val="0"/>
                <w:bCs w:val="0"/>
                <w:noProof w:val="0"/>
                <w:rtl/>
              </w:rPr>
              <w:t xml:space="preserve"> </w:t>
            </w:r>
            <w:r>
              <w:rPr>
                <w:rFonts w:hint="cs"/>
                <w:b w:val="0"/>
                <w:bCs w:val="0"/>
                <w:noProof w:val="0"/>
                <w:rtl/>
              </w:rPr>
              <w:t>וניתן</w:t>
            </w:r>
            <w:r>
              <w:rPr>
                <w:b w:val="0"/>
                <w:bCs w:val="0"/>
                <w:noProof w:val="0"/>
                <w:rtl/>
              </w:rPr>
              <w:t xml:space="preserve"> </w:t>
            </w:r>
            <w:r>
              <w:rPr>
                <w:rFonts w:hint="cs"/>
                <w:b w:val="0"/>
                <w:bCs w:val="0"/>
                <w:noProof w:val="0"/>
                <w:rtl/>
              </w:rPr>
              <w:t>בעיקר</w:t>
            </w:r>
            <w:r>
              <w:rPr>
                <w:b w:val="0"/>
                <w:bCs w:val="0"/>
                <w:noProof w:val="0"/>
                <w:rtl/>
              </w:rPr>
              <w:t xml:space="preserve"> </w:t>
            </w:r>
            <w:r>
              <w:rPr>
                <w:rFonts w:hint="cs"/>
                <w:b w:val="0"/>
                <w:bCs w:val="0"/>
                <w:noProof w:val="0"/>
                <w:rtl/>
              </w:rPr>
              <w:t>בעתות</w:t>
            </w:r>
            <w:r>
              <w:rPr>
                <w:b w:val="0"/>
                <w:bCs w:val="0"/>
                <w:noProof w:val="0"/>
                <w:rtl/>
              </w:rPr>
              <w:t xml:space="preserve"> </w:t>
            </w:r>
            <w:r>
              <w:rPr>
                <w:rFonts w:hint="cs"/>
                <w:b w:val="0"/>
                <w:bCs w:val="0"/>
                <w:noProof w:val="0"/>
                <w:rtl/>
              </w:rPr>
              <w:t>משבר</w:t>
            </w:r>
            <w:r>
              <w:rPr>
                <w:b w:val="0"/>
                <w:bCs w:val="0"/>
                <w:noProof w:val="0"/>
                <w:rtl/>
              </w:rPr>
              <w:t xml:space="preserve"> </w:t>
            </w:r>
            <w:r>
              <w:rPr>
                <w:rFonts w:hint="cs"/>
                <w:b w:val="0"/>
                <w:bCs w:val="0"/>
                <w:noProof w:val="0"/>
                <w:rtl/>
              </w:rPr>
              <w:t>כמענה</w:t>
            </w:r>
            <w:r>
              <w:rPr>
                <w:b w:val="0"/>
                <w:bCs w:val="0"/>
                <w:noProof w:val="0"/>
                <w:rtl/>
              </w:rPr>
              <w:t xml:space="preserve"> </w:t>
            </w:r>
            <w:r>
              <w:rPr>
                <w:rFonts w:hint="cs"/>
                <w:b w:val="0"/>
                <w:bCs w:val="0"/>
                <w:noProof w:val="0"/>
                <w:rtl/>
              </w:rPr>
              <w:t>לקרות</w:t>
            </w:r>
            <w:r>
              <w:rPr>
                <w:b w:val="0"/>
                <w:bCs w:val="0"/>
                <w:noProof w:val="0"/>
                <w:rtl/>
              </w:rPr>
              <w:t xml:space="preserve"> </w:t>
            </w:r>
            <w:r>
              <w:rPr>
                <w:rFonts w:hint="cs"/>
                <w:b w:val="0"/>
                <w:bCs w:val="0"/>
                <w:noProof w:val="0"/>
                <w:rtl/>
              </w:rPr>
              <w:t>אירוע</w:t>
            </w:r>
            <w:r>
              <w:rPr>
                <w:b w:val="0"/>
                <w:bCs w:val="0"/>
                <w:noProof w:val="0"/>
                <w:rtl/>
              </w:rPr>
              <w:t xml:space="preserve"> </w:t>
            </w:r>
            <w:r>
              <w:rPr>
                <w:rFonts w:hint="cs"/>
                <w:b w:val="0"/>
                <w:bCs w:val="0"/>
                <w:noProof w:val="0"/>
                <w:rtl/>
              </w:rPr>
              <w:t>חריג</w:t>
            </w:r>
            <w:r>
              <w:rPr>
                <w:b w:val="0"/>
                <w:bCs w:val="0"/>
                <w:noProof w:val="0"/>
                <w:rtl/>
              </w:rPr>
              <w:t xml:space="preserve"> </w:t>
            </w:r>
            <w:r>
              <w:rPr>
                <w:rFonts w:hint="cs"/>
                <w:b w:val="0"/>
                <w:bCs w:val="0"/>
                <w:noProof w:val="0"/>
                <w:rtl/>
              </w:rPr>
              <w:t>או</w:t>
            </w:r>
            <w:r>
              <w:rPr>
                <w:b w:val="0"/>
                <w:bCs w:val="0"/>
                <w:noProof w:val="0"/>
                <w:rtl/>
              </w:rPr>
              <w:t xml:space="preserve"> </w:t>
            </w:r>
            <w:r>
              <w:rPr>
                <w:rFonts w:hint="cs"/>
                <w:b w:val="0"/>
                <w:bCs w:val="0"/>
                <w:noProof w:val="0"/>
                <w:rtl/>
              </w:rPr>
              <w:t>צורך</w:t>
            </w:r>
            <w:r>
              <w:rPr>
                <w:b w:val="0"/>
                <w:bCs w:val="0"/>
                <w:noProof w:val="0"/>
                <w:rtl/>
              </w:rPr>
              <w:t xml:space="preserve"> </w:t>
            </w:r>
            <w:r>
              <w:rPr>
                <w:rFonts w:hint="cs"/>
                <w:b w:val="0"/>
                <w:bCs w:val="0"/>
                <w:noProof w:val="0"/>
                <w:rtl/>
              </w:rPr>
              <w:t>מידי</w:t>
            </w:r>
            <w:r>
              <w:rPr>
                <w:b w:val="0"/>
                <w:bCs w:val="0"/>
                <w:noProof w:val="0"/>
                <w:rtl/>
              </w:rPr>
              <w:t>.</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rFonts w:hint="eastAsia"/>
                <w:sz w:val="24"/>
                <w:szCs w:val="24"/>
                <w:rtl/>
              </w:rPr>
              <w:t>היעדר</w:t>
            </w:r>
            <w:r>
              <w:rPr>
                <w:sz w:val="24"/>
                <w:szCs w:val="24"/>
                <w:rtl/>
              </w:rPr>
              <w:t xml:space="preserve"> </w:t>
            </w:r>
            <w:r>
              <w:rPr>
                <w:rFonts w:hint="eastAsia"/>
                <w:sz w:val="24"/>
                <w:szCs w:val="24"/>
                <w:rtl/>
              </w:rPr>
              <w:t>פעולות</w:t>
            </w:r>
            <w:r>
              <w:rPr>
                <w:sz w:val="24"/>
                <w:szCs w:val="24"/>
                <w:rtl/>
              </w:rPr>
              <w:t xml:space="preserve"> </w:t>
            </w:r>
            <w:r>
              <w:rPr>
                <w:rFonts w:hint="eastAsia"/>
                <w:sz w:val="24"/>
                <w:szCs w:val="24"/>
                <w:rtl/>
              </w:rPr>
              <w:t>יזומות</w:t>
            </w:r>
            <w:r>
              <w:rPr>
                <w:sz w:val="24"/>
                <w:szCs w:val="24"/>
                <w:rtl/>
              </w:rPr>
              <w:t xml:space="preserve"> </w:t>
            </w:r>
            <w:r>
              <w:rPr>
                <w:rFonts w:hint="eastAsia"/>
                <w:sz w:val="24"/>
                <w:szCs w:val="24"/>
                <w:rtl/>
              </w:rPr>
              <w:t>לאיתור</w:t>
            </w:r>
            <w:r>
              <w:rPr>
                <w:sz w:val="24"/>
                <w:szCs w:val="24"/>
                <w:rtl/>
              </w:rPr>
              <w:t xml:space="preserve"> </w:t>
            </w:r>
            <w:r>
              <w:rPr>
                <w:rFonts w:hint="eastAsia"/>
                <w:sz w:val="24"/>
                <w:szCs w:val="24"/>
                <w:rtl/>
              </w:rPr>
              <w:t>זקנים</w:t>
            </w:r>
            <w:r>
              <w:rPr>
                <w:sz w:val="24"/>
                <w:szCs w:val="24"/>
                <w:rtl/>
              </w:rPr>
              <w:t xml:space="preserve"> </w:t>
            </w:r>
            <w:r>
              <w:rPr>
                <w:rFonts w:hint="eastAsia"/>
                <w:sz w:val="24"/>
                <w:szCs w:val="24"/>
                <w:rtl/>
              </w:rPr>
              <w:t>נזקקים</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rFonts w:hint="cs"/>
                <w:b w:val="0"/>
                <w:bCs w:val="0"/>
                <w:noProof w:val="0"/>
                <w:rtl/>
              </w:rPr>
              <w:t>בתע</w:t>
            </w:r>
            <w:r>
              <w:rPr>
                <w:b w:val="0"/>
                <w:bCs w:val="0"/>
                <w:noProof w:val="0"/>
                <w:rtl/>
              </w:rPr>
              <w:t>"ס</w:t>
            </w:r>
            <w:r>
              <w:rPr>
                <w:b w:val="0"/>
                <w:bCs w:val="0"/>
                <w:noProof w:val="0"/>
                <w:vertAlign w:val="superscript"/>
                <w:rtl/>
              </w:rPr>
              <w:footnoteReference w:id="3"/>
            </w:r>
            <w:r>
              <w:rPr>
                <w:b w:val="0"/>
                <w:bCs w:val="0"/>
                <w:noProof w:val="0"/>
                <w:rtl/>
              </w:rPr>
              <w:t xml:space="preserve"> לא נקבעו הנחיות מחייבות</w:t>
            </w:r>
            <w:r>
              <w:rPr>
                <w:rFonts w:hint="cs"/>
                <w:b w:val="0"/>
                <w:bCs w:val="0"/>
                <w:noProof w:val="0"/>
                <w:rtl/>
              </w:rPr>
              <w:t xml:space="preserve"> לא בנוגע</w:t>
            </w:r>
            <w:r>
              <w:rPr>
                <w:b w:val="0"/>
                <w:bCs w:val="0"/>
                <w:noProof w:val="0"/>
                <w:rtl/>
              </w:rPr>
              <w:t xml:space="preserve"> לאיתור זקנים נזקקים לצורך מתן סיוע </w:t>
            </w:r>
            <w:r>
              <w:rPr>
                <w:rFonts w:hint="cs"/>
                <w:b w:val="0"/>
                <w:bCs w:val="0"/>
                <w:noProof w:val="0"/>
                <w:rtl/>
              </w:rPr>
              <w:t>ולא בדבר</w:t>
            </w:r>
            <w:r>
              <w:rPr>
                <w:b w:val="0"/>
                <w:bCs w:val="0"/>
                <w:noProof w:val="0"/>
                <w:rtl/>
              </w:rPr>
              <w:t xml:space="preserve"> הפצת מידע על השירותים המגיעים לאוכלוסיית הזקנים ו</w:t>
            </w:r>
            <w:r>
              <w:rPr>
                <w:rFonts w:hint="cs"/>
                <w:b w:val="0"/>
                <w:bCs w:val="0"/>
                <w:noProof w:val="0"/>
                <w:rtl/>
              </w:rPr>
              <w:t>על</w:t>
            </w:r>
            <w:r>
              <w:rPr>
                <w:b w:val="0"/>
                <w:bCs w:val="0"/>
                <w:noProof w:val="0"/>
                <w:rtl/>
              </w:rPr>
              <w:t xml:space="preserve"> הזכאות לקבלתם.</w:t>
            </w:r>
          </w:p>
          <w:p w:rsidR="00F60E90">
            <w:pPr>
              <w:pStyle w:val="takzir"/>
              <w:rPr>
                <w:b w:val="0"/>
                <w:bCs w:val="0"/>
                <w:noProof w:val="0"/>
                <w:rtl/>
              </w:rPr>
            </w:pPr>
            <w:r>
              <w:rPr>
                <w:rFonts w:hint="cs"/>
                <w:b w:val="0"/>
                <w:bCs w:val="0"/>
                <w:noProof w:val="0"/>
                <w:rtl/>
              </w:rPr>
              <w:t>המחלקות לשירותים חברתיים</w:t>
            </w:r>
            <w:r>
              <w:rPr>
                <w:b w:val="0"/>
                <w:bCs w:val="0"/>
                <w:noProof w:val="0"/>
                <w:rtl/>
              </w:rPr>
              <w:t xml:space="preserve"> ברשויות המקומיות שנבדקו אינן </w:t>
            </w:r>
            <w:r>
              <w:rPr>
                <w:rFonts w:hint="cs"/>
                <w:b w:val="0"/>
                <w:bCs w:val="0"/>
                <w:noProof w:val="0"/>
                <w:rtl/>
              </w:rPr>
              <w:t>נוקטות</w:t>
            </w:r>
            <w:r>
              <w:rPr>
                <w:b w:val="0"/>
                <w:bCs w:val="0"/>
                <w:noProof w:val="0"/>
                <w:rtl/>
              </w:rPr>
              <w:t xml:space="preserve"> פעולות</w:t>
            </w:r>
            <w:r>
              <w:rPr>
                <w:rFonts w:hint="cs"/>
                <w:b w:val="0"/>
                <w:bCs w:val="0"/>
                <w:noProof w:val="0"/>
                <w:rtl/>
              </w:rPr>
              <w:t xml:space="preserve"> יזומות</w:t>
            </w:r>
            <w:r>
              <w:rPr>
                <w:b w:val="0"/>
                <w:bCs w:val="0"/>
                <w:noProof w:val="0"/>
                <w:rtl/>
              </w:rPr>
              <w:t xml:space="preserve"> לאיתור זקנים נזקקים</w:t>
            </w:r>
            <w:r>
              <w:rPr>
                <w:rFonts w:hint="cs"/>
                <w:b w:val="0"/>
                <w:bCs w:val="0"/>
                <w:noProof w:val="0"/>
                <w:rtl/>
              </w:rPr>
              <w:t xml:space="preserve"> בכלל</w:t>
            </w:r>
            <w:r>
              <w:rPr>
                <w:b w:val="0"/>
                <w:bCs w:val="0"/>
                <w:noProof w:val="0"/>
                <w:rtl/>
              </w:rPr>
              <w:t xml:space="preserve"> </w:t>
            </w:r>
            <w:r>
              <w:rPr>
                <w:rFonts w:hint="cs"/>
                <w:b w:val="0"/>
                <w:bCs w:val="0"/>
                <w:noProof w:val="0"/>
                <w:rtl/>
              </w:rPr>
              <w:t>ולאיתור זקנים</w:t>
            </w:r>
            <w:r>
              <w:rPr>
                <w:b w:val="0"/>
                <w:bCs w:val="0"/>
                <w:noProof w:val="0"/>
                <w:rtl/>
              </w:rPr>
              <w:t xml:space="preserve"> </w:t>
            </w:r>
            <w:r>
              <w:rPr>
                <w:rFonts w:hint="cs"/>
                <w:b w:val="0"/>
                <w:bCs w:val="0"/>
                <w:noProof w:val="0"/>
                <w:rtl/>
              </w:rPr>
              <w:t>מוגבלים</w:t>
            </w:r>
            <w:r>
              <w:rPr>
                <w:b w:val="0"/>
                <w:bCs w:val="0"/>
                <w:noProof w:val="0"/>
                <w:rtl/>
              </w:rPr>
              <w:t xml:space="preserve"> </w:t>
            </w:r>
            <w:r>
              <w:rPr>
                <w:rFonts w:hint="cs"/>
                <w:b w:val="0"/>
                <w:bCs w:val="0"/>
                <w:noProof w:val="0"/>
                <w:rtl/>
              </w:rPr>
              <w:t>הזקוקים</w:t>
            </w:r>
            <w:r>
              <w:rPr>
                <w:b w:val="0"/>
                <w:bCs w:val="0"/>
                <w:noProof w:val="0"/>
                <w:rtl/>
              </w:rPr>
              <w:t xml:space="preserve"> </w:t>
            </w:r>
            <w:r>
              <w:rPr>
                <w:rFonts w:hint="cs"/>
                <w:b w:val="0"/>
                <w:bCs w:val="0"/>
                <w:noProof w:val="0"/>
                <w:rtl/>
              </w:rPr>
              <w:t>לעזרה</w:t>
            </w:r>
            <w:r>
              <w:rPr>
                <w:b w:val="0"/>
                <w:bCs w:val="0"/>
                <w:noProof w:val="0"/>
                <w:rtl/>
              </w:rPr>
              <w:t xml:space="preserve"> </w:t>
            </w:r>
            <w:r>
              <w:rPr>
                <w:rFonts w:hint="cs"/>
                <w:b w:val="0"/>
                <w:bCs w:val="0"/>
                <w:noProof w:val="0"/>
                <w:rtl/>
              </w:rPr>
              <w:t>על</w:t>
            </w:r>
            <w:r>
              <w:rPr>
                <w:b w:val="0"/>
                <w:bCs w:val="0"/>
                <w:noProof w:val="0"/>
                <w:rtl/>
              </w:rPr>
              <w:t xml:space="preserve"> </w:t>
            </w:r>
            <w:r>
              <w:rPr>
                <w:rFonts w:hint="cs"/>
                <w:b w:val="0"/>
                <w:bCs w:val="0"/>
                <w:noProof w:val="0"/>
                <w:rtl/>
              </w:rPr>
              <w:t>בסיס</w:t>
            </w:r>
            <w:r>
              <w:rPr>
                <w:b w:val="0"/>
                <w:bCs w:val="0"/>
                <w:noProof w:val="0"/>
                <w:rtl/>
              </w:rPr>
              <w:t xml:space="preserve"> </w:t>
            </w:r>
            <w:r>
              <w:rPr>
                <w:rFonts w:hint="cs"/>
                <w:b w:val="0"/>
                <w:bCs w:val="0"/>
                <w:noProof w:val="0"/>
                <w:rtl/>
              </w:rPr>
              <w:t>קבוע בפרט</w:t>
            </w:r>
            <w:r>
              <w:rPr>
                <w:b w:val="0"/>
                <w:bCs w:val="0"/>
                <w:noProof w:val="0"/>
                <w:rtl/>
              </w:rPr>
              <w:t>.</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rFonts w:hint="eastAsia"/>
                <w:sz w:val="24"/>
                <w:szCs w:val="24"/>
                <w:rtl/>
              </w:rPr>
              <w:t>כשלים</w:t>
            </w:r>
            <w:r>
              <w:rPr>
                <w:sz w:val="24"/>
                <w:szCs w:val="24"/>
                <w:rtl/>
              </w:rPr>
              <w:t xml:space="preserve"> </w:t>
            </w:r>
            <w:r>
              <w:rPr>
                <w:rFonts w:hint="eastAsia"/>
                <w:sz w:val="24"/>
                <w:szCs w:val="24"/>
                <w:rtl/>
              </w:rPr>
              <w:t>בהפעלת</w:t>
            </w:r>
            <w:r>
              <w:rPr>
                <w:sz w:val="24"/>
                <w:szCs w:val="24"/>
                <w:rtl/>
              </w:rPr>
              <w:t xml:space="preserve"> </w:t>
            </w:r>
            <w:r>
              <w:rPr>
                <w:rFonts w:hint="eastAsia"/>
                <w:sz w:val="24"/>
                <w:szCs w:val="24"/>
                <w:rtl/>
              </w:rPr>
              <w:t>מרכזי</w:t>
            </w:r>
            <w:r>
              <w:rPr>
                <w:sz w:val="24"/>
                <w:szCs w:val="24"/>
                <w:rtl/>
              </w:rPr>
              <w:t xml:space="preserve"> </w:t>
            </w:r>
            <w:r>
              <w:rPr>
                <w:rFonts w:hint="eastAsia"/>
                <w:sz w:val="24"/>
                <w:szCs w:val="24"/>
                <w:rtl/>
              </w:rPr>
              <w:t>יום</w:t>
            </w:r>
            <w:r>
              <w:rPr>
                <w:sz w:val="24"/>
                <w:szCs w:val="24"/>
                <w:rtl/>
              </w:rPr>
              <w:t xml:space="preserve"> </w:t>
            </w:r>
            <w:r>
              <w:rPr>
                <w:rFonts w:hint="eastAsia"/>
                <w:sz w:val="24"/>
                <w:szCs w:val="24"/>
                <w:rtl/>
              </w:rPr>
              <w:t>לזקן</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b w:val="0"/>
                <w:bCs w:val="0"/>
                <w:noProof w:val="0"/>
                <w:rtl/>
              </w:rPr>
              <w:t xml:space="preserve">מרכזי יום </w:t>
            </w:r>
            <w:r>
              <w:rPr>
                <w:rFonts w:hint="cs"/>
                <w:b w:val="0"/>
                <w:bCs w:val="0"/>
                <w:noProof w:val="0"/>
                <w:rtl/>
              </w:rPr>
              <w:t xml:space="preserve">לזקן </w:t>
            </w:r>
            <w:r>
              <w:rPr>
                <w:b w:val="0"/>
                <w:bCs w:val="0"/>
                <w:noProof w:val="0"/>
                <w:rtl/>
              </w:rPr>
              <w:t>הם מסגרות יומיות הפרו</w:t>
            </w:r>
            <w:r>
              <w:rPr>
                <w:rFonts w:hint="cs"/>
                <w:b w:val="0"/>
                <w:bCs w:val="0"/>
                <w:noProof w:val="0"/>
                <w:rtl/>
              </w:rPr>
              <w:t>ס</w:t>
            </w:r>
            <w:r>
              <w:rPr>
                <w:b w:val="0"/>
                <w:bCs w:val="0"/>
                <w:noProof w:val="0"/>
                <w:rtl/>
              </w:rPr>
              <w:t xml:space="preserve">ות ברחבי הארץ </w:t>
            </w:r>
            <w:r>
              <w:rPr>
                <w:rFonts w:hint="cs"/>
                <w:b w:val="0"/>
                <w:bCs w:val="0"/>
                <w:noProof w:val="0"/>
                <w:rtl/>
              </w:rPr>
              <w:t>ה</w:t>
            </w:r>
            <w:r>
              <w:rPr>
                <w:b w:val="0"/>
                <w:bCs w:val="0"/>
                <w:noProof w:val="0"/>
                <w:rtl/>
              </w:rPr>
              <w:t xml:space="preserve">מיועדות לטיפול </w:t>
            </w:r>
            <w:r>
              <w:rPr>
                <w:rFonts w:hint="cs"/>
                <w:b w:val="0"/>
                <w:bCs w:val="0"/>
                <w:noProof w:val="0"/>
                <w:rtl/>
              </w:rPr>
              <w:t>בזקנים</w:t>
            </w:r>
            <w:r>
              <w:rPr>
                <w:b w:val="0"/>
                <w:bCs w:val="0"/>
                <w:noProof w:val="0"/>
                <w:rtl/>
              </w:rPr>
              <w:t xml:space="preserve"> הגרים בבתיהם, אך עקב ירידה בתפקודם הם מתקשים בניהול משק הבית לבדם וזקוקים לטיפול אישי. סל השירותים </w:t>
            </w:r>
            <w:r>
              <w:rPr>
                <w:rFonts w:hint="cs"/>
                <w:b w:val="0"/>
                <w:bCs w:val="0"/>
                <w:noProof w:val="0"/>
                <w:rtl/>
              </w:rPr>
              <w:t>לזקנים</w:t>
            </w:r>
            <w:r>
              <w:rPr>
                <w:b w:val="0"/>
                <w:bCs w:val="0"/>
                <w:noProof w:val="0"/>
                <w:rtl/>
              </w:rPr>
              <w:t xml:space="preserve"> במרכז היום כולל הסעות, ארוחות, טיפול אישי, טיפול סוציאלי ופעילות חברתית ותרבותית.</w:t>
            </w:r>
            <w:r>
              <w:rPr>
                <w:rFonts w:hint="cs"/>
                <w:b w:val="0"/>
                <w:bCs w:val="0"/>
                <w:noProof w:val="0"/>
                <w:rtl/>
              </w:rPr>
              <w:t xml:space="preserve"> </w:t>
            </w:r>
          </w:p>
          <w:p w:rsidR="00F60E90">
            <w:pPr>
              <w:pStyle w:val="takzir"/>
              <w:rPr>
                <w:b w:val="0"/>
                <w:bCs w:val="0"/>
                <w:noProof w:val="0"/>
                <w:rtl/>
              </w:rPr>
            </w:pPr>
            <w:r>
              <w:rPr>
                <w:rFonts w:hint="cs"/>
                <w:b w:val="0"/>
                <w:bCs w:val="0"/>
                <w:noProof w:val="0"/>
                <w:rtl/>
              </w:rPr>
              <w:t>את</w:t>
            </w:r>
            <w:r>
              <w:rPr>
                <w:b w:val="0"/>
                <w:bCs w:val="0"/>
                <w:noProof w:val="0"/>
                <w:rtl/>
              </w:rPr>
              <w:t xml:space="preserve"> </w:t>
            </w:r>
            <w:r>
              <w:rPr>
                <w:rFonts w:hint="cs"/>
                <w:b w:val="0"/>
                <w:bCs w:val="0"/>
                <w:noProof w:val="0"/>
                <w:rtl/>
              </w:rPr>
              <w:t>רוב</w:t>
            </w:r>
            <w:r>
              <w:rPr>
                <w:b w:val="0"/>
                <w:bCs w:val="0"/>
                <w:noProof w:val="0"/>
                <w:rtl/>
              </w:rPr>
              <w:t xml:space="preserve"> מרכזי היום </w:t>
            </w:r>
            <w:r>
              <w:rPr>
                <w:rFonts w:hint="cs"/>
                <w:b w:val="0"/>
                <w:bCs w:val="0"/>
                <w:noProof w:val="0"/>
                <w:rtl/>
              </w:rPr>
              <w:t>מפעילות</w:t>
            </w:r>
            <w:r>
              <w:rPr>
                <w:b w:val="0"/>
                <w:bCs w:val="0"/>
                <w:noProof w:val="0"/>
                <w:rtl/>
              </w:rPr>
              <w:t xml:space="preserve"> עמותות מקומיות למען הזקן</w:t>
            </w:r>
            <w:r>
              <w:rPr>
                <w:rFonts w:hint="cs"/>
                <w:b w:val="0"/>
                <w:bCs w:val="0"/>
                <w:noProof w:val="0"/>
                <w:rtl/>
              </w:rPr>
              <w:t xml:space="preserve">; </w:t>
            </w:r>
            <w:r>
              <w:rPr>
                <w:b w:val="0"/>
                <w:bCs w:val="0"/>
                <w:noProof w:val="0"/>
                <w:rtl/>
              </w:rPr>
              <w:t xml:space="preserve">הפעילות השוטפת של מרכזי היום </w:t>
            </w:r>
            <w:r>
              <w:rPr>
                <w:rFonts w:hint="cs"/>
                <w:b w:val="0"/>
                <w:bCs w:val="0"/>
                <w:noProof w:val="0"/>
                <w:rtl/>
              </w:rPr>
              <w:t>ממומנת על ידי</w:t>
            </w:r>
            <w:r>
              <w:rPr>
                <w:b w:val="0"/>
                <w:bCs w:val="0"/>
                <w:noProof w:val="0"/>
                <w:rtl/>
              </w:rPr>
              <w:t xml:space="preserve"> משרד הרווחה, המוסד לביטוח לאומי </w:t>
            </w:r>
            <w:r>
              <w:rPr>
                <w:rFonts w:hint="cs"/>
                <w:b w:val="0"/>
                <w:bCs w:val="0"/>
                <w:noProof w:val="0"/>
                <w:rtl/>
              </w:rPr>
              <w:t>ו</w:t>
            </w:r>
            <w:r>
              <w:rPr>
                <w:b w:val="0"/>
                <w:bCs w:val="0"/>
                <w:noProof w:val="0"/>
                <w:rtl/>
              </w:rPr>
              <w:t xml:space="preserve">הרשויות המקומיות. </w:t>
            </w:r>
            <w:r>
              <w:rPr>
                <w:rFonts w:hint="cs"/>
                <w:b w:val="0"/>
                <w:bCs w:val="0"/>
                <w:noProof w:val="0"/>
                <w:rtl/>
              </w:rPr>
              <w:t>גם</w:t>
            </w:r>
            <w:r>
              <w:rPr>
                <w:b w:val="0"/>
                <w:bCs w:val="0"/>
                <w:noProof w:val="0"/>
                <w:rtl/>
              </w:rPr>
              <w:t xml:space="preserve"> הזקנים ה</w:t>
            </w:r>
            <w:r>
              <w:rPr>
                <w:rFonts w:hint="cs"/>
                <w:b w:val="0"/>
                <w:bCs w:val="0"/>
                <w:noProof w:val="0"/>
                <w:rtl/>
              </w:rPr>
              <w:t>מגיעים</w:t>
            </w:r>
            <w:r>
              <w:rPr>
                <w:b w:val="0"/>
                <w:bCs w:val="0"/>
                <w:noProof w:val="0"/>
                <w:rtl/>
              </w:rPr>
              <w:t xml:space="preserve"> למרכז היום משתתפים באופן חלקי במימון הפעילות במרכזים.</w:t>
            </w:r>
          </w:p>
          <w:p w:rsidR="00F60E90">
            <w:pPr>
              <w:pStyle w:val="takzir"/>
              <w:ind w:left="340" w:hanging="340"/>
              <w:rPr>
                <w:b w:val="0"/>
                <w:bCs w:val="0"/>
                <w:noProof w:val="0"/>
                <w:rtl/>
              </w:rPr>
            </w:pPr>
            <w:r>
              <w:rPr>
                <w:rFonts w:hint="cs"/>
                <w:b w:val="0"/>
                <w:bCs w:val="0"/>
                <w:noProof w:val="0"/>
                <w:rtl/>
              </w:rPr>
              <w:t xml:space="preserve">1. </w:t>
            </w:r>
            <w:r>
              <w:rPr>
                <w:b w:val="0"/>
                <w:bCs w:val="0"/>
                <w:noProof w:val="0"/>
                <w:rtl/>
              </w:rPr>
              <w:tab/>
            </w:r>
            <w:r>
              <w:rPr>
                <w:rFonts w:hint="cs"/>
                <w:b w:val="0"/>
                <w:bCs w:val="0"/>
                <w:noProof w:val="0"/>
                <w:rtl/>
              </w:rPr>
              <w:t>כמה</w:t>
            </w:r>
            <w:r>
              <w:rPr>
                <w:b w:val="0"/>
                <w:bCs w:val="0"/>
                <w:noProof w:val="0"/>
                <w:rtl/>
              </w:rPr>
              <w:t xml:space="preserve"> </w:t>
            </w:r>
            <w:r>
              <w:rPr>
                <w:rFonts w:hint="cs"/>
                <w:b w:val="0"/>
                <w:bCs w:val="0"/>
                <w:noProof w:val="0"/>
                <w:rtl/>
              </w:rPr>
              <w:t>מהרשויות</w:t>
            </w:r>
            <w:r>
              <w:rPr>
                <w:b w:val="0"/>
                <w:bCs w:val="0"/>
                <w:noProof w:val="0"/>
                <w:rtl/>
              </w:rPr>
              <w:t xml:space="preserve"> </w:t>
            </w:r>
            <w:r>
              <w:rPr>
                <w:rFonts w:hint="cs"/>
                <w:b w:val="0"/>
                <w:bCs w:val="0"/>
                <w:noProof w:val="0"/>
                <w:rtl/>
              </w:rPr>
              <w:t>המקומיות</w:t>
            </w:r>
            <w:r>
              <w:rPr>
                <w:b w:val="0"/>
                <w:bCs w:val="0"/>
                <w:noProof w:val="0"/>
                <w:rtl/>
              </w:rPr>
              <w:t xml:space="preserve"> </w:t>
            </w:r>
            <w:r>
              <w:rPr>
                <w:rFonts w:hint="cs"/>
                <w:b w:val="0"/>
                <w:bCs w:val="0"/>
                <w:noProof w:val="0"/>
                <w:rtl/>
              </w:rPr>
              <w:t>שנבדקו</w:t>
            </w:r>
            <w:r>
              <w:rPr>
                <w:b w:val="0"/>
                <w:bCs w:val="0"/>
                <w:noProof w:val="0"/>
                <w:rtl/>
              </w:rPr>
              <w:t xml:space="preserve"> </w:t>
            </w:r>
            <w:r>
              <w:rPr>
                <w:rFonts w:hint="cs"/>
                <w:b w:val="0"/>
                <w:bCs w:val="0"/>
                <w:noProof w:val="0"/>
                <w:rtl/>
              </w:rPr>
              <w:t>לא</w:t>
            </w:r>
            <w:r>
              <w:rPr>
                <w:b w:val="0"/>
                <w:bCs w:val="0"/>
                <w:noProof w:val="0"/>
                <w:rtl/>
              </w:rPr>
              <w:t xml:space="preserve"> </w:t>
            </w:r>
            <w:r>
              <w:rPr>
                <w:rFonts w:hint="cs"/>
                <w:b w:val="0"/>
                <w:bCs w:val="0"/>
                <w:noProof w:val="0"/>
                <w:rtl/>
              </w:rPr>
              <w:t>חתמו</w:t>
            </w:r>
            <w:r>
              <w:rPr>
                <w:b w:val="0"/>
                <w:bCs w:val="0"/>
                <w:noProof w:val="0"/>
                <w:rtl/>
              </w:rPr>
              <w:t xml:space="preserve"> </w:t>
            </w:r>
            <w:r>
              <w:rPr>
                <w:rFonts w:hint="cs"/>
                <w:b w:val="0"/>
                <w:bCs w:val="0"/>
                <w:noProof w:val="0"/>
                <w:rtl/>
              </w:rPr>
              <w:t>על</w:t>
            </w:r>
            <w:r>
              <w:rPr>
                <w:b w:val="0"/>
                <w:bCs w:val="0"/>
                <w:noProof w:val="0"/>
                <w:rtl/>
              </w:rPr>
              <w:t xml:space="preserve"> </w:t>
            </w:r>
            <w:r>
              <w:rPr>
                <w:rFonts w:hint="cs"/>
                <w:b w:val="0"/>
                <w:bCs w:val="0"/>
                <w:noProof w:val="0"/>
                <w:rtl/>
              </w:rPr>
              <w:t>הסכמים</w:t>
            </w:r>
            <w:r>
              <w:rPr>
                <w:b w:val="0"/>
                <w:bCs w:val="0"/>
                <w:noProof w:val="0"/>
                <w:rtl/>
              </w:rPr>
              <w:t xml:space="preserve"> </w:t>
            </w:r>
            <w:r>
              <w:rPr>
                <w:rFonts w:hint="cs"/>
                <w:b w:val="0"/>
                <w:bCs w:val="0"/>
                <w:noProof w:val="0"/>
                <w:rtl/>
              </w:rPr>
              <w:t>להפעלת</w:t>
            </w:r>
            <w:r>
              <w:rPr>
                <w:b w:val="0"/>
                <w:bCs w:val="0"/>
                <w:noProof w:val="0"/>
                <w:rtl/>
              </w:rPr>
              <w:t xml:space="preserve"> </w:t>
            </w:r>
            <w:r>
              <w:rPr>
                <w:rFonts w:hint="cs"/>
                <w:b w:val="0"/>
                <w:bCs w:val="0"/>
                <w:noProof w:val="0"/>
                <w:rtl/>
              </w:rPr>
              <w:t>מרכזי</w:t>
            </w:r>
            <w:r>
              <w:rPr>
                <w:b w:val="0"/>
                <w:bCs w:val="0"/>
                <w:noProof w:val="0"/>
                <w:rtl/>
              </w:rPr>
              <w:t xml:space="preserve"> </w:t>
            </w:r>
            <w:r>
              <w:rPr>
                <w:rFonts w:hint="cs"/>
                <w:b w:val="0"/>
                <w:bCs w:val="0"/>
                <w:noProof w:val="0"/>
                <w:rtl/>
              </w:rPr>
              <w:t>היום</w:t>
            </w:r>
            <w:r>
              <w:rPr>
                <w:b w:val="0"/>
                <w:bCs w:val="0"/>
                <w:noProof w:val="0"/>
                <w:rtl/>
              </w:rPr>
              <w:t xml:space="preserve"> </w:t>
            </w:r>
            <w:r>
              <w:rPr>
                <w:rFonts w:hint="cs"/>
                <w:b w:val="0"/>
                <w:bCs w:val="0"/>
                <w:noProof w:val="0"/>
                <w:rtl/>
              </w:rPr>
              <w:t>עם</w:t>
            </w:r>
            <w:r>
              <w:rPr>
                <w:b w:val="0"/>
                <w:bCs w:val="0"/>
                <w:noProof w:val="0"/>
                <w:rtl/>
              </w:rPr>
              <w:t xml:space="preserve"> </w:t>
            </w:r>
            <w:r>
              <w:rPr>
                <w:rFonts w:hint="cs"/>
                <w:b w:val="0"/>
                <w:bCs w:val="0"/>
                <w:noProof w:val="0"/>
                <w:rtl/>
              </w:rPr>
              <w:t>העמותות</w:t>
            </w:r>
            <w:r>
              <w:rPr>
                <w:b w:val="0"/>
                <w:bCs w:val="0"/>
                <w:noProof w:val="0"/>
                <w:rtl/>
              </w:rPr>
              <w:t xml:space="preserve"> </w:t>
            </w:r>
            <w:r>
              <w:rPr>
                <w:rFonts w:hint="cs"/>
                <w:b w:val="0"/>
                <w:bCs w:val="0"/>
                <w:noProof w:val="0"/>
                <w:rtl/>
              </w:rPr>
              <w:t>המקומיות</w:t>
            </w:r>
            <w:r>
              <w:rPr>
                <w:b w:val="0"/>
                <w:bCs w:val="0"/>
                <w:noProof w:val="0"/>
                <w:rtl/>
              </w:rPr>
              <w:t xml:space="preserve"> </w:t>
            </w:r>
            <w:r>
              <w:rPr>
                <w:rFonts w:hint="cs"/>
                <w:b w:val="0"/>
                <w:bCs w:val="0"/>
                <w:noProof w:val="0"/>
                <w:rtl/>
              </w:rPr>
              <w:t>למען</w:t>
            </w:r>
            <w:r>
              <w:rPr>
                <w:b w:val="0"/>
                <w:bCs w:val="0"/>
                <w:noProof w:val="0"/>
                <w:rtl/>
              </w:rPr>
              <w:t xml:space="preserve"> </w:t>
            </w:r>
            <w:r>
              <w:rPr>
                <w:rFonts w:hint="cs"/>
                <w:b w:val="0"/>
                <w:bCs w:val="0"/>
                <w:noProof w:val="0"/>
                <w:rtl/>
              </w:rPr>
              <w:t>הזקן</w:t>
            </w:r>
            <w:r>
              <w:rPr>
                <w:b w:val="0"/>
                <w:bCs w:val="0"/>
                <w:noProof w:val="0"/>
                <w:rtl/>
              </w:rPr>
              <w:t xml:space="preserve"> </w:t>
            </w:r>
            <w:r>
              <w:rPr>
                <w:rFonts w:hint="cs"/>
                <w:b w:val="0"/>
                <w:bCs w:val="0"/>
                <w:noProof w:val="0"/>
                <w:rtl/>
              </w:rPr>
              <w:t>המפעילות</w:t>
            </w:r>
            <w:r>
              <w:rPr>
                <w:b w:val="0"/>
                <w:bCs w:val="0"/>
                <w:noProof w:val="0"/>
                <w:rtl/>
              </w:rPr>
              <w:t xml:space="preserve"> </w:t>
            </w:r>
            <w:r>
              <w:rPr>
                <w:rFonts w:hint="cs"/>
                <w:b w:val="0"/>
                <w:bCs w:val="0"/>
                <w:noProof w:val="0"/>
                <w:rtl/>
              </w:rPr>
              <w:t>אותם</w:t>
            </w:r>
            <w:r>
              <w:rPr>
                <w:b w:val="0"/>
                <w:bCs w:val="0"/>
                <w:noProof w:val="0"/>
                <w:rtl/>
              </w:rPr>
              <w:t>.</w:t>
            </w:r>
          </w:p>
          <w:p w:rsidR="00F60E90">
            <w:pPr>
              <w:pStyle w:val="takzir"/>
              <w:ind w:left="340" w:hanging="340"/>
              <w:rPr>
                <w:b w:val="0"/>
                <w:bCs w:val="0"/>
                <w:noProof w:val="0"/>
                <w:rtl/>
              </w:rPr>
            </w:pPr>
            <w:r>
              <w:rPr>
                <w:rFonts w:hint="cs"/>
                <w:b w:val="0"/>
                <w:bCs w:val="0"/>
                <w:noProof w:val="0"/>
                <w:rtl/>
              </w:rPr>
              <w:t xml:space="preserve">2. </w:t>
            </w:r>
            <w:r>
              <w:rPr>
                <w:b w:val="0"/>
                <w:bCs w:val="0"/>
                <w:noProof w:val="0"/>
                <w:rtl/>
              </w:rPr>
              <w:tab/>
            </w:r>
            <w:r>
              <w:rPr>
                <w:rFonts w:hint="cs"/>
                <w:b w:val="0"/>
                <w:bCs w:val="0"/>
                <w:noProof w:val="0"/>
                <w:rtl/>
              </w:rPr>
              <w:t>חלק</w:t>
            </w:r>
            <w:r>
              <w:rPr>
                <w:b w:val="0"/>
                <w:bCs w:val="0"/>
                <w:noProof w:val="0"/>
                <w:rtl/>
              </w:rPr>
              <w:t xml:space="preserve"> מהרשויות המקומיות חתמו עם העמותות המקומיות למען הזקן על הסכם הקצאת קרקע לבנייתו של מרכז יום ולהפעלתו לתקופות של </w:t>
            </w:r>
            <w:r>
              <w:rPr>
                <w:rFonts w:hint="cs"/>
                <w:b w:val="0"/>
                <w:bCs w:val="0"/>
                <w:noProof w:val="0"/>
                <w:rtl/>
              </w:rPr>
              <w:t>49</w:t>
            </w:r>
            <w:r>
              <w:rPr>
                <w:b w:val="0"/>
                <w:bCs w:val="0"/>
                <w:noProof w:val="0"/>
                <w:rtl/>
              </w:rPr>
              <w:t>-</w:t>
            </w:r>
            <w:r>
              <w:rPr>
                <w:rFonts w:hint="cs"/>
                <w:b w:val="0"/>
                <w:bCs w:val="0"/>
                <w:noProof w:val="0"/>
                <w:rtl/>
              </w:rPr>
              <w:t>10</w:t>
            </w:r>
            <w:r>
              <w:rPr>
                <w:b w:val="0"/>
                <w:bCs w:val="0"/>
                <w:noProof w:val="0"/>
                <w:rtl/>
              </w:rPr>
              <w:t xml:space="preserve"> שנים</w:t>
            </w:r>
            <w:r>
              <w:rPr>
                <w:rFonts w:hint="cs"/>
                <w:b w:val="0"/>
                <w:bCs w:val="0"/>
                <w:noProof w:val="0"/>
                <w:rtl/>
              </w:rPr>
              <w:t>.</w:t>
            </w:r>
            <w:r>
              <w:rPr>
                <w:b w:val="0"/>
                <w:bCs w:val="0"/>
                <w:noProof w:val="0"/>
                <w:rtl/>
              </w:rPr>
              <w:t xml:space="preserve"> </w:t>
            </w:r>
            <w:r>
              <w:rPr>
                <w:rFonts w:hint="cs"/>
                <w:b w:val="0"/>
                <w:bCs w:val="0"/>
                <w:noProof w:val="0"/>
                <w:rtl/>
              </w:rPr>
              <w:t>אולם הן</w:t>
            </w:r>
            <w:r>
              <w:rPr>
                <w:b w:val="0"/>
                <w:bCs w:val="0"/>
                <w:noProof w:val="0"/>
                <w:rtl/>
              </w:rPr>
              <w:t xml:space="preserve"> לא עיגנו בהסכמים </w:t>
            </w:r>
            <w:r>
              <w:rPr>
                <w:rFonts w:hint="cs"/>
                <w:b w:val="0"/>
                <w:bCs w:val="0"/>
                <w:noProof w:val="0"/>
                <w:rtl/>
              </w:rPr>
              <w:t xml:space="preserve">נוספים </w:t>
            </w:r>
            <w:r>
              <w:rPr>
                <w:b w:val="0"/>
                <w:bCs w:val="0"/>
                <w:noProof w:val="0"/>
                <w:rtl/>
              </w:rPr>
              <w:t xml:space="preserve">את החובות ואת הזכויות של הצדדים ולא כללו בהם סעיפים </w:t>
            </w:r>
            <w:r>
              <w:rPr>
                <w:rFonts w:hint="cs"/>
                <w:b w:val="0"/>
                <w:bCs w:val="0"/>
                <w:noProof w:val="0"/>
                <w:rtl/>
              </w:rPr>
              <w:t>המפרטים</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הדרישות</w:t>
            </w:r>
            <w:r>
              <w:rPr>
                <w:b w:val="0"/>
                <w:bCs w:val="0"/>
                <w:noProof w:val="0"/>
                <w:rtl/>
              </w:rPr>
              <w:t xml:space="preserve"> </w:t>
            </w:r>
            <w:r>
              <w:rPr>
                <w:rFonts w:hint="cs"/>
                <w:b w:val="0"/>
                <w:bCs w:val="0"/>
                <w:noProof w:val="0"/>
                <w:rtl/>
              </w:rPr>
              <w:t>שהעמותות</w:t>
            </w:r>
            <w:r>
              <w:rPr>
                <w:b w:val="0"/>
                <w:bCs w:val="0"/>
                <w:noProof w:val="0"/>
                <w:rtl/>
              </w:rPr>
              <w:t xml:space="preserve"> חייבות לעמוד בהן לצורך הפעלת מרכזי </w:t>
            </w:r>
            <w:r>
              <w:rPr>
                <w:rFonts w:hint="cs"/>
                <w:b w:val="0"/>
                <w:bCs w:val="0"/>
                <w:noProof w:val="0"/>
                <w:rtl/>
              </w:rPr>
              <w:t>ה</w:t>
            </w:r>
            <w:r>
              <w:rPr>
                <w:b w:val="0"/>
                <w:bCs w:val="0"/>
                <w:noProof w:val="0"/>
                <w:rtl/>
              </w:rPr>
              <w:t xml:space="preserve">יום, כפי שנקבעו </w:t>
            </w:r>
            <w:r>
              <w:rPr>
                <w:rFonts w:hint="cs"/>
                <w:b w:val="0"/>
                <w:bCs w:val="0"/>
                <w:noProof w:val="0"/>
                <w:rtl/>
              </w:rPr>
              <w:t>בתע</w:t>
            </w:r>
            <w:r>
              <w:rPr>
                <w:b w:val="0"/>
                <w:bCs w:val="0"/>
                <w:noProof w:val="0"/>
                <w:rtl/>
              </w:rPr>
              <w:t>"ס.</w:t>
            </w:r>
          </w:p>
          <w:p w:rsidR="00F60E90">
            <w:pPr>
              <w:pStyle w:val="takzir"/>
              <w:ind w:left="340" w:hanging="340"/>
              <w:rPr>
                <w:b w:val="0"/>
                <w:bCs w:val="0"/>
                <w:noProof w:val="0"/>
                <w:rtl/>
              </w:rPr>
            </w:pPr>
            <w:r>
              <w:rPr>
                <w:rFonts w:hint="cs"/>
                <w:b w:val="0"/>
                <w:bCs w:val="0"/>
                <w:noProof w:val="0"/>
                <w:rtl/>
              </w:rPr>
              <w:t xml:space="preserve">3. </w:t>
            </w:r>
            <w:r>
              <w:rPr>
                <w:b w:val="0"/>
                <w:bCs w:val="0"/>
                <w:noProof w:val="0"/>
                <w:rtl/>
              </w:rPr>
              <w:tab/>
            </w:r>
            <w:r>
              <w:rPr>
                <w:rFonts w:hint="cs"/>
                <w:b w:val="0"/>
                <w:bCs w:val="0"/>
                <w:noProof w:val="0"/>
                <w:rtl/>
              </w:rPr>
              <w:t>העמותה</w:t>
            </w:r>
            <w:r>
              <w:rPr>
                <w:b w:val="0"/>
                <w:bCs w:val="0"/>
                <w:noProof w:val="0"/>
                <w:rtl/>
              </w:rPr>
              <w:t xml:space="preserve"> </w:t>
            </w:r>
            <w:r>
              <w:rPr>
                <w:rFonts w:hint="cs"/>
                <w:b w:val="0"/>
                <w:bCs w:val="0"/>
                <w:noProof w:val="0"/>
                <w:rtl/>
              </w:rPr>
              <w:t>למען</w:t>
            </w:r>
            <w:r>
              <w:rPr>
                <w:b w:val="0"/>
                <w:bCs w:val="0"/>
                <w:noProof w:val="0"/>
                <w:rtl/>
              </w:rPr>
              <w:t xml:space="preserve"> </w:t>
            </w:r>
            <w:r>
              <w:rPr>
                <w:rFonts w:hint="cs"/>
                <w:b w:val="0"/>
                <w:bCs w:val="0"/>
                <w:noProof w:val="0"/>
                <w:rtl/>
              </w:rPr>
              <w:t>הקשיש</w:t>
            </w:r>
            <w:r>
              <w:rPr>
                <w:b w:val="0"/>
                <w:bCs w:val="0"/>
                <w:noProof w:val="0"/>
                <w:rtl/>
              </w:rPr>
              <w:t xml:space="preserve"> </w:t>
            </w:r>
            <w:r>
              <w:rPr>
                <w:rFonts w:hint="cs"/>
                <w:b w:val="0"/>
                <w:bCs w:val="0"/>
                <w:noProof w:val="0"/>
                <w:rtl/>
              </w:rPr>
              <w:t>בקלנסווה</w:t>
            </w:r>
            <w:r>
              <w:rPr>
                <w:b w:val="0"/>
                <w:bCs w:val="0"/>
                <w:noProof w:val="0"/>
                <w:rtl/>
              </w:rPr>
              <w:t xml:space="preserve"> </w:t>
            </w:r>
            <w:r>
              <w:rPr>
                <w:rFonts w:hint="cs"/>
                <w:b w:val="0"/>
                <w:bCs w:val="0"/>
                <w:noProof w:val="0"/>
                <w:rtl/>
              </w:rPr>
              <w:t>הקימה</w:t>
            </w:r>
            <w:r>
              <w:rPr>
                <w:b w:val="0"/>
                <w:bCs w:val="0"/>
                <w:noProof w:val="0"/>
                <w:rtl/>
              </w:rPr>
              <w:t xml:space="preserve"> </w:t>
            </w:r>
            <w:r>
              <w:rPr>
                <w:rFonts w:hint="cs"/>
                <w:b w:val="0"/>
                <w:bCs w:val="0"/>
                <w:noProof w:val="0"/>
                <w:rtl/>
              </w:rPr>
              <w:t>בניין</w:t>
            </w:r>
            <w:r>
              <w:rPr>
                <w:b w:val="0"/>
                <w:bCs w:val="0"/>
                <w:noProof w:val="0"/>
                <w:rtl/>
              </w:rPr>
              <w:t xml:space="preserve"> </w:t>
            </w:r>
            <w:r>
              <w:rPr>
                <w:rFonts w:hint="cs"/>
                <w:b w:val="0"/>
                <w:bCs w:val="0"/>
                <w:noProof w:val="0"/>
                <w:rtl/>
              </w:rPr>
              <w:t>על</w:t>
            </w:r>
            <w:r>
              <w:rPr>
                <w:b w:val="0"/>
                <w:bCs w:val="0"/>
                <w:noProof w:val="0"/>
                <w:rtl/>
              </w:rPr>
              <w:t xml:space="preserve"> </w:t>
            </w:r>
            <w:r>
              <w:rPr>
                <w:rFonts w:hint="cs"/>
                <w:b w:val="0"/>
                <w:bCs w:val="0"/>
                <w:noProof w:val="0"/>
                <w:rtl/>
              </w:rPr>
              <w:t>הקרקע</w:t>
            </w:r>
            <w:r>
              <w:rPr>
                <w:b w:val="0"/>
                <w:bCs w:val="0"/>
                <w:noProof w:val="0"/>
                <w:rtl/>
              </w:rPr>
              <w:t xml:space="preserve"> </w:t>
            </w:r>
            <w:r>
              <w:rPr>
                <w:rFonts w:hint="cs"/>
                <w:b w:val="0"/>
                <w:bCs w:val="0"/>
                <w:noProof w:val="0"/>
                <w:rtl/>
              </w:rPr>
              <w:t>שהקצתה</w:t>
            </w:r>
            <w:r>
              <w:rPr>
                <w:b w:val="0"/>
                <w:bCs w:val="0"/>
                <w:noProof w:val="0"/>
                <w:rtl/>
              </w:rPr>
              <w:t xml:space="preserve"> </w:t>
            </w:r>
            <w:r>
              <w:rPr>
                <w:rFonts w:hint="cs"/>
                <w:b w:val="0"/>
                <w:bCs w:val="0"/>
                <w:noProof w:val="0"/>
                <w:rtl/>
              </w:rPr>
              <w:t>לה</w:t>
            </w:r>
            <w:r>
              <w:rPr>
                <w:b w:val="0"/>
                <w:bCs w:val="0"/>
                <w:noProof w:val="0"/>
                <w:rtl/>
              </w:rPr>
              <w:t xml:space="preserve"> </w:t>
            </w:r>
            <w:r>
              <w:rPr>
                <w:rFonts w:hint="cs"/>
                <w:b w:val="0"/>
                <w:bCs w:val="0"/>
                <w:noProof w:val="0"/>
                <w:rtl/>
              </w:rPr>
              <w:t>העירייה</w:t>
            </w:r>
            <w:r>
              <w:rPr>
                <w:b w:val="0"/>
                <w:bCs w:val="0"/>
                <w:noProof w:val="0"/>
                <w:rtl/>
              </w:rPr>
              <w:t xml:space="preserve">, </w:t>
            </w:r>
            <w:r>
              <w:rPr>
                <w:rFonts w:hint="cs"/>
                <w:b w:val="0"/>
                <w:bCs w:val="0"/>
                <w:noProof w:val="0"/>
                <w:rtl/>
              </w:rPr>
              <w:t>ששימש</w:t>
            </w:r>
            <w:r>
              <w:rPr>
                <w:b w:val="0"/>
                <w:bCs w:val="0"/>
                <w:noProof w:val="0"/>
                <w:rtl/>
              </w:rPr>
              <w:t xml:space="preserve"> </w:t>
            </w:r>
            <w:r>
              <w:rPr>
                <w:rFonts w:hint="cs"/>
                <w:b w:val="0"/>
                <w:bCs w:val="0"/>
                <w:noProof w:val="0"/>
                <w:rtl/>
              </w:rPr>
              <w:t>מרכז</w:t>
            </w:r>
            <w:r>
              <w:rPr>
                <w:b w:val="0"/>
                <w:bCs w:val="0"/>
                <w:noProof w:val="0"/>
                <w:rtl/>
              </w:rPr>
              <w:t xml:space="preserve"> </w:t>
            </w:r>
            <w:r>
              <w:rPr>
                <w:rFonts w:hint="cs"/>
                <w:b w:val="0"/>
                <w:bCs w:val="0"/>
                <w:noProof w:val="0"/>
                <w:rtl/>
              </w:rPr>
              <w:t>יום</w:t>
            </w:r>
            <w:r>
              <w:rPr>
                <w:b w:val="0"/>
                <w:bCs w:val="0"/>
                <w:noProof w:val="0"/>
                <w:rtl/>
              </w:rPr>
              <w:t xml:space="preserve"> </w:t>
            </w:r>
            <w:r>
              <w:rPr>
                <w:rFonts w:hint="cs"/>
                <w:b w:val="0"/>
                <w:bCs w:val="0"/>
                <w:noProof w:val="0"/>
                <w:rtl/>
              </w:rPr>
              <w:t>לזקן</w:t>
            </w:r>
            <w:r>
              <w:rPr>
                <w:b w:val="0"/>
                <w:bCs w:val="0"/>
                <w:noProof w:val="0"/>
                <w:rtl/>
              </w:rPr>
              <w:t xml:space="preserve"> </w:t>
            </w:r>
            <w:r>
              <w:rPr>
                <w:rFonts w:hint="cs"/>
                <w:b w:val="0"/>
                <w:bCs w:val="0"/>
                <w:noProof w:val="0"/>
                <w:rtl/>
              </w:rPr>
              <w:t>והפעילה</w:t>
            </w:r>
            <w:r>
              <w:rPr>
                <w:b w:val="0"/>
                <w:bCs w:val="0"/>
                <w:noProof w:val="0"/>
                <w:rtl/>
              </w:rPr>
              <w:t xml:space="preserve"> </w:t>
            </w:r>
            <w:r>
              <w:rPr>
                <w:rFonts w:hint="cs"/>
                <w:b w:val="0"/>
                <w:bCs w:val="0"/>
                <w:noProof w:val="0"/>
                <w:rtl/>
              </w:rPr>
              <w:t>אותו</w:t>
            </w:r>
            <w:r>
              <w:rPr>
                <w:b w:val="0"/>
                <w:bCs w:val="0"/>
                <w:noProof w:val="0"/>
                <w:rtl/>
              </w:rPr>
              <w:t xml:space="preserve"> </w:t>
            </w:r>
            <w:r>
              <w:rPr>
                <w:rFonts w:hint="cs"/>
                <w:b w:val="0"/>
                <w:bCs w:val="0"/>
                <w:noProof w:val="0"/>
                <w:rtl/>
              </w:rPr>
              <w:t>עד</w:t>
            </w:r>
            <w:r>
              <w:rPr>
                <w:b w:val="0"/>
                <w:bCs w:val="0"/>
                <w:noProof w:val="0"/>
                <w:rtl/>
              </w:rPr>
              <w:t xml:space="preserve"> 2006. </w:t>
            </w:r>
            <w:r>
              <w:rPr>
                <w:rFonts w:hint="cs"/>
                <w:b w:val="0"/>
                <w:bCs w:val="0"/>
                <w:noProof w:val="0"/>
                <w:rtl/>
              </w:rPr>
              <w:t>בשנת</w:t>
            </w:r>
            <w:r>
              <w:rPr>
                <w:b w:val="0"/>
                <w:bCs w:val="0"/>
                <w:noProof w:val="0"/>
                <w:rtl/>
              </w:rPr>
              <w:t xml:space="preserve"> 2007 </w:t>
            </w:r>
            <w:r>
              <w:rPr>
                <w:rFonts w:hint="cs"/>
                <w:b w:val="0"/>
                <w:bCs w:val="0"/>
                <w:noProof w:val="0"/>
                <w:rtl/>
              </w:rPr>
              <w:t>הגישה</w:t>
            </w:r>
            <w:r>
              <w:rPr>
                <w:b w:val="0"/>
                <w:bCs w:val="0"/>
                <w:noProof w:val="0"/>
                <w:rtl/>
              </w:rPr>
              <w:t xml:space="preserve"> </w:t>
            </w:r>
            <w:r>
              <w:rPr>
                <w:rFonts w:hint="cs"/>
                <w:b w:val="0"/>
                <w:bCs w:val="0"/>
                <w:noProof w:val="0"/>
                <w:rtl/>
              </w:rPr>
              <w:t>העמותה</w:t>
            </w:r>
            <w:r>
              <w:rPr>
                <w:b w:val="0"/>
                <w:bCs w:val="0"/>
                <w:noProof w:val="0"/>
                <w:rtl/>
              </w:rPr>
              <w:t xml:space="preserve"> </w:t>
            </w:r>
            <w:r>
              <w:rPr>
                <w:rFonts w:hint="cs"/>
                <w:b w:val="0"/>
                <w:bCs w:val="0"/>
                <w:noProof w:val="0"/>
                <w:rtl/>
              </w:rPr>
              <w:t>למען</w:t>
            </w:r>
            <w:r>
              <w:rPr>
                <w:b w:val="0"/>
                <w:bCs w:val="0"/>
                <w:noProof w:val="0"/>
                <w:rtl/>
              </w:rPr>
              <w:t xml:space="preserve"> </w:t>
            </w:r>
            <w:r>
              <w:rPr>
                <w:rFonts w:hint="cs"/>
                <w:b w:val="0"/>
                <w:bCs w:val="0"/>
                <w:noProof w:val="0"/>
                <w:rtl/>
              </w:rPr>
              <w:t>הקשיש</w:t>
            </w:r>
            <w:r>
              <w:rPr>
                <w:b w:val="0"/>
                <w:bCs w:val="0"/>
                <w:noProof w:val="0"/>
                <w:rtl/>
              </w:rPr>
              <w:t xml:space="preserve"> </w:t>
            </w:r>
            <w:r>
              <w:rPr>
                <w:rFonts w:hint="cs"/>
                <w:b w:val="0"/>
                <w:bCs w:val="0"/>
                <w:noProof w:val="0"/>
                <w:rtl/>
              </w:rPr>
              <w:t>תביעה</w:t>
            </w:r>
            <w:r>
              <w:rPr>
                <w:b w:val="0"/>
                <w:bCs w:val="0"/>
                <w:noProof w:val="0"/>
                <w:rtl/>
              </w:rPr>
              <w:t xml:space="preserve"> </w:t>
            </w:r>
            <w:r>
              <w:rPr>
                <w:rFonts w:hint="cs"/>
                <w:b w:val="0"/>
                <w:bCs w:val="0"/>
                <w:noProof w:val="0"/>
                <w:rtl/>
              </w:rPr>
              <w:t>כספית</w:t>
            </w:r>
            <w:r>
              <w:rPr>
                <w:b w:val="0"/>
                <w:bCs w:val="0"/>
                <w:noProof w:val="0"/>
                <w:vertAlign w:val="superscript"/>
                <w:rtl/>
              </w:rPr>
              <w:footnoteReference w:id="4"/>
            </w:r>
            <w:r>
              <w:rPr>
                <w:b w:val="0"/>
                <w:bCs w:val="0"/>
                <w:noProof w:val="0"/>
                <w:rtl/>
              </w:rPr>
              <w:t xml:space="preserve"> נגד העירייה. כיום המבנה נטוש ופרוץ </w:t>
            </w:r>
            <w:r>
              <w:rPr>
                <w:rFonts w:hint="cs"/>
                <w:b w:val="0"/>
                <w:bCs w:val="0"/>
                <w:noProof w:val="0"/>
                <w:rtl/>
              </w:rPr>
              <w:t>וחשוף לו</w:t>
            </w:r>
            <w:r>
              <w:rPr>
                <w:b w:val="0"/>
                <w:bCs w:val="0"/>
                <w:noProof w:val="0"/>
                <w:rtl/>
              </w:rPr>
              <w:t xml:space="preserve">ונדליזם. בתחום העירייה </w:t>
            </w:r>
            <w:r>
              <w:rPr>
                <w:rFonts w:hint="cs"/>
                <w:b w:val="0"/>
                <w:bCs w:val="0"/>
                <w:noProof w:val="0"/>
                <w:rtl/>
              </w:rPr>
              <w:t>אין</w:t>
            </w:r>
            <w:r>
              <w:rPr>
                <w:b w:val="0"/>
                <w:bCs w:val="0"/>
                <w:noProof w:val="0"/>
                <w:rtl/>
              </w:rPr>
              <w:t xml:space="preserve"> </w:t>
            </w:r>
            <w:r>
              <w:rPr>
                <w:rFonts w:hint="cs"/>
                <w:b w:val="0"/>
                <w:bCs w:val="0"/>
                <w:noProof w:val="0"/>
                <w:rtl/>
              </w:rPr>
              <w:t>מופעל</w:t>
            </w:r>
            <w:r>
              <w:rPr>
                <w:b w:val="0"/>
                <w:bCs w:val="0"/>
                <w:noProof w:val="0"/>
                <w:rtl/>
              </w:rPr>
              <w:t xml:space="preserve"> מרכז יום לזקן ו</w:t>
            </w:r>
            <w:r>
              <w:rPr>
                <w:rFonts w:hint="cs"/>
                <w:b w:val="0"/>
                <w:bCs w:val="0"/>
                <w:noProof w:val="0"/>
                <w:rtl/>
              </w:rPr>
              <w:t>אין</w:t>
            </w:r>
            <w:r>
              <w:rPr>
                <w:b w:val="0"/>
                <w:bCs w:val="0"/>
                <w:noProof w:val="0"/>
                <w:rtl/>
              </w:rPr>
              <w:t xml:space="preserve"> מתקיימות </w:t>
            </w:r>
            <w:r>
              <w:rPr>
                <w:rFonts w:hint="cs"/>
                <w:b w:val="0"/>
                <w:bCs w:val="0"/>
                <w:noProof w:val="0"/>
                <w:rtl/>
              </w:rPr>
              <w:t>כלל</w:t>
            </w:r>
            <w:r>
              <w:rPr>
                <w:b w:val="0"/>
                <w:bCs w:val="0"/>
                <w:noProof w:val="0"/>
                <w:rtl/>
              </w:rPr>
              <w:t xml:space="preserve"> פעילויות לרווחתם של הזקנים.</w:t>
            </w:r>
            <w:r>
              <w:rPr>
                <w:rFonts w:hint="cs"/>
                <w:b w:val="0"/>
                <w:bCs w:val="0"/>
                <w:noProof w:val="0"/>
                <w:rtl/>
              </w:rPr>
              <w:t xml:space="preserve"> </w:t>
            </w:r>
          </w:p>
          <w:p w:rsidR="00F60E90">
            <w:pPr>
              <w:pStyle w:val="takzir"/>
              <w:ind w:left="340" w:hanging="340"/>
              <w:rPr>
                <w:b w:val="0"/>
                <w:bCs w:val="0"/>
                <w:noProof w:val="0"/>
                <w:rtl/>
              </w:rPr>
            </w:pPr>
            <w:r>
              <w:rPr>
                <w:rFonts w:hint="cs"/>
                <w:b w:val="0"/>
                <w:bCs w:val="0"/>
                <w:noProof w:val="0"/>
                <w:rtl/>
              </w:rPr>
              <w:t xml:space="preserve">4. </w:t>
            </w:r>
            <w:r>
              <w:rPr>
                <w:b w:val="0"/>
                <w:bCs w:val="0"/>
                <w:noProof w:val="0"/>
                <w:rtl/>
              </w:rPr>
              <w:tab/>
            </w:r>
            <w:r>
              <w:rPr>
                <w:rFonts w:hint="cs"/>
                <w:b w:val="0"/>
                <w:bCs w:val="0"/>
                <w:noProof w:val="0"/>
                <w:rtl/>
              </w:rPr>
              <w:t>במועצות</w:t>
            </w:r>
            <w:r>
              <w:rPr>
                <w:b w:val="0"/>
                <w:bCs w:val="0"/>
                <w:noProof w:val="0"/>
                <w:rtl/>
              </w:rPr>
              <w:t xml:space="preserve"> </w:t>
            </w:r>
            <w:r>
              <w:rPr>
                <w:rFonts w:hint="cs"/>
                <w:b w:val="0"/>
                <w:bCs w:val="0"/>
                <w:noProof w:val="0"/>
                <w:rtl/>
              </w:rPr>
              <w:t>האזוריות</w:t>
            </w:r>
            <w:r>
              <w:rPr>
                <w:b w:val="0"/>
                <w:bCs w:val="0"/>
                <w:noProof w:val="0"/>
                <w:rtl/>
              </w:rPr>
              <w:t xml:space="preserve"> </w:t>
            </w:r>
            <w:r>
              <w:rPr>
                <w:rFonts w:hint="cs"/>
                <w:b w:val="0"/>
                <w:bCs w:val="0"/>
                <w:noProof w:val="0"/>
                <w:rtl/>
              </w:rPr>
              <w:t>המתאפיינות</w:t>
            </w:r>
            <w:r>
              <w:rPr>
                <w:b w:val="0"/>
                <w:bCs w:val="0"/>
                <w:noProof w:val="0"/>
                <w:rtl/>
              </w:rPr>
              <w:t xml:space="preserve"> </w:t>
            </w:r>
            <w:r>
              <w:rPr>
                <w:rFonts w:hint="cs"/>
                <w:b w:val="0"/>
                <w:bCs w:val="0"/>
                <w:noProof w:val="0"/>
                <w:rtl/>
              </w:rPr>
              <w:t>בפיזור</w:t>
            </w:r>
            <w:r>
              <w:rPr>
                <w:b w:val="0"/>
                <w:bCs w:val="0"/>
                <w:noProof w:val="0"/>
                <w:rtl/>
              </w:rPr>
              <w:t xml:space="preserve"> </w:t>
            </w:r>
            <w:r>
              <w:rPr>
                <w:rFonts w:hint="cs"/>
                <w:b w:val="0"/>
                <w:bCs w:val="0"/>
                <w:noProof w:val="0"/>
                <w:rtl/>
              </w:rPr>
              <w:t>יישוביהן</w:t>
            </w:r>
            <w:r>
              <w:rPr>
                <w:b w:val="0"/>
                <w:bCs w:val="0"/>
                <w:noProof w:val="0"/>
                <w:rtl/>
              </w:rPr>
              <w:t xml:space="preserve"> </w:t>
            </w:r>
            <w:r>
              <w:rPr>
                <w:rFonts w:hint="cs"/>
                <w:b w:val="0"/>
                <w:bCs w:val="0"/>
                <w:noProof w:val="0"/>
                <w:rtl/>
              </w:rPr>
              <w:t>על פני שטח</w:t>
            </w:r>
            <w:r>
              <w:rPr>
                <w:b w:val="0"/>
                <w:bCs w:val="0"/>
                <w:noProof w:val="0"/>
                <w:rtl/>
              </w:rPr>
              <w:t xml:space="preserve"> </w:t>
            </w:r>
            <w:r>
              <w:rPr>
                <w:rFonts w:hint="cs"/>
                <w:b w:val="0"/>
                <w:bCs w:val="0"/>
                <w:noProof w:val="0"/>
                <w:rtl/>
              </w:rPr>
              <w:t>גאוגרפי</w:t>
            </w:r>
            <w:r>
              <w:rPr>
                <w:b w:val="0"/>
                <w:bCs w:val="0"/>
                <w:noProof w:val="0"/>
                <w:rtl/>
              </w:rPr>
              <w:t xml:space="preserve"> </w:t>
            </w:r>
            <w:r>
              <w:rPr>
                <w:rFonts w:hint="cs"/>
                <w:b w:val="0"/>
                <w:bCs w:val="0"/>
                <w:noProof w:val="0"/>
                <w:rtl/>
              </w:rPr>
              <w:t>רחב</w:t>
            </w:r>
            <w:r>
              <w:rPr>
                <w:b w:val="0"/>
                <w:bCs w:val="0"/>
                <w:noProof w:val="0"/>
                <w:rtl/>
              </w:rPr>
              <w:t xml:space="preserve">, </w:t>
            </w:r>
            <w:r>
              <w:rPr>
                <w:rFonts w:hint="cs"/>
                <w:b w:val="0"/>
                <w:bCs w:val="0"/>
                <w:noProof w:val="0"/>
                <w:rtl/>
              </w:rPr>
              <w:t>הזקנים</w:t>
            </w:r>
            <w:r>
              <w:rPr>
                <w:b w:val="0"/>
                <w:bCs w:val="0"/>
                <w:noProof w:val="0"/>
                <w:rtl/>
              </w:rPr>
              <w:t xml:space="preserve"> </w:t>
            </w:r>
            <w:r>
              <w:rPr>
                <w:rFonts w:hint="cs"/>
                <w:b w:val="0"/>
                <w:bCs w:val="0"/>
                <w:noProof w:val="0"/>
                <w:rtl/>
              </w:rPr>
              <w:t>מתקשים</w:t>
            </w:r>
            <w:r>
              <w:rPr>
                <w:b w:val="0"/>
                <w:bCs w:val="0"/>
                <w:noProof w:val="0"/>
                <w:rtl/>
              </w:rPr>
              <w:t xml:space="preserve"> </w:t>
            </w:r>
            <w:r>
              <w:rPr>
                <w:rFonts w:hint="cs"/>
                <w:b w:val="0"/>
                <w:bCs w:val="0"/>
                <w:noProof w:val="0"/>
                <w:rtl/>
              </w:rPr>
              <w:t>להגיע</w:t>
            </w:r>
            <w:r>
              <w:rPr>
                <w:b w:val="0"/>
                <w:bCs w:val="0"/>
                <w:noProof w:val="0"/>
                <w:rtl/>
              </w:rPr>
              <w:t xml:space="preserve"> </w:t>
            </w:r>
            <w:r>
              <w:rPr>
                <w:rFonts w:hint="cs"/>
                <w:b w:val="0"/>
                <w:bCs w:val="0"/>
                <w:noProof w:val="0"/>
                <w:rtl/>
              </w:rPr>
              <w:t>למרכזי</w:t>
            </w:r>
            <w:r>
              <w:rPr>
                <w:b w:val="0"/>
                <w:bCs w:val="0"/>
                <w:noProof w:val="0"/>
                <w:rtl/>
              </w:rPr>
              <w:t xml:space="preserve"> </w:t>
            </w:r>
            <w:r>
              <w:rPr>
                <w:rFonts w:hint="cs"/>
                <w:b w:val="0"/>
                <w:bCs w:val="0"/>
                <w:noProof w:val="0"/>
                <w:rtl/>
              </w:rPr>
              <w:t>היום</w:t>
            </w:r>
            <w:r>
              <w:rPr>
                <w:b w:val="0"/>
                <w:bCs w:val="0"/>
                <w:noProof w:val="0"/>
                <w:rtl/>
              </w:rPr>
              <w:t xml:space="preserve"> </w:t>
            </w:r>
            <w:r>
              <w:rPr>
                <w:rFonts w:hint="cs"/>
                <w:b w:val="0"/>
                <w:bCs w:val="0"/>
                <w:noProof w:val="0"/>
                <w:rtl/>
              </w:rPr>
              <w:t>הן</w:t>
            </w:r>
            <w:r>
              <w:rPr>
                <w:b w:val="0"/>
                <w:bCs w:val="0"/>
                <w:noProof w:val="0"/>
                <w:rtl/>
              </w:rPr>
              <w:t xml:space="preserve"> </w:t>
            </w:r>
            <w:r>
              <w:rPr>
                <w:rFonts w:hint="cs"/>
                <w:b w:val="0"/>
                <w:bCs w:val="0"/>
                <w:noProof w:val="0"/>
                <w:rtl/>
              </w:rPr>
              <w:t>בשל</w:t>
            </w:r>
            <w:r>
              <w:rPr>
                <w:b w:val="0"/>
                <w:bCs w:val="0"/>
                <w:noProof w:val="0"/>
                <w:rtl/>
              </w:rPr>
              <w:t xml:space="preserve"> </w:t>
            </w:r>
            <w:r>
              <w:rPr>
                <w:rFonts w:hint="cs"/>
                <w:b w:val="0"/>
                <w:bCs w:val="0"/>
                <w:noProof w:val="0"/>
                <w:rtl/>
              </w:rPr>
              <w:t>משך</w:t>
            </w:r>
            <w:r>
              <w:rPr>
                <w:b w:val="0"/>
                <w:bCs w:val="0"/>
                <w:noProof w:val="0"/>
                <w:rtl/>
              </w:rPr>
              <w:t xml:space="preserve"> </w:t>
            </w:r>
            <w:r>
              <w:rPr>
                <w:rFonts w:hint="cs"/>
                <w:b w:val="0"/>
                <w:bCs w:val="0"/>
                <w:noProof w:val="0"/>
                <w:rtl/>
              </w:rPr>
              <w:t>הנסיעה</w:t>
            </w:r>
            <w:r>
              <w:rPr>
                <w:b w:val="0"/>
                <w:bCs w:val="0"/>
                <w:noProof w:val="0"/>
                <w:rtl/>
              </w:rPr>
              <w:t xml:space="preserve"> </w:t>
            </w:r>
            <w:r>
              <w:rPr>
                <w:rFonts w:hint="cs"/>
                <w:b w:val="0"/>
                <w:bCs w:val="0"/>
                <w:noProof w:val="0"/>
                <w:rtl/>
              </w:rPr>
              <w:t>הארוך</w:t>
            </w:r>
            <w:r>
              <w:rPr>
                <w:b w:val="0"/>
                <w:bCs w:val="0"/>
                <w:noProof w:val="0"/>
                <w:rtl/>
              </w:rPr>
              <w:t xml:space="preserve"> </w:t>
            </w:r>
            <w:r>
              <w:rPr>
                <w:rFonts w:hint="cs"/>
                <w:b w:val="0"/>
                <w:bCs w:val="0"/>
                <w:noProof w:val="0"/>
                <w:rtl/>
              </w:rPr>
              <w:t>והן</w:t>
            </w:r>
            <w:r>
              <w:rPr>
                <w:b w:val="0"/>
                <w:bCs w:val="0"/>
                <w:noProof w:val="0"/>
                <w:rtl/>
              </w:rPr>
              <w:t xml:space="preserve"> </w:t>
            </w:r>
            <w:r>
              <w:rPr>
                <w:rFonts w:hint="cs"/>
                <w:b w:val="0"/>
                <w:bCs w:val="0"/>
                <w:noProof w:val="0"/>
                <w:rtl/>
              </w:rPr>
              <w:t>בשל</w:t>
            </w:r>
            <w:r>
              <w:rPr>
                <w:b w:val="0"/>
                <w:bCs w:val="0"/>
                <w:noProof w:val="0"/>
                <w:rtl/>
              </w:rPr>
              <w:t xml:space="preserve"> </w:t>
            </w:r>
            <w:r>
              <w:rPr>
                <w:rFonts w:hint="cs"/>
                <w:b w:val="0"/>
                <w:bCs w:val="0"/>
                <w:noProof w:val="0"/>
                <w:rtl/>
              </w:rPr>
              <w:t>היעדר</w:t>
            </w:r>
            <w:r>
              <w:rPr>
                <w:b w:val="0"/>
                <w:bCs w:val="0"/>
                <w:noProof w:val="0"/>
                <w:rtl/>
              </w:rPr>
              <w:t xml:space="preserve"> </w:t>
            </w:r>
            <w:r>
              <w:rPr>
                <w:rFonts w:hint="cs"/>
                <w:b w:val="0"/>
                <w:bCs w:val="0"/>
                <w:noProof w:val="0"/>
                <w:rtl/>
              </w:rPr>
              <w:t>הסדר</w:t>
            </w:r>
            <w:r>
              <w:rPr>
                <w:b w:val="0"/>
                <w:bCs w:val="0"/>
                <w:noProof w:val="0"/>
                <w:rtl/>
              </w:rPr>
              <w:t xml:space="preserve"> </w:t>
            </w:r>
            <w:r>
              <w:rPr>
                <w:rFonts w:hint="cs"/>
                <w:b w:val="0"/>
                <w:bCs w:val="0"/>
                <w:noProof w:val="0"/>
                <w:rtl/>
              </w:rPr>
              <w:t>הסעה</w:t>
            </w:r>
            <w:r>
              <w:rPr>
                <w:b w:val="0"/>
                <w:bCs w:val="0"/>
                <w:noProof w:val="0"/>
                <w:rtl/>
              </w:rPr>
              <w:t xml:space="preserve"> </w:t>
            </w:r>
            <w:r>
              <w:rPr>
                <w:rFonts w:hint="cs"/>
                <w:b w:val="0"/>
                <w:bCs w:val="0"/>
                <w:noProof w:val="0"/>
                <w:rtl/>
              </w:rPr>
              <w:t>מתאים.</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sz w:val="24"/>
                <w:szCs w:val="24"/>
                <w:rtl/>
              </w:rPr>
              <w:br w:type="page"/>
            </w:r>
            <w:r>
              <w:rPr>
                <w:rFonts w:hint="eastAsia"/>
                <w:sz w:val="24"/>
                <w:szCs w:val="24"/>
                <w:rtl/>
              </w:rPr>
              <w:t>הפעלה</w:t>
            </w:r>
            <w:r>
              <w:rPr>
                <w:sz w:val="24"/>
                <w:szCs w:val="24"/>
                <w:rtl/>
              </w:rPr>
              <w:t xml:space="preserve"> </w:t>
            </w:r>
            <w:r>
              <w:rPr>
                <w:rFonts w:hint="eastAsia"/>
                <w:sz w:val="24"/>
                <w:szCs w:val="24"/>
                <w:rtl/>
              </w:rPr>
              <w:t>חלקית</w:t>
            </w:r>
            <w:r>
              <w:rPr>
                <w:sz w:val="24"/>
                <w:szCs w:val="24"/>
                <w:rtl/>
              </w:rPr>
              <w:t xml:space="preserve"> </w:t>
            </w:r>
            <w:r>
              <w:rPr>
                <w:rFonts w:hint="eastAsia"/>
                <w:sz w:val="24"/>
                <w:szCs w:val="24"/>
                <w:rtl/>
              </w:rPr>
              <w:t>של</w:t>
            </w:r>
            <w:r>
              <w:rPr>
                <w:sz w:val="24"/>
                <w:szCs w:val="24"/>
                <w:rtl/>
              </w:rPr>
              <w:t xml:space="preserve"> </w:t>
            </w:r>
            <w:r>
              <w:rPr>
                <w:rFonts w:hint="eastAsia"/>
                <w:sz w:val="24"/>
                <w:szCs w:val="24"/>
                <w:rtl/>
              </w:rPr>
              <w:t>תכנית</w:t>
            </w:r>
            <w:r>
              <w:rPr>
                <w:sz w:val="24"/>
                <w:szCs w:val="24"/>
                <w:rtl/>
              </w:rPr>
              <w:t xml:space="preserve"> "</w:t>
            </w:r>
            <w:r>
              <w:rPr>
                <w:rFonts w:hint="eastAsia"/>
                <w:sz w:val="24"/>
                <w:szCs w:val="24"/>
                <w:rtl/>
              </w:rPr>
              <w:t>בן</w:t>
            </w:r>
            <w:r>
              <w:rPr>
                <w:sz w:val="24"/>
                <w:szCs w:val="24"/>
                <w:rtl/>
              </w:rPr>
              <w:t xml:space="preserve"> ממשיך - </w:t>
            </w:r>
            <w:r>
              <w:rPr>
                <w:rFonts w:hint="eastAsia"/>
                <w:sz w:val="24"/>
                <w:szCs w:val="24"/>
                <w:rtl/>
              </w:rPr>
              <w:t>משפחה</w:t>
            </w:r>
            <w:r>
              <w:rPr>
                <w:sz w:val="24"/>
                <w:szCs w:val="24"/>
                <w:rtl/>
              </w:rPr>
              <w:t xml:space="preserve"> </w:t>
            </w:r>
            <w:r>
              <w:rPr>
                <w:rFonts w:hint="eastAsia"/>
                <w:sz w:val="24"/>
                <w:szCs w:val="24"/>
                <w:rtl/>
              </w:rPr>
              <w:t>ממשיכה</w:t>
            </w:r>
            <w:r>
              <w:rPr>
                <w:sz w:val="24"/>
                <w:szCs w:val="24"/>
                <w:rtl/>
              </w:rPr>
              <w:t>"</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rFonts w:hint="cs"/>
                <w:b w:val="0"/>
                <w:bCs w:val="0"/>
                <w:noProof w:val="0"/>
                <w:rtl/>
              </w:rPr>
              <w:t>המגזר</w:t>
            </w:r>
            <w:r>
              <w:rPr>
                <w:b w:val="0"/>
                <w:bCs w:val="0"/>
                <w:noProof w:val="0"/>
                <w:rtl/>
              </w:rPr>
              <w:t xml:space="preserve"> </w:t>
            </w:r>
            <w:r>
              <w:rPr>
                <w:rFonts w:hint="cs"/>
                <w:b w:val="0"/>
                <w:bCs w:val="0"/>
                <w:noProof w:val="0"/>
                <w:rtl/>
              </w:rPr>
              <w:t>הכפרי</w:t>
            </w:r>
            <w:r>
              <w:rPr>
                <w:b w:val="0"/>
                <w:bCs w:val="0"/>
                <w:noProof w:val="0"/>
                <w:rtl/>
              </w:rPr>
              <w:t xml:space="preserve"> </w:t>
            </w:r>
            <w:r>
              <w:rPr>
                <w:rFonts w:hint="cs"/>
                <w:b w:val="0"/>
                <w:bCs w:val="0"/>
                <w:noProof w:val="0"/>
                <w:rtl/>
              </w:rPr>
              <w:t>מאופיין</w:t>
            </w:r>
            <w:r>
              <w:rPr>
                <w:b w:val="0"/>
                <w:bCs w:val="0"/>
                <w:noProof w:val="0"/>
                <w:rtl/>
              </w:rPr>
              <w:t xml:space="preserve"> </w:t>
            </w:r>
            <w:r>
              <w:rPr>
                <w:rFonts w:hint="cs"/>
                <w:b w:val="0"/>
                <w:bCs w:val="0"/>
                <w:noProof w:val="0"/>
                <w:rtl/>
              </w:rPr>
              <w:t>במצב</w:t>
            </w:r>
            <w:r>
              <w:rPr>
                <w:b w:val="0"/>
                <w:bCs w:val="0"/>
                <w:noProof w:val="0"/>
                <w:rtl/>
              </w:rPr>
              <w:t xml:space="preserve"> </w:t>
            </w:r>
            <w:r>
              <w:rPr>
                <w:rFonts w:hint="cs"/>
                <w:b w:val="0"/>
                <w:bCs w:val="0"/>
                <w:noProof w:val="0"/>
                <w:rtl/>
              </w:rPr>
              <w:t>ייחודי</w:t>
            </w:r>
            <w:r>
              <w:rPr>
                <w:b w:val="0"/>
                <w:bCs w:val="0"/>
                <w:noProof w:val="0"/>
                <w:rtl/>
              </w:rPr>
              <w:t xml:space="preserve"> </w:t>
            </w:r>
            <w:r>
              <w:rPr>
                <w:rFonts w:hint="cs"/>
                <w:b w:val="0"/>
                <w:bCs w:val="0"/>
                <w:noProof w:val="0"/>
                <w:rtl/>
              </w:rPr>
              <w:t>שבו</w:t>
            </w:r>
            <w:r>
              <w:rPr>
                <w:b w:val="0"/>
                <w:bCs w:val="0"/>
                <w:noProof w:val="0"/>
                <w:rtl/>
              </w:rPr>
              <w:t xml:space="preserve"> </w:t>
            </w:r>
            <w:r>
              <w:rPr>
                <w:rFonts w:hint="cs"/>
                <w:b w:val="0"/>
                <w:bCs w:val="0"/>
                <w:noProof w:val="0"/>
                <w:rtl/>
              </w:rPr>
              <w:t>בעלי</w:t>
            </w:r>
            <w:r>
              <w:rPr>
                <w:b w:val="0"/>
                <w:bCs w:val="0"/>
                <w:noProof w:val="0"/>
                <w:rtl/>
              </w:rPr>
              <w:t xml:space="preserve"> </w:t>
            </w:r>
            <w:r>
              <w:rPr>
                <w:rFonts w:hint="cs"/>
                <w:b w:val="0"/>
                <w:bCs w:val="0"/>
                <w:noProof w:val="0"/>
                <w:rtl/>
              </w:rPr>
              <w:t>נחלות</w:t>
            </w:r>
            <w:r>
              <w:rPr>
                <w:b w:val="0"/>
                <w:bCs w:val="0"/>
                <w:noProof w:val="0"/>
                <w:rtl/>
              </w:rPr>
              <w:t xml:space="preserve"> </w:t>
            </w:r>
            <w:r>
              <w:rPr>
                <w:rFonts w:hint="cs"/>
                <w:b w:val="0"/>
                <w:bCs w:val="0"/>
                <w:noProof w:val="0"/>
                <w:rtl/>
              </w:rPr>
              <w:t>מזדקנים</w:t>
            </w:r>
            <w:r>
              <w:rPr>
                <w:b w:val="0"/>
                <w:bCs w:val="0"/>
                <w:noProof w:val="0"/>
                <w:rtl/>
              </w:rPr>
              <w:t xml:space="preserve"> </w:t>
            </w:r>
            <w:r>
              <w:rPr>
                <w:rFonts w:hint="cs"/>
                <w:b w:val="0"/>
                <w:bCs w:val="0"/>
                <w:noProof w:val="0"/>
                <w:rtl/>
              </w:rPr>
              <w:t>מתקשים</w:t>
            </w:r>
            <w:r>
              <w:rPr>
                <w:b w:val="0"/>
                <w:bCs w:val="0"/>
                <w:noProof w:val="0"/>
                <w:rtl/>
              </w:rPr>
              <w:t xml:space="preserve"> </w:t>
            </w:r>
            <w:r>
              <w:rPr>
                <w:rFonts w:hint="cs"/>
                <w:b w:val="0"/>
                <w:bCs w:val="0"/>
                <w:noProof w:val="0"/>
                <w:rtl/>
              </w:rPr>
              <w:t>להמשיך</w:t>
            </w:r>
            <w:r>
              <w:rPr>
                <w:b w:val="0"/>
                <w:bCs w:val="0"/>
                <w:noProof w:val="0"/>
                <w:rtl/>
              </w:rPr>
              <w:t xml:space="preserve"> </w:t>
            </w:r>
            <w:r>
              <w:rPr>
                <w:rFonts w:hint="cs"/>
                <w:b w:val="0"/>
                <w:bCs w:val="0"/>
                <w:noProof w:val="0"/>
                <w:rtl/>
              </w:rPr>
              <w:t>ולהתגורר</w:t>
            </w:r>
            <w:r>
              <w:rPr>
                <w:b w:val="0"/>
                <w:bCs w:val="0"/>
                <w:noProof w:val="0"/>
                <w:rtl/>
              </w:rPr>
              <w:t xml:space="preserve"> </w:t>
            </w:r>
            <w:r>
              <w:rPr>
                <w:rFonts w:hint="cs"/>
                <w:b w:val="0"/>
                <w:bCs w:val="0"/>
                <w:noProof w:val="0"/>
                <w:rtl/>
              </w:rPr>
              <w:t>בבתיהם בגלל</w:t>
            </w:r>
            <w:r>
              <w:rPr>
                <w:b w:val="0"/>
                <w:bCs w:val="0"/>
                <w:noProof w:val="0"/>
                <w:rtl/>
              </w:rPr>
              <w:t xml:space="preserve"> </w:t>
            </w:r>
            <w:r>
              <w:rPr>
                <w:rFonts w:hint="cs"/>
                <w:b w:val="0"/>
                <w:bCs w:val="0"/>
                <w:noProof w:val="0"/>
                <w:rtl/>
              </w:rPr>
              <w:t>ריחוקם</w:t>
            </w:r>
            <w:r>
              <w:rPr>
                <w:b w:val="0"/>
                <w:bCs w:val="0"/>
                <w:noProof w:val="0"/>
                <w:rtl/>
              </w:rPr>
              <w:t xml:space="preserve"> </w:t>
            </w:r>
            <w:r>
              <w:rPr>
                <w:rFonts w:hint="cs"/>
                <w:b w:val="0"/>
                <w:bCs w:val="0"/>
                <w:noProof w:val="0"/>
                <w:rtl/>
              </w:rPr>
              <w:t>ממערך</w:t>
            </w:r>
            <w:r>
              <w:rPr>
                <w:b w:val="0"/>
                <w:bCs w:val="0"/>
                <w:noProof w:val="0"/>
                <w:rtl/>
              </w:rPr>
              <w:t xml:space="preserve"> </w:t>
            </w:r>
            <w:r>
              <w:rPr>
                <w:rFonts w:hint="cs"/>
                <w:b w:val="0"/>
                <w:bCs w:val="0"/>
                <w:noProof w:val="0"/>
                <w:rtl/>
              </w:rPr>
              <w:t>השירותים</w:t>
            </w:r>
            <w:r>
              <w:rPr>
                <w:b w:val="0"/>
                <w:bCs w:val="0"/>
                <w:noProof w:val="0"/>
                <w:rtl/>
              </w:rPr>
              <w:t xml:space="preserve"> </w:t>
            </w:r>
            <w:r>
              <w:rPr>
                <w:rFonts w:hint="cs"/>
                <w:b w:val="0"/>
                <w:bCs w:val="0"/>
                <w:noProof w:val="0"/>
                <w:rtl/>
              </w:rPr>
              <w:t>החברתיים</w:t>
            </w:r>
            <w:r>
              <w:rPr>
                <w:b w:val="0"/>
                <w:bCs w:val="0"/>
                <w:noProof w:val="0"/>
                <w:rtl/>
              </w:rPr>
              <w:t xml:space="preserve">, </w:t>
            </w:r>
            <w:r>
              <w:rPr>
                <w:rFonts w:hint="cs"/>
                <w:b w:val="0"/>
                <w:bCs w:val="0"/>
                <w:noProof w:val="0"/>
                <w:rtl/>
              </w:rPr>
              <w:t>הרפואיים</w:t>
            </w:r>
            <w:r>
              <w:rPr>
                <w:b w:val="0"/>
                <w:bCs w:val="0"/>
                <w:noProof w:val="0"/>
                <w:rtl/>
              </w:rPr>
              <w:t xml:space="preserve"> </w:t>
            </w:r>
            <w:r>
              <w:rPr>
                <w:rFonts w:hint="cs"/>
                <w:b w:val="0"/>
                <w:bCs w:val="0"/>
                <w:noProof w:val="0"/>
                <w:rtl/>
              </w:rPr>
              <w:t>ואחרים</w:t>
            </w:r>
            <w:r>
              <w:rPr>
                <w:b w:val="0"/>
                <w:bCs w:val="0"/>
                <w:noProof w:val="0"/>
                <w:rtl/>
              </w:rPr>
              <w:t xml:space="preserve">. </w:t>
            </w:r>
            <w:r>
              <w:rPr>
                <w:rFonts w:hint="cs"/>
                <w:b w:val="0"/>
                <w:bCs w:val="0"/>
                <w:noProof w:val="0"/>
                <w:rtl/>
              </w:rPr>
              <w:t>מציאות כזאת</w:t>
            </w:r>
            <w:r>
              <w:rPr>
                <w:b w:val="0"/>
                <w:bCs w:val="0"/>
                <w:noProof w:val="0"/>
                <w:rtl/>
              </w:rPr>
              <w:t xml:space="preserve"> </w:t>
            </w:r>
            <w:r>
              <w:rPr>
                <w:rFonts w:hint="cs"/>
                <w:b w:val="0"/>
                <w:bCs w:val="0"/>
                <w:noProof w:val="0"/>
                <w:rtl/>
              </w:rPr>
              <w:t>מגבירה</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תלותם</w:t>
            </w:r>
            <w:r>
              <w:rPr>
                <w:b w:val="0"/>
                <w:bCs w:val="0"/>
                <w:noProof w:val="0"/>
                <w:rtl/>
              </w:rPr>
              <w:t xml:space="preserve"> </w:t>
            </w:r>
            <w:r>
              <w:rPr>
                <w:rFonts w:hint="cs"/>
                <w:b w:val="0"/>
                <w:bCs w:val="0"/>
                <w:noProof w:val="0"/>
                <w:rtl/>
              </w:rPr>
              <w:t>בבני</w:t>
            </w:r>
            <w:r>
              <w:rPr>
                <w:b w:val="0"/>
                <w:bCs w:val="0"/>
                <w:noProof w:val="0"/>
                <w:rtl/>
              </w:rPr>
              <w:t xml:space="preserve"> </w:t>
            </w:r>
            <w:r>
              <w:rPr>
                <w:rFonts w:hint="cs"/>
                <w:b w:val="0"/>
                <w:bCs w:val="0"/>
                <w:noProof w:val="0"/>
                <w:rtl/>
              </w:rPr>
              <w:t>המשפחה.</w:t>
            </w:r>
          </w:p>
          <w:p w:rsidR="00F60E90">
            <w:pPr>
              <w:pStyle w:val="takzir"/>
              <w:rPr>
                <w:b w:val="0"/>
                <w:bCs w:val="0"/>
                <w:noProof w:val="0"/>
                <w:rtl/>
              </w:rPr>
            </w:pPr>
            <w:r>
              <w:rPr>
                <w:rFonts w:hint="cs"/>
                <w:b w:val="0"/>
                <w:bCs w:val="0"/>
                <w:noProof w:val="0"/>
                <w:rtl/>
              </w:rPr>
              <w:t>החלטת</w:t>
            </w:r>
            <w:r>
              <w:rPr>
                <w:b w:val="0"/>
                <w:bCs w:val="0"/>
                <w:noProof w:val="0"/>
                <w:rtl/>
              </w:rPr>
              <w:t xml:space="preserve"> </w:t>
            </w:r>
            <w:r>
              <w:rPr>
                <w:rFonts w:hint="cs"/>
                <w:b w:val="0"/>
                <w:bCs w:val="0"/>
                <w:noProof w:val="0"/>
                <w:rtl/>
              </w:rPr>
              <w:t>מועצת</w:t>
            </w:r>
            <w:r>
              <w:rPr>
                <w:b w:val="0"/>
                <w:bCs w:val="0"/>
                <w:noProof w:val="0"/>
                <w:rtl/>
              </w:rPr>
              <w:t xml:space="preserve"> </w:t>
            </w:r>
            <w:r>
              <w:rPr>
                <w:rFonts w:hint="cs"/>
                <w:b w:val="0"/>
                <w:bCs w:val="0"/>
                <w:noProof w:val="0"/>
                <w:rtl/>
              </w:rPr>
              <w:t>מקרקעי</w:t>
            </w:r>
            <w:r>
              <w:rPr>
                <w:b w:val="0"/>
                <w:bCs w:val="0"/>
                <w:noProof w:val="0"/>
                <w:rtl/>
              </w:rPr>
              <w:t xml:space="preserve"> </w:t>
            </w:r>
            <w:r>
              <w:rPr>
                <w:rFonts w:hint="cs"/>
                <w:b w:val="0"/>
                <w:bCs w:val="0"/>
                <w:noProof w:val="0"/>
                <w:rtl/>
              </w:rPr>
              <w:t>ישראל</w:t>
            </w:r>
            <w:r>
              <w:rPr>
                <w:b w:val="0"/>
                <w:bCs w:val="0"/>
                <w:noProof w:val="0"/>
                <w:rtl/>
              </w:rPr>
              <w:t xml:space="preserve"> </w:t>
            </w:r>
            <w:r>
              <w:rPr>
                <w:rFonts w:hint="cs"/>
                <w:b w:val="0"/>
                <w:bCs w:val="0"/>
                <w:noProof w:val="0"/>
                <w:rtl/>
              </w:rPr>
              <w:t>המאפשרת</w:t>
            </w:r>
            <w:r>
              <w:rPr>
                <w:b w:val="0"/>
                <w:bCs w:val="0"/>
                <w:noProof w:val="0"/>
                <w:rtl/>
              </w:rPr>
              <w:t xml:space="preserve"> </w:t>
            </w:r>
            <w:r>
              <w:rPr>
                <w:rFonts w:hint="cs"/>
                <w:b w:val="0"/>
                <w:bCs w:val="0"/>
                <w:noProof w:val="0"/>
                <w:rtl/>
              </w:rPr>
              <w:t>לרשום</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אחד</w:t>
            </w:r>
            <w:r>
              <w:rPr>
                <w:b w:val="0"/>
                <w:bCs w:val="0"/>
                <w:noProof w:val="0"/>
                <w:rtl/>
              </w:rPr>
              <w:t xml:space="preserve"> </w:t>
            </w:r>
            <w:r>
              <w:rPr>
                <w:rFonts w:hint="cs"/>
                <w:b w:val="0"/>
                <w:bCs w:val="0"/>
                <w:noProof w:val="0"/>
                <w:rtl/>
              </w:rPr>
              <w:t>היורשים</w:t>
            </w:r>
            <w:r>
              <w:rPr>
                <w:b w:val="0"/>
                <w:bCs w:val="0"/>
                <w:noProof w:val="0"/>
                <w:rtl/>
              </w:rPr>
              <w:t xml:space="preserve"> </w:t>
            </w:r>
            <w:r>
              <w:rPr>
                <w:rFonts w:hint="cs"/>
                <w:b w:val="0"/>
                <w:bCs w:val="0"/>
                <w:noProof w:val="0"/>
                <w:rtl/>
              </w:rPr>
              <w:t>כבן</w:t>
            </w:r>
            <w:r>
              <w:rPr>
                <w:b w:val="0"/>
                <w:bCs w:val="0"/>
                <w:noProof w:val="0"/>
                <w:rtl/>
              </w:rPr>
              <w:t xml:space="preserve"> </w:t>
            </w:r>
            <w:r>
              <w:rPr>
                <w:rFonts w:hint="cs"/>
                <w:b w:val="0"/>
                <w:bCs w:val="0"/>
                <w:noProof w:val="0"/>
                <w:rtl/>
              </w:rPr>
              <w:t>ממשיך</w:t>
            </w:r>
            <w:r>
              <w:rPr>
                <w:b w:val="0"/>
                <w:bCs w:val="0"/>
                <w:noProof w:val="0"/>
                <w:rtl/>
              </w:rPr>
              <w:t xml:space="preserve"> </w:t>
            </w:r>
            <w:r>
              <w:rPr>
                <w:rFonts w:hint="cs"/>
                <w:b w:val="0"/>
                <w:bCs w:val="0"/>
                <w:noProof w:val="0"/>
                <w:rtl/>
              </w:rPr>
              <w:t>מעמידה</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המשפחה</w:t>
            </w:r>
            <w:r>
              <w:rPr>
                <w:b w:val="0"/>
                <w:bCs w:val="0"/>
                <w:noProof w:val="0"/>
                <w:rtl/>
              </w:rPr>
              <w:t xml:space="preserve"> </w:t>
            </w:r>
            <w:r>
              <w:rPr>
                <w:rFonts w:hint="cs"/>
                <w:b w:val="0"/>
                <w:bCs w:val="0"/>
                <w:noProof w:val="0"/>
                <w:rtl/>
              </w:rPr>
              <w:t>בפני</w:t>
            </w:r>
            <w:r>
              <w:rPr>
                <w:b w:val="0"/>
                <w:bCs w:val="0"/>
                <w:noProof w:val="0"/>
                <w:rtl/>
              </w:rPr>
              <w:t xml:space="preserve"> </w:t>
            </w:r>
            <w:r>
              <w:rPr>
                <w:rFonts w:hint="cs"/>
                <w:b w:val="0"/>
                <w:bCs w:val="0"/>
                <w:noProof w:val="0"/>
                <w:rtl/>
              </w:rPr>
              <w:t>מציאות</w:t>
            </w:r>
            <w:r>
              <w:rPr>
                <w:b w:val="0"/>
                <w:bCs w:val="0"/>
                <w:noProof w:val="0"/>
                <w:rtl/>
              </w:rPr>
              <w:t xml:space="preserve"> </w:t>
            </w:r>
            <w:r>
              <w:rPr>
                <w:rFonts w:hint="cs"/>
                <w:b w:val="0"/>
                <w:bCs w:val="0"/>
                <w:noProof w:val="0"/>
                <w:rtl/>
              </w:rPr>
              <w:t>משברית</w:t>
            </w:r>
            <w:r>
              <w:rPr>
                <w:b w:val="0"/>
                <w:bCs w:val="0"/>
                <w:noProof w:val="0"/>
                <w:rtl/>
              </w:rPr>
              <w:t xml:space="preserve"> </w:t>
            </w:r>
            <w:r>
              <w:rPr>
                <w:rFonts w:hint="cs"/>
                <w:b w:val="0"/>
                <w:bCs w:val="0"/>
                <w:noProof w:val="0"/>
                <w:rtl/>
              </w:rPr>
              <w:t>עמוקה</w:t>
            </w:r>
            <w:r>
              <w:rPr>
                <w:b w:val="0"/>
                <w:bCs w:val="0"/>
                <w:noProof w:val="0"/>
                <w:rtl/>
              </w:rPr>
              <w:t xml:space="preserve"> </w:t>
            </w:r>
            <w:r>
              <w:rPr>
                <w:rFonts w:hint="cs"/>
                <w:b w:val="0"/>
                <w:bCs w:val="0"/>
                <w:noProof w:val="0"/>
                <w:rtl/>
              </w:rPr>
              <w:t>התורמת</w:t>
            </w:r>
            <w:r>
              <w:rPr>
                <w:b w:val="0"/>
                <w:bCs w:val="0"/>
                <w:noProof w:val="0"/>
                <w:rtl/>
              </w:rPr>
              <w:t xml:space="preserve"> </w:t>
            </w:r>
            <w:r>
              <w:rPr>
                <w:rFonts w:hint="cs"/>
                <w:b w:val="0"/>
                <w:bCs w:val="0"/>
                <w:noProof w:val="0"/>
                <w:rtl/>
              </w:rPr>
              <w:t>גם</w:t>
            </w:r>
            <w:r>
              <w:rPr>
                <w:b w:val="0"/>
                <w:bCs w:val="0"/>
                <w:noProof w:val="0"/>
                <w:rtl/>
              </w:rPr>
              <w:t xml:space="preserve"> </w:t>
            </w:r>
            <w:r>
              <w:rPr>
                <w:rFonts w:hint="cs"/>
                <w:b w:val="0"/>
                <w:bCs w:val="0"/>
                <w:noProof w:val="0"/>
                <w:rtl/>
              </w:rPr>
              <w:t>להתפשטות</w:t>
            </w:r>
            <w:r>
              <w:rPr>
                <w:b w:val="0"/>
                <w:bCs w:val="0"/>
                <w:noProof w:val="0"/>
                <w:rtl/>
              </w:rPr>
              <w:t xml:space="preserve"> </w:t>
            </w:r>
            <w:r>
              <w:rPr>
                <w:rFonts w:hint="cs"/>
                <w:b w:val="0"/>
                <w:bCs w:val="0"/>
                <w:noProof w:val="0"/>
                <w:rtl/>
              </w:rPr>
              <w:t>התופעה</w:t>
            </w:r>
            <w:r>
              <w:rPr>
                <w:b w:val="0"/>
                <w:bCs w:val="0"/>
                <w:noProof w:val="0"/>
                <w:rtl/>
              </w:rPr>
              <w:t xml:space="preserve"> </w:t>
            </w:r>
            <w:r>
              <w:rPr>
                <w:rFonts w:hint="cs"/>
                <w:b w:val="0"/>
                <w:bCs w:val="0"/>
                <w:noProof w:val="0"/>
                <w:rtl/>
              </w:rPr>
              <w:t>של</w:t>
            </w:r>
            <w:r>
              <w:rPr>
                <w:b w:val="0"/>
                <w:bCs w:val="0"/>
                <w:noProof w:val="0"/>
                <w:rtl/>
              </w:rPr>
              <w:t xml:space="preserve"> </w:t>
            </w:r>
            <w:r>
              <w:rPr>
                <w:rFonts w:hint="cs"/>
                <w:b w:val="0"/>
                <w:bCs w:val="0"/>
                <w:noProof w:val="0"/>
                <w:rtl/>
              </w:rPr>
              <w:t>התעללות</w:t>
            </w:r>
            <w:r>
              <w:rPr>
                <w:b w:val="0"/>
                <w:bCs w:val="0"/>
                <w:noProof w:val="0"/>
                <w:rtl/>
              </w:rPr>
              <w:t xml:space="preserve"> </w:t>
            </w:r>
            <w:r>
              <w:rPr>
                <w:rFonts w:hint="cs"/>
                <w:b w:val="0"/>
                <w:bCs w:val="0"/>
                <w:noProof w:val="0"/>
                <w:rtl/>
              </w:rPr>
              <w:t>בזקנים</w:t>
            </w:r>
            <w:r>
              <w:rPr>
                <w:b w:val="0"/>
                <w:bCs w:val="0"/>
                <w:noProof w:val="0"/>
                <w:rtl/>
              </w:rPr>
              <w:t xml:space="preserve"> והזנחתם על ידי ילדיהם.</w:t>
            </w:r>
          </w:p>
          <w:p w:rsidR="00F60E90">
            <w:pPr>
              <w:pStyle w:val="takzir"/>
              <w:rPr>
                <w:b w:val="0"/>
                <w:bCs w:val="0"/>
                <w:noProof w:val="0"/>
                <w:rtl/>
              </w:rPr>
            </w:pPr>
            <w:r>
              <w:rPr>
                <w:rFonts w:hint="cs"/>
                <w:b w:val="0"/>
                <w:bCs w:val="0"/>
                <w:noProof w:val="0"/>
                <w:rtl/>
              </w:rPr>
              <w:t>בשנים</w:t>
            </w:r>
            <w:r>
              <w:rPr>
                <w:b w:val="0"/>
                <w:bCs w:val="0"/>
                <w:noProof w:val="0"/>
                <w:rtl/>
              </w:rPr>
              <w:t xml:space="preserve"> 2013-2011 </w:t>
            </w:r>
            <w:r>
              <w:rPr>
                <w:rFonts w:hint="cs"/>
                <w:b w:val="0"/>
                <w:bCs w:val="0"/>
                <w:noProof w:val="0"/>
                <w:rtl/>
              </w:rPr>
              <w:t>השתתפו</w:t>
            </w:r>
            <w:r>
              <w:rPr>
                <w:b w:val="0"/>
                <w:bCs w:val="0"/>
                <w:noProof w:val="0"/>
                <w:rtl/>
              </w:rPr>
              <w:t xml:space="preserve"> </w:t>
            </w:r>
            <w:r>
              <w:rPr>
                <w:rFonts w:hint="cs"/>
                <w:b w:val="0"/>
                <w:bCs w:val="0"/>
                <w:noProof w:val="0"/>
                <w:rtl/>
              </w:rPr>
              <w:t>ב</w:t>
            </w:r>
            <w:r>
              <w:rPr>
                <w:b w:val="0"/>
                <w:bCs w:val="0"/>
                <w:noProof w:val="0"/>
                <w:rtl/>
              </w:rPr>
              <w:t>תכנית</w:t>
            </w:r>
            <w:r>
              <w:rPr>
                <w:rFonts w:hint="cs"/>
                <w:b w:val="0"/>
                <w:bCs w:val="0"/>
                <w:noProof w:val="0"/>
                <w:rtl/>
              </w:rPr>
              <w:t xml:space="preserve"> בן ממשיך - משפחה ממשיכה</w:t>
            </w:r>
            <w:r>
              <w:rPr>
                <w:b w:val="0"/>
                <w:bCs w:val="0"/>
                <w:noProof w:val="0"/>
                <w:rtl/>
              </w:rPr>
              <w:t xml:space="preserve"> </w:t>
            </w:r>
            <w:r>
              <w:rPr>
                <w:rFonts w:hint="cs"/>
                <w:b w:val="0"/>
                <w:bCs w:val="0"/>
                <w:noProof w:val="0"/>
                <w:rtl/>
              </w:rPr>
              <w:t>רק שמונה מועצות</w:t>
            </w:r>
            <w:r>
              <w:rPr>
                <w:b w:val="0"/>
                <w:bCs w:val="0"/>
                <w:noProof w:val="0"/>
                <w:rtl/>
              </w:rPr>
              <w:t xml:space="preserve"> </w:t>
            </w:r>
            <w:r>
              <w:rPr>
                <w:rFonts w:hint="cs"/>
                <w:b w:val="0"/>
                <w:bCs w:val="0"/>
                <w:noProof w:val="0"/>
                <w:rtl/>
              </w:rPr>
              <w:t xml:space="preserve">אזוריות. </w:t>
            </w:r>
            <w:r>
              <w:rPr>
                <w:b w:val="0"/>
                <w:bCs w:val="0"/>
                <w:noProof w:val="0"/>
                <w:rtl/>
              </w:rPr>
              <w:t>משרד הרווחה לא הצליח להרחיב את התכנית למועצות אזוריות נוספות עקב הקושי לגייס תקציב למימונן.</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rFonts w:hint="eastAsia"/>
                <w:sz w:val="24"/>
                <w:szCs w:val="24"/>
                <w:rtl/>
              </w:rPr>
              <w:t>היעדר</w:t>
            </w:r>
            <w:r>
              <w:rPr>
                <w:sz w:val="24"/>
                <w:szCs w:val="24"/>
                <w:rtl/>
              </w:rPr>
              <w:t xml:space="preserve"> </w:t>
            </w:r>
            <w:r>
              <w:rPr>
                <w:rFonts w:hint="eastAsia"/>
                <w:sz w:val="24"/>
                <w:szCs w:val="24"/>
                <w:rtl/>
              </w:rPr>
              <w:t>פעילויות</w:t>
            </w:r>
            <w:r>
              <w:rPr>
                <w:sz w:val="24"/>
                <w:szCs w:val="24"/>
                <w:rtl/>
              </w:rPr>
              <w:t xml:space="preserve"> </w:t>
            </w:r>
            <w:r>
              <w:rPr>
                <w:rFonts w:hint="eastAsia"/>
                <w:sz w:val="24"/>
                <w:szCs w:val="24"/>
                <w:rtl/>
              </w:rPr>
              <w:t>פנאי</w:t>
            </w:r>
            <w:r>
              <w:rPr>
                <w:sz w:val="24"/>
                <w:szCs w:val="24"/>
                <w:rtl/>
              </w:rPr>
              <w:t xml:space="preserve"> </w:t>
            </w:r>
            <w:r>
              <w:rPr>
                <w:rFonts w:hint="eastAsia"/>
                <w:sz w:val="24"/>
                <w:szCs w:val="24"/>
                <w:rtl/>
              </w:rPr>
              <w:t>לזקנים</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rFonts w:hint="cs"/>
                <w:b w:val="0"/>
                <w:bCs w:val="0"/>
                <w:noProof w:val="0"/>
                <w:rtl/>
              </w:rPr>
              <w:t>משרד</w:t>
            </w:r>
            <w:r>
              <w:rPr>
                <w:b w:val="0"/>
                <w:bCs w:val="0"/>
                <w:noProof w:val="0"/>
                <w:rtl/>
              </w:rPr>
              <w:t xml:space="preserve"> </w:t>
            </w:r>
            <w:r>
              <w:rPr>
                <w:rFonts w:hint="cs"/>
                <w:b w:val="0"/>
                <w:bCs w:val="0"/>
                <w:noProof w:val="0"/>
                <w:rtl/>
              </w:rPr>
              <w:t>הרווחה</w:t>
            </w:r>
            <w:r>
              <w:rPr>
                <w:b w:val="0"/>
                <w:bCs w:val="0"/>
                <w:noProof w:val="0"/>
                <w:rtl/>
              </w:rPr>
              <w:t xml:space="preserve"> </w:t>
            </w:r>
            <w:r>
              <w:rPr>
                <w:rFonts w:hint="cs"/>
                <w:b w:val="0"/>
                <w:bCs w:val="0"/>
                <w:noProof w:val="0"/>
                <w:rtl/>
              </w:rPr>
              <w:t>מעודד</w:t>
            </w:r>
            <w:r>
              <w:rPr>
                <w:b w:val="0"/>
                <w:bCs w:val="0"/>
                <w:noProof w:val="0"/>
                <w:rtl/>
              </w:rPr>
              <w:t xml:space="preserve"> </w:t>
            </w:r>
            <w:r>
              <w:rPr>
                <w:rFonts w:hint="cs"/>
                <w:b w:val="0"/>
                <w:bCs w:val="0"/>
                <w:noProof w:val="0"/>
                <w:rtl/>
              </w:rPr>
              <w:t>פעילויות</w:t>
            </w:r>
            <w:r>
              <w:rPr>
                <w:b w:val="0"/>
                <w:bCs w:val="0"/>
                <w:noProof w:val="0"/>
                <w:rtl/>
              </w:rPr>
              <w:t xml:space="preserve"> </w:t>
            </w:r>
            <w:r>
              <w:rPr>
                <w:rFonts w:hint="cs"/>
                <w:b w:val="0"/>
                <w:bCs w:val="0"/>
                <w:noProof w:val="0"/>
                <w:rtl/>
              </w:rPr>
              <w:t>פנאי</w:t>
            </w:r>
            <w:r>
              <w:rPr>
                <w:b w:val="0"/>
                <w:bCs w:val="0"/>
                <w:noProof w:val="0"/>
                <w:rtl/>
              </w:rPr>
              <w:t xml:space="preserve"> </w:t>
            </w:r>
            <w:r>
              <w:rPr>
                <w:rFonts w:hint="cs"/>
                <w:b w:val="0"/>
                <w:bCs w:val="0"/>
                <w:noProof w:val="0"/>
                <w:rtl/>
              </w:rPr>
              <w:t>במסגרות</w:t>
            </w:r>
            <w:r>
              <w:rPr>
                <w:b w:val="0"/>
                <w:bCs w:val="0"/>
                <w:noProof w:val="0"/>
                <w:rtl/>
              </w:rPr>
              <w:t xml:space="preserve"> </w:t>
            </w:r>
            <w:r>
              <w:rPr>
                <w:rFonts w:hint="cs"/>
                <w:b w:val="0"/>
                <w:bCs w:val="0"/>
                <w:noProof w:val="0"/>
                <w:rtl/>
              </w:rPr>
              <w:t>חברתיות</w:t>
            </w:r>
            <w:r>
              <w:rPr>
                <w:b w:val="0"/>
                <w:bCs w:val="0"/>
                <w:noProof w:val="0"/>
                <w:rtl/>
              </w:rPr>
              <w:t xml:space="preserve"> </w:t>
            </w:r>
            <w:r>
              <w:rPr>
                <w:rFonts w:hint="cs"/>
                <w:b w:val="0"/>
                <w:bCs w:val="0"/>
                <w:noProof w:val="0"/>
                <w:rtl/>
              </w:rPr>
              <w:t>לאוכלוסיית</w:t>
            </w:r>
            <w:r>
              <w:rPr>
                <w:b w:val="0"/>
                <w:bCs w:val="0"/>
                <w:noProof w:val="0"/>
                <w:rtl/>
              </w:rPr>
              <w:t xml:space="preserve"> </w:t>
            </w:r>
            <w:r>
              <w:rPr>
                <w:rFonts w:hint="cs"/>
                <w:b w:val="0"/>
                <w:bCs w:val="0"/>
                <w:noProof w:val="0"/>
                <w:rtl/>
              </w:rPr>
              <w:t>הזקנים</w:t>
            </w:r>
            <w:r>
              <w:rPr>
                <w:b w:val="0"/>
                <w:bCs w:val="0"/>
                <w:noProof w:val="0"/>
                <w:rtl/>
              </w:rPr>
              <w:t xml:space="preserve">, </w:t>
            </w:r>
            <w:r>
              <w:rPr>
                <w:rFonts w:hint="cs"/>
                <w:b w:val="0"/>
                <w:bCs w:val="0"/>
                <w:noProof w:val="0"/>
                <w:rtl/>
              </w:rPr>
              <w:t>הנערכות</w:t>
            </w:r>
            <w:r>
              <w:rPr>
                <w:b w:val="0"/>
                <w:bCs w:val="0"/>
                <w:noProof w:val="0"/>
                <w:rtl/>
              </w:rPr>
              <w:t xml:space="preserve"> </w:t>
            </w:r>
            <w:r>
              <w:rPr>
                <w:rFonts w:hint="cs"/>
                <w:b w:val="0"/>
                <w:bCs w:val="0"/>
                <w:noProof w:val="0"/>
                <w:rtl/>
              </w:rPr>
              <w:t>ב</w:t>
            </w:r>
            <w:r>
              <w:rPr>
                <w:b w:val="0"/>
                <w:bCs w:val="0"/>
                <w:noProof w:val="0"/>
                <w:rtl/>
              </w:rPr>
              <w:t xml:space="preserve">מועדון </w:t>
            </w:r>
            <w:r>
              <w:rPr>
                <w:rFonts w:hint="cs"/>
                <w:b w:val="0"/>
                <w:bCs w:val="0"/>
                <w:noProof w:val="0"/>
                <w:rtl/>
              </w:rPr>
              <w:t>החברתי</w:t>
            </w:r>
            <w:r>
              <w:rPr>
                <w:b w:val="0"/>
                <w:bCs w:val="0"/>
                <w:noProof w:val="0"/>
                <w:rtl/>
              </w:rPr>
              <w:t xml:space="preserve"> לזקן, </w:t>
            </w:r>
            <w:r>
              <w:rPr>
                <w:rFonts w:hint="cs"/>
                <w:b w:val="0"/>
                <w:bCs w:val="0"/>
                <w:noProof w:val="0"/>
                <w:rtl/>
              </w:rPr>
              <w:t>ובהן</w:t>
            </w:r>
            <w:r>
              <w:rPr>
                <w:b w:val="0"/>
                <w:bCs w:val="0"/>
                <w:noProof w:val="0"/>
                <w:rtl/>
              </w:rPr>
              <w:t xml:space="preserve"> חוגי העשרה ו</w:t>
            </w:r>
            <w:r>
              <w:rPr>
                <w:rFonts w:hint="cs"/>
                <w:b w:val="0"/>
                <w:bCs w:val="0"/>
                <w:noProof w:val="0"/>
                <w:rtl/>
              </w:rPr>
              <w:t>כל</w:t>
            </w:r>
            <w:r>
              <w:rPr>
                <w:b w:val="0"/>
                <w:bCs w:val="0"/>
                <w:noProof w:val="0"/>
                <w:rtl/>
              </w:rPr>
              <w:t xml:space="preserve"> מיני פעילויות </w:t>
            </w:r>
            <w:r>
              <w:rPr>
                <w:rFonts w:hint="cs"/>
                <w:b w:val="0"/>
                <w:bCs w:val="0"/>
                <w:noProof w:val="0"/>
                <w:rtl/>
              </w:rPr>
              <w:t>אחרות</w:t>
            </w:r>
            <w:r>
              <w:rPr>
                <w:b w:val="0"/>
                <w:bCs w:val="0"/>
                <w:noProof w:val="0"/>
                <w:rtl/>
              </w:rPr>
              <w:t>.</w:t>
            </w:r>
          </w:p>
          <w:p w:rsidR="00F60E90">
            <w:pPr>
              <w:pStyle w:val="takzir"/>
              <w:rPr>
                <w:b w:val="0"/>
                <w:bCs w:val="0"/>
                <w:noProof w:val="0"/>
                <w:rtl/>
              </w:rPr>
            </w:pPr>
            <w:r>
              <w:rPr>
                <w:b w:val="0"/>
                <w:bCs w:val="0"/>
                <w:noProof w:val="0"/>
                <w:rtl/>
              </w:rPr>
              <w:t>מתוך 19 מועדונים חברתיים הפועלים בעיריית חיפה, פועלים שני מועדונים במבנ</w:t>
            </w:r>
            <w:r>
              <w:rPr>
                <w:rFonts w:hint="cs"/>
                <w:b w:val="0"/>
                <w:bCs w:val="0"/>
                <w:noProof w:val="0"/>
                <w:rtl/>
              </w:rPr>
              <w:t>ים</w:t>
            </w:r>
            <w:r>
              <w:rPr>
                <w:b w:val="0"/>
                <w:bCs w:val="0"/>
                <w:noProof w:val="0"/>
                <w:rtl/>
              </w:rPr>
              <w:t xml:space="preserve"> </w:t>
            </w:r>
            <w:r>
              <w:rPr>
                <w:rFonts w:hint="cs"/>
                <w:b w:val="0"/>
                <w:bCs w:val="0"/>
                <w:noProof w:val="0"/>
                <w:rtl/>
              </w:rPr>
              <w:t>שאינם</w:t>
            </w:r>
            <w:r>
              <w:rPr>
                <w:b w:val="0"/>
                <w:bCs w:val="0"/>
                <w:noProof w:val="0"/>
                <w:rtl/>
              </w:rPr>
              <w:t xml:space="preserve"> מותא</w:t>
            </w:r>
            <w:r>
              <w:rPr>
                <w:rFonts w:hint="cs"/>
                <w:b w:val="0"/>
                <w:bCs w:val="0"/>
                <w:noProof w:val="0"/>
                <w:rtl/>
              </w:rPr>
              <w:t>מים</w:t>
            </w:r>
            <w:r>
              <w:rPr>
                <w:b w:val="0"/>
                <w:bCs w:val="0"/>
                <w:noProof w:val="0"/>
                <w:rtl/>
              </w:rPr>
              <w:t xml:space="preserve"> לזקנים </w:t>
            </w:r>
            <w:r>
              <w:rPr>
                <w:rFonts w:hint="cs"/>
                <w:b w:val="0"/>
                <w:bCs w:val="0"/>
                <w:noProof w:val="0"/>
                <w:rtl/>
              </w:rPr>
              <w:t>וקטנים</w:t>
            </w:r>
            <w:r>
              <w:rPr>
                <w:b w:val="0"/>
                <w:bCs w:val="0"/>
                <w:noProof w:val="0"/>
                <w:rtl/>
              </w:rPr>
              <w:t xml:space="preserve"> </w:t>
            </w:r>
            <w:r>
              <w:rPr>
                <w:rFonts w:hint="cs"/>
                <w:b w:val="0"/>
                <w:bCs w:val="0"/>
                <w:noProof w:val="0"/>
                <w:rtl/>
              </w:rPr>
              <w:t>מלהכיל</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הפעילויות</w:t>
            </w:r>
            <w:r>
              <w:rPr>
                <w:b w:val="0"/>
                <w:bCs w:val="0"/>
                <w:noProof w:val="0"/>
                <w:rtl/>
              </w:rPr>
              <w:t>.</w:t>
            </w:r>
          </w:p>
          <w:p w:rsidR="00F60E90">
            <w:pPr>
              <w:pStyle w:val="takzir"/>
              <w:rPr>
                <w:b w:val="0"/>
                <w:bCs w:val="0"/>
                <w:noProof w:val="0"/>
                <w:rtl/>
              </w:rPr>
            </w:pPr>
            <w:r>
              <w:rPr>
                <w:rFonts w:hint="cs"/>
                <w:b w:val="0"/>
                <w:bCs w:val="0"/>
                <w:noProof w:val="0"/>
                <w:rtl/>
              </w:rPr>
              <w:t>ב</w:t>
            </w:r>
            <w:r>
              <w:rPr>
                <w:b w:val="0"/>
                <w:bCs w:val="0"/>
                <w:noProof w:val="0"/>
                <w:rtl/>
              </w:rPr>
              <w:t xml:space="preserve">-12 </w:t>
            </w:r>
            <w:r>
              <w:rPr>
                <w:rFonts w:hint="cs"/>
                <w:b w:val="0"/>
                <w:bCs w:val="0"/>
                <w:noProof w:val="0"/>
                <w:rtl/>
              </w:rPr>
              <w:t>יישובים</w:t>
            </w:r>
            <w:r>
              <w:rPr>
                <w:b w:val="0"/>
                <w:bCs w:val="0"/>
                <w:noProof w:val="0"/>
                <w:rtl/>
              </w:rPr>
              <w:t xml:space="preserve"> </w:t>
            </w:r>
            <w:r>
              <w:rPr>
                <w:rFonts w:hint="cs"/>
                <w:b w:val="0"/>
                <w:bCs w:val="0"/>
                <w:noProof w:val="0"/>
                <w:rtl/>
              </w:rPr>
              <w:t>מתוך</w:t>
            </w:r>
            <w:r>
              <w:rPr>
                <w:b w:val="0"/>
                <w:bCs w:val="0"/>
                <w:noProof w:val="0"/>
                <w:rtl/>
              </w:rPr>
              <w:t xml:space="preserve"> 24 </w:t>
            </w:r>
            <w:r>
              <w:rPr>
                <w:rFonts w:hint="cs"/>
                <w:b w:val="0"/>
                <w:bCs w:val="0"/>
                <w:noProof w:val="0"/>
                <w:rtl/>
              </w:rPr>
              <w:t>המצויים</w:t>
            </w:r>
            <w:r>
              <w:rPr>
                <w:b w:val="0"/>
                <w:bCs w:val="0"/>
                <w:noProof w:val="0"/>
                <w:rtl/>
              </w:rPr>
              <w:t xml:space="preserve"> </w:t>
            </w:r>
            <w:r>
              <w:rPr>
                <w:rFonts w:hint="cs"/>
                <w:b w:val="0"/>
                <w:bCs w:val="0"/>
                <w:noProof w:val="0"/>
                <w:rtl/>
              </w:rPr>
              <w:t>בתחום</w:t>
            </w:r>
            <w:r>
              <w:rPr>
                <w:b w:val="0"/>
                <w:bCs w:val="0"/>
                <w:noProof w:val="0"/>
                <w:rtl/>
              </w:rPr>
              <w:t xml:space="preserve"> </w:t>
            </w:r>
            <w:r>
              <w:rPr>
                <w:rFonts w:hint="cs"/>
                <w:b w:val="0"/>
                <w:bCs w:val="0"/>
                <w:noProof w:val="0"/>
                <w:rtl/>
              </w:rPr>
              <w:t>המועצה</w:t>
            </w:r>
            <w:r>
              <w:rPr>
                <w:b w:val="0"/>
                <w:bCs w:val="0"/>
                <w:noProof w:val="0"/>
                <w:rtl/>
              </w:rPr>
              <w:t xml:space="preserve"> </w:t>
            </w:r>
            <w:r>
              <w:rPr>
                <w:rFonts w:hint="cs"/>
                <w:b w:val="0"/>
                <w:bCs w:val="0"/>
                <w:noProof w:val="0"/>
                <w:rtl/>
              </w:rPr>
              <w:t>האזורית</w:t>
            </w:r>
            <w:r>
              <w:rPr>
                <w:b w:val="0"/>
                <w:bCs w:val="0"/>
                <w:noProof w:val="0"/>
                <w:rtl/>
              </w:rPr>
              <w:t xml:space="preserve"> </w:t>
            </w:r>
            <w:r>
              <w:rPr>
                <w:rFonts w:hint="cs"/>
                <w:b w:val="0"/>
                <w:bCs w:val="0"/>
                <w:noProof w:val="0"/>
                <w:rtl/>
              </w:rPr>
              <w:t>מרום</w:t>
            </w:r>
            <w:r>
              <w:rPr>
                <w:b w:val="0"/>
                <w:bCs w:val="0"/>
                <w:noProof w:val="0"/>
                <w:rtl/>
              </w:rPr>
              <w:t xml:space="preserve"> </w:t>
            </w:r>
            <w:r>
              <w:rPr>
                <w:rFonts w:hint="cs"/>
                <w:b w:val="0"/>
                <w:bCs w:val="0"/>
                <w:noProof w:val="0"/>
                <w:rtl/>
              </w:rPr>
              <w:t>הגליל</w:t>
            </w:r>
            <w:r>
              <w:rPr>
                <w:b w:val="0"/>
                <w:bCs w:val="0"/>
                <w:noProof w:val="0"/>
                <w:rtl/>
              </w:rPr>
              <w:t xml:space="preserve"> </w:t>
            </w:r>
            <w:r>
              <w:rPr>
                <w:rFonts w:hint="cs"/>
                <w:b w:val="0"/>
                <w:bCs w:val="0"/>
                <w:noProof w:val="0"/>
                <w:rtl/>
              </w:rPr>
              <w:t>פועלים</w:t>
            </w:r>
            <w:r>
              <w:rPr>
                <w:b w:val="0"/>
                <w:bCs w:val="0"/>
                <w:noProof w:val="0"/>
                <w:rtl/>
              </w:rPr>
              <w:t xml:space="preserve"> </w:t>
            </w:r>
            <w:r>
              <w:rPr>
                <w:rFonts w:hint="cs"/>
                <w:b w:val="0"/>
                <w:bCs w:val="0"/>
                <w:noProof w:val="0"/>
                <w:rtl/>
              </w:rPr>
              <w:t>מועדונים</w:t>
            </w:r>
            <w:r>
              <w:rPr>
                <w:b w:val="0"/>
                <w:bCs w:val="0"/>
                <w:noProof w:val="0"/>
                <w:rtl/>
              </w:rPr>
              <w:t xml:space="preserve"> </w:t>
            </w:r>
            <w:r>
              <w:rPr>
                <w:rFonts w:hint="cs"/>
                <w:b w:val="0"/>
                <w:bCs w:val="0"/>
                <w:noProof w:val="0"/>
                <w:rtl/>
              </w:rPr>
              <w:t>חברתיים</w:t>
            </w:r>
            <w:r>
              <w:rPr>
                <w:b w:val="0"/>
                <w:bCs w:val="0"/>
                <w:noProof w:val="0"/>
                <w:rtl/>
              </w:rPr>
              <w:t xml:space="preserve"> </w:t>
            </w:r>
            <w:r>
              <w:rPr>
                <w:rFonts w:hint="cs"/>
                <w:b w:val="0"/>
                <w:bCs w:val="0"/>
                <w:noProof w:val="0"/>
                <w:rtl/>
              </w:rPr>
              <w:t>המיועדים</w:t>
            </w:r>
            <w:r>
              <w:rPr>
                <w:b w:val="0"/>
                <w:bCs w:val="0"/>
                <w:noProof w:val="0"/>
                <w:rtl/>
              </w:rPr>
              <w:t xml:space="preserve"> </w:t>
            </w:r>
            <w:r>
              <w:rPr>
                <w:rFonts w:hint="cs"/>
                <w:b w:val="0"/>
                <w:bCs w:val="0"/>
                <w:noProof w:val="0"/>
                <w:rtl/>
              </w:rPr>
              <w:t>לזקנים</w:t>
            </w:r>
            <w:r>
              <w:rPr>
                <w:b w:val="0"/>
                <w:bCs w:val="0"/>
                <w:noProof w:val="0"/>
                <w:rtl/>
              </w:rPr>
              <w:t xml:space="preserve"> </w:t>
            </w:r>
            <w:r>
              <w:rPr>
                <w:rFonts w:hint="cs"/>
                <w:b w:val="0"/>
                <w:bCs w:val="0"/>
                <w:noProof w:val="0"/>
                <w:rtl/>
              </w:rPr>
              <w:t>הגרים</w:t>
            </w:r>
            <w:r>
              <w:rPr>
                <w:b w:val="0"/>
                <w:bCs w:val="0"/>
                <w:noProof w:val="0"/>
                <w:rtl/>
              </w:rPr>
              <w:t xml:space="preserve"> </w:t>
            </w:r>
            <w:r>
              <w:rPr>
                <w:rFonts w:hint="cs"/>
                <w:b w:val="0"/>
                <w:bCs w:val="0"/>
                <w:noProof w:val="0"/>
                <w:rtl/>
              </w:rPr>
              <w:t>ביישובי</w:t>
            </w:r>
            <w:r>
              <w:rPr>
                <w:b w:val="0"/>
                <w:bCs w:val="0"/>
                <w:noProof w:val="0"/>
                <w:rtl/>
              </w:rPr>
              <w:t xml:space="preserve"> </w:t>
            </w:r>
            <w:r>
              <w:rPr>
                <w:rFonts w:hint="cs"/>
                <w:b w:val="0"/>
                <w:bCs w:val="0"/>
                <w:noProof w:val="0"/>
                <w:rtl/>
              </w:rPr>
              <w:t>המועצה</w:t>
            </w:r>
            <w:r>
              <w:rPr>
                <w:b w:val="0"/>
                <w:bCs w:val="0"/>
                <w:noProof w:val="0"/>
                <w:rtl/>
              </w:rPr>
              <w:t xml:space="preserve">. </w:t>
            </w:r>
            <w:r>
              <w:rPr>
                <w:rFonts w:hint="cs"/>
                <w:b w:val="0"/>
                <w:bCs w:val="0"/>
                <w:noProof w:val="0"/>
                <w:rtl/>
              </w:rPr>
              <w:t>נמצא</w:t>
            </w:r>
            <w:r>
              <w:rPr>
                <w:b w:val="0"/>
                <w:bCs w:val="0"/>
                <w:noProof w:val="0"/>
                <w:rtl/>
              </w:rPr>
              <w:t xml:space="preserve"> </w:t>
            </w:r>
            <w:r>
              <w:rPr>
                <w:rFonts w:hint="cs"/>
                <w:b w:val="0"/>
                <w:bCs w:val="0"/>
                <w:noProof w:val="0"/>
                <w:rtl/>
              </w:rPr>
              <w:t>כי</w:t>
            </w:r>
            <w:r>
              <w:rPr>
                <w:b w:val="0"/>
                <w:bCs w:val="0"/>
                <w:noProof w:val="0"/>
                <w:rtl/>
              </w:rPr>
              <w:t xml:space="preserve"> </w:t>
            </w:r>
            <w:r>
              <w:rPr>
                <w:rFonts w:hint="cs"/>
                <w:b w:val="0"/>
                <w:bCs w:val="0"/>
                <w:noProof w:val="0"/>
                <w:rtl/>
              </w:rPr>
              <w:t>בפעילויות</w:t>
            </w:r>
            <w:r>
              <w:rPr>
                <w:b w:val="0"/>
                <w:bCs w:val="0"/>
                <w:noProof w:val="0"/>
                <w:rtl/>
              </w:rPr>
              <w:t xml:space="preserve"> המועברות במועדונים אלה </w:t>
            </w:r>
            <w:r>
              <w:rPr>
                <w:rFonts w:hint="cs"/>
                <w:b w:val="0"/>
                <w:bCs w:val="0"/>
                <w:noProof w:val="0"/>
                <w:rtl/>
              </w:rPr>
              <w:t>משתתפות</w:t>
            </w:r>
            <w:r>
              <w:rPr>
                <w:b w:val="0"/>
                <w:bCs w:val="0"/>
                <w:noProof w:val="0"/>
                <w:rtl/>
              </w:rPr>
              <w:t xml:space="preserve"> </w:t>
            </w:r>
            <w:r>
              <w:rPr>
                <w:rFonts w:hint="cs"/>
                <w:b w:val="0"/>
                <w:bCs w:val="0"/>
                <w:noProof w:val="0"/>
                <w:rtl/>
              </w:rPr>
              <w:t>נשים</w:t>
            </w:r>
            <w:r>
              <w:rPr>
                <w:b w:val="0"/>
                <w:bCs w:val="0"/>
                <w:noProof w:val="0"/>
                <w:rtl/>
              </w:rPr>
              <w:t xml:space="preserve"> </w:t>
            </w:r>
            <w:r>
              <w:rPr>
                <w:rFonts w:hint="cs"/>
                <w:b w:val="0"/>
                <w:bCs w:val="0"/>
                <w:noProof w:val="0"/>
                <w:rtl/>
              </w:rPr>
              <w:t>בלבד</w:t>
            </w:r>
            <w:r>
              <w:rPr>
                <w:b w:val="0"/>
                <w:bCs w:val="0"/>
                <w:noProof w:val="0"/>
                <w:rtl/>
              </w:rPr>
              <w:t>.</w:t>
            </w:r>
          </w:p>
          <w:p w:rsidR="00F60E90">
            <w:pPr>
              <w:pStyle w:val="takzir"/>
              <w:rPr>
                <w:b w:val="0"/>
                <w:bCs w:val="0"/>
                <w:noProof w:val="0"/>
                <w:rtl/>
              </w:rPr>
            </w:pPr>
            <w:r>
              <w:rPr>
                <w:b w:val="0"/>
                <w:bCs w:val="0"/>
                <w:noProof w:val="0"/>
                <w:rtl/>
              </w:rPr>
              <w:t xml:space="preserve">חדר הכושר </w:t>
            </w:r>
            <w:r>
              <w:rPr>
                <w:rFonts w:hint="cs"/>
                <w:b w:val="0"/>
                <w:bCs w:val="0"/>
                <w:noProof w:val="0"/>
                <w:rtl/>
              </w:rPr>
              <w:t>ש</w:t>
            </w:r>
            <w:r>
              <w:rPr>
                <w:b w:val="0"/>
                <w:bCs w:val="0"/>
                <w:noProof w:val="0"/>
                <w:rtl/>
              </w:rPr>
              <w:t>נבנה בשנת 2010 בקריית שמונה, במימו</w:t>
            </w:r>
            <w:r>
              <w:rPr>
                <w:rFonts w:hint="cs"/>
                <w:b w:val="0"/>
                <w:bCs w:val="0"/>
                <w:noProof w:val="0"/>
                <w:rtl/>
              </w:rPr>
              <w:t>נו</w:t>
            </w:r>
            <w:r>
              <w:rPr>
                <w:b w:val="0"/>
                <w:bCs w:val="0"/>
                <w:noProof w:val="0"/>
                <w:rtl/>
              </w:rPr>
              <w:t xml:space="preserve"> </w:t>
            </w:r>
            <w:r>
              <w:rPr>
                <w:rFonts w:hint="cs"/>
                <w:b w:val="0"/>
                <w:bCs w:val="0"/>
                <w:noProof w:val="0"/>
                <w:rtl/>
              </w:rPr>
              <w:t>של</w:t>
            </w:r>
            <w:r>
              <w:rPr>
                <w:b w:val="0"/>
                <w:bCs w:val="0"/>
                <w:noProof w:val="0"/>
                <w:rtl/>
              </w:rPr>
              <w:t xml:space="preserve"> מפעל הפיס ומכספי קרן התביעות ובשיתוף עמותת אש"ל</w:t>
            </w:r>
            <w:r>
              <w:rPr>
                <w:b w:val="0"/>
                <w:bCs w:val="0"/>
                <w:noProof w:val="0"/>
                <w:vertAlign w:val="superscript"/>
                <w:rtl/>
              </w:rPr>
              <w:footnoteReference w:id="5"/>
            </w:r>
            <w:r>
              <w:rPr>
                <w:b w:val="0"/>
                <w:bCs w:val="0"/>
                <w:noProof w:val="0"/>
                <w:rtl/>
              </w:rPr>
              <w:t xml:space="preserve">, </w:t>
            </w:r>
            <w:r>
              <w:rPr>
                <w:rFonts w:hint="cs"/>
                <w:b w:val="0"/>
                <w:bCs w:val="0"/>
                <w:noProof w:val="0"/>
                <w:rtl/>
              </w:rPr>
              <w:t>כבר</w:t>
            </w:r>
            <w:r>
              <w:rPr>
                <w:b w:val="0"/>
                <w:bCs w:val="0"/>
                <w:noProof w:val="0"/>
                <w:rtl/>
              </w:rPr>
              <w:t xml:space="preserve"> אינו פעיל משנת 2012.</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rFonts w:hint="eastAsia"/>
                <w:sz w:val="24"/>
                <w:szCs w:val="24"/>
                <w:rtl/>
              </w:rPr>
              <w:t>אי</w:t>
            </w:r>
            <w:r>
              <w:rPr>
                <w:sz w:val="24"/>
                <w:szCs w:val="24"/>
                <w:rtl/>
              </w:rPr>
              <w:t>-</w:t>
            </w:r>
            <w:r>
              <w:rPr>
                <w:rFonts w:hint="eastAsia"/>
                <w:sz w:val="24"/>
                <w:szCs w:val="24"/>
                <w:rtl/>
              </w:rPr>
              <w:t>מינוי</w:t>
            </w:r>
            <w:r>
              <w:rPr>
                <w:sz w:val="24"/>
                <w:szCs w:val="24"/>
                <w:rtl/>
              </w:rPr>
              <w:t xml:space="preserve"> יועצים לענייני אזרחים ותיקים</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rFonts w:hint="cs"/>
                <w:b w:val="0"/>
                <w:bCs w:val="0"/>
                <w:noProof w:val="0"/>
                <w:rtl/>
              </w:rPr>
              <w:t>ב-</w:t>
            </w:r>
            <w:r>
              <w:rPr>
                <w:b w:val="0"/>
                <w:bCs w:val="0"/>
                <w:noProof w:val="0"/>
                <w:rtl/>
              </w:rPr>
              <w:t xml:space="preserve">56 רשויות מקומיות לא </w:t>
            </w:r>
            <w:r>
              <w:rPr>
                <w:rFonts w:hint="cs"/>
                <w:b w:val="0"/>
                <w:bCs w:val="0"/>
                <w:noProof w:val="0"/>
                <w:rtl/>
              </w:rPr>
              <w:t>מונה</w:t>
            </w:r>
            <w:r>
              <w:rPr>
                <w:b w:val="0"/>
                <w:bCs w:val="0"/>
                <w:noProof w:val="0"/>
                <w:rtl/>
              </w:rPr>
              <w:t xml:space="preserve"> אחד מעובדי</w:t>
            </w:r>
            <w:r>
              <w:rPr>
                <w:rFonts w:hint="cs"/>
                <w:b w:val="0"/>
                <w:bCs w:val="0"/>
                <w:noProof w:val="0"/>
                <w:rtl/>
              </w:rPr>
              <w:t xml:space="preserve"> הרשות </w:t>
            </w:r>
            <w:r>
              <w:rPr>
                <w:b w:val="0"/>
                <w:bCs w:val="0"/>
                <w:noProof w:val="0"/>
                <w:rtl/>
              </w:rPr>
              <w:t xml:space="preserve">לשמש גם יועץ לענייני אזרחים ותיקים, כנדרש בחוק האזרחים </w:t>
            </w:r>
            <w:r>
              <w:rPr>
                <w:rFonts w:hint="cs"/>
                <w:b w:val="0"/>
                <w:bCs w:val="0"/>
                <w:noProof w:val="0"/>
                <w:rtl/>
              </w:rPr>
              <w:t>הותיקים</w:t>
            </w:r>
            <w:r>
              <w:rPr>
                <w:b w:val="0"/>
                <w:bCs w:val="0"/>
                <w:noProof w:val="0"/>
                <w:rtl/>
              </w:rPr>
              <w:t xml:space="preserve"> התש"ן-1989</w:t>
            </w:r>
            <w:r>
              <w:rPr>
                <w:rFonts w:hint="cs"/>
                <w:b w:val="0"/>
                <w:bCs w:val="0"/>
                <w:noProof w:val="0"/>
                <w:rtl/>
              </w:rPr>
              <w:t>. חלק</w:t>
            </w:r>
            <w:r>
              <w:rPr>
                <w:b w:val="0"/>
                <w:bCs w:val="0"/>
                <w:noProof w:val="0"/>
                <w:rtl/>
              </w:rPr>
              <w:t xml:space="preserve"> </w:t>
            </w:r>
            <w:r>
              <w:rPr>
                <w:rFonts w:hint="cs"/>
                <w:b w:val="0"/>
                <w:bCs w:val="0"/>
                <w:noProof w:val="0"/>
                <w:rtl/>
              </w:rPr>
              <w:t>מהרשויות</w:t>
            </w:r>
            <w:r>
              <w:rPr>
                <w:b w:val="0"/>
                <w:bCs w:val="0"/>
                <w:noProof w:val="0"/>
                <w:rtl/>
              </w:rPr>
              <w:t xml:space="preserve"> </w:t>
            </w:r>
            <w:r>
              <w:rPr>
                <w:rFonts w:hint="cs"/>
                <w:b w:val="0"/>
                <w:bCs w:val="0"/>
                <w:noProof w:val="0"/>
                <w:rtl/>
              </w:rPr>
              <w:t>המקומיות</w:t>
            </w:r>
            <w:r>
              <w:rPr>
                <w:b w:val="0"/>
                <w:bCs w:val="0"/>
                <w:noProof w:val="0"/>
                <w:rtl/>
              </w:rPr>
              <w:t xml:space="preserve"> </w:t>
            </w:r>
            <w:r>
              <w:rPr>
                <w:rFonts w:hint="cs"/>
                <w:b w:val="0"/>
                <w:bCs w:val="0"/>
                <w:noProof w:val="0"/>
                <w:rtl/>
              </w:rPr>
              <w:t>מינו</w:t>
            </w:r>
            <w:r>
              <w:rPr>
                <w:b w:val="0"/>
                <w:bCs w:val="0"/>
                <w:noProof w:val="0"/>
                <w:rtl/>
              </w:rPr>
              <w:t xml:space="preserve"> </w:t>
            </w:r>
            <w:r>
              <w:rPr>
                <w:rFonts w:hint="cs"/>
                <w:b w:val="0"/>
                <w:bCs w:val="0"/>
                <w:noProof w:val="0"/>
                <w:rtl/>
              </w:rPr>
              <w:t>בעבר</w:t>
            </w:r>
            <w:r>
              <w:rPr>
                <w:b w:val="0"/>
                <w:bCs w:val="0"/>
                <w:noProof w:val="0"/>
                <w:rtl/>
              </w:rPr>
              <w:t xml:space="preserve"> </w:t>
            </w:r>
            <w:r>
              <w:rPr>
                <w:rFonts w:hint="cs"/>
                <w:b w:val="0"/>
                <w:bCs w:val="0"/>
                <w:noProof w:val="0"/>
                <w:rtl/>
              </w:rPr>
              <w:t>יועץ</w:t>
            </w:r>
            <w:r>
              <w:rPr>
                <w:b w:val="0"/>
                <w:bCs w:val="0"/>
                <w:noProof w:val="0"/>
                <w:rtl/>
              </w:rPr>
              <w:t xml:space="preserve"> </w:t>
            </w:r>
            <w:r>
              <w:rPr>
                <w:rFonts w:hint="cs"/>
                <w:b w:val="0"/>
                <w:bCs w:val="0"/>
                <w:noProof w:val="0"/>
                <w:rtl/>
              </w:rPr>
              <w:t>לאזרחים</w:t>
            </w:r>
            <w:r>
              <w:rPr>
                <w:b w:val="0"/>
                <w:bCs w:val="0"/>
                <w:noProof w:val="0"/>
                <w:rtl/>
              </w:rPr>
              <w:t xml:space="preserve"> </w:t>
            </w:r>
            <w:r>
              <w:rPr>
                <w:rFonts w:hint="cs"/>
                <w:b w:val="0"/>
                <w:bCs w:val="0"/>
                <w:noProof w:val="0"/>
                <w:rtl/>
              </w:rPr>
              <w:t>ותיקים</w:t>
            </w:r>
            <w:r>
              <w:rPr>
                <w:b w:val="0"/>
                <w:bCs w:val="0"/>
                <w:noProof w:val="0"/>
                <w:rtl/>
              </w:rPr>
              <w:t xml:space="preserve">, </w:t>
            </w:r>
            <w:r>
              <w:rPr>
                <w:rFonts w:hint="cs"/>
                <w:b w:val="0"/>
                <w:bCs w:val="0"/>
                <w:noProof w:val="0"/>
                <w:rtl/>
              </w:rPr>
              <w:t>אך</w:t>
            </w:r>
            <w:r>
              <w:rPr>
                <w:b w:val="0"/>
                <w:bCs w:val="0"/>
                <w:noProof w:val="0"/>
                <w:rtl/>
              </w:rPr>
              <w:t xml:space="preserve"> </w:t>
            </w:r>
            <w:r>
              <w:rPr>
                <w:rFonts w:hint="cs"/>
                <w:b w:val="0"/>
                <w:bCs w:val="0"/>
                <w:noProof w:val="0"/>
                <w:rtl/>
              </w:rPr>
              <w:t>עם</w:t>
            </w:r>
            <w:r>
              <w:rPr>
                <w:b w:val="0"/>
                <w:bCs w:val="0"/>
                <w:noProof w:val="0"/>
                <w:rtl/>
              </w:rPr>
              <w:t xml:space="preserve"> </w:t>
            </w:r>
            <w:r>
              <w:rPr>
                <w:rFonts w:hint="cs"/>
                <w:b w:val="0"/>
                <w:bCs w:val="0"/>
                <w:noProof w:val="0"/>
                <w:rtl/>
              </w:rPr>
              <w:t>פרישתו</w:t>
            </w:r>
            <w:r>
              <w:rPr>
                <w:b w:val="0"/>
                <w:bCs w:val="0"/>
                <w:noProof w:val="0"/>
                <w:rtl/>
              </w:rPr>
              <w:t xml:space="preserve"> </w:t>
            </w:r>
            <w:r>
              <w:rPr>
                <w:rFonts w:hint="cs"/>
                <w:b w:val="0"/>
                <w:bCs w:val="0"/>
                <w:noProof w:val="0"/>
                <w:rtl/>
              </w:rPr>
              <w:t>של</w:t>
            </w:r>
            <w:r>
              <w:rPr>
                <w:b w:val="0"/>
                <w:bCs w:val="0"/>
                <w:noProof w:val="0"/>
                <w:rtl/>
              </w:rPr>
              <w:t xml:space="preserve"> </w:t>
            </w:r>
            <w:r>
              <w:rPr>
                <w:rFonts w:hint="cs"/>
                <w:b w:val="0"/>
                <w:bCs w:val="0"/>
                <w:noProof w:val="0"/>
                <w:rtl/>
              </w:rPr>
              <w:t>היועץ</w:t>
            </w:r>
            <w:r>
              <w:rPr>
                <w:b w:val="0"/>
                <w:bCs w:val="0"/>
                <w:noProof w:val="0"/>
                <w:rtl/>
              </w:rPr>
              <w:t xml:space="preserve"> </w:t>
            </w:r>
            <w:r>
              <w:rPr>
                <w:rFonts w:hint="cs"/>
                <w:b w:val="0"/>
                <w:bCs w:val="0"/>
                <w:noProof w:val="0"/>
                <w:rtl/>
              </w:rPr>
              <w:t>לא</w:t>
            </w:r>
            <w:r>
              <w:rPr>
                <w:b w:val="0"/>
                <w:bCs w:val="0"/>
                <w:noProof w:val="0"/>
                <w:rtl/>
              </w:rPr>
              <w:t xml:space="preserve"> </w:t>
            </w:r>
            <w:r>
              <w:rPr>
                <w:rFonts w:hint="cs"/>
                <w:b w:val="0"/>
                <w:bCs w:val="0"/>
                <w:noProof w:val="0"/>
                <w:rtl/>
              </w:rPr>
              <w:t>מונה יועץ</w:t>
            </w:r>
            <w:r>
              <w:rPr>
                <w:b w:val="0"/>
                <w:bCs w:val="0"/>
                <w:noProof w:val="0"/>
                <w:rtl/>
              </w:rPr>
              <w:t xml:space="preserve"> </w:t>
            </w:r>
            <w:r>
              <w:rPr>
                <w:rFonts w:hint="cs"/>
                <w:b w:val="0"/>
                <w:bCs w:val="0"/>
                <w:noProof w:val="0"/>
                <w:rtl/>
              </w:rPr>
              <w:t>אחר</w:t>
            </w:r>
            <w:r>
              <w:rPr>
                <w:b w:val="0"/>
                <w:bCs w:val="0"/>
                <w:noProof w:val="0"/>
                <w:rtl/>
              </w:rPr>
              <w:t xml:space="preserve"> </w:t>
            </w:r>
            <w:r>
              <w:rPr>
                <w:rFonts w:hint="cs"/>
                <w:b w:val="0"/>
                <w:bCs w:val="0"/>
                <w:noProof w:val="0"/>
                <w:rtl/>
              </w:rPr>
              <w:t>תחתיו.</w:t>
            </w:r>
          </w:p>
          <w:p w:rsidR="00F60E90">
            <w:pPr>
              <w:pStyle w:val="takzir"/>
              <w:rPr>
                <w:b w:val="0"/>
                <w:bCs w:val="0"/>
                <w:noProof w:val="0"/>
                <w:rtl/>
              </w:rPr>
            </w:pPr>
            <w:r>
              <w:rPr>
                <w:rFonts w:hint="cs"/>
                <w:b w:val="0"/>
                <w:bCs w:val="0"/>
                <w:noProof w:val="0"/>
                <w:rtl/>
              </w:rPr>
              <w:t>בשל</w:t>
            </w:r>
            <w:r>
              <w:rPr>
                <w:b w:val="0"/>
                <w:bCs w:val="0"/>
                <w:noProof w:val="0"/>
                <w:rtl/>
              </w:rPr>
              <w:t xml:space="preserve"> </w:t>
            </w:r>
            <w:r>
              <w:rPr>
                <w:rFonts w:hint="cs"/>
                <w:b w:val="0"/>
                <w:bCs w:val="0"/>
                <w:noProof w:val="0"/>
                <w:rtl/>
              </w:rPr>
              <w:t>עומס</w:t>
            </w:r>
            <w:r>
              <w:rPr>
                <w:b w:val="0"/>
                <w:bCs w:val="0"/>
                <w:noProof w:val="0"/>
                <w:rtl/>
              </w:rPr>
              <w:t xml:space="preserve"> </w:t>
            </w:r>
            <w:r>
              <w:rPr>
                <w:rFonts w:hint="cs"/>
                <w:b w:val="0"/>
                <w:bCs w:val="0"/>
                <w:noProof w:val="0"/>
                <w:rtl/>
              </w:rPr>
              <w:t>העבודה</w:t>
            </w:r>
            <w:r>
              <w:rPr>
                <w:b w:val="0"/>
                <w:bCs w:val="0"/>
                <w:noProof w:val="0"/>
                <w:rtl/>
              </w:rPr>
              <w:t xml:space="preserve"> </w:t>
            </w:r>
            <w:r>
              <w:rPr>
                <w:rFonts w:hint="cs"/>
                <w:b w:val="0"/>
                <w:bCs w:val="0"/>
                <w:noProof w:val="0"/>
                <w:rtl/>
              </w:rPr>
              <w:t>הרב</w:t>
            </w:r>
            <w:r>
              <w:rPr>
                <w:b w:val="0"/>
                <w:bCs w:val="0"/>
                <w:noProof w:val="0"/>
                <w:rtl/>
              </w:rPr>
              <w:t xml:space="preserve"> </w:t>
            </w:r>
            <w:r>
              <w:rPr>
                <w:rFonts w:hint="cs"/>
                <w:b w:val="0"/>
                <w:bCs w:val="0"/>
                <w:noProof w:val="0"/>
                <w:rtl/>
              </w:rPr>
              <w:t>המוטל</w:t>
            </w:r>
            <w:r>
              <w:rPr>
                <w:b w:val="0"/>
                <w:bCs w:val="0"/>
                <w:noProof w:val="0"/>
                <w:rtl/>
              </w:rPr>
              <w:t xml:space="preserve"> </w:t>
            </w:r>
            <w:r>
              <w:rPr>
                <w:rFonts w:hint="cs"/>
                <w:b w:val="0"/>
                <w:bCs w:val="0"/>
                <w:noProof w:val="0"/>
                <w:rtl/>
              </w:rPr>
              <w:t>על</w:t>
            </w:r>
            <w:r>
              <w:rPr>
                <w:b w:val="0"/>
                <w:bCs w:val="0"/>
                <w:noProof w:val="0"/>
                <w:rtl/>
              </w:rPr>
              <w:t xml:space="preserve"> </w:t>
            </w:r>
            <w:r>
              <w:rPr>
                <w:rFonts w:hint="cs"/>
                <w:b w:val="0"/>
                <w:bCs w:val="0"/>
                <w:noProof w:val="0"/>
                <w:rtl/>
              </w:rPr>
              <w:t>כתפיהם</w:t>
            </w:r>
            <w:r>
              <w:rPr>
                <w:b w:val="0"/>
                <w:bCs w:val="0"/>
                <w:noProof w:val="0"/>
                <w:rtl/>
              </w:rPr>
              <w:t xml:space="preserve"> </w:t>
            </w:r>
            <w:r>
              <w:rPr>
                <w:rFonts w:hint="cs"/>
                <w:b w:val="0"/>
                <w:bCs w:val="0"/>
                <w:noProof w:val="0"/>
                <w:rtl/>
              </w:rPr>
              <w:t>של</w:t>
            </w:r>
            <w:r>
              <w:rPr>
                <w:b w:val="0"/>
                <w:bCs w:val="0"/>
                <w:noProof w:val="0"/>
                <w:rtl/>
              </w:rPr>
              <w:t xml:space="preserve"> </w:t>
            </w:r>
            <w:r>
              <w:rPr>
                <w:rFonts w:hint="cs"/>
                <w:b w:val="0"/>
                <w:bCs w:val="0"/>
                <w:noProof w:val="0"/>
                <w:rtl/>
              </w:rPr>
              <w:t>העובדים</w:t>
            </w:r>
            <w:r>
              <w:rPr>
                <w:b w:val="0"/>
                <w:bCs w:val="0"/>
                <w:noProof w:val="0"/>
                <w:rtl/>
              </w:rPr>
              <w:t xml:space="preserve"> </w:t>
            </w:r>
            <w:r>
              <w:rPr>
                <w:rFonts w:hint="cs"/>
                <w:b w:val="0"/>
                <w:bCs w:val="0"/>
                <w:noProof w:val="0"/>
                <w:rtl/>
              </w:rPr>
              <w:t>בתפקידם</w:t>
            </w:r>
            <w:r>
              <w:rPr>
                <w:b w:val="0"/>
                <w:bCs w:val="0"/>
                <w:noProof w:val="0"/>
                <w:rtl/>
              </w:rPr>
              <w:t xml:space="preserve"> </w:t>
            </w:r>
            <w:r>
              <w:rPr>
                <w:rFonts w:hint="cs"/>
                <w:b w:val="0"/>
                <w:bCs w:val="0"/>
                <w:noProof w:val="0"/>
                <w:rtl/>
              </w:rPr>
              <w:t>השוטף</w:t>
            </w:r>
            <w:r>
              <w:rPr>
                <w:b w:val="0"/>
                <w:bCs w:val="0"/>
                <w:noProof w:val="0"/>
                <w:rtl/>
              </w:rPr>
              <w:t xml:space="preserve"> </w:t>
            </w:r>
            <w:r>
              <w:rPr>
                <w:rFonts w:hint="cs"/>
                <w:b w:val="0"/>
                <w:bCs w:val="0"/>
                <w:noProof w:val="0"/>
                <w:rtl/>
              </w:rPr>
              <w:t>נמנע</w:t>
            </w:r>
            <w:r>
              <w:rPr>
                <w:b w:val="0"/>
                <w:bCs w:val="0"/>
                <w:noProof w:val="0"/>
                <w:rtl/>
              </w:rPr>
              <w:t xml:space="preserve"> </w:t>
            </w:r>
            <w:r>
              <w:rPr>
                <w:rFonts w:hint="cs"/>
                <w:b w:val="0"/>
                <w:bCs w:val="0"/>
                <w:noProof w:val="0"/>
                <w:rtl/>
              </w:rPr>
              <w:t>מהם</w:t>
            </w:r>
            <w:r>
              <w:rPr>
                <w:b w:val="0"/>
                <w:bCs w:val="0"/>
                <w:noProof w:val="0"/>
                <w:rtl/>
              </w:rPr>
              <w:t xml:space="preserve"> </w:t>
            </w:r>
            <w:r>
              <w:rPr>
                <w:rFonts w:hint="cs"/>
                <w:b w:val="0"/>
                <w:bCs w:val="0"/>
                <w:noProof w:val="0"/>
                <w:rtl/>
              </w:rPr>
              <w:t>מלמלא</w:t>
            </w:r>
            <w:r>
              <w:rPr>
                <w:b w:val="0"/>
                <w:bCs w:val="0"/>
                <w:noProof w:val="0"/>
                <w:rtl/>
              </w:rPr>
              <w:t xml:space="preserve"> </w:t>
            </w:r>
            <w:r>
              <w:rPr>
                <w:rFonts w:hint="cs"/>
                <w:b w:val="0"/>
                <w:bCs w:val="0"/>
                <w:noProof w:val="0"/>
                <w:rtl/>
              </w:rPr>
              <w:t>אחר</w:t>
            </w:r>
            <w:r>
              <w:rPr>
                <w:b w:val="0"/>
                <w:bCs w:val="0"/>
                <w:noProof w:val="0"/>
                <w:rtl/>
              </w:rPr>
              <w:t xml:space="preserve"> </w:t>
            </w:r>
            <w:r>
              <w:rPr>
                <w:rFonts w:hint="cs"/>
                <w:b w:val="0"/>
                <w:bCs w:val="0"/>
                <w:noProof w:val="0"/>
                <w:rtl/>
              </w:rPr>
              <w:t>מטלותיהם</w:t>
            </w:r>
            <w:r>
              <w:rPr>
                <w:b w:val="0"/>
                <w:bCs w:val="0"/>
                <w:noProof w:val="0"/>
                <w:rtl/>
              </w:rPr>
              <w:t xml:space="preserve"> </w:t>
            </w:r>
            <w:r>
              <w:rPr>
                <w:rFonts w:hint="cs"/>
                <w:b w:val="0"/>
                <w:bCs w:val="0"/>
                <w:noProof w:val="0"/>
                <w:rtl/>
              </w:rPr>
              <w:t>כיועצים</w:t>
            </w:r>
            <w:r>
              <w:rPr>
                <w:b w:val="0"/>
                <w:bCs w:val="0"/>
                <w:noProof w:val="0"/>
                <w:rtl/>
              </w:rPr>
              <w:t xml:space="preserve"> </w:t>
            </w:r>
            <w:r>
              <w:rPr>
                <w:rFonts w:hint="cs"/>
                <w:b w:val="0"/>
                <w:bCs w:val="0"/>
                <w:noProof w:val="0"/>
                <w:rtl/>
              </w:rPr>
              <w:t>לענייני</w:t>
            </w:r>
            <w:r>
              <w:rPr>
                <w:b w:val="0"/>
                <w:bCs w:val="0"/>
                <w:noProof w:val="0"/>
                <w:rtl/>
              </w:rPr>
              <w:t xml:space="preserve"> </w:t>
            </w:r>
            <w:r>
              <w:rPr>
                <w:rFonts w:hint="cs"/>
                <w:b w:val="0"/>
                <w:bCs w:val="0"/>
                <w:noProof w:val="0"/>
                <w:rtl/>
              </w:rPr>
              <w:t>אזרחים</w:t>
            </w:r>
            <w:r>
              <w:rPr>
                <w:b w:val="0"/>
                <w:bCs w:val="0"/>
                <w:noProof w:val="0"/>
                <w:rtl/>
              </w:rPr>
              <w:t xml:space="preserve"> </w:t>
            </w:r>
            <w:r>
              <w:rPr>
                <w:rFonts w:hint="cs"/>
                <w:b w:val="0"/>
                <w:bCs w:val="0"/>
                <w:noProof w:val="0"/>
                <w:rtl/>
              </w:rPr>
              <w:t>ותיקים</w:t>
            </w:r>
            <w:r>
              <w:rPr>
                <w:b w:val="0"/>
                <w:bCs w:val="0"/>
                <w:noProof w:val="0"/>
                <w:rtl/>
              </w:rPr>
              <w:t xml:space="preserve"> </w:t>
            </w:r>
            <w:r>
              <w:rPr>
                <w:rFonts w:hint="cs"/>
                <w:b w:val="0"/>
                <w:bCs w:val="0"/>
                <w:noProof w:val="0"/>
                <w:rtl/>
              </w:rPr>
              <w:t>המוגדרות</w:t>
            </w:r>
            <w:r>
              <w:rPr>
                <w:b w:val="0"/>
                <w:bCs w:val="0"/>
                <w:noProof w:val="0"/>
                <w:rtl/>
              </w:rPr>
              <w:t xml:space="preserve"> </w:t>
            </w:r>
            <w:r>
              <w:rPr>
                <w:rFonts w:hint="cs"/>
                <w:b w:val="0"/>
                <w:bCs w:val="0"/>
                <w:noProof w:val="0"/>
                <w:rtl/>
              </w:rPr>
              <w:t>בחוק</w:t>
            </w:r>
            <w:r>
              <w:rPr>
                <w:b w:val="0"/>
                <w:bCs w:val="0"/>
                <w:noProof w:val="0"/>
                <w:rtl/>
              </w:rPr>
              <w:t xml:space="preserve"> </w:t>
            </w:r>
            <w:r>
              <w:rPr>
                <w:rFonts w:hint="cs"/>
                <w:b w:val="0"/>
                <w:bCs w:val="0"/>
                <w:noProof w:val="0"/>
                <w:rtl/>
              </w:rPr>
              <w:t>האזרחים</w:t>
            </w:r>
            <w:r>
              <w:rPr>
                <w:b w:val="0"/>
                <w:bCs w:val="0"/>
                <w:noProof w:val="0"/>
                <w:rtl/>
              </w:rPr>
              <w:t xml:space="preserve"> </w:t>
            </w:r>
            <w:r>
              <w:rPr>
                <w:rFonts w:hint="cs"/>
                <w:b w:val="0"/>
                <w:bCs w:val="0"/>
                <w:noProof w:val="0"/>
                <w:rtl/>
              </w:rPr>
              <w:t>הוותיקים</w:t>
            </w:r>
            <w:r>
              <w:rPr>
                <w:b w:val="0"/>
                <w:bCs w:val="0"/>
                <w:noProof w:val="0"/>
                <w:rtl/>
              </w:rPr>
              <w:t>.</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rFonts w:hint="eastAsia"/>
                <w:sz w:val="24"/>
                <w:szCs w:val="24"/>
                <w:rtl/>
              </w:rPr>
              <w:t>יישום</w:t>
            </w:r>
            <w:r>
              <w:rPr>
                <w:sz w:val="24"/>
                <w:szCs w:val="24"/>
                <w:rtl/>
              </w:rPr>
              <w:t xml:space="preserve"> חלקי של תכנית חיים בגיל</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b w:val="0"/>
                <w:bCs w:val="0"/>
                <w:noProof w:val="0"/>
                <w:rtl/>
              </w:rPr>
              <w:t>באוקטובר 2011 ה</w:t>
            </w:r>
            <w:r>
              <w:rPr>
                <w:rFonts w:hint="cs"/>
                <w:b w:val="0"/>
                <w:bCs w:val="0"/>
                <w:noProof w:val="0"/>
                <w:rtl/>
              </w:rPr>
              <w:t>טיל</w:t>
            </w:r>
            <w:r>
              <w:rPr>
                <w:b w:val="0"/>
                <w:bCs w:val="0"/>
                <w:noProof w:val="0"/>
                <w:rtl/>
              </w:rPr>
              <w:t>ה הממשלה על המשרד לאזרחים ותיקים לפתח תכניות אב לרשויות המקומיות למען האזרחים הוותיקים, המותאמות למאפייניהם הייחודיים.</w:t>
            </w:r>
          </w:p>
          <w:p w:rsidR="00F60E90">
            <w:pPr>
              <w:pStyle w:val="takzir"/>
              <w:rPr>
                <w:b w:val="0"/>
                <w:bCs w:val="0"/>
                <w:noProof w:val="0"/>
                <w:rtl/>
              </w:rPr>
            </w:pPr>
            <w:r>
              <w:rPr>
                <w:rFonts w:hint="cs"/>
                <w:b w:val="0"/>
                <w:bCs w:val="0"/>
                <w:noProof w:val="0"/>
                <w:rtl/>
              </w:rPr>
              <w:t>בשנים</w:t>
            </w:r>
            <w:r>
              <w:rPr>
                <w:b w:val="0"/>
                <w:bCs w:val="0"/>
                <w:noProof w:val="0"/>
                <w:rtl/>
              </w:rPr>
              <w:t xml:space="preserve"> 2013-2011 </w:t>
            </w:r>
            <w:r>
              <w:rPr>
                <w:rFonts w:hint="cs"/>
                <w:b w:val="0"/>
                <w:bCs w:val="0"/>
                <w:noProof w:val="0"/>
                <w:rtl/>
              </w:rPr>
              <w:t>הכין המשרד לאזרחים ותיקים תכנית הנקראת "חיים בגיל" ובמסגרתה הוכנו תכניות אב ב-60 רשויות מקומיות. בתחילת 2014 הופסקה התכנית עקב ניצול כל התקציב המיועד לביצועה.</w:t>
            </w:r>
          </w:p>
          <w:p w:rsidR="00F60E90">
            <w:pPr>
              <w:pStyle w:val="takzir"/>
              <w:rPr>
                <w:b w:val="0"/>
                <w:bCs w:val="0"/>
                <w:noProof w:val="0"/>
                <w:rtl/>
              </w:rPr>
            </w:pPr>
            <w:r>
              <w:rPr>
                <w:rFonts w:hint="cs"/>
                <w:b w:val="0"/>
                <w:bCs w:val="0"/>
                <w:noProof w:val="0"/>
                <w:rtl/>
              </w:rPr>
              <w:t>עד</w:t>
            </w:r>
            <w:r>
              <w:rPr>
                <w:b w:val="0"/>
                <w:bCs w:val="0"/>
                <w:noProof w:val="0"/>
                <w:rtl/>
              </w:rPr>
              <w:t xml:space="preserve"> </w:t>
            </w:r>
            <w:r>
              <w:rPr>
                <w:rFonts w:hint="cs"/>
                <w:b w:val="0"/>
                <w:bCs w:val="0"/>
                <w:noProof w:val="0"/>
                <w:rtl/>
              </w:rPr>
              <w:t>מועד</w:t>
            </w:r>
            <w:r>
              <w:rPr>
                <w:b w:val="0"/>
                <w:bCs w:val="0"/>
                <w:noProof w:val="0"/>
                <w:rtl/>
              </w:rPr>
              <w:t xml:space="preserve"> </w:t>
            </w:r>
            <w:r>
              <w:rPr>
                <w:rFonts w:hint="cs"/>
                <w:b w:val="0"/>
                <w:bCs w:val="0"/>
                <w:noProof w:val="0"/>
                <w:rtl/>
              </w:rPr>
              <w:t>סיום</w:t>
            </w:r>
            <w:r>
              <w:rPr>
                <w:b w:val="0"/>
                <w:bCs w:val="0"/>
                <w:noProof w:val="0"/>
                <w:rtl/>
              </w:rPr>
              <w:t xml:space="preserve"> </w:t>
            </w:r>
            <w:r>
              <w:rPr>
                <w:rFonts w:hint="cs"/>
                <w:b w:val="0"/>
                <w:bCs w:val="0"/>
                <w:noProof w:val="0"/>
                <w:rtl/>
              </w:rPr>
              <w:t>הביקורת</w:t>
            </w:r>
            <w:r>
              <w:rPr>
                <w:b w:val="0"/>
                <w:bCs w:val="0"/>
                <w:noProof w:val="0"/>
                <w:rtl/>
              </w:rPr>
              <w:t xml:space="preserve"> </w:t>
            </w:r>
            <w:r>
              <w:rPr>
                <w:rFonts w:hint="cs"/>
                <w:b w:val="0"/>
                <w:bCs w:val="0"/>
                <w:noProof w:val="0"/>
                <w:rtl/>
              </w:rPr>
              <w:t>לא</w:t>
            </w:r>
            <w:r>
              <w:rPr>
                <w:b w:val="0"/>
                <w:bCs w:val="0"/>
                <w:noProof w:val="0"/>
                <w:rtl/>
              </w:rPr>
              <w:t xml:space="preserve"> </w:t>
            </w:r>
            <w:r>
              <w:rPr>
                <w:rFonts w:hint="cs"/>
                <w:b w:val="0"/>
                <w:bCs w:val="0"/>
                <w:noProof w:val="0"/>
                <w:rtl/>
              </w:rPr>
              <w:t>דנה</w:t>
            </w:r>
            <w:r>
              <w:rPr>
                <w:b w:val="0"/>
                <w:bCs w:val="0"/>
                <w:noProof w:val="0"/>
                <w:rtl/>
              </w:rPr>
              <w:t xml:space="preserve"> </w:t>
            </w:r>
            <w:r>
              <w:rPr>
                <w:rFonts w:hint="cs"/>
                <w:b w:val="0"/>
                <w:bCs w:val="0"/>
                <w:noProof w:val="0"/>
                <w:rtl/>
              </w:rPr>
              <w:t>ועדת</w:t>
            </w:r>
            <w:r>
              <w:rPr>
                <w:b w:val="0"/>
                <w:bCs w:val="0"/>
                <w:noProof w:val="0"/>
                <w:rtl/>
              </w:rPr>
              <w:t xml:space="preserve"> </w:t>
            </w:r>
            <w:r>
              <w:rPr>
                <w:rFonts w:hint="cs"/>
                <w:b w:val="0"/>
                <w:bCs w:val="0"/>
                <w:noProof w:val="0"/>
                <w:rtl/>
              </w:rPr>
              <w:t>ההיגוי</w:t>
            </w:r>
            <w:r>
              <w:rPr>
                <w:b w:val="0"/>
                <w:bCs w:val="0"/>
                <w:noProof w:val="0"/>
                <w:rtl/>
              </w:rPr>
              <w:t xml:space="preserve"> </w:t>
            </w:r>
            <w:r>
              <w:rPr>
                <w:rFonts w:hint="cs"/>
                <w:b w:val="0"/>
                <w:bCs w:val="0"/>
                <w:noProof w:val="0"/>
                <w:rtl/>
              </w:rPr>
              <w:t>במשרד</w:t>
            </w:r>
            <w:r>
              <w:rPr>
                <w:b w:val="0"/>
                <w:bCs w:val="0"/>
                <w:noProof w:val="0"/>
                <w:rtl/>
              </w:rPr>
              <w:t xml:space="preserve"> </w:t>
            </w:r>
            <w:r>
              <w:rPr>
                <w:rFonts w:hint="cs"/>
                <w:b w:val="0"/>
                <w:bCs w:val="0"/>
                <w:noProof w:val="0"/>
                <w:rtl/>
              </w:rPr>
              <w:t>לאזרחים</w:t>
            </w:r>
            <w:r>
              <w:rPr>
                <w:b w:val="0"/>
                <w:bCs w:val="0"/>
                <w:noProof w:val="0"/>
                <w:rtl/>
              </w:rPr>
              <w:t xml:space="preserve"> </w:t>
            </w:r>
            <w:r>
              <w:rPr>
                <w:rFonts w:hint="cs"/>
                <w:b w:val="0"/>
                <w:bCs w:val="0"/>
                <w:noProof w:val="0"/>
                <w:rtl/>
              </w:rPr>
              <w:t>ותיקים</w:t>
            </w:r>
            <w:r>
              <w:rPr>
                <w:b w:val="0"/>
                <w:bCs w:val="0"/>
                <w:noProof w:val="0"/>
                <w:rtl/>
              </w:rPr>
              <w:t xml:space="preserve"> </w:t>
            </w:r>
            <w:r>
              <w:rPr>
                <w:rFonts w:hint="cs"/>
                <w:b w:val="0"/>
                <w:bCs w:val="0"/>
                <w:noProof w:val="0"/>
                <w:rtl/>
              </w:rPr>
              <w:t>בדרכים</w:t>
            </w:r>
            <w:r>
              <w:rPr>
                <w:b w:val="0"/>
                <w:bCs w:val="0"/>
                <w:noProof w:val="0"/>
                <w:rtl/>
              </w:rPr>
              <w:t xml:space="preserve"> </w:t>
            </w:r>
            <w:r>
              <w:rPr>
                <w:rFonts w:hint="cs"/>
                <w:b w:val="0"/>
                <w:bCs w:val="0"/>
                <w:noProof w:val="0"/>
                <w:rtl/>
              </w:rPr>
              <w:t>למימוש</w:t>
            </w:r>
            <w:r>
              <w:rPr>
                <w:b w:val="0"/>
                <w:bCs w:val="0"/>
                <w:noProof w:val="0"/>
                <w:rtl/>
              </w:rPr>
              <w:t xml:space="preserve"> </w:t>
            </w:r>
            <w:r>
              <w:rPr>
                <w:rFonts w:hint="cs"/>
                <w:b w:val="0"/>
                <w:bCs w:val="0"/>
                <w:noProof w:val="0"/>
                <w:rtl/>
              </w:rPr>
              <w:t>יעדי תכניות</w:t>
            </w:r>
            <w:r>
              <w:rPr>
                <w:b w:val="0"/>
                <w:bCs w:val="0"/>
                <w:noProof w:val="0"/>
                <w:rtl/>
              </w:rPr>
              <w:t xml:space="preserve"> </w:t>
            </w:r>
            <w:r>
              <w:rPr>
                <w:rFonts w:hint="cs"/>
                <w:b w:val="0"/>
                <w:bCs w:val="0"/>
                <w:noProof w:val="0"/>
                <w:rtl/>
              </w:rPr>
              <w:t>האב</w:t>
            </w:r>
            <w:r>
              <w:rPr>
                <w:b w:val="0"/>
                <w:bCs w:val="0"/>
                <w:noProof w:val="0"/>
                <w:rtl/>
              </w:rPr>
              <w:t xml:space="preserve"> </w:t>
            </w:r>
            <w:r>
              <w:rPr>
                <w:rFonts w:hint="cs"/>
                <w:b w:val="0"/>
                <w:bCs w:val="0"/>
                <w:noProof w:val="0"/>
                <w:rtl/>
              </w:rPr>
              <w:t>שהכינו</w:t>
            </w:r>
            <w:r>
              <w:rPr>
                <w:b w:val="0"/>
                <w:bCs w:val="0"/>
                <w:noProof w:val="0"/>
                <w:rtl/>
              </w:rPr>
              <w:t xml:space="preserve"> </w:t>
            </w:r>
            <w:r>
              <w:rPr>
                <w:rFonts w:hint="cs"/>
                <w:b w:val="0"/>
                <w:bCs w:val="0"/>
                <w:noProof w:val="0"/>
                <w:rtl/>
              </w:rPr>
              <w:t>הרשויות</w:t>
            </w:r>
            <w:r>
              <w:rPr>
                <w:b w:val="0"/>
                <w:bCs w:val="0"/>
                <w:noProof w:val="0"/>
                <w:rtl/>
              </w:rPr>
              <w:t xml:space="preserve"> </w:t>
            </w:r>
            <w:r>
              <w:rPr>
                <w:rFonts w:hint="cs"/>
                <w:b w:val="0"/>
                <w:bCs w:val="0"/>
                <w:noProof w:val="0"/>
                <w:rtl/>
              </w:rPr>
              <w:t>המקומיות</w:t>
            </w:r>
            <w:r>
              <w:rPr>
                <w:b w:val="0"/>
                <w:bCs w:val="0"/>
                <w:noProof w:val="0"/>
                <w:rtl/>
              </w:rPr>
              <w:t xml:space="preserve"> </w:t>
            </w:r>
            <w:r>
              <w:rPr>
                <w:rFonts w:hint="cs"/>
                <w:b w:val="0"/>
                <w:bCs w:val="0"/>
                <w:noProof w:val="0"/>
                <w:rtl/>
              </w:rPr>
              <w:t>במסגרת</w:t>
            </w:r>
            <w:r>
              <w:rPr>
                <w:b w:val="0"/>
                <w:bCs w:val="0"/>
                <w:noProof w:val="0"/>
                <w:rtl/>
              </w:rPr>
              <w:t xml:space="preserve"> </w:t>
            </w:r>
            <w:r>
              <w:rPr>
                <w:rFonts w:hint="cs"/>
                <w:b w:val="0"/>
                <w:bCs w:val="0"/>
                <w:noProof w:val="0"/>
                <w:rtl/>
              </w:rPr>
              <w:t>תכנית חיים בגיל</w:t>
            </w:r>
            <w:r>
              <w:rPr>
                <w:b w:val="0"/>
                <w:bCs w:val="0"/>
                <w:noProof w:val="0"/>
                <w:rtl/>
              </w:rPr>
              <w:t xml:space="preserve"> </w:t>
            </w:r>
            <w:r>
              <w:rPr>
                <w:rFonts w:hint="cs"/>
                <w:b w:val="0"/>
                <w:bCs w:val="0"/>
                <w:noProof w:val="0"/>
                <w:rtl/>
              </w:rPr>
              <w:t>לפי</w:t>
            </w:r>
            <w:r>
              <w:rPr>
                <w:b w:val="0"/>
                <w:bCs w:val="0"/>
                <w:noProof w:val="0"/>
                <w:rtl/>
              </w:rPr>
              <w:t xml:space="preserve"> </w:t>
            </w:r>
            <w:r>
              <w:rPr>
                <w:rFonts w:hint="cs"/>
                <w:b w:val="0"/>
                <w:bCs w:val="0"/>
                <w:noProof w:val="0"/>
                <w:rtl/>
              </w:rPr>
              <w:t>אבני הדרך שנקבעו במסגרתן,</w:t>
            </w:r>
            <w:r>
              <w:rPr>
                <w:b w:val="0"/>
                <w:bCs w:val="0"/>
                <w:noProof w:val="0"/>
                <w:rtl/>
              </w:rPr>
              <w:t xml:space="preserve"> </w:t>
            </w:r>
            <w:r>
              <w:rPr>
                <w:rFonts w:hint="cs"/>
                <w:b w:val="0"/>
                <w:bCs w:val="0"/>
                <w:noProof w:val="0"/>
                <w:rtl/>
              </w:rPr>
              <w:t>ואף</w:t>
            </w:r>
            <w:r>
              <w:rPr>
                <w:b w:val="0"/>
                <w:bCs w:val="0"/>
                <w:noProof w:val="0"/>
                <w:rtl/>
              </w:rPr>
              <w:t xml:space="preserve"> </w:t>
            </w:r>
            <w:r>
              <w:rPr>
                <w:rFonts w:hint="cs"/>
                <w:b w:val="0"/>
                <w:bCs w:val="0"/>
                <w:noProof w:val="0"/>
                <w:rtl/>
              </w:rPr>
              <w:t>לא</w:t>
            </w:r>
            <w:r>
              <w:rPr>
                <w:b w:val="0"/>
                <w:bCs w:val="0"/>
                <w:noProof w:val="0"/>
                <w:rtl/>
              </w:rPr>
              <w:t xml:space="preserve"> </w:t>
            </w:r>
            <w:r>
              <w:rPr>
                <w:rFonts w:hint="cs"/>
                <w:b w:val="0"/>
                <w:bCs w:val="0"/>
                <w:noProof w:val="0"/>
                <w:rtl/>
              </w:rPr>
              <w:t>בחנה</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היקף</w:t>
            </w:r>
            <w:r>
              <w:rPr>
                <w:b w:val="0"/>
                <w:bCs w:val="0"/>
                <w:noProof w:val="0"/>
                <w:rtl/>
              </w:rPr>
              <w:t xml:space="preserve"> </w:t>
            </w:r>
            <w:r>
              <w:rPr>
                <w:rFonts w:hint="cs"/>
                <w:b w:val="0"/>
                <w:bCs w:val="0"/>
                <w:noProof w:val="0"/>
                <w:rtl/>
              </w:rPr>
              <w:t>המשאבים</w:t>
            </w:r>
            <w:r>
              <w:rPr>
                <w:b w:val="0"/>
                <w:bCs w:val="0"/>
                <w:noProof w:val="0"/>
                <w:rtl/>
              </w:rPr>
              <w:t xml:space="preserve"> </w:t>
            </w:r>
            <w:r>
              <w:rPr>
                <w:rFonts w:hint="cs"/>
                <w:b w:val="0"/>
                <w:bCs w:val="0"/>
                <w:noProof w:val="0"/>
                <w:rtl/>
              </w:rPr>
              <w:t>הנדרשים</w:t>
            </w:r>
            <w:r>
              <w:rPr>
                <w:b w:val="0"/>
                <w:bCs w:val="0"/>
                <w:noProof w:val="0"/>
                <w:rtl/>
              </w:rPr>
              <w:t xml:space="preserve"> </w:t>
            </w:r>
            <w:r>
              <w:rPr>
                <w:rFonts w:hint="cs"/>
                <w:b w:val="0"/>
                <w:bCs w:val="0"/>
                <w:noProof w:val="0"/>
                <w:rtl/>
              </w:rPr>
              <w:t>למימושן</w:t>
            </w:r>
            <w:r>
              <w:rPr>
                <w:b w:val="0"/>
                <w:bCs w:val="0"/>
                <w:noProof w:val="0"/>
                <w:rtl/>
              </w:rPr>
              <w:t>.</w:t>
            </w:r>
          </w:p>
        </w:tc>
      </w:tr>
    </w:tbl>
    <w:p w:rsidR="00F60E90">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F60E90">
            <w:pPr>
              <w:pStyle w:val="KOT5"/>
              <w:spacing w:before="120"/>
              <w:jc w:val="center"/>
              <w:rPr>
                <w:sz w:val="24"/>
                <w:szCs w:val="24"/>
                <w:rtl/>
              </w:rPr>
            </w:pPr>
            <w:r>
              <w:rPr>
                <w:sz w:val="24"/>
                <w:szCs w:val="24"/>
                <w:rtl/>
              </w:rPr>
              <w:br w:type="page"/>
            </w:r>
            <w:r>
              <w:rPr>
                <w:rFonts w:hint="cs"/>
                <w:sz w:val="24"/>
                <w:szCs w:val="24"/>
                <w:rtl/>
              </w:rPr>
              <w:t>אי-מתן פתרונות דיור ציבורי לזקנים</w:t>
            </w:r>
          </w:p>
        </w:tc>
      </w:tr>
      <w:tr w:rsidTr="00D53830">
        <w:tblPrEx>
          <w:tblW w:w="6691" w:type="dxa"/>
          <w:jc w:val="center"/>
          <w:tblLook w:val="04A0"/>
        </w:tblPrEx>
        <w:trPr>
          <w:cantSplit/>
          <w:jc w:val="center"/>
        </w:trPr>
        <w:tc>
          <w:tcPr>
            <w:tcW w:w="6691" w:type="dxa"/>
          </w:tcPr>
          <w:p w:rsidR="00F60E90">
            <w:pPr>
              <w:pStyle w:val="takzir"/>
              <w:spacing w:before="60"/>
              <w:rPr>
                <w:b w:val="0"/>
                <w:bCs w:val="0"/>
                <w:noProof w:val="0"/>
                <w:rtl/>
              </w:rPr>
            </w:pPr>
            <w:r>
              <w:rPr>
                <w:rFonts w:hint="cs"/>
                <w:b w:val="0"/>
                <w:bCs w:val="0"/>
                <w:noProof w:val="0"/>
                <w:rtl/>
              </w:rPr>
              <w:t>בקריית שמונה היו 30 זקנים נזקקים חסרי דיור, ורק לארבעה מהם נתנה העירייה פתרונות דיור במסגרת דיור ציבורי במתחם ששכרה מחברת עמיגור.</w:t>
            </w:r>
          </w:p>
        </w:tc>
      </w:tr>
    </w:tbl>
    <w:p w:rsidR="00F60E90">
      <w:pPr>
        <w:pStyle w:val="takzir"/>
        <w:rPr>
          <w:noProof w:val="0"/>
        </w:rPr>
      </w:pP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tblGrid>
      <w:tr w:rsidTr="00D53830">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804" w:type="dxa"/>
            <w:shd w:val="pct25" w:color="00FF00" w:fill="auto"/>
          </w:tcPr>
          <w:p w:rsidR="00F60E90">
            <w:pPr>
              <w:pStyle w:val="KOT4"/>
              <w:spacing w:before="120"/>
              <w:jc w:val="center"/>
              <w:rPr>
                <w:rtl/>
              </w:rPr>
            </w:pPr>
            <w:r>
              <w:rPr>
                <w:rFonts w:hint="cs"/>
                <w:rtl/>
              </w:rPr>
              <w:t>ה</w:t>
            </w:r>
            <w:r>
              <w:rPr>
                <w:rtl/>
              </w:rPr>
              <w:t xml:space="preserve">המלצות </w:t>
            </w:r>
            <w:r>
              <w:rPr>
                <w:rFonts w:hint="cs"/>
                <w:rtl/>
              </w:rPr>
              <w:t>העיקריות</w:t>
            </w:r>
          </w:p>
        </w:tc>
      </w:tr>
      <w:tr w:rsidTr="00D53830">
        <w:tblPrEx>
          <w:tblW w:w="6804" w:type="dxa"/>
          <w:jc w:val="center"/>
          <w:tblLook w:val="04A0"/>
        </w:tblPrEx>
        <w:trPr>
          <w:jc w:val="center"/>
        </w:trPr>
        <w:tc>
          <w:tcPr>
            <w:tcW w:w="6804" w:type="dxa"/>
          </w:tcPr>
          <w:p w:rsidR="00F60E90">
            <w:pPr>
              <w:pStyle w:val="takzir"/>
              <w:spacing w:before="60"/>
              <w:rPr>
                <w:b w:val="0"/>
                <w:bCs w:val="0"/>
                <w:noProof w:val="0"/>
                <w:rtl/>
              </w:rPr>
            </w:pPr>
            <w:r>
              <w:rPr>
                <w:rFonts w:hint="cs"/>
                <w:b w:val="0"/>
                <w:bCs w:val="0"/>
                <w:noProof w:val="0"/>
                <w:rtl/>
              </w:rPr>
              <w:t>על</w:t>
            </w:r>
            <w:r>
              <w:rPr>
                <w:b w:val="0"/>
                <w:bCs w:val="0"/>
                <w:noProof w:val="0"/>
                <w:rtl/>
              </w:rPr>
              <w:t xml:space="preserve"> </w:t>
            </w:r>
            <w:r>
              <w:rPr>
                <w:rFonts w:hint="cs"/>
                <w:b w:val="0"/>
                <w:bCs w:val="0"/>
                <w:noProof w:val="0"/>
                <w:rtl/>
              </w:rPr>
              <w:t>משרד</w:t>
            </w:r>
            <w:r>
              <w:rPr>
                <w:b w:val="0"/>
                <w:bCs w:val="0"/>
                <w:noProof w:val="0"/>
                <w:rtl/>
              </w:rPr>
              <w:t xml:space="preserve"> </w:t>
            </w:r>
            <w:r>
              <w:rPr>
                <w:rFonts w:hint="cs"/>
                <w:b w:val="0"/>
                <w:bCs w:val="0"/>
                <w:noProof w:val="0"/>
                <w:rtl/>
              </w:rPr>
              <w:t>הרווחה</w:t>
            </w:r>
            <w:r>
              <w:rPr>
                <w:b w:val="0"/>
                <w:bCs w:val="0"/>
                <w:noProof w:val="0"/>
                <w:rtl/>
              </w:rPr>
              <w:t xml:space="preserve"> לקבוע הנחיות לאיתור זקנים הזקוקים לסיוע בקהילה ועל הרשויות המקומיות ליזום פעולות לאיתור זקנים מוגבלים הזקוקים לעזרה בתחומן.</w:t>
            </w:r>
          </w:p>
          <w:p w:rsidR="00F60E90">
            <w:pPr>
              <w:pStyle w:val="takzir"/>
              <w:rPr>
                <w:b w:val="0"/>
                <w:bCs w:val="0"/>
                <w:noProof w:val="0"/>
                <w:rtl/>
              </w:rPr>
            </w:pPr>
            <w:r>
              <w:rPr>
                <w:rFonts w:hint="cs"/>
                <w:b w:val="0"/>
                <w:bCs w:val="0"/>
                <w:noProof w:val="0"/>
                <w:rtl/>
              </w:rPr>
              <w:t>מן</w:t>
            </w:r>
            <w:r>
              <w:rPr>
                <w:b w:val="0"/>
                <w:bCs w:val="0"/>
                <w:noProof w:val="0"/>
                <w:rtl/>
              </w:rPr>
              <w:t xml:space="preserve"> </w:t>
            </w:r>
            <w:r>
              <w:rPr>
                <w:rFonts w:hint="cs"/>
                <w:b w:val="0"/>
                <w:bCs w:val="0"/>
                <w:noProof w:val="0"/>
                <w:rtl/>
              </w:rPr>
              <w:t>הראוי</w:t>
            </w:r>
            <w:r>
              <w:rPr>
                <w:b w:val="0"/>
                <w:bCs w:val="0"/>
                <w:noProof w:val="0"/>
                <w:rtl/>
              </w:rPr>
              <w:t xml:space="preserve"> </w:t>
            </w:r>
            <w:r>
              <w:rPr>
                <w:rFonts w:hint="cs"/>
                <w:b w:val="0"/>
                <w:bCs w:val="0"/>
                <w:noProof w:val="0"/>
                <w:rtl/>
              </w:rPr>
              <w:t>שמ</w:t>
            </w:r>
            <w:r>
              <w:rPr>
                <w:b w:val="0"/>
                <w:bCs w:val="0"/>
                <w:noProof w:val="0"/>
                <w:rtl/>
              </w:rPr>
              <w:t>שרד הרווחה יקבע כללים למספר המרבי של מטופלים לעו"ס בכל התחומים</w:t>
            </w:r>
            <w:r>
              <w:rPr>
                <w:rFonts w:hint="cs"/>
                <w:b w:val="0"/>
                <w:bCs w:val="0"/>
                <w:noProof w:val="0"/>
                <w:rtl/>
              </w:rPr>
              <w:t>,</w:t>
            </w:r>
            <w:r>
              <w:rPr>
                <w:b w:val="0"/>
                <w:bCs w:val="0"/>
                <w:noProof w:val="0"/>
                <w:rtl/>
              </w:rPr>
              <w:t xml:space="preserve"> לרבות טיפול בזקן, </w:t>
            </w:r>
            <w:r>
              <w:rPr>
                <w:rFonts w:hint="cs"/>
                <w:b w:val="0"/>
                <w:bCs w:val="0"/>
                <w:noProof w:val="0"/>
                <w:rtl/>
              </w:rPr>
              <w:t>כדי</w:t>
            </w:r>
            <w:r>
              <w:rPr>
                <w:b w:val="0"/>
                <w:bCs w:val="0"/>
                <w:noProof w:val="0"/>
                <w:rtl/>
              </w:rPr>
              <w:t xml:space="preserve"> לשפר </w:t>
            </w:r>
            <w:r>
              <w:rPr>
                <w:rFonts w:hint="cs"/>
                <w:b w:val="0"/>
                <w:bCs w:val="0"/>
                <w:noProof w:val="0"/>
                <w:rtl/>
              </w:rPr>
              <w:t xml:space="preserve">את </w:t>
            </w:r>
            <w:r>
              <w:rPr>
                <w:b w:val="0"/>
                <w:bCs w:val="0"/>
                <w:noProof w:val="0"/>
                <w:rtl/>
              </w:rPr>
              <w:t>טיפול</w:t>
            </w:r>
            <w:r>
              <w:rPr>
                <w:rFonts w:hint="cs"/>
                <w:b w:val="0"/>
                <w:bCs w:val="0"/>
                <w:noProof w:val="0"/>
                <w:rtl/>
              </w:rPr>
              <w:t>ן של</w:t>
            </w:r>
            <w:r>
              <w:rPr>
                <w:b w:val="0"/>
                <w:bCs w:val="0"/>
                <w:noProof w:val="0"/>
                <w:rtl/>
              </w:rPr>
              <w:t xml:space="preserve"> </w:t>
            </w:r>
            <w:r>
              <w:rPr>
                <w:rFonts w:hint="cs"/>
                <w:b w:val="0"/>
                <w:bCs w:val="0"/>
                <w:noProof w:val="0"/>
                <w:rtl/>
              </w:rPr>
              <w:t>הרשויות</w:t>
            </w:r>
            <w:r>
              <w:rPr>
                <w:b w:val="0"/>
                <w:bCs w:val="0"/>
                <w:noProof w:val="0"/>
                <w:rtl/>
              </w:rPr>
              <w:t xml:space="preserve"> </w:t>
            </w:r>
            <w:r>
              <w:rPr>
                <w:rFonts w:hint="cs"/>
                <w:b w:val="0"/>
                <w:bCs w:val="0"/>
                <w:noProof w:val="0"/>
                <w:rtl/>
              </w:rPr>
              <w:t>המקומיות</w:t>
            </w:r>
            <w:r>
              <w:rPr>
                <w:b w:val="0"/>
                <w:bCs w:val="0"/>
                <w:noProof w:val="0"/>
                <w:rtl/>
              </w:rPr>
              <w:t xml:space="preserve"> </w:t>
            </w:r>
            <w:r>
              <w:rPr>
                <w:rFonts w:hint="cs"/>
                <w:b w:val="0"/>
                <w:bCs w:val="0"/>
                <w:noProof w:val="0"/>
                <w:rtl/>
              </w:rPr>
              <w:t>באוכלוסיית ה</w:t>
            </w:r>
            <w:r>
              <w:rPr>
                <w:b w:val="0"/>
                <w:bCs w:val="0"/>
                <w:noProof w:val="0"/>
                <w:rtl/>
              </w:rPr>
              <w:t>זק</w:t>
            </w:r>
            <w:r>
              <w:rPr>
                <w:rFonts w:hint="cs"/>
                <w:b w:val="0"/>
                <w:bCs w:val="0"/>
                <w:noProof w:val="0"/>
                <w:rtl/>
              </w:rPr>
              <w:t>נים</w:t>
            </w:r>
            <w:r>
              <w:rPr>
                <w:b w:val="0"/>
                <w:bCs w:val="0"/>
                <w:noProof w:val="0"/>
                <w:rtl/>
              </w:rPr>
              <w:t>.</w:t>
            </w:r>
          </w:p>
          <w:p w:rsidR="00F60E90">
            <w:pPr>
              <w:pStyle w:val="takzir"/>
              <w:rPr>
                <w:b w:val="0"/>
                <w:bCs w:val="0"/>
                <w:noProof w:val="0"/>
                <w:rtl/>
              </w:rPr>
            </w:pPr>
            <w:r>
              <w:rPr>
                <w:b w:val="0"/>
                <w:bCs w:val="0"/>
                <w:noProof w:val="0"/>
                <w:rtl/>
              </w:rPr>
              <w:t>בהסכמי ההתקשרות שחתמו עם הגופים המפעילים את מרכזי היום</w:t>
            </w:r>
            <w:r>
              <w:rPr>
                <w:rFonts w:hint="cs"/>
                <w:b w:val="0"/>
                <w:bCs w:val="0"/>
                <w:noProof w:val="0"/>
                <w:rtl/>
              </w:rPr>
              <w:t>,</w:t>
            </w:r>
            <w:r>
              <w:rPr>
                <w:b w:val="0"/>
                <w:bCs w:val="0"/>
                <w:noProof w:val="0"/>
                <w:rtl/>
              </w:rPr>
              <w:t xml:space="preserve"> על הרשויות המקומיות לכלול ולעגן את כל החובות והזכויות של הצדדים בכל הנוגע לטיפול </w:t>
            </w:r>
            <w:r>
              <w:rPr>
                <w:rFonts w:hint="cs"/>
                <w:b w:val="0"/>
                <w:bCs w:val="0"/>
                <w:noProof w:val="0"/>
                <w:rtl/>
              </w:rPr>
              <w:t>הנדרש</w:t>
            </w:r>
            <w:r>
              <w:rPr>
                <w:b w:val="0"/>
                <w:bCs w:val="0"/>
                <w:noProof w:val="0"/>
                <w:rtl/>
              </w:rPr>
              <w:t xml:space="preserve"> </w:t>
            </w:r>
            <w:r>
              <w:rPr>
                <w:rFonts w:hint="cs"/>
                <w:b w:val="0"/>
                <w:bCs w:val="0"/>
                <w:noProof w:val="0"/>
                <w:rtl/>
              </w:rPr>
              <w:t>לזקן</w:t>
            </w:r>
            <w:r>
              <w:rPr>
                <w:b w:val="0"/>
                <w:bCs w:val="0"/>
                <w:noProof w:val="0"/>
                <w:rtl/>
              </w:rPr>
              <w:t xml:space="preserve">, </w:t>
            </w:r>
            <w:r>
              <w:rPr>
                <w:rFonts w:hint="cs"/>
                <w:b w:val="0"/>
                <w:bCs w:val="0"/>
                <w:noProof w:val="0"/>
                <w:rtl/>
              </w:rPr>
              <w:t>ל</w:t>
            </w:r>
            <w:r>
              <w:rPr>
                <w:b w:val="0"/>
                <w:bCs w:val="0"/>
                <w:noProof w:val="0"/>
                <w:rtl/>
              </w:rPr>
              <w:t>פעילות החברתית ו</w:t>
            </w:r>
            <w:r>
              <w:rPr>
                <w:rFonts w:hint="cs"/>
                <w:b w:val="0"/>
                <w:bCs w:val="0"/>
                <w:noProof w:val="0"/>
                <w:rtl/>
              </w:rPr>
              <w:t>ל</w:t>
            </w:r>
            <w:r>
              <w:rPr>
                <w:b w:val="0"/>
                <w:bCs w:val="0"/>
                <w:noProof w:val="0"/>
                <w:rtl/>
              </w:rPr>
              <w:t xml:space="preserve">שירותים נוספים שמרכז היום </w:t>
            </w:r>
            <w:r>
              <w:rPr>
                <w:rFonts w:hint="cs"/>
                <w:b w:val="0"/>
                <w:bCs w:val="0"/>
                <w:noProof w:val="0"/>
                <w:rtl/>
              </w:rPr>
              <w:t>מחויב ל</w:t>
            </w:r>
            <w:r>
              <w:rPr>
                <w:b w:val="0"/>
                <w:bCs w:val="0"/>
                <w:noProof w:val="0"/>
                <w:rtl/>
              </w:rPr>
              <w:t xml:space="preserve">ספק. על משרד הרווחה לוודא שהסכמים </w:t>
            </w:r>
            <w:r>
              <w:rPr>
                <w:rFonts w:hint="cs"/>
                <w:b w:val="0"/>
                <w:bCs w:val="0"/>
                <w:noProof w:val="0"/>
                <w:rtl/>
              </w:rPr>
              <w:t>אלה</w:t>
            </w:r>
            <w:r>
              <w:rPr>
                <w:b w:val="0"/>
                <w:bCs w:val="0"/>
                <w:noProof w:val="0"/>
                <w:rtl/>
              </w:rPr>
              <w:t xml:space="preserve"> </w:t>
            </w:r>
            <w:r>
              <w:rPr>
                <w:rFonts w:hint="cs"/>
                <w:b w:val="0"/>
                <w:bCs w:val="0"/>
                <w:noProof w:val="0"/>
                <w:rtl/>
              </w:rPr>
              <w:t>מסדירים</w:t>
            </w:r>
            <w:r>
              <w:rPr>
                <w:b w:val="0"/>
                <w:bCs w:val="0"/>
                <w:noProof w:val="0"/>
                <w:rtl/>
              </w:rPr>
              <w:t xml:space="preserve"> </w:t>
            </w:r>
            <w:r>
              <w:rPr>
                <w:rFonts w:hint="cs"/>
                <w:b w:val="0"/>
                <w:bCs w:val="0"/>
                <w:noProof w:val="0"/>
                <w:rtl/>
              </w:rPr>
              <w:t>את</w:t>
            </w:r>
            <w:r>
              <w:rPr>
                <w:b w:val="0"/>
                <w:bCs w:val="0"/>
                <w:noProof w:val="0"/>
                <w:rtl/>
              </w:rPr>
              <w:t xml:space="preserve"> </w:t>
            </w:r>
            <w:r>
              <w:rPr>
                <w:rFonts w:hint="cs"/>
                <w:b w:val="0"/>
                <w:bCs w:val="0"/>
                <w:noProof w:val="0"/>
                <w:rtl/>
              </w:rPr>
              <w:t>כל</w:t>
            </w:r>
            <w:r>
              <w:rPr>
                <w:b w:val="0"/>
                <w:bCs w:val="0"/>
                <w:noProof w:val="0"/>
                <w:rtl/>
              </w:rPr>
              <w:t xml:space="preserve"> </w:t>
            </w:r>
            <w:r>
              <w:rPr>
                <w:rFonts w:hint="cs"/>
                <w:b w:val="0"/>
                <w:bCs w:val="0"/>
                <w:noProof w:val="0"/>
                <w:rtl/>
              </w:rPr>
              <w:t>החובות</w:t>
            </w:r>
            <w:r>
              <w:rPr>
                <w:b w:val="0"/>
                <w:bCs w:val="0"/>
                <w:noProof w:val="0"/>
                <w:rtl/>
              </w:rPr>
              <w:t xml:space="preserve"> </w:t>
            </w:r>
            <w:r>
              <w:rPr>
                <w:rFonts w:hint="cs"/>
                <w:b w:val="0"/>
                <w:bCs w:val="0"/>
                <w:noProof w:val="0"/>
                <w:rtl/>
              </w:rPr>
              <w:t>והזכויות</w:t>
            </w:r>
            <w:r>
              <w:rPr>
                <w:b w:val="0"/>
                <w:bCs w:val="0"/>
                <w:noProof w:val="0"/>
                <w:rtl/>
              </w:rPr>
              <w:t xml:space="preserve"> </w:t>
            </w:r>
            <w:r>
              <w:rPr>
                <w:rFonts w:hint="cs"/>
                <w:b w:val="0"/>
                <w:bCs w:val="0"/>
                <w:noProof w:val="0"/>
                <w:rtl/>
              </w:rPr>
              <w:t>של</w:t>
            </w:r>
            <w:r>
              <w:rPr>
                <w:b w:val="0"/>
                <w:bCs w:val="0"/>
                <w:noProof w:val="0"/>
                <w:rtl/>
              </w:rPr>
              <w:t xml:space="preserve"> </w:t>
            </w:r>
            <w:r>
              <w:rPr>
                <w:rFonts w:hint="cs"/>
                <w:b w:val="0"/>
                <w:bCs w:val="0"/>
                <w:noProof w:val="0"/>
                <w:rtl/>
              </w:rPr>
              <w:t>הצדדים ואכן</w:t>
            </w:r>
            <w:r>
              <w:rPr>
                <w:b w:val="0"/>
                <w:bCs w:val="0"/>
                <w:noProof w:val="0"/>
                <w:rtl/>
              </w:rPr>
              <w:t xml:space="preserve"> </w:t>
            </w:r>
            <w:r>
              <w:rPr>
                <w:rFonts w:hint="cs"/>
                <w:b w:val="0"/>
                <w:bCs w:val="0"/>
                <w:noProof w:val="0"/>
                <w:rtl/>
              </w:rPr>
              <w:t>עונים</w:t>
            </w:r>
            <w:r>
              <w:rPr>
                <w:b w:val="0"/>
                <w:bCs w:val="0"/>
                <w:noProof w:val="0"/>
                <w:rtl/>
              </w:rPr>
              <w:t xml:space="preserve"> </w:t>
            </w:r>
            <w:r>
              <w:rPr>
                <w:rFonts w:hint="cs"/>
                <w:b w:val="0"/>
                <w:bCs w:val="0"/>
                <w:noProof w:val="0"/>
                <w:rtl/>
              </w:rPr>
              <w:t>על</w:t>
            </w:r>
            <w:r>
              <w:rPr>
                <w:b w:val="0"/>
                <w:bCs w:val="0"/>
                <w:noProof w:val="0"/>
                <w:rtl/>
              </w:rPr>
              <w:t xml:space="preserve"> </w:t>
            </w:r>
            <w:r>
              <w:rPr>
                <w:rFonts w:hint="cs"/>
                <w:b w:val="0"/>
                <w:bCs w:val="0"/>
                <w:noProof w:val="0"/>
                <w:rtl/>
              </w:rPr>
              <w:t>הצרכים</w:t>
            </w:r>
            <w:r>
              <w:rPr>
                <w:b w:val="0"/>
                <w:bCs w:val="0"/>
                <w:noProof w:val="0"/>
                <w:rtl/>
              </w:rPr>
              <w:t xml:space="preserve"> </w:t>
            </w:r>
            <w:r>
              <w:rPr>
                <w:rFonts w:hint="cs"/>
                <w:b w:val="0"/>
                <w:bCs w:val="0"/>
                <w:noProof w:val="0"/>
                <w:rtl/>
              </w:rPr>
              <w:t>שלשמם נחתמו</w:t>
            </w:r>
            <w:r>
              <w:rPr>
                <w:b w:val="0"/>
                <w:bCs w:val="0"/>
                <w:noProof w:val="0"/>
                <w:rtl/>
              </w:rPr>
              <w:t>.</w:t>
            </w:r>
          </w:p>
          <w:p w:rsidR="00F60E90">
            <w:pPr>
              <w:pStyle w:val="takzir"/>
              <w:rPr>
                <w:b w:val="0"/>
                <w:bCs w:val="0"/>
                <w:noProof w:val="0"/>
                <w:rtl/>
              </w:rPr>
            </w:pPr>
            <w:r>
              <w:rPr>
                <w:rFonts w:hint="cs"/>
                <w:b w:val="0"/>
                <w:bCs w:val="0"/>
                <w:noProof w:val="0"/>
                <w:rtl/>
              </w:rPr>
              <w:t>מן הראוי שעיריית קריית שמונה תפעל בשיתוף הסוכנות היהודית וחברת עמיגור ומשרדי הממשלה הרלוונטיים להסדרת פתרונות דיור לזקנים הזכאים לכך בתחום שיפוטה.</w:t>
            </w:r>
          </w:p>
          <w:p w:rsidR="00F60E90">
            <w:pPr>
              <w:pStyle w:val="takzir"/>
              <w:rPr>
                <w:b w:val="0"/>
                <w:bCs w:val="0"/>
                <w:rtl/>
              </w:rPr>
            </w:pPr>
            <w:r>
              <w:rPr>
                <w:rFonts w:hint="cs"/>
                <w:b w:val="0"/>
                <w:bCs w:val="0"/>
                <w:noProof w:val="0"/>
                <w:rtl/>
              </w:rPr>
              <w:t>על</w:t>
            </w:r>
            <w:r>
              <w:rPr>
                <w:b w:val="0"/>
                <w:bCs w:val="0"/>
                <w:noProof w:val="0"/>
                <w:rtl/>
              </w:rPr>
              <w:t xml:space="preserve"> </w:t>
            </w:r>
            <w:r>
              <w:rPr>
                <w:rFonts w:hint="cs"/>
                <w:b w:val="0"/>
                <w:bCs w:val="0"/>
                <w:noProof w:val="0"/>
                <w:rtl/>
              </w:rPr>
              <w:t>ה</w:t>
            </w:r>
            <w:r>
              <w:rPr>
                <w:b w:val="0"/>
                <w:bCs w:val="0"/>
                <w:noProof w:val="0"/>
                <w:rtl/>
              </w:rPr>
              <w:t xml:space="preserve">רשויות המקומיות </w:t>
            </w:r>
            <w:r>
              <w:rPr>
                <w:rFonts w:hint="cs"/>
                <w:b w:val="0"/>
                <w:bCs w:val="0"/>
                <w:noProof w:val="0"/>
                <w:rtl/>
              </w:rPr>
              <w:t>למנות</w:t>
            </w:r>
            <w:r>
              <w:rPr>
                <w:b w:val="0"/>
                <w:bCs w:val="0"/>
                <w:noProof w:val="0"/>
                <w:rtl/>
              </w:rPr>
              <w:t xml:space="preserve"> יועץ לענייני אזרחים ותיקים </w:t>
            </w:r>
            <w:r>
              <w:rPr>
                <w:rFonts w:hint="cs"/>
                <w:b w:val="0"/>
                <w:bCs w:val="0"/>
                <w:noProof w:val="0"/>
                <w:rtl/>
              </w:rPr>
              <w:t>ולפעול</w:t>
            </w:r>
            <w:r>
              <w:rPr>
                <w:b w:val="0"/>
                <w:bCs w:val="0"/>
                <w:noProof w:val="0"/>
                <w:rtl/>
              </w:rPr>
              <w:t xml:space="preserve"> </w:t>
            </w:r>
            <w:r>
              <w:rPr>
                <w:rFonts w:hint="cs"/>
                <w:b w:val="0"/>
                <w:bCs w:val="0"/>
                <w:noProof w:val="0"/>
                <w:rtl/>
              </w:rPr>
              <w:t>על פי החוק</w:t>
            </w:r>
            <w:r>
              <w:rPr>
                <w:b w:val="0"/>
                <w:bCs w:val="0"/>
                <w:noProof w:val="0"/>
                <w:rtl/>
              </w:rPr>
              <w:t xml:space="preserve"> </w:t>
            </w:r>
            <w:r>
              <w:rPr>
                <w:rFonts w:hint="cs"/>
                <w:b w:val="0"/>
                <w:bCs w:val="0"/>
                <w:noProof w:val="0"/>
                <w:rtl/>
              </w:rPr>
              <w:t>בכל</w:t>
            </w:r>
            <w:r>
              <w:rPr>
                <w:b w:val="0"/>
                <w:bCs w:val="0"/>
                <w:noProof w:val="0"/>
                <w:rtl/>
              </w:rPr>
              <w:t xml:space="preserve"> </w:t>
            </w:r>
            <w:r>
              <w:rPr>
                <w:rFonts w:hint="cs"/>
                <w:b w:val="0"/>
                <w:bCs w:val="0"/>
                <w:noProof w:val="0"/>
                <w:rtl/>
              </w:rPr>
              <w:t>הקשור</w:t>
            </w:r>
            <w:r>
              <w:rPr>
                <w:b w:val="0"/>
                <w:bCs w:val="0"/>
                <w:noProof w:val="0"/>
                <w:rtl/>
              </w:rPr>
              <w:t xml:space="preserve"> </w:t>
            </w:r>
            <w:r>
              <w:rPr>
                <w:rFonts w:hint="cs"/>
                <w:b w:val="0"/>
                <w:bCs w:val="0"/>
                <w:noProof w:val="0"/>
                <w:rtl/>
              </w:rPr>
              <w:t>למילוי</w:t>
            </w:r>
            <w:r>
              <w:rPr>
                <w:b w:val="0"/>
                <w:bCs w:val="0"/>
                <w:noProof w:val="0"/>
                <w:rtl/>
              </w:rPr>
              <w:t xml:space="preserve"> </w:t>
            </w:r>
            <w:r>
              <w:rPr>
                <w:rFonts w:hint="cs"/>
                <w:b w:val="0"/>
                <w:bCs w:val="0"/>
                <w:noProof w:val="0"/>
                <w:rtl/>
              </w:rPr>
              <w:t>דרישות</w:t>
            </w:r>
            <w:r>
              <w:rPr>
                <w:b w:val="0"/>
                <w:bCs w:val="0"/>
                <w:noProof w:val="0"/>
                <w:rtl/>
              </w:rPr>
              <w:t xml:space="preserve"> </w:t>
            </w:r>
            <w:r>
              <w:rPr>
                <w:rFonts w:hint="cs"/>
                <w:b w:val="0"/>
                <w:bCs w:val="0"/>
                <w:noProof w:val="0"/>
                <w:rtl/>
              </w:rPr>
              <w:t>התפקיד האמור.</w:t>
            </w:r>
          </w:p>
        </w:tc>
      </w:tr>
    </w:tbl>
    <w:p w:rsidR="00F60E90">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D53830">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F60E90">
            <w:pPr>
              <w:pStyle w:val="KOT4"/>
              <w:spacing w:before="120"/>
              <w:jc w:val="center"/>
              <w:rPr>
                <w:rtl/>
              </w:rPr>
            </w:pPr>
            <w:r>
              <w:rPr>
                <w:rtl/>
              </w:rPr>
              <w:t>סיכום</w:t>
            </w:r>
          </w:p>
        </w:tc>
      </w:tr>
      <w:tr w:rsidTr="00D53830">
        <w:tblPrEx>
          <w:tblW w:w="6691" w:type="dxa"/>
          <w:jc w:val="center"/>
          <w:tblLook w:val="04A0"/>
        </w:tblPrEx>
        <w:trPr>
          <w:cantSplit/>
          <w:jc w:val="center"/>
        </w:trPr>
        <w:tc>
          <w:tcPr>
            <w:tcW w:w="7018" w:type="dxa"/>
          </w:tcPr>
          <w:p w:rsidR="00F60E90">
            <w:pPr>
              <w:spacing w:before="60" w:after="120"/>
              <w:jc w:val="both"/>
              <w:rPr>
                <w:b/>
                <w:bCs/>
                <w:sz w:val="22"/>
                <w:szCs w:val="22"/>
                <w:rtl/>
                <w:lang w:eastAsia="he-IL"/>
              </w:rPr>
            </w:pPr>
            <w:r>
              <w:rPr>
                <w:b/>
                <w:bCs/>
                <w:sz w:val="22"/>
                <w:szCs w:val="22"/>
                <w:rtl/>
                <w:lang w:eastAsia="he-IL"/>
              </w:rPr>
              <w:t>הזדקנות האוכלוסייה</w:t>
            </w:r>
            <w:r>
              <w:rPr>
                <w:rFonts w:hint="cs"/>
                <w:b/>
                <w:bCs/>
                <w:sz w:val="22"/>
                <w:szCs w:val="22"/>
                <w:rtl/>
                <w:lang w:eastAsia="he-IL"/>
              </w:rPr>
              <w:t xml:space="preserve"> מתפתחת</w:t>
            </w:r>
            <w:r>
              <w:rPr>
                <w:b/>
                <w:bCs/>
                <w:sz w:val="22"/>
                <w:szCs w:val="22"/>
                <w:rtl/>
                <w:lang w:eastAsia="he-IL"/>
              </w:rPr>
              <w:t xml:space="preserve"> בקצב מהיר ומשפיעה על הביקוש לשירותים ציבוריים ופרטי</w:t>
            </w:r>
            <w:r>
              <w:rPr>
                <w:rFonts w:hint="cs"/>
                <w:b/>
                <w:bCs/>
                <w:sz w:val="22"/>
                <w:szCs w:val="22"/>
                <w:rtl/>
                <w:lang w:eastAsia="he-IL"/>
              </w:rPr>
              <w:t>י</w:t>
            </w:r>
            <w:r>
              <w:rPr>
                <w:b/>
                <w:bCs/>
                <w:sz w:val="22"/>
                <w:szCs w:val="22"/>
                <w:rtl/>
                <w:lang w:eastAsia="he-IL"/>
              </w:rPr>
              <w:t>ם הנוגעים לטיפול בזקן</w:t>
            </w:r>
            <w:r>
              <w:rPr>
                <w:rFonts w:hint="cs"/>
                <w:b/>
                <w:bCs/>
                <w:sz w:val="22"/>
                <w:szCs w:val="22"/>
                <w:rtl/>
                <w:lang w:eastAsia="he-IL"/>
              </w:rPr>
              <w:t>. הביקוש ההולך וגדל לשירותים אלה</w:t>
            </w:r>
            <w:r>
              <w:rPr>
                <w:b/>
                <w:bCs/>
                <w:sz w:val="22"/>
                <w:szCs w:val="22"/>
                <w:rtl/>
                <w:lang w:eastAsia="he-IL"/>
              </w:rPr>
              <w:t xml:space="preserve"> מחייב את היערכותם</w:t>
            </w:r>
            <w:r>
              <w:rPr>
                <w:rFonts w:hint="cs"/>
                <w:b/>
                <w:bCs/>
                <w:sz w:val="22"/>
                <w:szCs w:val="22"/>
                <w:rtl/>
                <w:lang w:eastAsia="he-IL"/>
              </w:rPr>
              <w:t xml:space="preserve"> המתאימה</w:t>
            </w:r>
            <w:r>
              <w:rPr>
                <w:b/>
                <w:bCs/>
                <w:sz w:val="22"/>
                <w:szCs w:val="22"/>
                <w:rtl/>
                <w:lang w:eastAsia="he-IL"/>
              </w:rPr>
              <w:t xml:space="preserve"> </w:t>
            </w:r>
            <w:r>
              <w:rPr>
                <w:rFonts w:hint="cs"/>
                <w:b/>
                <w:bCs/>
                <w:sz w:val="22"/>
                <w:szCs w:val="22"/>
                <w:rtl/>
                <w:lang w:eastAsia="he-IL"/>
              </w:rPr>
              <w:t xml:space="preserve">של </w:t>
            </w:r>
            <w:r>
              <w:rPr>
                <w:b/>
                <w:bCs/>
                <w:sz w:val="22"/>
                <w:szCs w:val="22"/>
                <w:rtl/>
                <w:lang w:eastAsia="he-IL"/>
              </w:rPr>
              <w:t xml:space="preserve">הרשויות המקומיות, </w:t>
            </w:r>
            <w:r>
              <w:rPr>
                <w:rFonts w:hint="cs"/>
                <w:b/>
                <w:bCs/>
                <w:sz w:val="22"/>
                <w:szCs w:val="22"/>
                <w:rtl/>
                <w:lang w:eastAsia="he-IL"/>
              </w:rPr>
              <w:t xml:space="preserve">של </w:t>
            </w:r>
            <w:r>
              <w:rPr>
                <w:b/>
                <w:bCs/>
                <w:sz w:val="22"/>
                <w:szCs w:val="22"/>
                <w:rtl/>
                <w:lang w:eastAsia="he-IL"/>
              </w:rPr>
              <w:t>משרדי הממשלה ו</w:t>
            </w:r>
            <w:r>
              <w:rPr>
                <w:rFonts w:hint="cs"/>
                <w:b/>
                <w:bCs/>
                <w:sz w:val="22"/>
                <w:szCs w:val="22"/>
                <w:rtl/>
                <w:lang w:eastAsia="he-IL"/>
              </w:rPr>
              <w:t xml:space="preserve">של </w:t>
            </w:r>
            <w:r>
              <w:rPr>
                <w:b/>
                <w:bCs/>
                <w:sz w:val="22"/>
                <w:szCs w:val="22"/>
                <w:rtl/>
                <w:lang w:eastAsia="he-IL"/>
              </w:rPr>
              <w:t xml:space="preserve">גופים </w:t>
            </w:r>
            <w:r>
              <w:rPr>
                <w:rFonts w:hint="cs"/>
                <w:b/>
                <w:bCs/>
                <w:sz w:val="22"/>
                <w:szCs w:val="22"/>
                <w:rtl/>
                <w:lang w:eastAsia="he-IL"/>
              </w:rPr>
              <w:t xml:space="preserve">מטפלים </w:t>
            </w:r>
            <w:r>
              <w:rPr>
                <w:b/>
                <w:bCs/>
                <w:sz w:val="22"/>
                <w:szCs w:val="22"/>
                <w:rtl/>
                <w:lang w:eastAsia="he-IL"/>
              </w:rPr>
              <w:t>נוספים.</w:t>
            </w:r>
          </w:p>
          <w:p w:rsidR="00F60E90">
            <w:pPr>
              <w:spacing w:after="120"/>
              <w:jc w:val="both"/>
              <w:rPr>
                <w:b/>
                <w:bCs/>
                <w:sz w:val="22"/>
                <w:szCs w:val="22"/>
                <w:rtl/>
                <w:lang w:eastAsia="he-IL"/>
              </w:rPr>
            </w:pPr>
            <w:r>
              <w:rPr>
                <w:b/>
                <w:bCs/>
                <w:sz w:val="22"/>
                <w:szCs w:val="22"/>
                <w:rtl/>
                <w:lang w:eastAsia="he-IL"/>
              </w:rPr>
              <w:t>ממצאי הב</w:t>
            </w:r>
            <w:r>
              <w:rPr>
                <w:rFonts w:hint="cs"/>
                <w:b/>
                <w:bCs/>
                <w:sz w:val="22"/>
                <w:szCs w:val="22"/>
                <w:rtl/>
                <w:lang w:eastAsia="he-IL"/>
              </w:rPr>
              <w:t>יקורת</w:t>
            </w:r>
            <w:r>
              <w:rPr>
                <w:b/>
                <w:bCs/>
                <w:sz w:val="22"/>
                <w:szCs w:val="22"/>
                <w:rtl/>
                <w:lang w:eastAsia="he-IL"/>
              </w:rPr>
              <w:t xml:space="preserve"> </w:t>
            </w:r>
            <w:r>
              <w:rPr>
                <w:rFonts w:hint="cs"/>
                <w:b/>
                <w:bCs/>
                <w:sz w:val="22"/>
                <w:szCs w:val="22"/>
                <w:rtl/>
                <w:lang w:eastAsia="he-IL"/>
              </w:rPr>
              <w:t>מראים</w:t>
            </w:r>
            <w:r>
              <w:rPr>
                <w:b/>
                <w:bCs/>
                <w:sz w:val="22"/>
                <w:szCs w:val="22"/>
                <w:rtl/>
                <w:lang w:eastAsia="he-IL"/>
              </w:rPr>
              <w:t xml:space="preserve"> </w:t>
            </w:r>
            <w:r>
              <w:rPr>
                <w:rFonts w:hint="cs"/>
                <w:b/>
                <w:bCs/>
                <w:sz w:val="22"/>
                <w:szCs w:val="22"/>
                <w:rtl/>
                <w:lang w:eastAsia="he-IL"/>
              </w:rPr>
              <w:t>על</w:t>
            </w:r>
            <w:r>
              <w:rPr>
                <w:b/>
                <w:bCs/>
                <w:sz w:val="22"/>
                <w:szCs w:val="22"/>
                <w:rtl/>
                <w:lang w:eastAsia="he-IL"/>
              </w:rPr>
              <w:t xml:space="preserve"> ליקויים בטיפול</w:t>
            </w:r>
            <w:r>
              <w:rPr>
                <w:rFonts w:hint="cs"/>
                <w:b/>
                <w:bCs/>
                <w:sz w:val="22"/>
                <w:szCs w:val="22"/>
                <w:rtl/>
                <w:lang w:eastAsia="he-IL"/>
              </w:rPr>
              <w:t>ן</w:t>
            </w:r>
            <w:r>
              <w:rPr>
                <w:b/>
                <w:bCs/>
                <w:sz w:val="22"/>
                <w:szCs w:val="22"/>
                <w:rtl/>
                <w:lang w:eastAsia="he-IL"/>
              </w:rPr>
              <w:t xml:space="preserve"> </w:t>
            </w:r>
            <w:r>
              <w:rPr>
                <w:rFonts w:hint="cs"/>
                <w:b/>
                <w:bCs/>
                <w:sz w:val="22"/>
                <w:szCs w:val="22"/>
                <w:rtl/>
                <w:lang w:eastAsia="he-IL"/>
              </w:rPr>
              <w:t>של</w:t>
            </w:r>
            <w:r>
              <w:rPr>
                <w:b/>
                <w:bCs/>
                <w:sz w:val="22"/>
                <w:szCs w:val="22"/>
                <w:rtl/>
                <w:lang w:eastAsia="he-IL"/>
              </w:rPr>
              <w:t xml:space="preserve"> הרשויות המקומיות ב</w:t>
            </w:r>
            <w:r>
              <w:rPr>
                <w:rFonts w:hint="cs"/>
                <w:b/>
                <w:bCs/>
                <w:sz w:val="22"/>
                <w:szCs w:val="22"/>
                <w:rtl/>
                <w:lang w:eastAsia="he-IL"/>
              </w:rPr>
              <w:t>אוכלוסיית</w:t>
            </w:r>
            <w:r>
              <w:rPr>
                <w:b/>
                <w:bCs/>
                <w:sz w:val="22"/>
                <w:szCs w:val="22"/>
                <w:rtl/>
                <w:lang w:eastAsia="he-IL"/>
              </w:rPr>
              <w:t xml:space="preserve"> </w:t>
            </w:r>
            <w:r>
              <w:rPr>
                <w:rFonts w:hint="cs"/>
                <w:b/>
                <w:bCs/>
                <w:sz w:val="22"/>
                <w:szCs w:val="22"/>
                <w:rtl/>
                <w:lang w:eastAsia="he-IL"/>
              </w:rPr>
              <w:t>ה</w:t>
            </w:r>
            <w:r>
              <w:rPr>
                <w:b/>
                <w:bCs/>
                <w:sz w:val="22"/>
                <w:szCs w:val="22"/>
                <w:rtl/>
                <w:lang w:eastAsia="he-IL"/>
              </w:rPr>
              <w:t xml:space="preserve">זקנים בכמה </w:t>
            </w:r>
            <w:r>
              <w:rPr>
                <w:rFonts w:hint="cs"/>
                <w:b/>
                <w:bCs/>
                <w:sz w:val="22"/>
                <w:szCs w:val="22"/>
                <w:rtl/>
                <w:lang w:eastAsia="he-IL"/>
              </w:rPr>
              <w:t>תחומים</w:t>
            </w:r>
            <w:r>
              <w:rPr>
                <w:b/>
                <w:bCs/>
                <w:sz w:val="22"/>
                <w:szCs w:val="22"/>
                <w:rtl/>
                <w:lang w:eastAsia="he-IL"/>
              </w:rPr>
              <w:t xml:space="preserve">: איתור זקנים הזקוקים לסיוע בקהילה; עומס עבודה </w:t>
            </w:r>
            <w:r>
              <w:rPr>
                <w:rFonts w:hint="cs"/>
                <w:b/>
                <w:bCs/>
                <w:sz w:val="22"/>
                <w:szCs w:val="22"/>
                <w:rtl/>
                <w:lang w:eastAsia="he-IL"/>
              </w:rPr>
              <w:t>ש</w:t>
            </w:r>
            <w:r>
              <w:rPr>
                <w:b/>
                <w:bCs/>
                <w:sz w:val="22"/>
                <w:szCs w:val="22"/>
                <w:rtl/>
                <w:lang w:eastAsia="he-IL"/>
              </w:rPr>
              <w:t xml:space="preserve">ל </w:t>
            </w:r>
            <w:r>
              <w:rPr>
                <w:rFonts w:hint="cs"/>
                <w:b/>
                <w:bCs/>
                <w:sz w:val="22"/>
                <w:szCs w:val="22"/>
                <w:rtl/>
                <w:lang w:eastAsia="he-IL"/>
              </w:rPr>
              <w:t>העו</w:t>
            </w:r>
            <w:r>
              <w:rPr>
                <w:b/>
                <w:bCs/>
                <w:sz w:val="22"/>
                <w:szCs w:val="22"/>
                <w:rtl/>
                <w:lang w:eastAsia="he-IL"/>
              </w:rPr>
              <w:t xml:space="preserve">"סים </w:t>
            </w:r>
            <w:r>
              <w:rPr>
                <w:rFonts w:hint="cs"/>
                <w:b/>
                <w:bCs/>
                <w:sz w:val="22"/>
                <w:szCs w:val="22"/>
                <w:rtl/>
                <w:lang w:eastAsia="he-IL"/>
              </w:rPr>
              <w:t>במחלקות</w:t>
            </w:r>
            <w:r>
              <w:rPr>
                <w:b/>
                <w:bCs/>
                <w:sz w:val="22"/>
                <w:szCs w:val="22"/>
                <w:rtl/>
                <w:lang w:eastAsia="he-IL"/>
              </w:rPr>
              <w:t xml:space="preserve"> </w:t>
            </w:r>
            <w:r>
              <w:rPr>
                <w:rFonts w:hint="cs"/>
                <w:b/>
                <w:bCs/>
                <w:sz w:val="22"/>
                <w:szCs w:val="22"/>
                <w:rtl/>
                <w:lang w:eastAsia="he-IL"/>
              </w:rPr>
              <w:t>הרווחה</w:t>
            </w:r>
            <w:r>
              <w:rPr>
                <w:b/>
                <w:bCs/>
                <w:sz w:val="22"/>
                <w:szCs w:val="22"/>
                <w:rtl/>
                <w:lang w:eastAsia="he-IL"/>
              </w:rPr>
              <w:t>; התקשרויות עם הגופים המפעילים את מרכזי היום</w:t>
            </w:r>
            <w:r>
              <w:rPr>
                <w:rFonts w:hint="cs"/>
                <w:b/>
                <w:bCs/>
                <w:sz w:val="22"/>
                <w:szCs w:val="22"/>
                <w:rtl/>
                <w:lang w:eastAsia="he-IL"/>
              </w:rPr>
              <w:t xml:space="preserve"> לזקן</w:t>
            </w:r>
            <w:r>
              <w:rPr>
                <w:b/>
                <w:bCs/>
                <w:sz w:val="22"/>
                <w:szCs w:val="22"/>
                <w:rtl/>
                <w:lang w:eastAsia="he-IL"/>
              </w:rPr>
              <w:t xml:space="preserve">; פעולות היועצים לאזרחים ותיקים; </w:t>
            </w:r>
            <w:r>
              <w:rPr>
                <w:rFonts w:hint="cs"/>
                <w:b/>
                <w:bCs/>
                <w:sz w:val="22"/>
                <w:szCs w:val="22"/>
                <w:rtl/>
                <w:lang w:eastAsia="he-IL"/>
              </w:rPr>
              <w:t>ו</w:t>
            </w:r>
            <w:r>
              <w:rPr>
                <w:b/>
                <w:bCs/>
                <w:sz w:val="22"/>
                <w:szCs w:val="22"/>
                <w:rtl/>
                <w:lang w:eastAsia="he-IL"/>
              </w:rPr>
              <w:t>מתן שירותים ויישום תכנית האב "חיים בגיל" שיזם המשרד לאזרחים ותיקים.</w:t>
            </w:r>
          </w:p>
          <w:p w:rsidR="00F60E90">
            <w:pPr>
              <w:spacing w:after="120"/>
              <w:jc w:val="both"/>
              <w:rPr>
                <w:b/>
                <w:bCs/>
                <w:sz w:val="22"/>
                <w:szCs w:val="22"/>
                <w:rtl/>
                <w:lang w:eastAsia="he-IL"/>
              </w:rPr>
            </w:pPr>
            <w:r>
              <w:rPr>
                <w:b/>
                <w:bCs/>
                <w:sz w:val="22"/>
                <w:szCs w:val="22"/>
                <w:rtl/>
                <w:lang w:eastAsia="he-IL"/>
              </w:rPr>
              <w:t>על משרדי הממשלה הנוגעים בדבר, ובעיקר משרד הרווחה, המשרד לאזרחים ותיקים, הרשויות המקומיות ומשרד הפנים כמאסדר, לתת את דעתם לממצאים שהועלו בדוח זה ולבחון דרכים נאותות לקידום מעמדה של אוכלוסיית הזקנים ולהבטיח בעתיד טיפול נאות בזקנים.</w:t>
            </w:r>
          </w:p>
        </w:tc>
      </w:tr>
    </w:tbl>
    <w:p w:rsidR="00F60E90">
      <w:pPr>
        <w:spacing w:after="120" w:line="230" w:lineRule="exact"/>
        <w:jc w:val="both"/>
        <w:rPr>
          <w:rFonts w:cs="FrankRuehl"/>
          <w:sz w:val="20"/>
          <w:szCs w:val="22"/>
          <w:rtl/>
        </w:rPr>
      </w:pPr>
    </w:p>
    <w:p w:rsidR="00F60E90">
      <w:pPr>
        <w:pStyle w:val="KOT1"/>
        <w:keepNext w:val="0"/>
        <w:spacing w:after="0" w:line="240" w:lineRule="atLeast"/>
        <w:rPr>
          <w:rFonts w:ascii="Arial" w:hAnsi="Arial" w:cs="Arial"/>
          <w:lang w:eastAsia="en-US"/>
        </w:rPr>
      </w:pPr>
      <w:r>
        <w:rPr>
          <w:rFonts w:ascii="Arial" w:hAnsi="Arial" w:cs="Arial"/>
          <w:lang w:eastAsia="en-US"/>
        </w:rPr>
        <w:t>♦</w:t>
      </w:r>
    </w:p>
    <w:p w:rsidR="00F60E90">
      <w:pPr>
        <w:spacing w:after="120" w:line="230" w:lineRule="exact"/>
        <w:jc w:val="both"/>
        <w:rPr>
          <w:rFonts w:cs="FrankRuehl"/>
          <w:sz w:val="20"/>
          <w:szCs w:val="22"/>
          <w:rtl/>
        </w:rPr>
      </w:pPr>
    </w:p>
    <w:p w:rsidR="00F60E90">
      <w:pPr>
        <w:pStyle w:val="KOT4"/>
        <w:rPr>
          <w:rtl/>
        </w:rPr>
      </w:pPr>
      <w:bookmarkEnd w:id="0"/>
      <w:bookmarkEnd w:id="1"/>
      <w:bookmarkEnd w:id="2"/>
      <w:bookmarkEnd w:id="3"/>
      <w:bookmarkEnd w:id="4"/>
      <w:r>
        <w:rPr>
          <w:rtl/>
        </w:rPr>
        <w:br w:type="page"/>
      </w:r>
      <w:r w:rsidR="00D9171F">
        <w:rPr>
          <w:rFonts w:hint="cs"/>
          <w:rtl/>
        </w:rPr>
        <w:t>מבוא</w:t>
      </w:r>
    </w:p>
    <w:p w:rsidR="00F60E90">
      <w:pPr>
        <w:spacing w:after="120" w:line="230" w:lineRule="exact"/>
        <w:jc w:val="both"/>
        <w:rPr>
          <w:rFonts w:cs="FrankRuehl"/>
          <w:sz w:val="20"/>
          <w:szCs w:val="22"/>
          <w:rtl/>
        </w:rPr>
      </w:pPr>
      <w:r>
        <w:rPr>
          <w:rFonts w:cs="FrankRuehl" w:hint="cs"/>
          <w:sz w:val="20"/>
          <w:szCs w:val="22"/>
          <w:rtl/>
        </w:rPr>
        <w:t xml:space="preserve">על פי נתוני הלשכה המרכזית לסטטיסטיקה מנתה אוכלוסיית הזקנים בישראל בתחילת 2013 </w:t>
      </w:r>
      <w:r w:rsidR="00CD7F18">
        <w:rPr>
          <w:rFonts w:cs="FrankRuehl"/>
          <w:sz w:val="20"/>
          <w:szCs w:val="22"/>
        </w:rPr>
        <w:br/>
      </w:r>
      <w:r>
        <w:rPr>
          <w:rFonts w:cs="FrankRuehl" w:hint="cs"/>
          <w:sz w:val="20"/>
          <w:szCs w:val="22"/>
          <w:rtl/>
        </w:rPr>
        <w:t>כ-833,000 זקנים (468,000 נשים ו-365,000 גברים), דהיינו כ-10% מהאוכלוסייה כולה. מספרם של הזקנים עולה מדי שנה, ועל פי תחזיות הלמ"ס הוא צפוי להמשיך ולעלות בקצב מהיר. עקב כך עולה גם מספרם של בני +65 הסובלים ממגבלות גופניות המפריעות להם בפעולות יום-יומיות, וחל גידול ב"יחס התלות", דהיינו היחס שבין אוכלוסיית הזקנים לאוכלוסייה בגילי העבודה. הזדקנות האוכלוסייה משפיעה על הביקוש לשירותים הציבוריים והפרטיים, הנוגעים לטיפול בזקנים, ובייחוד בתחום שירותי הבריאות. הביקוש לשירותים אלה צפוי להתרחב ביתר שאת בעתיד וכפועל יוצא להגדיל את ההוצאות הציבוריות והפרטיות בגינם.</w:t>
      </w:r>
    </w:p>
    <w:p w:rsidR="00F60E90">
      <w:pPr>
        <w:pStyle w:val="tab-name"/>
        <w:spacing w:before="120"/>
        <w:rPr>
          <w:rtl/>
        </w:rPr>
      </w:pPr>
      <w:r>
        <w:rPr>
          <w:rFonts w:hint="cs"/>
          <w:rtl/>
        </w:rPr>
        <w:t xml:space="preserve">אוכלוסיית בני +65 וכלל האוכלוסייה </w:t>
      </w:r>
      <w:r>
        <w:rPr>
          <w:rtl/>
        </w:rPr>
        <w:t>(באלפים)</w:t>
      </w:r>
      <w:r>
        <w:rPr>
          <w:rFonts w:hint="cs"/>
          <w:rtl/>
        </w:rPr>
        <w:t xml:space="preserve"> ותחזית לשנים 2030-2015*</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2297"/>
        <w:gridCol w:w="871"/>
        <w:gridCol w:w="871"/>
        <w:gridCol w:w="884"/>
        <w:gridCol w:w="884"/>
        <w:gridCol w:w="884"/>
      </w:tblGrid>
      <w:tr w:rsidTr="00D53830">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tblHeader/>
          <w:jc w:val="center"/>
        </w:trPr>
        <w:tc>
          <w:tcPr>
            <w:tcW w:w="0" w:type="auto"/>
            <w:tcBorders>
              <w:top w:val="single" w:sz="12" w:space="0" w:color="auto"/>
              <w:bottom w:val="single" w:sz="12" w:space="0" w:color="auto"/>
            </w:tcBorders>
            <w:shd w:val="pct10" w:color="auto" w:fill="auto"/>
          </w:tcPr>
          <w:p w:rsidR="00D53830">
            <w:pPr>
              <w:spacing w:before="40" w:after="40" w:line="220" w:lineRule="exact"/>
              <w:rPr>
                <w:rFonts w:eastAsia="Calibri" w:cs="FrankRuehl"/>
                <w:b/>
                <w:bCs/>
                <w:sz w:val="20"/>
                <w:szCs w:val="20"/>
                <w:rtl/>
              </w:rPr>
            </w:pPr>
          </w:p>
        </w:tc>
        <w:tc>
          <w:tcPr>
            <w:tcW w:w="0" w:type="auto"/>
            <w:tcBorders>
              <w:top w:val="single" w:sz="12" w:space="0" w:color="auto"/>
              <w:bottom w:val="single" w:sz="12" w:space="0" w:color="auto"/>
            </w:tcBorders>
            <w:shd w:val="pct10" w:color="auto" w:fill="auto"/>
          </w:tcPr>
          <w:p w:rsidR="00D53830">
            <w:pPr>
              <w:pStyle w:val="KOT5"/>
              <w:keepNext w:val="0"/>
              <w:spacing w:before="40" w:after="40" w:line="220" w:lineRule="exact"/>
              <w:jc w:val="center"/>
              <w:outlineLvl w:val="9"/>
              <w:rPr>
                <w:rFonts w:eastAsia="Calibri" w:cs="FrankRuehl"/>
                <w:sz w:val="20"/>
                <w:szCs w:val="20"/>
                <w:rtl/>
              </w:rPr>
            </w:pPr>
            <w:r>
              <w:rPr>
                <w:rFonts w:eastAsia="Calibri" w:cs="FrankRuehl" w:hint="cs"/>
                <w:sz w:val="20"/>
                <w:szCs w:val="20"/>
                <w:rtl/>
              </w:rPr>
              <w:t>2009</w:t>
            </w:r>
          </w:p>
        </w:tc>
        <w:tc>
          <w:tcPr>
            <w:tcW w:w="0" w:type="auto"/>
            <w:tcBorders>
              <w:top w:val="single" w:sz="12" w:space="0" w:color="auto"/>
              <w:bottom w:val="single" w:sz="12" w:space="0" w:color="auto"/>
            </w:tcBorders>
            <w:shd w:val="pct10" w:color="auto" w:fill="auto"/>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2015</w:t>
            </w:r>
          </w:p>
        </w:tc>
        <w:tc>
          <w:tcPr>
            <w:tcW w:w="0" w:type="auto"/>
            <w:tcBorders>
              <w:top w:val="single" w:sz="12" w:space="0" w:color="auto"/>
              <w:bottom w:val="single" w:sz="12" w:space="0" w:color="auto"/>
            </w:tcBorders>
            <w:shd w:val="pct10" w:color="auto" w:fill="auto"/>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2020</w:t>
            </w:r>
          </w:p>
        </w:tc>
        <w:tc>
          <w:tcPr>
            <w:tcW w:w="0" w:type="auto"/>
            <w:tcBorders>
              <w:top w:val="single" w:sz="12" w:space="0" w:color="auto"/>
              <w:bottom w:val="single" w:sz="12" w:space="0" w:color="auto"/>
            </w:tcBorders>
            <w:shd w:val="pct10" w:color="auto" w:fill="auto"/>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2025</w:t>
            </w:r>
          </w:p>
        </w:tc>
        <w:tc>
          <w:tcPr>
            <w:tcW w:w="0" w:type="auto"/>
            <w:tcBorders>
              <w:top w:val="single" w:sz="12" w:space="0" w:color="auto"/>
              <w:bottom w:val="single" w:sz="12" w:space="0" w:color="auto"/>
            </w:tcBorders>
            <w:shd w:val="pct10" w:color="auto" w:fill="auto"/>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2030</w:t>
            </w:r>
          </w:p>
        </w:tc>
      </w:tr>
      <w:tr w:rsidTr="00D53830">
        <w:tblPrEx>
          <w:tblW w:w="6691" w:type="dxa"/>
          <w:jc w:val="center"/>
          <w:tblLook w:val="04A0"/>
        </w:tblPrEx>
        <w:trPr>
          <w:jc w:val="center"/>
        </w:trPr>
        <w:tc>
          <w:tcPr>
            <w:tcW w:w="0" w:type="auto"/>
            <w:tcBorders>
              <w:top w:val="single" w:sz="12"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בני +65</w:t>
            </w:r>
          </w:p>
        </w:tc>
        <w:tc>
          <w:tcPr>
            <w:tcW w:w="0" w:type="auto"/>
            <w:tcBorders>
              <w:top w:val="single" w:sz="12"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741.5</w:t>
            </w:r>
          </w:p>
        </w:tc>
        <w:tc>
          <w:tcPr>
            <w:tcW w:w="0" w:type="auto"/>
            <w:tcBorders>
              <w:top w:val="single" w:sz="12"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900.5</w:t>
            </w:r>
          </w:p>
        </w:tc>
        <w:tc>
          <w:tcPr>
            <w:tcW w:w="0" w:type="auto"/>
            <w:tcBorders>
              <w:top w:val="single" w:sz="12"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1,069.1</w:t>
            </w:r>
          </w:p>
        </w:tc>
        <w:tc>
          <w:tcPr>
            <w:tcW w:w="0" w:type="auto"/>
            <w:tcBorders>
              <w:top w:val="single" w:sz="12"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1,224.0</w:t>
            </w:r>
          </w:p>
        </w:tc>
        <w:tc>
          <w:tcPr>
            <w:tcW w:w="0" w:type="auto"/>
            <w:tcBorders>
              <w:top w:val="single" w:sz="12"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1,366.5</w:t>
            </w:r>
          </w:p>
        </w:tc>
      </w:tr>
      <w:tr w:rsidTr="00D53830">
        <w:tblPrEx>
          <w:tblW w:w="6691" w:type="dxa"/>
          <w:jc w:val="center"/>
          <w:tblLook w:val="04A0"/>
        </w:tblPrEx>
        <w:trPr>
          <w:jc w:val="center"/>
        </w:trPr>
        <w:tc>
          <w:tcPr>
            <w:tcW w:w="0" w:type="auto"/>
            <w:tcBorders>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כלל האוכלוסייה</w:t>
            </w:r>
          </w:p>
        </w:tc>
        <w:tc>
          <w:tcPr>
            <w:tcW w:w="0" w:type="auto"/>
            <w:tcBorders>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7,552.0</w:t>
            </w:r>
          </w:p>
        </w:tc>
        <w:tc>
          <w:tcPr>
            <w:tcW w:w="0" w:type="auto"/>
            <w:tcBorders>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8,174.5</w:t>
            </w:r>
          </w:p>
        </w:tc>
        <w:tc>
          <w:tcPr>
            <w:tcW w:w="0" w:type="auto"/>
            <w:tcBorders>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8,770.0</w:t>
            </w:r>
          </w:p>
        </w:tc>
        <w:tc>
          <w:tcPr>
            <w:tcW w:w="0" w:type="auto"/>
            <w:tcBorders>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9,367.6</w:t>
            </w:r>
          </w:p>
        </w:tc>
        <w:tc>
          <w:tcPr>
            <w:tcW w:w="0" w:type="auto"/>
            <w:tcBorders>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9,984.6</w:t>
            </w:r>
          </w:p>
        </w:tc>
      </w:tr>
      <w:tr w:rsidTr="00D53830">
        <w:tblPrEx>
          <w:tblW w:w="6691" w:type="dxa"/>
          <w:jc w:val="center"/>
          <w:tblLook w:val="04A0"/>
        </w:tblPrEx>
        <w:trPr>
          <w:jc w:val="center"/>
        </w:trPr>
        <w:tc>
          <w:tcPr>
            <w:tcW w:w="0" w:type="auto"/>
            <w:tcBorders>
              <w:top w:val="nil"/>
              <w:bottom w:val="single" w:sz="4"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אחוז בני +65 באוכלוסייה</w:t>
            </w:r>
          </w:p>
        </w:tc>
        <w:tc>
          <w:tcPr>
            <w:tcW w:w="0" w:type="auto"/>
            <w:tcBorders>
              <w:top w:val="nil"/>
              <w:bottom w:val="single" w:sz="4"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9.8</w:t>
            </w:r>
          </w:p>
        </w:tc>
        <w:tc>
          <w:tcPr>
            <w:tcW w:w="0" w:type="auto"/>
            <w:tcBorders>
              <w:top w:val="nil"/>
              <w:bottom w:val="single" w:sz="4"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11.0</w:t>
            </w:r>
          </w:p>
        </w:tc>
        <w:tc>
          <w:tcPr>
            <w:tcW w:w="0" w:type="auto"/>
            <w:tcBorders>
              <w:top w:val="nil"/>
              <w:bottom w:val="single" w:sz="4"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12.2</w:t>
            </w:r>
          </w:p>
        </w:tc>
        <w:tc>
          <w:tcPr>
            <w:tcW w:w="0" w:type="auto"/>
            <w:tcBorders>
              <w:top w:val="nil"/>
              <w:bottom w:val="single" w:sz="4"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13.1</w:t>
            </w:r>
          </w:p>
        </w:tc>
        <w:tc>
          <w:tcPr>
            <w:tcW w:w="0" w:type="auto"/>
            <w:tcBorders>
              <w:top w:val="nil"/>
              <w:bottom w:val="single" w:sz="4" w:space="0" w:color="auto"/>
            </w:tcBorders>
          </w:tcPr>
          <w:p w:rsidR="00D53830">
            <w:pPr>
              <w:spacing w:before="40" w:after="40" w:line="220" w:lineRule="exact"/>
              <w:rPr>
                <w:rFonts w:eastAsia="Calibri" w:cs="FrankRuehl"/>
                <w:b/>
                <w:bCs/>
                <w:sz w:val="20"/>
                <w:szCs w:val="20"/>
                <w:rtl/>
              </w:rPr>
            </w:pPr>
            <w:r>
              <w:rPr>
                <w:rFonts w:eastAsia="Calibri" w:cs="FrankRuehl" w:hint="cs"/>
                <w:b/>
                <w:bCs/>
                <w:sz w:val="20"/>
                <w:szCs w:val="20"/>
                <w:rtl/>
              </w:rPr>
              <w:t>13.7</w:t>
            </w:r>
          </w:p>
        </w:tc>
      </w:tr>
      <w:tr w:rsidTr="00D53830">
        <w:tblPrEx>
          <w:tblW w:w="6691" w:type="dxa"/>
          <w:jc w:val="center"/>
          <w:tblLook w:val="04A0"/>
        </w:tblPrEx>
        <w:trPr>
          <w:jc w:val="center"/>
        </w:trPr>
        <w:tc>
          <w:tcPr>
            <w:tcW w:w="0" w:type="auto"/>
            <w:gridSpan w:val="6"/>
            <w:tcBorders>
              <w:top w:val="single" w:sz="4" w:space="0" w:color="auto"/>
              <w:bottom w:val="single" w:sz="4" w:space="0" w:color="auto"/>
            </w:tcBorders>
            <w:shd w:val="pct10" w:color="auto" w:fill="auto"/>
          </w:tcPr>
          <w:p w:rsidR="00F60E90">
            <w:pPr>
              <w:spacing w:before="40" w:after="40" w:line="220" w:lineRule="exact"/>
              <w:rPr>
                <w:rFonts w:eastAsia="Calibri" w:cs="FrankRuehl"/>
                <w:sz w:val="20"/>
                <w:szCs w:val="20"/>
                <w:rtl/>
              </w:rPr>
            </w:pPr>
            <w:r w:rsidRPr="009B34BB">
              <w:rPr>
                <w:rFonts w:eastAsia="Calibri" w:cs="FrankRuehl" w:hint="cs"/>
                <w:b/>
                <w:bCs/>
                <w:sz w:val="20"/>
                <w:szCs w:val="20"/>
                <w:rtl/>
              </w:rPr>
              <w:t>נתונים על</w:t>
            </w:r>
            <w:r>
              <w:rPr>
                <w:rFonts w:eastAsia="Calibri" w:cs="FrankRuehl" w:hint="cs"/>
                <w:b/>
                <w:bCs/>
                <w:sz w:val="20"/>
                <w:szCs w:val="20"/>
                <w:rtl/>
              </w:rPr>
              <w:t xml:space="preserve"> בני +65</w:t>
            </w:r>
          </w:p>
        </w:tc>
      </w:tr>
      <w:tr w:rsidTr="00D53830">
        <w:tblPrEx>
          <w:tblW w:w="6691" w:type="dxa"/>
          <w:jc w:val="center"/>
          <w:tblLook w:val="04A0"/>
        </w:tblPrEx>
        <w:trPr>
          <w:jc w:val="center"/>
        </w:trPr>
        <w:tc>
          <w:tcPr>
            <w:tcW w:w="0" w:type="auto"/>
            <w:tcBorders>
              <w:top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b/>
                <w:bCs/>
                <w:sz w:val="20"/>
                <w:szCs w:val="20"/>
                <w:rtl/>
              </w:rPr>
              <w:t>מין</w:t>
            </w:r>
          </w:p>
        </w:tc>
        <w:tc>
          <w:tcPr>
            <w:tcW w:w="0" w:type="auto"/>
            <w:tcBorders>
              <w:top w:val="single" w:sz="4" w:space="0" w:color="auto"/>
              <w:bottom w:val="nil"/>
            </w:tcBorders>
          </w:tcPr>
          <w:p w:rsidR="00D53830">
            <w:pPr>
              <w:spacing w:before="40" w:after="40" w:line="220" w:lineRule="exact"/>
              <w:rPr>
                <w:rFonts w:eastAsia="Calibri" w:cs="FrankRuehl"/>
                <w:sz w:val="20"/>
                <w:szCs w:val="20"/>
                <w:rtl/>
              </w:rPr>
            </w:pPr>
          </w:p>
        </w:tc>
        <w:tc>
          <w:tcPr>
            <w:tcW w:w="0" w:type="auto"/>
            <w:tcBorders>
              <w:top w:val="single" w:sz="4" w:space="0" w:color="auto"/>
              <w:bottom w:val="nil"/>
            </w:tcBorders>
          </w:tcPr>
          <w:p w:rsidR="00D53830">
            <w:pPr>
              <w:spacing w:before="40" w:after="40" w:line="220" w:lineRule="exact"/>
              <w:rPr>
                <w:rFonts w:eastAsia="Calibri" w:cs="FrankRuehl"/>
                <w:sz w:val="20"/>
                <w:szCs w:val="20"/>
                <w:rtl/>
              </w:rPr>
            </w:pPr>
          </w:p>
        </w:tc>
        <w:tc>
          <w:tcPr>
            <w:tcW w:w="0" w:type="auto"/>
            <w:tcBorders>
              <w:top w:val="single" w:sz="4" w:space="0" w:color="auto"/>
              <w:bottom w:val="nil"/>
            </w:tcBorders>
          </w:tcPr>
          <w:p w:rsidR="00D53830">
            <w:pPr>
              <w:spacing w:before="40" w:after="40" w:line="220" w:lineRule="exact"/>
              <w:rPr>
                <w:rFonts w:eastAsia="Calibri" w:cs="FrankRuehl"/>
                <w:sz w:val="20"/>
                <w:szCs w:val="20"/>
                <w:rtl/>
              </w:rPr>
            </w:pPr>
          </w:p>
        </w:tc>
        <w:tc>
          <w:tcPr>
            <w:tcW w:w="0" w:type="auto"/>
            <w:tcBorders>
              <w:top w:val="single" w:sz="4" w:space="0" w:color="auto"/>
              <w:bottom w:val="nil"/>
            </w:tcBorders>
          </w:tcPr>
          <w:p w:rsidR="00D53830">
            <w:pPr>
              <w:spacing w:before="40" w:after="40" w:line="220" w:lineRule="exact"/>
              <w:rPr>
                <w:rFonts w:eastAsia="Calibri" w:cs="FrankRuehl"/>
                <w:sz w:val="20"/>
                <w:szCs w:val="20"/>
                <w:rtl/>
              </w:rPr>
            </w:pPr>
          </w:p>
        </w:tc>
        <w:tc>
          <w:tcPr>
            <w:tcW w:w="0" w:type="auto"/>
            <w:tcBorders>
              <w:top w:val="single" w:sz="4" w:space="0" w:color="auto"/>
              <w:bottom w:val="nil"/>
            </w:tcBorders>
          </w:tcPr>
          <w:p w:rsidR="00D53830">
            <w:pPr>
              <w:spacing w:before="40" w:after="40" w:line="220" w:lineRule="exact"/>
              <w:rPr>
                <w:rFonts w:eastAsia="Calibri" w:cs="FrankRuehl"/>
                <w:sz w:val="20"/>
                <w:szCs w:val="20"/>
                <w:rtl/>
              </w:rPr>
            </w:pP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גברים</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320.6</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395.7</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473.6</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543.3</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607.2</w:t>
            </w: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נשים</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420.9</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504.8</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595.5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680.7</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759.3</w:t>
            </w: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b/>
                <w:bCs/>
                <w:sz w:val="20"/>
                <w:szCs w:val="20"/>
                <w:rtl/>
              </w:rPr>
              <w:t>גיל</w:t>
            </w:r>
          </w:p>
        </w:tc>
        <w:tc>
          <w:tcPr>
            <w:tcW w:w="0" w:type="auto"/>
            <w:tcBorders>
              <w:top w:val="nil"/>
              <w:bottom w:val="nil"/>
            </w:tcBorders>
          </w:tcPr>
          <w:p w:rsidR="00D53830">
            <w:pPr>
              <w:spacing w:before="40" w:after="40" w:line="220" w:lineRule="exact"/>
              <w:rPr>
                <w:rFonts w:eastAsia="Calibri" w:cs="FrankRuehl"/>
                <w:sz w:val="20"/>
                <w:szCs w:val="20"/>
                <w:rtl/>
              </w:rPr>
            </w:pPr>
          </w:p>
        </w:tc>
        <w:tc>
          <w:tcPr>
            <w:tcW w:w="0" w:type="auto"/>
            <w:tcBorders>
              <w:top w:val="nil"/>
              <w:bottom w:val="nil"/>
            </w:tcBorders>
          </w:tcPr>
          <w:p w:rsidR="00D53830">
            <w:pPr>
              <w:spacing w:before="40" w:after="40" w:line="220" w:lineRule="exact"/>
              <w:rPr>
                <w:rFonts w:eastAsia="Calibri" w:cs="FrankRuehl"/>
                <w:sz w:val="20"/>
                <w:szCs w:val="20"/>
                <w:rtl/>
              </w:rPr>
            </w:pPr>
          </w:p>
        </w:tc>
        <w:tc>
          <w:tcPr>
            <w:tcW w:w="0" w:type="auto"/>
            <w:tcBorders>
              <w:top w:val="nil"/>
              <w:bottom w:val="nil"/>
            </w:tcBorders>
          </w:tcPr>
          <w:p w:rsidR="00D53830">
            <w:pPr>
              <w:spacing w:before="40" w:after="40" w:line="220" w:lineRule="exact"/>
              <w:rPr>
                <w:rFonts w:eastAsia="Calibri" w:cs="FrankRuehl"/>
                <w:sz w:val="20"/>
                <w:szCs w:val="20"/>
                <w:rtl/>
              </w:rPr>
            </w:pPr>
          </w:p>
        </w:tc>
        <w:tc>
          <w:tcPr>
            <w:tcW w:w="0" w:type="auto"/>
            <w:tcBorders>
              <w:top w:val="nil"/>
              <w:bottom w:val="nil"/>
            </w:tcBorders>
          </w:tcPr>
          <w:p w:rsidR="00D53830">
            <w:pPr>
              <w:spacing w:before="40" w:after="40" w:line="220" w:lineRule="exact"/>
              <w:rPr>
                <w:rFonts w:eastAsia="Calibri" w:cs="FrankRuehl"/>
                <w:sz w:val="20"/>
                <w:szCs w:val="20"/>
                <w:rtl/>
              </w:rPr>
            </w:pPr>
          </w:p>
        </w:tc>
        <w:tc>
          <w:tcPr>
            <w:tcW w:w="0" w:type="auto"/>
            <w:tcBorders>
              <w:top w:val="nil"/>
              <w:bottom w:val="nil"/>
            </w:tcBorders>
          </w:tcPr>
          <w:p w:rsidR="00D53830">
            <w:pPr>
              <w:spacing w:before="40" w:after="40" w:line="220" w:lineRule="exact"/>
              <w:rPr>
                <w:rFonts w:eastAsia="Calibri" w:cs="FrankRuehl"/>
                <w:sz w:val="20"/>
                <w:szCs w:val="20"/>
                <w:rtl/>
              </w:rPr>
            </w:pP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בני 74-64</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387.4</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508.0</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646.5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678.5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694.2</w:t>
            </w: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בני +75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354.1</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392.5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422.6</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545.5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672.4</w:t>
            </w: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בני +80</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207.9</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226.1</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258.5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279.0</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380.7</w:t>
            </w:r>
          </w:p>
        </w:tc>
      </w:tr>
      <w:tr w:rsidTr="00D53830">
        <w:tblPrEx>
          <w:tblW w:w="6691" w:type="dxa"/>
          <w:jc w:val="center"/>
          <w:tblLook w:val="04A0"/>
        </w:tblPrEx>
        <w:trPr>
          <w:jc w:val="center"/>
        </w:trPr>
        <w:tc>
          <w:tcPr>
            <w:tcW w:w="0" w:type="auto"/>
            <w:tcBorders>
              <w:top w:val="nil"/>
              <w:bottom w:val="nil"/>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אחוז בני +75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47.8</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43.6</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39.5</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44.6</w:t>
            </w:r>
          </w:p>
        </w:tc>
        <w:tc>
          <w:tcPr>
            <w:tcW w:w="0" w:type="auto"/>
            <w:tcBorders>
              <w:top w:val="nil"/>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49.2</w:t>
            </w:r>
          </w:p>
        </w:tc>
      </w:tr>
      <w:tr w:rsidTr="00D53830">
        <w:tblPrEx>
          <w:tblW w:w="6691" w:type="dxa"/>
          <w:jc w:val="center"/>
          <w:tblLook w:val="04A0"/>
        </w:tblPrEx>
        <w:trPr>
          <w:jc w:val="center"/>
        </w:trPr>
        <w:tc>
          <w:tcPr>
            <w:tcW w:w="0" w:type="auto"/>
            <w:tcBorders>
              <w:top w:val="nil"/>
              <w:bottom w:val="single" w:sz="12" w:space="0" w:color="auto"/>
            </w:tcBorders>
          </w:tcPr>
          <w:p w:rsidR="00D53830">
            <w:pPr>
              <w:spacing w:before="40" w:after="40" w:line="220" w:lineRule="exact"/>
              <w:ind w:left="170"/>
              <w:rPr>
                <w:rFonts w:eastAsia="Calibri" w:cs="FrankRuehl"/>
                <w:sz w:val="20"/>
                <w:szCs w:val="20"/>
                <w:rtl/>
              </w:rPr>
            </w:pPr>
            <w:r>
              <w:rPr>
                <w:rFonts w:eastAsia="Calibri" w:cs="FrankRuehl" w:hint="cs"/>
                <w:sz w:val="20"/>
                <w:szCs w:val="20"/>
                <w:rtl/>
              </w:rPr>
              <w:t>אחוז בני +80</w:t>
            </w:r>
          </w:p>
        </w:tc>
        <w:tc>
          <w:tcPr>
            <w:tcW w:w="0" w:type="auto"/>
            <w:tcBorders>
              <w:top w:val="nil"/>
              <w:bottom w:val="single" w:sz="12"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28.0</w:t>
            </w:r>
          </w:p>
        </w:tc>
        <w:tc>
          <w:tcPr>
            <w:tcW w:w="0" w:type="auto"/>
            <w:tcBorders>
              <w:top w:val="nil"/>
              <w:bottom w:val="single" w:sz="12"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25.1</w:t>
            </w:r>
          </w:p>
        </w:tc>
        <w:tc>
          <w:tcPr>
            <w:tcW w:w="0" w:type="auto"/>
            <w:tcBorders>
              <w:top w:val="nil"/>
              <w:bottom w:val="single" w:sz="12"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24.2</w:t>
            </w:r>
          </w:p>
        </w:tc>
        <w:tc>
          <w:tcPr>
            <w:tcW w:w="0" w:type="auto"/>
            <w:tcBorders>
              <w:top w:val="nil"/>
              <w:bottom w:val="single" w:sz="12"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22.8</w:t>
            </w:r>
          </w:p>
        </w:tc>
        <w:tc>
          <w:tcPr>
            <w:tcW w:w="0" w:type="auto"/>
            <w:tcBorders>
              <w:top w:val="nil"/>
              <w:bottom w:val="single" w:sz="12"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27.9</w:t>
            </w:r>
          </w:p>
        </w:tc>
      </w:tr>
    </w:tbl>
    <w:p w:rsidR="00F60E90">
      <w:pPr>
        <w:spacing w:before="120" w:after="120" w:line="200" w:lineRule="exact"/>
        <w:ind w:left="397" w:hanging="397"/>
        <w:jc w:val="both"/>
        <w:rPr>
          <w:rFonts w:cs="FrankRuehl"/>
          <w:sz w:val="20"/>
          <w:szCs w:val="20"/>
          <w:rtl/>
        </w:rPr>
      </w:pPr>
      <w:r>
        <w:rPr>
          <w:rFonts w:cs="FrankRuehl" w:hint="cs"/>
          <w:sz w:val="20"/>
          <w:szCs w:val="20"/>
          <w:rtl/>
        </w:rPr>
        <w:t xml:space="preserve">* </w:t>
      </w:r>
      <w:r>
        <w:rPr>
          <w:rFonts w:cs="FrankRuehl" w:hint="cs"/>
          <w:sz w:val="20"/>
          <w:szCs w:val="20"/>
          <w:rtl/>
        </w:rPr>
        <w:tab/>
        <w:t>למ</w:t>
      </w:r>
      <w:r>
        <w:rPr>
          <w:rFonts w:cs="FrankRuehl"/>
          <w:sz w:val="20"/>
          <w:szCs w:val="20"/>
          <w:rtl/>
        </w:rPr>
        <w:t xml:space="preserve">"ס, </w:t>
      </w:r>
      <w:r>
        <w:rPr>
          <w:rFonts w:cs="FrankRuehl" w:hint="cs"/>
          <w:sz w:val="20"/>
          <w:szCs w:val="20"/>
          <w:rtl/>
        </w:rPr>
        <w:t>קובץ</w:t>
      </w:r>
      <w:r>
        <w:rPr>
          <w:rFonts w:cs="FrankRuehl"/>
          <w:sz w:val="20"/>
          <w:szCs w:val="20"/>
          <w:rtl/>
        </w:rPr>
        <w:t xml:space="preserve"> </w:t>
      </w:r>
      <w:r>
        <w:rPr>
          <w:rFonts w:cs="FrankRuehl" w:hint="cs"/>
          <w:sz w:val="20"/>
          <w:szCs w:val="20"/>
          <w:rtl/>
        </w:rPr>
        <w:t>האוכלוסייה</w:t>
      </w:r>
      <w:r>
        <w:rPr>
          <w:rFonts w:cs="FrankRuehl"/>
          <w:sz w:val="20"/>
          <w:szCs w:val="20"/>
          <w:rtl/>
        </w:rPr>
        <w:t xml:space="preserve"> </w:t>
      </w:r>
      <w:r>
        <w:rPr>
          <w:rFonts w:cs="FrankRuehl" w:hint="cs"/>
          <w:sz w:val="20"/>
          <w:szCs w:val="20"/>
          <w:rtl/>
        </w:rPr>
        <w:t>של</w:t>
      </w:r>
      <w:r>
        <w:rPr>
          <w:rFonts w:cs="FrankRuehl"/>
          <w:sz w:val="20"/>
          <w:szCs w:val="20"/>
          <w:rtl/>
        </w:rPr>
        <w:t xml:space="preserve"> 2009; </w:t>
      </w:r>
      <w:r>
        <w:rPr>
          <w:rFonts w:cs="FrankRuehl" w:hint="cs"/>
          <w:sz w:val="20"/>
          <w:szCs w:val="20"/>
          <w:rtl/>
        </w:rPr>
        <w:t>תחזיות</w:t>
      </w:r>
      <w:r>
        <w:rPr>
          <w:rFonts w:cs="FrankRuehl"/>
          <w:sz w:val="20"/>
          <w:szCs w:val="20"/>
          <w:rtl/>
        </w:rPr>
        <w:t xml:space="preserve"> </w:t>
      </w:r>
      <w:r>
        <w:rPr>
          <w:rFonts w:cs="FrankRuehl" w:hint="cs"/>
          <w:sz w:val="20"/>
          <w:szCs w:val="20"/>
          <w:rtl/>
        </w:rPr>
        <w:t>אוכלוסיית</w:t>
      </w:r>
      <w:r>
        <w:rPr>
          <w:rFonts w:cs="FrankRuehl"/>
          <w:sz w:val="20"/>
          <w:szCs w:val="20"/>
          <w:rtl/>
        </w:rPr>
        <w:t xml:space="preserve"> </w:t>
      </w:r>
      <w:r>
        <w:rPr>
          <w:rFonts w:cs="FrankRuehl" w:hint="cs"/>
          <w:sz w:val="20"/>
          <w:szCs w:val="20"/>
          <w:rtl/>
        </w:rPr>
        <w:t>ישראל</w:t>
      </w:r>
      <w:r>
        <w:rPr>
          <w:rFonts w:cs="FrankRuehl"/>
          <w:sz w:val="20"/>
          <w:szCs w:val="20"/>
          <w:rtl/>
        </w:rPr>
        <w:t xml:space="preserve"> </w:t>
      </w:r>
      <w:r>
        <w:rPr>
          <w:rFonts w:cs="FrankRuehl" w:hint="cs"/>
          <w:sz w:val="20"/>
          <w:szCs w:val="20"/>
          <w:rtl/>
        </w:rPr>
        <w:t>עד</w:t>
      </w:r>
      <w:r>
        <w:rPr>
          <w:rFonts w:cs="FrankRuehl"/>
          <w:sz w:val="20"/>
          <w:szCs w:val="20"/>
          <w:rtl/>
        </w:rPr>
        <w:t xml:space="preserve"> 2030</w:t>
      </w:r>
      <w:r>
        <w:rPr>
          <w:rFonts w:cs="FrankRuehl" w:hint="cs"/>
          <w:sz w:val="20"/>
          <w:szCs w:val="20"/>
          <w:rtl/>
        </w:rPr>
        <w:t>.</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4"/>
        <w:rPr>
          <w:rtl/>
        </w:rPr>
      </w:pPr>
      <w:r>
        <w:rPr>
          <w:rtl/>
        </w:rPr>
        <w:t>מערך השירותים לזקן</w:t>
      </w:r>
    </w:p>
    <w:p w:rsidR="00F60E90">
      <w:pPr>
        <w:spacing w:after="120" w:line="230" w:lineRule="exact"/>
        <w:jc w:val="both"/>
        <w:rPr>
          <w:rFonts w:cs="FrankRuehl"/>
          <w:sz w:val="20"/>
          <w:szCs w:val="22"/>
          <w:rtl/>
        </w:rPr>
      </w:pPr>
      <w:r>
        <w:rPr>
          <w:rFonts w:cs="FrankRuehl" w:hint="cs"/>
          <w:sz w:val="20"/>
          <w:szCs w:val="22"/>
          <w:rtl/>
        </w:rPr>
        <w:t>על מערך השירותים הציבוריים לטיפול בזקנים מופקדים כמה גופים, והעיקריים שבהם הם משרדי הרווחה והבריאות, המשרד לאזרחים ותיקים, המוסד לביטוח לאומי, הרשויות המקומיות וקופות החולים. גופים אלה נותנים את השירותים בעצמם או שהם עושים זאת באמצעות עמותות למיניהן. חלוקת האחריות לאספקת השירותים בין הגופים האלה נעשית באמצעות פיצול הסמכויות לטיפול בזקנים על פי מידת תלותם בזולת ולפי אבחונים שכל גורם בשרשרת הסיוע עורך.</w:t>
      </w:r>
    </w:p>
    <w:p w:rsidR="00F60E90">
      <w:pPr>
        <w:spacing w:after="120" w:line="230" w:lineRule="exact"/>
        <w:jc w:val="both"/>
        <w:rPr>
          <w:rFonts w:cs="FrankRuehl"/>
          <w:sz w:val="20"/>
          <w:szCs w:val="22"/>
          <w:rtl/>
        </w:rPr>
      </w:pPr>
      <w:r>
        <w:rPr>
          <w:rFonts w:cs="FrankRuehl" w:hint="cs"/>
          <w:bCs/>
          <w:spacing w:val="40"/>
          <w:sz w:val="20"/>
          <w:szCs w:val="22"/>
          <w:rtl/>
        </w:rPr>
        <w:t>משרד</w:t>
      </w:r>
      <w:r>
        <w:rPr>
          <w:rFonts w:cs="FrankRuehl"/>
          <w:bCs/>
          <w:spacing w:val="40"/>
          <w:sz w:val="20"/>
          <w:szCs w:val="22"/>
          <w:rtl/>
        </w:rPr>
        <w:t xml:space="preserve"> </w:t>
      </w:r>
      <w:r>
        <w:rPr>
          <w:rFonts w:cs="FrankRuehl" w:hint="cs"/>
          <w:bCs/>
          <w:spacing w:val="40"/>
          <w:sz w:val="20"/>
          <w:szCs w:val="22"/>
          <w:rtl/>
        </w:rPr>
        <w:t>הרווחה</w:t>
      </w:r>
      <w:r>
        <w:rPr>
          <w:rFonts w:cs="FrankRuehl"/>
          <w:bCs/>
          <w:spacing w:val="40"/>
          <w:sz w:val="20"/>
          <w:szCs w:val="22"/>
          <w:rtl/>
        </w:rPr>
        <w:t>:</w:t>
      </w:r>
      <w:r>
        <w:rPr>
          <w:rFonts w:cs="FrankRuehl" w:hint="cs"/>
          <w:sz w:val="20"/>
          <w:szCs w:val="22"/>
          <w:rtl/>
        </w:rPr>
        <w:t xml:space="preserve"> השירות לזקן פועל באמצעות המחלקות לשירותים חברתיים ומטפל בזקנים עצמאיים הסובלים למשל מבדידות וממצוקות נפשיות או כספיות, ובזקנים תשושים הזקוקים לסיוע </w:t>
      </w:r>
      <w:r>
        <w:rPr>
          <w:rFonts w:cs="FrankRuehl" w:hint="cs"/>
          <w:sz w:val="20"/>
          <w:szCs w:val="22"/>
          <w:rtl/>
        </w:rPr>
        <w:t>הזולת אך אינם נחשבים סיעודיים, המתגוררים בקהילה או במוסדות. המשרד משתתף במימון מסגרות ותכניות קהילתיות לטיפול בזקנים ובמימון השמתם של זקנים במוסדות. המשרד גם מפקח על חלק מהמסגרות הקהילתיות וממוסדות האשפוז. משרד הרווחה משתתף במימון 75% מעלותן של הפעילויות למען הזקן ברשויות המקומיות ואת היתרה (25%) הרשויות משלימות מתקציבן.</w:t>
      </w:r>
    </w:p>
    <w:p w:rsidR="00F60E90">
      <w:pPr>
        <w:spacing w:after="120" w:line="230" w:lineRule="exact"/>
        <w:jc w:val="both"/>
        <w:rPr>
          <w:rFonts w:cs="FrankRuehl"/>
          <w:sz w:val="20"/>
          <w:szCs w:val="22"/>
          <w:rtl/>
        </w:rPr>
      </w:pPr>
      <w:r>
        <w:rPr>
          <w:rFonts w:cs="FrankRuehl" w:hint="cs"/>
          <w:bCs/>
          <w:spacing w:val="40"/>
          <w:sz w:val="20"/>
          <w:szCs w:val="22"/>
          <w:rtl/>
        </w:rPr>
        <w:t>המוסד</w:t>
      </w:r>
      <w:r>
        <w:rPr>
          <w:rFonts w:cs="FrankRuehl"/>
          <w:bCs/>
          <w:spacing w:val="40"/>
          <w:sz w:val="20"/>
          <w:szCs w:val="22"/>
          <w:rtl/>
        </w:rPr>
        <w:t xml:space="preserve"> </w:t>
      </w:r>
      <w:r>
        <w:rPr>
          <w:rFonts w:cs="FrankRuehl" w:hint="cs"/>
          <w:bCs/>
          <w:spacing w:val="40"/>
          <w:sz w:val="20"/>
          <w:szCs w:val="22"/>
          <w:rtl/>
        </w:rPr>
        <w:t>לביטוח</w:t>
      </w:r>
      <w:r>
        <w:rPr>
          <w:rFonts w:cs="FrankRuehl"/>
          <w:bCs/>
          <w:spacing w:val="40"/>
          <w:sz w:val="20"/>
          <w:szCs w:val="22"/>
          <w:rtl/>
        </w:rPr>
        <w:t xml:space="preserve"> </w:t>
      </w:r>
      <w:r>
        <w:rPr>
          <w:rFonts w:cs="FrankRuehl" w:hint="cs"/>
          <w:bCs/>
          <w:spacing w:val="40"/>
          <w:sz w:val="20"/>
          <w:szCs w:val="22"/>
          <w:rtl/>
        </w:rPr>
        <w:t>לאומי</w:t>
      </w:r>
      <w:r>
        <w:rPr>
          <w:rFonts w:cs="FrankRuehl"/>
          <w:bCs/>
          <w:spacing w:val="40"/>
          <w:sz w:val="20"/>
          <w:szCs w:val="22"/>
          <w:rtl/>
        </w:rPr>
        <w:t>:</w:t>
      </w:r>
      <w:r>
        <w:rPr>
          <w:rFonts w:cs="FrankRuehl" w:hint="cs"/>
          <w:sz w:val="20"/>
          <w:szCs w:val="22"/>
          <w:rtl/>
        </w:rPr>
        <w:t xml:space="preserve"> על פי חוק הביטוח הלאומי [נוסח משולב], התשנ"ה-1995 (להלן - חוק ביטוח לאומי), המוסד לביטוח לאומי אחראי לאספקת שירותי סיעוד</w:t>
      </w:r>
      <w:r>
        <w:rPr>
          <w:rFonts w:cs="FrankRuehl"/>
          <w:sz w:val="20"/>
          <w:szCs w:val="22"/>
          <w:vertAlign w:val="superscript"/>
          <w:rtl/>
        </w:rPr>
        <w:footnoteReference w:id="6"/>
      </w:r>
      <w:r>
        <w:rPr>
          <w:rFonts w:cs="FrankRuehl" w:hint="cs"/>
          <w:sz w:val="20"/>
          <w:szCs w:val="22"/>
          <w:rtl/>
        </w:rPr>
        <w:t xml:space="preserve"> לזקנים סיעודיים מעל גיל פרישה המתגוררים בקהילה. אספקת שירותי הסיעוד נעשית באמצעות תשלום</w:t>
      </w:r>
      <w:r>
        <w:rPr>
          <w:rFonts w:cs="FrankRuehl"/>
          <w:sz w:val="20"/>
          <w:szCs w:val="22"/>
          <w:rtl/>
        </w:rPr>
        <w:t xml:space="preserve"> גמלת סיעוד </w:t>
      </w:r>
      <w:r>
        <w:rPr>
          <w:rFonts w:cs="FrankRuehl" w:hint="cs"/>
          <w:sz w:val="20"/>
          <w:szCs w:val="22"/>
          <w:rtl/>
        </w:rPr>
        <w:t>בגין שירותים קהילתיים לזקנים, הניתנים בכל מיני דרכים כמו</w:t>
      </w:r>
      <w:r>
        <w:rPr>
          <w:rFonts w:cs="FrankRuehl"/>
          <w:sz w:val="20"/>
          <w:szCs w:val="22"/>
          <w:rtl/>
        </w:rPr>
        <w:t xml:space="preserve"> טיפול אישי בבית</w:t>
      </w:r>
      <w:r>
        <w:rPr>
          <w:rFonts w:cs="FrankRuehl" w:hint="cs"/>
          <w:sz w:val="20"/>
          <w:szCs w:val="22"/>
          <w:rtl/>
        </w:rPr>
        <w:t xml:space="preserve"> הזקן</w:t>
      </w:r>
      <w:r>
        <w:rPr>
          <w:rFonts w:cs="FrankRuehl"/>
          <w:sz w:val="20"/>
          <w:szCs w:val="22"/>
          <w:rtl/>
        </w:rPr>
        <w:t>, השתתפות בפעילויות במרכזי יום, אספקת מוצרי ספיגה, אספקת שירותי כביסה ומימון השימוש במשדרי מצוקה</w:t>
      </w:r>
      <w:r>
        <w:rPr>
          <w:rFonts w:cs="FrankRuehl" w:hint="cs"/>
          <w:sz w:val="20"/>
          <w:szCs w:val="22"/>
          <w:rtl/>
        </w:rPr>
        <w:t>.</w:t>
      </w:r>
    </w:p>
    <w:p w:rsidR="00F60E90">
      <w:pPr>
        <w:spacing w:after="120" w:line="230" w:lineRule="exact"/>
        <w:jc w:val="both"/>
        <w:rPr>
          <w:rFonts w:cs="FrankRuehl"/>
          <w:sz w:val="20"/>
          <w:szCs w:val="22"/>
          <w:rtl/>
        </w:rPr>
      </w:pPr>
      <w:r>
        <w:rPr>
          <w:rFonts w:cs="FrankRuehl" w:hint="cs"/>
          <w:bCs/>
          <w:spacing w:val="40"/>
          <w:sz w:val="20"/>
          <w:szCs w:val="22"/>
          <w:rtl/>
        </w:rPr>
        <w:t>משרד</w:t>
      </w:r>
      <w:r>
        <w:rPr>
          <w:rFonts w:cs="FrankRuehl"/>
          <w:bCs/>
          <w:spacing w:val="40"/>
          <w:sz w:val="20"/>
          <w:szCs w:val="22"/>
          <w:rtl/>
        </w:rPr>
        <w:t xml:space="preserve"> </w:t>
      </w:r>
      <w:r>
        <w:rPr>
          <w:rFonts w:cs="FrankRuehl" w:hint="cs"/>
          <w:bCs/>
          <w:spacing w:val="40"/>
          <w:sz w:val="20"/>
          <w:szCs w:val="22"/>
          <w:rtl/>
        </w:rPr>
        <w:t>הבריאות</w:t>
      </w:r>
      <w:r>
        <w:rPr>
          <w:rFonts w:cs="FrankRuehl"/>
          <w:bCs/>
          <w:spacing w:val="40"/>
          <w:sz w:val="20"/>
          <w:szCs w:val="22"/>
          <w:rtl/>
        </w:rPr>
        <w:t>:</w:t>
      </w:r>
      <w:r>
        <w:rPr>
          <w:rFonts w:cs="FrankRuehl" w:hint="cs"/>
          <w:sz w:val="20"/>
          <w:szCs w:val="22"/>
          <w:rtl/>
        </w:rPr>
        <w:t xml:space="preserve"> המשרד מסייע לזקנים הנזקקים לאשפוז סיעודי ומפקח על חלק ממוסדות האשפוז.</w:t>
      </w:r>
    </w:p>
    <w:p w:rsidR="00F60E90">
      <w:pPr>
        <w:spacing w:after="120" w:line="230" w:lineRule="exact"/>
        <w:jc w:val="both"/>
        <w:rPr>
          <w:rFonts w:cs="FrankRuehl"/>
          <w:sz w:val="20"/>
          <w:szCs w:val="22"/>
          <w:rtl/>
        </w:rPr>
      </w:pPr>
      <w:r>
        <w:rPr>
          <w:rFonts w:cs="FrankRuehl" w:hint="cs"/>
          <w:bCs/>
          <w:spacing w:val="40"/>
          <w:sz w:val="20"/>
          <w:szCs w:val="22"/>
          <w:rtl/>
        </w:rPr>
        <w:t>קופות</w:t>
      </w:r>
      <w:r>
        <w:rPr>
          <w:rFonts w:cs="FrankRuehl"/>
          <w:bCs/>
          <w:spacing w:val="40"/>
          <w:sz w:val="20"/>
          <w:szCs w:val="22"/>
          <w:rtl/>
        </w:rPr>
        <w:t xml:space="preserve"> </w:t>
      </w:r>
      <w:r>
        <w:rPr>
          <w:rFonts w:cs="FrankRuehl" w:hint="cs"/>
          <w:bCs/>
          <w:spacing w:val="40"/>
          <w:sz w:val="20"/>
          <w:szCs w:val="22"/>
          <w:rtl/>
        </w:rPr>
        <w:t>החולים</w:t>
      </w:r>
      <w:r>
        <w:rPr>
          <w:rFonts w:cs="FrankRuehl"/>
          <w:bCs/>
          <w:spacing w:val="40"/>
          <w:sz w:val="20"/>
          <w:szCs w:val="22"/>
          <w:rtl/>
        </w:rPr>
        <w:t>:</w:t>
      </w:r>
      <w:r>
        <w:rPr>
          <w:rFonts w:cs="FrankRuehl" w:hint="cs"/>
          <w:sz w:val="20"/>
          <w:szCs w:val="22"/>
          <w:rtl/>
        </w:rPr>
        <w:t xml:space="preserve"> הקופות מספקות שירותי בריאות לכל הזקנים המתגוררים בקהילה ומטפלות באלה הנזקקים לאשפוז סיעודי מורכב.</w:t>
      </w:r>
    </w:p>
    <w:p w:rsidR="00F60E90">
      <w:pPr>
        <w:spacing w:after="120" w:line="230" w:lineRule="exact"/>
        <w:jc w:val="both"/>
        <w:rPr>
          <w:rFonts w:cs="FrankRuehl"/>
          <w:sz w:val="20"/>
          <w:szCs w:val="22"/>
          <w:rtl/>
        </w:rPr>
      </w:pPr>
      <w:r>
        <w:rPr>
          <w:rFonts w:cs="FrankRuehl" w:hint="cs"/>
          <w:bCs/>
          <w:spacing w:val="40"/>
          <w:sz w:val="20"/>
          <w:szCs w:val="22"/>
          <w:rtl/>
        </w:rPr>
        <w:t>המשרד</w:t>
      </w:r>
      <w:r>
        <w:rPr>
          <w:rFonts w:cs="FrankRuehl"/>
          <w:bCs/>
          <w:spacing w:val="40"/>
          <w:sz w:val="20"/>
          <w:szCs w:val="22"/>
          <w:rtl/>
        </w:rPr>
        <w:t xml:space="preserve"> </w:t>
      </w:r>
      <w:r>
        <w:rPr>
          <w:rFonts w:cs="FrankRuehl" w:hint="cs"/>
          <w:bCs/>
          <w:spacing w:val="40"/>
          <w:sz w:val="20"/>
          <w:szCs w:val="22"/>
          <w:rtl/>
        </w:rPr>
        <w:t>לאזרחים</w:t>
      </w:r>
      <w:r>
        <w:rPr>
          <w:rFonts w:cs="FrankRuehl"/>
          <w:bCs/>
          <w:spacing w:val="40"/>
          <w:sz w:val="20"/>
          <w:szCs w:val="22"/>
          <w:rtl/>
        </w:rPr>
        <w:t xml:space="preserve"> </w:t>
      </w:r>
      <w:r>
        <w:rPr>
          <w:rFonts w:cs="FrankRuehl" w:hint="cs"/>
          <w:bCs/>
          <w:spacing w:val="40"/>
          <w:sz w:val="20"/>
          <w:szCs w:val="22"/>
          <w:rtl/>
        </w:rPr>
        <w:t>ותיקים</w:t>
      </w:r>
      <w:r>
        <w:rPr>
          <w:rFonts w:cs="FrankRuehl"/>
          <w:bCs/>
          <w:spacing w:val="40"/>
          <w:sz w:val="20"/>
          <w:szCs w:val="22"/>
          <w:rtl/>
        </w:rPr>
        <w:t>:</w:t>
      </w:r>
      <w:r>
        <w:rPr>
          <w:rFonts w:cs="FrankRuehl" w:hint="cs"/>
          <w:sz w:val="20"/>
          <w:szCs w:val="22"/>
          <w:rtl/>
        </w:rPr>
        <w:t xml:space="preserve"> </w:t>
      </w:r>
      <w:r>
        <w:rPr>
          <w:rFonts w:cs="FrankRuehl"/>
          <w:sz w:val="20"/>
          <w:szCs w:val="22"/>
          <w:rtl/>
        </w:rPr>
        <w:t>בשנת 2007</w:t>
      </w:r>
      <w:r>
        <w:rPr>
          <w:rFonts w:cs="FrankRuehl" w:hint="cs"/>
          <w:sz w:val="20"/>
          <w:szCs w:val="22"/>
          <w:rtl/>
        </w:rPr>
        <w:t xml:space="preserve"> </w:t>
      </w:r>
      <w:r>
        <w:rPr>
          <w:rFonts w:cs="FrankRuehl"/>
          <w:sz w:val="20"/>
          <w:szCs w:val="22"/>
          <w:rtl/>
        </w:rPr>
        <w:t xml:space="preserve">הוקם </w:t>
      </w:r>
      <w:r>
        <w:rPr>
          <w:rFonts w:cs="FrankRuehl" w:hint="cs"/>
          <w:sz w:val="20"/>
          <w:szCs w:val="22"/>
          <w:rtl/>
        </w:rPr>
        <w:t xml:space="preserve">המשרד </w:t>
      </w:r>
      <w:r>
        <w:rPr>
          <w:rFonts w:cs="FrankRuehl"/>
          <w:sz w:val="20"/>
          <w:szCs w:val="22"/>
          <w:rtl/>
        </w:rPr>
        <w:t xml:space="preserve">כגוף מטה בממשלה </w:t>
      </w:r>
      <w:r>
        <w:rPr>
          <w:rFonts w:cs="FrankRuehl" w:hint="cs"/>
          <w:sz w:val="20"/>
          <w:szCs w:val="22"/>
          <w:rtl/>
        </w:rPr>
        <w:t>שמטרתו לפתח</w:t>
      </w:r>
      <w:r>
        <w:rPr>
          <w:rFonts w:cs="FrankRuehl"/>
          <w:sz w:val="20"/>
          <w:szCs w:val="22"/>
          <w:rtl/>
        </w:rPr>
        <w:t xml:space="preserve"> תכניות ושירותים לאזרחים הוותיקים בישראל </w:t>
      </w:r>
      <w:r>
        <w:rPr>
          <w:rFonts w:cs="FrankRuehl" w:hint="cs"/>
          <w:sz w:val="20"/>
          <w:szCs w:val="22"/>
          <w:rtl/>
        </w:rPr>
        <w:t xml:space="preserve">ולהוביל </w:t>
      </w:r>
      <w:r>
        <w:rPr>
          <w:rFonts w:cs="FrankRuehl"/>
          <w:sz w:val="20"/>
          <w:szCs w:val="22"/>
          <w:rtl/>
        </w:rPr>
        <w:t>פרויקטים</w:t>
      </w:r>
      <w:r>
        <w:rPr>
          <w:rFonts w:cs="FrankRuehl" w:hint="cs"/>
          <w:sz w:val="20"/>
          <w:szCs w:val="22"/>
          <w:rtl/>
        </w:rPr>
        <w:t xml:space="preserve"> ייעודיים.</w:t>
      </w:r>
      <w:r>
        <w:rPr>
          <w:rFonts w:cs="FrankRuehl"/>
          <w:sz w:val="20"/>
          <w:szCs w:val="22"/>
          <w:rtl/>
        </w:rPr>
        <w:t xml:space="preserve"> </w:t>
      </w:r>
      <w:r>
        <w:rPr>
          <w:rFonts w:cs="FrankRuehl" w:hint="cs"/>
          <w:sz w:val="20"/>
          <w:szCs w:val="22"/>
          <w:rtl/>
        </w:rPr>
        <w:t>המשרד גם אחראי ל</w:t>
      </w:r>
      <w:r>
        <w:rPr>
          <w:rFonts w:cs="FrankRuehl"/>
          <w:sz w:val="20"/>
          <w:szCs w:val="22"/>
          <w:rtl/>
        </w:rPr>
        <w:t>חקיקה ו</w:t>
      </w:r>
      <w:r>
        <w:rPr>
          <w:rFonts w:cs="FrankRuehl" w:hint="cs"/>
          <w:sz w:val="20"/>
          <w:szCs w:val="22"/>
          <w:rtl/>
        </w:rPr>
        <w:t>ל</w:t>
      </w:r>
      <w:r>
        <w:rPr>
          <w:rFonts w:cs="FrankRuehl"/>
          <w:sz w:val="20"/>
          <w:szCs w:val="22"/>
          <w:rtl/>
        </w:rPr>
        <w:t xml:space="preserve">שינוי סדר היום </w:t>
      </w:r>
      <w:r>
        <w:rPr>
          <w:rFonts w:cs="FrankRuehl" w:hint="cs"/>
          <w:sz w:val="20"/>
          <w:szCs w:val="22"/>
          <w:rtl/>
        </w:rPr>
        <w:t>ה</w:t>
      </w:r>
      <w:r>
        <w:rPr>
          <w:rFonts w:cs="FrankRuehl"/>
          <w:sz w:val="20"/>
          <w:szCs w:val="22"/>
          <w:rtl/>
        </w:rPr>
        <w:t>ציבורי</w:t>
      </w:r>
      <w:r>
        <w:rPr>
          <w:rFonts w:cs="FrankRuehl" w:hint="cs"/>
          <w:sz w:val="20"/>
          <w:szCs w:val="22"/>
          <w:rtl/>
        </w:rPr>
        <w:t>, בעיקר כדי לשפר</w:t>
      </w:r>
      <w:r>
        <w:rPr>
          <w:rFonts w:cs="FrankRuehl"/>
          <w:sz w:val="20"/>
          <w:szCs w:val="22"/>
          <w:rtl/>
        </w:rPr>
        <w:t xml:space="preserve"> </w:t>
      </w:r>
      <w:r>
        <w:rPr>
          <w:rFonts w:cs="FrankRuehl" w:hint="cs"/>
          <w:sz w:val="20"/>
          <w:szCs w:val="22"/>
          <w:rtl/>
        </w:rPr>
        <w:t xml:space="preserve">את </w:t>
      </w:r>
      <w:r>
        <w:rPr>
          <w:rFonts w:cs="FrankRuehl"/>
          <w:sz w:val="20"/>
          <w:szCs w:val="22"/>
          <w:rtl/>
        </w:rPr>
        <w:t>איכות חייהם של האזרחים</w:t>
      </w:r>
      <w:r>
        <w:rPr>
          <w:rFonts w:cs="FrankRuehl" w:hint="cs"/>
          <w:sz w:val="20"/>
          <w:szCs w:val="22"/>
          <w:rtl/>
        </w:rPr>
        <w:t xml:space="preserve"> הוותיקים</w:t>
      </w:r>
      <w:r>
        <w:rPr>
          <w:rFonts w:cs="FrankRuehl"/>
          <w:sz w:val="20"/>
          <w:szCs w:val="22"/>
          <w:rtl/>
        </w:rPr>
        <w:t xml:space="preserve"> ו</w:t>
      </w:r>
      <w:r>
        <w:rPr>
          <w:rFonts w:cs="FrankRuehl" w:hint="cs"/>
          <w:sz w:val="20"/>
          <w:szCs w:val="22"/>
          <w:rtl/>
        </w:rPr>
        <w:t xml:space="preserve">לקדם את ענייניהם. </w:t>
      </w:r>
      <w:r>
        <w:rPr>
          <w:rFonts w:cs="FrankRuehl"/>
          <w:sz w:val="20"/>
          <w:szCs w:val="22"/>
          <w:rtl/>
        </w:rPr>
        <w:t>המשרד פועל לקידו</w:t>
      </w:r>
      <w:r>
        <w:rPr>
          <w:rFonts w:cs="FrankRuehl" w:hint="cs"/>
          <w:sz w:val="20"/>
          <w:szCs w:val="22"/>
          <w:rtl/>
        </w:rPr>
        <w:t>מו</w:t>
      </w:r>
      <w:r>
        <w:rPr>
          <w:rFonts w:cs="FrankRuehl"/>
          <w:sz w:val="20"/>
          <w:szCs w:val="22"/>
          <w:rtl/>
        </w:rPr>
        <w:t xml:space="preserve"> ו</w:t>
      </w:r>
      <w:r>
        <w:rPr>
          <w:rFonts w:cs="FrankRuehl" w:hint="cs"/>
          <w:sz w:val="20"/>
          <w:szCs w:val="22"/>
          <w:rtl/>
        </w:rPr>
        <w:t>ל</w:t>
      </w:r>
      <w:r>
        <w:rPr>
          <w:rFonts w:cs="FrankRuehl"/>
          <w:sz w:val="20"/>
          <w:szCs w:val="22"/>
          <w:rtl/>
        </w:rPr>
        <w:t>חיזוק</w:t>
      </w:r>
      <w:r>
        <w:rPr>
          <w:rFonts w:cs="FrankRuehl" w:hint="cs"/>
          <w:sz w:val="20"/>
          <w:szCs w:val="22"/>
          <w:rtl/>
        </w:rPr>
        <w:t xml:space="preserve"> </w:t>
      </w:r>
      <w:r>
        <w:rPr>
          <w:rFonts w:cs="FrankRuehl"/>
          <w:sz w:val="20"/>
          <w:szCs w:val="22"/>
          <w:rtl/>
        </w:rPr>
        <w:t>מעמד</w:t>
      </w:r>
      <w:r>
        <w:rPr>
          <w:rFonts w:cs="FrankRuehl" w:hint="cs"/>
          <w:sz w:val="20"/>
          <w:szCs w:val="22"/>
          <w:rtl/>
        </w:rPr>
        <w:t>ם</w:t>
      </w:r>
      <w:r>
        <w:rPr>
          <w:rFonts w:cs="FrankRuehl"/>
          <w:sz w:val="20"/>
          <w:szCs w:val="22"/>
          <w:rtl/>
        </w:rPr>
        <w:t xml:space="preserve"> </w:t>
      </w:r>
      <w:r>
        <w:rPr>
          <w:rFonts w:cs="FrankRuehl" w:hint="cs"/>
          <w:sz w:val="20"/>
          <w:szCs w:val="22"/>
          <w:rtl/>
        </w:rPr>
        <w:t>של</w:t>
      </w:r>
      <w:r>
        <w:rPr>
          <w:rFonts w:cs="FrankRuehl"/>
          <w:sz w:val="20"/>
          <w:szCs w:val="22"/>
          <w:rtl/>
        </w:rPr>
        <w:t xml:space="preserve"> האזרחים הוותיקים תוך</w:t>
      </w:r>
      <w:r>
        <w:rPr>
          <w:rFonts w:cs="FrankRuehl" w:hint="cs"/>
          <w:sz w:val="20"/>
          <w:szCs w:val="22"/>
          <w:rtl/>
        </w:rPr>
        <w:t xml:space="preserve"> כדי</w:t>
      </w:r>
      <w:r>
        <w:rPr>
          <w:rFonts w:cs="FrankRuehl"/>
          <w:sz w:val="20"/>
          <w:szCs w:val="22"/>
          <w:rtl/>
        </w:rPr>
        <w:t xml:space="preserve"> העצמתם והפיכתם מרכזיים </w:t>
      </w:r>
      <w:r>
        <w:rPr>
          <w:rFonts w:cs="FrankRuehl" w:hint="cs"/>
          <w:sz w:val="20"/>
          <w:szCs w:val="22"/>
          <w:rtl/>
        </w:rPr>
        <w:t>ו</w:t>
      </w:r>
      <w:r>
        <w:rPr>
          <w:rFonts w:cs="FrankRuehl"/>
          <w:sz w:val="20"/>
          <w:szCs w:val="22"/>
          <w:rtl/>
        </w:rPr>
        <w:t>משפיעים בחברה.</w:t>
      </w:r>
    </w:p>
    <w:p w:rsidR="00F60E90">
      <w:pPr>
        <w:spacing w:after="120" w:line="230" w:lineRule="exact"/>
        <w:jc w:val="both"/>
        <w:rPr>
          <w:rFonts w:cs="FrankRuehl"/>
          <w:sz w:val="20"/>
          <w:szCs w:val="22"/>
        </w:rPr>
      </w:pPr>
    </w:p>
    <w:p w:rsidR="00F60E90">
      <w:pPr>
        <w:spacing w:after="120" w:line="230" w:lineRule="exact"/>
        <w:jc w:val="both"/>
        <w:rPr>
          <w:rFonts w:cs="FrankRuehl"/>
          <w:sz w:val="20"/>
          <w:szCs w:val="22"/>
          <w:rtl/>
        </w:rPr>
      </w:pPr>
    </w:p>
    <w:p w:rsidR="00F60E90">
      <w:pPr>
        <w:pStyle w:val="KOT4"/>
        <w:rPr>
          <w:rtl/>
        </w:rPr>
      </w:pPr>
      <w:r>
        <w:rPr>
          <w:rFonts w:hint="cs"/>
          <w:rtl/>
        </w:rPr>
        <w:t>פעולות הביקורת</w:t>
      </w:r>
    </w:p>
    <w:p w:rsidR="00F60E90" w:rsidP="009B34BB">
      <w:pPr>
        <w:spacing w:after="120" w:line="230" w:lineRule="exact"/>
        <w:jc w:val="both"/>
        <w:rPr>
          <w:rFonts w:cs="FrankRuehl"/>
          <w:sz w:val="20"/>
          <w:szCs w:val="22"/>
          <w:rtl/>
        </w:rPr>
      </w:pPr>
      <w:r w:rsidRPr="009B34BB">
        <w:rPr>
          <w:rFonts w:cs="FrankRuehl" w:hint="cs"/>
          <w:sz w:val="20"/>
          <w:szCs w:val="22"/>
          <w:rtl/>
        </w:rPr>
        <w:t>בחודשים</w:t>
      </w:r>
      <w:r w:rsidRPr="009B34BB">
        <w:rPr>
          <w:rFonts w:cs="FrankRuehl"/>
          <w:sz w:val="20"/>
          <w:szCs w:val="22"/>
          <w:rtl/>
        </w:rPr>
        <w:t xml:space="preserve"> </w:t>
      </w:r>
      <w:r w:rsidRPr="009B34BB">
        <w:rPr>
          <w:rFonts w:cs="FrankRuehl" w:hint="cs"/>
          <w:sz w:val="20"/>
          <w:szCs w:val="22"/>
          <w:rtl/>
        </w:rPr>
        <w:t>נובמבר</w:t>
      </w:r>
      <w:r w:rsidRPr="009B34BB">
        <w:rPr>
          <w:rFonts w:cs="FrankRuehl"/>
          <w:sz w:val="20"/>
          <w:szCs w:val="22"/>
          <w:rtl/>
        </w:rPr>
        <w:t xml:space="preserve"> 2013</w:t>
      </w:r>
      <w:r w:rsidRPr="009B34BB">
        <w:rPr>
          <w:rFonts w:cs="FrankRuehl" w:hint="cs"/>
          <w:sz w:val="20"/>
          <w:szCs w:val="22"/>
          <w:rtl/>
        </w:rPr>
        <w:t xml:space="preserve"> </w:t>
      </w:r>
      <w:r w:rsidRPr="009B34BB">
        <w:rPr>
          <w:rFonts w:cs="FrankRuehl"/>
          <w:sz w:val="20"/>
          <w:szCs w:val="22"/>
          <w:rtl/>
        </w:rPr>
        <w:t>-</w:t>
      </w:r>
      <w:r w:rsidRPr="009B34BB">
        <w:rPr>
          <w:rFonts w:cs="FrankRuehl" w:hint="cs"/>
          <w:sz w:val="20"/>
          <w:szCs w:val="22"/>
          <w:rtl/>
        </w:rPr>
        <w:t xml:space="preserve"> </w:t>
      </w:r>
      <w:r w:rsidRPr="009B34BB">
        <w:rPr>
          <w:rFonts w:cs="FrankRuehl"/>
          <w:sz w:val="20"/>
          <w:szCs w:val="22"/>
          <w:rtl/>
        </w:rPr>
        <w:t xml:space="preserve">אפריל 2014 </w:t>
      </w:r>
      <w:r w:rsidRPr="009B34BB">
        <w:rPr>
          <w:rFonts w:cs="FrankRuehl" w:hint="cs"/>
          <w:sz w:val="20"/>
          <w:szCs w:val="22"/>
          <w:rtl/>
        </w:rPr>
        <w:t>בדק</w:t>
      </w:r>
      <w:r w:rsidRPr="009B34BB">
        <w:rPr>
          <w:rFonts w:cs="FrankRuehl"/>
          <w:sz w:val="20"/>
          <w:szCs w:val="22"/>
          <w:rtl/>
        </w:rPr>
        <w:t xml:space="preserve"> </w:t>
      </w:r>
      <w:r w:rsidRPr="009B34BB">
        <w:rPr>
          <w:rFonts w:cs="FrankRuehl" w:hint="cs"/>
          <w:sz w:val="20"/>
          <w:szCs w:val="22"/>
          <w:rtl/>
        </w:rPr>
        <w:t>משרד</w:t>
      </w:r>
      <w:r w:rsidRPr="009B34BB">
        <w:rPr>
          <w:rFonts w:cs="FrankRuehl"/>
          <w:sz w:val="20"/>
          <w:szCs w:val="22"/>
          <w:rtl/>
        </w:rPr>
        <w:t xml:space="preserve"> </w:t>
      </w:r>
      <w:r w:rsidRPr="009B34BB">
        <w:rPr>
          <w:rFonts w:cs="FrankRuehl" w:hint="cs"/>
          <w:sz w:val="20"/>
          <w:szCs w:val="22"/>
          <w:rtl/>
        </w:rPr>
        <w:t>מבקר</w:t>
      </w:r>
      <w:r w:rsidRPr="009B34BB">
        <w:rPr>
          <w:rFonts w:cs="FrankRuehl"/>
          <w:sz w:val="20"/>
          <w:szCs w:val="22"/>
          <w:rtl/>
        </w:rPr>
        <w:t xml:space="preserve"> </w:t>
      </w:r>
      <w:r w:rsidRPr="009B34BB">
        <w:rPr>
          <w:rFonts w:cs="FrankRuehl" w:hint="cs"/>
          <w:sz w:val="20"/>
          <w:szCs w:val="22"/>
          <w:rtl/>
        </w:rPr>
        <w:t>המדינה</w:t>
      </w:r>
      <w:r w:rsidRPr="009B34BB">
        <w:rPr>
          <w:rFonts w:cs="FrankRuehl"/>
          <w:sz w:val="20"/>
          <w:szCs w:val="22"/>
          <w:rtl/>
        </w:rPr>
        <w:t xml:space="preserve"> </w:t>
      </w:r>
      <w:r w:rsidRPr="009B34BB">
        <w:rPr>
          <w:rFonts w:cs="FrankRuehl" w:hint="cs"/>
          <w:sz w:val="20"/>
          <w:szCs w:val="22"/>
          <w:rtl/>
        </w:rPr>
        <w:t>את</w:t>
      </w:r>
      <w:r w:rsidRPr="009B34BB">
        <w:rPr>
          <w:rFonts w:cs="FrankRuehl"/>
          <w:sz w:val="20"/>
          <w:szCs w:val="22"/>
          <w:rtl/>
        </w:rPr>
        <w:t xml:space="preserve"> </w:t>
      </w:r>
      <w:r w:rsidRPr="009B34BB">
        <w:rPr>
          <w:rFonts w:cs="FrankRuehl" w:hint="cs"/>
          <w:sz w:val="20"/>
          <w:szCs w:val="22"/>
          <w:rtl/>
        </w:rPr>
        <w:t>השירות</w:t>
      </w:r>
      <w:r w:rsidRPr="009B34BB">
        <w:rPr>
          <w:rFonts w:cs="FrankRuehl"/>
          <w:sz w:val="20"/>
          <w:szCs w:val="22"/>
          <w:rtl/>
        </w:rPr>
        <w:t xml:space="preserve"> </w:t>
      </w:r>
      <w:r w:rsidRPr="009B34BB">
        <w:rPr>
          <w:rFonts w:cs="FrankRuehl" w:hint="cs"/>
          <w:sz w:val="20"/>
          <w:szCs w:val="22"/>
          <w:rtl/>
        </w:rPr>
        <w:t>הניתן</w:t>
      </w:r>
      <w:r w:rsidRPr="009B34BB">
        <w:rPr>
          <w:rFonts w:cs="FrankRuehl"/>
          <w:sz w:val="20"/>
          <w:szCs w:val="22"/>
          <w:rtl/>
        </w:rPr>
        <w:t xml:space="preserve"> </w:t>
      </w:r>
      <w:r w:rsidRPr="009B34BB">
        <w:rPr>
          <w:rFonts w:cs="FrankRuehl" w:hint="cs"/>
          <w:sz w:val="20"/>
          <w:szCs w:val="22"/>
          <w:rtl/>
        </w:rPr>
        <w:t>לזקן</w:t>
      </w:r>
      <w:r w:rsidRPr="009B34BB">
        <w:rPr>
          <w:rFonts w:cs="FrankRuehl"/>
          <w:sz w:val="20"/>
          <w:szCs w:val="22"/>
          <w:rtl/>
        </w:rPr>
        <w:t xml:space="preserve"> </w:t>
      </w:r>
      <w:r w:rsidRPr="009B34BB">
        <w:rPr>
          <w:rFonts w:cs="FrankRuehl" w:hint="cs"/>
          <w:sz w:val="20"/>
          <w:szCs w:val="22"/>
          <w:rtl/>
        </w:rPr>
        <w:t>בתוך הקהילה</w:t>
      </w:r>
      <w:r w:rsidRPr="009B34BB">
        <w:rPr>
          <w:rFonts w:cs="FrankRuehl"/>
          <w:sz w:val="20"/>
          <w:szCs w:val="22"/>
          <w:rtl/>
        </w:rPr>
        <w:t xml:space="preserve">. </w:t>
      </w:r>
      <w:r w:rsidRPr="009B34BB">
        <w:rPr>
          <w:rFonts w:cs="FrankRuehl" w:hint="cs"/>
          <w:sz w:val="20"/>
          <w:szCs w:val="22"/>
          <w:rtl/>
        </w:rPr>
        <w:t>הביקורת</w:t>
      </w:r>
      <w:r w:rsidRPr="009B34BB">
        <w:rPr>
          <w:rFonts w:cs="FrankRuehl"/>
          <w:sz w:val="20"/>
          <w:szCs w:val="22"/>
          <w:rtl/>
        </w:rPr>
        <w:t xml:space="preserve"> </w:t>
      </w:r>
      <w:r w:rsidRPr="009B34BB">
        <w:rPr>
          <w:rFonts w:cs="FrankRuehl" w:hint="cs"/>
          <w:sz w:val="20"/>
          <w:szCs w:val="22"/>
          <w:rtl/>
        </w:rPr>
        <w:t>נערכה</w:t>
      </w:r>
      <w:r w:rsidRPr="009B34BB">
        <w:rPr>
          <w:rFonts w:cs="FrankRuehl"/>
          <w:sz w:val="20"/>
          <w:szCs w:val="22"/>
          <w:rtl/>
        </w:rPr>
        <w:t xml:space="preserve"> </w:t>
      </w:r>
      <w:r w:rsidRPr="009B34BB">
        <w:rPr>
          <w:rFonts w:cs="FrankRuehl" w:hint="cs"/>
          <w:sz w:val="20"/>
          <w:szCs w:val="22"/>
          <w:rtl/>
        </w:rPr>
        <w:t>בעיריות</w:t>
      </w:r>
      <w:r w:rsidRPr="009B34BB">
        <w:rPr>
          <w:rFonts w:cs="FrankRuehl"/>
          <w:sz w:val="20"/>
          <w:szCs w:val="22"/>
          <w:rtl/>
        </w:rPr>
        <w:t xml:space="preserve"> </w:t>
      </w:r>
      <w:r w:rsidRPr="009B34BB">
        <w:rPr>
          <w:rFonts w:cs="FrankRuehl" w:hint="cs"/>
          <w:sz w:val="20"/>
          <w:szCs w:val="22"/>
          <w:rtl/>
        </w:rPr>
        <w:t>אום</w:t>
      </w:r>
      <w:r w:rsidRPr="009B34BB">
        <w:rPr>
          <w:rFonts w:cs="FrankRuehl"/>
          <w:sz w:val="20"/>
          <w:szCs w:val="22"/>
          <w:rtl/>
        </w:rPr>
        <w:t xml:space="preserve"> </w:t>
      </w:r>
      <w:r w:rsidRPr="009B34BB">
        <w:rPr>
          <w:rFonts w:cs="FrankRuehl" w:hint="cs"/>
          <w:sz w:val="20"/>
          <w:szCs w:val="22"/>
          <w:rtl/>
        </w:rPr>
        <w:t>אל</w:t>
      </w:r>
      <w:r w:rsidRPr="009B34BB">
        <w:rPr>
          <w:rFonts w:cs="FrankRuehl"/>
          <w:sz w:val="20"/>
          <w:szCs w:val="22"/>
          <w:rtl/>
        </w:rPr>
        <w:t xml:space="preserve">-פחם, באקה </w:t>
      </w:r>
      <w:r w:rsidRPr="009B34BB">
        <w:rPr>
          <w:rFonts w:cs="FrankRuehl" w:hint="cs"/>
          <w:sz w:val="20"/>
          <w:szCs w:val="22"/>
          <w:rtl/>
        </w:rPr>
        <w:t>אל</w:t>
      </w:r>
      <w:r w:rsidRPr="009B34BB">
        <w:rPr>
          <w:rFonts w:cs="FrankRuehl"/>
          <w:sz w:val="20"/>
          <w:szCs w:val="22"/>
          <w:rtl/>
        </w:rPr>
        <w:t>-</w:t>
      </w:r>
      <w:r w:rsidRPr="009B34BB">
        <w:rPr>
          <w:rFonts w:cs="FrankRuehl" w:hint="cs"/>
          <w:sz w:val="20"/>
          <w:szCs w:val="22"/>
          <w:rtl/>
        </w:rPr>
        <w:t>גרבייה,</w:t>
      </w:r>
      <w:r w:rsidRPr="009B34BB">
        <w:rPr>
          <w:rFonts w:cs="FrankRuehl"/>
          <w:sz w:val="20"/>
          <w:szCs w:val="22"/>
          <w:rtl/>
        </w:rPr>
        <w:t xml:space="preserve"> </w:t>
      </w:r>
      <w:r w:rsidRPr="009B34BB">
        <w:rPr>
          <w:rFonts w:cs="FrankRuehl" w:hint="cs"/>
          <w:sz w:val="20"/>
          <w:szCs w:val="22"/>
          <w:rtl/>
        </w:rPr>
        <w:t>חיפה</w:t>
      </w:r>
      <w:r w:rsidRPr="009B34BB">
        <w:rPr>
          <w:rFonts w:cs="FrankRuehl"/>
          <w:sz w:val="20"/>
          <w:szCs w:val="22"/>
          <w:rtl/>
        </w:rPr>
        <w:t xml:space="preserve">, </w:t>
      </w:r>
      <w:r w:rsidRPr="009B34BB">
        <w:rPr>
          <w:rFonts w:cs="FrankRuehl" w:hint="cs"/>
          <w:sz w:val="20"/>
          <w:szCs w:val="22"/>
          <w:rtl/>
        </w:rPr>
        <w:t>מגדל</w:t>
      </w:r>
      <w:r w:rsidRPr="009B34BB">
        <w:rPr>
          <w:rFonts w:cs="FrankRuehl"/>
          <w:sz w:val="20"/>
          <w:szCs w:val="22"/>
          <w:rtl/>
        </w:rPr>
        <w:t xml:space="preserve"> </w:t>
      </w:r>
      <w:r w:rsidRPr="009B34BB">
        <w:rPr>
          <w:rFonts w:cs="FrankRuehl" w:hint="cs"/>
          <w:sz w:val="20"/>
          <w:szCs w:val="22"/>
          <w:rtl/>
        </w:rPr>
        <w:t>העמק</w:t>
      </w:r>
      <w:r w:rsidRPr="009B34BB">
        <w:rPr>
          <w:rFonts w:cs="FrankRuehl"/>
          <w:sz w:val="20"/>
          <w:szCs w:val="22"/>
          <w:rtl/>
        </w:rPr>
        <w:t xml:space="preserve">, </w:t>
      </w:r>
      <w:r w:rsidRPr="009B34BB">
        <w:rPr>
          <w:rFonts w:cs="FrankRuehl" w:hint="cs"/>
          <w:sz w:val="20"/>
          <w:szCs w:val="22"/>
          <w:rtl/>
        </w:rPr>
        <w:t>מודיעין</w:t>
      </w:r>
      <w:r w:rsidRPr="009B34BB">
        <w:rPr>
          <w:rFonts w:cs="FrankRuehl"/>
          <w:sz w:val="20"/>
          <w:szCs w:val="22"/>
          <w:rtl/>
        </w:rPr>
        <w:t xml:space="preserve"> </w:t>
      </w:r>
      <w:r w:rsidRPr="009B34BB">
        <w:rPr>
          <w:rFonts w:cs="FrankRuehl" w:hint="cs"/>
          <w:sz w:val="20"/>
          <w:szCs w:val="22"/>
          <w:rtl/>
        </w:rPr>
        <w:t>עילית</w:t>
      </w:r>
      <w:r w:rsidRPr="009B34BB">
        <w:rPr>
          <w:rFonts w:cs="FrankRuehl"/>
          <w:sz w:val="20"/>
          <w:szCs w:val="22"/>
          <w:rtl/>
        </w:rPr>
        <w:t>,</w:t>
      </w:r>
      <w:r w:rsidRPr="009B34BB">
        <w:rPr>
          <w:rFonts w:cs="FrankRuehl" w:hint="cs"/>
          <w:sz w:val="20"/>
          <w:szCs w:val="22"/>
          <w:rtl/>
        </w:rPr>
        <w:t xml:space="preserve"> עפולה</w:t>
      </w:r>
      <w:r w:rsidRPr="009B34BB">
        <w:rPr>
          <w:rFonts w:cs="FrankRuehl"/>
          <w:sz w:val="20"/>
          <w:szCs w:val="22"/>
          <w:rtl/>
        </w:rPr>
        <w:t xml:space="preserve">, </w:t>
      </w:r>
      <w:r w:rsidRPr="009B34BB">
        <w:rPr>
          <w:rFonts w:cs="FrankRuehl" w:hint="cs"/>
          <w:sz w:val="20"/>
          <w:szCs w:val="22"/>
          <w:rtl/>
        </w:rPr>
        <w:t>קלנסווה</w:t>
      </w:r>
      <w:r w:rsidRPr="009B34BB">
        <w:rPr>
          <w:rFonts w:cs="FrankRuehl"/>
          <w:sz w:val="20"/>
          <w:szCs w:val="22"/>
          <w:rtl/>
        </w:rPr>
        <w:t xml:space="preserve"> </w:t>
      </w:r>
      <w:r w:rsidRPr="009B34BB">
        <w:rPr>
          <w:rFonts w:cs="FrankRuehl" w:hint="cs"/>
          <w:sz w:val="20"/>
          <w:szCs w:val="22"/>
          <w:rtl/>
        </w:rPr>
        <w:t>ו</w:t>
      </w:r>
      <w:r w:rsidRPr="009B34BB">
        <w:rPr>
          <w:rFonts w:cs="FrankRuehl"/>
          <w:sz w:val="20"/>
          <w:szCs w:val="22"/>
          <w:rtl/>
        </w:rPr>
        <w:t xml:space="preserve">קריית שמונה </w:t>
      </w:r>
      <w:r w:rsidRPr="009B34BB">
        <w:rPr>
          <w:rFonts w:cs="FrankRuehl" w:hint="cs"/>
          <w:sz w:val="20"/>
          <w:szCs w:val="22"/>
          <w:rtl/>
        </w:rPr>
        <w:t>ובמועצות</w:t>
      </w:r>
      <w:r w:rsidRPr="009B34BB">
        <w:rPr>
          <w:rFonts w:cs="FrankRuehl"/>
          <w:sz w:val="20"/>
          <w:szCs w:val="22"/>
          <w:rtl/>
        </w:rPr>
        <w:t xml:space="preserve"> </w:t>
      </w:r>
      <w:r w:rsidRPr="009B34BB">
        <w:rPr>
          <w:rFonts w:cs="FrankRuehl" w:hint="cs"/>
          <w:sz w:val="20"/>
          <w:szCs w:val="22"/>
          <w:rtl/>
        </w:rPr>
        <w:t>האזוריות</w:t>
      </w:r>
      <w:r w:rsidRPr="009B34BB">
        <w:rPr>
          <w:rFonts w:cs="FrankRuehl"/>
          <w:sz w:val="20"/>
          <w:szCs w:val="22"/>
          <w:rtl/>
        </w:rPr>
        <w:t xml:space="preserve"> </w:t>
      </w:r>
      <w:r w:rsidRPr="009B34BB">
        <w:rPr>
          <w:rFonts w:cs="FrankRuehl" w:hint="cs"/>
          <w:sz w:val="20"/>
          <w:szCs w:val="22"/>
          <w:rtl/>
        </w:rPr>
        <w:t>הגליל</w:t>
      </w:r>
      <w:r w:rsidRPr="009B34BB">
        <w:rPr>
          <w:rFonts w:cs="FrankRuehl"/>
          <w:sz w:val="20"/>
          <w:szCs w:val="22"/>
          <w:rtl/>
        </w:rPr>
        <w:t xml:space="preserve"> </w:t>
      </w:r>
      <w:r w:rsidRPr="009B34BB">
        <w:rPr>
          <w:rFonts w:cs="FrankRuehl" w:hint="cs"/>
          <w:sz w:val="20"/>
          <w:szCs w:val="22"/>
          <w:rtl/>
        </w:rPr>
        <w:t>העליון</w:t>
      </w:r>
      <w:r w:rsidRPr="009B34BB">
        <w:rPr>
          <w:rFonts w:cs="FrankRuehl"/>
          <w:sz w:val="20"/>
          <w:szCs w:val="22"/>
          <w:rtl/>
        </w:rPr>
        <w:t xml:space="preserve">, </w:t>
      </w:r>
      <w:r w:rsidRPr="009B34BB">
        <w:rPr>
          <w:rFonts w:cs="FrankRuehl" w:hint="cs"/>
          <w:sz w:val="20"/>
          <w:szCs w:val="22"/>
          <w:rtl/>
        </w:rPr>
        <w:t>מרום</w:t>
      </w:r>
      <w:r w:rsidRPr="009B34BB">
        <w:rPr>
          <w:rFonts w:cs="FrankRuehl"/>
          <w:sz w:val="20"/>
          <w:szCs w:val="22"/>
          <w:rtl/>
        </w:rPr>
        <w:t xml:space="preserve"> </w:t>
      </w:r>
      <w:r w:rsidRPr="009B34BB">
        <w:rPr>
          <w:rFonts w:cs="FrankRuehl" w:hint="cs"/>
          <w:sz w:val="20"/>
          <w:szCs w:val="22"/>
          <w:rtl/>
        </w:rPr>
        <w:t>הגליל</w:t>
      </w:r>
      <w:r w:rsidRPr="009B34BB">
        <w:rPr>
          <w:rFonts w:cs="FrankRuehl"/>
          <w:sz w:val="20"/>
          <w:szCs w:val="22"/>
          <w:rtl/>
        </w:rPr>
        <w:t xml:space="preserve"> </w:t>
      </w:r>
      <w:r w:rsidRPr="009B34BB">
        <w:rPr>
          <w:rFonts w:cs="FrankRuehl" w:hint="cs"/>
          <w:sz w:val="20"/>
          <w:szCs w:val="22"/>
          <w:rtl/>
        </w:rPr>
        <w:t>ולב</w:t>
      </w:r>
      <w:r w:rsidRPr="009B34BB">
        <w:rPr>
          <w:rFonts w:cs="FrankRuehl"/>
          <w:sz w:val="20"/>
          <w:szCs w:val="22"/>
          <w:rtl/>
        </w:rPr>
        <w:t xml:space="preserve"> </w:t>
      </w:r>
      <w:r w:rsidRPr="009B34BB">
        <w:rPr>
          <w:rFonts w:cs="FrankRuehl" w:hint="cs"/>
          <w:sz w:val="20"/>
          <w:szCs w:val="22"/>
          <w:rtl/>
        </w:rPr>
        <w:t>השרון (להלן - הרשויות המקומיות שנבדקו)</w:t>
      </w:r>
      <w:r w:rsidRPr="009B34BB">
        <w:rPr>
          <w:rFonts w:cs="FrankRuehl"/>
          <w:sz w:val="20"/>
          <w:szCs w:val="22"/>
          <w:rtl/>
        </w:rPr>
        <w:t xml:space="preserve">. </w:t>
      </w:r>
      <w:r w:rsidRPr="009B34BB">
        <w:rPr>
          <w:rFonts w:cs="FrankRuehl" w:hint="cs"/>
          <w:sz w:val="20"/>
          <w:szCs w:val="22"/>
          <w:rtl/>
        </w:rPr>
        <w:t>בדיקות</w:t>
      </w:r>
      <w:r w:rsidRPr="009B34BB">
        <w:rPr>
          <w:rFonts w:cs="FrankRuehl"/>
          <w:sz w:val="20"/>
          <w:szCs w:val="22"/>
          <w:rtl/>
        </w:rPr>
        <w:t xml:space="preserve"> </w:t>
      </w:r>
      <w:r w:rsidRPr="009B34BB">
        <w:rPr>
          <w:rFonts w:cs="FrankRuehl" w:hint="cs"/>
          <w:sz w:val="20"/>
          <w:szCs w:val="22"/>
          <w:rtl/>
        </w:rPr>
        <w:t>השלמה</w:t>
      </w:r>
      <w:r w:rsidRPr="009B34BB">
        <w:rPr>
          <w:rFonts w:cs="FrankRuehl"/>
          <w:sz w:val="20"/>
          <w:szCs w:val="22"/>
          <w:rtl/>
        </w:rPr>
        <w:t xml:space="preserve"> </w:t>
      </w:r>
      <w:r w:rsidRPr="009B34BB">
        <w:rPr>
          <w:rFonts w:cs="FrankRuehl" w:hint="cs"/>
          <w:sz w:val="20"/>
          <w:szCs w:val="22"/>
          <w:rtl/>
        </w:rPr>
        <w:t>נערכו</w:t>
      </w:r>
      <w:r w:rsidRPr="009B34BB">
        <w:rPr>
          <w:rFonts w:cs="FrankRuehl"/>
          <w:sz w:val="20"/>
          <w:szCs w:val="22"/>
          <w:rtl/>
        </w:rPr>
        <w:t xml:space="preserve"> </w:t>
      </w:r>
      <w:r w:rsidRPr="009B34BB">
        <w:rPr>
          <w:rFonts w:cs="FrankRuehl" w:hint="cs"/>
          <w:sz w:val="20"/>
          <w:szCs w:val="22"/>
          <w:rtl/>
        </w:rPr>
        <w:t>במשרד</w:t>
      </w:r>
      <w:r w:rsidRPr="009B34BB">
        <w:rPr>
          <w:rFonts w:cs="FrankRuehl"/>
          <w:sz w:val="20"/>
          <w:szCs w:val="22"/>
          <w:rtl/>
        </w:rPr>
        <w:t xml:space="preserve"> </w:t>
      </w:r>
      <w:r w:rsidRPr="009B34BB">
        <w:rPr>
          <w:rFonts w:cs="FrankRuehl" w:hint="cs"/>
          <w:sz w:val="20"/>
          <w:szCs w:val="22"/>
          <w:rtl/>
        </w:rPr>
        <w:t>הרווחה</w:t>
      </w:r>
      <w:r w:rsidRPr="009B34BB">
        <w:rPr>
          <w:rFonts w:cs="FrankRuehl"/>
          <w:sz w:val="20"/>
          <w:szCs w:val="22"/>
          <w:rtl/>
        </w:rPr>
        <w:t xml:space="preserve"> </w:t>
      </w:r>
      <w:r w:rsidRPr="009B34BB">
        <w:rPr>
          <w:rFonts w:cs="FrankRuehl" w:hint="cs"/>
          <w:sz w:val="20"/>
          <w:szCs w:val="22"/>
          <w:rtl/>
        </w:rPr>
        <w:t>ובמשרד</w:t>
      </w:r>
      <w:r w:rsidRPr="009B34BB">
        <w:rPr>
          <w:rFonts w:cs="FrankRuehl"/>
          <w:sz w:val="20"/>
          <w:szCs w:val="22"/>
          <w:rtl/>
        </w:rPr>
        <w:t xml:space="preserve"> </w:t>
      </w:r>
      <w:r w:rsidRPr="009B34BB">
        <w:rPr>
          <w:rFonts w:cs="FrankRuehl" w:hint="cs"/>
          <w:sz w:val="20"/>
          <w:szCs w:val="22"/>
          <w:rtl/>
        </w:rPr>
        <w:t>לאזרחים</w:t>
      </w:r>
      <w:r w:rsidRPr="009B34BB">
        <w:rPr>
          <w:rFonts w:cs="FrankRuehl"/>
          <w:sz w:val="20"/>
          <w:szCs w:val="22"/>
          <w:rtl/>
        </w:rPr>
        <w:t xml:space="preserve"> </w:t>
      </w:r>
      <w:r w:rsidRPr="009B34BB">
        <w:rPr>
          <w:rFonts w:cs="FrankRuehl" w:hint="cs"/>
          <w:sz w:val="20"/>
          <w:szCs w:val="22"/>
          <w:rtl/>
        </w:rPr>
        <w:t>ותיקים</w:t>
      </w:r>
      <w:r w:rsidRPr="009B34BB">
        <w:rPr>
          <w:rFonts w:cs="FrankRuehl"/>
          <w:sz w:val="20"/>
          <w:szCs w:val="22"/>
          <w:rtl/>
        </w:rPr>
        <w:t>.</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4"/>
        <w:rPr>
          <w:rtl/>
        </w:rPr>
      </w:pPr>
      <w:r>
        <w:rPr>
          <w:rFonts w:hint="cs"/>
          <w:rtl/>
        </w:rPr>
        <w:t>המחלקות לשירותים חברתיים ברשויות המקומיות</w:t>
      </w:r>
    </w:p>
    <w:p w:rsidR="00F60E90">
      <w:pPr>
        <w:spacing w:after="120" w:line="230" w:lineRule="exact"/>
        <w:jc w:val="both"/>
        <w:rPr>
          <w:rFonts w:cs="FrankRuehl"/>
          <w:sz w:val="20"/>
          <w:szCs w:val="22"/>
          <w:rtl/>
        </w:rPr>
      </w:pPr>
      <w:r>
        <w:rPr>
          <w:rFonts w:cs="FrankRuehl"/>
          <w:sz w:val="20"/>
          <w:szCs w:val="22"/>
          <w:rtl/>
        </w:rPr>
        <w:t>המחלקות לשירותים חברתיים פועלות מתוקף חוק שירותי הסעד</w:t>
      </w:r>
      <w:r>
        <w:rPr>
          <w:rFonts w:cs="FrankRuehl" w:hint="cs"/>
          <w:sz w:val="20"/>
          <w:szCs w:val="22"/>
          <w:rtl/>
        </w:rPr>
        <w:t>,</w:t>
      </w:r>
      <w:r>
        <w:rPr>
          <w:rFonts w:cs="FrankRuehl"/>
          <w:sz w:val="20"/>
          <w:szCs w:val="22"/>
          <w:rtl/>
        </w:rPr>
        <w:t xml:space="preserve"> התשי"ח-1958 (להלן</w:t>
      </w:r>
      <w:r>
        <w:rPr>
          <w:rFonts w:cs="FrankRuehl" w:hint="cs"/>
          <w:sz w:val="20"/>
          <w:szCs w:val="22"/>
          <w:rtl/>
        </w:rPr>
        <w:t xml:space="preserve"> </w:t>
      </w:r>
      <w:r>
        <w:rPr>
          <w:rFonts w:cs="FrankRuehl"/>
          <w:sz w:val="20"/>
          <w:szCs w:val="22"/>
          <w:rtl/>
        </w:rPr>
        <w:t xml:space="preserve">- </w:t>
      </w:r>
      <w:r>
        <w:rPr>
          <w:rFonts w:cs="FrankRuehl" w:hint="cs"/>
          <w:sz w:val="20"/>
          <w:szCs w:val="22"/>
          <w:rtl/>
        </w:rPr>
        <w:t>ח</w:t>
      </w:r>
      <w:r>
        <w:rPr>
          <w:rFonts w:cs="FrankRuehl"/>
          <w:sz w:val="20"/>
          <w:szCs w:val="22"/>
          <w:rtl/>
        </w:rPr>
        <w:t>וק הסעד)</w:t>
      </w:r>
      <w:r>
        <w:rPr>
          <w:rFonts w:cs="FrankRuehl" w:hint="cs"/>
          <w:sz w:val="20"/>
          <w:szCs w:val="22"/>
          <w:rtl/>
        </w:rPr>
        <w:t>,</w:t>
      </w:r>
      <w:r>
        <w:rPr>
          <w:rFonts w:cs="FrankRuehl"/>
          <w:sz w:val="20"/>
          <w:szCs w:val="22"/>
          <w:rtl/>
        </w:rPr>
        <w:t xml:space="preserve"> </w:t>
      </w:r>
      <w:r>
        <w:rPr>
          <w:rFonts w:cs="FrankRuehl" w:hint="cs"/>
          <w:sz w:val="20"/>
          <w:szCs w:val="22"/>
          <w:rtl/>
        </w:rPr>
        <w:t xml:space="preserve">ומתוקף </w:t>
      </w:r>
      <w:r>
        <w:rPr>
          <w:rFonts w:cs="FrankRuehl"/>
          <w:sz w:val="20"/>
          <w:szCs w:val="22"/>
          <w:rtl/>
        </w:rPr>
        <w:t>תקנות שירותי הסעד (טיפול בנזקקים),</w:t>
      </w:r>
      <w:r>
        <w:rPr>
          <w:rFonts w:cs="FrankRuehl" w:hint="cs"/>
          <w:sz w:val="20"/>
          <w:szCs w:val="22"/>
          <w:rtl/>
        </w:rPr>
        <w:t xml:space="preserve"> </w:t>
      </w:r>
      <w:r>
        <w:rPr>
          <w:rFonts w:cs="FrankRuehl"/>
          <w:sz w:val="20"/>
          <w:szCs w:val="22"/>
          <w:rtl/>
        </w:rPr>
        <w:t>התש</w:t>
      </w:r>
      <w:r>
        <w:rPr>
          <w:rFonts w:cs="FrankRuehl" w:hint="cs"/>
          <w:sz w:val="20"/>
          <w:szCs w:val="22"/>
          <w:rtl/>
        </w:rPr>
        <w:t>מ</w:t>
      </w:r>
      <w:r>
        <w:rPr>
          <w:rFonts w:cs="FrankRuehl"/>
          <w:sz w:val="20"/>
          <w:szCs w:val="22"/>
          <w:rtl/>
        </w:rPr>
        <w:t>"</w:t>
      </w:r>
      <w:r>
        <w:rPr>
          <w:rFonts w:cs="FrankRuehl" w:hint="cs"/>
          <w:sz w:val="20"/>
          <w:szCs w:val="22"/>
          <w:rtl/>
        </w:rPr>
        <w:t>ו</w:t>
      </w:r>
      <w:r>
        <w:rPr>
          <w:rFonts w:cs="FrankRuehl"/>
          <w:sz w:val="20"/>
          <w:szCs w:val="22"/>
          <w:rtl/>
        </w:rPr>
        <w:t>-1986 (להלן - תקנות שירותי הסעד)</w:t>
      </w:r>
      <w:r>
        <w:rPr>
          <w:rFonts w:cs="FrankRuehl" w:hint="cs"/>
          <w:sz w:val="20"/>
          <w:szCs w:val="22"/>
          <w:rtl/>
        </w:rPr>
        <w:t>, ו</w:t>
      </w:r>
      <w:r>
        <w:rPr>
          <w:rFonts w:cs="FrankRuehl"/>
          <w:sz w:val="20"/>
          <w:szCs w:val="22"/>
          <w:rtl/>
        </w:rPr>
        <w:t xml:space="preserve">תקנות </w:t>
      </w:r>
      <w:r>
        <w:rPr>
          <w:rFonts w:cs="FrankRuehl" w:hint="cs"/>
          <w:sz w:val="20"/>
          <w:szCs w:val="22"/>
          <w:rtl/>
        </w:rPr>
        <w:t>שירותי</w:t>
      </w:r>
      <w:r>
        <w:rPr>
          <w:rFonts w:cs="FrankRuehl"/>
          <w:sz w:val="20"/>
          <w:szCs w:val="22"/>
          <w:rtl/>
        </w:rPr>
        <w:t xml:space="preserve"> </w:t>
      </w:r>
      <w:r>
        <w:rPr>
          <w:rFonts w:cs="FrankRuehl" w:hint="cs"/>
          <w:sz w:val="20"/>
          <w:szCs w:val="22"/>
          <w:rtl/>
        </w:rPr>
        <w:t>ה</w:t>
      </w:r>
      <w:r>
        <w:rPr>
          <w:rFonts w:cs="FrankRuehl"/>
          <w:sz w:val="20"/>
          <w:szCs w:val="22"/>
          <w:rtl/>
        </w:rPr>
        <w:t>סעד (תפקיד המנהל וועדת הסעד)</w:t>
      </w:r>
      <w:r>
        <w:rPr>
          <w:rFonts w:cs="FrankRuehl" w:hint="cs"/>
          <w:sz w:val="20"/>
          <w:szCs w:val="22"/>
          <w:rtl/>
        </w:rPr>
        <w:t>,</w:t>
      </w:r>
      <w:r>
        <w:rPr>
          <w:rFonts w:cs="FrankRuehl"/>
          <w:sz w:val="20"/>
          <w:szCs w:val="22"/>
          <w:rtl/>
        </w:rPr>
        <w:t xml:space="preserve"> התשכ"ד-1963</w:t>
      </w:r>
      <w:r>
        <w:rPr>
          <w:rFonts w:cs="FrankRuehl" w:hint="cs"/>
          <w:sz w:val="20"/>
          <w:szCs w:val="22"/>
          <w:rtl/>
        </w:rPr>
        <w:t>.</w:t>
      </w:r>
    </w:p>
    <w:p w:rsidR="00F60E90">
      <w:pPr>
        <w:spacing w:after="120" w:line="230" w:lineRule="exact"/>
        <w:jc w:val="both"/>
        <w:rPr>
          <w:rFonts w:cs="FrankRuehl"/>
          <w:sz w:val="20"/>
          <w:szCs w:val="22"/>
          <w:rtl/>
        </w:rPr>
      </w:pPr>
      <w:r>
        <w:rPr>
          <w:rFonts w:cs="FrankRuehl" w:hint="cs"/>
          <w:sz w:val="20"/>
          <w:szCs w:val="22"/>
          <w:rtl/>
        </w:rPr>
        <w:t>בחוק הסעד, "נזקק" מוגדר כ"אדם הזקוק לסעד מחמת גילו, מצב בריאותו, ליקויו הרוחני או הגופני... הכל לפי מבחנים שנקבעו בתקנות". סעיף 2 לחוק קובע כי "</w:t>
      </w:r>
      <w:r>
        <w:rPr>
          <w:rFonts w:cs="FrankRuehl"/>
          <w:sz w:val="20"/>
          <w:szCs w:val="22"/>
          <w:rtl/>
        </w:rPr>
        <w:t xml:space="preserve">רשות מקומית תקיים לשכת סעד לשם טיפול סוציאלי בנזקקים והגשת סעד להם. שר הרווחה והשירותים החברתיים, </w:t>
      </w:r>
      <w:r>
        <w:rPr>
          <w:rFonts w:cs="FrankRuehl"/>
          <w:sz w:val="20"/>
          <w:szCs w:val="22"/>
          <w:rtl/>
        </w:rPr>
        <w:t>בהתייעצות עם שר הפנים, רשאי להתקין תקנות בדבר ארגונן של לשכות סעד של רשויות מקומיות</w:t>
      </w:r>
      <w:r>
        <w:rPr>
          <w:rFonts w:cs="FrankRuehl" w:hint="cs"/>
          <w:sz w:val="20"/>
          <w:szCs w:val="22"/>
          <w:rtl/>
        </w:rPr>
        <w:t>"</w:t>
      </w:r>
      <w:r>
        <w:rPr>
          <w:rFonts w:cs="FrankRuehl"/>
          <w:sz w:val="20"/>
          <w:szCs w:val="22"/>
          <w:rtl/>
        </w:rPr>
        <w:t>.</w:t>
      </w:r>
    </w:p>
    <w:p w:rsidR="00F60E90">
      <w:pPr>
        <w:spacing w:after="120" w:line="230" w:lineRule="exact"/>
        <w:jc w:val="both"/>
        <w:rPr>
          <w:rFonts w:cs="FrankRuehl"/>
          <w:sz w:val="20"/>
          <w:szCs w:val="22"/>
          <w:rtl/>
        </w:rPr>
      </w:pPr>
      <w:r>
        <w:rPr>
          <w:rFonts w:cs="FrankRuehl" w:hint="cs"/>
          <w:sz w:val="20"/>
          <w:szCs w:val="22"/>
          <w:rtl/>
        </w:rPr>
        <w:t>ב</w:t>
      </w:r>
      <w:r>
        <w:rPr>
          <w:rFonts w:cs="FrankRuehl"/>
          <w:sz w:val="20"/>
          <w:szCs w:val="22"/>
          <w:rtl/>
        </w:rPr>
        <w:t xml:space="preserve">תקנות שירותי הסעד </w:t>
      </w:r>
      <w:r>
        <w:rPr>
          <w:rFonts w:cs="FrankRuehl" w:hint="cs"/>
          <w:sz w:val="20"/>
          <w:szCs w:val="22"/>
          <w:rtl/>
        </w:rPr>
        <w:t>הוגדרו המונחים האלה: "'</w:t>
      </w:r>
      <w:r>
        <w:rPr>
          <w:rFonts w:cs="FrankRuehl"/>
          <w:sz w:val="20"/>
          <w:szCs w:val="22"/>
          <w:rtl/>
        </w:rPr>
        <w:t>זקן</w:t>
      </w:r>
      <w:r>
        <w:rPr>
          <w:rFonts w:cs="FrankRuehl" w:hint="cs"/>
          <w:sz w:val="20"/>
          <w:szCs w:val="22"/>
          <w:rtl/>
        </w:rPr>
        <w:t>'</w:t>
      </w:r>
      <w:r>
        <w:rPr>
          <w:rFonts w:cs="FrankRuehl"/>
          <w:sz w:val="20"/>
          <w:szCs w:val="22"/>
          <w:rtl/>
        </w:rPr>
        <w:t xml:space="preserve"> - </w:t>
      </w:r>
      <w:r>
        <w:rPr>
          <w:rFonts w:cs="FrankRuehl" w:hint="cs"/>
          <w:sz w:val="20"/>
          <w:szCs w:val="22"/>
          <w:rtl/>
        </w:rPr>
        <w:t xml:space="preserve">בגבר </w:t>
      </w:r>
      <w:r>
        <w:rPr>
          <w:rFonts w:cs="FrankRuehl"/>
          <w:sz w:val="20"/>
          <w:szCs w:val="22"/>
          <w:rtl/>
        </w:rPr>
        <w:t>מי שגילו עולה על 65 שנים, ובאישה - מי שגילה עולה על 60 שנים;</w:t>
      </w:r>
      <w:r>
        <w:rPr>
          <w:rFonts w:cs="FrankRuehl" w:hint="cs"/>
          <w:sz w:val="20"/>
          <w:szCs w:val="22"/>
          <w:rtl/>
        </w:rPr>
        <w:t xml:space="preserve"> 'רשות סעד' - רשות מקומית המקיימת לשכת סעד; '</w:t>
      </w:r>
      <w:r>
        <w:rPr>
          <w:rFonts w:cs="FrankRuehl"/>
          <w:sz w:val="20"/>
          <w:szCs w:val="22"/>
          <w:rtl/>
        </w:rPr>
        <w:t>תע"ס</w:t>
      </w:r>
      <w:r>
        <w:rPr>
          <w:rFonts w:cs="FrankRuehl" w:hint="cs"/>
          <w:sz w:val="20"/>
          <w:szCs w:val="22"/>
          <w:rtl/>
        </w:rPr>
        <w:t>'</w:t>
      </w:r>
      <w:r>
        <w:rPr>
          <w:rFonts w:cs="FrankRuehl"/>
          <w:sz w:val="20"/>
          <w:szCs w:val="22"/>
          <w:rtl/>
        </w:rPr>
        <w:t xml:space="preserve"> - הנחיות והוראות המנהל הכללי של משרד העבודה והרווחה (תקנון לעבודה סוציאלית - תע"ס), כתוקפן מזמן לזמן, המצויות לעיון הציבור בלשכות הסעד ובלשכות המחוזיות של המשרד האמור</w:t>
      </w:r>
      <w:r>
        <w:rPr>
          <w:rFonts w:cs="FrankRuehl" w:hint="cs"/>
          <w:sz w:val="20"/>
          <w:szCs w:val="22"/>
          <w:rtl/>
        </w:rPr>
        <w:t>"</w:t>
      </w:r>
      <w:r>
        <w:rPr>
          <w:rFonts w:cs="FrankRuehl"/>
          <w:sz w:val="20"/>
          <w:szCs w:val="22"/>
          <w:rtl/>
        </w:rPr>
        <w:t>.</w:t>
      </w:r>
    </w:p>
    <w:p w:rsidR="00F60E90">
      <w:pPr>
        <w:spacing w:after="120" w:line="230" w:lineRule="exact"/>
        <w:jc w:val="both"/>
        <w:rPr>
          <w:rFonts w:cs="FrankRuehl"/>
          <w:sz w:val="20"/>
          <w:szCs w:val="22"/>
        </w:rPr>
      </w:pPr>
      <w:r>
        <w:rPr>
          <w:rFonts w:cs="FrankRuehl" w:hint="cs"/>
          <w:sz w:val="20"/>
          <w:szCs w:val="22"/>
          <w:rtl/>
        </w:rPr>
        <w:t>על פי התקנות האמורות, "</w:t>
      </w:r>
      <w:r>
        <w:rPr>
          <w:rFonts w:cs="FrankRuehl"/>
          <w:sz w:val="20"/>
          <w:szCs w:val="22"/>
          <w:rtl/>
        </w:rPr>
        <w:t>רשות סעד תגיש סעד וטיפול סוציאלי לנזקק שפנה אליה בבקשה לכך ותישא בהוצאות סעד וטיפול סוציאלי כאמור</w:t>
      </w:r>
      <w:r>
        <w:rPr>
          <w:rFonts w:cs="FrankRuehl" w:hint="cs"/>
          <w:sz w:val="20"/>
          <w:szCs w:val="22"/>
          <w:rtl/>
        </w:rPr>
        <w:t>...</w:t>
      </w:r>
      <w:r>
        <w:rPr>
          <w:rFonts w:cs="FrankRuehl"/>
          <w:sz w:val="20"/>
          <w:szCs w:val="22"/>
          <w:rtl/>
        </w:rPr>
        <w:t xml:space="preserve"> והכל על פי התע"ס</w:t>
      </w:r>
      <w:r>
        <w:rPr>
          <w:rFonts w:cs="FrankRuehl" w:hint="cs"/>
          <w:sz w:val="20"/>
          <w:szCs w:val="22"/>
          <w:rtl/>
        </w:rPr>
        <w:t>"</w:t>
      </w:r>
      <w:r>
        <w:rPr>
          <w:rFonts w:cs="FrankRuehl"/>
          <w:sz w:val="20"/>
          <w:szCs w:val="22"/>
          <w:rtl/>
        </w:rPr>
        <w:t>.</w:t>
      </w:r>
    </w:p>
    <w:p w:rsidR="00081A0B">
      <w:pPr>
        <w:spacing w:after="120" w:line="230" w:lineRule="exact"/>
        <w:jc w:val="both"/>
        <w:rPr>
          <w:rFonts w:cs="FrankRuehl"/>
          <w:sz w:val="20"/>
          <w:szCs w:val="22"/>
        </w:rPr>
      </w:pPr>
    </w:p>
    <w:p w:rsidR="00081A0B">
      <w:pPr>
        <w:spacing w:after="120" w:line="230" w:lineRule="exact"/>
        <w:jc w:val="both"/>
        <w:rPr>
          <w:rFonts w:cs="FrankRuehl"/>
          <w:sz w:val="20"/>
          <w:szCs w:val="22"/>
          <w:rtl/>
        </w:rPr>
      </w:pPr>
    </w:p>
    <w:p w:rsidR="00F60E90">
      <w:pPr>
        <w:pStyle w:val="KOT4"/>
        <w:rPr>
          <w:rtl/>
        </w:rPr>
      </w:pPr>
      <w:r>
        <w:rPr>
          <w:rFonts w:hint="cs"/>
          <w:rtl/>
        </w:rPr>
        <w:t>תקינה ועומס עבודה</w:t>
      </w:r>
    </w:p>
    <w:p w:rsidR="00F60E90">
      <w:pPr>
        <w:spacing w:after="120" w:line="230" w:lineRule="exact"/>
        <w:jc w:val="both"/>
        <w:rPr>
          <w:rFonts w:cs="FrankRuehl"/>
          <w:sz w:val="20"/>
          <w:szCs w:val="22"/>
          <w:rtl/>
        </w:rPr>
      </w:pPr>
      <w:r>
        <w:rPr>
          <w:rFonts w:cs="FrankRuehl" w:hint="cs"/>
          <w:sz w:val="20"/>
          <w:szCs w:val="22"/>
          <w:rtl/>
        </w:rPr>
        <w:t xml:space="preserve">המחלקות לשירותים חברתיים אחראיות לטיפול באוכלוסיות החלשות, לרבות אוכלוסיית הזקנים, הנעשה באמצעות עו"סים. בתע"ס </w:t>
      </w:r>
      <w:r>
        <w:rPr>
          <w:rFonts w:cs="FrankRuehl"/>
          <w:sz w:val="20"/>
          <w:szCs w:val="22"/>
          <w:rtl/>
        </w:rPr>
        <w:t xml:space="preserve">נקבע כי את שכרם של עובדי </w:t>
      </w:r>
      <w:r>
        <w:rPr>
          <w:rFonts w:cs="FrankRuehl" w:hint="cs"/>
          <w:sz w:val="20"/>
          <w:szCs w:val="22"/>
          <w:rtl/>
        </w:rPr>
        <w:t xml:space="preserve">מחלקות הרווחה </w:t>
      </w:r>
      <w:r>
        <w:rPr>
          <w:rFonts w:cs="FrankRuehl"/>
          <w:sz w:val="20"/>
          <w:szCs w:val="22"/>
          <w:rtl/>
        </w:rPr>
        <w:t xml:space="preserve">תשלם הרשות המקומית ומשרד הרווחה ישתתף ב-75% מהתשלום, </w:t>
      </w:r>
      <w:r>
        <w:rPr>
          <w:rFonts w:cs="FrankRuehl" w:hint="cs"/>
          <w:sz w:val="20"/>
          <w:szCs w:val="22"/>
          <w:rtl/>
        </w:rPr>
        <w:t xml:space="preserve">וזאת </w:t>
      </w:r>
      <w:r>
        <w:rPr>
          <w:rFonts w:cs="FrankRuehl"/>
          <w:sz w:val="20"/>
          <w:szCs w:val="22"/>
          <w:rtl/>
        </w:rPr>
        <w:t>בכפוף למבנה הארגוני שיא</w:t>
      </w:r>
      <w:r>
        <w:rPr>
          <w:rFonts w:cs="FrankRuehl" w:hint="cs"/>
          <w:sz w:val="20"/>
          <w:szCs w:val="22"/>
          <w:rtl/>
        </w:rPr>
        <w:t>ו</w:t>
      </w:r>
      <w:r>
        <w:rPr>
          <w:rFonts w:cs="FrankRuehl"/>
          <w:sz w:val="20"/>
          <w:szCs w:val="22"/>
          <w:rtl/>
        </w:rPr>
        <w:t>שר למנהל</w:t>
      </w:r>
      <w:r>
        <w:rPr>
          <w:rFonts w:cs="FrankRuehl" w:hint="cs"/>
          <w:sz w:val="20"/>
          <w:szCs w:val="22"/>
          <w:rtl/>
        </w:rPr>
        <w:t xml:space="preserve"> המחלקה</w:t>
      </w:r>
      <w:r>
        <w:rPr>
          <w:rFonts w:cs="FrankRuehl"/>
          <w:sz w:val="20"/>
          <w:szCs w:val="22"/>
          <w:rtl/>
        </w:rPr>
        <w:t xml:space="preserve"> ו</w:t>
      </w:r>
      <w:r>
        <w:rPr>
          <w:rFonts w:cs="FrankRuehl" w:hint="cs"/>
          <w:sz w:val="20"/>
          <w:szCs w:val="22"/>
          <w:rtl/>
        </w:rPr>
        <w:t>בכפוף ל</w:t>
      </w:r>
      <w:r>
        <w:rPr>
          <w:rFonts w:cs="FrankRuehl"/>
          <w:sz w:val="20"/>
          <w:szCs w:val="22"/>
          <w:rtl/>
        </w:rPr>
        <w:t xml:space="preserve">מספר המשרות </w:t>
      </w:r>
      <w:r>
        <w:rPr>
          <w:rFonts w:cs="FrankRuehl" w:hint="cs"/>
          <w:sz w:val="20"/>
          <w:szCs w:val="22"/>
          <w:rtl/>
        </w:rPr>
        <w:t xml:space="preserve">שהמשרד </w:t>
      </w:r>
      <w:r>
        <w:rPr>
          <w:rFonts w:cs="FrankRuehl"/>
          <w:sz w:val="20"/>
          <w:szCs w:val="22"/>
          <w:rtl/>
        </w:rPr>
        <w:t>יקצה לו.</w:t>
      </w:r>
    </w:p>
    <w:p w:rsidR="00F60E90" w:rsidP="009B34BB">
      <w:pPr>
        <w:spacing w:after="120" w:line="230" w:lineRule="exact"/>
        <w:jc w:val="both"/>
        <w:rPr>
          <w:rFonts w:cs="FrankRuehl"/>
          <w:sz w:val="20"/>
          <w:szCs w:val="22"/>
          <w:rtl/>
        </w:rPr>
      </w:pPr>
      <w:r>
        <w:rPr>
          <w:rFonts w:cs="FrankRuehl" w:hint="cs"/>
          <w:sz w:val="20"/>
          <w:szCs w:val="22"/>
          <w:rtl/>
        </w:rPr>
        <w:t>בסעיף כה בהוראה 2.4 לתע"ס מובא תיאור משרתו של עובד סוציאלי לזקן (להלן - עו"ס לזקן) הכולל טיפול בזקנים במטרה לשפר את תפקודם האישי, החברתי והמשפחתי באמצעות ייעוץ, טיפול ישיר ועקיף והפניה למוסדות ולשירותים רלוונטיים; פיתוח קשרים עם אנשים ומוסדות בקהילה למען קידום שירותי המחלקה; הפעלת תכניות משפחתיות קבוצתיות וקהילתיות; קיום מפגשים ישירים עם הזקנים לצורך איתור וטיפול; עמידה בקשר עם הזקנים במוסדות וביקורים לצורך הבטחת המשכיות הטיפול; ניהול רישום ומעקב אחר התכניות הטיפוליות; ייזום איתור בעיות וצרכים חברתיים בקהילה.</w:t>
      </w:r>
    </w:p>
    <w:p w:rsidR="00F60E90" w:rsidP="00CD7F18">
      <w:pPr>
        <w:spacing w:after="240" w:line="230" w:lineRule="exact"/>
        <w:jc w:val="both"/>
        <w:rPr>
          <w:rFonts w:cs="FrankRuehl"/>
          <w:sz w:val="20"/>
          <w:szCs w:val="22"/>
          <w:rtl/>
        </w:rPr>
      </w:pPr>
      <w:r>
        <w:rPr>
          <w:rFonts w:cs="FrankRuehl" w:hint="cs"/>
          <w:sz w:val="20"/>
          <w:szCs w:val="22"/>
          <w:rtl/>
        </w:rPr>
        <w:t>הבדיקה העלתה כי בדרישות מהמועמדים למשרה זו, המפורטות בהוראות התע"ס ובמכרזים שהרשויות המקומיות מפרסמות, לא נכללה הכשרה מקצועית כלשהי בתחום הזקנה, למעט דרישה בסיסית של רישום בפנקס העו"סים.</w:t>
      </w:r>
    </w:p>
    <w:p w:rsidR="00F60E90" w:rsidP="00CD7F18">
      <w:pPr>
        <w:pStyle w:val="RESHET"/>
        <w:rPr>
          <w:rtl/>
        </w:rPr>
      </w:pPr>
      <w:r>
        <w:rPr>
          <w:rFonts w:hint="cs"/>
          <w:rtl/>
        </w:rPr>
        <w:t>לדעת משרד מבקר המדינה, לעו"סים לזקן נדרשים מומחיות מקצועית, ידע בתחום ורגישות ייחודית. לכן, מן הראוי שמשרד הרווחה ינחה את הרשויות המקומיות להעסיק עו"סים לזקן בעלי הכשרה מקצועית מתאימה.</w:t>
      </w:r>
    </w:p>
    <w:p w:rsidR="00F60E90" w:rsidP="00CD7F18">
      <w:pPr>
        <w:spacing w:before="180" w:after="120" w:line="230" w:lineRule="exact"/>
        <w:jc w:val="both"/>
        <w:rPr>
          <w:rFonts w:cs="FrankRuehl"/>
          <w:sz w:val="20"/>
          <w:szCs w:val="22"/>
          <w:rtl/>
        </w:rPr>
      </w:pPr>
      <w:r>
        <w:rPr>
          <w:rFonts w:cs="FrankRuehl" w:hint="cs"/>
          <w:sz w:val="20"/>
          <w:szCs w:val="22"/>
          <w:rtl/>
        </w:rPr>
        <w:t xml:space="preserve">בתשובתה ממאי 2014 ציינה עיריית חיפה כי "עו"סים לטיפול בקשישים מתקבלים לעבודה לאחר שסיימו לימודי </w:t>
      </w:r>
      <w:r>
        <w:rPr>
          <w:rFonts w:cs="FrankRuehl"/>
          <w:sz w:val="20"/>
          <w:szCs w:val="22"/>
          <w:rtl/>
        </w:rPr>
        <w:t>תואר בעבודה סוציאלית. ההכשרה לתפקיד נעשית באמצעות הדרכות ובאמצעות הש</w:t>
      </w:r>
      <w:r>
        <w:rPr>
          <w:rFonts w:cs="FrankRuehl" w:hint="cs"/>
          <w:sz w:val="20"/>
          <w:szCs w:val="22"/>
          <w:rtl/>
        </w:rPr>
        <w:t>ת</w:t>
      </w:r>
      <w:r>
        <w:rPr>
          <w:rFonts w:cs="FrankRuehl"/>
          <w:sz w:val="20"/>
          <w:szCs w:val="22"/>
          <w:rtl/>
        </w:rPr>
        <w:t xml:space="preserve">למויות בתוך מערכת הרווחה ומחוצה לה בהתאם לצורך ולהתפתחות העובד". </w:t>
      </w:r>
    </w:p>
    <w:p w:rsidR="00F60E90">
      <w:pPr>
        <w:spacing w:after="120" w:line="230" w:lineRule="exact"/>
        <w:jc w:val="both"/>
        <w:rPr>
          <w:rFonts w:cs="FrankRuehl"/>
          <w:sz w:val="20"/>
          <w:szCs w:val="22"/>
          <w:rtl/>
        </w:rPr>
      </w:pPr>
      <w:r>
        <w:rPr>
          <w:rFonts w:cs="FrankRuehl" w:hint="cs"/>
          <w:sz w:val="20"/>
          <w:szCs w:val="22"/>
          <w:rtl/>
        </w:rPr>
        <w:t>בתשובתו מיוני 2014 ציין משרד הרווחה: "משרדנו מפעיל בשיתוף פעולה עם אש"ל ובאמצעות ביה"ס המרכזי, קורסים והכשרות לעו"ס עם זקנים. כיום אין חובה לעבור הכשרה כזו אולם אנו חושבים שאכן חשוב בעתיד לחייב עו"ס עם זקנים לעברן". המשרד הוסיף כי "במסגרת הרפורמה במחלקות לשירותים חברתיים, נכתבו תיאורי תפקיד לעו"סים השונים במחלקות. במסגרת זו יוגדרו גם דרישות נסיון והכשרה לתפקידים".</w:t>
      </w:r>
    </w:p>
    <w:p w:rsidR="00F60E90" w:rsidP="00081A0B">
      <w:pPr>
        <w:spacing w:after="240" w:line="230" w:lineRule="exact"/>
        <w:ind w:left="340" w:hanging="340"/>
        <w:jc w:val="both"/>
        <w:rPr>
          <w:rFonts w:cs="FrankRuehl"/>
          <w:sz w:val="20"/>
          <w:szCs w:val="22"/>
          <w:rtl/>
        </w:rPr>
      </w:pPr>
      <w:r>
        <w:rPr>
          <w:rFonts w:cs="FrankRuehl" w:hint="cs"/>
          <w:sz w:val="20"/>
          <w:szCs w:val="22"/>
          <w:rtl/>
        </w:rPr>
        <w:t>1.</w:t>
      </w:r>
      <w:r>
        <w:rPr>
          <w:rFonts w:cs="FrankRuehl" w:hint="cs"/>
          <w:sz w:val="20"/>
          <w:szCs w:val="22"/>
          <w:rtl/>
        </w:rPr>
        <w:tab/>
        <w:t>להלן נתונים הנוגעים למספר הזקנים המטופלים במחלקות לשירותים חברתיים ולמספר המשרות של עו"ס לזקן לשנת 2013, לפי נתוני הרשויות המקומיות שנבדקו:</w:t>
      </w:r>
    </w:p>
    <w:tbl>
      <w:tblPr>
        <w:bidiVisual/>
        <w:tblW w:w="6691" w:type="dxa"/>
        <w:jc w:val="center"/>
        <w:tblBorders>
          <w:top w:val="single" w:sz="12" w:space="0" w:color="auto"/>
          <w:left w:val="single" w:sz="12" w:space="0" w:color="auto"/>
          <w:bottom w:val="single" w:sz="12" w:space="0" w:color="auto"/>
          <w:right w:val="single" w:sz="12" w:space="0" w:color="auto"/>
          <w:insideH w:val="single" w:sz="4" w:space="0" w:color="auto"/>
        </w:tblBorders>
        <w:tblCellMar>
          <w:left w:w="57" w:type="dxa"/>
          <w:right w:w="57" w:type="dxa"/>
        </w:tblCellMar>
        <w:tblLook w:val="04A0"/>
      </w:tblPr>
      <w:tblGrid>
        <w:gridCol w:w="1936"/>
        <w:gridCol w:w="712"/>
        <w:gridCol w:w="729"/>
        <w:gridCol w:w="587"/>
        <w:gridCol w:w="502"/>
        <w:gridCol w:w="700"/>
        <w:gridCol w:w="728"/>
        <w:gridCol w:w="797"/>
      </w:tblGrid>
      <w:tr w:rsidTr="00D53830">
        <w:tblPrEx>
          <w:tblW w:w="6691" w:type="dxa"/>
          <w:jc w:val="center"/>
          <w:tblBorders>
            <w:top w:val="single" w:sz="12" w:space="0" w:color="auto"/>
            <w:left w:val="single" w:sz="12" w:space="0" w:color="auto"/>
            <w:bottom w:val="single" w:sz="12" w:space="0" w:color="auto"/>
            <w:right w:val="single" w:sz="12" w:space="0" w:color="auto"/>
            <w:insideH w:val="single" w:sz="4" w:space="0" w:color="auto"/>
          </w:tblBorders>
          <w:tblCellMar>
            <w:left w:w="57" w:type="dxa"/>
            <w:right w:w="57" w:type="dxa"/>
          </w:tblCellMar>
          <w:tblLook w:val="04A0"/>
        </w:tblPrEx>
        <w:trPr>
          <w:tblHeader/>
          <w:jc w:val="center"/>
        </w:trPr>
        <w:tc>
          <w:tcPr>
            <w:tcW w:w="0" w:type="auto"/>
            <w:tcBorders>
              <w:top w:val="single" w:sz="12"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הרשות </w:t>
            </w:r>
            <w:r>
              <w:rPr>
                <w:rFonts w:eastAsia="Calibri" w:cs="FrankRuehl"/>
                <w:b/>
                <w:bCs/>
                <w:sz w:val="20"/>
                <w:szCs w:val="20"/>
                <w:rtl/>
              </w:rPr>
              <w:br/>
            </w:r>
            <w:r>
              <w:rPr>
                <w:rFonts w:eastAsia="Calibri" w:cs="FrankRuehl" w:hint="cs"/>
                <w:b/>
                <w:bCs/>
                <w:sz w:val="20"/>
                <w:szCs w:val="20"/>
                <w:rtl/>
              </w:rPr>
              <w:t>המקומית</w:t>
            </w:r>
          </w:p>
        </w:tc>
        <w:tc>
          <w:tcPr>
            <w:tcW w:w="0" w:type="auto"/>
            <w:tcBorders>
              <w:top w:val="single" w:sz="12" w:space="0" w:color="auto"/>
              <w:left w:val="single" w:sz="4"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מספר </w:t>
            </w:r>
            <w:r>
              <w:rPr>
                <w:rFonts w:eastAsia="Calibri" w:cs="FrankRuehl"/>
                <w:b/>
                <w:bCs/>
                <w:sz w:val="20"/>
                <w:szCs w:val="20"/>
                <w:rtl/>
              </w:rPr>
              <w:br/>
            </w:r>
            <w:r>
              <w:rPr>
                <w:rFonts w:eastAsia="Calibri" w:cs="FrankRuehl" w:hint="cs"/>
                <w:b/>
                <w:bCs/>
                <w:sz w:val="20"/>
                <w:szCs w:val="20"/>
                <w:rtl/>
              </w:rPr>
              <w:t>התושבים</w:t>
            </w:r>
          </w:p>
        </w:tc>
        <w:tc>
          <w:tcPr>
            <w:tcW w:w="0" w:type="auto"/>
            <w:tcBorders>
              <w:top w:val="single" w:sz="12" w:space="0" w:color="auto"/>
              <w:left w:val="single" w:sz="4"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המדד </w:t>
            </w:r>
            <w:r>
              <w:rPr>
                <w:rFonts w:eastAsia="Calibri" w:cs="FrankRuehl"/>
                <w:b/>
                <w:bCs/>
                <w:sz w:val="20"/>
                <w:szCs w:val="20"/>
                <w:rtl/>
              </w:rPr>
              <w:br/>
            </w:r>
            <w:r>
              <w:rPr>
                <w:rFonts w:eastAsia="Calibri" w:cs="FrankRuehl" w:hint="cs"/>
                <w:b/>
                <w:bCs/>
                <w:sz w:val="20"/>
                <w:szCs w:val="20"/>
                <w:rtl/>
              </w:rPr>
              <w:t>החברתי-</w:t>
            </w:r>
            <w:r>
              <w:rPr>
                <w:rFonts w:eastAsia="Calibri" w:cs="FrankRuehl"/>
                <w:b/>
                <w:bCs/>
                <w:sz w:val="20"/>
                <w:szCs w:val="20"/>
                <w:rtl/>
              </w:rPr>
              <w:br/>
            </w:r>
            <w:r>
              <w:rPr>
                <w:rFonts w:eastAsia="Calibri" w:cs="FrankRuehl" w:hint="cs"/>
                <w:b/>
                <w:bCs/>
                <w:sz w:val="20"/>
                <w:szCs w:val="20"/>
                <w:rtl/>
              </w:rPr>
              <w:t>כלכלי(*)</w:t>
            </w:r>
          </w:p>
        </w:tc>
        <w:tc>
          <w:tcPr>
            <w:tcW w:w="0" w:type="auto"/>
            <w:tcBorders>
              <w:top w:val="single" w:sz="12" w:space="0" w:color="auto"/>
              <w:left w:val="single" w:sz="4"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מספר </w:t>
            </w:r>
            <w:r>
              <w:rPr>
                <w:rFonts w:eastAsia="Calibri" w:cs="FrankRuehl"/>
                <w:b/>
                <w:bCs/>
                <w:sz w:val="20"/>
                <w:szCs w:val="20"/>
                <w:rtl/>
              </w:rPr>
              <w:br/>
            </w:r>
            <w:r>
              <w:rPr>
                <w:rFonts w:eastAsia="Calibri" w:cs="FrankRuehl" w:hint="cs"/>
                <w:b/>
                <w:bCs/>
                <w:sz w:val="20"/>
                <w:szCs w:val="20"/>
                <w:rtl/>
              </w:rPr>
              <w:t>הזקנים</w:t>
            </w:r>
          </w:p>
        </w:tc>
        <w:tc>
          <w:tcPr>
            <w:tcW w:w="0" w:type="auto"/>
            <w:tcBorders>
              <w:top w:val="single" w:sz="12" w:space="0" w:color="auto"/>
              <w:left w:val="single" w:sz="4"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מספר </w:t>
            </w:r>
            <w:r>
              <w:rPr>
                <w:rFonts w:eastAsia="Calibri" w:cs="FrankRuehl"/>
                <w:b/>
                <w:bCs/>
                <w:sz w:val="20"/>
                <w:szCs w:val="20"/>
                <w:rtl/>
              </w:rPr>
              <w:br/>
            </w:r>
            <w:r>
              <w:rPr>
                <w:rFonts w:eastAsia="Calibri" w:cs="FrankRuehl" w:hint="cs"/>
                <w:b/>
                <w:bCs/>
                <w:sz w:val="20"/>
                <w:szCs w:val="20"/>
                <w:rtl/>
              </w:rPr>
              <w:t xml:space="preserve">זכאי </w:t>
            </w:r>
            <w:r>
              <w:rPr>
                <w:rFonts w:eastAsia="Calibri" w:cs="FrankRuehl"/>
                <w:b/>
                <w:bCs/>
                <w:sz w:val="20"/>
                <w:szCs w:val="20"/>
                <w:rtl/>
              </w:rPr>
              <w:br/>
            </w:r>
            <w:r>
              <w:rPr>
                <w:rFonts w:eastAsia="Calibri" w:cs="FrankRuehl" w:hint="cs"/>
                <w:b/>
                <w:bCs/>
                <w:sz w:val="20"/>
                <w:szCs w:val="20"/>
                <w:rtl/>
              </w:rPr>
              <w:t xml:space="preserve">חוק </w:t>
            </w:r>
            <w:r>
              <w:rPr>
                <w:rFonts w:eastAsia="Calibri" w:cs="FrankRuehl"/>
                <w:b/>
                <w:bCs/>
                <w:sz w:val="20"/>
                <w:szCs w:val="20"/>
                <w:rtl/>
              </w:rPr>
              <w:br/>
            </w:r>
            <w:r>
              <w:rPr>
                <w:rFonts w:eastAsia="Calibri" w:cs="FrankRuehl" w:hint="cs"/>
                <w:b/>
                <w:bCs/>
                <w:sz w:val="20"/>
                <w:szCs w:val="20"/>
                <w:rtl/>
              </w:rPr>
              <w:t>סיעוד</w:t>
            </w:r>
          </w:p>
        </w:tc>
        <w:tc>
          <w:tcPr>
            <w:tcW w:w="0" w:type="auto"/>
            <w:tcBorders>
              <w:top w:val="single" w:sz="12" w:space="0" w:color="auto"/>
              <w:left w:val="single" w:sz="4"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סה"כ </w:t>
            </w:r>
            <w:r>
              <w:rPr>
                <w:rFonts w:eastAsia="Calibri" w:cs="FrankRuehl"/>
                <w:b/>
                <w:bCs/>
                <w:sz w:val="20"/>
                <w:szCs w:val="20"/>
                <w:rtl/>
              </w:rPr>
              <w:br/>
            </w:r>
            <w:r>
              <w:rPr>
                <w:rFonts w:eastAsia="Calibri" w:cs="FrankRuehl" w:hint="cs"/>
                <w:b/>
                <w:bCs/>
                <w:sz w:val="20"/>
                <w:szCs w:val="20"/>
                <w:rtl/>
              </w:rPr>
              <w:t xml:space="preserve">זקנים </w:t>
            </w:r>
            <w:r>
              <w:rPr>
                <w:rFonts w:eastAsia="Calibri" w:cs="FrankRuehl"/>
                <w:b/>
                <w:bCs/>
                <w:sz w:val="20"/>
                <w:szCs w:val="20"/>
                <w:rtl/>
              </w:rPr>
              <w:br/>
            </w:r>
            <w:r>
              <w:rPr>
                <w:rFonts w:eastAsia="Calibri" w:cs="FrankRuehl" w:hint="cs"/>
                <w:b/>
                <w:bCs/>
                <w:sz w:val="20"/>
                <w:szCs w:val="20"/>
                <w:rtl/>
              </w:rPr>
              <w:t>מטופלים</w:t>
            </w:r>
          </w:p>
        </w:tc>
        <w:tc>
          <w:tcPr>
            <w:tcW w:w="0" w:type="auto"/>
            <w:tcBorders>
              <w:top w:val="single" w:sz="12" w:space="0" w:color="auto"/>
              <w:left w:val="single" w:sz="4" w:space="0" w:color="auto"/>
              <w:bottom w:val="single" w:sz="12" w:space="0" w:color="auto"/>
              <w:right w:val="single" w:sz="4" w:space="0" w:color="auto"/>
            </w:tcBorders>
            <w:shd w:val="pct10" w:color="auto" w:fill="auto"/>
            <w:vAlign w:val="bottom"/>
          </w:tcPr>
          <w:p w:rsidR="00D53830">
            <w:pPr>
              <w:spacing w:before="40" w:after="40" w:line="220" w:lineRule="exact"/>
              <w:jc w:val="center"/>
              <w:rPr>
                <w:rFonts w:eastAsia="Calibri" w:cs="FrankRuehl"/>
                <w:b/>
                <w:bCs/>
                <w:sz w:val="20"/>
                <w:szCs w:val="20"/>
                <w:rtl/>
              </w:rPr>
            </w:pPr>
            <w:r>
              <w:rPr>
                <w:rFonts w:eastAsia="Calibri" w:cs="FrankRuehl" w:hint="cs"/>
                <w:b/>
                <w:bCs/>
                <w:sz w:val="20"/>
                <w:szCs w:val="20"/>
                <w:rtl/>
              </w:rPr>
              <w:t xml:space="preserve">מספר </w:t>
            </w:r>
            <w:r>
              <w:rPr>
                <w:rFonts w:eastAsia="Calibri" w:cs="FrankRuehl"/>
                <w:b/>
                <w:bCs/>
                <w:sz w:val="20"/>
                <w:szCs w:val="20"/>
                <w:rtl/>
              </w:rPr>
              <w:br/>
            </w:r>
            <w:r>
              <w:rPr>
                <w:rFonts w:eastAsia="Calibri" w:cs="FrankRuehl" w:hint="cs"/>
                <w:b/>
                <w:bCs/>
                <w:sz w:val="20"/>
                <w:szCs w:val="20"/>
                <w:rtl/>
              </w:rPr>
              <w:t xml:space="preserve">משרות </w:t>
            </w:r>
            <w:r>
              <w:rPr>
                <w:rFonts w:eastAsia="Calibri" w:cs="FrankRuehl"/>
                <w:b/>
                <w:bCs/>
                <w:sz w:val="20"/>
                <w:szCs w:val="20"/>
                <w:rtl/>
              </w:rPr>
              <w:br/>
            </w:r>
            <w:r>
              <w:rPr>
                <w:rFonts w:eastAsia="Calibri" w:cs="FrankRuehl" w:hint="cs"/>
                <w:b/>
                <w:bCs/>
                <w:sz w:val="20"/>
                <w:szCs w:val="20"/>
                <w:rtl/>
              </w:rPr>
              <w:t>העו"ס</w:t>
            </w:r>
          </w:p>
        </w:tc>
        <w:tc>
          <w:tcPr>
            <w:tcW w:w="0" w:type="auto"/>
            <w:tcBorders>
              <w:top w:val="single" w:sz="12" w:space="0" w:color="auto"/>
              <w:left w:val="single" w:sz="4" w:space="0" w:color="auto"/>
              <w:bottom w:val="single" w:sz="12" w:space="0" w:color="auto"/>
            </w:tcBorders>
            <w:shd w:val="pct10" w:color="auto" w:fill="auto"/>
            <w:vAlign w:val="bottom"/>
          </w:tcPr>
          <w:p w:rsidR="00D53830">
            <w:pPr>
              <w:pStyle w:val="takzir"/>
              <w:spacing w:before="40" w:after="40" w:line="220" w:lineRule="exact"/>
              <w:jc w:val="center"/>
              <w:rPr>
                <w:rFonts w:eastAsia="Calibri" w:cs="FrankRuehl"/>
                <w:noProof w:val="0"/>
                <w:sz w:val="20"/>
                <w:szCs w:val="20"/>
                <w:rtl/>
                <w:lang w:eastAsia="en-US"/>
              </w:rPr>
            </w:pPr>
            <w:r>
              <w:rPr>
                <w:rFonts w:eastAsia="Calibri" w:cs="FrankRuehl" w:hint="cs"/>
                <w:noProof w:val="0"/>
                <w:sz w:val="20"/>
                <w:szCs w:val="20"/>
                <w:rtl/>
                <w:lang w:eastAsia="en-US"/>
              </w:rPr>
              <w:t xml:space="preserve">מספר </w:t>
            </w:r>
            <w:r>
              <w:rPr>
                <w:rFonts w:eastAsia="Calibri" w:cs="FrankRuehl"/>
                <w:noProof w:val="0"/>
                <w:sz w:val="20"/>
                <w:szCs w:val="20"/>
                <w:rtl/>
                <w:lang w:eastAsia="en-US"/>
              </w:rPr>
              <w:br/>
            </w:r>
            <w:r>
              <w:rPr>
                <w:rFonts w:eastAsia="Calibri" w:cs="FrankRuehl" w:hint="cs"/>
                <w:noProof w:val="0"/>
                <w:sz w:val="20"/>
                <w:szCs w:val="20"/>
                <w:rtl/>
                <w:lang w:eastAsia="en-US"/>
              </w:rPr>
              <w:t xml:space="preserve">הזקנים </w:t>
            </w:r>
            <w:r>
              <w:rPr>
                <w:rFonts w:eastAsia="Calibri" w:cs="FrankRuehl"/>
                <w:noProof w:val="0"/>
                <w:sz w:val="20"/>
                <w:szCs w:val="20"/>
                <w:rtl/>
                <w:lang w:eastAsia="en-US"/>
              </w:rPr>
              <w:br/>
            </w:r>
            <w:r>
              <w:rPr>
                <w:rFonts w:eastAsia="Calibri" w:cs="FrankRuehl" w:hint="cs"/>
                <w:noProof w:val="0"/>
                <w:sz w:val="20"/>
                <w:szCs w:val="20"/>
                <w:rtl/>
                <w:lang w:eastAsia="en-US"/>
              </w:rPr>
              <w:t xml:space="preserve">המטופלים </w:t>
            </w:r>
            <w:r>
              <w:rPr>
                <w:rFonts w:eastAsia="Calibri" w:cs="FrankRuehl"/>
                <w:noProof w:val="0"/>
                <w:sz w:val="20"/>
                <w:szCs w:val="20"/>
                <w:rtl/>
                <w:lang w:eastAsia="en-US"/>
              </w:rPr>
              <w:br/>
            </w:r>
            <w:r>
              <w:rPr>
                <w:rFonts w:eastAsia="Calibri" w:cs="FrankRuehl" w:hint="cs"/>
                <w:noProof w:val="0"/>
                <w:sz w:val="20"/>
                <w:szCs w:val="20"/>
                <w:rtl/>
                <w:lang w:eastAsia="en-US"/>
              </w:rPr>
              <w:t>לעו"ס</w:t>
            </w:r>
          </w:p>
        </w:tc>
      </w:tr>
      <w:tr w:rsidTr="00D53830">
        <w:tblPrEx>
          <w:tblW w:w="6691" w:type="dxa"/>
          <w:jc w:val="center"/>
          <w:tblCellMar>
            <w:left w:w="57" w:type="dxa"/>
            <w:right w:w="57" w:type="dxa"/>
          </w:tblCellMar>
          <w:tblLook w:val="04A0"/>
        </w:tblPrEx>
        <w:trPr>
          <w:jc w:val="center"/>
        </w:trPr>
        <w:tc>
          <w:tcPr>
            <w:tcW w:w="0" w:type="auto"/>
            <w:tcBorders>
              <w:top w:val="single" w:sz="12"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חיפה</w:t>
            </w:r>
          </w:p>
        </w:tc>
        <w:tc>
          <w:tcPr>
            <w:tcW w:w="0" w:type="auto"/>
            <w:tcBorders>
              <w:top w:val="single" w:sz="12" w:space="0" w:color="auto"/>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270,300</w:t>
            </w:r>
          </w:p>
        </w:tc>
        <w:tc>
          <w:tcPr>
            <w:tcW w:w="0" w:type="auto"/>
            <w:tcBorders>
              <w:top w:val="single" w:sz="12" w:space="0" w:color="auto"/>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(7)</w:t>
            </w:r>
          </w:p>
        </w:tc>
        <w:tc>
          <w:tcPr>
            <w:tcW w:w="0" w:type="auto"/>
            <w:tcBorders>
              <w:top w:val="single" w:sz="12" w:space="0" w:color="auto"/>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sz w:val="20"/>
                <w:szCs w:val="20"/>
                <w:rtl/>
              </w:rPr>
              <w:t>51,000</w:t>
            </w:r>
          </w:p>
        </w:tc>
        <w:tc>
          <w:tcPr>
            <w:tcW w:w="0" w:type="auto"/>
            <w:tcBorders>
              <w:top w:val="single" w:sz="12" w:space="0" w:color="auto"/>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7,000 </w:t>
            </w:r>
          </w:p>
        </w:tc>
        <w:tc>
          <w:tcPr>
            <w:tcW w:w="0" w:type="auto"/>
            <w:tcBorders>
              <w:top w:val="single" w:sz="12" w:space="0" w:color="auto"/>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8,200 </w:t>
            </w:r>
          </w:p>
        </w:tc>
        <w:tc>
          <w:tcPr>
            <w:tcW w:w="0" w:type="auto"/>
            <w:tcBorders>
              <w:top w:val="single" w:sz="12" w:space="0" w:color="auto"/>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30 </w:t>
            </w:r>
            <w:r>
              <w:rPr>
                <w:rFonts w:eastAsia="Calibri" w:cs="FrankRuehl"/>
                <w:sz w:val="20"/>
                <w:szCs w:val="20"/>
                <w:rtl/>
              </w:rPr>
              <w:br/>
            </w:r>
            <w:r>
              <w:rPr>
                <w:rFonts w:eastAsia="Calibri" w:cs="FrankRuehl" w:hint="cs"/>
                <w:sz w:val="20"/>
                <w:szCs w:val="20"/>
                <w:rtl/>
              </w:rPr>
              <w:t>כוללני**</w:t>
            </w:r>
          </w:p>
        </w:tc>
        <w:tc>
          <w:tcPr>
            <w:tcW w:w="0" w:type="auto"/>
            <w:tcBorders>
              <w:top w:val="single" w:sz="12" w:space="0" w:color="auto"/>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273</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עפולה</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42,000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6,000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1,200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2,400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4.25 </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565</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מגדל העמק</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27,600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3,480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926</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1,218</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2.5</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487</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קריית שמונה</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23,000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2,500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650 </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1.5</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667</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מועצה אזורית הגליל העליון</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18,000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(6)</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2,700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250 </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640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11 </w:t>
            </w:r>
            <w:r>
              <w:rPr>
                <w:rFonts w:eastAsia="Calibri" w:cs="FrankRuehl"/>
                <w:sz w:val="20"/>
                <w:szCs w:val="20"/>
                <w:rtl/>
              </w:rPr>
              <w:br/>
            </w:r>
            <w:r>
              <w:rPr>
                <w:rFonts w:eastAsia="Calibri" w:cs="FrankRuehl" w:hint="cs"/>
                <w:sz w:val="20"/>
                <w:szCs w:val="20"/>
                <w:rtl/>
              </w:rPr>
              <w:t>כוללני**</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58</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מועצה אזורית מרום הגליל</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11,400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(3)</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153</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350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15 </w:t>
            </w:r>
            <w:r>
              <w:rPr>
                <w:rFonts w:eastAsia="Calibri" w:cs="FrankRuehl"/>
                <w:sz w:val="20"/>
                <w:szCs w:val="20"/>
                <w:rtl/>
              </w:rPr>
              <w:br/>
            </w:r>
            <w:r>
              <w:rPr>
                <w:rFonts w:eastAsia="Calibri" w:cs="FrankRuehl" w:hint="cs"/>
                <w:sz w:val="20"/>
                <w:szCs w:val="20"/>
                <w:rtl/>
              </w:rPr>
              <w:t>כוללני**</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23</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מועצה אזורית לב השרון</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18,500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(7)</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3,000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480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10 </w:t>
            </w:r>
            <w:r>
              <w:rPr>
                <w:rFonts w:eastAsia="Calibri" w:cs="FrankRuehl"/>
                <w:sz w:val="20"/>
                <w:szCs w:val="20"/>
                <w:rtl/>
              </w:rPr>
              <w:br/>
            </w:r>
            <w:r>
              <w:rPr>
                <w:rFonts w:eastAsia="Calibri" w:cs="FrankRuehl" w:hint="cs"/>
                <w:sz w:val="20"/>
                <w:szCs w:val="20"/>
                <w:rtl/>
              </w:rPr>
              <w:t>כוללני**</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48</w:t>
            </w:r>
          </w:p>
        </w:tc>
      </w:tr>
      <w:tr w:rsidTr="00D53830">
        <w:tblPrEx>
          <w:tblW w:w="6691" w:type="dxa"/>
          <w:jc w:val="center"/>
          <w:tblCellMar>
            <w:left w:w="57" w:type="dxa"/>
            <w:right w:w="57" w:type="dxa"/>
          </w:tblCellMar>
          <w:tblLook w:val="04A0"/>
        </w:tblPrEx>
        <w:trPr>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אום אל-פחם</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50,000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2,180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420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1,300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1.5</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867</w:t>
            </w:r>
          </w:p>
        </w:tc>
      </w:tr>
      <w:tr w:rsidTr="00D53830">
        <w:tblPrEx>
          <w:tblW w:w="6691" w:type="dxa"/>
          <w:jc w:val="center"/>
          <w:tblCellMar>
            <w:left w:w="57" w:type="dxa"/>
            <w:right w:w="57" w:type="dxa"/>
          </w:tblCellMar>
          <w:tblLook w:val="04A0"/>
        </w:tblPrEx>
        <w:trPr>
          <w:trHeight w:val="332"/>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מודיעין עילית</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65,000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525</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185</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250 </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0.5</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250***</w:t>
            </w:r>
          </w:p>
        </w:tc>
      </w:tr>
      <w:tr w:rsidTr="00D53830">
        <w:tblPrEx>
          <w:tblW w:w="6691" w:type="dxa"/>
          <w:jc w:val="center"/>
          <w:tblCellMar>
            <w:left w:w="57" w:type="dxa"/>
            <w:right w:w="57" w:type="dxa"/>
          </w:tblCellMar>
          <w:tblLook w:val="04A0"/>
        </w:tblPrEx>
        <w:trPr>
          <w:trHeight w:val="394"/>
          <w:jc w:val="center"/>
        </w:trPr>
        <w:tc>
          <w:tcPr>
            <w:tcW w:w="0" w:type="auto"/>
            <w:tcBorders>
              <w:top w:val="nil"/>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באקה אל-גרבייה</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28,000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(4)</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900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316</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420</w:t>
            </w:r>
          </w:p>
        </w:tc>
        <w:tc>
          <w:tcPr>
            <w:tcW w:w="0" w:type="auto"/>
            <w:tcBorders>
              <w:top w:val="nil"/>
              <w:left w:val="single" w:sz="4" w:space="0" w:color="auto"/>
              <w:bottom w:val="nil"/>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 xml:space="preserve">0.6 </w:t>
            </w:r>
          </w:p>
        </w:tc>
        <w:tc>
          <w:tcPr>
            <w:tcW w:w="0" w:type="auto"/>
            <w:tcBorders>
              <w:top w:val="nil"/>
              <w:left w:val="single" w:sz="4" w:space="0" w:color="auto"/>
              <w:bottom w:val="nil"/>
            </w:tcBorders>
          </w:tcPr>
          <w:p w:rsidR="00D53830">
            <w:pPr>
              <w:spacing w:before="40" w:after="40" w:line="220" w:lineRule="exact"/>
              <w:rPr>
                <w:rFonts w:eastAsia="Calibri" w:cs="FrankRuehl"/>
                <w:sz w:val="20"/>
                <w:szCs w:val="20"/>
                <w:rtl/>
              </w:rPr>
            </w:pPr>
            <w:r>
              <w:rPr>
                <w:rFonts w:eastAsia="Calibri" w:cs="FrankRuehl" w:hint="cs"/>
                <w:sz w:val="20"/>
                <w:szCs w:val="20"/>
                <w:rtl/>
              </w:rPr>
              <w:t>420***</w:t>
            </w:r>
          </w:p>
        </w:tc>
      </w:tr>
      <w:tr w:rsidTr="00D53830">
        <w:tblPrEx>
          <w:tblW w:w="6691" w:type="dxa"/>
          <w:jc w:val="center"/>
          <w:tblCellMar>
            <w:left w:w="57" w:type="dxa"/>
            <w:right w:w="57" w:type="dxa"/>
          </w:tblCellMar>
          <w:tblLook w:val="04A0"/>
        </w:tblPrEx>
        <w:trPr>
          <w:trHeight w:val="394"/>
          <w:jc w:val="center"/>
        </w:trPr>
        <w:tc>
          <w:tcPr>
            <w:tcW w:w="0" w:type="auto"/>
            <w:tcBorders>
              <w:top w:val="nil"/>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עיריית קלנסווה</w:t>
            </w:r>
          </w:p>
        </w:tc>
        <w:tc>
          <w:tcPr>
            <w:tcW w:w="0" w:type="auto"/>
            <w:tcBorders>
              <w:top w:val="nil"/>
              <w:left w:val="single" w:sz="4" w:space="0" w:color="auto"/>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21,000</w:t>
            </w:r>
          </w:p>
        </w:tc>
        <w:tc>
          <w:tcPr>
            <w:tcW w:w="0" w:type="auto"/>
            <w:tcBorders>
              <w:top w:val="nil"/>
              <w:left w:val="single" w:sz="4" w:space="0" w:color="auto"/>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w:t>
            </w:r>
          </w:p>
        </w:tc>
        <w:tc>
          <w:tcPr>
            <w:tcW w:w="0" w:type="auto"/>
            <w:tcBorders>
              <w:top w:val="nil"/>
              <w:left w:val="single" w:sz="4" w:space="0" w:color="auto"/>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877</w:t>
            </w:r>
          </w:p>
        </w:tc>
        <w:tc>
          <w:tcPr>
            <w:tcW w:w="0" w:type="auto"/>
            <w:tcBorders>
              <w:top w:val="nil"/>
              <w:left w:val="single" w:sz="4" w:space="0" w:color="auto"/>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240</w:t>
            </w:r>
          </w:p>
        </w:tc>
        <w:tc>
          <w:tcPr>
            <w:tcW w:w="0" w:type="auto"/>
            <w:tcBorders>
              <w:top w:val="nil"/>
              <w:left w:val="single" w:sz="4" w:space="0" w:color="auto"/>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560</w:t>
            </w:r>
          </w:p>
        </w:tc>
        <w:tc>
          <w:tcPr>
            <w:tcW w:w="0" w:type="auto"/>
            <w:tcBorders>
              <w:top w:val="nil"/>
              <w:left w:val="single" w:sz="4" w:space="0" w:color="auto"/>
              <w:bottom w:val="single" w:sz="12" w:space="0" w:color="auto"/>
              <w:right w:val="single" w:sz="4"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0.16</w:t>
            </w:r>
          </w:p>
        </w:tc>
        <w:tc>
          <w:tcPr>
            <w:tcW w:w="0" w:type="auto"/>
            <w:tcBorders>
              <w:top w:val="nil"/>
              <w:left w:val="single" w:sz="4" w:space="0" w:color="auto"/>
              <w:bottom w:val="single" w:sz="12" w:space="0" w:color="auto"/>
            </w:tcBorders>
          </w:tcPr>
          <w:p w:rsidR="00D53830">
            <w:pPr>
              <w:spacing w:before="40" w:after="40" w:line="220" w:lineRule="exact"/>
              <w:rPr>
                <w:rFonts w:eastAsia="Calibri" w:cs="FrankRuehl"/>
                <w:sz w:val="20"/>
                <w:szCs w:val="20"/>
                <w:rtl/>
              </w:rPr>
            </w:pPr>
            <w:r>
              <w:rPr>
                <w:rFonts w:eastAsia="Calibri" w:cs="FrankRuehl" w:hint="cs"/>
                <w:sz w:val="20"/>
                <w:szCs w:val="20"/>
                <w:rtl/>
              </w:rPr>
              <w:t>560***</w:t>
            </w:r>
          </w:p>
        </w:tc>
      </w:tr>
    </w:tbl>
    <w:p w:rsidR="00F60E90">
      <w:pPr>
        <w:spacing w:before="120" w:line="200" w:lineRule="exact"/>
        <w:ind w:left="397" w:hanging="397"/>
        <w:jc w:val="both"/>
        <w:rPr>
          <w:rFonts w:cs="FrankRuehl"/>
          <w:sz w:val="20"/>
          <w:szCs w:val="20"/>
          <w:rtl/>
        </w:rPr>
      </w:pPr>
      <w:r>
        <w:rPr>
          <w:rFonts w:cs="FrankRuehl" w:hint="cs"/>
          <w:sz w:val="20"/>
          <w:szCs w:val="20"/>
          <w:rtl/>
        </w:rPr>
        <w:t>*</w:t>
      </w:r>
      <w:r>
        <w:rPr>
          <w:rFonts w:cs="FrankRuehl" w:hint="cs"/>
          <w:sz w:val="20"/>
          <w:szCs w:val="20"/>
          <w:rtl/>
        </w:rPr>
        <w:tab/>
        <w:t>המדד החברתי-כלכלי של הלמ"ס מדרג את הרשויות המקומיות בעשרה אשכולות, שבהם אשכול 10 הוא הגבוה ביותר. המ</w:t>
      </w:r>
      <w:r>
        <w:rPr>
          <w:rFonts w:cs="FrankRuehl"/>
          <w:sz w:val="20"/>
          <w:szCs w:val="20"/>
          <w:rtl/>
        </w:rPr>
        <w:t xml:space="preserve">דד </w:t>
      </w:r>
      <w:r>
        <w:rPr>
          <w:rFonts w:cs="FrankRuehl" w:hint="cs"/>
          <w:sz w:val="20"/>
          <w:szCs w:val="20"/>
          <w:rtl/>
        </w:rPr>
        <w:t xml:space="preserve">מחושב לפי </w:t>
      </w:r>
      <w:r>
        <w:rPr>
          <w:rFonts w:cs="FrankRuehl"/>
          <w:sz w:val="20"/>
          <w:szCs w:val="20"/>
          <w:rtl/>
        </w:rPr>
        <w:t>מאפיינים</w:t>
      </w:r>
      <w:r>
        <w:rPr>
          <w:rFonts w:cs="FrankRuehl" w:hint="cs"/>
          <w:sz w:val="20"/>
          <w:szCs w:val="20"/>
          <w:rtl/>
        </w:rPr>
        <w:t xml:space="preserve"> </w:t>
      </w:r>
      <w:r>
        <w:rPr>
          <w:rFonts w:cs="FrankRuehl"/>
          <w:sz w:val="20"/>
          <w:szCs w:val="20"/>
          <w:rtl/>
        </w:rPr>
        <w:t>כלכליים</w:t>
      </w:r>
      <w:r>
        <w:rPr>
          <w:rFonts w:cs="FrankRuehl" w:hint="cs"/>
          <w:sz w:val="20"/>
          <w:szCs w:val="20"/>
          <w:rtl/>
        </w:rPr>
        <w:t xml:space="preserve"> ו</w:t>
      </w:r>
      <w:r>
        <w:rPr>
          <w:rFonts w:cs="FrankRuehl"/>
          <w:sz w:val="20"/>
          <w:szCs w:val="20"/>
          <w:rtl/>
        </w:rPr>
        <w:t xml:space="preserve">דמוגרפיים </w:t>
      </w:r>
      <w:r>
        <w:rPr>
          <w:rFonts w:cs="FrankRuehl" w:hint="cs"/>
          <w:sz w:val="20"/>
          <w:szCs w:val="20"/>
          <w:rtl/>
        </w:rPr>
        <w:t>ו</w:t>
      </w:r>
      <w:r>
        <w:rPr>
          <w:rFonts w:cs="FrankRuehl"/>
          <w:sz w:val="20"/>
          <w:szCs w:val="20"/>
          <w:rtl/>
        </w:rPr>
        <w:t xml:space="preserve">מאפייני חינוך והשכלה, דיור, תעסוקה </w:t>
      </w:r>
      <w:r>
        <w:rPr>
          <w:rFonts w:cs="FrankRuehl" w:hint="cs"/>
          <w:sz w:val="20"/>
          <w:szCs w:val="20"/>
          <w:rtl/>
        </w:rPr>
        <w:t>ו</w:t>
      </w:r>
      <w:r>
        <w:rPr>
          <w:rFonts w:cs="FrankRuehl"/>
          <w:sz w:val="20"/>
          <w:szCs w:val="20"/>
          <w:rtl/>
        </w:rPr>
        <w:t>אבטלה</w:t>
      </w:r>
      <w:r>
        <w:rPr>
          <w:rFonts w:cs="FrankRuehl" w:hint="cs"/>
          <w:sz w:val="20"/>
          <w:szCs w:val="20"/>
          <w:rtl/>
        </w:rPr>
        <w:t>.</w:t>
      </w:r>
    </w:p>
    <w:p w:rsidR="00F60E90">
      <w:pPr>
        <w:spacing w:line="200" w:lineRule="exact"/>
        <w:ind w:left="397" w:hanging="397"/>
        <w:jc w:val="both"/>
        <w:rPr>
          <w:rFonts w:cs="FrankRuehl"/>
          <w:sz w:val="20"/>
          <w:szCs w:val="20"/>
          <w:rtl/>
        </w:rPr>
      </w:pPr>
      <w:r>
        <w:rPr>
          <w:rFonts w:cs="FrankRuehl" w:hint="cs"/>
          <w:sz w:val="20"/>
          <w:szCs w:val="20"/>
          <w:rtl/>
        </w:rPr>
        <w:t>**</w:t>
      </w:r>
      <w:r>
        <w:rPr>
          <w:rFonts w:cs="FrankRuehl" w:hint="cs"/>
          <w:sz w:val="20"/>
          <w:szCs w:val="20"/>
          <w:rtl/>
        </w:rPr>
        <w:tab/>
        <w:t>אין הרשות המקומית מפרידה את התיקים לפי תחומי התמחות, לכן עו"ס לזקן מטפל גם בתחומים נוספים, ובעצם הוא עו"ס משפחה.</w:t>
      </w:r>
    </w:p>
    <w:p w:rsidR="00F60E90">
      <w:pPr>
        <w:spacing w:after="240" w:line="200" w:lineRule="exact"/>
        <w:ind w:left="397" w:hanging="397"/>
        <w:jc w:val="both"/>
        <w:rPr>
          <w:rFonts w:cs="FrankRuehl"/>
          <w:sz w:val="20"/>
          <w:szCs w:val="20"/>
          <w:rtl/>
        </w:rPr>
      </w:pPr>
      <w:r>
        <w:rPr>
          <w:rFonts w:cs="FrankRuehl" w:hint="cs"/>
          <w:sz w:val="20"/>
          <w:szCs w:val="20"/>
          <w:rtl/>
        </w:rPr>
        <w:t>***</w:t>
      </w:r>
      <w:r>
        <w:rPr>
          <w:rFonts w:cs="FrankRuehl" w:hint="cs"/>
          <w:sz w:val="20"/>
          <w:szCs w:val="20"/>
          <w:rtl/>
        </w:rPr>
        <w:tab/>
        <w:t>כלל הזקנים המטופלים בתחום הרשות המקומית מטופלים על ידי עובד במשרה חלקית.</w:t>
      </w:r>
    </w:p>
    <w:p w:rsidR="00F60E90" w:rsidP="00CD7F18">
      <w:pPr>
        <w:spacing w:after="120" w:line="230" w:lineRule="exact"/>
        <w:ind w:left="340"/>
        <w:jc w:val="both"/>
        <w:rPr>
          <w:rFonts w:cs="FrankRuehl"/>
          <w:sz w:val="20"/>
          <w:szCs w:val="22"/>
          <w:rtl/>
        </w:rPr>
      </w:pPr>
      <w:r>
        <w:rPr>
          <w:rFonts w:cs="FrankRuehl" w:hint="cs"/>
          <w:sz w:val="20"/>
          <w:szCs w:val="22"/>
          <w:rtl/>
        </w:rPr>
        <w:t>הבדיקה העלתה כי בין הרשויות המקומיות יש שונות גדולה מבחינת מספר הזקנים המטופלים בידי עו"ס אחד, והדבר עלול לגרום גם לשונות באיכות הטיפול בזקנים. עוד עולה כי מספר המטופלים גבוה יותר ברשויות המקומיות שאוכלוסייתן מדורגת באשכול נמוך לפי המדד החברתי-כלכלי של הלמ"ס, כמו עיריות קריית שמונה, אום אל-פחם, באקה אל-גרבייה וקלנסווה.</w:t>
      </w:r>
    </w:p>
    <w:p w:rsidR="00F60E90" w:rsidP="00CD7F18">
      <w:pPr>
        <w:spacing w:after="240" w:line="230" w:lineRule="exact"/>
        <w:ind w:left="340"/>
        <w:jc w:val="both"/>
        <w:rPr>
          <w:rFonts w:cs="FrankRuehl"/>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של</w:t>
      </w:r>
      <w:r>
        <w:rPr>
          <w:rFonts w:cs="FrankRuehl"/>
          <w:sz w:val="20"/>
          <w:szCs w:val="22"/>
          <w:rtl/>
        </w:rPr>
        <w:t xml:space="preserve"> משרד הרווחה</w:t>
      </w:r>
      <w:r>
        <w:rPr>
          <w:rFonts w:cs="FrankRuehl" w:hint="cs"/>
          <w:sz w:val="20"/>
          <w:szCs w:val="22"/>
          <w:rtl/>
        </w:rPr>
        <w:t xml:space="preserve"> לדוח מבקר המדינה על הביקורת בשלטון המקומי לשנת</w:t>
      </w:r>
      <w:r>
        <w:rPr>
          <w:rFonts w:cs="FrankRuehl"/>
          <w:sz w:val="20"/>
          <w:szCs w:val="22"/>
          <w:rtl/>
        </w:rPr>
        <w:t xml:space="preserve"> 2013, </w:t>
      </w:r>
      <w:r>
        <w:rPr>
          <w:rFonts w:cs="FrankRuehl" w:hint="cs"/>
          <w:sz w:val="20"/>
          <w:szCs w:val="22"/>
          <w:rtl/>
        </w:rPr>
        <w:t>בנושא</w:t>
      </w:r>
      <w:r>
        <w:rPr>
          <w:rFonts w:cs="FrankRuehl"/>
          <w:sz w:val="20"/>
          <w:szCs w:val="22"/>
          <w:rtl/>
        </w:rPr>
        <w:t xml:space="preserve"> </w:t>
      </w:r>
      <w:r>
        <w:rPr>
          <w:rFonts w:cs="FrankRuehl" w:hint="cs"/>
          <w:sz w:val="20"/>
          <w:szCs w:val="22"/>
          <w:rtl/>
        </w:rPr>
        <w:t>עומס</w:t>
      </w:r>
      <w:r>
        <w:rPr>
          <w:rFonts w:cs="FrankRuehl"/>
          <w:sz w:val="20"/>
          <w:szCs w:val="22"/>
          <w:rtl/>
        </w:rPr>
        <w:t xml:space="preserve"> </w:t>
      </w:r>
      <w:r>
        <w:rPr>
          <w:rFonts w:cs="FrankRuehl" w:hint="cs"/>
          <w:sz w:val="20"/>
          <w:szCs w:val="22"/>
          <w:rtl/>
        </w:rPr>
        <w:t>העבודה</w:t>
      </w:r>
      <w:r>
        <w:rPr>
          <w:rFonts w:cs="FrankRuehl"/>
          <w:sz w:val="20"/>
          <w:szCs w:val="22"/>
          <w:rtl/>
        </w:rPr>
        <w:t xml:space="preserve"> </w:t>
      </w:r>
      <w:r>
        <w:rPr>
          <w:rFonts w:cs="FrankRuehl" w:hint="cs"/>
          <w:sz w:val="20"/>
          <w:szCs w:val="22"/>
          <w:rtl/>
        </w:rPr>
        <w:t>במחלקה</w:t>
      </w:r>
      <w:r>
        <w:rPr>
          <w:rFonts w:cs="FrankRuehl"/>
          <w:sz w:val="20"/>
          <w:szCs w:val="22"/>
          <w:rtl/>
        </w:rPr>
        <w:t xml:space="preserve"> </w:t>
      </w:r>
      <w:r>
        <w:rPr>
          <w:rFonts w:cs="FrankRuehl" w:hint="cs"/>
          <w:sz w:val="20"/>
          <w:szCs w:val="22"/>
          <w:rtl/>
        </w:rPr>
        <w:t>לשירותים</w:t>
      </w:r>
      <w:r>
        <w:rPr>
          <w:rFonts w:cs="FrankRuehl"/>
          <w:sz w:val="20"/>
          <w:szCs w:val="22"/>
          <w:rtl/>
        </w:rPr>
        <w:t xml:space="preserve"> </w:t>
      </w:r>
      <w:r>
        <w:rPr>
          <w:rFonts w:cs="FrankRuehl" w:hint="cs"/>
          <w:sz w:val="20"/>
          <w:szCs w:val="22"/>
          <w:rtl/>
        </w:rPr>
        <w:t>חברתיים</w:t>
      </w:r>
      <w:r>
        <w:rPr>
          <w:rFonts w:cs="FrankRuehl"/>
          <w:sz w:val="20"/>
          <w:szCs w:val="22"/>
          <w:rtl/>
        </w:rPr>
        <w:t xml:space="preserve"> </w:t>
      </w:r>
      <w:r>
        <w:rPr>
          <w:rFonts w:cs="FrankRuehl" w:hint="cs"/>
          <w:sz w:val="20"/>
          <w:szCs w:val="22"/>
          <w:rtl/>
        </w:rPr>
        <w:t>בעיריית</w:t>
      </w:r>
      <w:r>
        <w:rPr>
          <w:rFonts w:cs="FrankRuehl"/>
          <w:sz w:val="20"/>
          <w:szCs w:val="22"/>
          <w:rtl/>
        </w:rPr>
        <w:t xml:space="preserve"> </w:t>
      </w:r>
      <w:r>
        <w:rPr>
          <w:rFonts w:cs="FrankRuehl" w:hint="cs"/>
          <w:sz w:val="20"/>
          <w:szCs w:val="22"/>
          <w:rtl/>
        </w:rPr>
        <w:t>עכו</w:t>
      </w:r>
      <w:r>
        <w:rPr>
          <w:rFonts w:cs="FrankRuehl"/>
          <w:sz w:val="20"/>
          <w:szCs w:val="22"/>
          <w:vertAlign w:val="superscript"/>
          <w:rtl/>
        </w:rPr>
        <w:footnoteReference w:id="7"/>
      </w:r>
      <w:r>
        <w:rPr>
          <w:rFonts w:cs="FrankRuehl" w:hint="cs"/>
          <w:sz w:val="20"/>
          <w:szCs w:val="22"/>
          <w:rtl/>
        </w:rPr>
        <w:t xml:space="preserve">, צוין כי במסגרת רפורמה שמשרד הרווחה עורך </w:t>
      </w:r>
      <w:r>
        <w:rPr>
          <w:rFonts w:cs="FrankRuehl"/>
          <w:sz w:val="20"/>
          <w:szCs w:val="22"/>
          <w:rtl/>
        </w:rPr>
        <w:t>ייבדקו</w:t>
      </w:r>
      <w:r>
        <w:rPr>
          <w:rFonts w:cs="FrankRuehl" w:hint="cs"/>
          <w:sz w:val="20"/>
          <w:szCs w:val="22"/>
          <w:rtl/>
        </w:rPr>
        <w:t xml:space="preserve"> העיסוקים של התפקידים השונים במחלקה לשירותים חברתיים. בסיום התהליך תתקבל תמונה מקיפה שתסייע בידי הרשות המקומית לתת מענה הולם לצורכי הנזקקים.</w:t>
      </w:r>
    </w:p>
    <w:p w:rsidR="00F60E90" w:rsidP="00CD7F18">
      <w:pPr>
        <w:pStyle w:val="RESHET"/>
        <w:ind w:left="567"/>
        <w:rPr>
          <w:rtl/>
        </w:rPr>
      </w:pPr>
      <w:r>
        <w:rPr>
          <w:rFonts w:hint="cs"/>
          <w:rtl/>
        </w:rPr>
        <w:t>במועד סיום הביקורת, אפריל 2014 (להלן - מועד סיום הביקורת), טרם הושלמה הרפורמה ברשויות המקומיות שנבדקו, והעומס המוטל על העו"ס לזקן לא פחת.</w:t>
      </w:r>
    </w:p>
    <w:p w:rsidR="00F60E90" w:rsidP="00CD7F18">
      <w:pPr>
        <w:spacing w:before="180" w:after="120" w:line="230" w:lineRule="exact"/>
        <w:ind w:left="340" w:hanging="340"/>
        <w:jc w:val="both"/>
        <w:rPr>
          <w:rFonts w:cs="FrankRuehl"/>
          <w:sz w:val="20"/>
          <w:szCs w:val="22"/>
          <w:rtl/>
        </w:rPr>
      </w:pPr>
      <w:r>
        <w:rPr>
          <w:rFonts w:cs="FrankRuehl" w:hint="cs"/>
          <w:sz w:val="20"/>
          <w:szCs w:val="22"/>
          <w:rtl/>
        </w:rPr>
        <w:t>2.</w:t>
      </w:r>
      <w:r>
        <w:rPr>
          <w:rFonts w:cs="FrankRuehl"/>
          <w:sz w:val="20"/>
          <w:szCs w:val="22"/>
          <w:rtl/>
        </w:rPr>
        <w:tab/>
      </w:r>
      <w:r>
        <w:rPr>
          <w:rFonts w:cs="FrankRuehl" w:hint="cs"/>
          <w:sz w:val="20"/>
          <w:szCs w:val="22"/>
          <w:rtl/>
        </w:rPr>
        <w:t>עם הגידול באוכלוסיית הזקנים, בין היתר עקב העלייה בתוחלת החיים, זקנים רבים סובלים מירידה בתפקוד הפיזי והנפשי. כדי לשפר את תפקודם בקהילה ולמלא את צורכיהם החיוניים, הזקנים זקוקים לסיוע מקצועי רציף של עו"ס לזקן ולמעקב אחר מצבם.</w:t>
      </w:r>
    </w:p>
    <w:p w:rsidR="00F60E90" w:rsidP="00CD7F18">
      <w:pPr>
        <w:spacing w:after="120" w:line="230" w:lineRule="exact"/>
        <w:ind w:left="340"/>
        <w:jc w:val="both"/>
        <w:rPr>
          <w:rFonts w:cs="FrankRuehl"/>
          <w:sz w:val="20"/>
          <w:szCs w:val="22"/>
          <w:rtl/>
        </w:rPr>
      </w:pPr>
      <w:r>
        <w:rPr>
          <w:rFonts w:cs="FrankRuehl" w:hint="cs"/>
          <w:sz w:val="20"/>
          <w:szCs w:val="22"/>
          <w:rtl/>
        </w:rPr>
        <w:t>הביקורת העלתה</w:t>
      </w:r>
      <w:r>
        <w:rPr>
          <w:rFonts w:cs="FrankRuehl"/>
          <w:sz w:val="20"/>
          <w:szCs w:val="22"/>
          <w:rtl/>
        </w:rPr>
        <w:t xml:space="preserve"> </w:t>
      </w:r>
      <w:r>
        <w:rPr>
          <w:rFonts w:cs="FrankRuehl" w:hint="cs"/>
          <w:sz w:val="20"/>
          <w:szCs w:val="22"/>
          <w:rtl/>
        </w:rPr>
        <w:t>כי</w:t>
      </w:r>
      <w:r>
        <w:rPr>
          <w:rFonts w:cs="FrankRuehl"/>
          <w:sz w:val="20"/>
          <w:szCs w:val="22"/>
          <w:rtl/>
        </w:rPr>
        <w:t xml:space="preserve"> </w:t>
      </w:r>
      <w:r>
        <w:rPr>
          <w:rFonts w:cs="FrankRuehl" w:hint="cs"/>
          <w:sz w:val="20"/>
          <w:szCs w:val="22"/>
          <w:rtl/>
        </w:rPr>
        <w:t>משרד</w:t>
      </w:r>
      <w:r>
        <w:rPr>
          <w:rFonts w:cs="FrankRuehl"/>
          <w:sz w:val="20"/>
          <w:szCs w:val="22"/>
          <w:rtl/>
        </w:rPr>
        <w:t xml:space="preserve"> </w:t>
      </w:r>
      <w:r>
        <w:rPr>
          <w:rFonts w:cs="FrankRuehl" w:hint="cs"/>
          <w:sz w:val="20"/>
          <w:szCs w:val="22"/>
          <w:rtl/>
        </w:rPr>
        <w:t>הרווחה</w:t>
      </w:r>
      <w:r>
        <w:rPr>
          <w:rFonts w:cs="FrankRuehl"/>
          <w:sz w:val="20"/>
          <w:szCs w:val="22"/>
          <w:rtl/>
        </w:rPr>
        <w:t xml:space="preserve"> </w:t>
      </w:r>
      <w:r>
        <w:rPr>
          <w:rFonts w:cs="FrankRuehl" w:hint="cs"/>
          <w:sz w:val="20"/>
          <w:szCs w:val="22"/>
          <w:rtl/>
        </w:rPr>
        <w:t>לא</w:t>
      </w:r>
      <w:r>
        <w:rPr>
          <w:rFonts w:cs="FrankRuehl"/>
          <w:sz w:val="20"/>
          <w:szCs w:val="22"/>
          <w:rtl/>
        </w:rPr>
        <w:t xml:space="preserve"> </w:t>
      </w:r>
      <w:r>
        <w:rPr>
          <w:rFonts w:cs="FrankRuehl" w:hint="cs"/>
          <w:sz w:val="20"/>
          <w:szCs w:val="22"/>
          <w:rtl/>
        </w:rPr>
        <w:t>קבע</w:t>
      </w:r>
      <w:r>
        <w:rPr>
          <w:rFonts w:cs="FrankRuehl"/>
          <w:sz w:val="20"/>
          <w:szCs w:val="22"/>
          <w:rtl/>
        </w:rPr>
        <w:t xml:space="preserve"> </w:t>
      </w:r>
      <w:r>
        <w:rPr>
          <w:rFonts w:cs="FrankRuehl" w:hint="cs"/>
          <w:sz w:val="20"/>
          <w:szCs w:val="22"/>
          <w:rtl/>
        </w:rPr>
        <w:t>כללים</w:t>
      </w:r>
      <w:r>
        <w:rPr>
          <w:rFonts w:cs="FrankRuehl"/>
          <w:sz w:val="20"/>
          <w:szCs w:val="22"/>
          <w:rtl/>
        </w:rPr>
        <w:t xml:space="preserve"> </w:t>
      </w:r>
      <w:r>
        <w:rPr>
          <w:rFonts w:cs="FrankRuehl" w:hint="cs"/>
          <w:sz w:val="20"/>
          <w:szCs w:val="22"/>
          <w:rtl/>
        </w:rPr>
        <w:t>הנוגעים</w:t>
      </w:r>
      <w:r>
        <w:rPr>
          <w:rFonts w:cs="FrankRuehl"/>
          <w:sz w:val="20"/>
          <w:szCs w:val="22"/>
          <w:rtl/>
        </w:rPr>
        <w:t xml:space="preserve"> </w:t>
      </w:r>
      <w:r>
        <w:rPr>
          <w:rFonts w:cs="FrankRuehl" w:hint="cs"/>
          <w:sz w:val="20"/>
          <w:szCs w:val="22"/>
          <w:rtl/>
        </w:rPr>
        <w:t>למספר</w:t>
      </w:r>
      <w:r>
        <w:rPr>
          <w:rFonts w:cs="FrankRuehl"/>
          <w:sz w:val="20"/>
          <w:szCs w:val="22"/>
          <w:rtl/>
        </w:rPr>
        <w:t xml:space="preserve"> </w:t>
      </w:r>
      <w:r>
        <w:rPr>
          <w:rFonts w:cs="FrankRuehl" w:hint="cs"/>
          <w:sz w:val="20"/>
          <w:szCs w:val="22"/>
          <w:rtl/>
        </w:rPr>
        <w:t>הזקנים</w:t>
      </w:r>
      <w:r>
        <w:rPr>
          <w:rFonts w:cs="FrankRuehl"/>
          <w:sz w:val="20"/>
          <w:szCs w:val="22"/>
          <w:rtl/>
        </w:rPr>
        <w:t xml:space="preserve"> </w:t>
      </w:r>
      <w:r>
        <w:rPr>
          <w:rFonts w:cs="FrankRuehl" w:hint="cs"/>
          <w:sz w:val="20"/>
          <w:szCs w:val="22"/>
          <w:rtl/>
        </w:rPr>
        <w:t>שראוי</w:t>
      </w:r>
      <w:r>
        <w:rPr>
          <w:rFonts w:cs="FrankRuehl"/>
          <w:sz w:val="20"/>
          <w:szCs w:val="22"/>
          <w:rtl/>
        </w:rPr>
        <w:t xml:space="preserve"> </w:t>
      </w:r>
      <w:r>
        <w:rPr>
          <w:rFonts w:cs="FrankRuehl" w:hint="cs"/>
          <w:sz w:val="20"/>
          <w:szCs w:val="22"/>
          <w:rtl/>
        </w:rPr>
        <w:t>שעו</w:t>
      </w:r>
      <w:r>
        <w:rPr>
          <w:rFonts w:cs="FrankRuehl"/>
          <w:sz w:val="20"/>
          <w:szCs w:val="22"/>
          <w:rtl/>
        </w:rPr>
        <w:t>"ס לזקן יטפל בהם כדי להבטיח</w:t>
      </w:r>
      <w:r>
        <w:rPr>
          <w:rFonts w:cs="FrankRuehl" w:hint="cs"/>
          <w:sz w:val="20"/>
          <w:szCs w:val="22"/>
          <w:rtl/>
        </w:rPr>
        <w:t xml:space="preserve"> סטנדרט</w:t>
      </w:r>
      <w:r>
        <w:rPr>
          <w:rFonts w:cs="FrankRuehl"/>
          <w:sz w:val="20"/>
          <w:szCs w:val="22"/>
          <w:rtl/>
        </w:rPr>
        <w:t xml:space="preserve"> טיפול נאות ומקצועי. </w:t>
      </w:r>
      <w:r>
        <w:rPr>
          <w:rFonts w:cs="FrankRuehl" w:hint="cs"/>
          <w:sz w:val="20"/>
          <w:szCs w:val="22"/>
          <w:rtl/>
        </w:rPr>
        <w:t>המשרד</w:t>
      </w:r>
      <w:r>
        <w:rPr>
          <w:rFonts w:cs="FrankRuehl"/>
          <w:sz w:val="20"/>
          <w:szCs w:val="22"/>
          <w:rtl/>
        </w:rPr>
        <w:t xml:space="preserve"> </w:t>
      </w:r>
      <w:r>
        <w:rPr>
          <w:rFonts w:cs="FrankRuehl" w:hint="cs"/>
          <w:sz w:val="20"/>
          <w:szCs w:val="22"/>
          <w:rtl/>
        </w:rPr>
        <w:t>אף לא</w:t>
      </w:r>
      <w:r>
        <w:rPr>
          <w:rFonts w:cs="FrankRuehl"/>
          <w:sz w:val="20"/>
          <w:szCs w:val="22"/>
          <w:rtl/>
        </w:rPr>
        <w:t xml:space="preserve"> </w:t>
      </w:r>
      <w:r>
        <w:rPr>
          <w:rFonts w:cs="FrankRuehl" w:hint="cs"/>
          <w:sz w:val="20"/>
          <w:szCs w:val="22"/>
          <w:rtl/>
        </w:rPr>
        <w:t>קבע</w:t>
      </w:r>
      <w:r>
        <w:rPr>
          <w:rFonts w:cs="FrankRuehl"/>
          <w:sz w:val="20"/>
          <w:szCs w:val="22"/>
          <w:rtl/>
        </w:rPr>
        <w:t xml:space="preserve"> </w:t>
      </w:r>
      <w:r>
        <w:rPr>
          <w:rFonts w:cs="FrankRuehl" w:hint="cs"/>
          <w:sz w:val="20"/>
          <w:szCs w:val="22"/>
          <w:rtl/>
        </w:rPr>
        <w:t>לרשויות</w:t>
      </w:r>
      <w:r>
        <w:rPr>
          <w:rFonts w:cs="FrankRuehl"/>
          <w:sz w:val="20"/>
          <w:szCs w:val="22"/>
          <w:rtl/>
        </w:rPr>
        <w:t xml:space="preserve"> </w:t>
      </w:r>
      <w:r>
        <w:rPr>
          <w:rFonts w:cs="FrankRuehl" w:hint="cs"/>
          <w:sz w:val="20"/>
          <w:szCs w:val="22"/>
          <w:rtl/>
        </w:rPr>
        <w:t>המקומיות</w:t>
      </w:r>
      <w:r>
        <w:rPr>
          <w:rFonts w:cs="FrankRuehl"/>
          <w:sz w:val="20"/>
          <w:szCs w:val="22"/>
          <w:rtl/>
        </w:rPr>
        <w:t xml:space="preserve"> </w:t>
      </w:r>
      <w:r>
        <w:rPr>
          <w:rFonts w:cs="FrankRuehl" w:hint="cs"/>
          <w:sz w:val="20"/>
          <w:szCs w:val="22"/>
          <w:rtl/>
        </w:rPr>
        <w:t>תקן</w:t>
      </w:r>
      <w:r>
        <w:rPr>
          <w:rFonts w:cs="FrankRuehl"/>
          <w:sz w:val="20"/>
          <w:szCs w:val="22"/>
          <w:rtl/>
        </w:rPr>
        <w:t xml:space="preserve"> </w:t>
      </w:r>
      <w:r>
        <w:rPr>
          <w:rFonts w:cs="FrankRuehl" w:hint="cs"/>
          <w:sz w:val="20"/>
          <w:szCs w:val="22"/>
          <w:rtl/>
        </w:rPr>
        <w:t>עו</w:t>
      </w:r>
      <w:r>
        <w:rPr>
          <w:rFonts w:cs="FrankRuehl"/>
          <w:sz w:val="20"/>
          <w:szCs w:val="22"/>
          <w:rtl/>
        </w:rPr>
        <w:t xml:space="preserve">"סים </w:t>
      </w:r>
      <w:r>
        <w:rPr>
          <w:rFonts w:cs="FrankRuehl" w:hint="cs"/>
          <w:sz w:val="20"/>
          <w:szCs w:val="22"/>
          <w:rtl/>
        </w:rPr>
        <w:t>לזקן</w:t>
      </w:r>
      <w:r>
        <w:rPr>
          <w:rFonts w:cs="FrankRuehl"/>
          <w:sz w:val="20"/>
          <w:szCs w:val="22"/>
          <w:rtl/>
        </w:rPr>
        <w:t xml:space="preserve"> </w:t>
      </w:r>
      <w:r>
        <w:rPr>
          <w:rFonts w:cs="FrankRuehl" w:hint="cs"/>
          <w:sz w:val="20"/>
          <w:szCs w:val="22"/>
          <w:rtl/>
        </w:rPr>
        <w:t>לפי</w:t>
      </w:r>
      <w:r>
        <w:rPr>
          <w:rFonts w:cs="FrankRuehl"/>
          <w:sz w:val="20"/>
          <w:szCs w:val="22"/>
          <w:rtl/>
        </w:rPr>
        <w:t xml:space="preserve"> </w:t>
      </w:r>
      <w:r>
        <w:rPr>
          <w:rFonts w:cs="FrankRuehl" w:hint="cs"/>
          <w:sz w:val="20"/>
          <w:szCs w:val="22"/>
          <w:rtl/>
        </w:rPr>
        <w:t>מספר</w:t>
      </w:r>
      <w:r>
        <w:rPr>
          <w:rFonts w:cs="FrankRuehl"/>
          <w:sz w:val="20"/>
          <w:szCs w:val="22"/>
          <w:rtl/>
        </w:rPr>
        <w:t xml:space="preserve"> </w:t>
      </w:r>
      <w:r>
        <w:rPr>
          <w:rFonts w:cs="FrankRuehl" w:hint="cs"/>
          <w:sz w:val="20"/>
          <w:szCs w:val="22"/>
          <w:rtl/>
        </w:rPr>
        <w:t>הזקנים</w:t>
      </w:r>
      <w:r>
        <w:rPr>
          <w:rFonts w:cs="FrankRuehl"/>
          <w:sz w:val="20"/>
          <w:szCs w:val="22"/>
          <w:rtl/>
        </w:rPr>
        <w:t xml:space="preserve"> </w:t>
      </w:r>
      <w:r>
        <w:rPr>
          <w:rFonts w:cs="FrankRuehl" w:hint="cs"/>
          <w:sz w:val="20"/>
          <w:szCs w:val="22"/>
          <w:rtl/>
        </w:rPr>
        <w:t>המטופלים</w:t>
      </w:r>
      <w:r>
        <w:rPr>
          <w:rFonts w:cs="FrankRuehl"/>
          <w:sz w:val="20"/>
          <w:szCs w:val="22"/>
          <w:rtl/>
        </w:rPr>
        <w:t xml:space="preserve"> </w:t>
      </w:r>
      <w:r>
        <w:rPr>
          <w:rFonts w:cs="FrankRuehl" w:hint="cs"/>
          <w:sz w:val="20"/>
          <w:szCs w:val="22"/>
          <w:rtl/>
        </w:rPr>
        <w:t>בפועל</w:t>
      </w:r>
      <w:r>
        <w:rPr>
          <w:rFonts w:cs="FrankRuehl"/>
          <w:sz w:val="20"/>
          <w:szCs w:val="22"/>
          <w:rtl/>
        </w:rPr>
        <w:t>.</w:t>
      </w:r>
      <w:r>
        <w:rPr>
          <w:rFonts w:cs="FrankRuehl" w:hint="cs"/>
          <w:sz w:val="20"/>
          <w:szCs w:val="22"/>
          <w:rtl/>
        </w:rPr>
        <w:t xml:space="preserve"> </w:t>
      </w:r>
    </w:p>
    <w:p w:rsidR="00F60E90" w:rsidP="00CD7F18">
      <w:pPr>
        <w:spacing w:after="120" w:line="230" w:lineRule="exact"/>
        <w:ind w:left="340"/>
        <w:jc w:val="both"/>
        <w:rPr>
          <w:rFonts w:cs="FrankRuehl"/>
          <w:sz w:val="20"/>
          <w:szCs w:val="22"/>
          <w:rtl/>
        </w:rPr>
      </w:pPr>
      <w:r>
        <w:rPr>
          <w:rFonts w:cs="FrankRuehl"/>
          <w:sz w:val="20"/>
          <w:szCs w:val="22"/>
          <w:rtl/>
        </w:rPr>
        <w:t>הב</w:t>
      </w:r>
      <w:r>
        <w:rPr>
          <w:rFonts w:cs="FrankRuehl" w:hint="cs"/>
          <w:sz w:val="20"/>
          <w:szCs w:val="22"/>
          <w:rtl/>
        </w:rPr>
        <w:t>יקורת</w:t>
      </w:r>
      <w:r>
        <w:rPr>
          <w:rFonts w:cs="FrankRuehl"/>
          <w:sz w:val="20"/>
          <w:szCs w:val="22"/>
          <w:rtl/>
        </w:rPr>
        <w:t xml:space="preserve"> העלתה </w:t>
      </w:r>
      <w:r>
        <w:rPr>
          <w:rFonts w:cs="FrankRuehl" w:hint="cs"/>
          <w:sz w:val="20"/>
          <w:szCs w:val="22"/>
          <w:rtl/>
        </w:rPr>
        <w:t xml:space="preserve">עוד </w:t>
      </w:r>
      <w:r>
        <w:rPr>
          <w:rFonts w:cs="FrankRuehl"/>
          <w:sz w:val="20"/>
          <w:szCs w:val="22"/>
          <w:rtl/>
        </w:rPr>
        <w:t>כי עומס העבודה הרב</w:t>
      </w:r>
      <w:r>
        <w:rPr>
          <w:rFonts w:cs="FrankRuehl" w:hint="cs"/>
          <w:sz w:val="20"/>
          <w:szCs w:val="22"/>
          <w:rtl/>
        </w:rPr>
        <w:t xml:space="preserve"> המוטל על כתפי העו"סים ברשויות המקומיות</w:t>
      </w:r>
      <w:r>
        <w:rPr>
          <w:rFonts w:cs="FrankRuehl"/>
          <w:sz w:val="20"/>
          <w:szCs w:val="22"/>
          <w:rtl/>
        </w:rPr>
        <w:t xml:space="preserve"> מגביל את יכולתם להבטיח טיפול נאות </w:t>
      </w:r>
      <w:r>
        <w:rPr>
          <w:rFonts w:cs="FrankRuehl" w:hint="cs"/>
          <w:sz w:val="20"/>
          <w:szCs w:val="22"/>
          <w:rtl/>
        </w:rPr>
        <w:t>בזקנים שבטיפולם; הטיפול הוא תגובתי וניתן בעיקר בעתות משבר כמענה לקרות אירוע חריג או צורך מידי. לכן, אי-אפשר להקפיד ולקיים</w:t>
      </w:r>
      <w:r>
        <w:rPr>
          <w:rFonts w:cs="FrankRuehl"/>
          <w:sz w:val="20"/>
          <w:szCs w:val="22"/>
          <w:rtl/>
        </w:rPr>
        <w:t xml:space="preserve"> רצף טיפולי ומעקב תקופתי.</w:t>
      </w:r>
    </w:p>
    <w:p w:rsidR="00F60E90" w:rsidP="00CD7F18">
      <w:pPr>
        <w:spacing w:after="120" w:line="230" w:lineRule="exact"/>
        <w:ind w:left="340"/>
        <w:jc w:val="both"/>
        <w:rPr>
          <w:rFonts w:cs="FrankRuehl"/>
          <w:sz w:val="20"/>
          <w:szCs w:val="22"/>
          <w:rtl/>
        </w:rPr>
      </w:pPr>
      <w:r>
        <w:rPr>
          <w:rFonts w:cs="FrankRuehl"/>
          <w:sz w:val="20"/>
          <w:szCs w:val="22"/>
          <w:rtl/>
        </w:rPr>
        <w:t>בתשובתה ציינה</w:t>
      </w:r>
      <w:r>
        <w:rPr>
          <w:rFonts w:cs="FrankRuehl" w:hint="cs"/>
          <w:sz w:val="20"/>
          <w:szCs w:val="22"/>
          <w:rtl/>
        </w:rPr>
        <w:t xml:space="preserve"> עיריית</w:t>
      </w:r>
      <w:r>
        <w:rPr>
          <w:rFonts w:cs="FrankRuehl"/>
          <w:sz w:val="20"/>
          <w:szCs w:val="22"/>
          <w:rtl/>
        </w:rPr>
        <w:t xml:space="preserve"> חיפה כי "טיפול תגובתי ניתן בעיקר במסגרת הטיפול בקשישים זכאי </w:t>
      </w:r>
      <w:r>
        <w:rPr>
          <w:rFonts w:cs="FrankRuehl" w:hint="cs"/>
          <w:sz w:val="20"/>
          <w:szCs w:val="22"/>
          <w:rtl/>
        </w:rPr>
        <w:t>חוק סיעוד, בגלל מספר</w:t>
      </w:r>
      <w:r>
        <w:rPr>
          <w:rFonts w:cs="FrankRuehl"/>
          <w:sz w:val="20"/>
          <w:szCs w:val="22"/>
          <w:rtl/>
        </w:rPr>
        <w:t xml:space="preserve"> </w:t>
      </w:r>
      <w:r>
        <w:rPr>
          <w:rFonts w:cs="FrankRuehl" w:hint="cs"/>
          <w:sz w:val="20"/>
          <w:szCs w:val="22"/>
          <w:rtl/>
        </w:rPr>
        <w:t>קשישים</w:t>
      </w:r>
      <w:r>
        <w:rPr>
          <w:rFonts w:cs="FrankRuehl"/>
          <w:sz w:val="20"/>
          <w:szCs w:val="22"/>
          <w:rtl/>
        </w:rPr>
        <w:t xml:space="preserve"> </w:t>
      </w:r>
      <w:r>
        <w:rPr>
          <w:rFonts w:cs="FrankRuehl" w:hint="cs"/>
          <w:sz w:val="20"/>
          <w:szCs w:val="22"/>
          <w:rtl/>
        </w:rPr>
        <w:t>גדול</w:t>
      </w:r>
      <w:r>
        <w:rPr>
          <w:rFonts w:cs="FrankRuehl"/>
          <w:sz w:val="20"/>
          <w:szCs w:val="22"/>
          <w:rtl/>
        </w:rPr>
        <w:t xml:space="preserve"> </w:t>
      </w:r>
      <w:r>
        <w:rPr>
          <w:rFonts w:cs="FrankRuehl" w:hint="cs"/>
          <w:sz w:val="20"/>
          <w:szCs w:val="22"/>
          <w:rtl/>
        </w:rPr>
        <w:t>לעובד</w:t>
      </w:r>
      <w:r>
        <w:rPr>
          <w:rFonts w:cs="FrankRuehl"/>
          <w:sz w:val="20"/>
          <w:szCs w:val="22"/>
          <w:rtl/>
        </w:rPr>
        <w:t>".</w:t>
      </w:r>
    </w:p>
    <w:p w:rsidR="00F60E90" w:rsidP="00CD7F18">
      <w:pPr>
        <w:spacing w:after="120" w:line="230" w:lineRule="exact"/>
        <w:ind w:left="340"/>
        <w:jc w:val="both"/>
        <w:rPr>
          <w:rFonts w:cs="FrankRuehl"/>
          <w:sz w:val="20"/>
          <w:szCs w:val="22"/>
          <w:rtl/>
        </w:rPr>
      </w:pPr>
      <w:r>
        <w:rPr>
          <w:rFonts w:cs="FrankRuehl" w:hint="cs"/>
          <w:sz w:val="20"/>
          <w:szCs w:val="22"/>
          <w:rtl/>
        </w:rPr>
        <w:t>בתשובתה ממאי 2014 מסרה המועצה האזורית לב השרון כי במחלקת הרווחה אין מועסקים עו"ס לזקן אלא עו"סים מרחביים הנותנים מענה לצורכי כל התושבים בתחומם, לרבות אוכלוסיית הזקנים, ועל כן זמינותם לטיפול בזקנים מוגבלת.</w:t>
      </w:r>
    </w:p>
    <w:p w:rsidR="00F60E90" w:rsidP="00CD7F18">
      <w:pPr>
        <w:spacing w:after="120" w:line="230" w:lineRule="exact"/>
        <w:ind w:left="340"/>
        <w:jc w:val="both"/>
        <w:rPr>
          <w:rFonts w:cs="FrankRuehl"/>
          <w:sz w:val="20"/>
          <w:szCs w:val="22"/>
          <w:rtl/>
        </w:rPr>
      </w:pPr>
      <w:r>
        <w:rPr>
          <w:rFonts w:cs="FrankRuehl" w:hint="cs"/>
          <w:sz w:val="20"/>
          <w:szCs w:val="22"/>
          <w:rtl/>
        </w:rPr>
        <w:t>בתשובתה מיוני 2014 ציינה המועצה האזורית מרום הגליל כי כל העו"סים העובדים במחלקת הרווחה מוגדרים כעו"סים מרחביים והם מטפלים בכל האוכלוסיה ביישובי המועצה, לרבות קשישים ואוכלוסייה בסיכון.</w:t>
      </w:r>
    </w:p>
    <w:p w:rsidR="00F60E90" w:rsidP="00CD7F18">
      <w:pPr>
        <w:spacing w:after="120" w:line="230" w:lineRule="exact"/>
        <w:ind w:left="340" w:hanging="340"/>
        <w:jc w:val="both"/>
        <w:rPr>
          <w:rFonts w:cs="FrankRuehl"/>
          <w:sz w:val="20"/>
          <w:szCs w:val="22"/>
          <w:rtl/>
        </w:rPr>
      </w:pPr>
      <w:r>
        <w:rPr>
          <w:rFonts w:cs="FrankRuehl" w:hint="cs"/>
          <w:sz w:val="20"/>
          <w:szCs w:val="22"/>
          <w:rtl/>
        </w:rPr>
        <w:t>3.</w:t>
      </w:r>
      <w:r>
        <w:rPr>
          <w:rFonts w:cs="FrankRuehl"/>
          <w:sz w:val="20"/>
          <w:szCs w:val="22"/>
          <w:rtl/>
        </w:rPr>
        <w:tab/>
      </w:r>
      <w:r>
        <w:rPr>
          <w:rFonts w:cs="FrankRuehl" w:hint="cs"/>
          <w:sz w:val="20"/>
          <w:szCs w:val="22"/>
          <w:rtl/>
        </w:rPr>
        <w:t>בהוראת התע"ס נקבעו "אמות המידה לתקצוב רשויות מקומיות בשרותי רווחה". בסעיף 2 להוראה זו נקבעה נוסחה כללית להקצאת תקני כוח אדם במחלקות לשירותים חברתיים.</w:t>
      </w:r>
    </w:p>
    <w:p w:rsidR="00F60E90" w:rsidP="00CD7F18">
      <w:pPr>
        <w:spacing w:after="120" w:line="230" w:lineRule="exact"/>
        <w:ind w:left="340"/>
        <w:jc w:val="both"/>
        <w:rPr>
          <w:rFonts w:cs="FrankRuehl"/>
          <w:sz w:val="20"/>
          <w:szCs w:val="22"/>
          <w:rtl/>
        </w:rPr>
      </w:pPr>
      <w:r>
        <w:rPr>
          <w:rFonts w:cs="FrankRuehl" w:hint="cs"/>
          <w:sz w:val="20"/>
          <w:szCs w:val="22"/>
          <w:rtl/>
        </w:rPr>
        <w:t>על פי הנוסחה שנקבעה בתע"ס, משרד הרווחה קובע ומתקצב תקן כללי לעו"סים בכל רשות מקומית, אך אין הוא קובע לרשויות המקומיות נוסחה לחלוקה פנימית של תקני העו"סים המאושרים למחלקות לשירותים חברתיים, לפי תחומי הטיפול שבאחריותן וביחס לכמות המטופלים בכל תחום. במציאות כזאת, כל רשות מאיישת את המשרות לפי מדיניותה שלה.</w:t>
      </w:r>
    </w:p>
    <w:p w:rsidR="00F60E90" w:rsidP="00CD7F18">
      <w:pPr>
        <w:spacing w:after="120" w:line="230" w:lineRule="exact"/>
        <w:ind w:left="340"/>
        <w:jc w:val="both"/>
        <w:rPr>
          <w:rFonts w:cs="FrankRuehl"/>
          <w:sz w:val="20"/>
          <w:szCs w:val="22"/>
          <w:rtl/>
        </w:rPr>
      </w:pPr>
      <w:r>
        <w:rPr>
          <w:rFonts w:cs="FrankRuehl"/>
          <w:sz w:val="20"/>
          <w:szCs w:val="22"/>
          <w:rtl/>
        </w:rPr>
        <w:t>בשנת 2009 הקים שר הרווחה ועדה בראשות</w:t>
      </w:r>
      <w:r>
        <w:rPr>
          <w:rFonts w:cs="FrankRuehl" w:hint="cs"/>
          <w:sz w:val="20"/>
          <w:szCs w:val="22"/>
          <w:rtl/>
        </w:rPr>
        <w:t>ו של</w:t>
      </w:r>
      <w:r>
        <w:rPr>
          <w:rFonts w:cs="FrankRuehl"/>
          <w:sz w:val="20"/>
          <w:szCs w:val="22"/>
          <w:rtl/>
        </w:rPr>
        <w:t xml:space="preserve"> מנכ"ל משרד הרווחה</w:t>
      </w:r>
      <w:r>
        <w:rPr>
          <w:rFonts w:cs="FrankRuehl" w:hint="cs"/>
          <w:sz w:val="20"/>
          <w:szCs w:val="22"/>
          <w:rtl/>
        </w:rPr>
        <w:t>. הוועדה האמורה</w:t>
      </w:r>
      <w:r>
        <w:rPr>
          <w:rFonts w:cs="FrankRuehl"/>
          <w:sz w:val="20"/>
          <w:szCs w:val="22"/>
          <w:rtl/>
        </w:rPr>
        <w:t xml:space="preserve"> המליצה לערוך רפורמה במחלקות לשירותים חברתיים, וזאת בשל קשיים ובעיות שפגעו בתפקודן וביכולתן לספק מענים הולמים לצורכי האוכלוסייה הנזקקת. מטרת הרפורמה שמשרד הרווחה מוביל משנת 2011 היא להתמודד עם סוגיות עומס העבודה, התקינה והמבנה הארגוני של מחלקות הרווחה ברשויות המקומיות. רשות מקומית המצטרפת לרפורמה נדרשת לערוך מיפוי של אגף הרווחה במטרה לקבל תמונה מקיפה על צרכיה שתסייע בידה לבנות תכניות התערבות, בליווי ייעוץ ארגוני, כדי להתמודד בין היתר עם סוגיות עומס העבודה</w:t>
      </w:r>
      <w:r>
        <w:rPr>
          <w:rFonts w:cs="FrankRuehl" w:hint="cs"/>
          <w:sz w:val="20"/>
          <w:szCs w:val="22"/>
          <w:rtl/>
        </w:rPr>
        <w:t xml:space="preserve"> ו</w:t>
      </w:r>
      <w:r>
        <w:rPr>
          <w:rFonts w:cs="FrankRuehl"/>
          <w:sz w:val="20"/>
          <w:szCs w:val="22"/>
          <w:rtl/>
        </w:rPr>
        <w:t>התקינה.</w:t>
      </w:r>
    </w:p>
    <w:p w:rsidR="00F60E90" w:rsidP="00CD7F18">
      <w:pPr>
        <w:spacing w:after="120" w:line="230" w:lineRule="exact"/>
        <w:ind w:left="340"/>
        <w:jc w:val="both"/>
        <w:rPr>
          <w:rFonts w:cs="FrankRuehl"/>
          <w:sz w:val="20"/>
          <w:szCs w:val="22"/>
          <w:rtl/>
        </w:rPr>
      </w:pPr>
      <w:r>
        <w:rPr>
          <w:rFonts w:cs="FrankRuehl" w:hint="cs"/>
          <w:sz w:val="20"/>
          <w:szCs w:val="22"/>
          <w:rtl/>
        </w:rPr>
        <w:t>נמצא כי חלק מהרשויות המקומיות אינן מקצות תקני עו"ס מספיקים לצורך טיפול בזקנים שבתחומן. להלן כמה דוגמאות:</w:t>
      </w:r>
    </w:p>
    <w:p w:rsidR="00F60E90" w:rsidP="00081A0B">
      <w:pPr>
        <w:spacing w:after="120" w:line="224" w:lineRule="exact"/>
        <w:ind w:left="340"/>
        <w:jc w:val="both"/>
        <w:rPr>
          <w:rFonts w:cs="FrankRuehl"/>
          <w:sz w:val="20"/>
          <w:szCs w:val="22"/>
          <w:rtl/>
        </w:rPr>
      </w:pPr>
      <w:r>
        <w:rPr>
          <w:rStyle w:val="Heading5Char"/>
          <w:rFonts w:cs="FrankRuehl" w:hint="cs"/>
          <w:spacing w:val="40"/>
          <w:szCs w:val="22"/>
          <w:rtl/>
        </w:rPr>
        <w:t>אום אל-פחם:</w:t>
      </w:r>
      <w:r>
        <w:rPr>
          <w:rFonts w:cs="FrankRuehl" w:hint="cs"/>
          <w:sz w:val="20"/>
          <w:szCs w:val="22"/>
          <w:rtl/>
        </w:rPr>
        <w:t xml:space="preserve"> כאמור, באום אל-פחם מתגוררים 2,180 זקנים וכ-1,300 מהם מטופלים במחלקה לשירותים חברתיים. הביקורת העלתה כי באוקטובר 2011 כתבה מנהלת המחלקה מכתב לראש העירייה, ובו ציינה את העומס הרב המוטל על כתפי שני העו"סים (העובדים ב-</w:t>
      </w:r>
      <w:r>
        <w:rPr>
          <w:rFonts w:cs="FrankRuehl" w:hint="cs"/>
          <w:sz w:val="20"/>
          <w:szCs w:val="22"/>
          <w:rtl/>
        </w:rPr>
        <w:t>1.5 משרות) המטפלים ב-1,300 הזקנים המוכרים למחלקה וביקשה תוספת של 0.5 משרת עו"ס לזקן שתמומן מתקציב העירייה בלבד.</w:t>
      </w:r>
    </w:p>
    <w:p w:rsidR="00F60E90" w:rsidP="00081A0B">
      <w:pPr>
        <w:spacing w:after="120" w:line="224" w:lineRule="exact"/>
        <w:ind w:left="340"/>
        <w:jc w:val="both"/>
        <w:rPr>
          <w:rFonts w:cs="FrankRuehl"/>
          <w:sz w:val="20"/>
          <w:szCs w:val="22"/>
          <w:rtl/>
        </w:rPr>
      </w:pPr>
      <w:r>
        <w:rPr>
          <w:rFonts w:cs="FrankRuehl" w:hint="cs"/>
          <w:sz w:val="20"/>
          <w:szCs w:val="22"/>
          <w:rtl/>
        </w:rPr>
        <w:t>בדצמבר 2011 שלח המפקח המחוזי של משרד הרווחה מכתב למנהלת המחלקה בעירייה: "בבדיקה שנערכה במחלקתכם מסתבר שיש לכם 4,500 בתי אב בנתוני יסוד ומהם 1,300 זקנים ועומדים לרשותכם 40 תקנים... בפועל עומדים לרשות הזקנים 1.25 תקנים. תסכימי איתי שזה מצב אבסורדי! אבקש לנייד תקני כח אדם שעומדים לרשותכם בהתאם".</w:t>
      </w:r>
    </w:p>
    <w:p w:rsidR="00F60E90" w:rsidP="00081A0B">
      <w:pPr>
        <w:spacing w:after="240" w:line="224" w:lineRule="exact"/>
        <w:ind w:left="340"/>
        <w:jc w:val="both"/>
        <w:rPr>
          <w:rFonts w:cs="FrankRuehl"/>
          <w:sz w:val="20"/>
          <w:szCs w:val="22"/>
          <w:rtl/>
        </w:rPr>
      </w:pPr>
      <w:r>
        <w:rPr>
          <w:rFonts w:cs="FrankRuehl" w:hint="cs"/>
          <w:sz w:val="20"/>
          <w:szCs w:val="22"/>
          <w:rtl/>
        </w:rPr>
        <w:t>הבדיקה העלתה כי על אף העומס הרב המוטל על העו"ס המטפל בזקנים ועל אף המחסור בעו"סים לזקן, עד מועד סיום הביקורת נשאר התקן נמוך ביותר - 1.5 עו"ס. זאת ועוד, משרד הרווחה, המודע למחסור הקיים למשרות בתקן של עו"סים לזקן, לא נקט צעדים כלשהם מול העירייה כדי לשפר את המצב.</w:t>
      </w:r>
    </w:p>
    <w:p w:rsidR="00F60E90" w:rsidP="00081A0B">
      <w:pPr>
        <w:pStyle w:val="RESHET"/>
        <w:spacing w:line="224" w:lineRule="exact"/>
        <w:ind w:left="567"/>
        <w:rPr>
          <w:rtl/>
        </w:rPr>
      </w:pPr>
      <w:r>
        <w:rPr>
          <w:rtl/>
        </w:rPr>
        <w:t xml:space="preserve">משרד מבקר המדינה </w:t>
      </w:r>
      <w:r>
        <w:rPr>
          <w:rFonts w:hint="cs"/>
          <w:rtl/>
        </w:rPr>
        <w:t>העיר לעיריית אום אל-פחם</w:t>
      </w:r>
      <w:r>
        <w:rPr>
          <w:rtl/>
        </w:rPr>
        <w:t xml:space="preserve"> </w:t>
      </w:r>
      <w:r>
        <w:rPr>
          <w:rFonts w:hint="cs"/>
          <w:rtl/>
        </w:rPr>
        <w:t xml:space="preserve">שעליה </w:t>
      </w:r>
      <w:r>
        <w:rPr>
          <w:rtl/>
        </w:rPr>
        <w:t>לבחון</w:t>
      </w:r>
      <w:r>
        <w:rPr>
          <w:rFonts w:hint="cs"/>
          <w:rtl/>
        </w:rPr>
        <w:t xml:space="preserve"> מול משרד הרווחה</w:t>
      </w:r>
      <w:r>
        <w:rPr>
          <w:rtl/>
        </w:rPr>
        <w:t xml:space="preserve"> את הצרכים </w:t>
      </w:r>
      <w:r>
        <w:rPr>
          <w:rFonts w:hint="cs"/>
          <w:rtl/>
        </w:rPr>
        <w:t xml:space="preserve">של אגף </w:t>
      </w:r>
      <w:r>
        <w:rPr>
          <w:rtl/>
        </w:rPr>
        <w:t>הרווחה</w:t>
      </w:r>
      <w:r>
        <w:rPr>
          <w:rFonts w:hint="cs"/>
          <w:rtl/>
        </w:rPr>
        <w:t xml:space="preserve"> ולשקול לנייד עובדים לטיפול בזקנים, בהתאם.</w:t>
      </w:r>
    </w:p>
    <w:p w:rsidR="00F60E90" w:rsidP="00081A0B">
      <w:pPr>
        <w:spacing w:before="180" w:after="120" w:line="224" w:lineRule="exact"/>
        <w:ind w:left="340"/>
        <w:jc w:val="both"/>
        <w:rPr>
          <w:rFonts w:cs="FrankRuehl"/>
          <w:sz w:val="20"/>
          <w:szCs w:val="22"/>
          <w:rtl/>
        </w:rPr>
      </w:pPr>
      <w:r>
        <w:rPr>
          <w:rFonts w:cs="FrankRuehl" w:hint="cs"/>
          <w:sz w:val="20"/>
          <w:szCs w:val="22"/>
          <w:rtl/>
        </w:rPr>
        <w:t>בתשובתה מיוני 2014 ציינה עיריית אום אל-פחם כי "מספר</w:t>
      </w:r>
      <w:r>
        <w:rPr>
          <w:rFonts w:cs="FrankRuehl"/>
          <w:sz w:val="20"/>
          <w:szCs w:val="22"/>
          <w:rtl/>
        </w:rPr>
        <w:t xml:space="preserve"> </w:t>
      </w:r>
      <w:r>
        <w:rPr>
          <w:rFonts w:cs="FrankRuehl" w:hint="cs"/>
          <w:sz w:val="20"/>
          <w:szCs w:val="22"/>
          <w:rtl/>
        </w:rPr>
        <w:t>התקנים</w:t>
      </w:r>
      <w:r>
        <w:rPr>
          <w:rFonts w:cs="FrankRuehl"/>
          <w:sz w:val="20"/>
          <w:szCs w:val="22"/>
          <w:rtl/>
        </w:rPr>
        <w:t xml:space="preserve"> </w:t>
      </w:r>
      <w:r>
        <w:rPr>
          <w:rFonts w:cs="FrankRuehl" w:hint="cs"/>
          <w:sz w:val="20"/>
          <w:szCs w:val="22"/>
          <w:rtl/>
        </w:rPr>
        <w:t>לרוב</w:t>
      </w:r>
      <w:r>
        <w:rPr>
          <w:rFonts w:cs="FrankRuehl"/>
          <w:sz w:val="20"/>
          <w:szCs w:val="22"/>
          <w:rtl/>
        </w:rPr>
        <w:t xml:space="preserve"> </w:t>
      </w:r>
      <w:r>
        <w:rPr>
          <w:rFonts w:cs="FrankRuehl" w:hint="cs"/>
          <w:sz w:val="20"/>
          <w:szCs w:val="22"/>
          <w:rtl/>
        </w:rPr>
        <w:t>אינו</w:t>
      </w:r>
      <w:r>
        <w:rPr>
          <w:rFonts w:cs="FrankRuehl"/>
          <w:sz w:val="20"/>
          <w:szCs w:val="22"/>
          <w:rtl/>
        </w:rPr>
        <w:t xml:space="preserve"> </w:t>
      </w:r>
      <w:r>
        <w:rPr>
          <w:rFonts w:cs="FrankRuehl" w:hint="cs"/>
          <w:sz w:val="20"/>
          <w:szCs w:val="22"/>
          <w:rtl/>
        </w:rPr>
        <w:t>עונה</w:t>
      </w:r>
      <w:r>
        <w:rPr>
          <w:rFonts w:cs="FrankRuehl"/>
          <w:sz w:val="20"/>
          <w:szCs w:val="22"/>
          <w:rtl/>
        </w:rPr>
        <w:t xml:space="preserve"> על הצרכים של אוכלוסיית היעד"</w:t>
      </w:r>
      <w:r>
        <w:rPr>
          <w:rFonts w:cs="FrankRuehl" w:hint="cs"/>
          <w:sz w:val="20"/>
          <w:szCs w:val="22"/>
          <w:rtl/>
        </w:rPr>
        <w:t>,</w:t>
      </w:r>
      <w:r>
        <w:rPr>
          <w:rFonts w:cs="FrankRuehl"/>
          <w:sz w:val="20"/>
          <w:szCs w:val="22"/>
          <w:rtl/>
        </w:rPr>
        <w:t xml:space="preserve"> </w:t>
      </w:r>
      <w:r>
        <w:rPr>
          <w:rFonts w:cs="FrankRuehl" w:hint="cs"/>
          <w:sz w:val="20"/>
          <w:szCs w:val="22"/>
          <w:rtl/>
        </w:rPr>
        <w:t>וכי אם יוקצו</w:t>
      </w:r>
      <w:r>
        <w:rPr>
          <w:rFonts w:cs="FrankRuehl"/>
          <w:sz w:val="20"/>
          <w:szCs w:val="22"/>
          <w:rtl/>
        </w:rPr>
        <w:t xml:space="preserve"> </w:t>
      </w:r>
      <w:r>
        <w:rPr>
          <w:rFonts w:cs="FrankRuehl" w:hint="cs"/>
          <w:sz w:val="20"/>
          <w:szCs w:val="22"/>
          <w:rtl/>
        </w:rPr>
        <w:t>למחלקה משרות נוספות</w:t>
      </w:r>
      <w:r>
        <w:rPr>
          <w:rFonts w:cs="FrankRuehl"/>
          <w:sz w:val="20"/>
          <w:szCs w:val="22"/>
          <w:rtl/>
        </w:rPr>
        <w:t xml:space="preserve">, </w:t>
      </w:r>
      <w:r>
        <w:rPr>
          <w:rFonts w:cs="FrankRuehl" w:hint="cs"/>
          <w:sz w:val="20"/>
          <w:szCs w:val="22"/>
          <w:rtl/>
        </w:rPr>
        <w:t>משרה</w:t>
      </w:r>
      <w:r>
        <w:rPr>
          <w:rFonts w:cs="FrankRuehl"/>
          <w:sz w:val="20"/>
          <w:szCs w:val="22"/>
          <w:rtl/>
        </w:rPr>
        <w:t xml:space="preserve"> </w:t>
      </w:r>
      <w:r>
        <w:rPr>
          <w:rFonts w:cs="FrankRuehl" w:hint="cs"/>
          <w:sz w:val="20"/>
          <w:szCs w:val="22"/>
          <w:rtl/>
        </w:rPr>
        <w:t>אחת</w:t>
      </w:r>
      <w:r>
        <w:rPr>
          <w:rFonts w:cs="FrankRuehl"/>
          <w:sz w:val="20"/>
          <w:szCs w:val="22"/>
          <w:rtl/>
        </w:rPr>
        <w:t xml:space="preserve"> </w:t>
      </w:r>
      <w:r>
        <w:rPr>
          <w:rFonts w:cs="FrankRuehl" w:hint="cs"/>
          <w:sz w:val="20"/>
          <w:szCs w:val="22"/>
          <w:rtl/>
        </w:rPr>
        <w:t>לפחות</w:t>
      </w:r>
      <w:r>
        <w:rPr>
          <w:rFonts w:cs="FrankRuehl"/>
          <w:sz w:val="20"/>
          <w:szCs w:val="22"/>
          <w:rtl/>
        </w:rPr>
        <w:t xml:space="preserve"> </w:t>
      </w:r>
      <w:r>
        <w:rPr>
          <w:rFonts w:cs="FrankRuehl" w:hint="cs"/>
          <w:sz w:val="20"/>
          <w:szCs w:val="22"/>
          <w:rtl/>
        </w:rPr>
        <w:t>תוקצה</w:t>
      </w:r>
      <w:r>
        <w:rPr>
          <w:rFonts w:cs="FrankRuehl"/>
          <w:sz w:val="20"/>
          <w:szCs w:val="22"/>
          <w:rtl/>
        </w:rPr>
        <w:t xml:space="preserve"> </w:t>
      </w:r>
      <w:r>
        <w:rPr>
          <w:rFonts w:cs="FrankRuehl" w:hint="cs"/>
          <w:sz w:val="20"/>
          <w:szCs w:val="22"/>
          <w:rtl/>
        </w:rPr>
        <w:t>לטיפול</w:t>
      </w:r>
      <w:r>
        <w:rPr>
          <w:rFonts w:cs="FrankRuehl"/>
          <w:sz w:val="20"/>
          <w:szCs w:val="22"/>
          <w:rtl/>
        </w:rPr>
        <w:t xml:space="preserve"> </w:t>
      </w:r>
      <w:r>
        <w:rPr>
          <w:rFonts w:cs="FrankRuehl" w:hint="cs"/>
          <w:sz w:val="20"/>
          <w:szCs w:val="22"/>
          <w:rtl/>
        </w:rPr>
        <w:t>בזקן</w:t>
      </w:r>
      <w:r>
        <w:rPr>
          <w:rFonts w:cs="FrankRuehl"/>
          <w:sz w:val="20"/>
          <w:szCs w:val="22"/>
          <w:rtl/>
        </w:rPr>
        <w:t>.</w:t>
      </w:r>
    </w:p>
    <w:p w:rsidR="00F60E90" w:rsidP="00081A0B">
      <w:pPr>
        <w:spacing w:after="120" w:line="224" w:lineRule="exact"/>
        <w:ind w:left="340"/>
        <w:jc w:val="both"/>
        <w:rPr>
          <w:rFonts w:cs="FrankRuehl"/>
          <w:sz w:val="20"/>
          <w:szCs w:val="22"/>
          <w:rtl/>
        </w:rPr>
      </w:pPr>
      <w:r>
        <w:rPr>
          <w:rStyle w:val="Heading5Char"/>
          <w:rFonts w:cs="FrankRuehl" w:hint="eastAsia"/>
          <w:spacing w:val="40"/>
          <w:szCs w:val="22"/>
          <w:rtl/>
        </w:rPr>
        <w:t>עיריית</w:t>
      </w:r>
      <w:r>
        <w:rPr>
          <w:rStyle w:val="Heading5Char"/>
          <w:rFonts w:cs="FrankRuehl"/>
          <w:spacing w:val="40"/>
          <w:szCs w:val="22"/>
          <w:rtl/>
        </w:rPr>
        <w:t xml:space="preserve"> </w:t>
      </w:r>
      <w:r>
        <w:rPr>
          <w:rStyle w:val="Heading5Char"/>
          <w:rFonts w:cs="FrankRuehl" w:hint="eastAsia"/>
          <w:spacing w:val="40"/>
          <w:szCs w:val="22"/>
          <w:rtl/>
        </w:rPr>
        <w:t>באקה</w:t>
      </w:r>
      <w:r>
        <w:rPr>
          <w:rStyle w:val="Heading5Char"/>
          <w:rFonts w:cs="FrankRuehl"/>
          <w:spacing w:val="40"/>
          <w:szCs w:val="22"/>
          <w:rtl/>
        </w:rPr>
        <w:t xml:space="preserve"> </w:t>
      </w:r>
      <w:r>
        <w:rPr>
          <w:rStyle w:val="Heading5Char"/>
          <w:rFonts w:cs="FrankRuehl" w:hint="eastAsia"/>
          <w:spacing w:val="40"/>
          <w:szCs w:val="22"/>
          <w:rtl/>
        </w:rPr>
        <w:t>אל</w:t>
      </w:r>
      <w:r>
        <w:rPr>
          <w:rStyle w:val="Heading5Char"/>
          <w:rFonts w:cs="FrankRuehl" w:hint="cs"/>
          <w:spacing w:val="40"/>
          <w:szCs w:val="22"/>
          <w:rtl/>
        </w:rPr>
        <w:t>-</w:t>
      </w:r>
      <w:r>
        <w:rPr>
          <w:rStyle w:val="Heading5Char"/>
          <w:rFonts w:cs="FrankRuehl" w:hint="eastAsia"/>
          <w:spacing w:val="40"/>
          <w:szCs w:val="22"/>
          <w:rtl/>
        </w:rPr>
        <w:t>גרבייה</w:t>
      </w:r>
      <w:r>
        <w:rPr>
          <w:rStyle w:val="Heading5Char"/>
          <w:rFonts w:cs="FrankRuehl"/>
          <w:spacing w:val="40"/>
          <w:szCs w:val="22"/>
          <w:rtl/>
        </w:rPr>
        <w:t>:</w:t>
      </w:r>
      <w:r>
        <w:rPr>
          <w:rFonts w:cs="FrankRuehl"/>
          <w:sz w:val="20"/>
          <w:szCs w:val="22"/>
          <w:rtl/>
        </w:rPr>
        <w:t xml:space="preserve"> </w:t>
      </w:r>
      <w:r>
        <w:rPr>
          <w:rFonts w:cs="FrankRuehl" w:hint="cs"/>
          <w:sz w:val="20"/>
          <w:szCs w:val="22"/>
          <w:rtl/>
        </w:rPr>
        <w:t>מחלקת הרווחה מטפלת ב-1,700 משפחות ובכללן 420 זקנים המטופלים על ידי עו"ס המועסק ב-60% משרה. בשנת 2012 הצטרפה העירייה לרפורמה האמורה.</w:t>
      </w:r>
    </w:p>
    <w:p w:rsidR="00F60E90" w:rsidP="00081A0B">
      <w:pPr>
        <w:spacing w:after="120" w:line="224" w:lineRule="exact"/>
        <w:ind w:left="340"/>
        <w:jc w:val="both"/>
        <w:rPr>
          <w:rFonts w:cs="FrankRuehl"/>
          <w:sz w:val="20"/>
          <w:szCs w:val="22"/>
          <w:rtl/>
        </w:rPr>
      </w:pPr>
      <w:r>
        <w:rPr>
          <w:rFonts w:cs="FrankRuehl" w:hint="cs"/>
          <w:sz w:val="20"/>
          <w:szCs w:val="22"/>
          <w:rtl/>
        </w:rPr>
        <w:t>בנובמבר 2012 פנה ראש העירייה אל מנכ"ל משרד הרווחה בבקשה לתוספת משרות בתקן למחלקת הרווחה, וזאת בשל "מצוקת המחלקה אשר כורעת תחת העומס". במכתבו ציין ראש העירייה: "אנו ראינו ברפורמה פתרון למצוקת המחסור בתקנים, במיוחד</w:t>
      </w:r>
      <w:r>
        <w:rPr>
          <w:rFonts w:cs="FrankRuehl"/>
          <w:sz w:val="20"/>
          <w:szCs w:val="22"/>
          <w:rtl/>
        </w:rPr>
        <w:t xml:space="preserve"> </w:t>
      </w:r>
      <w:r>
        <w:rPr>
          <w:rFonts w:cs="FrankRuehl" w:hint="cs"/>
          <w:sz w:val="20"/>
          <w:szCs w:val="22"/>
          <w:rtl/>
        </w:rPr>
        <w:t>שמטרת הרפורמה כפי שהגדיר אותה משרד הרווחה שהיא באה לשנות את המצב הנוכחי ולקדם את עבודת המחלקה לשירותים חברתיים".</w:t>
      </w:r>
    </w:p>
    <w:p w:rsidR="00F60E90" w:rsidP="00081A0B">
      <w:pPr>
        <w:spacing w:after="120" w:line="224" w:lineRule="exact"/>
        <w:ind w:left="340"/>
        <w:jc w:val="both"/>
        <w:rPr>
          <w:rFonts w:cs="FrankRuehl"/>
          <w:sz w:val="20"/>
          <w:szCs w:val="22"/>
          <w:rtl/>
        </w:rPr>
      </w:pPr>
      <w:r>
        <w:rPr>
          <w:rFonts w:cs="FrankRuehl" w:hint="cs"/>
          <w:sz w:val="20"/>
          <w:szCs w:val="22"/>
          <w:rtl/>
        </w:rPr>
        <w:t>בתשובתו ממאי 2013 הודיע משרד הרווחה לעירייה כי לפי הנוסחה החדשה היא זכאית ל-11.53 משרות עו"סים,</w:t>
      </w:r>
      <w:r>
        <w:rPr>
          <w:rFonts w:cs="FrankRuehl"/>
          <w:sz w:val="20"/>
          <w:szCs w:val="22"/>
        </w:rPr>
        <w:t xml:space="preserve"> </w:t>
      </w:r>
      <w:r>
        <w:rPr>
          <w:rFonts w:cs="FrankRuehl" w:hint="cs"/>
          <w:sz w:val="20"/>
          <w:szCs w:val="22"/>
          <w:rtl/>
        </w:rPr>
        <w:t>ובפועל עומדים לרשותה 11.55 משרות</w:t>
      </w:r>
      <w:r>
        <w:rPr>
          <w:rFonts w:cs="FrankRuehl"/>
          <w:sz w:val="20"/>
          <w:szCs w:val="22"/>
          <w:vertAlign w:val="superscript"/>
          <w:rtl/>
        </w:rPr>
        <w:footnoteReference w:id="8"/>
      </w:r>
      <w:r>
        <w:rPr>
          <w:rFonts w:cs="FrankRuehl" w:hint="cs"/>
          <w:sz w:val="20"/>
          <w:szCs w:val="22"/>
          <w:rtl/>
        </w:rPr>
        <w:t>. הוא הוסיף כי לקראת סוף השנה, עם קבלת הנתונים מהלמ"ס, תיבחן בשנית בקשתם.</w:t>
      </w:r>
    </w:p>
    <w:p w:rsidR="00F60E90" w:rsidP="00081A0B">
      <w:pPr>
        <w:spacing w:after="240" w:line="224" w:lineRule="exact"/>
        <w:ind w:left="340"/>
        <w:jc w:val="both"/>
        <w:rPr>
          <w:rFonts w:cs="FrankRuehl"/>
          <w:b/>
          <w:bCs/>
          <w:sz w:val="20"/>
          <w:szCs w:val="22"/>
          <w:rtl/>
        </w:rPr>
      </w:pPr>
      <w:r>
        <w:rPr>
          <w:rFonts w:cs="FrankRuehl" w:hint="cs"/>
          <w:sz w:val="20"/>
          <w:szCs w:val="22"/>
          <w:rtl/>
        </w:rPr>
        <w:t>הבדיקה העלתה כי עד מועד סיום הביקורת לא ערך משרד הרווחה בחינה נוספת כאמור; לא נקבעו כללים למספר המרבי של המטופלים לעו"ס ולא נוספו למחלקת הרווחה משרות עו"ס בכלל ומשרות עו"ס לזקן בפרט.</w:t>
      </w:r>
    </w:p>
    <w:p w:rsidR="00F60E90" w:rsidP="00081A0B">
      <w:pPr>
        <w:pStyle w:val="RESHET"/>
        <w:spacing w:line="224" w:lineRule="exact"/>
        <w:ind w:left="567"/>
        <w:rPr>
          <w:rtl/>
        </w:rPr>
      </w:pPr>
      <w:r>
        <w:rPr>
          <w:rFonts w:hint="cs"/>
          <w:rtl/>
        </w:rPr>
        <w:t>לדעת משרד מבקר המדינה, יש מקום שעיריות אום אל-פחם ובאקה אל-גרבייה יבדקו אם אפשר להכשיר עו"ס נוסף מבין העו"סים במחלקה לטיפול בזקנים כדי להקל את העומס ולהבטיח טיפול מיטבי בזקנים בתחומן.</w:t>
      </w:r>
    </w:p>
    <w:p w:rsidR="00F60E90" w:rsidP="00081A0B">
      <w:pPr>
        <w:pStyle w:val="RESHET"/>
        <w:spacing w:line="224" w:lineRule="exact"/>
        <w:ind w:left="567"/>
        <w:rPr>
          <w:rtl/>
        </w:rPr>
      </w:pPr>
      <w:r>
        <w:rPr>
          <w:rFonts w:hint="cs"/>
          <w:rtl/>
        </w:rPr>
        <w:t>לדעת משרד מבקר המדינה, מן הראוי שמשרד הרווחה יקבע, במסגרת המשרות שהוא מקצה לרשויות המקומיות, כללים בנוגע למספר המרבי של מטופלים לעו"ס, בכל התחומים, לרבות לטיפול בזקנים; בהתאם לכך להנחות את הרשויות המקומיות לפעול על פי אותם כללים כדי לשפר את הטיפול הניתן לזקן.</w:t>
      </w:r>
    </w:p>
    <w:p w:rsidR="00F60E90" w:rsidP="00CD7F18">
      <w:pPr>
        <w:spacing w:before="180" w:after="120" w:line="230" w:lineRule="exact"/>
        <w:ind w:left="340"/>
        <w:jc w:val="both"/>
        <w:rPr>
          <w:rFonts w:cs="FrankRuehl"/>
          <w:sz w:val="20"/>
          <w:szCs w:val="22"/>
          <w:rtl/>
        </w:rPr>
      </w:pPr>
      <w:r>
        <w:rPr>
          <w:rFonts w:cs="FrankRuehl"/>
          <w:sz w:val="20"/>
          <w:szCs w:val="22"/>
          <w:rtl/>
        </w:rPr>
        <w:t>בתשובתו</w:t>
      </w:r>
      <w:r>
        <w:rPr>
          <w:rFonts w:cs="FrankRuehl" w:hint="cs"/>
          <w:sz w:val="20"/>
          <w:szCs w:val="22"/>
          <w:rtl/>
        </w:rPr>
        <w:t xml:space="preserve"> </w:t>
      </w:r>
      <w:r>
        <w:rPr>
          <w:rFonts w:cs="FrankRuehl"/>
          <w:sz w:val="20"/>
          <w:szCs w:val="22"/>
          <w:rtl/>
        </w:rPr>
        <w:t>הודיע</w:t>
      </w:r>
      <w:r>
        <w:rPr>
          <w:rFonts w:cs="FrankRuehl" w:hint="cs"/>
          <w:sz w:val="20"/>
          <w:szCs w:val="22"/>
          <w:rtl/>
        </w:rPr>
        <w:t xml:space="preserve"> משרד</w:t>
      </w:r>
      <w:r>
        <w:rPr>
          <w:rFonts w:cs="FrankRuehl"/>
          <w:sz w:val="20"/>
          <w:szCs w:val="22"/>
          <w:rtl/>
        </w:rPr>
        <w:t xml:space="preserve"> הרווחה כי </w:t>
      </w:r>
      <w:r>
        <w:rPr>
          <w:rFonts w:cs="FrankRuehl" w:hint="cs"/>
          <w:sz w:val="20"/>
          <w:szCs w:val="22"/>
          <w:rtl/>
        </w:rPr>
        <w:t>מספר המשרות</w:t>
      </w:r>
      <w:r>
        <w:rPr>
          <w:rFonts w:cs="FrankRuehl"/>
          <w:sz w:val="20"/>
          <w:szCs w:val="22"/>
          <w:rtl/>
        </w:rPr>
        <w:t xml:space="preserve"> </w:t>
      </w:r>
      <w:r>
        <w:rPr>
          <w:rFonts w:cs="FrankRuehl" w:hint="cs"/>
          <w:sz w:val="20"/>
          <w:szCs w:val="22"/>
          <w:rtl/>
        </w:rPr>
        <w:t xml:space="preserve">בפועל </w:t>
      </w:r>
      <w:r>
        <w:rPr>
          <w:rFonts w:cs="FrankRuehl"/>
          <w:sz w:val="20"/>
          <w:szCs w:val="22"/>
          <w:rtl/>
        </w:rPr>
        <w:t>לטיפול בזקנים אכן נמו</w:t>
      </w:r>
      <w:r>
        <w:rPr>
          <w:rFonts w:cs="FrankRuehl" w:hint="cs"/>
          <w:sz w:val="20"/>
          <w:szCs w:val="22"/>
          <w:rtl/>
        </w:rPr>
        <w:t>ך</w:t>
      </w:r>
      <w:r>
        <w:rPr>
          <w:rFonts w:cs="FrankRuehl"/>
          <w:sz w:val="20"/>
          <w:szCs w:val="22"/>
          <w:rtl/>
        </w:rPr>
        <w:t xml:space="preserve"> ואי</w:t>
      </w:r>
      <w:r>
        <w:rPr>
          <w:rFonts w:cs="FrankRuehl" w:hint="cs"/>
          <w:sz w:val="20"/>
          <w:szCs w:val="22"/>
          <w:rtl/>
        </w:rPr>
        <w:t>ן הוא</w:t>
      </w:r>
      <w:r>
        <w:rPr>
          <w:rFonts w:cs="FrankRuehl"/>
          <w:sz w:val="20"/>
          <w:szCs w:val="22"/>
          <w:rtl/>
        </w:rPr>
        <w:t xml:space="preserve"> עומד ביחס ישר למספר המטופלים הזקנים מקרב כל המטופלים ב</w:t>
      </w:r>
      <w:r>
        <w:rPr>
          <w:rFonts w:cs="FrankRuehl" w:hint="cs"/>
          <w:sz w:val="20"/>
          <w:szCs w:val="22"/>
          <w:rtl/>
        </w:rPr>
        <w:t>מחלקות הרווחה.</w:t>
      </w:r>
      <w:r>
        <w:rPr>
          <w:rFonts w:cs="FrankRuehl"/>
          <w:sz w:val="20"/>
          <w:szCs w:val="22"/>
          <w:rtl/>
        </w:rPr>
        <w:t xml:space="preserve"> </w:t>
      </w:r>
      <w:r>
        <w:rPr>
          <w:rFonts w:cs="FrankRuehl" w:hint="cs"/>
          <w:sz w:val="20"/>
          <w:szCs w:val="22"/>
          <w:rtl/>
        </w:rPr>
        <w:t>המשרד הוסיף שהוא</w:t>
      </w:r>
      <w:r>
        <w:rPr>
          <w:rFonts w:cs="FrankRuehl"/>
          <w:sz w:val="20"/>
          <w:szCs w:val="22"/>
          <w:rtl/>
        </w:rPr>
        <w:t xml:space="preserve"> מקווה כי נושא זה יתוקן במסגרת הרפורמה </w:t>
      </w:r>
      <w:r>
        <w:rPr>
          <w:rFonts w:cs="FrankRuehl" w:hint="cs"/>
          <w:sz w:val="20"/>
          <w:szCs w:val="22"/>
          <w:rtl/>
        </w:rPr>
        <w:t>האמורה.</w:t>
      </w:r>
    </w:p>
    <w:p w:rsidR="00F60E90">
      <w:pPr>
        <w:spacing w:after="120" w:line="230" w:lineRule="exact"/>
        <w:jc w:val="both"/>
        <w:rPr>
          <w:rFonts w:cs="FrankRuehl"/>
          <w:sz w:val="20"/>
          <w:szCs w:val="22"/>
        </w:rPr>
      </w:pPr>
    </w:p>
    <w:p w:rsidR="00F60E90">
      <w:pPr>
        <w:spacing w:after="120" w:line="230" w:lineRule="exact"/>
        <w:jc w:val="both"/>
        <w:rPr>
          <w:rFonts w:cs="FrankRuehl"/>
          <w:sz w:val="20"/>
          <w:szCs w:val="22"/>
          <w:rtl/>
        </w:rPr>
      </w:pPr>
    </w:p>
    <w:p w:rsidR="00F60E90">
      <w:pPr>
        <w:pStyle w:val="KOT4"/>
        <w:rPr>
          <w:rtl/>
        </w:rPr>
      </w:pPr>
      <w:r>
        <w:rPr>
          <w:rFonts w:hint="cs"/>
          <w:rtl/>
        </w:rPr>
        <w:t>איתור זקנים נזקקים</w:t>
      </w:r>
    </w:p>
    <w:p w:rsidR="00F60E90">
      <w:pPr>
        <w:spacing w:after="120" w:line="230" w:lineRule="exact"/>
        <w:jc w:val="both"/>
        <w:rPr>
          <w:rFonts w:cs="FrankRuehl"/>
          <w:sz w:val="20"/>
          <w:szCs w:val="22"/>
          <w:rtl/>
        </w:rPr>
      </w:pPr>
      <w:r>
        <w:rPr>
          <w:rFonts w:cs="FrankRuehl" w:hint="cs"/>
          <w:sz w:val="20"/>
          <w:szCs w:val="22"/>
          <w:rtl/>
        </w:rPr>
        <w:t>ככל שאוכלוסיית הזקנים גדלה, היא נחשפת לגורמי סיכון ולקשיים שונים, המשפיעים על תפקודם של הזקנים ופוגעים באיכות חייהם. גורמי הסיכון העיקריים הם "מוגבלות וקשיים בתפקוד גופני", "קשיים בתפקוד קוגניטיבי" המתבטאים בירידה בזיכרון או בשינויים ביכולת לבצע מטלות מוכרות (טיפול גופני, ניהול משק בית, תזונה נכונה ולקיחת תרופות) ו"מצוקה נפשית" הבאה לידי ביטוי בעלייה ברמת הדיכאון המשפיעה על התפקוד היום-יומי שלהם.</w:t>
      </w:r>
    </w:p>
    <w:p w:rsidR="00F60E90">
      <w:pPr>
        <w:spacing w:after="120" w:line="230" w:lineRule="exact"/>
        <w:jc w:val="both"/>
        <w:rPr>
          <w:rFonts w:cs="FrankRuehl"/>
          <w:sz w:val="20"/>
          <w:szCs w:val="22"/>
          <w:rtl/>
        </w:rPr>
      </w:pPr>
      <w:r>
        <w:rPr>
          <w:rFonts w:cs="FrankRuehl" w:hint="cs"/>
          <w:sz w:val="20"/>
          <w:szCs w:val="22"/>
          <w:rtl/>
        </w:rPr>
        <w:t>גורמי הסיכון האמורים יכולים להיות משולבים זה בזה ולהשפיע זה על זה ועלולים להביא את הזקנים לידי מצב של אָבדן עצמאות תפקודית בתחומי החיים השונים ושל פגיעה באיכות החיים ולידי יצירת תלות בגופים המטפלים ובסביבה התומכת.</w:t>
      </w:r>
    </w:p>
    <w:p w:rsidR="00F60E90">
      <w:pPr>
        <w:spacing w:after="120" w:line="230" w:lineRule="exact"/>
        <w:jc w:val="both"/>
        <w:rPr>
          <w:rFonts w:cs="FrankRuehl"/>
          <w:sz w:val="20"/>
          <w:szCs w:val="22"/>
          <w:rtl/>
        </w:rPr>
      </w:pPr>
      <w:r>
        <w:rPr>
          <w:rFonts w:cs="FrankRuehl" w:hint="cs"/>
          <w:sz w:val="20"/>
          <w:szCs w:val="22"/>
          <w:rtl/>
        </w:rPr>
        <w:t>לפיכך,</w:t>
      </w:r>
      <w:r>
        <w:rPr>
          <w:rFonts w:cs="FrankRuehl"/>
          <w:sz w:val="20"/>
          <w:szCs w:val="22"/>
          <w:rtl/>
        </w:rPr>
        <w:t xml:space="preserve"> אם </w:t>
      </w:r>
      <w:r>
        <w:rPr>
          <w:rFonts w:cs="FrankRuehl" w:hint="cs"/>
          <w:sz w:val="20"/>
          <w:szCs w:val="22"/>
          <w:rtl/>
        </w:rPr>
        <w:t>מחלקות</w:t>
      </w:r>
      <w:r>
        <w:rPr>
          <w:rFonts w:cs="FrankRuehl"/>
          <w:sz w:val="20"/>
          <w:szCs w:val="22"/>
          <w:rtl/>
        </w:rPr>
        <w:t xml:space="preserve"> הרווחה לא יאתרו </w:t>
      </w:r>
      <w:r>
        <w:rPr>
          <w:rFonts w:cs="FrankRuehl" w:hint="cs"/>
          <w:sz w:val="20"/>
          <w:szCs w:val="22"/>
          <w:rtl/>
        </w:rPr>
        <w:t xml:space="preserve">את </w:t>
      </w:r>
      <w:r>
        <w:rPr>
          <w:rFonts w:cs="FrankRuehl"/>
          <w:sz w:val="20"/>
          <w:szCs w:val="22"/>
          <w:rtl/>
        </w:rPr>
        <w:t>אותם זקנים שמחמת מוגבלותם הפיזית או הנפשית אינם מסוגלים ליצור קשר בכוחות עצמם עם הגו</w:t>
      </w:r>
      <w:r>
        <w:rPr>
          <w:rFonts w:cs="FrankRuehl" w:hint="cs"/>
          <w:sz w:val="20"/>
          <w:szCs w:val="22"/>
          <w:rtl/>
        </w:rPr>
        <w:t>פים</w:t>
      </w:r>
      <w:r>
        <w:rPr>
          <w:rFonts w:cs="FrankRuehl"/>
          <w:sz w:val="20"/>
          <w:szCs w:val="22"/>
          <w:rtl/>
        </w:rPr>
        <w:t xml:space="preserve"> המקצועיים</w:t>
      </w:r>
      <w:r>
        <w:rPr>
          <w:rFonts w:cs="FrankRuehl" w:hint="cs"/>
          <w:sz w:val="20"/>
          <w:szCs w:val="22"/>
          <w:rtl/>
        </w:rPr>
        <w:t>,</w:t>
      </w:r>
      <w:r>
        <w:rPr>
          <w:rFonts w:cs="FrankRuehl"/>
          <w:sz w:val="20"/>
          <w:szCs w:val="22"/>
          <w:rtl/>
        </w:rPr>
        <w:t xml:space="preserve"> </w:t>
      </w:r>
      <w:r>
        <w:rPr>
          <w:rFonts w:cs="FrankRuehl" w:hint="cs"/>
          <w:sz w:val="20"/>
          <w:szCs w:val="22"/>
          <w:rtl/>
        </w:rPr>
        <w:t>לא</w:t>
      </w:r>
      <w:r>
        <w:rPr>
          <w:rFonts w:cs="FrankRuehl"/>
          <w:sz w:val="20"/>
          <w:szCs w:val="22"/>
          <w:rtl/>
        </w:rPr>
        <w:t xml:space="preserve"> יקבלו </w:t>
      </w:r>
      <w:r>
        <w:rPr>
          <w:rFonts w:cs="FrankRuehl" w:hint="cs"/>
          <w:sz w:val="20"/>
          <w:szCs w:val="22"/>
          <w:rtl/>
        </w:rPr>
        <w:t>הזקנים</w:t>
      </w:r>
      <w:r>
        <w:rPr>
          <w:rFonts w:cs="FrankRuehl"/>
          <w:sz w:val="20"/>
          <w:szCs w:val="22"/>
          <w:rtl/>
        </w:rPr>
        <w:t xml:space="preserve"> את העזרה </w:t>
      </w:r>
      <w:r>
        <w:rPr>
          <w:rFonts w:cs="FrankRuehl" w:hint="cs"/>
          <w:sz w:val="20"/>
          <w:szCs w:val="22"/>
          <w:rtl/>
        </w:rPr>
        <w:t>ש</w:t>
      </w:r>
      <w:r>
        <w:rPr>
          <w:rFonts w:cs="FrankRuehl"/>
          <w:sz w:val="20"/>
          <w:szCs w:val="22"/>
          <w:rtl/>
        </w:rPr>
        <w:t>הם זכאים לה על פי החוק.</w:t>
      </w:r>
    </w:p>
    <w:p w:rsidR="00F60E90">
      <w:pPr>
        <w:spacing w:after="120" w:line="230" w:lineRule="exact"/>
        <w:jc w:val="both"/>
        <w:rPr>
          <w:rFonts w:cs="FrankRuehl"/>
          <w:sz w:val="20"/>
          <w:szCs w:val="22"/>
          <w:rtl/>
        </w:rPr>
      </w:pPr>
      <w:r>
        <w:rPr>
          <w:rFonts w:cs="FrankRuehl" w:hint="cs"/>
          <w:sz w:val="20"/>
          <w:szCs w:val="22"/>
          <w:rtl/>
        </w:rPr>
        <w:t>זיהוי הנזקקים ואיתורם בשלבים המוקדמים של ההזדקנות יאפשרו לגבש תכניות מניעה והתערבות העשויות להבטיח טיפול ושירות נאותים יותר לאוכלוסייה זו.</w:t>
      </w:r>
    </w:p>
    <w:p w:rsidR="00F60E90">
      <w:pPr>
        <w:spacing w:after="120" w:line="230" w:lineRule="exact"/>
        <w:jc w:val="both"/>
        <w:rPr>
          <w:rFonts w:cs="FrankRuehl"/>
          <w:sz w:val="20"/>
          <w:szCs w:val="22"/>
          <w:rtl/>
        </w:rPr>
      </w:pPr>
      <w:r>
        <w:rPr>
          <w:rFonts w:cs="FrankRuehl"/>
          <w:sz w:val="20"/>
          <w:szCs w:val="22"/>
          <w:rtl/>
        </w:rPr>
        <w:t xml:space="preserve">הועלה כי </w:t>
      </w:r>
      <w:r>
        <w:rPr>
          <w:rFonts w:cs="FrankRuehl" w:hint="cs"/>
          <w:sz w:val="20"/>
          <w:szCs w:val="22"/>
          <w:rtl/>
        </w:rPr>
        <w:t>מחלקות</w:t>
      </w:r>
      <w:r>
        <w:rPr>
          <w:rFonts w:cs="FrankRuehl"/>
          <w:sz w:val="20"/>
          <w:szCs w:val="22"/>
          <w:rtl/>
        </w:rPr>
        <w:t xml:space="preserve"> הרווחה</w:t>
      </w:r>
      <w:r>
        <w:rPr>
          <w:rFonts w:cs="FrankRuehl" w:hint="cs"/>
          <w:sz w:val="20"/>
          <w:szCs w:val="22"/>
          <w:rtl/>
        </w:rPr>
        <w:t xml:space="preserve"> ברשויות המקומיות</w:t>
      </w:r>
      <w:r>
        <w:rPr>
          <w:rFonts w:cs="FrankRuehl"/>
          <w:sz w:val="20"/>
          <w:szCs w:val="22"/>
          <w:rtl/>
        </w:rPr>
        <w:t xml:space="preserve"> שנבדקו</w:t>
      </w:r>
      <w:r>
        <w:rPr>
          <w:rFonts w:cs="FrankRuehl" w:hint="cs"/>
          <w:sz w:val="20"/>
          <w:szCs w:val="22"/>
          <w:rtl/>
        </w:rPr>
        <w:t xml:space="preserve"> פועלות בתחום הטיפול בזקנים רק במקרים של </w:t>
      </w:r>
      <w:r>
        <w:rPr>
          <w:rFonts w:cs="FrankRuehl"/>
          <w:sz w:val="20"/>
          <w:szCs w:val="22"/>
          <w:rtl/>
        </w:rPr>
        <w:t>פניות המגיעות אליהן</w:t>
      </w:r>
      <w:r>
        <w:rPr>
          <w:rFonts w:cs="FrankRuehl" w:hint="cs"/>
          <w:sz w:val="20"/>
          <w:szCs w:val="22"/>
          <w:rtl/>
        </w:rPr>
        <w:t>.</w:t>
      </w:r>
      <w:r>
        <w:rPr>
          <w:rFonts w:cs="FrankRuehl"/>
          <w:sz w:val="20"/>
          <w:szCs w:val="22"/>
          <w:rtl/>
        </w:rPr>
        <w:t xml:space="preserve"> הן ממעטות </w:t>
      </w:r>
      <w:r>
        <w:rPr>
          <w:rFonts w:cs="FrankRuehl" w:hint="cs"/>
          <w:sz w:val="20"/>
          <w:szCs w:val="22"/>
          <w:rtl/>
        </w:rPr>
        <w:t>לנקוט</w:t>
      </w:r>
      <w:r>
        <w:rPr>
          <w:rFonts w:cs="FrankRuehl"/>
          <w:sz w:val="20"/>
          <w:szCs w:val="22"/>
          <w:rtl/>
        </w:rPr>
        <w:t xml:space="preserve"> פעולות</w:t>
      </w:r>
      <w:r>
        <w:rPr>
          <w:rFonts w:cs="FrankRuehl" w:hint="cs"/>
          <w:sz w:val="20"/>
          <w:szCs w:val="22"/>
          <w:rtl/>
        </w:rPr>
        <w:t xml:space="preserve"> יזומות</w:t>
      </w:r>
      <w:r>
        <w:rPr>
          <w:rFonts w:cs="FrankRuehl"/>
          <w:sz w:val="20"/>
          <w:szCs w:val="22"/>
          <w:rtl/>
        </w:rPr>
        <w:t xml:space="preserve"> לאיתור זקנים נזקקים</w:t>
      </w:r>
      <w:r>
        <w:rPr>
          <w:rFonts w:cs="FrankRuehl" w:hint="cs"/>
          <w:sz w:val="20"/>
          <w:szCs w:val="22"/>
          <w:rtl/>
        </w:rPr>
        <w:t xml:space="preserve"> בכלל ולאיתור זקנים מוגבלים הזקוקים לעזרה על בסיס קבוע בפרט. בנסיבות מסוימות, הדבר ימנע איתור זקנים שנשקפת סכנה לחייהם, בייחוד זקנים עריריים</w:t>
      </w:r>
      <w:r>
        <w:rPr>
          <w:rFonts w:cs="FrankRuehl"/>
          <w:sz w:val="20"/>
          <w:szCs w:val="22"/>
          <w:rtl/>
        </w:rPr>
        <w:t>.</w:t>
      </w:r>
      <w:r>
        <w:rPr>
          <w:rFonts w:cs="FrankRuehl" w:hint="cs"/>
          <w:sz w:val="20"/>
          <w:szCs w:val="22"/>
          <w:rtl/>
        </w:rPr>
        <w:t xml:space="preserve"> </w:t>
      </w:r>
    </w:p>
    <w:p w:rsidR="00F60E90">
      <w:pPr>
        <w:spacing w:after="120" w:line="230" w:lineRule="exact"/>
        <w:jc w:val="both"/>
        <w:rPr>
          <w:rFonts w:cs="FrankRuehl"/>
          <w:sz w:val="20"/>
          <w:szCs w:val="22"/>
          <w:rtl/>
        </w:rPr>
      </w:pPr>
      <w:r>
        <w:rPr>
          <w:rFonts w:cs="FrankRuehl" w:hint="cs"/>
          <w:sz w:val="20"/>
          <w:szCs w:val="22"/>
          <w:rtl/>
        </w:rPr>
        <w:t>עוד עלה כי בתע"ס לא נקבעו הנחיות בנוגע לאיתור זקנים נזקקים לצורך מתן סיוע ובדבר</w:t>
      </w:r>
      <w:r>
        <w:rPr>
          <w:rFonts w:cs="FrankRuehl"/>
          <w:sz w:val="20"/>
          <w:szCs w:val="22"/>
          <w:rtl/>
        </w:rPr>
        <w:t xml:space="preserve"> הפצת מידע על השירותים המגיעים לאוכלוסיית הזקנים ו</w:t>
      </w:r>
      <w:r>
        <w:rPr>
          <w:rFonts w:cs="FrankRuehl" w:hint="cs"/>
          <w:sz w:val="20"/>
          <w:szCs w:val="22"/>
          <w:rtl/>
        </w:rPr>
        <w:t xml:space="preserve">על </w:t>
      </w:r>
      <w:r>
        <w:rPr>
          <w:rFonts w:cs="FrankRuehl"/>
          <w:sz w:val="20"/>
          <w:szCs w:val="22"/>
          <w:rtl/>
        </w:rPr>
        <w:t>הזכאות לקבלתם. הפצת מידע כאמור נדרשת בייחוד בקרב זקנים שאינם דוברי עברית וזקנים עריריים.</w:t>
      </w:r>
    </w:p>
    <w:p w:rsidR="00F60E90">
      <w:pPr>
        <w:spacing w:after="120" w:line="230" w:lineRule="exact"/>
        <w:jc w:val="both"/>
        <w:rPr>
          <w:rFonts w:cs="FrankRuehl"/>
          <w:sz w:val="20"/>
          <w:szCs w:val="22"/>
          <w:rtl/>
        </w:rPr>
      </w:pPr>
      <w:r>
        <w:rPr>
          <w:rFonts w:cs="FrankRuehl"/>
          <w:sz w:val="20"/>
          <w:szCs w:val="22"/>
          <w:rtl/>
        </w:rPr>
        <w:t>בתשובתה</w:t>
      </w:r>
      <w:r>
        <w:rPr>
          <w:rFonts w:cs="FrankRuehl" w:hint="cs"/>
          <w:sz w:val="20"/>
          <w:szCs w:val="22"/>
          <w:rtl/>
        </w:rPr>
        <w:t xml:space="preserve"> </w:t>
      </w:r>
      <w:r>
        <w:rPr>
          <w:rFonts w:cs="FrankRuehl"/>
          <w:sz w:val="20"/>
          <w:szCs w:val="22"/>
          <w:rtl/>
        </w:rPr>
        <w:t>מסרה</w:t>
      </w:r>
      <w:r>
        <w:rPr>
          <w:rFonts w:cs="FrankRuehl" w:hint="cs"/>
          <w:sz w:val="20"/>
          <w:szCs w:val="22"/>
          <w:rtl/>
        </w:rPr>
        <w:t xml:space="preserve"> עיריית</w:t>
      </w:r>
      <w:r>
        <w:rPr>
          <w:rFonts w:cs="FrankRuehl"/>
          <w:sz w:val="20"/>
          <w:szCs w:val="22"/>
          <w:rtl/>
        </w:rPr>
        <w:t xml:space="preserve"> חיפה כי פעולותיה לאיתור זקנים נזקקים </w:t>
      </w:r>
      <w:r>
        <w:rPr>
          <w:rFonts w:cs="FrankRuehl" w:hint="cs"/>
          <w:sz w:val="20"/>
          <w:szCs w:val="22"/>
          <w:rtl/>
        </w:rPr>
        <w:t>נעשות באמצעות</w:t>
      </w:r>
      <w:r>
        <w:rPr>
          <w:rFonts w:cs="FrankRuehl"/>
          <w:sz w:val="20"/>
          <w:szCs w:val="22"/>
          <w:rtl/>
        </w:rPr>
        <w:t xml:space="preserve"> </w:t>
      </w:r>
      <w:r>
        <w:rPr>
          <w:rFonts w:cs="FrankRuehl" w:hint="cs"/>
          <w:sz w:val="20"/>
          <w:szCs w:val="22"/>
          <w:rtl/>
        </w:rPr>
        <w:t>קשר רצוף</w:t>
      </w:r>
      <w:r>
        <w:rPr>
          <w:rFonts w:cs="FrankRuehl"/>
          <w:sz w:val="20"/>
          <w:szCs w:val="22"/>
          <w:rtl/>
        </w:rPr>
        <w:t xml:space="preserve"> </w:t>
      </w:r>
      <w:r>
        <w:rPr>
          <w:rFonts w:cs="FrankRuehl" w:hint="cs"/>
          <w:sz w:val="20"/>
          <w:szCs w:val="22"/>
          <w:rtl/>
        </w:rPr>
        <w:t>שהיא מקיימת עם הגורמים המטפלים -</w:t>
      </w:r>
      <w:r>
        <w:rPr>
          <w:rFonts w:cs="FrankRuehl"/>
          <w:sz w:val="20"/>
          <w:szCs w:val="22"/>
          <w:rtl/>
        </w:rPr>
        <w:t xml:space="preserve"> </w:t>
      </w:r>
      <w:r>
        <w:rPr>
          <w:rFonts w:cs="FrankRuehl" w:hint="cs"/>
          <w:sz w:val="20"/>
          <w:szCs w:val="22"/>
          <w:rtl/>
        </w:rPr>
        <w:t>מוסדות</w:t>
      </w:r>
      <w:r>
        <w:rPr>
          <w:rFonts w:cs="FrankRuehl"/>
          <w:sz w:val="20"/>
          <w:szCs w:val="22"/>
          <w:rtl/>
        </w:rPr>
        <w:t xml:space="preserve"> </w:t>
      </w:r>
      <w:r>
        <w:rPr>
          <w:rFonts w:cs="FrankRuehl" w:hint="cs"/>
          <w:sz w:val="20"/>
          <w:szCs w:val="22"/>
          <w:rtl/>
        </w:rPr>
        <w:t>הבריאות</w:t>
      </w:r>
      <w:r>
        <w:rPr>
          <w:rFonts w:cs="FrankRuehl"/>
          <w:sz w:val="20"/>
          <w:szCs w:val="22"/>
          <w:rtl/>
        </w:rPr>
        <w:t xml:space="preserve">, </w:t>
      </w:r>
      <w:r>
        <w:rPr>
          <w:rFonts w:cs="FrankRuehl" w:hint="cs"/>
          <w:sz w:val="20"/>
          <w:szCs w:val="22"/>
          <w:rtl/>
        </w:rPr>
        <w:t>המוסד</w:t>
      </w:r>
      <w:r>
        <w:rPr>
          <w:rFonts w:cs="FrankRuehl"/>
          <w:sz w:val="20"/>
          <w:szCs w:val="22"/>
          <w:rtl/>
        </w:rPr>
        <w:t xml:space="preserve"> </w:t>
      </w:r>
      <w:r>
        <w:rPr>
          <w:rFonts w:cs="FrankRuehl" w:hint="cs"/>
          <w:sz w:val="20"/>
          <w:szCs w:val="22"/>
          <w:rtl/>
        </w:rPr>
        <w:t>לביטוח</w:t>
      </w:r>
      <w:r>
        <w:rPr>
          <w:rFonts w:cs="FrankRuehl"/>
          <w:sz w:val="20"/>
          <w:szCs w:val="22"/>
          <w:rtl/>
        </w:rPr>
        <w:t xml:space="preserve"> </w:t>
      </w:r>
      <w:r>
        <w:rPr>
          <w:rFonts w:cs="FrankRuehl" w:hint="cs"/>
          <w:sz w:val="20"/>
          <w:szCs w:val="22"/>
          <w:rtl/>
        </w:rPr>
        <w:t>לאומי,</w:t>
      </w:r>
      <w:r>
        <w:rPr>
          <w:rFonts w:cs="FrankRuehl"/>
          <w:sz w:val="20"/>
          <w:szCs w:val="22"/>
          <w:rtl/>
        </w:rPr>
        <w:t xml:space="preserve"> </w:t>
      </w:r>
      <w:r>
        <w:rPr>
          <w:rFonts w:cs="FrankRuehl" w:hint="cs"/>
          <w:sz w:val="20"/>
          <w:szCs w:val="22"/>
          <w:rtl/>
        </w:rPr>
        <w:t>גופים המטפלים בניצולי</w:t>
      </w:r>
      <w:r>
        <w:rPr>
          <w:rFonts w:cs="FrankRuehl"/>
          <w:sz w:val="20"/>
          <w:szCs w:val="22"/>
          <w:rtl/>
        </w:rPr>
        <w:t xml:space="preserve"> </w:t>
      </w:r>
      <w:r>
        <w:rPr>
          <w:rFonts w:cs="FrankRuehl" w:hint="cs"/>
          <w:sz w:val="20"/>
          <w:szCs w:val="22"/>
          <w:rtl/>
        </w:rPr>
        <w:t>שואה</w:t>
      </w:r>
      <w:r>
        <w:rPr>
          <w:rFonts w:cs="FrankRuehl"/>
          <w:sz w:val="20"/>
          <w:szCs w:val="22"/>
          <w:rtl/>
        </w:rPr>
        <w:t xml:space="preserve"> ו</w:t>
      </w:r>
      <w:r>
        <w:rPr>
          <w:rFonts w:cs="FrankRuehl" w:hint="cs"/>
          <w:sz w:val="20"/>
          <w:szCs w:val="22"/>
          <w:rtl/>
        </w:rPr>
        <w:t xml:space="preserve">גופים המפעילים </w:t>
      </w:r>
      <w:r>
        <w:rPr>
          <w:rFonts w:cs="FrankRuehl"/>
          <w:sz w:val="20"/>
          <w:szCs w:val="22"/>
          <w:rtl/>
        </w:rPr>
        <w:t>מסגרות חברתיות בעיר</w:t>
      </w:r>
      <w:r>
        <w:rPr>
          <w:rFonts w:cs="FrankRuehl" w:hint="cs"/>
          <w:sz w:val="20"/>
          <w:szCs w:val="22"/>
          <w:rtl/>
        </w:rPr>
        <w:t xml:space="preserve"> -</w:t>
      </w:r>
      <w:r>
        <w:rPr>
          <w:rFonts w:cs="FrankRuehl"/>
          <w:sz w:val="20"/>
          <w:szCs w:val="22"/>
          <w:rtl/>
        </w:rPr>
        <w:t xml:space="preserve"> לצורך קבלת מידע על </w:t>
      </w:r>
      <w:r>
        <w:rPr>
          <w:rFonts w:cs="FrankRuehl" w:hint="cs"/>
          <w:sz w:val="20"/>
          <w:szCs w:val="22"/>
          <w:rtl/>
        </w:rPr>
        <w:t>זקנים</w:t>
      </w:r>
      <w:r>
        <w:rPr>
          <w:rFonts w:cs="FrankRuehl"/>
          <w:sz w:val="20"/>
          <w:szCs w:val="22"/>
          <w:rtl/>
        </w:rPr>
        <w:t xml:space="preserve"> </w:t>
      </w:r>
      <w:r>
        <w:rPr>
          <w:rFonts w:cs="FrankRuehl" w:hint="cs"/>
          <w:sz w:val="20"/>
          <w:szCs w:val="22"/>
          <w:rtl/>
        </w:rPr>
        <w:t>נזקקים</w:t>
      </w:r>
      <w:r>
        <w:rPr>
          <w:rFonts w:cs="FrankRuehl"/>
          <w:sz w:val="20"/>
          <w:szCs w:val="22"/>
          <w:rtl/>
        </w:rPr>
        <w:t>.</w:t>
      </w:r>
      <w:r>
        <w:rPr>
          <w:rFonts w:cs="FrankRuehl" w:hint="cs"/>
          <w:sz w:val="20"/>
          <w:szCs w:val="22"/>
          <w:rtl/>
        </w:rPr>
        <w:t xml:space="preserve"> </w:t>
      </w:r>
      <w:r>
        <w:rPr>
          <w:rFonts w:cs="FrankRuehl"/>
          <w:sz w:val="20"/>
          <w:szCs w:val="22"/>
          <w:rtl/>
        </w:rPr>
        <w:t>העירייה</w:t>
      </w:r>
      <w:r>
        <w:rPr>
          <w:rFonts w:cs="FrankRuehl" w:hint="cs"/>
          <w:sz w:val="20"/>
          <w:szCs w:val="22"/>
          <w:rtl/>
        </w:rPr>
        <w:t xml:space="preserve"> הוסיפה</w:t>
      </w:r>
      <w:r>
        <w:rPr>
          <w:rFonts w:cs="FrankRuehl"/>
          <w:sz w:val="20"/>
          <w:szCs w:val="22"/>
          <w:rtl/>
        </w:rPr>
        <w:t xml:space="preserve"> כי </w:t>
      </w:r>
      <w:r>
        <w:rPr>
          <w:rFonts w:cs="FrankRuehl" w:hint="cs"/>
          <w:sz w:val="20"/>
          <w:szCs w:val="22"/>
          <w:rtl/>
        </w:rPr>
        <w:t>המחלקה</w:t>
      </w:r>
      <w:r>
        <w:rPr>
          <w:rFonts w:cs="FrankRuehl"/>
          <w:sz w:val="20"/>
          <w:szCs w:val="22"/>
          <w:rtl/>
        </w:rPr>
        <w:t xml:space="preserve"> לטיפול בזקן שבאגף הרווחה </w:t>
      </w:r>
      <w:r>
        <w:rPr>
          <w:rFonts w:cs="FrankRuehl" w:hint="cs"/>
          <w:sz w:val="20"/>
          <w:szCs w:val="22"/>
          <w:rtl/>
        </w:rPr>
        <w:t>מפעילה</w:t>
      </w:r>
      <w:r>
        <w:rPr>
          <w:rFonts w:cs="FrankRuehl"/>
          <w:sz w:val="20"/>
          <w:szCs w:val="22"/>
          <w:rtl/>
        </w:rPr>
        <w:t xml:space="preserve"> מרכז ייעוץ לקשיש</w:t>
      </w:r>
      <w:r>
        <w:rPr>
          <w:rFonts w:cs="FrankRuehl" w:hint="cs"/>
          <w:sz w:val="20"/>
          <w:szCs w:val="22"/>
          <w:rtl/>
        </w:rPr>
        <w:t>, הנותן את שירותיו בשפות עברית ורוסית. כמו כן המחלקה מפיצה</w:t>
      </w:r>
      <w:r>
        <w:rPr>
          <w:rFonts w:cs="FrankRuehl"/>
          <w:sz w:val="20"/>
          <w:szCs w:val="22"/>
          <w:rtl/>
        </w:rPr>
        <w:t xml:space="preserve"> </w:t>
      </w:r>
      <w:r>
        <w:rPr>
          <w:rFonts w:cs="FrankRuehl" w:hint="cs"/>
          <w:sz w:val="20"/>
          <w:szCs w:val="22"/>
          <w:rtl/>
        </w:rPr>
        <w:t>חוברת</w:t>
      </w:r>
      <w:r>
        <w:rPr>
          <w:rFonts w:cs="FrankRuehl"/>
          <w:sz w:val="20"/>
          <w:szCs w:val="22"/>
          <w:rtl/>
        </w:rPr>
        <w:t xml:space="preserve"> </w:t>
      </w:r>
      <w:r>
        <w:rPr>
          <w:rFonts w:cs="FrankRuehl" w:hint="cs"/>
          <w:sz w:val="20"/>
          <w:szCs w:val="22"/>
          <w:rtl/>
        </w:rPr>
        <w:t>מידע</w:t>
      </w:r>
      <w:r>
        <w:rPr>
          <w:rFonts w:cs="FrankRuehl"/>
          <w:sz w:val="20"/>
          <w:szCs w:val="22"/>
          <w:rtl/>
        </w:rPr>
        <w:t xml:space="preserve"> </w:t>
      </w:r>
      <w:r>
        <w:rPr>
          <w:rFonts w:cs="FrankRuehl" w:hint="cs"/>
          <w:sz w:val="20"/>
          <w:szCs w:val="22"/>
          <w:rtl/>
        </w:rPr>
        <w:t>בשפות</w:t>
      </w:r>
      <w:r>
        <w:rPr>
          <w:rFonts w:cs="FrankRuehl"/>
          <w:sz w:val="20"/>
          <w:szCs w:val="22"/>
          <w:rtl/>
        </w:rPr>
        <w:t xml:space="preserve"> </w:t>
      </w:r>
      <w:r>
        <w:rPr>
          <w:rFonts w:cs="FrankRuehl" w:hint="cs"/>
          <w:sz w:val="20"/>
          <w:szCs w:val="22"/>
          <w:rtl/>
        </w:rPr>
        <w:t>עברית</w:t>
      </w:r>
      <w:r>
        <w:rPr>
          <w:rFonts w:cs="FrankRuehl"/>
          <w:sz w:val="20"/>
          <w:szCs w:val="22"/>
          <w:rtl/>
        </w:rPr>
        <w:t xml:space="preserve">, </w:t>
      </w:r>
      <w:r>
        <w:rPr>
          <w:rFonts w:cs="FrankRuehl" w:hint="cs"/>
          <w:sz w:val="20"/>
          <w:szCs w:val="22"/>
          <w:rtl/>
        </w:rPr>
        <w:t>ערבית</w:t>
      </w:r>
      <w:r>
        <w:rPr>
          <w:rFonts w:cs="FrankRuehl"/>
          <w:sz w:val="20"/>
          <w:szCs w:val="22"/>
          <w:rtl/>
        </w:rPr>
        <w:t xml:space="preserve"> </w:t>
      </w:r>
      <w:r>
        <w:rPr>
          <w:rFonts w:cs="FrankRuehl" w:hint="cs"/>
          <w:sz w:val="20"/>
          <w:szCs w:val="22"/>
          <w:rtl/>
        </w:rPr>
        <w:t>ורוסית</w:t>
      </w:r>
      <w:r>
        <w:rPr>
          <w:rFonts w:cs="FrankRuehl"/>
          <w:sz w:val="20"/>
          <w:szCs w:val="22"/>
          <w:rtl/>
        </w:rPr>
        <w:t xml:space="preserve"> </w:t>
      </w:r>
      <w:r>
        <w:rPr>
          <w:rFonts w:cs="FrankRuehl" w:hint="cs"/>
          <w:sz w:val="20"/>
          <w:szCs w:val="22"/>
          <w:rtl/>
        </w:rPr>
        <w:t>בבתי</w:t>
      </w:r>
      <w:r>
        <w:rPr>
          <w:rFonts w:cs="FrankRuehl"/>
          <w:sz w:val="20"/>
          <w:szCs w:val="22"/>
          <w:rtl/>
        </w:rPr>
        <w:t xml:space="preserve"> </w:t>
      </w:r>
      <w:r>
        <w:rPr>
          <w:rFonts w:cs="FrankRuehl" w:hint="cs"/>
          <w:sz w:val="20"/>
          <w:szCs w:val="22"/>
          <w:rtl/>
        </w:rPr>
        <w:t>החולים</w:t>
      </w:r>
      <w:r>
        <w:rPr>
          <w:rFonts w:cs="FrankRuehl"/>
          <w:sz w:val="20"/>
          <w:szCs w:val="22"/>
          <w:rtl/>
        </w:rPr>
        <w:t xml:space="preserve"> </w:t>
      </w:r>
      <w:r>
        <w:rPr>
          <w:rFonts w:cs="FrankRuehl" w:hint="cs"/>
          <w:sz w:val="20"/>
          <w:szCs w:val="22"/>
          <w:rtl/>
        </w:rPr>
        <w:t>ובמועדונים</w:t>
      </w:r>
      <w:r>
        <w:rPr>
          <w:rFonts w:cs="FrankRuehl"/>
          <w:sz w:val="20"/>
          <w:szCs w:val="22"/>
          <w:rtl/>
        </w:rPr>
        <w:t xml:space="preserve"> </w:t>
      </w:r>
      <w:r>
        <w:rPr>
          <w:rFonts w:cs="FrankRuehl" w:hint="cs"/>
          <w:sz w:val="20"/>
          <w:szCs w:val="22"/>
          <w:rtl/>
        </w:rPr>
        <w:t>החברתיים</w:t>
      </w:r>
      <w:r>
        <w:rPr>
          <w:rFonts w:cs="FrankRuehl"/>
          <w:sz w:val="20"/>
          <w:szCs w:val="22"/>
          <w:rtl/>
        </w:rPr>
        <w:t>.</w:t>
      </w:r>
    </w:p>
    <w:p w:rsidR="00F60E90" w:rsidP="00CD7F18">
      <w:pPr>
        <w:spacing w:after="240" w:line="230" w:lineRule="exact"/>
        <w:jc w:val="both"/>
        <w:rPr>
          <w:rFonts w:cs="FrankRuehl"/>
          <w:sz w:val="20"/>
          <w:szCs w:val="22"/>
          <w:rtl/>
        </w:rPr>
      </w:pPr>
      <w:r>
        <w:rPr>
          <w:rFonts w:cs="FrankRuehl"/>
          <w:sz w:val="20"/>
          <w:szCs w:val="22"/>
          <w:rtl/>
        </w:rPr>
        <w:t>משרד הרווחה מסר בתשובתו</w:t>
      </w:r>
      <w:r>
        <w:rPr>
          <w:rFonts w:cs="FrankRuehl" w:hint="cs"/>
          <w:sz w:val="20"/>
          <w:szCs w:val="22"/>
          <w:rtl/>
        </w:rPr>
        <w:t xml:space="preserve"> </w:t>
      </w:r>
      <w:r>
        <w:rPr>
          <w:rFonts w:cs="FrankRuehl"/>
          <w:sz w:val="20"/>
          <w:szCs w:val="22"/>
          <w:rtl/>
        </w:rPr>
        <w:t xml:space="preserve">כי בעבר נקבע בתע"ס כי על העו"ס לפעול בין היתר לאיתור זקנים נזקקים, אך </w:t>
      </w:r>
      <w:r>
        <w:rPr>
          <w:rFonts w:cs="FrankRuehl" w:hint="cs"/>
          <w:sz w:val="20"/>
          <w:szCs w:val="22"/>
          <w:rtl/>
        </w:rPr>
        <w:t>בשל</w:t>
      </w:r>
      <w:r>
        <w:rPr>
          <w:rFonts w:cs="FrankRuehl"/>
          <w:sz w:val="20"/>
          <w:szCs w:val="22"/>
          <w:rtl/>
        </w:rPr>
        <w:t xml:space="preserve"> המעמסה הגדולה המוטלת על </w:t>
      </w:r>
      <w:r>
        <w:rPr>
          <w:rFonts w:cs="FrankRuehl" w:hint="cs"/>
          <w:sz w:val="20"/>
          <w:szCs w:val="22"/>
          <w:rtl/>
        </w:rPr>
        <w:t xml:space="preserve">כתפי </w:t>
      </w:r>
      <w:r>
        <w:rPr>
          <w:rFonts w:cs="FrankRuehl"/>
          <w:sz w:val="20"/>
          <w:szCs w:val="22"/>
          <w:rtl/>
        </w:rPr>
        <w:t xml:space="preserve">העוס"ים בוטל סעיף זה. </w:t>
      </w:r>
      <w:r>
        <w:rPr>
          <w:rFonts w:cs="FrankRuehl" w:hint="cs"/>
          <w:sz w:val="20"/>
          <w:szCs w:val="22"/>
          <w:rtl/>
        </w:rPr>
        <w:t>ה</w:t>
      </w:r>
      <w:r>
        <w:rPr>
          <w:rFonts w:cs="FrankRuehl"/>
          <w:sz w:val="20"/>
          <w:szCs w:val="22"/>
          <w:rtl/>
        </w:rPr>
        <w:t xml:space="preserve">משרד </w:t>
      </w:r>
      <w:r>
        <w:rPr>
          <w:rFonts w:cs="FrankRuehl" w:hint="cs"/>
          <w:sz w:val="20"/>
          <w:szCs w:val="22"/>
          <w:rtl/>
        </w:rPr>
        <w:t>הוסיף</w:t>
      </w:r>
      <w:r>
        <w:rPr>
          <w:rFonts w:cs="FrankRuehl"/>
          <w:sz w:val="20"/>
          <w:szCs w:val="22"/>
          <w:rtl/>
        </w:rPr>
        <w:t xml:space="preserve"> כי </w:t>
      </w:r>
      <w:r>
        <w:rPr>
          <w:rFonts w:cs="FrankRuehl" w:hint="cs"/>
          <w:sz w:val="20"/>
          <w:szCs w:val="22"/>
          <w:rtl/>
        </w:rPr>
        <w:t>ה</w:t>
      </w:r>
      <w:r>
        <w:rPr>
          <w:rFonts w:cs="FrankRuehl"/>
          <w:sz w:val="20"/>
          <w:szCs w:val="22"/>
          <w:rtl/>
        </w:rPr>
        <w:t xml:space="preserve">עו"סים </w:t>
      </w:r>
      <w:r>
        <w:rPr>
          <w:rFonts w:cs="FrankRuehl" w:hint="cs"/>
          <w:sz w:val="20"/>
          <w:szCs w:val="22"/>
          <w:rtl/>
        </w:rPr>
        <w:t>מקבלים</w:t>
      </w:r>
      <w:r>
        <w:rPr>
          <w:rFonts w:cs="FrankRuehl"/>
          <w:sz w:val="20"/>
          <w:szCs w:val="22"/>
          <w:rtl/>
        </w:rPr>
        <w:t xml:space="preserve"> מידע </w:t>
      </w:r>
      <w:r>
        <w:rPr>
          <w:rFonts w:cs="FrankRuehl" w:hint="cs"/>
          <w:sz w:val="20"/>
          <w:szCs w:val="22"/>
          <w:rtl/>
        </w:rPr>
        <w:t xml:space="preserve">על </w:t>
      </w:r>
      <w:r>
        <w:rPr>
          <w:rFonts w:cs="FrankRuehl"/>
          <w:sz w:val="20"/>
          <w:szCs w:val="22"/>
          <w:rtl/>
        </w:rPr>
        <w:t>זקנים נזקקים מ</w:t>
      </w:r>
      <w:r>
        <w:rPr>
          <w:rFonts w:cs="FrankRuehl" w:hint="cs"/>
          <w:sz w:val="20"/>
          <w:szCs w:val="22"/>
          <w:rtl/>
        </w:rPr>
        <w:t>ה</w:t>
      </w:r>
      <w:r>
        <w:rPr>
          <w:rFonts w:cs="FrankRuehl"/>
          <w:sz w:val="20"/>
          <w:szCs w:val="22"/>
          <w:rtl/>
        </w:rPr>
        <w:t xml:space="preserve">מועדונים </w:t>
      </w:r>
      <w:r>
        <w:rPr>
          <w:rFonts w:cs="FrankRuehl" w:hint="cs"/>
          <w:sz w:val="20"/>
          <w:szCs w:val="22"/>
          <w:rtl/>
        </w:rPr>
        <w:t>ה</w:t>
      </w:r>
      <w:r>
        <w:rPr>
          <w:rFonts w:cs="FrankRuehl"/>
          <w:sz w:val="20"/>
          <w:szCs w:val="22"/>
          <w:rtl/>
        </w:rPr>
        <w:t>חברתיים ו</w:t>
      </w:r>
      <w:r>
        <w:rPr>
          <w:rFonts w:cs="FrankRuehl" w:hint="cs"/>
          <w:sz w:val="20"/>
          <w:szCs w:val="22"/>
          <w:rtl/>
        </w:rPr>
        <w:t>מ</w:t>
      </w:r>
      <w:r>
        <w:rPr>
          <w:rFonts w:cs="FrankRuehl"/>
          <w:sz w:val="20"/>
          <w:szCs w:val="22"/>
          <w:rtl/>
        </w:rPr>
        <w:t xml:space="preserve">מרכזי </w:t>
      </w:r>
      <w:r>
        <w:rPr>
          <w:rFonts w:cs="FrankRuehl" w:hint="cs"/>
          <w:sz w:val="20"/>
          <w:szCs w:val="22"/>
          <w:rtl/>
        </w:rPr>
        <w:t>ה</w:t>
      </w:r>
      <w:r>
        <w:rPr>
          <w:rFonts w:cs="FrankRuehl"/>
          <w:sz w:val="20"/>
          <w:szCs w:val="22"/>
          <w:rtl/>
        </w:rPr>
        <w:t xml:space="preserve">יום לזקן, </w:t>
      </w:r>
      <w:r>
        <w:rPr>
          <w:rFonts w:cs="FrankRuehl" w:hint="cs"/>
          <w:sz w:val="20"/>
          <w:szCs w:val="22"/>
          <w:rtl/>
        </w:rPr>
        <w:t>מ</w:t>
      </w:r>
      <w:r>
        <w:rPr>
          <w:rFonts w:cs="FrankRuehl"/>
          <w:sz w:val="20"/>
          <w:szCs w:val="22"/>
          <w:rtl/>
        </w:rPr>
        <w:t>שכנים ו</w:t>
      </w:r>
      <w:r>
        <w:rPr>
          <w:rFonts w:cs="FrankRuehl" w:hint="cs"/>
          <w:sz w:val="20"/>
          <w:szCs w:val="22"/>
          <w:rtl/>
        </w:rPr>
        <w:t>מ</w:t>
      </w:r>
      <w:r>
        <w:rPr>
          <w:rFonts w:cs="FrankRuehl"/>
          <w:sz w:val="20"/>
          <w:szCs w:val="22"/>
          <w:rtl/>
        </w:rPr>
        <w:t>אנשי מקצוע שונים הבאים במגע</w:t>
      </w:r>
      <w:r>
        <w:rPr>
          <w:rFonts w:cs="FrankRuehl" w:hint="cs"/>
          <w:sz w:val="20"/>
          <w:szCs w:val="22"/>
          <w:rtl/>
        </w:rPr>
        <w:t xml:space="preserve"> עם הזקנים.</w:t>
      </w:r>
    </w:p>
    <w:p w:rsidR="00F60E90" w:rsidP="00CD7F18">
      <w:pPr>
        <w:pStyle w:val="RESHET"/>
        <w:keepLines/>
        <w:rPr>
          <w:rtl/>
        </w:rPr>
      </w:pPr>
      <w:r>
        <w:rPr>
          <w:rFonts w:hint="cs"/>
          <w:rtl/>
        </w:rPr>
        <w:t>משרד מבקר המדינה מעיר למשרד הרווחה כי ראוי לקבוע בתע"ס הנחיות לאיתור זקנים בקהילה הזקוקים לסיוע ולמיסוד ערוצים להעברת המידע לידיעת הזקנים. את ההנחיות האלה יש להביא לידיעתן של הרשויות המקומיות, ויש לפרסמן בחוזרי מנכ"ל משרד הרווחה.</w:t>
      </w:r>
    </w:p>
    <w:p w:rsidR="00F60E90">
      <w:pPr>
        <w:spacing w:after="120" w:line="230" w:lineRule="exact"/>
        <w:jc w:val="both"/>
        <w:rPr>
          <w:rFonts w:cs="FrankRuehl"/>
          <w:sz w:val="20"/>
          <w:szCs w:val="22"/>
        </w:rPr>
      </w:pPr>
    </w:p>
    <w:p w:rsidR="00F60E90">
      <w:pPr>
        <w:spacing w:after="120" w:line="230" w:lineRule="exact"/>
        <w:jc w:val="both"/>
        <w:rPr>
          <w:rFonts w:cs="FrankRuehl"/>
          <w:sz w:val="20"/>
          <w:szCs w:val="22"/>
          <w:rtl/>
        </w:rPr>
      </w:pPr>
    </w:p>
    <w:p w:rsidR="00F60E90">
      <w:pPr>
        <w:pStyle w:val="KOT2"/>
        <w:rPr>
          <w:rtl/>
        </w:rPr>
      </w:pPr>
      <w:r>
        <w:rPr>
          <w:rFonts w:hint="cs"/>
          <w:rtl/>
        </w:rPr>
        <w:t>ה</w:t>
      </w:r>
      <w:r>
        <w:rPr>
          <w:rtl/>
        </w:rPr>
        <w:t>שירותים הקהילתיים</w:t>
      </w:r>
      <w:r>
        <w:rPr>
          <w:rFonts w:hint="cs"/>
          <w:rtl/>
        </w:rPr>
        <w:t xml:space="preserve"> לזקנים</w:t>
      </w:r>
    </w:p>
    <w:p w:rsidR="00F60E90">
      <w:pPr>
        <w:spacing w:after="120" w:line="230" w:lineRule="exact"/>
        <w:jc w:val="both"/>
        <w:rPr>
          <w:rFonts w:cs="FrankRuehl"/>
          <w:sz w:val="20"/>
          <w:szCs w:val="22"/>
          <w:rtl/>
        </w:rPr>
      </w:pPr>
      <w:r>
        <w:rPr>
          <w:rFonts w:cs="FrankRuehl"/>
          <w:sz w:val="20"/>
          <w:szCs w:val="22"/>
          <w:rtl/>
        </w:rPr>
        <w:t>מערך השירותים הקהילתיים נועד לטפל בבעיותיו הייחודיות של הזקן</w:t>
      </w:r>
      <w:r>
        <w:rPr>
          <w:rFonts w:cs="FrankRuehl" w:hint="cs"/>
          <w:sz w:val="20"/>
          <w:szCs w:val="22"/>
          <w:rtl/>
        </w:rPr>
        <w:t xml:space="preserve"> באמצעות</w:t>
      </w:r>
      <w:r>
        <w:rPr>
          <w:rFonts w:cs="FrankRuehl"/>
          <w:sz w:val="20"/>
          <w:szCs w:val="22"/>
          <w:rtl/>
        </w:rPr>
        <w:t xml:space="preserve"> הפעלת מסגרות טיפוליות </w:t>
      </w:r>
      <w:r>
        <w:rPr>
          <w:rFonts w:cs="FrankRuehl" w:hint="cs"/>
          <w:sz w:val="20"/>
          <w:szCs w:val="22"/>
          <w:rtl/>
        </w:rPr>
        <w:t>ה</w:t>
      </w:r>
      <w:r>
        <w:rPr>
          <w:rFonts w:cs="FrankRuehl"/>
          <w:sz w:val="20"/>
          <w:szCs w:val="22"/>
          <w:rtl/>
        </w:rPr>
        <w:t>תומכות ב</w:t>
      </w:r>
      <w:r>
        <w:rPr>
          <w:rFonts w:cs="FrankRuehl" w:hint="cs"/>
          <w:sz w:val="20"/>
          <w:szCs w:val="22"/>
          <w:rtl/>
        </w:rPr>
        <w:t>ו</w:t>
      </w:r>
      <w:r>
        <w:rPr>
          <w:rFonts w:cs="FrankRuehl"/>
          <w:sz w:val="20"/>
          <w:szCs w:val="22"/>
          <w:rtl/>
        </w:rPr>
        <w:t xml:space="preserve"> ובמשפחתו. מסגרות אלה אמורות לספק מגוון של שירותים ו</w:t>
      </w:r>
      <w:r>
        <w:rPr>
          <w:rFonts w:cs="FrankRuehl" w:hint="cs"/>
          <w:sz w:val="20"/>
          <w:szCs w:val="22"/>
          <w:rtl/>
        </w:rPr>
        <w:t xml:space="preserve">של </w:t>
      </w:r>
      <w:r>
        <w:rPr>
          <w:rFonts w:cs="FrankRuehl"/>
          <w:sz w:val="20"/>
          <w:szCs w:val="22"/>
          <w:rtl/>
        </w:rPr>
        <w:t xml:space="preserve">פעילויות תוך </w:t>
      </w:r>
      <w:r>
        <w:rPr>
          <w:rFonts w:cs="FrankRuehl" w:hint="cs"/>
          <w:sz w:val="20"/>
          <w:szCs w:val="22"/>
          <w:rtl/>
        </w:rPr>
        <w:t xml:space="preserve">כדי </w:t>
      </w:r>
      <w:r>
        <w:rPr>
          <w:rFonts w:cs="FrankRuehl"/>
          <w:sz w:val="20"/>
          <w:szCs w:val="22"/>
          <w:rtl/>
        </w:rPr>
        <w:t>תיאום ושילוב ביניה</w:t>
      </w:r>
      <w:r>
        <w:rPr>
          <w:rFonts w:cs="FrankRuehl" w:hint="cs"/>
          <w:sz w:val="20"/>
          <w:szCs w:val="22"/>
          <w:rtl/>
        </w:rPr>
        <w:t>ם</w:t>
      </w:r>
      <w:r>
        <w:rPr>
          <w:rFonts w:cs="FrankRuehl"/>
          <w:sz w:val="20"/>
          <w:szCs w:val="22"/>
          <w:rtl/>
        </w:rPr>
        <w:t xml:space="preserve"> </w:t>
      </w:r>
      <w:r>
        <w:rPr>
          <w:rFonts w:cs="FrankRuehl" w:hint="cs"/>
          <w:sz w:val="20"/>
          <w:szCs w:val="22"/>
          <w:rtl/>
        </w:rPr>
        <w:t xml:space="preserve">כדי </w:t>
      </w:r>
      <w:r>
        <w:rPr>
          <w:rFonts w:cs="FrankRuehl"/>
          <w:sz w:val="20"/>
          <w:szCs w:val="22"/>
          <w:rtl/>
        </w:rPr>
        <w:t>לשפר את נגישות</w:t>
      </w:r>
      <w:r>
        <w:rPr>
          <w:rFonts w:cs="FrankRuehl" w:hint="cs"/>
          <w:sz w:val="20"/>
          <w:szCs w:val="22"/>
          <w:rtl/>
        </w:rPr>
        <w:t>ם</w:t>
      </w:r>
      <w:r>
        <w:rPr>
          <w:rFonts w:cs="FrankRuehl"/>
          <w:sz w:val="20"/>
          <w:szCs w:val="22"/>
          <w:rtl/>
        </w:rPr>
        <w:t xml:space="preserve"> ו</w:t>
      </w:r>
      <w:r>
        <w:rPr>
          <w:rFonts w:cs="FrankRuehl" w:hint="cs"/>
          <w:sz w:val="20"/>
          <w:szCs w:val="22"/>
          <w:rtl/>
        </w:rPr>
        <w:t xml:space="preserve">את </w:t>
      </w:r>
      <w:r>
        <w:rPr>
          <w:rFonts w:cs="FrankRuehl"/>
          <w:sz w:val="20"/>
          <w:szCs w:val="22"/>
          <w:rtl/>
        </w:rPr>
        <w:t>זמינות</w:t>
      </w:r>
      <w:r>
        <w:rPr>
          <w:rFonts w:cs="FrankRuehl" w:hint="cs"/>
          <w:sz w:val="20"/>
          <w:szCs w:val="22"/>
          <w:rtl/>
        </w:rPr>
        <w:t>ם</w:t>
      </w:r>
      <w:r>
        <w:rPr>
          <w:rFonts w:cs="FrankRuehl"/>
          <w:sz w:val="20"/>
          <w:szCs w:val="22"/>
          <w:rtl/>
        </w:rPr>
        <w:t xml:space="preserve"> </w:t>
      </w:r>
      <w:r>
        <w:rPr>
          <w:rFonts w:cs="FrankRuehl" w:hint="cs"/>
          <w:sz w:val="20"/>
          <w:szCs w:val="22"/>
          <w:rtl/>
        </w:rPr>
        <w:t>ו</w:t>
      </w:r>
      <w:r>
        <w:rPr>
          <w:rFonts w:cs="FrankRuehl"/>
          <w:sz w:val="20"/>
          <w:szCs w:val="22"/>
          <w:rtl/>
        </w:rPr>
        <w:t>להבטיח טיפול</w:t>
      </w:r>
      <w:r>
        <w:rPr>
          <w:rFonts w:cs="FrankRuehl" w:hint="cs"/>
          <w:sz w:val="20"/>
          <w:szCs w:val="22"/>
          <w:rtl/>
        </w:rPr>
        <w:t xml:space="preserve"> רציף בזקן</w:t>
      </w:r>
      <w:r>
        <w:rPr>
          <w:rFonts w:cs="FrankRuehl"/>
          <w:sz w:val="20"/>
          <w:szCs w:val="22"/>
          <w:rtl/>
        </w:rPr>
        <w:t xml:space="preserve">. הקו המנחה בפיתוח ובהפעלה של השירותים </w:t>
      </w:r>
      <w:r>
        <w:rPr>
          <w:rFonts w:cs="FrankRuehl" w:hint="cs"/>
          <w:sz w:val="20"/>
          <w:szCs w:val="22"/>
          <w:rtl/>
        </w:rPr>
        <w:t xml:space="preserve">הקהילתיים </w:t>
      </w:r>
      <w:r>
        <w:rPr>
          <w:rFonts w:cs="FrankRuehl"/>
          <w:sz w:val="20"/>
          <w:szCs w:val="22"/>
          <w:rtl/>
        </w:rPr>
        <w:t xml:space="preserve">המקומיים הוא </w:t>
      </w:r>
      <w:r>
        <w:rPr>
          <w:rFonts w:cs="FrankRuehl" w:hint="cs"/>
          <w:sz w:val="20"/>
          <w:szCs w:val="22"/>
          <w:rtl/>
        </w:rPr>
        <w:t>התאמתם</w:t>
      </w:r>
      <w:r>
        <w:rPr>
          <w:rFonts w:cs="FrankRuehl"/>
          <w:sz w:val="20"/>
          <w:szCs w:val="22"/>
          <w:rtl/>
        </w:rPr>
        <w:t xml:space="preserve"> לצרכים המשתנים של אוכלוסיית הזקנים ולתשתית השירותים הקיימת ברמה המקומית.</w:t>
      </w:r>
    </w:p>
    <w:p w:rsidR="00F60E90">
      <w:pPr>
        <w:spacing w:after="120" w:line="230" w:lineRule="exact"/>
        <w:jc w:val="both"/>
        <w:rPr>
          <w:rFonts w:cs="FrankRuehl"/>
          <w:sz w:val="20"/>
          <w:szCs w:val="22"/>
          <w:rtl/>
        </w:rPr>
      </w:pPr>
      <w:r>
        <w:rPr>
          <w:rFonts w:cs="FrankRuehl"/>
          <w:sz w:val="20"/>
          <w:szCs w:val="22"/>
          <w:rtl/>
        </w:rPr>
        <w:t xml:space="preserve">השירותים הקהילתיים הניתנים לזקנים </w:t>
      </w:r>
      <w:r>
        <w:rPr>
          <w:rFonts w:cs="FrankRuehl" w:hint="cs"/>
          <w:sz w:val="20"/>
          <w:szCs w:val="22"/>
          <w:rtl/>
        </w:rPr>
        <w:t xml:space="preserve">כוללים </w:t>
      </w:r>
      <w:r>
        <w:rPr>
          <w:rFonts w:cs="FrankRuehl"/>
          <w:sz w:val="20"/>
          <w:szCs w:val="22"/>
          <w:rtl/>
        </w:rPr>
        <w:t>טיפול אישי בביתו של הזקן, טיפול סוציאלי ב</w:t>
      </w:r>
      <w:r>
        <w:rPr>
          <w:rFonts w:cs="FrankRuehl" w:hint="cs"/>
          <w:sz w:val="20"/>
          <w:szCs w:val="22"/>
          <w:rtl/>
        </w:rPr>
        <w:t>מחלקות</w:t>
      </w:r>
      <w:r>
        <w:rPr>
          <w:rFonts w:cs="FrankRuehl"/>
          <w:sz w:val="20"/>
          <w:szCs w:val="22"/>
          <w:rtl/>
        </w:rPr>
        <w:t xml:space="preserve"> הרווחה, טיפול יום במרכזי יום ופעילויות חברתיות ותעסוקתיות במועדוני זקנים. שירותים מסייעים הניתנים לזקנים, </w:t>
      </w:r>
      <w:r>
        <w:rPr>
          <w:rFonts w:cs="FrankRuehl" w:hint="cs"/>
          <w:sz w:val="20"/>
          <w:szCs w:val="22"/>
          <w:rtl/>
        </w:rPr>
        <w:t>לרבות</w:t>
      </w:r>
      <w:r>
        <w:rPr>
          <w:rFonts w:cs="FrankRuehl"/>
          <w:sz w:val="20"/>
          <w:szCs w:val="22"/>
          <w:rtl/>
        </w:rPr>
        <w:t xml:space="preserve"> זקנים עצמאיים הגרים בקהילה, הם </w:t>
      </w:r>
      <w:r>
        <w:rPr>
          <w:rFonts w:cs="FrankRuehl" w:hint="cs"/>
          <w:sz w:val="20"/>
          <w:szCs w:val="22"/>
          <w:rtl/>
        </w:rPr>
        <w:t>א</w:t>
      </w:r>
      <w:r>
        <w:rPr>
          <w:rFonts w:cs="FrankRuehl"/>
          <w:sz w:val="20"/>
          <w:szCs w:val="22"/>
          <w:rtl/>
        </w:rPr>
        <w:t>ספקת ארוחות לבית הזקן, שירותי כביסה, משדרי מצוקה ועוד. על פי חוק הסיעוד ניתן לשלב בין כמה סוגי שירותים</w:t>
      </w:r>
      <w:r>
        <w:rPr>
          <w:rFonts w:cs="FrankRuehl" w:hint="cs"/>
          <w:sz w:val="20"/>
          <w:szCs w:val="22"/>
          <w:rtl/>
        </w:rPr>
        <w:t xml:space="preserve"> על פי </w:t>
      </w:r>
      <w:r>
        <w:rPr>
          <w:rFonts w:cs="FrankRuehl"/>
          <w:sz w:val="20"/>
          <w:szCs w:val="22"/>
          <w:rtl/>
        </w:rPr>
        <w:t>שיעור הזכאות וסל השירותים שנקבע</w:t>
      </w:r>
      <w:r>
        <w:rPr>
          <w:rFonts w:cs="FrankRuehl" w:hint="cs"/>
          <w:sz w:val="20"/>
          <w:szCs w:val="22"/>
          <w:rtl/>
        </w:rPr>
        <w:t>ו</w:t>
      </w:r>
      <w:r>
        <w:rPr>
          <w:rFonts w:cs="FrankRuehl"/>
          <w:sz w:val="20"/>
          <w:szCs w:val="22"/>
          <w:rtl/>
        </w:rPr>
        <w:t xml:space="preserve"> לזקן.</w:t>
      </w:r>
    </w:p>
    <w:p w:rsidR="00F60E90">
      <w:pPr>
        <w:spacing w:after="120" w:line="230" w:lineRule="exact"/>
        <w:jc w:val="both"/>
        <w:rPr>
          <w:rFonts w:cs="FrankRuehl"/>
          <w:sz w:val="20"/>
          <w:szCs w:val="22"/>
        </w:rPr>
      </w:pPr>
    </w:p>
    <w:p w:rsidR="00F60E90">
      <w:pPr>
        <w:spacing w:after="120" w:line="230" w:lineRule="exact"/>
        <w:jc w:val="both"/>
        <w:rPr>
          <w:rFonts w:cs="FrankRuehl"/>
          <w:sz w:val="20"/>
          <w:szCs w:val="22"/>
          <w:rtl/>
        </w:rPr>
      </w:pPr>
    </w:p>
    <w:p w:rsidR="00F60E90">
      <w:pPr>
        <w:pStyle w:val="KOT4"/>
        <w:rPr>
          <w:rtl/>
        </w:rPr>
      </w:pPr>
      <w:r>
        <w:rPr>
          <w:rFonts w:hint="cs"/>
          <w:rtl/>
        </w:rPr>
        <w:t>מרכז יום לזקן</w:t>
      </w:r>
    </w:p>
    <w:p w:rsidR="00F60E90">
      <w:pPr>
        <w:spacing w:after="120" w:line="230" w:lineRule="exact"/>
        <w:jc w:val="both"/>
        <w:rPr>
          <w:rFonts w:cs="FrankRuehl"/>
          <w:sz w:val="20"/>
          <w:szCs w:val="22"/>
          <w:rtl/>
        </w:rPr>
      </w:pPr>
      <w:r>
        <w:rPr>
          <w:rFonts w:cs="FrankRuehl"/>
          <w:sz w:val="20"/>
          <w:szCs w:val="22"/>
          <w:rtl/>
        </w:rPr>
        <w:t xml:space="preserve">מרכזי יום </w:t>
      </w:r>
      <w:r>
        <w:rPr>
          <w:rFonts w:cs="FrankRuehl" w:hint="cs"/>
          <w:sz w:val="20"/>
          <w:szCs w:val="22"/>
          <w:rtl/>
        </w:rPr>
        <w:t xml:space="preserve">לזקן (להלן - מרכזי יום) </w:t>
      </w:r>
      <w:r>
        <w:rPr>
          <w:rFonts w:cs="FrankRuehl"/>
          <w:sz w:val="20"/>
          <w:szCs w:val="22"/>
          <w:rtl/>
        </w:rPr>
        <w:t>הם מסגרות יומיות הפרו</w:t>
      </w:r>
      <w:r>
        <w:rPr>
          <w:rFonts w:cs="FrankRuehl" w:hint="cs"/>
          <w:sz w:val="20"/>
          <w:szCs w:val="22"/>
          <w:rtl/>
        </w:rPr>
        <w:t>ס</w:t>
      </w:r>
      <w:r>
        <w:rPr>
          <w:rFonts w:cs="FrankRuehl"/>
          <w:sz w:val="20"/>
          <w:szCs w:val="22"/>
          <w:rtl/>
        </w:rPr>
        <w:t xml:space="preserve">ות ברחבי הארץ ומיועדות </w:t>
      </w:r>
      <w:r>
        <w:rPr>
          <w:rFonts w:cs="FrankRuehl" w:hint="cs"/>
          <w:sz w:val="20"/>
          <w:szCs w:val="22"/>
          <w:rtl/>
        </w:rPr>
        <w:t>לזקנים</w:t>
      </w:r>
      <w:r>
        <w:rPr>
          <w:rFonts w:cs="FrankRuehl"/>
          <w:sz w:val="20"/>
          <w:szCs w:val="22"/>
          <w:rtl/>
        </w:rPr>
        <w:t xml:space="preserve"> הגרים בבתיהם, אך עקב ירידה בתפקוד הם מתקשים בניהול משק הבית וזקוקים לטיפול אישי. מרכזי היום מספקים מגוון של שירותים ו</w:t>
      </w:r>
      <w:r>
        <w:rPr>
          <w:rFonts w:cs="FrankRuehl" w:hint="cs"/>
          <w:sz w:val="20"/>
          <w:szCs w:val="22"/>
          <w:rtl/>
        </w:rPr>
        <w:t xml:space="preserve">של </w:t>
      </w:r>
      <w:r>
        <w:rPr>
          <w:rFonts w:cs="FrankRuehl"/>
          <w:sz w:val="20"/>
          <w:szCs w:val="22"/>
          <w:rtl/>
        </w:rPr>
        <w:t xml:space="preserve">פעילויות לפי תכנית טיפולית אישית המותאמת לצרכיו, ליכולותיו ולהעדפותיו של </w:t>
      </w:r>
      <w:r>
        <w:rPr>
          <w:rFonts w:cs="FrankRuehl" w:hint="cs"/>
          <w:sz w:val="20"/>
          <w:szCs w:val="22"/>
          <w:rtl/>
        </w:rPr>
        <w:t>הזקן</w:t>
      </w:r>
      <w:r>
        <w:rPr>
          <w:rFonts w:cs="FrankRuehl"/>
          <w:sz w:val="20"/>
          <w:szCs w:val="22"/>
          <w:rtl/>
        </w:rPr>
        <w:t>. סל השירותים הכלול במרכז היום כולל הסעות, ארוחות, טיפול אישי, טיפול סוציאלי ופעילות חברתית ותרבותית.</w:t>
      </w:r>
    </w:p>
    <w:p w:rsidR="00F60E90">
      <w:pPr>
        <w:spacing w:after="120" w:line="230" w:lineRule="exact"/>
        <w:jc w:val="both"/>
        <w:rPr>
          <w:rFonts w:cs="FrankRuehl"/>
          <w:sz w:val="20"/>
          <w:szCs w:val="22"/>
          <w:rtl/>
        </w:rPr>
      </w:pPr>
      <w:r>
        <w:rPr>
          <w:rFonts w:cs="FrankRuehl"/>
          <w:sz w:val="20"/>
          <w:szCs w:val="22"/>
          <w:rtl/>
        </w:rPr>
        <w:t xml:space="preserve">מרכזי יום </w:t>
      </w:r>
      <w:r>
        <w:rPr>
          <w:rFonts w:cs="FrankRuehl" w:hint="cs"/>
          <w:sz w:val="20"/>
          <w:szCs w:val="22"/>
          <w:rtl/>
        </w:rPr>
        <w:t>לזקן</w:t>
      </w:r>
      <w:r>
        <w:rPr>
          <w:rFonts w:cs="FrankRuehl"/>
          <w:sz w:val="20"/>
          <w:szCs w:val="22"/>
          <w:rtl/>
        </w:rPr>
        <w:t xml:space="preserve"> הם חוליה חשובה במערך השירותים הקהילתיים המסייעים ל</w:t>
      </w:r>
      <w:r>
        <w:rPr>
          <w:rFonts w:cs="FrankRuehl" w:hint="cs"/>
          <w:sz w:val="20"/>
          <w:szCs w:val="22"/>
          <w:rtl/>
        </w:rPr>
        <w:t>זקן</w:t>
      </w:r>
      <w:r>
        <w:rPr>
          <w:rFonts w:cs="FrankRuehl"/>
          <w:sz w:val="20"/>
          <w:szCs w:val="22"/>
          <w:rtl/>
        </w:rPr>
        <w:t xml:space="preserve"> לנצל את זמנו הפנוי ולפתח את קשריו החברתיים. השילוב של שירות קהילתי זה עם שירותי סיעוד נוספים הניתנים לו בגמלת הסיעוד מייעל את הטיפול ב</w:t>
      </w:r>
      <w:r>
        <w:rPr>
          <w:rFonts w:cs="FrankRuehl" w:hint="cs"/>
          <w:sz w:val="20"/>
          <w:szCs w:val="22"/>
          <w:rtl/>
        </w:rPr>
        <w:t>זקן</w:t>
      </w:r>
      <w:r>
        <w:rPr>
          <w:rFonts w:cs="FrankRuehl"/>
          <w:sz w:val="20"/>
          <w:szCs w:val="22"/>
          <w:rtl/>
        </w:rPr>
        <w:t xml:space="preserve"> בקהילה. הוא מאפשר </w:t>
      </w:r>
      <w:r>
        <w:rPr>
          <w:rFonts w:cs="FrankRuehl" w:hint="cs"/>
          <w:sz w:val="20"/>
          <w:szCs w:val="22"/>
          <w:rtl/>
        </w:rPr>
        <w:t xml:space="preserve">לזקן </w:t>
      </w:r>
      <w:r>
        <w:rPr>
          <w:rFonts w:cs="FrankRuehl"/>
          <w:sz w:val="20"/>
          <w:szCs w:val="22"/>
          <w:rtl/>
        </w:rPr>
        <w:t>המוגבל להישאר בביתו עם משפחתו תוך כדי קבלת מענה טיפולי כוללני על בסיס יומי, ולמנוע או לדחות עד כמה שאפשר את הוצאתו לסידור חוץ-ביתי.</w:t>
      </w:r>
    </w:p>
    <w:p w:rsidR="00F60E90">
      <w:pPr>
        <w:spacing w:after="120" w:line="230" w:lineRule="exact"/>
        <w:jc w:val="both"/>
        <w:rPr>
          <w:rFonts w:cs="FrankRuehl"/>
          <w:b/>
          <w:bCs/>
          <w:sz w:val="20"/>
          <w:szCs w:val="22"/>
          <w:u w:val="single"/>
          <w:rtl/>
        </w:rPr>
      </w:pPr>
      <w:r>
        <w:rPr>
          <w:rFonts w:cs="FrankRuehl"/>
          <w:sz w:val="20"/>
          <w:szCs w:val="22"/>
          <w:rtl/>
        </w:rPr>
        <w:t>בשנת 2013 פעלו בישראל 176 מרכזי יום ו</w:t>
      </w:r>
      <w:r>
        <w:rPr>
          <w:rFonts w:cs="FrankRuehl" w:hint="cs"/>
          <w:sz w:val="20"/>
          <w:szCs w:val="22"/>
          <w:rtl/>
        </w:rPr>
        <w:t xml:space="preserve">בהם טופלו </w:t>
      </w:r>
      <w:r>
        <w:rPr>
          <w:rFonts w:cs="FrankRuehl"/>
          <w:sz w:val="20"/>
          <w:szCs w:val="22"/>
          <w:rtl/>
        </w:rPr>
        <w:t>כ-17,000</w:t>
      </w:r>
      <w:r>
        <w:rPr>
          <w:rFonts w:cs="FrankRuehl" w:hint="cs"/>
          <w:sz w:val="20"/>
          <w:szCs w:val="22"/>
          <w:rtl/>
        </w:rPr>
        <w:t xml:space="preserve"> זקנים. בכל אחת מהרשויות המקומיות שנבדקו, למעט המועצה האזורית מרום הגליל, פעלו מרכזי יום לזקן.</w:t>
      </w:r>
    </w:p>
    <w:p w:rsidR="00F60E90">
      <w:pPr>
        <w:spacing w:after="120" w:line="230" w:lineRule="exact"/>
        <w:jc w:val="both"/>
        <w:rPr>
          <w:rFonts w:cs="FrankRuehl"/>
          <w:b/>
          <w:bCs/>
          <w:sz w:val="20"/>
          <w:szCs w:val="22"/>
          <w:u w:val="single"/>
          <w:rtl/>
        </w:rPr>
      </w:pPr>
      <w:r>
        <w:rPr>
          <w:rFonts w:cs="FrankRuehl" w:hint="cs"/>
          <w:sz w:val="20"/>
          <w:szCs w:val="22"/>
          <w:rtl/>
        </w:rPr>
        <w:t>את רוב</w:t>
      </w:r>
      <w:r>
        <w:rPr>
          <w:rFonts w:cs="FrankRuehl"/>
          <w:sz w:val="20"/>
          <w:szCs w:val="22"/>
          <w:rtl/>
        </w:rPr>
        <w:t xml:space="preserve"> מרכזי היום </w:t>
      </w:r>
      <w:r>
        <w:rPr>
          <w:rFonts w:cs="FrankRuehl" w:hint="cs"/>
          <w:sz w:val="20"/>
          <w:szCs w:val="22"/>
          <w:rtl/>
        </w:rPr>
        <w:t>הקימו בתחילת שנות התשעים של המאה הקודמת</w:t>
      </w:r>
      <w:r>
        <w:rPr>
          <w:rFonts w:cs="FrankRuehl"/>
          <w:sz w:val="20"/>
          <w:szCs w:val="22"/>
          <w:rtl/>
        </w:rPr>
        <w:t xml:space="preserve"> </w:t>
      </w:r>
      <w:r>
        <w:rPr>
          <w:rFonts w:cs="FrankRuehl" w:hint="cs"/>
          <w:sz w:val="20"/>
          <w:szCs w:val="22"/>
          <w:rtl/>
        </w:rPr>
        <w:t>עמותות מקומיות למען הזקן שהסתייעו</w:t>
      </w:r>
      <w:r>
        <w:rPr>
          <w:rFonts w:cs="FrankRuehl"/>
          <w:sz w:val="20"/>
          <w:szCs w:val="22"/>
          <w:rtl/>
        </w:rPr>
        <w:t xml:space="preserve"> </w:t>
      </w:r>
      <w:r>
        <w:rPr>
          <w:rFonts w:cs="FrankRuehl" w:hint="cs"/>
          <w:sz w:val="20"/>
          <w:szCs w:val="22"/>
          <w:rtl/>
        </w:rPr>
        <w:t>ב</w:t>
      </w:r>
      <w:r>
        <w:rPr>
          <w:rFonts w:cs="FrankRuehl"/>
          <w:sz w:val="20"/>
          <w:szCs w:val="22"/>
          <w:rtl/>
        </w:rPr>
        <w:t>תקציבים משותפים של</w:t>
      </w:r>
      <w:r>
        <w:rPr>
          <w:rFonts w:cs="FrankRuehl" w:hint="cs"/>
          <w:sz w:val="20"/>
          <w:szCs w:val="22"/>
          <w:rtl/>
        </w:rPr>
        <w:t xml:space="preserve"> עמותת</w:t>
      </w:r>
      <w:r>
        <w:rPr>
          <w:rFonts w:cs="FrankRuehl"/>
          <w:sz w:val="20"/>
          <w:szCs w:val="22"/>
          <w:rtl/>
        </w:rPr>
        <w:t xml:space="preserve"> אש</w:t>
      </w:r>
      <w:r>
        <w:rPr>
          <w:rFonts w:cs="FrankRuehl" w:hint="cs"/>
          <w:sz w:val="20"/>
          <w:szCs w:val="22"/>
          <w:rtl/>
        </w:rPr>
        <w:t>"</w:t>
      </w:r>
      <w:r>
        <w:rPr>
          <w:rFonts w:cs="FrankRuehl"/>
          <w:sz w:val="20"/>
          <w:szCs w:val="22"/>
          <w:rtl/>
        </w:rPr>
        <w:t>ל</w:t>
      </w:r>
      <w:r>
        <w:rPr>
          <w:rFonts w:cs="FrankRuehl" w:hint="cs"/>
          <w:sz w:val="20"/>
          <w:szCs w:val="22"/>
          <w:rtl/>
        </w:rPr>
        <w:t>,</w:t>
      </w:r>
      <w:r>
        <w:rPr>
          <w:rFonts w:cs="FrankRuehl"/>
          <w:sz w:val="20"/>
          <w:szCs w:val="22"/>
          <w:rtl/>
        </w:rPr>
        <w:t xml:space="preserve"> </w:t>
      </w:r>
      <w:r>
        <w:rPr>
          <w:rFonts w:cs="FrankRuehl" w:hint="cs"/>
          <w:sz w:val="20"/>
          <w:szCs w:val="22"/>
          <w:rtl/>
        </w:rPr>
        <w:t xml:space="preserve">של </w:t>
      </w:r>
      <w:r>
        <w:rPr>
          <w:rFonts w:cs="FrankRuehl"/>
          <w:sz w:val="20"/>
          <w:szCs w:val="22"/>
          <w:rtl/>
        </w:rPr>
        <w:t>המוסד לביטוח לאומי</w:t>
      </w:r>
      <w:r>
        <w:rPr>
          <w:rFonts w:cs="FrankRuehl" w:hint="cs"/>
          <w:sz w:val="20"/>
          <w:szCs w:val="22"/>
          <w:rtl/>
        </w:rPr>
        <w:t xml:space="preserve"> ושל ו</w:t>
      </w:r>
      <w:r>
        <w:rPr>
          <w:rFonts w:cs="FrankRuehl"/>
          <w:sz w:val="20"/>
          <w:szCs w:val="22"/>
          <w:rtl/>
        </w:rPr>
        <w:t>עידת התביעות</w:t>
      </w:r>
      <w:r>
        <w:rPr>
          <w:rFonts w:cs="FrankRuehl" w:hint="cs"/>
          <w:sz w:val="20"/>
          <w:szCs w:val="22"/>
          <w:rtl/>
        </w:rPr>
        <w:t xml:space="preserve">. המרכזים הוקמו </w:t>
      </w:r>
      <w:r>
        <w:rPr>
          <w:rFonts w:cs="FrankRuehl"/>
          <w:sz w:val="20"/>
          <w:szCs w:val="22"/>
          <w:rtl/>
        </w:rPr>
        <w:t>על קרקע</w:t>
      </w:r>
      <w:r>
        <w:rPr>
          <w:rFonts w:cs="FrankRuehl" w:hint="cs"/>
          <w:sz w:val="20"/>
          <w:szCs w:val="22"/>
          <w:rtl/>
        </w:rPr>
        <w:t>ות</w:t>
      </w:r>
      <w:r>
        <w:rPr>
          <w:rFonts w:cs="FrankRuehl"/>
          <w:sz w:val="20"/>
          <w:szCs w:val="22"/>
          <w:rtl/>
        </w:rPr>
        <w:t xml:space="preserve"> שהרשויות המקומיות</w:t>
      </w:r>
      <w:r>
        <w:rPr>
          <w:rFonts w:cs="FrankRuehl" w:hint="cs"/>
          <w:sz w:val="20"/>
          <w:szCs w:val="22"/>
          <w:rtl/>
        </w:rPr>
        <w:t xml:space="preserve"> </w:t>
      </w:r>
      <w:r>
        <w:rPr>
          <w:rFonts w:cs="FrankRuehl"/>
          <w:sz w:val="20"/>
          <w:szCs w:val="22"/>
          <w:rtl/>
        </w:rPr>
        <w:t>הקצ</w:t>
      </w:r>
      <w:r>
        <w:rPr>
          <w:rFonts w:cs="FrankRuehl" w:hint="cs"/>
          <w:sz w:val="20"/>
          <w:szCs w:val="22"/>
          <w:rtl/>
        </w:rPr>
        <w:t>ו למטרה זו.</w:t>
      </w:r>
    </w:p>
    <w:p w:rsidR="00F60E90">
      <w:pPr>
        <w:spacing w:after="120" w:line="230" w:lineRule="exact"/>
        <w:jc w:val="both"/>
        <w:rPr>
          <w:rFonts w:cs="FrankRuehl"/>
          <w:sz w:val="20"/>
          <w:szCs w:val="22"/>
          <w:rtl/>
        </w:rPr>
      </w:pPr>
      <w:r>
        <w:rPr>
          <w:rFonts w:cs="FrankRuehl" w:hint="cs"/>
          <w:sz w:val="20"/>
          <w:szCs w:val="22"/>
          <w:rtl/>
        </w:rPr>
        <w:t>בתחילת 2014, 81%</w:t>
      </w:r>
      <w:r>
        <w:rPr>
          <w:rFonts w:cs="FrankRuehl"/>
          <w:sz w:val="20"/>
          <w:szCs w:val="22"/>
          <w:rtl/>
        </w:rPr>
        <w:t xml:space="preserve"> ממרכזי היום </w:t>
      </w:r>
      <w:r>
        <w:rPr>
          <w:rFonts w:cs="FrankRuehl" w:hint="cs"/>
          <w:sz w:val="20"/>
          <w:szCs w:val="22"/>
          <w:rtl/>
        </w:rPr>
        <w:t>הופעלו</w:t>
      </w:r>
      <w:r>
        <w:rPr>
          <w:rFonts w:cs="FrankRuehl"/>
          <w:sz w:val="20"/>
          <w:szCs w:val="22"/>
          <w:rtl/>
        </w:rPr>
        <w:t xml:space="preserve"> </w:t>
      </w:r>
      <w:r>
        <w:rPr>
          <w:rFonts w:cs="FrankRuehl" w:hint="cs"/>
          <w:sz w:val="20"/>
          <w:szCs w:val="22"/>
          <w:rtl/>
        </w:rPr>
        <w:t>באמצעות</w:t>
      </w:r>
      <w:r>
        <w:rPr>
          <w:rFonts w:cs="FrankRuehl"/>
          <w:sz w:val="20"/>
          <w:szCs w:val="22"/>
          <w:rtl/>
        </w:rPr>
        <w:t xml:space="preserve"> עמותות מקומיות למען הזקן, 14% </w:t>
      </w:r>
      <w:r>
        <w:rPr>
          <w:rFonts w:cs="FrankRuehl" w:hint="cs"/>
          <w:sz w:val="20"/>
          <w:szCs w:val="22"/>
          <w:rtl/>
        </w:rPr>
        <w:t>באמצעות</w:t>
      </w:r>
      <w:r>
        <w:rPr>
          <w:rFonts w:cs="FrankRuehl"/>
          <w:sz w:val="20"/>
          <w:szCs w:val="22"/>
          <w:rtl/>
        </w:rPr>
        <w:t xml:space="preserve"> גופים וולונטריים אחרים ו-5%</w:t>
      </w:r>
      <w:r>
        <w:rPr>
          <w:rFonts w:cs="FrankRuehl" w:hint="cs"/>
          <w:sz w:val="20"/>
          <w:szCs w:val="22"/>
          <w:rtl/>
        </w:rPr>
        <w:t xml:space="preserve"> באמצעות</w:t>
      </w:r>
      <w:r>
        <w:rPr>
          <w:rFonts w:cs="FrankRuehl"/>
          <w:sz w:val="20"/>
          <w:szCs w:val="22"/>
          <w:rtl/>
        </w:rPr>
        <w:t xml:space="preserve"> גופים פרטיים.</w:t>
      </w:r>
    </w:p>
    <w:p w:rsidR="00F60E90">
      <w:pPr>
        <w:spacing w:after="120" w:line="230" w:lineRule="exact"/>
        <w:jc w:val="both"/>
        <w:rPr>
          <w:rFonts w:cs="FrankRuehl"/>
          <w:sz w:val="20"/>
          <w:szCs w:val="22"/>
          <w:rtl/>
        </w:rPr>
      </w:pPr>
      <w:r>
        <w:rPr>
          <w:rFonts w:cs="FrankRuehl" w:hint="cs"/>
          <w:sz w:val="20"/>
          <w:szCs w:val="22"/>
          <w:rtl/>
        </w:rPr>
        <w:t xml:space="preserve">את הפעילות </w:t>
      </w:r>
      <w:r>
        <w:rPr>
          <w:rFonts w:cs="FrankRuehl"/>
          <w:sz w:val="20"/>
          <w:szCs w:val="22"/>
          <w:rtl/>
        </w:rPr>
        <w:t xml:space="preserve">השוטפת של מרכזי היום </w:t>
      </w:r>
      <w:r>
        <w:rPr>
          <w:rFonts w:cs="FrankRuehl" w:hint="cs"/>
          <w:sz w:val="20"/>
          <w:szCs w:val="22"/>
          <w:rtl/>
        </w:rPr>
        <w:t>מממנים</w:t>
      </w:r>
      <w:r>
        <w:rPr>
          <w:rFonts w:cs="FrankRuehl"/>
          <w:sz w:val="20"/>
          <w:szCs w:val="22"/>
          <w:rtl/>
        </w:rPr>
        <w:t xml:space="preserve"> משרד הרווחה, המוסד לביטוח לאומי </w:t>
      </w:r>
      <w:r>
        <w:rPr>
          <w:rFonts w:cs="FrankRuehl" w:hint="cs"/>
          <w:sz w:val="20"/>
          <w:szCs w:val="22"/>
          <w:rtl/>
        </w:rPr>
        <w:t>ו</w:t>
      </w:r>
      <w:r>
        <w:rPr>
          <w:rFonts w:cs="FrankRuehl"/>
          <w:sz w:val="20"/>
          <w:szCs w:val="22"/>
          <w:rtl/>
        </w:rPr>
        <w:t>הרשויות המקומיות</w:t>
      </w:r>
      <w:r>
        <w:rPr>
          <w:rFonts w:cs="FrankRuehl" w:hint="cs"/>
          <w:sz w:val="20"/>
          <w:szCs w:val="22"/>
          <w:rtl/>
        </w:rPr>
        <w:t>.</w:t>
      </w:r>
      <w:r>
        <w:rPr>
          <w:rFonts w:cs="FrankRuehl"/>
          <w:sz w:val="20"/>
          <w:szCs w:val="22"/>
          <w:rtl/>
        </w:rPr>
        <w:t xml:space="preserve"> </w:t>
      </w:r>
      <w:r>
        <w:rPr>
          <w:rFonts w:cs="FrankRuehl" w:hint="cs"/>
          <w:sz w:val="20"/>
          <w:szCs w:val="22"/>
          <w:rtl/>
        </w:rPr>
        <w:t xml:space="preserve">גם </w:t>
      </w:r>
      <w:r>
        <w:rPr>
          <w:rFonts w:cs="FrankRuehl"/>
          <w:sz w:val="20"/>
          <w:szCs w:val="22"/>
          <w:rtl/>
        </w:rPr>
        <w:t>הזקנים הבאים למרכז</w:t>
      </w:r>
      <w:r>
        <w:rPr>
          <w:rFonts w:cs="FrankRuehl" w:hint="cs"/>
          <w:sz w:val="20"/>
          <w:szCs w:val="22"/>
          <w:rtl/>
        </w:rPr>
        <w:t>י</w:t>
      </w:r>
      <w:r>
        <w:rPr>
          <w:rFonts w:cs="FrankRuehl"/>
          <w:sz w:val="20"/>
          <w:szCs w:val="22"/>
          <w:rtl/>
        </w:rPr>
        <w:t xml:space="preserve"> היום</w:t>
      </w:r>
      <w:r>
        <w:rPr>
          <w:rFonts w:cs="FrankRuehl" w:hint="cs"/>
          <w:sz w:val="20"/>
          <w:szCs w:val="22"/>
          <w:rtl/>
        </w:rPr>
        <w:t xml:space="preserve"> משתתפים באופן חלקי במימון הפעילויות</w:t>
      </w:r>
      <w:r>
        <w:rPr>
          <w:rFonts w:cs="FrankRuehl"/>
          <w:sz w:val="20"/>
          <w:szCs w:val="22"/>
          <w:rtl/>
        </w:rPr>
        <w:t>.</w:t>
      </w:r>
    </w:p>
    <w:p w:rsidR="00F60E90">
      <w:pPr>
        <w:spacing w:after="120" w:line="230" w:lineRule="exact"/>
        <w:jc w:val="both"/>
        <w:rPr>
          <w:rFonts w:cs="FrankRuehl"/>
          <w:sz w:val="20"/>
          <w:szCs w:val="22"/>
          <w:rtl/>
        </w:rPr>
      </w:pPr>
      <w:r>
        <w:rPr>
          <w:rFonts w:cs="FrankRuehl" w:hint="cs"/>
          <w:sz w:val="20"/>
          <w:szCs w:val="22"/>
          <w:rtl/>
        </w:rPr>
        <w:t>הוראת תע"ס 4.13 מסדירה את "מתן הטיפול במרכז היום לזקנים מוגבלים המתגוררים בקהילה". בהוראה זו פורטו התנאים הפיזיים האמורים להתקיים במרכז, הציוד הנדרש בו וכן סל השירותים שמרכז היום מחויב לספק לבאים אליו.</w:t>
      </w:r>
    </w:p>
    <w:p w:rsidR="00F60E90">
      <w:pPr>
        <w:spacing w:after="120" w:line="230" w:lineRule="exact"/>
        <w:jc w:val="both"/>
        <w:rPr>
          <w:rFonts w:cs="FrankRuehl"/>
          <w:sz w:val="20"/>
          <w:szCs w:val="22"/>
          <w:rtl/>
        </w:rPr>
      </w:pPr>
      <w:r>
        <w:rPr>
          <w:rFonts w:cs="FrankRuehl" w:hint="cs"/>
          <w:sz w:val="20"/>
          <w:szCs w:val="22"/>
          <w:rtl/>
        </w:rPr>
        <w:t>בהוראת התע"ס נקבע כי כל מרכז יום חייב לקבל אישור הפעלה ממשרד הרווחה. עוד נקבע כי המשרד יקיים בקרה שוטפת במרכזי היום באמצעות מפקחיו.</w:t>
      </w:r>
    </w:p>
    <w:p w:rsidR="00F60E90">
      <w:pPr>
        <w:spacing w:after="120" w:line="230" w:lineRule="exact"/>
        <w:jc w:val="both"/>
        <w:rPr>
          <w:rFonts w:cs="FrankRuehl"/>
          <w:sz w:val="20"/>
          <w:szCs w:val="22"/>
          <w:rtl/>
        </w:rPr>
      </w:pPr>
      <w:r>
        <w:rPr>
          <w:rFonts w:cs="FrankRuehl" w:hint="cs"/>
          <w:sz w:val="20"/>
          <w:szCs w:val="22"/>
          <w:rtl/>
        </w:rPr>
        <w:t>לפי סעיף 13 בהוראות התע"ס האמורות, "מנהל המחלקה לשירותים חברתיים אחראי לוודא שכל סל השירותים... ניתנים לזקנים המבקרים במרכז היום".</w:t>
      </w:r>
    </w:p>
    <w:p w:rsidR="00F60E90">
      <w:pPr>
        <w:spacing w:after="120" w:line="230" w:lineRule="exact"/>
        <w:jc w:val="both"/>
        <w:rPr>
          <w:rFonts w:cs="FrankRuehl"/>
          <w:sz w:val="20"/>
          <w:szCs w:val="22"/>
          <w:rtl/>
        </w:rPr>
      </w:pPr>
    </w:p>
    <w:p w:rsidR="00F60E90">
      <w:pPr>
        <w:pStyle w:val="KOT5"/>
        <w:rPr>
          <w:rtl/>
        </w:rPr>
      </w:pPr>
      <w:r>
        <w:rPr>
          <w:rtl/>
        </w:rPr>
        <w:t xml:space="preserve">הסכמי ההתקשרות </w:t>
      </w:r>
      <w:r>
        <w:rPr>
          <w:rFonts w:hint="cs"/>
          <w:rtl/>
        </w:rPr>
        <w:t>להפעלת מרכז יום לזקן</w:t>
      </w:r>
    </w:p>
    <w:p w:rsidR="00F60E90">
      <w:pPr>
        <w:spacing w:after="120" w:line="230" w:lineRule="exact"/>
        <w:jc w:val="both"/>
        <w:rPr>
          <w:rFonts w:cs="FrankRuehl"/>
          <w:sz w:val="20"/>
          <w:szCs w:val="22"/>
          <w:rtl/>
        </w:rPr>
      </w:pPr>
      <w:r>
        <w:rPr>
          <w:rFonts w:cs="FrankRuehl"/>
          <w:sz w:val="20"/>
          <w:szCs w:val="22"/>
          <w:rtl/>
        </w:rPr>
        <w:t>על פי סדרי מינהל תקין ראוי שהתקשרות של רשות מקומית עם גופים חיצוניים תעוגן בהסכם כתוב שיכלול את תנאי ההתקשרות, את החובות והזכויות של הצדדים, את פירוט השירותים שכל צד מתחייב לתת ואת התשלום בעד שירותים אלה.</w:t>
      </w:r>
    </w:p>
    <w:p w:rsidR="00F60E90" w:rsidP="00CD7F18">
      <w:pPr>
        <w:spacing w:after="240" w:line="230" w:lineRule="exact"/>
        <w:ind w:left="340" w:hanging="340"/>
        <w:jc w:val="both"/>
        <w:rPr>
          <w:rFonts w:cs="FrankRuehl"/>
          <w:sz w:val="20"/>
          <w:szCs w:val="22"/>
          <w:rtl/>
        </w:rPr>
      </w:pPr>
      <w:r>
        <w:rPr>
          <w:rFonts w:cs="FrankRuehl" w:hint="cs"/>
          <w:sz w:val="20"/>
          <w:szCs w:val="22"/>
          <w:rtl/>
        </w:rPr>
        <w:t>1.</w:t>
      </w:r>
      <w:r>
        <w:rPr>
          <w:rFonts w:cs="FrankRuehl" w:hint="cs"/>
          <w:sz w:val="20"/>
          <w:szCs w:val="22"/>
          <w:rtl/>
        </w:rPr>
        <w:tab/>
        <w:t xml:space="preserve">הביקורת העלתה כי חלק מהרשויות המקומיות שנבדקו, ובהן עיריית קריית שמונה והמועצה האזורית הגליל העליון, לא חתמו עם העמותות המקומיות לזקן על הסכמים להפעלת מרכזי היום. </w:t>
      </w:r>
    </w:p>
    <w:p w:rsidR="00F60E90" w:rsidP="00CD7F18">
      <w:pPr>
        <w:pStyle w:val="RESHET"/>
        <w:ind w:left="567"/>
        <w:rPr>
          <w:rtl/>
        </w:rPr>
      </w:pPr>
      <w:r>
        <w:rPr>
          <w:rFonts w:hint="cs"/>
          <w:rtl/>
        </w:rPr>
        <w:t xml:space="preserve">משרד מבקר המדינה העיר לעיריית קריית שמונה ולמועצה האזורית הגליל העליון כי </w:t>
      </w:r>
      <w:r>
        <w:rPr>
          <w:rtl/>
        </w:rPr>
        <w:t xml:space="preserve">עליהן </w:t>
      </w:r>
      <w:r>
        <w:rPr>
          <w:rFonts w:hint="cs"/>
          <w:rtl/>
        </w:rPr>
        <w:t>לחתום עם העמותות המפעילות את מרכזי היום</w:t>
      </w:r>
      <w:r>
        <w:rPr>
          <w:rtl/>
        </w:rPr>
        <w:t xml:space="preserve"> </w:t>
      </w:r>
      <w:r>
        <w:rPr>
          <w:rFonts w:hint="cs"/>
          <w:rtl/>
        </w:rPr>
        <w:t xml:space="preserve">על </w:t>
      </w:r>
      <w:r>
        <w:rPr>
          <w:rtl/>
        </w:rPr>
        <w:t xml:space="preserve">הסכמי התקשרות </w:t>
      </w:r>
      <w:r>
        <w:rPr>
          <w:rFonts w:hint="cs"/>
          <w:rtl/>
        </w:rPr>
        <w:t>שיעגנו</w:t>
      </w:r>
      <w:r>
        <w:rPr>
          <w:rtl/>
        </w:rPr>
        <w:t xml:space="preserve"> את כל החובות והזכויות של הצדדים בכל הנוגע לטיפול הסוציאלי, </w:t>
      </w:r>
      <w:r>
        <w:rPr>
          <w:rFonts w:hint="cs"/>
          <w:rtl/>
        </w:rPr>
        <w:t>ל</w:t>
      </w:r>
      <w:r>
        <w:rPr>
          <w:rtl/>
        </w:rPr>
        <w:t>פעילות החברתית ו</w:t>
      </w:r>
      <w:r>
        <w:rPr>
          <w:rFonts w:hint="cs"/>
          <w:rtl/>
        </w:rPr>
        <w:t>ל</w:t>
      </w:r>
      <w:r>
        <w:rPr>
          <w:rtl/>
        </w:rPr>
        <w:t xml:space="preserve">שירותים נוספים שמרכז היום </w:t>
      </w:r>
      <w:r>
        <w:rPr>
          <w:rFonts w:hint="cs"/>
          <w:rtl/>
        </w:rPr>
        <w:t>מחויב ל</w:t>
      </w:r>
      <w:r>
        <w:rPr>
          <w:rtl/>
        </w:rPr>
        <w:t>ספק, כפי שנקבעו בהוראות התע"ס.</w:t>
      </w:r>
    </w:p>
    <w:p w:rsidR="00F60E90" w:rsidP="00CD7F18">
      <w:pPr>
        <w:spacing w:before="180" w:after="120" w:line="230" w:lineRule="exact"/>
        <w:ind w:left="340"/>
        <w:jc w:val="both"/>
        <w:rPr>
          <w:rFonts w:cs="FrankRuehl"/>
          <w:sz w:val="20"/>
          <w:szCs w:val="22"/>
          <w:rtl/>
        </w:rPr>
      </w:pPr>
      <w:r>
        <w:rPr>
          <w:rFonts w:cs="FrankRuehl" w:hint="cs"/>
          <w:sz w:val="20"/>
          <w:szCs w:val="22"/>
          <w:rtl/>
        </w:rPr>
        <w:t>בתשובתה מיוני 2014 מסרה עיריית קריית שמונה כי היא נערכת לפרסום מכרז להפעלת מרכז היום.</w:t>
      </w:r>
    </w:p>
    <w:p w:rsidR="00F60E90" w:rsidP="00CD7F18">
      <w:pPr>
        <w:spacing w:after="120" w:line="230" w:lineRule="exact"/>
        <w:ind w:left="340"/>
        <w:jc w:val="both"/>
        <w:rPr>
          <w:rFonts w:cs="FrankRuehl"/>
          <w:sz w:val="20"/>
          <w:szCs w:val="22"/>
          <w:rtl/>
        </w:rPr>
      </w:pPr>
      <w:r>
        <w:rPr>
          <w:rFonts w:cs="FrankRuehl" w:hint="cs"/>
          <w:sz w:val="20"/>
          <w:szCs w:val="22"/>
          <w:rtl/>
        </w:rPr>
        <w:t>בתשובתה מיולי 2014 מסרה המועצה האזורית הגליל העליון כי היא פועלת בימים אלה לחתימת הסכם שיעגן את כל החובות והזכויות של הצדדים בכל הנוגע לטיפול הסוציאלי, לפעילות החברתית ולשירותים נוספים, כפי שנקבעו בהוראות התע"ס.</w:t>
      </w:r>
    </w:p>
    <w:p w:rsidR="00F60E90" w:rsidP="00CD7F18">
      <w:pPr>
        <w:spacing w:after="120" w:line="230" w:lineRule="exact"/>
        <w:ind w:left="340" w:hanging="340"/>
        <w:jc w:val="both"/>
        <w:rPr>
          <w:rFonts w:cs="FrankRuehl"/>
          <w:sz w:val="20"/>
          <w:szCs w:val="22"/>
          <w:rtl/>
        </w:rPr>
      </w:pPr>
      <w:r>
        <w:rPr>
          <w:rFonts w:cs="FrankRuehl" w:hint="cs"/>
          <w:sz w:val="20"/>
          <w:szCs w:val="22"/>
          <w:rtl/>
        </w:rPr>
        <w:t>2.</w:t>
      </w:r>
      <w:r>
        <w:rPr>
          <w:rFonts w:cs="FrankRuehl" w:hint="cs"/>
          <w:sz w:val="20"/>
          <w:szCs w:val="22"/>
          <w:rtl/>
        </w:rPr>
        <w:tab/>
        <w:t>הביקורת העלתה כי חלק מהרשויות המקומיות שהקצו קרקעות או מבנים לצורך הקמה והפעלה של מרכזי יום לזקן, חתמו עם העמותות המקומיות למען הזקן על הסכם הקצאת קרקע לבנייתו של מרכז יום ולהפעלתו לתקופות של 10 שנים, של 25 שנים ואף של 49 שנים.</w:t>
      </w:r>
    </w:p>
    <w:p w:rsidR="00F60E90" w:rsidP="00CD7F18">
      <w:pPr>
        <w:spacing w:after="120" w:line="230" w:lineRule="exact"/>
        <w:ind w:left="340"/>
        <w:jc w:val="both"/>
        <w:rPr>
          <w:rFonts w:cs="FrankRuehl"/>
          <w:sz w:val="20"/>
          <w:szCs w:val="22"/>
          <w:rtl/>
        </w:rPr>
      </w:pPr>
      <w:r>
        <w:rPr>
          <w:rFonts w:cs="FrankRuehl" w:hint="cs"/>
          <w:sz w:val="20"/>
          <w:szCs w:val="22"/>
          <w:rtl/>
        </w:rPr>
        <w:t xml:space="preserve">בדיקת ההסכמים שהרשויות המקומיות חתמו עם העמותות האמורות העלתה כי חלק מהרשויות לא עיגנו בהסכמים את החובות ואת הזכויות של הצדדים. כמו כן לא נכללו בהם </w:t>
      </w:r>
      <w:r>
        <w:rPr>
          <w:rFonts w:cs="FrankRuehl"/>
          <w:sz w:val="20"/>
          <w:szCs w:val="22"/>
          <w:rtl/>
        </w:rPr>
        <w:t xml:space="preserve">סעיפים שונים </w:t>
      </w:r>
      <w:r>
        <w:rPr>
          <w:rFonts w:cs="FrankRuehl" w:hint="cs"/>
          <w:sz w:val="20"/>
          <w:szCs w:val="22"/>
          <w:rtl/>
        </w:rPr>
        <w:t>המפרטים את הדרישות</w:t>
      </w:r>
      <w:r>
        <w:rPr>
          <w:rFonts w:cs="FrankRuehl"/>
          <w:sz w:val="20"/>
          <w:szCs w:val="22"/>
          <w:rtl/>
        </w:rPr>
        <w:t xml:space="preserve"> </w:t>
      </w:r>
      <w:r>
        <w:rPr>
          <w:rFonts w:cs="FrankRuehl" w:hint="cs"/>
          <w:sz w:val="20"/>
          <w:szCs w:val="22"/>
          <w:rtl/>
        </w:rPr>
        <w:t>שהעמותות חייבות לעמוד בהן, כפי שנקבעו בתע"ס, שמטרתן להסדיר</w:t>
      </w:r>
      <w:r>
        <w:rPr>
          <w:rFonts w:cs="FrankRuehl"/>
          <w:sz w:val="20"/>
          <w:szCs w:val="22"/>
          <w:rtl/>
        </w:rPr>
        <w:t xml:space="preserve"> </w:t>
      </w:r>
      <w:r>
        <w:rPr>
          <w:rFonts w:cs="FrankRuehl" w:hint="cs"/>
          <w:sz w:val="20"/>
          <w:szCs w:val="22"/>
          <w:rtl/>
        </w:rPr>
        <w:t>את</w:t>
      </w:r>
      <w:r>
        <w:rPr>
          <w:rFonts w:cs="FrankRuehl"/>
          <w:sz w:val="20"/>
          <w:szCs w:val="22"/>
          <w:rtl/>
        </w:rPr>
        <w:t xml:space="preserve"> </w:t>
      </w:r>
      <w:r>
        <w:rPr>
          <w:rFonts w:cs="FrankRuehl" w:hint="cs"/>
          <w:sz w:val="20"/>
          <w:szCs w:val="22"/>
          <w:rtl/>
        </w:rPr>
        <w:t xml:space="preserve">הפעלתם של </w:t>
      </w:r>
      <w:r>
        <w:rPr>
          <w:rFonts w:cs="FrankRuehl"/>
          <w:sz w:val="20"/>
          <w:szCs w:val="22"/>
          <w:rtl/>
        </w:rPr>
        <w:t>מרכזי יום ל</w:t>
      </w:r>
      <w:r>
        <w:rPr>
          <w:rFonts w:cs="FrankRuehl" w:hint="cs"/>
          <w:sz w:val="20"/>
          <w:szCs w:val="22"/>
          <w:rtl/>
        </w:rPr>
        <w:t>זקן;</w:t>
      </w:r>
      <w:r>
        <w:rPr>
          <w:rFonts w:cs="FrankRuehl"/>
          <w:sz w:val="20"/>
          <w:szCs w:val="22"/>
          <w:rtl/>
        </w:rPr>
        <w:t xml:space="preserve"> </w:t>
      </w:r>
      <w:r>
        <w:rPr>
          <w:rFonts w:cs="FrankRuehl" w:hint="cs"/>
          <w:sz w:val="20"/>
          <w:szCs w:val="22"/>
          <w:rtl/>
        </w:rPr>
        <w:t>דהיינו,</w:t>
      </w:r>
      <w:r>
        <w:rPr>
          <w:rFonts w:cs="FrankRuehl"/>
          <w:sz w:val="20"/>
          <w:szCs w:val="22"/>
          <w:rtl/>
        </w:rPr>
        <w:t xml:space="preserve"> הדרישות </w:t>
      </w:r>
      <w:r>
        <w:rPr>
          <w:rFonts w:cs="FrankRuehl" w:hint="cs"/>
          <w:sz w:val="20"/>
          <w:szCs w:val="22"/>
          <w:rtl/>
        </w:rPr>
        <w:t>הנוגעות</w:t>
      </w:r>
      <w:r>
        <w:rPr>
          <w:rFonts w:cs="FrankRuehl"/>
          <w:sz w:val="20"/>
          <w:szCs w:val="22"/>
          <w:rtl/>
        </w:rPr>
        <w:t xml:space="preserve"> </w:t>
      </w:r>
      <w:r>
        <w:rPr>
          <w:rFonts w:cs="FrankRuehl" w:hint="cs"/>
          <w:sz w:val="20"/>
          <w:szCs w:val="22"/>
          <w:rtl/>
        </w:rPr>
        <w:t>ל</w:t>
      </w:r>
      <w:r>
        <w:rPr>
          <w:rFonts w:cs="FrankRuehl"/>
          <w:sz w:val="20"/>
          <w:szCs w:val="22"/>
          <w:rtl/>
        </w:rPr>
        <w:t xml:space="preserve">טיפול האישי, </w:t>
      </w:r>
      <w:r>
        <w:rPr>
          <w:rFonts w:cs="FrankRuehl" w:hint="cs"/>
          <w:sz w:val="20"/>
          <w:szCs w:val="22"/>
          <w:rtl/>
        </w:rPr>
        <w:t>ל</w:t>
      </w:r>
      <w:r>
        <w:rPr>
          <w:rFonts w:cs="FrankRuehl"/>
          <w:sz w:val="20"/>
          <w:szCs w:val="22"/>
          <w:rtl/>
        </w:rPr>
        <w:t xml:space="preserve">טיפול הסוציאלי, </w:t>
      </w:r>
      <w:r>
        <w:rPr>
          <w:rFonts w:cs="FrankRuehl" w:hint="cs"/>
          <w:sz w:val="20"/>
          <w:szCs w:val="22"/>
          <w:rtl/>
        </w:rPr>
        <w:t>ל</w:t>
      </w:r>
      <w:r>
        <w:rPr>
          <w:rFonts w:cs="FrankRuehl"/>
          <w:sz w:val="20"/>
          <w:szCs w:val="22"/>
          <w:rtl/>
        </w:rPr>
        <w:t>פעילות החברתית</w:t>
      </w:r>
      <w:r>
        <w:rPr>
          <w:rFonts w:cs="FrankRuehl" w:hint="cs"/>
          <w:sz w:val="20"/>
          <w:szCs w:val="22"/>
          <w:rtl/>
        </w:rPr>
        <w:t xml:space="preserve"> והתרבותית</w:t>
      </w:r>
      <w:r>
        <w:rPr>
          <w:rFonts w:cs="FrankRuehl"/>
          <w:sz w:val="20"/>
          <w:szCs w:val="22"/>
          <w:rtl/>
        </w:rPr>
        <w:t xml:space="preserve"> ו</w:t>
      </w:r>
      <w:r>
        <w:rPr>
          <w:rFonts w:cs="FrankRuehl" w:hint="cs"/>
          <w:sz w:val="20"/>
          <w:szCs w:val="22"/>
          <w:rtl/>
        </w:rPr>
        <w:t>ל</w:t>
      </w:r>
      <w:r>
        <w:rPr>
          <w:rFonts w:cs="FrankRuehl"/>
          <w:sz w:val="20"/>
          <w:szCs w:val="22"/>
          <w:rtl/>
        </w:rPr>
        <w:t>שירותים נוספים שיספק מרכז היום</w:t>
      </w:r>
      <w:r>
        <w:rPr>
          <w:rFonts w:cs="FrankRuehl" w:hint="cs"/>
          <w:sz w:val="20"/>
          <w:szCs w:val="22"/>
          <w:rtl/>
        </w:rPr>
        <w:t>;</w:t>
      </w:r>
      <w:r>
        <w:rPr>
          <w:rFonts w:cs="FrankRuehl"/>
          <w:sz w:val="20"/>
          <w:szCs w:val="22"/>
          <w:rtl/>
        </w:rPr>
        <w:t xml:space="preserve"> </w:t>
      </w:r>
      <w:r>
        <w:rPr>
          <w:rFonts w:cs="FrankRuehl" w:hint="cs"/>
          <w:sz w:val="20"/>
          <w:szCs w:val="22"/>
          <w:rtl/>
        </w:rPr>
        <w:t>ה</w:t>
      </w:r>
      <w:r>
        <w:rPr>
          <w:rFonts w:cs="FrankRuehl"/>
          <w:sz w:val="20"/>
          <w:szCs w:val="22"/>
          <w:rtl/>
        </w:rPr>
        <w:t>דרישות בנוגע לכוח האדם ה</w:t>
      </w:r>
      <w:r>
        <w:rPr>
          <w:rFonts w:cs="FrankRuehl" w:hint="cs"/>
          <w:sz w:val="20"/>
          <w:szCs w:val="22"/>
          <w:rtl/>
        </w:rPr>
        <w:t>עובד</w:t>
      </w:r>
      <w:r>
        <w:rPr>
          <w:rFonts w:cs="FrankRuehl"/>
          <w:sz w:val="20"/>
          <w:szCs w:val="22"/>
          <w:rtl/>
        </w:rPr>
        <w:t xml:space="preserve"> בהם</w:t>
      </w:r>
      <w:r>
        <w:rPr>
          <w:rFonts w:cs="FrankRuehl" w:hint="cs"/>
          <w:sz w:val="20"/>
          <w:szCs w:val="22"/>
          <w:rtl/>
        </w:rPr>
        <w:t>;</w:t>
      </w:r>
      <w:r>
        <w:rPr>
          <w:rFonts w:cs="FrankRuehl"/>
          <w:sz w:val="20"/>
          <w:szCs w:val="22"/>
          <w:rtl/>
        </w:rPr>
        <w:t xml:space="preserve"> </w:t>
      </w:r>
      <w:r>
        <w:rPr>
          <w:rFonts w:cs="FrankRuehl" w:hint="cs"/>
          <w:sz w:val="20"/>
          <w:szCs w:val="22"/>
          <w:rtl/>
        </w:rPr>
        <w:t>ו</w:t>
      </w:r>
      <w:r>
        <w:rPr>
          <w:rFonts w:cs="FrankRuehl"/>
          <w:sz w:val="20"/>
          <w:szCs w:val="22"/>
          <w:rtl/>
        </w:rPr>
        <w:t>אמצעי הבטיחות הנדרשים.</w:t>
      </w:r>
      <w:r>
        <w:rPr>
          <w:rFonts w:cs="FrankRuehl" w:hint="cs"/>
          <w:sz w:val="20"/>
          <w:szCs w:val="22"/>
          <w:rtl/>
        </w:rPr>
        <w:t xml:space="preserve"> להלן כמה דוגמאות:</w:t>
      </w:r>
    </w:p>
    <w:p w:rsidR="00F60E90" w:rsidP="00CD7F18">
      <w:pPr>
        <w:spacing w:after="120" w:line="230" w:lineRule="exact"/>
        <w:ind w:left="340"/>
        <w:jc w:val="both"/>
        <w:rPr>
          <w:rFonts w:cs="FrankRuehl"/>
          <w:sz w:val="20"/>
          <w:szCs w:val="22"/>
          <w:rtl/>
        </w:rPr>
      </w:pPr>
      <w:r>
        <w:rPr>
          <w:rFonts w:cs="FrankRuehl" w:hint="cs"/>
          <w:bCs/>
          <w:spacing w:val="40"/>
          <w:sz w:val="20"/>
          <w:szCs w:val="22"/>
          <w:rtl/>
        </w:rPr>
        <w:t>עיריית באקה אל-גרבייה</w:t>
      </w:r>
      <w:r>
        <w:rPr>
          <w:rFonts w:cs="FrankRuehl"/>
          <w:bCs/>
          <w:spacing w:val="40"/>
          <w:sz w:val="20"/>
          <w:szCs w:val="22"/>
          <w:rtl/>
        </w:rPr>
        <w:t>:</w:t>
      </w:r>
      <w:r>
        <w:rPr>
          <w:rFonts w:cs="FrankRuehl"/>
          <w:sz w:val="20"/>
          <w:szCs w:val="22"/>
          <w:rtl/>
        </w:rPr>
        <w:t xml:space="preserve"> </w:t>
      </w:r>
      <w:r>
        <w:rPr>
          <w:rFonts w:cs="FrankRuehl" w:hint="cs"/>
          <w:sz w:val="20"/>
          <w:szCs w:val="22"/>
          <w:rtl/>
        </w:rPr>
        <w:t>בהסכם שחתמה העירייה באוקטובר 1997 עם עמותת גיל הזהב - עמותה לטיפוח וקידום הקשיש בבאקה נקבע כי "העירייה נותנת בזאת לעמותה רשות לעשות שימוש בשטח... לצורך הקמת מבנה שישמש מרכז יום לקשיש". עוד נקבע כי העירייה תשתתף "במימון הפעלת וניהול המרכז היומי לקשיש, בשיעור של 25% מהוצאות ההפעלה... העירייה תאפשר לעמותה שימוש ללא תמורה... במבנה שיוקם עליו למשך תקופה של 49 שנים". על פי נתוני העירייה, בשנת 2013 היא העבירה למרכז היום 355,000 ש"ח למימון חלקה בהוצאות הטיפול בזקנים.</w:t>
      </w:r>
    </w:p>
    <w:p w:rsidR="00F60E90" w:rsidP="00CD7F18">
      <w:pPr>
        <w:spacing w:after="120" w:line="230" w:lineRule="exact"/>
        <w:ind w:left="340"/>
        <w:jc w:val="both"/>
        <w:rPr>
          <w:rFonts w:cs="FrankRuehl"/>
          <w:sz w:val="20"/>
          <w:szCs w:val="22"/>
          <w:rtl/>
        </w:rPr>
      </w:pPr>
      <w:r>
        <w:rPr>
          <w:rFonts w:cs="FrankRuehl" w:hint="cs"/>
          <w:sz w:val="20"/>
          <w:szCs w:val="22"/>
          <w:rtl/>
        </w:rPr>
        <w:t>הועלה כי בהסכם האמור לא כללה העירייה לא את חובותיה של העמותה ולא את הדרישות שהיא צריכה לעמוד בהן בכל הנוגע להפעלת מרכז היום.</w:t>
      </w:r>
    </w:p>
    <w:p w:rsidR="00F60E90" w:rsidP="00CD7F18">
      <w:pPr>
        <w:spacing w:after="120" w:line="230" w:lineRule="exact"/>
        <w:ind w:left="340"/>
        <w:jc w:val="both"/>
        <w:rPr>
          <w:rFonts w:cs="FrankRuehl"/>
          <w:sz w:val="20"/>
          <w:szCs w:val="22"/>
          <w:rtl/>
        </w:rPr>
      </w:pPr>
      <w:r>
        <w:rPr>
          <w:rFonts w:cs="FrankRuehl" w:hint="cs"/>
          <w:bCs/>
          <w:spacing w:val="40"/>
          <w:sz w:val="20"/>
          <w:szCs w:val="22"/>
          <w:rtl/>
        </w:rPr>
        <w:t>עיריית עפולה</w:t>
      </w:r>
      <w:r>
        <w:rPr>
          <w:rFonts w:cs="FrankRuehl"/>
          <w:bCs/>
          <w:spacing w:val="40"/>
          <w:sz w:val="20"/>
          <w:szCs w:val="22"/>
          <w:rtl/>
        </w:rPr>
        <w:t>:</w:t>
      </w:r>
      <w:r>
        <w:rPr>
          <w:rFonts w:cs="FrankRuehl"/>
          <w:sz w:val="20"/>
          <w:szCs w:val="22"/>
          <w:rtl/>
        </w:rPr>
        <w:t xml:space="preserve"> </w:t>
      </w:r>
      <w:r>
        <w:rPr>
          <w:rFonts w:cs="FrankRuehl" w:hint="cs"/>
          <w:sz w:val="20"/>
          <w:szCs w:val="22"/>
          <w:rtl/>
        </w:rPr>
        <w:t xml:space="preserve">בנובמבר 2007 חתמה העירייה על הסכם פיתוח עם עמותת דור לדור עפולה לצורך הקמה וניהול של מרכז יום לזקן. על פי ההסכם </w:t>
      </w:r>
      <w:r>
        <w:rPr>
          <w:rFonts w:cs="FrankRuehl"/>
          <w:sz w:val="20"/>
          <w:szCs w:val="22"/>
          <w:rtl/>
        </w:rPr>
        <w:t>"</w:t>
      </w:r>
      <w:r>
        <w:rPr>
          <w:rFonts w:cs="FrankRuehl" w:hint="cs"/>
          <w:sz w:val="20"/>
          <w:szCs w:val="22"/>
          <w:rtl/>
        </w:rPr>
        <w:t>מתחייבת</w:t>
      </w:r>
      <w:r>
        <w:rPr>
          <w:rFonts w:cs="FrankRuehl"/>
          <w:sz w:val="20"/>
          <w:szCs w:val="22"/>
          <w:rtl/>
        </w:rPr>
        <w:t xml:space="preserve"> </w:t>
      </w:r>
      <w:r>
        <w:rPr>
          <w:rFonts w:cs="FrankRuehl" w:hint="cs"/>
          <w:sz w:val="20"/>
          <w:szCs w:val="22"/>
          <w:rtl/>
        </w:rPr>
        <w:t>העירייה</w:t>
      </w:r>
      <w:r>
        <w:rPr>
          <w:rFonts w:cs="FrankRuehl"/>
          <w:sz w:val="20"/>
          <w:szCs w:val="22"/>
          <w:rtl/>
        </w:rPr>
        <w:t xml:space="preserve"> </w:t>
      </w:r>
      <w:r>
        <w:rPr>
          <w:rFonts w:cs="FrankRuehl" w:hint="cs"/>
          <w:sz w:val="20"/>
          <w:szCs w:val="22"/>
          <w:rtl/>
        </w:rPr>
        <w:t>לחתום</w:t>
      </w:r>
      <w:r>
        <w:rPr>
          <w:rFonts w:cs="FrankRuehl"/>
          <w:sz w:val="20"/>
          <w:szCs w:val="22"/>
          <w:rtl/>
        </w:rPr>
        <w:t xml:space="preserve"> </w:t>
      </w:r>
      <w:r>
        <w:rPr>
          <w:rFonts w:cs="FrankRuehl" w:hint="cs"/>
          <w:sz w:val="20"/>
          <w:szCs w:val="22"/>
          <w:rtl/>
        </w:rPr>
        <w:t>עם</w:t>
      </w:r>
      <w:r>
        <w:rPr>
          <w:rFonts w:cs="FrankRuehl"/>
          <w:sz w:val="20"/>
          <w:szCs w:val="22"/>
          <w:rtl/>
        </w:rPr>
        <w:t xml:space="preserve"> </w:t>
      </w:r>
      <w:r>
        <w:rPr>
          <w:rFonts w:cs="FrankRuehl" w:hint="cs"/>
          <w:sz w:val="20"/>
          <w:szCs w:val="22"/>
          <w:rtl/>
        </w:rPr>
        <w:t>העמותה</w:t>
      </w:r>
      <w:r>
        <w:rPr>
          <w:rFonts w:cs="FrankRuehl"/>
          <w:sz w:val="20"/>
          <w:szCs w:val="22"/>
          <w:rtl/>
        </w:rPr>
        <w:t xml:space="preserve"> </w:t>
      </w:r>
      <w:r>
        <w:rPr>
          <w:rFonts w:cs="FrankRuehl" w:hint="cs"/>
          <w:sz w:val="20"/>
          <w:szCs w:val="22"/>
          <w:rtl/>
        </w:rPr>
        <w:t>בלבד</w:t>
      </w:r>
      <w:r>
        <w:rPr>
          <w:rFonts w:cs="FrankRuehl"/>
          <w:sz w:val="20"/>
          <w:szCs w:val="22"/>
          <w:rtl/>
        </w:rPr>
        <w:t xml:space="preserve">, </w:t>
      </w:r>
      <w:r>
        <w:rPr>
          <w:rFonts w:cs="FrankRuehl" w:hint="cs"/>
          <w:sz w:val="20"/>
          <w:szCs w:val="22"/>
          <w:rtl/>
        </w:rPr>
        <w:t>והעמותה</w:t>
      </w:r>
      <w:r>
        <w:rPr>
          <w:rFonts w:cs="FrankRuehl"/>
          <w:sz w:val="20"/>
          <w:szCs w:val="22"/>
          <w:rtl/>
        </w:rPr>
        <w:t xml:space="preserve"> </w:t>
      </w:r>
      <w:r>
        <w:rPr>
          <w:rFonts w:cs="FrankRuehl" w:hint="cs"/>
          <w:sz w:val="20"/>
          <w:szCs w:val="22"/>
          <w:rtl/>
        </w:rPr>
        <w:t>מתחייבת</w:t>
      </w:r>
      <w:r>
        <w:rPr>
          <w:rFonts w:cs="FrankRuehl"/>
          <w:sz w:val="20"/>
          <w:szCs w:val="22"/>
          <w:rtl/>
        </w:rPr>
        <w:t xml:space="preserve"> </w:t>
      </w:r>
      <w:r>
        <w:rPr>
          <w:rFonts w:cs="FrankRuehl" w:hint="cs"/>
          <w:sz w:val="20"/>
          <w:szCs w:val="22"/>
          <w:rtl/>
        </w:rPr>
        <w:t>לחתום</w:t>
      </w:r>
      <w:r>
        <w:rPr>
          <w:rFonts w:cs="FrankRuehl"/>
          <w:sz w:val="20"/>
          <w:szCs w:val="22"/>
          <w:rtl/>
        </w:rPr>
        <w:t xml:space="preserve"> </w:t>
      </w:r>
      <w:r>
        <w:rPr>
          <w:rFonts w:cs="FrankRuehl" w:hint="cs"/>
          <w:sz w:val="20"/>
          <w:szCs w:val="22"/>
          <w:rtl/>
        </w:rPr>
        <w:t>עם</w:t>
      </w:r>
      <w:r>
        <w:rPr>
          <w:rFonts w:cs="FrankRuehl"/>
          <w:sz w:val="20"/>
          <w:szCs w:val="22"/>
          <w:rtl/>
        </w:rPr>
        <w:t xml:space="preserve"> </w:t>
      </w:r>
      <w:r>
        <w:rPr>
          <w:rFonts w:cs="FrankRuehl" w:hint="cs"/>
          <w:sz w:val="20"/>
          <w:szCs w:val="22"/>
          <w:rtl/>
        </w:rPr>
        <w:t>העירייה</w:t>
      </w:r>
      <w:r>
        <w:rPr>
          <w:rFonts w:cs="FrankRuehl"/>
          <w:sz w:val="20"/>
          <w:szCs w:val="22"/>
          <w:rtl/>
        </w:rPr>
        <w:t xml:space="preserve">, </w:t>
      </w:r>
      <w:r>
        <w:rPr>
          <w:rFonts w:cs="FrankRuehl" w:hint="cs"/>
          <w:sz w:val="20"/>
          <w:szCs w:val="22"/>
          <w:rtl/>
        </w:rPr>
        <w:t>על</w:t>
      </w:r>
      <w:r>
        <w:rPr>
          <w:rFonts w:cs="FrankRuehl"/>
          <w:sz w:val="20"/>
          <w:szCs w:val="22"/>
          <w:rtl/>
        </w:rPr>
        <w:t xml:space="preserve"> </w:t>
      </w:r>
      <w:r>
        <w:rPr>
          <w:rFonts w:cs="FrankRuehl" w:hint="cs"/>
          <w:sz w:val="20"/>
          <w:szCs w:val="22"/>
          <w:rtl/>
        </w:rPr>
        <w:t>חוזה</w:t>
      </w:r>
      <w:r>
        <w:rPr>
          <w:rFonts w:cs="FrankRuehl"/>
          <w:sz w:val="20"/>
          <w:szCs w:val="22"/>
          <w:rtl/>
        </w:rPr>
        <w:t xml:space="preserve"> </w:t>
      </w:r>
      <w:r>
        <w:rPr>
          <w:rFonts w:cs="FrankRuehl" w:hint="cs"/>
          <w:sz w:val="20"/>
          <w:szCs w:val="22"/>
          <w:rtl/>
        </w:rPr>
        <w:t>חכירה</w:t>
      </w:r>
      <w:r>
        <w:rPr>
          <w:rFonts w:cs="FrankRuehl"/>
          <w:sz w:val="20"/>
          <w:szCs w:val="22"/>
          <w:rtl/>
        </w:rPr>
        <w:t xml:space="preserve"> </w:t>
      </w:r>
      <w:r>
        <w:rPr>
          <w:rFonts w:cs="FrankRuehl" w:hint="cs"/>
          <w:sz w:val="20"/>
          <w:szCs w:val="22"/>
          <w:rtl/>
        </w:rPr>
        <w:t>לתקופה</w:t>
      </w:r>
      <w:r>
        <w:rPr>
          <w:rFonts w:cs="FrankRuehl"/>
          <w:sz w:val="20"/>
          <w:szCs w:val="22"/>
          <w:rtl/>
        </w:rPr>
        <w:t xml:space="preserve"> </w:t>
      </w:r>
      <w:r>
        <w:rPr>
          <w:rFonts w:cs="FrankRuehl" w:hint="cs"/>
          <w:sz w:val="20"/>
          <w:szCs w:val="22"/>
          <w:rtl/>
        </w:rPr>
        <w:t>של</w:t>
      </w:r>
      <w:r>
        <w:rPr>
          <w:rFonts w:cs="FrankRuehl"/>
          <w:sz w:val="20"/>
          <w:szCs w:val="22"/>
          <w:rtl/>
        </w:rPr>
        <w:t xml:space="preserve"> 10 </w:t>
      </w:r>
      <w:r>
        <w:rPr>
          <w:rFonts w:cs="FrankRuehl" w:hint="cs"/>
          <w:sz w:val="20"/>
          <w:szCs w:val="22"/>
          <w:rtl/>
        </w:rPr>
        <w:t xml:space="preserve">שנים </w:t>
      </w:r>
      <w:r>
        <w:rPr>
          <w:rFonts w:cs="FrankRuehl"/>
          <w:sz w:val="20"/>
          <w:szCs w:val="22"/>
          <w:rtl/>
        </w:rPr>
        <w:t xml:space="preserve">והכל </w:t>
      </w:r>
      <w:r>
        <w:rPr>
          <w:rFonts w:cs="FrankRuehl" w:hint="cs"/>
          <w:sz w:val="20"/>
          <w:szCs w:val="22"/>
          <w:rtl/>
        </w:rPr>
        <w:t>למטרת</w:t>
      </w:r>
      <w:r>
        <w:rPr>
          <w:rFonts w:cs="FrankRuehl"/>
          <w:sz w:val="20"/>
          <w:szCs w:val="22"/>
          <w:rtl/>
        </w:rPr>
        <w:t xml:space="preserve"> </w:t>
      </w:r>
      <w:r>
        <w:rPr>
          <w:rFonts w:cs="FrankRuehl" w:hint="cs"/>
          <w:sz w:val="20"/>
          <w:szCs w:val="22"/>
          <w:rtl/>
        </w:rPr>
        <w:t>הקמה</w:t>
      </w:r>
      <w:r>
        <w:rPr>
          <w:rFonts w:cs="FrankRuehl"/>
          <w:sz w:val="20"/>
          <w:szCs w:val="22"/>
          <w:rtl/>
        </w:rPr>
        <w:t xml:space="preserve"> </w:t>
      </w:r>
      <w:r>
        <w:rPr>
          <w:rFonts w:cs="FrankRuehl" w:hint="cs"/>
          <w:sz w:val="20"/>
          <w:szCs w:val="22"/>
          <w:rtl/>
        </w:rPr>
        <w:t>וניהול</w:t>
      </w:r>
      <w:r>
        <w:rPr>
          <w:rFonts w:cs="FrankRuehl"/>
          <w:sz w:val="20"/>
          <w:szCs w:val="22"/>
          <w:rtl/>
        </w:rPr>
        <w:t xml:space="preserve"> </w:t>
      </w:r>
      <w:r>
        <w:rPr>
          <w:rFonts w:cs="FrankRuehl" w:hint="cs"/>
          <w:sz w:val="20"/>
          <w:szCs w:val="22"/>
          <w:rtl/>
        </w:rPr>
        <w:t>של</w:t>
      </w:r>
      <w:r>
        <w:rPr>
          <w:rFonts w:cs="FrankRuehl"/>
          <w:sz w:val="20"/>
          <w:szCs w:val="22"/>
          <w:rtl/>
        </w:rPr>
        <w:t xml:space="preserve"> </w:t>
      </w:r>
      <w:r>
        <w:rPr>
          <w:rFonts w:cs="FrankRuehl" w:hint="cs"/>
          <w:sz w:val="20"/>
          <w:szCs w:val="22"/>
          <w:rtl/>
        </w:rPr>
        <w:t>מרכז</w:t>
      </w:r>
      <w:r>
        <w:rPr>
          <w:rFonts w:cs="FrankRuehl"/>
          <w:sz w:val="20"/>
          <w:szCs w:val="22"/>
          <w:rtl/>
        </w:rPr>
        <w:t xml:space="preserve"> </w:t>
      </w:r>
      <w:r>
        <w:rPr>
          <w:rFonts w:cs="FrankRuehl" w:hint="cs"/>
          <w:sz w:val="20"/>
          <w:szCs w:val="22"/>
          <w:rtl/>
        </w:rPr>
        <w:t>יום</w:t>
      </w:r>
      <w:r>
        <w:rPr>
          <w:rFonts w:cs="FrankRuehl"/>
          <w:sz w:val="20"/>
          <w:szCs w:val="22"/>
          <w:rtl/>
        </w:rPr>
        <w:t xml:space="preserve"> </w:t>
      </w:r>
      <w:r>
        <w:rPr>
          <w:rFonts w:cs="FrankRuehl" w:hint="cs"/>
          <w:sz w:val="20"/>
          <w:szCs w:val="22"/>
          <w:rtl/>
        </w:rPr>
        <w:t>לקשיש"</w:t>
      </w:r>
      <w:r>
        <w:rPr>
          <w:rFonts w:cs="FrankRuehl"/>
          <w:sz w:val="20"/>
          <w:szCs w:val="22"/>
          <w:rtl/>
        </w:rPr>
        <w:t xml:space="preserve">. </w:t>
      </w:r>
      <w:r>
        <w:rPr>
          <w:rFonts w:cs="FrankRuehl" w:hint="cs"/>
          <w:sz w:val="20"/>
          <w:szCs w:val="22"/>
          <w:rtl/>
        </w:rPr>
        <w:t xml:space="preserve">בדצמבר 2009 חתמה העירייה עם העמותה על נספח להסכמי הפיתוח והחכירה האמורים, ובו תוקנו תקופות ההקצאה והחכירה ל-18 שנים. </w:t>
      </w:r>
      <w:r>
        <w:rPr>
          <w:rFonts w:cs="FrankRuehl"/>
          <w:sz w:val="20"/>
          <w:szCs w:val="22"/>
          <w:rtl/>
        </w:rPr>
        <w:t>על פי נתוני העירייה, בשנת 2013 היא העבירה למרכז היום 250,000 ש"ח למימון חלק</w:t>
      </w:r>
      <w:r>
        <w:rPr>
          <w:rFonts w:cs="FrankRuehl" w:hint="cs"/>
          <w:sz w:val="20"/>
          <w:szCs w:val="22"/>
          <w:rtl/>
        </w:rPr>
        <w:t>ה</w:t>
      </w:r>
      <w:r>
        <w:rPr>
          <w:rFonts w:cs="FrankRuehl"/>
          <w:sz w:val="20"/>
          <w:szCs w:val="22"/>
          <w:rtl/>
        </w:rPr>
        <w:t xml:space="preserve"> </w:t>
      </w:r>
      <w:r>
        <w:rPr>
          <w:rFonts w:cs="FrankRuehl" w:hint="cs"/>
          <w:sz w:val="20"/>
          <w:szCs w:val="22"/>
          <w:rtl/>
        </w:rPr>
        <w:t>ב</w:t>
      </w:r>
      <w:r>
        <w:rPr>
          <w:rFonts w:cs="FrankRuehl"/>
          <w:sz w:val="20"/>
          <w:szCs w:val="22"/>
          <w:rtl/>
        </w:rPr>
        <w:t>הוצאות הטיפול בזקנים</w:t>
      </w:r>
      <w:r>
        <w:rPr>
          <w:rFonts w:cs="FrankRuehl" w:hint="cs"/>
          <w:sz w:val="20"/>
          <w:szCs w:val="22"/>
          <w:rtl/>
        </w:rPr>
        <w:t>.</w:t>
      </w:r>
    </w:p>
    <w:p w:rsidR="00F60E90" w:rsidP="00CD7F18">
      <w:pPr>
        <w:spacing w:after="120" w:line="230" w:lineRule="exact"/>
        <w:ind w:left="340"/>
        <w:jc w:val="both"/>
        <w:rPr>
          <w:rFonts w:cs="FrankRuehl"/>
          <w:sz w:val="20"/>
          <w:szCs w:val="22"/>
          <w:rtl/>
        </w:rPr>
      </w:pPr>
      <w:r>
        <w:rPr>
          <w:rFonts w:cs="FrankRuehl"/>
          <w:sz w:val="20"/>
          <w:szCs w:val="22"/>
          <w:rtl/>
        </w:rPr>
        <w:t xml:space="preserve">הועלה כי </w:t>
      </w:r>
      <w:r>
        <w:rPr>
          <w:rFonts w:cs="FrankRuehl" w:hint="cs"/>
          <w:sz w:val="20"/>
          <w:szCs w:val="22"/>
          <w:rtl/>
        </w:rPr>
        <w:t xml:space="preserve">עיריית עפולה עיגנה את התקשרותה עם העמותה בהסכם להפעלת מרכז היום, אך הסכם זה היה כוללני ולא פורטו בו החובות והזכויות של הצדדים, לרבות </w:t>
      </w:r>
      <w:r>
        <w:rPr>
          <w:rFonts w:cs="FrankRuehl"/>
          <w:sz w:val="20"/>
          <w:szCs w:val="22"/>
          <w:rtl/>
        </w:rPr>
        <w:t>מחויבו</w:t>
      </w:r>
      <w:r>
        <w:rPr>
          <w:rFonts w:cs="FrankRuehl" w:hint="cs"/>
          <w:sz w:val="20"/>
          <w:szCs w:val="22"/>
          <w:rtl/>
        </w:rPr>
        <w:t>יו</w:t>
      </w:r>
      <w:r>
        <w:rPr>
          <w:rFonts w:cs="FrankRuehl"/>
          <w:sz w:val="20"/>
          <w:szCs w:val="22"/>
          <w:rtl/>
        </w:rPr>
        <w:t>ת</w:t>
      </w:r>
      <w:r>
        <w:rPr>
          <w:rFonts w:cs="FrankRuehl" w:hint="cs"/>
          <w:sz w:val="20"/>
          <w:szCs w:val="22"/>
          <w:rtl/>
        </w:rPr>
        <w:t>יה של</w:t>
      </w:r>
      <w:r>
        <w:rPr>
          <w:rFonts w:cs="FrankRuehl"/>
          <w:sz w:val="20"/>
          <w:szCs w:val="22"/>
          <w:rtl/>
        </w:rPr>
        <w:t xml:space="preserve"> העמותה </w:t>
      </w:r>
      <w:r>
        <w:rPr>
          <w:rFonts w:cs="FrankRuehl" w:hint="cs"/>
          <w:sz w:val="20"/>
          <w:szCs w:val="22"/>
          <w:rtl/>
        </w:rPr>
        <w:t>הנוגעות</w:t>
      </w:r>
      <w:r>
        <w:rPr>
          <w:rFonts w:cs="FrankRuehl"/>
          <w:sz w:val="20"/>
          <w:szCs w:val="22"/>
          <w:rtl/>
        </w:rPr>
        <w:t xml:space="preserve"> להפעלת מרכז היום</w:t>
      </w:r>
      <w:r>
        <w:rPr>
          <w:rFonts w:cs="FrankRuehl" w:hint="cs"/>
          <w:sz w:val="20"/>
          <w:szCs w:val="22"/>
          <w:rtl/>
        </w:rPr>
        <w:t>.</w:t>
      </w:r>
    </w:p>
    <w:p w:rsidR="00F60E90" w:rsidP="00CD7F18">
      <w:pPr>
        <w:spacing w:after="120" w:line="230" w:lineRule="exact"/>
        <w:ind w:left="340"/>
        <w:jc w:val="both"/>
        <w:rPr>
          <w:rFonts w:cs="FrankRuehl"/>
          <w:sz w:val="20"/>
          <w:szCs w:val="22"/>
          <w:rtl/>
        </w:rPr>
      </w:pPr>
      <w:r>
        <w:rPr>
          <w:rFonts w:cs="FrankRuehl" w:hint="cs"/>
          <w:sz w:val="20"/>
          <w:szCs w:val="22"/>
          <w:rtl/>
        </w:rPr>
        <w:t>בתשובתה מיוני 2014 ציינה עיריית עפולה כי מרכז היום נמצא בפיקוח מקצועי של אגף הרווחה בעירייה ובפיקוחו של משרד הרווחה במהלך השנה. העירייה הוסיפה כי תצרף נספח נוסף להסכם עם העמותה שיעגן מתן שירות איכותי לזקנים.</w:t>
      </w:r>
    </w:p>
    <w:p w:rsidR="00F60E90" w:rsidP="00CD7F18">
      <w:pPr>
        <w:spacing w:after="120" w:line="230" w:lineRule="exact"/>
        <w:ind w:left="340"/>
        <w:jc w:val="both"/>
        <w:rPr>
          <w:rFonts w:cs="FrankRuehl"/>
          <w:sz w:val="20"/>
          <w:szCs w:val="22"/>
          <w:rtl/>
        </w:rPr>
      </w:pPr>
      <w:r>
        <w:rPr>
          <w:rFonts w:cs="FrankRuehl" w:hint="cs"/>
          <w:bCs/>
          <w:spacing w:val="40"/>
          <w:sz w:val="20"/>
          <w:szCs w:val="22"/>
          <w:rtl/>
        </w:rPr>
        <w:t>עיריית מגדל העמק</w:t>
      </w:r>
      <w:r>
        <w:rPr>
          <w:rFonts w:cs="FrankRuehl"/>
          <w:bCs/>
          <w:spacing w:val="40"/>
          <w:sz w:val="20"/>
          <w:szCs w:val="22"/>
          <w:rtl/>
        </w:rPr>
        <w:t>:</w:t>
      </w:r>
      <w:r>
        <w:rPr>
          <w:rFonts w:cs="FrankRuehl"/>
          <w:sz w:val="20"/>
          <w:szCs w:val="22"/>
          <w:rtl/>
        </w:rPr>
        <w:t xml:space="preserve"> </w:t>
      </w:r>
      <w:r>
        <w:rPr>
          <w:rFonts w:cs="FrankRuehl" w:hint="cs"/>
          <w:sz w:val="20"/>
          <w:szCs w:val="22"/>
          <w:rtl/>
        </w:rPr>
        <w:t>ביולי 2013 חתמה העירייה עם עמותת מרכז יום לקשיש על הסכם להקצאת מבנה ברחוב יפה נוף 2 במגדל העמק. על פי ההסכם תתיר העירייה לעמותה להפעיל מרכז יום במבנה למשך עשר שנים עם אופציה להארכה בחמש שנים נוספות.</w:t>
      </w:r>
    </w:p>
    <w:p w:rsidR="00F60E90" w:rsidP="00CD7F18">
      <w:pPr>
        <w:spacing w:after="120" w:line="230" w:lineRule="exact"/>
        <w:ind w:left="340"/>
        <w:jc w:val="both"/>
        <w:rPr>
          <w:rFonts w:cs="FrankRuehl"/>
          <w:sz w:val="20"/>
          <w:szCs w:val="22"/>
          <w:rtl/>
        </w:rPr>
      </w:pPr>
      <w:r>
        <w:rPr>
          <w:rFonts w:cs="FrankRuehl" w:hint="cs"/>
          <w:sz w:val="20"/>
          <w:szCs w:val="22"/>
          <w:rtl/>
        </w:rPr>
        <w:t>הועלה כי בהסכם לא פורטו מחויבויותיה של העמותה הנוגעות להפעלת מרכז היום, על פי הדרישות הקבועות בתע</w:t>
      </w:r>
      <w:r>
        <w:rPr>
          <w:rFonts w:cs="FrankRuehl"/>
          <w:sz w:val="20"/>
          <w:szCs w:val="22"/>
          <w:rtl/>
        </w:rPr>
        <w:t>"ס.</w:t>
      </w:r>
      <w:r>
        <w:rPr>
          <w:rFonts w:cs="FrankRuehl" w:hint="cs"/>
          <w:sz w:val="20"/>
          <w:szCs w:val="22"/>
          <w:rtl/>
        </w:rPr>
        <w:t xml:space="preserve"> </w:t>
      </w:r>
    </w:p>
    <w:p w:rsidR="00F60E90" w:rsidP="00CD7F18">
      <w:pPr>
        <w:spacing w:after="120" w:line="230" w:lineRule="exact"/>
        <w:ind w:left="340"/>
        <w:jc w:val="both"/>
        <w:rPr>
          <w:rFonts w:cs="FrankRuehl"/>
          <w:sz w:val="20"/>
          <w:szCs w:val="22"/>
          <w:rtl/>
        </w:rPr>
      </w:pPr>
      <w:r>
        <w:rPr>
          <w:rFonts w:cs="FrankRuehl" w:hint="cs"/>
          <w:sz w:val="20"/>
          <w:szCs w:val="22"/>
          <w:rtl/>
        </w:rPr>
        <w:t>בתשובתה מיוני 2014 הודיעה עיריית מגדל העמק: "אנחנו פועלים לתקן את הנושא ברוח הביקורת".</w:t>
      </w:r>
    </w:p>
    <w:p w:rsidR="00F60E90" w:rsidP="00CD7F18">
      <w:pPr>
        <w:spacing w:after="120" w:line="230" w:lineRule="exact"/>
        <w:ind w:left="340"/>
        <w:jc w:val="both"/>
        <w:rPr>
          <w:rFonts w:cs="FrankRuehl"/>
          <w:sz w:val="20"/>
          <w:szCs w:val="22"/>
          <w:rtl/>
        </w:rPr>
      </w:pPr>
      <w:r>
        <w:rPr>
          <w:rFonts w:cs="FrankRuehl" w:hint="cs"/>
          <w:bCs/>
          <w:spacing w:val="40"/>
          <w:sz w:val="20"/>
          <w:szCs w:val="22"/>
          <w:rtl/>
        </w:rPr>
        <w:t>עיריית אום אל-פחם</w:t>
      </w:r>
      <w:r>
        <w:rPr>
          <w:rFonts w:cs="FrankRuehl" w:hint="cs"/>
          <w:sz w:val="20"/>
          <w:szCs w:val="22"/>
          <w:rtl/>
        </w:rPr>
        <w:t>: ב</w:t>
      </w:r>
      <w:r>
        <w:rPr>
          <w:rFonts w:cs="FrankRuehl"/>
          <w:sz w:val="20"/>
          <w:szCs w:val="22"/>
          <w:rtl/>
        </w:rPr>
        <w:t xml:space="preserve">הסכם </w:t>
      </w:r>
      <w:r>
        <w:rPr>
          <w:rFonts w:cs="FrankRuehl" w:hint="cs"/>
          <w:sz w:val="20"/>
          <w:szCs w:val="22"/>
          <w:rtl/>
        </w:rPr>
        <w:t>שחתמה העירייה</w:t>
      </w:r>
      <w:r>
        <w:rPr>
          <w:rFonts w:cs="FrankRuehl"/>
          <w:sz w:val="20"/>
          <w:szCs w:val="22"/>
          <w:rtl/>
        </w:rPr>
        <w:t xml:space="preserve"> </w:t>
      </w:r>
      <w:r>
        <w:rPr>
          <w:rFonts w:cs="FrankRuehl" w:hint="cs"/>
          <w:sz w:val="20"/>
          <w:szCs w:val="22"/>
          <w:rtl/>
        </w:rPr>
        <w:t>בנובמבר 2001</w:t>
      </w:r>
      <w:r>
        <w:rPr>
          <w:rFonts w:cs="FrankRuehl"/>
          <w:sz w:val="20"/>
          <w:szCs w:val="22"/>
          <w:rtl/>
        </w:rPr>
        <w:t xml:space="preserve"> </w:t>
      </w:r>
      <w:r>
        <w:rPr>
          <w:rFonts w:cs="FrankRuehl" w:hint="cs"/>
          <w:sz w:val="20"/>
          <w:szCs w:val="22"/>
          <w:rtl/>
        </w:rPr>
        <w:t>עם</w:t>
      </w:r>
      <w:r>
        <w:rPr>
          <w:rFonts w:cs="FrankRuehl"/>
          <w:sz w:val="20"/>
          <w:szCs w:val="22"/>
          <w:rtl/>
        </w:rPr>
        <w:t xml:space="preserve"> עמותת </w:t>
      </w:r>
      <w:r>
        <w:rPr>
          <w:rFonts w:cs="FrankRuehl" w:hint="cs"/>
          <w:sz w:val="20"/>
          <w:szCs w:val="22"/>
          <w:rtl/>
        </w:rPr>
        <w:t>אלסלאם</w:t>
      </w:r>
      <w:r>
        <w:rPr>
          <w:rFonts w:cs="FrankRuehl"/>
          <w:sz w:val="20"/>
          <w:szCs w:val="22"/>
          <w:rtl/>
        </w:rPr>
        <w:t>-</w:t>
      </w:r>
      <w:r>
        <w:rPr>
          <w:rFonts w:cs="FrankRuehl" w:hint="cs"/>
          <w:sz w:val="20"/>
          <w:szCs w:val="22"/>
          <w:rtl/>
        </w:rPr>
        <w:t xml:space="preserve">למען זקנים ופנסיונרים </w:t>
      </w:r>
      <w:r>
        <w:rPr>
          <w:rFonts w:cs="FrankRuehl"/>
          <w:sz w:val="20"/>
          <w:szCs w:val="22"/>
          <w:rtl/>
        </w:rPr>
        <w:t>נקבע</w:t>
      </w:r>
      <w:r>
        <w:rPr>
          <w:rFonts w:cs="FrankRuehl" w:hint="cs"/>
          <w:sz w:val="20"/>
          <w:szCs w:val="22"/>
          <w:rtl/>
        </w:rPr>
        <w:t xml:space="preserve"> כי</w:t>
      </w:r>
      <w:r>
        <w:rPr>
          <w:rFonts w:cs="FrankRuehl"/>
          <w:sz w:val="20"/>
          <w:szCs w:val="22"/>
          <w:rtl/>
        </w:rPr>
        <w:t xml:space="preserve"> "העירייה נותנת בזאת לעמותה רשות לעשות שימוש בשטח...</w:t>
      </w:r>
      <w:r>
        <w:rPr>
          <w:rFonts w:cs="FrankRuehl" w:hint="cs"/>
          <w:sz w:val="20"/>
          <w:szCs w:val="22"/>
          <w:rtl/>
        </w:rPr>
        <w:t xml:space="preserve"> </w:t>
      </w:r>
      <w:r>
        <w:rPr>
          <w:rFonts w:cs="FrankRuehl"/>
          <w:sz w:val="20"/>
          <w:szCs w:val="22"/>
          <w:rtl/>
        </w:rPr>
        <w:t>לצורך הקמת מבנה שישמש מרכז יום ל</w:t>
      </w:r>
      <w:r>
        <w:rPr>
          <w:rFonts w:cs="FrankRuehl" w:hint="cs"/>
          <w:sz w:val="20"/>
          <w:szCs w:val="22"/>
          <w:rtl/>
        </w:rPr>
        <w:t>תשושי נפש</w:t>
      </w:r>
      <w:r>
        <w:rPr>
          <w:rFonts w:cs="FrankRuehl"/>
          <w:sz w:val="20"/>
          <w:szCs w:val="22"/>
          <w:rtl/>
        </w:rPr>
        <w:t>"</w:t>
      </w:r>
      <w:r>
        <w:rPr>
          <w:rFonts w:cs="FrankRuehl" w:hint="cs"/>
          <w:sz w:val="20"/>
          <w:szCs w:val="22"/>
          <w:rtl/>
        </w:rPr>
        <w:t>.</w:t>
      </w:r>
      <w:r>
        <w:rPr>
          <w:rFonts w:cs="FrankRuehl"/>
          <w:sz w:val="20"/>
          <w:szCs w:val="22"/>
          <w:rtl/>
        </w:rPr>
        <w:t xml:space="preserve"> </w:t>
      </w:r>
      <w:r>
        <w:rPr>
          <w:rFonts w:cs="FrankRuehl" w:hint="cs"/>
          <w:sz w:val="20"/>
          <w:szCs w:val="22"/>
          <w:rtl/>
        </w:rPr>
        <w:t>עוד נ</w:t>
      </w:r>
      <w:r>
        <w:rPr>
          <w:rFonts w:cs="FrankRuehl"/>
          <w:sz w:val="20"/>
          <w:szCs w:val="22"/>
          <w:rtl/>
        </w:rPr>
        <w:t xml:space="preserve">קבע כי העירייה תשתתף </w:t>
      </w:r>
      <w:r>
        <w:rPr>
          <w:rFonts w:cs="FrankRuehl" w:hint="cs"/>
          <w:sz w:val="20"/>
          <w:szCs w:val="22"/>
          <w:rtl/>
        </w:rPr>
        <w:t>"</w:t>
      </w:r>
      <w:r>
        <w:rPr>
          <w:rFonts w:cs="FrankRuehl"/>
          <w:sz w:val="20"/>
          <w:szCs w:val="22"/>
          <w:rtl/>
        </w:rPr>
        <w:t>במימון הפעלת וניהול המרכז היומי ל</w:t>
      </w:r>
      <w:r>
        <w:rPr>
          <w:rFonts w:cs="FrankRuehl" w:hint="cs"/>
          <w:sz w:val="20"/>
          <w:szCs w:val="22"/>
          <w:rtl/>
        </w:rPr>
        <w:t>תשושי נפש</w:t>
      </w:r>
      <w:r>
        <w:rPr>
          <w:rFonts w:cs="FrankRuehl"/>
          <w:sz w:val="20"/>
          <w:szCs w:val="22"/>
          <w:rtl/>
        </w:rPr>
        <w:t>, בשיעור של 25% הוצאות ההפעלה"</w:t>
      </w:r>
      <w:r>
        <w:rPr>
          <w:rFonts w:cs="FrankRuehl" w:hint="cs"/>
          <w:sz w:val="20"/>
          <w:szCs w:val="22"/>
          <w:rtl/>
        </w:rPr>
        <w:t xml:space="preserve"> וכי העירייה תקצה את הקרקע ואת המבנה שיוקם עליה לתקופה של 49 שנים. </w:t>
      </w:r>
      <w:r>
        <w:rPr>
          <w:rFonts w:cs="FrankRuehl"/>
          <w:sz w:val="20"/>
          <w:szCs w:val="22"/>
          <w:rtl/>
        </w:rPr>
        <w:t>על פי נתוני העירייה, בשנת 2013 היא העבירה למרכז היום 135,000 ש"ח למימון חלק</w:t>
      </w:r>
      <w:r>
        <w:rPr>
          <w:rFonts w:cs="FrankRuehl" w:hint="cs"/>
          <w:sz w:val="20"/>
          <w:szCs w:val="22"/>
          <w:rtl/>
        </w:rPr>
        <w:t>ה</w:t>
      </w:r>
      <w:r>
        <w:rPr>
          <w:rFonts w:cs="FrankRuehl"/>
          <w:sz w:val="20"/>
          <w:szCs w:val="22"/>
          <w:rtl/>
        </w:rPr>
        <w:t xml:space="preserve"> </w:t>
      </w:r>
      <w:r>
        <w:rPr>
          <w:rFonts w:cs="FrankRuehl" w:hint="cs"/>
          <w:sz w:val="20"/>
          <w:szCs w:val="22"/>
          <w:rtl/>
        </w:rPr>
        <w:t>ב</w:t>
      </w:r>
      <w:r>
        <w:rPr>
          <w:rFonts w:cs="FrankRuehl"/>
          <w:sz w:val="20"/>
          <w:szCs w:val="22"/>
          <w:rtl/>
        </w:rPr>
        <w:t>הוצאות הטיפול בזקנים.</w:t>
      </w:r>
    </w:p>
    <w:p w:rsidR="00F60E90" w:rsidP="00CD7F18">
      <w:pPr>
        <w:spacing w:after="120" w:line="230" w:lineRule="exact"/>
        <w:ind w:left="340"/>
        <w:jc w:val="both"/>
        <w:rPr>
          <w:rFonts w:cs="FrankRuehl"/>
          <w:sz w:val="20"/>
          <w:szCs w:val="22"/>
          <w:rtl/>
        </w:rPr>
      </w:pPr>
      <w:r>
        <w:rPr>
          <w:rFonts w:cs="FrankRuehl" w:hint="cs"/>
          <w:sz w:val="20"/>
          <w:szCs w:val="22"/>
          <w:rtl/>
        </w:rPr>
        <w:t>הועלה כי בהסכם לא פורטו מחויבויותיה של העמותה הנוגעות להפעלת מרכז היום, על</w:t>
      </w:r>
      <w:r>
        <w:rPr>
          <w:rFonts w:cs="FrankRuehl"/>
          <w:sz w:val="20"/>
          <w:szCs w:val="22"/>
          <w:rtl/>
        </w:rPr>
        <w:t xml:space="preserve"> </w:t>
      </w:r>
      <w:r>
        <w:rPr>
          <w:rFonts w:cs="FrankRuehl" w:hint="cs"/>
          <w:sz w:val="20"/>
          <w:szCs w:val="22"/>
          <w:rtl/>
        </w:rPr>
        <w:t>פי</w:t>
      </w:r>
      <w:r>
        <w:rPr>
          <w:rFonts w:cs="FrankRuehl"/>
          <w:sz w:val="20"/>
          <w:szCs w:val="22"/>
          <w:rtl/>
        </w:rPr>
        <w:t xml:space="preserve"> </w:t>
      </w:r>
      <w:r>
        <w:rPr>
          <w:rFonts w:cs="FrankRuehl" w:hint="cs"/>
          <w:sz w:val="20"/>
          <w:szCs w:val="22"/>
          <w:rtl/>
        </w:rPr>
        <w:t>הדרישות</w:t>
      </w:r>
      <w:r>
        <w:rPr>
          <w:rFonts w:cs="FrankRuehl"/>
          <w:sz w:val="20"/>
          <w:szCs w:val="22"/>
          <w:rtl/>
        </w:rPr>
        <w:t xml:space="preserve"> </w:t>
      </w:r>
      <w:r>
        <w:rPr>
          <w:rFonts w:cs="FrankRuehl" w:hint="cs"/>
          <w:sz w:val="20"/>
          <w:szCs w:val="22"/>
          <w:rtl/>
        </w:rPr>
        <w:t>הקבועות בתע</w:t>
      </w:r>
      <w:r>
        <w:rPr>
          <w:rFonts w:cs="FrankRuehl"/>
          <w:sz w:val="20"/>
          <w:szCs w:val="22"/>
          <w:rtl/>
        </w:rPr>
        <w:t>"ס</w:t>
      </w:r>
      <w:r>
        <w:rPr>
          <w:rFonts w:cs="FrankRuehl" w:hint="cs"/>
          <w:sz w:val="20"/>
          <w:szCs w:val="22"/>
          <w:rtl/>
        </w:rPr>
        <w:t>.</w:t>
      </w:r>
    </w:p>
    <w:p w:rsidR="00F60E90" w:rsidP="00CD7F18">
      <w:pPr>
        <w:spacing w:after="120" w:line="230" w:lineRule="exact"/>
        <w:ind w:left="340"/>
        <w:jc w:val="both"/>
        <w:rPr>
          <w:rFonts w:cs="FrankRuehl"/>
          <w:sz w:val="20"/>
          <w:szCs w:val="22"/>
          <w:rtl/>
        </w:rPr>
      </w:pPr>
      <w:r>
        <w:rPr>
          <w:rFonts w:cs="FrankRuehl" w:hint="cs"/>
          <w:sz w:val="20"/>
          <w:szCs w:val="22"/>
          <w:rtl/>
        </w:rPr>
        <w:t>בתשובתה מסרה עיריית אום אל-פחם כי בעקבות הערת הביקורת תוקן ההסכם עם העמותה והוכנס להסכם נושא הטיפול הסוציאלי שהעמותה מתבקשת לספק לזקנים המגיעים למרכז היום.</w:t>
      </w:r>
    </w:p>
    <w:p w:rsidR="00F60E90" w:rsidP="00CD7F18">
      <w:pPr>
        <w:spacing w:after="240" w:line="230" w:lineRule="exact"/>
        <w:ind w:left="340"/>
        <w:jc w:val="both"/>
        <w:rPr>
          <w:rFonts w:cs="FrankRuehl"/>
          <w:sz w:val="20"/>
          <w:szCs w:val="22"/>
          <w:rtl/>
        </w:rPr>
      </w:pPr>
      <w:r>
        <w:rPr>
          <w:rFonts w:cs="FrankRuehl" w:hint="cs"/>
          <w:sz w:val="20"/>
          <w:szCs w:val="22"/>
          <w:rtl/>
        </w:rPr>
        <w:t>בתשובתה ממאי 2014</w:t>
      </w:r>
      <w:r>
        <w:rPr>
          <w:rFonts w:cs="FrankRuehl"/>
          <w:sz w:val="20"/>
          <w:szCs w:val="22"/>
          <w:rtl/>
        </w:rPr>
        <w:t xml:space="preserve"> </w:t>
      </w:r>
      <w:r>
        <w:rPr>
          <w:rFonts w:cs="FrankRuehl" w:hint="cs"/>
          <w:sz w:val="20"/>
          <w:szCs w:val="22"/>
          <w:rtl/>
        </w:rPr>
        <w:t>ציינה</w:t>
      </w:r>
      <w:r>
        <w:rPr>
          <w:rFonts w:cs="FrankRuehl"/>
          <w:sz w:val="20"/>
          <w:szCs w:val="22"/>
          <w:rtl/>
        </w:rPr>
        <w:t xml:space="preserve"> עמותת </w:t>
      </w:r>
      <w:r>
        <w:rPr>
          <w:rFonts w:cs="FrankRuehl" w:hint="cs"/>
          <w:sz w:val="20"/>
          <w:szCs w:val="22"/>
          <w:rtl/>
        </w:rPr>
        <w:t>אלסלאם למען זקנים ופנסיונרים כי "העמותה מקבלת אישור הפעלה שנתי ממשרד הרווחה רק לאחר בדיקות ועמידה בהוראות התע"ס בנדון ובהם מתן טיפול סוציאלי, הפעלה חברתית שירותי אחות, שירותי פיזיותרפיה ושירותים נוספים."</w:t>
      </w:r>
    </w:p>
    <w:p w:rsidR="00F60E90" w:rsidP="00CD7F18">
      <w:pPr>
        <w:pStyle w:val="RESHET"/>
        <w:ind w:left="567"/>
        <w:rPr>
          <w:rtl/>
        </w:rPr>
      </w:pPr>
      <w:r>
        <w:rPr>
          <w:rFonts w:hint="cs"/>
          <w:rtl/>
        </w:rPr>
        <w:t>משרד מבקר המדינה העיר לעיריות באקה אל-גרבייה, עפולה, מגדל העמק ואום אל-פחם כי היה עליהן לכלול ולעגן בהסכמי ההתקשרות שחתמו עם הגופים המפעילים את מרכזי היום את כל החובות והזכויות של הצדדים בכל הנוגע ל</w:t>
      </w:r>
      <w:r>
        <w:rPr>
          <w:rtl/>
        </w:rPr>
        <w:t xml:space="preserve">טיפול הסוציאלי, </w:t>
      </w:r>
      <w:r>
        <w:rPr>
          <w:rFonts w:hint="cs"/>
          <w:rtl/>
        </w:rPr>
        <w:t>ל</w:t>
      </w:r>
      <w:r>
        <w:rPr>
          <w:rtl/>
        </w:rPr>
        <w:t>פעילות החברתית ו</w:t>
      </w:r>
      <w:r>
        <w:rPr>
          <w:rFonts w:hint="cs"/>
          <w:rtl/>
        </w:rPr>
        <w:t>ל</w:t>
      </w:r>
      <w:r>
        <w:rPr>
          <w:rtl/>
        </w:rPr>
        <w:t>שירותים נוספים</w:t>
      </w:r>
      <w:r>
        <w:rPr>
          <w:rFonts w:hint="cs"/>
          <w:rtl/>
        </w:rPr>
        <w:t xml:space="preserve"> </w:t>
      </w:r>
      <w:r>
        <w:rPr>
          <w:rtl/>
        </w:rPr>
        <w:t xml:space="preserve">שמרכז היום </w:t>
      </w:r>
      <w:r>
        <w:rPr>
          <w:rFonts w:hint="cs"/>
          <w:rtl/>
        </w:rPr>
        <w:t>מחויב ל</w:t>
      </w:r>
      <w:r>
        <w:rPr>
          <w:rtl/>
        </w:rPr>
        <w:t>ספק</w:t>
      </w:r>
      <w:r>
        <w:rPr>
          <w:rFonts w:hint="cs"/>
          <w:rtl/>
        </w:rPr>
        <w:t>, כפי שנקבעו בהוראות התע"ס. הכול מתוקף חובתן לפקח על השירותים הניתנים לזקנים המגיעים למרכז היום ומתוקף השתתפותן במימון הפעילות במרכזים.</w:t>
      </w:r>
    </w:p>
    <w:p w:rsidR="00F60E90" w:rsidP="00CD7F18">
      <w:pPr>
        <w:spacing w:before="180" w:after="120" w:line="230" w:lineRule="exact"/>
        <w:ind w:left="340"/>
        <w:jc w:val="both"/>
        <w:rPr>
          <w:rFonts w:cs="FrankRuehl"/>
          <w:sz w:val="20"/>
          <w:szCs w:val="22"/>
          <w:rtl/>
        </w:rPr>
      </w:pPr>
      <w:r>
        <w:rPr>
          <w:rFonts w:cs="FrankRuehl" w:hint="cs"/>
          <w:bCs/>
          <w:spacing w:val="40"/>
          <w:sz w:val="20"/>
          <w:szCs w:val="22"/>
          <w:rtl/>
        </w:rPr>
        <w:t>עיריית קלנסווה</w:t>
      </w:r>
      <w:r>
        <w:rPr>
          <w:rFonts w:cs="FrankRuehl"/>
          <w:bCs/>
          <w:spacing w:val="40"/>
          <w:sz w:val="20"/>
          <w:szCs w:val="22"/>
          <w:rtl/>
        </w:rPr>
        <w:t>:</w:t>
      </w:r>
      <w:r>
        <w:rPr>
          <w:rFonts w:cs="FrankRuehl" w:hint="cs"/>
          <w:sz w:val="20"/>
          <w:szCs w:val="22"/>
          <w:rtl/>
        </w:rPr>
        <w:t xml:space="preserve"> על פי הסכם שחתמה העירייה בנובמבר 1995 עם העמותה למען הקשיש בעיר ועם עמותת אש"ל, היא הקצתה 2,000 מ"ר לבניית "מועדון מועשר לקשישים" שימומן מכספם של מפעל הפיס, של עמותת אש"ל ושל העמותה למען הקשיש בעיר. בהסכם התחייבה העמותה למען הקשיש "לניצול מירבי של המשאבים הקיימים בקהילה ובסביבה לשם מתן שירותים לקשישים... ולדאוג לשיפור ולהרחבת השירותים הקיימים... רשימת השירותים הנ"ל והיקפם יכללו בתכנית שתיקבע במסגרת התכנית הכוללת שתאושר על ידי אשל". עוד נקבע בהסכם</w:t>
      </w:r>
      <w:r>
        <w:rPr>
          <w:rFonts w:cs="FrankRuehl"/>
          <w:sz w:val="20"/>
          <w:szCs w:val="22"/>
          <w:rtl/>
        </w:rPr>
        <w:t xml:space="preserve"> </w:t>
      </w:r>
      <w:r>
        <w:rPr>
          <w:rFonts w:cs="FrankRuehl" w:hint="cs"/>
          <w:sz w:val="20"/>
          <w:szCs w:val="22"/>
          <w:rtl/>
        </w:rPr>
        <w:t xml:space="preserve">כי "לצורך פיקוח כללי על תפעול הבנין תוקם ועדה משותפת משלושת הצדדים אשר תבדוק את השימוש והתפעול של המועדון". ....במידה והעמותה חדלה מלהתקיים יועבר כל הרכוש שלה כולל כספיה לידי עמותה אחרת". </w:t>
      </w:r>
    </w:p>
    <w:p w:rsidR="00F60E90" w:rsidP="00CD7F18">
      <w:pPr>
        <w:spacing w:after="120" w:line="230" w:lineRule="exact"/>
        <w:ind w:left="340"/>
        <w:jc w:val="both"/>
        <w:rPr>
          <w:rFonts w:cs="FrankRuehl"/>
          <w:sz w:val="20"/>
          <w:szCs w:val="22"/>
          <w:rtl/>
        </w:rPr>
      </w:pPr>
      <w:r>
        <w:rPr>
          <w:rFonts w:cs="FrankRuehl" w:hint="cs"/>
          <w:sz w:val="20"/>
          <w:szCs w:val="22"/>
          <w:rtl/>
        </w:rPr>
        <w:t>הביקורת העלתה כי העמותה למען הקשיש הקימה על הקרקע שהקצתה לה העירייה בניין ששימש מרכז יום לזקן. העמותה הפעילה את המרכז עד 2006, המועד שבו התגלעו בינה לבין העירייה מחלוקות כספיות הנוגעות למימון הפעילויות במרכז. בשנת 2007 הגישה העמותה למען הקשיש תביעה כספית</w:t>
      </w:r>
      <w:r>
        <w:rPr>
          <w:rFonts w:cs="FrankRuehl"/>
          <w:sz w:val="20"/>
          <w:szCs w:val="22"/>
          <w:vertAlign w:val="superscript"/>
          <w:rtl/>
        </w:rPr>
        <w:footnoteReference w:id="9"/>
      </w:r>
      <w:r>
        <w:rPr>
          <w:rFonts w:cs="FrankRuehl" w:hint="cs"/>
          <w:sz w:val="20"/>
          <w:szCs w:val="22"/>
          <w:rtl/>
        </w:rPr>
        <w:t xml:space="preserve"> נגד העירייה, ומאז פסקה הפעילות במרכז היום בעיר.</w:t>
      </w:r>
    </w:p>
    <w:p w:rsidR="00F60E90" w:rsidP="000D29D8">
      <w:pPr>
        <w:spacing w:after="240" w:line="230" w:lineRule="exact"/>
        <w:ind w:left="340"/>
        <w:jc w:val="both"/>
        <w:rPr>
          <w:rFonts w:cs="FrankRuehl"/>
          <w:sz w:val="20"/>
          <w:szCs w:val="22"/>
          <w:rtl/>
        </w:rPr>
      </w:pPr>
      <w:r>
        <w:rPr>
          <w:rFonts w:cs="FrankRuehl" w:hint="cs"/>
          <w:sz w:val="20"/>
          <w:szCs w:val="22"/>
          <w:rtl/>
        </w:rPr>
        <w:t>בינואר 2014 ערכו נציגי משרד מבקר המדינה סיור במבנה שבו שוכן המרכז. בסיור נמצא כי המבנה נטוש ופרוץ, החלונות והדלתות נהרסו עקב ונדליזם וכל הציוד שהיה בו נלקח. בתוך המבנה נמצאו עשרות תיקים אישיים של זקנים ובהם מסמכים אישיים, היסטוריה רפואית ומסמכים רפואיים מבתי חולים.</w:t>
      </w:r>
    </w:p>
    <w:p w:rsidR="009B34BB" w:rsidP="009B34BB">
      <w:pPr>
        <w:pStyle w:val="tab-name"/>
        <w:rPr>
          <w:rtl/>
        </w:rPr>
      </w:pPr>
      <w:r>
        <w:rPr>
          <w:rFonts w:hint="cs"/>
          <w:rtl/>
        </w:rPr>
        <w:t>מרכז היום לקשיש בעיריית קלנסואה - נטוש ופרוץ</w:t>
      </w:r>
    </w:p>
    <w:p w:rsidR="000D29D8" w:rsidP="00CD7F18">
      <w:pPr>
        <w:spacing w:after="120" w:line="240" w:lineRule="atLeast"/>
        <w:jc w:val="center"/>
        <w:rPr>
          <w:rFonts w:cs="FrankRuehl"/>
          <w:noProof/>
          <w:sz w:val="20"/>
          <w:szCs w:val="22"/>
          <w:rtl/>
        </w:rPr>
      </w:pPr>
      <w:r>
        <w:rPr>
          <w:rFonts w:cs="FrankRuehl"/>
          <w:noProof/>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pt;height:183pt">
            <v:imagedata r:id="rId5" o:title="SDC15977"/>
          </v:shape>
        </w:pict>
      </w:r>
    </w:p>
    <w:p w:rsidR="000D29D8" w:rsidP="00CD7F18">
      <w:pPr>
        <w:spacing w:after="120" w:line="240" w:lineRule="atLeast"/>
        <w:jc w:val="center"/>
        <w:rPr>
          <w:rFonts w:cs="FrankRuehl"/>
          <w:sz w:val="20"/>
          <w:szCs w:val="22"/>
          <w:rtl/>
        </w:rPr>
      </w:pPr>
      <w:r>
        <w:rPr>
          <w:rFonts w:cs="FrankRuehl"/>
          <w:noProof/>
          <w:sz w:val="20"/>
          <w:szCs w:val="22"/>
        </w:rPr>
        <w:pict>
          <v:shape id="_x0000_i1026" type="#_x0000_t75" style="width:244pt;height:326.5pt">
            <v:imagedata r:id="rId6" o:title="SDC15939"/>
          </v:shape>
        </w:pict>
      </w:r>
    </w:p>
    <w:p w:rsidR="00F60E90" w:rsidP="00CD7F18">
      <w:pPr>
        <w:spacing w:after="120" w:line="230" w:lineRule="exact"/>
        <w:ind w:left="340"/>
        <w:jc w:val="both"/>
        <w:rPr>
          <w:rFonts w:cs="FrankRuehl"/>
          <w:sz w:val="20"/>
          <w:szCs w:val="22"/>
          <w:rtl/>
        </w:rPr>
      </w:pPr>
      <w:r>
        <w:rPr>
          <w:rFonts w:cs="FrankRuehl" w:hint="cs"/>
          <w:sz w:val="20"/>
          <w:szCs w:val="22"/>
          <w:rtl/>
        </w:rPr>
        <w:t>הביקורת העלתה כי ממועד הפסקת הפעילות במרכז, דהיינו יותר משש שנים, אין פועל בתחום העירייה מרכז יום לזקן ואין מתקיימות פעילויות לרווחתם של הזקנים.</w:t>
      </w:r>
    </w:p>
    <w:p w:rsidR="00F60E90" w:rsidP="00CD7F18">
      <w:pPr>
        <w:spacing w:after="120" w:line="230" w:lineRule="exact"/>
        <w:ind w:left="340"/>
        <w:jc w:val="both"/>
        <w:rPr>
          <w:rFonts w:cs="FrankRuehl"/>
          <w:sz w:val="20"/>
          <w:szCs w:val="22"/>
          <w:rtl/>
        </w:rPr>
      </w:pPr>
      <w:r>
        <w:rPr>
          <w:rFonts w:cs="FrankRuehl" w:hint="cs"/>
          <w:sz w:val="20"/>
          <w:szCs w:val="22"/>
          <w:rtl/>
        </w:rPr>
        <w:t xml:space="preserve">בתשובתה מיוני 2014 ציינה עיריית קלנסווה כי </w:t>
      </w:r>
      <w:r>
        <w:rPr>
          <w:rFonts w:cs="FrankRuehl"/>
          <w:sz w:val="20"/>
          <w:szCs w:val="22"/>
          <w:rtl/>
        </w:rPr>
        <w:t xml:space="preserve">בשנה האחרונה </w:t>
      </w:r>
      <w:r>
        <w:rPr>
          <w:rFonts w:cs="FrankRuehl" w:hint="cs"/>
          <w:sz w:val="20"/>
          <w:szCs w:val="22"/>
          <w:rtl/>
        </w:rPr>
        <w:t xml:space="preserve">היא </w:t>
      </w:r>
      <w:r>
        <w:rPr>
          <w:rFonts w:cs="FrankRuehl"/>
          <w:sz w:val="20"/>
          <w:szCs w:val="22"/>
          <w:rtl/>
        </w:rPr>
        <w:t xml:space="preserve">ביקשה עזרה תקציבית "מהמוסדות האחראיים לנושא הקשישים" </w:t>
      </w:r>
      <w:r>
        <w:rPr>
          <w:rFonts w:cs="FrankRuehl" w:hint="cs"/>
          <w:sz w:val="20"/>
          <w:szCs w:val="22"/>
          <w:rtl/>
        </w:rPr>
        <w:t>כדי לשפץ את</w:t>
      </w:r>
      <w:r>
        <w:rPr>
          <w:rFonts w:cs="FrankRuehl"/>
          <w:sz w:val="20"/>
          <w:szCs w:val="22"/>
          <w:rtl/>
        </w:rPr>
        <w:t xml:space="preserve"> </w:t>
      </w:r>
      <w:r>
        <w:rPr>
          <w:rFonts w:cs="FrankRuehl" w:hint="cs"/>
          <w:sz w:val="20"/>
          <w:szCs w:val="22"/>
          <w:rtl/>
        </w:rPr>
        <w:t>ה</w:t>
      </w:r>
      <w:r>
        <w:rPr>
          <w:rFonts w:cs="FrankRuehl"/>
          <w:sz w:val="20"/>
          <w:szCs w:val="22"/>
          <w:rtl/>
        </w:rPr>
        <w:t xml:space="preserve">מבנה </w:t>
      </w:r>
      <w:r>
        <w:rPr>
          <w:rFonts w:cs="FrankRuehl" w:hint="cs"/>
          <w:sz w:val="20"/>
          <w:szCs w:val="22"/>
          <w:rtl/>
        </w:rPr>
        <w:t>ולהפעילו</w:t>
      </w:r>
      <w:r>
        <w:rPr>
          <w:rFonts w:cs="FrankRuehl"/>
          <w:sz w:val="20"/>
          <w:szCs w:val="22"/>
          <w:rtl/>
        </w:rPr>
        <w:t xml:space="preserve"> מחדש לרווחת הזקנים</w:t>
      </w:r>
      <w:r>
        <w:rPr>
          <w:rFonts w:cs="FrankRuehl" w:hint="cs"/>
          <w:sz w:val="20"/>
          <w:szCs w:val="22"/>
          <w:rtl/>
        </w:rPr>
        <w:t>;</w:t>
      </w:r>
      <w:r>
        <w:rPr>
          <w:rFonts w:cs="FrankRuehl"/>
          <w:sz w:val="20"/>
          <w:szCs w:val="22"/>
          <w:rtl/>
        </w:rPr>
        <w:t xml:space="preserve"> "התשובות שהתקבלו היו חיוביות אך לצערנו הכספים טרם זרמו לקופת העירייה לשם תחילת תהליכי השיפוצים המיוחלים".</w:t>
      </w:r>
    </w:p>
    <w:p w:rsidR="00F60E90" w:rsidP="00CD7F18">
      <w:pPr>
        <w:spacing w:after="240" w:line="230" w:lineRule="exact"/>
        <w:ind w:left="340"/>
        <w:jc w:val="both"/>
        <w:rPr>
          <w:rFonts w:cs="FrankRuehl"/>
          <w:sz w:val="20"/>
          <w:szCs w:val="22"/>
          <w:rtl/>
        </w:rPr>
      </w:pPr>
      <w:r>
        <w:rPr>
          <w:rFonts w:cs="FrankRuehl" w:hint="cs"/>
          <w:sz w:val="20"/>
          <w:szCs w:val="22"/>
          <w:rtl/>
        </w:rPr>
        <w:t>משרד הרווחה מסר בתשובתו כי "מרכז היום בקלנסואה הפסיק לפעול, לאחר שהתגלו חשדות לניהול לקוי. האחריות להפעלה מחדש הינה על הרשות המקומית (עפ"י חוק שירותי הסעד) - אנו מנסים לסייע בענין."</w:t>
      </w:r>
    </w:p>
    <w:p w:rsidR="00F60E90" w:rsidP="00CD7F18">
      <w:pPr>
        <w:pStyle w:val="RESHET"/>
        <w:keepLines/>
        <w:ind w:left="567"/>
        <w:rPr>
          <w:rtl/>
        </w:rPr>
      </w:pPr>
      <w:r>
        <w:rPr>
          <w:rFonts w:hint="cs"/>
          <w:rtl/>
        </w:rPr>
        <w:t>משרד מבקר המדינה העיר לעיריית קלנסווה כי מציאות שבה מבנה שיועד למרכז יום עומד נטוש ופרוץ כבר כמה שנים וחשוף לוונדליזם ולהשחתה גם של הציוד שבתוכו, לרבות הפקרת תיקים אישיים של זקנים, מצביעה על מחדליה של העירייה בשמירה על נכסי ציבור. זו מציאות שאינה הולמת רשות ציבורית האמונה בין היתר על שלטון החוק בתחומה.</w:t>
      </w:r>
    </w:p>
    <w:p w:rsidR="00F60E90" w:rsidP="00CD7F18">
      <w:pPr>
        <w:pStyle w:val="RESHET"/>
        <w:keepLines/>
        <w:ind w:left="567"/>
        <w:rPr>
          <w:rtl/>
        </w:rPr>
      </w:pPr>
      <w:r>
        <w:rPr>
          <w:rFonts w:hint="cs"/>
          <w:rtl/>
        </w:rPr>
        <w:t>עוד העיר משרד מבקר המדינה כי הפסקת הפעלתו של מרכז היום במשך שנים אינה סבירה. ראוי שהעירייה תפעל בשיתוף עם משרד הרווחה למציאת פתרון שיאפשר מתן שירותים לרווחתם של הזקנים בעיר.</w:t>
      </w:r>
    </w:p>
    <w:p w:rsidR="00F60E90" w:rsidP="00CD7F18">
      <w:pPr>
        <w:spacing w:before="180" w:after="120" w:line="230" w:lineRule="exact"/>
        <w:ind w:left="340"/>
        <w:jc w:val="both"/>
        <w:rPr>
          <w:rFonts w:cs="FrankRuehl"/>
          <w:sz w:val="20"/>
          <w:szCs w:val="22"/>
          <w:rtl/>
        </w:rPr>
      </w:pPr>
      <w:r>
        <w:rPr>
          <w:rFonts w:cs="FrankRuehl" w:hint="cs"/>
          <w:sz w:val="20"/>
          <w:szCs w:val="22"/>
          <w:rtl/>
        </w:rPr>
        <w:t>בתשובתה מסרה עיריית קלנסווה כי "אוכלוסיית הקשישים בקלנסואה זקוקה לשירותים המגיעים לה דרך מרכז היום לקשיש... אשר נמנעו מהם מזה שנים רבות על לא עוול בכפם".</w:t>
      </w:r>
    </w:p>
    <w:p w:rsidR="00F60E90" w:rsidP="00CD7F18">
      <w:pPr>
        <w:spacing w:after="120" w:line="230" w:lineRule="exact"/>
        <w:ind w:left="340"/>
        <w:jc w:val="both"/>
        <w:rPr>
          <w:rFonts w:cs="FrankRuehl"/>
          <w:sz w:val="20"/>
          <w:szCs w:val="22"/>
          <w:rtl/>
        </w:rPr>
      </w:pPr>
      <w:r>
        <w:rPr>
          <w:rFonts w:cs="FrankRuehl" w:hint="cs"/>
          <w:sz w:val="20"/>
          <w:szCs w:val="22"/>
          <w:rtl/>
        </w:rPr>
        <w:t>בתשובתו ציין משרד הרווחה כי "ניתן לתת לזקני הישוב שירותים חלופיים במרכזי יום בסביבה הקרובה".</w:t>
      </w:r>
    </w:p>
    <w:p w:rsidR="00F60E90" w:rsidP="00CD7F18">
      <w:pPr>
        <w:spacing w:after="120" w:line="230" w:lineRule="exact"/>
        <w:ind w:left="340" w:hanging="340"/>
        <w:jc w:val="both"/>
        <w:rPr>
          <w:rFonts w:cs="FrankRuehl"/>
          <w:sz w:val="20"/>
          <w:szCs w:val="22"/>
          <w:rtl/>
        </w:rPr>
      </w:pPr>
      <w:r>
        <w:rPr>
          <w:rFonts w:cs="FrankRuehl"/>
          <w:sz w:val="20"/>
          <w:szCs w:val="22"/>
          <w:rtl/>
        </w:rPr>
        <w:t>3</w:t>
      </w:r>
      <w:r>
        <w:rPr>
          <w:rFonts w:cs="FrankRuehl" w:hint="cs"/>
          <w:sz w:val="20"/>
          <w:szCs w:val="22"/>
          <w:rtl/>
        </w:rPr>
        <w:t>.</w:t>
      </w:r>
      <w:r>
        <w:rPr>
          <w:rFonts w:cs="FrankRuehl" w:hint="cs"/>
          <w:sz w:val="20"/>
          <w:szCs w:val="22"/>
          <w:rtl/>
        </w:rPr>
        <w:tab/>
        <w:t>מפקחי השירות לזקן במשרד הרווחה מקיימים ביקורות מקצועיות על מרכזי היום ועל מידת עמידתם בתנאי התע"ס המהווים תנאי לקבלת אישור הפעלה ולהעברת תשלומים מטעם משרד הרווחה בעבור הזקנים המגיעים למרכזי היום.</w:t>
      </w:r>
      <w:r>
        <w:rPr>
          <w:rFonts w:cs="FrankRuehl"/>
          <w:sz w:val="20"/>
          <w:szCs w:val="22"/>
          <w:rtl/>
        </w:rPr>
        <w:t xml:space="preserve"> השירות לזקן אחראי למתן אישורי הפעלה </w:t>
      </w:r>
      <w:r>
        <w:rPr>
          <w:rFonts w:cs="FrankRuehl" w:hint="cs"/>
          <w:sz w:val="20"/>
          <w:szCs w:val="22"/>
          <w:rtl/>
        </w:rPr>
        <w:t xml:space="preserve">של </w:t>
      </w:r>
      <w:r>
        <w:rPr>
          <w:rFonts w:cs="FrankRuehl"/>
          <w:sz w:val="20"/>
          <w:szCs w:val="22"/>
          <w:rtl/>
        </w:rPr>
        <w:t>מרכזי היום, לתקצובם, להכשרת כוח האדם ולפיקוח עליהם. ה</w:t>
      </w:r>
      <w:r>
        <w:rPr>
          <w:rFonts w:cs="FrankRuehl" w:hint="cs"/>
          <w:sz w:val="20"/>
          <w:szCs w:val="22"/>
          <w:rtl/>
        </w:rPr>
        <w:t>שירות</w:t>
      </w:r>
      <w:r>
        <w:rPr>
          <w:rFonts w:cs="FrankRuehl"/>
          <w:sz w:val="20"/>
          <w:szCs w:val="22"/>
          <w:rtl/>
        </w:rPr>
        <w:t xml:space="preserve"> ממלא את מטלותיו אלה באמצעות תשעה מפקחים מחוזיים.</w:t>
      </w:r>
    </w:p>
    <w:p w:rsidR="00F60E90" w:rsidP="00CD7F18">
      <w:pPr>
        <w:spacing w:after="240" w:line="230" w:lineRule="exact"/>
        <w:ind w:left="340"/>
        <w:jc w:val="both"/>
        <w:rPr>
          <w:rFonts w:cs="FrankRuehl"/>
          <w:sz w:val="20"/>
          <w:szCs w:val="22"/>
          <w:rtl/>
        </w:rPr>
      </w:pPr>
      <w:r>
        <w:rPr>
          <w:rFonts w:cs="FrankRuehl" w:hint="cs"/>
          <w:sz w:val="20"/>
          <w:szCs w:val="22"/>
          <w:rtl/>
        </w:rPr>
        <w:t>הביקורת העלתה כי במהלך השנים לא נתן משרד הרווחה את דעתו להסכמים שחתמו הרשויות המקומיות עם עמותות מקומיות למען הזקן, שעניינם הקצאת קרקע להפעלת מרכזי היום. יתרה מזאת, המשרד לא התייחס לעובדה שבהסכמים אלה לא עוגנה חובתם של המפעילים לפעול על פי הנחיות התע"ס בכל הנוגע לרמה ולאיכות של השירות שהם נותנים לזקנים.</w:t>
      </w:r>
    </w:p>
    <w:p w:rsidR="00F60E90" w:rsidP="00CD7F18">
      <w:pPr>
        <w:pStyle w:val="RESHET"/>
        <w:ind w:left="567"/>
        <w:rPr>
          <w:rtl/>
        </w:rPr>
      </w:pPr>
      <w:r>
        <w:rPr>
          <w:rFonts w:hint="cs"/>
          <w:rtl/>
        </w:rPr>
        <w:t>משרד מבקר המדינה העיר למשרד הרווחה כי ראוי שינחה את הרשויות המקומיות לחתום עם המפעילים על הסכמים שבהם יוסדרו החובות והזכויות של הצדדים בכל הקשור לאופי הטיפול במרכז היום לאיכותו ולרמת פעילויותיו, והכול על פי הנחיות התע"ס.</w:t>
      </w:r>
    </w:p>
    <w:p w:rsidR="00F60E90" w:rsidP="00CD7F18">
      <w:pPr>
        <w:spacing w:before="180" w:after="120" w:line="230" w:lineRule="exact"/>
        <w:ind w:left="340" w:hanging="340"/>
        <w:jc w:val="both"/>
        <w:rPr>
          <w:rFonts w:cs="FrankRuehl"/>
          <w:sz w:val="20"/>
          <w:szCs w:val="22"/>
          <w:rtl/>
        </w:rPr>
      </w:pPr>
      <w:r>
        <w:rPr>
          <w:rFonts w:cs="FrankRuehl" w:hint="cs"/>
          <w:sz w:val="20"/>
          <w:szCs w:val="22"/>
          <w:rtl/>
        </w:rPr>
        <w:t>4.</w:t>
      </w:r>
      <w:r>
        <w:rPr>
          <w:rFonts w:cs="FrankRuehl" w:hint="cs"/>
          <w:sz w:val="20"/>
          <w:szCs w:val="22"/>
          <w:rtl/>
        </w:rPr>
        <w:tab/>
        <w:t xml:space="preserve">לצורך </w:t>
      </w:r>
      <w:r>
        <w:rPr>
          <w:rFonts w:cs="FrankRuehl"/>
          <w:sz w:val="20"/>
          <w:szCs w:val="22"/>
          <w:rtl/>
        </w:rPr>
        <w:t xml:space="preserve">קיצור </w:t>
      </w:r>
      <w:r>
        <w:rPr>
          <w:rFonts w:cs="FrankRuehl" w:hint="cs"/>
          <w:sz w:val="20"/>
          <w:szCs w:val="22"/>
          <w:rtl/>
        </w:rPr>
        <w:t>ת</w:t>
      </w:r>
      <w:r>
        <w:rPr>
          <w:rFonts w:cs="FrankRuehl"/>
          <w:sz w:val="20"/>
          <w:szCs w:val="22"/>
          <w:rtl/>
        </w:rPr>
        <w:t>הליכי עבודה בינו</w:t>
      </w:r>
      <w:r>
        <w:rPr>
          <w:rFonts w:cs="FrankRuehl" w:hint="cs"/>
          <w:sz w:val="20"/>
          <w:szCs w:val="22"/>
          <w:rtl/>
        </w:rPr>
        <w:t xml:space="preserve"> </w:t>
      </w:r>
      <w:r>
        <w:rPr>
          <w:rFonts w:cs="FrankRuehl"/>
          <w:sz w:val="20"/>
          <w:szCs w:val="22"/>
          <w:rtl/>
        </w:rPr>
        <w:t>לבין הרשויות המקומיות</w:t>
      </w:r>
      <w:r>
        <w:rPr>
          <w:rFonts w:cs="FrankRuehl" w:hint="cs"/>
          <w:sz w:val="20"/>
          <w:szCs w:val="22"/>
          <w:rtl/>
        </w:rPr>
        <w:t xml:space="preserve"> פרסם</w:t>
      </w:r>
      <w:r>
        <w:rPr>
          <w:rFonts w:cs="FrankRuehl"/>
          <w:sz w:val="20"/>
          <w:szCs w:val="22"/>
          <w:rtl/>
        </w:rPr>
        <w:t xml:space="preserve"> </w:t>
      </w:r>
      <w:r>
        <w:rPr>
          <w:rFonts w:cs="FrankRuehl" w:hint="cs"/>
          <w:sz w:val="20"/>
          <w:szCs w:val="22"/>
          <w:rtl/>
        </w:rPr>
        <w:t>משרד הרווחה</w:t>
      </w:r>
      <w:r>
        <w:rPr>
          <w:rFonts w:cs="FrankRuehl"/>
          <w:sz w:val="20"/>
          <w:szCs w:val="22"/>
          <w:rtl/>
        </w:rPr>
        <w:t xml:space="preserve"> חוזר מנכ"ל מיוחד</w:t>
      </w:r>
      <w:r>
        <w:rPr>
          <w:rFonts w:cs="FrankRuehl" w:hint="cs"/>
          <w:sz w:val="20"/>
          <w:szCs w:val="22"/>
          <w:rtl/>
        </w:rPr>
        <w:t xml:space="preserve"> (חוזר מס' 23 </w:t>
      </w:r>
      <w:r>
        <w:rPr>
          <w:rFonts w:cs="FrankRuehl"/>
          <w:sz w:val="20"/>
          <w:szCs w:val="22"/>
          <w:rtl/>
        </w:rPr>
        <w:t>מ</w:t>
      </w:r>
      <w:r>
        <w:rPr>
          <w:rFonts w:cs="FrankRuehl" w:hint="cs"/>
          <w:sz w:val="20"/>
          <w:szCs w:val="22"/>
          <w:rtl/>
        </w:rPr>
        <w:t xml:space="preserve">אוקטובר 2010), ובו הציע לרשויות המקומיות את האפשרות לחתום על ייפוי כוח, ולפיו ישלם </w:t>
      </w:r>
      <w:r>
        <w:rPr>
          <w:rFonts w:cs="FrankRuehl"/>
          <w:sz w:val="20"/>
          <w:szCs w:val="22"/>
          <w:rtl/>
        </w:rPr>
        <w:t>משרד</w:t>
      </w:r>
      <w:r>
        <w:rPr>
          <w:rFonts w:cs="FrankRuehl" w:hint="cs"/>
          <w:sz w:val="20"/>
          <w:szCs w:val="22"/>
          <w:rtl/>
        </w:rPr>
        <w:t xml:space="preserve"> הרווחה </w:t>
      </w:r>
      <w:r>
        <w:rPr>
          <w:rFonts w:cs="FrankRuehl"/>
          <w:sz w:val="20"/>
          <w:szCs w:val="22"/>
          <w:rtl/>
        </w:rPr>
        <w:t>ישירות ל</w:t>
      </w:r>
      <w:r>
        <w:rPr>
          <w:rFonts w:cs="FrankRuehl" w:hint="cs"/>
          <w:sz w:val="20"/>
          <w:szCs w:val="22"/>
          <w:rtl/>
        </w:rPr>
        <w:t xml:space="preserve">מפעילים את מלוא התמורה בעבור הפעלת </w:t>
      </w:r>
      <w:r>
        <w:rPr>
          <w:rFonts w:cs="FrankRuehl" w:hint="cs"/>
          <w:sz w:val="20"/>
          <w:szCs w:val="22"/>
          <w:rtl/>
        </w:rPr>
        <w:t>מרכזי היום. ממלוא התמורה שישלם</w:t>
      </w:r>
      <w:r>
        <w:rPr>
          <w:rFonts w:cs="FrankRuehl"/>
          <w:sz w:val="20"/>
          <w:szCs w:val="22"/>
          <w:rtl/>
        </w:rPr>
        <w:t xml:space="preserve"> המשרד</w:t>
      </w:r>
      <w:r>
        <w:rPr>
          <w:rFonts w:cs="FrankRuehl" w:hint="cs"/>
          <w:sz w:val="20"/>
          <w:szCs w:val="22"/>
          <w:rtl/>
        </w:rPr>
        <w:t xml:space="preserve"> למפעילים</w:t>
      </w:r>
      <w:r>
        <w:rPr>
          <w:rFonts w:cs="FrankRuehl"/>
          <w:sz w:val="20"/>
          <w:szCs w:val="22"/>
          <w:rtl/>
        </w:rPr>
        <w:t xml:space="preserve"> </w:t>
      </w:r>
      <w:r>
        <w:rPr>
          <w:rFonts w:cs="FrankRuehl" w:hint="cs"/>
          <w:sz w:val="20"/>
          <w:szCs w:val="22"/>
          <w:rtl/>
        </w:rPr>
        <w:t xml:space="preserve">הוא </w:t>
      </w:r>
      <w:r>
        <w:rPr>
          <w:rFonts w:cs="FrankRuehl"/>
          <w:sz w:val="20"/>
          <w:szCs w:val="22"/>
          <w:rtl/>
        </w:rPr>
        <w:t>יקזז מהרשות</w:t>
      </w:r>
      <w:r>
        <w:rPr>
          <w:rFonts w:cs="FrankRuehl" w:hint="cs"/>
          <w:sz w:val="20"/>
          <w:szCs w:val="22"/>
          <w:rtl/>
        </w:rPr>
        <w:t xml:space="preserve"> </w:t>
      </w:r>
      <w:r>
        <w:rPr>
          <w:rFonts w:cs="FrankRuehl"/>
          <w:sz w:val="20"/>
          <w:szCs w:val="22"/>
          <w:rtl/>
        </w:rPr>
        <w:t xml:space="preserve">את חלקה </w:t>
      </w:r>
      <w:r>
        <w:rPr>
          <w:rFonts w:cs="FrankRuehl" w:hint="cs"/>
          <w:sz w:val="20"/>
          <w:szCs w:val="22"/>
          <w:rtl/>
        </w:rPr>
        <w:t>על פי ה</w:t>
      </w:r>
      <w:r>
        <w:rPr>
          <w:rFonts w:cs="FrankRuehl"/>
          <w:sz w:val="20"/>
          <w:szCs w:val="22"/>
          <w:rtl/>
        </w:rPr>
        <w:t>הסדרים המקובלים בי</w:t>
      </w:r>
      <w:r>
        <w:rPr>
          <w:rFonts w:cs="FrankRuehl" w:hint="cs"/>
          <w:sz w:val="20"/>
          <w:szCs w:val="22"/>
          <w:rtl/>
        </w:rPr>
        <w:t>נה</w:t>
      </w:r>
      <w:r>
        <w:rPr>
          <w:rFonts w:cs="FrankRuehl"/>
          <w:sz w:val="20"/>
          <w:szCs w:val="22"/>
          <w:rtl/>
        </w:rPr>
        <w:t xml:space="preserve"> לבין </w:t>
      </w:r>
      <w:r>
        <w:rPr>
          <w:rFonts w:cs="FrankRuehl" w:hint="cs"/>
          <w:sz w:val="20"/>
          <w:szCs w:val="22"/>
          <w:rtl/>
        </w:rPr>
        <w:t>ה</w:t>
      </w:r>
      <w:r>
        <w:rPr>
          <w:rFonts w:cs="FrankRuehl"/>
          <w:sz w:val="20"/>
          <w:szCs w:val="22"/>
          <w:rtl/>
        </w:rPr>
        <w:t>משרד</w:t>
      </w:r>
      <w:r>
        <w:rPr>
          <w:rFonts w:cs="FrankRuehl" w:hint="cs"/>
          <w:sz w:val="20"/>
          <w:szCs w:val="22"/>
          <w:rtl/>
        </w:rPr>
        <w:t>.</w:t>
      </w:r>
    </w:p>
    <w:p w:rsidR="00F60E90" w:rsidP="00CD7F18">
      <w:pPr>
        <w:spacing w:after="120" w:line="230" w:lineRule="exact"/>
        <w:ind w:left="340"/>
        <w:jc w:val="both"/>
        <w:rPr>
          <w:rFonts w:cs="FrankRuehl"/>
          <w:sz w:val="20"/>
          <w:szCs w:val="22"/>
          <w:rtl/>
        </w:rPr>
      </w:pPr>
      <w:r>
        <w:rPr>
          <w:rFonts w:cs="FrankRuehl" w:hint="cs"/>
          <w:sz w:val="20"/>
          <w:szCs w:val="22"/>
          <w:rtl/>
        </w:rPr>
        <w:t>הביקורת העלתה כי רוב הרשויות המקומיות ייפו את כוחו של משרד הרווחה כאמור, וזאת בלי שיחזיקו בידיהן הסכמים עם העמותות המפעילות המעגנים את טיב השירות הניתן במרכזי היום.</w:t>
      </w:r>
    </w:p>
    <w:p w:rsidR="00F60E90" w:rsidP="00CD7F18">
      <w:pPr>
        <w:spacing w:after="240" w:line="230" w:lineRule="exact"/>
        <w:ind w:left="340"/>
        <w:jc w:val="both"/>
        <w:rPr>
          <w:rFonts w:cs="FrankRuehl"/>
          <w:sz w:val="20"/>
          <w:szCs w:val="22"/>
          <w:rtl/>
        </w:rPr>
      </w:pPr>
      <w:r>
        <w:rPr>
          <w:rFonts w:cs="FrankRuehl" w:hint="cs"/>
          <w:sz w:val="20"/>
          <w:szCs w:val="22"/>
          <w:rtl/>
        </w:rPr>
        <w:t>בתשובתה מסרה עיריית קריית שמונה כי על</w:t>
      </w:r>
      <w:r>
        <w:rPr>
          <w:rFonts w:cs="FrankRuehl"/>
          <w:sz w:val="20"/>
          <w:szCs w:val="22"/>
          <w:rtl/>
        </w:rPr>
        <w:t xml:space="preserve"> פי </w:t>
      </w:r>
      <w:r>
        <w:rPr>
          <w:rFonts w:cs="FrankRuehl" w:hint="cs"/>
          <w:sz w:val="20"/>
          <w:szCs w:val="22"/>
          <w:rtl/>
        </w:rPr>
        <w:t>הנחיות</w:t>
      </w:r>
      <w:r>
        <w:rPr>
          <w:rFonts w:cs="FrankRuehl"/>
          <w:sz w:val="20"/>
          <w:szCs w:val="22"/>
          <w:rtl/>
        </w:rPr>
        <w:t xml:space="preserve"> </w:t>
      </w:r>
      <w:r>
        <w:rPr>
          <w:rFonts w:cs="FrankRuehl" w:hint="cs"/>
          <w:sz w:val="20"/>
          <w:szCs w:val="22"/>
          <w:rtl/>
        </w:rPr>
        <w:t>משרד</w:t>
      </w:r>
      <w:r>
        <w:rPr>
          <w:rFonts w:cs="FrankRuehl"/>
          <w:sz w:val="20"/>
          <w:szCs w:val="22"/>
          <w:rtl/>
        </w:rPr>
        <w:t xml:space="preserve"> </w:t>
      </w:r>
      <w:r>
        <w:rPr>
          <w:rFonts w:cs="FrankRuehl" w:hint="cs"/>
          <w:sz w:val="20"/>
          <w:szCs w:val="22"/>
          <w:rtl/>
        </w:rPr>
        <w:t>הרווחה היא</w:t>
      </w:r>
      <w:r>
        <w:rPr>
          <w:rFonts w:cs="FrankRuehl"/>
          <w:sz w:val="20"/>
          <w:szCs w:val="22"/>
          <w:rtl/>
        </w:rPr>
        <w:t xml:space="preserve"> </w:t>
      </w:r>
      <w:r>
        <w:rPr>
          <w:rFonts w:cs="FrankRuehl" w:hint="cs"/>
          <w:sz w:val="20"/>
          <w:szCs w:val="22"/>
          <w:rtl/>
        </w:rPr>
        <w:t>חתמה</w:t>
      </w:r>
      <w:r>
        <w:rPr>
          <w:rFonts w:cs="FrankRuehl"/>
          <w:sz w:val="20"/>
          <w:szCs w:val="22"/>
          <w:rtl/>
        </w:rPr>
        <w:t xml:space="preserve"> </w:t>
      </w:r>
      <w:r>
        <w:rPr>
          <w:rFonts w:cs="FrankRuehl" w:hint="cs"/>
          <w:sz w:val="20"/>
          <w:szCs w:val="22"/>
          <w:rtl/>
        </w:rPr>
        <w:t>על</w:t>
      </w:r>
      <w:r>
        <w:rPr>
          <w:rFonts w:cs="FrankRuehl"/>
          <w:sz w:val="20"/>
          <w:szCs w:val="22"/>
          <w:rtl/>
        </w:rPr>
        <w:t xml:space="preserve"> </w:t>
      </w:r>
      <w:r>
        <w:rPr>
          <w:rFonts w:cs="FrankRuehl" w:hint="cs"/>
          <w:sz w:val="20"/>
          <w:szCs w:val="22"/>
          <w:rtl/>
        </w:rPr>
        <w:t>ייפוי</w:t>
      </w:r>
      <w:r>
        <w:rPr>
          <w:rFonts w:cs="FrankRuehl"/>
          <w:sz w:val="20"/>
          <w:szCs w:val="22"/>
          <w:rtl/>
        </w:rPr>
        <w:t xml:space="preserve"> </w:t>
      </w:r>
      <w:r>
        <w:rPr>
          <w:rFonts w:cs="FrankRuehl" w:hint="cs"/>
          <w:sz w:val="20"/>
          <w:szCs w:val="22"/>
          <w:rtl/>
        </w:rPr>
        <w:t>כוח</w:t>
      </w:r>
      <w:r>
        <w:rPr>
          <w:rFonts w:cs="FrankRuehl"/>
          <w:sz w:val="20"/>
          <w:szCs w:val="22"/>
          <w:rtl/>
        </w:rPr>
        <w:t xml:space="preserve"> </w:t>
      </w:r>
      <w:r>
        <w:rPr>
          <w:rFonts w:cs="FrankRuehl" w:hint="cs"/>
          <w:sz w:val="20"/>
          <w:szCs w:val="22"/>
          <w:rtl/>
        </w:rPr>
        <w:t>לעמותה</w:t>
      </w:r>
      <w:r>
        <w:rPr>
          <w:rFonts w:cs="FrankRuehl"/>
          <w:sz w:val="20"/>
          <w:szCs w:val="22"/>
          <w:rtl/>
        </w:rPr>
        <w:t xml:space="preserve"> </w:t>
      </w:r>
      <w:r>
        <w:rPr>
          <w:rFonts w:cs="FrankRuehl" w:hint="cs"/>
          <w:sz w:val="20"/>
          <w:szCs w:val="22"/>
          <w:rtl/>
        </w:rPr>
        <w:t>לשנה</w:t>
      </w:r>
      <w:r>
        <w:rPr>
          <w:rFonts w:cs="FrankRuehl"/>
          <w:sz w:val="20"/>
          <w:szCs w:val="22"/>
          <w:rtl/>
        </w:rPr>
        <w:t xml:space="preserve"> </w:t>
      </w:r>
      <w:r>
        <w:rPr>
          <w:rFonts w:cs="FrankRuehl" w:hint="cs"/>
          <w:sz w:val="20"/>
          <w:szCs w:val="22"/>
          <w:rtl/>
        </w:rPr>
        <w:t>עם</w:t>
      </w:r>
      <w:r>
        <w:rPr>
          <w:rFonts w:cs="FrankRuehl"/>
          <w:sz w:val="20"/>
          <w:szCs w:val="22"/>
          <w:rtl/>
        </w:rPr>
        <w:t xml:space="preserve"> </w:t>
      </w:r>
      <w:r>
        <w:rPr>
          <w:rFonts w:cs="FrankRuehl" w:hint="cs"/>
          <w:sz w:val="20"/>
          <w:szCs w:val="22"/>
          <w:rtl/>
        </w:rPr>
        <w:t>אפשרות</w:t>
      </w:r>
      <w:r>
        <w:rPr>
          <w:rFonts w:cs="FrankRuehl"/>
          <w:sz w:val="20"/>
          <w:szCs w:val="22"/>
          <w:rtl/>
        </w:rPr>
        <w:t xml:space="preserve"> </w:t>
      </w:r>
      <w:r>
        <w:rPr>
          <w:rFonts w:cs="FrankRuehl" w:hint="cs"/>
          <w:sz w:val="20"/>
          <w:szCs w:val="22"/>
          <w:rtl/>
        </w:rPr>
        <w:t>הארכה</w:t>
      </w:r>
      <w:r>
        <w:rPr>
          <w:rFonts w:cs="FrankRuehl"/>
          <w:sz w:val="20"/>
          <w:szCs w:val="22"/>
          <w:rtl/>
        </w:rPr>
        <w:t xml:space="preserve"> </w:t>
      </w:r>
      <w:r>
        <w:rPr>
          <w:rFonts w:cs="FrankRuehl" w:hint="cs"/>
          <w:sz w:val="20"/>
          <w:szCs w:val="22"/>
          <w:rtl/>
        </w:rPr>
        <w:t>עד</w:t>
      </w:r>
      <w:r>
        <w:rPr>
          <w:rFonts w:cs="FrankRuehl"/>
          <w:sz w:val="20"/>
          <w:szCs w:val="22"/>
          <w:rtl/>
        </w:rPr>
        <w:t xml:space="preserve"> </w:t>
      </w:r>
      <w:r>
        <w:rPr>
          <w:rFonts w:cs="FrankRuehl" w:hint="cs"/>
          <w:sz w:val="20"/>
          <w:szCs w:val="22"/>
          <w:rtl/>
        </w:rPr>
        <w:t>חמש</w:t>
      </w:r>
      <w:r>
        <w:rPr>
          <w:rFonts w:cs="FrankRuehl"/>
          <w:sz w:val="20"/>
          <w:szCs w:val="22"/>
          <w:rtl/>
        </w:rPr>
        <w:t xml:space="preserve"> </w:t>
      </w:r>
      <w:r>
        <w:rPr>
          <w:rFonts w:cs="FrankRuehl" w:hint="cs"/>
          <w:sz w:val="20"/>
          <w:szCs w:val="22"/>
          <w:rtl/>
        </w:rPr>
        <w:t>שנים העירייה הוסיפה כי היא נערכת לפרסום מכרז להפעלת מרכז היום.</w:t>
      </w:r>
    </w:p>
    <w:p w:rsidR="00F60E90" w:rsidRPr="00CD7F18" w:rsidP="00CD7F18">
      <w:pPr>
        <w:pStyle w:val="RESHET"/>
        <w:ind w:left="567"/>
        <w:rPr>
          <w:rtl/>
        </w:rPr>
      </w:pPr>
      <w:r w:rsidRPr="00CD7F18">
        <w:rPr>
          <w:rFonts w:hint="cs"/>
          <w:rtl/>
        </w:rPr>
        <w:t>לדעת משרד מבקר המדינה, לנוכח העובדה שחלק מהרשויות המקומיות הקצו קרקעות ומבנים לעמותות להפעלת מרכזי יום ולא עיגנו בהסכם את הזכויות ואת החובות של הצדדים, העברת התמורה לעמותות ישירות ממשרד הרווחה בעייתית, בייחוד בלי שיוסדר בכתב אופי הטיפול הניתן במרכז היום ואיכותו. על הרשויות המקומיות לדאוג להסדיר באופן חוקי את ההסכמים בינן לבין העמותות כדי להבטיח מתן שירות איכותי ונאות לזקנים.</w:t>
      </w:r>
    </w:p>
    <w:p w:rsidR="00F60E90" w:rsidP="00CD7F18">
      <w:pPr>
        <w:pStyle w:val="RESHET"/>
        <w:ind w:left="567"/>
        <w:rPr>
          <w:rtl/>
        </w:rPr>
      </w:pPr>
      <w:r w:rsidRPr="00CD7F18">
        <w:rPr>
          <w:rFonts w:hint="cs"/>
          <w:rtl/>
        </w:rPr>
        <w:t>משרד מבקר המדינה העיר למשרד הרווחה, המממן את הפעילויות במרכזי היום בשיתוף עם הרשויות המקומיות, כי עליו לוודא שההסכמים שהוא צד להם וההסכמים שבין הרשויות המקומיות ובין מפעילי מרכזי היום אכן מסדירים ומעגנים את כל החובות ואת כל הזכויות של הצדדים; הכול כדי להבטיח טיפול ושירות איכותיים ונאותים לזקנים.</w:t>
      </w:r>
    </w:p>
    <w:p w:rsidR="00F60E90" w:rsidP="00CD7F18">
      <w:pPr>
        <w:spacing w:before="180" w:after="120" w:line="230" w:lineRule="exact"/>
        <w:ind w:left="340"/>
        <w:jc w:val="both"/>
        <w:rPr>
          <w:rFonts w:cs="FrankRuehl"/>
          <w:sz w:val="20"/>
          <w:szCs w:val="22"/>
          <w:rtl/>
        </w:rPr>
      </w:pPr>
      <w:r>
        <w:rPr>
          <w:rFonts w:cs="FrankRuehl" w:hint="cs"/>
          <w:sz w:val="20"/>
          <w:szCs w:val="22"/>
          <w:rtl/>
        </w:rPr>
        <w:t>משרד הרווחה מסר בתשובתו כי "הפעולה להעברת האחריות למתן ייפוי כוח על-ידי הרשויות המקומיות אל המשרד, נעשתה במהלך השנים האחרונות. חוזר מנכ"ל אחרון בנושא (מס 60), הופץ לרשויות המקומיות באפריל 2014. החוזה מפרט שעל הרשות המקומית לחתום על הסכם עם מפעילי המסגרות, ובו תפורט התמורה עבור מתן השירותים". המשרד הוסיף כי הוראת התע"ס הקיימת בעניין מרכזי היום תתעדכן בזמן הקרוב.</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4"/>
        <w:rPr>
          <w:rtl/>
        </w:rPr>
      </w:pPr>
      <w:r>
        <w:rPr>
          <w:rFonts w:hint="eastAsia"/>
          <w:rtl/>
        </w:rPr>
        <w:t>מרכזי</w:t>
      </w:r>
      <w:r>
        <w:rPr>
          <w:rtl/>
        </w:rPr>
        <w:t xml:space="preserve"> </w:t>
      </w:r>
      <w:r>
        <w:rPr>
          <w:rFonts w:hint="eastAsia"/>
          <w:rtl/>
        </w:rPr>
        <w:t>יום</w:t>
      </w:r>
      <w:r>
        <w:rPr>
          <w:rtl/>
        </w:rPr>
        <w:t xml:space="preserve"> </w:t>
      </w:r>
      <w:r>
        <w:rPr>
          <w:rFonts w:hint="eastAsia"/>
          <w:rtl/>
        </w:rPr>
        <w:t>במועצות</w:t>
      </w:r>
      <w:r>
        <w:rPr>
          <w:rtl/>
        </w:rPr>
        <w:t xml:space="preserve"> </w:t>
      </w:r>
      <w:r>
        <w:rPr>
          <w:rFonts w:hint="cs"/>
          <w:rtl/>
        </w:rPr>
        <w:t>ה</w:t>
      </w:r>
      <w:r>
        <w:rPr>
          <w:rFonts w:hint="eastAsia"/>
          <w:rtl/>
        </w:rPr>
        <w:t>אזוריות</w:t>
      </w:r>
    </w:p>
    <w:p w:rsidR="00F60E90">
      <w:pPr>
        <w:spacing w:after="120" w:line="230" w:lineRule="exact"/>
        <w:jc w:val="both"/>
        <w:rPr>
          <w:rFonts w:cs="FrankRuehl"/>
          <w:sz w:val="20"/>
          <w:szCs w:val="22"/>
          <w:rtl/>
        </w:rPr>
      </w:pPr>
      <w:r>
        <w:rPr>
          <w:rFonts w:cs="FrankRuehl" w:hint="cs"/>
          <w:sz w:val="20"/>
          <w:szCs w:val="22"/>
          <w:rtl/>
        </w:rPr>
        <w:t>הוראה 4.13 בתע"ס קובעת כי הזקנים יגיעו למרכז היום ברכב המותאם למגבלותיהם שייקח אותם מפתח ביתם ויחזירם אליו.</w:t>
      </w:r>
    </w:p>
    <w:p w:rsidR="00F60E90">
      <w:pPr>
        <w:spacing w:after="120" w:line="230" w:lineRule="exact"/>
        <w:jc w:val="both"/>
        <w:rPr>
          <w:rFonts w:cs="FrankRuehl"/>
          <w:sz w:val="20"/>
          <w:szCs w:val="22"/>
          <w:rtl/>
        </w:rPr>
      </w:pPr>
      <w:r>
        <w:rPr>
          <w:rFonts w:cs="FrankRuehl" w:hint="cs"/>
          <w:sz w:val="20"/>
          <w:szCs w:val="22"/>
          <w:rtl/>
        </w:rPr>
        <w:t>על פי ההסדרים הקיימים, מרכזי היום נותנים שירותי הסעה לכל הזקנים המבקרים בהם, וההוצאות בעבור שירות זה מגולמות בדמי ההשתתפות של הזקנים ושל המוסד לביטוח לאומי המשלם בעבור זקנים נזקקי סעד.</w:t>
      </w:r>
    </w:p>
    <w:p w:rsidR="00F60E90">
      <w:pPr>
        <w:spacing w:after="120" w:line="230" w:lineRule="exact"/>
        <w:jc w:val="both"/>
        <w:rPr>
          <w:rFonts w:cs="FrankRuehl"/>
          <w:sz w:val="20"/>
          <w:szCs w:val="22"/>
          <w:rtl/>
        </w:rPr>
      </w:pPr>
      <w:r>
        <w:rPr>
          <w:rFonts w:cs="FrankRuehl" w:hint="cs"/>
          <w:sz w:val="20"/>
          <w:szCs w:val="22"/>
          <w:rtl/>
        </w:rPr>
        <w:t>בהוראות התע"ס נקבע כי רצוי שזמן ההסעה של הזקן למרכז היום לא יעלה על 40 דקות.</w:t>
      </w:r>
    </w:p>
    <w:p w:rsidR="00F60E90">
      <w:pPr>
        <w:spacing w:after="120" w:line="230" w:lineRule="exact"/>
        <w:jc w:val="both"/>
        <w:rPr>
          <w:rFonts w:cs="FrankRuehl"/>
          <w:sz w:val="20"/>
          <w:szCs w:val="22"/>
          <w:rtl/>
        </w:rPr>
      </w:pPr>
      <w:r>
        <w:rPr>
          <w:rFonts w:cs="FrankRuehl" w:hint="cs"/>
          <w:sz w:val="20"/>
          <w:szCs w:val="22"/>
          <w:rtl/>
        </w:rPr>
        <w:t>הביקורת העלתה כי במועצות האזוריות המתאפיינות בפיזור יישוביהן בשטח גאוגרפי רחב, הזקנים מתקשים להגיע למרכזי היום הן בשל משך הנסיעה הארוך והן בשל היעדר הסדר הסעה מתאים. להלן דוגמאות:</w:t>
      </w:r>
    </w:p>
    <w:p w:rsidR="00F60E90">
      <w:pPr>
        <w:spacing w:after="120" w:line="230" w:lineRule="exact"/>
        <w:jc w:val="both"/>
        <w:rPr>
          <w:rFonts w:cs="FrankRuehl"/>
          <w:sz w:val="20"/>
          <w:szCs w:val="22"/>
          <w:rtl/>
        </w:rPr>
      </w:pPr>
      <w:r>
        <w:rPr>
          <w:rFonts w:cs="FrankRuehl" w:hint="cs"/>
          <w:bCs/>
          <w:spacing w:val="40"/>
          <w:sz w:val="20"/>
          <w:szCs w:val="22"/>
          <w:rtl/>
        </w:rPr>
        <w:t>המועצה האזורית מרום הגליל</w:t>
      </w:r>
      <w:r>
        <w:rPr>
          <w:rFonts w:cs="FrankRuehl"/>
          <w:bCs/>
          <w:spacing w:val="40"/>
          <w:sz w:val="20"/>
          <w:szCs w:val="22"/>
          <w:rtl/>
        </w:rPr>
        <w:t>:</w:t>
      </w:r>
      <w:r>
        <w:rPr>
          <w:rFonts w:cs="FrankRuehl"/>
          <w:sz w:val="20"/>
          <w:szCs w:val="22"/>
          <w:rtl/>
        </w:rPr>
        <w:t xml:space="preserve"> </w:t>
      </w:r>
      <w:r>
        <w:rPr>
          <w:rFonts w:cs="FrankRuehl" w:hint="cs"/>
          <w:sz w:val="20"/>
          <w:szCs w:val="22"/>
          <w:rtl/>
        </w:rPr>
        <w:t>בתחום המועצה 23 יישובים כפריים.</w:t>
      </w:r>
      <w:r>
        <w:rPr>
          <w:rFonts w:cs="FrankRuehl"/>
          <w:sz w:val="20"/>
          <w:szCs w:val="22"/>
          <w:rtl/>
        </w:rPr>
        <w:t xml:space="preserve"> </w:t>
      </w:r>
      <w:r>
        <w:rPr>
          <w:rFonts w:cs="FrankRuehl" w:hint="cs"/>
          <w:sz w:val="20"/>
          <w:szCs w:val="22"/>
          <w:rtl/>
        </w:rPr>
        <w:t>בסוף 2013 היה מספר התושבים במועצה 11,400 ובהם כ-1,000 זקנים שמתוכם 153 זכאי סיעוד. בתחומי המועצה אין מופעל מרכז יום לזקן, וזקנים המבקשים להשתתף בפעילויות השונות מופנים למרכז יום בצפת, הנמצא במרחק של עד שעה נסיעה מחלק מהיישובים.</w:t>
      </w:r>
    </w:p>
    <w:p w:rsidR="00F60E90">
      <w:pPr>
        <w:spacing w:after="120" w:line="230" w:lineRule="exact"/>
        <w:jc w:val="both"/>
        <w:rPr>
          <w:rFonts w:cs="FrankRuehl"/>
          <w:sz w:val="20"/>
          <w:szCs w:val="22"/>
          <w:rtl/>
        </w:rPr>
      </w:pPr>
      <w:r>
        <w:rPr>
          <w:rFonts w:cs="FrankRuehl" w:hint="cs"/>
          <w:sz w:val="20"/>
          <w:szCs w:val="22"/>
          <w:rtl/>
        </w:rPr>
        <w:t>הביקורת העלתה כי 23 זקנים מהמועצה משולבים במרכז היום בצפת; אולם קיימת רשימה של 50 זקנים נוספים שאינם יכולים להגיע למרכז בגלל המרחק הרב וזמן הנסיעה הממושך.</w:t>
      </w:r>
    </w:p>
    <w:p w:rsidR="00F60E90">
      <w:pPr>
        <w:spacing w:after="120" w:line="230" w:lineRule="exact"/>
        <w:jc w:val="both"/>
        <w:rPr>
          <w:rFonts w:cs="FrankRuehl"/>
          <w:sz w:val="20"/>
          <w:szCs w:val="22"/>
          <w:rtl/>
        </w:rPr>
      </w:pPr>
      <w:r>
        <w:rPr>
          <w:rFonts w:cs="FrankRuehl" w:hint="cs"/>
          <w:sz w:val="20"/>
          <w:szCs w:val="22"/>
          <w:rtl/>
        </w:rPr>
        <w:t>בתשובתה ציינה המועצה האזורית מרום הגליל כי במועצות האזוריות המסיעות למרחקים גדולים קיימת מצוקה תקציבית במימון ההסעות.</w:t>
      </w:r>
    </w:p>
    <w:p w:rsidR="00F60E90">
      <w:pPr>
        <w:spacing w:after="120" w:line="230" w:lineRule="exact"/>
        <w:jc w:val="both"/>
        <w:rPr>
          <w:rFonts w:cs="FrankRuehl"/>
          <w:sz w:val="20"/>
          <w:szCs w:val="22"/>
          <w:rtl/>
        </w:rPr>
      </w:pPr>
      <w:r>
        <w:rPr>
          <w:rFonts w:cs="FrankRuehl" w:hint="cs"/>
          <w:bCs/>
          <w:spacing w:val="40"/>
          <w:sz w:val="20"/>
          <w:szCs w:val="22"/>
          <w:rtl/>
        </w:rPr>
        <w:t>המועצה האזורית לב השרון</w:t>
      </w:r>
      <w:r>
        <w:rPr>
          <w:rFonts w:cs="FrankRuehl"/>
          <w:bCs/>
          <w:spacing w:val="40"/>
          <w:sz w:val="20"/>
          <w:szCs w:val="22"/>
          <w:rtl/>
        </w:rPr>
        <w:t>:</w:t>
      </w:r>
      <w:r>
        <w:rPr>
          <w:rFonts w:cs="FrankRuehl" w:hint="cs"/>
          <w:sz w:val="20"/>
          <w:szCs w:val="22"/>
          <w:rtl/>
        </w:rPr>
        <w:t xml:space="preserve"> בתחום המועצה 18 יישובים כפריים. בסוף 2013 היה מספר התושבים במועצה 18,500 ובהם כ-480 זקנים שמתוכם 200 זכאי סיעוד. בתחום המועצה פועל מרכז יום אחד הממוקם במושב חרות.</w:t>
      </w:r>
    </w:p>
    <w:p w:rsidR="00F60E90">
      <w:pPr>
        <w:spacing w:after="120" w:line="230" w:lineRule="exact"/>
        <w:jc w:val="both"/>
        <w:rPr>
          <w:rFonts w:cs="FrankRuehl"/>
          <w:sz w:val="20"/>
          <w:szCs w:val="22"/>
          <w:rtl/>
        </w:rPr>
      </w:pPr>
      <w:r>
        <w:rPr>
          <w:rFonts w:cs="FrankRuehl" w:hint="cs"/>
          <w:sz w:val="20"/>
          <w:szCs w:val="22"/>
          <w:rtl/>
        </w:rPr>
        <w:t>הביקורת העלתה כי עשרה זקנים זכאי סיעוד המעוניינים להגיע למרכז היום אינם יכולים לעשות זאת בשל המרחק הגאוגרפי וזמן הנסיעה הממושך, עד שעה לכל כיוון.</w:t>
      </w:r>
    </w:p>
    <w:p w:rsidR="00F60E90">
      <w:pPr>
        <w:spacing w:after="120" w:line="230" w:lineRule="exact"/>
        <w:jc w:val="both"/>
        <w:rPr>
          <w:rFonts w:cs="FrankRuehl"/>
          <w:sz w:val="20"/>
          <w:szCs w:val="22"/>
          <w:rtl/>
        </w:rPr>
      </w:pPr>
      <w:r>
        <w:rPr>
          <w:rFonts w:cs="FrankRuehl" w:hint="cs"/>
          <w:sz w:val="20"/>
          <w:szCs w:val="22"/>
          <w:rtl/>
        </w:rPr>
        <w:t>עוד העלתה הביקורת כי בתחום המועצות המקומיות פרדסיה ואבן יהודה, הגובלות עם המועצה האזורית לב השרון, פועלים מרכזי יום היכולים לקלוט זקנים נוספים מיישובי המועצה האזורית. יתרה מזאת, ייתכן גם שזמן הנסיעה אליהם קצר יותר מזמן הנסיעה למרכז היום במושב חרות.</w:t>
      </w:r>
    </w:p>
    <w:p w:rsidR="00F60E90">
      <w:pPr>
        <w:spacing w:after="120" w:line="230" w:lineRule="exact"/>
        <w:jc w:val="both"/>
        <w:rPr>
          <w:rFonts w:cs="FrankRuehl"/>
          <w:sz w:val="20"/>
          <w:szCs w:val="22"/>
          <w:rtl/>
        </w:rPr>
      </w:pPr>
      <w:r>
        <w:rPr>
          <w:rFonts w:cs="FrankRuehl" w:hint="cs"/>
          <w:sz w:val="20"/>
          <w:szCs w:val="22"/>
          <w:rtl/>
        </w:rPr>
        <w:t>בתשובתו ציין משרד הרווחה כי ניתן להפנות זקנים למרכזי יום ביישובים סמוכים.</w:t>
      </w:r>
    </w:p>
    <w:p w:rsidR="00F60E90" w:rsidP="00CD7F18">
      <w:pPr>
        <w:spacing w:after="240" w:line="230" w:lineRule="exact"/>
        <w:jc w:val="both"/>
        <w:rPr>
          <w:rFonts w:cs="FrankRuehl"/>
          <w:sz w:val="20"/>
          <w:szCs w:val="22"/>
          <w:rtl/>
        </w:rPr>
      </w:pPr>
      <w:r>
        <w:rPr>
          <w:rFonts w:cs="FrankRuehl" w:hint="cs"/>
          <w:sz w:val="20"/>
          <w:szCs w:val="22"/>
          <w:rtl/>
        </w:rPr>
        <w:t>המועצה האזורית לב השרון מסרה בתשובתה כי היא מעוניינת "שמרכז היום הפועל בחסות המועצה יהווה בית חם ומזמין לכל קשישי המועצה הזקוקים לשירות זה" ומוסיפה: "אנו מודעים לבעיית הנגישות למקום, לאור הפיזור הגיאוגרפי". עוד מסרה המועצה כי "קשיש המעוניין לבקר במרכז יום שאינו בתחום המועצה, לא זכאי למימון ההסעות ועליו/לממן את ההסעות באופן פרטי".</w:t>
      </w:r>
    </w:p>
    <w:p w:rsidR="00F60E90" w:rsidP="00CD7F18">
      <w:pPr>
        <w:pStyle w:val="RESHET"/>
      </w:pPr>
      <w:r>
        <w:rPr>
          <w:rFonts w:hint="cs"/>
          <w:rtl/>
        </w:rPr>
        <w:t>כדי</w:t>
      </w:r>
      <w:r>
        <w:rPr>
          <w:rtl/>
        </w:rPr>
        <w:t xml:space="preserve"> לאפשר לזקנים המתגוררים בתחום המועצות האזוריות ל</w:t>
      </w:r>
      <w:r>
        <w:rPr>
          <w:rFonts w:hint="cs"/>
          <w:rtl/>
        </w:rPr>
        <w:t>י</w:t>
      </w:r>
      <w:r>
        <w:rPr>
          <w:rtl/>
        </w:rPr>
        <w:t xml:space="preserve">הנות מפעילויות </w:t>
      </w:r>
      <w:r>
        <w:rPr>
          <w:rFonts w:hint="cs"/>
          <w:rtl/>
        </w:rPr>
        <w:t>ב</w:t>
      </w:r>
      <w:r>
        <w:rPr>
          <w:rtl/>
        </w:rPr>
        <w:t>מרכזי יום</w:t>
      </w:r>
      <w:r>
        <w:rPr>
          <w:rFonts w:hint="cs"/>
          <w:rtl/>
        </w:rPr>
        <w:t xml:space="preserve"> לזקן</w:t>
      </w:r>
      <w:r>
        <w:rPr>
          <w:rtl/>
        </w:rPr>
        <w:t>, מן הראוי שמשרד הרווחה והמועצות האזוריות יפעלו למציאת פתרונות הולמים לקשיים הנובעים מהפריסה הגאוגרפית הרחבה ו</w:t>
      </w:r>
      <w:r>
        <w:rPr>
          <w:rFonts w:hint="cs"/>
          <w:rtl/>
        </w:rPr>
        <w:t>מ</w:t>
      </w:r>
      <w:r>
        <w:rPr>
          <w:rtl/>
        </w:rPr>
        <w:t xml:space="preserve">המרחקים הגדולים בין </w:t>
      </w:r>
      <w:r>
        <w:rPr>
          <w:rFonts w:hint="cs"/>
          <w:rtl/>
        </w:rPr>
        <w:t xml:space="preserve">הישובים בהם מתגוררים הזקנים לבין מרכזי היום </w:t>
      </w:r>
      <w:r>
        <w:rPr>
          <w:rtl/>
        </w:rPr>
        <w:t>במועצות האזוריות.</w:t>
      </w:r>
    </w:p>
    <w:p w:rsidR="00F60E90">
      <w:pPr>
        <w:spacing w:after="120" w:line="230" w:lineRule="exact"/>
        <w:jc w:val="both"/>
        <w:rPr>
          <w:rFonts w:cs="FrankRuehl"/>
          <w:sz w:val="20"/>
          <w:szCs w:val="22"/>
          <w:rtl/>
        </w:rPr>
      </w:pPr>
    </w:p>
    <w:p w:rsidR="009B34BB">
      <w:pPr>
        <w:spacing w:after="120" w:line="230" w:lineRule="exact"/>
        <w:jc w:val="both"/>
        <w:rPr>
          <w:rFonts w:cs="FrankRuehl"/>
          <w:sz w:val="20"/>
          <w:szCs w:val="22"/>
          <w:rtl/>
        </w:rPr>
      </w:pPr>
    </w:p>
    <w:p w:rsidR="00F60E90">
      <w:pPr>
        <w:pStyle w:val="KOT4"/>
        <w:rPr>
          <w:rtl/>
        </w:rPr>
      </w:pPr>
      <w:r>
        <w:rPr>
          <w:rFonts w:hint="cs"/>
          <w:rtl/>
        </w:rPr>
        <w:t>מועדון חברתי מועשר</w:t>
      </w:r>
    </w:p>
    <w:p w:rsidR="00F60E90">
      <w:pPr>
        <w:spacing w:after="120" w:line="230" w:lineRule="exact"/>
        <w:jc w:val="both"/>
        <w:rPr>
          <w:rFonts w:cs="FrankRuehl"/>
          <w:sz w:val="20"/>
          <w:szCs w:val="22"/>
          <w:rtl/>
        </w:rPr>
      </w:pPr>
      <w:r>
        <w:rPr>
          <w:rFonts w:cs="FrankRuehl" w:hint="cs"/>
          <w:sz w:val="20"/>
          <w:szCs w:val="22"/>
          <w:rtl/>
        </w:rPr>
        <w:t xml:space="preserve">מועדון חברתי מועשר (להלן - </w:t>
      </w:r>
      <w:r>
        <w:rPr>
          <w:rFonts w:cs="FrankRuehl"/>
          <w:sz w:val="20"/>
          <w:szCs w:val="22"/>
          <w:rtl/>
        </w:rPr>
        <w:t>מועדון מועשר</w:t>
      </w:r>
      <w:r>
        <w:rPr>
          <w:rFonts w:cs="FrankRuehl" w:hint="cs"/>
          <w:sz w:val="20"/>
          <w:szCs w:val="22"/>
          <w:rtl/>
        </w:rPr>
        <w:t>)</w:t>
      </w:r>
      <w:r>
        <w:rPr>
          <w:rFonts w:cs="FrankRuehl"/>
          <w:sz w:val="20"/>
          <w:szCs w:val="22"/>
          <w:rtl/>
        </w:rPr>
        <w:t xml:space="preserve"> </w:t>
      </w:r>
      <w:r>
        <w:rPr>
          <w:rFonts w:cs="FrankRuehl" w:hint="cs"/>
          <w:sz w:val="20"/>
          <w:szCs w:val="22"/>
          <w:rtl/>
        </w:rPr>
        <w:t xml:space="preserve">הוא מועדון חברתי המיועד לזקנים עצמאיים ותשושים קל </w:t>
      </w:r>
      <w:r>
        <w:rPr>
          <w:rFonts w:cs="FrankRuehl"/>
          <w:sz w:val="20"/>
          <w:szCs w:val="22"/>
          <w:rtl/>
        </w:rPr>
        <w:t xml:space="preserve">המספק </w:t>
      </w:r>
      <w:r>
        <w:rPr>
          <w:rFonts w:cs="FrankRuehl" w:hint="cs"/>
          <w:sz w:val="20"/>
          <w:szCs w:val="22"/>
          <w:rtl/>
        </w:rPr>
        <w:t>להם</w:t>
      </w:r>
      <w:r>
        <w:rPr>
          <w:rFonts w:cs="FrankRuehl"/>
          <w:sz w:val="20"/>
          <w:szCs w:val="22"/>
          <w:rtl/>
        </w:rPr>
        <w:t xml:space="preserve"> שירותי הסעה, ארוחות חמות וטיפול אישי</w:t>
      </w:r>
      <w:r>
        <w:rPr>
          <w:rFonts w:cs="FrankRuehl" w:hint="cs"/>
          <w:sz w:val="20"/>
          <w:szCs w:val="22"/>
          <w:rtl/>
        </w:rPr>
        <w:t>,</w:t>
      </w:r>
      <w:r>
        <w:rPr>
          <w:rFonts w:cs="FrankRuehl"/>
          <w:sz w:val="20"/>
          <w:szCs w:val="22"/>
          <w:rtl/>
        </w:rPr>
        <w:t xml:space="preserve"> נוסף לפעילויות </w:t>
      </w:r>
      <w:r>
        <w:rPr>
          <w:rFonts w:cs="FrankRuehl" w:hint="cs"/>
          <w:sz w:val="20"/>
          <w:szCs w:val="22"/>
          <w:rtl/>
        </w:rPr>
        <w:t>החברתיות. על פי הוראה 4.12 לתע"ס אמות המידה להפעלתו של המועדון הן "א. מועדון מועשר יפעל ביישוב בו כבר פועל מועדון חברתי מוכר ושניתן להסבו למועדון מועשר במלואו או בחלק מימי פעילות המועדון. ב. המועדון יאושר ברשויות אשר אין בהן מרכז יום. ג. המועדון יאושר ברשויות בהן גרים לפחות 300 זקנים".</w:t>
      </w:r>
    </w:p>
    <w:p w:rsidR="00F60E90">
      <w:pPr>
        <w:spacing w:after="120" w:line="230" w:lineRule="exact"/>
        <w:ind w:left="-1"/>
        <w:jc w:val="both"/>
        <w:rPr>
          <w:rFonts w:cs="FrankRuehl"/>
          <w:sz w:val="20"/>
          <w:szCs w:val="22"/>
          <w:rtl/>
        </w:rPr>
      </w:pPr>
      <w:r>
        <w:rPr>
          <w:rFonts w:cs="FrankRuehl" w:hint="cs"/>
          <w:bCs/>
          <w:spacing w:val="40"/>
          <w:sz w:val="20"/>
          <w:szCs w:val="22"/>
          <w:rtl/>
        </w:rPr>
        <w:t>עיריית מודיעין עילית</w:t>
      </w:r>
      <w:r>
        <w:rPr>
          <w:rFonts w:cs="FrankRuehl"/>
          <w:bCs/>
          <w:spacing w:val="40"/>
          <w:sz w:val="20"/>
          <w:szCs w:val="22"/>
          <w:rtl/>
        </w:rPr>
        <w:t>:</w:t>
      </w:r>
      <w:r>
        <w:rPr>
          <w:rFonts w:cs="FrankRuehl"/>
          <w:sz w:val="20"/>
          <w:szCs w:val="22"/>
          <w:rtl/>
        </w:rPr>
        <w:t xml:space="preserve"> בעיריית מודיעין עילית מתגוררים כ</w:t>
      </w:r>
      <w:r>
        <w:rPr>
          <w:rFonts w:cs="FrankRuehl" w:hint="cs"/>
          <w:sz w:val="20"/>
          <w:szCs w:val="22"/>
          <w:rtl/>
        </w:rPr>
        <w:t>-</w:t>
      </w:r>
      <w:r>
        <w:rPr>
          <w:rFonts w:cs="FrankRuehl"/>
          <w:sz w:val="20"/>
          <w:szCs w:val="22"/>
          <w:rtl/>
        </w:rPr>
        <w:t>65,000 תושבים</w:t>
      </w:r>
      <w:r>
        <w:rPr>
          <w:rFonts w:cs="FrankRuehl" w:hint="cs"/>
          <w:sz w:val="20"/>
          <w:szCs w:val="22"/>
          <w:rtl/>
        </w:rPr>
        <w:t xml:space="preserve"> ובהם 525 זקנים שמתוכם 185 זכאי סיעוד</w:t>
      </w:r>
      <w:r>
        <w:rPr>
          <w:rFonts w:cs="FrankRuehl"/>
          <w:sz w:val="20"/>
          <w:szCs w:val="22"/>
          <w:rtl/>
        </w:rPr>
        <w:t>.</w:t>
      </w:r>
      <w:r>
        <w:rPr>
          <w:rFonts w:cs="FrankRuehl" w:hint="cs"/>
          <w:sz w:val="20"/>
          <w:szCs w:val="22"/>
          <w:rtl/>
        </w:rPr>
        <w:t xml:space="preserve"> העיר מדורגת באשכול הנמוך ביותר לפי המדד החברתי-כלכלי של </w:t>
      </w:r>
      <w:r>
        <w:rPr>
          <w:rFonts w:cs="FrankRuehl" w:hint="cs"/>
          <w:sz w:val="20"/>
          <w:szCs w:val="22"/>
          <w:rtl/>
        </w:rPr>
        <w:t>הלמ"ס (אשכול 1). בשל אופייה הדתי של העיר פועל בתחומה מועדון מועשר אחד המיועד לנשים בלבד; לאוכלוסיית הגברים הזקנים אין כל מענה זהה בעיר.</w:t>
      </w:r>
    </w:p>
    <w:p w:rsidR="00F60E90">
      <w:pPr>
        <w:spacing w:after="120" w:line="230" w:lineRule="exact"/>
        <w:jc w:val="both"/>
        <w:rPr>
          <w:rFonts w:cs="FrankRuehl"/>
          <w:sz w:val="20"/>
          <w:szCs w:val="22"/>
          <w:rtl/>
        </w:rPr>
      </w:pPr>
      <w:r>
        <w:rPr>
          <w:rFonts w:cs="FrankRuehl" w:hint="cs"/>
          <w:sz w:val="20"/>
          <w:szCs w:val="22"/>
          <w:rtl/>
        </w:rPr>
        <w:t xml:space="preserve">בפברואר 2014 פרסם משרד הרווחה קול קורא לפתיחת מועדונים מועשרים לזקנים בקהילה. בתנאי הסף נקבע כי בתחום הרשות המקומית יגורו לפחות </w:t>
      </w:r>
      <w:r w:rsidRPr="009B34BB">
        <w:rPr>
          <w:rFonts w:cs="FrankRuehl" w:hint="cs"/>
          <w:sz w:val="20"/>
          <w:szCs w:val="22"/>
          <w:rtl/>
        </w:rPr>
        <w:t>200</w:t>
      </w:r>
      <w:r>
        <w:rPr>
          <w:rFonts w:cs="FrankRuehl" w:hint="cs"/>
          <w:sz w:val="20"/>
          <w:szCs w:val="22"/>
          <w:rtl/>
        </w:rPr>
        <w:t xml:space="preserve"> זקנים ומספר המבקרים במועדון לא יפחת מ-30 ליום פעילות. המשרד ציין כי תינתן עדיפות לרשויות מקומיות שבהן אין מופעל מרכז יום ולרשויות מקומיות המדורגות באשכולות</w:t>
      </w:r>
      <w:r>
        <w:rPr>
          <w:rFonts w:cs="FrankRuehl"/>
          <w:sz w:val="20"/>
          <w:szCs w:val="22"/>
          <w:rtl/>
        </w:rPr>
        <w:t xml:space="preserve"> 6-1 </w:t>
      </w:r>
      <w:r>
        <w:rPr>
          <w:rFonts w:cs="FrankRuehl" w:hint="cs"/>
          <w:sz w:val="20"/>
          <w:szCs w:val="22"/>
          <w:rtl/>
        </w:rPr>
        <w:t xml:space="preserve">לפי מדד הלמ"ס </w:t>
      </w:r>
      <w:r>
        <w:rPr>
          <w:rFonts w:cs="FrankRuehl"/>
          <w:sz w:val="20"/>
          <w:szCs w:val="22"/>
          <w:rtl/>
        </w:rPr>
        <w:t xml:space="preserve">או </w:t>
      </w:r>
      <w:r>
        <w:rPr>
          <w:rFonts w:cs="FrankRuehl" w:hint="cs"/>
          <w:sz w:val="20"/>
          <w:szCs w:val="22"/>
          <w:rtl/>
        </w:rPr>
        <w:t>באשכולות</w:t>
      </w:r>
      <w:r>
        <w:rPr>
          <w:rFonts w:cs="FrankRuehl"/>
          <w:sz w:val="20"/>
          <w:szCs w:val="22"/>
          <w:rtl/>
        </w:rPr>
        <w:t xml:space="preserve"> 10-7</w:t>
      </w:r>
      <w:r>
        <w:rPr>
          <w:rFonts w:cs="FrankRuehl" w:hint="cs"/>
          <w:sz w:val="20"/>
          <w:szCs w:val="22"/>
          <w:rtl/>
        </w:rPr>
        <w:t xml:space="preserve"> בשכונות שבהן רוב האוכלוסייה חיה מקצבאות ומגמלאות. הרשויות המקומיות התבקשו להגיש את בקשותיהן לפתיחת מועדון מועשר עד מרץ 2014.</w:t>
      </w:r>
    </w:p>
    <w:p w:rsidR="00F60E90">
      <w:pPr>
        <w:spacing w:after="120" w:line="230" w:lineRule="exact"/>
        <w:jc w:val="both"/>
        <w:rPr>
          <w:rFonts w:cs="FrankRuehl"/>
          <w:sz w:val="20"/>
          <w:szCs w:val="22"/>
          <w:rtl/>
        </w:rPr>
      </w:pPr>
      <w:r>
        <w:rPr>
          <w:rFonts w:cs="FrankRuehl" w:hint="cs"/>
          <w:sz w:val="20"/>
          <w:szCs w:val="22"/>
          <w:rtl/>
        </w:rPr>
        <w:t>הביקורת העלתה כי 114 רשויות מקומיות נענו לקול קורא האמור; עיריית מודיעין עילית, שבתחומה כאמור אין מפעילים מרכזי יום לזקן, לא הגישה בקשה לפתיחת מועדון מועשר.</w:t>
      </w:r>
    </w:p>
    <w:p w:rsidR="008C23BE" w:rsidRPr="008C23BE" w:rsidP="008C23BE">
      <w:pPr>
        <w:spacing w:after="120" w:line="230" w:lineRule="exact"/>
        <w:jc w:val="both"/>
        <w:rPr>
          <w:rFonts w:cs="FrankRuehl"/>
          <w:sz w:val="20"/>
          <w:szCs w:val="22"/>
          <w:rtl/>
        </w:rPr>
      </w:pPr>
      <w:r w:rsidRPr="008C23BE">
        <w:rPr>
          <w:rFonts w:cs="FrankRuehl" w:hint="cs"/>
          <w:sz w:val="20"/>
          <w:szCs w:val="22"/>
          <w:rtl/>
        </w:rPr>
        <w:t xml:space="preserve">עיריית מודיעין עילית ציינה בתשובתה מיום 28.08.14 כי "העירייה בחנה השתתפות בקול הקורא לפתיחת מועדונים מועשרים לזקנים בקהילה, אך לבסוף החליטה שלא להיענות לו מאחר וממילא לא הייתה עומדת בתנאי הסף זאת לאור העובדה שהקשישים מתנגדים לפעילות שאינה בתוך מבנה בית הכנסת מטעמים של "ביטול תורה" ועל כן ממילא מספר המבקרים לא היה מגיע ל-30 </w:t>
      </w:r>
      <w:r w:rsidR="00081A0B">
        <w:rPr>
          <w:rFonts w:cs="FrankRuehl" w:hint="cs"/>
          <w:sz w:val="20"/>
          <w:szCs w:val="22"/>
          <w:rtl/>
        </w:rPr>
        <w:t>ל</w:t>
      </w:r>
      <w:r w:rsidRPr="008C23BE">
        <w:rPr>
          <w:rFonts w:cs="FrankRuehl" w:hint="cs"/>
          <w:sz w:val="20"/>
          <w:szCs w:val="22"/>
          <w:rtl/>
        </w:rPr>
        <w:t>יום".</w:t>
      </w:r>
    </w:p>
    <w:p w:rsidR="00F60E90" w:rsidP="00CD7F18">
      <w:pPr>
        <w:spacing w:after="240" w:line="230" w:lineRule="exact"/>
        <w:jc w:val="both"/>
        <w:rPr>
          <w:rFonts w:cs="FrankRuehl"/>
          <w:sz w:val="20"/>
          <w:szCs w:val="22"/>
          <w:rtl/>
        </w:rPr>
      </w:pPr>
      <w:r>
        <w:rPr>
          <w:rFonts w:cs="FrankRuehl" w:hint="cs"/>
          <w:sz w:val="20"/>
          <w:szCs w:val="22"/>
          <w:rtl/>
        </w:rPr>
        <w:t>בתשובתו מסר משרד הרווחה כי ישנן רשויות מקומיות שפנו וביקשו להקים שני מועדונים, אחד לנשים ואחר לגברים, והן נענו בחיוב. המשרד ציין כי עיריית מודיעין עילית לא פנתה אליו בבקשה להקים מועדון מועשר.</w:t>
      </w:r>
    </w:p>
    <w:p w:rsidR="008C23BE" w:rsidRPr="00256A3F" w:rsidP="00081A0B">
      <w:pPr>
        <w:pStyle w:val="RESHET"/>
        <w:rPr>
          <w:rtl/>
        </w:rPr>
      </w:pPr>
      <w:r w:rsidRPr="00256A3F">
        <w:rPr>
          <w:rFonts w:hint="cs"/>
          <w:rtl/>
        </w:rPr>
        <w:t>לדעת משרד מבקר המדינה</w:t>
      </w:r>
      <w:r w:rsidRPr="008C23BE">
        <w:rPr>
          <w:rFonts w:hint="cs"/>
          <w:rtl/>
        </w:rPr>
        <w:t xml:space="preserve"> הואיל והעיר מודיעין עילית היא עיר חרדית עם אוכלוסיית זקנים בעלת אורח חיים שונה, ו</w:t>
      </w:r>
      <w:r w:rsidRPr="00256A3F">
        <w:rPr>
          <w:rFonts w:hint="cs"/>
          <w:rtl/>
        </w:rPr>
        <w:t xml:space="preserve">לנוכח </w:t>
      </w:r>
      <w:r w:rsidRPr="008C23BE">
        <w:rPr>
          <w:rFonts w:hint="cs"/>
          <w:rtl/>
        </w:rPr>
        <w:t>ה</w:t>
      </w:r>
      <w:r w:rsidRPr="00256A3F">
        <w:rPr>
          <w:rFonts w:hint="cs"/>
          <w:rtl/>
        </w:rPr>
        <w:t xml:space="preserve">קול </w:t>
      </w:r>
      <w:r w:rsidRPr="008C23BE">
        <w:rPr>
          <w:rFonts w:hint="cs"/>
          <w:rtl/>
        </w:rPr>
        <w:t>ה</w:t>
      </w:r>
      <w:r w:rsidRPr="00256A3F">
        <w:rPr>
          <w:rFonts w:hint="cs"/>
          <w:rtl/>
        </w:rPr>
        <w:t>קורא החדש שפרסם משרד הרווחה</w:t>
      </w:r>
      <w:r w:rsidRPr="008C23BE">
        <w:rPr>
          <w:rFonts w:hint="cs"/>
          <w:rtl/>
        </w:rPr>
        <w:t>,</w:t>
      </w:r>
      <w:r w:rsidRPr="00256A3F">
        <w:rPr>
          <w:rFonts w:hint="cs"/>
          <w:rtl/>
        </w:rPr>
        <w:t xml:space="preserve"> היה על </w:t>
      </w:r>
      <w:r w:rsidRPr="008C23BE">
        <w:rPr>
          <w:rFonts w:hint="cs"/>
          <w:rtl/>
        </w:rPr>
        <w:t>העירייה</w:t>
      </w:r>
      <w:r w:rsidRPr="00256A3F">
        <w:rPr>
          <w:rFonts w:hint="cs"/>
          <w:rtl/>
        </w:rPr>
        <w:t xml:space="preserve"> להיענות לו ולבקש מהמשרד אישור</w:t>
      </w:r>
      <w:r>
        <w:rPr>
          <w:rFonts w:hint="cs"/>
          <w:rtl/>
        </w:rPr>
        <w:t xml:space="preserve"> </w:t>
      </w:r>
      <w:r w:rsidRPr="008C23BE">
        <w:rPr>
          <w:rFonts w:hint="cs"/>
          <w:rtl/>
        </w:rPr>
        <w:t>מיוחד</w:t>
      </w:r>
      <w:r w:rsidRPr="00256A3F">
        <w:rPr>
          <w:rFonts w:hint="cs"/>
          <w:rtl/>
        </w:rPr>
        <w:t xml:space="preserve"> לפתיחת מועדון מועשר נוסף בתחו</w:t>
      </w:r>
      <w:r w:rsidR="00081A0B">
        <w:rPr>
          <w:rFonts w:hint="cs"/>
          <w:rtl/>
        </w:rPr>
        <w:t>ם שיפוטה</w:t>
      </w:r>
      <w:r w:rsidRPr="00256A3F">
        <w:rPr>
          <w:rFonts w:hint="cs"/>
          <w:rtl/>
        </w:rPr>
        <w:t xml:space="preserve"> שייתן מענה</w:t>
      </w:r>
      <w:r>
        <w:rPr>
          <w:rFonts w:hint="cs"/>
          <w:rtl/>
        </w:rPr>
        <w:t xml:space="preserve"> </w:t>
      </w:r>
      <w:r w:rsidRPr="008C23BE">
        <w:rPr>
          <w:rFonts w:hint="cs"/>
          <w:rtl/>
        </w:rPr>
        <w:t>הולם</w:t>
      </w:r>
      <w:r w:rsidRPr="00256A3F">
        <w:rPr>
          <w:rFonts w:hint="cs"/>
          <w:rtl/>
        </w:rPr>
        <w:t xml:space="preserve"> לאוכלוסיית הגברים הזקנים</w:t>
      </w:r>
      <w:r>
        <w:rPr>
          <w:rFonts w:hint="cs"/>
          <w:rtl/>
        </w:rPr>
        <w:t xml:space="preserve"> </w:t>
      </w:r>
      <w:r w:rsidRPr="008C23BE">
        <w:rPr>
          <w:rFonts w:hint="cs"/>
          <w:rtl/>
        </w:rPr>
        <w:t>ב</w:t>
      </w:r>
      <w:r w:rsidR="00081A0B">
        <w:rPr>
          <w:rFonts w:hint="cs"/>
          <w:rtl/>
        </w:rPr>
        <w:t>עיר</w:t>
      </w:r>
      <w:bookmarkStart w:id="5" w:name="_GoBack"/>
      <w:bookmarkEnd w:id="5"/>
      <w:r w:rsidRPr="00256A3F">
        <w:rPr>
          <w:rFonts w:hint="cs"/>
          <w:rtl/>
        </w:rPr>
        <w:t>.</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4"/>
        <w:rPr>
          <w:rtl/>
        </w:rPr>
      </w:pPr>
      <w:r>
        <w:rPr>
          <w:rFonts w:hint="cs"/>
          <w:rtl/>
        </w:rPr>
        <w:t xml:space="preserve">תכניות נוספות מטעם משרד הרווחה למען הזקנים </w:t>
      </w:r>
    </w:p>
    <w:p w:rsidR="00F60E90">
      <w:pPr>
        <w:pStyle w:val="KOT5"/>
        <w:rPr>
          <w:rtl/>
        </w:rPr>
      </w:pPr>
      <w:r>
        <w:rPr>
          <w:rFonts w:hint="cs"/>
          <w:rtl/>
        </w:rPr>
        <w:t>תכנית בן ממשיך - משפחה ממשיכה</w:t>
      </w:r>
    </w:p>
    <w:p w:rsidR="00F60E90">
      <w:pPr>
        <w:spacing w:after="120" w:line="230" w:lineRule="exact"/>
        <w:jc w:val="both"/>
        <w:rPr>
          <w:rFonts w:cs="FrankRuehl"/>
          <w:sz w:val="20"/>
          <w:szCs w:val="22"/>
          <w:rtl/>
        </w:rPr>
      </w:pPr>
      <w:r>
        <w:rPr>
          <w:rFonts w:cs="FrankRuehl" w:hint="cs"/>
          <w:sz w:val="20"/>
          <w:szCs w:val="22"/>
          <w:rtl/>
        </w:rPr>
        <w:t>המגזר הכפרי מאופיין במצב ייחודי שבו בעלי נחלות מזדקנים מתקשים להמשיך ולהתגורר בנחלות בגלל ריחוקם בדרך כלל של המושבים במועצות האזוריות ממערך השירותים החברתיים, הרפואיים ואחרים. לזקנים קושי פיזי להגיע למוקדי הסיוע ההופכים בלתי נגישים להם. הדבר מגביר את תלותם בבני המשפחה ובאנשי המקצוע שאינם זמינים דיים לסייע להם. לעומת זאת, הם מבקשים להמשיך ולהתגורר בנחלה ולהשאירה ברשות המשפחה.</w:t>
      </w:r>
    </w:p>
    <w:p w:rsidR="00F60E90">
      <w:pPr>
        <w:spacing w:after="120" w:line="230" w:lineRule="exact"/>
        <w:jc w:val="both"/>
        <w:rPr>
          <w:rFonts w:cs="FrankRuehl"/>
          <w:sz w:val="20"/>
          <w:szCs w:val="22"/>
          <w:rtl/>
        </w:rPr>
      </w:pPr>
      <w:r>
        <w:rPr>
          <w:rFonts w:cs="FrankRuehl" w:hint="cs"/>
          <w:sz w:val="20"/>
          <w:szCs w:val="22"/>
          <w:rtl/>
        </w:rPr>
        <w:t>מדיניות רשות מקרקעי ישראל ביחס לנחלות ביישובים החקלאיים במועצות האזוריות, הידועה כ"משטר הנחלות", מתבססת על החלטה מס' 1 של מועצת מקרקעי ישראל משנת 1965 הקובעת כי הנחלה תירשם על שם אחד היורשים היכול לקיים את הנחלה, דהיינו "בן ממשיך".</w:t>
      </w:r>
    </w:p>
    <w:p w:rsidR="00F60E90">
      <w:pPr>
        <w:spacing w:after="120" w:line="230" w:lineRule="exact"/>
        <w:jc w:val="both"/>
        <w:rPr>
          <w:rFonts w:cs="FrankRuehl"/>
          <w:sz w:val="20"/>
          <w:szCs w:val="22"/>
          <w:rtl/>
        </w:rPr>
      </w:pPr>
      <w:r>
        <w:rPr>
          <w:rFonts w:cs="FrankRuehl" w:hint="cs"/>
          <w:sz w:val="20"/>
          <w:szCs w:val="22"/>
          <w:rtl/>
        </w:rPr>
        <w:t>סוגיית הבן הממשיך החלה לצוץ בשנות השבעים והשמונים של המאה העשרים, לאחר שבכמה מהמושבים, בייחוד באזור המרכז, אוישו כל הנחלות. בתחילת שנות השמונים, עם הגעתם לבגרות של ילדי דור המייסדים משנות החמישים, הפכה לראשונה סוגיית הבן הממשיך לבעיה. בשנות התשעים, עם הפיכת הכפרים החקלאיים לאזורים המאופיינים באיכות חיים וברמת חינוך גבוהות, הפכו המושבים אטרקטיביים למגורים, וסוגיית הבן הממשיך הפכה לבעיה אקוטית עוד יותר.</w:t>
      </w:r>
    </w:p>
    <w:p w:rsidR="00F60E90">
      <w:pPr>
        <w:spacing w:after="120" w:line="230" w:lineRule="exact"/>
        <w:jc w:val="both"/>
        <w:rPr>
          <w:rFonts w:cs="FrankRuehl"/>
          <w:sz w:val="20"/>
          <w:szCs w:val="22"/>
          <w:rtl/>
        </w:rPr>
      </w:pPr>
      <w:r>
        <w:rPr>
          <w:rFonts w:cs="FrankRuehl" w:hint="cs"/>
          <w:sz w:val="20"/>
          <w:szCs w:val="22"/>
          <w:rtl/>
        </w:rPr>
        <w:t>נוכח האמור לעיל ונוכח העלייה במחירי הדיור בארץ בכלל ובמושבים בפרט, הרצון של יותר מבן אחד להיות בן ממשיך עורר סכסוכים קשים במספר הולך וגדל של משפחות. סכסוכים אלה מעמידים את המשפחה בפני משבר עמוק ומעוררים כעס, ואף תורמים להתפשטות התופעה של התעללות בזקנים והזנחתם על ידי ילדיהם.</w:t>
      </w:r>
    </w:p>
    <w:p w:rsidR="00F60E90">
      <w:pPr>
        <w:spacing w:after="120" w:line="230" w:lineRule="exact"/>
        <w:jc w:val="both"/>
        <w:rPr>
          <w:rFonts w:cs="FrankRuehl"/>
          <w:sz w:val="20"/>
          <w:szCs w:val="22"/>
          <w:rtl/>
        </w:rPr>
      </w:pPr>
      <w:r>
        <w:rPr>
          <w:rFonts w:cs="FrankRuehl" w:hint="cs"/>
          <w:sz w:val="20"/>
          <w:szCs w:val="22"/>
          <w:rtl/>
        </w:rPr>
        <w:t>כדי לטפל בבעיית הבן הממשיך במישור הפרטני, המשפחתי והקהילתי חברו יחד שלוש מחלקות במשרד הרווחה - השירות לזקן, השירות לעבודה קהילתית והשירות לרווחת הפרט והמשפחה - והכינו את התכנית בן ממשיך - משפחה ממשיכה. התכנית אמורה למנוע סבל מהזקנים ולחלץ משפחות מהמעגל ההרסני הנגרם מהבעיה האמורה, באמצעות סיוע להורים הזקנים ולילדיהם בהעברה מסודרת של הנחלה לבן הממשיך, שתמנע עימותים ביניהם והתעללות בהורים הזקנים.</w:t>
      </w:r>
    </w:p>
    <w:p w:rsidR="00F60E90">
      <w:pPr>
        <w:spacing w:after="120" w:line="230" w:lineRule="exact"/>
        <w:jc w:val="both"/>
        <w:rPr>
          <w:rFonts w:cs="FrankRuehl"/>
          <w:sz w:val="20"/>
          <w:szCs w:val="22"/>
          <w:rtl/>
        </w:rPr>
      </w:pPr>
      <w:r>
        <w:rPr>
          <w:rFonts w:cs="FrankRuehl" w:hint="cs"/>
          <w:sz w:val="20"/>
          <w:szCs w:val="22"/>
          <w:rtl/>
        </w:rPr>
        <w:t>התכנית החלה לפעול בשנת 2010 והיא מתמקדת בשני מישורים עיקריים. המישור המניעתי - מניעת סכסוכים משפחתיים באמצעות העלאת מודעות התושבים לאפשרויות ההורשה השונות ולאפשרויות הסיוע העומדות לרשותם. במסגרת התכנית נערכים כנסים אזוריים ויישוביים וסדנאות "שיח משפחתי" המסייעות לשפר את התקשורת בין בני המשפחה וכן מופעל מערך מתנדבים.</w:t>
      </w:r>
    </w:p>
    <w:p w:rsidR="00F60E90">
      <w:pPr>
        <w:spacing w:after="120" w:line="230" w:lineRule="exact"/>
        <w:jc w:val="both"/>
        <w:rPr>
          <w:rFonts w:cs="FrankRuehl"/>
          <w:sz w:val="20"/>
          <w:szCs w:val="22"/>
          <w:rtl/>
        </w:rPr>
      </w:pPr>
      <w:r>
        <w:rPr>
          <w:rFonts w:cs="FrankRuehl" w:hint="cs"/>
          <w:sz w:val="20"/>
          <w:szCs w:val="22"/>
          <w:rtl/>
        </w:rPr>
        <w:t>המישור האחר הוא המישור הטיפולי - טיפול בדרכי פעולה שונות במקרים של סכסוך ברמה פרטנית, משפחתית, קבוצתית וקהילתית. הטיפול כולל ייעוץ משפטי ראשוני, גישור, טיפול משפחתי, טיפול אישי, קבוצות תמיכה ותיאטרון קהילתי. כמו כן, במקרים של התעללות בזקנים ובחסרי ישע ניתן טיפול באמצעות פקידת סעד במסגרת החוק.</w:t>
      </w:r>
    </w:p>
    <w:p w:rsidR="00F60E90">
      <w:pPr>
        <w:spacing w:after="120" w:line="230" w:lineRule="exact"/>
        <w:jc w:val="both"/>
        <w:rPr>
          <w:rFonts w:cs="FrankRuehl"/>
          <w:sz w:val="20"/>
          <w:szCs w:val="22"/>
          <w:rtl/>
        </w:rPr>
      </w:pPr>
      <w:r>
        <w:rPr>
          <w:rFonts w:cs="FrankRuehl"/>
          <w:sz w:val="20"/>
          <w:szCs w:val="22"/>
          <w:rtl/>
        </w:rPr>
        <w:t xml:space="preserve">תכנית זו, כמו שאר </w:t>
      </w:r>
      <w:r>
        <w:rPr>
          <w:rFonts w:cs="FrankRuehl" w:hint="cs"/>
          <w:sz w:val="20"/>
          <w:szCs w:val="22"/>
          <w:rtl/>
        </w:rPr>
        <w:t>ה</w:t>
      </w:r>
      <w:r>
        <w:rPr>
          <w:rFonts w:cs="FrankRuehl"/>
          <w:sz w:val="20"/>
          <w:szCs w:val="22"/>
          <w:rtl/>
        </w:rPr>
        <w:t>תכניות</w:t>
      </w:r>
      <w:r>
        <w:rPr>
          <w:rFonts w:cs="FrankRuehl" w:hint="cs"/>
          <w:sz w:val="20"/>
          <w:szCs w:val="22"/>
          <w:rtl/>
        </w:rPr>
        <w:t xml:space="preserve"> של</w:t>
      </w:r>
      <w:r>
        <w:rPr>
          <w:rFonts w:cs="FrankRuehl"/>
          <w:sz w:val="20"/>
          <w:szCs w:val="22"/>
          <w:rtl/>
        </w:rPr>
        <w:t xml:space="preserve"> משרד הרווחה</w:t>
      </w:r>
      <w:r>
        <w:rPr>
          <w:rFonts w:cs="FrankRuehl" w:hint="cs"/>
          <w:sz w:val="20"/>
          <w:szCs w:val="22"/>
          <w:rtl/>
        </w:rPr>
        <w:t>,</w:t>
      </w:r>
      <w:r>
        <w:rPr>
          <w:rFonts w:cs="FrankRuehl"/>
          <w:sz w:val="20"/>
          <w:szCs w:val="22"/>
          <w:rtl/>
        </w:rPr>
        <w:t xml:space="preserve"> </w:t>
      </w:r>
      <w:r>
        <w:rPr>
          <w:rFonts w:cs="FrankRuehl" w:hint="cs"/>
          <w:sz w:val="20"/>
          <w:szCs w:val="22"/>
          <w:rtl/>
        </w:rPr>
        <w:t>ממומנת בשיטת המצ'ינג (תקצוב תואם), דהיינו</w:t>
      </w:r>
      <w:r>
        <w:rPr>
          <w:rFonts w:cs="FrankRuehl"/>
          <w:sz w:val="20"/>
          <w:szCs w:val="22"/>
          <w:rtl/>
        </w:rPr>
        <w:t xml:space="preserve"> 75% </w:t>
      </w:r>
      <w:r>
        <w:rPr>
          <w:rFonts w:cs="FrankRuehl" w:hint="cs"/>
          <w:sz w:val="20"/>
          <w:szCs w:val="22"/>
          <w:rtl/>
        </w:rPr>
        <w:t xml:space="preserve">מהעלות משולמים מתקציב </w:t>
      </w:r>
      <w:r>
        <w:rPr>
          <w:rFonts w:cs="FrankRuehl"/>
          <w:sz w:val="20"/>
          <w:szCs w:val="22"/>
          <w:rtl/>
        </w:rPr>
        <w:t xml:space="preserve">משרד </w:t>
      </w:r>
      <w:r>
        <w:rPr>
          <w:rFonts w:cs="FrankRuehl" w:hint="cs"/>
          <w:sz w:val="20"/>
          <w:szCs w:val="22"/>
          <w:rtl/>
        </w:rPr>
        <w:t>ה</w:t>
      </w:r>
      <w:r>
        <w:rPr>
          <w:rFonts w:cs="FrankRuehl"/>
          <w:sz w:val="20"/>
          <w:szCs w:val="22"/>
          <w:rtl/>
        </w:rPr>
        <w:t xml:space="preserve">רווחה ו-25% </w:t>
      </w:r>
      <w:r>
        <w:rPr>
          <w:rFonts w:cs="FrankRuehl" w:hint="cs"/>
          <w:sz w:val="20"/>
          <w:szCs w:val="22"/>
          <w:rtl/>
        </w:rPr>
        <w:t xml:space="preserve">הנותרים מתקציב </w:t>
      </w:r>
      <w:r>
        <w:rPr>
          <w:rFonts w:cs="FrankRuehl"/>
          <w:sz w:val="20"/>
          <w:szCs w:val="22"/>
          <w:rtl/>
        </w:rPr>
        <w:t>הרשות המקומית.</w:t>
      </w:r>
    </w:p>
    <w:p w:rsidR="00F60E90">
      <w:pPr>
        <w:spacing w:after="120" w:line="230" w:lineRule="exact"/>
        <w:jc w:val="both"/>
        <w:rPr>
          <w:rFonts w:cs="FrankRuehl"/>
          <w:sz w:val="20"/>
          <w:szCs w:val="22"/>
          <w:rtl/>
        </w:rPr>
      </w:pPr>
      <w:r>
        <w:rPr>
          <w:rFonts w:cs="FrankRuehl"/>
          <w:sz w:val="20"/>
          <w:szCs w:val="22"/>
          <w:rtl/>
        </w:rPr>
        <w:t>בשנים 201</w:t>
      </w:r>
      <w:r>
        <w:rPr>
          <w:rFonts w:cs="FrankRuehl" w:hint="cs"/>
          <w:sz w:val="20"/>
          <w:szCs w:val="22"/>
          <w:rtl/>
        </w:rPr>
        <w:t>3</w:t>
      </w:r>
      <w:r>
        <w:rPr>
          <w:rFonts w:cs="FrankRuehl"/>
          <w:sz w:val="20"/>
          <w:szCs w:val="22"/>
          <w:rtl/>
        </w:rPr>
        <w:t>-201</w:t>
      </w:r>
      <w:r>
        <w:rPr>
          <w:rFonts w:cs="FrankRuehl" w:hint="cs"/>
          <w:sz w:val="20"/>
          <w:szCs w:val="22"/>
          <w:rtl/>
        </w:rPr>
        <w:t>1</w:t>
      </w:r>
      <w:r>
        <w:rPr>
          <w:rFonts w:cs="FrankRuehl"/>
          <w:sz w:val="20"/>
          <w:szCs w:val="22"/>
          <w:rtl/>
        </w:rPr>
        <w:t xml:space="preserve"> השתתפו בתכנית</w:t>
      </w:r>
      <w:r>
        <w:rPr>
          <w:rFonts w:cs="FrankRuehl" w:hint="cs"/>
          <w:sz w:val="20"/>
          <w:szCs w:val="22"/>
          <w:rtl/>
        </w:rPr>
        <w:t xml:space="preserve"> שמונה</w:t>
      </w:r>
      <w:r>
        <w:rPr>
          <w:rFonts w:cs="FrankRuehl"/>
          <w:sz w:val="20"/>
          <w:szCs w:val="22"/>
          <w:rtl/>
        </w:rPr>
        <w:t xml:space="preserve"> מועצות אזוריות</w:t>
      </w:r>
      <w:r>
        <w:rPr>
          <w:rFonts w:cs="FrankRuehl" w:hint="cs"/>
          <w:sz w:val="20"/>
          <w:szCs w:val="22"/>
          <w:rtl/>
        </w:rPr>
        <w:t xml:space="preserve"> וטופלו 186, 216, 426 זקנים, בהתאמה. </w:t>
      </w:r>
      <w:r>
        <w:rPr>
          <w:rFonts w:cs="FrankRuehl"/>
          <w:sz w:val="20"/>
          <w:szCs w:val="22"/>
          <w:rtl/>
        </w:rPr>
        <w:t xml:space="preserve">תקציב משרד הרווחה לתכנית הסתכם </w:t>
      </w:r>
      <w:r>
        <w:rPr>
          <w:rFonts w:cs="FrankRuehl" w:hint="cs"/>
          <w:sz w:val="20"/>
          <w:szCs w:val="22"/>
          <w:rtl/>
        </w:rPr>
        <w:t>בכ-1.7 מיליון ש"ח.</w:t>
      </w:r>
    </w:p>
    <w:p w:rsidR="00F60E90">
      <w:pPr>
        <w:pStyle w:val="BodyText"/>
        <w:spacing w:before="0" w:after="240"/>
        <w:rPr>
          <w:sz w:val="20"/>
          <w:rtl/>
        </w:rPr>
      </w:pPr>
      <w:r>
        <w:rPr>
          <w:rFonts w:hint="cs"/>
          <w:sz w:val="20"/>
          <w:rtl/>
        </w:rPr>
        <w:t>להלן נתונים על תקציב משרד הרווחה לרשויות המקומיות מול ביצוע התקציב בפועל לשנת 2013, לפי הרשויות המקומיות המשתתפות (בש"ח):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1671"/>
        <w:gridCol w:w="1673"/>
        <w:gridCol w:w="1673"/>
        <w:gridCol w:w="1674"/>
      </w:tblGrid>
      <w:tr w:rsidTr="00D53830">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tblHeader/>
          <w:jc w:val="center"/>
        </w:trPr>
        <w:tc>
          <w:tcPr>
            <w:tcW w:w="1249" w:type="pct"/>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המועצה האזורית</w:t>
            </w:r>
          </w:p>
        </w:tc>
        <w:tc>
          <w:tcPr>
            <w:tcW w:w="1250" w:type="pct"/>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התקציב המתוכנן</w:t>
            </w:r>
          </w:p>
        </w:tc>
        <w:tc>
          <w:tcPr>
            <w:tcW w:w="1250" w:type="pct"/>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ביצוע התקציב</w:t>
            </w:r>
          </w:p>
        </w:tc>
        <w:tc>
          <w:tcPr>
            <w:tcW w:w="1251" w:type="pct"/>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ניצול תקציב ב-%</w:t>
            </w:r>
          </w:p>
        </w:tc>
      </w:tr>
      <w:tr w:rsidTr="00D53830">
        <w:tblPrEx>
          <w:tblW w:w="6691" w:type="dxa"/>
          <w:jc w:val="center"/>
          <w:tblLook w:val="04A0"/>
        </w:tblPrEx>
        <w:trPr>
          <w:jc w:val="center"/>
        </w:trPr>
        <w:tc>
          <w:tcPr>
            <w:tcW w:w="1249" w:type="pct"/>
            <w:tcBorders>
              <w:top w:val="single" w:sz="12" w:space="0" w:color="auto"/>
            </w:tcBorders>
          </w:tcPr>
          <w:p w:rsidR="00D53830">
            <w:pPr>
              <w:spacing w:before="40" w:after="40" w:line="220" w:lineRule="exact"/>
              <w:rPr>
                <w:rFonts w:cs="FrankRuehl"/>
                <w:sz w:val="18"/>
                <w:szCs w:val="20"/>
                <w:rtl/>
              </w:rPr>
            </w:pPr>
            <w:r>
              <w:rPr>
                <w:rFonts w:cs="FrankRuehl" w:hint="cs"/>
                <w:sz w:val="18"/>
                <w:szCs w:val="20"/>
                <w:rtl/>
              </w:rPr>
              <w:t>חוף אשקלון</w:t>
            </w:r>
          </w:p>
        </w:tc>
        <w:tc>
          <w:tcPr>
            <w:tcW w:w="1250" w:type="pct"/>
            <w:tcBorders>
              <w:top w:val="single" w:sz="12" w:space="0" w:color="auto"/>
            </w:tcBorders>
          </w:tcPr>
          <w:p w:rsidR="00D53830">
            <w:pPr>
              <w:spacing w:before="40" w:after="40" w:line="220" w:lineRule="exact"/>
              <w:ind w:left="397"/>
              <w:rPr>
                <w:rFonts w:cs="FrankRuehl"/>
                <w:sz w:val="18"/>
                <w:szCs w:val="20"/>
                <w:rtl/>
              </w:rPr>
            </w:pPr>
            <w:r>
              <w:rPr>
                <w:rFonts w:cs="FrankRuehl" w:hint="cs"/>
                <w:sz w:val="18"/>
                <w:szCs w:val="20"/>
                <w:rtl/>
              </w:rPr>
              <w:t>80,000</w:t>
            </w:r>
          </w:p>
        </w:tc>
        <w:tc>
          <w:tcPr>
            <w:tcW w:w="1250" w:type="pct"/>
            <w:tcBorders>
              <w:top w:val="single" w:sz="12" w:space="0" w:color="auto"/>
            </w:tcBorders>
          </w:tcPr>
          <w:p w:rsidR="00D53830">
            <w:pPr>
              <w:spacing w:before="40" w:after="40" w:line="220" w:lineRule="exact"/>
              <w:ind w:left="397"/>
              <w:rPr>
                <w:rFonts w:cs="FrankRuehl"/>
                <w:sz w:val="18"/>
                <w:szCs w:val="20"/>
                <w:rtl/>
              </w:rPr>
            </w:pPr>
            <w:r>
              <w:rPr>
                <w:rFonts w:cs="FrankRuehl" w:hint="cs"/>
                <w:sz w:val="18"/>
                <w:szCs w:val="20"/>
                <w:rtl/>
              </w:rPr>
              <w:t>126,240</w:t>
            </w:r>
          </w:p>
        </w:tc>
        <w:tc>
          <w:tcPr>
            <w:tcW w:w="1251" w:type="pct"/>
            <w:tcBorders>
              <w:top w:val="single" w:sz="12" w:space="0" w:color="auto"/>
            </w:tcBorders>
          </w:tcPr>
          <w:p w:rsidR="00D53830">
            <w:pPr>
              <w:spacing w:before="40" w:after="40" w:line="220" w:lineRule="exact"/>
              <w:ind w:left="397"/>
              <w:rPr>
                <w:rFonts w:cs="FrankRuehl"/>
                <w:sz w:val="18"/>
                <w:szCs w:val="20"/>
                <w:rtl/>
              </w:rPr>
            </w:pPr>
            <w:r>
              <w:rPr>
                <w:rFonts w:cs="FrankRuehl" w:hint="cs"/>
                <w:sz w:val="18"/>
                <w:szCs w:val="20"/>
                <w:rtl/>
              </w:rPr>
              <w:t>157</w:t>
            </w:r>
          </w:p>
        </w:tc>
      </w:tr>
      <w:tr w:rsidTr="00D53830">
        <w:tblPrEx>
          <w:tblW w:w="6691" w:type="dxa"/>
          <w:jc w:val="center"/>
          <w:tblLook w:val="04A0"/>
        </w:tblPrEx>
        <w:trPr>
          <w:jc w:val="center"/>
        </w:trPr>
        <w:tc>
          <w:tcPr>
            <w:tcW w:w="1249" w:type="pct"/>
          </w:tcPr>
          <w:p w:rsidR="00D53830">
            <w:pPr>
              <w:spacing w:before="40" w:after="40" w:line="220" w:lineRule="exact"/>
              <w:rPr>
                <w:rFonts w:cs="FrankRuehl"/>
                <w:sz w:val="18"/>
                <w:szCs w:val="20"/>
                <w:rtl/>
              </w:rPr>
            </w:pPr>
            <w:r>
              <w:rPr>
                <w:rFonts w:cs="FrankRuehl" w:hint="cs"/>
                <w:sz w:val="18"/>
                <w:szCs w:val="20"/>
                <w:rtl/>
              </w:rPr>
              <w:t>דרום השרון</w:t>
            </w:r>
          </w:p>
        </w:tc>
        <w:tc>
          <w:tcPr>
            <w:tcW w:w="1250" w:type="pct"/>
          </w:tcPr>
          <w:p w:rsidR="00D53830">
            <w:pPr>
              <w:spacing w:before="40" w:after="40" w:line="220" w:lineRule="exact"/>
              <w:ind w:left="397"/>
              <w:rPr>
                <w:rFonts w:cs="FrankRuehl"/>
                <w:sz w:val="18"/>
                <w:szCs w:val="20"/>
                <w:rtl/>
              </w:rPr>
            </w:pPr>
            <w:r>
              <w:rPr>
                <w:rFonts w:cs="FrankRuehl" w:hint="cs"/>
                <w:sz w:val="18"/>
                <w:szCs w:val="20"/>
                <w:rtl/>
              </w:rPr>
              <w:t>84,000</w:t>
            </w:r>
          </w:p>
        </w:tc>
        <w:tc>
          <w:tcPr>
            <w:tcW w:w="1250" w:type="pct"/>
          </w:tcPr>
          <w:p w:rsidR="00D53830">
            <w:pPr>
              <w:spacing w:before="40" w:after="40" w:line="220" w:lineRule="exact"/>
              <w:ind w:left="397"/>
              <w:rPr>
                <w:rFonts w:cs="FrankRuehl"/>
                <w:sz w:val="18"/>
                <w:szCs w:val="20"/>
                <w:rtl/>
              </w:rPr>
            </w:pPr>
            <w:r>
              <w:rPr>
                <w:rFonts w:cs="FrankRuehl" w:hint="cs"/>
                <w:sz w:val="18"/>
                <w:szCs w:val="20"/>
                <w:rtl/>
              </w:rPr>
              <w:t>213,162</w:t>
            </w:r>
          </w:p>
        </w:tc>
        <w:tc>
          <w:tcPr>
            <w:tcW w:w="1251" w:type="pct"/>
          </w:tcPr>
          <w:p w:rsidR="00D53830">
            <w:pPr>
              <w:spacing w:before="40" w:after="40" w:line="220" w:lineRule="exact"/>
              <w:ind w:left="397"/>
              <w:rPr>
                <w:rFonts w:cs="FrankRuehl"/>
                <w:sz w:val="18"/>
                <w:szCs w:val="20"/>
                <w:rtl/>
              </w:rPr>
            </w:pPr>
            <w:r>
              <w:rPr>
                <w:rFonts w:cs="FrankRuehl" w:hint="cs"/>
                <w:sz w:val="18"/>
                <w:szCs w:val="20"/>
                <w:rtl/>
              </w:rPr>
              <w:t>253</w:t>
            </w:r>
          </w:p>
        </w:tc>
      </w:tr>
      <w:tr w:rsidTr="00D53830">
        <w:tblPrEx>
          <w:tblW w:w="6691" w:type="dxa"/>
          <w:jc w:val="center"/>
          <w:tblLook w:val="04A0"/>
        </w:tblPrEx>
        <w:trPr>
          <w:jc w:val="center"/>
        </w:trPr>
        <w:tc>
          <w:tcPr>
            <w:tcW w:w="1249" w:type="pct"/>
          </w:tcPr>
          <w:p w:rsidR="00D53830">
            <w:pPr>
              <w:spacing w:before="40" w:after="40" w:line="220" w:lineRule="exact"/>
              <w:rPr>
                <w:rFonts w:cs="FrankRuehl"/>
                <w:sz w:val="18"/>
                <w:szCs w:val="20"/>
                <w:rtl/>
              </w:rPr>
            </w:pPr>
            <w:r>
              <w:rPr>
                <w:rFonts w:cs="FrankRuehl" w:hint="cs"/>
                <w:sz w:val="18"/>
                <w:szCs w:val="20"/>
                <w:rtl/>
              </w:rPr>
              <w:t>חוף השרון</w:t>
            </w:r>
          </w:p>
        </w:tc>
        <w:tc>
          <w:tcPr>
            <w:tcW w:w="1250" w:type="pct"/>
          </w:tcPr>
          <w:p w:rsidR="00D53830">
            <w:pPr>
              <w:spacing w:before="40" w:after="40" w:line="220" w:lineRule="exact"/>
              <w:ind w:left="397"/>
              <w:rPr>
                <w:rFonts w:cs="FrankRuehl"/>
                <w:sz w:val="18"/>
                <w:szCs w:val="20"/>
                <w:rtl/>
              </w:rPr>
            </w:pPr>
            <w:r>
              <w:rPr>
                <w:rFonts w:cs="FrankRuehl" w:hint="cs"/>
                <w:sz w:val="18"/>
                <w:szCs w:val="20"/>
                <w:rtl/>
              </w:rPr>
              <w:t>70,000</w:t>
            </w:r>
          </w:p>
        </w:tc>
        <w:tc>
          <w:tcPr>
            <w:tcW w:w="1250" w:type="pct"/>
          </w:tcPr>
          <w:p w:rsidR="00D53830">
            <w:pPr>
              <w:spacing w:before="40" w:after="40" w:line="220" w:lineRule="exact"/>
              <w:ind w:left="397"/>
              <w:rPr>
                <w:rFonts w:cs="FrankRuehl"/>
                <w:sz w:val="18"/>
                <w:szCs w:val="20"/>
                <w:rtl/>
              </w:rPr>
            </w:pPr>
            <w:r>
              <w:rPr>
                <w:rFonts w:cs="FrankRuehl" w:hint="cs"/>
                <w:sz w:val="18"/>
                <w:szCs w:val="20"/>
                <w:rtl/>
              </w:rPr>
              <w:t>76,041</w:t>
            </w:r>
          </w:p>
        </w:tc>
        <w:tc>
          <w:tcPr>
            <w:tcW w:w="1251" w:type="pct"/>
          </w:tcPr>
          <w:p w:rsidR="00D53830">
            <w:pPr>
              <w:spacing w:before="40" w:after="40" w:line="220" w:lineRule="exact"/>
              <w:ind w:left="397"/>
              <w:rPr>
                <w:rFonts w:cs="FrankRuehl"/>
                <w:sz w:val="18"/>
                <w:szCs w:val="20"/>
                <w:rtl/>
              </w:rPr>
            </w:pPr>
            <w:r>
              <w:rPr>
                <w:rFonts w:cs="FrankRuehl" w:hint="cs"/>
                <w:sz w:val="18"/>
                <w:szCs w:val="20"/>
                <w:rtl/>
              </w:rPr>
              <w:t>108</w:t>
            </w:r>
          </w:p>
        </w:tc>
      </w:tr>
      <w:tr w:rsidTr="00D53830">
        <w:tblPrEx>
          <w:tblW w:w="6691" w:type="dxa"/>
          <w:jc w:val="center"/>
          <w:tblLook w:val="04A0"/>
        </w:tblPrEx>
        <w:trPr>
          <w:jc w:val="center"/>
        </w:trPr>
        <w:tc>
          <w:tcPr>
            <w:tcW w:w="1249" w:type="pct"/>
          </w:tcPr>
          <w:p w:rsidR="00D53830">
            <w:pPr>
              <w:spacing w:before="40" w:after="40" w:line="220" w:lineRule="exact"/>
              <w:rPr>
                <w:rFonts w:cs="FrankRuehl"/>
                <w:sz w:val="18"/>
                <w:szCs w:val="20"/>
                <w:rtl/>
              </w:rPr>
            </w:pPr>
            <w:r>
              <w:rPr>
                <w:rFonts w:cs="FrankRuehl" w:hint="cs"/>
                <w:sz w:val="18"/>
                <w:szCs w:val="20"/>
                <w:rtl/>
              </w:rPr>
              <w:t>חבל מודיעין</w:t>
            </w:r>
          </w:p>
        </w:tc>
        <w:tc>
          <w:tcPr>
            <w:tcW w:w="1250" w:type="pct"/>
          </w:tcPr>
          <w:p w:rsidR="00D53830">
            <w:pPr>
              <w:spacing w:before="40" w:after="40" w:line="220" w:lineRule="exact"/>
              <w:ind w:left="397"/>
              <w:rPr>
                <w:rFonts w:cs="FrankRuehl"/>
                <w:sz w:val="18"/>
                <w:szCs w:val="20"/>
                <w:rtl/>
              </w:rPr>
            </w:pPr>
            <w:r>
              <w:rPr>
                <w:rFonts w:cs="FrankRuehl" w:hint="cs"/>
                <w:sz w:val="18"/>
                <w:szCs w:val="20"/>
                <w:rtl/>
              </w:rPr>
              <w:t>85,000</w:t>
            </w:r>
          </w:p>
        </w:tc>
        <w:tc>
          <w:tcPr>
            <w:tcW w:w="1250" w:type="pct"/>
          </w:tcPr>
          <w:p w:rsidR="00D53830">
            <w:pPr>
              <w:spacing w:before="40" w:after="40" w:line="220" w:lineRule="exact"/>
              <w:ind w:left="397"/>
              <w:rPr>
                <w:rFonts w:cs="FrankRuehl"/>
                <w:sz w:val="18"/>
                <w:szCs w:val="20"/>
                <w:rtl/>
              </w:rPr>
            </w:pPr>
            <w:r>
              <w:rPr>
                <w:rFonts w:cs="FrankRuehl" w:hint="cs"/>
                <w:sz w:val="18"/>
                <w:szCs w:val="20"/>
                <w:rtl/>
              </w:rPr>
              <w:t>170,291</w:t>
            </w:r>
          </w:p>
        </w:tc>
        <w:tc>
          <w:tcPr>
            <w:tcW w:w="1251" w:type="pct"/>
          </w:tcPr>
          <w:p w:rsidR="00D53830">
            <w:pPr>
              <w:spacing w:before="40" w:after="40" w:line="220" w:lineRule="exact"/>
              <w:ind w:left="397"/>
              <w:rPr>
                <w:rFonts w:cs="FrankRuehl"/>
                <w:sz w:val="18"/>
                <w:szCs w:val="20"/>
                <w:rtl/>
              </w:rPr>
            </w:pPr>
            <w:r>
              <w:rPr>
                <w:rFonts w:cs="FrankRuehl" w:hint="cs"/>
                <w:sz w:val="18"/>
                <w:szCs w:val="20"/>
                <w:rtl/>
              </w:rPr>
              <w:t>200</w:t>
            </w:r>
          </w:p>
        </w:tc>
      </w:tr>
      <w:tr w:rsidTr="00D53830">
        <w:tblPrEx>
          <w:tblW w:w="6691" w:type="dxa"/>
          <w:jc w:val="center"/>
          <w:tblLook w:val="04A0"/>
        </w:tblPrEx>
        <w:trPr>
          <w:jc w:val="center"/>
        </w:trPr>
        <w:tc>
          <w:tcPr>
            <w:tcW w:w="1249" w:type="pct"/>
          </w:tcPr>
          <w:p w:rsidR="00D53830">
            <w:pPr>
              <w:spacing w:before="40" w:after="40" w:line="220" w:lineRule="exact"/>
              <w:rPr>
                <w:rFonts w:cs="FrankRuehl"/>
                <w:sz w:val="18"/>
                <w:szCs w:val="20"/>
                <w:rtl/>
              </w:rPr>
            </w:pPr>
            <w:r>
              <w:rPr>
                <w:rFonts w:cs="FrankRuehl" w:hint="cs"/>
                <w:sz w:val="18"/>
                <w:szCs w:val="20"/>
                <w:rtl/>
              </w:rPr>
              <w:t>עמק חפר</w:t>
            </w:r>
          </w:p>
        </w:tc>
        <w:tc>
          <w:tcPr>
            <w:tcW w:w="1250" w:type="pct"/>
          </w:tcPr>
          <w:p w:rsidR="00D53830">
            <w:pPr>
              <w:spacing w:before="40" w:after="40" w:line="220" w:lineRule="exact"/>
              <w:ind w:left="397"/>
              <w:rPr>
                <w:rFonts w:cs="FrankRuehl"/>
                <w:sz w:val="18"/>
                <w:szCs w:val="20"/>
                <w:rtl/>
              </w:rPr>
            </w:pPr>
            <w:r>
              <w:rPr>
                <w:rFonts w:cs="FrankRuehl" w:hint="cs"/>
                <w:sz w:val="18"/>
                <w:szCs w:val="20"/>
                <w:rtl/>
              </w:rPr>
              <w:t>85,000</w:t>
            </w:r>
          </w:p>
        </w:tc>
        <w:tc>
          <w:tcPr>
            <w:tcW w:w="1250" w:type="pct"/>
          </w:tcPr>
          <w:p w:rsidR="00D53830">
            <w:pPr>
              <w:spacing w:before="40" w:after="40" w:line="220" w:lineRule="exact"/>
              <w:ind w:left="397"/>
              <w:rPr>
                <w:rFonts w:cs="FrankRuehl"/>
                <w:sz w:val="18"/>
                <w:szCs w:val="20"/>
                <w:rtl/>
              </w:rPr>
            </w:pPr>
            <w:r>
              <w:rPr>
                <w:rFonts w:cs="FrankRuehl" w:hint="cs"/>
                <w:sz w:val="18"/>
                <w:szCs w:val="20"/>
                <w:rtl/>
              </w:rPr>
              <w:t>126,981</w:t>
            </w:r>
          </w:p>
        </w:tc>
        <w:tc>
          <w:tcPr>
            <w:tcW w:w="1251" w:type="pct"/>
          </w:tcPr>
          <w:p w:rsidR="00D53830">
            <w:pPr>
              <w:spacing w:before="40" w:after="40" w:line="220" w:lineRule="exact"/>
              <w:ind w:left="397"/>
              <w:rPr>
                <w:rFonts w:cs="FrankRuehl"/>
                <w:sz w:val="18"/>
                <w:szCs w:val="20"/>
                <w:rtl/>
              </w:rPr>
            </w:pPr>
            <w:r>
              <w:rPr>
                <w:rFonts w:cs="FrankRuehl" w:hint="cs"/>
                <w:sz w:val="18"/>
                <w:szCs w:val="20"/>
                <w:rtl/>
              </w:rPr>
              <w:t>149</w:t>
            </w:r>
          </w:p>
        </w:tc>
      </w:tr>
      <w:tr w:rsidTr="00D53830">
        <w:tblPrEx>
          <w:tblW w:w="6691" w:type="dxa"/>
          <w:jc w:val="center"/>
          <w:tblLook w:val="04A0"/>
        </w:tblPrEx>
        <w:trPr>
          <w:jc w:val="center"/>
        </w:trPr>
        <w:tc>
          <w:tcPr>
            <w:tcW w:w="1249" w:type="pct"/>
          </w:tcPr>
          <w:p w:rsidR="00D53830">
            <w:pPr>
              <w:spacing w:before="40" w:after="40" w:line="220" w:lineRule="exact"/>
              <w:rPr>
                <w:rFonts w:cs="FrankRuehl"/>
                <w:sz w:val="18"/>
                <w:szCs w:val="20"/>
                <w:rtl/>
              </w:rPr>
            </w:pPr>
            <w:r>
              <w:rPr>
                <w:rFonts w:cs="FrankRuehl" w:hint="cs"/>
                <w:sz w:val="18"/>
                <w:szCs w:val="20"/>
                <w:rtl/>
              </w:rPr>
              <w:t>חוף הכרמל</w:t>
            </w:r>
          </w:p>
        </w:tc>
        <w:tc>
          <w:tcPr>
            <w:tcW w:w="1250" w:type="pct"/>
          </w:tcPr>
          <w:p w:rsidR="00D53830">
            <w:pPr>
              <w:spacing w:before="40" w:after="40" w:line="220" w:lineRule="exact"/>
              <w:ind w:left="397"/>
              <w:rPr>
                <w:rFonts w:cs="FrankRuehl"/>
                <w:sz w:val="18"/>
                <w:szCs w:val="20"/>
                <w:rtl/>
              </w:rPr>
            </w:pPr>
            <w:r>
              <w:rPr>
                <w:rFonts w:cs="FrankRuehl" w:hint="cs"/>
                <w:sz w:val="18"/>
                <w:szCs w:val="20"/>
                <w:rtl/>
              </w:rPr>
              <w:t>80,000</w:t>
            </w:r>
          </w:p>
        </w:tc>
        <w:tc>
          <w:tcPr>
            <w:tcW w:w="1250" w:type="pct"/>
          </w:tcPr>
          <w:p w:rsidR="00D53830">
            <w:pPr>
              <w:spacing w:before="40" w:after="40" w:line="220" w:lineRule="exact"/>
              <w:ind w:left="397"/>
              <w:rPr>
                <w:rFonts w:cs="FrankRuehl"/>
                <w:sz w:val="18"/>
                <w:szCs w:val="20"/>
                <w:rtl/>
              </w:rPr>
            </w:pPr>
            <w:r>
              <w:rPr>
                <w:rFonts w:cs="FrankRuehl" w:hint="cs"/>
                <w:sz w:val="18"/>
                <w:szCs w:val="20"/>
                <w:rtl/>
              </w:rPr>
              <w:t>104,535</w:t>
            </w:r>
          </w:p>
        </w:tc>
        <w:tc>
          <w:tcPr>
            <w:tcW w:w="1251" w:type="pct"/>
          </w:tcPr>
          <w:p w:rsidR="00D53830">
            <w:pPr>
              <w:spacing w:before="40" w:after="40" w:line="220" w:lineRule="exact"/>
              <w:ind w:left="397"/>
              <w:rPr>
                <w:rFonts w:cs="FrankRuehl"/>
                <w:sz w:val="18"/>
                <w:szCs w:val="20"/>
                <w:rtl/>
              </w:rPr>
            </w:pPr>
            <w:r>
              <w:rPr>
                <w:rFonts w:cs="FrankRuehl" w:hint="cs"/>
                <w:sz w:val="18"/>
                <w:szCs w:val="20"/>
                <w:rtl/>
              </w:rPr>
              <w:t>130</w:t>
            </w:r>
          </w:p>
        </w:tc>
      </w:tr>
      <w:tr w:rsidTr="00D53830">
        <w:tblPrEx>
          <w:tblW w:w="6691" w:type="dxa"/>
          <w:jc w:val="center"/>
          <w:tblLook w:val="04A0"/>
        </w:tblPrEx>
        <w:trPr>
          <w:jc w:val="center"/>
        </w:trPr>
        <w:tc>
          <w:tcPr>
            <w:tcW w:w="1249" w:type="pct"/>
          </w:tcPr>
          <w:p w:rsidR="00D53830">
            <w:pPr>
              <w:spacing w:before="40" w:after="40" w:line="220" w:lineRule="exact"/>
              <w:rPr>
                <w:rFonts w:cs="FrankRuehl"/>
                <w:sz w:val="18"/>
                <w:szCs w:val="20"/>
                <w:rtl/>
              </w:rPr>
            </w:pPr>
            <w:r>
              <w:rPr>
                <w:rFonts w:cs="FrankRuehl" w:hint="cs"/>
                <w:sz w:val="18"/>
                <w:szCs w:val="20"/>
                <w:rtl/>
              </w:rPr>
              <w:t>מעלה יוסף</w:t>
            </w:r>
          </w:p>
        </w:tc>
        <w:tc>
          <w:tcPr>
            <w:tcW w:w="1250" w:type="pct"/>
          </w:tcPr>
          <w:p w:rsidR="00D53830">
            <w:pPr>
              <w:spacing w:before="40" w:after="40" w:line="220" w:lineRule="exact"/>
              <w:ind w:left="397"/>
              <w:rPr>
                <w:rFonts w:cs="FrankRuehl"/>
                <w:sz w:val="18"/>
                <w:szCs w:val="20"/>
                <w:rtl/>
              </w:rPr>
            </w:pPr>
            <w:r>
              <w:rPr>
                <w:rFonts w:cs="FrankRuehl" w:hint="cs"/>
                <w:sz w:val="18"/>
                <w:szCs w:val="20"/>
                <w:rtl/>
              </w:rPr>
              <w:t>80,000</w:t>
            </w:r>
          </w:p>
        </w:tc>
        <w:tc>
          <w:tcPr>
            <w:tcW w:w="1250" w:type="pct"/>
          </w:tcPr>
          <w:p w:rsidR="00D53830">
            <w:pPr>
              <w:spacing w:before="40" w:after="40" w:line="220" w:lineRule="exact"/>
              <w:ind w:left="397"/>
              <w:rPr>
                <w:rFonts w:cs="FrankRuehl"/>
                <w:sz w:val="18"/>
                <w:szCs w:val="20"/>
                <w:rtl/>
              </w:rPr>
            </w:pPr>
            <w:r>
              <w:rPr>
                <w:rFonts w:cs="FrankRuehl" w:hint="cs"/>
                <w:sz w:val="18"/>
                <w:szCs w:val="20"/>
                <w:rtl/>
              </w:rPr>
              <w:t>93,768</w:t>
            </w:r>
          </w:p>
        </w:tc>
        <w:tc>
          <w:tcPr>
            <w:tcW w:w="1251" w:type="pct"/>
          </w:tcPr>
          <w:p w:rsidR="00D53830">
            <w:pPr>
              <w:spacing w:before="40" w:after="40" w:line="220" w:lineRule="exact"/>
              <w:ind w:left="397"/>
              <w:rPr>
                <w:rFonts w:cs="FrankRuehl"/>
                <w:sz w:val="18"/>
                <w:szCs w:val="20"/>
                <w:rtl/>
              </w:rPr>
            </w:pPr>
            <w:r>
              <w:rPr>
                <w:rFonts w:cs="FrankRuehl" w:hint="cs"/>
                <w:sz w:val="18"/>
                <w:szCs w:val="20"/>
                <w:rtl/>
              </w:rPr>
              <w:t>117</w:t>
            </w:r>
          </w:p>
        </w:tc>
      </w:tr>
      <w:tr w:rsidTr="00D53830">
        <w:tblPrEx>
          <w:tblW w:w="6691" w:type="dxa"/>
          <w:jc w:val="center"/>
          <w:tblLook w:val="04A0"/>
        </w:tblPrEx>
        <w:trPr>
          <w:jc w:val="center"/>
        </w:trPr>
        <w:tc>
          <w:tcPr>
            <w:tcW w:w="1249" w:type="pct"/>
            <w:tcBorders>
              <w:bottom w:val="single" w:sz="12" w:space="0" w:color="auto"/>
            </w:tcBorders>
          </w:tcPr>
          <w:p w:rsidR="00D53830">
            <w:pPr>
              <w:spacing w:before="40" w:after="40" w:line="220" w:lineRule="exact"/>
              <w:rPr>
                <w:rFonts w:cs="FrankRuehl"/>
                <w:sz w:val="18"/>
                <w:szCs w:val="20"/>
                <w:rtl/>
              </w:rPr>
            </w:pPr>
            <w:r>
              <w:rPr>
                <w:rFonts w:cs="FrankRuehl" w:hint="cs"/>
                <w:sz w:val="18"/>
                <w:szCs w:val="20"/>
                <w:rtl/>
              </w:rPr>
              <w:t xml:space="preserve">מרום הגליל </w:t>
            </w:r>
          </w:p>
        </w:tc>
        <w:tc>
          <w:tcPr>
            <w:tcW w:w="1250" w:type="pct"/>
            <w:tcBorders>
              <w:bottom w:val="single" w:sz="12" w:space="0" w:color="auto"/>
            </w:tcBorders>
          </w:tcPr>
          <w:p w:rsidR="00D53830">
            <w:pPr>
              <w:spacing w:before="40" w:after="40" w:line="220" w:lineRule="exact"/>
              <w:ind w:left="397"/>
              <w:rPr>
                <w:rFonts w:cs="FrankRuehl"/>
                <w:sz w:val="18"/>
                <w:szCs w:val="20"/>
                <w:rtl/>
              </w:rPr>
            </w:pPr>
            <w:r>
              <w:rPr>
                <w:rFonts w:cs="FrankRuehl" w:hint="cs"/>
                <w:sz w:val="18"/>
                <w:szCs w:val="20"/>
                <w:rtl/>
              </w:rPr>
              <w:t>85,000</w:t>
            </w:r>
          </w:p>
        </w:tc>
        <w:tc>
          <w:tcPr>
            <w:tcW w:w="1250" w:type="pct"/>
            <w:tcBorders>
              <w:bottom w:val="single" w:sz="12" w:space="0" w:color="auto"/>
            </w:tcBorders>
          </w:tcPr>
          <w:p w:rsidR="00D53830">
            <w:pPr>
              <w:spacing w:before="40" w:after="40" w:line="220" w:lineRule="exact"/>
              <w:ind w:left="397"/>
              <w:rPr>
                <w:rFonts w:cs="FrankRuehl"/>
                <w:sz w:val="18"/>
                <w:szCs w:val="20"/>
                <w:rtl/>
              </w:rPr>
            </w:pPr>
            <w:r>
              <w:rPr>
                <w:rFonts w:cs="FrankRuehl" w:hint="cs"/>
                <w:sz w:val="18"/>
                <w:szCs w:val="20"/>
                <w:rtl/>
              </w:rPr>
              <w:t>114,412</w:t>
            </w:r>
          </w:p>
        </w:tc>
        <w:tc>
          <w:tcPr>
            <w:tcW w:w="1251" w:type="pct"/>
            <w:tcBorders>
              <w:bottom w:val="single" w:sz="12" w:space="0" w:color="auto"/>
            </w:tcBorders>
          </w:tcPr>
          <w:p w:rsidR="00D53830">
            <w:pPr>
              <w:spacing w:before="40" w:after="40" w:line="220" w:lineRule="exact"/>
              <w:ind w:left="397"/>
              <w:rPr>
                <w:rFonts w:cs="FrankRuehl"/>
                <w:sz w:val="18"/>
                <w:szCs w:val="20"/>
                <w:rtl/>
              </w:rPr>
            </w:pPr>
            <w:r>
              <w:rPr>
                <w:rFonts w:cs="FrankRuehl" w:hint="cs"/>
                <w:sz w:val="18"/>
                <w:szCs w:val="20"/>
                <w:rtl/>
              </w:rPr>
              <w:t>134</w:t>
            </w:r>
          </w:p>
        </w:tc>
      </w:tr>
      <w:tr w:rsidTr="00D53830">
        <w:tblPrEx>
          <w:tblW w:w="6691" w:type="dxa"/>
          <w:jc w:val="center"/>
          <w:tblLook w:val="04A0"/>
        </w:tblPrEx>
        <w:trPr>
          <w:jc w:val="center"/>
        </w:trPr>
        <w:tc>
          <w:tcPr>
            <w:tcW w:w="1249" w:type="pct"/>
            <w:tcBorders>
              <w:top w:val="single" w:sz="12" w:space="0" w:color="auto"/>
              <w:bottom w:val="single" w:sz="12" w:space="0" w:color="auto"/>
            </w:tcBorders>
            <w:shd w:val="pct10" w:color="auto" w:fill="auto"/>
          </w:tcPr>
          <w:p w:rsidR="00D53830">
            <w:pPr>
              <w:spacing w:before="40" w:after="40" w:line="220" w:lineRule="exact"/>
              <w:jc w:val="right"/>
              <w:rPr>
                <w:rFonts w:cs="FrankRuehl"/>
                <w:b/>
                <w:bCs/>
                <w:sz w:val="18"/>
                <w:szCs w:val="20"/>
                <w:rtl/>
              </w:rPr>
            </w:pPr>
            <w:r>
              <w:rPr>
                <w:rFonts w:cs="FrankRuehl" w:hint="cs"/>
                <w:b/>
                <w:bCs/>
                <w:sz w:val="18"/>
                <w:szCs w:val="20"/>
                <w:rtl/>
              </w:rPr>
              <w:t xml:space="preserve">סך הכול לתכנית </w:t>
            </w:r>
          </w:p>
        </w:tc>
        <w:tc>
          <w:tcPr>
            <w:tcW w:w="1250" w:type="pct"/>
            <w:tcBorders>
              <w:top w:val="single" w:sz="12" w:space="0" w:color="auto"/>
              <w:bottom w:val="single" w:sz="12" w:space="0" w:color="auto"/>
            </w:tcBorders>
            <w:shd w:val="pct10" w:color="auto" w:fill="auto"/>
          </w:tcPr>
          <w:p w:rsidR="00D53830">
            <w:pPr>
              <w:spacing w:before="40" w:after="40" w:line="220" w:lineRule="exact"/>
              <w:ind w:left="397"/>
              <w:rPr>
                <w:rFonts w:cs="FrankRuehl"/>
                <w:b/>
                <w:bCs/>
                <w:sz w:val="18"/>
                <w:szCs w:val="20"/>
                <w:rtl/>
              </w:rPr>
            </w:pPr>
            <w:r>
              <w:rPr>
                <w:rFonts w:cs="FrankRuehl" w:hint="cs"/>
                <w:b/>
                <w:bCs/>
                <w:sz w:val="18"/>
                <w:szCs w:val="20"/>
                <w:rtl/>
              </w:rPr>
              <w:t>649,000</w:t>
            </w:r>
          </w:p>
        </w:tc>
        <w:tc>
          <w:tcPr>
            <w:tcW w:w="1250" w:type="pct"/>
            <w:tcBorders>
              <w:top w:val="single" w:sz="12" w:space="0" w:color="auto"/>
              <w:bottom w:val="single" w:sz="12" w:space="0" w:color="auto"/>
            </w:tcBorders>
            <w:shd w:val="pct10" w:color="auto" w:fill="auto"/>
          </w:tcPr>
          <w:p w:rsidR="00D53830">
            <w:pPr>
              <w:spacing w:before="40" w:after="40" w:line="220" w:lineRule="exact"/>
              <w:ind w:left="397"/>
              <w:rPr>
                <w:rFonts w:cs="FrankRuehl"/>
                <w:b/>
                <w:bCs/>
                <w:sz w:val="18"/>
                <w:szCs w:val="20"/>
                <w:rtl/>
              </w:rPr>
            </w:pPr>
            <w:r>
              <w:rPr>
                <w:rFonts w:cs="FrankRuehl" w:hint="cs"/>
                <w:b/>
                <w:bCs/>
                <w:sz w:val="18"/>
                <w:szCs w:val="20"/>
                <w:rtl/>
              </w:rPr>
              <w:t>1,025,430</w:t>
            </w:r>
          </w:p>
        </w:tc>
        <w:tc>
          <w:tcPr>
            <w:tcW w:w="1251" w:type="pct"/>
            <w:tcBorders>
              <w:top w:val="single" w:sz="12" w:space="0" w:color="auto"/>
              <w:bottom w:val="single" w:sz="12" w:space="0" w:color="auto"/>
            </w:tcBorders>
            <w:shd w:val="pct10" w:color="auto" w:fill="auto"/>
          </w:tcPr>
          <w:p w:rsidR="00D53830">
            <w:pPr>
              <w:spacing w:before="40" w:after="40" w:line="220" w:lineRule="exact"/>
              <w:ind w:left="397"/>
              <w:rPr>
                <w:rFonts w:cs="FrankRuehl"/>
                <w:b/>
                <w:bCs/>
                <w:sz w:val="18"/>
                <w:szCs w:val="20"/>
                <w:rtl/>
              </w:rPr>
            </w:pPr>
            <w:r>
              <w:rPr>
                <w:rFonts w:cs="FrankRuehl" w:hint="cs"/>
                <w:b/>
                <w:bCs/>
                <w:sz w:val="18"/>
                <w:szCs w:val="20"/>
                <w:rtl/>
              </w:rPr>
              <w:t>158</w:t>
            </w:r>
          </w:p>
        </w:tc>
      </w:tr>
    </w:tbl>
    <w:p w:rsidR="00F60E90">
      <w:pPr>
        <w:spacing w:before="240" w:after="120" w:line="230" w:lineRule="exact"/>
        <w:jc w:val="both"/>
        <w:rPr>
          <w:rFonts w:cs="FrankRuehl"/>
          <w:sz w:val="20"/>
          <w:szCs w:val="22"/>
          <w:rtl/>
        </w:rPr>
      </w:pPr>
      <w:r>
        <w:rPr>
          <w:rFonts w:cs="FrankRuehl"/>
          <w:sz w:val="20"/>
          <w:szCs w:val="22"/>
          <w:rtl/>
        </w:rPr>
        <w:t>מהנתונים בטבלה עולה שבכל שמונה המועצות האזוריות האמורות הייתה חריגה מהתקציב שהוקצה לתכנית</w:t>
      </w:r>
      <w:r>
        <w:rPr>
          <w:rFonts w:cs="FrankRuehl" w:hint="cs"/>
          <w:sz w:val="20"/>
          <w:szCs w:val="22"/>
          <w:rtl/>
        </w:rPr>
        <w:t>,</w:t>
      </w:r>
      <w:r>
        <w:rPr>
          <w:rFonts w:cs="FrankRuehl"/>
          <w:sz w:val="20"/>
          <w:szCs w:val="22"/>
          <w:rtl/>
        </w:rPr>
        <w:t xml:space="preserve"> ובפועל הגיעה הפעלת התכנית לכדי 158% מהתקציב; הדבר מעיד על הצורך </w:t>
      </w:r>
      <w:r>
        <w:rPr>
          <w:rFonts w:cs="FrankRuehl" w:hint="cs"/>
          <w:sz w:val="20"/>
          <w:szCs w:val="22"/>
          <w:rtl/>
        </w:rPr>
        <w:t>בפתרונות ל</w:t>
      </w:r>
      <w:r>
        <w:rPr>
          <w:rFonts w:cs="FrankRuehl"/>
          <w:sz w:val="20"/>
          <w:szCs w:val="22"/>
          <w:rtl/>
        </w:rPr>
        <w:t>בעיית הבן הממשיך ועל היקף התופעה במועצות האזוריות.</w:t>
      </w:r>
    </w:p>
    <w:p w:rsidR="00F60E90">
      <w:pPr>
        <w:spacing w:after="120" w:line="230" w:lineRule="exact"/>
        <w:jc w:val="both"/>
        <w:rPr>
          <w:rFonts w:cs="FrankRuehl"/>
          <w:sz w:val="20"/>
          <w:szCs w:val="22"/>
          <w:rtl/>
        </w:rPr>
      </w:pPr>
      <w:r>
        <w:rPr>
          <w:rFonts w:cs="FrankRuehl" w:hint="cs"/>
          <w:sz w:val="20"/>
          <w:szCs w:val="22"/>
          <w:rtl/>
        </w:rPr>
        <w:t>בתשובתה מסרה המועצה האזורית לב השרון כי היא מעסיקה עו"ס בחצי משרה המרכז את התכנית. באמצעות</w:t>
      </w:r>
      <w:r>
        <w:rPr>
          <w:rFonts w:cs="FrankRuehl"/>
          <w:sz w:val="20"/>
          <w:szCs w:val="22"/>
          <w:rtl/>
        </w:rPr>
        <w:t xml:space="preserve"> </w:t>
      </w:r>
      <w:r>
        <w:rPr>
          <w:rFonts w:cs="FrankRuehl" w:hint="cs"/>
          <w:sz w:val="20"/>
          <w:szCs w:val="22"/>
          <w:rtl/>
        </w:rPr>
        <w:t>תכנית</w:t>
      </w:r>
      <w:r>
        <w:rPr>
          <w:rFonts w:cs="FrankRuehl"/>
          <w:sz w:val="20"/>
          <w:szCs w:val="22"/>
          <w:rtl/>
        </w:rPr>
        <w:t xml:space="preserve"> </w:t>
      </w:r>
      <w:r>
        <w:rPr>
          <w:rFonts w:cs="FrankRuehl" w:hint="cs"/>
          <w:sz w:val="20"/>
          <w:szCs w:val="22"/>
          <w:rtl/>
        </w:rPr>
        <w:t>זו</w:t>
      </w:r>
      <w:r>
        <w:rPr>
          <w:rFonts w:cs="FrankRuehl"/>
          <w:sz w:val="20"/>
          <w:szCs w:val="22"/>
          <w:rtl/>
        </w:rPr>
        <w:t xml:space="preserve"> </w:t>
      </w:r>
      <w:r>
        <w:rPr>
          <w:rFonts w:cs="FrankRuehl" w:hint="cs"/>
          <w:sz w:val="20"/>
          <w:szCs w:val="22"/>
          <w:rtl/>
        </w:rPr>
        <w:t>המועצה</w:t>
      </w:r>
      <w:r>
        <w:rPr>
          <w:rFonts w:cs="FrankRuehl"/>
          <w:sz w:val="20"/>
          <w:szCs w:val="22"/>
          <w:rtl/>
        </w:rPr>
        <w:t xml:space="preserve"> מאתרת מקרים בעייתיים</w:t>
      </w:r>
      <w:r>
        <w:rPr>
          <w:rFonts w:cs="FrankRuehl" w:hint="cs"/>
          <w:sz w:val="20"/>
          <w:szCs w:val="22"/>
          <w:rtl/>
        </w:rPr>
        <w:t>.</w:t>
      </w:r>
    </w:p>
    <w:p w:rsidR="00F60E90" w:rsidP="00B82060">
      <w:pPr>
        <w:spacing w:after="240" w:line="230" w:lineRule="exact"/>
        <w:jc w:val="both"/>
        <w:rPr>
          <w:rFonts w:cs="FrankRuehl"/>
          <w:sz w:val="20"/>
          <w:szCs w:val="22"/>
          <w:rtl/>
        </w:rPr>
      </w:pPr>
      <w:r>
        <w:rPr>
          <w:rFonts w:cs="FrankRuehl" w:hint="cs"/>
          <w:sz w:val="20"/>
          <w:szCs w:val="22"/>
          <w:rtl/>
        </w:rPr>
        <w:t>הביקורת העלתה כי בשנים 2013-2011 ביקשו המועצות האזוריות לכיש ומבואות החרמון להצטרף לתכנית אך הן נדחו בשל היעדר תקציב. בשנת 2014 התקבלה בקשתה של המועצה האזורית מבואות החרמון להצטרף לתכנית.</w:t>
      </w:r>
    </w:p>
    <w:p w:rsidR="00F60E90" w:rsidP="00B82060">
      <w:pPr>
        <w:pStyle w:val="RESHET"/>
        <w:rPr>
          <w:rtl/>
        </w:rPr>
      </w:pPr>
      <w:r>
        <w:rPr>
          <w:rFonts w:hint="cs"/>
          <w:rtl/>
        </w:rPr>
        <w:t>משרד מבקר המדינה העיר למשרד הרווחה כי לנוכח הביקוש הרב להצטרף לתכנית בן ממשיך - משפחה ממשיכה ובשל היקף התקציבים שהוקצו למימונה במועצות האזוריות שהיא מופעלת בהן, מוצע כי המשרד יבחן עד כמה התכנית יעילה ואם היא משיגה את מטרותיה בכל הנוגע לרצון להקל את חיי הזקנים, ובהתאם ישקול את האפשרות לפעול להרחבתה למועצות אזוריות נוספות.</w:t>
      </w:r>
    </w:p>
    <w:p w:rsidR="00F60E90" w:rsidP="00B82060">
      <w:pPr>
        <w:spacing w:before="180" w:after="120" w:line="230" w:lineRule="exact"/>
        <w:jc w:val="both"/>
        <w:rPr>
          <w:rFonts w:cs="FrankRuehl"/>
          <w:sz w:val="20"/>
          <w:szCs w:val="22"/>
          <w:rtl/>
        </w:rPr>
      </w:pPr>
      <w:r>
        <w:rPr>
          <w:rFonts w:cs="FrankRuehl" w:hint="cs"/>
          <w:sz w:val="20"/>
          <w:szCs w:val="22"/>
          <w:rtl/>
        </w:rPr>
        <w:t>משרד</w:t>
      </w:r>
      <w:r>
        <w:rPr>
          <w:rFonts w:cs="FrankRuehl"/>
          <w:sz w:val="20"/>
          <w:szCs w:val="22"/>
          <w:rtl/>
        </w:rPr>
        <w:t xml:space="preserve"> </w:t>
      </w:r>
      <w:r>
        <w:rPr>
          <w:rFonts w:cs="FrankRuehl" w:hint="cs"/>
          <w:sz w:val="20"/>
          <w:szCs w:val="22"/>
          <w:rtl/>
        </w:rPr>
        <w:t>ה</w:t>
      </w:r>
      <w:r>
        <w:rPr>
          <w:rFonts w:cs="FrankRuehl"/>
          <w:sz w:val="20"/>
          <w:szCs w:val="22"/>
          <w:rtl/>
        </w:rPr>
        <w:t>רווחה מסר בתשובתו</w:t>
      </w:r>
      <w:r>
        <w:rPr>
          <w:rFonts w:cs="FrankRuehl" w:hint="cs"/>
          <w:sz w:val="20"/>
          <w:szCs w:val="22"/>
          <w:rtl/>
        </w:rPr>
        <w:t xml:space="preserve"> </w:t>
      </w:r>
      <w:r>
        <w:rPr>
          <w:rFonts w:cs="FrankRuehl"/>
          <w:sz w:val="20"/>
          <w:szCs w:val="22"/>
          <w:rtl/>
        </w:rPr>
        <w:t>כי מסגרת התקציב</w:t>
      </w:r>
      <w:r>
        <w:rPr>
          <w:rFonts w:cs="FrankRuehl" w:hint="cs"/>
          <w:sz w:val="20"/>
          <w:szCs w:val="22"/>
          <w:rtl/>
        </w:rPr>
        <w:t xml:space="preserve"> העומדת לרשות תכנית זו אין בה די כדי לתת מענה לכל הצרכים.</w:t>
      </w:r>
    </w:p>
    <w:p w:rsidR="00F60E90">
      <w:pPr>
        <w:spacing w:after="120" w:line="230" w:lineRule="exact"/>
        <w:jc w:val="both"/>
        <w:rPr>
          <w:rFonts w:cs="FrankRuehl"/>
          <w:sz w:val="20"/>
          <w:szCs w:val="22"/>
          <w:rtl/>
        </w:rPr>
      </w:pPr>
    </w:p>
    <w:p w:rsidR="00F60E90">
      <w:pPr>
        <w:pStyle w:val="KOT5"/>
        <w:rPr>
          <w:rtl/>
        </w:rPr>
      </w:pPr>
      <w:r>
        <w:rPr>
          <w:rFonts w:hint="cs"/>
          <w:rtl/>
        </w:rPr>
        <w:t>תכנית נופשון לזקן</w:t>
      </w:r>
    </w:p>
    <w:p w:rsidR="00F60E90">
      <w:pPr>
        <w:spacing w:after="120" w:line="230" w:lineRule="exact"/>
        <w:jc w:val="both"/>
        <w:rPr>
          <w:rFonts w:cs="FrankRuehl"/>
          <w:sz w:val="20"/>
          <w:szCs w:val="22"/>
          <w:rtl/>
        </w:rPr>
      </w:pPr>
      <w:r>
        <w:rPr>
          <w:rFonts w:cs="FrankRuehl" w:hint="cs"/>
          <w:sz w:val="20"/>
          <w:szCs w:val="22"/>
          <w:rtl/>
        </w:rPr>
        <w:t>הנופשון לזקן</w:t>
      </w:r>
      <w:r>
        <w:rPr>
          <w:rFonts w:cs="FrankRuehl"/>
          <w:sz w:val="20"/>
          <w:szCs w:val="22"/>
          <w:vertAlign w:val="superscript"/>
          <w:rtl/>
        </w:rPr>
        <w:footnoteReference w:id="10"/>
      </w:r>
      <w:r>
        <w:rPr>
          <w:rFonts w:cs="FrankRuehl" w:hint="cs"/>
          <w:sz w:val="20"/>
          <w:szCs w:val="22"/>
          <w:rtl/>
        </w:rPr>
        <w:t xml:space="preserve"> הוא מקום הנותן מענה זמני לזקן הזקוק לטיפול אישי בעקבות מחלה או ירידה בתפקוד היומי או עקב חוסר יכולת זמנית של בני המשפחה לטפל בו.</w:t>
      </w:r>
    </w:p>
    <w:p w:rsidR="00F60E90">
      <w:pPr>
        <w:spacing w:after="120" w:line="230" w:lineRule="exact"/>
        <w:jc w:val="both"/>
        <w:rPr>
          <w:rFonts w:cs="FrankRuehl"/>
          <w:sz w:val="20"/>
          <w:szCs w:val="22"/>
          <w:rtl/>
        </w:rPr>
      </w:pPr>
      <w:r>
        <w:rPr>
          <w:rFonts w:cs="FrankRuehl" w:hint="cs"/>
          <w:sz w:val="20"/>
          <w:szCs w:val="22"/>
          <w:rtl/>
        </w:rPr>
        <w:t xml:space="preserve">על פי הוראה 4.9 לתע"ס, מספר ימי השהייה בנופשון מותנה באישורם של המחלקות לשירותים חברתיים (עד 15 ימים), של מפקח מחוזי של השירות לזקן (30-16 ימים) ושל מנהל השירות לזקן או סגנו (60-31 ימים). </w:t>
      </w:r>
      <w:r>
        <w:rPr>
          <w:rFonts w:cs="FrankRuehl"/>
          <w:sz w:val="20"/>
          <w:szCs w:val="22"/>
          <w:rtl/>
        </w:rPr>
        <w:t xml:space="preserve">הזקן המופנה לנופשון משתתף במימון </w:t>
      </w:r>
      <w:r>
        <w:rPr>
          <w:rFonts w:cs="FrankRuehl" w:hint="cs"/>
          <w:sz w:val="20"/>
          <w:szCs w:val="22"/>
          <w:rtl/>
        </w:rPr>
        <w:t>חלק מ</w:t>
      </w:r>
      <w:r>
        <w:rPr>
          <w:rFonts w:cs="FrankRuehl"/>
          <w:sz w:val="20"/>
          <w:szCs w:val="22"/>
          <w:rtl/>
        </w:rPr>
        <w:t>השה</w:t>
      </w:r>
      <w:r>
        <w:rPr>
          <w:rFonts w:cs="FrankRuehl" w:hint="cs"/>
          <w:sz w:val="20"/>
          <w:szCs w:val="22"/>
          <w:rtl/>
        </w:rPr>
        <w:t>י</w:t>
      </w:r>
      <w:r>
        <w:rPr>
          <w:rFonts w:cs="FrankRuehl"/>
          <w:sz w:val="20"/>
          <w:szCs w:val="22"/>
          <w:rtl/>
        </w:rPr>
        <w:t xml:space="preserve">יה </w:t>
      </w:r>
      <w:r>
        <w:rPr>
          <w:rFonts w:cs="FrankRuehl" w:hint="cs"/>
          <w:sz w:val="20"/>
          <w:szCs w:val="22"/>
          <w:rtl/>
        </w:rPr>
        <w:t>הנקבע על פי</w:t>
      </w:r>
      <w:r>
        <w:rPr>
          <w:rFonts w:cs="FrankRuehl"/>
          <w:sz w:val="20"/>
          <w:szCs w:val="22"/>
          <w:rtl/>
        </w:rPr>
        <w:t xml:space="preserve"> הכנסותיו</w:t>
      </w:r>
      <w:r>
        <w:rPr>
          <w:rFonts w:cs="FrankRuehl" w:hint="cs"/>
          <w:sz w:val="20"/>
          <w:szCs w:val="22"/>
          <w:rtl/>
        </w:rPr>
        <w:t>. את</w:t>
      </w:r>
      <w:r>
        <w:rPr>
          <w:rFonts w:cs="FrankRuehl"/>
          <w:sz w:val="20"/>
          <w:szCs w:val="22"/>
          <w:rtl/>
        </w:rPr>
        <w:t xml:space="preserve"> היתרה </w:t>
      </w:r>
      <w:r>
        <w:rPr>
          <w:rFonts w:cs="FrankRuehl" w:hint="cs"/>
          <w:sz w:val="20"/>
          <w:szCs w:val="22"/>
          <w:rtl/>
        </w:rPr>
        <w:t>מממנים</w:t>
      </w:r>
      <w:r>
        <w:rPr>
          <w:rFonts w:cs="FrankRuehl"/>
          <w:sz w:val="20"/>
          <w:szCs w:val="22"/>
          <w:rtl/>
        </w:rPr>
        <w:t xml:space="preserve"> משרד הרווחה (75%) והרשות המקומית (25%).</w:t>
      </w:r>
    </w:p>
    <w:p w:rsidR="00F60E90">
      <w:pPr>
        <w:spacing w:after="120" w:line="230" w:lineRule="exact"/>
        <w:jc w:val="both"/>
        <w:rPr>
          <w:rFonts w:cs="FrankRuehl"/>
          <w:sz w:val="20"/>
          <w:szCs w:val="22"/>
          <w:rtl/>
        </w:rPr>
      </w:pPr>
      <w:r>
        <w:rPr>
          <w:rFonts w:cs="FrankRuehl" w:hint="cs"/>
          <w:sz w:val="20"/>
          <w:szCs w:val="22"/>
          <w:rtl/>
        </w:rPr>
        <w:t>משרד הרווחה מממן את הפעילות בנופשונים, והמימון מופיע בסעיף תקציבי המיועד לנופשון. בשנת 2013 תקצב משרד הרווחה את התכנית ב-1.25 מיליון ש"ח ב-85 רשויות מקומיות, ונוצלו 1.16 מיליון ש"ח מהתקציב.</w:t>
      </w:r>
    </w:p>
    <w:p w:rsidR="00F60E90">
      <w:pPr>
        <w:spacing w:after="120" w:line="230" w:lineRule="exact"/>
        <w:jc w:val="both"/>
        <w:rPr>
          <w:rFonts w:cs="FrankRuehl"/>
          <w:sz w:val="20"/>
          <w:szCs w:val="22"/>
          <w:rtl/>
        </w:rPr>
      </w:pPr>
      <w:r>
        <w:rPr>
          <w:rFonts w:cs="FrankRuehl" w:hint="cs"/>
          <w:sz w:val="20"/>
          <w:szCs w:val="22"/>
          <w:rtl/>
        </w:rPr>
        <w:t>הבדיקה העלתה כי בשנת 2013 תוקצבה עיריית ירושלים ב-560,000 ש"ח שהם 45% מסך כל התקציב שייעד משרד הרווחה לנופשונים; בפועל ניצלה העירייה כ-700,000 ש"ח שהם 60%</w:t>
      </w:r>
      <w:r>
        <w:rPr>
          <w:rFonts w:cs="FrankRuehl"/>
          <w:sz w:val="20"/>
          <w:szCs w:val="22"/>
          <w:rtl/>
        </w:rPr>
        <w:t xml:space="preserve"> מסך התקציב של משרד הרווחה שנוצל בשנת 2013 </w:t>
      </w:r>
      <w:r>
        <w:rPr>
          <w:rFonts w:cs="FrankRuehl" w:hint="cs"/>
          <w:sz w:val="20"/>
          <w:szCs w:val="22"/>
          <w:rtl/>
        </w:rPr>
        <w:t>ל</w:t>
      </w:r>
      <w:r>
        <w:rPr>
          <w:rFonts w:cs="FrankRuehl"/>
          <w:sz w:val="20"/>
          <w:szCs w:val="22"/>
          <w:rtl/>
        </w:rPr>
        <w:t>נופשונים.</w:t>
      </w:r>
    </w:p>
    <w:p w:rsidR="00F60E90">
      <w:pPr>
        <w:spacing w:after="120" w:line="230" w:lineRule="exact"/>
        <w:jc w:val="both"/>
        <w:rPr>
          <w:rFonts w:cs="FrankRuehl"/>
          <w:sz w:val="20"/>
          <w:szCs w:val="22"/>
          <w:rtl/>
        </w:rPr>
      </w:pPr>
      <w:r>
        <w:rPr>
          <w:rFonts w:cs="FrankRuehl" w:hint="cs"/>
          <w:sz w:val="20"/>
          <w:szCs w:val="22"/>
          <w:rtl/>
        </w:rPr>
        <w:t>עוד הועלה כי בין הרשויות המקומיות שנבדקו רק עיריות חיפה ומודיעין עילית והמועצה האזורית לב השרון תוקצבו בסעיף נופשונים. עיריית חיפה ניצלה את מלוא התקציב בסך 25,000 ש"ח, המועצה האזורית לב השרון ניצלה כ-12,000 ש"ח מתוך 16,000 ש"ח ועיריית מודיעין עילית לא ניצלה כלל את התקציב - 3,000 ש"ח.</w:t>
      </w:r>
    </w:p>
    <w:p w:rsidR="00F60E90" w:rsidP="00B82060">
      <w:pPr>
        <w:spacing w:after="240" w:line="230" w:lineRule="exact"/>
        <w:jc w:val="both"/>
        <w:rPr>
          <w:rFonts w:cs="FrankRuehl"/>
          <w:sz w:val="20"/>
          <w:szCs w:val="22"/>
          <w:rtl/>
        </w:rPr>
      </w:pPr>
      <w:r>
        <w:rPr>
          <w:rFonts w:cs="FrankRuehl" w:hint="cs"/>
          <w:sz w:val="20"/>
          <w:szCs w:val="22"/>
          <w:rtl/>
        </w:rPr>
        <w:t>הביקורת העלתה כי 85 הרשויות המקומיות המשתתפות בתכנית בתקצובו של משרד הרווחה הצטרפו אליה כבר לפני כמה שנים שבמהלכן לא נוספו לתכנית רשויות מקומיות אחרות. עוד הועלה כי 25 מתוך 85 הרשויות לא ניצלו את הסעיף התקציבי הזה בשנת 2013, ואף לא בשנת 2012, דהיינו אף לא זקן אחד בתחומן השתתף בנופשון. משרד הרווחה מסר לעובדי משרד מבקר המדינה כי אם רשויות מקומיות נוספות יבקשו להצטרף לתכנית, הן ייענו בחיוב.</w:t>
      </w:r>
    </w:p>
    <w:p w:rsidR="00F60E90" w:rsidP="00B82060">
      <w:pPr>
        <w:pStyle w:val="RESHET"/>
        <w:rPr>
          <w:rtl/>
        </w:rPr>
      </w:pPr>
      <w:r>
        <w:rPr>
          <w:rFonts w:hint="cs"/>
          <w:rtl/>
        </w:rPr>
        <w:t>לדעת משרד מבקר המדינה, על משרד הרווחה ליידע את המחלקות לשירותים חברתיים בכל הרשויות המקומיות על התכנית נופשון לזקן ולהנחותן ליידע את הזקנים שבטיפולן בדבר זכאותם להשתתף בה. עוד על המשרד לשקול להרחיב לרשויות מקומיות נוספות את השירות הניתן במסגרת התכנית, על פי קריטריונים שיקבע.</w:t>
      </w:r>
    </w:p>
    <w:p w:rsidR="00F60E90">
      <w:pPr>
        <w:spacing w:after="120" w:line="230" w:lineRule="exact"/>
        <w:jc w:val="both"/>
        <w:rPr>
          <w:rFonts w:cs="FrankRuehl"/>
          <w:sz w:val="20"/>
          <w:szCs w:val="22"/>
          <w:rtl/>
        </w:rPr>
      </w:pPr>
      <w:r>
        <w:rPr>
          <w:rFonts w:cs="FrankRuehl" w:hint="cs"/>
          <w:sz w:val="20"/>
          <w:szCs w:val="22"/>
          <w:rtl/>
        </w:rPr>
        <w:t>משרד הרווחה מסר בתשובתו כי הוא רואה חשיבות בשימוש בנופשונים לזקנים, "והנושא עולה מידי מפגשים מקצועיים עם עו"ס של הרשויות המקומיות". הוא הוסיף שהתקציב לתכנית זו מוקצה לרשויות המקומיות על פי בקשותיהן, ואין כל בעיה של מחסור בתקציב.</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2"/>
        <w:rPr>
          <w:rtl/>
        </w:rPr>
      </w:pPr>
      <w:r>
        <w:rPr>
          <w:rFonts w:hint="cs"/>
          <w:rtl/>
        </w:rPr>
        <w:t>פעילויות פנאי ל</w:t>
      </w:r>
      <w:r>
        <w:rPr>
          <w:rtl/>
        </w:rPr>
        <w:t>זק</w:t>
      </w:r>
      <w:r>
        <w:rPr>
          <w:rFonts w:hint="cs"/>
          <w:rtl/>
        </w:rPr>
        <w:t>ן</w:t>
      </w:r>
    </w:p>
    <w:p w:rsidR="00F60E90">
      <w:pPr>
        <w:pStyle w:val="KOT4"/>
        <w:rPr>
          <w:rtl/>
        </w:rPr>
      </w:pPr>
      <w:r>
        <w:rPr>
          <w:rFonts w:hint="cs"/>
          <w:rtl/>
        </w:rPr>
        <w:t>מועדון חברתי לזקן</w:t>
      </w:r>
    </w:p>
    <w:p w:rsidR="00F60E90">
      <w:pPr>
        <w:spacing w:after="120" w:line="230" w:lineRule="exact"/>
        <w:jc w:val="both"/>
        <w:rPr>
          <w:rFonts w:cs="FrankRuehl"/>
          <w:sz w:val="20"/>
          <w:szCs w:val="22"/>
          <w:rtl/>
        </w:rPr>
      </w:pPr>
      <w:r>
        <w:rPr>
          <w:rFonts w:cs="FrankRuehl" w:hint="cs"/>
          <w:sz w:val="20"/>
          <w:szCs w:val="22"/>
          <w:rtl/>
        </w:rPr>
        <w:t>משרד הרווחה מעודד פעילויות פנאי במסגרות חברתיות לאוכלוסיית הזקנים. פעילות זו מאפשרת מפגשים חברתיים בין הזקנים ובין קבוצות אוכלוסייה אחרות כמו נוער וילדים. חלק מהפעילויות נערכות ב</w:t>
      </w:r>
      <w:r>
        <w:rPr>
          <w:rFonts w:cs="FrankRuehl"/>
          <w:sz w:val="20"/>
          <w:szCs w:val="22"/>
          <w:rtl/>
        </w:rPr>
        <w:t xml:space="preserve">מועדון </w:t>
      </w:r>
      <w:r>
        <w:rPr>
          <w:rFonts w:cs="FrankRuehl" w:hint="cs"/>
          <w:sz w:val="20"/>
          <w:szCs w:val="22"/>
          <w:rtl/>
        </w:rPr>
        <w:t xml:space="preserve">החברתי </w:t>
      </w:r>
      <w:r>
        <w:rPr>
          <w:rFonts w:cs="FrankRuehl"/>
          <w:sz w:val="20"/>
          <w:szCs w:val="22"/>
          <w:rtl/>
        </w:rPr>
        <w:t>לזקן</w:t>
      </w:r>
      <w:r>
        <w:rPr>
          <w:rFonts w:cs="FrankRuehl" w:hint="cs"/>
          <w:sz w:val="20"/>
          <w:szCs w:val="22"/>
          <w:rtl/>
        </w:rPr>
        <w:t>,</w:t>
      </w:r>
      <w:r>
        <w:rPr>
          <w:rFonts w:cs="FrankRuehl"/>
          <w:sz w:val="20"/>
          <w:szCs w:val="22"/>
          <w:rtl/>
        </w:rPr>
        <w:t xml:space="preserve"> </w:t>
      </w:r>
      <w:r>
        <w:rPr>
          <w:rFonts w:cs="FrankRuehl" w:hint="cs"/>
          <w:sz w:val="20"/>
          <w:szCs w:val="22"/>
          <w:rtl/>
        </w:rPr>
        <w:t>והן כוללות חוגי העשרה, לימוד שפות ופעילויות פנאי למיניהן. ה</w:t>
      </w:r>
      <w:r>
        <w:rPr>
          <w:rFonts w:cs="FrankRuehl"/>
          <w:sz w:val="20"/>
          <w:szCs w:val="22"/>
          <w:rtl/>
        </w:rPr>
        <w:t>רשויות המקומיות</w:t>
      </w:r>
      <w:r>
        <w:rPr>
          <w:rFonts w:cs="FrankRuehl" w:hint="cs"/>
          <w:sz w:val="20"/>
          <w:szCs w:val="22"/>
          <w:rtl/>
        </w:rPr>
        <w:t xml:space="preserve"> מפעילות את רוב</w:t>
      </w:r>
      <w:r>
        <w:rPr>
          <w:rFonts w:cs="FrankRuehl"/>
          <w:sz w:val="20"/>
          <w:szCs w:val="22"/>
          <w:rtl/>
        </w:rPr>
        <w:t xml:space="preserve"> המועדונים</w:t>
      </w:r>
      <w:r>
        <w:rPr>
          <w:rFonts w:cs="FrankRuehl" w:hint="cs"/>
          <w:sz w:val="20"/>
          <w:szCs w:val="22"/>
          <w:rtl/>
        </w:rPr>
        <w:t>; את היתר מפעילים</w:t>
      </w:r>
      <w:r>
        <w:rPr>
          <w:rFonts w:cs="FrankRuehl"/>
          <w:sz w:val="20"/>
          <w:szCs w:val="22"/>
          <w:rtl/>
        </w:rPr>
        <w:t xml:space="preserve"> גופים וולונטריים.</w:t>
      </w:r>
    </w:p>
    <w:p w:rsidR="00F60E90">
      <w:pPr>
        <w:spacing w:after="120" w:line="230" w:lineRule="exact"/>
        <w:jc w:val="both"/>
        <w:rPr>
          <w:rFonts w:cs="FrankRuehl"/>
          <w:sz w:val="20"/>
          <w:szCs w:val="22"/>
          <w:rtl/>
        </w:rPr>
      </w:pPr>
      <w:r>
        <w:rPr>
          <w:rFonts w:cs="FrankRuehl"/>
          <w:sz w:val="20"/>
          <w:szCs w:val="22"/>
          <w:rtl/>
        </w:rPr>
        <w:t xml:space="preserve">בהוראת תע"ס 4.12 נקבעו אמות המידה להפעלת מועדון חברתי לזקן </w:t>
      </w:r>
      <w:r>
        <w:rPr>
          <w:rFonts w:cs="FrankRuehl" w:hint="cs"/>
          <w:sz w:val="20"/>
          <w:szCs w:val="22"/>
          <w:rtl/>
        </w:rPr>
        <w:t>המתייחסות לגודלו של המבנה, לנגישותו לאוכלוסיית הזקנים, לחלוקתו הפנימית, לציוד הנדרש בו, למספר ימי פעילות מינימליים ולמספר מבקרים יומיים מינימלי.</w:t>
      </w:r>
    </w:p>
    <w:p w:rsidR="00F60E90">
      <w:pPr>
        <w:spacing w:after="120" w:line="230" w:lineRule="exact"/>
        <w:jc w:val="both"/>
        <w:rPr>
          <w:rFonts w:cs="FrankRuehl"/>
          <w:sz w:val="20"/>
          <w:szCs w:val="22"/>
          <w:rtl/>
        </w:rPr>
      </w:pPr>
      <w:r>
        <w:rPr>
          <w:rFonts w:cs="FrankRuehl" w:hint="cs"/>
          <w:sz w:val="20"/>
          <w:szCs w:val="22"/>
          <w:rtl/>
        </w:rPr>
        <w:t>בדיקת פעילויות הפנאי שהרשויות המקומיות מספקות לזקנים שבתחומן העלתה את הממצאים האלה:</w:t>
      </w:r>
    </w:p>
    <w:p w:rsidR="00F60E90">
      <w:pPr>
        <w:spacing w:after="120" w:line="230" w:lineRule="exact"/>
        <w:jc w:val="both"/>
        <w:rPr>
          <w:rFonts w:cs="FrankRuehl"/>
          <w:sz w:val="20"/>
          <w:szCs w:val="22"/>
          <w:rtl/>
        </w:rPr>
      </w:pPr>
    </w:p>
    <w:p w:rsidR="00F60E90">
      <w:pPr>
        <w:pStyle w:val="KOT5"/>
        <w:rPr>
          <w:rtl/>
        </w:rPr>
      </w:pPr>
      <w:r>
        <w:rPr>
          <w:rFonts w:hint="eastAsia"/>
          <w:rtl/>
        </w:rPr>
        <w:t>עיריית</w:t>
      </w:r>
      <w:r>
        <w:rPr>
          <w:rtl/>
        </w:rPr>
        <w:t xml:space="preserve"> </w:t>
      </w:r>
      <w:r>
        <w:rPr>
          <w:rFonts w:hint="eastAsia"/>
          <w:rtl/>
        </w:rPr>
        <w:t>חיפה</w:t>
      </w:r>
    </w:p>
    <w:p w:rsidR="00F60E90">
      <w:pPr>
        <w:spacing w:after="120" w:line="230" w:lineRule="exact"/>
        <w:jc w:val="both"/>
        <w:rPr>
          <w:rFonts w:cs="FrankRuehl"/>
          <w:sz w:val="20"/>
          <w:szCs w:val="22"/>
          <w:rtl/>
        </w:rPr>
      </w:pPr>
      <w:r>
        <w:rPr>
          <w:rFonts w:cs="FrankRuehl" w:hint="cs"/>
          <w:sz w:val="20"/>
          <w:szCs w:val="22"/>
          <w:rtl/>
        </w:rPr>
        <w:t xml:space="preserve">בשנת 2012 </w:t>
      </w:r>
      <w:r>
        <w:rPr>
          <w:rFonts w:cs="FrankRuehl"/>
          <w:sz w:val="20"/>
          <w:szCs w:val="22"/>
          <w:rtl/>
        </w:rPr>
        <w:t>נבחרה</w:t>
      </w:r>
      <w:r>
        <w:rPr>
          <w:rFonts w:cs="FrankRuehl" w:hint="cs"/>
          <w:sz w:val="20"/>
          <w:szCs w:val="22"/>
          <w:rtl/>
        </w:rPr>
        <w:t xml:space="preserve"> עיריית חיפה</w:t>
      </w:r>
      <w:r>
        <w:rPr>
          <w:rFonts w:cs="FrankRuehl"/>
          <w:sz w:val="20"/>
          <w:szCs w:val="22"/>
          <w:rtl/>
        </w:rPr>
        <w:t xml:space="preserve"> לייצג את ישראל בארגון הבריאות העולמי</w:t>
      </w:r>
      <w:r>
        <w:rPr>
          <w:rFonts w:cs="FrankRuehl" w:hint="cs"/>
          <w:sz w:val="20"/>
          <w:szCs w:val="22"/>
          <w:rtl/>
        </w:rPr>
        <w:t>.</w:t>
      </w:r>
      <w:r>
        <w:rPr>
          <w:rFonts w:cs="FrankRuehl"/>
          <w:sz w:val="20"/>
          <w:szCs w:val="22"/>
          <w:rtl/>
        </w:rPr>
        <w:t xml:space="preserve"> </w:t>
      </w:r>
      <w:r>
        <w:rPr>
          <w:rFonts w:cs="FrankRuehl" w:hint="cs"/>
          <w:sz w:val="20"/>
          <w:szCs w:val="22"/>
          <w:rtl/>
        </w:rPr>
        <w:t xml:space="preserve">נקבע כי היא </w:t>
      </w:r>
      <w:r>
        <w:rPr>
          <w:rFonts w:cs="FrankRuehl"/>
          <w:sz w:val="20"/>
          <w:szCs w:val="22"/>
          <w:rtl/>
        </w:rPr>
        <w:t>תהיה העיר הראשונה בארץ שתפתח שירותים ייחודי</w:t>
      </w:r>
      <w:r>
        <w:rPr>
          <w:rFonts w:cs="FrankRuehl" w:hint="cs"/>
          <w:sz w:val="20"/>
          <w:szCs w:val="22"/>
          <w:rtl/>
        </w:rPr>
        <w:t>י</w:t>
      </w:r>
      <w:r>
        <w:rPr>
          <w:rFonts w:cs="FrankRuehl"/>
          <w:sz w:val="20"/>
          <w:szCs w:val="22"/>
          <w:rtl/>
        </w:rPr>
        <w:t>ם לתושביה הוותיקים במסגרת פרויקט ערים ידידותיות גיל</w:t>
      </w:r>
      <w:r>
        <w:rPr>
          <w:rFonts w:cs="FrankRuehl"/>
          <w:sz w:val="20"/>
          <w:szCs w:val="22"/>
          <w:vertAlign w:val="superscript"/>
          <w:rtl/>
        </w:rPr>
        <w:footnoteReference w:id="11"/>
      </w:r>
      <w:r>
        <w:rPr>
          <w:rFonts w:cs="FrankRuehl"/>
          <w:sz w:val="20"/>
          <w:szCs w:val="22"/>
          <w:rtl/>
        </w:rPr>
        <w:t>.</w:t>
      </w:r>
    </w:p>
    <w:p w:rsidR="00F60E90">
      <w:pPr>
        <w:spacing w:after="120" w:line="230" w:lineRule="exact"/>
        <w:jc w:val="both"/>
        <w:rPr>
          <w:rFonts w:cs="FrankRuehl"/>
          <w:sz w:val="20"/>
          <w:szCs w:val="22"/>
          <w:rtl/>
        </w:rPr>
      </w:pPr>
      <w:r>
        <w:rPr>
          <w:rFonts w:cs="FrankRuehl" w:hint="cs"/>
          <w:sz w:val="20"/>
          <w:szCs w:val="22"/>
          <w:rtl/>
        </w:rPr>
        <w:t>פעילויות הפנאי לאזרחים הוותיקים בחיפה נעשית בידי שתי יחידות עירוניות:</w:t>
      </w:r>
    </w:p>
    <w:p w:rsidR="00F60E90" w:rsidP="00B82060">
      <w:pPr>
        <w:spacing w:after="120" w:line="230" w:lineRule="exact"/>
        <w:ind w:left="340" w:hanging="340"/>
        <w:jc w:val="both"/>
        <w:rPr>
          <w:rFonts w:cs="FrankRuehl"/>
          <w:sz w:val="20"/>
          <w:szCs w:val="22"/>
          <w:rtl/>
        </w:rPr>
      </w:pPr>
      <w:r w:rsidRPr="00B82060">
        <w:rPr>
          <w:rFonts w:cs="FrankRuehl"/>
          <w:sz w:val="20"/>
          <w:szCs w:val="22"/>
          <w:rtl/>
        </w:rPr>
        <w:t>1.</w:t>
      </w:r>
      <w:r w:rsidRPr="00B82060">
        <w:rPr>
          <w:rFonts w:cs="FrankRuehl" w:hint="cs"/>
          <w:sz w:val="20"/>
          <w:szCs w:val="22"/>
          <w:rtl/>
        </w:rPr>
        <w:tab/>
      </w:r>
      <w:r>
        <w:rPr>
          <w:rFonts w:cs="FrankRuehl"/>
          <w:bCs/>
          <w:spacing w:val="40"/>
          <w:sz w:val="20"/>
          <w:szCs w:val="22"/>
          <w:rtl/>
        </w:rPr>
        <w:t>מיל"ב</w:t>
      </w:r>
      <w:r>
        <w:rPr>
          <w:rFonts w:cs="FrankRuehl"/>
          <w:sz w:val="20"/>
          <w:szCs w:val="22"/>
          <w:vertAlign w:val="superscript"/>
          <w:rtl/>
        </w:rPr>
        <w:footnoteReference w:id="12"/>
      </w:r>
      <w:r>
        <w:rPr>
          <w:rFonts w:cs="FrankRuehl"/>
          <w:bCs/>
          <w:spacing w:val="40"/>
          <w:sz w:val="20"/>
          <w:szCs w:val="22"/>
          <w:rtl/>
        </w:rPr>
        <w:t>:</w:t>
      </w:r>
      <w:r>
        <w:rPr>
          <w:rFonts w:cs="FrankRuehl" w:hint="cs"/>
          <w:sz w:val="20"/>
          <w:szCs w:val="22"/>
          <w:rtl/>
        </w:rPr>
        <w:t xml:space="preserve"> מיל"ב היא חברה עירונית ה</w:t>
      </w:r>
      <w:r>
        <w:rPr>
          <w:rFonts w:cs="FrankRuehl"/>
          <w:sz w:val="20"/>
          <w:szCs w:val="22"/>
          <w:rtl/>
        </w:rPr>
        <w:t xml:space="preserve">מתמחה </w:t>
      </w:r>
      <w:r>
        <w:rPr>
          <w:rFonts w:cs="FrankRuehl" w:hint="cs"/>
          <w:sz w:val="20"/>
          <w:szCs w:val="22"/>
          <w:rtl/>
        </w:rPr>
        <w:t>במגוון</w:t>
      </w:r>
      <w:r>
        <w:rPr>
          <w:rFonts w:cs="FrankRuehl"/>
          <w:sz w:val="20"/>
          <w:szCs w:val="22"/>
          <w:rtl/>
        </w:rPr>
        <w:t xml:space="preserve"> פעילויות פנאי, חברה ותרבות </w:t>
      </w:r>
      <w:r>
        <w:rPr>
          <w:rFonts w:cs="FrankRuehl" w:hint="cs"/>
          <w:sz w:val="20"/>
          <w:szCs w:val="22"/>
          <w:rtl/>
        </w:rPr>
        <w:t>ב</w:t>
      </w:r>
      <w:r>
        <w:rPr>
          <w:rFonts w:cs="FrankRuehl"/>
          <w:sz w:val="20"/>
          <w:szCs w:val="22"/>
          <w:rtl/>
        </w:rPr>
        <w:t xml:space="preserve">עבור </w:t>
      </w:r>
      <w:r>
        <w:rPr>
          <w:rFonts w:cs="FrankRuehl" w:hint="cs"/>
          <w:sz w:val="20"/>
          <w:szCs w:val="22"/>
          <w:rtl/>
        </w:rPr>
        <w:t>האזרחים הוותיקים</w:t>
      </w:r>
      <w:r>
        <w:rPr>
          <w:rFonts w:cs="FrankRuehl"/>
          <w:sz w:val="20"/>
          <w:szCs w:val="22"/>
          <w:rtl/>
        </w:rPr>
        <w:t xml:space="preserve"> </w:t>
      </w:r>
      <w:r>
        <w:rPr>
          <w:rFonts w:cs="FrankRuehl" w:hint="cs"/>
          <w:sz w:val="20"/>
          <w:szCs w:val="22"/>
          <w:rtl/>
        </w:rPr>
        <w:t>בעיר, והיא זו שגם מרכזת אותן.</w:t>
      </w:r>
      <w:r>
        <w:rPr>
          <w:rFonts w:cs="FrankRuehl"/>
          <w:sz w:val="20"/>
          <w:szCs w:val="22"/>
          <w:rtl/>
        </w:rPr>
        <w:t xml:space="preserve"> </w:t>
      </w:r>
      <w:r>
        <w:rPr>
          <w:rFonts w:cs="FrankRuehl" w:hint="cs"/>
          <w:sz w:val="20"/>
          <w:szCs w:val="22"/>
          <w:rtl/>
        </w:rPr>
        <w:t>החברה מפעילה</w:t>
      </w:r>
      <w:r>
        <w:rPr>
          <w:rFonts w:cs="FrankRuehl"/>
          <w:sz w:val="20"/>
          <w:szCs w:val="22"/>
          <w:rtl/>
        </w:rPr>
        <w:t xml:space="preserve"> 19 מועדונים </w:t>
      </w:r>
      <w:r>
        <w:rPr>
          <w:rFonts w:cs="FrankRuehl" w:hint="cs"/>
          <w:sz w:val="20"/>
          <w:szCs w:val="22"/>
          <w:rtl/>
        </w:rPr>
        <w:t>הפועלים במבנים שהעירייה מקצה לה.</w:t>
      </w:r>
      <w:r>
        <w:rPr>
          <w:rFonts w:cs="FrankRuehl"/>
          <w:sz w:val="20"/>
          <w:szCs w:val="22"/>
          <w:rtl/>
        </w:rPr>
        <w:t xml:space="preserve"> </w:t>
      </w:r>
      <w:r>
        <w:rPr>
          <w:rFonts w:cs="FrankRuehl" w:hint="cs"/>
          <w:sz w:val="20"/>
          <w:szCs w:val="22"/>
          <w:rtl/>
        </w:rPr>
        <w:t xml:space="preserve">המועדונים </w:t>
      </w:r>
      <w:r>
        <w:rPr>
          <w:rFonts w:cs="FrankRuehl"/>
          <w:sz w:val="20"/>
          <w:szCs w:val="22"/>
          <w:rtl/>
        </w:rPr>
        <w:t>פרוסים ברחבי העיר</w:t>
      </w:r>
      <w:r>
        <w:rPr>
          <w:rFonts w:cs="FrankRuehl" w:hint="cs"/>
          <w:sz w:val="20"/>
          <w:szCs w:val="22"/>
          <w:rtl/>
        </w:rPr>
        <w:t xml:space="preserve"> ומועברות בהם</w:t>
      </w:r>
      <w:r>
        <w:rPr>
          <w:rFonts w:cs="FrankRuehl"/>
          <w:sz w:val="20"/>
          <w:szCs w:val="22"/>
          <w:rtl/>
        </w:rPr>
        <w:t xml:space="preserve"> פעילויות שונות, </w:t>
      </w:r>
      <w:r>
        <w:rPr>
          <w:rFonts w:cs="FrankRuehl"/>
          <w:sz w:val="20"/>
          <w:szCs w:val="22"/>
          <w:rtl/>
        </w:rPr>
        <w:t xml:space="preserve">לרבות חוגים, סדנאות </w:t>
      </w:r>
      <w:r>
        <w:rPr>
          <w:rFonts w:cs="FrankRuehl" w:hint="cs"/>
          <w:sz w:val="20"/>
          <w:szCs w:val="22"/>
          <w:rtl/>
        </w:rPr>
        <w:t>ו</w:t>
      </w:r>
      <w:r>
        <w:rPr>
          <w:rFonts w:cs="FrankRuehl"/>
          <w:sz w:val="20"/>
          <w:szCs w:val="22"/>
          <w:rtl/>
        </w:rPr>
        <w:t xml:space="preserve">הרצאות. </w:t>
      </w:r>
      <w:r>
        <w:rPr>
          <w:rFonts w:cs="FrankRuehl" w:hint="cs"/>
          <w:sz w:val="20"/>
          <w:szCs w:val="22"/>
          <w:rtl/>
        </w:rPr>
        <w:t xml:space="preserve">נוסף לכך, החברה מעבירה כל מיני </w:t>
      </w:r>
      <w:r>
        <w:rPr>
          <w:rFonts w:cs="FrankRuehl"/>
          <w:sz w:val="20"/>
          <w:szCs w:val="22"/>
          <w:rtl/>
        </w:rPr>
        <w:t>פעילויות פנאי מחוץ למועדונים</w:t>
      </w:r>
      <w:r>
        <w:rPr>
          <w:rFonts w:cs="FrankRuehl" w:hint="cs"/>
          <w:sz w:val="20"/>
          <w:szCs w:val="22"/>
          <w:rtl/>
        </w:rPr>
        <w:t>,</w:t>
      </w:r>
      <w:r>
        <w:rPr>
          <w:rFonts w:cs="FrankRuehl"/>
          <w:sz w:val="20"/>
          <w:szCs w:val="22"/>
          <w:rtl/>
        </w:rPr>
        <w:t xml:space="preserve"> ובכלל</w:t>
      </w:r>
      <w:r>
        <w:rPr>
          <w:rFonts w:cs="FrankRuehl" w:hint="cs"/>
          <w:sz w:val="20"/>
          <w:szCs w:val="22"/>
          <w:rtl/>
        </w:rPr>
        <w:t xml:space="preserve"> זה</w:t>
      </w:r>
      <w:r>
        <w:rPr>
          <w:rFonts w:cs="FrankRuehl"/>
          <w:sz w:val="20"/>
          <w:szCs w:val="22"/>
          <w:rtl/>
        </w:rPr>
        <w:t xml:space="preserve"> טיולים בארץ ובעולם, נופש</w:t>
      </w:r>
      <w:r>
        <w:rPr>
          <w:rFonts w:cs="FrankRuehl" w:hint="cs"/>
          <w:sz w:val="20"/>
          <w:szCs w:val="22"/>
          <w:rtl/>
        </w:rPr>
        <w:t>ים</w:t>
      </w:r>
      <w:r>
        <w:rPr>
          <w:rFonts w:cs="FrankRuehl"/>
          <w:sz w:val="20"/>
          <w:szCs w:val="22"/>
          <w:rtl/>
        </w:rPr>
        <w:t xml:space="preserve"> ואירועי תרבות שונים</w:t>
      </w:r>
      <w:r>
        <w:rPr>
          <w:rFonts w:cs="FrankRuehl" w:hint="cs"/>
          <w:sz w:val="20"/>
          <w:szCs w:val="22"/>
          <w:rtl/>
        </w:rPr>
        <w:t>.</w:t>
      </w:r>
    </w:p>
    <w:p w:rsidR="00F60E90" w:rsidP="00B82060">
      <w:pPr>
        <w:spacing w:after="120" w:line="230" w:lineRule="exact"/>
        <w:ind w:left="340"/>
        <w:jc w:val="both"/>
        <w:rPr>
          <w:rFonts w:cs="FrankRuehl"/>
          <w:sz w:val="20"/>
          <w:szCs w:val="22"/>
          <w:rtl/>
        </w:rPr>
      </w:pPr>
      <w:r>
        <w:rPr>
          <w:rFonts w:cs="FrankRuehl" w:hint="cs"/>
          <w:sz w:val="20"/>
          <w:szCs w:val="22"/>
          <w:rtl/>
        </w:rPr>
        <w:t xml:space="preserve">מדי שנה העירייה מתקצבת את מיל"ב בסכומים המהווים כ-20% מהכנסותיה; בשנת 2011 - </w:t>
      </w:r>
      <w:r>
        <w:rPr>
          <w:rFonts w:cs="FrankRuehl"/>
          <w:sz w:val="20"/>
          <w:szCs w:val="22"/>
          <w:rtl/>
        </w:rPr>
        <w:br/>
      </w:r>
      <w:r>
        <w:rPr>
          <w:rFonts w:cs="FrankRuehl" w:hint="cs"/>
          <w:sz w:val="20"/>
          <w:szCs w:val="22"/>
          <w:rtl/>
        </w:rPr>
        <w:t>כ-2.4 מיליון ש"ח, בשנת 2012 - כ-2.6 מיליון ש"ח ובשנת 2013 - כ-3.4 מיליון ש"ח.</w:t>
      </w:r>
    </w:p>
    <w:p w:rsidR="00F60E90" w:rsidP="00B82060">
      <w:pPr>
        <w:spacing w:after="120" w:line="230" w:lineRule="exact"/>
        <w:ind w:left="680" w:hanging="340"/>
        <w:jc w:val="both"/>
        <w:rPr>
          <w:rFonts w:cs="FrankRuehl"/>
          <w:sz w:val="20"/>
          <w:szCs w:val="22"/>
          <w:rtl/>
        </w:rPr>
      </w:pPr>
      <w:r w:rsidRPr="005A1A35">
        <w:rPr>
          <w:rFonts w:cs="FrankRuehl" w:hint="cs"/>
          <w:sz w:val="20"/>
          <w:szCs w:val="22"/>
          <w:rtl/>
        </w:rPr>
        <w:t>א</w:t>
      </w:r>
      <w:r w:rsidRPr="005A1A35" w:rsidR="00B82060">
        <w:rPr>
          <w:rFonts w:cs="FrankRuehl" w:hint="cs"/>
          <w:sz w:val="20"/>
          <w:szCs w:val="22"/>
          <w:rtl/>
        </w:rPr>
        <w:t>.</w:t>
      </w:r>
      <w:r w:rsidRPr="005A1A35">
        <w:rPr>
          <w:rFonts w:cs="FrankRuehl" w:hint="cs"/>
          <w:sz w:val="20"/>
          <w:szCs w:val="22"/>
          <w:rtl/>
        </w:rPr>
        <w:tab/>
        <w:t>כאמור, בהוראות התע"ס נקבע</w:t>
      </w:r>
      <w:r w:rsidRPr="005A1A35">
        <w:rPr>
          <w:rFonts w:cs="FrankRuehl"/>
          <w:sz w:val="20"/>
          <w:szCs w:val="22"/>
          <w:rtl/>
        </w:rPr>
        <w:t xml:space="preserve"> כי המועדון יפעל במבנה ציבורי נגיש ומותאם לאוכלוסיית הזקנים</w:t>
      </w:r>
      <w:r w:rsidRPr="005A1A35">
        <w:rPr>
          <w:rFonts w:cs="FrankRuehl" w:hint="cs"/>
          <w:sz w:val="20"/>
          <w:szCs w:val="22"/>
          <w:rtl/>
        </w:rPr>
        <w:t>, העומד בהוראות</w:t>
      </w:r>
      <w:r w:rsidRPr="005A1A35">
        <w:rPr>
          <w:rFonts w:cs="FrankRuehl"/>
          <w:sz w:val="20"/>
          <w:szCs w:val="22"/>
          <w:rtl/>
        </w:rPr>
        <w:t xml:space="preserve"> חוק </w:t>
      </w:r>
      <w:r w:rsidRPr="005A1A35">
        <w:rPr>
          <w:rFonts w:cs="FrankRuehl" w:hint="cs"/>
          <w:sz w:val="20"/>
          <w:szCs w:val="22"/>
          <w:rtl/>
        </w:rPr>
        <w:t>ה</w:t>
      </w:r>
      <w:r w:rsidRPr="005A1A35">
        <w:rPr>
          <w:rFonts w:cs="FrankRuehl"/>
          <w:sz w:val="20"/>
          <w:szCs w:val="22"/>
          <w:rtl/>
        </w:rPr>
        <w:t>תכנון והבניה</w:t>
      </w:r>
      <w:r w:rsidRPr="005A1A35">
        <w:rPr>
          <w:rFonts w:cs="FrankRuehl" w:hint="cs"/>
          <w:sz w:val="20"/>
          <w:szCs w:val="22"/>
          <w:rtl/>
        </w:rPr>
        <w:t>, התשכ"ה-1965</w:t>
      </w:r>
      <w:r w:rsidRPr="005A1A35">
        <w:rPr>
          <w:rFonts w:cs="FrankRuehl"/>
          <w:sz w:val="20"/>
          <w:szCs w:val="22"/>
          <w:rtl/>
        </w:rPr>
        <w:t xml:space="preserve">; המועדון יכלול מספר חדרי פעילות </w:t>
      </w:r>
      <w:r w:rsidRPr="005A1A35">
        <w:rPr>
          <w:rFonts w:cs="FrankRuehl" w:hint="cs"/>
          <w:sz w:val="20"/>
          <w:szCs w:val="22"/>
          <w:rtl/>
        </w:rPr>
        <w:t>ו</w:t>
      </w:r>
      <w:r w:rsidRPr="005A1A35">
        <w:rPr>
          <w:rFonts w:cs="FrankRuehl"/>
          <w:sz w:val="20"/>
          <w:szCs w:val="22"/>
          <w:rtl/>
        </w:rPr>
        <w:t xml:space="preserve">המפעיל </w:t>
      </w:r>
      <w:r w:rsidRPr="005A1A35">
        <w:rPr>
          <w:rFonts w:cs="FrankRuehl" w:hint="cs"/>
          <w:sz w:val="20"/>
          <w:szCs w:val="22"/>
          <w:rtl/>
        </w:rPr>
        <w:t xml:space="preserve">יהיה אחראי </w:t>
      </w:r>
      <w:r w:rsidRPr="005A1A35">
        <w:rPr>
          <w:rFonts w:cs="FrankRuehl"/>
          <w:sz w:val="20"/>
          <w:szCs w:val="22"/>
          <w:rtl/>
        </w:rPr>
        <w:t>לתקינות המבנה וציודו</w:t>
      </w:r>
      <w:r w:rsidRPr="005A1A35">
        <w:rPr>
          <w:rFonts w:cs="FrankRuehl" w:hint="cs"/>
          <w:sz w:val="20"/>
          <w:szCs w:val="22"/>
          <w:rtl/>
        </w:rPr>
        <w:t>.</w:t>
      </w:r>
    </w:p>
    <w:p w:rsidR="00F60E90" w:rsidP="00B82060">
      <w:pPr>
        <w:spacing w:after="120" w:line="230" w:lineRule="exact"/>
        <w:ind w:left="680"/>
        <w:jc w:val="both"/>
        <w:rPr>
          <w:rFonts w:cs="FrankRuehl"/>
          <w:sz w:val="20"/>
          <w:szCs w:val="22"/>
          <w:rtl/>
        </w:rPr>
      </w:pPr>
      <w:r>
        <w:rPr>
          <w:rFonts w:cs="FrankRuehl" w:hint="cs"/>
          <w:sz w:val="20"/>
          <w:szCs w:val="22"/>
          <w:rtl/>
        </w:rPr>
        <w:t>הביקורת העלתה כי שני מועדונים חברתיים שמיל"ב מפעילה אינם נגישים לזקנים, והם קטנים מלהכיל את הפעילות הניתנת בהם.</w:t>
      </w:r>
    </w:p>
    <w:p w:rsidR="00F60E90" w:rsidP="00B82060">
      <w:pPr>
        <w:spacing w:after="120" w:line="230" w:lineRule="exact"/>
        <w:ind w:left="680"/>
        <w:jc w:val="both"/>
        <w:rPr>
          <w:rFonts w:cs="FrankRuehl"/>
          <w:sz w:val="20"/>
          <w:szCs w:val="22"/>
          <w:rtl/>
        </w:rPr>
      </w:pPr>
      <w:r w:rsidRPr="00B82060">
        <w:rPr>
          <w:rFonts w:cs="FrankRuehl" w:hint="cs"/>
          <w:b/>
          <w:bCs/>
          <w:spacing w:val="40"/>
          <w:sz w:val="20"/>
          <w:szCs w:val="22"/>
          <w:rtl/>
        </w:rPr>
        <w:t>מועדון</w:t>
      </w:r>
      <w:r w:rsidRPr="00B82060">
        <w:rPr>
          <w:rFonts w:cs="FrankRuehl"/>
          <w:b/>
          <w:bCs/>
          <w:spacing w:val="40"/>
          <w:sz w:val="20"/>
          <w:szCs w:val="22"/>
          <w:rtl/>
        </w:rPr>
        <w:t xml:space="preserve"> </w:t>
      </w:r>
      <w:r w:rsidRPr="00B82060">
        <w:rPr>
          <w:rFonts w:cs="FrankRuehl" w:hint="cs"/>
          <w:b/>
          <w:bCs/>
          <w:spacing w:val="40"/>
          <w:sz w:val="20"/>
          <w:szCs w:val="22"/>
          <w:rtl/>
        </w:rPr>
        <w:t>רוממה</w:t>
      </w:r>
      <w:r w:rsidRPr="00B82060">
        <w:rPr>
          <w:rFonts w:cs="FrankRuehl"/>
          <w:b/>
          <w:bCs/>
          <w:spacing w:val="40"/>
          <w:sz w:val="20"/>
          <w:szCs w:val="22"/>
          <w:rtl/>
        </w:rPr>
        <w:t>:</w:t>
      </w:r>
      <w:r>
        <w:rPr>
          <w:rFonts w:cs="FrankRuehl" w:hint="cs"/>
          <w:sz w:val="20"/>
          <w:szCs w:val="22"/>
          <w:rtl/>
        </w:rPr>
        <w:t xml:space="preserve"> המועדון נמצא בשכונת רוממה ומופעל בתוך </w:t>
      </w:r>
      <w:r>
        <w:rPr>
          <w:rFonts w:cs="FrankRuehl"/>
          <w:sz w:val="20"/>
          <w:szCs w:val="22"/>
          <w:rtl/>
        </w:rPr>
        <w:t xml:space="preserve">מקלט </w:t>
      </w:r>
      <w:r>
        <w:rPr>
          <w:rFonts w:cs="FrankRuehl" w:hint="cs"/>
          <w:sz w:val="20"/>
          <w:szCs w:val="22"/>
          <w:rtl/>
        </w:rPr>
        <w:t>ציבורי ש</w:t>
      </w:r>
      <w:r>
        <w:rPr>
          <w:rFonts w:cs="FrankRuehl"/>
          <w:sz w:val="20"/>
          <w:szCs w:val="22"/>
          <w:rtl/>
        </w:rPr>
        <w:t>מדרגו</w:t>
      </w:r>
      <w:r>
        <w:rPr>
          <w:rFonts w:cs="FrankRuehl" w:hint="cs"/>
          <w:sz w:val="20"/>
          <w:szCs w:val="22"/>
          <w:rtl/>
        </w:rPr>
        <w:t>ת</w:t>
      </w:r>
      <w:r>
        <w:rPr>
          <w:rFonts w:cs="FrankRuehl"/>
          <w:sz w:val="20"/>
          <w:szCs w:val="22"/>
          <w:rtl/>
        </w:rPr>
        <w:t xml:space="preserve"> מובילות אליו</w:t>
      </w:r>
      <w:r>
        <w:rPr>
          <w:rFonts w:cs="FrankRuehl" w:hint="cs"/>
          <w:sz w:val="20"/>
          <w:szCs w:val="22"/>
          <w:rtl/>
        </w:rPr>
        <w:t>,</w:t>
      </w:r>
      <w:r>
        <w:rPr>
          <w:rFonts w:cs="FrankRuehl"/>
          <w:sz w:val="20"/>
          <w:szCs w:val="22"/>
          <w:rtl/>
        </w:rPr>
        <w:t xml:space="preserve"> ללא תאורה ואוורור חיצוני</w:t>
      </w:r>
      <w:r>
        <w:rPr>
          <w:rFonts w:cs="FrankRuehl" w:hint="cs"/>
          <w:sz w:val="20"/>
          <w:szCs w:val="22"/>
          <w:rtl/>
        </w:rPr>
        <w:t>, ובו</w:t>
      </w:r>
      <w:r>
        <w:rPr>
          <w:rFonts w:cs="FrankRuehl"/>
          <w:sz w:val="20"/>
          <w:szCs w:val="22"/>
          <w:rtl/>
        </w:rPr>
        <w:t xml:space="preserve"> חדר אחד בלבד </w:t>
      </w:r>
      <w:r>
        <w:rPr>
          <w:rFonts w:cs="FrankRuehl" w:hint="cs"/>
          <w:sz w:val="20"/>
          <w:szCs w:val="22"/>
          <w:rtl/>
        </w:rPr>
        <w:t>ה</w:t>
      </w:r>
      <w:r>
        <w:rPr>
          <w:rFonts w:cs="FrankRuehl"/>
          <w:sz w:val="20"/>
          <w:szCs w:val="22"/>
          <w:rtl/>
        </w:rPr>
        <w:t xml:space="preserve">משמש </w:t>
      </w:r>
      <w:r>
        <w:rPr>
          <w:rFonts w:cs="FrankRuehl" w:hint="cs"/>
          <w:sz w:val="20"/>
          <w:szCs w:val="22"/>
          <w:rtl/>
        </w:rPr>
        <w:t xml:space="preserve">בו זמנית חדר </w:t>
      </w:r>
      <w:r>
        <w:rPr>
          <w:rFonts w:cs="FrankRuehl"/>
          <w:sz w:val="20"/>
          <w:szCs w:val="22"/>
          <w:rtl/>
        </w:rPr>
        <w:t xml:space="preserve">פעילות </w:t>
      </w:r>
      <w:r>
        <w:rPr>
          <w:rFonts w:cs="FrankRuehl" w:hint="cs"/>
          <w:sz w:val="20"/>
          <w:szCs w:val="22"/>
          <w:rtl/>
        </w:rPr>
        <w:t>ו</w:t>
      </w:r>
      <w:r>
        <w:rPr>
          <w:rFonts w:cs="FrankRuehl"/>
          <w:sz w:val="20"/>
          <w:szCs w:val="22"/>
          <w:rtl/>
        </w:rPr>
        <w:t xml:space="preserve">חדר </w:t>
      </w:r>
      <w:r>
        <w:rPr>
          <w:rFonts w:cs="FrankRuehl" w:hint="cs"/>
          <w:sz w:val="20"/>
          <w:szCs w:val="22"/>
          <w:rtl/>
        </w:rPr>
        <w:t>התכנסות</w:t>
      </w:r>
      <w:r>
        <w:rPr>
          <w:rFonts w:cs="FrankRuehl"/>
          <w:sz w:val="20"/>
          <w:szCs w:val="22"/>
          <w:rtl/>
        </w:rPr>
        <w:t xml:space="preserve">. במועדון מבקרים 474 </w:t>
      </w:r>
      <w:r>
        <w:rPr>
          <w:rFonts w:cs="FrankRuehl" w:hint="cs"/>
          <w:sz w:val="20"/>
          <w:szCs w:val="22"/>
          <w:rtl/>
        </w:rPr>
        <w:t xml:space="preserve">זקנים ובממוצע יומי מבקרים בו כ-100 זקנים. </w:t>
      </w:r>
    </w:p>
    <w:p w:rsidR="00F60E90" w:rsidP="00B82060">
      <w:pPr>
        <w:spacing w:after="120" w:line="230" w:lineRule="exact"/>
        <w:ind w:left="680"/>
        <w:jc w:val="both"/>
        <w:rPr>
          <w:rFonts w:cs="FrankRuehl"/>
          <w:sz w:val="20"/>
          <w:szCs w:val="22"/>
          <w:rtl/>
        </w:rPr>
      </w:pPr>
      <w:r w:rsidRPr="00B82060">
        <w:rPr>
          <w:rFonts w:cs="FrankRuehl"/>
          <w:b/>
          <w:bCs/>
          <w:spacing w:val="40"/>
          <w:sz w:val="20"/>
          <w:szCs w:val="22"/>
          <w:rtl/>
        </w:rPr>
        <w:t>מועדון כרמל:</w:t>
      </w:r>
      <w:r>
        <w:rPr>
          <w:rFonts w:cs="FrankRuehl" w:hint="cs"/>
          <w:sz w:val="20"/>
          <w:szCs w:val="22"/>
          <w:rtl/>
        </w:rPr>
        <w:t xml:space="preserve"> המועדון נמצא במרכז הכרמל ומופעל</w:t>
      </w:r>
      <w:r>
        <w:rPr>
          <w:rFonts w:cs="FrankRuehl"/>
          <w:sz w:val="20"/>
          <w:szCs w:val="22"/>
          <w:rtl/>
        </w:rPr>
        <w:t xml:space="preserve"> </w:t>
      </w:r>
      <w:r>
        <w:rPr>
          <w:rFonts w:cs="FrankRuehl" w:hint="cs"/>
          <w:sz w:val="20"/>
          <w:szCs w:val="22"/>
          <w:rtl/>
        </w:rPr>
        <w:t>ב</w:t>
      </w:r>
      <w:r>
        <w:rPr>
          <w:rFonts w:cs="FrankRuehl"/>
          <w:sz w:val="20"/>
          <w:szCs w:val="22"/>
          <w:rtl/>
        </w:rPr>
        <w:t>קומה שני</w:t>
      </w:r>
      <w:r>
        <w:rPr>
          <w:rFonts w:cs="FrankRuehl" w:hint="cs"/>
          <w:sz w:val="20"/>
          <w:szCs w:val="22"/>
          <w:rtl/>
        </w:rPr>
        <w:t>י</w:t>
      </w:r>
      <w:r>
        <w:rPr>
          <w:rFonts w:cs="FrankRuehl"/>
          <w:sz w:val="20"/>
          <w:szCs w:val="22"/>
          <w:rtl/>
        </w:rPr>
        <w:t>ה</w:t>
      </w:r>
      <w:r>
        <w:rPr>
          <w:rFonts w:cs="FrankRuehl" w:hint="cs"/>
          <w:sz w:val="20"/>
          <w:szCs w:val="22"/>
          <w:rtl/>
        </w:rPr>
        <w:t xml:space="preserve"> בבניין</w:t>
      </w:r>
      <w:r>
        <w:rPr>
          <w:rFonts w:cs="FrankRuehl"/>
          <w:sz w:val="20"/>
          <w:szCs w:val="22"/>
          <w:rtl/>
        </w:rPr>
        <w:t xml:space="preserve"> ללא מעלית. </w:t>
      </w:r>
      <w:r>
        <w:rPr>
          <w:rFonts w:cs="FrankRuehl" w:hint="cs"/>
          <w:sz w:val="20"/>
          <w:szCs w:val="22"/>
          <w:rtl/>
        </w:rPr>
        <w:t>במועדון אולם</w:t>
      </w:r>
      <w:r>
        <w:rPr>
          <w:rFonts w:cs="FrankRuehl"/>
          <w:sz w:val="20"/>
          <w:szCs w:val="22"/>
          <w:rtl/>
        </w:rPr>
        <w:t xml:space="preserve"> שממנו </w:t>
      </w:r>
      <w:r>
        <w:rPr>
          <w:rFonts w:cs="FrankRuehl" w:hint="cs"/>
          <w:sz w:val="20"/>
          <w:szCs w:val="22"/>
          <w:rtl/>
        </w:rPr>
        <w:t>נכנסים</w:t>
      </w:r>
      <w:r>
        <w:rPr>
          <w:rFonts w:cs="FrankRuehl"/>
          <w:sz w:val="20"/>
          <w:szCs w:val="22"/>
          <w:rtl/>
        </w:rPr>
        <w:t xml:space="preserve"> לחדרים קטנים יותר</w:t>
      </w:r>
      <w:r>
        <w:rPr>
          <w:rFonts w:cs="FrankRuehl" w:hint="cs"/>
          <w:sz w:val="20"/>
          <w:szCs w:val="22"/>
          <w:rtl/>
        </w:rPr>
        <w:t xml:space="preserve"> ש</w:t>
      </w:r>
      <w:r>
        <w:rPr>
          <w:rFonts w:cs="FrankRuehl"/>
          <w:sz w:val="20"/>
          <w:szCs w:val="22"/>
          <w:rtl/>
        </w:rPr>
        <w:t>ה</w:t>
      </w:r>
      <w:r>
        <w:rPr>
          <w:rFonts w:cs="FrankRuehl" w:hint="cs"/>
          <w:sz w:val="20"/>
          <w:szCs w:val="22"/>
          <w:rtl/>
        </w:rPr>
        <w:t>כניסה</w:t>
      </w:r>
      <w:r>
        <w:rPr>
          <w:rFonts w:cs="FrankRuehl"/>
          <w:sz w:val="20"/>
          <w:szCs w:val="22"/>
          <w:rtl/>
        </w:rPr>
        <w:t xml:space="preserve"> </w:t>
      </w:r>
      <w:r>
        <w:rPr>
          <w:rFonts w:cs="FrankRuehl" w:hint="cs"/>
          <w:sz w:val="20"/>
          <w:szCs w:val="22"/>
          <w:rtl/>
        </w:rPr>
        <w:t>אליהם</w:t>
      </w:r>
      <w:r>
        <w:rPr>
          <w:rFonts w:cs="FrankRuehl"/>
          <w:sz w:val="20"/>
          <w:szCs w:val="22"/>
          <w:rtl/>
        </w:rPr>
        <w:t xml:space="preserve"> </w:t>
      </w:r>
      <w:r>
        <w:rPr>
          <w:rFonts w:cs="FrankRuehl" w:hint="cs"/>
          <w:sz w:val="20"/>
          <w:szCs w:val="22"/>
          <w:rtl/>
        </w:rPr>
        <w:t xml:space="preserve">נעשית דרכו והמעבר </w:t>
      </w:r>
      <w:r>
        <w:rPr>
          <w:rFonts w:cs="FrankRuehl"/>
          <w:sz w:val="20"/>
          <w:szCs w:val="22"/>
          <w:rtl/>
        </w:rPr>
        <w:t xml:space="preserve">מפריע </w:t>
      </w:r>
      <w:r>
        <w:rPr>
          <w:rFonts w:cs="FrankRuehl" w:hint="cs"/>
          <w:sz w:val="20"/>
          <w:szCs w:val="22"/>
          <w:rtl/>
        </w:rPr>
        <w:t>ל</w:t>
      </w:r>
      <w:r>
        <w:rPr>
          <w:rFonts w:cs="FrankRuehl"/>
          <w:sz w:val="20"/>
          <w:szCs w:val="22"/>
          <w:rtl/>
        </w:rPr>
        <w:t xml:space="preserve">פעילות </w:t>
      </w:r>
      <w:r>
        <w:rPr>
          <w:rFonts w:cs="FrankRuehl" w:hint="cs"/>
          <w:sz w:val="20"/>
          <w:szCs w:val="22"/>
          <w:rtl/>
        </w:rPr>
        <w:t>הנערכת באולם</w:t>
      </w:r>
      <w:r>
        <w:rPr>
          <w:rFonts w:cs="FrankRuehl"/>
          <w:sz w:val="20"/>
          <w:szCs w:val="22"/>
          <w:rtl/>
        </w:rPr>
        <w:t>.</w:t>
      </w:r>
      <w:r>
        <w:rPr>
          <w:rFonts w:cs="FrankRuehl" w:hint="cs"/>
          <w:sz w:val="20"/>
          <w:szCs w:val="22"/>
          <w:rtl/>
        </w:rPr>
        <w:t xml:space="preserve"> בפעילויות המועדון משתתפים</w:t>
      </w:r>
      <w:r>
        <w:rPr>
          <w:rFonts w:cs="FrankRuehl"/>
          <w:sz w:val="20"/>
          <w:szCs w:val="22"/>
          <w:rtl/>
        </w:rPr>
        <w:t xml:space="preserve"> </w:t>
      </w:r>
      <w:r>
        <w:rPr>
          <w:rFonts w:cs="FrankRuehl" w:hint="cs"/>
          <w:sz w:val="20"/>
          <w:szCs w:val="22"/>
          <w:rtl/>
        </w:rPr>
        <w:t>926</w:t>
      </w:r>
      <w:r>
        <w:rPr>
          <w:rFonts w:cs="FrankRuehl"/>
          <w:sz w:val="20"/>
          <w:szCs w:val="22"/>
          <w:rtl/>
        </w:rPr>
        <w:t xml:space="preserve"> גמלאים קבועים ואורחים</w:t>
      </w:r>
      <w:r>
        <w:rPr>
          <w:rFonts w:cs="FrankRuehl" w:hint="cs"/>
          <w:sz w:val="20"/>
          <w:szCs w:val="22"/>
          <w:rtl/>
        </w:rPr>
        <w:t xml:space="preserve"> ובממוצע יומי מבקרים בו כ-147 זקנים.</w:t>
      </w:r>
    </w:p>
    <w:p w:rsidR="00F60E90" w:rsidP="00B82060">
      <w:pPr>
        <w:spacing w:after="120" w:line="230" w:lineRule="exact"/>
        <w:ind w:left="680"/>
        <w:jc w:val="both"/>
        <w:rPr>
          <w:rFonts w:cs="FrankRuehl"/>
          <w:sz w:val="20"/>
          <w:szCs w:val="22"/>
          <w:rtl/>
        </w:rPr>
      </w:pPr>
      <w:r>
        <w:rPr>
          <w:rFonts w:cs="FrankRuehl" w:hint="cs"/>
          <w:sz w:val="20"/>
          <w:szCs w:val="22"/>
          <w:rtl/>
        </w:rPr>
        <w:t>בתשובתה ממאי 2014 מסרה מיל"ב כי מועדוניה פועלים במבנים שהקצתה לה העירייה. בעניין מועדון רוממה ציינה העירייה כי מיל"ב כבר פנתה אליה בעבר בבקשה לחפש מקום חלופי למועדון הפועל במקלט ציבורי, אך לא נמצא מבנה מתאים אחר בשכונה. בעניין מועדון כרמל ביקשה בעבר מיל"ב מהעירייה לקבל את קומת הקרקע של המבנה שבה פועלת ספרייה עירונית, כדי להנגיש את הפעילויות לגמלאים, אך היא טרם נענתה.</w:t>
      </w:r>
    </w:p>
    <w:p w:rsidR="00F60E90" w:rsidP="00B82060">
      <w:pPr>
        <w:pStyle w:val="RESHET"/>
        <w:ind w:left="907"/>
        <w:rPr>
          <w:rtl/>
        </w:rPr>
      </w:pPr>
      <w:r>
        <w:rPr>
          <w:rFonts w:hint="cs"/>
          <w:rtl/>
        </w:rPr>
        <w:t>משרד מבקר המדינה העיר לעיריית חיפה כי עליה לפעול להנגשת שני המועדונים החברתיים לזקנים ולהתאימם לאמות המידה שנקבעו בתע"ס.</w:t>
      </w:r>
    </w:p>
    <w:p w:rsidR="00F60E90" w:rsidP="00B82060">
      <w:pPr>
        <w:spacing w:before="180" w:after="240" w:line="230" w:lineRule="exact"/>
        <w:ind w:left="680" w:hanging="340"/>
        <w:jc w:val="both"/>
        <w:rPr>
          <w:rFonts w:cs="FrankRuehl"/>
          <w:sz w:val="20"/>
          <w:szCs w:val="22"/>
          <w:rtl/>
        </w:rPr>
      </w:pPr>
      <w:r w:rsidRPr="005A1A35">
        <w:rPr>
          <w:rFonts w:cs="FrankRuehl" w:hint="cs"/>
          <w:sz w:val="20"/>
          <w:szCs w:val="22"/>
          <w:rtl/>
        </w:rPr>
        <w:t>ב</w:t>
      </w:r>
      <w:r w:rsidRPr="005A1A35" w:rsidR="00B82060">
        <w:rPr>
          <w:rFonts w:cs="FrankRuehl" w:hint="cs"/>
          <w:sz w:val="20"/>
          <w:szCs w:val="22"/>
          <w:rtl/>
        </w:rPr>
        <w:t>.</w:t>
      </w:r>
      <w:r>
        <w:rPr>
          <w:rFonts w:cs="FrankRuehl" w:hint="cs"/>
          <w:sz w:val="20"/>
          <w:szCs w:val="22"/>
          <w:rtl/>
        </w:rPr>
        <w:tab/>
        <w:t>על פי סקר שערכה עיריית חיפה בשנת 2013, במסגרת תכנית האב לאזרחים ותיקים בעיר, ומנתוני היקף אוכלוסיית הזקנים בתחומה עלה כי לעיר נדרשים 27 מועדונים חברתיים. למשל,</w:t>
      </w:r>
      <w:r>
        <w:rPr>
          <w:rFonts w:cs="FrankRuehl"/>
          <w:sz w:val="20"/>
          <w:szCs w:val="22"/>
          <w:rtl/>
        </w:rPr>
        <w:t xml:space="preserve"> </w:t>
      </w:r>
      <w:r>
        <w:rPr>
          <w:rFonts w:cs="FrankRuehl" w:hint="cs"/>
          <w:sz w:val="20"/>
          <w:szCs w:val="22"/>
          <w:rtl/>
        </w:rPr>
        <w:t>אף על פי שבשכונת</w:t>
      </w:r>
      <w:r>
        <w:rPr>
          <w:rFonts w:cs="FrankRuehl"/>
          <w:sz w:val="20"/>
          <w:szCs w:val="22"/>
          <w:rtl/>
        </w:rPr>
        <w:t xml:space="preserve"> נווה שאנן </w:t>
      </w:r>
      <w:r>
        <w:rPr>
          <w:rFonts w:cs="FrankRuehl" w:hint="cs"/>
          <w:sz w:val="20"/>
          <w:szCs w:val="22"/>
          <w:rtl/>
        </w:rPr>
        <w:t>מצויה</w:t>
      </w:r>
      <w:r>
        <w:rPr>
          <w:rFonts w:cs="FrankRuehl"/>
          <w:sz w:val="20"/>
          <w:szCs w:val="22"/>
          <w:rtl/>
        </w:rPr>
        <w:t xml:space="preserve"> אוכלוסיית </w:t>
      </w:r>
      <w:r>
        <w:rPr>
          <w:rFonts w:cs="FrankRuehl" w:hint="cs"/>
          <w:sz w:val="20"/>
          <w:szCs w:val="22"/>
          <w:rtl/>
        </w:rPr>
        <w:t>זקנים</w:t>
      </w:r>
      <w:r>
        <w:rPr>
          <w:rFonts w:cs="FrankRuehl"/>
          <w:sz w:val="20"/>
          <w:szCs w:val="22"/>
          <w:rtl/>
        </w:rPr>
        <w:t xml:space="preserve"> </w:t>
      </w:r>
      <w:r>
        <w:rPr>
          <w:rFonts w:cs="FrankRuehl" w:hint="cs"/>
          <w:sz w:val="20"/>
          <w:szCs w:val="22"/>
          <w:rtl/>
        </w:rPr>
        <w:t>גדולה</w:t>
      </w:r>
      <w:r>
        <w:rPr>
          <w:rFonts w:cs="FrankRuehl"/>
          <w:sz w:val="20"/>
          <w:szCs w:val="22"/>
          <w:rtl/>
        </w:rPr>
        <w:t xml:space="preserve">, </w:t>
      </w:r>
      <w:r>
        <w:rPr>
          <w:rFonts w:cs="FrankRuehl" w:hint="cs"/>
          <w:sz w:val="20"/>
          <w:szCs w:val="22"/>
          <w:rtl/>
        </w:rPr>
        <w:t>לא הקימה העירייה או ייעדה בה מועדון חברתי לזקן. לכן,</w:t>
      </w:r>
      <w:r>
        <w:rPr>
          <w:rFonts w:cs="FrankRuehl"/>
          <w:sz w:val="20"/>
          <w:szCs w:val="22"/>
          <w:rtl/>
        </w:rPr>
        <w:t xml:space="preserve"> לא ניתן מענה חברתי</w:t>
      </w:r>
      <w:r>
        <w:rPr>
          <w:rFonts w:cs="FrankRuehl" w:hint="cs"/>
          <w:sz w:val="20"/>
          <w:szCs w:val="22"/>
          <w:rtl/>
        </w:rPr>
        <w:t xml:space="preserve"> ו</w:t>
      </w:r>
      <w:r>
        <w:rPr>
          <w:rFonts w:cs="FrankRuehl"/>
          <w:sz w:val="20"/>
          <w:szCs w:val="22"/>
          <w:rtl/>
        </w:rPr>
        <w:t>תרבותי</w:t>
      </w:r>
      <w:r>
        <w:rPr>
          <w:rFonts w:cs="FrankRuehl" w:hint="cs"/>
          <w:sz w:val="20"/>
          <w:szCs w:val="22"/>
          <w:rtl/>
        </w:rPr>
        <w:t xml:space="preserve"> לזקנים הגרים בשכונה.</w:t>
      </w:r>
    </w:p>
    <w:p w:rsidR="00F60E90" w:rsidRPr="00B82060" w:rsidP="00B82060">
      <w:pPr>
        <w:pStyle w:val="RESHET"/>
        <w:ind w:left="907"/>
        <w:rPr>
          <w:rtl/>
        </w:rPr>
      </w:pPr>
      <w:r w:rsidRPr="00B82060">
        <w:rPr>
          <w:rFonts w:hint="cs"/>
          <w:rtl/>
        </w:rPr>
        <w:t>לדעת משרד מבקר המדינה, על עיריית חיפה לערוך סקר עדכני שעניינו ביקוש למועדונים חברתיים לזקנים בתחומה, ועל פי הנתונים לייעד מבנים מתאימים באזורי הביקוש.</w:t>
      </w:r>
    </w:p>
    <w:p w:rsidR="00F60E90" w:rsidP="009D3D8B">
      <w:pPr>
        <w:spacing w:before="180" w:after="120" w:line="230" w:lineRule="exact"/>
        <w:ind w:left="340" w:hanging="340"/>
        <w:jc w:val="both"/>
        <w:rPr>
          <w:rFonts w:cs="FrankRuehl"/>
          <w:sz w:val="20"/>
          <w:szCs w:val="22"/>
          <w:rtl/>
        </w:rPr>
      </w:pPr>
      <w:r>
        <w:rPr>
          <w:rFonts w:cs="FrankRuehl"/>
          <w:bCs/>
          <w:spacing w:val="40"/>
          <w:sz w:val="20"/>
          <w:szCs w:val="22"/>
          <w:rtl/>
        </w:rPr>
        <w:t>2.</w:t>
      </w:r>
      <w:r>
        <w:rPr>
          <w:rFonts w:cs="FrankRuehl" w:hint="cs"/>
          <w:bCs/>
          <w:spacing w:val="40"/>
          <w:sz w:val="20"/>
          <w:szCs w:val="22"/>
          <w:rtl/>
        </w:rPr>
        <w:tab/>
      </w:r>
      <w:r>
        <w:rPr>
          <w:rFonts w:cs="FrankRuehl"/>
          <w:bCs/>
          <w:spacing w:val="40"/>
          <w:sz w:val="20"/>
          <w:szCs w:val="22"/>
          <w:rtl/>
        </w:rPr>
        <w:t>אגף התרבות:</w:t>
      </w:r>
      <w:r>
        <w:rPr>
          <w:rFonts w:cs="FrankRuehl"/>
          <w:sz w:val="20"/>
          <w:szCs w:val="22"/>
          <w:rtl/>
        </w:rPr>
        <w:t xml:space="preserve"> </w:t>
      </w:r>
      <w:r>
        <w:rPr>
          <w:rFonts w:cs="FrankRuehl" w:hint="cs"/>
          <w:sz w:val="20"/>
          <w:szCs w:val="22"/>
          <w:rtl/>
        </w:rPr>
        <w:t>האגף</w:t>
      </w:r>
      <w:r>
        <w:rPr>
          <w:rFonts w:cs="FrankRuehl"/>
          <w:sz w:val="20"/>
          <w:szCs w:val="22"/>
          <w:rtl/>
        </w:rPr>
        <w:t xml:space="preserve"> </w:t>
      </w:r>
      <w:r>
        <w:rPr>
          <w:rFonts w:cs="FrankRuehl" w:hint="cs"/>
          <w:sz w:val="20"/>
          <w:szCs w:val="22"/>
          <w:rtl/>
        </w:rPr>
        <w:t>עורך</w:t>
      </w:r>
      <w:r>
        <w:rPr>
          <w:rFonts w:cs="FrankRuehl"/>
          <w:sz w:val="20"/>
          <w:szCs w:val="22"/>
          <w:rtl/>
        </w:rPr>
        <w:t xml:space="preserve"> </w:t>
      </w:r>
      <w:r>
        <w:rPr>
          <w:rFonts w:cs="FrankRuehl" w:hint="cs"/>
          <w:sz w:val="20"/>
          <w:szCs w:val="22"/>
          <w:rtl/>
        </w:rPr>
        <w:t>במרכזים הקהילתיים העירוניים</w:t>
      </w:r>
      <w:r>
        <w:rPr>
          <w:rFonts w:cs="FrankRuehl"/>
          <w:sz w:val="20"/>
          <w:szCs w:val="22"/>
          <w:rtl/>
        </w:rPr>
        <w:t xml:space="preserve"> ובמבני ציבור עירוניים פעילויות מגוונות</w:t>
      </w:r>
      <w:r>
        <w:rPr>
          <w:rFonts w:cs="FrankRuehl" w:hint="cs"/>
          <w:sz w:val="20"/>
          <w:szCs w:val="22"/>
          <w:rtl/>
        </w:rPr>
        <w:t>, כמו</w:t>
      </w:r>
      <w:r>
        <w:rPr>
          <w:rFonts w:cs="FrankRuehl"/>
          <w:sz w:val="20"/>
          <w:szCs w:val="22"/>
          <w:rtl/>
        </w:rPr>
        <w:t xml:space="preserve"> הרצאות, מופעים </w:t>
      </w:r>
      <w:r>
        <w:rPr>
          <w:rFonts w:cs="FrankRuehl" w:hint="cs"/>
          <w:sz w:val="20"/>
          <w:szCs w:val="22"/>
          <w:rtl/>
        </w:rPr>
        <w:t>ו</w:t>
      </w:r>
      <w:r>
        <w:rPr>
          <w:rFonts w:cs="FrankRuehl"/>
          <w:sz w:val="20"/>
          <w:szCs w:val="22"/>
          <w:rtl/>
        </w:rPr>
        <w:t>גימלאידה</w:t>
      </w:r>
      <w:r>
        <w:rPr>
          <w:rFonts w:cs="FrankRuehl" w:hint="cs"/>
          <w:sz w:val="20"/>
          <w:szCs w:val="22"/>
          <w:rtl/>
        </w:rPr>
        <w:t>,</w:t>
      </w:r>
      <w:r>
        <w:rPr>
          <w:rFonts w:cs="FrankRuehl"/>
          <w:sz w:val="20"/>
          <w:szCs w:val="22"/>
          <w:rtl/>
        </w:rPr>
        <w:t xml:space="preserve"> המיועדות לזקני העיר.</w:t>
      </w:r>
      <w:r>
        <w:rPr>
          <w:rFonts w:cs="FrankRuehl" w:hint="cs"/>
          <w:sz w:val="20"/>
          <w:szCs w:val="22"/>
          <w:rtl/>
        </w:rPr>
        <w:t xml:space="preserve"> </w:t>
      </w:r>
    </w:p>
    <w:p w:rsidR="00F60E90" w:rsidP="00B82060">
      <w:pPr>
        <w:spacing w:after="240" w:line="230" w:lineRule="exact"/>
        <w:ind w:left="340"/>
        <w:jc w:val="both"/>
        <w:rPr>
          <w:rFonts w:cs="FrankRuehl"/>
          <w:sz w:val="20"/>
          <w:szCs w:val="22"/>
          <w:rtl/>
        </w:rPr>
      </w:pPr>
      <w:r>
        <w:rPr>
          <w:rFonts w:cs="FrankRuehl" w:hint="cs"/>
          <w:sz w:val="20"/>
          <w:szCs w:val="22"/>
          <w:rtl/>
        </w:rPr>
        <w:t>הביקורת העלתה כי שתי היחידות העירוניות פועלות ללא כל שיתוף פעולה וללא כל תיאום ביניהן בכל הנוגע לסוג, לתוכן ולתדירות של פעילויות הפנאי לזקנים בתחום העיר.</w:t>
      </w:r>
    </w:p>
    <w:p w:rsidR="00F60E90" w:rsidP="00B82060">
      <w:pPr>
        <w:pStyle w:val="RESHET"/>
        <w:ind w:left="567"/>
        <w:rPr>
          <w:rtl/>
        </w:rPr>
      </w:pPr>
      <w:r>
        <w:rPr>
          <w:rFonts w:hint="cs"/>
          <w:rtl/>
        </w:rPr>
        <w:t>לדעת משרד מבקר המדינה, מן הראוי שעיריית חיפה תנחה את מיל"ב ואת אגף התרבות העירוני לשתף פעולה ביניהם כדי למנוע כפילות בסוג הפעילויות שהם מציעים ולהבטיח הגדלת היצע הפעילויות לזקנים בתחום העיר.</w:t>
      </w:r>
    </w:p>
    <w:p w:rsidR="00F60E90" w:rsidP="00B82060">
      <w:pPr>
        <w:spacing w:before="180" w:after="120" w:line="230" w:lineRule="exact"/>
        <w:ind w:left="340"/>
        <w:jc w:val="both"/>
        <w:rPr>
          <w:rFonts w:cs="FrankRuehl"/>
          <w:sz w:val="20"/>
          <w:szCs w:val="22"/>
          <w:rtl/>
        </w:rPr>
      </w:pPr>
      <w:r>
        <w:rPr>
          <w:rFonts w:cs="FrankRuehl" w:hint="cs"/>
          <w:sz w:val="20"/>
          <w:szCs w:val="22"/>
          <w:rtl/>
        </w:rPr>
        <w:t>בתשובתה כתבה עיריית חיפה כי עמדת הביקורת מקובלת ומסרה שהתקיימה שיחה עם הנהלת מיל"ב בעניין זה.</w:t>
      </w:r>
    </w:p>
    <w:p w:rsidR="00F60E90">
      <w:pPr>
        <w:spacing w:after="120" w:line="230" w:lineRule="exact"/>
        <w:jc w:val="both"/>
        <w:rPr>
          <w:rFonts w:cs="FrankRuehl"/>
          <w:sz w:val="20"/>
          <w:szCs w:val="22"/>
          <w:rtl/>
        </w:rPr>
      </w:pPr>
    </w:p>
    <w:p w:rsidR="00F60E90">
      <w:pPr>
        <w:pStyle w:val="KOT5"/>
        <w:rPr>
          <w:rtl/>
        </w:rPr>
      </w:pPr>
      <w:r>
        <w:rPr>
          <w:rFonts w:hint="cs"/>
          <w:rtl/>
        </w:rPr>
        <w:t>עיריית קריית שמונה</w:t>
      </w:r>
    </w:p>
    <w:p w:rsidR="00F60E90">
      <w:pPr>
        <w:spacing w:after="120" w:line="230" w:lineRule="exact"/>
        <w:jc w:val="both"/>
        <w:rPr>
          <w:rFonts w:eastAsia="Calibri" w:cs="FrankRuehl"/>
          <w:sz w:val="20"/>
          <w:szCs w:val="22"/>
          <w:rtl/>
        </w:rPr>
      </w:pPr>
      <w:r>
        <w:rPr>
          <w:rFonts w:eastAsia="Calibri" w:cs="FrankRuehl"/>
          <w:sz w:val="20"/>
          <w:szCs w:val="22"/>
          <w:rtl/>
        </w:rPr>
        <w:t xml:space="preserve">בשנת 2010 הקימה העירייה </w:t>
      </w:r>
      <w:r>
        <w:rPr>
          <w:rFonts w:eastAsia="Calibri" w:cs="FrankRuehl" w:hint="cs"/>
          <w:sz w:val="20"/>
          <w:szCs w:val="22"/>
          <w:rtl/>
        </w:rPr>
        <w:t>מבנה</w:t>
      </w:r>
      <w:r>
        <w:rPr>
          <w:rFonts w:eastAsia="Calibri" w:cs="FrankRuehl"/>
          <w:sz w:val="20"/>
          <w:szCs w:val="22"/>
          <w:rtl/>
        </w:rPr>
        <w:t xml:space="preserve"> </w:t>
      </w:r>
      <w:r>
        <w:rPr>
          <w:rFonts w:eastAsia="Calibri" w:cs="FrankRuehl" w:hint="cs"/>
          <w:sz w:val="20"/>
          <w:szCs w:val="22"/>
          <w:rtl/>
        </w:rPr>
        <w:t>שיועד</w:t>
      </w:r>
      <w:r>
        <w:rPr>
          <w:rFonts w:eastAsia="Calibri" w:cs="FrankRuehl"/>
          <w:sz w:val="20"/>
          <w:szCs w:val="22"/>
          <w:rtl/>
        </w:rPr>
        <w:t xml:space="preserve"> </w:t>
      </w:r>
      <w:r>
        <w:rPr>
          <w:rFonts w:eastAsia="Calibri" w:cs="FrankRuehl" w:hint="cs"/>
          <w:sz w:val="20"/>
          <w:szCs w:val="22"/>
          <w:rtl/>
        </w:rPr>
        <w:t>לשמש</w:t>
      </w:r>
      <w:r>
        <w:rPr>
          <w:rFonts w:eastAsia="Calibri" w:cs="FrankRuehl"/>
          <w:sz w:val="20"/>
          <w:szCs w:val="22"/>
          <w:rtl/>
        </w:rPr>
        <w:t xml:space="preserve"> </w:t>
      </w:r>
      <w:r>
        <w:rPr>
          <w:rFonts w:eastAsia="Calibri" w:cs="FrankRuehl" w:hint="cs"/>
          <w:sz w:val="20"/>
          <w:szCs w:val="22"/>
          <w:rtl/>
        </w:rPr>
        <w:t>חדר</w:t>
      </w:r>
      <w:r>
        <w:rPr>
          <w:rFonts w:eastAsia="Calibri" w:cs="FrankRuehl"/>
          <w:sz w:val="20"/>
          <w:szCs w:val="22"/>
          <w:rtl/>
        </w:rPr>
        <w:t xml:space="preserve"> </w:t>
      </w:r>
      <w:r>
        <w:rPr>
          <w:rFonts w:eastAsia="Calibri" w:cs="FrankRuehl" w:hint="cs"/>
          <w:sz w:val="20"/>
          <w:szCs w:val="22"/>
          <w:rtl/>
        </w:rPr>
        <w:t>כושר</w:t>
      </w:r>
      <w:r>
        <w:rPr>
          <w:rFonts w:eastAsia="Calibri" w:cs="FrankRuehl"/>
          <w:sz w:val="20"/>
          <w:szCs w:val="22"/>
          <w:rtl/>
        </w:rPr>
        <w:t xml:space="preserve">, בצמוד למרכז היום </w:t>
      </w:r>
      <w:r>
        <w:rPr>
          <w:rFonts w:eastAsia="Calibri" w:cs="FrankRuehl" w:hint="cs"/>
          <w:sz w:val="20"/>
          <w:szCs w:val="22"/>
          <w:rtl/>
        </w:rPr>
        <w:t>לזקן</w:t>
      </w:r>
      <w:r>
        <w:rPr>
          <w:rFonts w:eastAsia="Calibri" w:cs="FrankRuehl"/>
          <w:sz w:val="20"/>
          <w:szCs w:val="22"/>
          <w:rtl/>
        </w:rPr>
        <w:t xml:space="preserve"> בעיר. המבנה הוקם </w:t>
      </w:r>
      <w:r>
        <w:rPr>
          <w:rFonts w:eastAsia="Calibri" w:cs="FrankRuehl" w:hint="cs"/>
          <w:sz w:val="20"/>
          <w:szCs w:val="22"/>
          <w:rtl/>
        </w:rPr>
        <w:t>במימון</w:t>
      </w:r>
      <w:r>
        <w:rPr>
          <w:rFonts w:eastAsia="Calibri" w:cs="FrankRuehl"/>
          <w:sz w:val="20"/>
          <w:szCs w:val="22"/>
          <w:rtl/>
        </w:rPr>
        <w:t xml:space="preserve"> מפעל הפיס ומכספי קרן התביעות ובשיתוף עמותת אש"ל. בחדר הכושר הותקנו </w:t>
      </w:r>
      <w:r>
        <w:rPr>
          <w:rFonts w:eastAsia="Calibri" w:cs="FrankRuehl" w:hint="cs"/>
          <w:sz w:val="20"/>
          <w:szCs w:val="22"/>
          <w:rtl/>
        </w:rPr>
        <w:t>כל</w:t>
      </w:r>
      <w:r>
        <w:rPr>
          <w:rFonts w:eastAsia="Calibri" w:cs="FrankRuehl"/>
          <w:sz w:val="20"/>
          <w:szCs w:val="22"/>
          <w:rtl/>
        </w:rPr>
        <w:t xml:space="preserve"> מיני </w:t>
      </w:r>
      <w:r>
        <w:rPr>
          <w:rFonts w:eastAsia="Calibri" w:cs="FrankRuehl" w:hint="cs"/>
          <w:sz w:val="20"/>
          <w:szCs w:val="22"/>
          <w:rtl/>
        </w:rPr>
        <w:t>מתקני</w:t>
      </w:r>
      <w:r>
        <w:rPr>
          <w:rFonts w:eastAsia="Calibri" w:cs="FrankRuehl"/>
          <w:sz w:val="20"/>
          <w:szCs w:val="22"/>
          <w:rtl/>
        </w:rPr>
        <w:t xml:space="preserve"> </w:t>
      </w:r>
      <w:r>
        <w:rPr>
          <w:rFonts w:eastAsia="Calibri" w:cs="FrankRuehl" w:hint="cs"/>
          <w:sz w:val="20"/>
          <w:szCs w:val="22"/>
          <w:rtl/>
        </w:rPr>
        <w:t>ספורט</w:t>
      </w:r>
      <w:r>
        <w:rPr>
          <w:rFonts w:eastAsia="Calibri" w:cs="FrankRuehl"/>
          <w:sz w:val="20"/>
          <w:szCs w:val="22"/>
          <w:rtl/>
        </w:rPr>
        <w:t xml:space="preserve">, </w:t>
      </w:r>
      <w:r>
        <w:rPr>
          <w:rFonts w:eastAsia="Calibri" w:cs="FrankRuehl" w:hint="cs"/>
          <w:sz w:val="20"/>
          <w:szCs w:val="22"/>
          <w:rtl/>
        </w:rPr>
        <w:t>ובהם</w:t>
      </w:r>
      <w:r>
        <w:rPr>
          <w:rFonts w:eastAsia="Calibri" w:cs="FrankRuehl"/>
          <w:sz w:val="20"/>
          <w:szCs w:val="22"/>
          <w:rtl/>
        </w:rPr>
        <w:t xml:space="preserve"> </w:t>
      </w:r>
      <w:r>
        <w:rPr>
          <w:rFonts w:eastAsia="Calibri" w:cs="FrankRuehl" w:hint="cs"/>
          <w:sz w:val="20"/>
          <w:szCs w:val="22"/>
          <w:rtl/>
        </w:rPr>
        <w:t>כאלה</w:t>
      </w:r>
      <w:r>
        <w:rPr>
          <w:rFonts w:eastAsia="Calibri" w:cs="FrankRuehl"/>
          <w:sz w:val="20"/>
          <w:szCs w:val="22"/>
          <w:rtl/>
        </w:rPr>
        <w:t xml:space="preserve"> </w:t>
      </w:r>
      <w:r>
        <w:rPr>
          <w:rFonts w:eastAsia="Calibri" w:cs="FrankRuehl" w:hint="cs"/>
          <w:sz w:val="20"/>
          <w:szCs w:val="22"/>
          <w:rtl/>
        </w:rPr>
        <w:t>המותאמים</w:t>
      </w:r>
      <w:r>
        <w:rPr>
          <w:rFonts w:eastAsia="Calibri" w:cs="FrankRuehl"/>
          <w:sz w:val="20"/>
          <w:szCs w:val="22"/>
          <w:rtl/>
        </w:rPr>
        <w:t xml:space="preserve"> </w:t>
      </w:r>
      <w:r>
        <w:rPr>
          <w:rFonts w:eastAsia="Calibri" w:cs="FrankRuehl" w:hint="cs"/>
          <w:sz w:val="20"/>
          <w:szCs w:val="22"/>
          <w:rtl/>
        </w:rPr>
        <w:t>לזקנים</w:t>
      </w:r>
      <w:r>
        <w:rPr>
          <w:rFonts w:eastAsia="Calibri" w:cs="FrankRuehl"/>
          <w:sz w:val="20"/>
          <w:szCs w:val="22"/>
          <w:rtl/>
        </w:rPr>
        <w:t xml:space="preserve"> ומיועדים לרווחתם של זקני קריית שמונה. בשנים 2012-2010 הפעילה העמותה למען הקשיש את חדר הכושר בשעות הבוקר </w:t>
      </w:r>
      <w:r>
        <w:rPr>
          <w:rFonts w:eastAsia="Calibri" w:cs="FrankRuehl" w:hint="cs"/>
          <w:sz w:val="20"/>
          <w:szCs w:val="22"/>
          <w:rtl/>
        </w:rPr>
        <w:t>לטובת</w:t>
      </w:r>
      <w:r>
        <w:rPr>
          <w:rFonts w:eastAsia="Calibri" w:cs="FrankRuehl"/>
          <w:sz w:val="20"/>
          <w:szCs w:val="22"/>
          <w:rtl/>
        </w:rPr>
        <w:t xml:space="preserve"> </w:t>
      </w:r>
      <w:r>
        <w:rPr>
          <w:rFonts w:eastAsia="Calibri" w:cs="FrankRuehl" w:hint="cs"/>
          <w:sz w:val="20"/>
          <w:szCs w:val="22"/>
          <w:rtl/>
        </w:rPr>
        <w:t>זקני</w:t>
      </w:r>
      <w:r>
        <w:rPr>
          <w:rFonts w:eastAsia="Calibri" w:cs="FrankRuehl"/>
          <w:sz w:val="20"/>
          <w:szCs w:val="22"/>
          <w:rtl/>
        </w:rPr>
        <w:t xml:space="preserve"> </w:t>
      </w:r>
      <w:r>
        <w:rPr>
          <w:rFonts w:eastAsia="Calibri" w:cs="FrankRuehl" w:hint="cs"/>
          <w:sz w:val="20"/>
          <w:szCs w:val="22"/>
          <w:rtl/>
        </w:rPr>
        <w:t>העיר</w:t>
      </w:r>
      <w:r>
        <w:rPr>
          <w:rFonts w:eastAsia="Calibri" w:cs="FrankRuehl"/>
          <w:sz w:val="20"/>
          <w:szCs w:val="22"/>
          <w:rtl/>
        </w:rPr>
        <w:t xml:space="preserve">, </w:t>
      </w:r>
      <w:r>
        <w:rPr>
          <w:rFonts w:eastAsia="Calibri" w:cs="FrankRuehl" w:hint="cs"/>
          <w:sz w:val="20"/>
          <w:szCs w:val="22"/>
          <w:rtl/>
        </w:rPr>
        <w:t>ובשעות</w:t>
      </w:r>
      <w:r>
        <w:rPr>
          <w:rFonts w:eastAsia="Calibri" w:cs="FrankRuehl"/>
          <w:sz w:val="20"/>
          <w:szCs w:val="22"/>
          <w:rtl/>
        </w:rPr>
        <w:t xml:space="preserve"> הערב פעל </w:t>
      </w:r>
      <w:r>
        <w:rPr>
          <w:rFonts w:eastAsia="Calibri" w:cs="FrankRuehl" w:hint="cs"/>
          <w:sz w:val="20"/>
          <w:szCs w:val="22"/>
          <w:rtl/>
        </w:rPr>
        <w:t>המכון</w:t>
      </w:r>
      <w:r>
        <w:rPr>
          <w:rFonts w:eastAsia="Calibri" w:cs="FrankRuehl"/>
          <w:sz w:val="20"/>
          <w:szCs w:val="22"/>
          <w:rtl/>
        </w:rPr>
        <w:t xml:space="preserve"> </w:t>
      </w:r>
      <w:r>
        <w:rPr>
          <w:rFonts w:eastAsia="Calibri" w:cs="FrankRuehl" w:hint="cs"/>
          <w:sz w:val="20"/>
          <w:szCs w:val="22"/>
          <w:rtl/>
        </w:rPr>
        <w:t>לרווחתם</w:t>
      </w:r>
      <w:r>
        <w:rPr>
          <w:rFonts w:eastAsia="Calibri" w:cs="FrankRuehl"/>
          <w:sz w:val="20"/>
          <w:szCs w:val="22"/>
          <w:rtl/>
        </w:rPr>
        <w:t xml:space="preserve"> </w:t>
      </w:r>
      <w:r>
        <w:rPr>
          <w:rFonts w:eastAsia="Calibri" w:cs="FrankRuehl" w:hint="cs"/>
          <w:sz w:val="20"/>
          <w:szCs w:val="22"/>
          <w:rtl/>
        </w:rPr>
        <w:t>של</w:t>
      </w:r>
      <w:r>
        <w:rPr>
          <w:rFonts w:eastAsia="Calibri" w:cs="FrankRuehl"/>
          <w:sz w:val="20"/>
          <w:szCs w:val="22"/>
          <w:rtl/>
        </w:rPr>
        <w:t xml:space="preserve"> </w:t>
      </w:r>
      <w:r>
        <w:rPr>
          <w:rFonts w:eastAsia="Calibri" w:cs="FrankRuehl" w:hint="cs"/>
          <w:sz w:val="20"/>
          <w:szCs w:val="22"/>
          <w:rtl/>
        </w:rPr>
        <w:t>תושבי</w:t>
      </w:r>
      <w:r>
        <w:rPr>
          <w:rFonts w:eastAsia="Calibri" w:cs="FrankRuehl"/>
          <w:sz w:val="20"/>
          <w:szCs w:val="22"/>
          <w:rtl/>
        </w:rPr>
        <w:t xml:space="preserve"> העיר </w:t>
      </w:r>
      <w:r>
        <w:rPr>
          <w:rFonts w:eastAsia="Calibri" w:cs="FrankRuehl" w:hint="cs"/>
          <w:sz w:val="20"/>
          <w:szCs w:val="22"/>
          <w:rtl/>
        </w:rPr>
        <w:t>בני</w:t>
      </w:r>
      <w:r>
        <w:rPr>
          <w:rFonts w:eastAsia="Calibri" w:cs="FrankRuehl"/>
          <w:sz w:val="20"/>
          <w:szCs w:val="22"/>
          <w:rtl/>
        </w:rPr>
        <w:t xml:space="preserve"> </w:t>
      </w:r>
      <w:r>
        <w:rPr>
          <w:rFonts w:eastAsia="Calibri" w:cs="FrankRuehl" w:hint="cs"/>
          <w:sz w:val="20"/>
          <w:szCs w:val="22"/>
          <w:rtl/>
        </w:rPr>
        <w:t>+</w:t>
      </w:r>
      <w:r>
        <w:rPr>
          <w:rFonts w:eastAsia="Calibri" w:cs="FrankRuehl"/>
          <w:sz w:val="20"/>
          <w:szCs w:val="22"/>
          <w:rtl/>
        </w:rPr>
        <w:t>50</w:t>
      </w:r>
      <w:r>
        <w:rPr>
          <w:rFonts w:eastAsia="Calibri" w:cs="FrankRuehl" w:hint="cs"/>
          <w:sz w:val="20"/>
          <w:szCs w:val="22"/>
          <w:rtl/>
        </w:rPr>
        <w:t>.</w:t>
      </w:r>
    </w:p>
    <w:p w:rsidR="00F60E90" w:rsidP="009D3D8B">
      <w:pPr>
        <w:spacing w:after="240" w:line="230" w:lineRule="exact"/>
        <w:jc w:val="both"/>
        <w:rPr>
          <w:rFonts w:eastAsia="Calibri" w:cs="FrankRuehl"/>
          <w:sz w:val="20"/>
          <w:szCs w:val="22"/>
          <w:rtl/>
        </w:rPr>
      </w:pPr>
      <w:r>
        <w:rPr>
          <w:rFonts w:eastAsia="Calibri" w:cs="FrankRuehl" w:hint="cs"/>
          <w:sz w:val="20"/>
          <w:szCs w:val="22"/>
          <w:rtl/>
        </w:rPr>
        <w:t>הביקורת העלתה כי מסוף 2012 עד מועד סיום הביקורת חדר הכושר אינו פעיל.</w:t>
      </w:r>
    </w:p>
    <w:p w:rsidR="005A1A35" w:rsidP="005A1A35">
      <w:pPr>
        <w:pStyle w:val="tab-name"/>
        <w:rPr>
          <w:rFonts w:eastAsia="Calibri"/>
          <w:rtl/>
        </w:rPr>
      </w:pPr>
      <w:r>
        <w:rPr>
          <w:rFonts w:eastAsia="Calibri" w:hint="cs"/>
          <w:rtl/>
        </w:rPr>
        <w:t>חדר הכושר הנטוש בקריית שמונה</w:t>
      </w:r>
    </w:p>
    <w:p w:rsidR="004517BA" w:rsidP="004517BA">
      <w:pPr>
        <w:spacing w:after="240" w:line="240" w:lineRule="atLeast"/>
        <w:jc w:val="center"/>
        <w:rPr>
          <w:rFonts w:cs="FrankRuehl"/>
          <w:sz w:val="20"/>
          <w:szCs w:val="22"/>
          <w:rtl/>
        </w:rPr>
      </w:pPr>
      <w:r>
        <w:rPr>
          <w:rFonts w:cs="FrankRuehl"/>
          <w:sz w:val="20"/>
          <w:szCs w:val="22"/>
        </w:rPr>
        <w:pict>
          <v:shape id="_x0000_i1027" type="#_x0000_t75" style="width:334.5pt;height:251pt">
            <v:imagedata r:id="rId7" o:title="דוח 1"/>
          </v:shape>
        </w:pict>
      </w:r>
    </w:p>
    <w:p w:rsidR="00F60E90" w:rsidP="00B82060">
      <w:pPr>
        <w:pStyle w:val="RESHET"/>
        <w:rPr>
          <w:rtl/>
        </w:rPr>
      </w:pPr>
      <w:r>
        <w:rPr>
          <w:rFonts w:eastAsia="Calibri" w:hint="cs"/>
          <w:rtl/>
        </w:rPr>
        <w:t>משרד מבקר המדינה העיר לעיריית קריית שמונה כי עליה לפעול לחידוש הפעילות בחדר הכושר שנבנה מכספי ציבור למען רווחתם ובריאותם של זקני העיר וגמלאיה.</w:t>
      </w:r>
    </w:p>
    <w:p w:rsidR="00F60E90" w:rsidP="00B82060">
      <w:pPr>
        <w:spacing w:before="180" w:after="120" w:line="230" w:lineRule="exact"/>
        <w:jc w:val="both"/>
        <w:rPr>
          <w:rFonts w:cs="FrankRuehl"/>
          <w:sz w:val="20"/>
          <w:szCs w:val="22"/>
          <w:rtl/>
        </w:rPr>
      </w:pPr>
      <w:r>
        <w:rPr>
          <w:rFonts w:cs="FrankRuehl" w:hint="cs"/>
          <w:sz w:val="20"/>
          <w:szCs w:val="22"/>
          <w:rtl/>
        </w:rPr>
        <w:t xml:space="preserve">בתשובתה מסרה עיריית קריית שמונה כי "העירייה/העמותה יפרסמו מכרז להפעלה מחדש של חדר הכושר לטובת הגמלאים והקהילה בקרית שמונה". </w:t>
      </w:r>
    </w:p>
    <w:p w:rsidR="00F60E90">
      <w:pPr>
        <w:spacing w:after="120" w:line="230" w:lineRule="exact"/>
        <w:jc w:val="both"/>
        <w:rPr>
          <w:rFonts w:cs="FrankRuehl"/>
          <w:sz w:val="20"/>
          <w:szCs w:val="22"/>
          <w:rtl/>
        </w:rPr>
      </w:pPr>
    </w:p>
    <w:p w:rsidR="00F60E90">
      <w:pPr>
        <w:pStyle w:val="KOT5"/>
        <w:rPr>
          <w:rtl/>
        </w:rPr>
      </w:pPr>
      <w:r>
        <w:rPr>
          <w:rFonts w:hint="cs"/>
          <w:rtl/>
        </w:rPr>
        <w:t>המועצה האזורית מרום הגליל</w:t>
      </w:r>
    </w:p>
    <w:p w:rsidR="00F60E90">
      <w:pPr>
        <w:spacing w:after="120" w:line="230" w:lineRule="exact"/>
        <w:jc w:val="both"/>
        <w:rPr>
          <w:rFonts w:cs="FrankRuehl"/>
          <w:sz w:val="20"/>
          <w:szCs w:val="22"/>
          <w:rtl/>
        </w:rPr>
      </w:pPr>
      <w:r>
        <w:rPr>
          <w:rFonts w:cs="FrankRuehl" w:hint="cs"/>
          <w:sz w:val="20"/>
          <w:szCs w:val="22"/>
          <w:rtl/>
        </w:rPr>
        <w:t>הפיזור הגאוגרפי של היישובים בתחומי המועצות האזוריות מעלה קושי בפיתוח שירותים חברתיים לזקן בעטיים של היעדר נגישות תחבורתית ושל עלויות גבוהות של שירותי הסעה. לכן, היישובים מקיימים מועדון חברתי מקומי הפועל פעם אחת עד פעמיים בשבוע.</w:t>
      </w:r>
    </w:p>
    <w:p w:rsidR="00F60E90">
      <w:pPr>
        <w:spacing w:after="120" w:line="230" w:lineRule="exact"/>
        <w:jc w:val="both"/>
        <w:rPr>
          <w:rFonts w:cs="FrankRuehl"/>
          <w:sz w:val="20"/>
          <w:szCs w:val="22"/>
          <w:rtl/>
        </w:rPr>
      </w:pPr>
      <w:r>
        <w:rPr>
          <w:rFonts w:cs="FrankRuehl" w:hint="cs"/>
          <w:sz w:val="20"/>
          <w:szCs w:val="22"/>
          <w:rtl/>
        </w:rPr>
        <w:t>ב-12 מ-24 היישובים המצויים בתחום המועצה האזורית פועלים מועדונים חברתיים המיועדים לזקנים הגרים בהם. משרד הרווחה מממן 75% מהוצאות שכרן של רכזות המועדונים ומהוצאות הפעילויות והמועצה מממנת את 25% הנותרים.</w:t>
      </w:r>
    </w:p>
    <w:p w:rsidR="00F60E90" w:rsidRPr="005A1A35" w:rsidP="005A1A35">
      <w:pPr>
        <w:pStyle w:val="BodyText"/>
        <w:spacing w:before="0" w:after="240"/>
        <w:rPr>
          <w:sz w:val="20"/>
          <w:rtl/>
        </w:rPr>
      </w:pPr>
      <w:r w:rsidRPr="005A1A35">
        <w:rPr>
          <w:rFonts w:hint="cs"/>
          <w:sz w:val="20"/>
          <w:rtl/>
        </w:rPr>
        <w:t>הביקורת העלתה כי בכל 12 המועדונים מבקרות רק נשים ורוב הפעילויות גם מיועדות לנשים - מלאכת יד, מחול ותנועה, יוגה ומעט הרצאות.</w:t>
      </w:r>
    </w:p>
    <w:p w:rsidR="00F60E90" w:rsidP="00B82060">
      <w:pPr>
        <w:pStyle w:val="RESHET"/>
        <w:rPr>
          <w:rtl/>
        </w:rPr>
      </w:pPr>
      <w:r>
        <w:rPr>
          <w:rFonts w:hint="cs"/>
          <w:rtl/>
        </w:rPr>
        <w:t>לדעת משרד מבקר המדינה, על המועצה האזורית מרום הגליל לבחון את פעילויות הפנאי הנערכות לזקנים בתחומה ולערוך סקר צרכים בקרב הזקנים כדי להתאים פעילויות אלה לנשים ולגברים כאחד. כמו כן, עליה לפעול להעברת פעילויות הפנאי ולהנגשת המידע עליהן לאוכלוסיית הזקנים בתחומה.</w:t>
      </w:r>
    </w:p>
    <w:p w:rsidR="00F60E90" w:rsidP="00B82060">
      <w:pPr>
        <w:spacing w:before="180" w:after="120" w:line="230" w:lineRule="exact"/>
        <w:jc w:val="both"/>
        <w:rPr>
          <w:rFonts w:cs="FrankRuehl"/>
          <w:sz w:val="20"/>
          <w:szCs w:val="22"/>
          <w:rtl/>
        </w:rPr>
      </w:pPr>
      <w:r>
        <w:rPr>
          <w:rFonts w:cs="FrankRuehl" w:hint="cs"/>
          <w:sz w:val="20"/>
          <w:szCs w:val="22"/>
          <w:rtl/>
        </w:rPr>
        <w:t>בתשובתה מסרה המועצה כי החלה בתהליך של מיפוי הנושא כדי ללמוד יותר על האוכלוסייה הקיימת והמצטרפת (זקנים חדשים) וכן על תחומי העניין שלהם. בהתאם לכך תבנה את תכנית העבודה ותקבע את אופי הפעילויות ביישוביה.</w:t>
      </w:r>
    </w:p>
    <w:p w:rsidR="005A1A35" w:rsidP="005A1A35">
      <w:pPr>
        <w:spacing w:after="120" w:line="230" w:lineRule="exact"/>
        <w:jc w:val="both"/>
        <w:rPr>
          <w:rFonts w:cs="FrankRuehl"/>
          <w:sz w:val="20"/>
          <w:szCs w:val="22"/>
          <w:rtl/>
        </w:rPr>
      </w:pPr>
    </w:p>
    <w:p w:rsidR="005A1A35" w:rsidP="005A1A35">
      <w:pPr>
        <w:spacing w:after="120" w:line="230" w:lineRule="exact"/>
        <w:jc w:val="both"/>
        <w:rPr>
          <w:rFonts w:cs="FrankRuehl"/>
          <w:sz w:val="20"/>
          <w:szCs w:val="22"/>
          <w:rtl/>
        </w:rPr>
      </w:pPr>
    </w:p>
    <w:p w:rsidR="00F60E90">
      <w:pPr>
        <w:pStyle w:val="KOT4"/>
        <w:rPr>
          <w:rtl/>
        </w:rPr>
      </w:pPr>
      <w:r>
        <w:rPr>
          <w:rFonts w:hint="cs"/>
          <w:rtl/>
        </w:rPr>
        <w:t>פעילות הרשויות המקומיות לפי חוק האזרחים הוותיקים</w:t>
      </w:r>
    </w:p>
    <w:p w:rsidR="00F60E90">
      <w:pPr>
        <w:spacing w:after="120" w:line="230" w:lineRule="exact"/>
        <w:jc w:val="both"/>
        <w:rPr>
          <w:rFonts w:cs="FrankRuehl"/>
          <w:sz w:val="20"/>
          <w:szCs w:val="22"/>
          <w:rtl/>
        </w:rPr>
      </w:pPr>
      <w:r>
        <w:rPr>
          <w:rFonts w:cs="FrankRuehl"/>
          <w:sz w:val="20"/>
          <w:szCs w:val="22"/>
          <w:rtl/>
        </w:rPr>
        <w:t>חוק האזרחים הו</w:t>
      </w:r>
      <w:r>
        <w:rPr>
          <w:rFonts w:cs="FrankRuehl" w:hint="cs"/>
          <w:sz w:val="20"/>
          <w:szCs w:val="22"/>
          <w:rtl/>
        </w:rPr>
        <w:t>ו</w:t>
      </w:r>
      <w:r>
        <w:rPr>
          <w:rFonts w:cs="FrankRuehl"/>
          <w:sz w:val="20"/>
          <w:szCs w:val="22"/>
          <w:rtl/>
        </w:rPr>
        <w:t>תיקים, התש"ן</w:t>
      </w:r>
      <w:r>
        <w:rPr>
          <w:rFonts w:cs="FrankRuehl" w:hint="cs"/>
          <w:sz w:val="20"/>
          <w:szCs w:val="22"/>
          <w:rtl/>
        </w:rPr>
        <w:t>-</w:t>
      </w:r>
      <w:r>
        <w:rPr>
          <w:rFonts w:cs="FrankRuehl"/>
          <w:sz w:val="20"/>
          <w:szCs w:val="22"/>
          <w:rtl/>
        </w:rPr>
        <w:t xml:space="preserve">1989 </w:t>
      </w:r>
      <w:r>
        <w:rPr>
          <w:rFonts w:cs="FrankRuehl" w:hint="cs"/>
          <w:sz w:val="20"/>
          <w:szCs w:val="22"/>
          <w:rtl/>
        </w:rPr>
        <w:t xml:space="preserve">(להלן - חוק האזרחים הוותיקים), </w:t>
      </w:r>
      <w:r>
        <w:rPr>
          <w:rFonts w:cs="FrankRuehl"/>
          <w:sz w:val="20"/>
          <w:szCs w:val="22"/>
          <w:rtl/>
        </w:rPr>
        <w:t xml:space="preserve">הוא אחד מהחוקים המנחים בעניין זכויות האזרחים </w:t>
      </w:r>
      <w:r>
        <w:rPr>
          <w:rFonts w:cs="FrankRuehl" w:hint="cs"/>
          <w:sz w:val="20"/>
          <w:szCs w:val="22"/>
          <w:rtl/>
        </w:rPr>
        <w:t>הו</w:t>
      </w:r>
      <w:r>
        <w:rPr>
          <w:rFonts w:cs="FrankRuehl"/>
          <w:sz w:val="20"/>
          <w:szCs w:val="22"/>
          <w:rtl/>
        </w:rPr>
        <w:t>ותיקים</w:t>
      </w:r>
      <w:r>
        <w:rPr>
          <w:rFonts w:cs="FrankRuehl" w:hint="cs"/>
          <w:sz w:val="20"/>
          <w:szCs w:val="22"/>
          <w:rtl/>
        </w:rPr>
        <w:t xml:space="preserve"> כהגדרתם בחוק; "'</w:t>
      </w:r>
      <w:r>
        <w:rPr>
          <w:rFonts w:cs="FrankRuehl"/>
          <w:sz w:val="20"/>
          <w:szCs w:val="22"/>
          <w:rtl/>
        </w:rPr>
        <w:t>אזרח ותיק</w:t>
      </w:r>
      <w:r>
        <w:rPr>
          <w:rFonts w:cs="FrankRuehl" w:hint="cs"/>
          <w:sz w:val="20"/>
          <w:szCs w:val="22"/>
          <w:rtl/>
        </w:rPr>
        <w:t>'</w:t>
      </w:r>
      <w:r>
        <w:rPr>
          <w:rFonts w:cs="FrankRuehl"/>
          <w:sz w:val="20"/>
          <w:szCs w:val="22"/>
          <w:rtl/>
        </w:rPr>
        <w:t xml:space="preserve"> - תושב ישראל שהגיע, לפי הרישום במרשם האוכלוסין, לגיל הפרישה כמשמעותו בחוק גיל פרישה, התשס"ד-2004 (להלן - הגיל הקובע)</w:t>
      </w:r>
      <w:r>
        <w:rPr>
          <w:rFonts w:cs="FrankRuehl" w:hint="cs"/>
          <w:sz w:val="20"/>
          <w:szCs w:val="22"/>
          <w:rtl/>
        </w:rPr>
        <w:t>[</w:t>
      </w:r>
      <w:r>
        <w:rPr>
          <w:rFonts w:cs="FrankRuehl"/>
          <w:sz w:val="20"/>
          <w:szCs w:val="22"/>
          <w:vertAlign w:val="superscript"/>
          <w:rtl/>
        </w:rPr>
        <w:footnoteReference w:id="13"/>
      </w:r>
      <w:r>
        <w:rPr>
          <w:rFonts w:cs="FrankRuehl" w:hint="cs"/>
          <w:sz w:val="20"/>
          <w:szCs w:val="22"/>
          <w:rtl/>
        </w:rPr>
        <w:t>]".</w:t>
      </w:r>
    </w:p>
    <w:p w:rsidR="00F60E90">
      <w:pPr>
        <w:spacing w:after="120" w:line="230" w:lineRule="exact"/>
        <w:jc w:val="both"/>
        <w:rPr>
          <w:rFonts w:cs="FrankRuehl"/>
          <w:sz w:val="20"/>
          <w:szCs w:val="22"/>
          <w:rtl/>
        </w:rPr>
      </w:pPr>
    </w:p>
    <w:p w:rsidR="00F60E90">
      <w:pPr>
        <w:pStyle w:val="KOT5"/>
        <w:rPr>
          <w:rtl/>
        </w:rPr>
      </w:pPr>
      <w:r>
        <w:rPr>
          <w:rtl/>
        </w:rPr>
        <w:t>חובת מינוי יועץ לרשות המקומית</w:t>
      </w:r>
      <w:r>
        <w:rPr>
          <w:rFonts w:hint="cs"/>
          <w:rtl/>
        </w:rPr>
        <w:t xml:space="preserve"> לענייני אזרחים ותיקים </w:t>
      </w:r>
    </w:p>
    <w:p w:rsidR="00F60E90">
      <w:pPr>
        <w:spacing w:after="120" w:line="230" w:lineRule="exact"/>
        <w:jc w:val="both"/>
        <w:rPr>
          <w:rFonts w:cs="FrankRuehl"/>
          <w:sz w:val="20"/>
          <w:szCs w:val="22"/>
          <w:rtl/>
        </w:rPr>
      </w:pPr>
      <w:r>
        <w:rPr>
          <w:rFonts w:cs="FrankRuehl" w:hint="cs"/>
          <w:sz w:val="20"/>
          <w:szCs w:val="22"/>
          <w:rtl/>
        </w:rPr>
        <w:t xml:space="preserve">על פי תיקון </w:t>
      </w:r>
      <w:r>
        <w:rPr>
          <w:rFonts w:cs="FrankRuehl"/>
          <w:sz w:val="20"/>
          <w:szCs w:val="22"/>
          <w:rtl/>
        </w:rPr>
        <w:t xml:space="preserve">משנת 2010 </w:t>
      </w:r>
      <w:r>
        <w:rPr>
          <w:rFonts w:cs="FrankRuehl" w:hint="cs"/>
          <w:sz w:val="20"/>
          <w:szCs w:val="22"/>
          <w:rtl/>
        </w:rPr>
        <w:t>לחוק האזרחים הוותיקים חלה על כל רשות מקומית ה</w:t>
      </w:r>
      <w:r>
        <w:rPr>
          <w:rFonts w:cs="FrankRuehl"/>
          <w:sz w:val="20"/>
          <w:szCs w:val="22"/>
          <w:rtl/>
        </w:rPr>
        <w:t>חוב</w:t>
      </w:r>
      <w:r>
        <w:rPr>
          <w:rFonts w:cs="FrankRuehl" w:hint="cs"/>
          <w:sz w:val="20"/>
          <w:szCs w:val="22"/>
          <w:rtl/>
        </w:rPr>
        <w:t>ה</w:t>
      </w:r>
      <w:r>
        <w:rPr>
          <w:rFonts w:cs="FrankRuehl"/>
          <w:sz w:val="20"/>
          <w:szCs w:val="22"/>
          <w:rtl/>
        </w:rPr>
        <w:t xml:space="preserve"> </w:t>
      </w:r>
      <w:r>
        <w:rPr>
          <w:rFonts w:cs="FrankRuehl" w:hint="cs"/>
          <w:sz w:val="20"/>
          <w:szCs w:val="22"/>
          <w:rtl/>
        </w:rPr>
        <w:t>ל</w:t>
      </w:r>
      <w:r>
        <w:rPr>
          <w:rFonts w:cs="FrankRuehl"/>
          <w:sz w:val="20"/>
          <w:szCs w:val="22"/>
          <w:rtl/>
        </w:rPr>
        <w:t>מנו</w:t>
      </w:r>
      <w:r>
        <w:rPr>
          <w:rFonts w:cs="FrankRuehl" w:hint="cs"/>
          <w:sz w:val="20"/>
          <w:szCs w:val="22"/>
          <w:rtl/>
        </w:rPr>
        <w:t>ת</w:t>
      </w:r>
      <w:r>
        <w:rPr>
          <w:rFonts w:cs="FrankRuehl"/>
          <w:sz w:val="20"/>
          <w:szCs w:val="22"/>
          <w:rtl/>
        </w:rPr>
        <w:t xml:space="preserve"> יועץ</w:t>
      </w:r>
      <w:r>
        <w:rPr>
          <w:rFonts w:cs="FrankRuehl" w:hint="cs"/>
          <w:sz w:val="20"/>
          <w:szCs w:val="22"/>
          <w:rtl/>
        </w:rPr>
        <w:t xml:space="preserve"> </w:t>
      </w:r>
      <w:r>
        <w:rPr>
          <w:rFonts w:cs="FrankRuehl"/>
          <w:sz w:val="20"/>
          <w:szCs w:val="22"/>
          <w:rtl/>
        </w:rPr>
        <w:t>לרשות המקומית</w:t>
      </w:r>
      <w:r>
        <w:rPr>
          <w:rFonts w:cs="FrankRuehl" w:hint="cs"/>
          <w:sz w:val="20"/>
          <w:szCs w:val="22"/>
          <w:rtl/>
        </w:rPr>
        <w:t xml:space="preserve"> לענייני אזרחים ותיקים (להלן - יועץ לענייני אזרחים ותיקים).</w:t>
      </w:r>
      <w:r>
        <w:rPr>
          <w:rFonts w:cs="FrankRuehl"/>
          <w:sz w:val="20"/>
          <w:szCs w:val="22"/>
          <w:rtl/>
        </w:rPr>
        <w:t xml:space="preserve"> היועץ ימלא את תפקידו זה נוסף לכל תפקיד אחר שהוא ממלא ברשות.</w:t>
      </w:r>
    </w:p>
    <w:p w:rsidR="00F60E90">
      <w:pPr>
        <w:spacing w:after="120" w:line="230" w:lineRule="exact"/>
        <w:jc w:val="both"/>
        <w:rPr>
          <w:rFonts w:cs="FrankRuehl"/>
          <w:sz w:val="20"/>
          <w:szCs w:val="22"/>
          <w:rtl/>
        </w:rPr>
      </w:pPr>
      <w:r>
        <w:rPr>
          <w:rFonts w:cs="FrankRuehl" w:hint="cs"/>
          <w:sz w:val="20"/>
          <w:szCs w:val="22"/>
          <w:rtl/>
        </w:rPr>
        <w:t xml:space="preserve">על פי החוק האמור </w:t>
      </w:r>
      <w:r>
        <w:rPr>
          <w:rFonts w:cs="FrankRuehl"/>
          <w:sz w:val="20"/>
          <w:szCs w:val="22"/>
          <w:rtl/>
        </w:rPr>
        <w:t xml:space="preserve">יהיה תפקידו של היועץ לרשות המקומית </w:t>
      </w:r>
      <w:r>
        <w:rPr>
          <w:rFonts w:cs="FrankRuehl" w:hint="cs"/>
          <w:sz w:val="20"/>
          <w:szCs w:val="22"/>
          <w:rtl/>
        </w:rPr>
        <w:t>לתת שירותי</w:t>
      </w:r>
      <w:r>
        <w:rPr>
          <w:rFonts w:cs="FrankRuehl"/>
          <w:sz w:val="20"/>
          <w:szCs w:val="22"/>
          <w:rtl/>
        </w:rPr>
        <w:t xml:space="preserve"> ייעוץ בלבד, והוא לא יהיה רשאי במסגרת תפקידו ליתן הוראות לעובדי הרשות המקומית.</w:t>
      </w:r>
    </w:p>
    <w:p w:rsidR="00F60E90" w:rsidP="00B82060">
      <w:pPr>
        <w:spacing w:after="240" w:line="230" w:lineRule="exact"/>
        <w:jc w:val="both"/>
        <w:rPr>
          <w:rFonts w:cs="FrankRuehl"/>
          <w:sz w:val="20"/>
          <w:szCs w:val="22"/>
          <w:rtl/>
        </w:rPr>
      </w:pPr>
      <w:r>
        <w:rPr>
          <w:rFonts w:cs="FrankRuehl" w:hint="cs"/>
          <w:sz w:val="20"/>
          <w:szCs w:val="22"/>
          <w:rtl/>
        </w:rPr>
        <w:t>הביקורת העלתה כי במועד הביקורת טרם מינו 56 רשויות מקומיות יועץ לענייני אזרחים ותיקים, ובהן גם כמה מהרשויות שנבדקו - המועצות האזוריות מרום הגליל ולב השרון ועיריות עפולה ובאקה אל-גרבייה. חלק מהרשויות המקומיות מינו בעבר יועץ לאזרחים ותיקים, אך עם פרישתו לא פעלו למינוי יועץ אחר במקומו, למשל בעיריית חיפה.</w:t>
      </w:r>
    </w:p>
    <w:p w:rsidR="00F60E90" w:rsidP="00B82060">
      <w:pPr>
        <w:pStyle w:val="RESHET"/>
        <w:rPr>
          <w:rtl/>
        </w:rPr>
      </w:pPr>
      <w:r>
        <w:rPr>
          <w:rFonts w:hint="cs"/>
          <w:rtl/>
        </w:rPr>
        <w:t>משרד מבקר המדינה העיר לרשויות המקומיות שטרם מינו יועץ לענייני אזרחים ותיקים, ובהן עיריות חיפה, עפולה ובאקה אל-גרבייה והמועצות האזוריות מרום הגליל ולב השרון, כי עליהן למנות יועץ כאמור, כנדרש על פי החוק.</w:t>
      </w:r>
    </w:p>
    <w:p w:rsidR="00F60E90" w:rsidP="00B82060">
      <w:pPr>
        <w:spacing w:before="180" w:after="120" w:line="230" w:lineRule="exact"/>
        <w:jc w:val="both"/>
        <w:rPr>
          <w:rFonts w:cs="FrankRuehl"/>
          <w:sz w:val="20"/>
          <w:szCs w:val="22"/>
          <w:rtl/>
        </w:rPr>
      </w:pPr>
      <w:r>
        <w:rPr>
          <w:rFonts w:cs="FrankRuehl" w:hint="cs"/>
          <w:sz w:val="20"/>
          <w:szCs w:val="22"/>
          <w:rtl/>
        </w:rPr>
        <w:t xml:space="preserve">עיריות חיפה ועפולה ומועצות אזוריות לב השרון ומרום הגליל מסרו בתשובותיהן כי בעקבות הערות הביקורת הן מינו </w:t>
      </w:r>
      <w:r>
        <w:rPr>
          <w:rFonts w:cs="FrankRuehl"/>
          <w:sz w:val="20"/>
          <w:szCs w:val="22"/>
          <w:rtl/>
        </w:rPr>
        <w:t>יועצים לענייני אזרחים ותיקים</w:t>
      </w:r>
      <w:r>
        <w:rPr>
          <w:rFonts w:cs="FrankRuehl" w:hint="cs"/>
          <w:sz w:val="20"/>
          <w:szCs w:val="22"/>
          <w:rtl/>
        </w:rPr>
        <w:t>.</w:t>
      </w:r>
    </w:p>
    <w:p w:rsidR="00F60E90">
      <w:pPr>
        <w:spacing w:after="120" w:line="230" w:lineRule="exact"/>
        <w:jc w:val="both"/>
        <w:rPr>
          <w:rFonts w:cs="FrankRuehl"/>
          <w:sz w:val="20"/>
          <w:szCs w:val="22"/>
          <w:rtl/>
        </w:rPr>
      </w:pPr>
      <w:r>
        <w:rPr>
          <w:rFonts w:cs="FrankRuehl" w:hint="cs"/>
          <w:sz w:val="20"/>
          <w:szCs w:val="22"/>
          <w:rtl/>
        </w:rPr>
        <w:t>בין יתר תפקידיו</w:t>
      </w:r>
      <w:r>
        <w:rPr>
          <w:rFonts w:cs="FrankRuehl"/>
          <w:sz w:val="20"/>
          <w:szCs w:val="22"/>
          <w:rtl/>
        </w:rPr>
        <w:t xml:space="preserve"> </w:t>
      </w:r>
      <w:r>
        <w:rPr>
          <w:rFonts w:cs="FrankRuehl" w:hint="cs"/>
          <w:sz w:val="20"/>
          <w:szCs w:val="22"/>
          <w:rtl/>
        </w:rPr>
        <w:t>של</w:t>
      </w:r>
      <w:r>
        <w:rPr>
          <w:rFonts w:cs="FrankRuehl"/>
          <w:sz w:val="20"/>
          <w:szCs w:val="22"/>
          <w:rtl/>
        </w:rPr>
        <w:t xml:space="preserve"> </w:t>
      </w:r>
      <w:r>
        <w:rPr>
          <w:rFonts w:cs="FrankRuehl" w:hint="cs"/>
          <w:sz w:val="20"/>
          <w:szCs w:val="22"/>
          <w:rtl/>
        </w:rPr>
        <w:t>היועץ</w:t>
      </w:r>
      <w:r>
        <w:rPr>
          <w:rFonts w:cs="FrankRuehl"/>
          <w:sz w:val="20"/>
          <w:szCs w:val="22"/>
          <w:rtl/>
        </w:rPr>
        <w:t xml:space="preserve"> </w:t>
      </w:r>
      <w:r>
        <w:rPr>
          <w:rFonts w:cs="FrankRuehl" w:hint="cs"/>
          <w:sz w:val="20"/>
          <w:szCs w:val="22"/>
          <w:rtl/>
        </w:rPr>
        <w:t>לאזרחים</w:t>
      </w:r>
      <w:r>
        <w:rPr>
          <w:rFonts w:cs="FrankRuehl"/>
          <w:sz w:val="20"/>
          <w:szCs w:val="22"/>
          <w:rtl/>
        </w:rPr>
        <w:t xml:space="preserve"> </w:t>
      </w:r>
      <w:r>
        <w:rPr>
          <w:rFonts w:cs="FrankRuehl" w:hint="cs"/>
          <w:sz w:val="20"/>
          <w:szCs w:val="22"/>
          <w:rtl/>
        </w:rPr>
        <w:t>ותיקים ברשות המקומית, כפי שפורטו</w:t>
      </w:r>
      <w:r>
        <w:rPr>
          <w:rFonts w:cs="FrankRuehl"/>
          <w:sz w:val="20"/>
          <w:szCs w:val="22"/>
          <w:rtl/>
        </w:rPr>
        <w:t xml:space="preserve"> </w:t>
      </w:r>
      <w:r>
        <w:rPr>
          <w:rFonts w:cs="FrankRuehl" w:hint="cs"/>
          <w:sz w:val="20"/>
          <w:szCs w:val="22"/>
          <w:rtl/>
        </w:rPr>
        <w:t>בחוק</w:t>
      </w:r>
      <w:r>
        <w:rPr>
          <w:rFonts w:cs="FrankRuehl"/>
          <w:sz w:val="20"/>
          <w:szCs w:val="22"/>
          <w:rtl/>
        </w:rPr>
        <w:t xml:space="preserve"> </w:t>
      </w:r>
      <w:r>
        <w:rPr>
          <w:rFonts w:cs="FrankRuehl" w:hint="cs"/>
          <w:sz w:val="20"/>
          <w:szCs w:val="22"/>
          <w:rtl/>
        </w:rPr>
        <w:t>האזרחים</w:t>
      </w:r>
      <w:r>
        <w:rPr>
          <w:rFonts w:cs="FrankRuehl"/>
          <w:sz w:val="20"/>
          <w:szCs w:val="22"/>
          <w:rtl/>
        </w:rPr>
        <w:t xml:space="preserve"> </w:t>
      </w:r>
      <w:r>
        <w:rPr>
          <w:rFonts w:cs="FrankRuehl" w:hint="cs"/>
          <w:sz w:val="20"/>
          <w:szCs w:val="22"/>
          <w:rtl/>
        </w:rPr>
        <w:t>הוותיקים</w:t>
      </w:r>
      <w:r>
        <w:rPr>
          <w:rFonts w:cs="FrankRuehl"/>
          <w:sz w:val="20"/>
          <w:szCs w:val="22"/>
          <w:rtl/>
        </w:rPr>
        <w:t xml:space="preserve">: </w:t>
      </w:r>
      <w:r>
        <w:rPr>
          <w:rFonts w:cs="FrankRuehl" w:hint="cs"/>
          <w:sz w:val="20"/>
          <w:szCs w:val="22"/>
          <w:rtl/>
        </w:rPr>
        <w:t xml:space="preserve">מתן ייעוץ </w:t>
      </w:r>
      <w:r>
        <w:rPr>
          <w:rFonts w:cs="FrankRuehl"/>
          <w:sz w:val="20"/>
          <w:szCs w:val="22"/>
          <w:rtl/>
        </w:rPr>
        <w:t>לראש הרשות המקומית, למועצת הרשות ולעובדי</w:t>
      </w:r>
      <w:r>
        <w:rPr>
          <w:rFonts w:cs="FrankRuehl" w:hint="cs"/>
          <w:sz w:val="20"/>
          <w:szCs w:val="22"/>
          <w:rtl/>
        </w:rPr>
        <w:t>ה בנוגע ל</w:t>
      </w:r>
      <w:r>
        <w:rPr>
          <w:rFonts w:cs="FrankRuehl"/>
          <w:sz w:val="20"/>
          <w:szCs w:val="22"/>
          <w:rtl/>
        </w:rPr>
        <w:t>הרח</w:t>
      </w:r>
      <w:r>
        <w:rPr>
          <w:rFonts w:cs="FrankRuehl" w:hint="cs"/>
          <w:sz w:val="20"/>
          <w:szCs w:val="22"/>
          <w:rtl/>
        </w:rPr>
        <w:t>בה ולש</w:t>
      </w:r>
      <w:r>
        <w:rPr>
          <w:rFonts w:cs="FrankRuehl"/>
          <w:sz w:val="20"/>
          <w:szCs w:val="22"/>
          <w:rtl/>
        </w:rPr>
        <w:t>יפור של שירותים קיימים לאזרחים ותיקים;</w:t>
      </w:r>
      <w:r>
        <w:rPr>
          <w:rFonts w:cs="FrankRuehl" w:hint="cs"/>
          <w:sz w:val="20"/>
          <w:szCs w:val="22"/>
          <w:rtl/>
        </w:rPr>
        <w:t xml:space="preserve"> ו</w:t>
      </w:r>
      <w:r>
        <w:rPr>
          <w:rFonts w:cs="FrankRuehl"/>
          <w:sz w:val="20"/>
          <w:szCs w:val="22"/>
          <w:rtl/>
        </w:rPr>
        <w:t>גיבוש מדיניותה של הרשות המקומית ל</w:t>
      </w:r>
      <w:r>
        <w:rPr>
          <w:rFonts w:cs="FrankRuehl" w:hint="cs"/>
          <w:sz w:val="20"/>
          <w:szCs w:val="22"/>
          <w:rtl/>
        </w:rPr>
        <w:t>צורך</w:t>
      </w:r>
      <w:r>
        <w:rPr>
          <w:rFonts w:cs="FrankRuehl"/>
          <w:sz w:val="20"/>
          <w:szCs w:val="22"/>
          <w:rtl/>
        </w:rPr>
        <w:t xml:space="preserve"> קידום ענייני האזרחים הוותיקים</w:t>
      </w:r>
      <w:r>
        <w:rPr>
          <w:rFonts w:cs="FrankRuehl" w:hint="cs"/>
          <w:sz w:val="20"/>
          <w:szCs w:val="22"/>
          <w:rtl/>
        </w:rPr>
        <w:t>. היועץ ימלא את תפקידו</w:t>
      </w:r>
      <w:r>
        <w:rPr>
          <w:rFonts w:cs="FrankRuehl"/>
          <w:sz w:val="20"/>
          <w:szCs w:val="22"/>
          <w:rtl/>
        </w:rPr>
        <w:t xml:space="preserve"> בתיאום עם מנהל המחלקה לשירותים חברתיים</w:t>
      </w:r>
      <w:r>
        <w:rPr>
          <w:rFonts w:cs="FrankRuehl" w:hint="cs"/>
          <w:sz w:val="20"/>
          <w:szCs w:val="22"/>
          <w:rtl/>
        </w:rPr>
        <w:t xml:space="preserve">. לביצוע משימותיו יאסוף היועץ </w:t>
      </w:r>
      <w:r>
        <w:rPr>
          <w:rFonts w:cs="FrankRuehl"/>
          <w:sz w:val="20"/>
          <w:szCs w:val="22"/>
          <w:rtl/>
        </w:rPr>
        <w:t xml:space="preserve">מידע ונתונים </w:t>
      </w:r>
      <w:r>
        <w:rPr>
          <w:rFonts w:cs="FrankRuehl" w:hint="cs"/>
          <w:sz w:val="20"/>
          <w:szCs w:val="22"/>
          <w:rtl/>
        </w:rPr>
        <w:t xml:space="preserve">ויאתר את הצרכים </w:t>
      </w:r>
      <w:r>
        <w:rPr>
          <w:rFonts w:cs="FrankRuehl"/>
          <w:sz w:val="20"/>
          <w:szCs w:val="22"/>
          <w:rtl/>
        </w:rPr>
        <w:t>הנוגעים לאזרחים הוותיקים שבתחום הרשות המקומית</w:t>
      </w:r>
      <w:r>
        <w:rPr>
          <w:rFonts w:cs="FrankRuehl" w:hint="cs"/>
          <w:sz w:val="20"/>
          <w:szCs w:val="22"/>
          <w:rtl/>
        </w:rPr>
        <w:t xml:space="preserve"> כדי להכין</w:t>
      </w:r>
      <w:r>
        <w:rPr>
          <w:rFonts w:cs="FrankRuehl"/>
          <w:sz w:val="20"/>
          <w:szCs w:val="22"/>
          <w:rtl/>
        </w:rPr>
        <w:t xml:space="preserve"> תכניות לקידום ענייניהם</w:t>
      </w:r>
      <w:r>
        <w:rPr>
          <w:rFonts w:cs="FrankRuehl" w:hint="cs"/>
          <w:sz w:val="20"/>
          <w:szCs w:val="22"/>
          <w:rtl/>
        </w:rPr>
        <w:t>. כמו כן יבחן היועץ את</w:t>
      </w:r>
      <w:r>
        <w:rPr>
          <w:rFonts w:cs="FrankRuehl"/>
          <w:sz w:val="20"/>
          <w:szCs w:val="22"/>
          <w:rtl/>
        </w:rPr>
        <w:t xml:space="preserve"> השלכות</w:t>
      </w:r>
      <w:r>
        <w:rPr>
          <w:rFonts w:cs="FrankRuehl" w:hint="cs"/>
          <w:sz w:val="20"/>
          <w:szCs w:val="22"/>
          <w:rtl/>
        </w:rPr>
        <w:t>יהן</w:t>
      </w:r>
      <w:r>
        <w:rPr>
          <w:rFonts w:cs="FrankRuehl"/>
          <w:sz w:val="20"/>
          <w:szCs w:val="22"/>
          <w:rtl/>
        </w:rPr>
        <w:t xml:space="preserve"> של החלטות הרשות הנוגעות לעניינ</w:t>
      </w:r>
      <w:r>
        <w:rPr>
          <w:rFonts w:cs="FrankRuehl" w:hint="cs"/>
          <w:sz w:val="20"/>
          <w:szCs w:val="22"/>
          <w:rtl/>
        </w:rPr>
        <w:t>יה</w:t>
      </w:r>
      <w:r>
        <w:rPr>
          <w:rFonts w:cs="FrankRuehl"/>
          <w:sz w:val="20"/>
          <w:szCs w:val="22"/>
          <w:rtl/>
        </w:rPr>
        <w:t xml:space="preserve">ם של האזרחים הוותיקים </w:t>
      </w:r>
      <w:r>
        <w:rPr>
          <w:rFonts w:cs="FrankRuehl" w:hint="cs"/>
          <w:sz w:val="20"/>
          <w:szCs w:val="22"/>
          <w:rtl/>
        </w:rPr>
        <w:t>ויגיש</w:t>
      </w:r>
      <w:r>
        <w:rPr>
          <w:rFonts w:cs="FrankRuehl"/>
          <w:sz w:val="20"/>
          <w:szCs w:val="22"/>
          <w:rtl/>
        </w:rPr>
        <w:t xml:space="preserve"> חוות דעת </w:t>
      </w:r>
      <w:r>
        <w:rPr>
          <w:rFonts w:cs="FrankRuehl" w:hint="cs"/>
          <w:sz w:val="20"/>
          <w:szCs w:val="22"/>
          <w:rtl/>
        </w:rPr>
        <w:t>בנושא</w:t>
      </w:r>
      <w:r>
        <w:rPr>
          <w:rFonts w:cs="FrankRuehl"/>
          <w:sz w:val="20"/>
          <w:szCs w:val="22"/>
          <w:rtl/>
        </w:rPr>
        <w:t>.</w:t>
      </w:r>
    </w:p>
    <w:p w:rsidR="00F60E90">
      <w:pPr>
        <w:spacing w:after="120" w:line="230" w:lineRule="exact"/>
        <w:jc w:val="both"/>
        <w:rPr>
          <w:rFonts w:cs="FrankRuehl"/>
          <w:sz w:val="20"/>
          <w:szCs w:val="22"/>
          <w:rtl/>
        </w:rPr>
      </w:pPr>
      <w:r>
        <w:rPr>
          <w:rFonts w:cs="FrankRuehl" w:hint="cs"/>
          <w:sz w:val="20"/>
          <w:szCs w:val="22"/>
          <w:rtl/>
        </w:rPr>
        <w:t>חלק מהרשויות המקומיות שנבדקו מינו את מנהל שירותי הרווחה או את מנהל המדור לזקן לתפקיד יועץ לאזרחים ותיקים. בעיריית קריית שמונה מונתה לתפקיד היועץ מנהלת המדור לזקן, במועצה</w:t>
      </w:r>
      <w:r>
        <w:rPr>
          <w:rFonts w:cs="FrankRuehl"/>
          <w:sz w:val="20"/>
          <w:szCs w:val="22"/>
          <w:rtl/>
        </w:rPr>
        <w:t xml:space="preserve"> </w:t>
      </w:r>
      <w:r>
        <w:rPr>
          <w:rFonts w:cs="FrankRuehl" w:hint="cs"/>
          <w:sz w:val="20"/>
          <w:szCs w:val="22"/>
          <w:rtl/>
        </w:rPr>
        <w:t>האזורית</w:t>
      </w:r>
      <w:r>
        <w:rPr>
          <w:rFonts w:cs="FrankRuehl"/>
          <w:sz w:val="20"/>
          <w:szCs w:val="22"/>
          <w:rtl/>
        </w:rPr>
        <w:t xml:space="preserve"> </w:t>
      </w:r>
      <w:r>
        <w:rPr>
          <w:rFonts w:cs="FrankRuehl" w:hint="cs"/>
          <w:sz w:val="20"/>
          <w:szCs w:val="22"/>
          <w:rtl/>
        </w:rPr>
        <w:t>הגליל</w:t>
      </w:r>
      <w:r>
        <w:rPr>
          <w:rFonts w:cs="FrankRuehl"/>
          <w:sz w:val="20"/>
          <w:szCs w:val="22"/>
          <w:rtl/>
        </w:rPr>
        <w:t xml:space="preserve"> </w:t>
      </w:r>
      <w:r>
        <w:rPr>
          <w:rFonts w:cs="FrankRuehl" w:hint="cs"/>
          <w:sz w:val="20"/>
          <w:szCs w:val="22"/>
          <w:rtl/>
        </w:rPr>
        <w:t>העליון מונתה האחראית למדור לזקן ובעיריית מגדל העמק מונה מנהל המחלקה לשירותים חברתיים.</w:t>
      </w:r>
    </w:p>
    <w:p w:rsidR="00F60E90" w:rsidP="00B82060">
      <w:pPr>
        <w:spacing w:after="240" w:line="230" w:lineRule="exact"/>
        <w:jc w:val="both"/>
        <w:rPr>
          <w:rFonts w:cs="FrankRuehl"/>
          <w:sz w:val="20"/>
          <w:szCs w:val="22"/>
          <w:rtl/>
        </w:rPr>
      </w:pPr>
      <w:r>
        <w:rPr>
          <w:rFonts w:cs="FrankRuehl" w:hint="cs"/>
          <w:sz w:val="20"/>
          <w:szCs w:val="22"/>
          <w:rtl/>
        </w:rPr>
        <w:t>הביקורת העלתה כי בשל עומס העבודה הרב המוטל על כתפיהם של העובדים בתפקידם השוטף, נמנע מהם מלמלא אחר מטלותיהם כיועצים לענייני אזרחים ותיקים, המוגדרות בחוק האזרחים הוותיקים.</w:t>
      </w:r>
    </w:p>
    <w:p w:rsidR="00F60E90" w:rsidP="00B82060">
      <w:pPr>
        <w:pStyle w:val="RESHET"/>
        <w:rPr>
          <w:rtl/>
        </w:rPr>
      </w:pPr>
      <w:r>
        <w:rPr>
          <w:rFonts w:hint="cs"/>
          <w:rtl/>
        </w:rPr>
        <w:t>משרד מבקר המדינה העיר לרשויות המקומיות כי עליהן לוודא כי האדם שהן ממנות לתפקיד יועץ לענייני אזרחים ותיקים יוכל למלא את תפקידו כראוי.</w:t>
      </w:r>
    </w:p>
    <w:p w:rsidR="00F60E90" w:rsidP="00B82060">
      <w:pPr>
        <w:spacing w:before="180" w:after="120" w:line="230" w:lineRule="exact"/>
        <w:jc w:val="both"/>
        <w:rPr>
          <w:rFonts w:cs="FrankRuehl"/>
          <w:sz w:val="20"/>
          <w:szCs w:val="22"/>
          <w:rtl/>
        </w:rPr>
      </w:pPr>
      <w:r>
        <w:rPr>
          <w:rFonts w:cs="FrankRuehl" w:hint="cs"/>
          <w:sz w:val="20"/>
          <w:szCs w:val="22"/>
          <w:rtl/>
        </w:rPr>
        <w:t>בתשובתו מיוני 2014 מסר המשרד לאזרחים ותיקים כי הוא מודע לעומס העבודה הרב המוטל על היועצים לענייני אזרחים ותיקים ברשויות המקומיות, וזאת מתוקף היותם גם מנהלי מחלקות שירותים חברתיים. לכן, "המשרד נמצא בדיונים תקציביים אל מול משרד האוצר על מנת לאפשר מינוי ממונה אזרחים ותיקים ברשויות המקומיות המיועד לתפקיד זה בלבד".</w:t>
      </w:r>
    </w:p>
    <w:p w:rsidR="00F60E90">
      <w:pPr>
        <w:spacing w:after="120" w:line="230" w:lineRule="exact"/>
        <w:jc w:val="both"/>
        <w:rPr>
          <w:rFonts w:cs="FrankRuehl"/>
          <w:sz w:val="20"/>
          <w:szCs w:val="22"/>
          <w:rtl/>
        </w:rPr>
      </w:pPr>
    </w:p>
    <w:p w:rsidR="00F60E90">
      <w:pPr>
        <w:pStyle w:val="KOT5"/>
        <w:rPr>
          <w:rtl/>
        </w:rPr>
      </w:pPr>
      <w:r>
        <w:rPr>
          <w:rtl/>
        </w:rPr>
        <w:t xml:space="preserve">חובת דיווח </w:t>
      </w:r>
      <w:r>
        <w:rPr>
          <w:rFonts w:hint="cs"/>
          <w:rtl/>
        </w:rPr>
        <w:t>בדבר</w:t>
      </w:r>
      <w:r>
        <w:rPr>
          <w:rtl/>
        </w:rPr>
        <w:t xml:space="preserve"> מידע </w:t>
      </w:r>
      <w:r>
        <w:rPr>
          <w:rFonts w:hint="cs"/>
          <w:rtl/>
        </w:rPr>
        <w:t>הנוגע ל</w:t>
      </w:r>
      <w:r>
        <w:rPr>
          <w:rtl/>
        </w:rPr>
        <w:t>זכויות ו</w:t>
      </w:r>
      <w:r>
        <w:rPr>
          <w:rFonts w:hint="cs"/>
          <w:rtl/>
        </w:rPr>
        <w:t>ל</w:t>
      </w:r>
      <w:r>
        <w:rPr>
          <w:rtl/>
        </w:rPr>
        <w:t>הטבות</w:t>
      </w:r>
    </w:p>
    <w:p w:rsidR="00F60E90">
      <w:pPr>
        <w:spacing w:after="120" w:line="230" w:lineRule="exact"/>
        <w:jc w:val="both"/>
        <w:rPr>
          <w:rFonts w:cs="FrankRuehl"/>
          <w:sz w:val="20"/>
          <w:szCs w:val="22"/>
          <w:rtl/>
        </w:rPr>
      </w:pPr>
      <w:r>
        <w:rPr>
          <w:rFonts w:cs="FrankRuehl" w:hint="cs"/>
          <w:sz w:val="20"/>
          <w:szCs w:val="22"/>
          <w:rtl/>
        </w:rPr>
        <w:t xml:space="preserve">על פי חוק האזרחים הוותיקים, על </w:t>
      </w:r>
      <w:r>
        <w:rPr>
          <w:rFonts w:cs="FrankRuehl"/>
          <w:sz w:val="20"/>
          <w:szCs w:val="22"/>
          <w:rtl/>
        </w:rPr>
        <w:t>רשות ציבורית</w:t>
      </w:r>
      <w:r>
        <w:rPr>
          <w:rFonts w:cs="FrankRuehl" w:hint="cs"/>
          <w:sz w:val="20"/>
          <w:szCs w:val="22"/>
          <w:rtl/>
        </w:rPr>
        <w:t xml:space="preserve"> (לרבות רשות מקומית) ל</w:t>
      </w:r>
      <w:r>
        <w:rPr>
          <w:rFonts w:cs="FrankRuehl"/>
          <w:sz w:val="20"/>
          <w:szCs w:val="22"/>
          <w:rtl/>
        </w:rPr>
        <w:t xml:space="preserve">מסור </w:t>
      </w:r>
      <w:r>
        <w:rPr>
          <w:rFonts w:cs="FrankRuehl" w:hint="cs"/>
          <w:sz w:val="20"/>
          <w:szCs w:val="22"/>
          <w:rtl/>
        </w:rPr>
        <w:t>"</w:t>
      </w:r>
      <w:r>
        <w:rPr>
          <w:rFonts w:cs="FrankRuehl"/>
          <w:sz w:val="20"/>
          <w:szCs w:val="22"/>
          <w:rtl/>
        </w:rPr>
        <w:t xml:space="preserve">למשרד </w:t>
      </w:r>
      <w:r>
        <w:rPr>
          <w:rFonts w:cs="FrankRuehl" w:hint="cs"/>
          <w:sz w:val="20"/>
          <w:szCs w:val="22"/>
          <w:rtl/>
        </w:rPr>
        <w:t xml:space="preserve">לאזרחים ותיקים </w:t>
      </w:r>
      <w:r>
        <w:rPr>
          <w:rFonts w:cs="FrankRuehl"/>
          <w:sz w:val="20"/>
          <w:szCs w:val="22"/>
          <w:rtl/>
        </w:rPr>
        <w:t>בכתב, עד 31 באוגוסט בכל שנה, תמצית של כל זכות או הטבה לפי דין או הסכם, שנותנת אותה רשות ציבורית לאזרחים ותיקים ושל התנאים לקבלת הזכות או ההטבה, נכון ליום 1 ביולי של אותה שנה, בשל הג</w:t>
      </w:r>
      <w:r>
        <w:rPr>
          <w:rFonts w:cs="FrankRuehl" w:hint="cs"/>
          <w:sz w:val="20"/>
          <w:szCs w:val="22"/>
          <w:rtl/>
        </w:rPr>
        <w:t>י</w:t>
      </w:r>
      <w:r>
        <w:rPr>
          <w:rFonts w:cs="FrankRuehl"/>
          <w:sz w:val="20"/>
          <w:szCs w:val="22"/>
          <w:rtl/>
        </w:rPr>
        <w:t>עם לגיל הקובע או לגיל מאוחר יותר; המידע שיימסר למשרד לפי סעיף קטן זה יהיה מידע כללי, המתייחס לכלל ציבור הזכאים, ויכלול גם פרטים בדבר האפשרות של הציבור לקבל מידע נוסף לגבי הזכות או ההטבה</w:t>
      </w:r>
      <w:r>
        <w:rPr>
          <w:rFonts w:cs="FrankRuehl" w:hint="cs"/>
          <w:sz w:val="20"/>
          <w:szCs w:val="22"/>
          <w:rtl/>
        </w:rPr>
        <w:t>"</w:t>
      </w:r>
      <w:r>
        <w:rPr>
          <w:rFonts w:cs="FrankRuehl"/>
          <w:sz w:val="20"/>
          <w:szCs w:val="22"/>
          <w:rtl/>
        </w:rPr>
        <w:t>.</w:t>
      </w:r>
    </w:p>
    <w:p w:rsidR="00F60E90">
      <w:pPr>
        <w:spacing w:after="120" w:line="230" w:lineRule="exact"/>
        <w:jc w:val="both"/>
        <w:rPr>
          <w:rFonts w:cs="FrankRuehl"/>
          <w:sz w:val="20"/>
          <w:szCs w:val="22"/>
          <w:rtl/>
        </w:rPr>
      </w:pPr>
      <w:r>
        <w:rPr>
          <w:rFonts w:cs="FrankRuehl" w:hint="cs"/>
          <w:sz w:val="20"/>
          <w:szCs w:val="22"/>
          <w:rtl/>
        </w:rPr>
        <w:t>על פי חוק האזרחים הוותיקים ועל פי תקנות האזרחים הוותיקים (שליחה ופירסום של חוברת מידע), התשע"ג-2012, המשרד לאזרחים ותיקים מנפיק לכל אזרח ותיק כרטיס תושב ותיק ושולח לו חוברת מידע ובה מפורטות ההנחות וההטבות המגיעות לו בכלל ואלה המגיעות לו בתחומי הרשות המקומית שהוא מתגורר בפרט.</w:t>
      </w:r>
    </w:p>
    <w:p w:rsidR="00F60E90">
      <w:pPr>
        <w:spacing w:after="120" w:line="230" w:lineRule="exact"/>
        <w:jc w:val="both"/>
        <w:rPr>
          <w:rFonts w:cs="FrankRuehl"/>
          <w:sz w:val="20"/>
          <w:szCs w:val="22"/>
          <w:rtl/>
        </w:rPr>
      </w:pPr>
      <w:r>
        <w:rPr>
          <w:rFonts w:cs="FrankRuehl"/>
          <w:sz w:val="20"/>
          <w:szCs w:val="22"/>
          <w:rtl/>
        </w:rPr>
        <w:t>ה</w:t>
      </w:r>
      <w:r>
        <w:rPr>
          <w:rFonts w:cs="FrankRuehl" w:hint="cs"/>
          <w:sz w:val="20"/>
          <w:szCs w:val="22"/>
          <w:rtl/>
        </w:rPr>
        <w:t>בדיקה</w:t>
      </w:r>
      <w:r>
        <w:rPr>
          <w:rFonts w:cs="FrankRuehl"/>
          <w:sz w:val="20"/>
          <w:szCs w:val="22"/>
          <w:rtl/>
        </w:rPr>
        <w:t xml:space="preserve"> העלתה כי</w:t>
      </w:r>
      <w:r>
        <w:rPr>
          <w:rFonts w:cs="FrankRuehl" w:hint="cs"/>
          <w:sz w:val="20"/>
          <w:szCs w:val="22"/>
          <w:rtl/>
        </w:rPr>
        <w:t xml:space="preserve"> בחלק מה</w:t>
      </w:r>
      <w:r>
        <w:rPr>
          <w:rFonts w:cs="FrankRuehl"/>
          <w:sz w:val="20"/>
          <w:szCs w:val="22"/>
          <w:rtl/>
        </w:rPr>
        <w:t>רשויות המקומיות</w:t>
      </w:r>
      <w:r>
        <w:rPr>
          <w:rFonts w:cs="FrankRuehl" w:hint="cs"/>
          <w:sz w:val="20"/>
          <w:szCs w:val="22"/>
          <w:rtl/>
        </w:rPr>
        <w:t>, לרבות עיריות עפולה וחיפה, העמותות המקומיות למען הזקן הן אלה המעבירות למשרד לאזרחים ותיקים את המידע על הפעילויות שהן מספקות לאזרחים הוותיקים. נמצא כי במידע שהועבר לא פורטו ההטבות והזכויות שהרשות המקומית נותנת לאזרחיה, כמו הנחות בארנונה והנחות במוסדות עירוניים.</w:t>
      </w:r>
    </w:p>
    <w:p w:rsidR="00F60E90" w:rsidP="00B82060">
      <w:pPr>
        <w:spacing w:after="240" w:line="230" w:lineRule="exact"/>
        <w:jc w:val="both"/>
        <w:rPr>
          <w:rFonts w:cs="FrankRuehl"/>
          <w:sz w:val="20"/>
          <w:szCs w:val="22"/>
          <w:rtl/>
        </w:rPr>
      </w:pPr>
      <w:r>
        <w:rPr>
          <w:rFonts w:cs="FrankRuehl" w:hint="cs"/>
          <w:sz w:val="20"/>
          <w:szCs w:val="22"/>
          <w:rtl/>
        </w:rPr>
        <w:t>בתשובתו מסר המשרד לאזרחים ותיקים כי "המשרד שוקד מדי שנה על פרסום תמצית המידע על זכויות והטבות שנמסר לו מאת רשויות ציבוריות. המשרד יוצא בפניה לרשויות מקומיות אולם ההיענות הינה חלקית בכל הנוגע לעצם המענה בכלל ולפירוט הזכויות הרלוונטיות בפרט".</w:t>
      </w:r>
    </w:p>
    <w:p w:rsidR="00F60E90" w:rsidP="00B82060">
      <w:pPr>
        <w:pStyle w:val="RESHET"/>
        <w:rPr>
          <w:rtl/>
        </w:rPr>
      </w:pPr>
      <w:r>
        <w:rPr>
          <w:rFonts w:hint="cs"/>
          <w:rtl/>
        </w:rPr>
        <w:t>משרד מבקר המדינה העיר לרשויות המקומיות כי לפי חוק האזרחים הוותיקים עליהן לרכז מדי שנה נתונים ע</w:t>
      </w:r>
      <w:r>
        <w:rPr>
          <w:rtl/>
        </w:rPr>
        <w:t>ל כל זכות או הטבה לפי דין או הסכם ש</w:t>
      </w:r>
      <w:r>
        <w:rPr>
          <w:rFonts w:hint="cs"/>
          <w:rtl/>
        </w:rPr>
        <w:t xml:space="preserve">הן </w:t>
      </w:r>
      <w:r>
        <w:rPr>
          <w:rtl/>
        </w:rPr>
        <w:t>נותנ</w:t>
      </w:r>
      <w:r>
        <w:rPr>
          <w:rFonts w:hint="cs"/>
          <w:rtl/>
        </w:rPr>
        <w:t>ו</w:t>
      </w:r>
      <w:r>
        <w:rPr>
          <w:rtl/>
        </w:rPr>
        <w:t>ת לאזרחי</w:t>
      </w:r>
      <w:r>
        <w:rPr>
          <w:rFonts w:hint="cs"/>
          <w:rtl/>
        </w:rPr>
        <w:t>הן</w:t>
      </w:r>
      <w:r>
        <w:rPr>
          <w:rtl/>
        </w:rPr>
        <w:t xml:space="preserve"> </w:t>
      </w:r>
      <w:r>
        <w:rPr>
          <w:rFonts w:hint="cs"/>
          <w:rtl/>
        </w:rPr>
        <w:t>ה</w:t>
      </w:r>
      <w:r>
        <w:rPr>
          <w:rtl/>
        </w:rPr>
        <w:t>ו</w:t>
      </w:r>
      <w:r>
        <w:rPr>
          <w:rFonts w:hint="cs"/>
          <w:rtl/>
        </w:rPr>
        <w:t>ו</w:t>
      </w:r>
      <w:r>
        <w:rPr>
          <w:rtl/>
        </w:rPr>
        <w:t>תיקים ו</w:t>
      </w:r>
      <w:r>
        <w:rPr>
          <w:rFonts w:hint="cs"/>
          <w:rtl/>
        </w:rPr>
        <w:t>ע</w:t>
      </w:r>
      <w:r>
        <w:rPr>
          <w:rtl/>
        </w:rPr>
        <w:t>ל התנאים לקבלת</w:t>
      </w:r>
      <w:r>
        <w:rPr>
          <w:rFonts w:hint="cs"/>
          <w:rtl/>
        </w:rPr>
        <w:t>ן, ואז להעביר את הנתונים למשרד לאזרחים ותיקים.</w:t>
      </w:r>
    </w:p>
    <w:p w:rsidR="00F60E90" w:rsidP="00B82060">
      <w:pPr>
        <w:spacing w:before="180" w:after="120" w:line="230" w:lineRule="exact"/>
        <w:jc w:val="both"/>
        <w:rPr>
          <w:rFonts w:cs="FrankRuehl"/>
          <w:sz w:val="20"/>
          <w:szCs w:val="22"/>
          <w:rtl/>
        </w:rPr>
      </w:pPr>
      <w:r>
        <w:rPr>
          <w:rFonts w:cs="FrankRuehl" w:hint="cs"/>
          <w:sz w:val="20"/>
          <w:szCs w:val="22"/>
          <w:rtl/>
        </w:rPr>
        <w:t>בתשובתה מיוני 2014 ציינה עמותת "דור לדור עפולה" כי מסמך ההטבות המועבר למשרד לאזרחים ותיקים "נעשה בתיאום מלא עם המדור לזקן באגף הרווחה בעיריית עפולה. הזכויות שלא צוינו... יצוינו בדוחות הבאים".</w:t>
      </w:r>
    </w:p>
    <w:p w:rsidR="00F60E90">
      <w:pPr>
        <w:spacing w:after="120" w:line="230" w:lineRule="exact"/>
        <w:jc w:val="both"/>
        <w:rPr>
          <w:rFonts w:cs="FrankRuehl"/>
          <w:sz w:val="20"/>
          <w:szCs w:val="22"/>
          <w:rtl/>
        </w:rPr>
      </w:pPr>
      <w:r>
        <w:rPr>
          <w:rFonts w:cs="FrankRuehl" w:hint="cs"/>
          <w:sz w:val="20"/>
          <w:szCs w:val="22"/>
          <w:rtl/>
        </w:rPr>
        <w:t>עיריית עפולה מסרה בתשובתה כי "לקראת השנה הבאה יעשה מאמץ להרחיב את הדו"ח, לכלול בו את ההטבות העירוניות הניתנות במכלול התחומים ולשלוח את הדוח למשרד לאזרחים ותיקים כנדרש".</w:t>
      </w:r>
    </w:p>
    <w:p w:rsidR="00F60E90">
      <w:pPr>
        <w:spacing w:after="120" w:line="230" w:lineRule="exact"/>
        <w:jc w:val="both"/>
        <w:rPr>
          <w:rFonts w:cs="FrankRuehl"/>
          <w:sz w:val="20"/>
          <w:szCs w:val="22"/>
          <w:rtl/>
        </w:rPr>
      </w:pPr>
    </w:p>
    <w:p w:rsidR="00F60E90">
      <w:pPr>
        <w:pStyle w:val="KOT5"/>
        <w:rPr>
          <w:rtl/>
        </w:rPr>
      </w:pPr>
      <w:r>
        <w:rPr>
          <w:rFonts w:hint="cs"/>
          <w:rtl/>
        </w:rPr>
        <w:t>תכנית "חיים בגיל"</w:t>
      </w:r>
    </w:p>
    <w:p w:rsidR="00F60E90">
      <w:pPr>
        <w:spacing w:after="120" w:line="230" w:lineRule="exact"/>
        <w:jc w:val="both"/>
        <w:rPr>
          <w:rFonts w:cs="FrankRuehl"/>
          <w:sz w:val="20"/>
          <w:szCs w:val="22"/>
          <w:rtl/>
        </w:rPr>
      </w:pPr>
      <w:r>
        <w:rPr>
          <w:rFonts w:cs="FrankRuehl" w:hint="cs"/>
          <w:sz w:val="20"/>
          <w:szCs w:val="22"/>
          <w:rtl/>
        </w:rPr>
        <w:t>ב-256 הרשויות המקומיות בישראל מתגוררים כ-830,000 אזרחים ותיקים. משקלה של קבוצה זו באוכלוסייה ילך ויגדל בעשורים הבאים עקב תוחלת החיים המתארכת, והרשויות המקומיות חייבות להיערך לכך. באוקטובר 2011 החליטה הממשלה (החלטה מס' 3739) להטיל על המשרד לאזרחים ותיקים לפתח תכניות אב לרשויות המקומיות למען האזרחים הוותיקים, המותאמות למאפייניהם הייחודיים.</w:t>
      </w:r>
    </w:p>
    <w:p w:rsidR="00F60E90">
      <w:pPr>
        <w:spacing w:after="120" w:line="230" w:lineRule="exact"/>
        <w:jc w:val="both"/>
        <w:rPr>
          <w:rFonts w:cs="FrankRuehl"/>
          <w:sz w:val="20"/>
          <w:szCs w:val="22"/>
          <w:rtl/>
        </w:rPr>
      </w:pPr>
      <w:r>
        <w:rPr>
          <w:rFonts w:cs="FrankRuehl" w:hint="cs"/>
          <w:sz w:val="20"/>
          <w:szCs w:val="22"/>
          <w:rtl/>
        </w:rPr>
        <w:t>המשרד לאזרחים ותיקים הכין תכנית</w:t>
      </w:r>
      <w:r>
        <w:rPr>
          <w:rFonts w:cs="FrankRuehl"/>
          <w:sz w:val="20"/>
          <w:szCs w:val="22"/>
          <w:rtl/>
        </w:rPr>
        <w:t xml:space="preserve"> </w:t>
      </w:r>
      <w:r>
        <w:rPr>
          <w:rFonts w:cs="FrankRuehl" w:hint="cs"/>
          <w:sz w:val="20"/>
          <w:szCs w:val="22"/>
          <w:rtl/>
        </w:rPr>
        <w:t>שכותרתה "חיים בגיל" הרואה את האזרח הוותיק כאדם מהקהילה הבוחר בפעילות משמעותית יום-יומית ומשפיע על סביבתו. כמו כן, היא רואה בו שותף פעיל בהחלטות על עתידו במגוון תחומים - בריאות, תחבורה, דיור, נגישות, זכויות, תעסוקה, חברה, כלכלה, השכלה, והעשרה וספורט.</w:t>
      </w:r>
    </w:p>
    <w:p w:rsidR="00F60E90">
      <w:pPr>
        <w:spacing w:after="120" w:line="230" w:lineRule="exact"/>
        <w:jc w:val="both"/>
        <w:rPr>
          <w:rFonts w:cs="FrankRuehl"/>
          <w:sz w:val="20"/>
          <w:szCs w:val="22"/>
          <w:rtl/>
        </w:rPr>
      </w:pPr>
      <w:r>
        <w:rPr>
          <w:rFonts w:cs="FrankRuehl" w:hint="cs"/>
          <w:sz w:val="20"/>
          <w:szCs w:val="22"/>
          <w:rtl/>
        </w:rPr>
        <w:t>על</w:t>
      </w:r>
      <w:r>
        <w:rPr>
          <w:rFonts w:cs="FrankRuehl"/>
          <w:sz w:val="20"/>
          <w:szCs w:val="22"/>
          <w:rtl/>
        </w:rPr>
        <w:t xml:space="preserve"> </w:t>
      </w:r>
      <w:r>
        <w:rPr>
          <w:rFonts w:cs="FrankRuehl" w:hint="cs"/>
          <w:sz w:val="20"/>
          <w:szCs w:val="22"/>
          <w:rtl/>
        </w:rPr>
        <w:t>פי</w:t>
      </w:r>
      <w:r>
        <w:rPr>
          <w:rFonts w:cs="FrankRuehl"/>
          <w:sz w:val="20"/>
          <w:szCs w:val="22"/>
          <w:rtl/>
        </w:rPr>
        <w:t xml:space="preserve"> </w:t>
      </w:r>
      <w:r>
        <w:rPr>
          <w:rFonts w:cs="FrankRuehl" w:hint="cs"/>
          <w:sz w:val="20"/>
          <w:szCs w:val="22"/>
          <w:rtl/>
        </w:rPr>
        <w:t>החלטת</w:t>
      </w:r>
      <w:r>
        <w:rPr>
          <w:rFonts w:cs="FrankRuehl"/>
          <w:sz w:val="20"/>
          <w:szCs w:val="22"/>
          <w:rtl/>
        </w:rPr>
        <w:t xml:space="preserve"> </w:t>
      </w:r>
      <w:r>
        <w:rPr>
          <w:rFonts w:cs="FrankRuehl" w:hint="cs"/>
          <w:sz w:val="20"/>
          <w:szCs w:val="22"/>
          <w:rtl/>
        </w:rPr>
        <w:t>הממשלה תכלול התכנית מיפוי של כל המרכיבים, של כל המגזרים ושל כל הפעולות הנעשות במערך היישובי שעשויה להיות להם נגיעה לאזרחים הוותיקים. כמו כן ייעשה תיאום בין כל מרכיבי המערך היישובי ותגובש תכנית עבודה רב-שנתית המבוססת על הפעולות ועל התשתיות הקיימות כיום ברשויות המקומיות.</w:t>
      </w:r>
    </w:p>
    <w:p w:rsidR="00F60E90">
      <w:pPr>
        <w:spacing w:after="120" w:line="230" w:lineRule="exact"/>
        <w:jc w:val="both"/>
        <w:rPr>
          <w:rFonts w:cs="FrankRuehl"/>
          <w:sz w:val="20"/>
          <w:szCs w:val="22"/>
          <w:rtl/>
        </w:rPr>
      </w:pPr>
      <w:r>
        <w:rPr>
          <w:rFonts w:cs="FrankRuehl" w:hint="cs"/>
          <w:sz w:val="20"/>
          <w:szCs w:val="22"/>
          <w:rtl/>
        </w:rPr>
        <w:t>בהחלטה</w:t>
      </w:r>
      <w:r>
        <w:rPr>
          <w:rFonts w:cs="FrankRuehl"/>
          <w:sz w:val="20"/>
          <w:szCs w:val="22"/>
          <w:rtl/>
        </w:rPr>
        <w:t xml:space="preserve"> האמורה </w:t>
      </w:r>
      <w:r>
        <w:rPr>
          <w:rFonts w:cs="FrankRuehl" w:hint="cs"/>
          <w:sz w:val="20"/>
          <w:szCs w:val="22"/>
          <w:rtl/>
        </w:rPr>
        <w:t>נקבע</w:t>
      </w:r>
      <w:r>
        <w:rPr>
          <w:rFonts w:cs="FrankRuehl"/>
          <w:sz w:val="20"/>
          <w:szCs w:val="22"/>
          <w:rtl/>
        </w:rPr>
        <w:t xml:space="preserve"> </w:t>
      </w:r>
      <w:r>
        <w:rPr>
          <w:rFonts w:cs="FrankRuehl" w:hint="cs"/>
          <w:sz w:val="20"/>
          <w:szCs w:val="22"/>
          <w:rtl/>
        </w:rPr>
        <w:t xml:space="preserve">כי לצורך ניהול התכנית תוקם ועדת היגוי שתפקידיה בין היתר לקבוע את המדיניות שבמסגרתה יקדמו את מימוש מטרות התכנית והמעקב אחר יישומה. כמו כן תגבש הוועדה קריטריונים לקביעת סדרי עדיפויות להשתתפות רשות מקומית בתכנית, על פי לוחות הזמנים ועל פי המגבלה התקציבית. מנכ"ל המשרד לאזרחים ותיקים ישמש יו"ר ועדת ההיגוי </w:t>
      </w:r>
      <w:r>
        <w:rPr>
          <w:rFonts w:cs="FrankRuehl" w:hint="cs"/>
          <w:sz w:val="20"/>
          <w:szCs w:val="22"/>
          <w:rtl/>
        </w:rPr>
        <w:t>וחבריה יהיו נציגים ממשרדי הפנים, ביטחון הפנים, האוצר, המשפטים, התרבות והספורט, קליטת העלייה, הבריאות, הרווחה, הבינוי והשיכון, פיתוח הנגב והגליל, החקלאות ופיתוח הכפר ומשרד התעשייה, המסחר והתעסוקה. כמו כן יהיה בה נציג מהרשות לפיתוח כלכלי של המגזר הערבי, הדרוזי והצ'רקסי במשרד ראש הממשלה. נוסף על אלה ישתתפו בדיוני הוועדה נציגים מהמוסד לביטוח לאומי, ממשטרת ישראל וממרכז השלטון המקומי וכן נציגי ציבור.</w:t>
      </w:r>
    </w:p>
    <w:p w:rsidR="00F60E90">
      <w:pPr>
        <w:pStyle w:val="BodyText"/>
        <w:spacing w:before="0" w:after="360"/>
        <w:rPr>
          <w:sz w:val="20"/>
          <w:rtl/>
        </w:rPr>
      </w:pPr>
      <w:r>
        <w:rPr>
          <w:rFonts w:hint="cs"/>
          <w:sz w:val="20"/>
          <w:rtl/>
        </w:rPr>
        <w:t>התכנית תבוצע בשנים 2014-2011, והתקציב הממשלתי הכולל לביצועו יהיה 52 מיליון ש"ח. המימון יהיה כדלהלן (במיליוני ש"ח):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2686"/>
        <w:gridCol w:w="852"/>
        <w:gridCol w:w="767"/>
        <w:gridCol w:w="767"/>
        <w:gridCol w:w="767"/>
        <w:gridCol w:w="852"/>
      </w:tblGrid>
      <w:tr w:rsidTr="00D53830">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tblHeader/>
          <w:jc w:val="center"/>
        </w:trPr>
        <w:tc>
          <w:tcPr>
            <w:tcW w:w="0" w:type="auto"/>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המשרד</w:t>
            </w:r>
          </w:p>
        </w:tc>
        <w:tc>
          <w:tcPr>
            <w:tcW w:w="0" w:type="auto"/>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2011</w:t>
            </w:r>
          </w:p>
        </w:tc>
        <w:tc>
          <w:tcPr>
            <w:tcW w:w="0" w:type="auto"/>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2012</w:t>
            </w:r>
          </w:p>
        </w:tc>
        <w:tc>
          <w:tcPr>
            <w:tcW w:w="0" w:type="auto"/>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2013</w:t>
            </w:r>
          </w:p>
        </w:tc>
        <w:tc>
          <w:tcPr>
            <w:tcW w:w="0" w:type="auto"/>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2014</w:t>
            </w:r>
          </w:p>
        </w:tc>
        <w:tc>
          <w:tcPr>
            <w:tcW w:w="0" w:type="auto"/>
            <w:tcBorders>
              <w:top w:val="single" w:sz="12" w:space="0" w:color="auto"/>
              <w:bottom w:val="single" w:sz="12" w:space="0" w:color="auto"/>
            </w:tcBorders>
            <w:shd w:val="pct10" w:color="auto" w:fill="auto"/>
            <w:vAlign w:val="center"/>
          </w:tcPr>
          <w:p w:rsidR="00D53830">
            <w:pPr>
              <w:spacing w:before="40" w:after="40" w:line="220" w:lineRule="exact"/>
              <w:jc w:val="center"/>
              <w:rPr>
                <w:rFonts w:cs="FrankRuehl"/>
                <w:b/>
                <w:bCs/>
                <w:sz w:val="18"/>
                <w:szCs w:val="20"/>
                <w:rtl/>
              </w:rPr>
            </w:pPr>
            <w:r>
              <w:rPr>
                <w:rFonts w:cs="FrankRuehl" w:hint="cs"/>
                <w:b/>
                <w:bCs/>
                <w:sz w:val="18"/>
                <w:szCs w:val="20"/>
                <w:rtl/>
              </w:rPr>
              <w:t>סה"כ</w:t>
            </w:r>
          </w:p>
        </w:tc>
      </w:tr>
      <w:tr w:rsidTr="00D53830">
        <w:tblPrEx>
          <w:tblW w:w="6691" w:type="dxa"/>
          <w:jc w:val="center"/>
          <w:tblLook w:val="04A0"/>
        </w:tblPrEx>
        <w:trPr>
          <w:jc w:val="center"/>
        </w:trPr>
        <w:tc>
          <w:tcPr>
            <w:tcW w:w="0" w:type="auto"/>
            <w:tcBorders>
              <w:top w:val="single" w:sz="12" w:space="0" w:color="auto"/>
            </w:tcBorders>
          </w:tcPr>
          <w:p w:rsidR="00D53830">
            <w:pPr>
              <w:spacing w:before="40" w:after="40" w:line="220" w:lineRule="exact"/>
              <w:rPr>
                <w:rFonts w:cs="FrankRuehl"/>
                <w:sz w:val="18"/>
                <w:szCs w:val="20"/>
                <w:rtl/>
              </w:rPr>
            </w:pPr>
            <w:r>
              <w:rPr>
                <w:rFonts w:cs="FrankRuehl" w:hint="cs"/>
                <w:sz w:val="18"/>
                <w:szCs w:val="20"/>
                <w:rtl/>
              </w:rPr>
              <w:t>אזרחים ותיקים</w:t>
            </w:r>
          </w:p>
        </w:tc>
        <w:tc>
          <w:tcPr>
            <w:tcW w:w="0" w:type="auto"/>
            <w:tcBorders>
              <w:top w:val="single" w:sz="12" w:space="0" w:color="auto"/>
            </w:tcBorders>
          </w:tcPr>
          <w:p w:rsidR="00D53830" w:rsidRPr="005A1A35" w:rsidP="005A1A35">
            <w:pPr>
              <w:spacing w:before="40" w:after="40" w:line="220" w:lineRule="exact"/>
              <w:ind w:left="227"/>
              <w:rPr>
                <w:rFonts w:cs="FrankRuehl"/>
                <w:sz w:val="18"/>
                <w:szCs w:val="20"/>
                <w:rtl/>
              </w:rPr>
            </w:pPr>
            <w:r w:rsidRPr="005A1A35">
              <w:rPr>
                <w:rFonts w:cs="FrankRuehl" w:hint="cs"/>
                <w:sz w:val="18"/>
                <w:szCs w:val="20"/>
                <w:rtl/>
              </w:rPr>
              <w:t>7.</w:t>
            </w:r>
            <w:r w:rsidRPr="005A1A35" w:rsidR="005A1A35">
              <w:rPr>
                <w:rFonts w:cs="FrankRuehl" w:hint="cs"/>
                <w:sz w:val="18"/>
                <w:szCs w:val="20"/>
                <w:rtl/>
              </w:rPr>
              <w:t>50</w:t>
            </w:r>
          </w:p>
        </w:tc>
        <w:tc>
          <w:tcPr>
            <w:tcW w:w="0" w:type="auto"/>
            <w:tcBorders>
              <w:top w:val="single" w:sz="12" w:space="0" w:color="auto"/>
            </w:tcBorders>
          </w:tcPr>
          <w:p w:rsidR="00D53830" w:rsidRPr="005A1A35">
            <w:pPr>
              <w:spacing w:before="40" w:after="40" w:line="220" w:lineRule="exact"/>
              <w:ind w:left="227"/>
              <w:rPr>
                <w:rFonts w:cs="FrankRuehl"/>
                <w:sz w:val="18"/>
                <w:szCs w:val="20"/>
                <w:rtl/>
              </w:rPr>
            </w:pPr>
            <w:r w:rsidRPr="005A1A35">
              <w:rPr>
                <w:rFonts w:cs="FrankRuehl" w:hint="cs"/>
                <w:sz w:val="18"/>
                <w:szCs w:val="20"/>
                <w:rtl/>
              </w:rPr>
              <w:t>9.5</w:t>
            </w:r>
          </w:p>
        </w:tc>
        <w:tc>
          <w:tcPr>
            <w:tcW w:w="0" w:type="auto"/>
            <w:tcBorders>
              <w:top w:val="single" w:sz="12" w:space="0" w:color="auto"/>
            </w:tcBorders>
          </w:tcPr>
          <w:p w:rsidR="00D53830" w:rsidRPr="005A1A35">
            <w:pPr>
              <w:spacing w:before="40" w:after="40" w:line="220" w:lineRule="exact"/>
              <w:ind w:left="227"/>
              <w:rPr>
                <w:rFonts w:cs="FrankRuehl"/>
                <w:sz w:val="18"/>
                <w:szCs w:val="20"/>
                <w:rtl/>
              </w:rPr>
            </w:pPr>
            <w:r w:rsidRPr="005A1A35">
              <w:rPr>
                <w:rFonts w:cs="FrankRuehl" w:hint="cs"/>
                <w:sz w:val="18"/>
                <w:szCs w:val="20"/>
                <w:rtl/>
              </w:rPr>
              <w:t>7</w:t>
            </w:r>
            <w:r w:rsidRPr="005A1A35" w:rsidR="005A1A35">
              <w:rPr>
                <w:rFonts w:cs="FrankRuehl" w:hint="cs"/>
                <w:sz w:val="18"/>
                <w:szCs w:val="20"/>
                <w:rtl/>
              </w:rPr>
              <w:t>.0</w:t>
            </w:r>
          </w:p>
        </w:tc>
        <w:tc>
          <w:tcPr>
            <w:tcW w:w="0" w:type="auto"/>
            <w:tcBorders>
              <w:top w:val="single" w:sz="12" w:space="0" w:color="auto"/>
            </w:tcBorders>
          </w:tcPr>
          <w:p w:rsidR="00D53830" w:rsidRPr="005A1A35">
            <w:pPr>
              <w:spacing w:before="40" w:after="40" w:line="220" w:lineRule="exact"/>
              <w:ind w:left="227"/>
              <w:rPr>
                <w:rFonts w:cs="FrankRuehl"/>
                <w:sz w:val="18"/>
                <w:szCs w:val="20"/>
                <w:rtl/>
              </w:rPr>
            </w:pPr>
            <w:r w:rsidRPr="005A1A35">
              <w:rPr>
                <w:rFonts w:cs="FrankRuehl" w:hint="cs"/>
                <w:sz w:val="18"/>
                <w:szCs w:val="20"/>
                <w:rtl/>
              </w:rPr>
              <w:t>7.5</w:t>
            </w:r>
          </w:p>
        </w:tc>
        <w:tc>
          <w:tcPr>
            <w:tcW w:w="0" w:type="auto"/>
            <w:tcBorders>
              <w:top w:val="single" w:sz="12" w:space="0" w:color="auto"/>
            </w:tcBorders>
          </w:tcPr>
          <w:p w:rsidR="00D53830" w:rsidRPr="005A1A35">
            <w:pPr>
              <w:spacing w:before="40" w:after="40" w:line="220" w:lineRule="exact"/>
              <w:ind w:left="227"/>
              <w:rPr>
                <w:rFonts w:cs="FrankRuehl"/>
                <w:sz w:val="18"/>
                <w:szCs w:val="20"/>
                <w:rtl/>
              </w:rPr>
            </w:pPr>
            <w:r w:rsidRPr="005A1A35">
              <w:rPr>
                <w:rFonts w:cs="FrankRuehl" w:hint="cs"/>
                <w:sz w:val="18"/>
                <w:szCs w:val="20"/>
                <w:rtl/>
              </w:rPr>
              <w:t>31.50</w:t>
            </w:r>
          </w:p>
        </w:tc>
      </w:tr>
      <w:tr w:rsidTr="00D53830">
        <w:tblPrEx>
          <w:tblW w:w="6691" w:type="dxa"/>
          <w:jc w:val="center"/>
          <w:tblLook w:val="04A0"/>
        </w:tblPrEx>
        <w:trPr>
          <w:jc w:val="center"/>
        </w:trPr>
        <w:tc>
          <w:tcPr>
            <w:tcW w:w="0" w:type="auto"/>
          </w:tcPr>
          <w:p w:rsidR="00D53830">
            <w:pPr>
              <w:spacing w:before="40" w:after="40" w:line="220" w:lineRule="exact"/>
              <w:rPr>
                <w:rFonts w:cs="FrankRuehl"/>
                <w:sz w:val="18"/>
                <w:szCs w:val="20"/>
                <w:rtl/>
              </w:rPr>
            </w:pPr>
            <w:r>
              <w:rPr>
                <w:rFonts w:cs="FrankRuehl" w:hint="cs"/>
                <w:sz w:val="18"/>
                <w:szCs w:val="20"/>
                <w:rtl/>
              </w:rPr>
              <w:t>הפנים</w:t>
            </w:r>
          </w:p>
        </w:tc>
        <w:tc>
          <w:tcPr>
            <w:tcW w:w="0" w:type="auto"/>
          </w:tcPr>
          <w:p w:rsidR="00D53830" w:rsidRPr="005A1A35">
            <w:pPr>
              <w:spacing w:before="40" w:after="40" w:line="220" w:lineRule="exact"/>
              <w:ind w:left="227"/>
              <w:rPr>
                <w:rFonts w:cs="FrankRuehl"/>
                <w:sz w:val="18"/>
                <w:szCs w:val="20"/>
                <w:rtl/>
              </w:rPr>
            </w:pP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2</w:t>
            </w:r>
            <w:r w:rsidRPr="005A1A35" w:rsidR="005A1A35">
              <w:rPr>
                <w:rFonts w:cs="FrankRuehl" w:hint="cs"/>
                <w:sz w:val="18"/>
                <w:szCs w:val="20"/>
                <w:rtl/>
              </w:rPr>
              <w:t>.0</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5.00</w:t>
            </w:r>
          </w:p>
        </w:tc>
      </w:tr>
      <w:tr w:rsidTr="00D53830">
        <w:tblPrEx>
          <w:tblW w:w="6691" w:type="dxa"/>
          <w:jc w:val="center"/>
          <w:tblLook w:val="04A0"/>
        </w:tblPrEx>
        <w:trPr>
          <w:jc w:val="center"/>
        </w:trPr>
        <w:tc>
          <w:tcPr>
            <w:tcW w:w="0" w:type="auto"/>
          </w:tcPr>
          <w:p w:rsidR="00D53830">
            <w:pPr>
              <w:spacing w:before="40" w:after="40" w:line="220" w:lineRule="exact"/>
              <w:rPr>
                <w:rFonts w:cs="FrankRuehl"/>
                <w:sz w:val="18"/>
                <w:szCs w:val="20"/>
                <w:rtl/>
              </w:rPr>
            </w:pPr>
            <w:r>
              <w:rPr>
                <w:rFonts w:cs="FrankRuehl" w:hint="cs"/>
                <w:sz w:val="18"/>
                <w:szCs w:val="20"/>
                <w:rtl/>
              </w:rPr>
              <w:t>התמ"ת</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1.25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2</w:t>
            </w:r>
            <w:r w:rsidRPr="005A1A35" w:rsidR="005A1A35">
              <w:rPr>
                <w:rFonts w:cs="FrankRuehl" w:hint="cs"/>
                <w:sz w:val="18"/>
                <w:szCs w:val="20"/>
                <w:rtl/>
              </w:rPr>
              <w:t>.0</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6.25</w:t>
            </w:r>
          </w:p>
        </w:tc>
      </w:tr>
      <w:tr w:rsidTr="00D53830">
        <w:tblPrEx>
          <w:tblW w:w="6691" w:type="dxa"/>
          <w:jc w:val="center"/>
          <w:tblLook w:val="04A0"/>
        </w:tblPrEx>
        <w:trPr>
          <w:jc w:val="center"/>
        </w:trPr>
        <w:tc>
          <w:tcPr>
            <w:tcW w:w="0" w:type="auto"/>
          </w:tcPr>
          <w:p w:rsidR="00D53830">
            <w:pPr>
              <w:spacing w:before="40" w:after="40" w:line="220" w:lineRule="exact"/>
              <w:rPr>
                <w:rFonts w:cs="FrankRuehl"/>
                <w:sz w:val="18"/>
                <w:szCs w:val="20"/>
                <w:rtl/>
              </w:rPr>
            </w:pPr>
            <w:r>
              <w:rPr>
                <w:rFonts w:cs="FrankRuehl" w:hint="cs"/>
                <w:sz w:val="18"/>
                <w:szCs w:val="20"/>
                <w:rtl/>
              </w:rPr>
              <w:t>פיתוח הנגב והגליל</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1.25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5.75</w:t>
            </w:r>
          </w:p>
        </w:tc>
      </w:tr>
      <w:tr w:rsidTr="00D53830">
        <w:tblPrEx>
          <w:tblW w:w="6691" w:type="dxa"/>
          <w:jc w:val="center"/>
          <w:tblLook w:val="04A0"/>
        </w:tblPrEx>
        <w:trPr>
          <w:jc w:val="center"/>
        </w:trPr>
        <w:tc>
          <w:tcPr>
            <w:tcW w:w="0" w:type="auto"/>
          </w:tcPr>
          <w:p w:rsidR="00D53830">
            <w:pPr>
              <w:spacing w:before="40" w:after="40" w:line="220" w:lineRule="exact"/>
              <w:rPr>
                <w:rFonts w:cs="FrankRuehl"/>
                <w:sz w:val="18"/>
                <w:szCs w:val="20"/>
                <w:rtl/>
              </w:rPr>
            </w:pPr>
            <w:r>
              <w:rPr>
                <w:rFonts w:cs="FrankRuehl" w:hint="cs"/>
                <w:sz w:val="18"/>
                <w:szCs w:val="20"/>
                <w:rtl/>
              </w:rPr>
              <w:t>החקלאות</w:t>
            </w:r>
          </w:p>
        </w:tc>
        <w:tc>
          <w:tcPr>
            <w:tcW w:w="0" w:type="auto"/>
          </w:tcPr>
          <w:p w:rsidR="00D53830" w:rsidRPr="005A1A35">
            <w:pPr>
              <w:spacing w:before="40" w:after="40" w:line="220" w:lineRule="exact"/>
              <w:ind w:left="227"/>
              <w:rPr>
                <w:rFonts w:cs="FrankRuehl"/>
                <w:sz w:val="18"/>
                <w:szCs w:val="20"/>
                <w:rtl/>
              </w:rPr>
            </w:pP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w:t>
            </w:r>
            <w:r w:rsidRPr="005A1A35" w:rsidR="005A1A35">
              <w:rPr>
                <w:rFonts w:cs="FrankRuehl" w:hint="cs"/>
                <w:sz w:val="18"/>
                <w:szCs w:val="20"/>
                <w:rtl/>
              </w:rPr>
              <w:t>.0</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1</w:t>
            </w:r>
            <w:r w:rsidRPr="005A1A35" w:rsidR="005A1A35">
              <w:rPr>
                <w:rFonts w:cs="FrankRuehl" w:hint="cs"/>
                <w:sz w:val="18"/>
                <w:szCs w:val="20"/>
                <w:rtl/>
              </w:rPr>
              <w:t>.0</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0.5</w:t>
            </w:r>
          </w:p>
        </w:tc>
        <w:tc>
          <w:tcPr>
            <w:tcW w:w="0" w:type="auto"/>
          </w:tcPr>
          <w:p w:rsidR="00D53830" w:rsidRPr="005A1A35">
            <w:pPr>
              <w:spacing w:before="40" w:after="40" w:line="220" w:lineRule="exact"/>
              <w:ind w:left="227"/>
              <w:rPr>
                <w:rFonts w:cs="FrankRuehl"/>
                <w:sz w:val="18"/>
                <w:szCs w:val="20"/>
                <w:rtl/>
              </w:rPr>
            </w:pPr>
            <w:r w:rsidRPr="005A1A35">
              <w:rPr>
                <w:rFonts w:cs="FrankRuehl" w:hint="cs"/>
                <w:sz w:val="18"/>
                <w:szCs w:val="20"/>
                <w:rtl/>
              </w:rPr>
              <w:t>2.50</w:t>
            </w:r>
          </w:p>
        </w:tc>
      </w:tr>
      <w:tr w:rsidTr="00D53830">
        <w:tblPrEx>
          <w:tblW w:w="6691" w:type="dxa"/>
          <w:jc w:val="center"/>
          <w:tblLook w:val="04A0"/>
        </w:tblPrEx>
        <w:trPr>
          <w:jc w:val="center"/>
        </w:trPr>
        <w:tc>
          <w:tcPr>
            <w:tcW w:w="0" w:type="auto"/>
            <w:tcBorders>
              <w:bottom w:val="single" w:sz="12" w:space="0" w:color="auto"/>
            </w:tcBorders>
          </w:tcPr>
          <w:p w:rsidR="00D53830">
            <w:pPr>
              <w:spacing w:before="40" w:after="40" w:line="220" w:lineRule="exact"/>
              <w:rPr>
                <w:rFonts w:cs="FrankRuehl"/>
                <w:sz w:val="18"/>
                <w:szCs w:val="20"/>
                <w:rtl/>
              </w:rPr>
            </w:pPr>
            <w:r>
              <w:rPr>
                <w:rFonts w:cs="FrankRuehl" w:hint="cs"/>
                <w:sz w:val="18"/>
                <w:szCs w:val="20"/>
                <w:rtl/>
              </w:rPr>
              <w:t>הרשות לפיתוח כלכלי מגזר המיעוטים</w:t>
            </w:r>
          </w:p>
        </w:tc>
        <w:tc>
          <w:tcPr>
            <w:tcW w:w="0" w:type="auto"/>
            <w:tcBorders>
              <w:bottom w:val="single" w:sz="12" w:space="0" w:color="auto"/>
            </w:tcBorders>
          </w:tcPr>
          <w:p w:rsidR="00D53830" w:rsidRPr="005A1A35">
            <w:pPr>
              <w:spacing w:before="40" w:after="40" w:line="220" w:lineRule="exact"/>
              <w:ind w:left="227"/>
              <w:rPr>
                <w:rFonts w:cs="FrankRuehl"/>
                <w:sz w:val="18"/>
                <w:szCs w:val="20"/>
                <w:rtl/>
              </w:rPr>
            </w:pPr>
          </w:p>
        </w:tc>
        <w:tc>
          <w:tcPr>
            <w:tcW w:w="0" w:type="auto"/>
            <w:tcBorders>
              <w:bottom w:val="single" w:sz="12" w:space="0" w:color="auto"/>
            </w:tcBorders>
          </w:tcPr>
          <w:p w:rsidR="00D53830" w:rsidRPr="005A1A35">
            <w:pPr>
              <w:spacing w:before="40" w:after="40" w:line="220" w:lineRule="exact"/>
              <w:ind w:left="227"/>
              <w:rPr>
                <w:rFonts w:cs="FrankRuehl"/>
                <w:sz w:val="18"/>
                <w:szCs w:val="20"/>
                <w:rtl/>
              </w:rPr>
            </w:pPr>
            <w:r w:rsidRPr="005A1A35">
              <w:rPr>
                <w:rFonts w:cs="FrankRuehl" w:hint="cs"/>
                <w:sz w:val="18"/>
                <w:szCs w:val="20"/>
                <w:rtl/>
              </w:rPr>
              <w:t>1</w:t>
            </w:r>
            <w:r w:rsidRPr="005A1A35" w:rsidR="005A1A35">
              <w:rPr>
                <w:rFonts w:cs="FrankRuehl" w:hint="cs"/>
                <w:sz w:val="18"/>
                <w:szCs w:val="20"/>
                <w:rtl/>
              </w:rPr>
              <w:t>.0</w:t>
            </w:r>
          </w:p>
        </w:tc>
        <w:tc>
          <w:tcPr>
            <w:tcW w:w="0" w:type="auto"/>
            <w:tcBorders>
              <w:bottom w:val="single" w:sz="12" w:space="0" w:color="auto"/>
            </w:tcBorders>
          </w:tcPr>
          <w:p w:rsidR="00D53830" w:rsidRPr="005A1A35">
            <w:pPr>
              <w:spacing w:before="40" w:after="40" w:line="220" w:lineRule="exact"/>
              <w:ind w:left="227"/>
              <w:rPr>
                <w:rFonts w:cs="FrankRuehl"/>
                <w:sz w:val="18"/>
                <w:szCs w:val="20"/>
                <w:rtl/>
              </w:rPr>
            </w:pPr>
          </w:p>
        </w:tc>
        <w:tc>
          <w:tcPr>
            <w:tcW w:w="0" w:type="auto"/>
            <w:tcBorders>
              <w:bottom w:val="single" w:sz="12" w:space="0" w:color="auto"/>
            </w:tcBorders>
          </w:tcPr>
          <w:p w:rsidR="00D53830" w:rsidRPr="005A1A35">
            <w:pPr>
              <w:spacing w:before="40" w:after="40" w:line="220" w:lineRule="exact"/>
              <w:ind w:left="227"/>
              <w:rPr>
                <w:rFonts w:cs="FrankRuehl"/>
                <w:sz w:val="18"/>
                <w:szCs w:val="20"/>
                <w:rtl/>
              </w:rPr>
            </w:pPr>
          </w:p>
        </w:tc>
        <w:tc>
          <w:tcPr>
            <w:tcW w:w="0" w:type="auto"/>
            <w:tcBorders>
              <w:bottom w:val="single" w:sz="12" w:space="0" w:color="auto"/>
            </w:tcBorders>
          </w:tcPr>
          <w:p w:rsidR="00D53830" w:rsidRPr="005A1A35">
            <w:pPr>
              <w:spacing w:before="40" w:after="40" w:line="220" w:lineRule="exact"/>
              <w:ind w:left="227"/>
              <w:rPr>
                <w:rFonts w:cs="FrankRuehl"/>
                <w:sz w:val="18"/>
                <w:szCs w:val="20"/>
                <w:rtl/>
              </w:rPr>
            </w:pPr>
            <w:r w:rsidRPr="005A1A35">
              <w:rPr>
                <w:rFonts w:cs="FrankRuehl" w:hint="cs"/>
                <w:sz w:val="18"/>
                <w:szCs w:val="20"/>
                <w:rtl/>
              </w:rPr>
              <w:t>1.00</w:t>
            </w:r>
          </w:p>
        </w:tc>
      </w:tr>
      <w:tr w:rsidTr="00D53830">
        <w:tblPrEx>
          <w:tblW w:w="6691" w:type="dxa"/>
          <w:jc w:val="center"/>
          <w:tblLook w:val="04A0"/>
        </w:tblPrEx>
        <w:trPr>
          <w:jc w:val="center"/>
        </w:trPr>
        <w:tc>
          <w:tcPr>
            <w:tcW w:w="0" w:type="auto"/>
            <w:tcBorders>
              <w:top w:val="single" w:sz="12" w:space="0" w:color="auto"/>
              <w:bottom w:val="single" w:sz="12" w:space="0" w:color="auto"/>
            </w:tcBorders>
            <w:shd w:val="pct10" w:color="auto" w:fill="auto"/>
          </w:tcPr>
          <w:p w:rsidR="00D53830">
            <w:pPr>
              <w:spacing w:before="40" w:after="40" w:line="220" w:lineRule="exact"/>
              <w:ind w:left="227"/>
              <w:jc w:val="right"/>
              <w:rPr>
                <w:rFonts w:cs="FrankRuehl"/>
                <w:b/>
                <w:bCs/>
                <w:sz w:val="18"/>
                <w:szCs w:val="20"/>
                <w:rtl/>
              </w:rPr>
            </w:pPr>
            <w:r>
              <w:rPr>
                <w:rFonts w:cs="FrankRuehl" w:hint="cs"/>
                <w:b/>
                <w:bCs/>
                <w:sz w:val="18"/>
                <w:szCs w:val="20"/>
                <w:rtl/>
              </w:rPr>
              <w:t>סך הכול</w:t>
            </w:r>
          </w:p>
        </w:tc>
        <w:tc>
          <w:tcPr>
            <w:tcW w:w="0" w:type="auto"/>
            <w:tcBorders>
              <w:top w:val="single" w:sz="12" w:space="0" w:color="auto"/>
              <w:bottom w:val="single" w:sz="12" w:space="0" w:color="auto"/>
            </w:tcBorders>
            <w:shd w:val="pct10" w:color="auto" w:fill="auto"/>
          </w:tcPr>
          <w:p w:rsidR="00D53830" w:rsidRPr="005A1A35">
            <w:pPr>
              <w:spacing w:before="40" w:after="40" w:line="220" w:lineRule="exact"/>
              <w:ind w:left="227"/>
              <w:rPr>
                <w:rFonts w:cs="FrankRuehl"/>
                <w:b/>
                <w:bCs/>
                <w:sz w:val="18"/>
                <w:szCs w:val="20"/>
                <w:rtl/>
              </w:rPr>
            </w:pPr>
            <w:r w:rsidRPr="005A1A35">
              <w:rPr>
                <w:rFonts w:cs="FrankRuehl" w:hint="cs"/>
                <w:b/>
                <w:bCs/>
                <w:sz w:val="18"/>
                <w:szCs w:val="20"/>
                <w:rtl/>
              </w:rPr>
              <w:t>10.00</w:t>
            </w:r>
          </w:p>
        </w:tc>
        <w:tc>
          <w:tcPr>
            <w:tcW w:w="0" w:type="auto"/>
            <w:tcBorders>
              <w:top w:val="single" w:sz="12" w:space="0" w:color="auto"/>
              <w:bottom w:val="single" w:sz="12" w:space="0" w:color="auto"/>
            </w:tcBorders>
            <w:shd w:val="pct10" w:color="auto" w:fill="auto"/>
          </w:tcPr>
          <w:p w:rsidR="00D53830" w:rsidRPr="005A1A35">
            <w:pPr>
              <w:spacing w:before="40" w:after="40" w:line="220" w:lineRule="exact"/>
              <w:ind w:left="227"/>
              <w:rPr>
                <w:rFonts w:cs="FrankRuehl"/>
                <w:b/>
                <w:bCs/>
                <w:sz w:val="18"/>
                <w:szCs w:val="20"/>
                <w:rtl/>
              </w:rPr>
            </w:pPr>
            <w:r w:rsidRPr="005A1A35">
              <w:rPr>
                <w:rFonts w:cs="FrankRuehl" w:hint="cs"/>
                <w:b/>
                <w:bCs/>
                <w:sz w:val="18"/>
                <w:szCs w:val="20"/>
                <w:rtl/>
              </w:rPr>
              <w:t>17</w:t>
            </w:r>
            <w:r w:rsidRPr="005A1A35" w:rsidR="005A1A35">
              <w:rPr>
                <w:rFonts w:cs="FrankRuehl" w:hint="cs"/>
                <w:b/>
                <w:bCs/>
                <w:sz w:val="18"/>
                <w:szCs w:val="20"/>
                <w:rtl/>
              </w:rPr>
              <w:t>.0</w:t>
            </w:r>
          </w:p>
        </w:tc>
        <w:tc>
          <w:tcPr>
            <w:tcW w:w="0" w:type="auto"/>
            <w:tcBorders>
              <w:top w:val="single" w:sz="12" w:space="0" w:color="auto"/>
              <w:bottom w:val="single" w:sz="12" w:space="0" w:color="auto"/>
            </w:tcBorders>
            <w:shd w:val="pct10" w:color="auto" w:fill="auto"/>
          </w:tcPr>
          <w:p w:rsidR="00D53830" w:rsidRPr="005A1A35">
            <w:pPr>
              <w:spacing w:before="40" w:after="40" w:line="220" w:lineRule="exact"/>
              <w:ind w:left="227"/>
              <w:rPr>
                <w:rFonts w:cs="FrankRuehl"/>
                <w:b/>
                <w:bCs/>
                <w:sz w:val="18"/>
                <w:szCs w:val="20"/>
                <w:rtl/>
              </w:rPr>
            </w:pPr>
            <w:r w:rsidRPr="005A1A35">
              <w:rPr>
                <w:rFonts w:cs="FrankRuehl" w:hint="cs"/>
                <w:b/>
                <w:bCs/>
                <w:sz w:val="18"/>
                <w:szCs w:val="20"/>
                <w:rtl/>
              </w:rPr>
              <w:t>12.5</w:t>
            </w:r>
          </w:p>
        </w:tc>
        <w:tc>
          <w:tcPr>
            <w:tcW w:w="0" w:type="auto"/>
            <w:tcBorders>
              <w:top w:val="single" w:sz="12" w:space="0" w:color="auto"/>
              <w:bottom w:val="single" w:sz="12" w:space="0" w:color="auto"/>
            </w:tcBorders>
            <w:shd w:val="pct10" w:color="auto" w:fill="auto"/>
          </w:tcPr>
          <w:p w:rsidR="00D53830" w:rsidRPr="005A1A35">
            <w:pPr>
              <w:spacing w:before="40" w:after="40" w:line="220" w:lineRule="exact"/>
              <w:ind w:left="227"/>
              <w:rPr>
                <w:rFonts w:cs="FrankRuehl"/>
                <w:b/>
                <w:bCs/>
                <w:sz w:val="18"/>
                <w:szCs w:val="20"/>
                <w:rtl/>
              </w:rPr>
            </w:pPr>
            <w:r w:rsidRPr="005A1A35">
              <w:rPr>
                <w:rFonts w:cs="FrankRuehl" w:hint="cs"/>
                <w:b/>
                <w:bCs/>
                <w:sz w:val="18"/>
                <w:szCs w:val="20"/>
                <w:rtl/>
              </w:rPr>
              <w:t>12.5</w:t>
            </w:r>
          </w:p>
        </w:tc>
        <w:tc>
          <w:tcPr>
            <w:tcW w:w="0" w:type="auto"/>
            <w:tcBorders>
              <w:top w:val="single" w:sz="12" w:space="0" w:color="auto"/>
              <w:bottom w:val="single" w:sz="12" w:space="0" w:color="auto"/>
            </w:tcBorders>
            <w:shd w:val="pct10" w:color="auto" w:fill="auto"/>
          </w:tcPr>
          <w:p w:rsidR="00D53830" w:rsidRPr="005A1A35">
            <w:pPr>
              <w:spacing w:before="40" w:after="40" w:line="220" w:lineRule="exact"/>
              <w:ind w:left="227"/>
              <w:rPr>
                <w:rFonts w:cs="FrankRuehl"/>
                <w:b/>
                <w:bCs/>
                <w:sz w:val="18"/>
                <w:szCs w:val="20"/>
                <w:rtl/>
              </w:rPr>
            </w:pPr>
            <w:r w:rsidRPr="005A1A35">
              <w:rPr>
                <w:rFonts w:cs="FrankRuehl" w:hint="cs"/>
                <w:b/>
                <w:bCs/>
                <w:sz w:val="18"/>
                <w:szCs w:val="20"/>
                <w:rtl/>
              </w:rPr>
              <w:t>52.00</w:t>
            </w:r>
          </w:p>
        </w:tc>
      </w:tr>
    </w:tbl>
    <w:p w:rsidR="00F60E90">
      <w:pPr>
        <w:spacing w:before="240" w:after="120" w:line="230" w:lineRule="exact"/>
        <w:jc w:val="both"/>
        <w:rPr>
          <w:rFonts w:cs="FrankRuehl"/>
          <w:sz w:val="20"/>
          <w:szCs w:val="22"/>
          <w:rtl/>
        </w:rPr>
      </w:pPr>
      <w:r>
        <w:rPr>
          <w:rFonts w:cs="FrankRuehl" w:hint="cs"/>
          <w:sz w:val="20"/>
          <w:szCs w:val="22"/>
          <w:rtl/>
        </w:rPr>
        <w:t>רשות מקומית המבקשת להשתתף בתכנית תידרש להשתתף במימון חלק מעלות ההכנה של תכנית</w:t>
      </w:r>
      <w:r>
        <w:rPr>
          <w:rFonts w:cs="FrankRuehl"/>
          <w:sz w:val="20"/>
          <w:szCs w:val="22"/>
          <w:rtl/>
        </w:rPr>
        <w:t xml:space="preserve"> </w:t>
      </w:r>
      <w:r>
        <w:rPr>
          <w:rFonts w:cs="FrankRuehl" w:hint="cs"/>
          <w:sz w:val="20"/>
          <w:szCs w:val="22"/>
          <w:rtl/>
        </w:rPr>
        <w:t>האב. חלקה היחסי ייקבע על פי דירוגה לפי המדד החברתי-כלכלי של הלמ"ס: רשויות מקומיות המדורגות באשכולות 4-1 פטורות מהשתתפות במימון עלות הכנת תכנית האב; רשויות המדורגות באשכול 5 ישתתפו ב-10%, רשויות המדורגות באשכול 6 ישתתפו ב-20%, רשויות המדורגות באשכולות 8-7 ישתתפות ב-25%, ורשויות המדורגות באשכולות 10-9 ישתתפו ב-30% מעלות ההכנה של תכנית האב.</w:t>
      </w:r>
    </w:p>
    <w:p w:rsidR="00F60E90">
      <w:pPr>
        <w:spacing w:after="120" w:line="230" w:lineRule="exact"/>
        <w:jc w:val="both"/>
        <w:rPr>
          <w:rFonts w:cs="FrankRuehl"/>
          <w:sz w:val="20"/>
          <w:szCs w:val="22"/>
          <w:rtl/>
        </w:rPr>
      </w:pPr>
      <w:r>
        <w:rPr>
          <w:rFonts w:cs="FrankRuehl" w:hint="cs"/>
          <w:sz w:val="20"/>
          <w:szCs w:val="22"/>
          <w:rtl/>
        </w:rPr>
        <w:t>ליווי הכנת תכניות</w:t>
      </w:r>
      <w:r>
        <w:rPr>
          <w:rFonts w:cs="FrankRuehl"/>
          <w:sz w:val="20"/>
          <w:szCs w:val="22"/>
          <w:rtl/>
        </w:rPr>
        <w:t xml:space="preserve"> האב</w:t>
      </w:r>
      <w:r>
        <w:rPr>
          <w:rFonts w:cs="FrankRuehl" w:hint="cs"/>
          <w:sz w:val="20"/>
          <w:szCs w:val="22"/>
          <w:rtl/>
        </w:rPr>
        <w:t xml:space="preserve"> ברשויות המקומיות הוטל על משרד הפנים, והוא נעשה באמצעות מפעם</w:t>
      </w:r>
      <w:r>
        <w:rPr>
          <w:rFonts w:cs="FrankRuehl"/>
          <w:sz w:val="20"/>
          <w:szCs w:val="22"/>
          <w:vertAlign w:val="superscript"/>
          <w:rtl/>
        </w:rPr>
        <w:footnoteReference w:id="14"/>
      </w:r>
      <w:r>
        <w:rPr>
          <w:rFonts w:cs="FrankRuehl" w:hint="cs"/>
          <w:sz w:val="20"/>
          <w:szCs w:val="22"/>
          <w:rtl/>
        </w:rPr>
        <w:t xml:space="preserve"> עמק יזרעאל. עד מועד סיום הביקורת השתתפו בתכנית 60 רשויות מקומיות, ובהן כמה מהרשויות המקומיות שנבדקו - עיריות אום אל-פחם, מגדל העמק וחיפה. ברוב הרשויות הושלמו תכניות האב ובמקצתן התהליך </w:t>
      </w:r>
      <w:r>
        <w:rPr>
          <w:rFonts w:cs="FrankRuehl"/>
          <w:sz w:val="20"/>
          <w:szCs w:val="22"/>
          <w:rtl/>
        </w:rPr>
        <w:t>בעיצומו</w:t>
      </w:r>
      <w:r>
        <w:rPr>
          <w:rFonts w:cs="FrankRuehl" w:hint="cs"/>
          <w:sz w:val="20"/>
          <w:szCs w:val="22"/>
          <w:rtl/>
        </w:rPr>
        <w:t>.</w:t>
      </w:r>
    </w:p>
    <w:p w:rsidR="00F60E90">
      <w:pPr>
        <w:spacing w:after="120" w:line="230" w:lineRule="exact"/>
        <w:jc w:val="both"/>
        <w:rPr>
          <w:rFonts w:cs="FrankRuehl"/>
          <w:sz w:val="20"/>
          <w:szCs w:val="22"/>
          <w:rtl/>
        </w:rPr>
      </w:pPr>
      <w:r>
        <w:rPr>
          <w:rFonts w:cs="FrankRuehl" w:hint="cs"/>
          <w:sz w:val="20"/>
          <w:szCs w:val="22"/>
          <w:rtl/>
        </w:rPr>
        <w:t>הביקורת העלתה כי בשנת 2014 הופסקה התכנית עקב ניצול כל התקציב המיועד לביצועו, ונכון למועד סיום הביקורת טרם חודש ביצועו.</w:t>
      </w:r>
    </w:p>
    <w:p w:rsidR="00F60E90">
      <w:pPr>
        <w:spacing w:after="120" w:line="230" w:lineRule="exact"/>
        <w:jc w:val="both"/>
        <w:rPr>
          <w:rFonts w:cs="FrankRuehl"/>
          <w:sz w:val="20"/>
          <w:szCs w:val="22"/>
          <w:rtl/>
        </w:rPr>
      </w:pPr>
      <w:r>
        <w:rPr>
          <w:rFonts w:cs="FrankRuehl" w:hint="cs"/>
          <w:sz w:val="20"/>
          <w:szCs w:val="22"/>
          <w:rtl/>
        </w:rPr>
        <w:t>עד</w:t>
      </w:r>
      <w:r>
        <w:rPr>
          <w:rFonts w:cs="FrankRuehl"/>
          <w:sz w:val="20"/>
          <w:szCs w:val="22"/>
          <w:rtl/>
        </w:rPr>
        <w:t xml:space="preserve"> </w:t>
      </w:r>
      <w:r>
        <w:rPr>
          <w:rFonts w:cs="FrankRuehl" w:hint="cs"/>
          <w:sz w:val="20"/>
          <w:szCs w:val="22"/>
          <w:rtl/>
        </w:rPr>
        <w:t>מועד</w:t>
      </w:r>
      <w:r>
        <w:rPr>
          <w:rFonts w:cs="FrankRuehl"/>
          <w:sz w:val="20"/>
          <w:szCs w:val="22"/>
          <w:rtl/>
        </w:rPr>
        <w:t xml:space="preserve"> </w:t>
      </w:r>
      <w:r>
        <w:rPr>
          <w:rFonts w:cs="FrankRuehl" w:hint="cs"/>
          <w:sz w:val="20"/>
          <w:szCs w:val="22"/>
          <w:rtl/>
        </w:rPr>
        <w:t>סיום</w:t>
      </w:r>
      <w:r>
        <w:rPr>
          <w:rFonts w:cs="FrankRuehl"/>
          <w:sz w:val="20"/>
          <w:szCs w:val="22"/>
          <w:rtl/>
        </w:rPr>
        <w:t xml:space="preserve"> </w:t>
      </w:r>
      <w:r>
        <w:rPr>
          <w:rFonts w:cs="FrankRuehl" w:hint="cs"/>
          <w:sz w:val="20"/>
          <w:szCs w:val="22"/>
          <w:rtl/>
        </w:rPr>
        <w:t>הביקורת לא דנה ועדת ההיגוי במשרד לאזרחים ותיקים בדרכים למימוש יעדי תכניות</w:t>
      </w:r>
      <w:r>
        <w:rPr>
          <w:rFonts w:cs="FrankRuehl"/>
          <w:sz w:val="20"/>
          <w:szCs w:val="22"/>
          <w:rtl/>
        </w:rPr>
        <w:t xml:space="preserve"> </w:t>
      </w:r>
      <w:r>
        <w:rPr>
          <w:rFonts w:cs="FrankRuehl" w:hint="cs"/>
          <w:sz w:val="20"/>
          <w:szCs w:val="22"/>
          <w:rtl/>
        </w:rPr>
        <w:t>האב שהכינו הרשויות המקומיות לפי אבני הדרך שנקבעו במסגרתן ואף לא בחנה את היקף המשאבים הנדרשים למימושן.</w:t>
      </w:r>
    </w:p>
    <w:p w:rsidR="00F60E90" w:rsidP="00B82060">
      <w:pPr>
        <w:spacing w:after="240" w:line="230" w:lineRule="exact"/>
        <w:jc w:val="both"/>
        <w:rPr>
          <w:rFonts w:cs="FrankRuehl"/>
          <w:sz w:val="20"/>
          <w:szCs w:val="22"/>
          <w:rtl/>
        </w:rPr>
      </w:pPr>
      <w:r>
        <w:rPr>
          <w:rFonts w:cs="FrankRuehl" w:hint="cs"/>
          <w:sz w:val="20"/>
          <w:szCs w:val="22"/>
          <w:rtl/>
        </w:rPr>
        <w:t>המשרד לאזרחים ותיקים מסר בתשובתו כי "הפעימה השלישית נמצאת בעיצומה בשנת 2014, אולם פעימה רביעית וחמישית לא נכנסו בשל רצון המשרד לייעל את התהליך ולהפוך את התכנית ליישומית".</w:t>
      </w:r>
    </w:p>
    <w:p w:rsidR="00F60E90" w:rsidP="00B82060">
      <w:pPr>
        <w:pStyle w:val="RESHET"/>
        <w:keepLines/>
        <w:rPr>
          <w:rtl/>
        </w:rPr>
      </w:pPr>
      <w:r>
        <w:rPr>
          <w:rtl/>
        </w:rPr>
        <w:t xml:space="preserve">לדעת משרד מבקר המדינה, </w:t>
      </w:r>
      <w:r>
        <w:rPr>
          <w:rFonts w:hint="cs"/>
          <w:rtl/>
        </w:rPr>
        <w:t>ל</w:t>
      </w:r>
      <w:r>
        <w:rPr>
          <w:rtl/>
        </w:rPr>
        <w:t>נוכח העובדה ש</w:t>
      </w:r>
      <w:r>
        <w:rPr>
          <w:rFonts w:hint="cs"/>
          <w:rtl/>
        </w:rPr>
        <w:t>ל</w:t>
      </w:r>
      <w:r>
        <w:rPr>
          <w:rtl/>
        </w:rPr>
        <w:t xml:space="preserve">פרויקט היו שותפים באופן פעיל </w:t>
      </w:r>
      <w:r>
        <w:rPr>
          <w:rFonts w:hint="cs"/>
          <w:rtl/>
        </w:rPr>
        <w:t xml:space="preserve">גם </w:t>
      </w:r>
      <w:r>
        <w:rPr>
          <w:rtl/>
        </w:rPr>
        <w:t xml:space="preserve">אזרחים ותיקים במסגרת קבוצות עבודה ביישובים </w:t>
      </w:r>
      <w:r>
        <w:rPr>
          <w:rFonts w:hint="cs"/>
          <w:rtl/>
        </w:rPr>
        <w:t>שנכללו בו</w:t>
      </w:r>
      <w:r>
        <w:rPr>
          <w:rtl/>
        </w:rPr>
        <w:t xml:space="preserve">, מן הראוי שהמשרד לאזרחים ותיקים </w:t>
      </w:r>
      <w:r>
        <w:rPr>
          <w:rFonts w:hint="cs"/>
          <w:rtl/>
        </w:rPr>
        <w:t>יבחן את הנושא</w:t>
      </w:r>
      <w:r>
        <w:rPr>
          <w:rtl/>
        </w:rPr>
        <w:t xml:space="preserve"> בהקדם </w:t>
      </w:r>
      <w:r>
        <w:rPr>
          <w:rFonts w:hint="cs"/>
          <w:rtl/>
        </w:rPr>
        <w:t>כדי</w:t>
      </w:r>
      <w:r>
        <w:rPr>
          <w:rtl/>
        </w:rPr>
        <w:t xml:space="preserve"> </w:t>
      </w:r>
      <w:r>
        <w:rPr>
          <w:rFonts w:hint="cs"/>
          <w:rtl/>
        </w:rPr>
        <w:t>לאפשר</w:t>
      </w:r>
      <w:r>
        <w:rPr>
          <w:rtl/>
        </w:rPr>
        <w:t xml:space="preserve"> את </w:t>
      </w:r>
      <w:r>
        <w:rPr>
          <w:rFonts w:hint="cs"/>
          <w:rtl/>
        </w:rPr>
        <w:t>המשך הפעלתה של ה</w:t>
      </w:r>
      <w:r>
        <w:rPr>
          <w:rtl/>
        </w:rPr>
        <w:t xml:space="preserve">תכנית </w:t>
      </w:r>
      <w:r>
        <w:rPr>
          <w:rFonts w:hint="cs"/>
          <w:rtl/>
        </w:rPr>
        <w:t>"</w:t>
      </w:r>
      <w:r>
        <w:rPr>
          <w:rtl/>
        </w:rPr>
        <w:t>חיים בגיל</w:t>
      </w:r>
      <w:r>
        <w:rPr>
          <w:rFonts w:hint="cs"/>
          <w:rtl/>
        </w:rPr>
        <w:t>"</w:t>
      </w:r>
      <w:r>
        <w:rPr>
          <w:rtl/>
        </w:rPr>
        <w:t xml:space="preserve"> ולקדם את הטיפול באוכלוסיית ה</w:t>
      </w:r>
      <w:r>
        <w:rPr>
          <w:rFonts w:hint="cs"/>
          <w:rtl/>
        </w:rPr>
        <w:t>זקנים</w:t>
      </w:r>
      <w:r>
        <w:rPr>
          <w:rtl/>
        </w:rPr>
        <w:t>.</w:t>
      </w:r>
    </w:p>
    <w:p w:rsidR="00F60E90" w:rsidP="00B82060">
      <w:pPr>
        <w:spacing w:before="180" w:after="240" w:line="230" w:lineRule="exact"/>
        <w:jc w:val="both"/>
        <w:rPr>
          <w:rFonts w:cs="FrankRuehl"/>
          <w:sz w:val="20"/>
          <w:szCs w:val="22"/>
          <w:rtl/>
        </w:rPr>
      </w:pPr>
      <w:r>
        <w:rPr>
          <w:rFonts w:cs="FrankRuehl" w:hint="cs"/>
          <w:sz w:val="20"/>
          <w:szCs w:val="22"/>
          <w:rtl/>
        </w:rPr>
        <w:t>המשרד לאזרחים ותיקים מסר בתשובתו כי בישיבת ועדת ההיגוי ממאי 2014 הוחלט לאמץ את המלצות הרוחב החוזרות ונשנות שהועלו ברשויות המקומיות, והוועדה החליטה להעביר את התכנית לקווים יישומיים ופחות תכנוניים, והדברים עדיין בשלבי תכנון. יצוין כי בפרוטוקול הישיבה האמורה ציין מנכ"ל המשרד כי "צרכי הרווחה הם השלב הבא ביישום התוכנית וכי מתי (מתאם תוכנית יישובים) יפעל מול המשרדים השונים לגיוס תקציב והטמעה של הפתרונות לצרכים רוחביים".</w:t>
      </w:r>
    </w:p>
    <w:p w:rsidR="00F60E90" w:rsidP="00B82060">
      <w:pPr>
        <w:pStyle w:val="RESHET"/>
        <w:rPr>
          <w:rtl/>
        </w:rPr>
      </w:pPr>
      <w:r>
        <w:rPr>
          <w:rFonts w:hint="cs"/>
          <w:rtl/>
        </w:rPr>
        <w:t>לנוכח העובדה שהמשרד לאזרחים ותיקים יזם את התכנית "חיים בגיל", עליו ועל כל משרדי הממשלה הנוגעים בדבר, כל אחד בתחומי אחריותו ועל פי סמכויותיו, לפעול מול הרשויות המקומיות שקיבלו מימון להכנת תכניות אב, לבחון דרכים לביצוען בשלבים ולאתר את המקורות התקציביים הנדרשים למימושן.</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2"/>
        <w:rPr>
          <w:rtl/>
        </w:rPr>
      </w:pPr>
      <w:r>
        <w:rPr>
          <w:rFonts w:hint="cs"/>
          <w:rtl/>
        </w:rPr>
        <w:t>פ</w:t>
      </w:r>
      <w:r>
        <w:rPr>
          <w:rFonts w:hint="eastAsia"/>
          <w:rtl/>
        </w:rPr>
        <w:t>תר</w:t>
      </w:r>
      <w:r>
        <w:rPr>
          <w:rtl/>
        </w:rPr>
        <w:t xml:space="preserve">ונות </w:t>
      </w:r>
      <w:r>
        <w:rPr>
          <w:rFonts w:hint="eastAsia"/>
          <w:rtl/>
        </w:rPr>
        <w:t>דיור</w:t>
      </w:r>
      <w:r>
        <w:rPr>
          <w:rtl/>
        </w:rPr>
        <w:t xml:space="preserve"> </w:t>
      </w:r>
      <w:r>
        <w:rPr>
          <w:rFonts w:hint="eastAsia"/>
          <w:rtl/>
        </w:rPr>
        <w:t>ציבורי</w:t>
      </w:r>
      <w:r>
        <w:rPr>
          <w:rtl/>
        </w:rPr>
        <w:t xml:space="preserve"> </w:t>
      </w:r>
      <w:r>
        <w:rPr>
          <w:rFonts w:hint="eastAsia"/>
          <w:rtl/>
        </w:rPr>
        <w:t>לזקנים</w:t>
      </w:r>
    </w:p>
    <w:p w:rsidR="00F60E90">
      <w:pPr>
        <w:spacing w:after="120" w:line="230" w:lineRule="exact"/>
        <w:jc w:val="both"/>
        <w:rPr>
          <w:rFonts w:cs="FrankRuehl"/>
          <w:sz w:val="20"/>
          <w:szCs w:val="22"/>
          <w:rtl/>
        </w:rPr>
      </w:pPr>
      <w:r>
        <w:rPr>
          <w:rFonts w:cs="FrankRuehl"/>
          <w:sz w:val="20"/>
          <w:szCs w:val="22"/>
          <w:rtl/>
        </w:rPr>
        <w:t xml:space="preserve">הקצאות קרקע לצורכי ציבור </w:t>
      </w:r>
      <w:r>
        <w:rPr>
          <w:rFonts w:cs="FrankRuehl" w:hint="cs"/>
          <w:sz w:val="20"/>
          <w:szCs w:val="22"/>
          <w:rtl/>
        </w:rPr>
        <w:t>נעשות</w:t>
      </w:r>
      <w:r>
        <w:rPr>
          <w:rFonts w:cs="FrankRuehl"/>
          <w:sz w:val="20"/>
          <w:szCs w:val="22"/>
          <w:rtl/>
        </w:rPr>
        <w:t xml:space="preserve"> כיום על בסיס "תדריך הקצאות הקרקע לצרכי ציבור" </w:t>
      </w:r>
      <w:r>
        <w:rPr>
          <w:rFonts w:cs="FrankRuehl" w:hint="cs"/>
          <w:sz w:val="20"/>
          <w:szCs w:val="22"/>
          <w:rtl/>
        </w:rPr>
        <w:t xml:space="preserve">שהוכן בשנת 2005 בהנחיית הוועדה הבין-משרדית שהוקמה על פי </w:t>
      </w:r>
      <w:r>
        <w:rPr>
          <w:rFonts w:cs="FrankRuehl"/>
          <w:sz w:val="20"/>
          <w:szCs w:val="22"/>
          <w:rtl/>
        </w:rPr>
        <w:t xml:space="preserve">החלטת ממשלה מס' 2873 מיום </w:t>
      </w:r>
      <w:r>
        <w:rPr>
          <w:rFonts w:cs="FrankRuehl" w:hint="cs"/>
          <w:sz w:val="20"/>
          <w:szCs w:val="22"/>
          <w:rtl/>
        </w:rPr>
        <w:t>מינואר 2001.</w:t>
      </w:r>
    </w:p>
    <w:p w:rsidR="00F60E90">
      <w:pPr>
        <w:spacing w:after="120" w:line="230" w:lineRule="exact"/>
        <w:jc w:val="both"/>
        <w:rPr>
          <w:rFonts w:cs="FrankRuehl"/>
          <w:sz w:val="20"/>
          <w:szCs w:val="22"/>
          <w:rtl/>
        </w:rPr>
      </w:pPr>
      <w:r>
        <w:rPr>
          <w:rFonts w:cs="FrankRuehl" w:hint="cs"/>
          <w:sz w:val="20"/>
          <w:szCs w:val="22"/>
          <w:rtl/>
        </w:rPr>
        <w:t>בהחלטה</w:t>
      </w:r>
      <w:r>
        <w:rPr>
          <w:rFonts w:cs="FrankRuehl"/>
          <w:sz w:val="20"/>
          <w:szCs w:val="22"/>
          <w:rtl/>
        </w:rPr>
        <w:t xml:space="preserve"> מס' 3052 </w:t>
      </w:r>
      <w:r>
        <w:rPr>
          <w:rFonts w:cs="FrankRuehl" w:hint="cs"/>
          <w:sz w:val="20"/>
          <w:szCs w:val="22"/>
          <w:rtl/>
        </w:rPr>
        <w:t>ממרץ 2011 החליטה הממשלה "</w:t>
      </w:r>
      <w:r>
        <w:rPr>
          <w:rFonts w:cs="FrankRuehl"/>
          <w:sz w:val="20"/>
          <w:szCs w:val="22"/>
          <w:rtl/>
        </w:rPr>
        <w:t>להנחות את המשרד לקליטת העלייה ומשרד הבינוי והשיכון לבוא בדברים עם רשויות מקומיות ו/או מוסדות לאומיים (כדוגמת הסוכנות היהודית), המחזיקים בקרקעות שיועדו לשימוש ציבורי, במטרה להקים מבני דיור לקשישים הזכאים לסיוע בשכר דירה, בהתאם לקריטריונים הקבועים במשרד לקליטת העלייה ובמשרד הבינוי והשיכון</w:t>
      </w:r>
      <w:r>
        <w:rPr>
          <w:rFonts w:cs="FrankRuehl" w:hint="cs"/>
          <w:sz w:val="20"/>
          <w:szCs w:val="22"/>
          <w:rtl/>
        </w:rPr>
        <w:t>"</w:t>
      </w:r>
      <w:r>
        <w:rPr>
          <w:rFonts w:cs="FrankRuehl"/>
          <w:sz w:val="20"/>
          <w:szCs w:val="22"/>
          <w:rtl/>
        </w:rPr>
        <w:t>.</w:t>
      </w:r>
    </w:p>
    <w:p w:rsidR="00F60E90">
      <w:pPr>
        <w:spacing w:after="120" w:line="230" w:lineRule="exact"/>
        <w:jc w:val="both"/>
        <w:rPr>
          <w:rFonts w:cs="FrankRuehl"/>
          <w:sz w:val="20"/>
          <w:szCs w:val="22"/>
          <w:rtl/>
        </w:rPr>
      </w:pPr>
      <w:r>
        <w:rPr>
          <w:rFonts w:cs="FrankRuehl" w:hint="cs"/>
          <w:bCs/>
          <w:spacing w:val="40"/>
          <w:sz w:val="20"/>
          <w:szCs w:val="22"/>
          <w:rtl/>
        </w:rPr>
        <w:t xml:space="preserve">עיריית </w:t>
      </w:r>
      <w:r>
        <w:rPr>
          <w:rFonts w:cs="FrankRuehl" w:hint="eastAsia"/>
          <w:bCs/>
          <w:spacing w:val="40"/>
          <w:sz w:val="20"/>
          <w:szCs w:val="22"/>
          <w:rtl/>
        </w:rPr>
        <w:t>קריית</w:t>
      </w:r>
      <w:r>
        <w:rPr>
          <w:rFonts w:cs="FrankRuehl"/>
          <w:bCs/>
          <w:spacing w:val="40"/>
          <w:sz w:val="20"/>
          <w:szCs w:val="22"/>
          <w:rtl/>
        </w:rPr>
        <w:t xml:space="preserve"> </w:t>
      </w:r>
      <w:r>
        <w:rPr>
          <w:rFonts w:cs="FrankRuehl" w:hint="eastAsia"/>
          <w:bCs/>
          <w:spacing w:val="40"/>
          <w:sz w:val="20"/>
          <w:szCs w:val="22"/>
          <w:rtl/>
        </w:rPr>
        <w:t>שמונה</w:t>
      </w:r>
      <w:r>
        <w:rPr>
          <w:rFonts w:cs="FrankRuehl"/>
          <w:bCs/>
          <w:spacing w:val="40"/>
          <w:sz w:val="20"/>
          <w:szCs w:val="22"/>
          <w:rtl/>
        </w:rPr>
        <w:t>:</w:t>
      </w:r>
      <w:r>
        <w:rPr>
          <w:rFonts w:cs="FrankRuehl"/>
          <w:sz w:val="20"/>
          <w:szCs w:val="22"/>
          <w:rtl/>
        </w:rPr>
        <w:t xml:space="preserve"> </w:t>
      </w:r>
      <w:r>
        <w:rPr>
          <w:rFonts w:cs="FrankRuehl" w:hint="cs"/>
          <w:sz w:val="20"/>
          <w:szCs w:val="22"/>
          <w:rtl/>
        </w:rPr>
        <w:t>בשנות השישים של המאה הקודמת הקימה הסוכנות היהודית לארץ ישראל (להלן - הסוכנות היהודית) 24 יחידות דיור צמודות קרקע, בנות חדר כל אחת, במתחם הנמצא</w:t>
      </w:r>
      <w:r>
        <w:rPr>
          <w:rFonts w:cs="FrankRuehl"/>
          <w:sz w:val="20"/>
          <w:szCs w:val="22"/>
          <w:rtl/>
        </w:rPr>
        <w:t xml:space="preserve"> </w:t>
      </w:r>
      <w:r>
        <w:rPr>
          <w:rFonts w:cs="FrankRuehl" w:hint="cs"/>
          <w:sz w:val="20"/>
          <w:szCs w:val="22"/>
          <w:rtl/>
        </w:rPr>
        <w:t xml:space="preserve">בקריית שמונה (להלן - מתחם הדיור). </w:t>
      </w:r>
    </w:p>
    <w:p w:rsidR="00F60E90">
      <w:pPr>
        <w:spacing w:after="120" w:line="230" w:lineRule="exact"/>
        <w:jc w:val="both"/>
        <w:rPr>
          <w:rFonts w:cs="FrankRuehl"/>
          <w:sz w:val="20"/>
          <w:szCs w:val="22"/>
          <w:rtl/>
        </w:rPr>
      </w:pPr>
      <w:r>
        <w:rPr>
          <w:rFonts w:cs="FrankRuehl" w:hint="cs"/>
          <w:sz w:val="20"/>
          <w:szCs w:val="22"/>
          <w:rtl/>
        </w:rPr>
        <w:t>בשנת 1977 חתמו העירייה והסוכנות היהודית על הסכם להשכרת מתחם הדיור לעירייה למשך חמש שנים. העירייה ייעדה את המתחם לאכלוס זקנים. בהסכם התחייבה העירייה "להחזיק את המושכר במצב טוב, תקין וראוי לשימוש ולבצע את כל התיקונים, הן התיקונים השוטפים והן התיקונים היסודיים... לשאת בהוצאות האחזקה, ניקיון, תיקונים, גינון, חשמל ומים".</w:t>
      </w:r>
    </w:p>
    <w:p w:rsidR="00F60E90">
      <w:pPr>
        <w:spacing w:after="120" w:line="230" w:lineRule="exact"/>
        <w:jc w:val="both"/>
        <w:rPr>
          <w:rFonts w:cs="FrankRuehl"/>
          <w:sz w:val="20"/>
          <w:szCs w:val="22"/>
          <w:rtl/>
        </w:rPr>
      </w:pPr>
      <w:r>
        <w:rPr>
          <w:rFonts w:cs="FrankRuehl" w:hint="cs"/>
          <w:sz w:val="20"/>
          <w:szCs w:val="22"/>
          <w:rtl/>
        </w:rPr>
        <w:t>על פי הסכם שחתמה חברת עמיגור</w:t>
      </w:r>
      <w:r>
        <w:rPr>
          <w:rFonts w:cs="FrankRuehl"/>
          <w:sz w:val="20"/>
          <w:szCs w:val="22"/>
          <w:vertAlign w:val="superscript"/>
          <w:rtl/>
        </w:rPr>
        <w:footnoteReference w:id="15"/>
      </w:r>
      <w:r>
        <w:rPr>
          <w:rFonts w:cs="FrankRuehl" w:hint="cs"/>
          <w:sz w:val="20"/>
          <w:szCs w:val="22"/>
          <w:rtl/>
        </w:rPr>
        <w:t xml:space="preserve"> עם העירייה העבירה הסוכנות היהודית בינואר 2000 את המתחם לאחריותה המינהלית של עמיגור. כשלוש שנים לאחר מכן בינואר 2003 הוקמה הנהלה </w:t>
      </w:r>
      <w:r>
        <w:rPr>
          <w:rFonts w:cs="FrankRuehl" w:hint="cs"/>
          <w:sz w:val="20"/>
          <w:szCs w:val="22"/>
          <w:rtl/>
        </w:rPr>
        <w:t>משותפת לצורך ניהול המתחם. בהסכם</w:t>
      </w:r>
      <w:r>
        <w:rPr>
          <w:rFonts w:cs="FrankRuehl"/>
          <w:sz w:val="20"/>
          <w:szCs w:val="22"/>
          <w:rtl/>
        </w:rPr>
        <w:t xml:space="preserve"> </w:t>
      </w:r>
      <w:r>
        <w:rPr>
          <w:rFonts w:cs="FrankRuehl" w:hint="cs"/>
          <w:sz w:val="20"/>
          <w:szCs w:val="22"/>
          <w:rtl/>
        </w:rPr>
        <w:t>נקבע</w:t>
      </w:r>
      <w:r>
        <w:rPr>
          <w:rFonts w:cs="FrankRuehl"/>
          <w:sz w:val="20"/>
          <w:szCs w:val="22"/>
          <w:rtl/>
        </w:rPr>
        <w:t xml:space="preserve"> </w:t>
      </w:r>
      <w:r>
        <w:rPr>
          <w:rFonts w:cs="FrankRuehl" w:hint="cs"/>
          <w:sz w:val="20"/>
          <w:szCs w:val="22"/>
          <w:rtl/>
        </w:rPr>
        <w:t>כי העירייה אחראית לגביית שכר הדירה מהדיירים ולתחזוקה השוטפת, ועליה לשלם לעמיגור 1,200 ש"ח לחודש.</w:t>
      </w:r>
    </w:p>
    <w:p w:rsidR="00F60E90">
      <w:pPr>
        <w:spacing w:after="120" w:line="230" w:lineRule="exact"/>
        <w:jc w:val="both"/>
        <w:rPr>
          <w:rFonts w:cs="FrankRuehl"/>
          <w:sz w:val="20"/>
          <w:szCs w:val="22"/>
          <w:rtl/>
        </w:rPr>
      </w:pPr>
      <w:r>
        <w:rPr>
          <w:rFonts w:cs="FrankRuehl" w:hint="cs"/>
          <w:sz w:val="20"/>
          <w:szCs w:val="22"/>
          <w:rtl/>
        </w:rPr>
        <w:t>בשנת 2012 פנתה עמיגור לעירייה ודרשה ממנה לפעול בדחיפות לתיקון כל שטחי הרכוש המשותף במתחם הדיור שמצבם הפיזי מהווה מפגע בטיחותי, בייחוד לאוכלוסיית הזקנים המתגוררת במתחם.</w:t>
      </w:r>
    </w:p>
    <w:p w:rsidR="00F60E90">
      <w:pPr>
        <w:spacing w:after="120" w:line="230" w:lineRule="exact"/>
        <w:jc w:val="both"/>
        <w:rPr>
          <w:rFonts w:cs="FrankRuehl"/>
          <w:sz w:val="20"/>
          <w:szCs w:val="22"/>
          <w:rtl/>
        </w:rPr>
      </w:pPr>
      <w:r>
        <w:rPr>
          <w:rFonts w:cs="FrankRuehl" w:hint="cs"/>
          <w:sz w:val="20"/>
          <w:szCs w:val="22"/>
          <w:rtl/>
        </w:rPr>
        <w:t>הביקורת העלתה כי אף שבמועד סיום הביקורת הייתה בידי עיריית קריית שמונה רשימה של 30 זקנים נזקקים חסרי דיור, רק 4 מתוך 24 הדירות שבמתחם היו מאוישות, והשטחים הציבוריים במתחם, דהיינו השבילים, המדרגות והמעקות, היו במצב רעוע העלול ליצור מפגעי בטיחות שיסכנו את</w:t>
      </w:r>
      <w:r>
        <w:rPr>
          <w:rFonts w:cs="FrankRuehl"/>
          <w:sz w:val="20"/>
          <w:szCs w:val="22"/>
          <w:rtl/>
        </w:rPr>
        <w:t xml:space="preserve"> </w:t>
      </w:r>
      <w:r>
        <w:rPr>
          <w:rFonts w:cs="FrankRuehl" w:hint="cs"/>
          <w:sz w:val="20"/>
          <w:szCs w:val="22"/>
          <w:rtl/>
        </w:rPr>
        <w:t>הדיירים במתחם.</w:t>
      </w:r>
    </w:p>
    <w:p w:rsidR="005A1A35" w:rsidP="005A1A35">
      <w:pPr>
        <w:pStyle w:val="tab-name"/>
        <w:rPr>
          <w:rtl/>
        </w:rPr>
      </w:pPr>
      <w:r>
        <w:rPr>
          <w:rFonts w:hint="cs"/>
          <w:rtl/>
        </w:rPr>
        <w:t>שבילים במתחם הדיור</w:t>
      </w:r>
    </w:p>
    <w:p w:rsidR="00F60E90" w:rsidP="00B82060">
      <w:pPr>
        <w:spacing w:after="240" w:line="240" w:lineRule="atLeast"/>
        <w:jc w:val="center"/>
        <w:rPr>
          <w:rFonts w:cs="FrankRuehl"/>
          <w:sz w:val="20"/>
          <w:szCs w:val="22"/>
          <w:rtl/>
        </w:rPr>
      </w:pPr>
      <w:r>
        <w:rPr>
          <w:rFonts w:cs="FrankRuehl"/>
          <w:noProof/>
          <w:sz w:val="20"/>
          <w:szCs w:val="22"/>
        </w:rPr>
        <w:pict>
          <v:shape id="_x0000_i1028" type="#_x0000_t75" style="width:335pt;height:251.5pt">
            <v:imagedata r:id="rId8" o:title="107-P_34"/>
          </v:shape>
        </w:pict>
      </w:r>
    </w:p>
    <w:p w:rsidR="00F60E90" w:rsidP="00B82060">
      <w:pPr>
        <w:pStyle w:val="RESHET"/>
        <w:rPr>
          <w:rtl/>
        </w:rPr>
      </w:pPr>
      <w:r>
        <w:rPr>
          <w:rFonts w:hint="cs"/>
          <w:rtl/>
        </w:rPr>
        <w:t>משרד מבקר המדינה העיר לעיריית קריית שמונה כי עליה לתקן את המפגעים הבטיחותיים במתחם הדיור, כפי שהתחייבה בהסכמים שחתמה עם הסוכנות היהודית ועם חברת עמיגור, כדי להבטיח את שלומם ואת בטיחותם של הזקנים המתגוררים במתחם.</w:t>
      </w:r>
    </w:p>
    <w:p w:rsidR="00F60E90" w:rsidP="00B82060">
      <w:pPr>
        <w:spacing w:before="180" w:after="240" w:line="230" w:lineRule="exact"/>
        <w:jc w:val="both"/>
        <w:rPr>
          <w:rFonts w:cs="FrankRuehl"/>
          <w:sz w:val="20"/>
          <w:szCs w:val="22"/>
          <w:rtl/>
        </w:rPr>
      </w:pPr>
      <w:r>
        <w:rPr>
          <w:rFonts w:cs="FrankRuehl" w:hint="cs"/>
          <w:sz w:val="20"/>
          <w:szCs w:val="22"/>
          <w:rtl/>
        </w:rPr>
        <w:t>בתשובתה מיוני 2014 מסרה חברת עמיגור כי "הנכס נשוא דו"ח זה אינו דיור ציבורי או מבנה מגורים לגיל הזהב אלא נכס שהושכר לעיריית קריית שמונה והיא זו שבחרה ליעדו לאיכלוס קשישים מטעמה וכי בדיון שהתקיים בעירייה באפריל 2014 הודיעה העירייה כי היא מעוניינת להחזיר את הנכס לחברה". עוד ציינה חברת עמיגור כי תסייע לעירייה בפינוי הקשישים מהדירות ובמציאת דיור חלופי בעבורם.</w:t>
      </w:r>
    </w:p>
    <w:p w:rsidR="00F60E90" w:rsidP="00B82060">
      <w:pPr>
        <w:pStyle w:val="RESHET"/>
        <w:rPr>
          <w:rtl/>
        </w:rPr>
      </w:pPr>
      <w:r>
        <w:rPr>
          <w:rFonts w:hint="cs"/>
          <w:rtl/>
        </w:rPr>
        <w:t>לדעת משרד מבקר המדינה, מאחר שישנם זקנים נזקקים הזכאים לדיור ציבורי בקריית שמונה ומכיוון שהוחלט להחזיר את מתחם הדיור לאחריות עמיגור, על העירייה למצוא פתרון לדיירים המתגוררים עדיין בארבע הדירות האמורות. יתרה מזאת, עליה לפעול מול משרדי הממשלה הרלוונטיים להסדרת פתרונות דיור לכל הזקנים הזכאים לדיור ציבורי בתחומה.</w:t>
      </w:r>
    </w:p>
    <w:p w:rsidR="00F60E90" w:rsidP="00B82060">
      <w:pPr>
        <w:spacing w:before="180" w:after="120" w:line="230" w:lineRule="exact"/>
        <w:jc w:val="both"/>
        <w:rPr>
          <w:rFonts w:cs="FrankRuehl"/>
          <w:sz w:val="20"/>
          <w:szCs w:val="22"/>
          <w:rtl/>
        </w:rPr>
      </w:pPr>
      <w:r>
        <w:rPr>
          <w:rFonts w:cs="FrankRuehl" w:hint="cs"/>
          <w:sz w:val="20"/>
          <w:szCs w:val="22"/>
          <w:rtl/>
        </w:rPr>
        <w:t>עוד מסרה חברת עמיגור בתשובתה כי "קריית שמונה אינה נכללת ברשימת הערים שבתחומן ייבנו מתחמי דיור לקשישים... לפיכך הפתרון לשיפוץ המבנה והשמשתו מחדש לרווחת הקשישים אינו רלוונטי ויש להתמקד, כאמור, במציאת פתרון דיור חלופי לארבעת הדיירים הגרים במקום".</w:t>
      </w:r>
    </w:p>
    <w:p w:rsidR="00F60E90">
      <w:pPr>
        <w:spacing w:after="120" w:line="230" w:lineRule="exact"/>
        <w:jc w:val="both"/>
        <w:rPr>
          <w:rFonts w:cs="FrankRuehl"/>
          <w:sz w:val="20"/>
          <w:szCs w:val="22"/>
          <w:rtl/>
        </w:rPr>
      </w:pPr>
      <w:r>
        <w:rPr>
          <w:rFonts w:cs="FrankRuehl" w:hint="cs"/>
          <w:sz w:val="20"/>
          <w:szCs w:val="22"/>
          <w:rtl/>
        </w:rPr>
        <w:t>בתשובתה מסרה עיריית קריית שמונה כי בפגישה שנערכה עם נציגי חברת עמיגור ביוני 2014 סוכם "שתיבדק זכאותם של 4 דיירים שנשארו בדיור המוגן לגבי העברתם לדירות בעיר. במידה ותיהיה הסכמה עם הדיירים, המתחם יועבר לרשות עמיגור שיחליטו על ייעודו".</w:t>
      </w:r>
    </w:p>
    <w:p w:rsidR="00F60E90">
      <w:pPr>
        <w:spacing w:after="120" w:line="230" w:lineRule="exact"/>
        <w:jc w:val="both"/>
        <w:rPr>
          <w:rFonts w:cs="FrankRuehl"/>
          <w:sz w:val="20"/>
          <w:szCs w:val="22"/>
          <w:rtl/>
        </w:rPr>
      </w:pPr>
    </w:p>
    <w:p w:rsidR="00F60E90">
      <w:pPr>
        <w:spacing w:after="120" w:line="230" w:lineRule="exact"/>
        <w:jc w:val="both"/>
        <w:rPr>
          <w:rFonts w:cs="FrankRuehl"/>
          <w:sz w:val="20"/>
          <w:szCs w:val="22"/>
          <w:rtl/>
        </w:rPr>
      </w:pPr>
    </w:p>
    <w:p w:rsidR="00F60E90">
      <w:pPr>
        <w:pStyle w:val="KOT4"/>
        <w:rPr>
          <w:rtl/>
        </w:rPr>
      </w:pPr>
      <w:r>
        <w:rPr>
          <w:rFonts w:hint="cs"/>
          <w:rtl/>
        </w:rPr>
        <w:t>סיכום</w:t>
      </w:r>
    </w:p>
    <w:p w:rsidR="00F60E90" w:rsidP="00B82060">
      <w:pPr>
        <w:pStyle w:val="RESHET"/>
        <w:rPr>
          <w:rtl/>
        </w:rPr>
      </w:pPr>
      <w:r>
        <w:rPr>
          <w:rtl/>
        </w:rPr>
        <w:t>הזדקנות האוכלוסייה</w:t>
      </w:r>
      <w:r>
        <w:rPr>
          <w:rFonts w:hint="cs"/>
          <w:rtl/>
        </w:rPr>
        <w:t xml:space="preserve"> קורית בקצב מהיר</w:t>
      </w:r>
      <w:r>
        <w:rPr>
          <w:rtl/>
        </w:rPr>
        <w:t xml:space="preserve"> </w:t>
      </w:r>
      <w:r>
        <w:rPr>
          <w:rFonts w:hint="cs"/>
          <w:rtl/>
        </w:rPr>
        <w:t>ומשפיעה על</w:t>
      </w:r>
      <w:r>
        <w:rPr>
          <w:rtl/>
        </w:rPr>
        <w:t xml:space="preserve"> הביקוש לשירותים ציבוריים ופרטי</w:t>
      </w:r>
      <w:r>
        <w:rPr>
          <w:rFonts w:hint="cs"/>
          <w:rtl/>
        </w:rPr>
        <w:t>י</w:t>
      </w:r>
      <w:r>
        <w:rPr>
          <w:rtl/>
        </w:rPr>
        <w:t>ם הנוגעים לטיפול בזקן</w:t>
      </w:r>
      <w:r>
        <w:rPr>
          <w:rFonts w:hint="cs"/>
          <w:rtl/>
        </w:rPr>
        <w:t>, הביקוש ההולך וגדל לשירותים אלה</w:t>
      </w:r>
      <w:r>
        <w:rPr>
          <w:rtl/>
        </w:rPr>
        <w:t xml:space="preserve"> מחייב את היערכות</w:t>
      </w:r>
      <w:r>
        <w:rPr>
          <w:rFonts w:hint="cs"/>
          <w:rtl/>
        </w:rPr>
        <w:t>ם המתאימה</w:t>
      </w:r>
      <w:r>
        <w:rPr>
          <w:rtl/>
        </w:rPr>
        <w:t xml:space="preserve"> </w:t>
      </w:r>
      <w:r>
        <w:rPr>
          <w:rFonts w:hint="cs"/>
          <w:rtl/>
        </w:rPr>
        <w:t>של הרשויות המקומיות, של משרדי הממשלה ושל גופים מטפלים נוספים</w:t>
      </w:r>
      <w:r>
        <w:rPr>
          <w:rtl/>
        </w:rPr>
        <w:t>.</w:t>
      </w:r>
    </w:p>
    <w:p w:rsidR="00F60E90" w:rsidP="00B82060">
      <w:pPr>
        <w:pStyle w:val="RESHET"/>
        <w:rPr>
          <w:rtl/>
        </w:rPr>
      </w:pPr>
      <w:r>
        <w:rPr>
          <w:rFonts w:hint="cs"/>
          <w:rtl/>
        </w:rPr>
        <w:t>ממצאי הביקורת מראים על ליקויים בטיפולן של הרשויות המקומיות באוכלוסיית הזקנים בכמה תחומים: איתור זקנים הזקוקים לסיוע בקהילה; עומס עבודה של העו"סים במחלקות הרווחה; התקשרויות עם הגופים המפעילים את מרכזי היום לזקן; פעולות היועצים לאזרחים ותיקים ברשויות המקומיות; ומתן שירותים ויישום תכנית האב "חיים בגיל" שיזם המשרד לאזרחים ותיקים.</w:t>
      </w:r>
    </w:p>
    <w:p w:rsidR="00F60E90" w:rsidP="00B82060">
      <w:pPr>
        <w:pStyle w:val="RESHET"/>
        <w:rPr>
          <w:rtl/>
        </w:rPr>
      </w:pPr>
      <w:r>
        <w:rPr>
          <w:rFonts w:hint="cs"/>
          <w:rtl/>
        </w:rPr>
        <w:t>על הרשויות המקומיות לתת את דעתן על עומס העבודה המוטל על כתפי העו"סים במחלקות לשירותים חברתיים המטפלים בזקנים בתחומן. כמו כן עליהן ליזום פעולות לאיתור זקנים מוגבלים הזקוקים לסיוע בתחומן.</w:t>
      </w:r>
    </w:p>
    <w:p w:rsidR="00F60E90" w:rsidP="00B82060">
      <w:pPr>
        <w:pStyle w:val="RESHET"/>
        <w:rPr>
          <w:rtl/>
        </w:rPr>
      </w:pPr>
      <w:r>
        <w:rPr>
          <w:rtl/>
        </w:rPr>
        <w:t xml:space="preserve">על משרד הרווחה לקבוע הנחיות לאיתור זקנים הזקוקים לסיוע בקהילה ולהנחות את הרשויות המקומיות להעסיק עו"סים לזקן בעלי הכשרה מקצועית או לחלופין לבנות </w:t>
      </w:r>
      <w:r>
        <w:rPr>
          <w:rFonts w:hint="cs"/>
          <w:rtl/>
        </w:rPr>
        <w:t>ב</w:t>
      </w:r>
      <w:r>
        <w:rPr>
          <w:rtl/>
        </w:rPr>
        <w:t xml:space="preserve">עבורם תכנית הדרכה מתאימה. מן הראוי </w:t>
      </w:r>
      <w:r>
        <w:rPr>
          <w:rFonts w:hint="cs"/>
          <w:rtl/>
        </w:rPr>
        <w:t>ש</w:t>
      </w:r>
      <w:r>
        <w:rPr>
          <w:rtl/>
        </w:rPr>
        <w:t>משרד הרווחה יקבע כללים בנוגע למספר המרבי של מטופלים לעו"ס, בכל התחומים</w:t>
      </w:r>
      <w:r>
        <w:rPr>
          <w:rFonts w:hint="cs"/>
          <w:rtl/>
        </w:rPr>
        <w:t>,</w:t>
      </w:r>
      <w:r>
        <w:rPr>
          <w:rtl/>
        </w:rPr>
        <w:t xml:space="preserve"> לרבות לטיפול בזקן, </w:t>
      </w:r>
      <w:r>
        <w:rPr>
          <w:rFonts w:hint="cs"/>
          <w:rtl/>
        </w:rPr>
        <w:t>כדי</w:t>
      </w:r>
      <w:r>
        <w:rPr>
          <w:rtl/>
        </w:rPr>
        <w:t xml:space="preserve"> לשפר את טיפול</w:t>
      </w:r>
      <w:r>
        <w:rPr>
          <w:rFonts w:hint="cs"/>
          <w:rtl/>
        </w:rPr>
        <w:t>ן של</w:t>
      </w:r>
      <w:r>
        <w:rPr>
          <w:rtl/>
        </w:rPr>
        <w:t xml:space="preserve"> הרשויות המקומיות </w:t>
      </w:r>
      <w:r>
        <w:rPr>
          <w:rFonts w:hint="cs"/>
          <w:rtl/>
        </w:rPr>
        <w:t>באוכלוסיית הזקנים</w:t>
      </w:r>
      <w:r>
        <w:rPr>
          <w:rtl/>
        </w:rPr>
        <w:t>.</w:t>
      </w:r>
    </w:p>
    <w:p w:rsidR="00F60E90" w:rsidP="00B82060">
      <w:pPr>
        <w:pStyle w:val="RESHET"/>
        <w:rPr>
          <w:rtl/>
        </w:rPr>
      </w:pPr>
      <w:r>
        <w:rPr>
          <w:rtl/>
        </w:rPr>
        <w:t>על</w:t>
      </w:r>
      <w:r>
        <w:rPr>
          <w:rFonts w:hint="cs"/>
          <w:rtl/>
        </w:rPr>
        <w:t xml:space="preserve"> הרשויות המקומיות</w:t>
      </w:r>
      <w:r>
        <w:rPr>
          <w:rtl/>
        </w:rPr>
        <w:t xml:space="preserve"> לכלול ולעגן בהסכמי ההתקשרות שחתמו עם הגופים המפעילים את מרכזי היום את כל החובות והזכויות של הצדדים בכל הנוגע לטיפול </w:t>
      </w:r>
      <w:r>
        <w:rPr>
          <w:rFonts w:hint="cs"/>
          <w:rtl/>
        </w:rPr>
        <w:t>הנדרש לזקן,</w:t>
      </w:r>
      <w:r>
        <w:rPr>
          <w:rtl/>
        </w:rPr>
        <w:t xml:space="preserve"> </w:t>
      </w:r>
      <w:r>
        <w:rPr>
          <w:rFonts w:hint="cs"/>
          <w:rtl/>
        </w:rPr>
        <w:t>ל</w:t>
      </w:r>
      <w:r>
        <w:rPr>
          <w:rtl/>
        </w:rPr>
        <w:t>פעילות החברתית ו</w:t>
      </w:r>
      <w:r>
        <w:rPr>
          <w:rFonts w:hint="cs"/>
          <w:rtl/>
        </w:rPr>
        <w:t>ל</w:t>
      </w:r>
      <w:r>
        <w:rPr>
          <w:rtl/>
        </w:rPr>
        <w:t xml:space="preserve">שירותים נוספים שמרכז היום </w:t>
      </w:r>
      <w:r>
        <w:rPr>
          <w:rFonts w:hint="cs"/>
          <w:rtl/>
        </w:rPr>
        <w:t>מחויב ל</w:t>
      </w:r>
      <w:r>
        <w:rPr>
          <w:rtl/>
        </w:rPr>
        <w:t>ספק</w:t>
      </w:r>
      <w:r>
        <w:rPr>
          <w:rFonts w:hint="cs"/>
          <w:rtl/>
        </w:rPr>
        <w:t xml:space="preserve">. </w:t>
      </w:r>
      <w:r>
        <w:rPr>
          <w:rtl/>
        </w:rPr>
        <w:t>על</w:t>
      </w:r>
      <w:r>
        <w:rPr>
          <w:rFonts w:hint="cs"/>
          <w:rtl/>
        </w:rPr>
        <w:t xml:space="preserve"> משרד הרווחה </w:t>
      </w:r>
      <w:r>
        <w:rPr>
          <w:rtl/>
        </w:rPr>
        <w:t xml:space="preserve">לוודא שהסכמים </w:t>
      </w:r>
      <w:r>
        <w:rPr>
          <w:rFonts w:hint="cs"/>
          <w:rtl/>
        </w:rPr>
        <w:t>אלה אכן עונים על הצרכים ומסדירים את כל החובות והזכויות של הצדדים.</w:t>
      </w:r>
    </w:p>
    <w:p w:rsidR="00F60E90" w:rsidP="00B82060">
      <w:pPr>
        <w:pStyle w:val="RESHET"/>
        <w:rPr>
          <w:rtl/>
        </w:rPr>
      </w:pPr>
      <w:r>
        <w:rPr>
          <w:rFonts w:hint="cs"/>
          <w:rtl/>
        </w:rPr>
        <w:t>על ה</w:t>
      </w:r>
      <w:r>
        <w:rPr>
          <w:rtl/>
        </w:rPr>
        <w:t xml:space="preserve">רשויות המקומיות </w:t>
      </w:r>
      <w:r>
        <w:rPr>
          <w:rFonts w:hint="cs"/>
          <w:rtl/>
        </w:rPr>
        <w:t xml:space="preserve">למנות </w:t>
      </w:r>
      <w:r>
        <w:rPr>
          <w:rtl/>
        </w:rPr>
        <w:t xml:space="preserve">יועץ לענייני אזרחים ותיקים </w:t>
      </w:r>
      <w:r>
        <w:rPr>
          <w:rFonts w:hint="cs"/>
          <w:rtl/>
        </w:rPr>
        <w:t>ולפעול על פי החוק בכל הנוגע למילוי אחר דרישות התפקיד.</w:t>
      </w:r>
    </w:p>
    <w:p w:rsidR="00F60E90" w:rsidP="00B82060">
      <w:pPr>
        <w:pStyle w:val="RESHET"/>
        <w:rPr>
          <w:rtl/>
        </w:rPr>
      </w:pPr>
      <w:r>
        <w:rPr>
          <w:rFonts w:hint="cs"/>
          <w:rtl/>
        </w:rPr>
        <w:t>על משרדי הממשלה הנוגעים בדבר, ובעיקר משרד הרווחה, המשרד לאזרחים ותיקים, הרשויות המקומיות ומשרד הפנים כמאסדר, לתת את דעתם לממצאים שהועלו בדוח זה ולבחון דרכים נאותות לקידום מעמדה של אוכלוסיית הזקנים ולהבטיח בעתיד טיפול נאות בזקנים.</w:t>
      </w:r>
    </w:p>
    <w:p w:rsidR="00F60E90">
      <w:pPr>
        <w:spacing w:after="120" w:line="230" w:lineRule="exact"/>
        <w:jc w:val="both"/>
        <w:rPr>
          <w:rFonts w:cs="FrankRuehl"/>
          <w:sz w:val="20"/>
          <w:szCs w:val="22"/>
          <w:rtl/>
        </w:rPr>
      </w:pPr>
    </w:p>
    <w:p w:rsidR="005D7FCC">
      <w:pPr>
        <w:spacing w:after="120" w:line="230" w:lineRule="exact"/>
        <w:jc w:val="both"/>
        <w:rPr>
          <w:rFonts w:cs="FrankRuehl"/>
          <w:sz w:val="20"/>
          <w:szCs w:val="22"/>
          <w:rtl/>
        </w:rPr>
        <w:sectPr w:rsidSect="005D7FCC">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1758" w:right="2552" w:bottom="4253" w:left="2552" w:header="1247" w:footer="1134" w:gutter="0"/>
          <w:pgNumType w:start="231"/>
          <w:cols w:space="720"/>
          <w:titlePg/>
          <w:rtlGutter/>
        </w:sectPr>
      </w:pPr>
    </w:p>
    <w:p w:rsidR="005D7FCC">
      <w:pPr>
        <w:spacing w:after="120" w:line="230" w:lineRule="exact"/>
        <w:jc w:val="both"/>
        <w:rPr>
          <w:rFonts w:cs="FrankRuehl"/>
          <w:sz w:val="20"/>
          <w:szCs w:val="22"/>
        </w:rPr>
      </w:pPr>
    </w:p>
    <w:sectPr>
      <w:headerReference w:type="first" r:id="rId15"/>
      <w:footerReference w:type="first" r:id="rId16"/>
      <w:footnotePr>
        <w:numRestart w:val="eachSect"/>
      </w:footnotePr>
      <w:pgSz w:w="11906" w:h="16838" w:code="9"/>
      <w:pgMar w:top="1758" w:right="2552" w:bottom="4253" w:left="2552" w:header="1247" w:footer="1134" w:gutter="0"/>
      <w:cols w:space="720"/>
      <w:titlePg/>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34BB">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היבטים במתן שירותים לזקן ברשויות המקומיות</w:t>
    </w:r>
  </w:p>
  <w:p w:rsidR="009B34BB">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דוחות על הביקורת בשלטון המקומי לשנת 2014</w:t>
    </w:r>
  </w:p>
  <w:p w:rsidR="009B34BB">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34BB">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היבטים במתן שירותים לזקן ברשויות המקומיות</w:t>
    </w:r>
  </w:p>
  <w:p w:rsidR="009B34BB">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דוחות על הביקורת בשלטון המקומי לשנת 2014</w:t>
    </w:r>
  </w:p>
  <w:p w:rsidR="009B34BB">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34BB">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היבטים במתן שירותים לזקן ברשויות המקומיות</w:t>
    </w:r>
  </w:p>
  <w:p w:rsidR="009B34BB">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דוחות על הביקורת בשלטון המקומי לשנת 2014</w:t>
    </w:r>
  </w:p>
  <w:p w:rsidR="009B34BB">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D7FCC" w:rsidRPr="005D7FCC" w:rsidP="005D7FCC">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21FD2">
      <w:pPr>
        <w:spacing w:after="120"/>
        <w:rPr>
          <w:sz w:val="16"/>
          <w:szCs w:val="16"/>
        </w:rPr>
      </w:pPr>
      <w:r>
        <w:rPr>
          <w:sz w:val="16"/>
          <w:szCs w:val="16"/>
          <w:rtl/>
        </w:rPr>
        <w:t>__________________</w:t>
      </w:r>
    </w:p>
  </w:footnote>
  <w:footnote w:type="continuationSeparator" w:id="1">
    <w:p w:rsidR="00A21FD2">
      <w:r>
        <w:t>_______________</w:t>
      </w:r>
    </w:p>
  </w:footnote>
  <w:footnote w:id="2">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על פי תקנות שירותי הסעד (טיפול בנזקקים), התשמ"ו-1986, "זקן" הוא גבר שגילו +65 ו"זקנה" היא אישה שגילה +60.</w:t>
      </w:r>
    </w:p>
  </w:footnote>
  <w:footnote w:id="3">
    <w:p w:rsidR="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'תע"ס' - הנחיות והוראות המנהל הכללי של משרד העבודה והרווחה .</w:t>
      </w:r>
    </w:p>
  </w:footnote>
  <w:footnote w:id="4">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 xml:space="preserve">תא (השלום נתניה) 6397/07, </w:t>
      </w:r>
      <w:r>
        <w:rPr>
          <w:rFonts w:cs="FrankRuehl"/>
          <w:b/>
          <w:bCs/>
          <w:sz w:val="18"/>
          <w:rtl/>
        </w:rPr>
        <w:t>האגודה למען הקשיש נ' עיריית קלנסואה</w:t>
      </w:r>
      <w:r>
        <w:rPr>
          <w:rFonts w:cs="FrankRuehl" w:hint="cs"/>
          <w:sz w:val="18"/>
          <w:rtl/>
        </w:rPr>
        <w:t xml:space="preserve"> (ההליך טרם הסתיים).</w:t>
      </w:r>
    </w:p>
  </w:footnote>
  <w:footnote w:id="5">
    <w:p w:rsidR="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האגודה לפיתוח שירותים לזקן בישראל.</w:t>
      </w:r>
    </w:p>
  </w:footnote>
  <w:footnote w:id="6">
    <w:p w:rsidR="009B34BB" w:rsidP="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המחוקק הישראלי תיקן את חוק הביטוח הלאומי, וכלל בו פרק המעניק גמלת סיעוד לקשישים.</w:t>
      </w:r>
    </w:p>
  </w:footnote>
  <w:footnote w:id="7">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r>
      <w:r>
        <w:rPr>
          <w:rFonts w:cs="FrankRuehl"/>
          <w:sz w:val="18"/>
          <w:rtl/>
        </w:rPr>
        <w:t xml:space="preserve">ראו מבקר המדינה, </w:t>
      </w:r>
      <w:r>
        <w:rPr>
          <w:rFonts w:cs="FrankRuehl"/>
          <w:b/>
          <w:bCs/>
          <w:sz w:val="18"/>
          <w:rtl/>
        </w:rPr>
        <w:t>דוח על הביקורת בשלטון המקומי לשנת 2013</w:t>
      </w:r>
      <w:r>
        <w:rPr>
          <w:rFonts w:cs="FrankRuehl" w:hint="cs"/>
          <w:sz w:val="18"/>
          <w:rtl/>
        </w:rPr>
        <w:t>, עמ' 476.</w:t>
      </w:r>
    </w:p>
  </w:footnote>
  <w:footnote w:id="8">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כל המשרות של המחלקה לשירותים החברתיים בעירייה.</w:t>
      </w:r>
    </w:p>
  </w:footnote>
  <w:footnote w:id="9">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ראו הערה מס' 3. </w:t>
      </w:r>
    </w:p>
  </w:footnote>
  <w:footnote w:id="10">
    <w:p w:rsidR="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נופשון הוא מסגרת חוץ-ביתית לשהות קצרת מועד. נופשון לזקן קיבל רישיון ניהול ממשרד הרווחה או ממשרד הבריאות על פי תקנות הפיקוח על מעונות (תנאי המגורים וטיפול בזקנים עצמאיים ותשושים במעונות לזקנים), התשס"א-2001.</w:t>
      </w:r>
    </w:p>
  </w:footnote>
  <w:footnote w:id="11">
    <w:p w:rsidR="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r>
      <w:r>
        <w:rPr>
          <w:rFonts w:cs="FrankRuehl"/>
          <w:sz w:val="18"/>
          <w:rtl/>
        </w:rPr>
        <w:t xml:space="preserve">רשת ערים ידידותיות גיל של ארגון הבריאות העולמי מאגדת בתוכה ערים מרחבי העולם שלקחו על עצמן לקדם את נושא האזרחים הוותיקים. כל עיר החברה ברשת מייצגת את המדינה </w:t>
      </w:r>
      <w:r>
        <w:rPr>
          <w:rFonts w:cs="FrankRuehl" w:hint="cs"/>
          <w:sz w:val="18"/>
          <w:rtl/>
        </w:rPr>
        <w:t>ש</w:t>
      </w:r>
      <w:r>
        <w:rPr>
          <w:rFonts w:cs="FrankRuehl"/>
          <w:sz w:val="18"/>
          <w:rtl/>
        </w:rPr>
        <w:t>היא שייכת</w:t>
      </w:r>
      <w:r>
        <w:rPr>
          <w:rFonts w:cs="FrankRuehl" w:hint="cs"/>
          <w:sz w:val="18"/>
          <w:rtl/>
        </w:rPr>
        <w:t xml:space="preserve"> אליה</w:t>
      </w:r>
      <w:r>
        <w:rPr>
          <w:rFonts w:cs="FrankRuehl"/>
          <w:sz w:val="18"/>
          <w:rtl/>
        </w:rPr>
        <w:t xml:space="preserve"> ו</w:t>
      </w:r>
      <w:r>
        <w:rPr>
          <w:rFonts w:cs="FrankRuehl" w:hint="cs"/>
          <w:sz w:val="18"/>
          <w:rtl/>
        </w:rPr>
        <w:t>משתפת</w:t>
      </w:r>
      <w:r>
        <w:rPr>
          <w:rFonts w:cs="FrankRuehl"/>
          <w:sz w:val="18"/>
          <w:rtl/>
        </w:rPr>
        <w:t xml:space="preserve"> את הערים</w:t>
      </w:r>
      <w:r>
        <w:rPr>
          <w:rFonts w:cs="FrankRuehl" w:hint="cs"/>
          <w:sz w:val="18"/>
          <w:rtl/>
        </w:rPr>
        <w:t xml:space="preserve"> החברות האחרות</w:t>
      </w:r>
      <w:r>
        <w:rPr>
          <w:rFonts w:cs="FrankRuehl"/>
          <w:sz w:val="18"/>
          <w:rtl/>
        </w:rPr>
        <w:t xml:space="preserve"> בידע הנצבר במדינתה</w:t>
      </w:r>
      <w:r>
        <w:rPr>
          <w:rFonts w:cs="FrankRuehl" w:hint="cs"/>
          <w:sz w:val="18"/>
          <w:rtl/>
        </w:rPr>
        <w:t>.</w:t>
      </w:r>
      <w:r>
        <w:rPr>
          <w:rFonts w:cs="FrankRuehl"/>
          <w:sz w:val="18"/>
          <w:rtl/>
        </w:rPr>
        <w:tab/>
      </w:r>
    </w:p>
  </w:footnote>
  <w:footnote w:id="12">
    <w:p w:rsidR="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עמותת מיל"ב הוקמה בשנת 1982 כעמותה פרטית שמטרותיה "הקמת מועדוני גמלאים והפעלתם בשכונות העיר; ניצול שעות הפנאי של הגמלאי; אספקת ארוחות חמות לקשישים נזקקים; פיתוח פעילות בחיי חברה, יצירה, לימודים, פעילות גופנית, טיולים וארוע חג; הגברת המעורבות החברתית של הגמלאים בחיי הקהילה; הפגת הבדידות החברתית". בשנת 2009 הפכה העמותה לחברה עירונית.</w:t>
      </w:r>
    </w:p>
  </w:footnote>
  <w:footnote w:id="13">
    <w:p w:rsidR="009B34BB">
      <w:pPr>
        <w:pStyle w:val="FootnoteText"/>
        <w:keepNext/>
        <w:spacing w:line="200" w:lineRule="exact"/>
        <w:ind w:left="397"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t>גברים</w:t>
      </w:r>
      <w:r>
        <w:rPr>
          <w:rFonts w:cs="FrankRuehl" w:hint="cs"/>
          <w:sz w:val="18"/>
          <w:rtl/>
        </w:rPr>
        <w:t xml:space="preserve"> -</w:t>
      </w:r>
      <w:r>
        <w:rPr>
          <w:rFonts w:cs="FrankRuehl"/>
          <w:sz w:val="18"/>
          <w:rtl/>
        </w:rPr>
        <w:t xml:space="preserve"> גיל 67</w:t>
      </w:r>
      <w:r>
        <w:rPr>
          <w:rFonts w:cs="FrankRuehl" w:hint="cs"/>
          <w:sz w:val="18"/>
          <w:rtl/>
        </w:rPr>
        <w:t xml:space="preserve">; </w:t>
      </w:r>
      <w:r>
        <w:rPr>
          <w:rFonts w:cs="FrankRuehl"/>
          <w:sz w:val="18"/>
          <w:rtl/>
        </w:rPr>
        <w:t>נשים</w:t>
      </w:r>
      <w:r>
        <w:rPr>
          <w:rFonts w:cs="FrankRuehl" w:hint="cs"/>
          <w:sz w:val="18"/>
          <w:rtl/>
        </w:rPr>
        <w:t xml:space="preserve"> - </w:t>
      </w:r>
      <w:r>
        <w:rPr>
          <w:rFonts w:cs="FrankRuehl"/>
          <w:sz w:val="18"/>
          <w:rtl/>
        </w:rPr>
        <w:t>גיל 62</w:t>
      </w:r>
      <w:r>
        <w:rPr>
          <w:rFonts w:cs="FrankRuehl" w:hint="cs"/>
          <w:sz w:val="18"/>
          <w:rtl/>
        </w:rPr>
        <w:t>.</w:t>
      </w:r>
    </w:p>
  </w:footnote>
  <w:footnote w:id="14">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sz w:val="18"/>
          <w:rtl/>
        </w:rPr>
        <w:tab/>
      </w:r>
      <w:r>
        <w:rPr>
          <w:rFonts w:cs="FrankRuehl" w:hint="cs"/>
          <w:sz w:val="18"/>
          <w:rtl/>
        </w:rPr>
        <w:t xml:space="preserve">משרד הפנים מפעיל מערכת מרכזי הדרכה ופיתוח בשלטון המקומי הכוללת שמונה מפעמים הפרוסים ברחבי הארץ. תפקידם של המפעמים לקיים הדרכות, לקדם וללוות פרויקטים ולתת ייעוץ ארגוני לרשויות המקומיות. </w:t>
      </w:r>
    </w:p>
  </w:footnote>
  <w:footnote w:id="15">
    <w:p w:rsidR="009B34BB">
      <w:pPr>
        <w:pStyle w:val="FootnoteText"/>
        <w:keepNext/>
        <w:spacing w:line="200" w:lineRule="exact"/>
        <w:ind w:left="397"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r>
      <w:r>
        <w:rPr>
          <w:rFonts w:cs="FrankRuehl" w:hint="cs"/>
          <w:sz w:val="18"/>
          <w:rtl/>
        </w:rPr>
        <w:tab/>
        <w:t xml:space="preserve">חברת </w:t>
      </w:r>
      <w:r>
        <w:rPr>
          <w:rFonts w:cs="FrankRuehl"/>
          <w:sz w:val="18"/>
          <w:rtl/>
        </w:rPr>
        <w:t>עמיגור</w:t>
      </w:r>
      <w:r>
        <w:rPr>
          <w:rFonts w:cs="FrankRuehl" w:hint="cs"/>
          <w:sz w:val="18"/>
          <w:rtl/>
        </w:rPr>
        <w:t xml:space="preserve"> </w:t>
      </w:r>
      <w:r>
        <w:rPr>
          <w:rFonts w:cs="FrankRuehl"/>
          <w:sz w:val="18"/>
          <w:rtl/>
        </w:rPr>
        <w:t>נוסדה בשנת 1972</w:t>
      </w:r>
      <w:r>
        <w:rPr>
          <w:rFonts w:cs="FrankRuehl" w:hint="cs"/>
          <w:sz w:val="18"/>
          <w:rtl/>
        </w:rPr>
        <w:t xml:space="preserve"> והיא</w:t>
      </w:r>
      <w:r>
        <w:rPr>
          <w:rFonts w:cs="FrankRuehl"/>
          <w:sz w:val="18"/>
          <w:rtl/>
        </w:rPr>
        <w:t xml:space="preserve"> חבר</w:t>
      </w:r>
      <w:r>
        <w:rPr>
          <w:rFonts w:cs="FrankRuehl" w:hint="cs"/>
          <w:sz w:val="18"/>
          <w:rtl/>
        </w:rPr>
        <w:t>ה</w:t>
      </w:r>
      <w:r>
        <w:rPr>
          <w:rFonts w:cs="FrankRuehl"/>
          <w:sz w:val="18"/>
          <w:rtl/>
        </w:rPr>
        <w:t xml:space="preserve"> בת של הסוכנות היהודית</w:t>
      </w:r>
      <w:r>
        <w:rPr>
          <w:rFonts w:cs="FrankRuehl" w:hint="cs"/>
          <w:sz w:val="18"/>
          <w:rtl/>
        </w:rPr>
        <w:t xml:space="preserve">. החברה </w:t>
      </w:r>
      <w:r>
        <w:rPr>
          <w:rFonts w:cs="FrankRuehl"/>
          <w:sz w:val="18"/>
          <w:rtl/>
        </w:rPr>
        <w:t>משמשת זרוע ביצועית של הסוכנות היהודית בתחומי</w:t>
      </w:r>
      <w:r>
        <w:rPr>
          <w:rFonts w:cs="FrankRuehl" w:hint="cs"/>
          <w:sz w:val="18"/>
          <w:rtl/>
        </w:rPr>
        <w:t xml:space="preserve"> </w:t>
      </w:r>
      <w:r>
        <w:rPr>
          <w:rFonts w:cs="FrankRuehl"/>
          <w:sz w:val="18"/>
          <w:rtl/>
        </w:rPr>
        <w:t>פרויקטים, דיור ציבורי ודיור מוגן ציבורי</w:t>
      </w:r>
      <w:r>
        <w:rPr>
          <w:rFonts w:cs="FrankRuehl" w:hint="cs"/>
          <w:sz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34BB">
    <w:pPr>
      <w:pStyle w:val="Header"/>
      <w:tabs>
        <w:tab w:val="clear" w:pos="4153"/>
        <w:tab w:val="right" w:pos="6804"/>
        <w:tab w:val="clear" w:pos="8306"/>
      </w:tabs>
      <w:rPr>
        <w:rFonts w:ascii="FrankRuehl" w:hAnsi="FrankRuehl" w:cs="FrankRuehl"/>
        <w:szCs w:val="20"/>
        <w:rtl/>
      </w:rPr>
    </w:pP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81A0B">
      <w:rPr>
        <w:rFonts w:ascii="FrankRuehl" w:hAnsi="FrankRuehl" w:cs="FrankRuehl"/>
        <w:noProof/>
        <w:szCs w:val="20"/>
        <w:rtl/>
      </w:rPr>
      <w:t>256</w:t>
    </w:r>
    <w:r>
      <w:rPr>
        <w:rFonts w:ascii="FrankRuehl" w:hAnsi="FrankRuehl" w:cs="FrankRuehl"/>
        <w:szCs w:val="20"/>
      </w:rPr>
      <w:fldChar w:fldCharType="end"/>
    </w:r>
    <w:r>
      <w:rPr>
        <w:rFonts w:ascii="FrankRuehl" w:hAnsi="FrankRuehl" w:cs="FrankRuehl"/>
        <w:szCs w:val="20"/>
        <w:rtl/>
      </w:rPr>
      <w:tab/>
    </w:r>
    <w:r>
      <w:rPr>
        <w:rFonts w:ascii="FrankRuehl" w:hAnsi="FrankRuehl" w:cs="FrankRuehl" w:hint="cs"/>
        <w:szCs w:val="20"/>
        <w:rtl/>
      </w:rPr>
      <w:t>דוחות על הביקורת בשלטון המקומי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34BB">
    <w:pPr>
      <w:pStyle w:val="Header"/>
      <w:tabs>
        <w:tab w:val="clear" w:pos="4153"/>
        <w:tab w:val="right" w:pos="6804"/>
        <w:tab w:val="clear" w:pos="8306"/>
      </w:tabs>
      <w:rPr>
        <w:rFonts w:ascii="FrankRuehl" w:hAnsi="FrankRuehl" w:cs="FrankRuehl"/>
        <w:szCs w:val="20"/>
        <w:rtl/>
      </w:rPr>
    </w:pPr>
    <w:r>
      <w:rPr>
        <w:rFonts w:ascii="FrankRuehl" w:hAnsi="FrankRuehl" w:cs="FrankRuehl" w:hint="cs"/>
        <w:noProof/>
        <w:szCs w:val="20"/>
        <w:rtl/>
      </w:rPr>
      <w:t>היבטים במתן שירותים לזקן ברשויות המקומיות</w:t>
    </w: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81A0B">
      <w:rPr>
        <w:rFonts w:ascii="FrankRuehl" w:hAnsi="FrankRuehl" w:cs="FrankRuehl"/>
        <w:noProof/>
        <w:szCs w:val="20"/>
        <w:rtl/>
      </w:rPr>
      <w:t>257</w:t>
    </w:r>
    <w:r>
      <w:rPr>
        <w:rFonts w:ascii="FrankRuehl" w:hAnsi="FrankRuehl" w:cs="FrankRuehl"/>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34BB">
    <w:pPr>
      <w:pStyle w:val="Header"/>
      <w:tabs>
        <w:tab w:val="clear" w:pos="4153"/>
        <w:tab w:val="right" w:pos="6804"/>
        <w:tab w:val="clear" w:pos="8306"/>
      </w:tabs>
      <w:rPr>
        <w:rFonts w:ascii="FrankRuehl" w:hAnsi="FrankRuehl" w:cs="FrankRuehl"/>
        <w:szCs w:val="20"/>
        <w:rtl/>
      </w:rPr>
    </w:pP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81A0B">
      <w:rPr>
        <w:rFonts w:ascii="FrankRuehl" w:hAnsi="FrankRuehl" w:cs="FrankRuehl"/>
        <w:noProof/>
        <w:szCs w:val="20"/>
        <w:rtl/>
      </w:rPr>
      <w:t>231</w:t>
    </w:r>
    <w:r>
      <w:rPr>
        <w:rFonts w:ascii="FrankRuehl" w:hAnsi="FrankRuehl" w:cs="FrankRuehl"/>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D7FCC" w:rsidRPr="005D7FCC" w:rsidP="005D7FCC">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244A23"/>
    <w:multiLevelType w:val="hybridMultilevel"/>
    <w:tmpl w:val="0876E03A"/>
    <w:lvl w:ilvl="0">
      <w:start w:val="1"/>
      <w:numFmt w:val="hebrew1"/>
      <w:lvlText w:val="%1."/>
      <w:lvlJc w:val="left"/>
      <w:pPr>
        <w:ind w:left="438" w:hanging="360"/>
      </w:pPr>
      <w:rPr>
        <w:rFonts w:cs="Times New Roman" w:hint="default"/>
        <w:sz w:val="2"/>
        <w:szCs w:val="24"/>
      </w:rPr>
    </w:lvl>
    <w:lvl w:ilvl="1" w:tentative="1">
      <w:start w:val="1"/>
      <w:numFmt w:val="lowerLetter"/>
      <w:lvlText w:val="%2."/>
      <w:lvlJc w:val="left"/>
      <w:pPr>
        <w:ind w:left="1158" w:hanging="360"/>
      </w:pPr>
      <w:rPr>
        <w:rFonts w:cs="Times New Roman"/>
      </w:rPr>
    </w:lvl>
    <w:lvl w:ilvl="2" w:tentative="1">
      <w:start w:val="1"/>
      <w:numFmt w:val="lowerRoman"/>
      <w:lvlText w:val="%3."/>
      <w:lvlJc w:val="right"/>
      <w:pPr>
        <w:ind w:left="1878" w:hanging="180"/>
      </w:pPr>
      <w:rPr>
        <w:rFonts w:cs="Times New Roman"/>
      </w:rPr>
    </w:lvl>
    <w:lvl w:ilvl="3" w:tentative="1">
      <w:start w:val="1"/>
      <w:numFmt w:val="decimal"/>
      <w:lvlText w:val="%4."/>
      <w:lvlJc w:val="left"/>
      <w:pPr>
        <w:ind w:left="2598" w:hanging="360"/>
      </w:pPr>
      <w:rPr>
        <w:rFonts w:cs="Times New Roman"/>
      </w:rPr>
    </w:lvl>
    <w:lvl w:ilvl="4" w:tentative="1">
      <w:start w:val="1"/>
      <w:numFmt w:val="lowerLetter"/>
      <w:lvlText w:val="%5."/>
      <w:lvlJc w:val="left"/>
      <w:pPr>
        <w:ind w:left="3318" w:hanging="360"/>
      </w:pPr>
      <w:rPr>
        <w:rFonts w:cs="Times New Roman"/>
      </w:rPr>
    </w:lvl>
    <w:lvl w:ilvl="5" w:tentative="1">
      <w:start w:val="1"/>
      <w:numFmt w:val="lowerRoman"/>
      <w:lvlText w:val="%6."/>
      <w:lvlJc w:val="right"/>
      <w:pPr>
        <w:ind w:left="4038" w:hanging="180"/>
      </w:pPr>
      <w:rPr>
        <w:rFonts w:cs="Times New Roman"/>
      </w:rPr>
    </w:lvl>
    <w:lvl w:ilvl="6" w:tentative="1">
      <w:start w:val="1"/>
      <w:numFmt w:val="decimal"/>
      <w:lvlText w:val="%7."/>
      <w:lvlJc w:val="left"/>
      <w:pPr>
        <w:ind w:left="4758" w:hanging="360"/>
      </w:pPr>
      <w:rPr>
        <w:rFonts w:cs="Times New Roman"/>
      </w:rPr>
    </w:lvl>
    <w:lvl w:ilvl="7" w:tentative="1">
      <w:start w:val="1"/>
      <w:numFmt w:val="lowerLetter"/>
      <w:lvlText w:val="%8."/>
      <w:lvlJc w:val="left"/>
      <w:pPr>
        <w:ind w:left="5478" w:hanging="360"/>
      </w:pPr>
      <w:rPr>
        <w:rFonts w:cs="Times New Roman"/>
      </w:rPr>
    </w:lvl>
    <w:lvl w:ilvl="8" w:tentative="1">
      <w:start w:val="1"/>
      <w:numFmt w:val="lowerRoman"/>
      <w:lvlText w:val="%9."/>
      <w:lvlJc w:val="right"/>
      <w:pPr>
        <w:ind w:left="6198" w:hanging="180"/>
      </w:pPr>
      <w:rPr>
        <w:rFonts w:cs="Times New Roman"/>
      </w:rPr>
    </w:lvl>
  </w:abstractNum>
  <w:abstractNum w:abstractNumId="1">
    <w:nsid w:val="13321BB4"/>
    <w:multiLevelType w:val="hybridMultilevel"/>
    <w:tmpl w:val="ED64A3A2"/>
    <w:lvl w:ilvl="0">
      <w:start w:val="1"/>
      <w:numFmt w:val="decimal"/>
      <w:lvlText w:val="%1."/>
      <w:lvlJc w:val="left"/>
      <w:pPr>
        <w:ind w:left="785" w:hanging="360"/>
      </w:pPr>
      <w:rPr>
        <w:rFonts w:eastAsia="Times New Roman" w:cs="Times New Roman" w:hint="default"/>
        <w:b/>
        <w:bCs w:val="0"/>
      </w:rPr>
    </w:lvl>
    <w:lvl w:ilvl="1" w:tentative="1">
      <w:start w:val="1"/>
      <w:numFmt w:val="lowerLetter"/>
      <w:lvlText w:val="%2."/>
      <w:lvlJc w:val="left"/>
      <w:pPr>
        <w:ind w:left="1362" w:hanging="360"/>
      </w:pPr>
      <w:rPr>
        <w:rFonts w:cs="Times New Roman"/>
      </w:rPr>
    </w:lvl>
    <w:lvl w:ilvl="2" w:tentative="1">
      <w:start w:val="1"/>
      <w:numFmt w:val="lowerRoman"/>
      <w:lvlText w:val="%3."/>
      <w:lvlJc w:val="right"/>
      <w:pPr>
        <w:ind w:left="2082" w:hanging="180"/>
      </w:pPr>
      <w:rPr>
        <w:rFonts w:cs="Times New Roman"/>
      </w:rPr>
    </w:lvl>
    <w:lvl w:ilvl="3" w:tentative="1">
      <w:start w:val="1"/>
      <w:numFmt w:val="decimal"/>
      <w:lvlText w:val="%4."/>
      <w:lvlJc w:val="left"/>
      <w:pPr>
        <w:ind w:left="2802" w:hanging="360"/>
      </w:pPr>
      <w:rPr>
        <w:rFonts w:cs="Times New Roman"/>
      </w:rPr>
    </w:lvl>
    <w:lvl w:ilvl="4" w:tentative="1">
      <w:start w:val="1"/>
      <w:numFmt w:val="lowerLetter"/>
      <w:lvlText w:val="%5."/>
      <w:lvlJc w:val="left"/>
      <w:pPr>
        <w:ind w:left="3522" w:hanging="360"/>
      </w:pPr>
      <w:rPr>
        <w:rFonts w:cs="Times New Roman"/>
      </w:rPr>
    </w:lvl>
    <w:lvl w:ilvl="5" w:tentative="1">
      <w:start w:val="1"/>
      <w:numFmt w:val="lowerRoman"/>
      <w:lvlText w:val="%6."/>
      <w:lvlJc w:val="right"/>
      <w:pPr>
        <w:ind w:left="4242" w:hanging="180"/>
      </w:pPr>
      <w:rPr>
        <w:rFonts w:cs="Times New Roman"/>
      </w:rPr>
    </w:lvl>
    <w:lvl w:ilvl="6" w:tentative="1">
      <w:start w:val="1"/>
      <w:numFmt w:val="decimal"/>
      <w:lvlText w:val="%7."/>
      <w:lvlJc w:val="left"/>
      <w:pPr>
        <w:ind w:left="4962" w:hanging="360"/>
      </w:pPr>
      <w:rPr>
        <w:rFonts w:cs="Times New Roman"/>
      </w:rPr>
    </w:lvl>
    <w:lvl w:ilvl="7" w:tentative="1">
      <w:start w:val="1"/>
      <w:numFmt w:val="lowerLetter"/>
      <w:lvlText w:val="%8."/>
      <w:lvlJc w:val="left"/>
      <w:pPr>
        <w:ind w:left="5682" w:hanging="360"/>
      </w:pPr>
      <w:rPr>
        <w:rFonts w:cs="Times New Roman"/>
      </w:rPr>
    </w:lvl>
    <w:lvl w:ilvl="8" w:tentative="1">
      <w:start w:val="1"/>
      <w:numFmt w:val="lowerRoman"/>
      <w:lvlText w:val="%9."/>
      <w:lvlJc w:val="right"/>
      <w:pPr>
        <w:ind w:left="6402" w:hanging="180"/>
      </w:pPr>
      <w:rPr>
        <w:rFonts w:cs="Times New Roman"/>
      </w:rPr>
    </w:lvl>
  </w:abstractNum>
  <w:abstractNum w:abstractNumId="2">
    <w:nsid w:val="20AD4B8B"/>
    <w:multiLevelType w:val="hybridMultilevel"/>
    <w:tmpl w:val="7018DB84"/>
    <w:lvl w:ilvl="0">
      <w:start w:val="1"/>
      <w:numFmt w:val="decimal"/>
      <w:lvlText w:val="%1."/>
      <w:lvlJc w:val="left"/>
      <w:pPr>
        <w:ind w:left="642" w:hanging="360"/>
      </w:pPr>
      <w:rPr>
        <w:rFonts w:eastAsia="Times New Roman" w:cs="Times New Roman" w:hint="default"/>
        <w:b w:val="0"/>
        <w:bCs/>
      </w:rPr>
    </w:lvl>
    <w:lvl w:ilvl="1" w:tentative="1">
      <w:start w:val="1"/>
      <w:numFmt w:val="lowerLetter"/>
      <w:lvlText w:val="%2."/>
      <w:lvlJc w:val="left"/>
      <w:pPr>
        <w:ind w:left="1362" w:hanging="360"/>
      </w:pPr>
      <w:rPr>
        <w:rFonts w:cs="Times New Roman"/>
      </w:rPr>
    </w:lvl>
    <w:lvl w:ilvl="2" w:tentative="1">
      <w:start w:val="1"/>
      <w:numFmt w:val="lowerRoman"/>
      <w:lvlText w:val="%3."/>
      <w:lvlJc w:val="right"/>
      <w:pPr>
        <w:ind w:left="2082" w:hanging="180"/>
      </w:pPr>
      <w:rPr>
        <w:rFonts w:cs="Times New Roman"/>
      </w:rPr>
    </w:lvl>
    <w:lvl w:ilvl="3" w:tentative="1">
      <w:start w:val="1"/>
      <w:numFmt w:val="decimal"/>
      <w:lvlText w:val="%4."/>
      <w:lvlJc w:val="left"/>
      <w:pPr>
        <w:ind w:left="2802" w:hanging="360"/>
      </w:pPr>
      <w:rPr>
        <w:rFonts w:cs="Times New Roman"/>
      </w:rPr>
    </w:lvl>
    <w:lvl w:ilvl="4" w:tentative="1">
      <w:start w:val="1"/>
      <w:numFmt w:val="lowerLetter"/>
      <w:lvlText w:val="%5."/>
      <w:lvlJc w:val="left"/>
      <w:pPr>
        <w:ind w:left="3522" w:hanging="360"/>
      </w:pPr>
      <w:rPr>
        <w:rFonts w:cs="Times New Roman"/>
      </w:rPr>
    </w:lvl>
    <w:lvl w:ilvl="5" w:tentative="1">
      <w:start w:val="1"/>
      <w:numFmt w:val="lowerRoman"/>
      <w:lvlText w:val="%6."/>
      <w:lvlJc w:val="right"/>
      <w:pPr>
        <w:ind w:left="4242" w:hanging="180"/>
      </w:pPr>
      <w:rPr>
        <w:rFonts w:cs="Times New Roman"/>
      </w:rPr>
    </w:lvl>
    <w:lvl w:ilvl="6" w:tentative="1">
      <w:start w:val="1"/>
      <w:numFmt w:val="decimal"/>
      <w:lvlText w:val="%7."/>
      <w:lvlJc w:val="left"/>
      <w:pPr>
        <w:ind w:left="4962" w:hanging="360"/>
      </w:pPr>
      <w:rPr>
        <w:rFonts w:cs="Times New Roman"/>
      </w:rPr>
    </w:lvl>
    <w:lvl w:ilvl="7" w:tentative="1">
      <w:start w:val="1"/>
      <w:numFmt w:val="lowerLetter"/>
      <w:lvlText w:val="%8."/>
      <w:lvlJc w:val="left"/>
      <w:pPr>
        <w:ind w:left="5682" w:hanging="360"/>
      </w:pPr>
      <w:rPr>
        <w:rFonts w:cs="Times New Roman"/>
      </w:rPr>
    </w:lvl>
    <w:lvl w:ilvl="8" w:tentative="1">
      <w:start w:val="1"/>
      <w:numFmt w:val="lowerRoman"/>
      <w:lvlText w:val="%9."/>
      <w:lvlJc w:val="right"/>
      <w:pPr>
        <w:ind w:left="6402" w:hanging="180"/>
      </w:pPr>
      <w:rPr>
        <w:rFonts w:cs="Times New Roman"/>
      </w:rPr>
    </w:lvl>
  </w:abstractNum>
  <w:abstractNum w:abstractNumId="3">
    <w:nsid w:val="36441215"/>
    <w:multiLevelType w:val="hybridMultilevel"/>
    <w:tmpl w:val="966672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7225EEE"/>
    <w:multiLevelType w:val="hybridMultilevel"/>
    <w:tmpl w:val="ED64A3A2"/>
    <w:lvl w:ilvl="0">
      <w:start w:val="1"/>
      <w:numFmt w:val="decimal"/>
      <w:lvlText w:val="%1."/>
      <w:lvlJc w:val="left"/>
      <w:pPr>
        <w:ind w:left="785" w:hanging="360"/>
      </w:pPr>
      <w:rPr>
        <w:rFonts w:eastAsia="Times New Roman" w:cs="Times New Roman" w:hint="default"/>
        <w:b/>
        <w:bCs w:val="0"/>
      </w:rPr>
    </w:lvl>
    <w:lvl w:ilvl="1" w:tentative="1">
      <w:start w:val="1"/>
      <w:numFmt w:val="lowerLetter"/>
      <w:lvlText w:val="%2."/>
      <w:lvlJc w:val="left"/>
      <w:pPr>
        <w:ind w:left="1362" w:hanging="360"/>
      </w:pPr>
      <w:rPr>
        <w:rFonts w:cs="Times New Roman"/>
      </w:rPr>
    </w:lvl>
    <w:lvl w:ilvl="2" w:tentative="1">
      <w:start w:val="1"/>
      <w:numFmt w:val="lowerRoman"/>
      <w:lvlText w:val="%3."/>
      <w:lvlJc w:val="right"/>
      <w:pPr>
        <w:ind w:left="2082" w:hanging="180"/>
      </w:pPr>
      <w:rPr>
        <w:rFonts w:cs="Times New Roman"/>
      </w:rPr>
    </w:lvl>
    <w:lvl w:ilvl="3" w:tentative="1">
      <w:start w:val="1"/>
      <w:numFmt w:val="decimal"/>
      <w:lvlText w:val="%4."/>
      <w:lvlJc w:val="left"/>
      <w:pPr>
        <w:ind w:left="2802" w:hanging="360"/>
      </w:pPr>
      <w:rPr>
        <w:rFonts w:cs="Times New Roman"/>
      </w:rPr>
    </w:lvl>
    <w:lvl w:ilvl="4" w:tentative="1">
      <w:start w:val="1"/>
      <w:numFmt w:val="lowerLetter"/>
      <w:lvlText w:val="%5."/>
      <w:lvlJc w:val="left"/>
      <w:pPr>
        <w:ind w:left="3522" w:hanging="360"/>
      </w:pPr>
      <w:rPr>
        <w:rFonts w:cs="Times New Roman"/>
      </w:rPr>
    </w:lvl>
    <w:lvl w:ilvl="5" w:tentative="1">
      <w:start w:val="1"/>
      <w:numFmt w:val="lowerRoman"/>
      <w:lvlText w:val="%6."/>
      <w:lvlJc w:val="right"/>
      <w:pPr>
        <w:ind w:left="4242" w:hanging="180"/>
      </w:pPr>
      <w:rPr>
        <w:rFonts w:cs="Times New Roman"/>
      </w:rPr>
    </w:lvl>
    <w:lvl w:ilvl="6" w:tentative="1">
      <w:start w:val="1"/>
      <w:numFmt w:val="decimal"/>
      <w:lvlText w:val="%7."/>
      <w:lvlJc w:val="left"/>
      <w:pPr>
        <w:ind w:left="4962" w:hanging="360"/>
      </w:pPr>
      <w:rPr>
        <w:rFonts w:cs="Times New Roman"/>
      </w:rPr>
    </w:lvl>
    <w:lvl w:ilvl="7" w:tentative="1">
      <w:start w:val="1"/>
      <w:numFmt w:val="lowerLetter"/>
      <w:lvlText w:val="%8."/>
      <w:lvlJc w:val="left"/>
      <w:pPr>
        <w:ind w:left="5682" w:hanging="360"/>
      </w:pPr>
      <w:rPr>
        <w:rFonts w:cs="Times New Roman"/>
      </w:rPr>
    </w:lvl>
    <w:lvl w:ilvl="8" w:tentative="1">
      <w:start w:val="1"/>
      <w:numFmt w:val="lowerRoman"/>
      <w:lvlText w:val="%9."/>
      <w:lvlJc w:val="right"/>
      <w:pPr>
        <w:ind w:left="6402" w:hanging="180"/>
      </w:pPr>
      <w:rPr>
        <w:rFonts w:cs="Times New Roman"/>
      </w:rPr>
    </w:lvl>
  </w:abstractNum>
  <w:abstractNum w:abstractNumId="5">
    <w:nsid w:val="3FD638CD"/>
    <w:multiLevelType w:val="hybridMultilevel"/>
    <w:tmpl w:val="7B38B6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FFC6428"/>
    <w:multiLevelType w:val="hybridMultilevel"/>
    <w:tmpl w:val="1CD22A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42736B1D"/>
    <w:multiLevelType w:val="hybridMultilevel"/>
    <w:tmpl w:val="7018DB84"/>
    <w:lvl w:ilvl="0">
      <w:start w:val="1"/>
      <w:numFmt w:val="decimal"/>
      <w:lvlText w:val="%1."/>
      <w:lvlJc w:val="left"/>
      <w:pPr>
        <w:ind w:left="642" w:hanging="360"/>
      </w:pPr>
      <w:rPr>
        <w:rFonts w:eastAsia="Times New Roman" w:cs="Times New Roman" w:hint="default"/>
        <w:b w:val="0"/>
        <w:bCs/>
      </w:rPr>
    </w:lvl>
    <w:lvl w:ilvl="1" w:tentative="1">
      <w:start w:val="1"/>
      <w:numFmt w:val="lowerLetter"/>
      <w:lvlText w:val="%2."/>
      <w:lvlJc w:val="left"/>
      <w:pPr>
        <w:ind w:left="1362" w:hanging="360"/>
      </w:pPr>
      <w:rPr>
        <w:rFonts w:cs="Times New Roman"/>
      </w:rPr>
    </w:lvl>
    <w:lvl w:ilvl="2" w:tentative="1">
      <w:start w:val="1"/>
      <w:numFmt w:val="lowerRoman"/>
      <w:lvlText w:val="%3."/>
      <w:lvlJc w:val="right"/>
      <w:pPr>
        <w:ind w:left="2082" w:hanging="180"/>
      </w:pPr>
      <w:rPr>
        <w:rFonts w:cs="Times New Roman"/>
      </w:rPr>
    </w:lvl>
    <w:lvl w:ilvl="3" w:tentative="1">
      <w:start w:val="1"/>
      <w:numFmt w:val="decimal"/>
      <w:lvlText w:val="%4."/>
      <w:lvlJc w:val="left"/>
      <w:pPr>
        <w:ind w:left="2802" w:hanging="360"/>
      </w:pPr>
      <w:rPr>
        <w:rFonts w:cs="Times New Roman"/>
      </w:rPr>
    </w:lvl>
    <w:lvl w:ilvl="4" w:tentative="1">
      <w:start w:val="1"/>
      <w:numFmt w:val="lowerLetter"/>
      <w:lvlText w:val="%5."/>
      <w:lvlJc w:val="left"/>
      <w:pPr>
        <w:ind w:left="3522" w:hanging="360"/>
      </w:pPr>
      <w:rPr>
        <w:rFonts w:cs="Times New Roman"/>
      </w:rPr>
    </w:lvl>
    <w:lvl w:ilvl="5" w:tentative="1">
      <w:start w:val="1"/>
      <w:numFmt w:val="lowerRoman"/>
      <w:lvlText w:val="%6."/>
      <w:lvlJc w:val="right"/>
      <w:pPr>
        <w:ind w:left="4242" w:hanging="180"/>
      </w:pPr>
      <w:rPr>
        <w:rFonts w:cs="Times New Roman"/>
      </w:rPr>
    </w:lvl>
    <w:lvl w:ilvl="6" w:tentative="1">
      <w:start w:val="1"/>
      <w:numFmt w:val="decimal"/>
      <w:lvlText w:val="%7."/>
      <w:lvlJc w:val="left"/>
      <w:pPr>
        <w:ind w:left="4962" w:hanging="360"/>
      </w:pPr>
      <w:rPr>
        <w:rFonts w:cs="Times New Roman"/>
      </w:rPr>
    </w:lvl>
    <w:lvl w:ilvl="7" w:tentative="1">
      <w:start w:val="1"/>
      <w:numFmt w:val="lowerLetter"/>
      <w:lvlText w:val="%8."/>
      <w:lvlJc w:val="left"/>
      <w:pPr>
        <w:ind w:left="5682" w:hanging="360"/>
      </w:pPr>
      <w:rPr>
        <w:rFonts w:cs="Times New Roman"/>
      </w:rPr>
    </w:lvl>
    <w:lvl w:ilvl="8" w:tentative="1">
      <w:start w:val="1"/>
      <w:numFmt w:val="lowerRoman"/>
      <w:lvlText w:val="%9."/>
      <w:lvlJc w:val="right"/>
      <w:pPr>
        <w:ind w:left="6402" w:hanging="180"/>
      </w:pPr>
      <w:rPr>
        <w:rFonts w:cs="Times New Roman"/>
      </w:rPr>
    </w:lvl>
  </w:abstractNum>
  <w:abstractNum w:abstractNumId="8">
    <w:nsid w:val="43D44F4A"/>
    <w:multiLevelType w:val="hybridMultilevel"/>
    <w:tmpl w:val="8C9CE162"/>
    <w:lvl w:ilvl="0">
      <w:start w:val="1"/>
      <w:numFmt w:val="hebrew1"/>
      <w:lvlText w:val="%1."/>
      <w:lvlJc w:val="left"/>
      <w:pPr>
        <w:ind w:left="438" w:hanging="360"/>
      </w:pPr>
      <w:rPr>
        <w:rFonts w:cs="Times New Roman" w:hint="default"/>
        <w:sz w:val="2"/>
        <w:szCs w:val="24"/>
      </w:rPr>
    </w:lvl>
    <w:lvl w:ilvl="1" w:tentative="1">
      <w:start w:val="1"/>
      <w:numFmt w:val="lowerLetter"/>
      <w:lvlText w:val="%2."/>
      <w:lvlJc w:val="left"/>
      <w:pPr>
        <w:ind w:left="1158" w:hanging="360"/>
      </w:pPr>
      <w:rPr>
        <w:rFonts w:cs="Times New Roman"/>
      </w:rPr>
    </w:lvl>
    <w:lvl w:ilvl="2" w:tentative="1">
      <w:start w:val="1"/>
      <w:numFmt w:val="lowerRoman"/>
      <w:lvlText w:val="%3."/>
      <w:lvlJc w:val="right"/>
      <w:pPr>
        <w:ind w:left="1878" w:hanging="180"/>
      </w:pPr>
      <w:rPr>
        <w:rFonts w:cs="Times New Roman"/>
      </w:rPr>
    </w:lvl>
    <w:lvl w:ilvl="3" w:tentative="1">
      <w:start w:val="1"/>
      <w:numFmt w:val="decimal"/>
      <w:lvlText w:val="%4."/>
      <w:lvlJc w:val="left"/>
      <w:pPr>
        <w:ind w:left="2598" w:hanging="360"/>
      </w:pPr>
      <w:rPr>
        <w:rFonts w:cs="Times New Roman"/>
      </w:rPr>
    </w:lvl>
    <w:lvl w:ilvl="4" w:tentative="1">
      <w:start w:val="1"/>
      <w:numFmt w:val="lowerLetter"/>
      <w:lvlText w:val="%5."/>
      <w:lvlJc w:val="left"/>
      <w:pPr>
        <w:ind w:left="3318" w:hanging="360"/>
      </w:pPr>
      <w:rPr>
        <w:rFonts w:cs="Times New Roman"/>
      </w:rPr>
    </w:lvl>
    <w:lvl w:ilvl="5" w:tentative="1">
      <w:start w:val="1"/>
      <w:numFmt w:val="lowerRoman"/>
      <w:lvlText w:val="%6."/>
      <w:lvlJc w:val="right"/>
      <w:pPr>
        <w:ind w:left="4038" w:hanging="180"/>
      </w:pPr>
      <w:rPr>
        <w:rFonts w:cs="Times New Roman"/>
      </w:rPr>
    </w:lvl>
    <w:lvl w:ilvl="6" w:tentative="1">
      <w:start w:val="1"/>
      <w:numFmt w:val="decimal"/>
      <w:lvlText w:val="%7."/>
      <w:lvlJc w:val="left"/>
      <w:pPr>
        <w:ind w:left="4758" w:hanging="360"/>
      </w:pPr>
      <w:rPr>
        <w:rFonts w:cs="Times New Roman"/>
      </w:rPr>
    </w:lvl>
    <w:lvl w:ilvl="7" w:tentative="1">
      <w:start w:val="1"/>
      <w:numFmt w:val="lowerLetter"/>
      <w:lvlText w:val="%8."/>
      <w:lvlJc w:val="left"/>
      <w:pPr>
        <w:ind w:left="5478" w:hanging="360"/>
      </w:pPr>
      <w:rPr>
        <w:rFonts w:cs="Times New Roman"/>
      </w:rPr>
    </w:lvl>
    <w:lvl w:ilvl="8" w:tentative="1">
      <w:start w:val="1"/>
      <w:numFmt w:val="lowerRoman"/>
      <w:lvlText w:val="%9."/>
      <w:lvlJc w:val="right"/>
      <w:pPr>
        <w:ind w:left="6198" w:hanging="180"/>
      </w:pPr>
      <w:rPr>
        <w:rFonts w:cs="Times New Roman"/>
      </w:rPr>
    </w:lvl>
  </w:abstractNum>
  <w:abstractNum w:abstractNumId="9">
    <w:nsid w:val="45E94A77"/>
    <w:multiLevelType w:val="hybridMultilevel"/>
    <w:tmpl w:val="FA7273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6D92C96"/>
    <w:multiLevelType w:val="hybridMultilevel"/>
    <w:tmpl w:val="2DE631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02303CF"/>
    <w:multiLevelType w:val="hybridMultilevel"/>
    <w:tmpl w:val="455075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28207F4"/>
    <w:multiLevelType w:val="hybridMultilevel"/>
    <w:tmpl w:val="A61C2F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9113A1E"/>
    <w:multiLevelType w:val="hybridMultilevel"/>
    <w:tmpl w:val="E5BE5E06"/>
    <w:lvl w:ilvl="0">
      <w:start w:val="1"/>
      <w:numFmt w:val="decimal"/>
      <w:lvlText w:val="%1."/>
      <w:lvlJc w:val="left"/>
      <w:pPr>
        <w:ind w:left="642" w:hanging="360"/>
      </w:pPr>
      <w:rPr>
        <w:rFonts w:hint="default"/>
      </w:rPr>
    </w:lvl>
    <w:lvl w:ilvl="1" w:tentative="1">
      <w:start w:val="1"/>
      <w:numFmt w:val="lowerLetter"/>
      <w:lvlText w:val="%2."/>
      <w:lvlJc w:val="left"/>
      <w:pPr>
        <w:ind w:left="1362" w:hanging="360"/>
      </w:pPr>
    </w:lvl>
    <w:lvl w:ilvl="2" w:tentative="1">
      <w:start w:val="1"/>
      <w:numFmt w:val="lowerRoman"/>
      <w:lvlText w:val="%3."/>
      <w:lvlJc w:val="right"/>
      <w:pPr>
        <w:ind w:left="2082" w:hanging="180"/>
      </w:pPr>
    </w:lvl>
    <w:lvl w:ilvl="3" w:tentative="1">
      <w:start w:val="1"/>
      <w:numFmt w:val="decimal"/>
      <w:lvlText w:val="%4."/>
      <w:lvlJc w:val="left"/>
      <w:pPr>
        <w:ind w:left="2802" w:hanging="360"/>
      </w:pPr>
    </w:lvl>
    <w:lvl w:ilvl="4" w:tentative="1">
      <w:start w:val="1"/>
      <w:numFmt w:val="lowerLetter"/>
      <w:lvlText w:val="%5."/>
      <w:lvlJc w:val="left"/>
      <w:pPr>
        <w:ind w:left="3522" w:hanging="360"/>
      </w:pPr>
    </w:lvl>
    <w:lvl w:ilvl="5" w:tentative="1">
      <w:start w:val="1"/>
      <w:numFmt w:val="lowerRoman"/>
      <w:lvlText w:val="%6."/>
      <w:lvlJc w:val="right"/>
      <w:pPr>
        <w:ind w:left="4242" w:hanging="180"/>
      </w:pPr>
    </w:lvl>
    <w:lvl w:ilvl="6" w:tentative="1">
      <w:start w:val="1"/>
      <w:numFmt w:val="decimal"/>
      <w:lvlText w:val="%7."/>
      <w:lvlJc w:val="left"/>
      <w:pPr>
        <w:ind w:left="4962" w:hanging="360"/>
      </w:pPr>
    </w:lvl>
    <w:lvl w:ilvl="7" w:tentative="1">
      <w:start w:val="1"/>
      <w:numFmt w:val="lowerLetter"/>
      <w:lvlText w:val="%8."/>
      <w:lvlJc w:val="left"/>
      <w:pPr>
        <w:ind w:left="5682" w:hanging="360"/>
      </w:pPr>
    </w:lvl>
    <w:lvl w:ilvl="8" w:tentative="1">
      <w:start w:val="1"/>
      <w:numFmt w:val="lowerRoman"/>
      <w:lvlText w:val="%9."/>
      <w:lvlJc w:val="right"/>
      <w:pPr>
        <w:ind w:left="6402" w:hanging="180"/>
      </w:pPr>
    </w:lvl>
  </w:abstractNum>
  <w:abstractNum w:abstractNumId="14">
    <w:nsid w:val="597939FD"/>
    <w:multiLevelType w:val="hybridMultilevel"/>
    <w:tmpl w:val="F2043BCC"/>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60FC5FC5"/>
    <w:multiLevelType w:val="hybridMultilevel"/>
    <w:tmpl w:val="93CEEF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
    <w:nsid w:val="67BF5139"/>
    <w:multiLevelType w:val="multilevel"/>
    <w:tmpl w:val="DC6C961C"/>
    <w:lvl w:ilvl="0">
      <w:start w:val="1"/>
      <w:numFmt w:val="decimal"/>
      <w:pStyle w:val="a6"/>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D1B7DBB"/>
    <w:multiLevelType w:val="hybridMultilevel"/>
    <w:tmpl w:val="DF240F68"/>
    <w:lvl w:ilvl="0">
      <w:start w:val="1"/>
      <w:numFmt w:val="hebrew1"/>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18">
    <w:nsid w:val="711E601D"/>
    <w:multiLevelType w:val="hybridMultilevel"/>
    <w:tmpl w:val="A04611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C757186"/>
    <w:multiLevelType w:val="hybridMultilevel"/>
    <w:tmpl w:val="E3781540"/>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num w:numId="1">
    <w:abstractNumId w:val="16"/>
  </w:num>
  <w:num w:numId="2">
    <w:abstractNumId w:val="6"/>
  </w:num>
  <w:num w:numId="3">
    <w:abstractNumId w:val="5"/>
  </w:num>
  <w:num w:numId="4">
    <w:abstractNumId w:val="19"/>
  </w:num>
  <w:num w:numId="5">
    <w:abstractNumId w:val="17"/>
  </w:num>
  <w:num w:numId="6">
    <w:abstractNumId w:val="1"/>
  </w:num>
  <w:num w:numId="7">
    <w:abstractNumId w:val="14"/>
  </w:num>
  <w:num w:numId="8">
    <w:abstractNumId w:val="15"/>
  </w:num>
  <w:num w:numId="9">
    <w:abstractNumId w:val="8"/>
  </w:num>
  <w:num w:numId="10">
    <w:abstractNumId w:val="0"/>
  </w:num>
  <w:num w:numId="11">
    <w:abstractNumId w:val="7"/>
  </w:num>
  <w:num w:numId="12">
    <w:abstractNumId w:val="2"/>
  </w:num>
  <w:num w:numId="13">
    <w:abstractNumId w:val="4"/>
  </w:num>
  <w:num w:numId="14">
    <w:abstractNumId w:val="18"/>
  </w:num>
  <w:num w:numId="15">
    <w:abstractNumId w:val="3"/>
  </w:num>
  <w:num w:numId="16">
    <w:abstractNumId w:val="12"/>
  </w:num>
  <w:num w:numId="17">
    <w:abstractNumId w:val="9"/>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340"/>
  <w:evenAndOddHeaders/>
  <w:drawingGridHorizontalSpacing w:val="72"/>
  <w:drawingGridVerticalSpacing w:val="98"/>
  <w:displayHorizontalDrawingGridEvery w:val="2"/>
  <w:displayVerticalDrawingGridEvery w:val="2"/>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30"/>
    <w:rsid w:val="00081A0B"/>
    <w:rsid w:val="000D29D8"/>
    <w:rsid w:val="00256A3F"/>
    <w:rsid w:val="004517BA"/>
    <w:rsid w:val="00524105"/>
    <w:rsid w:val="005808DA"/>
    <w:rsid w:val="005A1A35"/>
    <w:rsid w:val="005D7FCC"/>
    <w:rsid w:val="008C23BE"/>
    <w:rsid w:val="0094447D"/>
    <w:rsid w:val="009B34BB"/>
    <w:rsid w:val="009D3D8B"/>
    <w:rsid w:val="00A21FD2"/>
    <w:rsid w:val="00B5612E"/>
    <w:rsid w:val="00B82060"/>
    <w:rsid w:val="00BA1CCE"/>
    <w:rsid w:val="00CD7F18"/>
    <w:rsid w:val="00D53830"/>
    <w:rsid w:val="00D9171F"/>
    <w:rsid w:val="00E322B6"/>
    <w:rsid w:val="00F60E90"/>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qFormat/>
    <w:locked/>
    <w:pPr>
      <w:keepNext/>
      <w:widowControl w:val="0"/>
      <w:spacing w:line="700" w:lineRule="atLeast"/>
      <w:jc w:val="center"/>
      <w:outlineLvl w:val="0"/>
    </w:pPr>
    <w:rPr>
      <w:b/>
      <w:bCs/>
      <w:sz w:val="56"/>
      <w:szCs w:val="56"/>
      <w:lang w:eastAsia="he-IL"/>
    </w:rPr>
  </w:style>
  <w:style w:type="paragraph" w:styleId="Heading2">
    <w:name w:val="heading 2"/>
    <w:basedOn w:val="Normal"/>
    <w:next w:val="Normal"/>
    <w:qFormat/>
    <w:locked/>
    <w:pPr>
      <w:keepNext/>
      <w:spacing w:line="360" w:lineRule="exact"/>
      <w:ind w:left="1293"/>
      <w:outlineLvl w:val="1"/>
    </w:pPr>
    <w:rPr>
      <w:sz w:val="32"/>
      <w:szCs w:val="32"/>
    </w:rPr>
  </w:style>
  <w:style w:type="paragraph" w:styleId="Heading3">
    <w:name w:val="heading 3"/>
    <w:basedOn w:val="Normal"/>
    <w:next w:val="Normal"/>
    <w:qFormat/>
    <w:locked/>
    <w:pPr>
      <w:keepNext/>
      <w:widowControl w:val="0"/>
      <w:spacing w:line="312" w:lineRule="auto"/>
      <w:jc w:val="both"/>
      <w:outlineLvl w:val="2"/>
    </w:pPr>
    <w:rPr>
      <w:b/>
      <w:bCs/>
      <w:sz w:val="38"/>
      <w:szCs w:val="36"/>
      <w:lang w:eastAsia="he-IL"/>
    </w:rPr>
  </w:style>
  <w:style w:type="paragraph" w:styleId="Heading4">
    <w:name w:val="heading 4"/>
    <w:basedOn w:val="Normal"/>
    <w:next w:val="Normal"/>
    <w:qFormat/>
    <w:locked/>
    <w:pPr>
      <w:widowControl w:val="0"/>
      <w:spacing w:before="100" w:beforeAutospacing="1" w:line="264" w:lineRule="auto"/>
      <w:outlineLvl w:val="3"/>
    </w:pPr>
    <w:rPr>
      <w:b/>
      <w:bCs/>
      <w:sz w:val="22"/>
      <w:szCs w:val="26"/>
      <w:lang w:eastAsia="he-IL"/>
    </w:rPr>
  </w:style>
  <w:style w:type="paragraph" w:styleId="Heading5">
    <w:name w:val="heading 5"/>
    <w:basedOn w:val="Normal"/>
    <w:next w:val="Normal"/>
    <w:qFormat/>
    <w:locked/>
    <w:pPr>
      <w:keepNext/>
      <w:spacing w:after="120" w:line="360" w:lineRule="exact"/>
      <w:ind w:left="3649"/>
      <w:outlineLvl w:val="4"/>
    </w:pPr>
    <w:rPr>
      <w:b/>
      <w:bCs/>
      <w:sz w:val="32"/>
      <w:szCs w:val="32"/>
      <w:lang w:eastAsia="he-IL"/>
    </w:rPr>
  </w:style>
  <w:style w:type="paragraph" w:styleId="Heading6">
    <w:name w:val="heading 6"/>
    <w:basedOn w:val="Normal"/>
    <w:next w:val="Normal"/>
    <w:qFormat/>
    <w:locked/>
    <w:pPr>
      <w:keepNext/>
      <w:spacing w:before="60" w:after="60" w:line="220" w:lineRule="exact"/>
      <w:jc w:val="right"/>
      <w:outlineLvl w:val="5"/>
    </w:pPr>
    <w:rPr>
      <w:rFonts w:cs="FrankRuehl"/>
      <w:b/>
      <w:bCs/>
      <w:sz w:val="22"/>
      <w:szCs w:val="22"/>
    </w:rPr>
  </w:style>
  <w:style w:type="paragraph" w:styleId="Heading7">
    <w:name w:val="heading 7"/>
    <w:basedOn w:val="Normal"/>
    <w:next w:val="Normal"/>
    <w:qFormat/>
    <w:locked/>
    <w:pPr>
      <w:keepNext/>
      <w:widowControl w:val="0"/>
      <w:spacing w:before="120" w:after="120" w:line="312" w:lineRule="auto"/>
      <w:jc w:val="center"/>
      <w:outlineLvl w:val="6"/>
    </w:pPr>
    <w:rPr>
      <w:sz w:val="36"/>
      <w:szCs w:val="36"/>
      <w:lang w:eastAsia="he-IL"/>
    </w:rPr>
  </w:style>
  <w:style w:type="paragraph" w:styleId="Heading8">
    <w:name w:val="heading 8"/>
    <w:basedOn w:val="Normal"/>
    <w:next w:val="Normal"/>
    <w:qFormat/>
    <w:locked/>
    <w:pPr>
      <w:keepNext/>
      <w:snapToGrid w:val="0"/>
      <w:spacing w:after="120" w:line="240" w:lineRule="auto"/>
      <w:ind w:left="153" w:firstLine="567"/>
      <w:jc w:val="both"/>
      <w:outlineLvl w:val="7"/>
    </w:pPr>
    <w:rPr>
      <w:b/>
      <w:bCs/>
      <w:sz w:val="36"/>
      <w:szCs w:val="36"/>
      <w:lang w:eastAsia="he-IL"/>
    </w:rPr>
  </w:style>
  <w:style w:type="paragraph" w:styleId="Heading9">
    <w:name w:val="heading 9"/>
    <w:basedOn w:val="Normal"/>
    <w:next w:val="Normal"/>
    <w:qFormat/>
    <w:locked/>
    <w:pPr>
      <w:keepNext/>
      <w:spacing w:before="40" w:after="40" w:line="240" w:lineRule="auto"/>
      <w:jc w:val="center"/>
      <w:outlineLvl w:val="8"/>
    </w:pPr>
    <w:rPr>
      <w:noProof/>
      <w:sz w:val="4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locked/>
    <w:rPr>
      <w:rFonts w:ascii="Cambria" w:hAnsi="Cambria" w:cs="Times New Roman"/>
      <w:b/>
      <w:bCs/>
      <w:kern w:val="32"/>
      <w:sz w:val="32"/>
      <w:szCs w:val="32"/>
    </w:rPr>
  </w:style>
  <w:style w:type="character" w:customStyle="1" w:styleId="2">
    <w:name w:val="כותרת 2 תו"/>
    <w:locked/>
    <w:rPr>
      <w:rFonts w:ascii="Cambria" w:hAnsi="Cambria" w:cs="Times New Roman"/>
      <w:b/>
      <w:bCs/>
      <w:i/>
      <w:iCs/>
      <w:sz w:val="28"/>
      <w:szCs w:val="28"/>
    </w:rPr>
  </w:style>
  <w:style w:type="character" w:customStyle="1" w:styleId="3">
    <w:name w:val="כותרת 3 תו"/>
    <w:locked/>
    <w:rPr>
      <w:rFonts w:ascii="Cambria" w:hAnsi="Cambria" w:cs="Times New Roman"/>
      <w:b/>
      <w:bCs/>
      <w:sz w:val="26"/>
      <w:szCs w:val="26"/>
    </w:rPr>
  </w:style>
  <w:style w:type="character" w:customStyle="1" w:styleId="4">
    <w:name w:val="כותרת 4 תו"/>
    <w:locked/>
    <w:rPr>
      <w:rFonts w:ascii="Calibri" w:hAnsi="Calibri" w:cs="Arial"/>
      <w:b/>
      <w:bCs/>
      <w:sz w:val="28"/>
      <w:szCs w:val="28"/>
    </w:rPr>
  </w:style>
  <w:style w:type="character" w:customStyle="1" w:styleId="5">
    <w:name w:val="כותרת 5 תו"/>
    <w:locked/>
    <w:rPr>
      <w:rFonts w:ascii="Calibri" w:hAnsi="Calibri" w:cs="Arial"/>
      <w:b/>
      <w:bCs/>
      <w:i/>
      <w:iCs/>
      <w:sz w:val="26"/>
      <w:szCs w:val="26"/>
    </w:rPr>
  </w:style>
  <w:style w:type="character" w:customStyle="1" w:styleId="6">
    <w:name w:val="כותרת 6 תו"/>
    <w:locked/>
    <w:rPr>
      <w:rFonts w:ascii="Calibri" w:hAnsi="Calibri" w:cs="Arial"/>
      <w:b/>
      <w:bCs/>
    </w:rPr>
  </w:style>
  <w:style w:type="character" w:customStyle="1" w:styleId="7">
    <w:name w:val="כותרת 7 תו"/>
    <w:locked/>
    <w:rPr>
      <w:rFonts w:ascii="Calibri" w:hAnsi="Calibri" w:cs="Arial"/>
      <w:sz w:val="24"/>
      <w:szCs w:val="24"/>
    </w:rPr>
  </w:style>
  <w:style w:type="character" w:customStyle="1" w:styleId="8">
    <w:name w:val="כותרת 8 תו"/>
    <w:locked/>
    <w:rPr>
      <w:rFonts w:ascii="Calibri" w:hAnsi="Calibri" w:cs="Arial"/>
      <w:i/>
      <w:iCs/>
      <w:sz w:val="24"/>
      <w:szCs w:val="24"/>
    </w:rPr>
  </w:style>
  <w:style w:type="character" w:customStyle="1" w:styleId="9">
    <w:name w:val="כותרת 9 תו"/>
    <w:locked/>
    <w:rPr>
      <w:rFonts w:ascii="Cambria" w:hAnsi="Cambria" w:cs="Times New Roman"/>
    </w:rPr>
  </w:style>
  <w:style w:type="paragraph" w:styleId="Title">
    <w:name w:val="Title"/>
    <w:basedOn w:val="Normal"/>
    <w:qFormat/>
    <w:locked/>
    <w:pPr>
      <w:jc w:val="center"/>
    </w:pPr>
    <w:rPr>
      <w:b/>
      <w:bCs/>
      <w:u w:val="single"/>
    </w:rPr>
  </w:style>
  <w:style w:type="character" w:customStyle="1" w:styleId="a">
    <w:name w:val="כותרת טקסט תו"/>
    <w:locked/>
    <w:rPr>
      <w:rFonts w:ascii="Cambria" w:hAnsi="Cambria" w:cs="Times New Roman"/>
      <w:b/>
      <w:bCs/>
      <w:kern w:val="28"/>
      <w:sz w:val="32"/>
      <w:szCs w:val="32"/>
    </w:rPr>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30">
    <w:name w:val="כותרת 3_0"/>
    <w:basedOn w:val="Normal"/>
    <w:next w:val="Normal"/>
    <w:pPr>
      <w:spacing w:before="100" w:beforeAutospacing="1" w:line="288" w:lineRule="auto"/>
      <w:outlineLvl w:val="2"/>
    </w:pPr>
    <w:rPr>
      <w:b/>
      <w:bCs/>
      <w:szCs w:val="28"/>
      <w:u w:val="single"/>
    </w:rPr>
  </w:style>
  <w:style w:type="paragraph" w:customStyle="1" w:styleId="40">
    <w:name w:val="כותרת 4_0"/>
    <w:basedOn w:val="Normal"/>
    <w:next w:val="Normal"/>
    <w:pPr>
      <w:spacing w:before="100" w:beforeAutospacing="1" w:line="264" w:lineRule="auto"/>
      <w:outlineLvl w:val="3"/>
    </w:pPr>
    <w:rPr>
      <w:b/>
      <w:bCs/>
      <w:sz w:val="22"/>
      <w:szCs w:val="26"/>
    </w:rPr>
  </w:style>
  <w:style w:type="paragraph" w:customStyle="1" w:styleId="a0">
    <w:name w:val="נבנצלים"/>
    <w:basedOn w:val="Normal"/>
    <w:next w:val="Normal"/>
    <w:pPr>
      <w:widowControl w:val="0"/>
      <w:spacing w:line="269" w:lineRule="auto"/>
      <w:ind w:left="-567"/>
      <w:jc w:val="both"/>
    </w:pPr>
    <w:rPr>
      <w:sz w:val="20"/>
      <w:szCs w:val="20"/>
      <w:lang w:eastAsia="he-IL"/>
    </w:rPr>
  </w:style>
  <w:style w:type="paragraph" w:styleId="BodyText">
    <w:name w:val="Body Text"/>
    <w:basedOn w:val="Normal"/>
    <w:semiHidden/>
    <w:pPr>
      <w:spacing w:before="180" w:after="120" w:line="230" w:lineRule="exact"/>
      <w:jc w:val="both"/>
    </w:pPr>
    <w:rPr>
      <w:rFonts w:cs="FrankRuehl"/>
      <w:sz w:val="22"/>
      <w:szCs w:val="22"/>
    </w:rPr>
  </w:style>
  <w:style w:type="character" w:customStyle="1" w:styleId="a1">
    <w:name w:val="גוף טקסט תו"/>
    <w:semiHidden/>
    <w:locked/>
    <w:rPr>
      <w:rFonts w:cs="David"/>
      <w:sz w:val="24"/>
      <w:szCs w:val="24"/>
      <w:lang w:bidi="he-IL"/>
    </w:rPr>
  </w:style>
  <w:style w:type="paragraph" w:styleId="BodyText2">
    <w:name w:val="Body Text 2"/>
    <w:basedOn w:val="Normal"/>
    <w:semiHidden/>
    <w:pPr>
      <w:widowControl w:val="0"/>
      <w:spacing w:line="312" w:lineRule="auto"/>
      <w:ind w:right="567"/>
      <w:jc w:val="both"/>
    </w:pPr>
    <w:rPr>
      <w:rFonts w:cs="FrankRuehl"/>
      <w:lang w:eastAsia="he-IL"/>
    </w:rPr>
  </w:style>
  <w:style w:type="character" w:customStyle="1" w:styleId="20">
    <w:name w:val="גוף טקסט 2 תו"/>
    <w:semiHidden/>
    <w:locked/>
    <w:rPr>
      <w:rFonts w:cs="David"/>
      <w:sz w:val="24"/>
      <w:szCs w:val="24"/>
      <w:lang w:bidi="he-IL"/>
    </w:rPr>
  </w:style>
  <w:style w:type="paragraph" w:styleId="Header">
    <w:name w:val="header"/>
    <w:basedOn w:val="Normal"/>
    <w:semiHidden/>
    <w:pPr>
      <w:tabs>
        <w:tab w:val="center" w:pos="4153"/>
        <w:tab w:val="right" w:pos="8306"/>
      </w:tabs>
    </w:pPr>
  </w:style>
  <w:style w:type="character" w:customStyle="1" w:styleId="a2">
    <w:name w:val="כותרת עליונה תו"/>
    <w:locked/>
    <w:rPr>
      <w:rFonts w:cs="David"/>
      <w:sz w:val="24"/>
      <w:szCs w:val="24"/>
      <w:lang w:bidi="he-IL"/>
    </w:rPr>
  </w:style>
  <w:style w:type="paragraph" w:styleId="Footer">
    <w:name w:val="footer"/>
    <w:basedOn w:val="Normal"/>
    <w:semiHidden/>
    <w:pPr>
      <w:tabs>
        <w:tab w:val="center" w:pos="4153"/>
        <w:tab w:val="right" w:pos="8306"/>
      </w:tabs>
    </w:pPr>
  </w:style>
  <w:style w:type="character" w:customStyle="1" w:styleId="a3">
    <w:name w:val="כותרת תחתונה תו"/>
    <w:locked/>
    <w:rPr>
      <w:rFonts w:cs="David"/>
      <w:sz w:val="24"/>
      <w:szCs w:val="24"/>
      <w:lang w:bidi="he-IL"/>
    </w:rPr>
  </w:style>
  <w:style w:type="character" w:styleId="PageNumber">
    <w:name w:val="page number"/>
    <w:semiHidden/>
    <w:rPr>
      <w:rFonts w:cs="Times New Roman"/>
    </w:rPr>
  </w:style>
  <w:style w:type="paragraph" w:styleId="FootnoteText">
    <w:name w:val="footnote text"/>
    <w:basedOn w:val="Normal"/>
    <w:semiHidden/>
    <w:rPr>
      <w:sz w:val="20"/>
      <w:szCs w:val="20"/>
    </w:rPr>
  </w:style>
  <w:style w:type="character" w:customStyle="1" w:styleId="10">
    <w:name w:val="טקסט הערת שוליים תו1"/>
    <w:semiHidden/>
    <w:locked/>
    <w:rPr>
      <w:rFonts w:cs="David"/>
      <w:sz w:val="20"/>
      <w:szCs w:val="20"/>
      <w:lang w:bidi="he-IL"/>
    </w:rPr>
  </w:style>
  <w:style w:type="character" w:styleId="FootnoteReference">
    <w:name w:val="footnote reference"/>
    <w:semiHidden/>
    <w:rPr>
      <w:rFonts w:cs="Times New Roman"/>
      <w:vertAlign w:val="superscript"/>
    </w:rPr>
  </w:style>
  <w:style w:type="paragraph" w:styleId="EndnoteText">
    <w:name w:val="endnote text"/>
    <w:basedOn w:val="Normal"/>
    <w:semiHidden/>
    <w:pPr>
      <w:jc w:val="both"/>
    </w:pPr>
    <w:rPr>
      <w:szCs w:val="20"/>
    </w:rPr>
  </w:style>
  <w:style w:type="character" w:customStyle="1" w:styleId="a4">
    <w:name w:val="טקסט הערת סיום תו"/>
    <w:semiHidden/>
    <w:locked/>
    <w:rPr>
      <w:rFonts w:cs="David"/>
      <w:sz w:val="20"/>
      <w:szCs w:val="20"/>
      <w:lang w:bidi="he-IL"/>
    </w:rPr>
  </w:style>
  <w:style w:type="character" w:styleId="EndnoteReference">
    <w:name w:val="endnote reference"/>
    <w:semiHidden/>
    <w:rPr>
      <w:rFonts w:cs="Times New Roman"/>
      <w:vertAlign w:val="superscript"/>
    </w:rPr>
  </w:style>
  <w:style w:type="paragraph" w:styleId="BodyText3">
    <w:name w:val="Body Text 3"/>
    <w:basedOn w:val="Normal"/>
    <w:semiHidden/>
    <w:pPr>
      <w:widowControl w:val="0"/>
      <w:jc w:val="both"/>
    </w:pPr>
  </w:style>
  <w:style w:type="character" w:customStyle="1" w:styleId="31">
    <w:name w:val="גוף טקסט 3 תו"/>
    <w:semiHidden/>
    <w:locked/>
    <w:rPr>
      <w:rFonts w:cs="David"/>
      <w:sz w:val="16"/>
      <w:szCs w:val="16"/>
      <w:lang w:bidi="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outlineLvl w:val="1"/>
    </w:pPr>
    <w:rPr>
      <w:sz w:val="26"/>
      <w:szCs w:val="26"/>
    </w:rPr>
  </w:style>
  <w:style w:type="paragraph" w:customStyle="1" w:styleId="KOT5">
    <w:name w:val="KOT5"/>
    <w:basedOn w:val="KOT4"/>
    <w:pPr>
      <w:spacing w:after="120" w:line="260" w:lineRule="exact"/>
      <w:outlineLvl w:val="2"/>
    </w:pPr>
    <w:rPr>
      <w:sz w:val="22"/>
      <w:szCs w:val="22"/>
    </w:rPr>
  </w:style>
  <w:style w:type="character" w:customStyle="1" w:styleId="100">
    <w:name w:val="סגנון (עברית ושפות אחרות) ‏10 נק'"/>
    <w:rPr>
      <w:rFonts w:ascii="Times New Roman" w:hAnsi="Times New Roman"/>
      <w:sz w:val="24"/>
      <w:vertAlign w:val="baseline"/>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 w:val="20"/>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PlainText">
    <w:name w:val="Plain Text"/>
    <w:basedOn w:val="Normal"/>
    <w:semiHidden/>
    <w:pPr>
      <w:widowControl w:val="0"/>
      <w:spacing w:line="312" w:lineRule="auto"/>
      <w:jc w:val="both"/>
    </w:pPr>
    <w:rPr>
      <w:rFonts w:ascii="Courier New" w:hAnsi="Courier New" w:cs="Courier New"/>
      <w:sz w:val="20"/>
      <w:szCs w:val="20"/>
      <w:lang w:eastAsia="he-IL"/>
    </w:rPr>
  </w:style>
  <w:style w:type="character" w:customStyle="1" w:styleId="a5">
    <w:name w:val="טקסט רגיל תו"/>
    <w:semiHidden/>
    <w:locked/>
    <w:rPr>
      <w:rFonts w:ascii="Courier New" w:hAnsi="Courier New" w:cs="Courier New"/>
      <w:sz w:val="20"/>
      <w:szCs w:val="20"/>
    </w:rPr>
  </w:style>
  <w:style w:type="paragraph" w:styleId="Caption">
    <w:name w:val="caption"/>
    <w:basedOn w:val="Normal"/>
    <w:next w:val="Normal"/>
    <w:qFormat/>
    <w:locked/>
    <w:pPr>
      <w:tabs>
        <w:tab w:val="left" w:pos="1021"/>
        <w:tab w:val="center" w:pos="5131"/>
      </w:tabs>
      <w:spacing w:line="280" w:lineRule="exact"/>
    </w:pPr>
    <w:rPr>
      <w:b/>
      <w:bCs/>
      <w:sz w:val="28"/>
      <w:szCs w:val="28"/>
    </w:rPr>
  </w:style>
  <w:style w:type="character" w:customStyle="1" w:styleId="51">
    <w:name w:val="כותרת 51"/>
    <w:rPr>
      <w:rFonts w:ascii="Times New Roman" w:hAnsi="Times New Roman"/>
      <w:b/>
      <w:color w:val="auto"/>
      <w:spacing w:val="40"/>
      <w:w w:val="100"/>
      <w:position w:val="0"/>
      <w:sz w:val="24"/>
      <w:u w:val="none"/>
      <w:vertAlign w:val="baseline"/>
    </w:rPr>
  </w:style>
  <w:style w:type="character" w:customStyle="1" w:styleId="61">
    <w:name w:val="כותרת 61"/>
    <w:rPr>
      <w:rFonts w:ascii="Times New Roman" w:hAnsi="Times New Roman"/>
      <w:color w:val="auto"/>
      <w:spacing w:val="40"/>
      <w:w w:val="100"/>
      <w:position w:val="0"/>
      <w:sz w:val="24"/>
      <w:u w:val="none"/>
    </w:rPr>
  </w:style>
  <w:style w:type="character" w:customStyle="1" w:styleId="PersonalComposeStyle">
    <w:name w:val="Personal Compose Style"/>
    <w:rPr>
      <w:rFonts w:ascii="Arial" w:hAnsi="Arial"/>
      <w:color w:val="auto"/>
      <w:sz w:val="20"/>
    </w:rPr>
  </w:style>
  <w:style w:type="character" w:customStyle="1" w:styleId="PersonalReplyStyle">
    <w:name w:val="Personal Reply Style"/>
    <w:rPr>
      <w:rFonts w:ascii="Arial" w:hAnsi="Arial"/>
      <w:color w:val="auto"/>
      <w:sz w:val="20"/>
    </w:rPr>
  </w:style>
  <w:style w:type="character" w:customStyle="1" w:styleId="52">
    <w:name w:val="כותרת 52"/>
    <w:rPr>
      <w:rFonts w:ascii="Times New Roman" w:hAnsi="Times New Roman"/>
      <w:b/>
      <w:color w:val="auto"/>
      <w:spacing w:val="40"/>
      <w:w w:val="100"/>
      <w:position w:val="0"/>
      <w:sz w:val="24"/>
      <w:u w:val="none"/>
      <w:vertAlign w:val="baseline"/>
    </w:rPr>
  </w:style>
  <w:style w:type="character" w:customStyle="1" w:styleId="520">
    <w:name w:val="כותרת 5 תו2"/>
    <w:rPr>
      <w:b/>
      <w:spacing w:val="40"/>
      <w:sz w:val="24"/>
      <w:lang w:val="en-US" w:eastAsia="he-IL" w:bidi="he-IL"/>
    </w:rPr>
  </w:style>
  <w:style w:type="character" w:customStyle="1" w:styleId="71">
    <w:name w:val="כותרת 7 תו1"/>
    <w:rPr>
      <w:b/>
      <w:spacing w:val="40"/>
      <w:sz w:val="24"/>
      <w:lang w:val="en-US" w:eastAsia="he-IL" w:bidi="he-IL"/>
    </w:rPr>
  </w:style>
  <w:style w:type="paragraph" w:customStyle="1" w:styleId="a6">
    <w:name w:val="ממוספר"/>
    <w:basedOn w:val="Normal"/>
    <w:pPr>
      <w:numPr>
        <w:numId w:val="1"/>
      </w:numPr>
      <w:spacing w:after="240" w:line="312" w:lineRule="auto"/>
      <w:ind w:right="397"/>
      <w:jc w:val="both"/>
    </w:pPr>
    <w:rPr>
      <w:rFonts w:cs="FrankRuehl"/>
      <w:lang w:eastAsia="he-IL"/>
    </w:rPr>
  </w:style>
  <w:style w:type="paragraph" w:customStyle="1" w:styleId="a7">
    <w:name w:val="טקסט מודגש"/>
    <w:basedOn w:val="Normal"/>
    <w:pPr>
      <w:spacing w:after="240" w:line="312" w:lineRule="auto"/>
      <w:jc w:val="both"/>
    </w:pPr>
    <w:rPr>
      <w:b/>
      <w:bCs/>
      <w:sz w:val="22"/>
      <w:szCs w:val="22"/>
      <w:lang w:eastAsia="he-IL"/>
    </w:rPr>
  </w:style>
  <w:style w:type="paragraph" w:customStyle="1" w:styleId="11">
    <w:name w:val="ציטוט1"/>
    <w:basedOn w:val="Normal"/>
    <w:pPr>
      <w:spacing w:after="240" w:line="240" w:lineRule="auto"/>
      <w:ind w:left="851" w:right="851"/>
      <w:jc w:val="both"/>
    </w:pPr>
    <w:rPr>
      <w:rFonts w:cs="FrankRuehl"/>
      <w:lang w:eastAsia="he-IL"/>
    </w:rPr>
  </w:style>
  <w:style w:type="paragraph" w:styleId="BodyTextIndent2">
    <w:name w:val="Body Text Indent 2"/>
    <w:basedOn w:val="Normal"/>
    <w:semiHidden/>
    <w:pPr>
      <w:spacing w:after="240" w:line="240" w:lineRule="auto"/>
      <w:ind w:left="540" w:hanging="540"/>
      <w:jc w:val="both"/>
    </w:pPr>
    <w:rPr>
      <w:rFonts w:cs="FrankRuehl"/>
      <w:lang w:eastAsia="he-IL"/>
    </w:rPr>
  </w:style>
  <w:style w:type="character" w:customStyle="1" w:styleId="21">
    <w:name w:val="כניסה בגוף טקסט 2 תו"/>
    <w:semiHidden/>
    <w:locked/>
    <w:rPr>
      <w:rFonts w:cs="David"/>
      <w:sz w:val="24"/>
      <w:szCs w:val="24"/>
      <w:lang w:bidi="he-IL"/>
    </w:rPr>
  </w:style>
  <w:style w:type="character" w:customStyle="1" w:styleId="notes">
    <w:name w:val="notes"/>
  </w:style>
  <w:style w:type="paragraph" w:styleId="BlockText">
    <w:name w:val="Block Text"/>
    <w:basedOn w:val="Normal"/>
    <w:semiHidden/>
    <w:pPr>
      <w:spacing w:line="240" w:lineRule="auto"/>
      <w:ind w:left="509"/>
    </w:pPr>
    <w:rPr>
      <w:sz w:val="20"/>
      <w:lang w:eastAsia="he-IL"/>
    </w:rPr>
  </w:style>
  <w:style w:type="character" w:customStyle="1" w:styleId="a8">
    <w:name w:val="טקסט הערות שוליים תו"/>
    <w:rPr>
      <w:lang w:val="en-US" w:eastAsia="en-US"/>
    </w:rPr>
  </w:style>
  <w:style w:type="character" w:customStyle="1" w:styleId="a9">
    <w:name w:val="טקסט הערת שוליים תו"/>
    <w:locked/>
    <w:rPr>
      <w:lang w:val="en-US" w:eastAsia="en-US"/>
    </w:rPr>
  </w:style>
  <w:style w:type="character" w:customStyle="1" w:styleId="a10">
    <w:name w:val="תו תו"/>
    <w:semiHidden/>
    <w:locked/>
    <w:rPr>
      <w:lang w:val="en-US" w:eastAsia="he-IL" w:bidi="he-IL"/>
    </w:rPr>
  </w:style>
  <w:style w:type="paragraph" w:styleId="BodyTextIndent3">
    <w:name w:val="Body Text Indent 3"/>
    <w:basedOn w:val="Normal"/>
    <w:semiHidden/>
    <w:pPr>
      <w:spacing w:after="120"/>
      <w:ind w:left="283"/>
    </w:pPr>
    <w:rPr>
      <w:sz w:val="16"/>
      <w:szCs w:val="16"/>
    </w:rPr>
  </w:style>
  <w:style w:type="character" w:customStyle="1" w:styleId="32">
    <w:name w:val="כניסה בגוף טקסט 3 תו"/>
    <w:semiHidden/>
    <w:locked/>
    <w:rPr>
      <w:rFonts w:cs="David"/>
      <w:sz w:val="16"/>
      <w:szCs w:val="16"/>
      <w:lang w:bidi="he-IL"/>
    </w:rPr>
  </w:style>
  <w:style w:type="paragraph" w:customStyle="1" w:styleId="12">
    <w:name w:val="פיסקת רשימה1"/>
    <w:basedOn w:val="Normal"/>
    <w:pPr>
      <w:ind w:left="720"/>
    </w:pPr>
  </w:style>
  <w:style w:type="paragraph" w:styleId="BalloonText">
    <w:name w:val="Balloon Text"/>
    <w:basedOn w:val="Normal"/>
    <w:semiHidden/>
    <w:rPr>
      <w:rFonts w:ascii="Tahoma" w:hAnsi="Tahoma" w:cs="Tahoma"/>
      <w:sz w:val="16"/>
      <w:szCs w:val="16"/>
    </w:rPr>
  </w:style>
  <w:style w:type="character" w:customStyle="1" w:styleId="a11">
    <w:name w:val="טקסט בלונים תו"/>
    <w:semiHidden/>
    <w:locked/>
    <w:rPr>
      <w:rFonts w:cs="Times New Roman"/>
      <w:sz w:val="2"/>
    </w:rPr>
  </w:style>
  <w:style w:type="paragraph" w:styleId="BodyTextIndent">
    <w:name w:val="Body Text Indent"/>
    <w:basedOn w:val="Normal"/>
    <w:semiHidden/>
    <w:pPr>
      <w:spacing w:after="120"/>
      <w:ind w:left="283"/>
    </w:pPr>
  </w:style>
  <w:style w:type="character" w:customStyle="1" w:styleId="a12">
    <w:name w:val="כניסה בגוף טקסט תו"/>
    <w:semiHidden/>
    <w:locked/>
    <w:rPr>
      <w:rFonts w:cs="David"/>
      <w:sz w:val="24"/>
      <w:szCs w:val="24"/>
      <w:lang w:bidi="he-IL"/>
    </w:rPr>
  </w:style>
  <w:style w:type="character" w:styleId="CommentReference">
    <w:name w:val="annotation reference"/>
    <w:semiHidden/>
    <w:rPr>
      <w:rFonts w:cs="Times New Roman"/>
      <w:sz w:val="16"/>
    </w:rPr>
  </w:style>
  <w:style w:type="paragraph" w:styleId="CommentText">
    <w:name w:val="annotation text"/>
    <w:basedOn w:val="Normal"/>
    <w:semiHidden/>
    <w:rPr>
      <w:sz w:val="20"/>
      <w:szCs w:val="20"/>
    </w:rPr>
  </w:style>
  <w:style w:type="character" w:customStyle="1" w:styleId="a13">
    <w:name w:val="טקסט הערה תו"/>
    <w:semiHidden/>
    <w:locked/>
    <w:rPr>
      <w:rFonts w:cs="David"/>
      <w:sz w:val="20"/>
      <w:szCs w:val="20"/>
      <w:lang w:bidi="he-IL"/>
    </w:rPr>
  </w:style>
  <w:style w:type="paragraph" w:styleId="CommentSubject">
    <w:name w:val="annotation subject"/>
    <w:basedOn w:val="CommentText"/>
    <w:next w:val="CommentText"/>
    <w:semiHidden/>
    <w:rPr>
      <w:b/>
      <w:bCs/>
    </w:rPr>
  </w:style>
  <w:style w:type="character" w:customStyle="1" w:styleId="a14">
    <w:name w:val="נושא הערה תו"/>
    <w:semiHidden/>
    <w:locked/>
    <w:rPr>
      <w:rFonts w:cs="David"/>
      <w:b/>
      <w:bCs/>
      <w:sz w:val="20"/>
      <w:szCs w:val="20"/>
      <w:lang w:bidi="he-IL"/>
    </w:rPr>
  </w:style>
  <w:style w:type="paragraph" w:customStyle="1" w:styleId="310">
    <w:name w:val="כותרת 31"/>
    <w:basedOn w:val="Normal"/>
    <w:next w:val="Normal"/>
    <w:pPr>
      <w:spacing w:before="100" w:beforeAutospacing="1" w:line="288" w:lineRule="auto"/>
      <w:outlineLvl w:val="2"/>
    </w:pPr>
    <w:rPr>
      <w:b/>
      <w:bCs/>
      <w:szCs w:val="28"/>
      <w:u w:val="single"/>
    </w:rPr>
  </w:style>
  <w:style w:type="paragraph" w:customStyle="1" w:styleId="41">
    <w:name w:val="כותרת 41"/>
    <w:basedOn w:val="Normal"/>
    <w:next w:val="Normal"/>
    <w:pPr>
      <w:spacing w:before="100" w:beforeAutospacing="1" w:line="264" w:lineRule="auto"/>
      <w:outlineLvl w:val="3"/>
    </w:pPr>
    <w:rPr>
      <w:b/>
      <w:bCs/>
      <w:sz w:val="22"/>
      <w:szCs w:val="26"/>
    </w:rPr>
  </w:style>
  <w:style w:type="character" w:customStyle="1" w:styleId="default">
    <w:name w:val="default"/>
    <w:rPr>
      <w:rFonts w:ascii="Times New Roman" w:hAnsi="Times New Roman"/>
      <w:sz w:val="26"/>
    </w:rPr>
  </w:style>
  <w:style w:type="character" w:customStyle="1" w:styleId="510">
    <w:name w:val="כותרת 5 תו1"/>
    <w:locked/>
    <w:rPr>
      <w:rFonts w:cs="David"/>
      <w:b/>
      <w:bCs/>
      <w:sz w:val="32"/>
      <w:szCs w:val="32"/>
      <w:lang w:eastAsia="he-IL"/>
    </w:rPr>
  </w:style>
  <w:style w:type="character" w:customStyle="1" w:styleId="72">
    <w:name w:val="כותרת 7 תו2"/>
    <w:locked/>
    <w:rPr>
      <w:rFonts w:cs="David"/>
      <w:sz w:val="36"/>
      <w:szCs w:val="36"/>
      <w:lang w:eastAsia="he-IL"/>
    </w:rPr>
  </w:style>
  <w:style w:type="paragraph" w:customStyle="1" w:styleId="Arial10">
    <w:name w:val="סגנון (לטיני) Arial (עברית ושפות אחרות) ‏10 נק' שמאל מרווח בין ש..."/>
    <w:basedOn w:val="Normal"/>
    <w:pPr>
      <w:widowControl w:val="0"/>
      <w:spacing w:line="360" w:lineRule="auto"/>
      <w:jc w:val="right"/>
    </w:pPr>
    <w:rPr>
      <w:rFonts w:ascii="David" w:hAnsi="David"/>
      <w:sz w:val="20"/>
      <w:szCs w:val="20"/>
      <w:lang w:eastAsia="he-IL"/>
    </w:rPr>
  </w:style>
  <w:style w:type="character" w:customStyle="1" w:styleId="17">
    <w:name w:val="תו תו17"/>
    <w:semiHidden/>
    <w:locked/>
    <w:rPr>
      <w:b/>
      <w:spacing w:val="40"/>
      <w:sz w:val="24"/>
      <w:lang w:val="en-US" w:eastAsia="he-IL" w:bidi="he-IL"/>
    </w:rPr>
  </w:style>
  <w:style w:type="character" w:customStyle="1" w:styleId="22">
    <w:name w:val="תו תו2"/>
    <w:rPr>
      <w:b/>
      <w:spacing w:val="40"/>
      <w:sz w:val="24"/>
      <w:lang w:val="en-US" w:eastAsia="he-IL" w:bidi="he-IL"/>
    </w:rPr>
  </w:style>
  <w:style w:type="paragraph" w:customStyle="1" w:styleId="KOT6">
    <w:name w:val="KOT6"/>
    <w:basedOn w:val="KOT5"/>
    <w:locked/>
    <w:pPr>
      <w:outlineLvl w:val="3"/>
    </w:pPr>
    <w:rPr>
      <w:rFonts w:cs="FrankRuehl"/>
      <w:spacing w:val="40"/>
      <w:sz w:val="20"/>
    </w:rPr>
  </w:style>
  <w:style w:type="paragraph" w:customStyle="1" w:styleId="KOT7">
    <w:name w:val="KOT7"/>
    <w:basedOn w:val="KOT6"/>
    <w:locked/>
    <w:pPr>
      <w:outlineLvl w:val="4"/>
    </w:pPr>
    <w:rPr>
      <w:b w:val="0"/>
      <w:bCs w:val="0"/>
    </w:rPr>
  </w:style>
  <w:style w:type="character" w:customStyle="1" w:styleId="610">
    <w:name w:val="כותרת 6 תו1"/>
    <w:rPr>
      <w:rFonts w:cs="David"/>
      <w:spacing w:val="40"/>
      <w:szCs w:val="24"/>
      <w:lang w:val="en-US" w:eastAsia="he-IL" w:bidi="he-IL"/>
    </w:rPr>
  </w:style>
  <w:style w:type="paragraph" w:customStyle="1" w:styleId="320">
    <w:name w:val="כותרת 32"/>
    <w:basedOn w:val="Normal"/>
    <w:next w:val="Normal"/>
    <w:pPr>
      <w:widowControl w:val="0"/>
      <w:spacing w:before="100" w:beforeAutospacing="1" w:line="288" w:lineRule="auto"/>
      <w:outlineLvl w:val="2"/>
    </w:pPr>
    <w:rPr>
      <w:b/>
      <w:bCs/>
      <w:szCs w:val="28"/>
      <w:u w:val="single"/>
      <w:lang w:eastAsia="he-IL"/>
    </w:rPr>
  </w:style>
  <w:style w:type="paragraph" w:customStyle="1" w:styleId="42">
    <w:name w:val="כותרת 42"/>
    <w:basedOn w:val="Normal"/>
    <w:next w:val="Normal"/>
    <w:pPr>
      <w:widowControl w:val="0"/>
      <w:spacing w:before="100" w:beforeAutospacing="1" w:line="264" w:lineRule="auto"/>
      <w:outlineLvl w:val="3"/>
    </w:pPr>
    <w:rPr>
      <w:b/>
      <w:bCs/>
      <w:sz w:val="22"/>
      <w:szCs w:val="26"/>
      <w:lang w:eastAsia="he-IL"/>
    </w:rPr>
  </w:style>
  <w:style w:type="character" w:customStyle="1" w:styleId="410">
    <w:name w:val="כותרת 41 תו"/>
    <w:rPr>
      <w:rFonts w:cs="David"/>
      <w:b/>
      <w:bCs/>
      <w:sz w:val="22"/>
      <w:szCs w:val="26"/>
    </w:rPr>
  </w:style>
  <w:style w:type="character" w:styleId="Hyperlink">
    <w:name w:val="Hyperlink"/>
    <w:semiHidden/>
    <w:locked/>
    <w:rPr>
      <w:color w:val="0000FF"/>
      <w:u w:val="single"/>
    </w:rPr>
  </w:style>
  <w:style w:type="paragraph" w:styleId="DocumentMap">
    <w:name w:val="Document Map"/>
    <w:basedOn w:val="Normal"/>
    <w:semiHidden/>
    <w:locked/>
    <w:pPr>
      <w:widowControl w:val="0"/>
      <w:shd w:val="clear" w:color="auto" w:fill="000080"/>
      <w:spacing w:line="312" w:lineRule="auto"/>
      <w:jc w:val="both"/>
    </w:pPr>
    <w:rPr>
      <w:rFonts w:ascii="Tahoma" w:hAnsi="Tahoma" w:cs="Tahoma"/>
      <w:sz w:val="20"/>
      <w:szCs w:val="20"/>
      <w:lang w:eastAsia="he-IL"/>
    </w:rPr>
  </w:style>
  <w:style w:type="character" w:customStyle="1" w:styleId="a15">
    <w:name w:val="מפת מסמך תו"/>
    <w:semiHidden/>
    <w:rPr>
      <w:rFonts w:ascii="Tahoma" w:hAnsi="Tahoma" w:cs="Tahoma"/>
      <w:shd w:val="clear" w:color="auto" w:fill="000080"/>
      <w:lang w:eastAsia="he-IL"/>
    </w:rPr>
  </w:style>
  <w:style w:type="paragraph" w:styleId="ListParagraph">
    <w:name w:val="List Paragraph"/>
    <w:basedOn w:val="Normal"/>
    <w:qFormat/>
    <w:pPr>
      <w:spacing w:after="200" w:line="276" w:lineRule="auto"/>
      <w:ind w:left="720"/>
      <w:contextualSpacing/>
    </w:pPr>
    <w:rPr>
      <w:rFonts w:ascii="Rockwell" w:eastAsia="Rockwell" w:hAnsi="Rockwell"/>
      <w:sz w:val="22"/>
      <w:szCs w:val="22"/>
    </w:rPr>
  </w:style>
  <w:style w:type="paragraph" w:customStyle="1" w:styleId="a16">
    <w:name w:val="נבנצאל"/>
    <w:basedOn w:val="Normal"/>
    <w:next w:val="Normal"/>
    <w:pPr>
      <w:spacing w:after="200" w:line="276" w:lineRule="auto"/>
      <w:ind w:left="-567"/>
    </w:pPr>
    <w:rPr>
      <w:rFonts w:ascii="Rockwell" w:eastAsia="Rockwell" w:hAnsi="Rockwell"/>
      <w:sz w:val="22"/>
      <w:szCs w:val="20"/>
    </w:rPr>
  </w:style>
  <w:style w:type="character" w:customStyle="1" w:styleId="a17">
    <w:name w:val="נבנצאל תו"/>
    <w:locked/>
    <w:rPr>
      <w:rFonts w:ascii="Rockwell" w:eastAsia="Rockwell" w:hAnsi="Rockwell" w:cs="David"/>
      <w:sz w:val="22"/>
    </w:rPr>
  </w:style>
  <w:style w:type="paragraph" w:styleId="Date">
    <w:name w:val="Date"/>
    <w:basedOn w:val="Normal"/>
    <w:next w:val="Normal"/>
    <w:semiHidden/>
    <w:locked/>
    <w:pPr>
      <w:spacing w:before="120" w:after="200" w:line="240" w:lineRule="auto"/>
    </w:pPr>
    <w:rPr>
      <w:rFonts w:ascii="Rockwell" w:eastAsia="Rockwell" w:hAnsi="Rockwell"/>
      <w:sz w:val="22"/>
      <w:szCs w:val="22"/>
    </w:rPr>
  </w:style>
  <w:style w:type="character" w:customStyle="1" w:styleId="a18">
    <w:name w:val="תאריך תו"/>
    <w:rPr>
      <w:rFonts w:ascii="Rockwell" w:eastAsia="Rockwell" w:hAnsi="Rockwell" w:cs="David"/>
      <w:sz w:val="22"/>
      <w:szCs w:val="22"/>
    </w:rPr>
  </w:style>
  <w:style w:type="paragraph" w:styleId="Revision">
    <w:name w:val="Revision"/>
    <w:hidden/>
    <w:semiHidden/>
    <w:rPr>
      <w:rFonts w:ascii="Rockwell" w:eastAsia="Rockwell" w:hAnsi="Rockwell" w:cs="David"/>
      <w:sz w:val="22"/>
      <w:szCs w:val="22"/>
    </w:rPr>
  </w:style>
  <w:style w:type="paragraph" w:customStyle="1" w:styleId="tab-name">
    <w:name w:val="tab-name"/>
    <w:basedOn w:val="KOT5"/>
    <w:qFormat/>
    <w:pPr>
      <w:jc w:val="center"/>
      <w:outlineLvl w:val="9"/>
    </w:pPr>
  </w:style>
  <w:style w:type="character" w:customStyle="1" w:styleId="Heading1Char">
    <w:name w:val="Heading 1 Char"/>
    <w:locked/>
    <w:rPr>
      <w:rFonts w:cs="David"/>
      <w:b/>
      <w:bCs/>
      <w:sz w:val="56"/>
      <w:szCs w:val="56"/>
      <w:lang w:eastAsia="he-IL"/>
    </w:rPr>
  </w:style>
  <w:style w:type="character" w:customStyle="1" w:styleId="Heading2Char">
    <w:name w:val="Heading 2 Char"/>
    <w:locked/>
    <w:rPr>
      <w:rFonts w:cs="David"/>
      <w:sz w:val="32"/>
      <w:szCs w:val="32"/>
    </w:rPr>
  </w:style>
  <w:style w:type="character" w:customStyle="1" w:styleId="Heading3Char">
    <w:name w:val="Heading 3 Char"/>
    <w:locked/>
    <w:rPr>
      <w:rFonts w:cs="David"/>
      <w:b/>
      <w:bCs/>
      <w:sz w:val="38"/>
      <w:szCs w:val="36"/>
      <w:lang w:eastAsia="he-IL"/>
    </w:rPr>
  </w:style>
  <w:style w:type="character" w:customStyle="1" w:styleId="Heading4Char">
    <w:name w:val="Heading 4 Char"/>
    <w:locked/>
    <w:rPr>
      <w:rFonts w:cs="David"/>
      <w:b/>
      <w:bCs/>
      <w:sz w:val="22"/>
      <w:szCs w:val="26"/>
      <w:lang w:eastAsia="he-IL"/>
    </w:rPr>
  </w:style>
  <w:style w:type="character" w:customStyle="1" w:styleId="Heading5Char">
    <w:name w:val="Heading 5 Char"/>
    <w:locked/>
    <w:rPr>
      <w:rFonts w:cs="David"/>
      <w:b/>
      <w:bCs/>
      <w:sz w:val="32"/>
      <w:szCs w:val="32"/>
      <w:lang w:eastAsia="he-IL"/>
    </w:rPr>
  </w:style>
  <w:style w:type="character" w:customStyle="1" w:styleId="Heading6Char">
    <w:name w:val="Heading 6 Char"/>
    <w:locked/>
    <w:rPr>
      <w:rFonts w:cs="FrankRuehl"/>
      <w:b/>
      <w:bCs/>
      <w:sz w:val="22"/>
      <w:szCs w:val="22"/>
    </w:rPr>
  </w:style>
  <w:style w:type="character" w:customStyle="1" w:styleId="Heading7Char">
    <w:name w:val="Heading 7 Char"/>
    <w:locked/>
    <w:rPr>
      <w:rFonts w:cs="David"/>
      <w:sz w:val="36"/>
      <w:szCs w:val="36"/>
      <w:lang w:eastAsia="he-IL"/>
    </w:rPr>
  </w:style>
  <w:style w:type="character" w:customStyle="1" w:styleId="Heading8Char">
    <w:name w:val="Heading 8 Char"/>
    <w:locked/>
    <w:rPr>
      <w:rFonts w:cs="David"/>
      <w:b/>
      <w:bCs/>
      <w:sz w:val="36"/>
      <w:szCs w:val="36"/>
      <w:lang w:eastAsia="he-IL"/>
    </w:rPr>
  </w:style>
  <w:style w:type="character" w:customStyle="1" w:styleId="HeaderChar">
    <w:name w:val="Header Char"/>
    <w:locked/>
    <w:rPr>
      <w:rFonts w:cs="David"/>
      <w:sz w:val="24"/>
      <w:szCs w:val="24"/>
    </w:rPr>
  </w:style>
  <w:style w:type="character" w:customStyle="1" w:styleId="FooterChar">
    <w:name w:val="Footer Char"/>
    <w:locked/>
    <w:rPr>
      <w:rFonts w:cs="David"/>
      <w:sz w:val="24"/>
      <w:szCs w:val="24"/>
    </w:rPr>
  </w:style>
  <w:style w:type="character" w:customStyle="1" w:styleId="DateChar">
    <w:name w:val="Date Char"/>
    <w:locked/>
    <w:rPr>
      <w:rFonts w:ascii="Rockwell" w:eastAsia="Rockwell" w:hAnsi="Rockwell" w:cs="David"/>
      <w:sz w:val="22"/>
      <w:szCs w:val="22"/>
    </w:rPr>
  </w:style>
  <w:style w:type="character" w:customStyle="1" w:styleId="FootnoteTextChar">
    <w:name w:val="Footnote Text Char"/>
    <w:locked/>
    <w:rPr>
      <w:rFonts w:cs="David"/>
    </w:rPr>
  </w:style>
  <w:style w:type="character" w:customStyle="1" w:styleId="BalloonTextChar">
    <w:name w:val="Balloon Text Char"/>
    <w:semiHidden/>
    <w:locked/>
    <w:rPr>
      <w:rFonts w:ascii="Tahoma" w:hAnsi="Tahoma" w:cs="Tahoma"/>
      <w:sz w:val="16"/>
      <w:szCs w:val="16"/>
    </w:rPr>
  </w:style>
  <w:style w:type="character" w:customStyle="1" w:styleId="CommentTextChar">
    <w:name w:val="Comment Text Char"/>
    <w:locked/>
    <w:rPr>
      <w:rFonts w:cs="David"/>
    </w:rPr>
  </w:style>
  <w:style w:type="character" w:customStyle="1" w:styleId="CommentSubjectChar">
    <w:name w:val="Comment Subject Char"/>
    <w:semiHidden/>
    <w:locked/>
    <w:rPr>
      <w:rFonts w:cs="David"/>
      <w:b/>
      <w:bCs/>
    </w:rPr>
  </w:style>
  <w:style w:type="character" w:customStyle="1" w:styleId="13">
    <w:name w:val="טקסט הערה תו1"/>
    <w:semiHidden/>
    <w:rPr>
      <w:szCs w:val="20"/>
    </w:rPr>
  </w:style>
  <w:style w:type="character" w:customStyle="1" w:styleId="14">
    <w:name w:val="נושא הערה תו1"/>
    <w:semiHidden/>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numbering" Target="numbering.xml"/><Relationship Id="rId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customXml" Target="../customXml/item2.xml"/><Relationship Id="rId12" Type="http://schemas.openxmlformats.org/officeDocument/2006/relationships/footer" Target="footer2.xml"/><Relationship Id="rId17" Type="http://schemas.openxmlformats.org/officeDocument/2006/relationships/theme" Target="theme/theme1.xml"/><Relationship Id="rId7" Type="http://schemas.openxmlformats.org/officeDocument/2006/relationships/image" Target="media/image3.jpeg"/><Relationship Id="rId16" Type="http://schemas.openxmlformats.org/officeDocument/2006/relationships/footer" Target="footer4.xml"/><Relationship Id="rId2" Type="http://schemas.openxmlformats.org/officeDocument/2006/relationships/settings" Target="settings.xml"/><Relationship Id="rId20" Type="http://schemas.openxmlformats.org/officeDocument/2006/relationships/customXml" Target="../customXml/item1.xml"/><Relationship Id="rId1" Type="http://schemas.openxmlformats.org/officeDocument/2006/relationships/footnotes" Target="footnotes.xml"/><Relationship Id="rId11" Type="http://schemas.openxmlformats.org/officeDocument/2006/relationships/footer" Target="footer1.xml"/><Relationship Id="rId6" Type="http://schemas.openxmlformats.org/officeDocument/2006/relationships/image" Target="media/image2.jpeg"/><Relationship Id="rId15" Type="http://schemas.openxmlformats.org/officeDocument/2006/relationships/header" Target="header4.xml"/><Relationship Id="rId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styles" Target="styles.xml"/><Relationship Id="rId14" Type="http://schemas.openxmlformats.org/officeDocument/2006/relationships/footer" Target="footer3.xml"/><Relationship Id="rId4" Type="http://schemas.openxmlformats.org/officeDocument/2006/relationships/fontTable" Target="fontTable.xml"/><Relationship Id="rId9" Type="http://schemas.openxmlformats.org/officeDocument/2006/relationships/header" Target="head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50AAEA-DD9F-436D-BF41-B41BAE2DC232}"/>
</file>

<file path=customXml/itemProps2.xml><?xml version="1.0" encoding="utf-8"?>
<ds:datastoreItem xmlns:ds="http://schemas.openxmlformats.org/officeDocument/2006/customXml" ds:itemID="{20362203-AEB0-4A03-904A-0C61C885EB30}"/>
</file>

<file path=customXml/itemProps3.xml><?xml version="1.0" encoding="utf-8"?>
<ds:datastoreItem xmlns:ds="http://schemas.openxmlformats.org/officeDocument/2006/customXml" ds:itemID="{418ED6DB-AF92-4F73-A101-94452E6FF67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