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5B7DA9" w:rsidP="005B7DA9">
      <w:pPr>
        <w:pStyle w:val="NAME"/>
        <w:rPr>
          <w:rtl/>
        </w:rPr>
      </w:pPr>
      <w:bookmarkStart w:id="0" w:name="_Toc349122061"/>
      <w:bookmarkStart w:id="1" w:name="_Toc349136480"/>
      <w:bookmarkStart w:id="2" w:name="_Toc352831083"/>
      <w:bookmarkStart w:id="3" w:name="_Toc354324568"/>
      <w:bookmarkStart w:id="4" w:name="_Toc354661923"/>
      <w:r>
        <w:rPr>
          <w:rFonts w:hint="cs"/>
          <w:rtl/>
        </w:rPr>
        <w:t>עיריית פתח תקווה</w:t>
      </w:r>
    </w:p>
    <w:p w:rsidR="00B767A7" w:rsidP="00A63D74">
      <w:pPr>
        <w:pStyle w:val="Footer"/>
        <w:tabs>
          <w:tab w:val="clear" w:pos="4153"/>
          <w:tab w:val="clear" w:pos="8306"/>
        </w:tabs>
        <w:spacing w:after="60" w:line="230" w:lineRule="exact"/>
        <w:jc w:val="both"/>
        <w:rPr>
          <w:rFonts w:cs="FrankRuehl"/>
          <w:szCs w:val="22"/>
          <w:rtl/>
        </w:rPr>
      </w:pPr>
    </w:p>
    <w:p w:rsidR="00B767A7">
      <w:pPr>
        <w:spacing w:after="120" w:line="230" w:lineRule="exact"/>
        <w:jc w:val="both"/>
        <w:rPr>
          <w:rFonts w:cs="FrankRuehl"/>
          <w:szCs w:val="22"/>
          <w:rtl/>
        </w:rPr>
      </w:pPr>
    </w:p>
    <w:p w:rsidR="005B7DA9" w:rsidRPr="005B7DA9" w:rsidP="005B7DA9">
      <w:pPr>
        <w:pStyle w:val="KOT1"/>
        <w:rPr>
          <w:rtl/>
        </w:rPr>
      </w:pPr>
      <w:r>
        <w:rPr>
          <w:rFonts w:hint="cs"/>
          <w:rtl/>
        </w:rPr>
        <w:t xml:space="preserve">מתן תמיכות למוסדות </w:t>
      </w:r>
    </w:p>
    <w:p w:rsidR="00B767A7">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B7DA9">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B767A7">
            <w:pPr>
              <w:pStyle w:val="KOT4"/>
              <w:spacing w:before="120"/>
              <w:jc w:val="center"/>
              <w:rPr>
                <w:rtl/>
              </w:rPr>
            </w:pPr>
            <w:r>
              <w:rPr>
                <w:rFonts w:hint="cs"/>
                <w:rtl/>
              </w:rPr>
              <w:t>רקע כללי</w:t>
            </w:r>
          </w:p>
        </w:tc>
      </w:tr>
      <w:tr w:rsidTr="005B7DA9">
        <w:tblPrEx>
          <w:tblW w:w="6691" w:type="dxa"/>
          <w:jc w:val="center"/>
          <w:tblLook w:val="04A0"/>
        </w:tblPrEx>
        <w:trPr>
          <w:jc w:val="center"/>
        </w:trPr>
        <w:tc>
          <w:tcPr>
            <w:tcW w:w="7018" w:type="dxa"/>
          </w:tcPr>
          <w:p w:rsidR="005B7DA9" w:rsidRPr="005B7DA9" w:rsidP="00A63D74">
            <w:pPr>
              <w:pStyle w:val="PATIAH"/>
              <w:spacing w:before="60" w:line="250" w:lineRule="exact"/>
              <w:rPr>
                <w:sz w:val="22"/>
                <w:szCs w:val="22"/>
                <w:rtl/>
              </w:rPr>
            </w:pPr>
            <w:r w:rsidRPr="005B7DA9">
              <w:rPr>
                <w:rFonts w:hint="cs"/>
                <w:sz w:val="22"/>
                <w:szCs w:val="22"/>
                <w:rtl/>
              </w:rPr>
              <w:t>כ-80% מהתמיכות הכספיות שהעניקה העירייה למוסדות בשנים</w:t>
            </w:r>
            <w:r w:rsidRPr="005B7DA9">
              <w:rPr>
                <w:sz w:val="22"/>
                <w:szCs w:val="22"/>
                <w:rtl/>
              </w:rPr>
              <w:t xml:space="preserve"> </w:t>
            </w:r>
            <w:r w:rsidRPr="005B7DA9">
              <w:rPr>
                <w:rFonts w:hint="cs"/>
                <w:sz w:val="22"/>
                <w:szCs w:val="22"/>
                <w:rtl/>
              </w:rPr>
              <w:t xml:space="preserve">2013-2010 ניתנו למוסדות החינוך המוכרים הלא רשמיים (להלן - מוסדות החינוך המוכרים) ולמוסדות הפטור שבתחום שיפוטה. באותן שנים כ-5.5% מהתמיכות ניתנו לעשרות רבות של עמותות הנוגעות לתחום הדת. בספרי העירייה קוטלגו עמותות אלה בסיווג "ישיבות גבוהות", "כוללים" ו"תרבות תורנית". </w:t>
            </w:r>
          </w:p>
          <w:p w:rsidR="005B7DA9" w:rsidRPr="005B7DA9" w:rsidP="00A63D74">
            <w:pPr>
              <w:pStyle w:val="PATIAH"/>
              <w:spacing w:line="250" w:lineRule="exact"/>
              <w:rPr>
                <w:sz w:val="22"/>
                <w:szCs w:val="22"/>
                <w:rtl/>
              </w:rPr>
            </w:pPr>
            <w:r w:rsidRPr="005B7DA9">
              <w:rPr>
                <w:rFonts w:hint="cs"/>
                <w:sz w:val="22"/>
                <w:szCs w:val="22"/>
                <w:rtl/>
              </w:rPr>
              <w:t>בעקבות הגברת הפיקוח הציבורי על העברות הכספים לעמותות המפעילות מוסדות חינוך מוכרים ומוסדות פטור נקבע בשנת 2006 שהרשויות המקומיות יעבירו את הכספים לעמותות אלה במסגרת הנוהל למתן תמיכות של הרשויות המקומיות למוסדות ציבור הפועלים בתחום שיפוטן (להלן - נוהל תמיכות).</w:t>
            </w:r>
          </w:p>
          <w:p w:rsidR="005B7DA9" w:rsidRPr="005B7DA9" w:rsidP="00A63D74">
            <w:pPr>
              <w:pStyle w:val="PATIAH"/>
              <w:spacing w:line="250" w:lineRule="exact"/>
              <w:rPr>
                <w:sz w:val="22"/>
                <w:szCs w:val="22"/>
                <w:rtl/>
              </w:rPr>
            </w:pPr>
            <w:r w:rsidRPr="005B7DA9">
              <w:rPr>
                <w:rFonts w:hint="cs"/>
                <w:sz w:val="22"/>
                <w:szCs w:val="22"/>
                <w:rtl/>
              </w:rPr>
              <w:t>בתיקון ממאי 2007 לחוק חינוך ממלכתי, התשי"ג-1953, שהוצע בעקבות יזמת חבר הכנסת משולם נהרי, שהיה אז שר במשרד האוצר, נקבע כי על הרשויות המקומיות לתקצב את מוסדות החינוך המוכרים בשיעור של 75% מן התקציב שהן מקצות למוסדות החינוך הרשמיים (להלן - חוק נהרי).</w:t>
            </w:r>
          </w:p>
          <w:p w:rsidR="00B767A7" w:rsidP="00A63D74">
            <w:pPr>
              <w:pStyle w:val="PATIAH"/>
              <w:spacing w:line="250" w:lineRule="exact"/>
              <w:rPr>
                <w:sz w:val="22"/>
                <w:szCs w:val="22"/>
                <w:rtl/>
              </w:rPr>
            </w:pPr>
            <w:r w:rsidRPr="005B7DA9">
              <w:rPr>
                <w:rFonts w:hint="cs"/>
                <w:sz w:val="22"/>
                <w:szCs w:val="22"/>
                <w:rtl/>
              </w:rPr>
              <w:t>חוק נהרי חל רק על כיתות א'-ט' בבתי הספר המוכרים; לפיכך תקצוב עמותות המפעילות גני ילדים, בתי ספר תיכוניים ומוסדות פטור, וכן תקצוב אוכלוסיות כמו תלמידי חוץ ורכיבים שאינם נכללים במסלול חוק נהרי כמו הסעות, חייבים להתבצע על פי נוהל תמיכות (שיקרא להלן גם מסלול תמיכות).</w:t>
            </w:r>
          </w:p>
        </w:tc>
      </w:tr>
    </w:tbl>
    <w:p w:rsidR="00B767A7">
      <w:pPr>
        <w:pStyle w:val="takzir"/>
        <w:jc w:val="cente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A63D74">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25" w:color="00FF00" w:fill="auto"/>
          </w:tcPr>
          <w:p w:rsidR="00B767A7">
            <w:pPr>
              <w:pStyle w:val="KOT4"/>
              <w:spacing w:before="120"/>
              <w:jc w:val="center"/>
              <w:rPr>
                <w:rtl/>
              </w:rPr>
            </w:pPr>
            <w:r>
              <w:rPr>
                <w:rtl/>
              </w:rPr>
              <w:t>פעולות הביקורת</w:t>
            </w:r>
          </w:p>
        </w:tc>
      </w:tr>
      <w:tr w:rsidTr="00A63D74">
        <w:tblPrEx>
          <w:tblW w:w="6691" w:type="dxa"/>
          <w:jc w:val="center"/>
          <w:tblLook w:val="04A0"/>
        </w:tblPrEx>
        <w:trPr>
          <w:jc w:val="center"/>
        </w:trPr>
        <w:tc>
          <w:tcPr>
            <w:tcW w:w="6691" w:type="dxa"/>
          </w:tcPr>
          <w:p w:rsidR="00B767A7" w:rsidP="00A63D74">
            <w:pPr>
              <w:pStyle w:val="takzir"/>
              <w:spacing w:before="60" w:line="230" w:lineRule="exact"/>
              <w:rPr>
                <w:b w:val="0"/>
                <w:bCs w:val="0"/>
                <w:noProof w:val="0"/>
                <w:rtl/>
              </w:rPr>
            </w:pPr>
            <w:r w:rsidRPr="005B7DA9">
              <w:rPr>
                <w:rFonts w:hint="cs"/>
                <w:b w:val="0"/>
                <w:bCs w:val="0"/>
                <w:noProof w:val="0"/>
                <w:rtl/>
              </w:rPr>
              <w:t>בחודשים דצמבר 2013 - מאי 2014 בדק משרד מבקר המדינה את מתן התמיכות למוסדות שסיפקה עיריית פתח תקווה בשנים 2013-2009. הביקורת התמקדה בהליך קבלת ההחלטות בנוגע לאופן ההשתתפות של העירייה בתקציבי מוסדות החינוך המוכרים שבתחום שיפוטה (מסלול חוק נהרי ומסלול התמיכות), בתמיכות בעמותות העוסקות בתרבות תורנית וכן בפיקוח העירייה על השימוש בכספי התמיכות שנתנה.</w:t>
            </w:r>
          </w:p>
        </w:tc>
      </w:tr>
      <w:tr w:rsidTr="00A63D74">
        <w:tblPrEx>
          <w:tblW w:w="6691" w:type="dxa"/>
          <w:jc w:val="center"/>
          <w:shd w:val="pct25" w:color="00FF00" w:fill="auto"/>
          <w:tblLook w:val="04A0"/>
        </w:tblPrEx>
        <w:trPr>
          <w:cantSplit/>
          <w:jc w:val="center"/>
        </w:trPr>
        <w:tc>
          <w:tcPr>
            <w:tcW w:w="6691" w:type="dxa"/>
            <w:shd w:val="pct25" w:color="00FF00" w:fill="auto"/>
          </w:tcPr>
          <w:p w:rsidR="00B767A7">
            <w:pPr>
              <w:pStyle w:val="KOT4"/>
              <w:spacing w:before="120"/>
              <w:jc w:val="center"/>
              <w:rPr>
                <w:rtl/>
              </w:rPr>
            </w:pPr>
            <w:r>
              <w:rPr>
                <w:rFonts w:hint="cs"/>
                <w:rtl/>
              </w:rPr>
              <w:t>הליקויים העיקריים</w:t>
            </w:r>
          </w:p>
        </w:tc>
      </w:tr>
    </w:tbl>
    <w:p w:rsidR="00B767A7">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B7DA9">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B767A7">
            <w:pPr>
              <w:pStyle w:val="KOT5"/>
              <w:spacing w:before="120"/>
              <w:jc w:val="center"/>
              <w:rPr>
                <w:sz w:val="24"/>
                <w:szCs w:val="24"/>
                <w:rtl/>
              </w:rPr>
            </w:pPr>
            <w:r w:rsidRPr="005B7DA9">
              <w:rPr>
                <w:rFonts w:hint="cs"/>
                <w:sz w:val="24"/>
                <w:szCs w:val="24"/>
                <w:rtl/>
              </w:rPr>
              <w:t>קבלת החלטות על התמיכות במוסדות החינוך המוכרים</w:t>
            </w:r>
          </w:p>
        </w:tc>
      </w:tr>
      <w:tr w:rsidTr="005B7DA9">
        <w:tblPrEx>
          <w:tblW w:w="6691" w:type="dxa"/>
          <w:jc w:val="center"/>
          <w:tblLook w:val="04A0"/>
        </w:tblPrEx>
        <w:trPr>
          <w:cantSplit/>
          <w:jc w:val="center"/>
        </w:trPr>
        <w:tc>
          <w:tcPr>
            <w:tcW w:w="6691" w:type="dxa"/>
          </w:tcPr>
          <w:p w:rsidR="005B7DA9" w:rsidRPr="005B7DA9" w:rsidP="005B7DA9">
            <w:pPr>
              <w:pStyle w:val="takzir"/>
              <w:spacing w:before="60"/>
              <w:rPr>
                <w:b w:val="0"/>
                <w:bCs w:val="0"/>
                <w:noProof w:val="0"/>
                <w:rtl/>
              </w:rPr>
            </w:pPr>
            <w:r w:rsidRPr="005B7DA9">
              <w:rPr>
                <w:rFonts w:hint="cs"/>
                <w:b w:val="0"/>
                <w:bCs w:val="0"/>
                <w:noProof w:val="0"/>
                <w:rtl/>
              </w:rPr>
              <w:t>הליך קבלת ההחלטות בעניין התבחינים שלפיהם תקצבה העירייה במסלול חוק נהרי את מוסדות החינוך המוכרים בשיעור העולה על 75% מהתקציב המוקצה למוסדות חינוך רשמיים היה פגום מיסודו, והייתה בו פגיעה בכללי השוויון והמשפט המינהלי.</w:t>
            </w:r>
          </w:p>
          <w:p w:rsidR="005B7DA9" w:rsidRPr="005B7DA9" w:rsidP="005B7DA9">
            <w:pPr>
              <w:pStyle w:val="takzir"/>
              <w:rPr>
                <w:b w:val="0"/>
                <w:bCs w:val="0"/>
                <w:noProof w:val="0"/>
                <w:rtl/>
              </w:rPr>
            </w:pPr>
            <w:r w:rsidRPr="005B7DA9">
              <w:rPr>
                <w:rFonts w:hint="cs"/>
                <w:b w:val="0"/>
                <w:bCs w:val="0"/>
                <w:noProof w:val="0"/>
                <w:rtl/>
              </w:rPr>
              <w:t>העירייה הקצתה כספים למוסדות חינוך מוכרים, במסלול חוק נהרי, על פי מספר התלמידים הכולל בכל מוסד בלי שהפחיתה ממנו את מספר תלמידי החוץ הלומדים במוסד. העירייה תמכה בעמותות המפעילות גני ילדים בחינוך חובה במסלול חוק נהרי אף שמסלול זה נועד רק לבתי ספר. העירייה תקצבה את ההסעות למוסדות החינוך המוכרים במסלול חוק נהרי, אף שמאמצע שנת 2012 העירייה הייתה אמורה לדעת שהמסלול המיועד לנושא זה הוא מסלול התמיכות.</w:t>
            </w:r>
          </w:p>
          <w:p w:rsidR="005B7DA9" w:rsidRPr="005B7DA9" w:rsidP="005B7DA9">
            <w:pPr>
              <w:pStyle w:val="takzir"/>
              <w:rPr>
                <w:b w:val="0"/>
                <w:bCs w:val="0"/>
                <w:noProof w:val="0"/>
                <w:rtl/>
              </w:rPr>
            </w:pPr>
            <w:r w:rsidRPr="005B7DA9">
              <w:rPr>
                <w:rFonts w:hint="cs"/>
                <w:b w:val="0"/>
                <w:bCs w:val="0"/>
                <w:noProof w:val="0"/>
                <w:rtl/>
              </w:rPr>
              <w:t>נמצאו ליקויים של ממש ברישום הפרוטוקולים של הוועדה</w:t>
            </w:r>
            <w:r w:rsidRPr="005B7DA9">
              <w:rPr>
                <w:b w:val="0"/>
                <w:bCs w:val="0"/>
                <w:noProof w:val="0"/>
                <w:rtl/>
              </w:rPr>
              <w:t xml:space="preserve"> </w:t>
            </w:r>
            <w:r w:rsidRPr="005B7DA9">
              <w:rPr>
                <w:rFonts w:hint="cs"/>
                <w:b w:val="0"/>
                <w:bCs w:val="0"/>
                <w:noProof w:val="0"/>
                <w:rtl/>
              </w:rPr>
              <w:t>המקצועית</w:t>
            </w:r>
            <w:r w:rsidRPr="005B7DA9">
              <w:rPr>
                <w:b w:val="0"/>
                <w:bCs w:val="0"/>
                <w:noProof w:val="0"/>
                <w:rtl/>
              </w:rPr>
              <w:t xml:space="preserve"> </w:t>
            </w:r>
            <w:r w:rsidRPr="005B7DA9">
              <w:rPr>
                <w:rFonts w:hint="cs"/>
                <w:b w:val="0"/>
                <w:bCs w:val="0"/>
                <w:noProof w:val="0"/>
                <w:rtl/>
              </w:rPr>
              <w:t>לתמיכות בעיריית פתח תקווה, שהיא הוועדה העירונית הממליצה בפני מועצת העירייה על בקשות לתמיכה כספית במוסדות.</w:t>
            </w:r>
          </w:p>
          <w:p w:rsidR="005B7DA9" w:rsidRPr="005B7DA9" w:rsidP="005B7DA9">
            <w:pPr>
              <w:pStyle w:val="takzir"/>
              <w:rPr>
                <w:b w:val="0"/>
                <w:bCs w:val="0"/>
                <w:noProof w:val="0"/>
                <w:rtl/>
              </w:rPr>
            </w:pPr>
            <w:r w:rsidRPr="005B7DA9">
              <w:rPr>
                <w:rFonts w:hint="cs"/>
                <w:b w:val="0"/>
                <w:bCs w:val="0"/>
                <w:noProof w:val="0"/>
                <w:rtl/>
              </w:rPr>
              <w:t>הוועדה המקצועית לתמיכות אישרה את התבחינים בשנים 2013-2009 באיחור, ובשל כך התבחינים הובאו לאישור מועצת העירייה בלא שניתנה לחברי המועצה האפשרות לבדוק אותם, ולעתים אף ללא חוות דעת של היועצת המשפטית של העירייה.</w:t>
            </w:r>
          </w:p>
          <w:p w:rsidR="005B7DA9" w:rsidRPr="005B7DA9" w:rsidP="005B7DA9">
            <w:pPr>
              <w:pStyle w:val="takzir"/>
              <w:rPr>
                <w:b w:val="0"/>
                <w:bCs w:val="0"/>
                <w:noProof w:val="0"/>
                <w:rtl/>
              </w:rPr>
            </w:pPr>
            <w:r w:rsidRPr="005B7DA9">
              <w:rPr>
                <w:rFonts w:hint="cs"/>
                <w:b w:val="0"/>
                <w:bCs w:val="0"/>
                <w:noProof w:val="0"/>
                <w:rtl/>
              </w:rPr>
              <w:t>הוועדה המקצועית לתמיכות החליטה לשנות תבחינים בלא שנימקה את החלטתה ובלא שהציגה לחברי המועצה את מלוא המידע הרלוונטי בנושא.</w:t>
            </w:r>
          </w:p>
          <w:p w:rsidR="005B7DA9" w:rsidRPr="005B7DA9" w:rsidP="005B7DA9">
            <w:pPr>
              <w:pStyle w:val="takzir"/>
              <w:rPr>
                <w:b w:val="0"/>
                <w:bCs w:val="0"/>
                <w:noProof w:val="0"/>
                <w:rtl/>
              </w:rPr>
            </w:pPr>
            <w:r w:rsidRPr="005B7DA9">
              <w:rPr>
                <w:rFonts w:hint="cs"/>
                <w:b w:val="0"/>
                <w:bCs w:val="0"/>
                <w:noProof w:val="0"/>
                <w:rtl/>
              </w:rPr>
              <w:t>מאמצע שנת 2012 התעלמה הוועדה המקצועית לתמיכות מהנימוקים וההסברים שבחוות הדעת של היועץ המשפטי לממשלה ובפסקי הדין, אשר הבהירו מדוע אין לחייב במסלול חוק נהרי רשות מקומית לתקצב את לימודיהם של תלמידי חוץ הלומדים במוסדות החינוך המוכרים בתחומה</w:t>
            </w:r>
            <w:r>
              <w:rPr>
                <w:b w:val="0"/>
                <w:bCs w:val="0"/>
                <w:noProof w:val="0"/>
                <w:vertAlign w:val="superscript"/>
                <w:rtl/>
              </w:rPr>
              <w:footnoteReference w:id="2"/>
            </w:r>
            <w:r w:rsidRPr="005B7DA9">
              <w:rPr>
                <w:rFonts w:hint="cs"/>
                <w:b w:val="0"/>
                <w:bCs w:val="0"/>
                <w:noProof w:val="0"/>
                <w:rtl/>
              </w:rPr>
              <w:t>.</w:t>
            </w:r>
          </w:p>
          <w:p w:rsidR="00B767A7" w:rsidP="005B7DA9">
            <w:pPr>
              <w:pStyle w:val="takzir"/>
              <w:rPr>
                <w:b w:val="0"/>
                <w:bCs w:val="0"/>
                <w:noProof w:val="0"/>
                <w:rtl/>
              </w:rPr>
            </w:pPr>
            <w:r w:rsidRPr="005B7DA9">
              <w:rPr>
                <w:rFonts w:hint="cs"/>
                <w:b w:val="0"/>
                <w:bCs w:val="0"/>
                <w:noProof w:val="0"/>
                <w:rtl/>
              </w:rPr>
              <w:t>עד שיושמו מסקנות ועדת טרכטנברג</w:t>
            </w:r>
            <w:r>
              <w:rPr>
                <w:b w:val="0"/>
                <w:bCs w:val="0"/>
                <w:noProof w:val="0"/>
                <w:vertAlign w:val="superscript"/>
                <w:rtl/>
              </w:rPr>
              <w:footnoteReference w:id="3"/>
            </w:r>
            <w:r w:rsidRPr="005B7DA9">
              <w:rPr>
                <w:rFonts w:hint="cs"/>
                <w:b w:val="0"/>
                <w:bCs w:val="0"/>
                <w:noProof w:val="0"/>
                <w:rtl/>
              </w:rPr>
              <w:t>, בתחילת שנת הלימודים התשע"ג (ספטמבר 2012), השתתפה העירייה בתקצוב עמותות ממגזרים מסוימים, שהפעילו גני ילדים במסגרת חינוך טרום-חובה, וכן מימנה שיפוצי קיץ ודמי שכירות לאותם גנים, אף שחלק לא מבוטל מאוכלוסיית פתח תקווה שאינו שייך למגזרים הללו שילם עד אותו מועד שכר לימוד מלא עבור גני ילדים פרטיים.</w:t>
            </w:r>
          </w:p>
        </w:tc>
      </w:tr>
    </w:tbl>
    <w:p w:rsidR="00B767A7">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B767A7">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5B7DA9" w:rsidP="00B767A7">
            <w:pPr>
              <w:pStyle w:val="KOT5"/>
              <w:spacing w:before="120"/>
              <w:jc w:val="center"/>
              <w:rPr>
                <w:sz w:val="24"/>
                <w:szCs w:val="24"/>
                <w:rtl/>
              </w:rPr>
            </w:pPr>
            <w:r w:rsidRPr="005B7DA9">
              <w:rPr>
                <w:rFonts w:hint="cs"/>
                <w:sz w:val="24"/>
                <w:szCs w:val="24"/>
                <w:rtl/>
              </w:rPr>
              <w:t>התמיכה במוסדות תרבות תורנית</w:t>
            </w:r>
          </w:p>
        </w:tc>
      </w:tr>
      <w:tr w:rsidTr="00B767A7">
        <w:tblPrEx>
          <w:tblW w:w="6691" w:type="dxa"/>
          <w:jc w:val="center"/>
          <w:tblLook w:val="04A0"/>
        </w:tblPrEx>
        <w:trPr>
          <w:cantSplit/>
          <w:jc w:val="center"/>
        </w:trPr>
        <w:tc>
          <w:tcPr>
            <w:tcW w:w="6691" w:type="dxa"/>
          </w:tcPr>
          <w:p w:rsidR="005B7DA9" w:rsidRPr="005B7DA9" w:rsidP="005B7DA9">
            <w:pPr>
              <w:pStyle w:val="takzir"/>
              <w:spacing w:before="60"/>
              <w:rPr>
                <w:b w:val="0"/>
                <w:bCs w:val="0"/>
                <w:noProof w:val="0"/>
                <w:rtl/>
              </w:rPr>
            </w:pPr>
            <w:r w:rsidRPr="005B7DA9">
              <w:rPr>
                <w:rFonts w:hint="cs"/>
                <w:b w:val="0"/>
                <w:bCs w:val="0"/>
                <w:noProof w:val="0"/>
                <w:rtl/>
              </w:rPr>
              <w:t>העירייה לא נתנה את דעתה לכך כי רואי החשבון שביצעו את הבקרה</w:t>
            </w:r>
            <w:r w:rsidRPr="005B7DA9">
              <w:rPr>
                <w:b w:val="0"/>
                <w:bCs w:val="0"/>
                <w:noProof w:val="0"/>
                <w:rtl/>
              </w:rPr>
              <w:t xml:space="preserve"> </w:t>
            </w:r>
            <w:r w:rsidRPr="005B7DA9">
              <w:rPr>
                <w:rFonts w:hint="cs"/>
                <w:b w:val="0"/>
                <w:bCs w:val="0"/>
                <w:noProof w:val="0"/>
                <w:rtl/>
              </w:rPr>
              <w:t>והפיקוח על פעילותן של העמותות שקיבלו תמיכה בתחום של תרבות תורנית הצהירו כי חלק מהוצאות העמותות האלה שימשו למימון פעילויות בתחום התרבות התורנית, אך לא היו סימוכין לכך בדוחות הכספיים של העמותות ובמאזני הבוחן שלהן.</w:t>
            </w:r>
          </w:p>
          <w:p w:rsidR="005B7DA9" w:rsidP="005B7DA9">
            <w:pPr>
              <w:pStyle w:val="takzir"/>
              <w:rPr>
                <w:b w:val="0"/>
                <w:bCs w:val="0"/>
                <w:noProof w:val="0"/>
                <w:rtl/>
              </w:rPr>
            </w:pPr>
            <w:r w:rsidRPr="005B7DA9">
              <w:rPr>
                <w:rFonts w:hint="cs"/>
                <w:b w:val="0"/>
                <w:bCs w:val="0"/>
                <w:noProof w:val="0"/>
                <w:rtl/>
              </w:rPr>
              <w:t>החלטת</w:t>
            </w:r>
            <w:r w:rsidRPr="005B7DA9">
              <w:rPr>
                <w:b w:val="0"/>
                <w:bCs w:val="0"/>
                <w:noProof w:val="0"/>
                <w:rtl/>
              </w:rPr>
              <w:t xml:space="preserve"> </w:t>
            </w:r>
            <w:r w:rsidRPr="005B7DA9">
              <w:rPr>
                <w:rFonts w:hint="cs"/>
                <w:b w:val="0"/>
                <w:bCs w:val="0"/>
                <w:noProof w:val="0"/>
                <w:rtl/>
              </w:rPr>
              <w:t>הוועדה</w:t>
            </w:r>
            <w:r w:rsidRPr="005B7DA9">
              <w:rPr>
                <w:b w:val="0"/>
                <w:bCs w:val="0"/>
                <w:noProof w:val="0"/>
                <w:rtl/>
              </w:rPr>
              <w:t xml:space="preserve"> המקצועית לתמיכות </w:t>
            </w:r>
            <w:r w:rsidRPr="005B7DA9">
              <w:rPr>
                <w:rFonts w:hint="cs"/>
                <w:b w:val="0"/>
                <w:bCs w:val="0"/>
                <w:noProof w:val="0"/>
                <w:rtl/>
              </w:rPr>
              <w:t>להעביר</w:t>
            </w:r>
            <w:r w:rsidRPr="005B7DA9">
              <w:rPr>
                <w:b w:val="0"/>
                <w:bCs w:val="0"/>
                <w:noProof w:val="0"/>
                <w:rtl/>
              </w:rPr>
              <w:t xml:space="preserve"> </w:t>
            </w:r>
            <w:r w:rsidRPr="005B7DA9">
              <w:rPr>
                <w:rFonts w:hint="cs"/>
                <w:b w:val="0"/>
                <w:bCs w:val="0"/>
                <w:noProof w:val="0"/>
                <w:rtl/>
              </w:rPr>
              <w:t>תמיכות</w:t>
            </w:r>
            <w:r w:rsidRPr="005B7DA9">
              <w:rPr>
                <w:b w:val="0"/>
                <w:bCs w:val="0"/>
                <w:noProof w:val="0"/>
                <w:rtl/>
              </w:rPr>
              <w:t xml:space="preserve"> </w:t>
            </w:r>
            <w:r w:rsidRPr="005B7DA9">
              <w:rPr>
                <w:rFonts w:hint="cs"/>
                <w:b w:val="0"/>
                <w:bCs w:val="0"/>
                <w:noProof w:val="0"/>
                <w:rtl/>
              </w:rPr>
              <w:t>לעמותות</w:t>
            </w:r>
            <w:r w:rsidRPr="005B7DA9">
              <w:rPr>
                <w:b w:val="0"/>
                <w:bCs w:val="0"/>
                <w:noProof w:val="0"/>
                <w:rtl/>
              </w:rPr>
              <w:t xml:space="preserve"> </w:t>
            </w:r>
            <w:r w:rsidRPr="005B7DA9">
              <w:rPr>
                <w:rFonts w:hint="cs"/>
                <w:b w:val="0"/>
                <w:bCs w:val="0"/>
                <w:noProof w:val="0"/>
                <w:rtl/>
              </w:rPr>
              <w:t>שעיקר</w:t>
            </w:r>
            <w:r w:rsidRPr="005B7DA9">
              <w:rPr>
                <w:b w:val="0"/>
                <w:bCs w:val="0"/>
                <w:noProof w:val="0"/>
                <w:rtl/>
              </w:rPr>
              <w:t xml:space="preserve"> </w:t>
            </w:r>
            <w:r w:rsidRPr="005B7DA9">
              <w:rPr>
                <w:rFonts w:hint="cs"/>
                <w:b w:val="0"/>
                <w:bCs w:val="0"/>
                <w:noProof w:val="0"/>
                <w:rtl/>
              </w:rPr>
              <w:t>הוצאותיהן</w:t>
            </w:r>
            <w:r w:rsidRPr="005B7DA9">
              <w:rPr>
                <w:b w:val="0"/>
                <w:bCs w:val="0"/>
                <w:noProof w:val="0"/>
                <w:rtl/>
              </w:rPr>
              <w:t xml:space="preserve"> </w:t>
            </w:r>
            <w:r w:rsidRPr="005B7DA9">
              <w:rPr>
                <w:rFonts w:hint="cs"/>
                <w:b w:val="0"/>
                <w:bCs w:val="0"/>
                <w:noProof w:val="0"/>
                <w:rtl/>
              </w:rPr>
              <w:t>הן</w:t>
            </w:r>
            <w:r w:rsidRPr="005B7DA9">
              <w:rPr>
                <w:b w:val="0"/>
                <w:bCs w:val="0"/>
                <w:noProof w:val="0"/>
                <w:rtl/>
              </w:rPr>
              <w:t xml:space="preserve"> </w:t>
            </w:r>
            <w:r w:rsidRPr="005B7DA9">
              <w:rPr>
                <w:rFonts w:hint="cs"/>
                <w:b w:val="0"/>
                <w:bCs w:val="0"/>
                <w:noProof w:val="0"/>
                <w:rtl/>
              </w:rPr>
              <w:t>עבור מלגות</w:t>
            </w:r>
            <w:r w:rsidRPr="005B7DA9">
              <w:rPr>
                <w:b w:val="0"/>
                <w:bCs w:val="0"/>
                <w:noProof w:val="0"/>
                <w:rtl/>
              </w:rPr>
              <w:t xml:space="preserve"> </w:t>
            </w:r>
            <w:r w:rsidRPr="005B7DA9">
              <w:rPr>
                <w:rFonts w:hint="cs"/>
                <w:b w:val="0"/>
                <w:bCs w:val="0"/>
                <w:noProof w:val="0"/>
                <w:rtl/>
              </w:rPr>
              <w:t>לאברכים</w:t>
            </w:r>
            <w:r w:rsidRPr="005B7DA9">
              <w:rPr>
                <w:b w:val="0"/>
                <w:bCs w:val="0"/>
                <w:noProof w:val="0"/>
                <w:rtl/>
              </w:rPr>
              <w:t xml:space="preserve"> </w:t>
            </w:r>
            <w:r w:rsidRPr="005B7DA9">
              <w:rPr>
                <w:rFonts w:hint="cs"/>
                <w:b w:val="0"/>
                <w:bCs w:val="0"/>
                <w:noProof w:val="0"/>
                <w:rtl/>
              </w:rPr>
              <w:t>הלומדים</w:t>
            </w:r>
            <w:r w:rsidRPr="005B7DA9">
              <w:rPr>
                <w:b w:val="0"/>
                <w:bCs w:val="0"/>
                <w:noProof w:val="0"/>
                <w:rtl/>
              </w:rPr>
              <w:t xml:space="preserve"> </w:t>
            </w:r>
            <w:r w:rsidRPr="005B7DA9">
              <w:rPr>
                <w:rFonts w:hint="cs"/>
                <w:b w:val="0"/>
                <w:bCs w:val="0"/>
                <w:noProof w:val="0"/>
                <w:rtl/>
              </w:rPr>
              <w:t>בכוללים</w:t>
            </w:r>
            <w:r w:rsidRPr="005B7DA9">
              <w:rPr>
                <w:b w:val="0"/>
                <w:bCs w:val="0"/>
                <w:noProof w:val="0"/>
                <w:rtl/>
              </w:rPr>
              <w:t xml:space="preserve"> אינה מתיישבת עם העיקרון העומד ביסוד מתן תמיכה לעמותות שעוסקות בהפצת תרבות תורנית ומורשת ישראל</w:t>
            </w:r>
            <w:r w:rsidRPr="005B7DA9">
              <w:rPr>
                <w:rFonts w:hint="cs"/>
                <w:b w:val="0"/>
                <w:bCs w:val="0"/>
                <w:noProof w:val="0"/>
                <w:rtl/>
              </w:rPr>
              <w:t>,</w:t>
            </w:r>
            <w:r w:rsidRPr="005B7DA9">
              <w:rPr>
                <w:b w:val="0"/>
                <w:bCs w:val="0"/>
                <w:noProof w:val="0"/>
                <w:rtl/>
              </w:rPr>
              <w:t xml:space="preserve"> </w:t>
            </w:r>
            <w:r w:rsidRPr="005B7DA9">
              <w:rPr>
                <w:rFonts w:hint="cs"/>
                <w:b w:val="0"/>
                <w:bCs w:val="0"/>
                <w:noProof w:val="0"/>
                <w:rtl/>
              </w:rPr>
              <w:t>קרי</w:t>
            </w:r>
            <w:r w:rsidRPr="005B7DA9">
              <w:rPr>
                <w:b w:val="0"/>
                <w:bCs w:val="0"/>
                <w:noProof w:val="0"/>
                <w:rtl/>
              </w:rPr>
              <w:t xml:space="preserve"> מתן שיעורים,</w:t>
            </w:r>
            <w:r w:rsidRPr="005B7DA9">
              <w:rPr>
                <w:rFonts w:hint="cs"/>
                <w:b w:val="0"/>
                <w:bCs w:val="0"/>
                <w:noProof w:val="0"/>
                <w:rtl/>
              </w:rPr>
              <w:t xml:space="preserve"> </w:t>
            </w:r>
            <w:r w:rsidRPr="005B7DA9">
              <w:rPr>
                <w:b w:val="0"/>
                <w:bCs w:val="0"/>
                <w:noProof w:val="0"/>
                <w:rtl/>
              </w:rPr>
              <w:t>הרצאות,</w:t>
            </w:r>
            <w:r w:rsidRPr="005B7DA9">
              <w:rPr>
                <w:rFonts w:hint="cs"/>
                <w:b w:val="0"/>
                <w:bCs w:val="0"/>
                <w:noProof w:val="0"/>
                <w:rtl/>
              </w:rPr>
              <w:t xml:space="preserve"> </w:t>
            </w:r>
            <w:r w:rsidRPr="005B7DA9">
              <w:rPr>
                <w:b w:val="0"/>
                <w:bCs w:val="0"/>
                <w:noProof w:val="0"/>
                <w:rtl/>
              </w:rPr>
              <w:t>ארגון סימנרים בנושאי תורה, גמרא, יהדות וכו'.</w:t>
            </w:r>
          </w:p>
        </w:tc>
      </w:tr>
    </w:tbl>
    <w:p w:rsidR="005B7DA9" w:rsidP="005B7DA9">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B767A7">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5B7DA9" w:rsidP="00B767A7">
            <w:pPr>
              <w:pStyle w:val="KOT5"/>
              <w:spacing w:before="120"/>
              <w:jc w:val="center"/>
              <w:rPr>
                <w:sz w:val="24"/>
                <w:szCs w:val="24"/>
                <w:rtl/>
              </w:rPr>
            </w:pPr>
            <w:r w:rsidRPr="005B7DA9">
              <w:rPr>
                <w:rFonts w:hint="cs"/>
                <w:sz w:val="24"/>
                <w:szCs w:val="24"/>
                <w:rtl/>
              </w:rPr>
              <w:t>פיקוח העירייה על השימוש בכספי התמיכות</w:t>
            </w:r>
          </w:p>
        </w:tc>
      </w:tr>
      <w:tr w:rsidTr="00B767A7">
        <w:tblPrEx>
          <w:tblW w:w="6691" w:type="dxa"/>
          <w:jc w:val="center"/>
          <w:tblLook w:val="04A0"/>
        </w:tblPrEx>
        <w:trPr>
          <w:cantSplit/>
          <w:jc w:val="center"/>
        </w:trPr>
        <w:tc>
          <w:tcPr>
            <w:tcW w:w="6691" w:type="dxa"/>
          </w:tcPr>
          <w:p w:rsidR="005B7DA9" w:rsidRPr="005B7DA9" w:rsidP="005B7DA9">
            <w:pPr>
              <w:pStyle w:val="takzir"/>
              <w:spacing w:before="60"/>
              <w:rPr>
                <w:b w:val="0"/>
                <w:bCs w:val="0"/>
                <w:noProof w:val="0"/>
                <w:rtl/>
              </w:rPr>
            </w:pPr>
            <w:r w:rsidRPr="005B7DA9">
              <w:rPr>
                <w:rFonts w:hint="cs"/>
                <w:b w:val="0"/>
                <w:bCs w:val="0"/>
                <w:noProof w:val="0"/>
                <w:rtl/>
              </w:rPr>
              <w:t>הוועדה המקצועית לתמיכות לא קבעה כנדרש כללים שבהתאם להם יתבצע הפיקוח על השימוש בכספי התמיכות, ואף לא קבעה באיזה אופן ידווח לה המפקח, שהוא עובד הרשות המקומית שתפקידו לקיים את הפיקוח, על ממצאי בדיקותיו.</w:t>
            </w:r>
          </w:p>
          <w:p w:rsidR="005B7DA9" w:rsidRPr="005B7DA9" w:rsidP="005B7DA9">
            <w:pPr>
              <w:pStyle w:val="takzir"/>
              <w:rPr>
                <w:b w:val="0"/>
                <w:bCs w:val="0"/>
                <w:noProof w:val="0"/>
                <w:rtl/>
              </w:rPr>
            </w:pPr>
            <w:r w:rsidRPr="005B7DA9">
              <w:rPr>
                <w:rFonts w:hint="cs"/>
                <w:b w:val="0"/>
                <w:bCs w:val="0"/>
                <w:noProof w:val="0"/>
                <w:rtl/>
              </w:rPr>
              <w:t>בשנים 2012 ו-2013 לא בוצעו כלל ביקורות שטח בעמותות בתחום התרבות התורנית, שלא לפי נוהל תמיכות המחייב קיום ביקורים במוסדות אלה ב"תכיפות הראויה בנסיבות העניין".</w:t>
            </w:r>
          </w:p>
          <w:p w:rsidR="005B7DA9" w:rsidP="005B7DA9">
            <w:pPr>
              <w:pStyle w:val="takzir"/>
              <w:rPr>
                <w:b w:val="0"/>
                <w:bCs w:val="0"/>
                <w:noProof w:val="0"/>
                <w:rtl/>
              </w:rPr>
            </w:pPr>
            <w:r w:rsidRPr="005B7DA9">
              <w:rPr>
                <w:rFonts w:hint="cs"/>
                <w:b w:val="0"/>
                <w:bCs w:val="0"/>
                <w:noProof w:val="0"/>
                <w:rtl/>
              </w:rPr>
              <w:t>בדיקת רואי חשבון שמינתה העירייה בשנת 2012 העלתה כי כל כספי התמיכות שהוקצו לפעילות התרבות התורנית משמשים למימון מלגות לאברכים שאינם עוסקים בהנחלת התרבות התורנית</w:t>
            </w:r>
            <w:r w:rsidRPr="005B7DA9">
              <w:rPr>
                <w:b w:val="0"/>
                <w:bCs w:val="0"/>
                <w:noProof w:val="0"/>
                <w:rtl/>
              </w:rPr>
              <w:t xml:space="preserve">. </w:t>
            </w:r>
            <w:r w:rsidRPr="005B7DA9">
              <w:rPr>
                <w:rFonts w:hint="cs"/>
                <w:b w:val="0"/>
                <w:bCs w:val="0"/>
                <w:noProof w:val="0"/>
                <w:rtl/>
              </w:rPr>
              <w:t>העירייה</w:t>
            </w:r>
            <w:r w:rsidRPr="005B7DA9">
              <w:rPr>
                <w:b w:val="0"/>
                <w:bCs w:val="0"/>
                <w:noProof w:val="0"/>
                <w:rtl/>
              </w:rPr>
              <w:t xml:space="preserve"> </w:t>
            </w:r>
            <w:r w:rsidRPr="005B7DA9">
              <w:rPr>
                <w:rFonts w:hint="cs"/>
                <w:b w:val="0"/>
                <w:bCs w:val="0"/>
                <w:noProof w:val="0"/>
                <w:rtl/>
              </w:rPr>
              <w:t>גם</w:t>
            </w:r>
            <w:r w:rsidRPr="005B7DA9">
              <w:rPr>
                <w:b w:val="0"/>
                <w:bCs w:val="0"/>
                <w:noProof w:val="0"/>
                <w:rtl/>
              </w:rPr>
              <w:t xml:space="preserve"> </w:t>
            </w:r>
            <w:r w:rsidRPr="005B7DA9">
              <w:rPr>
                <w:rFonts w:hint="cs"/>
                <w:b w:val="0"/>
                <w:bCs w:val="0"/>
                <w:noProof w:val="0"/>
                <w:rtl/>
              </w:rPr>
              <w:t>התעלמה</w:t>
            </w:r>
            <w:r w:rsidRPr="005B7DA9">
              <w:rPr>
                <w:b w:val="0"/>
                <w:bCs w:val="0"/>
                <w:noProof w:val="0"/>
                <w:rtl/>
              </w:rPr>
              <w:t xml:space="preserve"> </w:t>
            </w:r>
            <w:r w:rsidRPr="005B7DA9">
              <w:rPr>
                <w:rFonts w:hint="cs"/>
                <w:b w:val="0"/>
                <w:bCs w:val="0"/>
                <w:noProof w:val="0"/>
                <w:rtl/>
              </w:rPr>
              <w:t>מקביעתה</w:t>
            </w:r>
            <w:r w:rsidRPr="005B7DA9">
              <w:rPr>
                <w:b w:val="0"/>
                <w:bCs w:val="0"/>
                <w:noProof w:val="0"/>
                <w:rtl/>
              </w:rPr>
              <w:t xml:space="preserve"> </w:t>
            </w:r>
            <w:r w:rsidRPr="005B7DA9">
              <w:rPr>
                <w:rFonts w:hint="cs"/>
                <w:b w:val="0"/>
                <w:bCs w:val="0"/>
                <w:noProof w:val="0"/>
                <w:rtl/>
              </w:rPr>
              <w:t>של</w:t>
            </w:r>
            <w:r w:rsidRPr="005B7DA9">
              <w:rPr>
                <w:b w:val="0"/>
                <w:bCs w:val="0"/>
                <w:noProof w:val="0"/>
                <w:rtl/>
              </w:rPr>
              <w:t xml:space="preserve"> </w:t>
            </w:r>
            <w:r w:rsidRPr="005B7DA9">
              <w:rPr>
                <w:rFonts w:hint="cs"/>
                <w:b w:val="0"/>
                <w:bCs w:val="0"/>
                <w:noProof w:val="0"/>
                <w:rtl/>
              </w:rPr>
              <w:t>היועצת</w:t>
            </w:r>
            <w:r w:rsidRPr="005B7DA9">
              <w:rPr>
                <w:b w:val="0"/>
                <w:bCs w:val="0"/>
                <w:noProof w:val="0"/>
                <w:rtl/>
              </w:rPr>
              <w:t xml:space="preserve"> </w:t>
            </w:r>
            <w:r w:rsidRPr="005B7DA9">
              <w:rPr>
                <w:rFonts w:hint="cs"/>
                <w:b w:val="0"/>
                <w:bCs w:val="0"/>
                <w:noProof w:val="0"/>
                <w:rtl/>
              </w:rPr>
              <w:t>המשפטית</w:t>
            </w:r>
            <w:r w:rsidRPr="005B7DA9">
              <w:rPr>
                <w:b w:val="0"/>
                <w:bCs w:val="0"/>
                <w:noProof w:val="0"/>
                <w:rtl/>
              </w:rPr>
              <w:t xml:space="preserve"> </w:t>
            </w:r>
            <w:r w:rsidRPr="005B7DA9">
              <w:rPr>
                <w:rFonts w:hint="cs"/>
                <w:b w:val="0"/>
                <w:bCs w:val="0"/>
                <w:noProof w:val="0"/>
                <w:rtl/>
              </w:rPr>
              <w:t>שלה</w:t>
            </w:r>
            <w:r w:rsidRPr="005B7DA9">
              <w:rPr>
                <w:b w:val="0"/>
                <w:bCs w:val="0"/>
                <w:noProof w:val="0"/>
                <w:rtl/>
              </w:rPr>
              <w:t xml:space="preserve"> </w:t>
            </w:r>
            <w:r w:rsidRPr="005B7DA9">
              <w:rPr>
                <w:rFonts w:hint="cs"/>
                <w:b w:val="0"/>
                <w:bCs w:val="0"/>
                <w:noProof w:val="0"/>
                <w:rtl/>
              </w:rPr>
              <w:t>כי</w:t>
            </w:r>
            <w:r w:rsidRPr="005B7DA9">
              <w:rPr>
                <w:b w:val="0"/>
                <w:bCs w:val="0"/>
                <w:noProof w:val="0"/>
                <w:rtl/>
              </w:rPr>
              <w:t xml:space="preserve"> נוהג </w:t>
            </w:r>
            <w:r w:rsidRPr="005B7DA9">
              <w:rPr>
                <w:rFonts w:hint="cs"/>
                <w:b w:val="0"/>
                <w:bCs w:val="0"/>
                <w:noProof w:val="0"/>
                <w:rtl/>
              </w:rPr>
              <w:t>זה</w:t>
            </w:r>
            <w:r w:rsidRPr="005B7DA9">
              <w:rPr>
                <w:b w:val="0"/>
                <w:bCs w:val="0"/>
                <w:noProof w:val="0"/>
                <w:rtl/>
              </w:rPr>
              <w:t xml:space="preserve"> </w:t>
            </w:r>
            <w:r w:rsidRPr="005B7DA9">
              <w:rPr>
                <w:rFonts w:hint="cs"/>
                <w:b w:val="0"/>
                <w:bCs w:val="0"/>
                <w:noProof w:val="0"/>
                <w:rtl/>
              </w:rPr>
              <w:t>פסול</w:t>
            </w:r>
            <w:r w:rsidRPr="005B7DA9">
              <w:rPr>
                <w:b w:val="0"/>
                <w:bCs w:val="0"/>
                <w:noProof w:val="0"/>
                <w:rtl/>
              </w:rPr>
              <w:t xml:space="preserve"> </w:t>
            </w:r>
            <w:r w:rsidRPr="005B7DA9">
              <w:rPr>
                <w:rFonts w:hint="cs"/>
                <w:b w:val="0"/>
                <w:bCs w:val="0"/>
                <w:noProof w:val="0"/>
                <w:rtl/>
              </w:rPr>
              <w:t>מיסודו</w:t>
            </w:r>
            <w:r w:rsidRPr="005B7DA9">
              <w:rPr>
                <w:b w:val="0"/>
                <w:bCs w:val="0"/>
                <w:noProof w:val="0"/>
                <w:rtl/>
              </w:rPr>
              <w:t xml:space="preserve"> </w:t>
            </w:r>
            <w:r w:rsidRPr="005B7DA9">
              <w:rPr>
                <w:rFonts w:hint="cs"/>
                <w:b w:val="0"/>
                <w:bCs w:val="0"/>
                <w:noProof w:val="0"/>
                <w:rtl/>
              </w:rPr>
              <w:t>והוא</w:t>
            </w:r>
            <w:r w:rsidRPr="005B7DA9">
              <w:rPr>
                <w:b w:val="0"/>
                <w:bCs w:val="0"/>
                <w:noProof w:val="0"/>
                <w:rtl/>
              </w:rPr>
              <w:t xml:space="preserve"> </w:t>
            </w:r>
            <w:r w:rsidRPr="005B7DA9">
              <w:rPr>
                <w:rFonts w:hint="cs"/>
                <w:b w:val="0"/>
                <w:bCs w:val="0"/>
                <w:noProof w:val="0"/>
                <w:rtl/>
              </w:rPr>
              <w:t>אינו</w:t>
            </w:r>
            <w:r w:rsidRPr="005B7DA9">
              <w:rPr>
                <w:b w:val="0"/>
                <w:bCs w:val="0"/>
                <w:noProof w:val="0"/>
                <w:rtl/>
              </w:rPr>
              <w:t xml:space="preserve"> </w:t>
            </w:r>
            <w:r w:rsidRPr="005B7DA9">
              <w:rPr>
                <w:rFonts w:hint="cs"/>
                <w:b w:val="0"/>
                <w:bCs w:val="0"/>
                <w:noProof w:val="0"/>
                <w:rtl/>
              </w:rPr>
              <w:t>עומד</w:t>
            </w:r>
            <w:r w:rsidRPr="005B7DA9">
              <w:rPr>
                <w:b w:val="0"/>
                <w:bCs w:val="0"/>
                <w:noProof w:val="0"/>
                <w:rtl/>
              </w:rPr>
              <w:t xml:space="preserve"> </w:t>
            </w:r>
            <w:r w:rsidRPr="005B7DA9">
              <w:rPr>
                <w:rFonts w:hint="cs"/>
                <w:b w:val="0"/>
                <w:bCs w:val="0"/>
                <w:noProof w:val="0"/>
                <w:rtl/>
              </w:rPr>
              <w:t>בקנה</w:t>
            </w:r>
            <w:r w:rsidRPr="005B7DA9">
              <w:rPr>
                <w:b w:val="0"/>
                <w:bCs w:val="0"/>
                <w:noProof w:val="0"/>
                <w:rtl/>
              </w:rPr>
              <w:t xml:space="preserve"> </w:t>
            </w:r>
            <w:r w:rsidRPr="005B7DA9">
              <w:rPr>
                <w:rFonts w:hint="cs"/>
                <w:b w:val="0"/>
                <w:bCs w:val="0"/>
                <w:noProof w:val="0"/>
                <w:rtl/>
              </w:rPr>
              <w:t>אחד</w:t>
            </w:r>
            <w:r w:rsidRPr="005B7DA9">
              <w:rPr>
                <w:b w:val="0"/>
                <w:bCs w:val="0"/>
                <w:noProof w:val="0"/>
                <w:rtl/>
              </w:rPr>
              <w:t xml:space="preserve"> </w:t>
            </w:r>
            <w:r w:rsidRPr="005B7DA9">
              <w:rPr>
                <w:rFonts w:hint="cs"/>
                <w:b w:val="0"/>
                <w:bCs w:val="0"/>
                <w:noProof w:val="0"/>
                <w:rtl/>
              </w:rPr>
              <w:t>עם</w:t>
            </w:r>
            <w:r w:rsidRPr="005B7DA9">
              <w:rPr>
                <w:b w:val="0"/>
                <w:bCs w:val="0"/>
                <w:noProof w:val="0"/>
                <w:rtl/>
              </w:rPr>
              <w:t xml:space="preserve"> </w:t>
            </w:r>
            <w:r w:rsidRPr="005B7DA9">
              <w:rPr>
                <w:rFonts w:hint="cs"/>
                <w:b w:val="0"/>
                <w:bCs w:val="0"/>
                <w:noProof w:val="0"/>
                <w:rtl/>
              </w:rPr>
              <w:t>מטרת</w:t>
            </w:r>
            <w:r w:rsidRPr="005B7DA9">
              <w:rPr>
                <w:b w:val="0"/>
                <w:bCs w:val="0"/>
                <w:noProof w:val="0"/>
                <w:rtl/>
              </w:rPr>
              <w:t xml:space="preserve"> </w:t>
            </w:r>
            <w:r w:rsidRPr="005B7DA9">
              <w:rPr>
                <w:rFonts w:hint="cs"/>
                <w:b w:val="0"/>
                <w:bCs w:val="0"/>
                <w:noProof w:val="0"/>
                <w:rtl/>
              </w:rPr>
              <w:t>נוהל</w:t>
            </w:r>
            <w:r w:rsidRPr="005B7DA9">
              <w:rPr>
                <w:b w:val="0"/>
                <w:bCs w:val="0"/>
                <w:noProof w:val="0"/>
                <w:rtl/>
              </w:rPr>
              <w:t xml:space="preserve"> </w:t>
            </w:r>
            <w:r w:rsidRPr="005B7DA9">
              <w:rPr>
                <w:rFonts w:hint="cs"/>
                <w:b w:val="0"/>
                <w:bCs w:val="0"/>
                <w:noProof w:val="0"/>
                <w:rtl/>
              </w:rPr>
              <w:t>תמיכות.</w:t>
            </w:r>
          </w:p>
        </w:tc>
      </w:tr>
    </w:tbl>
    <w:p w:rsidR="005B7DA9" w:rsidP="005B7DA9">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B767A7">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5B7DA9" w:rsidP="00B767A7">
            <w:pPr>
              <w:pStyle w:val="KOT5"/>
              <w:spacing w:before="120"/>
              <w:jc w:val="center"/>
              <w:rPr>
                <w:sz w:val="24"/>
                <w:szCs w:val="24"/>
                <w:rtl/>
              </w:rPr>
            </w:pPr>
            <w:r w:rsidRPr="005B7DA9">
              <w:rPr>
                <w:rFonts w:hint="cs"/>
                <w:sz w:val="24"/>
                <w:szCs w:val="24"/>
                <w:rtl/>
              </w:rPr>
              <w:t>ניגוד עניינים של חבר מועצה</w:t>
            </w:r>
          </w:p>
        </w:tc>
      </w:tr>
      <w:tr w:rsidTr="00B767A7">
        <w:tblPrEx>
          <w:tblW w:w="6691" w:type="dxa"/>
          <w:jc w:val="center"/>
          <w:tblLook w:val="04A0"/>
        </w:tblPrEx>
        <w:trPr>
          <w:cantSplit/>
          <w:jc w:val="center"/>
        </w:trPr>
        <w:tc>
          <w:tcPr>
            <w:tcW w:w="6691" w:type="dxa"/>
          </w:tcPr>
          <w:p w:rsidR="005B7DA9" w:rsidP="00B767A7">
            <w:pPr>
              <w:pStyle w:val="takzir"/>
              <w:spacing w:before="60"/>
              <w:rPr>
                <w:b w:val="0"/>
                <w:bCs w:val="0"/>
                <w:noProof w:val="0"/>
                <w:rtl/>
              </w:rPr>
            </w:pPr>
            <w:r w:rsidRPr="005B7DA9">
              <w:rPr>
                <w:rFonts w:hint="cs"/>
                <w:b w:val="0"/>
                <w:bCs w:val="0"/>
                <w:noProof w:val="0"/>
                <w:rtl/>
              </w:rPr>
              <w:t xml:space="preserve">העירייה לא אסרה על אחד מחברי מועצת העירייה להימנע מלעסוק בנושאים שבהם יש לו ניגוד עניינים </w:t>
            </w:r>
            <w:r w:rsidRPr="005B7DA9">
              <w:rPr>
                <w:b w:val="0"/>
                <w:bCs w:val="0"/>
                <w:noProof w:val="0"/>
                <w:rtl/>
              </w:rPr>
              <w:t>-</w:t>
            </w:r>
            <w:r w:rsidRPr="005B7DA9">
              <w:rPr>
                <w:rFonts w:hint="cs"/>
                <w:b w:val="0"/>
                <w:bCs w:val="0"/>
                <w:noProof w:val="0"/>
                <w:rtl/>
              </w:rPr>
              <w:t xml:space="preserve"> תקצוב מוסדות החינוך המוכרים, לרבות קבלת עדכונים בנושאים אלה והשתתפות בדיונים לא פורמליים העוסקים בהם.</w:t>
            </w:r>
          </w:p>
        </w:tc>
      </w:tr>
    </w:tbl>
    <w:p w:rsidR="005B7DA9" w:rsidP="005B7DA9">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B90414">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804" w:type="dxa"/>
            <w:shd w:val="pct25" w:color="00FF00" w:fill="auto"/>
          </w:tcPr>
          <w:p w:rsidR="00B767A7">
            <w:pPr>
              <w:pStyle w:val="KOT4"/>
              <w:spacing w:before="120"/>
              <w:jc w:val="center"/>
              <w:rPr>
                <w:rtl/>
              </w:rPr>
            </w:pPr>
            <w:r>
              <w:rPr>
                <w:rFonts w:hint="cs"/>
                <w:rtl/>
              </w:rPr>
              <w:t>ה</w:t>
            </w:r>
            <w:r>
              <w:rPr>
                <w:rtl/>
              </w:rPr>
              <w:t xml:space="preserve">המלצות </w:t>
            </w:r>
            <w:r>
              <w:rPr>
                <w:rFonts w:hint="cs"/>
                <w:rtl/>
              </w:rPr>
              <w:t>העיקריות</w:t>
            </w:r>
          </w:p>
        </w:tc>
      </w:tr>
      <w:tr w:rsidTr="00B90414">
        <w:tblPrEx>
          <w:tblW w:w="6691" w:type="dxa"/>
          <w:jc w:val="center"/>
          <w:tblLook w:val="04A0"/>
        </w:tblPrEx>
        <w:trPr>
          <w:cantSplit/>
          <w:jc w:val="center"/>
        </w:trPr>
        <w:tc>
          <w:tcPr>
            <w:tcW w:w="6804" w:type="dxa"/>
          </w:tcPr>
          <w:p w:rsidR="0059662F" w:rsidRPr="005B7DA9" w:rsidP="0059662F">
            <w:pPr>
              <w:pStyle w:val="takzir"/>
              <w:spacing w:before="60"/>
              <w:rPr>
                <w:b w:val="0"/>
                <w:bCs w:val="0"/>
                <w:noProof w:val="0"/>
                <w:rtl/>
              </w:rPr>
            </w:pPr>
            <w:r w:rsidRPr="005B7DA9">
              <w:rPr>
                <w:rFonts w:hint="cs"/>
                <w:b w:val="0"/>
                <w:bCs w:val="0"/>
                <w:noProof w:val="0"/>
                <w:rtl/>
              </w:rPr>
              <w:t>על העירייה לקבוע תבחינים שוויוניים למתן תמיכות לכל מוסדות החינוך המוכרים בשני המסלולים - מגני הילדים עד כיתה י"ב - באופן המביא בחשבון את עמדת המדינה ואת פסקי הדין העוסקים ביחסים בין החינוך הרשמי לחינוך המוכר. על הוועדה המקצועית לתמיכות ומועצת העירייה לדון בתבחינים ולפרסם אותם לידיעת הציבור, בהתאם לעקרון השקיפות.</w:t>
            </w:r>
          </w:p>
          <w:p w:rsidR="0059662F" w:rsidRPr="005B7DA9" w:rsidP="0059662F">
            <w:pPr>
              <w:pStyle w:val="takzir"/>
              <w:rPr>
                <w:b w:val="0"/>
                <w:bCs w:val="0"/>
                <w:noProof w:val="0"/>
                <w:rtl/>
              </w:rPr>
            </w:pPr>
            <w:r w:rsidRPr="005B7DA9">
              <w:rPr>
                <w:rFonts w:hint="cs"/>
                <w:b w:val="0"/>
                <w:bCs w:val="0"/>
                <w:noProof w:val="0"/>
                <w:rtl/>
              </w:rPr>
              <w:t>לנוכח הליקויים שנמצאו בפעילותה של הוועדה המקצועית לתמיכות בתחום התבחינים ובאופן שבו ניהלה מועצת העירייה את הדיונים בנושא, על העירייה לשקול את האפשרות שצוינה בנוהל תמיכות, ולפיה ניתן למנות ועדת משנה של מועצת העירייה לעניין תמיכות, שתעסוק בנושא התבחינים. ועדת משנה כאמור עשויה להגביר את הפיקוח והמעורבות הציבורית בנושא התבחינים ואף לשפר את איכות הטיפול המקצועי בכל הנוגע לאישור התבחינים.</w:t>
            </w:r>
          </w:p>
          <w:p w:rsidR="0059662F" w:rsidRPr="005B7DA9" w:rsidP="0059662F">
            <w:pPr>
              <w:pStyle w:val="takzir"/>
              <w:rPr>
                <w:b w:val="0"/>
                <w:bCs w:val="0"/>
                <w:noProof w:val="0"/>
                <w:rtl/>
              </w:rPr>
            </w:pPr>
            <w:r w:rsidRPr="005B7DA9">
              <w:rPr>
                <w:rFonts w:hint="cs"/>
                <w:b w:val="0"/>
                <w:bCs w:val="0"/>
                <w:noProof w:val="0"/>
                <w:rtl/>
              </w:rPr>
              <w:t>על העירייה להפסיק את מימון ההסעות למוסדות החינוך המוכרים במסלול חוק נהרי. כמו כן עליה לבחון את האפשרות המשפטית לקזז מהכספים הניתנים לאותם מוסדות את הסכומים ששילמה להם בעבר בעד ההסעות.</w:t>
            </w:r>
          </w:p>
          <w:p w:rsidR="00B767A7" w:rsidP="0059662F">
            <w:pPr>
              <w:pStyle w:val="takzir"/>
              <w:rPr>
                <w:b w:val="0"/>
                <w:bCs w:val="0"/>
                <w:rtl/>
              </w:rPr>
            </w:pPr>
            <w:r w:rsidRPr="005B7DA9">
              <w:rPr>
                <w:rFonts w:hint="cs"/>
                <w:b w:val="0"/>
                <w:bCs w:val="0"/>
                <w:noProof w:val="0"/>
                <w:rtl/>
              </w:rPr>
              <w:t>על העירייה והעומד בראשה לרענן את הנחיות היועץ המשפטי לממשלה העוסקות בניגוד עניינים של נבחרי ציבור ולהקפיד כי חברי המועצה יימנעו מכל טיפול בנושא שעלול להביאם לידי ניגוד עניינים, לרבות השתתפות בדיונים פורמליים ואף בפורומים בלתי פורמליים וכן לקבוע הסדר ניגוד עניינים שעליו יחתום כל חבר מועצה שיש לו ניגוד עניינים בנושא כלשהו.</w:t>
            </w:r>
          </w:p>
        </w:tc>
      </w:tr>
    </w:tbl>
    <w:p w:rsidR="00B767A7">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B7DA9">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B767A7">
            <w:pPr>
              <w:pStyle w:val="KOT4"/>
              <w:spacing w:before="120"/>
              <w:jc w:val="center"/>
              <w:rPr>
                <w:rtl/>
              </w:rPr>
            </w:pPr>
            <w:r>
              <w:rPr>
                <w:rtl/>
              </w:rPr>
              <w:t>סיכום</w:t>
            </w:r>
          </w:p>
        </w:tc>
      </w:tr>
      <w:tr w:rsidTr="005B7DA9">
        <w:tblPrEx>
          <w:tblW w:w="6691" w:type="dxa"/>
          <w:jc w:val="center"/>
          <w:tblLook w:val="04A0"/>
        </w:tblPrEx>
        <w:trPr>
          <w:cantSplit/>
          <w:jc w:val="center"/>
        </w:trPr>
        <w:tc>
          <w:tcPr>
            <w:tcW w:w="7018" w:type="dxa"/>
          </w:tcPr>
          <w:p w:rsidR="00B767A7">
            <w:pPr>
              <w:spacing w:after="120"/>
              <w:jc w:val="both"/>
              <w:rPr>
                <w:b/>
                <w:bCs/>
                <w:sz w:val="22"/>
                <w:szCs w:val="22"/>
                <w:rtl/>
                <w:lang w:eastAsia="he-IL"/>
              </w:rPr>
            </w:pPr>
            <w:r w:rsidRPr="0059662F">
              <w:rPr>
                <w:rFonts w:hint="cs"/>
                <w:b/>
                <w:bCs/>
                <w:sz w:val="22"/>
                <w:szCs w:val="22"/>
                <w:rtl/>
                <w:lang w:eastAsia="he-IL"/>
              </w:rPr>
              <w:t>דוח זה העלה ממצאים חמורים בהליך קבלת ההחלטות של עיריית פתח תקווה בנושא ההקצבות לחינוך המוכר ומתן תמיכות למוסדות חינוך מוכרים ולמוסדות דת. על העירייה לנהוג ביתר זהירות בכספי הציבור ולהקפיד על הקצאות באופן שוויוני ושקוף, וכן על העירייה לטפל באופן מידי ביישום ההמלצות העיקריות שהובאו לעיל.</w:t>
            </w:r>
          </w:p>
        </w:tc>
      </w:tr>
    </w:tbl>
    <w:p w:rsidR="00B767A7">
      <w:pPr>
        <w:spacing w:after="120" w:line="230" w:lineRule="exact"/>
        <w:jc w:val="both"/>
        <w:rPr>
          <w:rFonts w:cs="FrankRuehl"/>
          <w:sz w:val="20"/>
          <w:szCs w:val="22"/>
          <w:rtl/>
        </w:rPr>
      </w:pPr>
    </w:p>
    <w:p w:rsidR="00B767A7">
      <w:pPr>
        <w:pStyle w:val="KOT1"/>
        <w:keepNext w:val="0"/>
        <w:spacing w:after="0" w:line="240" w:lineRule="atLeast"/>
        <w:rPr>
          <w:rFonts w:ascii="Arial" w:hAnsi="Arial" w:cs="Arial"/>
          <w:lang w:eastAsia="en-US"/>
        </w:rPr>
      </w:pPr>
      <w:r>
        <w:rPr>
          <w:rFonts w:ascii="Arial" w:hAnsi="Arial" w:cs="Arial"/>
          <w:lang w:eastAsia="en-US"/>
        </w:rPr>
        <w:t>♦</w:t>
      </w:r>
    </w:p>
    <w:p w:rsidR="00B767A7">
      <w:pPr>
        <w:spacing w:after="120" w:line="230" w:lineRule="exact"/>
        <w:jc w:val="both"/>
        <w:rPr>
          <w:rFonts w:cs="FrankRuehl"/>
          <w:sz w:val="20"/>
          <w:szCs w:val="22"/>
          <w:rtl/>
        </w:rPr>
      </w:pPr>
    </w:p>
    <w:p w:rsidR="00B767A7" w:rsidP="0059662F">
      <w:pPr>
        <w:pStyle w:val="KOT4"/>
        <w:rPr>
          <w:rtl/>
        </w:rPr>
      </w:pPr>
      <w:bookmarkEnd w:id="0"/>
      <w:bookmarkEnd w:id="1"/>
      <w:bookmarkEnd w:id="2"/>
      <w:bookmarkEnd w:id="3"/>
      <w:bookmarkEnd w:id="4"/>
      <w:r>
        <w:rPr>
          <w:rtl/>
        </w:rPr>
        <w:br w:type="page"/>
      </w:r>
      <w:r>
        <w:rPr>
          <w:rFonts w:hint="cs"/>
          <w:rtl/>
        </w:rPr>
        <w:t>מבוא</w:t>
      </w:r>
    </w:p>
    <w:p w:rsidR="00B767A7">
      <w:pPr>
        <w:spacing w:after="120" w:line="230" w:lineRule="exact"/>
        <w:jc w:val="both"/>
        <w:rPr>
          <w:rFonts w:cs="FrankRuehl"/>
          <w:b/>
          <w:bCs/>
          <w:color w:val="00B050"/>
          <w:sz w:val="20"/>
          <w:szCs w:val="22"/>
          <w:rtl/>
        </w:rPr>
      </w:pPr>
      <w:r>
        <w:rPr>
          <w:rFonts w:cs="FrankRuehl" w:hint="cs"/>
          <w:sz w:val="20"/>
          <w:szCs w:val="22"/>
          <w:rtl/>
        </w:rPr>
        <w:t>בסוף</w:t>
      </w:r>
      <w:r>
        <w:rPr>
          <w:rFonts w:cs="FrankRuehl"/>
          <w:sz w:val="20"/>
          <w:szCs w:val="22"/>
          <w:rtl/>
        </w:rPr>
        <w:t xml:space="preserve"> </w:t>
      </w:r>
      <w:r>
        <w:rPr>
          <w:rFonts w:cs="FrankRuehl" w:hint="cs"/>
          <w:sz w:val="20"/>
          <w:szCs w:val="22"/>
          <w:rtl/>
        </w:rPr>
        <w:t>שנת</w:t>
      </w:r>
      <w:r>
        <w:rPr>
          <w:rFonts w:cs="FrankRuehl"/>
          <w:sz w:val="20"/>
          <w:szCs w:val="22"/>
          <w:rtl/>
        </w:rPr>
        <w:t xml:space="preserve"> 2012 </w:t>
      </w:r>
      <w:r>
        <w:rPr>
          <w:rFonts w:cs="FrankRuehl" w:hint="cs"/>
          <w:sz w:val="20"/>
          <w:szCs w:val="22"/>
          <w:rtl/>
        </w:rPr>
        <w:t>מנתה אוכלוסיית פתח תקווה כ</w:t>
      </w:r>
      <w:r>
        <w:rPr>
          <w:rFonts w:cs="FrankRuehl"/>
          <w:sz w:val="20"/>
          <w:szCs w:val="22"/>
          <w:rtl/>
        </w:rPr>
        <w:t xml:space="preserve">-214,000 </w:t>
      </w:r>
      <w:r>
        <w:rPr>
          <w:rFonts w:cs="FrankRuehl" w:hint="cs"/>
          <w:sz w:val="20"/>
          <w:szCs w:val="22"/>
          <w:rtl/>
        </w:rPr>
        <w:t>תושבים</w:t>
      </w:r>
      <w:r>
        <w:rPr>
          <w:rFonts w:cs="FrankRuehl"/>
          <w:sz w:val="20"/>
          <w:szCs w:val="22"/>
          <w:rtl/>
        </w:rPr>
        <w:t xml:space="preserve">. </w:t>
      </w:r>
      <w:r>
        <w:rPr>
          <w:rFonts w:cs="FrankRuehl" w:hint="cs"/>
          <w:sz w:val="20"/>
          <w:szCs w:val="22"/>
          <w:rtl/>
        </w:rPr>
        <w:t>תחום</w:t>
      </w:r>
      <w:r>
        <w:rPr>
          <w:rFonts w:cs="FrankRuehl"/>
          <w:sz w:val="20"/>
          <w:szCs w:val="22"/>
          <w:rtl/>
        </w:rPr>
        <w:t xml:space="preserve"> </w:t>
      </w:r>
      <w:r>
        <w:rPr>
          <w:rFonts w:cs="FrankRuehl" w:hint="cs"/>
          <w:sz w:val="20"/>
          <w:szCs w:val="22"/>
          <w:rtl/>
        </w:rPr>
        <w:t>שיפוטה</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העיר</w:t>
      </w:r>
      <w:r>
        <w:rPr>
          <w:rFonts w:cs="FrankRuehl"/>
          <w:sz w:val="20"/>
          <w:szCs w:val="22"/>
          <w:rtl/>
        </w:rPr>
        <w:t xml:space="preserve"> </w:t>
      </w:r>
      <w:r>
        <w:rPr>
          <w:rFonts w:cs="FrankRuehl" w:hint="cs"/>
          <w:sz w:val="20"/>
          <w:szCs w:val="22"/>
          <w:rtl/>
        </w:rPr>
        <w:t>משתרע</w:t>
      </w:r>
      <w:r>
        <w:rPr>
          <w:rFonts w:cs="FrankRuehl"/>
          <w:sz w:val="20"/>
          <w:szCs w:val="22"/>
          <w:rtl/>
        </w:rPr>
        <w:t xml:space="preserve"> </w:t>
      </w:r>
      <w:r>
        <w:rPr>
          <w:rFonts w:cs="FrankRuehl" w:hint="cs"/>
          <w:sz w:val="20"/>
          <w:szCs w:val="22"/>
          <w:rtl/>
        </w:rPr>
        <w:t>על</w:t>
      </w:r>
      <w:r>
        <w:rPr>
          <w:rFonts w:cs="FrankRuehl"/>
          <w:sz w:val="20"/>
          <w:szCs w:val="22"/>
          <w:rtl/>
        </w:rPr>
        <w:t xml:space="preserve"> 35,644 </w:t>
      </w:r>
      <w:r>
        <w:rPr>
          <w:rFonts w:cs="FrankRuehl" w:hint="cs"/>
          <w:sz w:val="20"/>
          <w:szCs w:val="22"/>
          <w:rtl/>
        </w:rPr>
        <w:t>דונם</w:t>
      </w:r>
      <w:r>
        <w:rPr>
          <w:rFonts w:cs="FrankRuehl"/>
          <w:sz w:val="20"/>
          <w:szCs w:val="22"/>
          <w:rtl/>
        </w:rPr>
        <w:t xml:space="preserve">. </w:t>
      </w:r>
      <w:r>
        <w:rPr>
          <w:rFonts w:cs="FrankRuehl" w:hint="cs"/>
          <w:sz w:val="20"/>
          <w:szCs w:val="22"/>
          <w:rtl/>
        </w:rPr>
        <w:t>רמתה</w:t>
      </w:r>
      <w:r>
        <w:rPr>
          <w:rFonts w:cs="FrankRuehl"/>
          <w:sz w:val="20"/>
          <w:szCs w:val="22"/>
          <w:rtl/>
        </w:rPr>
        <w:t xml:space="preserve"> </w:t>
      </w:r>
      <w:r>
        <w:rPr>
          <w:rFonts w:cs="FrankRuehl" w:hint="cs"/>
          <w:sz w:val="20"/>
          <w:szCs w:val="22"/>
          <w:rtl/>
        </w:rPr>
        <w:t>החברתית</w:t>
      </w:r>
      <w:r>
        <w:rPr>
          <w:rFonts w:cs="FrankRuehl"/>
          <w:sz w:val="20"/>
          <w:szCs w:val="22"/>
          <w:rtl/>
        </w:rPr>
        <w:t xml:space="preserve">-כלכלית </w:t>
      </w:r>
      <w:r>
        <w:rPr>
          <w:rFonts w:cs="FrankRuehl" w:hint="cs"/>
          <w:sz w:val="20"/>
          <w:szCs w:val="22"/>
          <w:rtl/>
        </w:rPr>
        <w:t>של</w:t>
      </w:r>
      <w:r>
        <w:rPr>
          <w:rFonts w:cs="FrankRuehl"/>
          <w:sz w:val="20"/>
          <w:szCs w:val="22"/>
          <w:rtl/>
        </w:rPr>
        <w:t xml:space="preserve"> </w:t>
      </w:r>
      <w:r>
        <w:rPr>
          <w:rFonts w:cs="FrankRuehl" w:hint="cs"/>
          <w:sz w:val="20"/>
          <w:szCs w:val="22"/>
          <w:rtl/>
        </w:rPr>
        <w:t>העיר</w:t>
      </w:r>
      <w:r>
        <w:rPr>
          <w:rFonts w:cs="FrankRuehl"/>
          <w:sz w:val="20"/>
          <w:szCs w:val="22"/>
          <w:rtl/>
        </w:rPr>
        <w:t xml:space="preserve"> </w:t>
      </w:r>
      <w:r>
        <w:rPr>
          <w:rFonts w:cs="FrankRuehl" w:hint="cs"/>
          <w:sz w:val="20"/>
          <w:szCs w:val="22"/>
          <w:rtl/>
        </w:rPr>
        <w:t>בינונית</w:t>
      </w:r>
      <w:r>
        <w:rPr>
          <w:rFonts w:cs="FrankRuehl"/>
          <w:sz w:val="20"/>
          <w:szCs w:val="22"/>
          <w:rtl/>
        </w:rPr>
        <w:t xml:space="preserve"> </w:t>
      </w:r>
      <w:r>
        <w:rPr>
          <w:rFonts w:cs="FrankRuehl" w:hint="cs"/>
          <w:sz w:val="20"/>
          <w:szCs w:val="22"/>
          <w:rtl/>
        </w:rPr>
        <w:t>ומעלה</w:t>
      </w:r>
      <w:r>
        <w:rPr>
          <w:rFonts w:cs="FrankRuehl"/>
          <w:sz w:val="20"/>
          <w:szCs w:val="22"/>
          <w:rtl/>
        </w:rPr>
        <w:t>. מר יצחק אוחיון כ</w:t>
      </w:r>
      <w:r>
        <w:rPr>
          <w:rFonts w:cs="FrankRuehl" w:hint="cs"/>
          <w:sz w:val="20"/>
          <w:szCs w:val="22"/>
          <w:rtl/>
        </w:rPr>
        <w:t>י</w:t>
      </w:r>
      <w:r>
        <w:rPr>
          <w:rFonts w:cs="FrankRuehl"/>
          <w:sz w:val="20"/>
          <w:szCs w:val="22"/>
          <w:rtl/>
        </w:rPr>
        <w:t xml:space="preserve">הן </w:t>
      </w:r>
      <w:r>
        <w:rPr>
          <w:rFonts w:cs="FrankRuehl" w:hint="cs"/>
          <w:sz w:val="20"/>
          <w:szCs w:val="22"/>
          <w:rtl/>
        </w:rPr>
        <w:t>בתפקיד</w:t>
      </w:r>
      <w:r>
        <w:rPr>
          <w:rFonts w:cs="FrankRuehl"/>
          <w:sz w:val="20"/>
          <w:szCs w:val="22"/>
          <w:rtl/>
        </w:rPr>
        <w:t xml:space="preserve"> ראש העירייה </w:t>
      </w:r>
      <w:r>
        <w:rPr>
          <w:rFonts w:cs="FrankRuehl" w:hint="cs"/>
          <w:sz w:val="20"/>
          <w:szCs w:val="22"/>
          <w:rtl/>
        </w:rPr>
        <w:t>מסוף</w:t>
      </w:r>
      <w:r>
        <w:rPr>
          <w:rFonts w:cs="FrankRuehl"/>
          <w:sz w:val="20"/>
          <w:szCs w:val="22"/>
          <w:rtl/>
        </w:rPr>
        <w:t xml:space="preserve"> </w:t>
      </w:r>
      <w:r>
        <w:rPr>
          <w:rFonts w:cs="FrankRuehl" w:hint="cs"/>
          <w:sz w:val="20"/>
          <w:szCs w:val="22"/>
          <w:rtl/>
        </w:rPr>
        <w:t>שנת</w:t>
      </w:r>
      <w:r>
        <w:rPr>
          <w:rFonts w:cs="FrankRuehl"/>
          <w:sz w:val="20"/>
          <w:szCs w:val="22"/>
          <w:rtl/>
        </w:rPr>
        <w:t xml:space="preserve"> 1998, </w:t>
      </w:r>
      <w:r>
        <w:rPr>
          <w:rFonts w:cs="FrankRuehl" w:hint="cs"/>
          <w:sz w:val="20"/>
          <w:szCs w:val="22"/>
          <w:rtl/>
        </w:rPr>
        <w:t>ובתחילת</w:t>
      </w:r>
      <w:r>
        <w:rPr>
          <w:rFonts w:cs="FrankRuehl"/>
          <w:sz w:val="20"/>
          <w:szCs w:val="22"/>
          <w:rtl/>
        </w:rPr>
        <w:t xml:space="preserve"> שנת 2013 הגיש את התפטרותו מראשות העירייה ומחברות במועצה. </w:t>
      </w:r>
      <w:r>
        <w:rPr>
          <w:rFonts w:cs="FrankRuehl" w:hint="cs"/>
          <w:sz w:val="20"/>
          <w:szCs w:val="22"/>
          <w:rtl/>
        </w:rPr>
        <w:t>ב</w:t>
      </w:r>
      <w:r>
        <w:rPr>
          <w:rFonts w:cs="FrankRuehl"/>
          <w:sz w:val="20"/>
          <w:szCs w:val="22"/>
          <w:rtl/>
        </w:rPr>
        <w:t xml:space="preserve">-24.1.13 </w:t>
      </w:r>
      <w:r>
        <w:rPr>
          <w:rFonts w:cs="FrankRuehl" w:hint="cs"/>
          <w:sz w:val="20"/>
          <w:szCs w:val="22"/>
          <w:rtl/>
        </w:rPr>
        <w:t>מינתה מועצת</w:t>
      </w:r>
      <w:r>
        <w:rPr>
          <w:rFonts w:cs="FrankRuehl"/>
          <w:sz w:val="20"/>
          <w:szCs w:val="22"/>
          <w:rtl/>
        </w:rPr>
        <w:t xml:space="preserve"> העירייה את </w:t>
      </w:r>
      <w:r>
        <w:rPr>
          <w:rFonts w:cs="FrankRuehl" w:hint="cs"/>
          <w:sz w:val="20"/>
          <w:szCs w:val="22"/>
          <w:rtl/>
        </w:rPr>
        <w:t>מר</w:t>
      </w:r>
      <w:r>
        <w:rPr>
          <w:rFonts w:cs="FrankRuehl"/>
          <w:sz w:val="20"/>
          <w:szCs w:val="22"/>
          <w:rtl/>
        </w:rPr>
        <w:t xml:space="preserve"> </w:t>
      </w:r>
      <w:r>
        <w:rPr>
          <w:rFonts w:cs="FrankRuehl" w:hint="cs"/>
          <w:sz w:val="20"/>
          <w:szCs w:val="22"/>
          <w:rtl/>
        </w:rPr>
        <w:t>אורי</w:t>
      </w:r>
      <w:r>
        <w:rPr>
          <w:rFonts w:cs="FrankRuehl"/>
          <w:sz w:val="20"/>
          <w:szCs w:val="22"/>
          <w:rtl/>
        </w:rPr>
        <w:t xml:space="preserve"> </w:t>
      </w:r>
      <w:r>
        <w:rPr>
          <w:rFonts w:cs="FrankRuehl" w:hint="cs"/>
          <w:sz w:val="20"/>
          <w:szCs w:val="22"/>
          <w:rtl/>
        </w:rPr>
        <w:t>אוהד</w:t>
      </w:r>
      <w:r>
        <w:rPr>
          <w:rFonts w:cs="FrankRuehl"/>
          <w:sz w:val="20"/>
          <w:szCs w:val="22"/>
          <w:rtl/>
        </w:rPr>
        <w:t xml:space="preserve"> </w:t>
      </w:r>
      <w:r>
        <w:rPr>
          <w:rFonts w:cs="FrankRuehl" w:hint="cs"/>
          <w:sz w:val="20"/>
          <w:szCs w:val="22"/>
          <w:rtl/>
        </w:rPr>
        <w:t>לממלא</w:t>
      </w:r>
      <w:r>
        <w:rPr>
          <w:rFonts w:cs="FrankRuehl"/>
          <w:sz w:val="20"/>
          <w:szCs w:val="22"/>
          <w:rtl/>
        </w:rPr>
        <w:t xml:space="preserve"> </w:t>
      </w:r>
      <w:r>
        <w:rPr>
          <w:rFonts w:cs="FrankRuehl" w:hint="cs"/>
          <w:sz w:val="20"/>
          <w:szCs w:val="22"/>
          <w:rtl/>
        </w:rPr>
        <w:t>מקומו</w:t>
      </w:r>
      <w:r>
        <w:rPr>
          <w:rFonts w:cs="FrankRuehl"/>
          <w:sz w:val="20"/>
          <w:szCs w:val="22"/>
          <w:rtl/>
        </w:rPr>
        <w:t xml:space="preserve"> </w:t>
      </w:r>
      <w:r>
        <w:rPr>
          <w:rFonts w:cs="FrankRuehl" w:hint="cs"/>
          <w:sz w:val="20"/>
          <w:szCs w:val="22"/>
          <w:rtl/>
        </w:rPr>
        <w:t>של</w:t>
      </w:r>
      <w:r>
        <w:rPr>
          <w:rFonts w:cs="FrankRuehl"/>
          <w:sz w:val="20"/>
          <w:szCs w:val="22"/>
          <w:rtl/>
        </w:rPr>
        <w:t xml:space="preserve"> ראש העירייה עד 22.10.13 - מועד הבחירות לרשויות המקומיות. ב-5.11.13, בתום הסיבוב השני לבחירות, נבחר מר איציק ברוורמן לתפקיד ראש העירייה.</w:t>
      </w:r>
      <w:r>
        <w:rPr>
          <w:rFonts w:cs="FrankRuehl" w:hint="cs"/>
          <w:sz w:val="20"/>
          <w:szCs w:val="22"/>
          <w:rtl/>
        </w:rPr>
        <w:t xml:space="preserve"> בסוף שנת 2012 היה </w:t>
      </w:r>
      <w:r>
        <w:rPr>
          <w:rFonts w:cs="FrankRuehl"/>
          <w:sz w:val="20"/>
          <w:szCs w:val="22"/>
          <w:rtl/>
        </w:rPr>
        <w:t>הגירעון הנצבר של</w:t>
      </w:r>
      <w:r>
        <w:rPr>
          <w:rFonts w:cs="FrankRuehl" w:hint="cs"/>
          <w:sz w:val="20"/>
          <w:szCs w:val="22"/>
          <w:rtl/>
        </w:rPr>
        <w:t xml:space="preserve"> </w:t>
      </w:r>
      <w:r>
        <w:rPr>
          <w:rFonts w:cs="FrankRuehl"/>
          <w:sz w:val="20"/>
          <w:szCs w:val="22"/>
          <w:rtl/>
        </w:rPr>
        <w:t>ה</w:t>
      </w:r>
      <w:r>
        <w:rPr>
          <w:rFonts w:cs="FrankRuehl" w:hint="cs"/>
          <w:sz w:val="20"/>
          <w:szCs w:val="22"/>
          <w:rtl/>
        </w:rPr>
        <w:t>עירייה</w:t>
      </w:r>
      <w:r>
        <w:rPr>
          <w:rFonts w:cs="FrankRuehl"/>
          <w:sz w:val="20"/>
          <w:szCs w:val="22"/>
          <w:rtl/>
        </w:rPr>
        <w:t xml:space="preserve"> כ-177.5 מיליון ש"ח.</w:t>
      </w:r>
    </w:p>
    <w:p w:rsidR="00B767A7">
      <w:pPr>
        <w:spacing w:after="120" w:line="230" w:lineRule="exact"/>
        <w:jc w:val="both"/>
        <w:rPr>
          <w:rFonts w:cs="FrankRuehl"/>
          <w:sz w:val="20"/>
          <w:szCs w:val="22"/>
          <w:rtl/>
        </w:rPr>
      </w:pPr>
      <w:r>
        <w:rPr>
          <w:rFonts w:cs="FrankRuehl" w:hint="cs"/>
          <w:sz w:val="20"/>
          <w:szCs w:val="22"/>
          <w:rtl/>
        </w:rPr>
        <w:t>עיריית פתח תקווה נוהגת להעניק תמיכות למוסדות שונים הפועלים בתחום שיפוטה בתחומי החינוך, הספורט ועוד. תמיכות אלה ניתנות למוסדות נוסף על הכספים שמשרדי הממשלה הנוגעים בדבר מעבירים בדרך כלל ישירות לאותם מוסדות.</w:t>
      </w:r>
    </w:p>
    <w:p w:rsidR="00B767A7" w:rsidRPr="00B90414">
      <w:pPr>
        <w:spacing w:after="120" w:line="230" w:lineRule="exact"/>
        <w:jc w:val="both"/>
        <w:rPr>
          <w:rFonts w:cs="FrankRuehl"/>
          <w:b/>
          <w:bCs/>
          <w:sz w:val="20"/>
          <w:szCs w:val="22"/>
          <w:rtl/>
        </w:rPr>
      </w:pPr>
      <w:r w:rsidRPr="00B90414">
        <w:rPr>
          <w:rFonts w:cs="FrankRuehl" w:hint="cs"/>
          <w:sz w:val="20"/>
          <w:szCs w:val="22"/>
          <w:rtl/>
        </w:rPr>
        <w:t>ב</w:t>
      </w:r>
      <w:r w:rsidRPr="00B90414" w:rsidR="00A63D74">
        <w:rPr>
          <w:rFonts w:cs="FrankRuehl" w:hint="cs"/>
          <w:sz w:val="20"/>
          <w:szCs w:val="22"/>
          <w:rtl/>
        </w:rPr>
        <w:t>לוח</w:t>
      </w:r>
      <w:r w:rsidRPr="00B90414">
        <w:rPr>
          <w:rFonts w:cs="FrankRuehl" w:hint="cs"/>
          <w:sz w:val="20"/>
          <w:szCs w:val="22"/>
          <w:rtl/>
        </w:rPr>
        <w:t xml:space="preserve"> שלהלן מובאים נתונים על היקף ההשתתפות של העירייה בתקציבי מוסדות החינוך המוכרים והתמיכות הכספיות הישירות שהעבירה העירייה לשאר המוסדות שבתחום שיפוטה, לפי סוגי המוסדות (הנתונים באלפי ש"ח): </w:t>
      </w:r>
    </w:p>
    <w:p w:rsidR="00B767A7" w:rsidP="00A63D74">
      <w:pPr>
        <w:pStyle w:val="tab-name"/>
        <w:rPr>
          <w:rtl/>
        </w:rPr>
      </w:pPr>
      <w:r w:rsidRPr="00B90414">
        <w:rPr>
          <w:rFonts w:hint="cs"/>
          <w:b w:val="0"/>
          <w:bCs w:val="0"/>
          <w:sz w:val="20"/>
          <w:szCs w:val="20"/>
          <w:rtl/>
        </w:rPr>
        <w:t>לוח 1</w:t>
      </w:r>
      <w:r w:rsidRPr="00A63D74">
        <w:rPr>
          <w:b w:val="0"/>
          <w:bCs w:val="0"/>
          <w:sz w:val="20"/>
          <w:szCs w:val="20"/>
          <w:rtl/>
        </w:rPr>
        <w:br/>
      </w:r>
      <w:r>
        <w:rPr>
          <w:rFonts w:hint="cs"/>
          <w:rtl/>
        </w:rPr>
        <w:t>השתתפות העירייה בתקציבי מוסדות החינוך המוכרים ותמיכות במוסדות</w:t>
      </w:r>
      <w:r>
        <w:rPr>
          <w:rFonts w:hint="cs"/>
          <w:rtl/>
        </w:rPr>
        <w:t>,</w:t>
      </w:r>
      <w:r>
        <w:rPr>
          <w:rFonts w:hint="cs"/>
          <w:rtl/>
        </w:rPr>
        <w:t xml:space="preserve"> </w:t>
      </w:r>
      <w:r>
        <w:rPr>
          <w:rtl/>
        </w:rPr>
        <w:br/>
      </w:r>
      <w:r>
        <w:rPr>
          <w:rFonts w:hint="cs"/>
          <w:rtl/>
        </w:rPr>
        <w:t>2013-2010</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
      <w:tblGrid>
        <w:gridCol w:w="1523"/>
        <w:gridCol w:w="1291"/>
        <w:gridCol w:w="1292"/>
        <w:gridCol w:w="1292"/>
        <w:gridCol w:w="1293"/>
      </w:tblGrid>
      <w:tr w:rsidTr="00B90414">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Ex>
        <w:trPr>
          <w:jc w:val="center"/>
        </w:trPr>
        <w:tc>
          <w:tcPr>
            <w:tcW w:w="1509" w:type="dxa"/>
            <w:tcBorders>
              <w:top w:val="single" w:sz="12" w:space="0" w:color="auto"/>
              <w:bottom w:val="single" w:sz="12" w:space="0" w:color="auto"/>
            </w:tcBorders>
            <w:shd w:val="pct10" w:color="auto" w:fill="auto"/>
          </w:tcPr>
          <w:p w:rsidR="00A63D74" w:rsidRPr="00A63D74" w:rsidP="00A63D74">
            <w:pPr>
              <w:spacing w:before="40" w:after="40" w:line="220" w:lineRule="exact"/>
              <w:jc w:val="center"/>
              <w:rPr>
                <w:rFonts w:eastAsia="Calibri" w:cs="FrankRuehl"/>
                <w:sz w:val="20"/>
                <w:szCs w:val="20"/>
                <w:rtl/>
              </w:rPr>
            </w:pPr>
          </w:p>
        </w:tc>
        <w:tc>
          <w:tcPr>
            <w:tcW w:w="1279" w:type="dxa"/>
            <w:tcBorders>
              <w:top w:val="single" w:sz="12" w:space="0" w:color="auto"/>
              <w:bottom w:val="single" w:sz="12" w:space="0" w:color="auto"/>
            </w:tcBorders>
            <w:shd w:val="pct10" w:color="auto" w:fill="auto"/>
          </w:tcPr>
          <w:p w:rsidR="00A63D74" w:rsidRPr="00A63D74" w:rsidP="00A63D74">
            <w:pPr>
              <w:spacing w:before="40" w:after="40" w:line="220" w:lineRule="exact"/>
              <w:jc w:val="center"/>
              <w:rPr>
                <w:rFonts w:eastAsia="Calibri"/>
                <w:sz w:val="20"/>
                <w:szCs w:val="20"/>
              </w:rPr>
            </w:pPr>
            <w:r w:rsidRPr="00A63D74">
              <w:rPr>
                <w:rFonts w:eastAsia="Calibri" w:cs="FrankRuehl" w:hint="cs"/>
                <w:sz w:val="20"/>
                <w:szCs w:val="20"/>
                <w:rtl/>
              </w:rPr>
              <w:t>2010</w:t>
            </w:r>
          </w:p>
        </w:tc>
        <w:tc>
          <w:tcPr>
            <w:tcW w:w="1279" w:type="dxa"/>
            <w:tcBorders>
              <w:top w:val="single" w:sz="12" w:space="0" w:color="auto"/>
              <w:bottom w:val="single" w:sz="12" w:space="0" w:color="auto"/>
            </w:tcBorders>
            <w:shd w:val="pct10" w:color="auto" w:fill="auto"/>
          </w:tcPr>
          <w:p w:rsidR="00A63D74" w:rsidRPr="00A63D74" w:rsidP="00A63D74">
            <w:pPr>
              <w:spacing w:before="40" w:after="40" w:line="220" w:lineRule="exact"/>
              <w:jc w:val="center"/>
              <w:rPr>
                <w:rFonts w:eastAsia="Calibri"/>
                <w:sz w:val="20"/>
                <w:szCs w:val="20"/>
              </w:rPr>
            </w:pPr>
            <w:r w:rsidRPr="00A63D74">
              <w:rPr>
                <w:rFonts w:eastAsia="Calibri" w:cs="FrankRuehl" w:hint="cs"/>
                <w:sz w:val="20"/>
                <w:szCs w:val="20"/>
                <w:rtl/>
              </w:rPr>
              <w:t>2011</w:t>
            </w:r>
          </w:p>
        </w:tc>
        <w:tc>
          <w:tcPr>
            <w:tcW w:w="1279" w:type="dxa"/>
            <w:tcBorders>
              <w:top w:val="single" w:sz="12" w:space="0" w:color="auto"/>
              <w:bottom w:val="single" w:sz="12" w:space="0" w:color="auto"/>
            </w:tcBorders>
            <w:shd w:val="pct10" w:color="auto" w:fill="auto"/>
          </w:tcPr>
          <w:p w:rsidR="00A63D74" w:rsidRPr="00A63D74" w:rsidP="00A63D74">
            <w:pPr>
              <w:spacing w:before="40" w:after="40" w:line="220" w:lineRule="exact"/>
              <w:jc w:val="center"/>
              <w:rPr>
                <w:rFonts w:eastAsia="Calibri"/>
                <w:sz w:val="20"/>
                <w:szCs w:val="20"/>
              </w:rPr>
            </w:pPr>
            <w:r w:rsidRPr="00A63D74">
              <w:rPr>
                <w:rFonts w:eastAsia="Calibri" w:cs="FrankRuehl" w:hint="cs"/>
                <w:sz w:val="20"/>
                <w:szCs w:val="20"/>
                <w:rtl/>
              </w:rPr>
              <w:t>2012</w:t>
            </w:r>
          </w:p>
        </w:tc>
        <w:tc>
          <w:tcPr>
            <w:tcW w:w="1280" w:type="dxa"/>
            <w:tcBorders>
              <w:top w:val="single" w:sz="12" w:space="0" w:color="auto"/>
              <w:bottom w:val="single" w:sz="12" w:space="0" w:color="auto"/>
            </w:tcBorders>
            <w:shd w:val="pct10" w:color="auto" w:fill="auto"/>
          </w:tcPr>
          <w:p w:rsidR="00A63D74" w:rsidRPr="00A63D74" w:rsidP="00A63D74">
            <w:pPr>
              <w:spacing w:before="40" w:after="40" w:line="220" w:lineRule="exact"/>
              <w:jc w:val="center"/>
              <w:rPr>
                <w:rFonts w:eastAsia="Calibri"/>
                <w:sz w:val="20"/>
                <w:szCs w:val="20"/>
              </w:rPr>
            </w:pPr>
            <w:r w:rsidRPr="00A63D74">
              <w:rPr>
                <w:rFonts w:eastAsia="Calibri" w:cs="FrankRuehl" w:hint="cs"/>
                <w:sz w:val="20"/>
                <w:szCs w:val="20"/>
                <w:rtl/>
              </w:rPr>
              <w:t>2013</w:t>
            </w:r>
          </w:p>
        </w:tc>
      </w:tr>
      <w:tr w:rsidTr="00B90414">
        <w:tblPrEx>
          <w:tblW w:w="6691" w:type="dxa"/>
          <w:jc w:val="center"/>
          <w:tblLook w:val="04A0"/>
        </w:tblPrEx>
        <w:trPr>
          <w:jc w:val="center"/>
        </w:trPr>
        <w:tc>
          <w:tcPr>
            <w:tcW w:w="1509" w:type="dxa"/>
            <w:tcBorders>
              <w:top w:val="single" w:sz="12" w:space="0" w:color="auto"/>
            </w:tcBorders>
            <w:hideMark/>
          </w:tcPr>
          <w:p w:rsidR="005B7DA9" w:rsidRPr="00A63D74" w:rsidP="00A63D74">
            <w:pPr>
              <w:spacing w:before="40" w:after="40" w:line="220" w:lineRule="exact"/>
              <w:rPr>
                <w:rFonts w:eastAsia="Calibri"/>
                <w:sz w:val="20"/>
                <w:szCs w:val="20"/>
              </w:rPr>
            </w:pPr>
            <w:r w:rsidRPr="00A63D74">
              <w:rPr>
                <w:rFonts w:eastAsia="Calibri" w:cs="FrankRuehl" w:hint="cs"/>
                <w:sz w:val="20"/>
                <w:szCs w:val="20"/>
                <w:rtl/>
              </w:rPr>
              <w:t>מוסדות חינוך*</w:t>
            </w:r>
          </w:p>
        </w:tc>
        <w:tc>
          <w:tcPr>
            <w:tcW w:w="1279" w:type="dxa"/>
            <w:tcBorders>
              <w:top w:val="single" w:sz="12" w:space="0" w:color="auto"/>
            </w:tcBorders>
          </w:tcPr>
          <w:p w:rsidR="005B7DA9" w:rsidRPr="00A63D74" w:rsidP="00A63D74">
            <w:pPr>
              <w:spacing w:before="40" w:after="40" w:line="220" w:lineRule="exact"/>
              <w:ind w:left="227"/>
              <w:rPr>
                <w:rFonts w:eastAsia="Calibri"/>
                <w:sz w:val="20"/>
                <w:szCs w:val="20"/>
              </w:rPr>
            </w:pPr>
            <w:r w:rsidRPr="00A63D74">
              <w:rPr>
                <w:rFonts w:eastAsia="Calibri" w:cs="FrankRuehl" w:hint="cs"/>
                <w:sz w:val="20"/>
                <w:szCs w:val="20"/>
                <w:rtl/>
              </w:rPr>
              <w:t>36,181</w:t>
            </w:r>
          </w:p>
        </w:tc>
        <w:tc>
          <w:tcPr>
            <w:tcW w:w="1279" w:type="dxa"/>
            <w:tcBorders>
              <w:top w:val="single" w:sz="12" w:space="0" w:color="auto"/>
            </w:tcBorders>
          </w:tcPr>
          <w:p w:rsidR="005B7DA9" w:rsidRPr="00A63D74" w:rsidP="00A63D74">
            <w:pPr>
              <w:spacing w:before="40" w:after="40" w:line="220" w:lineRule="exact"/>
              <w:ind w:left="227"/>
              <w:rPr>
                <w:rFonts w:eastAsia="Calibri"/>
                <w:sz w:val="20"/>
                <w:szCs w:val="20"/>
              </w:rPr>
            </w:pPr>
            <w:r w:rsidRPr="00A63D74">
              <w:rPr>
                <w:rFonts w:eastAsia="Calibri" w:cs="FrankRuehl" w:hint="cs"/>
                <w:sz w:val="20"/>
                <w:szCs w:val="20"/>
                <w:rtl/>
              </w:rPr>
              <w:t>41,062</w:t>
            </w:r>
          </w:p>
        </w:tc>
        <w:tc>
          <w:tcPr>
            <w:tcW w:w="1279" w:type="dxa"/>
            <w:tcBorders>
              <w:top w:val="single" w:sz="12" w:space="0" w:color="auto"/>
            </w:tcBorders>
          </w:tcPr>
          <w:p w:rsidR="005B7DA9" w:rsidRPr="00A63D74" w:rsidP="00A63D74">
            <w:pPr>
              <w:pStyle w:val="FootnoteText"/>
              <w:spacing w:before="40" w:after="40" w:line="220" w:lineRule="exact"/>
              <w:ind w:left="227"/>
              <w:rPr>
                <w:rFonts w:eastAsia="Calibri" w:cs="FrankRuehl"/>
              </w:rPr>
            </w:pPr>
            <w:r w:rsidRPr="00A63D74">
              <w:rPr>
                <w:rFonts w:eastAsia="Calibri" w:cs="FrankRuehl" w:hint="cs"/>
                <w:rtl/>
              </w:rPr>
              <w:t>41,279</w:t>
            </w:r>
          </w:p>
        </w:tc>
        <w:tc>
          <w:tcPr>
            <w:tcW w:w="1280" w:type="dxa"/>
            <w:tcBorders>
              <w:top w:val="single" w:sz="12" w:space="0" w:color="auto"/>
            </w:tcBorders>
          </w:tcPr>
          <w:p w:rsidR="005B7DA9" w:rsidRPr="00A63D74" w:rsidP="00A63D74">
            <w:pPr>
              <w:spacing w:before="40" w:after="40" w:line="220" w:lineRule="exact"/>
              <w:ind w:left="227"/>
              <w:rPr>
                <w:rFonts w:eastAsia="Calibri"/>
                <w:sz w:val="20"/>
                <w:szCs w:val="20"/>
              </w:rPr>
            </w:pPr>
            <w:r w:rsidRPr="00A63D74">
              <w:rPr>
                <w:rFonts w:eastAsia="Calibri" w:cs="FrankRuehl" w:hint="cs"/>
                <w:sz w:val="20"/>
                <w:szCs w:val="20"/>
                <w:rtl/>
              </w:rPr>
              <w:t>41,390</w:t>
            </w:r>
          </w:p>
        </w:tc>
      </w:tr>
      <w:tr w:rsidTr="00B90414">
        <w:tblPrEx>
          <w:tblW w:w="6691" w:type="dxa"/>
          <w:jc w:val="center"/>
          <w:tblLook w:val="04A0"/>
        </w:tblPrEx>
        <w:trPr>
          <w:jc w:val="center"/>
        </w:trPr>
        <w:tc>
          <w:tcPr>
            <w:tcW w:w="1509" w:type="dxa"/>
            <w:hideMark/>
          </w:tcPr>
          <w:p w:rsidR="005B7DA9" w:rsidRPr="00A63D74" w:rsidP="00A63D74">
            <w:pPr>
              <w:spacing w:before="40" w:after="40" w:line="220" w:lineRule="exact"/>
              <w:rPr>
                <w:rFonts w:eastAsia="Calibri"/>
                <w:sz w:val="20"/>
                <w:szCs w:val="20"/>
              </w:rPr>
            </w:pPr>
            <w:r w:rsidRPr="00A63D74">
              <w:rPr>
                <w:rFonts w:eastAsia="Calibri" w:cs="FrankRuehl" w:hint="cs"/>
                <w:sz w:val="20"/>
                <w:szCs w:val="20"/>
                <w:rtl/>
              </w:rPr>
              <w:t>מוסדות דת**</w:t>
            </w:r>
          </w:p>
        </w:tc>
        <w:tc>
          <w:tcPr>
            <w:tcW w:w="1279" w:type="dxa"/>
          </w:tcPr>
          <w:p w:rsidR="005B7DA9" w:rsidRPr="00A63D74" w:rsidP="00A63D74">
            <w:pPr>
              <w:spacing w:before="40" w:after="40" w:line="220" w:lineRule="exact"/>
              <w:ind w:left="227"/>
              <w:rPr>
                <w:rFonts w:eastAsia="Calibri"/>
                <w:sz w:val="20"/>
                <w:szCs w:val="20"/>
              </w:rPr>
            </w:pPr>
            <w:r w:rsidRPr="00A63D74">
              <w:rPr>
                <w:rFonts w:eastAsia="Calibri" w:cs="FrankRuehl" w:hint="cs"/>
                <w:sz w:val="20"/>
                <w:szCs w:val="20"/>
                <w:rtl/>
              </w:rPr>
              <w:t>3,061</w:t>
            </w:r>
          </w:p>
        </w:tc>
        <w:tc>
          <w:tcPr>
            <w:tcW w:w="1279" w:type="dxa"/>
          </w:tcPr>
          <w:p w:rsidR="005B7DA9" w:rsidRPr="00A63D74" w:rsidP="00A63D74">
            <w:pPr>
              <w:spacing w:before="40" w:after="40" w:line="220" w:lineRule="exact"/>
              <w:ind w:left="227"/>
              <w:rPr>
                <w:rFonts w:eastAsia="Calibri"/>
                <w:sz w:val="20"/>
                <w:szCs w:val="20"/>
              </w:rPr>
            </w:pPr>
            <w:r w:rsidRPr="00A63D74">
              <w:rPr>
                <w:rFonts w:eastAsia="Calibri" w:cs="FrankRuehl" w:hint="cs"/>
                <w:sz w:val="20"/>
                <w:szCs w:val="20"/>
                <w:rtl/>
              </w:rPr>
              <w:t>3,039</w:t>
            </w:r>
          </w:p>
        </w:tc>
        <w:tc>
          <w:tcPr>
            <w:tcW w:w="1279" w:type="dxa"/>
          </w:tcPr>
          <w:p w:rsidR="005B7DA9" w:rsidRPr="00A63D74" w:rsidP="00A63D74">
            <w:pPr>
              <w:spacing w:before="40" w:after="40" w:line="220" w:lineRule="exact"/>
              <w:ind w:left="227"/>
              <w:rPr>
                <w:rFonts w:eastAsia="Calibri"/>
                <w:sz w:val="20"/>
                <w:szCs w:val="20"/>
              </w:rPr>
            </w:pPr>
            <w:r w:rsidRPr="00A63D74">
              <w:rPr>
                <w:rFonts w:eastAsia="Calibri" w:cs="FrankRuehl" w:hint="cs"/>
                <w:sz w:val="20"/>
                <w:szCs w:val="20"/>
                <w:rtl/>
              </w:rPr>
              <w:t>2,795</w:t>
            </w:r>
          </w:p>
        </w:tc>
        <w:tc>
          <w:tcPr>
            <w:tcW w:w="1280" w:type="dxa"/>
          </w:tcPr>
          <w:p w:rsidR="005B7DA9" w:rsidRPr="00A63D74" w:rsidP="00A63D74">
            <w:pPr>
              <w:spacing w:before="40" w:after="40" w:line="220" w:lineRule="exact"/>
              <w:ind w:left="227"/>
              <w:rPr>
                <w:rFonts w:eastAsia="Calibri"/>
                <w:sz w:val="20"/>
                <w:szCs w:val="20"/>
              </w:rPr>
            </w:pPr>
            <w:r w:rsidRPr="00A63D74">
              <w:rPr>
                <w:rFonts w:eastAsia="Calibri" w:cs="FrankRuehl" w:hint="cs"/>
                <w:sz w:val="20"/>
                <w:szCs w:val="20"/>
                <w:rtl/>
              </w:rPr>
              <w:t>2,254</w:t>
            </w:r>
          </w:p>
        </w:tc>
      </w:tr>
      <w:tr w:rsidTr="00B90414">
        <w:tblPrEx>
          <w:tblW w:w="6691" w:type="dxa"/>
          <w:jc w:val="center"/>
          <w:tblLook w:val="04A0"/>
        </w:tblPrEx>
        <w:trPr>
          <w:jc w:val="center"/>
        </w:trPr>
        <w:tc>
          <w:tcPr>
            <w:tcW w:w="1509" w:type="dxa"/>
            <w:hideMark/>
          </w:tcPr>
          <w:p w:rsidR="005B7DA9" w:rsidRPr="00A63D74" w:rsidP="00A63D74">
            <w:pPr>
              <w:spacing w:before="40" w:after="40" w:line="220" w:lineRule="exact"/>
              <w:rPr>
                <w:rFonts w:eastAsia="Calibri"/>
                <w:sz w:val="20"/>
                <w:szCs w:val="20"/>
              </w:rPr>
            </w:pPr>
            <w:r w:rsidRPr="00A63D74">
              <w:rPr>
                <w:rFonts w:eastAsia="Calibri" w:cs="FrankRuehl" w:hint="cs"/>
                <w:sz w:val="20"/>
                <w:szCs w:val="20"/>
                <w:rtl/>
              </w:rPr>
              <w:t>מוסדות ספורט</w:t>
            </w:r>
          </w:p>
        </w:tc>
        <w:tc>
          <w:tcPr>
            <w:tcW w:w="1279" w:type="dxa"/>
          </w:tcPr>
          <w:p w:rsidR="005B7DA9" w:rsidRPr="00A63D74" w:rsidP="00A63D74">
            <w:pPr>
              <w:spacing w:before="40" w:after="40" w:line="220" w:lineRule="exact"/>
              <w:ind w:left="227"/>
              <w:rPr>
                <w:rFonts w:eastAsia="Calibri"/>
                <w:sz w:val="20"/>
                <w:szCs w:val="20"/>
              </w:rPr>
            </w:pPr>
            <w:r w:rsidRPr="00A63D74">
              <w:rPr>
                <w:rFonts w:eastAsia="Calibri" w:cs="FrankRuehl" w:hint="cs"/>
                <w:sz w:val="20"/>
                <w:szCs w:val="20"/>
                <w:rtl/>
              </w:rPr>
              <w:t>4,102</w:t>
            </w:r>
          </w:p>
        </w:tc>
        <w:tc>
          <w:tcPr>
            <w:tcW w:w="1279" w:type="dxa"/>
          </w:tcPr>
          <w:p w:rsidR="005B7DA9" w:rsidRPr="00A63D74" w:rsidP="00A63D74">
            <w:pPr>
              <w:spacing w:before="40" w:after="40" w:line="220" w:lineRule="exact"/>
              <w:ind w:left="227"/>
              <w:rPr>
                <w:rFonts w:eastAsia="Calibri"/>
                <w:sz w:val="20"/>
                <w:szCs w:val="20"/>
              </w:rPr>
            </w:pPr>
            <w:r w:rsidRPr="00A63D74">
              <w:rPr>
                <w:rFonts w:eastAsia="Calibri" w:cs="FrankRuehl" w:hint="cs"/>
                <w:sz w:val="20"/>
                <w:szCs w:val="20"/>
                <w:rtl/>
              </w:rPr>
              <w:t>3,809</w:t>
            </w:r>
          </w:p>
        </w:tc>
        <w:tc>
          <w:tcPr>
            <w:tcW w:w="1279" w:type="dxa"/>
          </w:tcPr>
          <w:p w:rsidR="005B7DA9" w:rsidRPr="00A63D74" w:rsidP="00A63D74">
            <w:pPr>
              <w:spacing w:before="40" w:after="40" w:line="220" w:lineRule="exact"/>
              <w:ind w:left="227"/>
              <w:rPr>
                <w:rFonts w:eastAsia="Calibri"/>
                <w:sz w:val="20"/>
                <w:szCs w:val="20"/>
              </w:rPr>
            </w:pPr>
            <w:r w:rsidRPr="00A63D74">
              <w:rPr>
                <w:rFonts w:eastAsia="Calibri" w:cs="FrankRuehl" w:hint="cs"/>
                <w:sz w:val="20"/>
                <w:szCs w:val="20"/>
                <w:rtl/>
              </w:rPr>
              <w:t>5,155</w:t>
            </w:r>
          </w:p>
        </w:tc>
        <w:tc>
          <w:tcPr>
            <w:tcW w:w="1280" w:type="dxa"/>
          </w:tcPr>
          <w:p w:rsidR="005B7DA9" w:rsidRPr="00A63D74" w:rsidP="00A63D74">
            <w:pPr>
              <w:spacing w:before="40" w:after="40" w:line="220" w:lineRule="exact"/>
              <w:ind w:left="227"/>
              <w:rPr>
                <w:rFonts w:eastAsia="Calibri"/>
                <w:sz w:val="20"/>
                <w:szCs w:val="20"/>
              </w:rPr>
            </w:pPr>
            <w:r w:rsidRPr="00A63D74">
              <w:rPr>
                <w:rFonts w:eastAsia="Calibri" w:cs="FrankRuehl" w:hint="cs"/>
                <w:sz w:val="20"/>
                <w:szCs w:val="20"/>
                <w:rtl/>
              </w:rPr>
              <w:t>6,525</w:t>
            </w:r>
          </w:p>
        </w:tc>
      </w:tr>
      <w:tr w:rsidTr="00B90414">
        <w:tblPrEx>
          <w:tblW w:w="6691" w:type="dxa"/>
          <w:jc w:val="center"/>
          <w:tblLook w:val="04A0"/>
        </w:tblPrEx>
        <w:trPr>
          <w:jc w:val="center"/>
        </w:trPr>
        <w:tc>
          <w:tcPr>
            <w:tcW w:w="1509" w:type="dxa"/>
            <w:tcBorders>
              <w:bottom w:val="single" w:sz="12" w:space="0" w:color="auto"/>
            </w:tcBorders>
            <w:hideMark/>
          </w:tcPr>
          <w:p w:rsidR="005B7DA9" w:rsidRPr="00A63D74" w:rsidP="00A63D74">
            <w:pPr>
              <w:spacing w:before="40" w:after="40" w:line="220" w:lineRule="exact"/>
              <w:rPr>
                <w:rFonts w:eastAsia="Calibri"/>
                <w:sz w:val="20"/>
                <w:szCs w:val="20"/>
              </w:rPr>
            </w:pPr>
            <w:r w:rsidRPr="00A63D74">
              <w:rPr>
                <w:rFonts w:eastAsia="Calibri" w:cs="FrankRuehl" w:hint="cs"/>
                <w:sz w:val="20"/>
                <w:szCs w:val="20"/>
                <w:rtl/>
              </w:rPr>
              <w:t>מוסדות אחרים***</w:t>
            </w:r>
          </w:p>
        </w:tc>
        <w:tc>
          <w:tcPr>
            <w:tcW w:w="1279" w:type="dxa"/>
            <w:tcBorders>
              <w:bottom w:val="single" w:sz="12" w:space="0" w:color="auto"/>
            </w:tcBorders>
          </w:tcPr>
          <w:p w:rsidR="005B7DA9" w:rsidRPr="00A63D74" w:rsidP="00A63D74">
            <w:pPr>
              <w:spacing w:before="40" w:after="40" w:line="220" w:lineRule="exact"/>
              <w:ind w:left="227"/>
              <w:rPr>
                <w:rFonts w:eastAsia="Calibri"/>
                <w:sz w:val="20"/>
                <w:szCs w:val="20"/>
              </w:rPr>
            </w:pPr>
            <w:r w:rsidRPr="00A63D74">
              <w:rPr>
                <w:rFonts w:eastAsia="Calibri" w:cs="FrankRuehl" w:hint="cs"/>
                <w:sz w:val="20"/>
                <w:szCs w:val="20"/>
                <w:rtl/>
              </w:rPr>
              <w:t>2,337</w:t>
            </w:r>
          </w:p>
        </w:tc>
        <w:tc>
          <w:tcPr>
            <w:tcW w:w="1279" w:type="dxa"/>
            <w:tcBorders>
              <w:bottom w:val="single" w:sz="12" w:space="0" w:color="auto"/>
            </w:tcBorders>
          </w:tcPr>
          <w:p w:rsidR="005B7DA9" w:rsidRPr="00A63D74" w:rsidP="00A63D74">
            <w:pPr>
              <w:spacing w:before="40" w:after="40" w:line="220" w:lineRule="exact"/>
              <w:ind w:left="227"/>
              <w:rPr>
                <w:rFonts w:eastAsia="Calibri"/>
                <w:sz w:val="20"/>
                <w:szCs w:val="20"/>
              </w:rPr>
            </w:pPr>
            <w:r w:rsidRPr="00A63D74">
              <w:rPr>
                <w:rFonts w:eastAsia="Calibri" w:cs="FrankRuehl" w:hint="cs"/>
                <w:sz w:val="20"/>
                <w:szCs w:val="20"/>
                <w:rtl/>
              </w:rPr>
              <w:t>2,235</w:t>
            </w:r>
          </w:p>
        </w:tc>
        <w:tc>
          <w:tcPr>
            <w:tcW w:w="1279" w:type="dxa"/>
            <w:tcBorders>
              <w:bottom w:val="single" w:sz="12" w:space="0" w:color="auto"/>
            </w:tcBorders>
          </w:tcPr>
          <w:p w:rsidR="005B7DA9" w:rsidRPr="00A63D74" w:rsidP="00A63D74">
            <w:pPr>
              <w:spacing w:before="40" w:after="40" w:line="220" w:lineRule="exact"/>
              <w:ind w:left="227"/>
              <w:rPr>
                <w:rFonts w:eastAsia="Calibri"/>
                <w:sz w:val="20"/>
                <w:szCs w:val="20"/>
              </w:rPr>
            </w:pPr>
            <w:r w:rsidRPr="00A63D74">
              <w:rPr>
                <w:rFonts w:eastAsia="Calibri" w:cs="FrankRuehl" w:hint="cs"/>
                <w:sz w:val="20"/>
                <w:szCs w:val="20"/>
                <w:rtl/>
              </w:rPr>
              <w:t>2,005</w:t>
            </w:r>
          </w:p>
        </w:tc>
        <w:tc>
          <w:tcPr>
            <w:tcW w:w="1280" w:type="dxa"/>
            <w:tcBorders>
              <w:bottom w:val="single" w:sz="12" w:space="0" w:color="auto"/>
            </w:tcBorders>
          </w:tcPr>
          <w:p w:rsidR="005B7DA9" w:rsidRPr="00A63D74" w:rsidP="00A63D74">
            <w:pPr>
              <w:spacing w:before="40" w:after="40" w:line="220" w:lineRule="exact"/>
              <w:ind w:left="227"/>
              <w:rPr>
                <w:rFonts w:eastAsia="Calibri"/>
                <w:sz w:val="20"/>
                <w:szCs w:val="20"/>
              </w:rPr>
            </w:pPr>
            <w:r w:rsidRPr="00A63D74">
              <w:rPr>
                <w:rFonts w:eastAsia="Calibri" w:cs="FrankRuehl" w:hint="cs"/>
                <w:sz w:val="20"/>
                <w:szCs w:val="20"/>
                <w:rtl/>
              </w:rPr>
              <w:t>1,801</w:t>
            </w:r>
          </w:p>
        </w:tc>
      </w:tr>
      <w:tr w:rsidTr="00B90414">
        <w:tblPrEx>
          <w:tblW w:w="6691" w:type="dxa"/>
          <w:jc w:val="center"/>
          <w:tblLook w:val="04A0"/>
        </w:tblPrEx>
        <w:trPr>
          <w:jc w:val="center"/>
        </w:trPr>
        <w:tc>
          <w:tcPr>
            <w:tcW w:w="1509" w:type="dxa"/>
            <w:tcBorders>
              <w:top w:val="single" w:sz="12" w:space="0" w:color="auto"/>
              <w:bottom w:val="single" w:sz="12" w:space="0" w:color="auto"/>
            </w:tcBorders>
            <w:shd w:val="pct10" w:color="auto" w:fill="auto"/>
          </w:tcPr>
          <w:p w:rsidR="005B7DA9" w:rsidRPr="00A63D74" w:rsidP="00A63D74">
            <w:pPr>
              <w:spacing w:before="40" w:after="40" w:line="220" w:lineRule="exact"/>
              <w:jc w:val="right"/>
              <w:rPr>
                <w:rFonts w:eastAsia="Calibri" w:cs="FrankRuehl"/>
                <w:b/>
                <w:bCs/>
                <w:sz w:val="20"/>
                <w:szCs w:val="20"/>
              </w:rPr>
            </w:pPr>
            <w:r w:rsidRPr="00A63D74">
              <w:rPr>
                <w:rFonts w:eastAsia="Calibri" w:cs="FrankRuehl" w:hint="cs"/>
                <w:b/>
                <w:bCs/>
                <w:sz w:val="20"/>
                <w:szCs w:val="20"/>
                <w:rtl/>
              </w:rPr>
              <w:t>סה"כ</w:t>
            </w:r>
          </w:p>
        </w:tc>
        <w:tc>
          <w:tcPr>
            <w:tcW w:w="1279" w:type="dxa"/>
            <w:tcBorders>
              <w:top w:val="single" w:sz="12" w:space="0" w:color="auto"/>
              <w:bottom w:val="single" w:sz="12" w:space="0" w:color="auto"/>
            </w:tcBorders>
            <w:shd w:val="pct10" w:color="auto" w:fill="auto"/>
          </w:tcPr>
          <w:p w:rsidR="005B7DA9" w:rsidRPr="00A63D74" w:rsidP="00A63D74">
            <w:pPr>
              <w:spacing w:before="40" w:after="40" w:line="220" w:lineRule="exact"/>
              <w:ind w:left="227"/>
              <w:rPr>
                <w:rFonts w:eastAsia="Calibri"/>
                <w:b/>
                <w:bCs/>
                <w:sz w:val="20"/>
                <w:szCs w:val="20"/>
              </w:rPr>
            </w:pPr>
            <w:r w:rsidRPr="00A63D74">
              <w:rPr>
                <w:rFonts w:eastAsia="Calibri" w:cs="FrankRuehl" w:hint="cs"/>
                <w:b/>
                <w:bCs/>
                <w:sz w:val="20"/>
                <w:szCs w:val="20"/>
                <w:rtl/>
              </w:rPr>
              <w:t>45,681</w:t>
            </w:r>
          </w:p>
        </w:tc>
        <w:tc>
          <w:tcPr>
            <w:tcW w:w="1279" w:type="dxa"/>
            <w:tcBorders>
              <w:top w:val="single" w:sz="12" w:space="0" w:color="auto"/>
              <w:bottom w:val="single" w:sz="12" w:space="0" w:color="auto"/>
            </w:tcBorders>
            <w:shd w:val="pct10" w:color="auto" w:fill="auto"/>
          </w:tcPr>
          <w:p w:rsidR="005B7DA9" w:rsidRPr="00A63D74" w:rsidP="00A63D74">
            <w:pPr>
              <w:spacing w:before="40" w:after="40" w:line="220" w:lineRule="exact"/>
              <w:ind w:left="227"/>
              <w:rPr>
                <w:rFonts w:eastAsia="Calibri"/>
                <w:b/>
                <w:bCs/>
                <w:sz w:val="20"/>
                <w:szCs w:val="20"/>
              </w:rPr>
            </w:pPr>
            <w:r w:rsidRPr="00A63D74">
              <w:rPr>
                <w:rFonts w:eastAsia="Calibri" w:cs="FrankRuehl" w:hint="cs"/>
                <w:b/>
                <w:bCs/>
                <w:sz w:val="20"/>
                <w:szCs w:val="20"/>
                <w:rtl/>
              </w:rPr>
              <w:t>50,145</w:t>
            </w:r>
          </w:p>
        </w:tc>
        <w:tc>
          <w:tcPr>
            <w:tcW w:w="1279" w:type="dxa"/>
            <w:tcBorders>
              <w:top w:val="single" w:sz="12" w:space="0" w:color="auto"/>
              <w:bottom w:val="single" w:sz="12" w:space="0" w:color="auto"/>
            </w:tcBorders>
            <w:shd w:val="pct10" w:color="auto" w:fill="auto"/>
          </w:tcPr>
          <w:p w:rsidR="005B7DA9" w:rsidRPr="00A63D74" w:rsidP="00A63D74">
            <w:pPr>
              <w:spacing w:before="40" w:after="40" w:line="220" w:lineRule="exact"/>
              <w:ind w:left="227"/>
              <w:rPr>
                <w:rFonts w:eastAsia="Calibri"/>
                <w:b/>
                <w:bCs/>
                <w:sz w:val="20"/>
                <w:szCs w:val="20"/>
              </w:rPr>
            </w:pPr>
            <w:r w:rsidRPr="00A63D74">
              <w:rPr>
                <w:rFonts w:eastAsia="Calibri" w:cs="FrankRuehl" w:hint="cs"/>
                <w:b/>
                <w:bCs/>
                <w:sz w:val="20"/>
                <w:szCs w:val="20"/>
                <w:rtl/>
              </w:rPr>
              <w:t>51,234</w:t>
            </w:r>
          </w:p>
        </w:tc>
        <w:tc>
          <w:tcPr>
            <w:tcW w:w="1280" w:type="dxa"/>
            <w:tcBorders>
              <w:top w:val="single" w:sz="12" w:space="0" w:color="auto"/>
              <w:bottom w:val="single" w:sz="12" w:space="0" w:color="auto"/>
            </w:tcBorders>
            <w:shd w:val="pct10" w:color="auto" w:fill="auto"/>
          </w:tcPr>
          <w:p w:rsidR="005B7DA9" w:rsidRPr="00A63D74" w:rsidP="00A63D74">
            <w:pPr>
              <w:spacing w:before="40" w:after="40" w:line="220" w:lineRule="exact"/>
              <w:ind w:left="227"/>
              <w:rPr>
                <w:rFonts w:eastAsia="Calibri"/>
                <w:b/>
                <w:bCs/>
                <w:sz w:val="20"/>
                <w:szCs w:val="20"/>
              </w:rPr>
            </w:pPr>
            <w:r w:rsidRPr="00A63D74">
              <w:rPr>
                <w:rFonts w:eastAsia="Calibri" w:cs="FrankRuehl" w:hint="cs"/>
                <w:b/>
                <w:bCs/>
                <w:sz w:val="20"/>
                <w:szCs w:val="20"/>
                <w:rtl/>
              </w:rPr>
              <w:t>51,970</w:t>
            </w:r>
          </w:p>
        </w:tc>
      </w:tr>
    </w:tbl>
    <w:p w:rsidR="00B767A7" w:rsidRPr="00A63D74" w:rsidP="00A63D74">
      <w:pPr>
        <w:spacing w:before="120" w:line="200" w:lineRule="exact"/>
        <w:ind w:left="397" w:hanging="397"/>
        <w:jc w:val="both"/>
        <w:rPr>
          <w:rFonts w:cs="FrankRuehl"/>
          <w:sz w:val="20"/>
          <w:szCs w:val="20"/>
          <w:rtl/>
        </w:rPr>
      </w:pPr>
      <w:r w:rsidRPr="00A63D74">
        <w:rPr>
          <w:rFonts w:cs="FrankRuehl" w:hint="cs"/>
          <w:sz w:val="20"/>
          <w:szCs w:val="20"/>
          <w:rtl/>
        </w:rPr>
        <w:t xml:space="preserve">* </w:t>
      </w:r>
      <w:r w:rsidRPr="00A63D74">
        <w:rPr>
          <w:rFonts w:cs="FrankRuehl" w:hint="cs"/>
          <w:sz w:val="20"/>
          <w:szCs w:val="20"/>
          <w:rtl/>
        </w:rPr>
        <w:tab/>
        <w:t xml:space="preserve">לרבות תמיכות במוסדות, הקמת מבני ציבור, שיפוצי קיץ והקצאות חוק נהרי (ראו להלן). לא כולל ההקצאות לחינוך המיוחד במוסדות החינוך המוכרים. </w:t>
      </w:r>
    </w:p>
    <w:p w:rsidR="00B767A7" w:rsidRPr="00A63D74" w:rsidP="00A63D74">
      <w:pPr>
        <w:spacing w:line="200" w:lineRule="exact"/>
        <w:ind w:left="397" w:hanging="397"/>
        <w:jc w:val="both"/>
        <w:rPr>
          <w:rFonts w:cs="FrankRuehl"/>
          <w:sz w:val="20"/>
          <w:szCs w:val="20"/>
          <w:rtl/>
        </w:rPr>
      </w:pPr>
      <w:r w:rsidRPr="00A63D74">
        <w:rPr>
          <w:rFonts w:cs="FrankRuehl" w:hint="cs"/>
          <w:sz w:val="20"/>
          <w:szCs w:val="20"/>
          <w:rtl/>
        </w:rPr>
        <w:t xml:space="preserve">** </w:t>
      </w:r>
      <w:r w:rsidRPr="00A63D74">
        <w:rPr>
          <w:rFonts w:cs="FrankRuehl" w:hint="cs"/>
          <w:sz w:val="20"/>
          <w:szCs w:val="20"/>
          <w:rtl/>
        </w:rPr>
        <w:tab/>
        <w:t xml:space="preserve">ובכלל זה מקוואות, בתי כנסת, כוללים, ישיבות גבוהות ותרבות תורנית. </w:t>
      </w:r>
    </w:p>
    <w:p w:rsidR="00B767A7" w:rsidRPr="00A63D74" w:rsidP="00A63D74">
      <w:pPr>
        <w:spacing w:after="120" w:line="200" w:lineRule="exact"/>
        <w:ind w:left="397" w:hanging="397"/>
        <w:jc w:val="both"/>
        <w:rPr>
          <w:rFonts w:cs="FrankRuehl"/>
          <w:sz w:val="20"/>
          <w:szCs w:val="20"/>
          <w:rtl/>
        </w:rPr>
      </w:pPr>
      <w:r w:rsidRPr="00A63D74">
        <w:rPr>
          <w:rFonts w:cs="FrankRuehl" w:hint="cs"/>
          <w:sz w:val="20"/>
          <w:szCs w:val="20"/>
          <w:rtl/>
        </w:rPr>
        <w:t xml:space="preserve">*** </w:t>
      </w:r>
      <w:r w:rsidRPr="00A63D74">
        <w:rPr>
          <w:rFonts w:cs="FrankRuehl" w:hint="cs"/>
          <w:sz w:val="20"/>
          <w:szCs w:val="20"/>
          <w:rtl/>
        </w:rPr>
        <w:tab/>
        <w:t>כגון חלוקת מזון והסעדה, השאלת ציוד רפואי, אמנות ותנועות נוער.</w:t>
      </w:r>
    </w:p>
    <w:p w:rsidR="00B767A7">
      <w:pPr>
        <w:spacing w:after="120" w:line="230" w:lineRule="exact"/>
        <w:jc w:val="both"/>
        <w:rPr>
          <w:rFonts w:cs="FrankRuehl"/>
          <w:sz w:val="20"/>
          <w:szCs w:val="22"/>
          <w:rtl/>
        </w:rPr>
      </w:pPr>
      <w:r>
        <w:rPr>
          <w:rFonts w:cs="FrankRuehl" w:hint="cs"/>
          <w:sz w:val="20"/>
          <w:szCs w:val="22"/>
          <w:rtl/>
        </w:rPr>
        <w:t>מהנתונים</w:t>
      </w:r>
      <w:r>
        <w:rPr>
          <w:rFonts w:cs="FrankRuehl"/>
          <w:sz w:val="20"/>
          <w:szCs w:val="22"/>
          <w:rtl/>
        </w:rPr>
        <w:t xml:space="preserve"> לעיל עולה כי כ-80% מההקצאות והתמיכות </w:t>
      </w:r>
      <w:r>
        <w:rPr>
          <w:rFonts w:cs="FrankRuehl" w:hint="cs"/>
          <w:sz w:val="20"/>
          <w:szCs w:val="22"/>
          <w:rtl/>
        </w:rPr>
        <w:t>ששילמה</w:t>
      </w:r>
      <w:r>
        <w:rPr>
          <w:rFonts w:cs="FrankRuehl"/>
          <w:sz w:val="20"/>
          <w:szCs w:val="22"/>
          <w:rtl/>
        </w:rPr>
        <w:t xml:space="preserve"> עיריית פתח תקווה </w:t>
      </w:r>
      <w:r>
        <w:rPr>
          <w:rFonts w:cs="FrankRuehl" w:hint="cs"/>
          <w:sz w:val="20"/>
          <w:szCs w:val="22"/>
          <w:rtl/>
        </w:rPr>
        <w:t>למוסדות</w:t>
      </w:r>
      <w:r>
        <w:rPr>
          <w:rFonts w:cs="FrankRuehl"/>
          <w:sz w:val="20"/>
          <w:szCs w:val="22"/>
          <w:rtl/>
        </w:rPr>
        <w:t xml:space="preserve"> </w:t>
      </w:r>
      <w:r>
        <w:rPr>
          <w:rFonts w:cs="FrankRuehl" w:hint="cs"/>
          <w:sz w:val="20"/>
          <w:szCs w:val="22"/>
          <w:rtl/>
        </w:rPr>
        <w:t>ניתנו</w:t>
      </w:r>
      <w:r>
        <w:rPr>
          <w:rFonts w:cs="FrankRuehl"/>
          <w:sz w:val="20"/>
          <w:szCs w:val="22"/>
          <w:rtl/>
        </w:rPr>
        <w:t xml:space="preserve"> </w:t>
      </w:r>
      <w:r>
        <w:rPr>
          <w:rFonts w:cs="FrankRuehl" w:hint="cs"/>
          <w:sz w:val="20"/>
          <w:szCs w:val="22"/>
          <w:rtl/>
        </w:rPr>
        <w:t>למוסדות</w:t>
      </w:r>
      <w:r>
        <w:rPr>
          <w:rFonts w:cs="FrankRuehl"/>
          <w:sz w:val="20"/>
          <w:szCs w:val="22"/>
          <w:rtl/>
        </w:rPr>
        <w:t xml:space="preserve"> החינוך המוכרים </w:t>
      </w:r>
      <w:r>
        <w:rPr>
          <w:rFonts w:cs="FrankRuehl" w:hint="cs"/>
          <w:sz w:val="20"/>
          <w:szCs w:val="22"/>
          <w:rtl/>
        </w:rPr>
        <w:t>שבתחום</w:t>
      </w:r>
      <w:r>
        <w:rPr>
          <w:rFonts w:cs="FrankRuehl"/>
          <w:sz w:val="20"/>
          <w:szCs w:val="22"/>
          <w:rtl/>
        </w:rPr>
        <w:t xml:space="preserve"> </w:t>
      </w:r>
      <w:r>
        <w:rPr>
          <w:rFonts w:cs="FrankRuehl" w:hint="cs"/>
          <w:sz w:val="20"/>
          <w:szCs w:val="22"/>
          <w:rtl/>
        </w:rPr>
        <w:t>שיפוטה. הבדיקה התמקדה אפוא בשני מסלולי התמיכה במוסדות החינוך הללו: מסלול חוק נהרי (ראו להלן) ומסלול התמיכות.</w:t>
      </w:r>
    </w:p>
    <w:p w:rsidR="00B767A7">
      <w:pPr>
        <w:spacing w:after="120" w:line="230" w:lineRule="exact"/>
        <w:jc w:val="both"/>
        <w:rPr>
          <w:rFonts w:cs="FrankRuehl"/>
          <w:sz w:val="20"/>
          <w:szCs w:val="22"/>
        </w:rPr>
      </w:pPr>
    </w:p>
    <w:p w:rsidR="00B767A7">
      <w:pPr>
        <w:spacing w:after="120" w:line="230" w:lineRule="exact"/>
        <w:jc w:val="both"/>
        <w:rPr>
          <w:rFonts w:cs="FrankRuehl"/>
          <w:sz w:val="20"/>
          <w:szCs w:val="22"/>
          <w:rtl/>
        </w:rPr>
      </w:pPr>
    </w:p>
    <w:p w:rsidR="00B767A7">
      <w:pPr>
        <w:pStyle w:val="KOT4"/>
        <w:rPr>
          <w:rtl/>
        </w:rPr>
      </w:pPr>
      <w:r>
        <w:rPr>
          <w:rFonts w:hint="cs"/>
          <w:rtl/>
        </w:rPr>
        <w:t>פעולות הביקורת</w:t>
      </w:r>
    </w:p>
    <w:p w:rsidR="00B767A7">
      <w:pPr>
        <w:spacing w:after="120" w:line="230" w:lineRule="exact"/>
        <w:jc w:val="both"/>
        <w:rPr>
          <w:rFonts w:cs="FrankRuehl"/>
          <w:sz w:val="20"/>
          <w:szCs w:val="22"/>
          <w:rtl/>
        </w:rPr>
      </w:pPr>
      <w:r>
        <w:rPr>
          <w:rFonts w:cs="FrankRuehl" w:hint="cs"/>
          <w:sz w:val="20"/>
          <w:szCs w:val="22"/>
          <w:rtl/>
        </w:rPr>
        <w:t xml:space="preserve">בחודשים דצמבר 2013 - מאי 2014 בדק משרד מבקר המדינה את מתן התמיכות שסיפקה עיריית פתח תקווה למוסדות בשנים 2013-2009. הביקורת התמקדה בהליך קבלת ההחלטות בנוגע לאופן ההשתתפות של העירייה בתקציבי מוסדות החינוך המוכרים שבתחום שיפוטה (מסלול חוק נהרי </w:t>
      </w:r>
      <w:r>
        <w:rPr>
          <w:rFonts w:cs="FrankRuehl" w:hint="cs"/>
          <w:sz w:val="20"/>
          <w:szCs w:val="22"/>
          <w:rtl/>
        </w:rPr>
        <w:t>ומסלול התמיכות), בתמיכות בעמותות העוסקות בתרבות תורנית וכן בפיקוח העירייה על השימוש בכספי התמיכות שהעבירה.</w:t>
      </w:r>
    </w:p>
    <w:p w:rsidR="00B767A7">
      <w:pPr>
        <w:spacing w:after="120" w:line="230" w:lineRule="exact"/>
        <w:jc w:val="both"/>
        <w:rPr>
          <w:rFonts w:cs="FrankRuehl"/>
          <w:sz w:val="20"/>
          <w:szCs w:val="22"/>
        </w:rPr>
      </w:pPr>
    </w:p>
    <w:p w:rsidR="00B767A7">
      <w:pPr>
        <w:spacing w:after="120" w:line="230" w:lineRule="exact"/>
        <w:jc w:val="both"/>
        <w:rPr>
          <w:rFonts w:cs="FrankRuehl"/>
          <w:sz w:val="20"/>
          <w:szCs w:val="22"/>
          <w:rtl/>
        </w:rPr>
      </w:pPr>
    </w:p>
    <w:p w:rsidR="00B767A7">
      <w:pPr>
        <w:pStyle w:val="KOT4"/>
        <w:rPr>
          <w:rtl/>
        </w:rPr>
      </w:pPr>
      <w:r>
        <w:rPr>
          <w:rFonts w:hint="eastAsia"/>
          <w:rtl/>
        </w:rPr>
        <w:t>השתתפות</w:t>
      </w:r>
      <w:r>
        <w:rPr>
          <w:rtl/>
        </w:rPr>
        <w:t xml:space="preserve"> </w:t>
      </w:r>
      <w:r>
        <w:rPr>
          <w:rFonts w:hint="eastAsia"/>
          <w:rtl/>
        </w:rPr>
        <w:t>עיריית</w:t>
      </w:r>
      <w:r>
        <w:rPr>
          <w:rtl/>
        </w:rPr>
        <w:t xml:space="preserve"> </w:t>
      </w:r>
      <w:r>
        <w:rPr>
          <w:rFonts w:hint="eastAsia"/>
          <w:rtl/>
        </w:rPr>
        <w:t>פתח</w:t>
      </w:r>
      <w:r>
        <w:rPr>
          <w:rtl/>
        </w:rPr>
        <w:t xml:space="preserve"> </w:t>
      </w:r>
      <w:r>
        <w:rPr>
          <w:rFonts w:hint="eastAsia"/>
          <w:rtl/>
        </w:rPr>
        <w:t>תקווה</w:t>
      </w:r>
      <w:r>
        <w:rPr>
          <w:rtl/>
        </w:rPr>
        <w:t xml:space="preserve"> </w:t>
      </w:r>
      <w:r>
        <w:rPr>
          <w:rFonts w:hint="eastAsia"/>
          <w:rtl/>
        </w:rPr>
        <w:t>בתקציבי</w:t>
      </w:r>
      <w:r>
        <w:rPr>
          <w:rtl/>
        </w:rPr>
        <w:t xml:space="preserve"> </w:t>
      </w:r>
      <w:r>
        <w:rPr>
          <w:rFonts w:hint="eastAsia"/>
          <w:rtl/>
        </w:rPr>
        <w:t>מוסדות</w:t>
      </w:r>
      <w:r>
        <w:rPr>
          <w:rtl/>
        </w:rPr>
        <w:t xml:space="preserve"> </w:t>
      </w:r>
      <w:r>
        <w:rPr>
          <w:rFonts w:hint="cs"/>
          <w:rtl/>
        </w:rPr>
        <w:t>ה</w:t>
      </w:r>
      <w:r>
        <w:rPr>
          <w:rFonts w:hint="eastAsia"/>
          <w:rtl/>
        </w:rPr>
        <w:t>חינוך</w:t>
      </w:r>
      <w:r>
        <w:rPr>
          <w:rtl/>
        </w:rPr>
        <w:t xml:space="preserve"> </w:t>
      </w:r>
      <w:r>
        <w:rPr>
          <w:rFonts w:hint="cs"/>
          <w:rtl/>
        </w:rPr>
        <w:t>ה</w:t>
      </w:r>
      <w:r>
        <w:rPr>
          <w:rFonts w:hint="eastAsia"/>
          <w:rtl/>
        </w:rPr>
        <w:t>מוכרים</w:t>
      </w:r>
    </w:p>
    <w:p w:rsidR="00B767A7">
      <w:pPr>
        <w:pStyle w:val="KOT5"/>
        <w:rPr>
          <w:rtl/>
        </w:rPr>
      </w:pPr>
      <w:r>
        <w:rPr>
          <w:rFonts w:hint="cs"/>
          <w:rtl/>
        </w:rPr>
        <w:t xml:space="preserve">הבסיס הנורמטיבי </w:t>
      </w:r>
    </w:p>
    <w:p w:rsidR="00B767A7">
      <w:pPr>
        <w:spacing w:after="120" w:line="230" w:lineRule="exact"/>
        <w:jc w:val="both"/>
        <w:rPr>
          <w:rFonts w:cs="FrankRuehl"/>
          <w:sz w:val="20"/>
          <w:szCs w:val="22"/>
          <w:rtl/>
        </w:rPr>
      </w:pPr>
      <w:r>
        <w:rPr>
          <w:rFonts w:cs="FrankRuehl" w:hint="cs"/>
          <w:sz w:val="20"/>
          <w:szCs w:val="22"/>
          <w:rtl/>
        </w:rPr>
        <w:t>בחוק</w:t>
      </w:r>
      <w:r>
        <w:rPr>
          <w:rFonts w:cs="FrankRuehl"/>
          <w:sz w:val="20"/>
          <w:szCs w:val="22"/>
          <w:rtl/>
        </w:rPr>
        <w:t xml:space="preserve"> </w:t>
      </w:r>
      <w:r>
        <w:rPr>
          <w:rFonts w:cs="FrankRuehl" w:hint="cs"/>
          <w:sz w:val="20"/>
          <w:szCs w:val="22"/>
          <w:rtl/>
        </w:rPr>
        <w:t>חינוך</w:t>
      </w:r>
      <w:r>
        <w:rPr>
          <w:rFonts w:cs="FrankRuehl"/>
          <w:sz w:val="20"/>
          <w:szCs w:val="22"/>
          <w:rtl/>
        </w:rPr>
        <w:t xml:space="preserve"> </w:t>
      </w:r>
      <w:r>
        <w:rPr>
          <w:rFonts w:cs="FrankRuehl" w:hint="cs"/>
          <w:sz w:val="20"/>
          <w:szCs w:val="22"/>
          <w:rtl/>
        </w:rPr>
        <w:t>ממלכתי</w:t>
      </w:r>
      <w:r>
        <w:rPr>
          <w:rFonts w:cs="FrankRuehl"/>
          <w:sz w:val="20"/>
          <w:szCs w:val="22"/>
          <w:rtl/>
        </w:rPr>
        <w:t xml:space="preserve">, </w:t>
      </w:r>
      <w:r>
        <w:rPr>
          <w:rFonts w:cs="FrankRuehl" w:hint="cs"/>
          <w:sz w:val="20"/>
          <w:szCs w:val="22"/>
          <w:rtl/>
        </w:rPr>
        <w:t>התשי</w:t>
      </w:r>
      <w:r>
        <w:rPr>
          <w:rFonts w:cs="FrankRuehl"/>
          <w:sz w:val="20"/>
          <w:szCs w:val="22"/>
          <w:rtl/>
        </w:rPr>
        <w:t xml:space="preserve">"ג-1953 (להלן - </w:t>
      </w:r>
      <w:r>
        <w:rPr>
          <w:rFonts w:cs="FrankRuehl" w:hint="cs"/>
          <w:sz w:val="20"/>
          <w:szCs w:val="22"/>
          <w:rtl/>
        </w:rPr>
        <w:t>חוק</w:t>
      </w:r>
      <w:r>
        <w:rPr>
          <w:rFonts w:cs="FrankRuehl"/>
          <w:sz w:val="20"/>
          <w:szCs w:val="22"/>
          <w:rtl/>
        </w:rPr>
        <w:t xml:space="preserve"> </w:t>
      </w:r>
      <w:r>
        <w:rPr>
          <w:rFonts w:cs="FrankRuehl" w:hint="cs"/>
          <w:sz w:val="20"/>
          <w:szCs w:val="22"/>
          <w:rtl/>
        </w:rPr>
        <w:t>חינוך</w:t>
      </w:r>
      <w:r>
        <w:rPr>
          <w:rFonts w:cs="FrankRuehl"/>
          <w:sz w:val="20"/>
          <w:szCs w:val="22"/>
          <w:rtl/>
        </w:rPr>
        <w:t xml:space="preserve"> </w:t>
      </w:r>
      <w:r>
        <w:rPr>
          <w:rFonts w:cs="FrankRuehl" w:hint="cs"/>
          <w:sz w:val="20"/>
          <w:szCs w:val="22"/>
          <w:rtl/>
        </w:rPr>
        <w:t>ממלכתי</w:t>
      </w:r>
      <w:r>
        <w:rPr>
          <w:rFonts w:cs="FrankRuehl"/>
          <w:sz w:val="20"/>
          <w:szCs w:val="22"/>
          <w:rtl/>
        </w:rPr>
        <w:t>)</w:t>
      </w:r>
      <w:r>
        <w:rPr>
          <w:rFonts w:cs="FrankRuehl" w:hint="cs"/>
          <w:sz w:val="20"/>
          <w:szCs w:val="22"/>
          <w:rtl/>
        </w:rPr>
        <w:t xml:space="preserve">, נקבעו מוסדות החינוך הרשמיים של מדינת ישראל בזרמי החינוך הממלכתי והממלכתי-דתי. החוק הקנה לשר החינוך סמכות לקבוע תנאים להכרזה על מוסדות לא רשמיים כמוסדות חינוך מוכרים ולתמיכת המדינה בתקציביהם. </w:t>
      </w:r>
    </w:p>
    <w:p w:rsidR="00B767A7">
      <w:pPr>
        <w:spacing w:after="120" w:line="230" w:lineRule="exact"/>
        <w:jc w:val="both"/>
        <w:rPr>
          <w:rFonts w:cs="FrankRuehl"/>
          <w:sz w:val="20"/>
          <w:szCs w:val="22"/>
          <w:rtl/>
        </w:rPr>
      </w:pPr>
      <w:r>
        <w:rPr>
          <w:rFonts w:cs="FrankRuehl" w:hint="cs"/>
          <w:sz w:val="20"/>
          <w:szCs w:val="22"/>
          <w:rtl/>
        </w:rPr>
        <w:t>שר</w:t>
      </w:r>
      <w:r>
        <w:rPr>
          <w:rFonts w:cs="FrankRuehl"/>
          <w:sz w:val="20"/>
          <w:szCs w:val="22"/>
          <w:rtl/>
        </w:rPr>
        <w:t xml:space="preserve"> החינוך </w:t>
      </w:r>
      <w:r>
        <w:rPr>
          <w:rFonts w:cs="FrankRuehl" w:hint="cs"/>
          <w:sz w:val="20"/>
          <w:szCs w:val="22"/>
          <w:rtl/>
        </w:rPr>
        <w:t>החיל את סמכותו</w:t>
      </w:r>
      <w:r>
        <w:rPr>
          <w:rFonts w:cs="FrankRuehl"/>
          <w:sz w:val="20"/>
          <w:szCs w:val="22"/>
          <w:rtl/>
        </w:rPr>
        <w:t xml:space="preserve"> </w:t>
      </w:r>
      <w:r>
        <w:rPr>
          <w:rFonts w:cs="FrankRuehl" w:hint="cs"/>
          <w:sz w:val="20"/>
          <w:szCs w:val="22"/>
          <w:rtl/>
        </w:rPr>
        <w:t>וקבע</w:t>
      </w:r>
      <w:r>
        <w:rPr>
          <w:rFonts w:cs="FrankRuehl"/>
          <w:sz w:val="20"/>
          <w:szCs w:val="22"/>
          <w:rtl/>
        </w:rPr>
        <w:t xml:space="preserve"> בתקנות חינוך ממלכתי (מוסדות מוכרים)</w:t>
      </w:r>
      <w:r>
        <w:rPr>
          <w:rFonts w:cs="FrankRuehl" w:hint="cs"/>
          <w:sz w:val="20"/>
          <w:szCs w:val="22"/>
          <w:rtl/>
        </w:rPr>
        <w:t>,</w:t>
      </w:r>
      <w:r>
        <w:rPr>
          <w:rFonts w:cs="FrankRuehl"/>
          <w:sz w:val="20"/>
          <w:szCs w:val="22"/>
          <w:rtl/>
        </w:rPr>
        <w:t xml:space="preserve"> התשי"ד-1953</w:t>
      </w:r>
      <w:r>
        <w:rPr>
          <w:rFonts w:cs="FrankRuehl" w:hint="cs"/>
          <w:sz w:val="20"/>
          <w:szCs w:val="22"/>
          <w:rtl/>
        </w:rPr>
        <w:t>, תנאים הנוגעים לתמיכה במוסדות האמורים</w:t>
      </w:r>
      <w:r>
        <w:rPr>
          <w:rFonts w:cs="FrankRuehl"/>
          <w:sz w:val="20"/>
          <w:szCs w:val="22"/>
          <w:rtl/>
        </w:rPr>
        <w:t xml:space="preserve">. אשר לתמיכה התקציבית הורה כי "המדינה תשתתף בתקציב שעות הלימוד של מוסד חינוכי מוכר" בתנאים </w:t>
      </w:r>
      <w:r>
        <w:rPr>
          <w:rFonts w:cs="FrankRuehl" w:hint="cs"/>
          <w:sz w:val="20"/>
          <w:szCs w:val="22"/>
          <w:rtl/>
        </w:rPr>
        <w:t>המפורטים</w:t>
      </w:r>
      <w:r>
        <w:rPr>
          <w:rFonts w:cs="FrankRuehl"/>
          <w:sz w:val="20"/>
          <w:szCs w:val="22"/>
          <w:rtl/>
        </w:rPr>
        <w:t xml:space="preserve"> </w:t>
      </w:r>
      <w:r>
        <w:rPr>
          <w:rFonts w:cs="FrankRuehl" w:hint="cs"/>
          <w:sz w:val="20"/>
          <w:szCs w:val="22"/>
          <w:rtl/>
        </w:rPr>
        <w:t>בתקנות</w:t>
      </w:r>
      <w:r>
        <w:rPr>
          <w:rFonts w:cs="FrankRuehl"/>
          <w:sz w:val="20"/>
          <w:szCs w:val="22"/>
          <w:rtl/>
        </w:rPr>
        <w:t xml:space="preserve"> "בשיעור של 75% מתקציבי שעות הלימוד של מוסד חינוך רשמי דומה"</w:t>
      </w:r>
      <w:r>
        <w:rPr>
          <w:rFonts w:cs="FrankRuehl" w:hint="cs"/>
          <w:sz w:val="20"/>
          <w:szCs w:val="22"/>
          <w:rtl/>
        </w:rPr>
        <w:t>.</w:t>
      </w:r>
      <w:r>
        <w:rPr>
          <w:rFonts w:cs="FrankRuehl"/>
          <w:sz w:val="20"/>
          <w:szCs w:val="22"/>
          <w:rtl/>
        </w:rPr>
        <w:t xml:space="preserve"> </w:t>
      </w:r>
    </w:p>
    <w:p w:rsidR="00B767A7">
      <w:pPr>
        <w:spacing w:after="120" w:line="230" w:lineRule="exact"/>
        <w:jc w:val="both"/>
        <w:rPr>
          <w:rFonts w:cs="FrankRuehl"/>
          <w:sz w:val="20"/>
          <w:szCs w:val="22"/>
          <w:rtl/>
        </w:rPr>
      </w:pPr>
      <w:r>
        <w:rPr>
          <w:rFonts w:cs="FrankRuehl" w:hint="cs"/>
          <w:sz w:val="20"/>
          <w:szCs w:val="22"/>
          <w:rtl/>
        </w:rPr>
        <w:t xml:space="preserve">במשך שנים רבות העניקה המדינה תמיכה לגופים ציבוריים המספקים שירותים בתחום החינוך על פי כללים בלתי ידועים ולעתים אף שלא על פי כללים, קריטריונים או אמות מידה כלשהם. תופעה זו זכתה לכינוי "כספים ייחודיים". בשנת 1992 הוסף סעיף 3א לחוק יסודות התקציב, התשמ"ה-1985, שקבע לראשונה כללים ברורים להענקת תמיכת המדינה לגופים הציבוריים הפועלים, בין היתר, בתחום החינוך. </w:t>
      </w:r>
    </w:p>
    <w:p w:rsidR="00B767A7">
      <w:pPr>
        <w:spacing w:after="120" w:line="230" w:lineRule="exact"/>
        <w:jc w:val="both"/>
        <w:rPr>
          <w:rFonts w:cs="FrankRuehl"/>
          <w:sz w:val="20"/>
          <w:szCs w:val="22"/>
          <w:rtl/>
        </w:rPr>
      </w:pPr>
    </w:p>
    <w:p w:rsidR="00B767A7">
      <w:pPr>
        <w:pStyle w:val="KOT6"/>
        <w:rPr>
          <w:rtl/>
        </w:rPr>
      </w:pPr>
      <w:r>
        <w:rPr>
          <w:rFonts w:hint="eastAsia"/>
          <w:rtl/>
        </w:rPr>
        <w:t>מסלול</w:t>
      </w:r>
      <w:r>
        <w:rPr>
          <w:rtl/>
        </w:rPr>
        <w:t xml:space="preserve"> חוק </w:t>
      </w:r>
      <w:r>
        <w:rPr>
          <w:rFonts w:hint="eastAsia"/>
          <w:rtl/>
        </w:rPr>
        <w:t>נהרי</w:t>
      </w:r>
      <w:r>
        <w:rPr>
          <w:rFonts w:hint="cs"/>
          <w:rtl/>
        </w:rPr>
        <w:t xml:space="preserve"> </w:t>
      </w:r>
    </w:p>
    <w:p w:rsidR="00B767A7">
      <w:pPr>
        <w:spacing w:after="120" w:line="230" w:lineRule="exact"/>
        <w:jc w:val="both"/>
        <w:rPr>
          <w:rFonts w:cs="FrankRuehl"/>
          <w:sz w:val="20"/>
          <w:szCs w:val="22"/>
          <w:rtl/>
        </w:rPr>
      </w:pPr>
      <w:r>
        <w:rPr>
          <w:rFonts w:cs="FrankRuehl" w:hint="cs"/>
          <w:sz w:val="20"/>
          <w:szCs w:val="22"/>
          <w:rtl/>
        </w:rPr>
        <w:t>בהתאם</w:t>
      </w:r>
      <w:r>
        <w:rPr>
          <w:rFonts w:cs="FrankRuehl"/>
          <w:sz w:val="20"/>
          <w:szCs w:val="22"/>
          <w:rtl/>
        </w:rPr>
        <w:t xml:space="preserve"> </w:t>
      </w:r>
      <w:r>
        <w:rPr>
          <w:rFonts w:cs="FrankRuehl" w:hint="cs"/>
          <w:sz w:val="20"/>
          <w:szCs w:val="22"/>
          <w:rtl/>
        </w:rPr>
        <w:t>לחוק</w:t>
      </w:r>
      <w:r>
        <w:rPr>
          <w:rFonts w:cs="FrankRuehl"/>
          <w:sz w:val="20"/>
          <w:szCs w:val="22"/>
          <w:rtl/>
        </w:rPr>
        <w:t xml:space="preserve"> </w:t>
      </w:r>
      <w:r>
        <w:rPr>
          <w:rFonts w:cs="FrankRuehl" w:hint="cs"/>
          <w:sz w:val="20"/>
          <w:szCs w:val="22"/>
          <w:rtl/>
        </w:rPr>
        <w:t>לימוד</w:t>
      </w:r>
      <w:r>
        <w:rPr>
          <w:rFonts w:cs="FrankRuehl"/>
          <w:sz w:val="20"/>
          <w:szCs w:val="22"/>
          <w:rtl/>
        </w:rPr>
        <w:t xml:space="preserve"> </w:t>
      </w:r>
      <w:r>
        <w:rPr>
          <w:rFonts w:cs="FrankRuehl" w:hint="cs"/>
          <w:sz w:val="20"/>
          <w:szCs w:val="22"/>
          <w:rtl/>
        </w:rPr>
        <w:t>חובה</w:t>
      </w:r>
      <w:r>
        <w:rPr>
          <w:rFonts w:cs="FrankRuehl"/>
          <w:sz w:val="20"/>
          <w:szCs w:val="22"/>
          <w:rtl/>
        </w:rPr>
        <w:t xml:space="preserve">, </w:t>
      </w:r>
      <w:r>
        <w:rPr>
          <w:rFonts w:cs="FrankRuehl" w:hint="cs"/>
          <w:sz w:val="20"/>
          <w:szCs w:val="22"/>
          <w:rtl/>
        </w:rPr>
        <w:t>התש</w:t>
      </w:r>
      <w:r>
        <w:rPr>
          <w:rFonts w:cs="FrankRuehl"/>
          <w:sz w:val="20"/>
          <w:szCs w:val="22"/>
          <w:rtl/>
        </w:rPr>
        <w:t>"</w:t>
      </w:r>
      <w:r>
        <w:rPr>
          <w:rFonts w:cs="FrankRuehl" w:hint="cs"/>
          <w:sz w:val="20"/>
          <w:szCs w:val="22"/>
          <w:rtl/>
        </w:rPr>
        <w:t>ט</w:t>
      </w:r>
      <w:r>
        <w:rPr>
          <w:rFonts w:cs="FrankRuehl"/>
          <w:sz w:val="20"/>
          <w:szCs w:val="22"/>
          <w:rtl/>
        </w:rPr>
        <w:t xml:space="preserve">-1949, </w:t>
      </w:r>
      <w:r>
        <w:rPr>
          <w:rFonts w:cs="FrankRuehl" w:hint="cs"/>
          <w:sz w:val="20"/>
          <w:szCs w:val="22"/>
          <w:rtl/>
        </w:rPr>
        <w:t>בתי</w:t>
      </w:r>
      <w:r>
        <w:rPr>
          <w:rFonts w:cs="FrankRuehl"/>
          <w:sz w:val="20"/>
          <w:szCs w:val="22"/>
          <w:rtl/>
        </w:rPr>
        <w:t xml:space="preserve"> </w:t>
      </w:r>
      <w:r>
        <w:rPr>
          <w:rFonts w:cs="FrankRuehl" w:hint="cs"/>
          <w:sz w:val="20"/>
          <w:szCs w:val="22"/>
          <w:rtl/>
        </w:rPr>
        <w:t>הספר</w:t>
      </w:r>
      <w:r>
        <w:rPr>
          <w:rFonts w:cs="FrankRuehl"/>
          <w:sz w:val="20"/>
          <w:szCs w:val="22"/>
          <w:rtl/>
        </w:rPr>
        <w:t xml:space="preserve"> </w:t>
      </w:r>
      <w:r>
        <w:rPr>
          <w:rFonts w:cs="FrankRuehl" w:hint="cs"/>
          <w:sz w:val="20"/>
          <w:szCs w:val="22"/>
          <w:rtl/>
        </w:rPr>
        <w:t>הרשמיים</w:t>
      </w:r>
      <w:r>
        <w:rPr>
          <w:rFonts w:cs="FrankRuehl"/>
          <w:sz w:val="20"/>
          <w:szCs w:val="22"/>
          <w:rtl/>
        </w:rPr>
        <w:t xml:space="preserve"> </w:t>
      </w:r>
      <w:r>
        <w:rPr>
          <w:rFonts w:cs="FrankRuehl" w:hint="cs"/>
          <w:sz w:val="20"/>
          <w:szCs w:val="22"/>
          <w:rtl/>
        </w:rPr>
        <w:t>בישראל מקבלים תקציבים לא רק מהשלטון המרכזי אלא גם</w:t>
      </w:r>
      <w:r>
        <w:rPr>
          <w:rFonts w:cs="FrankRuehl"/>
          <w:sz w:val="20"/>
          <w:szCs w:val="22"/>
          <w:rtl/>
        </w:rPr>
        <w:t xml:space="preserve"> </w:t>
      </w:r>
      <w:r>
        <w:rPr>
          <w:rFonts w:cs="FrankRuehl" w:hint="cs"/>
          <w:sz w:val="20"/>
          <w:szCs w:val="22"/>
          <w:rtl/>
        </w:rPr>
        <w:t>מן</w:t>
      </w:r>
      <w:r>
        <w:rPr>
          <w:rFonts w:cs="FrankRuehl"/>
          <w:sz w:val="20"/>
          <w:szCs w:val="22"/>
          <w:rtl/>
        </w:rPr>
        <w:t xml:space="preserve"> </w:t>
      </w:r>
      <w:r>
        <w:rPr>
          <w:rFonts w:cs="FrankRuehl" w:hint="cs"/>
          <w:sz w:val="20"/>
          <w:szCs w:val="22"/>
          <w:rtl/>
        </w:rPr>
        <w:t>הרשויות</w:t>
      </w:r>
      <w:r>
        <w:rPr>
          <w:rFonts w:cs="FrankRuehl"/>
          <w:sz w:val="20"/>
          <w:szCs w:val="22"/>
          <w:rtl/>
        </w:rPr>
        <w:t xml:space="preserve"> </w:t>
      </w:r>
      <w:r>
        <w:rPr>
          <w:rFonts w:cs="FrankRuehl" w:hint="cs"/>
          <w:sz w:val="20"/>
          <w:szCs w:val="22"/>
          <w:rtl/>
        </w:rPr>
        <w:t>המקומיות</w:t>
      </w:r>
      <w:r>
        <w:rPr>
          <w:rFonts w:cs="FrankRuehl"/>
          <w:sz w:val="20"/>
          <w:szCs w:val="22"/>
          <w:rtl/>
        </w:rPr>
        <w:t>.</w:t>
      </w:r>
      <w:r>
        <w:rPr>
          <w:rFonts w:cs="FrankRuehl" w:hint="cs"/>
          <w:sz w:val="20"/>
          <w:szCs w:val="22"/>
          <w:rtl/>
        </w:rPr>
        <w:t xml:space="preserve"> </w:t>
      </w:r>
    </w:p>
    <w:p w:rsidR="00B767A7">
      <w:pPr>
        <w:spacing w:after="120" w:line="230" w:lineRule="exact"/>
        <w:jc w:val="both"/>
        <w:rPr>
          <w:rFonts w:cs="FrankRuehl"/>
          <w:sz w:val="20"/>
          <w:szCs w:val="22"/>
          <w:rtl/>
        </w:rPr>
      </w:pPr>
      <w:r>
        <w:rPr>
          <w:rFonts w:cs="FrankRuehl" w:hint="cs"/>
          <w:sz w:val="20"/>
          <w:szCs w:val="22"/>
          <w:rtl/>
        </w:rPr>
        <w:t>בשנת 2006 הורה משרד המשפטים לרשויות המקומיות להעביר כספים לעמותות המפעילות את מוסדות החינוך המוכרים באמצעות נוהל תמיכות</w:t>
      </w:r>
      <w:r>
        <w:rPr>
          <w:rStyle w:val="FootnoteReference"/>
          <w:rFonts w:cs="FrankRuehl"/>
          <w:sz w:val="20"/>
          <w:szCs w:val="22"/>
          <w:rtl/>
        </w:rPr>
        <w:footnoteReference w:id="4"/>
      </w:r>
      <w:r>
        <w:rPr>
          <w:rFonts w:cs="FrankRuehl" w:hint="cs"/>
          <w:sz w:val="20"/>
          <w:szCs w:val="22"/>
          <w:rtl/>
        </w:rPr>
        <w:t xml:space="preserve">, קרי באמצעות קביעת תבחינים שוויוניים לחלוקת כספי התמיכה לכלל בתי הספר המוכרים שאינם רשמיים, וחיובן של העמותות המפעילות מוסדות אלה להגיש בקשות לתמיכות בהתאם לכך. </w:t>
      </w:r>
    </w:p>
    <w:p w:rsidR="00B767A7">
      <w:pPr>
        <w:spacing w:after="120" w:line="230" w:lineRule="exact"/>
        <w:jc w:val="both"/>
        <w:rPr>
          <w:rFonts w:cs="FrankRuehl"/>
          <w:sz w:val="20"/>
          <w:szCs w:val="22"/>
          <w:rtl/>
        </w:rPr>
      </w:pPr>
      <w:r>
        <w:rPr>
          <w:rFonts w:cs="FrankRuehl" w:hint="cs"/>
          <w:sz w:val="20"/>
          <w:szCs w:val="22"/>
          <w:rtl/>
        </w:rPr>
        <w:t>בעקבות פרסום הוראת משרד המשפטים תוקן בשנת 2007 חוק חינוך ממלכתי ביזמת חבר הכנסת משולם נהרי, שהיה אז שר במשרד האוצר, מסיעת ש"ס, ולפיכך התיקון מכונה חוק נהרי. נוסח התיקון היה כלהלן:</w:t>
      </w:r>
    </w:p>
    <w:p w:rsidR="00B767A7" w:rsidP="00A63D74">
      <w:pPr>
        <w:spacing w:after="120" w:line="230" w:lineRule="exact"/>
        <w:ind w:left="1021" w:hanging="454"/>
        <w:jc w:val="both"/>
        <w:rPr>
          <w:rFonts w:cs="FrankRuehl"/>
          <w:sz w:val="20"/>
          <w:szCs w:val="22"/>
          <w:rtl/>
        </w:rPr>
      </w:pPr>
      <w:r>
        <w:rPr>
          <w:rFonts w:cs="FrankRuehl" w:hint="cs"/>
          <w:sz w:val="20"/>
          <w:szCs w:val="22"/>
          <w:rtl/>
        </w:rPr>
        <w:t xml:space="preserve">"(א) </w:t>
      </w:r>
      <w:r w:rsidR="00A63D74">
        <w:rPr>
          <w:rFonts w:cs="FrankRuehl"/>
          <w:sz w:val="20"/>
          <w:szCs w:val="22"/>
        </w:rPr>
        <w:tab/>
      </w:r>
      <w:r>
        <w:rPr>
          <w:rFonts w:cs="FrankRuehl" w:hint="cs"/>
          <w:sz w:val="20"/>
          <w:szCs w:val="22"/>
          <w:rtl/>
        </w:rPr>
        <w:t xml:space="preserve">קבע השר... סדרים ותנאים להשתתפות המדינה בתקציבי שעות הלימוד של מוסדות חינוך מוכרים לא רשמיים, בשיעור יחסי להשתתפות המדינה בתקציביהם של מוסדות חינוך רשמיים דומים </w:t>
      </w:r>
      <w:r>
        <w:rPr>
          <w:rFonts w:cs="FrankRuehl"/>
          <w:sz w:val="20"/>
          <w:szCs w:val="22"/>
          <w:rtl/>
        </w:rPr>
        <w:t xml:space="preserve">(בסעיף </w:t>
      </w:r>
      <w:r>
        <w:rPr>
          <w:rFonts w:cs="FrankRuehl" w:hint="cs"/>
          <w:sz w:val="20"/>
          <w:szCs w:val="22"/>
          <w:rtl/>
        </w:rPr>
        <w:t>זה</w:t>
      </w:r>
      <w:r>
        <w:rPr>
          <w:rFonts w:cs="FrankRuehl"/>
          <w:sz w:val="20"/>
          <w:szCs w:val="22"/>
          <w:rtl/>
        </w:rPr>
        <w:t xml:space="preserve"> - </w:t>
      </w:r>
      <w:r>
        <w:rPr>
          <w:rFonts w:cs="FrankRuehl" w:hint="cs"/>
          <w:sz w:val="20"/>
          <w:szCs w:val="22"/>
          <w:rtl/>
        </w:rPr>
        <w:t>ההסדר</w:t>
      </w:r>
      <w:r>
        <w:rPr>
          <w:rFonts w:cs="FrankRuehl"/>
          <w:sz w:val="20"/>
          <w:szCs w:val="22"/>
          <w:rtl/>
        </w:rPr>
        <w:t xml:space="preserve"> </w:t>
      </w:r>
      <w:r>
        <w:rPr>
          <w:rFonts w:cs="FrankRuehl" w:hint="cs"/>
          <w:sz w:val="20"/>
          <w:szCs w:val="22"/>
          <w:rtl/>
        </w:rPr>
        <w:t>הקובע</w:t>
      </w:r>
      <w:r>
        <w:rPr>
          <w:rFonts w:cs="FrankRuehl"/>
          <w:sz w:val="20"/>
          <w:szCs w:val="22"/>
          <w:rtl/>
        </w:rPr>
        <w:t>)</w:t>
      </w:r>
      <w:r>
        <w:rPr>
          <w:rFonts w:cs="FrankRuehl" w:hint="cs"/>
          <w:sz w:val="20"/>
          <w:szCs w:val="22"/>
          <w:rtl/>
        </w:rPr>
        <w:t>, תשתתף רשות חינוך מקומית בתקציבי מוסדות חינוך מוכרים לא רשמיים הפועלים בתחומה בשיעור יחסי להשתתפותה בתקציביהם של מוסדות חינוך רשמיים דומים הפועלים בתחומה, לפי ההסדר הקובע".</w:t>
      </w:r>
    </w:p>
    <w:p w:rsidR="00B767A7">
      <w:pPr>
        <w:spacing w:after="120" w:line="230" w:lineRule="exact"/>
        <w:jc w:val="both"/>
        <w:rPr>
          <w:rFonts w:cs="FrankRuehl"/>
          <w:sz w:val="20"/>
          <w:szCs w:val="22"/>
          <w:rtl/>
        </w:rPr>
      </w:pPr>
      <w:r>
        <w:rPr>
          <w:rFonts w:cs="FrankRuehl" w:hint="cs"/>
          <w:sz w:val="20"/>
          <w:szCs w:val="22"/>
          <w:rtl/>
        </w:rPr>
        <w:t>בשנת 2009 תוקן הסעיף ונוסף לו המשפט הזה:</w:t>
      </w:r>
    </w:p>
    <w:p w:rsidR="00B767A7" w:rsidP="00A63D74">
      <w:pPr>
        <w:spacing w:after="120" w:line="230" w:lineRule="exact"/>
        <w:ind w:left="567"/>
        <w:jc w:val="both"/>
        <w:rPr>
          <w:rFonts w:cs="FrankRuehl"/>
          <w:sz w:val="20"/>
          <w:szCs w:val="22"/>
          <w:rtl/>
        </w:rPr>
      </w:pPr>
      <w:r>
        <w:rPr>
          <w:rFonts w:cs="FrankRuehl" w:hint="cs"/>
          <w:sz w:val="20"/>
          <w:szCs w:val="22"/>
          <w:rtl/>
        </w:rPr>
        <w:t>"השתתפות רשות חינוך מקומית בתקציביהם של מוסדות חינוך מוכרים לא רשמיים כאמור, כולה או חלקה, יכול שתהיה גם בכסף או בשווה כסף, כגון באמצעות העסקת עובדים, לכלל המוסדות או לחלקם, ובלבד ששווי ההשתתפות לגבי כל מוסד יהיה שווה לסך ההשתתפות לפי ההסדר הקובע.</w:t>
      </w:r>
    </w:p>
    <w:p w:rsidR="00B767A7" w:rsidP="00A63D74">
      <w:pPr>
        <w:spacing w:after="120" w:line="230" w:lineRule="exact"/>
        <w:ind w:left="1021" w:hanging="454"/>
        <w:jc w:val="both"/>
        <w:rPr>
          <w:rFonts w:cs="FrankRuehl"/>
          <w:sz w:val="20"/>
          <w:szCs w:val="22"/>
          <w:rtl/>
        </w:rPr>
      </w:pPr>
      <w:r>
        <w:rPr>
          <w:rFonts w:cs="FrankRuehl" w:hint="cs"/>
          <w:sz w:val="20"/>
          <w:szCs w:val="22"/>
          <w:rtl/>
        </w:rPr>
        <w:t xml:space="preserve">"(ב) </w:t>
      </w:r>
      <w:r w:rsidR="00A63D74">
        <w:rPr>
          <w:rFonts w:cs="FrankRuehl"/>
          <w:sz w:val="20"/>
          <w:szCs w:val="22"/>
        </w:rPr>
        <w:tab/>
      </w:r>
      <w:r>
        <w:rPr>
          <w:rFonts w:cs="FrankRuehl" w:hint="cs"/>
          <w:sz w:val="20"/>
          <w:szCs w:val="22"/>
          <w:rtl/>
        </w:rPr>
        <w:t xml:space="preserve">אין בהוראות [אלה] כדי לגרוע מסמכותה של רשות חינוך מקומית לקבוע שיעור השתתפות בתקציבי מוסדות חינוך מוכרים לא רשמיים הפועלים בתחומה, כולם או חלקם, העולה על השיעור בהסדר הקובע, והיא רשאית לעשות כן גם לגבי רכיב מהרכיבים להשתתפות בתקציב לפי סעיף זה". </w:t>
      </w:r>
    </w:p>
    <w:p w:rsidR="00B767A7">
      <w:pPr>
        <w:spacing w:after="120" w:line="230" w:lineRule="exact"/>
        <w:jc w:val="both"/>
        <w:rPr>
          <w:rFonts w:cs="FrankRuehl"/>
          <w:sz w:val="20"/>
          <w:szCs w:val="22"/>
          <w:rtl/>
        </w:rPr>
      </w:pPr>
      <w:r>
        <w:rPr>
          <w:rFonts w:cs="FrankRuehl" w:hint="cs"/>
          <w:sz w:val="20"/>
          <w:szCs w:val="22"/>
          <w:rtl/>
        </w:rPr>
        <w:t>בעקבות תיקון החוק תוקנו תקנות בנושא</w:t>
      </w:r>
      <w:r>
        <w:rPr>
          <w:rStyle w:val="FootnoteReference"/>
          <w:rFonts w:cs="FrankRuehl"/>
          <w:sz w:val="20"/>
          <w:szCs w:val="22"/>
          <w:rtl/>
        </w:rPr>
        <w:footnoteReference w:id="5"/>
      </w:r>
      <w:r>
        <w:rPr>
          <w:rFonts w:cs="FrankRuehl" w:hint="cs"/>
          <w:sz w:val="20"/>
          <w:szCs w:val="22"/>
          <w:rtl/>
        </w:rPr>
        <w:t xml:space="preserve">. תקנות אלה קבעו כי המדינה תתקצב את מוסדות החינוך המוכרים בשיעור של 75% מהתקציב שהיא מקצה למוסדות חינוך רשמיים דומים, וכי הוראה זו תחול על כיתות א'-ט' בלבד. </w:t>
      </w:r>
    </w:p>
    <w:p w:rsidR="00B767A7">
      <w:pPr>
        <w:spacing w:after="120" w:line="230" w:lineRule="exact"/>
        <w:jc w:val="both"/>
        <w:rPr>
          <w:rFonts w:cs="FrankRuehl"/>
          <w:sz w:val="20"/>
          <w:szCs w:val="22"/>
          <w:rtl/>
        </w:rPr>
      </w:pPr>
      <w:r>
        <w:rPr>
          <w:rFonts w:cs="FrankRuehl" w:hint="cs"/>
          <w:sz w:val="20"/>
          <w:szCs w:val="22"/>
          <w:rtl/>
        </w:rPr>
        <w:t xml:space="preserve">יצוין כי ביוני 2013 שינתה הכנסת את חוק נהרי (ראו להלן). עם זאת, בתקופה שנסקרה בבדיקה זו חוק נהרי עדיין חל. </w:t>
      </w:r>
    </w:p>
    <w:p w:rsidR="00B767A7">
      <w:pPr>
        <w:spacing w:after="120" w:line="230" w:lineRule="exact"/>
        <w:jc w:val="both"/>
        <w:rPr>
          <w:rFonts w:cs="FrankRuehl"/>
          <w:sz w:val="20"/>
          <w:szCs w:val="22"/>
          <w:rtl/>
        </w:rPr>
      </w:pPr>
    </w:p>
    <w:p w:rsidR="00B767A7">
      <w:pPr>
        <w:pStyle w:val="KOT6"/>
        <w:rPr>
          <w:rtl/>
        </w:rPr>
      </w:pPr>
      <w:r>
        <w:rPr>
          <w:rFonts w:hint="cs"/>
          <w:rtl/>
        </w:rPr>
        <w:t>נוהל משרד הפנים ליישום חוק נהרי</w:t>
      </w:r>
    </w:p>
    <w:p w:rsidR="00B767A7">
      <w:pPr>
        <w:spacing w:after="120" w:line="230" w:lineRule="exact"/>
        <w:jc w:val="both"/>
        <w:rPr>
          <w:rFonts w:cs="FrankRuehl"/>
          <w:sz w:val="20"/>
          <w:szCs w:val="22"/>
          <w:rtl/>
        </w:rPr>
      </w:pPr>
      <w:r>
        <w:rPr>
          <w:rFonts w:cs="FrankRuehl" w:hint="cs"/>
          <w:sz w:val="20"/>
          <w:szCs w:val="22"/>
          <w:rtl/>
        </w:rPr>
        <w:t xml:space="preserve">בחוזר מנכ"ל משרד הפנים מדצמבר 2009 פורסם נוהל "השתתפות הרשויות המקומיות בתקציבי מוסדות החינוך המוכרים שאינם רשמיים", ובו נכללות הנחיות המשרד ליישום חוק נהרי (להלן - הנוהל ליישום חוק נהרי). בהנחיות נקבע, בין היתר, כדלהלן: </w:t>
      </w:r>
    </w:p>
    <w:p w:rsidR="00B767A7" w:rsidP="00A63D74">
      <w:pPr>
        <w:spacing w:after="120" w:line="230" w:lineRule="exact"/>
        <w:ind w:left="340" w:hanging="340"/>
        <w:jc w:val="both"/>
        <w:rPr>
          <w:rFonts w:cs="FrankRuehl"/>
          <w:sz w:val="20"/>
          <w:szCs w:val="22"/>
          <w:rtl/>
        </w:rPr>
      </w:pPr>
      <w:r>
        <w:rPr>
          <w:rFonts w:cs="FrankRuehl" w:hint="cs"/>
          <w:sz w:val="20"/>
          <w:szCs w:val="22"/>
          <w:rtl/>
        </w:rPr>
        <w:t>1.</w:t>
      </w:r>
      <w:r>
        <w:rPr>
          <w:rFonts w:cs="FrankRuehl" w:hint="cs"/>
          <w:sz w:val="20"/>
          <w:szCs w:val="22"/>
          <w:rtl/>
        </w:rPr>
        <w:tab/>
        <w:t>השתתפות הרשות המקומית בתקציבי מוסדות החינוך המוכרים אינה צריכה להתבצע על פי נוהל תמיכות של הרשויות המקומיות במוסדות ציבור, אלא תתבצע באמצעות העברה תקציבית של הסכום למוסד החינוך, ולרבות תמיכה שוות כסף</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 xml:space="preserve">שירות הניתן על ידי הרשות המקומית, לאחר בדיקת עמידתו של המוסד בתנאים שנקבעו לכך בחוק. </w:t>
      </w:r>
    </w:p>
    <w:p w:rsidR="00B767A7" w:rsidP="00A63D74">
      <w:pPr>
        <w:spacing w:after="120" w:line="230" w:lineRule="exact"/>
        <w:ind w:left="340" w:hanging="340"/>
        <w:jc w:val="both"/>
        <w:rPr>
          <w:rFonts w:cs="FrankRuehl"/>
          <w:sz w:val="20"/>
          <w:szCs w:val="22"/>
          <w:rtl/>
        </w:rPr>
      </w:pPr>
      <w:r>
        <w:rPr>
          <w:rFonts w:cs="FrankRuehl" w:hint="cs"/>
          <w:sz w:val="20"/>
          <w:szCs w:val="22"/>
          <w:rtl/>
        </w:rPr>
        <w:t>2.</w:t>
      </w:r>
      <w:r>
        <w:rPr>
          <w:rFonts w:cs="FrankRuehl" w:hint="cs"/>
          <w:sz w:val="20"/>
          <w:szCs w:val="22"/>
          <w:rtl/>
        </w:rPr>
        <w:tab/>
        <w:t>את החלטת הרשות המקומית בדבר הגדלת שיעור השתתפותה (מעבר ל-75%) אפשר להחיל על כל המוסדות המוכרים שבתחומה של הרשות או על חלקם, וזאת</w:t>
      </w:r>
      <w:r>
        <w:rPr>
          <w:rFonts w:cs="FrankRuehl"/>
          <w:sz w:val="20"/>
          <w:szCs w:val="22"/>
          <w:rtl/>
        </w:rPr>
        <w:t xml:space="preserve"> </w:t>
      </w:r>
      <w:r>
        <w:rPr>
          <w:rFonts w:cs="FrankRuehl" w:hint="cs"/>
          <w:sz w:val="20"/>
          <w:szCs w:val="22"/>
          <w:rtl/>
        </w:rPr>
        <w:t>בכפוף</w:t>
      </w:r>
      <w:r>
        <w:rPr>
          <w:rFonts w:cs="FrankRuehl"/>
          <w:sz w:val="20"/>
          <w:szCs w:val="22"/>
          <w:rtl/>
        </w:rPr>
        <w:t xml:space="preserve"> </w:t>
      </w:r>
      <w:r>
        <w:rPr>
          <w:rFonts w:cs="FrankRuehl" w:hint="cs"/>
          <w:sz w:val="20"/>
          <w:szCs w:val="22"/>
          <w:rtl/>
        </w:rPr>
        <w:t>לקריטריונים (תבחינים</w:t>
      </w:r>
      <w:r>
        <w:rPr>
          <w:rStyle w:val="FootnoteReference"/>
          <w:rFonts w:cs="FrankRuehl"/>
          <w:sz w:val="20"/>
          <w:szCs w:val="22"/>
          <w:rtl/>
        </w:rPr>
        <w:footnoteReference w:id="6"/>
      </w:r>
      <w:r>
        <w:rPr>
          <w:rFonts w:cs="FrankRuehl" w:hint="cs"/>
          <w:sz w:val="20"/>
          <w:szCs w:val="22"/>
          <w:rtl/>
        </w:rPr>
        <w:t>) שייקבעו</w:t>
      </w:r>
      <w:r>
        <w:rPr>
          <w:rFonts w:cs="FrankRuehl"/>
          <w:sz w:val="20"/>
          <w:szCs w:val="22"/>
          <w:rtl/>
        </w:rPr>
        <w:t xml:space="preserve"> </w:t>
      </w:r>
      <w:r>
        <w:rPr>
          <w:rFonts w:cs="FrankRuehl" w:hint="cs"/>
          <w:sz w:val="20"/>
          <w:szCs w:val="22"/>
          <w:rtl/>
        </w:rPr>
        <w:t>בהתאם</w:t>
      </w:r>
      <w:r>
        <w:rPr>
          <w:rFonts w:cs="FrankRuehl"/>
          <w:sz w:val="20"/>
          <w:szCs w:val="22"/>
          <w:rtl/>
        </w:rPr>
        <w:t xml:space="preserve"> </w:t>
      </w:r>
      <w:r>
        <w:rPr>
          <w:rFonts w:cs="FrankRuehl" w:hint="cs"/>
          <w:sz w:val="20"/>
          <w:szCs w:val="22"/>
          <w:rtl/>
        </w:rPr>
        <w:t>לכללי</w:t>
      </w:r>
      <w:r>
        <w:rPr>
          <w:rFonts w:cs="FrankRuehl"/>
          <w:sz w:val="20"/>
          <w:szCs w:val="22"/>
          <w:rtl/>
        </w:rPr>
        <w:t xml:space="preserve"> </w:t>
      </w:r>
      <w:r>
        <w:rPr>
          <w:rFonts w:cs="FrankRuehl" w:hint="cs"/>
          <w:sz w:val="20"/>
          <w:szCs w:val="22"/>
          <w:rtl/>
        </w:rPr>
        <w:t>השוויון</w:t>
      </w:r>
      <w:r>
        <w:rPr>
          <w:rFonts w:cs="FrankRuehl"/>
          <w:sz w:val="20"/>
          <w:szCs w:val="22"/>
          <w:rtl/>
        </w:rPr>
        <w:t xml:space="preserve"> </w:t>
      </w:r>
      <w:r>
        <w:rPr>
          <w:rFonts w:cs="FrankRuehl" w:hint="cs"/>
          <w:sz w:val="20"/>
          <w:szCs w:val="22"/>
          <w:rtl/>
        </w:rPr>
        <w:t>והמשפט</w:t>
      </w:r>
      <w:r>
        <w:rPr>
          <w:rFonts w:cs="FrankRuehl"/>
          <w:sz w:val="20"/>
          <w:szCs w:val="22"/>
          <w:rtl/>
        </w:rPr>
        <w:t xml:space="preserve"> </w:t>
      </w:r>
      <w:r>
        <w:rPr>
          <w:rFonts w:cs="FrankRuehl" w:hint="cs"/>
          <w:sz w:val="20"/>
          <w:szCs w:val="22"/>
          <w:rtl/>
        </w:rPr>
        <w:t xml:space="preserve">המינהלי. </w:t>
      </w:r>
    </w:p>
    <w:p w:rsidR="00B767A7">
      <w:pPr>
        <w:spacing w:after="120" w:line="230" w:lineRule="exact"/>
        <w:ind w:hanging="2"/>
        <w:jc w:val="both"/>
        <w:rPr>
          <w:rFonts w:cs="FrankRuehl"/>
          <w:sz w:val="20"/>
          <w:szCs w:val="22"/>
          <w:rtl/>
        </w:rPr>
      </w:pPr>
      <w:r>
        <w:rPr>
          <w:rFonts w:cs="FrankRuehl" w:hint="cs"/>
          <w:sz w:val="20"/>
          <w:szCs w:val="22"/>
          <w:rtl/>
        </w:rPr>
        <w:t>מחוות דעתו של היועץ המשפטי לממשלה שניתנה במחצית השנייה של שנת 2010</w:t>
      </w:r>
      <w:r>
        <w:rPr>
          <w:rStyle w:val="FootnoteReference"/>
          <w:rFonts w:cs="FrankRuehl"/>
          <w:sz w:val="20"/>
          <w:szCs w:val="22"/>
          <w:rtl/>
        </w:rPr>
        <w:footnoteReference w:id="7"/>
      </w:r>
      <w:r>
        <w:rPr>
          <w:rFonts w:cs="FrankRuehl" w:hint="cs"/>
          <w:sz w:val="20"/>
          <w:szCs w:val="22"/>
          <w:rtl/>
        </w:rPr>
        <w:t xml:space="preserve"> ומחוזר מנכ"ל משרד הפנים עולה כי אם רשות מקומית משתתפת במימון רכיבים שונים בתקציבם של מוסדות חינוך מוכרים, שנקבעו</w:t>
      </w:r>
      <w:r>
        <w:rPr>
          <w:rFonts w:cs="FrankRuehl"/>
          <w:sz w:val="20"/>
          <w:szCs w:val="22"/>
          <w:rtl/>
        </w:rPr>
        <w:t xml:space="preserve"> </w:t>
      </w:r>
      <w:r>
        <w:rPr>
          <w:rFonts w:cs="FrankRuehl" w:hint="cs"/>
          <w:sz w:val="20"/>
          <w:szCs w:val="22"/>
          <w:rtl/>
        </w:rPr>
        <w:t>בחוות</w:t>
      </w:r>
      <w:r>
        <w:rPr>
          <w:rFonts w:cs="FrankRuehl"/>
          <w:sz w:val="20"/>
          <w:szCs w:val="22"/>
          <w:rtl/>
        </w:rPr>
        <w:t xml:space="preserve"> </w:t>
      </w:r>
      <w:r>
        <w:rPr>
          <w:rFonts w:cs="FrankRuehl" w:hint="cs"/>
          <w:sz w:val="20"/>
          <w:szCs w:val="22"/>
          <w:rtl/>
        </w:rPr>
        <w:t>דעתו</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היועץ</w:t>
      </w:r>
      <w:r>
        <w:rPr>
          <w:rFonts w:cs="FrankRuehl"/>
          <w:sz w:val="20"/>
          <w:szCs w:val="22"/>
          <w:rtl/>
        </w:rPr>
        <w:t xml:space="preserve"> </w:t>
      </w:r>
      <w:r>
        <w:rPr>
          <w:rFonts w:cs="FrankRuehl" w:hint="cs"/>
          <w:sz w:val="20"/>
          <w:szCs w:val="22"/>
          <w:rtl/>
        </w:rPr>
        <w:t>המשפטי</w:t>
      </w:r>
      <w:r>
        <w:rPr>
          <w:rFonts w:cs="FrankRuehl"/>
          <w:sz w:val="20"/>
          <w:szCs w:val="22"/>
          <w:rtl/>
        </w:rPr>
        <w:t xml:space="preserve"> </w:t>
      </w:r>
      <w:r>
        <w:rPr>
          <w:rFonts w:cs="FrankRuehl" w:hint="cs"/>
          <w:sz w:val="20"/>
          <w:szCs w:val="22"/>
          <w:rtl/>
        </w:rPr>
        <w:t xml:space="preserve">לממשלה, ואם היא מקציבה לאותם </w:t>
      </w:r>
      <w:r>
        <w:rPr>
          <w:rFonts w:cs="FrankRuehl" w:hint="cs"/>
          <w:sz w:val="20"/>
          <w:szCs w:val="22"/>
          <w:rtl/>
        </w:rPr>
        <w:t>מוסדות 100% מהסכום שהיא מקציבה למוסדות החינוך הרשמיים, עליה לעשות זאת במסגרת המסלול המתבצע באמצעות סעיפי החינוך בתקציב הרשות המקומית, המאושר על ידי ועדת הכספים של הרשות ומועצת הרשות. אך אם ברצון הרשות להשתתף בתקציבי אוכלוסיות שלא נקבעו בחוות דעתו של היועץ המשפטי לממשלה (למשל אם בכוונתה לתקצב גני ילדים וכיתות י-י"ב בחינוך המוכר או את מוסדות הפטור</w:t>
      </w:r>
      <w:r>
        <w:rPr>
          <w:rStyle w:val="FootnoteReference"/>
          <w:rFonts w:cs="FrankRuehl"/>
          <w:sz w:val="20"/>
          <w:szCs w:val="22"/>
          <w:rtl/>
        </w:rPr>
        <w:footnoteReference w:id="8"/>
      </w:r>
      <w:r>
        <w:rPr>
          <w:rFonts w:cs="FrankRuehl" w:hint="cs"/>
          <w:sz w:val="20"/>
          <w:szCs w:val="22"/>
          <w:rtl/>
        </w:rPr>
        <w:t xml:space="preserve"> ולממן את לימודיהם של תלמידי חוץ, או להעביר תמיכה לרכיבים שלא נכללו בחוק נהרי, כגון הסעות</w:t>
      </w:r>
      <w:r>
        <w:rPr>
          <w:rStyle w:val="FootnoteReference"/>
          <w:rFonts w:cs="FrankRuehl"/>
          <w:sz w:val="20"/>
          <w:szCs w:val="22"/>
          <w:rtl/>
        </w:rPr>
        <w:footnoteReference w:id="9"/>
      </w:r>
      <w:r>
        <w:rPr>
          <w:rFonts w:cs="FrankRuehl" w:hint="cs"/>
          <w:sz w:val="20"/>
          <w:szCs w:val="22"/>
          <w:rtl/>
        </w:rPr>
        <w:t xml:space="preserve">) היא יכולה לעשות זאת רק במסגרת מסלול תמיכות במוסדות המתבצע בסעיפי התמיכות בתקציב ולפי נוהל תמיכות. </w:t>
      </w:r>
    </w:p>
    <w:p w:rsidR="00B767A7">
      <w:pPr>
        <w:spacing w:after="120" w:line="230" w:lineRule="exact"/>
        <w:ind w:hanging="2"/>
        <w:jc w:val="both"/>
        <w:rPr>
          <w:rFonts w:cs="FrankRuehl"/>
          <w:sz w:val="20"/>
          <w:szCs w:val="22"/>
          <w:rtl/>
        </w:rPr>
      </w:pPr>
      <w:r>
        <w:rPr>
          <w:rFonts w:cs="FrankRuehl" w:hint="cs"/>
          <w:sz w:val="20"/>
          <w:szCs w:val="22"/>
          <w:rtl/>
        </w:rPr>
        <w:t xml:space="preserve">נמצא כי עיריית פתח תקווה תקצבה מוסדות חינוך מוכרים במסלול חוק נהרי באוכלוסיות וברכיבים שלא אושרו בחוות הדעת של היועץ המשפטי לממשלה. פירוט בעניינים שנבדקו - גני ילדים במסגרת חינוך חובה, תקצוב תלמידי חוץ והסעות - ראו להלן. </w:t>
      </w:r>
    </w:p>
    <w:p w:rsidR="00B767A7" w:rsidRPr="00A63D74" w:rsidP="00A63D74">
      <w:pPr>
        <w:pStyle w:val="BodyText"/>
        <w:spacing w:before="0" w:after="240"/>
        <w:rPr>
          <w:sz w:val="20"/>
          <w:rtl/>
        </w:rPr>
      </w:pPr>
      <w:r w:rsidRPr="00A63D74">
        <w:rPr>
          <w:rFonts w:hint="cs"/>
          <w:sz w:val="20"/>
          <w:rtl/>
        </w:rPr>
        <w:t xml:space="preserve">בתשובה שמסרה עיריית פתח תקווה ביוני 2014 (להלן - תשובת העירייה) נכתב כי במועד הגשת טיוטת הדוח היא עדיין לא ידעה ואף לא הייתה אמורה לדעת על דבר קיומה של חוות הדעת של היועץ המשפטי לממשלה, ולפיכך עדיין פעלה על פי הנוהל ליישום חוק נהרי שפורסם בחוזרי מנכ"ל משרד הפנים וכמתחייב ממנו. </w:t>
      </w:r>
    </w:p>
    <w:p w:rsidR="00B767A7" w:rsidP="00A63D74">
      <w:pPr>
        <w:pStyle w:val="RESHET"/>
        <w:rPr>
          <w:rtl/>
        </w:rPr>
      </w:pPr>
      <w:r>
        <w:rPr>
          <w:rFonts w:hint="cs"/>
          <w:rtl/>
        </w:rPr>
        <w:t>יצוין</w:t>
      </w:r>
      <w:r>
        <w:rPr>
          <w:rtl/>
        </w:rPr>
        <w:t xml:space="preserve"> </w:t>
      </w:r>
      <w:r>
        <w:rPr>
          <w:rFonts w:hint="eastAsia"/>
          <w:rtl/>
        </w:rPr>
        <w:t>כי</w:t>
      </w:r>
      <w:r>
        <w:rPr>
          <w:rtl/>
        </w:rPr>
        <w:t xml:space="preserve"> </w:t>
      </w:r>
      <w:r>
        <w:rPr>
          <w:rFonts w:hint="cs"/>
          <w:rtl/>
        </w:rPr>
        <w:t>כבר בפברואר 2010</w:t>
      </w:r>
      <w:r>
        <w:rPr>
          <w:rtl/>
        </w:rPr>
        <w:t xml:space="preserve"> </w:t>
      </w:r>
      <w:r>
        <w:rPr>
          <w:rFonts w:hint="cs"/>
          <w:rtl/>
        </w:rPr>
        <w:t>כתב</w:t>
      </w:r>
      <w:r>
        <w:rPr>
          <w:rtl/>
        </w:rPr>
        <w:t xml:space="preserve"> </w:t>
      </w:r>
      <w:r>
        <w:rPr>
          <w:rFonts w:hint="eastAsia"/>
          <w:rtl/>
        </w:rPr>
        <w:t>מנכ</w:t>
      </w:r>
      <w:r>
        <w:rPr>
          <w:rtl/>
        </w:rPr>
        <w:t xml:space="preserve">"ל משרד החינוך </w:t>
      </w:r>
      <w:r>
        <w:rPr>
          <w:rFonts w:hint="cs"/>
          <w:rtl/>
        </w:rPr>
        <w:t xml:space="preserve">במכתב למנכ"ל מרכז השלטון המקומי כי </w:t>
      </w:r>
      <w:r>
        <w:rPr>
          <w:rFonts w:hint="eastAsia"/>
          <w:rtl/>
        </w:rPr>
        <w:t>חוזר</w:t>
      </w:r>
      <w:r>
        <w:rPr>
          <w:rtl/>
        </w:rPr>
        <w:t xml:space="preserve"> מנכ"ל משרד הפנים </w:t>
      </w:r>
      <w:r>
        <w:rPr>
          <w:rFonts w:hint="cs"/>
          <w:rtl/>
        </w:rPr>
        <w:t>בדבר הנוהל ליישום חוק נהרי</w:t>
      </w:r>
      <w:r>
        <w:rPr>
          <w:rtl/>
        </w:rPr>
        <w:t xml:space="preserve"> </w:t>
      </w:r>
      <w:r>
        <w:rPr>
          <w:rFonts w:hint="cs"/>
          <w:rtl/>
        </w:rPr>
        <w:t>"</w:t>
      </w:r>
      <w:r>
        <w:rPr>
          <w:rtl/>
        </w:rPr>
        <w:t xml:space="preserve">נכתב ופורסם </w:t>
      </w:r>
      <w:r>
        <w:rPr>
          <w:rFonts w:hint="eastAsia"/>
          <w:rtl/>
        </w:rPr>
        <w:t>ללא</w:t>
      </w:r>
      <w:r>
        <w:rPr>
          <w:rtl/>
        </w:rPr>
        <w:t xml:space="preserve"> כל תיאום או הידברות עם משרד החינוך, ושלא על דעת שר החינוך או דעתי</w:t>
      </w:r>
      <w:r>
        <w:rPr>
          <w:rFonts w:hint="cs"/>
          <w:rtl/>
        </w:rPr>
        <w:t xml:space="preserve"> [מנכ"ל משרד החינוך]</w:t>
      </w:r>
      <w:r>
        <w:rPr>
          <w:rtl/>
        </w:rPr>
        <w:t>. אנו רואים בחומרה הוצאת החוזר, ואת הניסיון לקבוע פרשנות ביחס לסעיפים בחוק חינוך ממלכתי, התשי"ג-1953 [</w:t>
      </w:r>
      <w:r>
        <w:rPr>
          <w:rFonts w:hint="eastAsia"/>
          <w:rtl/>
        </w:rPr>
        <w:t>חוק</w:t>
      </w:r>
      <w:r>
        <w:rPr>
          <w:rtl/>
        </w:rPr>
        <w:t xml:space="preserve"> </w:t>
      </w:r>
      <w:r>
        <w:rPr>
          <w:rFonts w:hint="eastAsia"/>
          <w:rtl/>
        </w:rPr>
        <w:t>נהרי</w:t>
      </w:r>
      <w:r>
        <w:rPr>
          <w:rtl/>
        </w:rPr>
        <w:t xml:space="preserve">] </w:t>
      </w:r>
      <w:r>
        <w:rPr>
          <w:rFonts w:hint="eastAsia"/>
          <w:rtl/>
        </w:rPr>
        <w:t>שעל</w:t>
      </w:r>
      <w:r>
        <w:rPr>
          <w:rtl/>
        </w:rPr>
        <w:t xml:space="preserve"> </w:t>
      </w:r>
      <w:r>
        <w:rPr>
          <w:rFonts w:hint="eastAsia"/>
          <w:rtl/>
        </w:rPr>
        <w:t>ביצועו</w:t>
      </w:r>
      <w:r>
        <w:rPr>
          <w:rtl/>
        </w:rPr>
        <w:t xml:space="preserve"> </w:t>
      </w:r>
      <w:r>
        <w:rPr>
          <w:rFonts w:hint="eastAsia"/>
          <w:rtl/>
        </w:rPr>
        <w:t>מופקד</w:t>
      </w:r>
      <w:r>
        <w:rPr>
          <w:rtl/>
        </w:rPr>
        <w:t xml:space="preserve"> </w:t>
      </w:r>
      <w:r>
        <w:rPr>
          <w:rFonts w:hint="eastAsia"/>
          <w:rtl/>
        </w:rPr>
        <w:t>שר</w:t>
      </w:r>
      <w:r>
        <w:rPr>
          <w:rtl/>
        </w:rPr>
        <w:t xml:space="preserve"> </w:t>
      </w:r>
      <w:r>
        <w:rPr>
          <w:rFonts w:hint="eastAsia"/>
          <w:rtl/>
        </w:rPr>
        <w:t>החינוך</w:t>
      </w:r>
      <w:r>
        <w:rPr>
          <w:rtl/>
        </w:rPr>
        <w:t>"</w:t>
      </w:r>
      <w:r>
        <w:rPr>
          <w:rFonts w:hint="cs"/>
          <w:rtl/>
        </w:rPr>
        <w:t>. עוד יצוין כי בפסק הדין שנזכר לעיל</w:t>
      </w:r>
      <w:r>
        <w:rPr>
          <w:rStyle w:val="FootnoteReference"/>
          <w:rFonts w:cs="FrankRuehl"/>
          <w:rtl/>
        </w:rPr>
        <w:footnoteReference w:id="10"/>
      </w:r>
      <w:r>
        <w:rPr>
          <w:rFonts w:hint="cs"/>
          <w:rtl/>
        </w:rPr>
        <w:t xml:space="preserve"> הביאה השופטת שרה גדות את דברי מנכ"ל משרד החינוך והוסיפה כי שר החינוך הוא המוסמך לתת פרשנות לגבי סעיפי חוק חינוך ממלכתי, ואילו שר הפנים אינו מוסמך לעשות כן. </w:t>
      </w:r>
    </w:p>
    <w:p w:rsidR="00B767A7" w:rsidP="00A63D74">
      <w:pPr>
        <w:pStyle w:val="RESHET"/>
        <w:rPr>
          <w:rtl/>
        </w:rPr>
      </w:pPr>
      <w:r>
        <w:rPr>
          <w:rFonts w:hint="cs"/>
          <w:rtl/>
        </w:rPr>
        <w:t>משרד מבקר המדינה מציין כי חוות הדעת של היועץ המשפטי לממשלה הוזכרה בשלושה חוזרים של המרכז לשלטון מקומי (אוגוסט ונובמבר 2012 וינואר 2013) שנשלחו לכל הרשויות המקומיות, וגם בחוזר מיוחד מנובמבר 2012 שבו הובאה תמצית עמדת היועץ המשפטי לממשלה אשר אותו פרסמה היועצת המשפטית של מרכז השלטון המקומי בקרב כל הרשויות המקומיות ויועציהן המשפטיים.</w:t>
      </w:r>
    </w:p>
    <w:p w:rsidR="00B767A7" w:rsidP="00A63D74">
      <w:pPr>
        <w:pStyle w:val="RESHET"/>
        <w:rPr>
          <w:rtl/>
        </w:rPr>
      </w:pPr>
      <w:r>
        <w:rPr>
          <w:rFonts w:hint="cs"/>
          <w:rtl/>
        </w:rPr>
        <w:t>לדעת</w:t>
      </w:r>
      <w:r>
        <w:rPr>
          <w:rtl/>
        </w:rPr>
        <w:t xml:space="preserve"> משרד מבקר המדינה, עיריית פתח תקווה </w:t>
      </w:r>
      <w:r>
        <w:rPr>
          <w:rFonts w:hint="cs"/>
          <w:rtl/>
        </w:rPr>
        <w:t>הייתה צריכה</w:t>
      </w:r>
      <w:r>
        <w:rPr>
          <w:rtl/>
        </w:rPr>
        <w:t xml:space="preserve"> להיות מודעת </w:t>
      </w:r>
      <w:r>
        <w:rPr>
          <w:rFonts w:hint="cs"/>
          <w:rtl/>
        </w:rPr>
        <w:t>לאמור</w:t>
      </w:r>
      <w:r>
        <w:rPr>
          <w:rtl/>
        </w:rPr>
        <w:t xml:space="preserve"> </w:t>
      </w:r>
      <w:r>
        <w:rPr>
          <w:rFonts w:hint="cs"/>
          <w:rtl/>
        </w:rPr>
        <w:t>בעניין</w:t>
      </w:r>
      <w:r>
        <w:rPr>
          <w:rtl/>
        </w:rPr>
        <w:t xml:space="preserve"> </w:t>
      </w:r>
      <w:r>
        <w:rPr>
          <w:rFonts w:hint="cs"/>
          <w:rtl/>
        </w:rPr>
        <w:t>יישום</w:t>
      </w:r>
      <w:r>
        <w:rPr>
          <w:rtl/>
        </w:rPr>
        <w:t xml:space="preserve"> חוק </w:t>
      </w:r>
      <w:r>
        <w:rPr>
          <w:rFonts w:hint="cs"/>
          <w:rtl/>
        </w:rPr>
        <w:t>נהרי</w:t>
      </w:r>
      <w:r>
        <w:rPr>
          <w:rtl/>
        </w:rPr>
        <w:t xml:space="preserve"> </w:t>
      </w:r>
      <w:r>
        <w:rPr>
          <w:rFonts w:hint="cs"/>
          <w:rtl/>
        </w:rPr>
        <w:t>מחוזרי</w:t>
      </w:r>
      <w:r>
        <w:rPr>
          <w:rtl/>
        </w:rPr>
        <w:t xml:space="preserve"> </w:t>
      </w:r>
      <w:r>
        <w:rPr>
          <w:rFonts w:hint="cs"/>
          <w:rtl/>
        </w:rPr>
        <w:t>מרכז</w:t>
      </w:r>
      <w:r>
        <w:rPr>
          <w:rtl/>
        </w:rPr>
        <w:t xml:space="preserve"> </w:t>
      </w:r>
      <w:r>
        <w:rPr>
          <w:rFonts w:hint="cs"/>
          <w:rtl/>
        </w:rPr>
        <w:t>השלטון</w:t>
      </w:r>
      <w:r>
        <w:rPr>
          <w:rtl/>
        </w:rPr>
        <w:t xml:space="preserve"> </w:t>
      </w:r>
      <w:r>
        <w:rPr>
          <w:rFonts w:hint="cs"/>
          <w:rtl/>
        </w:rPr>
        <w:t>המקומי</w:t>
      </w:r>
      <w:r>
        <w:rPr>
          <w:rtl/>
        </w:rPr>
        <w:t xml:space="preserve">, </w:t>
      </w:r>
      <w:r>
        <w:rPr>
          <w:rFonts w:hint="cs"/>
          <w:rtl/>
        </w:rPr>
        <w:t>מחוות</w:t>
      </w:r>
      <w:r>
        <w:rPr>
          <w:rtl/>
        </w:rPr>
        <w:t xml:space="preserve"> </w:t>
      </w:r>
      <w:r>
        <w:rPr>
          <w:rFonts w:hint="cs"/>
          <w:rtl/>
        </w:rPr>
        <w:t>דעתו</w:t>
      </w:r>
      <w:r>
        <w:rPr>
          <w:rtl/>
        </w:rPr>
        <w:t xml:space="preserve"> </w:t>
      </w:r>
      <w:r>
        <w:rPr>
          <w:rFonts w:hint="cs"/>
          <w:rtl/>
        </w:rPr>
        <w:t>של</w:t>
      </w:r>
      <w:r>
        <w:rPr>
          <w:rtl/>
        </w:rPr>
        <w:t xml:space="preserve"> </w:t>
      </w:r>
      <w:r>
        <w:rPr>
          <w:rFonts w:hint="cs"/>
          <w:rtl/>
        </w:rPr>
        <w:t>היועץ</w:t>
      </w:r>
      <w:r>
        <w:rPr>
          <w:rtl/>
        </w:rPr>
        <w:t xml:space="preserve"> </w:t>
      </w:r>
      <w:r>
        <w:rPr>
          <w:rFonts w:hint="cs"/>
          <w:rtl/>
        </w:rPr>
        <w:t>המשפטי</w:t>
      </w:r>
      <w:r>
        <w:rPr>
          <w:rtl/>
        </w:rPr>
        <w:t xml:space="preserve"> </w:t>
      </w:r>
      <w:r>
        <w:rPr>
          <w:rFonts w:hint="cs"/>
          <w:rtl/>
        </w:rPr>
        <w:t>לממשלה</w:t>
      </w:r>
      <w:r>
        <w:rPr>
          <w:rtl/>
        </w:rPr>
        <w:t xml:space="preserve"> </w:t>
      </w:r>
      <w:r>
        <w:rPr>
          <w:rFonts w:hint="cs"/>
          <w:rtl/>
        </w:rPr>
        <w:t>ומפסק</w:t>
      </w:r>
      <w:r>
        <w:rPr>
          <w:rtl/>
        </w:rPr>
        <w:t xml:space="preserve"> </w:t>
      </w:r>
      <w:r>
        <w:rPr>
          <w:rFonts w:hint="cs"/>
          <w:rtl/>
        </w:rPr>
        <w:t>דינה</w:t>
      </w:r>
      <w:r>
        <w:rPr>
          <w:rtl/>
        </w:rPr>
        <w:t xml:space="preserve"> </w:t>
      </w:r>
      <w:r>
        <w:rPr>
          <w:rFonts w:hint="cs"/>
          <w:rtl/>
        </w:rPr>
        <w:t>של</w:t>
      </w:r>
      <w:r>
        <w:rPr>
          <w:rtl/>
        </w:rPr>
        <w:t xml:space="preserve"> </w:t>
      </w:r>
      <w:r>
        <w:rPr>
          <w:rFonts w:hint="cs"/>
          <w:rtl/>
        </w:rPr>
        <w:t>השופטת</w:t>
      </w:r>
      <w:r>
        <w:rPr>
          <w:rtl/>
        </w:rPr>
        <w:t xml:space="preserve"> </w:t>
      </w:r>
      <w:r>
        <w:rPr>
          <w:rFonts w:hint="cs"/>
          <w:rtl/>
        </w:rPr>
        <w:t>גדות</w:t>
      </w:r>
      <w:r>
        <w:rPr>
          <w:rtl/>
        </w:rPr>
        <w:t xml:space="preserve">, </w:t>
      </w:r>
      <w:r>
        <w:rPr>
          <w:rFonts w:hint="cs"/>
          <w:rtl/>
        </w:rPr>
        <w:t>והתעלמותה</w:t>
      </w:r>
      <w:r>
        <w:rPr>
          <w:rtl/>
        </w:rPr>
        <w:t xml:space="preserve"> </w:t>
      </w:r>
      <w:r>
        <w:rPr>
          <w:rFonts w:hint="cs"/>
          <w:rtl/>
        </w:rPr>
        <w:t xml:space="preserve">מכך היא לכל הפחות תמוהה. משרד מבקר המדינה הדגיש כי חשיבותה של חוות הדעת של היועץ המשפטי לממשלה, שאותה אימצו בתי המשפט, מקורה גם בכך שאם מתגלעת בין שני משרדי ממשלה מחלוקת בנושא משפטי, בין היתר בעניין כללי המשפט המינהלי, הגורם המחליט והקובע בנושא הוא היועץ המשפטי לממשלה, שתמך בעמדת משרד החינוך אך לא הודיע על כך למשרד הפנים. </w:t>
      </w:r>
    </w:p>
    <w:p w:rsidR="00B767A7" w:rsidP="00A63D74">
      <w:pPr>
        <w:spacing w:before="180" w:after="120" w:line="230" w:lineRule="exact"/>
        <w:jc w:val="both"/>
        <w:rPr>
          <w:rFonts w:cs="FrankRuehl"/>
          <w:b/>
          <w:sz w:val="20"/>
          <w:szCs w:val="22"/>
          <w:rtl/>
        </w:rPr>
      </w:pPr>
      <w:r>
        <w:rPr>
          <w:rFonts w:cs="FrankRuehl" w:hint="cs"/>
          <w:b/>
          <w:sz w:val="20"/>
          <w:szCs w:val="22"/>
          <w:rtl/>
        </w:rPr>
        <w:t>בתשובה נוספת שמסרה העירייה</w:t>
      </w:r>
      <w:r>
        <w:rPr>
          <w:rFonts w:cs="FrankRuehl"/>
          <w:b/>
          <w:sz w:val="20"/>
          <w:szCs w:val="22"/>
          <w:rtl/>
        </w:rPr>
        <w:t xml:space="preserve"> </w:t>
      </w:r>
      <w:r>
        <w:rPr>
          <w:rFonts w:cs="FrankRuehl" w:hint="cs"/>
          <w:b/>
          <w:sz w:val="20"/>
          <w:szCs w:val="22"/>
          <w:rtl/>
        </w:rPr>
        <w:t xml:space="preserve">בספטמבר 2014 (להלן </w:t>
      </w:r>
      <w:r>
        <w:rPr>
          <w:rFonts w:cs="FrankRuehl"/>
          <w:b/>
          <w:sz w:val="20"/>
          <w:szCs w:val="22"/>
          <w:rtl/>
        </w:rPr>
        <w:t>-</w:t>
      </w:r>
      <w:r>
        <w:rPr>
          <w:rFonts w:cs="FrankRuehl" w:hint="cs"/>
          <w:b/>
          <w:sz w:val="20"/>
          <w:szCs w:val="22"/>
          <w:rtl/>
        </w:rPr>
        <w:t xml:space="preserve"> התשובה הנוספת) נכתב כי "בעקבות טיוטת דוח הביקורת של מבקר המדינה, פנתה העירייה למשרד הפנים וביקשה את הנחייתו בעניין. משרד הפנים, באמצעות הלשכה המשפטית, שלח לעירייה חוות דעת לפיה על העירייה לפעול בהתאם לאמור בחוות הדעת המשפטית של היועץ המשפטי לממשלה. משכך, עיריית פתח תקווה מאמצת את חוות דעת היועץ המשפטי לממשלה ומעתה ההסעות לחינוך המוכר שעד עכשיו תוקצבו במסגרת חוק נהרי, עוברות להיות מתוקצבות על פי נוהל תמיכות". </w:t>
      </w:r>
    </w:p>
    <w:p w:rsidR="00B767A7" w:rsidP="00A63D74">
      <w:pPr>
        <w:spacing w:after="240" w:line="230" w:lineRule="exact"/>
        <w:jc w:val="both"/>
        <w:rPr>
          <w:rFonts w:cs="FrankRuehl"/>
          <w:b/>
          <w:sz w:val="20"/>
          <w:szCs w:val="22"/>
          <w:rtl/>
        </w:rPr>
      </w:pPr>
      <w:r>
        <w:rPr>
          <w:rFonts w:cs="FrankRuehl" w:hint="cs"/>
          <w:b/>
          <w:sz w:val="20"/>
          <w:szCs w:val="22"/>
          <w:rtl/>
        </w:rPr>
        <w:t>בתשובה שמסר משרד הפנים בספטמבר 2014 למשרד מבקר המדינה (להלן - תשובת משרד הפנים) ניסה המשרד להמעיט בחשיבות נושא ההסעות בחוזר המנכ"ל וטען כי רכיב ההסעות ניתן רק כדוגמה לאחד מהרכיבים שבהם הרשות המקומית מתקצבת את הפעילות השוטפת של מוסדות החינוך הרשמיים. בעניין חוות הדעת של היועץ המשפטי לממשלה מסר משרד הפנים כי "כידוע, עמדת היועץ המשפטי לממשלה מחייבת את כל המערכת הממשלתית, ופרשנותו לחוק היא הפרשנות המוסמכת מבחינת כל משרדי הממשלה"</w:t>
      </w:r>
      <w:r>
        <w:rPr>
          <w:rStyle w:val="FootnoteReference"/>
          <w:rFonts w:cs="FrankRuehl"/>
          <w:b/>
          <w:sz w:val="20"/>
          <w:szCs w:val="22"/>
          <w:rtl/>
        </w:rPr>
        <w:footnoteReference w:id="11"/>
      </w:r>
      <w:r>
        <w:rPr>
          <w:rFonts w:cs="FrankRuehl" w:hint="cs"/>
          <w:b/>
          <w:sz w:val="20"/>
          <w:szCs w:val="22"/>
          <w:rtl/>
        </w:rPr>
        <w:t xml:space="preserve"> .</w:t>
      </w:r>
    </w:p>
    <w:p w:rsidR="00B767A7" w:rsidP="00A63D74">
      <w:pPr>
        <w:pStyle w:val="RESHET"/>
        <w:rPr>
          <w:rtl/>
        </w:rPr>
      </w:pPr>
      <w:r>
        <w:rPr>
          <w:rFonts w:hint="cs"/>
          <w:rtl/>
        </w:rPr>
        <w:t>עוד</w:t>
      </w:r>
      <w:r>
        <w:rPr>
          <w:rtl/>
        </w:rPr>
        <w:t xml:space="preserve"> </w:t>
      </w:r>
      <w:r>
        <w:rPr>
          <w:rFonts w:hint="cs"/>
          <w:rtl/>
        </w:rPr>
        <w:t>ה</w:t>
      </w:r>
      <w:r>
        <w:rPr>
          <w:rtl/>
        </w:rPr>
        <w:t xml:space="preserve">עיר </w:t>
      </w:r>
      <w:r>
        <w:rPr>
          <w:rFonts w:hint="cs"/>
          <w:rtl/>
        </w:rPr>
        <w:t>משרד</w:t>
      </w:r>
      <w:r>
        <w:rPr>
          <w:rtl/>
        </w:rPr>
        <w:t xml:space="preserve"> מבקר המדינה לעירייה כי </w:t>
      </w:r>
      <w:r>
        <w:rPr>
          <w:rFonts w:hint="cs"/>
          <w:rtl/>
        </w:rPr>
        <w:t>בנוהל</w:t>
      </w:r>
      <w:r>
        <w:rPr>
          <w:rtl/>
        </w:rPr>
        <w:t xml:space="preserve"> </w:t>
      </w:r>
      <w:r>
        <w:rPr>
          <w:rFonts w:hint="cs"/>
          <w:rtl/>
        </w:rPr>
        <w:t>משרד</w:t>
      </w:r>
      <w:r>
        <w:rPr>
          <w:rtl/>
        </w:rPr>
        <w:t xml:space="preserve"> </w:t>
      </w:r>
      <w:r>
        <w:rPr>
          <w:rFonts w:hint="cs"/>
          <w:rtl/>
        </w:rPr>
        <w:t>הפנים</w:t>
      </w:r>
      <w:r>
        <w:rPr>
          <w:rtl/>
        </w:rPr>
        <w:t xml:space="preserve"> </w:t>
      </w:r>
      <w:r>
        <w:rPr>
          <w:rFonts w:hint="cs"/>
          <w:rtl/>
        </w:rPr>
        <w:t>ליישום</w:t>
      </w:r>
      <w:r>
        <w:rPr>
          <w:rtl/>
        </w:rPr>
        <w:t xml:space="preserve"> חוק </w:t>
      </w:r>
      <w:r>
        <w:rPr>
          <w:rFonts w:hint="cs"/>
          <w:rtl/>
        </w:rPr>
        <w:t>נהרי</w:t>
      </w:r>
      <w:r>
        <w:rPr>
          <w:rtl/>
        </w:rPr>
        <w:t xml:space="preserve"> </w:t>
      </w:r>
      <w:r>
        <w:rPr>
          <w:rFonts w:hint="cs"/>
          <w:rtl/>
        </w:rPr>
        <w:t>ה</w:t>
      </w:r>
      <w:r>
        <w:rPr>
          <w:rtl/>
        </w:rPr>
        <w:t xml:space="preserve">וזכר רק עניין ההסעות; שני </w:t>
      </w:r>
      <w:r>
        <w:rPr>
          <w:rFonts w:hint="cs"/>
          <w:rtl/>
        </w:rPr>
        <w:t>הנושאים</w:t>
      </w:r>
      <w:r>
        <w:rPr>
          <w:rtl/>
        </w:rPr>
        <w:t xml:space="preserve"> הנוספים - </w:t>
      </w:r>
      <w:r>
        <w:rPr>
          <w:rFonts w:hint="cs"/>
          <w:rtl/>
        </w:rPr>
        <w:t>גני</w:t>
      </w:r>
      <w:r>
        <w:rPr>
          <w:rtl/>
        </w:rPr>
        <w:t xml:space="preserve"> ילדים במסגרת חינוך חובה </w:t>
      </w:r>
      <w:r>
        <w:rPr>
          <w:rFonts w:hint="cs"/>
          <w:rtl/>
        </w:rPr>
        <w:t>ותקצוב</w:t>
      </w:r>
      <w:r>
        <w:rPr>
          <w:rtl/>
        </w:rPr>
        <w:t xml:space="preserve"> </w:t>
      </w:r>
      <w:r>
        <w:rPr>
          <w:rFonts w:hint="cs"/>
          <w:rtl/>
        </w:rPr>
        <w:t>תלמידי</w:t>
      </w:r>
      <w:r>
        <w:rPr>
          <w:rtl/>
        </w:rPr>
        <w:t xml:space="preserve"> </w:t>
      </w:r>
      <w:r>
        <w:rPr>
          <w:rFonts w:hint="cs"/>
          <w:rtl/>
        </w:rPr>
        <w:t>חוץ -</w:t>
      </w:r>
      <w:r>
        <w:rPr>
          <w:rtl/>
        </w:rPr>
        <w:t xml:space="preserve"> </w:t>
      </w:r>
      <w:r>
        <w:rPr>
          <w:rFonts w:hint="cs"/>
          <w:rtl/>
        </w:rPr>
        <w:t>לא</w:t>
      </w:r>
      <w:r>
        <w:rPr>
          <w:rtl/>
        </w:rPr>
        <w:t xml:space="preserve"> </w:t>
      </w:r>
      <w:r>
        <w:rPr>
          <w:rFonts w:hint="cs"/>
          <w:rtl/>
        </w:rPr>
        <w:t>הוזכרו</w:t>
      </w:r>
      <w:r>
        <w:rPr>
          <w:rtl/>
        </w:rPr>
        <w:t xml:space="preserve"> </w:t>
      </w:r>
      <w:r>
        <w:rPr>
          <w:rFonts w:hint="cs"/>
          <w:rtl/>
        </w:rPr>
        <w:t>בנוהל,</w:t>
      </w:r>
      <w:r>
        <w:rPr>
          <w:rtl/>
        </w:rPr>
        <w:t xml:space="preserve"> ולפיכך העירייה תקצבה אותם במסלול חוק נהרי על דעת עצמה </w:t>
      </w:r>
      <w:r>
        <w:rPr>
          <w:rFonts w:hint="cs"/>
          <w:rtl/>
        </w:rPr>
        <w:t>ו</w:t>
      </w:r>
      <w:r>
        <w:rPr>
          <w:rtl/>
        </w:rPr>
        <w:t xml:space="preserve">בלי שקיימה דיון על כך במועצת העירייה. </w:t>
      </w:r>
    </w:p>
    <w:p w:rsidR="00B767A7">
      <w:pPr>
        <w:spacing w:after="120" w:line="230" w:lineRule="exact"/>
        <w:jc w:val="both"/>
        <w:rPr>
          <w:rFonts w:cs="FrankRuehl"/>
          <w:sz w:val="20"/>
          <w:szCs w:val="22"/>
          <w:rtl/>
        </w:rPr>
      </w:pPr>
    </w:p>
    <w:p w:rsidR="00B767A7">
      <w:pPr>
        <w:pStyle w:val="KOT5"/>
        <w:rPr>
          <w:rtl/>
        </w:rPr>
      </w:pPr>
      <w:r>
        <w:rPr>
          <w:rtl/>
        </w:rPr>
        <w:t xml:space="preserve">קבלת החלטות </w:t>
      </w:r>
      <w:r>
        <w:rPr>
          <w:rFonts w:hint="cs"/>
          <w:rtl/>
        </w:rPr>
        <w:t>לגבי</w:t>
      </w:r>
      <w:r>
        <w:rPr>
          <w:rtl/>
        </w:rPr>
        <w:t xml:space="preserve"> </w:t>
      </w:r>
      <w:r>
        <w:rPr>
          <w:rFonts w:hint="cs"/>
          <w:rtl/>
        </w:rPr>
        <w:t>התבחינים</w:t>
      </w:r>
      <w:r>
        <w:rPr>
          <w:rtl/>
        </w:rPr>
        <w:t xml:space="preserve"> ל</w:t>
      </w:r>
      <w:r>
        <w:rPr>
          <w:rFonts w:hint="cs"/>
          <w:rtl/>
        </w:rPr>
        <w:t>השתתפות</w:t>
      </w:r>
      <w:r>
        <w:rPr>
          <w:rtl/>
        </w:rPr>
        <w:t xml:space="preserve"> ב</w:t>
      </w:r>
      <w:r>
        <w:rPr>
          <w:rFonts w:hint="cs"/>
          <w:rtl/>
        </w:rPr>
        <w:t>תקצוב</w:t>
      </w:r>
      <w:r>
        <w:rPr>
          <w:rtl/>
        </w:rPr>
        <w:t xml:space="preserve"> מוסדות </w:t>
      </w:r>
      <w:r>
        <w:rPr>
          <w:rFonts w:hint="cs"/>
          <w:rtl/>
        </w:rPr>
        <w:t>חינוך</w:t>
      </w:r>
      <w:r>
        <w:rPr>
          <w:rtl/>
        </w:rPr>
        <w:t xml:space="preserve"> </w:t>
      </w:r>
      <w:r>
        <w:rPr>
          <w:rFonts w:hint="cs"/>
          <w:rtl/>
        </w:rPr>
        <w:t>מוכרים לפי</w:t>
      </w:r>
      <w:r>
        <w:rPr>
          <w:rtl/>
        </w:rPr>
        <w:t xml:space="preserve"> חוק </w:t>
      </w:r>
      <w:r>
        <w:rPr>
          <w:rFonts w:hint="cs"/>
          <w:rtl/>
        </w:rPr>
        <w:t xml:space="preserve">נהרי </w:t>
      </w:r>
    </w:p>
    <w:p w:rsidR="00B767A7" w:rsidP="00A63D74">
      <w:pPr>
        <w:spacing w:after="120" w:line="230" w:lineRule="exact"/>
        <w:ind w:left="340" w:hanging="340"/>
        <w:jc w:val="both"/>
        <w:rPr>
          <w:rFonts w:cs="FrankRuehl"/>
          <w:sz w:val="20"/>
          <w:szCs w:val="22"/>
          <w:rtl/>
        </w:rPr>
      </w:pPr>
      <w:r>
        <w:rPr>
          <w:rFonts w:cs="FrankRuehl" w:hint="cs"/>
          <w:sz w:val="20"/>
          <w:szCs w:val="22"/>
          <w:rtl/>
        </w:rPr>
        <w:t>1.</w:t>
      </w:r>
      <w:r>
        <w:rPr>
          <w:rFonts w:cs="FrankRuehl" w:hint="cs"/>
          <w:sz w:val="20"/>
          <w:szCs w:val="22"/>
          <w:rtl/>
        </w:rPr>
        <w:tab/>
        <w:t>במאי 2009, לקראת דיון במועצת העירייה בעניין יישום חוק נהרי, חיוותה היועצת המשפטית דאז של העירייה את דעתה</w:t>
      </w:r>
      <w:r>
        <w:rPr>
          <w:rStyle w:val="FootnoteReference"/>
          <w:rFonts w:cs="FrankRuehl"/>
          <w:sz w:val="20"/>
          <w:szCs w:val="22"/>
          <w:rtl/>
        </w:rPr>
        <w:footnoteReference w:id="12"/>
      </w:r>
      <w:r>
        <w:rPr>
          <w:rFonts w:cs="FrankRuehl" w:hint="cs"/>
          <w:sz w:val="20"/>
          <w:szCs w:val="22"/>
          <w:rtl/>
        </w:rPr>
        <w:t>, ולפיה אם רצונה של העירייה לתקצב את מוסדות החינוך המוכרים בשיעור העולה על המחויב בחוק נהרי, עליה לנקוט פעולות מקדימות אלה: לקבל</w:t>
      </w:r>
      <w:r>
        <w:rPr>
          <w:rFonts w:cs="FrankRuehl"/>
          <w:sz w:val="20"/>
          <w:szCs w:val="22"/>
          <w:rtl/>
        </w:rPr>
        <w:t xml:space="preserve"> </w:t>
      </w:r>
      <w:r>
        <w:rPr>
          <w:rFonts w:cs="FrankRuehl" w:hint="cs"/>
          <w:sz w:val="20"/>
          <w:szCs w:val="22"/>
          <w:rtl/>
        </w:rPr>
        <w:t>מהמינהל הכספי את</w:t>
      </w:r>
      <w:r>
        <w:rPr>
          <w:rFonts w:cs="FrankRuehl"/>
          <w:sz w:val="20"/>
          <w:szCs w:val="22"/>
          <w:rtl/>
        </w:rPr>
        <w:t xml:space="preserve"> </w:t>
      </w:r>
      <w:r>
        <w:rPr>
          <w:rFonts w:cs="FrankRuehl" w:hint="cs"/>
          <w:sz w:val="20"/>
          <w:szCs w:val="22"/>
          <w:rtl/>
        </w:rPr>
        <w:t>המשמעויות</w:t>
      </w:r>
      <w:r>
        <w:rPr>
          <w:rFonts w:cs="FrankRuehl"/>
          <w:sz w:val="20"/>
          <w:szCs w:val="22"/>
          <w:rtl/>
        </w:rPr>
        <w:t xml:space="preserve"> </w:t>
      </w:r>
      <w:r>
        <w:rPr>
          <w:rFonts w:cs="FrankRuehl" w:hint="cs"/>
          <w:sz w:val="20"/>
          <w:szCs w:val="22"/>
          <w:rtl/>
        </w:rPr>
        <w:t>הכספיות</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הגדלת</w:t>
      </w:r>
      <w:r>
        <w:rPr>
          <w:rFonts w:cs="FrankRuehl"/>
          <w:sz w:val="20"/>
          <w:szCs w:val="22"/>
          <w:rtl/>
        </w:rPr>
        <w:t xml:space="preserve"> </w:t>
      </w:r>
      <w:r>
        <w:rPr>
          <w:rFonts w:cs="FrankRuehl" w:hint="cs"/>
          <w:sz w:val="20"/>
          <w:szCs w:val="22"/>
          <w:rtl/>
        </w:rPr>
        <w:t>שיעור</w:t>
      </w:r>
      <w:r>
        <w:rPr>
          <w:rFonts w:cs="FrankRuehl"/>
          <w:sz w:val="20"/>
          <w:szCs w:val="22"/>
          <w:rtl/>
        </w:rPr>
        <w:t xml:space="preserve"> </w:t>
      </w:r>
      <w:r>
        <w:rPr>
          <w:rFonts w:cs="FrankRuehl" w:hint="cs"/>
          <w:sz w:val="20"/>
          <w:szCs w:val="22"/>
          <w:rtl/>
        </w:rPr>
        <w:t>התקצוב</w:t>
      </w:r>
      <w:r>
        <w:rPr>
          <w:rFonts w:cs="FrankRuehl"/>
          <w:sz w:val="20"/>
          <w:szCs w:val="22"/>
          <w:rtl/>
        </w:rPr>
        <w:t xml:space="preserve"> </w:t>
      </w:r>
      <w:r>
        <w:rPr>
          <w:rFonts w:cs="FrankRuehl" w:hint="cs"/>
          <w:sz w:val="20"/>
          <w:szCs w:val="22"/>
          <w:rtl/>
        </w:rPr>
        <w:t>והאם</w:t>
      </w:r>
      <w:r>
        <w:rPr>
          <w:rFonts w:cs="FrankRuehl"/>
          <w:sz w:val="20"/>
          <w:szCs w:val="22"/>
          <w:rtl/>
        </w:rPr>
        <w:t xml:space="preserve"> </w:t>
      </w:r>
      <w:r>
        <w:rPr>
          <w:rFonts w:cs="FrankRuehl" w:hint="cs"/>
          <w:sz w:val="20"/>
          <w:szCs w:val="22"/>
          <w:rtl/>
        </w:rPr>
        <w:t>יש</w:t>
      </w:r>
      <w:r>
        <w:rPr>
          <w:rFonts w:cs="FrankRuehl"/>
          <w:sz w:val="20"/>
          <w:szCs w:val="22"/>
          <w:rtl/>
        </w:rPr>
        <w:t xml:space="preserve"> </w:t>
      </w:r>
      <w:r>
        <w:rPr>
          <w:rFonts w:cs="FrankRuehl" w:hint="cs"/>
          <w:sz w:val="20"/>
          <w:szCs w:val="22"/>
          <w:rtl/>
        </w:rPr>
        <w:t>תקציב</w:t>
      </w:r>
      <w:r>
        <w:rPr>
          <w:rFonts w:cs="FrankRuehl"/>
          <w:sz w:val="20"/>
          <w:szCs w:val="22"/>
          <w:rtl/>
        </w:rPr>
        <w:t xml:space="preserve"> </w:t>
      </w:r>
      <w:r>
        <w:rPr>
          <w:rFonts w:cs="FrankRuehl" w:hint="cs"/>
          <w:sz w:val="20"/>
          <w:szCs w:val="22"/>
          <w:rtl/>
        </w:rPr>
        <w:t xml:space="preserve">לכך, להכין תבחינים להשתתפות בתקצוב העולה על 75% ולהביא את ההחלטה ואת התבחינים לאישור מועצת העירייה. </w:t>
      </w:r>
    </w:p>
    <w:p w:rsidR="00B767A7" w:rsidP="00A63D74">
      <w:pPr>
        <w:spacing w:after="240" w:line="230" w:lineRule="exact"/>
        <w:ind w:left="340"/>
        <w:jc w:val="both"/>
        <w:rPr>
          <w:rFonts w:cs="FrankRuehl"/>
          <w:sz w:val="20"/>
          <w:szCs w:val="22"/>
          <w:rtl/>
        </w:rPr>
      </w:pPr>
      <w:r>
        <w:rPr>
          <w:rFonts w:cs="FrankRuehl" w:hint="cs"/>
          <w:sz w:val="20"/>
          <w:szCs w:val="22"/>
          <w:rtl/>
        </w:rPr>
        <w:t>בישיבת המועצה בספטמבר אותה שנה דנו חבריה בנושא יישום חוק נהרי על מוסדות החינוך המוכרים בתחום שיפוטה של העירייה, בלא שהיו לפניהם תבחינים כנדרש על פי חוות דעתה של היועצת המשפטית וללא</w:t>
      </w:r>
      <w:r>
        <w:rPr>
          <w:rFonts w:cs="FrankRuehl"/>
          <w:sz w:val="20"/>
          <w:szCs w:val="22"/>
          <w:rtl/>
        </w:rPr>
        <w:t xml:space="preserve"> </w:t>
      </w:r>
      <w:r>
        <w:rPr>
          <w:rFonts w:cs="FrankRuehl" w:hint="cs"/>
          <w:sz w:val="20"/>
          <w:szCs w:val="22"/>
          <w:rtl/>
        </w:rPr>
        <w:t>מסגרת</w:t>
      </w:r>
      <w:r>
        <w:rPr>
          <w:rFonts w:cs="FrankRuehl"/>
          <w:sz w:val="20"/>
          <w:szCs w:val="22"/>
          <w:rtl/>
        </w:rPr>
        <w:t xml:space="preserve"> </w:t>
      </w:r>
      <w:r>
        <w:rPr>
          <w:rFonts w:cs="FrankRuehl" w:hint="cs"/>
          <w:sz w:val="20"/>
          <w:szCs w:val="22"/>
          <w:rtl/>
        </w:rPr>
        <w:t>תקציבית</w:t>
      </w:r>
      <w:r>
        <w:rPr>
          <w:rFonts w:cs="FrankRuehl"/>
          <w:sz w:val="20"/>
          <w:szCs w:val="22"/>
          <w:rtl/>
        </w:rPr>
        <w:t xml:space="preserve"> כנדרש</w:t>
      </w:r>
      <w:r>
        <w:rPr>
          <w:rFonts w:cs="FrankRuehl" w:hint="cs"/>
          <w:sz w:val="20"/>
          <w:szCs w:val="22"/>
          <w:rtl/>
        </w:rPr>
        <w:t xml:space="preserve"> מאחר שבמסמך התקצוב שהכין המינהל</w:t>
      </w:r>
      <w:r>
        <w:rPr>
          <w:rFonts w:cs="FrankRuehl"/>
          <w:sz w:val="20"/>
          <w:szCs w:val="22"/>
          <w:rtl/>
        </w:rPr>
        <w:t xml:space="preserve"> הכספי</w:t>
      </w:r>
      <w:r>
        <w:rPr>
          <w:rFonts w:cs="FrankRuehl" w:hint="cs"/>
          <w:sz w:val="20"/>
          <w:szCs w:val="22"/>
          <w:rtl/>
        </w:rPr>
        <w:t xml:space="preserve"> של העירייה לקראת הדיון לא הייתה הפרדה בין התקצוב לפי מסלול חוק נהרי ובין התקצוב לפי מסלול התמיכות. </w:t>
      </w:r>
    </w:p>
    <w:p w:rsidR="00B767A7" w:rsidP="00A63D74">
      <w:pPr>
        <w:pStyle w:val="RESHET"/>
        <w:ind w:left="567"/>
        <w:rPr>
          <w:rtl/>
        </w:rPr>
      </w:pPr>
      <w:r>
        <w:rPr>
          <w:rFonts w:hint="cs"/>
          <w:rtl/>
        </w:rPr>
        <w:t xml:space="preserve">משרד מבקר המדינה העיר לעירייה כי ביצוע הליך קבלת ההחלטות בלא להסתמך על הנתונים הרלוונטיים לקוי, וכי העובדה שצוין בהחלטה כי היא תיושם "בכפוף לבדיקה משפטית" אין בה כדי להביא את הליקוי שבקבלת ההחלטה על תיקונו. </w:t>
      </w:r>
    </w:p>
    <w:p w:rsidR="00B767A7" w:rsidP="00A63D74">
      <w:pPr>
        <w:spacing w:before="180" w:after="120" w:line="230" w:lineRule="exact"/>
        <w:ind w:left="340" w:hanging="340"/>
        <w:jc w:val="both"/>
        <w:rPr>
          <w:rFonts w:cs="FrankRuehl"/>
          <w:sz w:val="20"/>
          <w:szCs w:val="22"/>
          <w:rtl/>
        </w:rPr>
      </w:pPr>
      <w:r>
        <w:rPr>
          <w:rFonts w:cs="FrankRuehl" w:hint="cs"/>
          <w:sz w:val="20"/>
          <w:szCs w:val="22"/>
          <w:rtl/>
        </w:rPr>
        <w:t>2.</w:t>
      </w:r>
      <w:r>
        <w:rPr>
          <w:rFonts w:cs="FrankRuehl" w:hint="cs"/>
          <w:sz w:val="20"/>
          <w:szCs w:val="22"/>
          <w:rtl/>
        </w:rPr>
        <w:tab/>
        <w:t>באוקטובר 2009 שלחה היועצת המשפטית של העירייה לראש העירייה ולחברי מועצת העירייה מכתב ובו שתי הצעות לתבחינים לתקצוב שהעירייה רשאית להקצות למוסדות החינוך נוסף על</w:t>
      </w:r>
      <w:r>
        <w:rPr>
          <w:rFonts w:cs="FrankRuehl"/>
          <w:sz w:val="20"/>
          <w:szCs w:val="22"/>
          <w:rtl/>
        </w:rPr>
        <w:t xml:space="preserve"> </w:t>
      </w:r>
      <w:r>
        <w:rPr>
          <w:rFonts w:cs="FrankRuehl" w:hint="cs"/>
          <w:sz w:val="20"/>
          <w:szCs w:val="22"/>
          <w:rtl/>
        </w:rPr>
        <w:t>התקצוב בשיעור 75%, בתנאי שמועצת העירייה תאשר את המסגרת התקציבית לתקצוב לפי</w:t>
      </w:r>
      <w:r>
        <w:rPr>
          <w:rFonts w:cs="FrankRuehl"/>
          <w:sz w:val="20"/>
          <w:szCs w:val="22"/>
          <w:rtl/>
        </w:rPr>
        <w:t xml:space="preserve"> </w:t>
      </w:r>
      <w:r>
        <w:rPr>
          <w:rFonts w:cs="FrankRuehl" w:hint="cs"/>
          <w:sz w:val="20"/>
          <w:szCs w:val="22"/>
          <w:rtl/>
        </w:rPr>
        <w:t>התבחינים האלה. באחד התבחינים נקבע כי</w:t>
      </w:r>
      <w:r>
        <w:rPr>
          <w:rFonts w:cs="FrankRuehl"/>
          <w:sz w:val="20"/>
          <w:szCs w:val="22"/>
          <w:rtl/>
        </w:rPr>
        <w:t xml:space="preserve"> המוסדות </w:t>
      </w:r>
      <w:r>
        <w:rPr>
          <w:rFonts w:cs="FrankRuehl" w:hint="cs"/>
          <w:sz w:val="20"/>
          <w:szCs w:val="22"/>
          <w:rtl/>
        </w:rPr>
        <w:t>יקבלו</w:t>
      </w:r>
      <w:r>
        <w:rPr>
          <w:rFonts w:cs="FrankRuehl"/>
          <w:sz w:val="20"/>
          <w:szCs w:val="22"/>
          <w:rtl/>
        </w:rPr>
        <w:t xml:space="preserve"> </w:t>
      </w:r>
      <w:r>
        <w:rPr>
          <w:rFonts w:cs="FrankRuehl" w:hint="cs"/>
          <w:sz w:val="20"/>
          <w:szCs w:val="22"/>
          <w:rtl/>
        </w:rPr>
        <w:t>תקצוב עבור הוצאות על חשמל, מים ושמירה, ובתבחין אחר נקבע כי</w:t>
      </w:r>
      <w:r>
        <w:rPr>
          <w:rFonts w:cs="FrankRuehl"/>
          <w:sz w:val="20"/>
          <w:szCs w:val="22"/>
          <w:rtl/>
        </w:rPr>
        <w:t xml:space="preserve"> המוסדות </w:t>
      </w:r>
      <w:r>
        <w:rPr>
          <w:rFonts w:cs="FrankRuehl" w:hint="cs"/>
          <w:sz w:val="20"/>
          <w:szCs w:val="22"/>
          <w:rtl/>
        </w:rPr>
        <w:t>יקבלו</w:t>
      </w:r>
      <w:r>
        <w:rPr>
          <w:rFonts w:cs="FrankRuehl"/>
          <w:sz w:val="20"/>
          <w:szCs w:val="22"/>
          <w:rtl/>
        </w:rPr>
        <w:t xml:space="preserve"> </w:t>
      </w:r>
      <w:r>
        <w:rPr>
          <w:rFonts w:cs="FrankRuehl" w:hint="cs"/>
          <w:sz w:val="20"/>
          <w:szCs w:val="22"/>
          <w:rtl/>
        </w:rPr>
        <w:t xml:space="preserve">תקצוב עבור הסעת תלמידים הזכאים להסעה, לפי הוראות משרד החינוך. </w:t>
      </w:r>
    </w:p>
    <w:p w:rsidR="00B767A7" w:rsidP="00A63D74">
      <w:pPr>
        <w:spacing w:after="120" w:line="230" w:lineRule="exact"/>
        <w:ind w:left="340" w:hanging="340"/>
        <w:jc w:val="both"/>
        <w:rPr>
          <w:rFonts w:cs="FrankRuehl"/>
          <w:sz w:val="20"/>
          <w:szCs w:val="22"/>
          <w:rtl/>
        </w:rPr>
      </w:pPr>
      <w:r>
        <w:rPr>
          <w:rFonts w:cs="FrankRuehl"/>
          <w:sz w:val="20"/>
          <w:szCs w:val="22"/>
        </w:rPr>
        <w:tab/>
      </w:r>
      <w:r>
        <w:rPr>
          <w:rFonts w:cs="FrankRuehl" w:hint="cs"/>
          <w:sz w:val="20"/>
          <w:szCs w:val="22"/>
          <w:rtl/>
        </w:rPr>
        <w:t>מועצת העירייה דנה באותו חודש ב"אשרור החלטת המועצה לגבי אופן יישום חוק נהרי בהתאם לאמור בחוות דעת של היועצת המשפטית"</w:t>
      </w:r>
      <w:r>
        <w:rPr>
          <w:rStyle w:val="FootnoteReference"/>
          <w:rFonts w:cs="FrankRuehl"/>
          <w:sz w:val="20"/>
          <w:szCs w:val="22"/>
          <w:rtl/>
        </w:rPr>
        <w:footnoteReference w:id="13"/>
      </w:r>
      <w:r>
        <w:rPr>
          <w:rFonts w:cs="FrankRuehl" w:hint="cs"/>
          <w:sz w:val="20"/>
          <w:szCs w:val="22"/>
          <w:rtl/>
        </w:rPr>
        <w:t>. מפרוטוקול הדיון האמור אי-אפשר ללמוד על מה הצביעו חברי המועצה ומה הוחלט בדיון. לפרוטוקול צורף מסמך מעודכן בעניין תקצוב מוסדות החינוך המוכרים, שגם בו לא הייתה הפרדה בין התקצוב לפי מסלול חוק נהרי ובין התקצוב לפי מסלול התמיכות. מכאן</w:t>
      </w:r>
      <w:r>
        <w:rPr>
          <w:rFonts w:cs="FrankRuehl"/>
          <w:sz w:val="20"/>
          <w:szCs w:val="22"/>
          <w:rtl/>
        </w:rPr>
        <w:t xml:space="preserve"> עולה אפוא כי לא מולא </w:t>
      </w:r>
      <w:r>
        <w:rPr>
          <w:rFonts w:cs="FrankRuehl" w:hint="cs"/>
          <w:sz w:val="20"/>
          <w:szCs w:val="22"/>
          <w:rtl/>
        </w:rPr>
        <w:t>התנאי</w:t>
      </w:r>
      <w:r>
        <w:rPr>
          <w:rFonts w:cs="FrankRuehl"/>
          <w:sz w:val="20"/>
          <w:szCs w:val="22"/>
          <w:rtl/>
        </w:rPr>
        <w:t xml:space="preserve"> </w:t>
      </w:r>
      <w:r>
        <w:rPr>
          <w:rFonts w:cs="FrankRuehl" w:hint="cs"/>
          <w:sz w:val="20"/>
          <w:szCs w:val="22"/>
          <w:rtl/>
        </w:rPr>
        <w:t>שהדגישה</w:t>
      </w:r>
      <w:r>
        <w:rPr>
          <w:rFonts w:cs="FrankRuehl"/>
          <w:sz w:val="20"/>
          <w:szCs w:val="22"/>
          <w:rtl/>
        </w:rPr>
        <w:t xml:space="preserve"> </w:t>
      </w:r>
      <w:r>
        <w:rPr>
          <w:rFonts w:cs="FrankRuehl" w:hint="cs"/>
          <w:sz w:val="20"/>
          <w:szCs w:val="22"/>
          <w:rtl/>
        </w:rPr>
        <w:t>היועצת</w:t>
      </w:r>
      <w:r>
        <w:rPr>
          <w:rFonts w:cs="FrankRuehl"/>
          <w:sz w:val="20"/>
          <w:szCs w:val="22"/>
          <w:rtl/>
        </w:rPr>
        <w:t xml:space="preserve"> </w:t>
      </w:r>
      <w:r>
        <w:rPr>
          <w:rFonts w:cs="FrankRuehl" w:hint="cs"/>
          <w:sz w:val="20"/>
          <w:szCs w:val="22"/>
          <w:rtl/>
        </w:rPr>
        <w:t>המשפטית</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העירייה</w:t>
      </w:r>
      <w:r>
        <w:rPr>
          <w:rFonts w:cs="FrankRuehl"/>
          <w:sz w:val="20"/>
          <w:szCs w:val="22"/>
          <w:rtl/>
        </w:rPr>
        <w:t xml:space="preserve"> </w:t>
      </w:r>
      <w:r>
        <w:rPr>
          <w:rFonts w:cs="FrankRuehl" w:hint="cs"/>
          <w:sz w:val="20"/>
          <w:szCs w:val="22"/>
          <w:rtl/>
        </w:rPr>
        <w:t>במכתבה</w:t>
      </w:r>
      <w:r>
        <w:rPr>
          <w:rFonts w:cs="FrankRuehl"/>
          <w:sz w:val="20"/>
          <w:szCs w:val="22"/>
          <w:rtl/>
        </w:rPr>
        <w:t xml:space="preserve"> </w:t>
      </w:r>
      <w:r>
        <w:rPr>
          <w:rFonts w:cs="FrankRuehl" w:hint="cs"/>
          <w:sz w:val="20"/>
          <w:szCs w:val="22"/>
          <w:rtl/>
        </w:rPr>
        <w:t>לחברי</w:t>
      </w:r>
      <w:r>
        <w:rPr>
          <w:rFonts w:cs="FrankRuehl"/>
          <w:sz w:val="20"/>
          <w:szCs w:val="22"/>
          <w:rtl/>
        </w:rPr>
        <w:t xml:space="preserve"> </w:t>
      </w:r>
      <w:r>
        <w:rPr>
          <w:rFonts w:cs="FrankRuehl" w:hint="cs"/>
          <w:sz w:val="20"/>
          <w:szCs w:val="22"/>
          <w:rtl/>
        </w:rPr>
        <w:t>המועצה על המסגרת התקציבית.</w:t>
      </w:r>
    </w:p>
    <w:p w:rsidR="00B767A7" w:rsidP="00A63D74">
      <w:pPr>
        <w:spacing w:after="120" w:line="230" w:lineRule="exact"/>
        <w:ind w:left="340" w:hanging="340"/>
        <w:jc w:val="both"/>
        <w:rPr>
          <w:rFonts w:cs="FrankRuehl"/>
          <w:sz w:val="20"/>
          <w:szCs w:val="22"/>
          <w:rtl/>
        </w:rPr>
      </w:pPr>
      <w:r>
        <w:rPr>
          <w:rFonts w:cs="FrankRuehl" w:hint="cs"/>
          <w:sz w:val="20"/>
          <w:szCs w:val="22"/>
          <w:rtl/>
        </w:rPr>
        <w:t>3.</w:t>
      </w:r>
      <w:r>
        <w:rPr>
          <w:rFonts w:cs="FrankRuehl" w:hint="cs"/>
          <w:sz w:val="20"/>
          <w:szCs w:val="22"/>
          <w:rtl/>
        </w:rPr>
        <w:tab/>
        <w:t xml:space="preserve">גם בישיבת מועצת העירייה בנובמבר 2009 נדון נושא חלוקת הכספים למוסדות החינוך המוכרים בחוק נהרי. בישיבה דיווחה גזברית העירייה כי עד אותו מועד תקצבה העירייה את מוסדות החינוך המוכרים על פי השיעור הנדרש לפי חוק נהרי (75% מהסכום המוקצה למוסדות חינוך רשמיים); היא הציעה להקצות את הסכום שנותר בקופת העירייה לחלוקה למוסדות החינוך המוכרים לפי הצרכים של כל אחד מהמגזרים. היועצת המשפטית של העירייה קבעה שאסור להקצות כספים אלה לפי צרכים אלא לפי קריטריונים, והוסיפה כי בישיבת המועצה הקודמת אושרו התבחינים על פי חוק נהרי. </w:t>
      </w:r>
    </w:p>
    <w:p w:rsidR="00B767A7" w:rsidP="00A63D74">
      <w:pPr>
        <w:spacing w:after="120" w:line="230" w:lineRule="exact"/>
        <w:ind w:left="340" w:hanging="340"/>
        <w:jc w:val="both"/>
        <w:rPr>
          <w:rFonts w:cs="FrankRuehl"/>
          <w:sz w:val="20"/>
          <w:szCs w:val="22"/>
          <w:rtl/>
        </w:rPr>
      </w:pPr>
      <w:r>
        <w:rPr>
          <w:rFonts w:cs="FrankRuehl"/>
          <w:sz w:val="20"/>
          <w:szCs w:val="22"/>
        </w:rPr>
        <w:tab/>
      </w:r>
      <w:r>
        <w:rPr>
          <w:rFonts w:cs="FrankRuehl" w:hint="cs"/>
          <w:sz w:val="20"/>
          <w:szCs w:val="22"/>
          <w:rtl/>
        </w:rPr>
        <w:t>נמצא כי בגלל מחלוקות בין המגזרים לא הייתה בין חברי המועצה הסכמה כיצד</w:t>
      </w:r>
      <w:r>
        <w:rPr>
          <w:rFonts w:cs="FrankRuehl"/>
          <w:sz w:val="20"/>
          <w:szCs w:val="22"/>
          <w:rtl/>
        </w:rPr>
        <w:t xml:space="preserve"> לחלק אף את </w:t>
      </w:r>
      <w:r>
        <w:rPr>
          <w:rFonts w:cs="FrankRuehl" w:hint="cs"/>
          <w:sz w:val="20"/>
          <w:szCs w:val="22"/>
          <w:rtl/>
        </w:rPr>
        <w:t>התקצוב</w:t>
      </w:r>
      <w:r>
        <w:rPr>
          <w:rFonts w:cs="FrankRuehl"/>
          <w:sz w:val="20"/>
          <w:szCs w:val="22"/>
          <w:rtl/>
        </w:rPr>
        <w:t xml:space="preserve"> </w:t>
      </w:r>
      <w:r>
        <w:rPr>
          <w:rFonts w:cs="FrankRuehl" w:hint="cs"/>
          <w:sz w:val="20"/>
          <w:szCs w:val="22"/>
          <w:rtl/>
        </w:rPr>
        <w:t>הקובע</w:t>
      </w:r>
      <w:r>
        <w:rPr>
          <w:rFonts w:cs="FrankRuehl"/>
          <w:sz w:val="20"/>
          <w:szCs w:val="22"/>
          <w:rtl/>
        </w:rPr>
        <w:t xml:space="preserve"> (75%)</w:t>
      </w:r>
      <w:r>
        <w:rPr>
          <w:rFonts w:cs="FrankRuehl" w:hint="cs"/>
          <w:sz w:val="20"/>
          <w:szCs w:val="22"/>
          <w:rtl/>
        </w:rPr>
        <w:t xml:space="preserve">, ולפיכך אישרה מועצת העירייה את הצעת ראש העירייה למנות צוות של עובדי עירייה שימליץ כיצד לחלק את הסכום שנותר בקופת העירייה. עולה אפוא כי אף בדיון זה לא התקבלה החלטת מועצת העירייה בנוגע לתבחינים לחלוקת התקציב למוסדות חינוך מוכרים כנדרש. </w:t>
      </w:r>
    </w:p>
    <w:p w:rsidR="00B767A7" w:rsidP="00A63D74">
      <w:pPr>
        <w:spacing w:after="120" w:line="230" w:lineRule="exact"/>
        <w:ind w:left="340" w:hanging="340"/>
        <w:jc w:val="both"/>
        <w:rPr>
          <w:rFonts w:cs="FrankRuehl"/>
          <w:sz w:val="20"/>
          <w:szCs w:val="22"/>
          <w:rtl/>
        </w:rPr>
      </w:pPr>
      <w:r>
        <w:rPr>
          <w:rFonts w:cs="FrankRuehl" w:hint="cs"/>
          <w:sz w:val="20"/>
          <w:szCs w:val="22"/>
          <w:rtl/>
        </w:rPr>
        <w:t>4.</w:t>
      </w:r>
      <w:r>
        <w:rPr>
          <w:rFonts w:cs="FrankRuehl" w:hint="cs"/>
          <w:sz w:val="20"/>
          <w:szCs w:val="22"/>
          <w:rtl/>
        </w:rPr>
        <w:tab/>
        <w:t xml:space="preserve">בסוף דצמבר 2009 התכנסה מועצת העירייה לישיבה שלא מן המניין מכיוון שכמה מחבריה, בהם נציגי סיעת ש"ס, ביקשו להוסיף, בין היתר, תבחינים במסגרת יישום חוק נהרי שיאפשרו להקצות תקציב נוסף למימון הסעות תלמידים. </w:t>
      </w:r>
    </w:p>
    <w:p w:rsidR="00B767A7" w:rsidP="00A63D74">
      <w:pPr>
        <w:spacing w:after="120" w:line="230" w:lineRule="exact"/>
        <w:ind w:left="340" w:hanging="340"/>
        <w:jc w:val="both"/>
        <w:rPr>
          <w:rFonts w:cs="FrankRuehl"/>
          <w:sz w:val="20"/>
          <w:szCs w:val="22"/>
          <w:rtl/>
        </w:rPr>
      </w:pPr>
      <w:r>
        <w:rPr>
          <w:rFonts w:cs="FrankRuehl"/>
          <w:sz w:val="20"/>
          <w:szCs w:val="22"/>
        </w:rPr>
        <w:tab/>
      </w:r>
      <w:r>
        <w:rPr>
          <w:rFonts w:cs="FrankRuehl" w:hint="cs"/>
          <w:sz w:val="20"/>
          <w:szCs w:val="22"/>
          <w:rtl/>
        </w:rPr>
        <w:t>לקראת הישיבה כתבה היועצת המשפטית של העירייה לראש העירייה ולחברי המועצה כי יש</w:t>
      </w:r>
      <w:r>
        <w:rPr>
          <w:rFonts w:cs="FrankRuehl"/>
          <w:sz w:val="20"/>
          <w:szCs w:val="22"/>
          <w:rtl/>
        </w:rPr>
        <w:t xml:space="preserve"> </w:t>
      </w:r>
      <w:r>
        <w:rPr>
          <w:rFonts w:cs="FrankRuehl" w:hint="cs"/>
          <w:sz w:val="20"/>
          <w:szCs w:val="22"/>
          <w:rtl/>
        </w:rPr>
        <w:t>פער</w:t>
      </w:r>
      <w:r>
        <w:rPr>
          <w:rFonts w:cs="FrankRuehl"/>
          <w:sz w:val="20"/>
          <w:szCs w:val="22"/>
          <w:rtl/>
        </w:rPr>
        <w:t xml:space="preserve"> של 100% - ולעתים של 150% - </w:t>
      </w:r>
      <w:r>
        <w:rPr>
          <w:rFonts w:cs="FrankRuehl" w:hint="cs"/>
          <w:sz w:val="20"/>
          <w:szCs w:val="22"/>
          <w:rtl/>
        </w:rPr>
        <w:t>בין</w:t>
      </w:r>
      <w:r>
        <w:rPr>
          <w:rFonts w:cs="FrankRuehl"/>
          <w:sz w:val="20"/>
          <w:szCs w:val="22"/>
          <w:rtl/>
        </w:rPr>
        <w:t xml:space="preserve"> עלות </w:t>
      </w:r>
      <w:r>
        <w:rPr>
          <w:rFonts w:cs="FrankRuehl" w:hint="cs"/>
          <w:sz w:val="20"/>
          <w:szCs w:val="22"/>
          <w:rtl/>
        </w:rPr>
        <w:t>ההסעה</w:t>
      </w:r>
      <w:r>
        <w:rPr>
          <w:rFonts w:cs="FrankRuehl"/>
          <w:sz w:val="20"/>
          <w:szCs w:val="22"/>
          <w:rtl/>
        </w:rPr>
        <w:t xml:space="preserve"> לתלמיד בחינוך הממלכתי </w:t>
      </w:r>
      <w:r>
        <w:rPr>
          <w:rFonts w:cs="FrankRuehl" w:hint="cs"/>
          <w:sz w:val="20"/>
          <w:szCs w:val="22"/>
          <w:rtl/>
        </w:rPr>
        <w:t>ובין</w:t>
      </w:r>
      <w:r>
        <w:rPr>
          <w:rFonts w:cs="FrankRuehl"/>
          <w:sz w:val="20"/>
          <w:szCs w:val="22"/>
          <w:rtl/>
        </w:rPr>
        <w:t xml:space="preserve"> </w:t>
      </w:r>
      <w:r>
        <w:rPr>
          <w:rFonts w:cs="FrankRuehl" w:hint="cs"/>
          <w:sz w:val="20"/>
          <w:szCs w:val="22"/>
          <w:rtl/>
        </w:rPr>
        <w:t>עלות</w:t>
      </w:r>
      <w:r>
        <w:rPr>
          <w:rFonts w:cs="FrankRuehl"/>
          <w:sz w:val="20"/>
          <w:szCs w:val="22"/>
          <w:rtl/>
        </w:rPr>
        <w:t xml:space="preserve"> </w:t>
      </w:r>
      <w:r>
        <w:rPr>
          <w:rFonts w:cs="FrankRuehl" w:hint="cs"/>
          <w:sz w:val="20"/>
          <w:szCs w:val="22"/>
          <w:rtl/>
        </w:rPr>
        <w:t>ההסעה</w:t>
      </w:r>
      <w:r>
        <w:rPr>
          <w:rFonts w:cs="FrankRuehl"/>
          <w:sz w:val="20"/>
          <w:szCs w:val="22"/>
          <w:rtl/>
        </w:rPr>
        <w:t xml:space="preserve"> </w:t>
      </w:r>
      <w:r>
        <w:rPr>
          <w:rFonts w:cs="FrankRuehl" w:hint="cs"/>
          <w:sz w:val="20"/>
          <w:szCs w:val="22"/>
          <w:rtl/>
        </w:rPr>
        <w:t>לתלמיד</w:t>
      </w:r>
      <w:r>
        <w:rPr>
          <w:rFonts w:cs="FrankRuehl"/>
          <w:sz w:val="20"/>
          <w:szCs w:val="22"/>
          <w:rtl/>
        </w:rPr>
        <w:t xml:space="preserve"> </w:t>
      </w:r>
      <w:r>
        <w:rPr>
          <w:rFonts w:cs="FrankRuehl" w:hint="cs"/>
          <w:sz w:val="20"/>
          <w:szCs w:val="22"/>
          <w:rtl/>
        </w:rPr>
        <w:t>במוסד</w:t>
      </w:r>
      <w:r>
        <w:rPr>
          <w:rFonts w:cs="FrankRuehl"/>
          <w:sz w:val="20"/>
          <w:szCs w:val="22"/>
          <w:rtl/>
        </w:rPr>
        <w:t xml:space="preserve"> </w:t>
      </w:r>
      <w:r>
        <w:rPr>
          <w:rFonts w:cs="FrankRuehl" w:hint="cs"/>
          <w:sz w:val="20"/>
          <w:szCs w:val="22"/>
          <w:rtl/>
        </w:rPr>
        <w:t>מוכר</w:t>
      </w:r>
      <w:r>
        <w:rPr>
          <w:rFonts w:cs="FrankRuehl"/>
          <w:sz w:val="20"/>
          <w:szCs w:val="22"/>
          <w:rtl/>
        </w:rPr>
        <w:t xml:space="preserve"> </w:t>
      </w:r>
      <w:r>
        <w:rPr>
          <w:rFonts w:cs="FrankRuehl" w:hint="cs"/>
          <w:sz w:val="20"/>
          <w:szCs w:val="22"/>
          <w:rtl/>
        </w:rPr>
        <w:t>שאינו</w:t>
      </w:r>
      <w:r>
        <w:rPr>
          <w:rFonts w:cs="FrankRuehl"/>
          <w:sz w:val="20"/>
          <w:szCs w:val="22"/>
          <w:rtl/>
        </w:rPr>
        <w:t xml:space="preserve"> </w:t>
      </w:r>
      <w:r>
        <w:rPr>
          <w:rFonts w:cs="FrankRuehl" w:hint="cs"/>
          <w:sz w:val="20"/>
          <w:szCs w:val="22"/>
          <w:rtl/>
        </w:rPr>
        <w:t>רשמי; פער שכזה אינו עומד במבחן הסבירות ו"למעשה נגוע בחוסר סבירות קיצוני"; הסעת תלמידים בלא</w:t>
      </w:r>
      <w:r>
        <w:rPr>
          <w:rFonts w:cs="FrankRuehl"/>
          <w:sz w:val="20"/>
          <w:szCs w:val="22"/>
          <w:rtl/>
        </w:rPr>
        <w:t xml:space="preserve"> </w:t>
      </w:r>
      <w:r>
        <w:rPr>
          <w:rFonts w:cs="FrankRuehl" w:hint="cs"/>
          <w:sz w:val="20"/>
          <w:szCs w:val="22"/>
          <w:rtl/>
        </w:rPr>
        <w:t>להתחשב</w:t>
      </w:r>
      <w:r>
        <w:rPr>
          <w:rFonts w:cs="FrankRuehl"/>
          <w:sz w:val="20"/>
          <w:szCs w:val="22"/>
          <w:rtl/>
        </w:rPr>
        <w:t xml:space="preserve"> </w:t>
      </w:r>
      <w:r>
        <w:rPr>
          <w:rFonts w:cs="FrankRuehl" w:hint="cs"/>
          <w:sz w:val="20"/>
          <w:szCs w:val="22"/>
          <w:rtl/>
        </w:rPr>
        <w:t>במרחק</w:t>
      </w:r>
      <w:r>
        <w:rPr>
          <w:rFonts w:cs="FrankRuehl"/>
          <w:sz w:val="20"/>
          <w:szCs w:val="22"/>
          <w:rtl/>
        </w:rPr>
        <w:t xml:space="preserve"> </w:t>
      </w:r>
      <w:r>
        <w:rPr>
          <w:rFonts w:cs="FrankRuehl" w:hint="cs"/>
          <w:sz w:val="20"/>
          <w:szCs w:val="22"/>
          <w:rtl/>
        </w:rPr>
        <w:t>מגוריהם</w:t>
      </w:r>
      <w:r>
        <w:rPr>
          <w:rFonts w:cs="FrankRuehl"/>
          <w:sz w:val="20"/>
          <w:szCs w:val="22"/>
          <w:rtl/>
        </w:rPr>
        <w:t xml:space="preserve"> </w:t>
      </w:r>
      <w:r>
        <w:rPr>
          <w:rFonts w:cs="FrankRuehl" w:hint="cs"/>
          <w:sz w:val="20"/>
          <w:szCs w:val="22"/>
          <w:rtl/>
        </w:rPr>
        <w:t>מבית</w:t>
      </w:r>
      <w:r>
        <w:rPr>
          <w:rFonts w:cs="FrankRuehl"/>
          <w:sz w:val="20"/>
          <w:szCs w:val="22"/>
          <w:rtl/>
        </w:rPr>
        <w:t xml:space="preserve"> </w:t>
      </w:r>
      <w:r>
        <w:rPr>
          <w:rFonts w:cs="FrankRuehl" w:hint="cs"/>
          <w:sz w:val="20"/>
          <w:szCs w:val="22"/>
          <w:rtl/>
        </w:rPr>
        <w:t>הספר אינה עומדת גם היא במבחן הסבירות לנוכח העובדה שבחינוך הממלכתי מוסעים הזכאים על פי הוראות משרד החינוך; התשלום שהוצע אינו</w:t>
      </w:r>
      <w:r>
        <w:rPr>
          <w:rFonts w:cs="FrankRuehl"/>
          <w:sz w:val="20"/>
          <w:szCs w:val="22"/>
          <w:rtl/>
        </w:rPr>
        <w:t xml:space="preserve"> </w:t>
      </w:r>
      <w:r>
        <w:rPr>
          <w:rFonts w:cs="FrankRuehl" w:hint="cs"/>
          <w:sz w:val="20"/>
          <w:szCs w:val="22"/>
          <w:rtl/>
        </w:rPr>
        <w:t>קובע תקרה תקציבית ואינו עומד במבחן החוק; אם</w:t>
      </w:r>
      <w:r>
        <w:rPr>
          <w:rFonts w:cs="FrankRuehl"/>
          <w:sz w:val="20"/>
          <w:szCs w:val="22"/>
          <w:rtl/>
        </w:rPr>
        <w:t xml:space="preserve"> תיושם </w:t>
      </w:r>
      <w:r>
        <w:rPr>
          <w:rFonts w:cs="FrankRuehl" w:hint="cs"/>
          <w:sz w:val="20"/>
          <w:szCs w:val="22"/>
          <w:rtl/>
        </w:rPr>
        <w:t>ההצעה</w:t>
      </w:r>
      <w:r>
        <w:rPr>
          <w:rFonts w:cs="FrankRuehl"/>
          <w:sz w:val="20"/>
          <w:szCs w:val="22"/>
          <w:rtl/>
        </w:rPr>
        <w:t xml:space="preserve"> </w:t>
      </w:r>
      <w:r>
        <w:rPr>
          <w:rFonts w:cs="FrankRuehl" w:hint="cs"/>
          <w:sz w:val="20"/>
          <w:szCs w:val="22"/>
          <w:rtl/>
        </w:rPr>
        <w:t>תהיה</w:t>
      </w:r>
      <w:r>
        <w:rPr>
          <w:rFonts w:cs="FrankRuehl"/>
          <w:sz w:val="20"/>
          <w:szCs w:val="22"/>
          <w:rtl/>
        </w:rPr>
        <w:t xml:space="preserve"> עלות ההסעה </w:t>
      </w:r>
      <w:r>
        <w:rPr>
          <w:rFonts w:cs="FrankRuehl" w:hint="cs"/>
          <w:sz w:val="20"/>
          <w:szCs w:val="22"/>
          <w:rtl/>
        </w:rPr>
        <w:t>לתלמיד</w:t>
      </w:r>
      <w:r>
        <w:rPr>
          <w:rFonts w:cs="FrankRuehl"/>
          <w:sz w:val="20"/>
          <w:szCs w:val="22"/>
          <w:rtl/>
        </w:rPr>
        <w:t xml:space="preserve"> </w:t>
      </w:r>
      <w:r>
        <w:rPr>
          <w:rFonts w:cs="FrankRuehl" w:hint="cs"/>
          <w:sz w:val="20"/>
          <w:szCs w:val="22"/>
          <w:rtl/>
        </w:rPr>
        <w:t>במוסד</w:t>
      </w:r>
      <w:r>
        <w:rPr>
          <w:rFonts w:cs="FrankRuehl"/>
          <w:sz w:val="20"/>
          <w:szCs w:val="22"/>
          <w:rtl/>
        </w:rPr>
        <w:t xml:space="preserve"> </w:t>
      </w:r>
      <w:r>
        <w:rPr>
          <w:rFonts w:cs="FrankRuehl" w:hint="cs"/>
          <w:sz w:val="20"/>
          <w:szCs w:val="22"/>
          <w:rtl/>
        </w:rPr>
        <w:t>מוכר</w:t>
      </w:r>
      <w:r>
        <w:rPr>
          <w:rFonts w:cs="FrankRuehl"/>
          <w:sz w:val="20"/>
          <w:szCs w:val="22"/>
          <w:rtl/>
        </w:rPr>
        <w:t xml:space="preserve"> </w:t>
      </w:r>
      <w:r>
        <w:rPr>
          <w:rFonts w:cs="FrankRuehl" w:hint="cs"/>
          <w:sz w:val="20"/>
          <w:szCs w:val="22"/>
          <w:rtl/>
        </w:rPr>
        <w:t>גבוהה</w:t>
      </w:r>
      <w:r>
        <w:rPr>
          <w:rFonts w:cs="FrankRuehl"/>
          <w:sz w:val="20"/>
          <w:szCs w:val="22"/>
          <w:rtl/>
        </w:rPr>
        <w:t xml:space="preserve"> </w:t>
      </w:r>
      <w:r>
        <w:rPr>
          <w:rFonts w:cs="FrankRuehl" w:hint="cs"/>
          <w:sz w:val="20"/>
          <w:szCs w:val="22"/>
          <w:rtl/>
        </w:rPr>
        <w:t>ב</w:t>
      </w:r>
      <w:r>
        <w:rPr>
          <w:rFonts w:cs="FrankRuehl"/>
          <w:sz w:val="20"/>
          <w:szCs w:val="22"/>
          <w:rtl/>
        </w:rPr>
        <w:t xml:space="preserve">-100% </w:t>
      </w:r>
      <w:r>
        <w:rPr>
          <w:rFonts w:cs="FrankRuehl" w:hint="cs"/>
          <w:sz w:val="20"/>
          <w:szCs w:val="22"/>
          <w:rtl/>
        </w:rPr>
        <w:t>מעלות</w:t>
      </w:r>
      <w:r>
        <w:rPr>
          <w:rFonts w:cs="FrankRuehl"/>
          <w:sz w:val="20"/>
          <w:szCs w:val="22"/>
          <w:rtl/>
        </w:rPr>
        <w:t xml:space="preserve"> ההסעה לתלמיד בחינוך הממלכתי</w:t>
      </w:r>
      <w:r>
        <w:rPr>
          <w:rFonts w:cs="FrankRuehl" w:hint="cs"/>
          <w:sz w:val="20"/>
          <w:szCs w:val="22"/>
          <w:rtl/>
        </w:rPr>
        <w:t>, וזאת שלא</w:t>
      </w:r>
      <w:r>
        <w:rPr>
          <w:rFonts w:cs="FrankRuehl"/>
          <w:sz w:val="20"/>
          <w:szCs w:val="22"/>
          <w:rtl/>
        </w:rPr>
        <w:t xml:space="preserve"> </w:t>
      </w:r>
      <w:r>
        <w:rPr>
          <w:rFonts w:cs="FrankRuehl" w:hint="cs"/>
          <w:sz w:val="20"/>
          <w:szCs w:val="22"/>
          <w:rtl/>
        </w:rPr>
        <w:t>לפי</w:t>
      </w:r>
      <w:r>
        <w:rPr>
          <w:rFonts w:cs="FrankRuehl"/>
          <w:sz w:val="20"/>
          <w:szCs w:val="22"/>
          <w:rtl/>
        </w:rPr>
        <w:t xml:space="preserve"> חוק נהרי</w:t>
      </w:r>
      <w:r>
        <w:rPr>
          <w:rFonts w:cs="FrankRuehl" w:hint="cs"/>
          <w:sz w:val="20"/>
          <w:szCs w:val="22"/>
          <w:rtl/>
        </w:rPr>
        <w:t>. היועצת המשפטית סיכמה כי "ההצעה נוגדת את החוק, נגועה בחוסר סבירות קיצוני, נוגדת את תקנת הציבור</w:t>
      </w:r>
      <w:r>
        <w:rPr>
          <w:rStyle w:val="FootnoteReference"/>
          <w:rFonts w:cs="FrankRuehl"/>
          <w:sz w:val="20"/>
          <w:szCs w:val="22"/>
          <w:rtl/>
        </w:rPr>
        <w:footnoteReference w:id="14"/>
      </w:r>
      <w:r>
        <w:rPr>
          <w:rFonts w:cs="FrankRuehl" w:hint="cs"/>
          <w:sz w:val="20"/>
          <w:szCs w:val="22"/>
          <w:rtl/>
        </w:rPr>
        <w:t>, לא תעמוד במבחן הביקורת ולא במבחן שיפוטי וככזו אינה ראויה". היועצת</w:t>
      </w:r>
      <w:r>
        <w:rPr>
          <w:rFonts w:cs="FrankRuehl"/>
          <w:sz w:val="20"/>
          <w:szCs w:val="22"/>
          <w:rtl/>
        </w:rPr>
        <w:t xml:space="preserve"> המשפטית גם </w:t>
      </w:r>
      <w:r>
        <w:rPr>
          <w:rFonts w:cs="FrankRuehl" w:hint="cs"/>
          <w:sz w:val="20"/>
          <w:szCs w:val="22"/>
          <w:rtl/>
        </w:rPr>
        <w:t>ציינה</w:t>
      </w:r>
      <w:r>
        <w:rPr>
          <w:rFonts w:cs="FrankRuehl"/>
          <w:sz w:val="20"/>
          <w:szCs w:val="22"/>
          <w:rtl/>
        </w:rPr>
        <w:t xml:space="preserve"> לגבי </w:t>
      </w:r>
      <w:r>
        <w:rPr>
          <w:rFonts w:cs="FrankRuehl" w:hint="cs"/>
          <w:sz w:val="20"/>
          <w:szCs w:val="22"/>
          <w:rtl/>
        </w:rPr>
        <w:t>חוות</w:t>
      </w:r>
      <w:r>
        <w:rPr>
          <w:rFonts w:cs="FrankRuehl"/>
          <w:sz w:val="20"/>
          <w:szCs w:val="22"/>
          <w:rtl/>
        </w:rPr>
        <w:t xml:space="preserve"> דעת משפטית </w:t>
      </w:r>
      <w:r>
        <w:rPr>
          <w:rFonts w:cs="FrankRuehl" w:hint="cs"/>
          <w:sz w:val="20"/>
          <w:szCs w:val="22"/>
          <w:rtl/>
        </w:rPr>
        <w:t>מעורך</w:t>
      </w:r>
      <w:r>
        <w:rPr>
          <w:rFonts w:cs="FrankRuehl"/>
          <w:sz w:val="20"/>
          <w:szCs w:val="22"/>
          <w:rtl/>
        </w:rPr>
        <w:t xml:space="preserve"> </w:t>
      </w:r>
      <w:r>
        <w:rPr>
          <w:rFonts w:cs="FrankRuehl" w:hint="cs"/>
          <w:sz w:val="20"/>
          <w:szCs w:val="22"/>
          <w:rtl/>
        </w:rPr>
        <w:t>דין</w:t>
      </w:r>
      <w:r>
        <w:rPr>
          <w:rFonts w:cs="FrankRuehl"/>
          <w:sz w:val="20"/>
          <w:szCs w:val="22"/>
          <w:rtl/>
        </w:rPr>
        <w:t xml:space="preserve"> פרטי (</w:t>
      </w:r>
      <w:r>
        <w:rPr>
          <w:rFonts w:cs="FrankRuehl" w:hint="cs"/>
          <w:sz w:val="20"/>
          <w:szCs w:val="22"/>
          <w:rtl/>
        </w:rPr>
        <w:t>שהזמין</w:t>
      </w:r>
      <w:r>
        <w:rPr>
          <w:rFonts w:cs="FrankRuehl"/>
          <w:sz w:val="20"/>
          <w:szCs w:val="22"/>
          <w:rtl/>
        </w:rPr>
        <w:t xml:space="preserve"> </w:t>
      </w:r>
      <w:r>
        <w:rPr>
          <w:rFonts w:cs="FrankRuehl" w:hint="cs"/>
          <w:sz w:val="20"/>
          <w:szCs w:val="22"/>
          <w:rtl/>
        </w:rPr>
        <w:t>חבר</w:t>
      </w:r>
      <w:r>
        <w:rPr>
          <w:rFonts w:cs="FrankRuehl"/>
          <w:sz w:val="20"/>
          <w:szCs w:val="22"/>
          <w:rtl/>
        </w:rPr>
        <w:t xml:space="preserve"> מועצה מסיעת ש"ס) </w:t>
      </w:r>
      <w:r>
        <w:rPr>
          <w:rFonts w:cs="FrankRuehl" w:hint="cs"/>
          <w:sz w:val="20"/>
          <w:szCs w:val="22"/>
          <w:rtl/>
        </w:rPr>
        <w:t>כי</w:t>
      </w:r>
      <w:r>
        <w:rPr>
          <w:rFonts w:cs="FrankRuehl"/>
          <w:sz w:val="20"/>
          <w:szCs w:val="22"/>
          <w:rtl/>
        </w:rPr>
        <w:t xml:space="preserve"> "הונחה לפני היום חוות דעת של עו"ד... </w:t>
      </w:r>
      <w:r>
        <w:rPr>
          <w:rFonts w:cs="FrankRuehl" w:hint="cs"/>
          <w:sz w:val="20"/>
          <w:szCs w:val="22"/>
          <w:rtl/>
        </w:rPr>
        <w:t>לחבר</w:t>
      </w:r>
      <w:r>
        <w:rPr>
          <w:rFonts w:cs="FrankRuehl"/>
          <w:sz w:val="20"/>
          <w:szCs w:val="22"/>
          <w:rtl/>
        </w:rPr>
        <w:t xml:space="preserve"> </w:t>
      </w:r>
      <w:r>
        <w:rPr>
          <w:rFonts w:cs="FrankRuehl" w:hint="cs"/>
          <w:sz w:val="20"/>
          <w:szCs w:val="22"/>
          <w:rtl/>
        </w:rPr>
        <w:t>המועצה</w:t>
      </w:r>
      <w:r>
        <w:rPr>
          <w:rFonts w:cs="FrankRuehl"/>
          <w:sz w:val="20"/>
          <w:szCs w:val="22"/>
          <w:rtl/>
        </w:rPr>
        <w:t xml:space="preserve">... </w:t>
      </w:r>
      <w:r>
        <w:rPr>
          <w:rFonts w:cs="FrankRuehl" w:hint="cs"/>
          <w:sz w:val="20"/>
          <w:szCs w:val="22"/>
          <w:rtl/>
        </w:rPr>
        <w:t>לצערי</w:t>
      </w:r>
      <w:r>
        <w:rPr>
          <w:rFonts w:cs="FrankRuehl"/>
          <w:sz w:val="20"/>
          <w:szCs w:val="22"/>
          <w:rtl/>
        </w:rPr>
        <w:t xml:space="preserve"> </w:t>
      </w:r>
      <w:r>
        <w:rPr>
          <w:rFonts w:cs="FrankRuehl" w:hint="cs"/>
          <w:sz w:val="20"/>
          <w:szCs w:val="22"/>
          <w:rtl/>
        </w:rPr>
        <w:t>דעתי</w:t>
      </w:r>
      <w:r>
        <w:rPr>
          <w:rFonts w:cs="FrankRuehl"/>
          <w:sz w:val="20"/>
          <w:szCs w:val="22"/>
          <w:rtl/>
        </w:rPr>
        <w:t xml:space="preserve"> </w:t>
      </w:r>
      <w:r>
        <w:rPr>
          <w:rFonts w:cs="FrankRuehl" w:hint="cs"/>
          <w:sz w:val="20"/>
          <w:szCs w:val="22"/>
          <w:rtl/>
        </w:rPr>
        <w:t>אינה</w:t>
      </w:r>
      <w:r>
        <w:rPr>
          <w:rFonts w:cs="FrankRuehl"/>
          <w:sz w:val="20"/>
          <w:szCs w:val="22"/>
          <w:rtl/>
        </w:rPr>
        <w:t xml:space="preserve"> </w:t>
      </w:r>
      <w:r>
        <w:rPr>
          <w:rFonts w:cs="FrankRuehl" w:hint="cs"/>
          <w:sz w:val="20"/>
          <w:szCs w:val="22"/>
          <w:rtl/>
        </w:rPr>
        <w:t>תואמת</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דעתו</w:t>
      </w:r>
      <w:r>
        <w:rPr>
          <w:rFonts w:cs="FrankRuehl"/>
          <w:sz w:val="20"/>
          <w:szCs w:val="22"/>
          <w:rtl/>
        </w:rPr>
        <w:t xml:space="preserve"> </w:t>
      </w:r>
      <w:r>
        <w:rPr>
          <w:rFonts w:cs="FrankRuehl" w:hint="cs"/>
          <w:sz w:val="20"/>
          <w:szCs w:val="22"/>
          <w:rtl/>
        </w:rPr>
        <w:t>ואיני</w:t>
      </w:r>
      <w:r>
        <w:rPr>
          <w:rFonts w:cs="FrankRuehl"/>
          <w:sz w:val="20"/>
          <w:szCs w:val="22"/>
          <w:rtl/>
        </w:rPr>
        <w:t xml:space="preserve"> </w:t>
      </w:r>
      <w:r>
        <w:rPr>
          <w:rFonts w:cs="FrankRuehl" w:hint="cs"/>
          <w:sz w:val="20"/>
          <w:szCs w:val="22"/>
          <w:rtl/>
        </w:rPr>
        <w:t>יכולה</w:t>
      </w:r>
      <w:r>
        <w:rPr>
          <w:rFonts w:cs="FrankRuehl"/>
          <w:sz w:val="20"/>
          <w:szCs w:val="22"/>
          <w:rtl/>
        </w:rPr>
        <w:t xml:space="preserve"> </w:t>
      </w:r>
      <w:r>
        <w:rPr>
          <w:rFonts w:cs="FrankRuehl" w:hint="cs"/>
          <w:sz w:val="20"/>
          <w:szCs w:val="22"/>
          <w:rtl/>
        </w:rPr>
        <w:t>להמליץ</w:t>
      </w:r>
      <w:r>
        <w:rPr>
          <w:rFonts w:cs="FrankRuehl"/>
          <w:sz w:val="20"/>
          <w:szCs w:val="22"/>
          <w:rtl/>
        </w:rPr>
        <w:t xml:space="preserve"> </w:t>
      </w:r>
      <w:r>
        <w:rPr>
          <w:rFonts w:cs="FrankRuehl" w:hint="cs"/>
          <w:sz w:val="20"/>
          <w:szCs w:val="22"/>
          <w:rtl/>
        </w:rPr>
        <w:t>בפניכם</w:t>
      </w:r>
      <w:r>
        <w:rPr>
          <w:rFonts w:cs="FrankRuehl"/>
          <w:sz w:val="20"/>
          <w:szCs w:val="22"/>
          <w:rtl/>
        </w:rPr>
        <w:t xml:space="preserve"> </w:t>
      </w:r>
      <w:r>
        <w:rPr>
          <w:rFonts w:cs="FrankRuehl" w:hint="cs"/>
          <w:sz w:val="20"/>
          <w:szCs w:val="22"/>
          <w:rtl/>
        </w:rPr>
        <w:t>לקבל</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מסקנותיה</w:t>
      </w:r>
      <w:r>
        <w:rPr>
          <w:rFonts w:cs="FrankRuehl"/>
          <w:sz w:val="20"/>
          <w:szCs w:val="22"/>
          <w:rtl/>
        </w:rPr>
        <w:t>".</w:t>
      </w:r>
      <w:r>
        <w:rPr>
          <w:rFonts w:cs="FrankRuehl" w:hint="cs"/>
          <w:sz w:val="20"/>
          <w:szCs w:val="22"/>
          <w:rtl/>
        </w:rPr>
        <w:t xml:space="preserve"> </w:t>
      </w:r>
    </w:p>
    <w:p w:rsidR="00B767A7" w:rsidP="00A63D74">
      <w:pPr>
        <w:spacing w:after="120" w:line="230" w:lineRule="exact"/>
        <w:ind w:left="340" w:hanging="340"/>
        <w:jc w:val="both"/>
        <w:rPr>
          <w:rFonts w:cs="FrankRuehl"/>
          <w:sz w:val="20"/>
          <w:szCs w:val="22"/>
          <w:rtl/>
        </w:rPr>
      </w:pPr>
      <w:r>
        <w:rPr>
          <w:rFonts w:cs="FrankRuehl"/>
          <w:sz w:val="20"/>
          <w:szCs w:val="22"/>
        </w:rPr>
        <w:tab/>
      </w:r>
      <w:r>
        <w:rPr>
          <w:rFonts w:cs="FrankRuehl" w:hint="cs"/>
          <w:sz w:val="20"/>
          <w:szCs w:val="22"/>
          <w:rtl/>
        </w:rPr>
        <w:t>בישיבה שלא מן המניין האמורה לעיל חזרה היועצת המשפטית של העירייה כמה פעמים על</w:t>
      </w:r>
      <w:r>
        <w:rPr>
          <w:rFonts w:cs="FrankRuehl"/>
          <w:sz w:val="20"/>
          <w:szCs w:val="22"/>
          <w:rtl/>
        </w:rPr>
        <w:t xml:space="preserve"> הערותיה שבמכתב</w:t>
      </w:r>
      <w:r>
        <w:rPr>
          <w:rFonts w:cs="FrankRuehl" w:hint="cs"/>
          <w:sz w:val="20"/>
          <w:szCs w:val="22"/>
          <w:rtl/>
        </w:rPr>
        <w:t>ה לראש העירייה ולחברי המועצה,</w:t>
      </w:r>
      <w:r>
        <w:rPr>
          <w:rFonts w:cs="FrankRuehl"/>
          <w:sz w:val="20"/>
          <w:szCs w:val="22"/>
          <w:rtl/>
        </w:rPr>
        <w:t xml:space="preserve"> לרבות התייחסותה </w:t>
      </w:r>
      <w:r>
        <w:rPr>
          <w:rFonts w:cs="FrankRuehl" w:hint="cs"/>
          <w:sz w:val="20"/>
          <w:szCs w:val="22"/>
          <w:rtl/>
        </w:rPr>
        <w:t>לחוות</w:t>
      </w:r>
      <w:r>
        <w:rPr>
          <w:rFonts w:cs="FrankRuehl"/>
          <w:sz w:val="20"/>
          <w:szCs w:val="22"/>
          <w:rtl/>
        </w:rPr>
        <w:t xml:space="preserve"> </w:t>
      </w:r>
      <w:r>
        <w:rPr>
          <w:rFonts w:cs="FrankRuehl" w:hint="cs"/>
          <w:sz w:val="20"/>
          <w:szCs w:val="22"/>
          <w:rtl/>
        </w:rPr>
        <w:t>הדעת</w:t>
      </w:r>
      <w:r>
        <w:rPr>
          <w:rFonts w:cs="FrankRuehl"/>
          <w:sz w:val="20"/>
          <w:szCs w:val="22"/>
          <w:rtl/>
        </w:rPr>
        <w:t xml:space="preserve"> </w:t>
      </w:r>
      <w:r>
        <w:rPr>
          <w:rFonts w:cs="FrankRuehl" w:hint="cs"/>
          <w:sz w:val="20"/>
          <w:szCs w:val="22"/>
          <w:rtl/>
        </w:rPr>
        <w:t>של עורך הדין הפרטי. גם גזברית העירייה התנגדה במהלך הישיבה לתבחינים שהציעו כמה מחברי המועצה ואמרה כי הרשות אינה חייבת לתקצב הסעות, הצטיידויות ותכניות פדגוגיות</w:t>
      </w:r>
      <w:r>
        <w:rPr>
          <w:rStyle w:val="FootnoteReference"/>
          <w:rFonts w:cs="FrankRuehl"/>
          <w:sz w:val="20"/>
          <w:szCs w:val="22"/>
          <w:rtl/>
        </w:rPr>
        <w:footnoteReference w:id="15"/>
      </w:r>
      <w:r>
        <w:rPr>
          <w:rFonts w:cs="FrankRuehl" w:hint="cs"/>
          <w:sz w:val="20"/>
          <w:szCs w:val="22"/>
          <w:rtl/>
        </w:rPr>
        <w:t xml:space="preserve">, וכי "קריטריון שוויוני שאומר שניתן רק לזה ורק לזה ורק לזה אינו שוויוני לכולם". </w:t>
      </w:r>
    </w:p>
    <w:p w:rsidR="00B767A7" w:rsidP="00B90414">
      <w:pPr>
        <w:spacing w:after="120" w:line="230" w:lineRule="exact"/>
        <w:ind w:left="340"/>
        <w:jc w:val="both"/>
        <w:rPr>
          <w:rFonts w:cs="FrankRuehl"/>
          <w:sz w:val="20"/>
          <w:szCs w:val="22"/>
          <w:rtl/>
        </w:rPr>
      </w:pPr>
      <w:r>
        <w:rPr>
          <w:rFonts w:cs="FrankRuehl" w:hint="cs"/>
          <w:sz w:val="20"/>
          <w:szCs w:val="22"/>
          <w:rtl/>
        </w:rPr>
        <w:t>למרות התנגדויות היועצת המשפטית וגזברית העירייה אישרה מועצת העירייה בסוף הישיבה האמורה את ההחלטה בעניין יישום חוק נהרי ואת מסמך התבחינים שהציעו כמה מחברי המועצה, כלהלן:</w:t>
      </w:r>
    </w:p>
    <w:p w:rsidR="00B767A7" w:rsidP="008F3E66">
      <w:pPr>
        <w:spacing w:after="120" w:line="230" w:lineRule="exact"/>
        <w:ind w:left="1361" w:hanging="454"/>
        <w:jc w:val="both"/>
        <w:rPr>
          <w:rFonts w:cs="FrankRuehl"/>
          <w:sz w:val="20"/>
          <w:szCs w:val="22"/>
          <w:rtl/>
        </w:rPr>
      </w:pPr>
      <w:r>
        <w:rPr>
          <w:rFonts w:cs="FrankRuehl" w:hint="cs"/>
          <w:sz w:val="20"/>
          <w:szCs w:val="22"/>
          <w:rtl/>
        </w:rPr>
        <w:t xml:space="preserve">"א. </w:t>
      </w:r>
      <w:r w:rsidR="008F3E66">
        <w:rPr>
          <w:rFonts w:cs="FrankRuehl"/>
          <w:sz w:val="20"/>
          <w:szCs w:val="22"/>
        </w:rPr>
        <w:tab/>
      </w:r>
      <w:r>
        <w:rPr>
          <w:rFonts w:cs="FrankRuehl" w:hint="cs"/>
          <w:sz w:val="20"/>
          <w:szCs w:val="22"/>
          <w:rtl/>
        </w:rPr>
        <w:t>ההצעה מתייחסת לשנת 2009 בלבד ואין לה השלכה או פגיעה בשום סעיף בתמיכות לשנת 2010.</w:t>
      </w:r>
    </w:p>
    <w:p w:rsidR="00B767A7" w:rsidP="008F3E66">
      <w:pPr>
        <w:spacing w:after="120" w:line="230" w:lineRule="exact"/>
        <w:ind w:left="1361" w:hanging="454"/>
        <w:jc w:val="both"/>
        <w:rPr>
          <w:rFonts w:cs="FrankRuehl"/>
          <w:sz w:val="20"/>
          <w:szCs w:val="22"/>
          <w:rtl/>
        </w:rPr>
      </w:pPr>
      <w:r>
        <w:rPr>
          <w:rFonts w:cs="FrankRuehl" w:hint="cs"/>
          <w:sz w:val="20"/>
          <w:szCs w:val="22"/>
          <w:rtl/>
        </w:rPr>
        <w:t xml:space="preserve">ב. </w:t>
      </w:r>
      <w:r w:rsidR="008F3E66">
        <w:rPr>
          <w:rFonts w:cs="FrankRuehl"/>
          <w:sz w:val="20"/>
          <w:szCs w:val="22"/>
        </w:rPr>
        <w:tab/>
      </w:r>
      <w:r>
        <w:rPr>
          <w:rFonts w:cs="FrankRuehl" w:hint="cs"/>
          <w:sz w:val="20"/>
          <w:szCs w:val="22"/>
          <w:rtl/>
        </w:rPr>
        <w:t>המועצה מאשרת את הקריטריונים לכל מגזרי החינוך המוכר שאינו רשמי, על פי המוצע בסדר יום הישיבה, בכפוף לבדיקה של רואה חשבון באשר למקור התקציב ובהתחשב בהערות הפקידות במהלך הישיבה.</w:t>
      </w:r>
    </w:p>
    <w:p w:rsidR="00B767A7" w:rsidP="008F3E66">
      <w:pPr>
        <w:spacing w:after="120" w:line="230" w:lineRule="exact"/>
        <w:ind w:left="1361" w:hanging="454"/>
        <w:jc w:val="both"/>
        <w:rPr>
          <w:rFonts w:cs="FrankRuehl"/>
          <w:sz w:val="20"/>
          <w:szCs w:val="22"/>
          <w:rtl/>
        </w:rPr>
      </w:pPr>
      <w:r>
        <w:rPr>
          <w:rFonts w:cs="FrankRuehl" w:hint="cs"/>
          <w:sz w:val="20"/>
          <w:szCs w:val="22"/>
          <w:rtl/>
        </w:rPr>
        <w:t xml:space="preserve">ג. </w:t>
      </w:r>
      <w:r w:rsidR="008F3E66">
        <w:rPr>
          <w:rFonts w:cs="FrankRuehl"/>
          <w:sz w:val="20"/>
          <w:szCs w:val="22"/>
        </w:rPr>
        <w:tab/>
      </w:r>
      <w:r>
        <w:rPr>
          <w:rFonts w:cs="FrankRuehl" w:hint="cs"/>
          <w:sz w:val="20"/>
          <w:szCs w:val="22"/>
          <w:rtl/>
        </w:rPr>
        <w:t>כמו כן בכפוף לאישור היועץ המשפטי של משרד הפנים, לאור האמור בחוו"ד של [ה]עו"ד [הפרטי] ושל היועצת המשפטית של העירייה בנדון".</w:t>
      </w:r>
    </w:p>
    <w:p w:rsidR="00B767A7" w:rsidP="008F3E66">
      <w:pPr>
        <w:spacing w:after="120" w:line="230" w:lineRule="exact"/>
        <w:ind w:left="340" w:hanging="340"/>
        <w:jc w:val="both"/>
        <w:rPr>
          <w:rFonts w:cs="FrankRuehl"/>
          <w:sz w:val="20"/>
          <w:szCs w:val="22"/>
          <w:rtl/>
        </w:rPr>
      </w:pPr>
      <w:r>
        <w:rPr>
          <w:rFonts w:cs="FrankRuehl"/>
          <w:sz w:val="20"/>
          <w:szCs w:val="22"/>
        </w:rPr>
        <w:tab/>
      </w:r>
      <w:r>
        <w:rPr>
          <w:rFonts w:cs="FrankRuehl" w:hint="cs"/>
          <w:sz w:val="20"/>
          <w:szCs w:val="22"/>
          <w:rtl/>
        </w:rPr>
        <w:t xml:space="preserve">הבדיקה העלתה כי אין בתיקי העירייה מסמך ובו מפורטים תבחינים שנקבעו לגבי התקצוב של הסעות תלמידים בהתחשב בהערותיהן של היועצת המשפטית ושל גזברית העירייה ובהתנגדויותיהן לתבחינים שהוצעו. נוסף על כך לא התבקש היועץ המשפטי של משרד הפנים לאשר כי התבחינים המוצעים נקבעו בהתאם לכללי השוויון והמשפט המינהלי. </w:t>
      </w:r>
    </w:p>
    <w:p w:rsidR="008F3E66" w:rsidP="008F3E66">
      <w:pPr>
        <w:spacing w:after="120" w:line="230" w:lineRule="exact"/>
        <w:jc w:val="both"/>
        <w:rPr>
          <w:rFonts w:cs="FrankRuehl"/>
          <w:sz w:val="22"/>
          <w:szCs w:val="22"/>
          <w:rtl/>
        </w:rPr>
      </w:pPr>
    </w:p>
    <w:p w:rsidR="008F3E66" w:rsidP="008F3E66">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8F3E66" w:rsidP="008F3E66">
      <w:pPr>
        <w:spacing w:after="120" w:line="230" w:lineRule="exact"/>
        <w:jc w:val="both"/>
        <w:rPr>
          <w:rFonts w:cs="FrankRuehl"/>
          <w:sz w:val="22"/>
          <w:szCs w:val="22"/>
          <w:rtl/>
        </w:rPr>
      </w:pPr>
    </w:p>
    <w:p w:rsidR="00B767A7">
      <w:pPr>
        <w:spacing w:after="120" w:line="230" w:lineRule="exact"/>
        <w:jc w:val="both"/>
        <w:rPr>
          <w:rFonts w:cs="FrankRuehl"/>
          <w:sz w:val="20"/>
          <w:szCs w:val="22"/>
          <w:rtl/>
        </w:rPr>
      </w:pPr>
      <w:r>
        <w:rPr>
          <w:rFonts w:cs="FrankRuehl" w:hint="cs"/>
          <w:sz w:val="20"/>
          <w:szCs w:val="22"/>
          <w:rtl/>
        </w:rPr>
        <w:t>מכאן עולה אפוא שבשנת 2009 לא אישרה מועצת העירייה כנדרש תבחינים ברורים ומוסכמים במסגרת יישום חוק נהרי לפי כללי השוויון והמשפט המינהלי. מדצמבר</w:t>
      </w:r>
      <w:r>
        <w:rPr>
          <w:rFonts w:cs="FrankRuehl"/>
          <w:sz w:val="20"/>
          <w:szCs w:val="22"/>
          <w:rtl/>
        </w:rPr>
        <w:t xml:space="preserve"> 2009</w:t>
      </w:r>
      <w:r>
        <w:rPr>
          <w:rFonts w:cs="FrankRuehl" w:hint="cs"/>
          <w:sz w:val="20"/>
          <w:szCs w:val="22"/>
          <w:rtl/>
        </w:rPr>
        <w:t xml:space="preserve"> לא דנה העירייה בתבחינים המתבקשים מחוק נהרי ומהנוהל ליישום חוק נהרי. יתרה מזו, המינהל הכספי בעירייה כולל בכל שנה בתקציב העירייה הקצבות בסך מעל 75% למימון רכיבים כמו חשמל, מים, שיפוצי קיץ, ניקיון, שמירה והסעות</w:t>
      </w:r>
      <w:r>
        <w:rPr>
          <w:rStyle w:val="FootnoteReference"/>
          <w:rFonts w:cs="FrankRuehl"/>
          <w:sz w:val="20"/>
          <w:szCs w:val="22"/>
          <w:rtl/>
        </w:rPr>
        <w:footnoteReference w:id="16"/>
      </w:r>
      <w:r>
        <w:rPr>
          <w:rFonts w:cs="FrankRuehl" w:hint="cs"/>
          <w:sz w:val="20"/>
          <w:szCs w:val="22"/>
          <w:rtl/>
        </w:rPr>
        <w:t xml:space="preserve"> בתקציביהם של מוסדות חינוך מוכרים לא רשמיים, ולמותר לציין שהעירייה העבירה למוסדות החינוך המוכרים הקצבות כאלה אף שלא אושרו כנדרש תבחינים לכך. </w:t>
      </w:r>
    </w:p>
    <w:p w:rsidR="00B767A7" w:rsidP="008F3E66">
      <w:pPr>
        <w:spacing w:after="240" w:line="230" w:lineRule="exact"/>
        <w:jc w:val="both"/>
        <w:rPr>
          <w:rFonts w:cs="FrankRuehl"/>
          <w:sz w:val="20"/>
          <w:szCs w:val="22"/>
          <w:rtl/>
        </w:rPr>
      </w:pPr>
      <w:r>
        <w:rPr>
          <w:rFonts w:cs="FrankRuehl" w:hint="cs"/>
          <w:sz w:val="20"/>
          <w:szCs w:val="22"/>
          <w:rtl/>
        </w:rPr>
        <w:t>העירייה מסרה בתשובתה הנוספת כי משנת 2009 היא שילמה למוסדות החינוך המוכרים עבור חשמל, מים וניקיון רק 75% מההוצאות לרכיבים אלה למוסדות החינוך הרשמיים, אולם לא צירפה מסמכים התומכים בתשובתה זו.</w:t>
      </w:r>
    </w:p>
    <w:p w:rsidR="00B767A7" w:rsidP="008F3E66">
      <w:pPr>
        <w:pStyle w:val="RESHET"/>
        <w:rPr>
          <w:rtl/>
        </w:rPr>
      </w:pPr>
      <w:r>
        <w:rPr>
          <w:rFonts w:hint="cs"/>
          <w:rtl/>
        </w:rPr>
        <w:t xml:space="preserve">משרד מבקר המדינה מעיר לעירייה כי היא מסרה בתשובתה מיוני 2014 שמועצת העירייה קיבלה כדין החלטות לתקצב את הרכיבים האלה ביותר מ-75%. לא זו אף זו, בתשובתה צירפה העירייה מכתב שכתב בדצמבר 2009 ראש העירייה דאז לגזברית העירייה ובו הוא מורה לה לשלם למוסדות החינוך המוכרים את הכספים האמורים על פי החלטת מועצת העירייה מנובמבר 2009, כלומר מעל 75% מההוצאות. לאור התשובות הסותרות קיים אפוא ספק אם העירייה אכן לא שילמה למוסדות החינוך המוכרים עבור רכיבים אלה מעל 75%. </w:t>
      </w:r>
    </w:p>
    <w:p w:rsidR="00B767A7" w:rsidP="008F3E66">
      <w:pPr>
        <w:spacing w:before="180" w:after="120" w:line="230" w:lineRule="exact"/>
        <w:jc w:val="both"/>
        <w:rPr>
          <w:rFonts w:cs="FrankRuehl"/>
          <w:sz w:val="20"/>
          <w:szCs w:val="22"/>
          <w:rtl/>
        </w:rPr>
      </w:pPr>
      <w:r>
        <w:rPr>
          <w:rFonts w:cs="FrankRuehl" w:hint="cs"/>
          <w:sz w:val="20"/>
          <w:szCs w:val="22"/>
          <w:rtl/>
        </w:rPr>
        <w:t xml:space="preserve">יצוין כי בנוהל "השתתפות הרשויות המקומיות בתקציב מוסדות החינוך המוכר שאינו רשמי", שפורסם בחוזר מנכ"ל משרד הפנים ביוני 2008, נכתב בין היתר: "הגדלת ההשתתפות של הרשות המקומית בתקציבי מוסדות החינוך המוכרים שאינם רשמיים, גם אם היא נעשית בדרך של העברה תקציבית ולא בדרך של תמיכה, חייבת להיעשות על פי קריטריונים שוויוניים עליהם תחליט מועצת הרשות המקומית </w:t>
      </w:r>
      <w:r>
        <w:rPr>
          <w:rFonts w:cs="FrankRuehl" w:hint="cs"/>
          <w:b/>
          <w:bCs/>
          <w:sz w:val="20"/>
          <w:szCs w:val="22"/>
          <w:rtl/>
        </w:rPr>
        <w:t>ואשר</w:t>
      </w:r>
      <w:r>
        <w:rPr>
          <w:rFonts w:cs="FrankRuehl"/>
          <w:b/>
          <w:bCs/>
          <w:sz w:val="20"/>
          <w:szCs w:val="22"/>
          <w:rtl/>
        </w:rPr>
        <w:t xml:space="preserve"> </w:t>
      </w:r>
      <w:r>
        <w:rPr>
          <w:rFonts w:cs="FrankRuehl" w:hint="cs"/>
          <w:b/>
          <w:bCs/>
          <w:sz w:val="20"/>
          <w:szCs w:val="22"/>
          <w:rtl/>
        </w:rPr>
        <w:t>יובאו</w:t>
      </w:r>
      <w:r>
        <w:rPr>
          <w:rFonts w:cs="FrankRuehl"/>
          <w:b/>
          <w:bCs/>
          <w:sz w:val="20"/>
          <w:szCs w:val="22"/>
          <w:rtl/>
        </w:rPr>
        <w:t xml:space="preserve"> </w:t>
      </w:r>
      <w:r>
        <w:rPr>
          <w:rFonts w:cs="FrankRuehl" w:hint="cs"/>
          <w:b/>
          <w:bCs/>
          <w:sz w:val="20"/>
          <w:szCs w:val="22"/>
          <w:rtl/>
        </w:rPr>
        <w:t>לידיעת</w:t>
      </w:r>
      <w:r>
        <w:rPr>
          <w:rFonts w:cs="FrankRuehl"/>
          <w:b/>
          <w:bCs/>
          <w:sz w:val="20"/>
          <w:szCs w:val="22"/>
          <w:rtl/>
        </w:rPr>
        <w:t xml:space="preserve"> </w:t>
      </w:r>
      <w:r>
        <w:rPr>
          <w:rFonts w:cs="FrankRuehl" w:hint="cs"/>
          <w:b/>
          <w:bCs/>
          <w:sz w:val="20"/>
          <w:szCs w:val="22"/>
          <w:rtl/>
        </w:rPr>
        <w:t>הציבור</w:t>
      </w:r>
      <w:r>
        <w:rPr>
          <w:rFonts w:cs="FrankRuehl"/>
          <w:sz w:val="20"/>
          <w:szCs w:val="22"/>
          <w:rtl/>
        </w:rPr>
        <w:t>"</w:t>
      </w:r>
      <w:r>
        <w:rPr>
          <w:rFonts w:cs="FrankRuehl" w:hint="cs"/>
          <w:sz w:val="20"/>
          <w:szCs w:val="22"/>
          <w:rtl/>
        </w:rPr>
        <w:t xml:space="preserve"> (ההדגשה אינה במקור).</w:t>
      </w:r>
    </w:p>
    <w:p w:rsidR="00B767A7">
      <w:pPr>
        <w:spacing w:after="120" w:line="230" w:lineRule="exact"/>
        <w:jc w:val="both"/>
        <w:rPr>
          <w:rFonts w:cs="FrankRuehl"/>
          <w:sz w:val="20"/>
          <w:szCs w:val="22"/>
          <w:rtl/>
        </w:rPr>
      </w:pPr>
      <w:r>
        <w:rPr>
          <w:rFonts w:cs="FrankRuehl" w:hint="cs"/>
          <w:sz w:val="20"/>
          <w:szCs w:val="22"/>
          <w:rtl/>
        </w:rPr>
        <w:t>בעניין זה ציין השופט סולברג בפסק דינו</w:t>
      </w:r>
      <w:r>
        <w:rPr>
          <w:rStyle w:val="FootnoteReference"/>
          <w:rFonts w:cs="FrankRuehl"/>
          <w:sz w:val="20"/>
          <w:szCs w:val="22"/>
          <w:rtl/>
        </w:rPr>
        <w:footnoteReference w:id="17"/>
      </w:r>
      <w:r>
        <w:rPr>
          <w:rFonts w:cs="FrankRuehl" w:hint="cs"/>
          <w:sz w:val="20"/>
          <w:szCs w:val="22"/>
          <w:rtl/>
        </w:rPr>
        <w:t>: "אין עוררין גם על כך שאם החליטה הרשות המקומית לעשות שימוש בסמכותה ולהעביר תקציב מוגדל למוסדות רשמיים שאינם מוכרים</w:t>
      </w:r>
      <w:r>
        <w:rPr>
          <w:rStyle w:val="FootnoteReference"/>
          <w:rFonts w:cs="FrankRuehl"/>
          <w:sz w:val="20"/>
          <w:szCs w:val="22"/>
          <w:rtl/>
        </w:rPr>
        <w:footnoteReference w:id="18"/>
      </w:r>
      <w:r>
        <w:rPr>
          <w:rFonts w:cs="FrankRuehl" w:hint="cs"/>
          <w:sz w:val="20"/>
          <w:szCs w:val="22"/>
          <w:rtl/>
        </w:rPr>
        <w:t xml:space="preserve"> עליה לעשות זאת על פי תבחינים שוויוניים, אשר יובאו לידיעת הציבור, כפי שהרשות המקומית מחויבת לנהוג לגבי כלל מענקי התמיכה".</w:t>
      </w:r>
    </w:p>
    <w:p w:rsidR="00B767A7" w:rsidP="008F3E66">
      <w:pPr>
        <w:spacing w:after="240" w:line="230" w:lineRule="exact"/>
        <w:jc w:val="both"/>
        <w:rPr>
          <w:rFonts w:cs="FrankRuehl"/>
          <w:sz w:val="20"/>
          <w:szCs w:val="22"/>
          <w:rtl/>
        </w:rPr>
      </w:pPr>
      <w:r>
        <w:rPr>
          <w:rFonts w:cs="FrankRuehl" w:hint="cs"/>
          <w:sz w:val="20"/>
          <w:szCs w:val="22"/>
          <w:rtl/>
        </w:rPr>
        <w:t>באותו עניין ציינה גזברית העירייה לפני חברי מועצת העירייה בדצמבר 2009: "הקריטריון שמוצע [להסעות תלמידים] היה צריך להתפרסם בציבור מראש, כדי שכל המוסדות היו יכולים להיערך אליו ולהסיע על פיו ולקבל את השתתפות העירייה. מעיין החינוך התורני קבע את היקף ההסעה, ומעמיד את העירייה בפני עובדה מוגמרת".</w:t>
      </w:r>
    </w:p>
    <w:p w:rsidR="00B767A7" w:rsidP="008F3E66">
      <w:pPr>
        <w:pStyle w:val="RESHET"/>
        <w:rPr>
          <w:rtl/>
        </w:rPr>
      </w:pPr>
      <w:r>
        <w:rPr>
          <w:rFonts w:hint="cs"/>
          <w:rtl/>
        </w:rPr>
        <w:t>משרד</w:t>
      </w:r>
      <w:r>
        <w:rPr>
          <w:rtl/>
        </w:rPr>
        <w:t xml:space="preserve"> </w:t>
      </w:r>
      <w:r>
        <w:rPr>
          <w:rFonts w:hint="cs"/>
          <w:rtl/>
        </w:rPr>
        <w:t>מבקר</w:t>
      </w:r>
      <w:r>
        <w:rPr>
          <w:rtl/>
        </w:rPr>
        <w:t xml:space="preserve"> </w:t>
      </w:r>
      <w:r>
        <w:rPr>
          <w:rFonts w:hint="cs"/>
          <w:rtl/>
        </w:rPr>
        <w:t>המדינה</w:t>
      </w:r>
      <w:r>
        <w:rPr>
          <w:rtl/>
        </w:rPr>
        <w:t xml:space="preserve"> </w:t>
      </w:r>
      <w:r>
        <w:rPr>
          <w:rFonts w:hint="cs"/>
          <w:rtl/>
        </w:rPr>
        <w:t>העיר לעירייה כי לא הייתה מוסמכת לממן את הרכיבים האמורים בתקציב מוסדות החינוך המוכרים שאינם רשמיים בשיעור העולה על 75% מתקצוב מוסדות החינוך הרשמיים בלא שמועצת העירייה קיבלה החלטה בעניין.</w:t>
      </w:r>
    </w:p>
    <w:p w:rsidR="00B767A7" w:rsidP="008F3E66">
      <w:pPr>
        <w:spacing w:before="180" w:after="240" w:line="230" w:lineRule="exact"/>
        <w:jc w:val="both"/>
        <w:rPr>
          <w:rFonts w:cs="FrankRuehl"/>
          <w:sz w:val="20"/>
          <w:szCs w:val="22"/>
          <w:rtl/>
        </w:rPr>
      </w:pPr>
      <w:r>
        <w:rPr>
          <w:rFonts w:cs="FrankRuehl" w:hint="cs"/>
          <w:sz w:val="20"/>
          <w:szCs w:val="22"/>
          <w:rtl/>
        </w:rPr>
        <w:t>העירייה מסרה בתשובתה כי "מועצת העיר שבה ודנה בקריטריונים [תבחינים] השונים מספר פעמים וזאת על מנת שלא להשאיר את הסוגיה ללא מענה ברור".</w:t>
      </w:r>
    </w:p>
    <w:p w:rsidR="00B767A7" w:rsidP="008F3E66">
      <w:pPr>
        <w:pStyle w:val="RESHET"/>
        <w:keepLines/>
        <w:rPr>
          <w:rtl/>
        </w:rPr>
      </w:pPr>
      <w:r>
        <w:rPr>
          <w:rFonts w:hint="cs"/>
          <w:rtl/>
        </w:rPr>
        <w:t>משרד מבקר המדינה העיר לעירייה כי הליך קבלת ההחלטות בעניין התבחינים, על כל שלביו - החל בכתיבת מסמכי ההכנה לקראת הדיונים בעניין, המשכו בהחלטות המועצה בעניין זה, וכלה בתוצאות ההחלטות ובאי-פרסום תבחינים לידיעת הציבור - היה לקוי מיסודו, בין היתר משום שהביא לפגיעה בעקרונות המשפט המינהלי, לרבות בכללי השוויון. בשל כך ונוכח</w:t>
      </w:r>
      <w:r>
        <w:rPr>
          <w:rtl/>
        </w:rPr>
        <w:t xml:space="preserve"> היעדר </w:t>
      </w:r>
      <w:r>
        <w:rPr>
          <w:rFonts w:hint="cs"/>
          <w:rtl/>
        </w:rPr>
        <w:t>ההחלטה</w:t>
      </w:r>
      <w:r>
        <w:rPr>
          <w:rtl/>
        </w:rPr>
        <w:t xml:space="preserve"> </w:t>
      </w:r>
      <w:r>
        <w:rPr>
          <w:rFonts w:hint="cs"/>
          <w:rtl/>
        </w:rPr>
        <w:t>לגבי</w:t>
      </w:r>
      <w:r>
        <w:rPr>
          <w:rtl/>
        </w:rPr>
        <w:t xml:space="preserve"> </w:t>
      </w:r>
      <w:r>
        <w:rPr>
          <w:rFonts w:hint="cs"/>
          <w:rtl/>
        </w:rPr>
        <w:t xml:space="preserve">תבחינים </w:t>
      </w:r>
      <w:r>
        <w:rPr>
          <w:rtl/>
        </w:rPr>
        <w:t xml:space="preserve">משנת 2010 </w:t>
      </w:r>
      <w:r>
        <w:rPr>
          <w:rFonts w:hint="cs"/>
          <w:rtl/>
        </w:rPr>
        <w:t>ואילך ולמעשה אי-קביעת</w:t>
      </w:r>
      <w:r>
        <w:rPr>
          <w:rtl/>
        </w:rPr>
        <w:t xml:space="preserve"> </w:t>
      </w:r>
      <w:r>
        <w:rPr>
          <w:rFonts w:hint="cs"/>
          <w:rtl/>
        </w:rPr>
        <w:t>תבחינים כלל בסוגיה</w:t>
      </w:r>
      <w:r>
        <w:rPr>
          <w:rtl/>
        </w:rPr>
        <w:t xml:space="preserve"> </w:t>
      </w:r>
      <w:r>
        <w:rPr>
          <w:rFonts w:hint="cs"/>
          <w:rtl/>
        </w:rPr>
        <w:t>זו מאותה שנה</w:t>
      </w:r>
      <w:r>
        <w:rPr>
          <w:rStyle w:val="FootnoteReference"/>
          <w:rFonts w:cs="FrankRuehl"/>
          <w:b w:val="0"/>
          <w:bCs w:val="0"/>
          <w:rtl/>
        </w:rPr>
        <w:footnoteReference w:id="19"/>
      </w:r>
      <w:r>
        <w:rPr>
          <w:rFonts w:hint="cs"/>
          <w:rtl/>
        </w:rPr>
        <w:t xml:space="preserve">, שומה על העירייה להפסיק לחלוטין את העברת התקצוב הנוסף (תקציב הגדול מ-75% מהתקציב המוקצה למוסדות החינוך הרשמיים) למוסדות החינוך המוכרים במסלול חוק נהרי; בייחוד הדברים אמורים בתקצוב רכיב ההסעות, שהוא רכיב משמעותי ביותר מהבחינה הכספית. על העירייה גם לבחון את האפשרות המשפטית לקזז מהתמיכות שישולמו בעתיד למוסדות חינוך את סכומי התקצוב הנוסף שקיבלו בשנים האמורות. </w:t>
      </w:r>
    </w:p>
    <w:p w:rsidR="00B767A7">
      <w:pPr>
        <w:spacing w:after="120" w:line="230" w:lineRule="exact"/>
        <w:ind w:hanging="2"/>
        <w:jc w:val="both"/>
        <w:rPr>
          <w:rFonts w:cs="FrankRuehl"/>
          <w:sz w:val="20"/>
          <w:szCs w:val="22"/>
          <w:rtl/>
        </w:rPr>
      </w:pPr>
    </w:p>
    <w:p w:rsidR="00B767A7">
      <w:pPr>
        <w:pStyle w:val="KOT5"/>
        <w:rPr>
          <w:rtl/>
        </w:rPr>
      </w:pPr>
      <w:r>
        <w:rPr>
          <w:rFonts w:hint="cs"/>
          <w:rtl/>
        </w:rPr>
        <w:t>חריגות העירייה מחוק נהרי במסגרת מתן תמיכה למוסדות חינוך</w:t>
      </w:r>
    </w:p>
    <w:p w:rsidR="00B767A7">
      <w:pPr>
        <w:pStyle w:val="KOT6"/>
        <w:rPr>
          <w:rtl/>
        </w:rPr>
      </w:pPr>
      <w:r>
        <w:rPr>
          <w:rFonts w:hint="cs"/>
          <w:rtl/>
        </w:rPr>
        <w:t>גני ילדים בחינוך חובה</w:t>
      </w:r>
    </w:p>
    <w:p w:rsidR="00B767A7">
      <w:pPr>
        <w:spacing w:after="120" w:line="230" w:lineRule="exact"/>
        <w:ind w:hanging="2"/>
        <w:jc w:val="both"/>
        <w:rPr>
          <w:rFonts w:cs="FrankRuehl"/>
          <w:sz w:val="20"/>
          <w:szCs w:val="22"/>
          <w:rtl/>
        </w:rPr>
      </w:pPr>
      <w:r>
        <w:rPr>
          <w:rFonts w:cs="FrankRuehl" w:hint="cs"/>
          <w:sz w:val="20"/>
          <w:szCs w:val="22"/>
          <w:rtl/>
        </w:rPr>
        <w:t>בכמה מקרים קבעו בתי המשפט כי אין מקום לחייב את הרשויות המקומיות להשתתף בתקציב גני ילדים במסלול חוק נהרי</w:t>
      </w:r>
      <w:r>
        <w:rPr>
          <w:rStyle w:val="FootnoteReference"/>
          <w:rFonts w:cs="FrankRuehl"/>
          <w:sz w:val="20"/>
          <w:szCs w:val="22"/>
          <w:rtl/>
        </w:rPr>
        <w:footnoteReference w:id="20"/>
      </w:r>
      <w:r>
        <w:rPr>
          <w:rFonts w:cs="FrankRuehl" w:hint="cs"/>
          <w:sz w:val="20"/>
          <w:szCs w:val="22"/>
          <w:rtl/>
        </w:rPr>
        <w:t>. השופט רון סוקול נימק את הדחייה כך: "מקובלת עלי גם טענת היועץ המשפטי [לממשלה] כי קבלת טענות העותרות עלולה לפגוע בחינוך הרשמי. השוואת ההשתתפות בתקציבים בין גני הילדים הרשמיים לגנים המוכרים שאינם רשמיים, תביא בהכרח לצמצום המשאבים העומדים לרשות החינוך הרשמי"</w:t>
      </w:r>
      <w:r>
        <w:rPr>
          <w:rStyle w:val="FootnoteReference"/>
          <w:rFonts w:cs="FrankRuehl"/>
          <w:sz w:val="20"/>
          <w:szCs w:val="22"/>
          <w:rtl/>
        </w:rPr>
        <w:footnoteReference w:id="21"/>
      </w:r>
      <w:r>
        <w:rPr>
          <w:rFonts w:cs="FrankRuehl" w:hint="cs"/>
          <w:sz w:val="20"/>
          <w:szCs w:val="22"/>
          <w:rtl/>
        </w:rPr>
        <w:t>.</w:t>
      </w:r>
    </w:p>
    <w:p w:rsidR="00B767A7">
      <w:pPr>
        <w:spacing w:after="120" w:line="230" w:lineRule="exact"/>
        <w:ind w:hanging="2"/>
        <w:jc w:val="both"/>
        <w:rPr>
          <w:rFonts w:cs="FrankRuehl"/>
          <w:sz w:val="20"/>
          <w:szCs w:val="22"/>
          <w:rtl/>
        </w:rPr>
      </w:pPr>
      <w:r>
        <w:rPr>
          <w:rFonts w:cs="FrankRuehl" w:hint="cs"/>
          <w:sz w:val="20"/>
          <w:szCs w:val="22"/>
          <w:rtl/>
        </w:rPr>
        <w:t>נמצא כי למרות פסיקות בתי המשפט, עיריית פתח תקווה המשיכה לתקצב במסלול חוק נהרי גם גני ילדים בחינוך חובה הפועלים במסגרת החינוך המוכר</w:t>
      </w:r>
      <w:r>
        <w:rPr>
          <w:rStyle w:val="FootnoteReference"/>
          <w:rFonts w:cs="FrankRuehl"/>
          <w:sz w:val="20"/>
          <w:szCs w:val="22"/>
          <w:rtl/>
        </w:rPr>
        <w:footnoteReference w:id="22"/>
      </w:r>
      <w:r>
        <w:rPr>
          <w:rFonts w:cs="FrankRuehl" w:hint="cs"/>
          <w:sz w:val="20"/>
          <w:szCs w:val="22"/>
          <w:rtl/>
        </w:rPr>
        <w:t xml:space="preserve">. </w:t>
      </w:r>
    </w:p>
    <w:p w:rsidR="00B767A7">
      <w:pPr>
        <w:spacing w:after="120" w:line="230" w:lineRule="exact"/>
        <w:ind w:hanging="2"/>
        <w:jc w:val="both"/>
        <w:rPr>
          <w:rFonts w:cs="FrankRuehl"/>
          <w:sz w:val="20"/>
          <w:szCs w:val="22"/>
          <w:rtl/>
        </w:rPr>
      </w:pPr>
      <w:r>
        <w:rPr>
          <w:rFonts w:cs="FrankRuehl" w:hint="cs"/>
          <w:sz w:val="20"/>
          <w:szCs w:val="22"/>
          <w:rtl/>
        </w:rPr>
        <w:t xml:space="preserve">להלן יפורטו מספרי הילדים הלומדים בגני הילדים של החינוך המוכר שאינו רשמי וסכום ההשתתפות של העירייה (באלפי ש"ח) במימון לימודיהם בשנים 2013-2010: </w:t>
      </w:r>
    </w:p>
    <w:p w:rsidR="008F3E66" w:rsidRPr="00324F05" w:rsidP="00B90414">
      <w:pPr>
        <w:pStyle w:val="tab-name"/>
        <w:rPr>
          <w:rtl/>
        </w:rPr>
      </w:pPr>
      <w:r w:rsidRPr="00324F05">
        <w:rPr>
          <w:b w:val="0"/>
          <w:bCs w:val="0"/>
          <w:sz w:val="20"/>
          <w:szCs w:val="20"/>
          <w:highlight w:val="yellow"/>
          <w:rtl/>
        </w:rPr>
        <w:br w:type="page"/>
      </w:r>
      <w:r w:rsidRPr="00324F05">
        <w:rPr>
          <w:rFonts w:hint="cs"/>
          <w:b w:val="0"/>
          <w:bCs w:val="0"/>
          <w:sz w:val="20"/>
          <w:szCs w:val="20"/>
          <w:rtl/>
        </w:rPr>
        <w:t xml:space="preserve">לוח </w:t>
      </w:r>
      <w:r w:rsidR="00B90414">
        <w:rPr>
          <w:rFonts w:hint="cs"/>
          <w:b w:val="0"/>
          <w:bCs w:val="0"/>
          <w:sz w:val="20"/>
          <w:szCs w:val="20"/>
          <w:rtl/>
        </w:rPr>
        <w:t>2</w:t>
      </w:r>
      <w:r w:rsidRPr="00324F05">
        <w:rPr>
          <w:b w:val="0"/>
          <w:bCs w:val="0"/>
          <w:sz w:val="20"/>
          <w:szCs w:val="20"/>
          <w:rtl/>
        </w:rPr>
        <w:br/>
      </w:r>
      <w:r w:rsidRPr="00324F05" w:rsidR="00324F05">
        <w:rPr>
          <w:rFonts w:hint="cs"/>
          <w:rtl/>
        </w:rPr>
        <w:t>תמיכת העירייה בגני הילדים בחינוך חובה,</w:t>
      </w:r>
      <w:r w:rsidRPr="00324F05">
        <w:rPr>
          <w:rFonts w:hint="cs"/>
          <w:rtl/>
        </w:rPr>
        <w:t xml:space="preserve"> 2013-2010</w:t>
      </w:r>
    </w:p>
    <w:tbl>
      <w:tblPr>
        <w:bidiVisual/>
        <w:tblW w:w="6691" w:type="dxa"/>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tblPr>
      <w:tblGrid>
        <w:gridCol w:w="827"/>
        <w:gridCol w:w="820"/>
        <w:gridCol w:w="882"/>
        <w:gridCol w:w="794"/>
        <w:gridCol w:w="833"/>
        <w:gridCol w:w="889"/>
        <w:gridCol w:w="787"/>
        <w:gridCol w:w="859"/>
      </w:tblGrid>
      <w:tr w:rsidTr="00607B01">
        <w:tblPrEx>
          <w:tblW w:w="6691" w:type="dxa"/>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tblPrEx>
        <w:trPr>
          <w:cantSplit/>
          <w:jc w:val="center"/>
        </w:trPr>
        <w:tc>
          <w:tcPr>
            <w:tcW w:w="1696" w:type="dxa"/>
            <w:gridSpan w:val="2"/>
            <w:tcBorders>
              <w:bottom w:val="single" w:sz="4" w:space="0" w:color="auto"/>
            </w:tcBorders>
            <w:shd w:val="pct10" w:color="auto" w:fill="FFFFFF"/>
          </w:tcPr>
          <w:p w:rsidR="005B7DA9" w:rsidRPr="008F3E66" w:rsidP="008F3E66">
            <w:pPr>
              <w:pStyle w:val="takzir"/>
              <w:spacing w:before="40" w:after="40" w:line="220" w:lineRule="exact"/>
              <w:jc w:val="center"/>
              <w:rPr>
                <w:rFonts w:eastAsia="Calibri" w:cs="FrankRuehl"/>
                <w:noProof w:val="0"/>
                <w:sz w:val="20"/>
                <w:szCs w:val="20"/>
                <w:rtl/>
                <w:lang w:eastAsia="en-US"/>
              </w:rPr>
            </w:pPr>
            <w:r w:rsidRPr="008F3E66">
              <w:rPr>
                <w:rFonts w:eastAsia="Calibri" w:cs="FrankRuehl" w:hint="cs"/>
                <w:noProof w:val="0"/>
                <w:sz w:val="20"/>
                <w:szCs w:val="20"/>
                <w:rtl/>
                <w:lang w:eastAsia="en-US"/>
              </w:rPr>
              <w:t>2010</w:t>
            </w:r>
          </w:p>
        </w:tc>
        <w:tc>
          <w:tcPr>
            <w:tcW w:w="1732" w:type="dxa"/>
            <w:gridSpan w:val="2"/>
            <w:tcBorders>
              <w:bottom w:val="single" w:sz="4" w:space="0" w:color="auto"/>
            </w:tcBorders>
            <w:shd w:val="pct10" w:color="auto" w:fill="FFFFFF"/>
          </w:tcPr>
          <w:p w:rsidR="005B7DA9" w:rsidRPr="008F3E66" w:rsidP="008F3E66">
            <w:pPr>
              <w:spacing w:before="40" w:after="40" w:line="220" w:lineRule="exact"/>
              <w:jc w:val="center"/>
              <w:rPr>
                <w:rFonts w:eastAsia="Calibri"/>
                <w:b/>
                <w:bCs/>
                <w:sz w:val="20"/>
                <w:szCs w:val="20"/>
                <w:rtl/>
              </w:rPr>
            </w:pPr>
            <w:r w:rsidRPr="008F3E66">
              <w:rPr>
                <w:rFonts w:eastAsia="Calibri" w:cs="FrankRuehl" w:hint="cs"/>
                <w:b/>
                <w:bCs/>
                <w:sz w:val="20"/>
                <w:szCs w:val="20"/>
                <w:rtl/>
              </w:rPr>
              <w:t>2011</w:t>
            </w:r>
          </w:p>
        </w:tc>
        <w:tc>
          <w:tcPr>
            <w:tcW w:w="1788" w:type="dxa"/>
            <w:gridSpan w:val="2"/>
            <w:tcBorders>
              <w:bottom w:val="single" w:sz="4" w:space="0" w:color="auto"/>
            </w:tcBorders>
            <w:shd w:val="pct10" w:color="auto" w:fill="FFFFFF"/>
          </w:tcPr>
          <w:p w:rsidR="005B7DA9" w:rsidRPr="008F3E66" w:rsidP="008F3E66">
            <w:pPr>
              <w:spacing w:before="40" w:after="40" w:line="220" w:lineRule="exact"/>
              <w:jc w:val="center"/>
              <w:rPr>
                <w:rFonts w:eastAsia="Calibri"/>
                <w:b/>
                <w:bCs/>
                <w:sz w:val="20"/>
                <w:szCs w:val="20"/>
                <w:rtl/>
              </w:rPr>
            </w:pPr>
            <w:r w:rsidRPr="008F3E66">
              <w:rPr>
                <w:rFonts w:eastAsia="Calibri" w:cs="FrankRuehl" w:hint="cs"/>
                <w:b/>
                <w:bCs/>
                <w:sz w:val="20"/>
                <w:szCs w:val="20"/>
                <w:rtl/>
              </w:rPr>
              <w:t>2012</w:t>
            </w:r>
          </w:p>
        </w:tc>
        <w:tc>
          <w:tcPr>
            <w:tcW w:w="1696" w:type="dxa"/>
            <w:gridSpan w:val="2"/>
            <w:tcBorders>
              <w:bottom w:val="single" w:sz="4" w:space="0" w:color="auto"/>
            </w:tcBorders>
            <w:shd w:val="pct10" w:color="auto" w:fill="FFFFFF"/>
          </w:tcPr>
          <w:p w:rsidR="005B7DA9" w:rsidRPr="008F3E66" w:rsidP="008F3E66">
            <w:pPr>
              <w:spacing w:before="40" w:after="40" w:line="220" w:lineRule="exact"/>
              <w:jc w:val="center"/>
              <w:rPr>
                <w:rFonts w:eastAsia="Calibri"/>
                <w:b/>
                <w:bCs/>
                <w:sz w:val="20"/>
                <w:szCs w:val="20"/>
                <w:rtl/>
              </w:rPr>
            </w:pPr>
            <w:r w:rsidRPr="008F3E66">
              <w:rPr>
                <w:rFonts w:eastAsia="Calibri" w:cs="FrankRuehl" w:hint="cs"/>
                <w:b/>
                <w:bCs/>
                <w:sz w:val="20"/>
                <w:szCs w:val="20"/>
                <w:rtl/>
              </w:rPr>
              <w:t>2013</w:t>
            </w:r>
          </w:p>
        </w:tc>
      </w:tr>
      <w:tr w:rsidTr="00607B01">
        <w:tblPrEx>
          <w:tblW w:w="6691" w:type="dxa"/>
          <w:jc w:val="center"/>
          <w:tblLook w:val="04A0"/>
        </w:tblPrEx>
        <w:trPr>
          <w:cantSplit/>
          <w:jc w:val="center"/>
        </w:trPr>
        <w:tc>
          <w:tcPr>
            <w:tcW w:w="859" w:type="dxa"/>
            <w:tcBorders>
              <w:top w:val="single" w:sz="4" w:space="0" w:color="auto"/>
            </w:tcBorders>
            <w:shd w:val="pct10" w:color="auto" w:fill="FFFFFF"/>
            <w:vAlign w:val="bottom"/>
          </w:tcPr>
          <w:p w:rsidR="005B7DA9" w:rsidRPr="008F3E66" w:rsidP="008F3E66">
            <w:pPr>
              <w:spacing w:before="40" w:after="40" w:line="220" w:lineRule="exact"/>
              <w:jc w:val="center"/>
              <w:rPr>
                <w:rFonts w:eastAsia="Calibri"/>
                <w:b/>
                <w:bCs/>
                <w:sz w:val="20"/>
                <w:szCs w:val="20"/>
                <w:rtl/>
              </w:rPr>
            </w:pPr>
            <w:r w:rsidRPr="008F3E66">
              <w:rPr>
                <w:rFonts w:eastAsia="Calibri" w:cs="FrankRuehl" w:hint="cs"/>
                <w:b/>
                <w:bCs/>
                <w:sz w:val="20"/>
                <w:szCs w:val="20"/>
                <w:rtl/>
              </w:rPr>
              <w:t>מספר</w:t>
            </w:r>
            <w:r w:rsidRPr="008F3E66" w:rsidR="008F3E66">
              <w:rPr>
                <w:rFonts w:eastAsia="Calibri" w:cs="FrankRuehl"/>
                <w:b/>
                <w:bCs/>
                <w:sz w:val="20"/>
                <w:szCs w:val="20"/>
                <w:rtl/>
              </w:rPr>
              <w:br/>
            </w:r>
            <w:r w:rsidRPr="008F3E66">
              <w:rPr>
                <w:rFonts w:eastAsia="Calibri" w:cs="FrankRuehl" w:hint="cs"/>
                <w:b/>
                <w:bCs/>
                <w:sz w:val="20"/>
                <w:szCs w:val="20"/>
                <w:rtl/>
              </w:rPr>
              <w:t>הילדים</w:t>
            </w:r>
          </w:p>
        </w:tc>
        <w:tc>
          <w:tcPr>
            <w:tcW w:w="837" w:type="dxa"/>
            <w:tcBorders>
              <w:top w:val="single" w:sz="4" w:space="0" w:color="auto"/>
            </w:tcBorders>
            <w:shd w:val="pct10" w:color="auto" w:fill="FFFFFF"/>
            <w:vAlign w:val="bottom"/>
          </w:tcPr>
          <w:p w:rsidR="005B7DA9" w:rsidRPr="008F3E66" w:rsidP="008F3E66">
            <w:pPr>
              <w:spacing w:before="40" w:after="40" w:line="220" w:lineRule="exact"/>
              <w:jc w:val="center"/>
              <w:rPr>
                <w:rFonts w:eastAsia="Calibri"/>
                <w:b/>
                <w:bCs/>
                <w:sz w:val="20"/>
                <w:szCs w:val="20"/>
                <w:rtl/>
              </w:rPr>
            </w:pPr>
            <w:r w:rsidRPr="008F3E66">
              <w:rPr>
                <w:rFonts w:eastAsia="Calibri" w:cs="FrankRuehl" w:hint="cs"/>
                <w:b/>
                <w:bCs/>
                <w:sz w:val="20"/>
                <w:szCs w:val="20"/>
                <w:rtl/>
              </w:rPr>
              <w:t>ההוצאה</w:t>
            </w:r>
          </w:p>
        </w:tc>
        <w:tc>
          <w:tcPr>
            <w:tcW w:w="926" w:type="dxa"/>
            <w:tcBorders>
              <w:top w:val="single" w:sz="4" w:space="0" w:color="auto"/>
            </w:tcBorders>
            <w:shd w:val="pct10" w:color="auto" w:fill="FFFFFF"/>
            <w:vAlign w:val="bottom"/>
          </w:tcPr>
          <w:p w:rsidR="005B7DA9" w:rsidRPr="008F3E66" w:rsidP="008F3E66">
            <w:pPr>
              <w:spacing w:before="40" w:after="40" w:line="220" w:lineRule="exact"/>
              <w:jc w:val="center"/>
              <w:rPr>
                <w:rFonts w:eastAsia="Calibri"/>
                <w:b/>
                <w:bCs/>
                <w:sz w:val="20"/>
                <w:szCs w:val="20"/>
                <w:rtl/>
              </w:rPr>
            </w:pPr>
            <w:r w:rsidRPr="008F3E66">
              <w:rPr>
                <w:rFonts w:eastAsia="Calibri" w:cs="FrankRuehl" w:hint="cs"/>
                <w:b/>
                <w:bCs/>
                <w:sz w:val="20"/>
                <w:szCs w:val="20"/>
                <w:rtl/>
              </w:rPr>
              <w:t>מספר</w:t>
            </w:r>
            <w:r w:rsidRPr="008F3E66" w:rsidR="008F3E66">
              <w:rPr>
                <w:rFonts w:eastAsia="Calibri" w:cs="FrankRuehl"/>
                <w:b/>
                <w:bCs/>
                <w:sz w:val="20"/>
                <w:szCs w:val="20"/>
                <w:rtl/>
              </w:rPr>
              <w:br/>
            </w:r>
            <w:r w:rsidRPr="008F3E66">
              <w:rPr>
                <w:rFonts w:eastAsia="Calibri" w:cs="FrankRuehl" w:hint="cs"/>
                <w:b/>
                <w:bCs/>
                <w:sz w:val="20"/>
                <w:szCs w:val="20"/>
                <w:rtl/>
              </w:rPr>
              <w:t>הילדים</w:t>
            </w:r>
          </w:p>
        </w:tc>
        <w:tc>
          <w:tcPr>
            <w:tcW w:w="806" w:type="dxa"/>
            <w:tcBorders>
              <w:top w:val="single" w:sz="4" w:space="0" w:color="auto"/>
            </w:tcBorders>
            <w:shd w:val="pct10" w:color="auto" w:fill="FFFFFF"/>
            <w:vAlign w:val="bottom"/>
          </w:tcPr>
          <w:p w:rsidR="005B7DA9" w:rsidRPr="008F3E66" w:rsidP="008F3E66">
            <w:pPr>
              <w:spacing w:before="40" w:after="40" w:line="220" w:lineRule="exact"/>
              <w:jc w:val="center"/>
              <w:rPr>
                <w:rFonts w:eastAsia="Calibri"/>
                <w:b/>
                <w:bCs/>
                <w:sz w:val="20"/>
                <w:szCs w:val="20"/>
                <w:rtl/>
              </w:rPr>
            </w:pPr>
            <w:r w:rsidRPr="008F3E66">
              <w:rPr>
                <w:rFonts w:eastAsia="Calibri" w:cs="FrankRuehl" w:hint="cs"/>
                <w:b/>
                <w:bCs/>
                <w:sz w:val="20"/>
                <w:szCs w:val="20"/>
                <w:rtl/>
              </w:rPr>
              <w:t>ההוצאה</w:t>
            </w:r>
          </w:p>
        </w:tc>
        <w:tc>
          <w:tcPr>
            <w:tcW w:w="867" w:type="dxa"/>
            <w:tcBorders>
              <w:top w:val="single" w:sz="4" w:space="0" w:color="auto"/>
            </w:tcBorders>
            <w:shd w:val="pct10" w:color="auto" w:fill="FFFFFF"/>
            <w:vAlign w:val="bottom"/>
          </w:tcPr>
          <w:p w:rsidR="005B7DA9" w:rsidRPr="008F3E66" w:rsidP="008F3E66">
            <w:pPr>
              <w:spacing w:before="40" w:after="40" w:line="220" w:lineRule="exact"/>
              <w:jc w:val="center"/>
              <w:rPr>
                <w:rFonts w:eastAsia="Calibri"/>
                <w:b/>
                <w:bCs/>
                <w:sz w:val="20"/>
                <w:szCs w:val="20"/>
                <w:rtl/>
              </w:rPr>
            </w:pPr>
            <w:r w:rsidRPr="008F3E66">
              <w:rPr>
                <w:rFonts w:eastAsia="Calibri" w:cs="FrankRuehl" w:hint="cs"/>
                <w:b/>
                <w:bCs/>
                <w:sz w:val="20"/>
                <w:szCs w:val="20"/>
                <w:rtl/>
              </w:rPr>
              <w:t>מספר</w:t>
            </w:r>
            <w:r w:rsidRPr="008F3E66" w:rsidR="008F3E66">
              <w:rPr>
                <w:rFonts w:eastAsia="Calibri" w:cs="FrankRuehl"/>
                <w:b/>
                <w:bCs/>
                <w:sz w:val="20"/>
                <w:szCs w:val="20"/>
                <w:rtl/>
              </w:rPr>
              <w:br/>
            </w:r>
            <w:r w:rsidRPr="008F3E66">
              <w:rPr>
                <w:rFonts w:eastAsia="Calibri" w:cs="FrankRuehl" w:hint="cs"/>
                <w:b/>
                <w:bCs/>
                <w:sz w:val="20"/>
                <w:szCs w:val="20"/>
                <w:rtl/>
              </w:rPr>
              <w:t>הילדים</w:t>
            </w:r>
          </w:p>
        </w:tc>
        <w:tc>
          <w:tcPr>
            <w:tcW w:w="921" w:type="dxa"/>
            <w:tcBorders>
              <w:top w:val="single" w:sz="4" w:space="0" w:color="auto"/>
            </w:tcBorders>
            <w:shd w:val="pct10" w:color="auto" w:fill="FFFFFF"/>
            <w:vAlign w:val="bottom"/>
          </w:tcPr>
          <w:p w:rsidR="005B7DA9" w:rsidRPr="008F3E66" w:rsidP="008F3E66">
            <w:pPr>
              <w:spacing w:before="40" w:after="40" w:line="220" w:lineRule="exact"/>
              <w:jc w:val="center"/>
              <w:rPr>
                <w:rFonts w:eastAsia="Calibri"/>
                <w:b/>
                <w:bCs/>
                <w:sz w:val="20"/>
                <w:szCs w:val="20"/>
                <w:rtl/>
              </w:rPr>
            </w:pPr>
            <w:r w:rsidRPr="008F3E66">
              <w:rPr>
                <w:rFonts w:eastAsia="Calibri" w:cs="FrankRuehl" w:hint="cs"/>
                <w:b/>
                <w:bCs/>
                <w:sz w:val="20"/>
                <w:szCs w:val="20"/>
                <w:rtl/>
              </w:rPr>
              <w:t>ההוצאה</w:t>
            </w:r>
          </w:p>
        </w:tc>
        <w:tc>
          <w:tcPr>
            <w:tcW w:w="811" w:type="dxa"/>
            <w:tcBorders>
              <w:top w:val="single" w:sz="4" w:space="0" w:color="auto"/>
            </w:tcBorders>
            <w:shd w:val="pct10" w:color="auto" w:fill="FFFFFF"/>
            <w:vAlign w:val="bottom"/>
          </w:tcPr>
          <w:p w:rsidR="005B7DA9" w:rsidRPr="008F3E66" w:rsidP="008F3E66">
            <w:pPr>
              <w:spacing w:before="40" w:after="40" w:line="220" w:lineRule="exact"/>
              <w:jc w:val="center"/>
              <w:rPr>
                <w:rFonts w:eastAsia="Calibri"/>
                <w:b/>
                <w:bCs/>
                <w:sz w:val="20"/>
                <w:szCs w:val="20"/>
                <w:rtl/>
              </w:rPr>
            </w:pPr>
            <w:r w:rsidRPr="008F3E66">
              <w:rPr>
                <w:rFonts w:eastAsia="Calibri" w:cs="FrankRuehl" w:hint="cs"/>
                <w:b/>
                <w:bCs/>
                <w:sz w:val="20"/>
                <w:szCs w:val="20"/>
                <w:rtl/>
              </w:rPr>
              <w:t>מספר</w:t>
            </w:r>
            <w:r w:rsidRPr="008F3E66" w:rsidR="008F3E66">
              <w:rPr>
                <w:rFonts w:eastAsia="Calibri" w:cs="FrankRuehl"/>
                <w:b/>
                <w:bCs/>
                <w:sz w:val="20"/>
                <w:szCs w:val="20"/>
                <w:rtl/>
              </w:rPr>
              <w:br/>
            </w:r>
            <w:r w:rsidRPr="008F3E66">
              <w:rPr>
                <w:rFonts w:eastAsia="Calibri" w:cs="FrankRuehl" w:hint="cs"/>
                <w:b/>
                <w:bCs/>
                <w:sz w:val="20"/>
                <w:szCs w:val="20"/>
                <w:rtl/>
              </w:rPr>
              <w:t>הילדים</w:t>
            </w:r>
          </w:p>
        </w:tc>
        <w:tc>
          <w:tcPr>
            <w:tcW w:w="885" w:type="dxa"/>
            <w:tcBorders>
              <w:top w:val="single" w:sz="4" w:space="0" w:color="auto"/>
            </w:tcBorders>
            <w:shd w:val="pct10" w:color="auto" w:fill="FFFFFF"/>
            <w:vAlign w:val="bottom"/>
          </w:tcPr>
          <w:p w:rsidR="005B7DA9" w:rsidRPr="008F3E66" w:rsidP="008F3E66">
            <w:pPr>
              <w:spacing w:before="40" w:after="40" w:line="220" w:lineRule="exact"/>
              <w:jc w:val="center"/>
              <w:rPr>
                <w:rFonts w:eastAsia="Calibri"/>
                <w:b/>
                <w:bCs/>
                <w:sz w:val="20"/>
                <w:szCs w:val="20"/>
                <w:rtl/>
              </w:rPr>
            </w:pPr>
            <w:r w:rsidRPr="008F3E66">
              <w:rPr>
                <w:rFonts w:eastAsia="Calibri" w:cs="FrankRuehl" w:hint="cs"/>
                <w:b/>
                <w:bCs/>
                <w:sz w:val="20"/>
                <w:szCs w:val="20"/>
                <w:rtl/>
              </w:rPr>
              <w:t>ההוצאה</w:t>
            </w:r>
          </w:p>
        </w:tc>
      </w:tr>
      <w:tr w:rsidTr="008F3E66">
        <w:tblPrEx>
          <w:tblW w:w="6691" w:type="dxa"/>
          <w:jc w:val="center"/>
          <w:tblLook w:val="04A0"/>
        </w:tblPrEx>
        <w:trPr>
          <w:cantSplit/>
          <w:jc w:val="center"/>
        </w:trPr>
        <w:tc>
          <w:tcPr>
            <w:tcW w:w="859" w:type="dxa"/>
          </w:tcPr>
          <w:p w:rsidR="005B7DA9" w:rsidRPr="008F3E66" w:rsidP="008F3E66">
            <w:pPr>
              <w:spacing w:before="40" w:after="40" w:line="220" w:lineRule="exact"/>
              <w:jc w:val="both"/>
              <w:rPr>
                <w:rFonts w:eastAsia="Calibri" w:cs="FrankRuehl"/>
                <w:sz w:val="20"/>
                <w:szCs w:val="20"/>
                <w:rtl/>
              </w:rPr>
            </w:pPr>
            <w:r w:rsidRPr="008F3E66">
              <w:rPr>
                <w:rFonts w:eastAsia="Calibri" w:cs="FrankRuehl" w:hint="cs"/>
                <w:sz w:val="20"/>
                <w:szCs w:val="20"/>
                <w:rtl/>
              </w:rPr>
              <w:t>1,237</w:t>
            </w:r>
          </w:p>
        </w:tc>
        <w:tc>
          <w:tcPr>
            <w:tcW w:w="837" w:type="dxa"/>
          </w:tcPr>
          <w:p w:rsidR="005B7DA9" w:rsidRPr="008F3E66" w:rsidP="008F3E66">
            <w:pPr>
              <w:spacing w:before="40" w:after="40" w:line="220" w:lineRule="exact"/>
              <w:jc w:val="both"/>
              <w:rPr>
                <w:rFonts w:eastAsia="Calibri"/>
                <w:sz w:val="20"/>
                <w:szCs w:val="20"/>
                <w:rtl/>
              </w:rPr>
            </w:pPr>
            <w:r w:rsidRPr="008F3E66">
              <w:rPr>
                <w:rFonts w:eastAsia="Calibri" w:cs="FrankRuehl" w:hint="cs"/>
                <w:sz w:val="20"/>
                <w:szCs w:val="20"/>
                <w:rtl/>
              </w:rPr>
              <w:t>2,206</w:t>
            </w:r>
          </w:p>
        </w:tc>
        <w:tc>
          <w:tcPr>
            <w:tcW w:w="926" w:type="dxa"/>
          </w:tcPr>
          <w:p w:rsidR="005B7DA9" w:rsidRPr="008F3E66" w:rsidP="008F3E66">
            <w:pPr>
              <w:spacing w:before="40" w:after="40" w:line="220" w:lineRule="exact"/>
              <w:jc w:val="both"/>
              <w:rPr>
                <w:rFonts w:eastAsia="Calibri"/>
                <w:sz w:val="20"/>
                <w:szCs w:val="20"/>
                <w:rtl/>
              </w:rPr>
            </w:pPr>
            <w:r w:rsidRPr="008F3E66">
              <w:rPr>
                <w:rFonts w:eastAsia="Calibri" w:cs="FrankRuehl" w:hint="cs"/>
                <w:sz w:val="20"/>
                <w:szCs w:val="20"/>
                <w:rtl/>
              </w:rPr>
              <w:t>1,219</w:t>
            </w:r>
          </w:p>
        </w:tc>
        <w:tc>
          <w:tcPr>
            <w:tcW w:w="806" w:type="dxa"/>
          </w:tcPr>
          <w:p w:rsidR="005B7DA9" w:rsidRPr="008F3E66" w:rsidP="008F3E66">
            <w:pPr>
              <w:spacing w:before="40" w:after="40" w:line="220" w:lineRule="exact"/>
              <w:jc w:val="both"/>
              <w:rPr>
                <w:rFonts w:eastAsia="Calibri"/>
                <w:sz w:val="20"/>
                <w:szCs w:val="20"/>
                <w:rtl/>
              </w:rPr>
            </w:pPr>
            <w:r w:rsidRPr="008F3E66">
              <w:rPr>
                <w:rFonts w:eastAsia="Calibri" w:cs="FrankRuehl" w:hint="cs"/>
                <w:sz w:val="20"/>
                <w:szCs w:val="20"/>
                <w:rtl/>
              </w:rPr>
              <w:t>2,024</w:t>
            </w:r>
          </w:p>
        </w:tc>
        <w:tc>
          <w:tcPr>
            <w:tcW w:w="867" w:type="dxa"/>
          </w:tcPr>
          <w:p w:rsidR="005B7DA9" w:rsidRPr="008F3E66" w:rsidP="008F3E66">
            <w:pPr>
              <w:spacing w:before="40" w:after="40" w:line="220" w:lineRule="exact"/>
              <w:jc w:val="both"/>
              <w:rPr>
                <w:rFonts w:eastAsia="Calibri"/>
                <w:sz w:val="20"/>
                <w:szCs w:val="20"/>
                <w:rtl/>
              </w:rPr>
            </w:pPr>
            <w:r w:rsidRPr="008F3E66">
              <w:rPr>
                <w:rFonts w:eastAsia="Calibri" w:cs="FrankRuehl" w:hint="cs"/>
                <w:sz w:val="20"/>
                <w:szCs w:val="20"/>
                <w:rtl/>
              </w:rPr>
              <w:t>1,204</w:t>
            </w:r>
          </w:p>
        </w:tc>
        <w:tc>
          <w:tcPr>
            <w:tcW w:w="921" w:type="dxa"/>
          </w:tcPr>
          <w:p w:rsidR="005B7DA9" w:rsidRPr="008F3E66" w:rsidP="008F3E66">
            <w:pPr>
              <w:spacing w:before="40" w:after="40" w:line="220" w:lineRule="exact"/>
              <w:jc w:val="both"/>
              <w:rPr>
                <w:rFonts w:eastAsia="Calibri"/>
                <w:sz w:val="20"/>
                <w:szCs w:val="20"/>
                <w:rtl/>
              </w:rPr>
            </w:pPr>
            <w:r w:rsidRPr="008F3E66">
              <w:rPr>
                <w:rFonts w:eastAsia="Calibri" w:cs="FrankRuehl" w:hint="cs"/>
                <w:sz w:val="20"/>
                <w:szCs w:val="20"/>
                <w:rtl/>
              </w:rPr>
              <w:t>2,175</w:t>
            </w:r>
          </w:p>
        </w:tc>
        <w:tc>
          <w:tcPr>
            <w:tcW w:w="811" w:type="dxa"/>
          </w:tcPr>
          <w:p w:rsidR="005B7DA9" w:rsidRPr="008F3E66" w:rsidP="008F3E66">
            <w:pPr>
              <w:spacing w:before="40" w:after="40" w:line="220" w:lineRule="exact"/>
              <w:jc w:val="both"/>
              <w:rPr>
                <w:rFonts w:eastAsia="Calibri"/>
                <w:sz w:val="20"/>
                <w:szCs w:val="20"/>
                <w:rtl/>
              </w:rPr>
            </w:pPr>
            <w:r w:rsidRPr="008F3E66">
              <w:rPr>
                <w:rFonts w:eastAsia="Calibri" w:cs="FrankRuehl" w:hint="cs"/>
                <w:sz w:val="20"/>
                <w:szCs w:val="20"/>
                <w:rtl/>
              </w:rPr>
              <w:t>1,175</w:t>
            </w:r>
          </w:p>
        </w:tc>
        <w:tc>
          <w:tcPr>
            <w:tcW w:w="885" w:type="dxa"/>
          </w:tcPr>
          <w:p w:rsidR="005B7DA9" w:rsidRPr="008F3E66" w:rsidP="008F3E66">
            <w:pPr>
              <w:spacing w:before="40" w:after="40" w:line="220" w:lineRule="exact"/>
              <w:jc w:val="both"/>
              <w:rPr>
                <w:rFonts w:eastAsia="Calibri"/>
                <w:sz w:val="20"/>
                <w:szCs w:val="20"/>
                <w:rtl/>
              </w:rPr>
            </w:pPr>
            <w:r w:rsidRPr="008F3E66">
              <w:rPr>
                <w:rFonts w:eastAsia="Calibri" w:cs="FrankRuehl" w:hint="cs"/>
                <w:sz w:val="20"/>
                <w:szCs w:val="20"/>
                <w:rtl/>
              </w:rPr>
              <w:t>1,923</w:t>
            </w:r>
          </w:p>
        </w:tc>
      </w:tr>
    </w:tbl>
    <w:p w:rsidR="008F3E66" w:rsidRPr="008F3E66" w:rsidP="008F3E66">
      <w:pPr>
        <w:pStyle w:val="takzir"/>
        <w:spacing w:after="0"/>
        <w:rPr>
          <w:rFonts w:cs="FrankRuehl"/>
          <w:noProof w:val="0"/>
          <w:sz w:val="20"/>
          <w:rtl/>
          <w:lang w:eastAsia="en-US"/>
        </w:rPr>
      </w:pPr>
    </w:p>
    <w:p w:rsidR="00B767A7" w:rsidP="008F3E66">
      <w:pPr>
        <w:pStyle w:val="RESHET"/>
        <w:rPr>
          <w:rtl/>
        </w:rPr>
      </w:pPr>
      <w:r>
        <w:rPr>
          <w:rFonts w:hint="cs"/>
          <w:rtl/>
        </w:rPr>
        <w:t xml:space="preserve">משרד מבקר המדינה העיר לעירייה כי הכללת התקצוב של גני ילדים בחינוך חובה במסלול חוק נהרי יצרה מצג ולפיו מחובתה לתקצב את אותם גנים, ולא היא. יתר על כן, מכיוון שההקצבות לא הוקצו במסלול תמיכות כנדרש הן ניתנו שלא לפי התבחינים הנדרשים במסלול התמיכות. אם העירייה, על פי שיקול דעתה, ראתה לנכון להשתתף בתקצוב גני ילדים של החינוך המוכר, היה עליה לפעול, לפחות מאמצע שנת 2012 - המועד שבו הובא לידיעתה פסק הדין בנושא - במסלול התמיכות. כמו כן היה עליה לנמק את עצם התקצוב ואת שיעורו במסגרת התבחינים הנדרשים בנוהל התמיכות (ראו להלן). </w:t>
      </w:r>
    </w:p>
    <w:p w:rsidR="00B767A7" w:rsidP="008F3E66">
      <w:pPr>
        <w:spacing w:before="180" w:after="120" w:line="230" w:lineRule="exact"/>
        <w:jc w:val="both"/>
        <w:rPr>
          <w:rFonts w:cs="FrankRuehl"/>
          <w:sz w:val="20"/>
          <w:szCs w:val="22"/>
          <w:rtl/>
        </w:rPr>
      </w:pPr>
      <w:r>
        <w:rPr>
          <w:rFonts w:cs="FrankRuehl" w:hint="cs"/>
          <w:sz w:val="20"/>
          <w:szCs w:val="22"/>
          <w:rtl/>
        </w:rPr>
        <w:t>העירייה מסרה</w:t>
      </w:r>
      <w:r>
        <w:rPr>
          <w:rFonts w:cs="FrankRuehl"/>
          <w:sz w:val="20"/>
          <w:szCs w:val="22"/>
          <w:rtl/>
        </w:rPr>
        <w:t xml:space="preserve"> </w:t>
      </w:r>
      <w:r>
        <w:rPr>
          <w:rFonts w:cs="FrankRuehl" w:hint="cs"/>
          <w:sz w:val="20"/>
          <w:szCs w:val="22"/>
          <w:rtl/>
        </w:rPr>
        <w:t>בתשובתה</w:t>
      </w:r>
      <w:r>
        <w:rPr>
          <w:rFonts w:cs="FrankRuehl"/>
          <w:sz w:val="20"/>
          <w:szCs w:val="22"/>
          <w:rtl/>
        </w:rPr>
        <w:t xml:space="preserve"> </w:t>
      </w:r>
      <w:r>
        <w:rPr>
          <w:rFonts w:cs="FrankRuehl" w:hint="cs"/>
          <w:sz w:val="20"/>
          <w:szCs w:val="22"/>
          <w:rtl/>
        </w:rPr>
        <w:t>כי בחנה את הנושא ועיינה בחוות דעתו של היועץ המשפטי לממשלה, ומעתה ואילך תפעל במסלול התמיכות על פי תבחינים שייקבעו. בתשובתה הנוספת מסרה העירייה כי הליקוי כבר תוקן בתבחיני התמיכות לשנת 2015.</w:t>
      </w:r>
    </w:p>
    <w:p w:rsidR="00B767A7">
      <w:pPr>
        <w:spacing w:after="120" w:line="230" w:lineRule="exact"/>
        <w:jc w:val="both"/>
        <w:rPr>
          <w:rFonts w:cs="FrankRuehl"/>
          <w:sz w:val="20"/>
          <w:szCs w:val="22"/>
          <w:rtl/>
        </w:rPr>
      </w:pPr>
    </w:p>
    <w:p w:rsidR="00B767A7">
      <w:pPr>
        <w:pStyle w:val="KOT6"/>
        <w:rPr>
          <w:rtl/>
        </w:rPr>
      </w:pPr>
      <w:r>
        <w:rPr>
          <w:rFonts w:hint="cs"/>
          <w:rtl/>
        </w:rPr>
        <w:t xml:space="preserve">תקצוב תלמידי חוץ </w:t>
      </w:r>
    </w:p>
    <w:p w:rsidR="00B767A7">
      <w:pPr>
        <w:spacing w:after="120" w:line="230" w:lineRule="exact"/>
        <w:jc w:val="both"/>
        <w:rPr>
          <w:rFonts w:cs="FrankRuehl"/>
          <w:sz w:val="20"/>
          <w:szCs w:val="22"/>
          <w:rtl/>
        </w:rPr>
      </w:pPr>
      <w:r>
        <w:rPr>
          <w:rFonts w:cs="FrankRuehl" w:hint="cs"/>
          <w:sz w:val="20"/>
          <w:szCs w:val="22"/>
          <w:rtl/>
        </w:rPr>
        <w:t xml:space="preserve">בחוות הדעת של היועץ המשפטי לממשלה שעסקה ביישום חוק נהרי נכתב, בין היתר, כי "לא למותר לציין, כי מיסי ארנונה המשולמים על ידי תושבי הרשות הקולטת נועדו לממן את ילדיהם שלהם. אין היגיון בכך שרשות חינוך מקומית תידרש לשלם עבור תלמידי חוץ מכספי משלמי הארנונה בתחומה". </w:t>
      </w:r>
    </w:p>
    <w:p w:rsidR="00B767A7">
      <w:pPr>
        <w:spacing w:after="120" w:line="230" w:lineRule="exact"/>
        <w:ind w:hanging="2"/>
        <w:jc w:val="both"/>
        <w:rPr>
          <w:rFonts w:cs="FrankRuehl"/>
          <w:sz w:val="20"/>
          <w:szCs w:val="22"/>
          <w:rtl/>
        </w:rPr>
      </w:pPr>
      <w:r>
        <w:rPr>
          <w:rFonts w:cs="FrankRuehl" w:hint="cs"/>
          <w:sz w:val="20"/>
          <w:szCs w:val="22"/>
          <w:rtl/>
        </w:rPr>
        <w:t>בפסק דין מיולי 2010</w:t>
      </w:r>
      <w:r>
        <w:rPr>
          <w:rStyle w:val="FootnoteReference"/>
          <w:rFonts w:cs="FrankRuehl"/>
          <w:sz w:val="20"/>
          <w:szCs w:val="22"/>
          <w:rtl/>
        </w:rPr>
        <w:footnoteReference w:id="23"/>
      </w:r>
      <w:r>
        <w:rPr>
          <w:rFonts w:cs="FrankRuehl" w:hint="cs"/>
          <w:sz w:val="20"/>
          <w:szCs w:val="22"/>
          <w:rtl/>
        </w:rPr>
        <w:t xml:space="preserve"> הדן ביישום חוק נהרי נכתב כי לימודיהם של תלמידי חוץ במוסדות החינוך הרשמיים אינם ממומנים מתקציבה של הרשות המקומית אלא באמצעות אגרה שמשלמות הרשויות המקומיות שבתחומן מתגוררים התלמידים הללו וכן באמצעות אגרה שמשלמים הוריהם. אין כל סיבה שהרשות המקומית תנהג אחרת בתלמידי חוץ הלומדים במוסדות המוכרים שאינם רשמיים. </w:t>
      </w:r>
    </w:p>
    <w:p w:rsidR="00B767A7">
      <w:pPr>
        <w:spacing w:after="120" w:line="230" w:lineRule="exact"/>
        <w:jc w:val="both"/>
        <w:rPr>
          <w:rFonts w:cs="FrankRuehl"/>
          <w:sz w:val="20"/>
          <w:szCs w:val="22"/>
          <w:rtl/>
        </w:rPr>
      </w:pPr>
      <w:r>
        <w:rPr>
          <w:rFonts w:cs="FrankRuehl" w:hint="cs"/>
          <w:sz w:val="20"/>
          <w:szCs w:val="22"/>
          <w:rtl/>
        </w:rPr>
        <w:t>בפסק דין מספטמבר 2013</w:t>
      </w:r>
      <w:r>
        <w:rPr>
          <w:rStyle w:val="FootnoteReference"/>
          <w:rFonts w:cs="FrankRuehl"/>
          <w:sz w:val="20"/>
          <w:szCs w:val="22"/>
          <w:rtl/>
        </w:rPr>
        <w:footnoteReference w:id="24"/>
      </w:r>
      <w:r>
        <w:rPr>
          <w:rFonts w:cs="FrankRuehl" w:hint="cs"/>
          <w:sz w:val="20"/>
          <w:szCs w:val="22"/>
          <w:rtl/>
        </w:rPr>
        <w:t xml:space="preserve"> הדן אף הוא ביישום חוק נהרי ציטטה השופטת שרה גדות קטעים מחוות הדעת האמורה לעיל של היועץ המשפטי לממשלה, תוך הדגשה שחוות הדעת מקובלת עליה: "בהיעדר שליטה של הרשות המקומית על הקמתם של מוסדות מוכרים שאינם רשמיים בתחומה; על קליטתם של תלמידים במוסדות אלה הפועלים בתחומה; כמו כן על זכאותה לקבל שיפוי כספי בגין תלמיד חוץ מהרשות בה מתגורר התלמיד, הכרה בחובתה לתקצב תלמידי חוץ אלה, מטילה על הרשות הקולטת נטל בלתי סביר ובלתי מוצדק".</w:t>
      </w:r>
    </w:p>
    <w:p w:rsidR="00B767A7">
      <w:pPr>
        <w:spacing w:after="120" w:line="230" w:lineRule="exact"/>
        <w:ind w:hanging="2"/>
        <w:jc w:val="both"/>
        <w:rPr>
          <w:rFonts w:cs="FrankRuehl"/>
          <w:sz w:val="20"/>
          <w:szCs w:val="22"/>
          <w:rtl/>
        </w:rPr>
      </w:pPr>
      <w:r>
        <w:rPr>
          <w:rFonts w:cs="FrankRuehl" w:hint="cs"/>
          <w:sz w:val="20"/>
          <w:szCs w:val="22"/>
          <w:rtl/>
        </w:rPr>
        <w:t xml:space="preserve">למינהל הכספי בעיריית פתח תקווה אין נתונים שאפשר ללמוד מהם מהו שיעור תלמידי החוץ מכלל התלמידים הלומדים במוסדות החינוך המוכרים, וכאמור העירייה אינה חייבת להשתתף בתקצוב לימודיהם של תלמידי החוץ. עניין תקצוב תלמידי החוץ לא נדון בעירייה במסגרת חוק </w:t>
      </w:r>
      <w:r>
        <w:rPr>
          <w:rFonts w:cs="FrankRuehl" w:hint="cs"/>
          <w:sz w:val="20"/>
          <w:szCs w:val="22"/>
          <w:rtl/>
        </w:rPr>
        <w:t>נהרי, אולם הנושא הועלה במכתבו של מנכ"ל העירייה למנהל היחידה לתמיכות בעירייה מאוגוסט 2011, ובו הוא הציע לשנות את התבחינים של החינוך במסלול תמיכות באופן שתינתן תמיכה למוסדות החינוך המוכרים בפתח תקווה רק עבור תלמידים המתגוררים בעיר.</w:t>
      </w:r>
      <w:r>
        <w:rPr>
          <w:rFonts w:cs="FrankRuehl"/>
          <w:sz w:val="20"/>
          <w:szCs w:val="22"/>
          <w:rtl/>
        </w:rPr>
        <w:t xml:space="preserve"> </w:t>
      </w:r>
      <w:r>
        <w:rPr>
          <w:rFonts w:cs="FrankRuehl" w:hint="cs"/>
          <w:sz w:val="20"/>
          <w:szCs w:val="22"/>
          <w:rtl/>
        </w:rPr>
        <w:t xml:space="preserve">מנהל האגף לחינוך חרדי התנגד לכך בנימוק (שהופנה לחברי הוועדה המקצועית לתמיכות) כי: "אין לחלק ולהפריד בין ילדי מוסד אחד שילד תושב העיר יקבל ניקוד אחר מילד תושב חוץ. הרבה ילדי העיר נשארים ללמוד במוסד מסוים מפני ששם לומדים אותם תושבי חוץ המרוממים את בית הספר ולכן הילד הפתח תקוואי נהנה ורוצה ללמוד עם אותם ילדי חוץ". </w:t>
      </w:r>
    </w:p>
    <w:p w:rsidR="00B767A7" w:rsidP="008F3E66">
      <w:pPr>
        <w:spacing w:after="240" w:line="230" w:lineRule="exact"/>
        <w:jc w:val="both"/>
        <w:rPr>
          <w:rFonts w:cs="FrankRuehl"/>
          <w:sz w:val="20"/>
          <w:szCs w:val="22"/>
          <w:rtl/>
        </w:rPr>
      </w:pPr>
      <w:r>
        <w:rPr>
          <w:rFonts w:cs="FrankRuehl" w:hint="cs"/>
          <w:sz w:val="20"/>
          <w:szCs w:val="22"/>
          <w:rtl/>
        </w:rPr>
        <w:t>הוועדה המקצועית לתמיכות החליטה באוגוסט 2011 שלא</w:t>
      </w:r>
      <w:r>
        <w:rPr>
          <w:rFonts w:cs="FrankRuehl"/>
          <w:sz w:val="20"/>
          <w:szCs w:val="22"/>
          <w:rtl/>
        </w:rPr>
        <w:t xml:space="preserve"> </w:t>
      </w:r>
      <w:r>
        <w:rPr>
          <w:rFonts w:cs="FrankRuehl" w:hint="cs"/>
          <w:sz w:val="20"/>
          <w:szCs w:val="22"/>
          <w:rtl/>
        </w:rPr>
        <w:t>לשנות</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התבחין</w:t>
      </w:r>
      <w:r>
        <w:rPr>
          <w:rFonts w:cs="FrankRuehl"/>
          <w:sz w:val="20"/>
          <w:szCs w:val="22"/>
          <w:rtl/>
        </w:rPr>
        <w:t xml:space="preserve"> </w:t>
      </w:r>
      <w:r>
        <w:rPr>
          <w:rFonts w:cs="FrankRuehl" w:hint="cs"/>
          <w:sz w:val="20"/>
          <w:szCs w:val="22"/>
          <w:rtl/>
        </w:rPr>
        <w:t>בנוגע</w:t>
      </w:r>
      <w:r>
        <w:rPr>
          <w:rFonts w:cs="FrankRuehl"/>
          <w:sz w:val="20"/>
          <w:szCs w:val="22"/>
          <w:rtl/>
        </w:rPr>
        <w:t xml:space="preserve"> </w:t>
      </w:r>
      <w:r>
        <w:rPr>
          <w:rFonts w:cs="FrankRuehl" w:hint="cs"/>
          <w:sz w:val="20"/>
          <w:szCs w:val="22"/>
          <w:rtl/>
        </w:rPr>
        <w:t>לתלמידי</w:t>
      </w:r>
      <w:r>
        <w:rPr>
          <w:rFonts w:cs="FrankRuehl"/>
          <w:sz w:val="20"/>
          <w:szCs w:val="22"/>
          <w:rtl/>
        </w:rPr>
        <w:t xml:space="preserve"> </w:t>
      </w:r>
      <w:r>
        <w:rPr>
          <w:rFonts w:cs="FrankRuehl" w:hint="cs"/>
          <w:sz w:val="20"/>
          <w:szCs w:val="22"/>
          <w:rtl/>
        </w:rPr>
        <w:t>חוץ</w:t>
      </w:r>
      <w:r>
        <w:rPr>
          <w:rFonts w:cs="FrankRuehl"/>
          <w:sz w:val="20"/>
          <w:szCs w:val="22"/>
          <w:rtl/>
        </w:rPr>
        <w:t>,</w:t>
      </w:r>
      <w:r>
        <w:rPr>
          <w:rFonts w:cs="FrankRuehl" w:hint="cs"/>
          <w:sz w:val="20"/>
          <w:szCs w:val="22"/>
          <w:rtl/>
        </w:rPr>
        <w:t xml:space="preserve"> בלא שנימקה או הסבירה את החלטתה לתמוך תקציבית במסגרת מסלול התמיכות בתלמידי חוץ הלומדים במוסדות החינוך המוכרים ובמוסדות הפטור. עוד נמצא כי שנה מאוחר יותר התעלמו חברי הוועדה מהנימוקים שהובאו בחוות הדעת של היועץ המשפטי לממשלה ובפסקי</w:t>
      </w:r>
      <w:r>
        <w:rPr>
          <w:rFonts w:cs="FrankRuehl"/>
          <w:sz w:val="20"/>
          <w:szCs w:val="22"/>
          <w:rtl/>
        </w:rPr>
        <w:t xml:space="preserve"> </w:t>
      </w:r>
      <w:r>
        <w:rPr>
          <w:rFonts w:cs="FrankRuehl" w:hint="cs"/>
          <w:sz w:val="20"/>
          <w:szCs w:val="22"/>
          <w:rtl/>
        </w:rPr>
        <w:t>הדין</w:t>
      </w:r>
      <w:r>
        <w:rPr>
          <w:rFonts w:cs="FrankRuehl"/>
          <w:sz w:val="20"/>
          <w:szCs w:val="22"/>
          <w:rtl/>
        </w:rPr>
        <w:t xml:space="preserve">, </w:t>
      </w:r>
      <w:r>
        <w:rPr>
          <w:rFonts w:cs="FrankRuehl" w:hint="cs"/>
          <w:sz w:val="20"/>
          <w:szCs w:val="22"/>
          <w:rtl/>
        </w:rPr>
        <w:t>שאמנם</w:t>
      </w:r>
      <w:r>
        <w:rPr>
          <w:rFonts w:cs="FrankRuehl"/>
          <w:sz w:val="20"/>
          <w:szCs w:val="22"/>
          <w:rtl/>
        </w:rPr>
        <w:t xml:space="preserve"> </w:t>
      </w:r>
      <w:r>
        <w:rPr>
          <w:rFonts w:cs="FrankRuehl" w:hint="cs"/>
          <w:sz w:val="20"/>
          <w:szCs w:val="22"/>
          <w:rtl/>
        </w:rPr>
        <w:t>עסקו</w:t>
      </w:r>
      <w:r>
        <w:rPr>
          <w:rFonts w:cs="FrankRuehl"/>
          <w:sz w:val="20"/>
          <w:szCs w:val="22"/>
          <w:rtl/>
        </w:rPr>
        <w:t xml:space="preserve"> </w:t>
      </w:r>
      <w:r>
        <w:rPr>
          <w:rFonts w:cs="FrankRuehl" w:hint="cs"/>
          <w:sz w:val="20"/>
          <w:szCs w:val="22"/>
          <w:rtl/>
        </w:rPr>
        <w:t xml:space="preserve">בתקצוב במסגרת מסלול </w:t>
      </w:r>
      <w:r>
        <w:rPr>
          <w:rFonts w:cs="FrankRuehl"/>
          <w:sz w:val="20"/>
          <w:szCs w:val="22"/>
          <w:rtl/>
        </w:rPr>
        <w:t xml:space="preserve">חוק </w:t>
      </w:r>
      <w:r>
        <w:rPr>
          <w:rFonts w:cs="FrankRuehl" w:hint="cs"/>
          <w:sz w:val="20"/>
          <w:szCs w:val="22"/>
          <w:rtl/>
        </w:rPr>
        <w:t xml:space="preserve">נהרי, אולם מכיוון שמדובר באותן עמותות ובאותם מוסדות חינוך מוכרים, הרי שמהבחינה המהותית הנימוקים כוחם יפה גם למסלול התמיכות. </w:t>
      </w:r>
    </w:p>
    <w:p w:rsidR="00B767A7" w:rsidP="008F3E66">
      <w:pPr>
        <w:pStyle w:val="RESHET"/>
        <w:rPr>
          <w:rtl/>
        </w:rPr>
      </w:pPr>
      <w:r>
        <w:rPr>
          <w:rFonts w:hint="cs"/>
          <w:rtl/>
        </w:rPr>
        <w:t>משרד מבקר המדינה מעיר לעירייה כי הוועדה המקצועית לתמיכות התעלמה מאמצע שנת 2012 מהאמור</w:t>
      </w:r>
      <w:r>
        <w:rPr>
          <w:rtl/>
        </w:rPr>
        <w:t xml:space="preserve"> </w:t>
      </w:r>
      <w:r>
        <w:rPr>
          <w:rFonts w:hint="cs"/>
          <w:rtl/>
        </w:rPr>
        <w:t>בחוות</w:t>
      </w:r>
      <w:r>
        <w:rPr>
          <w:rtl/>
        </w:rPr>
        <w:t xml:space="preserve"> </w:t>
      </w:r>
      <w:r>
        <w:rPr>
          <w:rFonts w:hint="cs"/>
          <w:rtl/>
        </w:rPr>
        <w:t>הדעת</w:t>
      </w:r>
      <w:r>
        <w:rPr>
          <w:rtl/>
        </w:rPr>
        <w:t xml:space="preserve"> </w:t>
      </w:r>
      <w:r>
        <w:rPr>
          <w:rFonts w:hint="cs"/>
          <w:rtl/>
        </w:rPr>
        <w:t>של</w:t>
      </w:r>
      <w:r>
        <w:rPr>
          <w:rtl/>
        </w:rPr>
        <w:t xml:space="preserve"> </w:t>
      </w:r>
      <w:r>
        <w:rPr>
          <w:rFonts w:hint="cs"/>
          <w:rtl/>
        </w:rPr>
        <w:t>היועץ</w:t>
      </w:r>
      <w:r>
        <w:rPr>
          <w:rtl/>
        </w:rPr>
        <w:t xml:space="preserve"> </w:t>
      </w:r>
      <w:r>
        <w:rPr>
          <w:rFonts w:hint="cs"/>
          <w:rtl/>
        </w:rPr>
        <w:t>המשפטי</w:t>
      </w:r>
      <w:r>
        <w:rPr>
          <w:rtl/>
        </w:rPr>
        <w:t xml:space="preserve"> </w:t>
      </w:r>
      <w:r>
        <w:rPr>
          <w:rFonts w:hint="cs"/>
          <w:rtl/>
        </w:rPr>
        <w:t>לממשלה</w:t>
      </w:r>
      <w:r>
        <w:rPr>
          <w:rtl/>
        </w:rPr>
        <w:t xml:space="preserve"> </w:t>
      </w:r>
      <w:r>
        <w:rPr>
          <w:rFonts w:hint="cs"/>
          <w:rtl/>
        </w:rPr>
        <w:t>ובפסקי</w:t>
      </w:r>
      <w:r>
        <w:rPr>
          <w:rtl/>
        </w:rPr>
        <w:t xml:space="preserve"> </w:t>
      </w:r>
      <w:r>
        <w:rPr>
          <w:rFonts w:hint="cs"/>
          <w:rtl/>
        </w:rPr>
        <w:t xml:space="preserve">הדין שנימקו מדוע אין לחייב רשות מקומית לתקצב תלמידי חוץ בחינוך המוכר שאינו רשמי. </w:t>
      </w:r>
    </w:p>
    <w:p w:rsidR="00B767A7" w:rsidP="008F3E66">
      <w:pPr>
        <w:pStyle w:val="RESHET"/>
        <w:rPr>
          <w:rtl/>
        </w:rPr>
      </w:pPr>
      <w:r>
        <w:rPr>
          <w:rFonts w:hint="cs"/>
          <w:rtl/>
        </w:rPr>
        <w:t xml:space="preserve">משרד מבקר המדינה העיר לעירייה כי אם היא מצאה לנכון לתקצב את אותם תלמידי חוץ, היה עליה לפעול החל מאמצע שנת 2012 - המועד שבו הובא לידיעתה פסק הדין המתייחס לחוות הדעת של היועץ המשפטי לממשלה הדנה בתקצוב תלמידי חוץ - במסלול התמיכות ולא במסלול חוק נהרי. על העירייה אף לנהוג בשקיפות, ובכלל זה להציג ולנמק לפני חברי מועצת העירייה וכלל תושבי העיר את החלטותיה. </w:t>
      </w:r>
    </w:p>
    <w:p w:rsidR="00B767A7">
      <w:pPr>
        <w:spacing w:after="120" w:line="230" w:lineRule="exact"/>
        <w:ind w:hanging="2"/>
        <w:jc w:val="both"/>
        <w:rPr>
          <w:rFonts w:cs="FrankRuehl"/>
          <w:b/>
          <w:bCs/>
          <w:sz w:val="20"/>
          <w:szCs w:val="22"/>
          <w:rtl/>
        </w:rPr>
      </w:pPr>
    </w:p>
    <w:p w:rsidR="00B767A7">
      <w:pPr>
        <w:pStyle w:val="KOT6"/>
        <w:rPr>
          <w:rtl/>
        </w:rPr>
      </w:pPr>
      <w:r>
        <w:rPr>
          <w:rFonts w:hint="cs"/>
          <w:rtl/>
        </w:rPr>
        <w:t>הסעות</w:t>
      </w:r>
    </w:p>
    <w:p w:rsidR="00B767A7">
      <w:pPr>
        <w:spacing w:after="120" w:line="230" w:lineRule="exact"/>
        <w:ind w:hanging="2"/>
        <w:jc w:val="both"/>
        <w:rPr>
          <w:rFonts w:cs="FrankRuehl"/>
          <w:sz w:val="20"/>
          <w:szCs w:val="22"/>
          <w:rtl/>
        </w:rPr>
      </w:pPr>
      <w:r>
        <w:rPr>
          <w:rFonts w:cs="FrankRuehl" w:hint="cs"/>
          <w:sz w:val="20"/>
          <w:szCs w:val="22"/>
          <w:rtl/>
        </w:rPr>
        <w:t>בנוהל ליישום חוק נהרי מדצמבר 2009 נכללו הוצאות על הסעות במסגרת התקצוב של מוסדות החינוך המוכרים</w:t>
      </w:r>
      <w:r>
        <w:rPr>
          <w:rStyle w:val="FootnoteReference"/>
          <w:rFonts w:cs="FrankRuehl"/>
          <w:sz w:val="20"/>
          <w:szCs w:val="22"/>
          <w:rtl/>
        </w:rPr>
        <w:footnoteReference w:id="25"/>
      </w:r>
      <w:r>
        <w:rPr>
          <w:rFonts w:cs="FrankRuehl" w:hint="cs"/>
          <w:sz w:val="20"/>
          <w:szCs w:val="22"/>
          <w:rtl/>
        </w:rPr>
        <w:t>.</w:t>
      </w:r>
    </w:p>
    <w:p w:rsidR="00B767A7">
      <w:pPr>
        <w:spacing w:after="120" w:line="230" w:lineRule="exact"/>
        <w:jc w:val="both"/>
        <w:rPr>
          <w:rFonts w:cs="FrankRuehl"/>
          <w:sz w:val="20"/>
          <w:szCs w:val="22"/>
          <w:rtl/>
        </w:rPr>
      </w:pPr>
      <w:r>
        <w:rPr>
          <w:rFonts w:cs="FrankRuehl" w:hint="cs"/>
          <w:sz w:val="20"/>
          <w:szCs w:val="22"/>
          <w:rtl/>
        </w:rPr>
        <w:t>מנכ"ל משרד החינוך דאז מר שמשון שושני (להלן - מנכ"ל המשרד דאז) ציין בפברואר 2010 כי חוזר מנכ"ל משרד הפנים נכתב ופורסם ללא כל תיאום או הידברות עם משרד החינוך ושלא על דעת שר החינוך. מנכ"ל המשרד דאז הדגיש כי לפי הפרשנות המצמצמת של משרד החינוך לחוק נהרי, הרשויות המקומיות אינן חייבות לתקצב הוצאות על הסעות עבור מוסדות החינוך המוכרים שאינם רשמיים.</w:t>
      </w:r>
    </w:p>
    <w:p w:rsidR="00B767A7">
      <w:pPr>
        <w:spacing w:after="120" w:line="230" w:lineRule="exact"/>
        <w:jc w:val="both"/>
        <w:rPr>
          <w:rFonts w:cs="FrankRuehl"/>
          <w:sz w:val="20"/>
          <w:szCs w:val="22"/>
          <w:rtl/>
        </w:rPr>
      </w:pPr>
      <w:r>
        <w:rPr>
          <w:rFonts w:cs="FrankRuehl" w:hint="cs"/>
          <w:sz w:val="20"/>
          <w:szCs w:val="22"/>
          <w:rtl/>
        </w:rPr>
        <w:t>פסק דינה של השופטת גדות תומך בעמדת משרד החינוך כלהלן: "על כך משיב מנכ"ל משרד החינוך, ובדין, כי פרשנות ביחס לסעיפים בחוק חינוך ממלכתי, אשר על ביצועו הופקד שר החינוך, מצויה בסמכותו של שר החינוך ולא בסמכות שר הפנים"</w:t>
      </w:r>
      <w:r>
        <w:rPr>
          <w:rStyle w:val="FootnoteReference"/>
          <w:rFonts w:cs="FrankRuehl"/>
          <w:sz w:val="20"/>
          <w:szCs w:val="22"/>
          <w:rtl/>
        </w:rPr>
        <w:footnoteReference w:id="26"/>
      </w:r>
      <w:r>
        <w:rPr>
          <w:rFonts w:cs="FrankRuehl" w:hint="cs"/>
          <w:sz w:val="20"/>
          <w:szCs w:val="22"/>
          <w:rtl/>
        </w:rPr>
        <w:t>. לפי</w:t>
      </w:r>
      <w:r>
        <w:rPr>
          <w:rFonts w:cs="FrankRuehl"/>
          <w:sz w:val="20"/>
          <w:szCs w:val="22"/>
          <w:rtl/>
        </w:rPr>
        <w:t xml:space="preserve"> פסק הדין, </w:t>
      </w:r>
      <w:r>
        <w:rPr>
          <w:rFonts w:cs="FrankRuehl" w:hint="cs"/>
          <w:sz w:val="20"/>
          <w:szCs w:val="22"/>
          <w:rtl/>
        </w:rPr>
        <w:t>עניינים</w:t>
      </w:r>
      <w:r>
        <w:rPr>
          <w:rFonts w:cs="FrankRuehl"/>
          <w:sz w:val="20"/>
          <w:szCs w:val="22"/>
          <w:rtl/>
        </w:rPr>
        <w:t xml:space="preserve"> </w:t>
      </w:r>
      <w:r>
        <w:rPr>
          <w:rFonts w:cs="FrankRuehl" w:hint="cs"/>
          <w:sz w:val="20"/>
          <w:szCs w:val="22"/>
          <w:rtl/>
        </w:rPr>
        <w:t>הנוגעים</w:t>
      </w:r>
      <w:r>
        <w:rPr>
          <w:rFonts w:cs="FrankRuehl"/>
          <w:sz w:val="20"/>
          <w:szCs w:val="22"/>
          <w:rtl/>
        </w:rPr>
        <w:t xml:space="preserve"> </w:t>
      </w:r>
      <w:r>
        <w:rPr>
          <w:rFonts w:cs="FrankRuehl" w:hint="cs"/>
          <w:sz w:val="20"/>
          <w:szCs w:val="22"/>
          <w:rtl/>
        </w:rPr>
        <w:t>לחוק</w:t>
      </w:r>
      <w:r>
        <w:rPr>
          <w:rFonts w:cs="FrankRuehl"/>
          <w:sz w:val="20"/>
          <w:szCs w:val="22"/>
          <w:rtl/>
        </w:rPr>
        <w:t xml:space="preserve"> </w:t>
      </w:r>
      <w:r>
        <w:rPr>
          <w:rFonts w:cs="FrankRuehl" w:hint="cs"/>
          <w:sz w:val="20"/>
          <w:szCs w:val="22"/>
          <w:rtl/>
        </w:rPr>
        <w:t>חינוך</w:t>
      </w:r>
      <w:r>
        <w:rPr>
          <w:rFonts w:cs="FrankRuehl"/>
          <w:sz w:val="20"/>
          <w:szCs w:val="22"/>
          <w:rtl/>
        </w:rPr>
        <w:t xml:space="preserve"> </w:t>
      </w:r>
      <w:r>
        <w:rPr>
          <w:rFonts w:cs="FrankRuehl" w:hint="cs"/>
          <w:sz w:val="20"/>
          <w:szCs w:val="22"/>
          <w:rtl/>
        </w:rPr>
        <w:t>ממלכתי</w:t>
      </w:r>
      <w:r>
        <w:rPr>
          <w:rFonts w:cs="FrankRuehl"/>
          <w:sz w:val="20"/>
          <w:szCs w:val="22"/>
          <w:rtl/>
        </w:rPr>
        <w:t xml:space="preserve"> </w:t>
      </w:r>
      <w:r>
        <w:rPr>
          <w:rFonts w:cs="FrankRuehl" w:hint="cs"/>
          <w:sz w:val="20"/>
          <w:szCs w:val="22"/>
          <w:rtl/>
        </w:rPr>
        <w:t>הם</w:t>
      </w:r>
      <w:r>
        <w:rPr>
          <w:rFonts w:cs="FrankRuehl"/>
          <w:sz w:val="20"/>
          <w:szCs w:val="22"/>
          <w:rtl/>
        </w:rPr>
        <w:t xml:space="preserve"> </w:t>
      </w:r>
      <w:r>
        <w:rPr>
          <w:rFonts w:cs="FrankRuehl" w:hint="cs"/>
          <w:sz w:val="20"/>
          <w:szCs w:val="22"/>
          <w:rtl/>
        </w:rPr>
        <w:t>אפוא</w:t>
      </w:r>
      <w:r>
        <w:rPr>
          <w:rFonts w:cs="FrankRuehl"/>
          <w:sz w:val="20"/>
          <w:szCs w:val="22"/>
          <w:rtl/>
        </w:rPr>
        <w:t xml:space="preserve"> </w:t>
      </w:r>
      <w:r>
        <w:rPr>
          <w:rFonts w:cs="FrankRuehl" w:hint="cs"/>
          <w:sz w:val="20"/>
          <w:szCs w:val="22"/>
          <w:rtl/>
        </w:rPr>
        <w:t>בסמכותו</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שר</w:t>
      </w:r>
      <w:r>
        <w:rPr>
          <w:rFonts w:cs="FrankRuehl"/>
          <w:sz w:val="20"/>
          <w:szCs w:val="22"/>
          <w:rtl/>
        </w:rPr>
        <w:t xml:space="preserve"> </w:t>
      </w:r>
      <w:r>
        <w:rPr>
          <w:rFonts w:cs="FrankRuehl" w:hint="cs"/>
          <w:sz w:val="20"/>
          <w:szCs w:val="22"/>
          <w:rtl/>
        </w:rPr>
        <w:t>החינוך</w:t>
      </w:r>
      <w:r>
        <w:rPr>
          <w:rFonts w:cs="FrankRuehl"/>
          <w:sz w:val="20"/>
          <w:szCs w:val="22"/>
          <w:rtl/>
        </w:rPr>
        <w:t xml:space="preserve"> </w:t>
      </w:r>
      <w:r>
        <w:rPr>
          <w:rFonts w:cs="FrankRuehl" w:hint="cs"/>
          <w:sz w:val="20"/>
          <w:szCs w:val="22"/>
          <w:rtl/>
        </w:rPr>
        <w:t>ולא</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שר</w:t>
      </w:r>
      <w:r>
        <w:rPr>
          <w:rFonts w:cs="FrankRuehl"/>
          <w:sz w:val="20"/>
          <w:szCs w:val="22"/>
          <w:rtl/>
        </w:rPr>
        <w:t xml:space="preserve"> </w:t>
      </w:r>
      <w:r>
        <w:rPr>
          <w:rFonts w:cs="FrankRuehl" w:hint="cs"/>
          <w:sz w:val="20"/>
          <w:szCs w:val="22"/>
          <w:rtl/>
        </w:rPr>
        <w:t>הפנים.</w:t>
      </w:r>
    </w:p>
    <w:p w:rsidR="00B767A7">
      <w:pPr>
        <w:spacing w:after="120" w:line="230" w:lineRule="exact"/>
        <w:jc w:val="both"/>
        <w:rPr>
          <w:rFonts w:cs="FrankRuehl"/>
          <w:sz w:val="20"/>
          <w:szCs w:val="22"/>
          <w:rtl/>
        </w:rPr>
      </w:pPr>
      <w:r>
        <w:rPr>
          <w:rFonts w:cs="FrankRuehl" w:hint="cs"/>
          <w:sz w:val="20"/>
          <w:szCs w:val="22"/>
          <w:rtl/>
        </w:rPr>
        <w:t>בחוות</w:t>
      </w:r>
      <w:r>
        <w:rPr>
          <w:rFonts w:cs="FrankRuehl"/>
          <w:sz w:val="20"/>
          <w:szCs w:val="22"/>
          <w:rtl/>
        </w:rPr>
        <w:t xml:space="preserve"> הדעת של היועץ המשפטי לממשלה </w:t>
      </w:r>
      <w:r>
        <w:rPr>
          <w:rFonts w:cs="FrankRuehl" w:hint="cs"/>
          <w:sz w:val="20"/>
          <w:szCs w:val="22"/>
          <w:rtl/>
        </w:rPr>
        <w:t>מסוף שנת 2010 נכתב</w:t>
      </w:r>
      <w:r>
        <w:rPr>
          <w:rFonts w:cs="FrankRuehl"/>
          <w:sz w:val="20"/>
          <w:szCs w:val="22"/>
          <w:rtl/>
        </w:rPr>
        <w:t xml:space="preserve"> בעניין </w:t>
      </w:r>
      <w:r>
        <w:rPr>
          <w:rFonts w:cs="FrankRuehl" w:hint="cs"/>
          <w:sz w:val="20"/>
          <w:szCs w:val="22"/>
          <w:rtl/>
        </w:rPr>
        <w:t>ההסעות</w:t>
      </w:r>
      <w:r>
        <w:rPr>
          <w:rFonts w:cs="FrankRuehl"/>
          <w:sz w:val="20"/>
          <w:szCs w:val="22"/>
          <w:rtl/>
        </w:rPr>
        <w:t xml:space="preserve"> </w:t>
      </w:r>
      <w:r>
        <w:rPr>
          <w:rFonts w:cs="FrankRuehl" w:hint="cs"/>
          <w:sz w:val="20"/>
          <w:szCs w:val="22"/>
          <w:rtl/>
        </w:rPr>
        <w:t>כדלהלן:</w:t>
      </w:r>
      <w:r>
        <w:rPr>
          <w:rFonts w:cs="FrankRuehl"/>
          <w:sz w:val="20"/>
          <w:szCs w:val="22"/>
          <w:rtl/>
        </w:rPr>
        <w:t xml:space="preserve"> </w:t>
      </w:r>
    </w:p>
    <w:p w:rsidR="00B767A7" w:rsidP="008F3E66">
      <w:pPr>
        <w:spacing w:after="120" w:line="230" w:lineRule="exact"/>
        <w:ind w:left="567"/>
        <w:jc w:val="both"/>
        <w:rPr>
          <w:rFonts w:cs="FrankRuehl"/>
          <w:sz w:val="20"/>
          <w:szCs w:val="22"/>
          <w:rtl/>
        </w:rPr>
      </w:pPr>
      <w:r>
        <w:rPr>
          <w:rFonts w:cs="FrankRuehl"/>
          <w:sz w:val="20"/>
          <w:szCs w:val="22"/>
          <w:rtl/>
        </w:rPr>
        <w:t xml:space="preserve">"אין </w:t>
      </w:r>
      <w:r>
        <w:rPr>
          <w:rFonts w:cs="FrankRuehl" w:hint="cs"/>
          <w:sz w:val="20"/>
          <w:szCs w:val="22"/>
          <w:rtl/>
        </w:rPr>
        <w:t>מקום</w:t>
      </w:r>
      <w:r>
        <w:rPr>
          <w:rFonts w:cs="FrankRuehl"/>
          <w:sz w:val="20"/>
          <w:szCs w:val="22"/>
          <w:rtl/>
        </w:rPr>
        <w:t xml:space="preserve"> </w:t>
      </w:r>
      <w:r>
        <w:rPr>
          <w:rFonts w:cs="FrankRuehl" w:hint="cs"/>
          <w:sz w:val="20"/>
          <w:szCs w:val="22"/>
          <w:rtl/>
        </w:rPr>
        <w:t>לכלול</w:t>
      </w:r>
      <w:r>
        <w:rPr>
          <w:rFonts w:cs="FrankRuehl"/>
          <w:sz w:val="20"/>
          <w:szCs w:val="22"/>
          <w:rtl/>
        </w:rPr>
        <w:t xml:space="preserve"> </w:t>
      </w:r>
      <w:r>
        <w:rPr>
          <w:rFonts w:cs="FrankRuehl" w:hint="cs"/>
          <w:sz w:val="20"/>
          <w:szCs w:val="22"/>
          <w:rtl/>
        </w:rPr>
        <w:t>רכיב</w:t>
      </w:r>
      <w:r>
        <w:rPr>
          <w:rFonts w:cs="FrankRuehl"/>
          <w:sz w:val="20"/>
          <w:szCs w:val="22"/>
          <w:rtl/>
        </w:rPr>
        <w:t xml:space="preserve"> </w:t>
      </w:r>
      <w:r>
        <w:rPr>
          <w:rFonts w:cs="FrankRuehl" w:hint="cs"/>
          <w:sz w:val="20"/>
          <w:szCs w:val="22"/>
          <w:rtl/>
        </w:rPr>
        <w:t>זה</w:t>
      </w:r>
      <w:r>
        <w:rPr>
          <w:rFonts w:cs="FrankRuehl"/>
          <w:sz w:val="20"/>
          <w:szCs w:val="22"/>
          <w:rtl/>
        </w:rPr>
        <w:t xml:space="preserve"> </w:t>
      </w:r>
      <w:r>
        <w:rPr>
          <w:rFonts w:cs="FrankRuehl" w:hint="cs"/>
          <w:sz w:val="20"/>
          <w:szCs w:val="22"/>
          <w:rtl/>
        </w:rPr>
        <w:t>בתחשיב</w:t>
      </w:r>
      <w:r>
        <w:rPr>
          <w:rFonts w:cs="FrankRuehl"/>
          <w:sz w:val="20"/>
          <w:szCs w:val="22"/>
          <w:rtl/>
        </w:rPr>
        <w:t xml:space="preserve">, </w:t>
      </w:r>
      <w:r>
        <w:rPr>
          <w:rFonts w:cs="FrankRuehl" w:hint="cs"/>
          <w:sz w:val="20"/>
          <w:szCs w:val="22"/>
          <w:rtl/>
        </w:rPr>
        <w:t>וזאת</w:t>
      </w:r>
      <w:r>
        <w:rPr>
          <w:rFonts w:cs="FrankRuehl"/>
          <w:sz w:val="20"/>
          <w:szCs w:val="22"/>
          <w:rtl/>
        </w:rPr>
        <w:t xml:space="preserve"> </w:t>
      </w:r>
      <w:r>
        <w:rPr>
          <w:rFonts w:cs="FrankRuehl" w:hint="cs"/>
          <w:sz w:val="20"/>
          <w:szCs w:val="22"/>
          <w:rtl/>
        </w:rPr>
        <w:t>מן</w:t>
      </w:r>
      <w:r>
        <w:rPr>
          <w:rFonts w:cs="FrankRuehl"/>
          <w:sz w:val="20"/>
          <w:szCs w:val="22"/>
          <w:rtl/>
        </w:rPr>
        <w:t xml:space="preserve"> </w:t>
      </w:r>
      <w:r>
        <w:rPr>
          <w:rFonts w:cs="FrankRuehl" w:hint="cs"/>
          <w:sz w:val="20"/>
          <w:szCs w:val="22"/>
          <w:rtl/>
        </w:rPr>
        <w:t>הטעם</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הזכאות</w:t>
      </w:r>
      <w:r>
        <w:rPr>
          <w:rFonts w:cs="FrankRuehl"/>
          <w:sz w:val="20"/>
          <w:szCs w:val="22"/>
          <w:rtl/>
        </w:rPr>
        <w:t xml:space="preserve"> </w:t>
      </w:r>
      <w:r>
        <w:rPr>
          <w:rFonts w:cs="FrankRuehl" w:hint="cs"/>
          <w:sz w:val="20"/>
          <w:szCs w:val="22"/>
          <w:rtl/>
        </w:rPr>
        <w:t>לתקציב</w:t>
      </w:r>
      <w:r>
        <w:rPr>
          <w:rFonts w:cs="FrankRuehl"/>
          <w:sz w:val="20"/>
          <w:szCs w:val="22"/>
          <w:rtl/>
        </w:rPr>
        <w:t xml:space="preserve"> </w:t>
      </w:r>
      <w:r>
        <w:rPr>
          <w:rFonts w:cs="FrankRuehl" w:hint="cs"/>
          <w:sz w:val="20"/>
          <w:szCs w:val="22"/>
          <w:rtl/>
        </w:rPr>
        <w:t>המשמש</w:t>
      </w:r>
      <w:r>
        <w:rPr>
          <w:rFonts w:cs="FrankRuehl"/>
          <w:sz w:val="20"/>
          <w:szCs w:val="22"/>
          <w:rtl/>
        </w:rPr>
        <w:t xml:space="preserve"> </w:t>
      </w:r>
      <w:r>
        <w:rPr>
          <w:rFonts w:cs="FrankRuehl" w:hint="cs"/>
          <w:sz w:val="20"/>
          <w:szCs w:val="22"/>
          <w:rtl/>
        </w:rPr>
        <w:t>לצורך</w:t>
      </w:r>
      <w:r>
        <w:rPr>
          <w:rFonts w:cs="FrankRuehl"/>
          <w:sz w:val="20"/>
          <w:szCs w:val="22"/>
          <w:rtl/>
        </w:rPr>
        <w:t xml:space="preserve"> </w:t>
      </w:r>
      <w:r>
        <w:rPr>
          <w:rFonts w:cs="FrankRuehl" w:hint="cs"/>
          <w:sz w:val="20"/>
          <w:szCs w:val="22"/>
          <w:rtl/>
        </w:rPr>
        <w:t>השתתפות</w:t>
      </w:r>
      <w:r>
        <w:rPr>
          <w:rFonts w:cs="FrankRuehl"/>
          <w:sz w:val="20"/>
          <w:szCs w:val="22"/>
          <w:rtl/>
        </w:rPr>
        <w:t xml:space="preserve"> </w:t>
      </w:r>
      <w:r>
        <w:rPr>
          <w:rFonts w:cs="FrankRuehl" w:hint="cs"/>
          <w:sz w:val="20"/>
          <w:szCs w:val="22"/>
          <w:rtl/>
        </w:rPr>
        <w:t>בהסעות</w:t>
      </w:r>
      <w:r>
        <w:rPr>
          <w:rFonts w:cs="FrankRuehl"/>
          <w:sz w:val="20"/>
          <w:szCs w:val="22"/>
          <w:rtl/>
        </w:rPr>
        <w:t xml:space="preserve"> </w:t>
      </w:r>
      <w:r>
        <w:rPr>
          <w:rFonts w:cs="FrankRuehl" w:hint="cs"/>
          <w:sz w:val="20"/>
          <w:szCs w:val="22"/>
          <w:rtl/>
        </w:rPr>
        <w:t>הינה</w:t>
      </w:r>
      <w:r>
        <w:rPr>
          <w:rFonts w:cs="FrankRuehl"/>
          <w:sz w:val="20"/>
          <w:szCs w:val="22"/>
          <w:rtl/>
        </w:rPr>
        <w:t xml:space="preserve"> </w:t>
      </w:r>
      <w:r>
        <w:rPr>
          <w:rFonts w:cs="FrankRuehl" w:hint="cs"/>
          <w:sz w:val="20"/>
          <w:szCs w:val="22"/>
          <w:rtl/>
        </w:rPr>
        <w:t>לרשות</w:t>
      </w:r>
      <w:r>
        <w:rPr>
          <w:rFonts w:cs="FrankRuehl"/>
          <w:sz w:val="20"/>
          <w:szCs w:val="22"/>
          <w:rtl/>
        </w:rPr>
        <w:t xml:space="preserve"> </w:t>
      </w:r>
      <w:r>
        <w:rPr>
          <w:rFonts w:cs="FrankRuehl" w:hint="cs"/>
          <w:sz w:val="20"/>
          <w:szCs w:val="22"/>
          <w:rtl/>
        </w:rPr>
        <w:t>המקומית</w:t>
      </w:r>
      <w:r>
        <w:rPr>
          <w:rFonts w:cs="FrankRuehl"/>
          <w:sz w:val="20"/>
          <w:szCs w:val="22"/>
          <w:rtl/>
        </w:rPr>
        <w:t xml:space="preserve"> (לפי </w:t>
      </w:r>
      <w:r>
        <w:rPr>
          <w:rFonts w:cs="FrankRuehl" w:hint="cs"/>
          <w:sz w:val="20"/>
          <w:szCs w:val="22"/>
          <w:rtl/>
        </w:rPr>
        <w:t>תלמיד</w:t>
      </w:r>
      <w:r>
        <w:rPr>
          <w:rFonts w:cs="FrankRuehl"/>
          <w:sz w:val="20"/>
          <w:szCs w:val="22"/>
          <w:rtl/>
        </w:rPr>
        <w:t xml:space="preserve">) </w:t>
      </w:r>
      <w:r>
        <w:rPr>
          <w:rFonts w:cs="FrankRuehl" w:hint="cs"/>
          <w:sz w:val="20"/>
          <w:szCs w:val="22"/>
          <w:rtl/>
        </w:rPr>
        <w:t>ולא</w:t>
      </w:r>
      <w:r>
        <w:rPr>
          <w:rFonts w:cs="FrankRuehl"/>
          <w:sz w:val="20"/>
          <w:szCs w:val="22"/>
          <w:rtl/>
        </w:rPr>
        <w:t xml:space="preserve"> </w:t>
      </w:r>
      <w:r>
        <w:rPr>
          <w:rFonts w:cs="FrankRuehl" w:hint="cs"/>
          <w:sz w:val="20"/>
          <w:szCs w:val="22"/>
          <w:rtl/>
        </w:rPr>
        <w:t>למוסד</w:t>
      </w:r>
      <w:r>
        <w:rPr>
          <w:rFonts w:cs="FrankRuehl"/>
          <w:sz w:val="20"/>
          <w:szCs w:val="22"/>
          <w:rtl/>
        </w:rPr>
        <w:t xml:space="preserve">. </w:t>
      </w:r>
      <w:r>
        <w:rPr>
          <w:rFonts w:cs="FrankRuehl" w:hint="cs"/>
          <w:sz w:val="20"/>
          <w:szCs w:val="22"/>
          <w:rtl/>
        </w:rPr>
        <w:t>היות</w:t>
      </w:r>
      <w:r>
        <w:rPr>
          <w:rFonts w:cs="FrankRuehl"/>
          <w:sz w:val="20"/>
          <w:szCs w:val="22"/>
          <w:rtl/>
        </w:rPr>
        <w:t xml:space="preserve"> </w:t>
      </w:r>
      <w:r>
        <w:rPr>
          <w:rFonts w:cs="FrankRuehl" w:hint="cs"/>
          <w:sz w:val="20"/>
          <w:szCs w:val="22"/>
          <w:rtl/>
        </w:rPr>
        <w:t>וסעיף</w:t>
      </w:r>
      <w:r>
        <w:rPr>
          <w:rFonts w:cs="FrankRuehl"/>
          <w:sz w:val="20"/>
          <w:szCs w:val="22"/>
          <w:rtl/>
        </w:rPr>
        <w:t xml:space="preserve"> 11א </w:t>
      </w:r>
      <w:r>
        <w:rPr>
          <w:rFonts w:cs="FrankRuehl" w:hint="cs"/>
          <w:sz w:val="20"/>
          <w:szCs w:val="22"/>
          <w:rtl/>
        </w:rPr>
        <w:t>לחוק</w:t>
      </w:r>
      <w:r>
        <w:rPr>
          <w:rFonts w:cs="FrankRuehl"/>
          <w:sz w:val="20"/>
          <w:szCs w:val="22"/>
          <w:rtl/>
        </w:rPr>
        <w:t xml:space="preserve"> </w:t>
      </w:r>
      <w:r>
        <w:rPr>
          <w:rFonts w:cs="FrankRuehl" w:hint="cs"/>
          <w:sz w:val="20"/>
          <w:szCs w:val="22"/>
          <w:rtl/>
        </w:rPr>
        <w:t>חינוך</w:t>
      </w:r>
      <w:r>
        <w:rPr>
          <w:rFonts w:cs="FrankRuehl"/>
          <w:sz w:val="20"/>
          <w:szCs w:val="22"/>
          <w:rtl/>
        </w:rPr>
        <w:t xml:space="preserve"> </w:t>
      </w:r>
      <w:r>
        <w:rPr>
          <w:rFonts w:cs="FrankRuehl" w:hint="cs"/>
          <w:sz w:val="20"/>
          <w:szCs w:val="22"/>
          <w:rtl/>
        </w:rPr>
        <w:t>ממלכתי</w:t>
      </w:r>
      <w:r>
        <w:rPr>
          <w:rFonts w:cs="FrankRuehl"/>
          <w:sz w:val="20"/>
          <w:szCs w:val="22"/>
          <w:rtl/>
        </w:rPr>
        <w:t xml:space="preserve"> </w:t>
      </w:r>
      <w:r>
        <w:rPr>
          <w:rFonts w:cs="FrankRuehl" w:hint="cs"/>
          <w:sz w:val="20"/>
          <w:szCs w:val="22"/>
          <w:rtl/>
        </w:rPr>
        <w:t>מדבר</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השתתפות</w:t>
      </w:r>
      <w:r>
        <w:rPr>
          <w:rFonts w:cs="FrankRuehl"/>
          <w:sz w:val="20"/>
          <w:szCs w:val="22"/>
          <w:rtl/>
        </w:rPr>
        <w:t xml:space="preserve"> </w:t>
      </w:r>
      <w:r>
        <w:rPr>
          <w:rFonts w:cs="FrankRuehl" w:hint="cs"/>
          <w:sz w:val="20"/>
          <w:szCs w:val="22"/>
          <w:rtl/>
        </w:rPr>
        <w:t>בתמיכה</w:t>
      </w:r>
      <w:r>
        <w:rPr>
          <w:rFonts w:cs="FrankRuehl"/>
          <w:sz w:val="20"/>
          <w:szCs w:val="22"/>
          <w:rtl/>
        </w:rPr>
        <w:t xml:space="preserve"> </w:t>
      </w:r>
      <w:r>
        <w:rPr>
          <w:rFonts w:cs="FrankRuehl" w:hint="cs"/>
          <w:sz w:val="20"/>
          <w:szCs w:val="22"/>
          <w:rtl/>
        </w:rPr>
        <w:t>במוסדות</w:t>
      </w:r>
      <w:r>
        <w:rPr>
          <w:rFonts w:cs="FrankRuehl"/>
          <w:sz w:val="20"/>
          <w:szCs w:val="22"/>
          <w:rtl/>
        </w:rPr>
        <w:t xml:space="preserve"> </w:t>
      </w:r>
      <w:r>
        <w:rPr>
          <w:rFonts w:cs="FrankRuehl" w:hint="cs"/>
          <w:sz w:val="20"/>
          <w:szCs w:val="22"/>
          <w:rtl/>
        </w:rPr>
        <w:t>חינוך</w:t>
      </w:r>
      <w:r>
        <w:rPr>
          <w:rFonts w:cs="FrankRuehl"/>
          <w:sz w:val="20"/>
          <w:szCs w:val="22"/>
          <w:rtl/>
        </w:rPr>
        <w:t xml:space="preserve"> </w:t>
      </w:r>
      <w:r>
        <w:rPr>
          <w:rFonts w:cs="FrankRuehl" w:hint="cs"/>
          <w:sz w:val="20"/>
          <w:szCs w:val="22"/>
          <w:rtl/>
        </w:rPr>
        <w:t>ולא</w:t>
      </w:r>
      <w:r>
        <w:rPr>
          <w:rFonts w:cs="FrankRuehl"/>
          <w:sz w:val="20"/>
          <w:szCs w:val="22"/>
          <w:rtl/>
        </w:rPr>
        <w:t xml:space="preserve"> </w:t>
      </w:r>
      <w:r>
        <w:rPr>
          <w:rFonts w:cs="FrankRuehl" w:hint="cs"/>
          <w:sz w:val="20"/>
          <w:szCs w:val="22"/>
          <w:rtl/>
        </w:rPr>
        <w:t>בתמיכה</w:t>
      </w:r>
      <w:r>
        <w:rPr>
          <w:rFonts w:cs="FrankRuehl"/>
          <w:sz w:val="20"/>
          <w:szCs w:val="22"/>
          <w:rtl/>
        </w:rPr>
        <w:t xml:space="preserve"> </w:t>
      </w:r>
      <w:r>
        <w:rPr>
          <w:rFonts w:cs="FrankRuehl" w:hint="cs"/>
          <w:sz w:val="20"/>
          <w:szCs w:val="22"/>
          <w:rtl/>
        </w:rPr>
        <w:t>בתלמידים</w:t>
      </w:r>
      <w:r>
        <w:rPr>
          <w:rFonts w:cs="FrankRuehl"/>
          <w:sz w:val="20"/>
          <w:szCs w:val="22"/>
          <w:rtl/>
        </w:rPr>
        <w:t xml:space="preserve"> </w:t>
      </w:r>
      <w:r>
        <w:rPr>
          <w:rFonts w:cs="FrankRuehl" w:hint="cs"/>
          <w:sz w:val="20"/>
          <w:szCs w:val="22"/>
          <w:rtl/>
        </w:rPr>
        <w:t>הלומדים</w:t>
      </w:r>
      <w:r>
        <w:rPr>
          <w:rFonts w:cs="FrankRuehl"/>
          <w:sz w:val="20"/>
          <w:szCs w:val="22"/>
          <w:rtl/>
        </w:rPr>
        <w:t xml:space="preserve"> </w:t>
      </w:r>
      <w:r>
        <w:rPr>
          <w:rFonts w:cs="FrankRuehl" w:hint="cs"/>
          <w:sz w:val="20"/>
          <w:szCs w:val="22"/>
          <w:rtl/>
        </w:rPr>
        <w:t>בהם</w:t>
      </w:r>
      <w:r>
        <w:rPr>
          <w:rFonts w:cs="FrankRuehl"/>
          <w:sz w:val="20"/>
          <w:szCs w:val="22"/>
          <w:rtl/>
        </w:rPr>
        <w:t xml:space="preserve">, </w:t>
      </w:r>
      <w:r>
        <w:rPr>
          <w:rFonts w:cs="FrankRuehl" w:hint="cs"/>
          <w:sz w:val="20"/>
          <w:szCs w:val="22"/>
          <w:rtl/>
        </w:rPr>
        <w:t>הרי</w:t>
      </w:r>
      <w:r>
        <w:rPr>
          <w:rFonts w:cs="FrankRuehl"/>
          <w:sz w:val="20"/>
          <w:szCs w:val="22"/>
          <w:rtl/>
        </w:rPr>
        <w:t xml:space="preserve"> </w:t>
      </w:r>
      <w:r>
        <w:rPr>
          <w:rFonts w:cs="FrankRuehl" w:hint="cs"/>
          <w:sz w:val="20"/>
          <w:szCs w:val="22"/>
          <w:rtl/>
        </w:rPr>
        <w:t>שניתן</w:t>
      </w:r>
      <w:r>
        <w:rPr>
          <w:rFonts w:cs="FrankRuehl"/>
          <w:sz w:val="20"/>
          <w:szCs w:val="22"/>
          <w:rtl/>
        </w:rPr>
        <w:t xml:space="preserve"> </w:t>
      </w:r>
      <w:r>
        <w:rPr>
          <w:rFonts w:cs="FrankRuehl" w:hint="cs"/>
          <w:sz w:val="20"/>
          <w:szCs w:val="22"/>
          <w:rtl/>
        </w:rPr>
        <w:t>לקבוע</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לא</w:t>
      </w:r>
      <w:r>
        <w:rPr>
          <w:rFonts w:cs="FrankRuehl"/>
          <w:sz w:val="20"/>
          <w:szCs w:val="22"/>
          <w:rtl/>
        </w:rPr>
        <w:t xml:space="preserve"> </w:t>
      </w:r>
      <w:r>
        <w:rPr>
          <w:rFonts w:cs="FrankRuehl" w:hint="cs"/>
          <w:sz w:val="20"/>
          <w:szCs w:val="22"/>
          <w:rtl/>
        </w:rPr>
        <w:t>מדובר</w:t>
      </w:r>
      <w:r>
        <w:rPr>
          <w:rFonts w:cs="FrankRuehl"/>
          <w:sz w:val="20"/>
          <w:szCs w:val="22"/>
          <w:rtl/>
        </w:rPr>
        <w:t xml:space="preserve"> </w:t>
      </w:r>
      <w:r>
        <w:rPr>
          <w:rFonts w:cs="FrankRuehl" w:hint="cs"/>
          <w:sz w:val="20"/>
          <w:szCs w:val="22"/>
          <w:rtl/>
        </w:rPr>
        <w:t>על</w:t>
      </w:r>
      <w:r>
        <w:rPr>
          <w:rFonts w:cs="FrankRuehl"/>
          <w:sz w:val="20"/>
          <w:szCs w:val="22"/>
          <w:rtl/>
        </w:rPr>
        <w:t xml:space="preserve"> 'השתתפות </w:t>
      </w:r>
      <w:r>
        <w:rPr>
          <w:rFonts w:cs="FrankRuehl" w:hint="cs"/>
          <w:sz w:val="20"/>
          <w:szCs w:val="22"/>
          <w:rtl/>
        </w:rPr>
        <w:t>בתקציביהם</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מוסדות</w:t>
      </w:r>
      <w:r>
        <w:rPr>
          <w:rFonts w:cs="FrankRuehl"/>
          <w:sz w:val="20"/>
          <w:szCs w:val="22"/>
          <w:rtl/>
        </w:rPr>
        <w:t xml:space="preserve"> </w:t>
      </w:r>
      <w:r>
        <w:rPr>
          <w:rFonts w:cs="FrankRuehl" w:hint="cs"/>
          <w:sz w:val="20"/>
          <w:szCs w:val="22"/>
          <w:rtl/>
        </w:rPr>
        <w:t>חינוך</w:t>
      </w:r>
      <w:r>
        <w:rPr>
          <w:rFonts w:cs="FrankRuehl"/>
          <w:sz w:val="20"/>
          <w:szCs w:val="22"/>
          <w:rtl/>
        </w:rPr>
        <w:t xml:space="preserve"> </w:t>
      </w:r>
      <w:r>
        <w:rPr>
          <w:rFonts w:cs="FrankRuehl" w:hint="cs"/>
          <w:sz w:val="20"/>
          <w:szCs w:val="22"/>
          <w:rtl/>
        </w:rPr>
        <w:t>רשמיים</w:t>
      </w:r>
      <w:r>
        <w:rPr>
          <w:rFonts w:cs="FrankRuehl"/>
          <w:sz w:val="20"/>
          <w:szCs w:val="22"/>
          <w:rtl/>
        </w:rPr>
        <w:t xml:space="preserve">' </w:t>
      </w:r>
      <w:r>
        <w:rPr>
          <w:rFonts w:cs="FrankRuehl" w:hint="cs"/>
          <w:sz w:val="20"/>
          <w:szCs w:val="22"/>
          <w:rtl/>
        </w:rPr>
        <w:t>כלשון</w:t>
      </w:r>
      <w:r>
        <w:rPr>
          <w:rFonts w:cs="FrankRuehl"/>
          <w:sz w:val="20"/>
          <w:szCs w:val="22"/>
          <w:rtl/>
        </w:rPr>
        <w:t xml:space="preserve"> </w:t>
      </w:r>
      <w:r>
        <w:rPr>
          <w:rFonts w:cs="FrankRuehl" w:hint="cs"/>
          <w:sz w:val="20"/>
          <w:szCs w:val="22"/>
          <w:rtl/>
        </w:rPr>
        <w:t>החוק</w:t>
      </w:r>
      <w:r>
        <w:rPr>
          <w:rFonts w:cs="FrankRuehl"/>
          <w:sz w:val="20"/>
          <w:szCs w:val="22"/>
          <w:rtl/>
        </w:rPr>
        <w:t>".</w:t>
      </w:r>
    </w:p>
    <w:p w:rsidR="00B767A7" w:rsidP="008F3E66">
      <w:pPr>
        <w:spacing w:after="120" w:line="230" w:lineRule="exact"/>
        <w:ind w:left="567"/>
        <w:jc w:val="both"/>
        <w:rPr>
          <w:rFonts w:cs="FrankRuehl"/>
          <w:sz w:val="20"/>
          <w:szCs w:val="22"/>
          <w:rtl/>
        </w:rPr>
      </w:pPr>
      <w:r>
        <w:rPr>
          <w:rFonts w:cs="FrankRuehl"/>
          <w:sz w:val="20"/>
          <w:szCs w:val="22"/>
          <w:rtl/>
        </w:rPr>
        <w:t xml:space="preserve">"הזכאות הינה, אם כן, </w:t>
      </w:r>
      <w:r>
        <w:rPr>
          <w:rFonts w:cs="FrankRuehl" w:hint="cs"/>
          <w:b/>
          <w:bCs/>
          <w:sz w:val="20"/>
          <w:szCs w:val="22"/>
          <w:rtl/>
        </w:rPr>
        <w:t>לרשות</w:t>
      </w:r>
      <w:r>
        <w:rPr>
          <w:rFonts w:cs="FrankRuehl"/>
          <w:b/>
          <w:bCs/>
          <w:sz w:val="20"/>
          <w:szCs w:val="22"/>
          <w:rtl/>
        </w:rPr>
        <w:t xml:space="preserve"> </w:t>
      </w:r>
      <w:r>
        <w:rPr>
          <w:rFonts w:cs="FrankRuehl" w:hint="cs"/>
          <w:b/>
          <w:bCs/>
          <w:sz w:val="20"/>
          <w:szCs w:val="22"/>
          <w:rtl/>
        </w:rPr>
        <w:t>המקומית</w:t>
      </w:r>
      <w:r>
        <w:rPr>
          <w:rFonts w:cs="FrankRuehl"/>
          <w:b/>
          <w:bCs/>
          <w:sz w:val="20"/>
          <w:szCs w:val="22"/>
          <w:rtl/>
        </w:rPr>
        <w:t xml:space="preserve">, </w:t>
      </w:r>
      <w:r>
        <w:rPr>
          <w:rFonts w:cs="FrankRuehl" w:hint="cs"/>
          <w:b/>
          <w:bCs/>
          <w:sz w:val="20"/>
          <w:szCs w:val="22"/>
          <w:rtl/>
        </w:rPr>
        <w:t>לפי</w:t>
      </w:r>
      <w:r>
        <w:rPr>
          <w:rFonts w:cs="FrankRuehl"/>
          <w:b/>
          <w:bCs/>
          <w:sz w:val="20"/>
          <w:szCs w:val="22"/>
          <w:rtl/>
        </w:rPr>
        <w:t xml:space="preserve"> </w:t>
      </w:r>
      <w:r>
        <w:rPr>
          <w:rFonts w:cs="FrankRuehl" w:hint="cs"/>
          <w:b/>
          <w:bCs/>
          <w:sz w:val="20"/>
          <w:szCs w:val="22"/>
          <w:rtl/>
        </w:rPr>
        <w:t>תלמיד</w:t>
      </w:r>
      <w:r>
        <w:rPr>
          <w:rFonts w:cs="FrankRuehl"/>
          <w:sz w:val="20"/>
          <w:szCs w:val="22"/>
          <w:rtl/>
        </w:rPr>
        <w:t xml:space="preserve">, באמצעות תקציב המועבר לרשות המקומית פר </w:t>
      </w:r>
      <w:r>
        <w:rPr>
          <w:rFonts w:cs="FrankRuehl" w:hint="cs"/>
          <w:sz w:val="20"/>
          <w:szCs w:val="22"/>
          <w:rtl/>
        </w:rPr>
        <w:t>קפיטה</w:t>
      </w:r>
      <w:r>
        <w:rPr>
          <w:rFonts w:cs="FrankRuehl"/>
          <w:sz w:val="20"/>
          <w:szCs w:val="22"/>
          <w:rtl/>
        </w:rPr>
        <w:t xml:space="preserve"> והיא נגזרת ממיקום ביתו של כל תלמיד ביחס למוסד </w:t>
      </w:r>
      <w:r>
        <w:rPr>
          <w:rFonts w:cs="FrankRuehl" w:hint="cs"/>
          <w:b/>
          <w:bCs/>
          <w:sz w:val="20"/>
          <w:szCs w:val="22"/>
          <w:rtl/>
        </w:rPr>
        <w:t>הרשמי</w:t>
      </w:r>
      <w:r>
        <w:rPr>
          <w:rFonts w:cs="FrankRuehl"/>
          <w:sz w:val="20"/>
          <w:szCs w:val="22"/>
          <w:rtl/>
        </w:rPr>
        <w:t xml:space="preserve"> </w:t>
      </w:r>
      <w:r>
        <w:rPr>
          <w:rFonts w:cs="FrankRuehl" w:hint="cs"/>
          <w:sz w:val="20"/>
          <w:szCs w:val="22"/>
          <w:rtl/>
        </w:rPr>
        <w:t>הקרוב</w:t>
      </w:r>
      <w:r>
        <w:rPr>
          <w:rFonts w:cs="FrankRuehl"/>
          <w:sz w:val="20"/>
          <w:szCs w:val="22"/>
          <w:rtl/>
        </w:rPr>
        <w:t xml:space="preserve"> </w:t>
      </w:r>
      <w:r>
        <w:rPr>
          <w:rFonts w:cs="FrankRuehl" w:hint="cs"/>
          <w:sz w:val="20"/>
          <w:szCs w:val="22"/>
          <w:rtl/>
        </w:rPr>
        <w:t>לביתו</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כל</w:t>
      </w:r>
      <w:r>
        <w:rPr>
          <w:rFonts w:cs="FrankRuehl"/>
          <w:sz w:val="20"/>
          <w:szCs w:val="22"/>
          <w:rtl/>
        </w:rPr>
        <w:t xml:space="preserve"> </w:t>
      </w:r>
      <w:r>
        <w:rPr>
          <w:rFonts w:cs="FrankRuehl" w:hint="cs"/>
          <w:sz w:val="20"/>
          <w:szCs w:val="22"/>
          <w:rtl/>
        </w:rPr>
        <w:t>תלמיד</w:t>
      </w:r>
      <w:r>
        <w:rPr>
          <w:rFonts w:cs="FrankRuehl"/>
          <w:sz w:val="20"/>
          <w:szCs w:val="22"/>
          <w:rtl/>
        </w:rPr>
        <w:t xml:space="preserve">. </w:t>
      </w:r>
      <w:r>
        <w:rPr>
          <w:rFonts w:cs="FrankRuehl" w:hint="cs"/>
          <w:sz w:val="20"/>
          <w:szCs w:val="22"/>
          <w:rtl/>
        </w:rPr>
        <w:t>זכאות</w:t>
      </w:r>
      <w:r>
        <w:rPr>
          <w:rFonts w:cs="FrankRuehl"/>
          <w:sz w:val="20"/>
          <w:szCs w:val="22"/>
          <w:rtl/>
        </w:rPr>
        <w:t xml:space="preserve"> </w:t>
      </w:r>
      <w:r>
        <w:rPr>
          <w:rFonts w:cs="FrankRuehl" w:hint="cs"/>
          <w:sz w:val="20"/>
          <w:szCs w:val="22"/>
          <w:rtl/>
        </w:rPr>
        <w:t>לתלמיד</w:t>
      </w:r>
      <w:r>
        <w:rPr>
          <w:rFonts w:cs="FrankRuehl"/>
          <w:sz w:val="20"/>
          <w:szCs w:val="22"/>
          <w:rtl/>
        </w:rPr>
        <w:t xml:space="preserve"> </w:t>
      </w:r>
      <w:r>
        <w:rPr>
          <w:rFonts w:cs="FrankRuehl" w:hint="cs"/>
          <w:sz w:val="20"/>
          <w:szCs w:val="22"/>
          <w:rtl/>
        </w:rPr>
        <w:t>ולא</w:t>
      </w:r>
      <w:r>
        <w:rPr>
          <w:rFonts w:cs="FrankRuehl"/>
          <w:sz w:val="20"/>
          <w:szCs w:val="22"/>
          <w:rtl/>
        </w:rPr>
        <w:t xml:space="preserve"> </w:t>
      </w:r>
      <w:r>
        <w:rPr>
          <w:rFonts w:cs="FrankRuehl" w:hint="cs"/>
          <w:sz w:val="20"/>
          <w:szCs w:val="22"/>
          <w:rtl/>
        </w:rPr>
        <w:t>למוסד</w:t>
      </w:r>
      <w:r>
        <w:rPr>
          <w:rFonts w:cs="FrankRuehl"/>
          <w:sz w:val="20"/>
          <w:szCs w:val="22"/>
          <w:rtl/>
        </w:rPr>
        <w:t>".</w:t>
      </w:r>
    </w:p>
    <w:p w:rsidR="00B767A7" w:rsidP="008F3E66">
      <w:pPr>
        <w:spacing w:after="120" w:line="230" w:lineRule="exact"/>
        <w:ind w:left="567"/>
        <w:jc w:val="both"/>
        <w:rPr>
          <w:rFonts w:cs="FrankRuehl"/>
          <w:sz w:val="20"/>
          <w:szCs w:val="22"/>
          <w:rtl/>
        </w:rPr>
      </w:pPr>
      <w:r>
        <w:rPr>
          <w:rFonts w:cs="FrankRuehl"/>
          <w:sz w:val="20"/>
          <w:szCs w:val="22"/>
          <w:rtl/>
        </w:rPr>
        <w:t xml:space="preserve">"זאת ועוד, מימון זה שתיארנו הינו נגזרת של חובת המדינה להעמיד לתלמידים חינוך </w:t>
      </w:r>
      <w:r>
        <w:rPr>
          <w:rFonts w:cs="FrankRuehl" w:hint="cs"/>
          <w:b/>
          <w:bCs/>
          <w:sz w:val="20"/>
          <w:szCs w:val="22"/>
          <w:rtl/>
        </w:rPr>
        <w:t>רשמי</w:t>
      </w:r>
      <w:r>
        <w:rPr>
          <w:rFonts w:cs="FrankRuehl"/>
          <w:sz w:val="20"/>
          <w:szCs w:val="22"/>
          <w:rtl/>
        </w:rPr>
        <w:t xml:space="preserve"> בקרבת ביתם. ההורים השולחים את ילדיהם למוסד מוכר שאינו רשמי מוותרים בהחלטתם זו על לימודים במוסד הרשמי הקרוב לביתם. ממילא, בבחירת ההורים לשלוח את ילדיהם למוסד מוכר שאינו רשמי מגולמת הסכמה לשאת בעלות ההסעות הכרוכות בהתרחקות מהמוסד הרשמי הקרוב. אף מטעם זה אין כל הצדקה לכלול תקציב זה בגין הסעות בגדר התקציב ממנו תחושב תמיכת הרשות המקומית </w:t>
      </w:r>
      <w:r>
        <w:rPr>
          <w:rFonts w:cs="FrankRuehl" w:hint="cs"/>
          <w:sz w:val="20"/>
          <w:szCs w:val="22"/>
          <w:rtl/>
        </w:rPr>
        <w:t>במ</w:t>
      </w:r>
      <w:r>
        <w:rPr>
          <w:rFonts w:cs="FrankRuehl"/>
          <w:sz w:val="20"/>
          <w:szCs w:val="22"/>
          <w:rtl/>
        </w:rPr>
        <w:t xml:space="preserve">וסדות המוכרים שאינם רשמיים". </w:t>
      </w:r>
    </w:p>
    <w:p w:rsidR="00B767A7" w:rsidP="008F3E66">
      <w:pPr>
        <w:spacing w:after="120" w:line="230" w:lineRule="exact"/>
        <w:ind w:left="567"/>
        <w:jc w:val="both"/>
        <w:rPr>
          <w:rFonts w:cs="FrankRuehl"/>
          <w:sz w:val="20"/>
          <w:szCs w:val="22"/>
          <w:rtl/>
        </w:rPr>
      </w:pPr>
      <w:r>
        <w:rPr>
          <w:rFonts w:cs="FrankRuehl"/>
          <w:sz w:val="20"/>
          <w:szCs w:val="22"/>
          <w:rtl/>
        </w:rPr>
        <w:t xml:space="preserve">"יובהר, כי ישנן רשויות מקומיות המממנות באופן </w:t>
      </w:r>
      <w:r>
        <w:rPr>
          <w:rFonts w:cs="FrankRuehl" w:hint="cs"/>
          <w:sz w:val="20"/>
          <w:szCs w:val="22"/>
          <w:rtl/>
        </w:rPr>
        <w:t>וולנטרי</w:t>
      </w:r>
      <w:r>
        <w:rPr>
          <w:rFonts w:cs="FrankRuehl"/>
          <w:sz w:val="20"/>
          <w:szCs w:val="22"/>
          <w:rtl/>
        </w:rPr>
        <w:t xml:space="preserve"> הסעות למוסדות מוכרים שאינם רשמיים, תוך שונות גדולה בין הרשויות המקומיות בעניין היקף התמיכה. יש להבחין בין חיוב הרשויות המקומיות כולן במימון הסעות למוסדות מוכרים שאינם רשמיים, לבין מימון </w:t>
      </w:r>
      <w:r>
        <w:rPr>
          <w:rFonts w:cs="FrankRuehl" w:hint="cs"/>
          <w:sz w:val="20"/>
          <w:szCs w:val="22"/>
          <w:rtl/>
        </w:rPr>
        <w:t>וולנטרי</w:t>
      </w:r>
      <w:r>
        <w:rPr>
          <w:rFonts w:cs="FrankRuehl"/>
          <w:sz w:val="20"/>
          <w:szCs w:val="22"/>
          <w:rtl/>
        </w:rPr>
        <w:t xml:space="preserve"> זה, אך אין צריך לומר, כי מקום שרשות מעבירה כספים בגין הסעות למוסדות מוכרים הרי היא מחויבת לעשות כן בשוויון בין כל המוסדות המוכרים שבתחומה ועל פי הנוהל למתן תמיכות של רשויות מקומיות"</w:t>
      </w:r>
      <w:r>
        <w:rPr>
          <w:rFonts w:cs="FrankRuehl" w:hint="cs"/>
          <w:sz w:val="20"/>
          <w:szCs w:val="22"/>
          <w:rtl/>
        </w:rPr>
        <w:t xml:space="preserve"> (ההדגשות במקור)</w:t>
      </w:r>
      <w:r>
        <w:rPr>
          <w:rFonts w:cs="FrankRuehl"/>
          <w:sz w:val="20"/>
          <w:szCs w:val="22"/>
          <w:rtl/>
        </w:rPr>
        <w:t>.</w:t>
      </w:r>
      <w:r>
        <w:rPr>
          <w:rFonts w:cs="FrankRuehl" w:hint="cs"/>
          <w:sz w:val="20"/>
          <w:szCs w:val="22"/>
          <w:rtl/>
        </w:rPr>
        <w:t xml:space="preserve"> </w:t>
      </w:r>
    </w:p>
    <w:p w:rsidR="00B767A7">
      <w:pPr>
        <w:spacing w:after="120" w:line="230" w:lineRule="exact"/>
        <w:jc w:val="both"/>
        <w:rPr>
          <w:rFonts w:cs="FrankRuehl"/>
          <w:sz w:val="20"/>
          <w:szCs w:val="22"/>
          <w:rtl/>
        </w:rPr>
      </w:pPr>
      <w:r>
        <w:rPr>
          <w:rFonts w:cs="FrankRuehl" w:hint="cs"/>
          <w:sz w:val="20"/>
          <w:szCs w:val="22"/>
          <w:rtl/>
        </w:rPr>
        <w:t>נמצא כי העירייה לא נתנה את דעתה על כך שההסעות אינן מחויבות לפי מסלול חוק נהרי והציגה את ההשתתפות בתקצוב ההסעות כחובה שעליה למלא (לפי חוק נהרי). אמנם על פי הנוהל ליישום חוק נהרי הותרו הסעות למוסדות החינוך במסלול חוק נהרי, אולם העירייה הייתה אמורה להיות ערה לעמדת משרד החינוך, ולפיה הרשויות המקומיות אינן חייבות לתקצב הסעות למוסדות החינוך המוכרים שבתחום שיפוטן, בייחוד לאחר שניתנה חוות הדעת של היועץ המשפטי לממשלה בסוף שנת 2010. לנוכח זאת היה על עיריית פתח תקווה לדון בשנת 2012, מהמועד שבו הוסבה תשומת לבה לחוות הדעת האמורה לעיל, בביטול תקצוב ההסעות האמור לפי מסלול חוק נהרי.</w:t>
      </w:r>
    </w:p>
    <w:p w:rsidR="00B767A7" w:rsidP="00B90414">
      <w:pPr>
        <w:spacing w:after="120" w:line="230" w:lineRule="exact"/>
        <w:jc w:val="both"/>
        <w:rPr>
          <w:rFonts w:cs="FrankRuehl"/>
          <w:sz w:val="20"/>
          <w:szCs w:val="22"/>
          <w:rtl/>
        </w:rPr>
      </w:pPr>
      <w:r w:rsidRPr="00324F05">
        <w:rPr>
          <w:rFonts w:cs="FrankRuehl" w:hint="cs"/>
          <w:sz w:val="20"/>
          <w:szCs w:val="22"/>
          <w:rtl/>
        </w:rPr>
        <w:t xml:space="preserve">להלן </w:t>
      </w:r>
      <w:r w:rsidRPr="00324F05" w:rsidR="00A63D74">
        <w:rPr>
          <w:rFonts w:cs="FrankRuehl" w:hint="cs"/>
          <w:sz w:val="20"/>
          <w:szCs w:val="22"/>
          <w:rtl/>
        </w:rPr>
        <w:t>לוח</w:t>
      </w:r>
      <w:r w:rsidRPr="00324F05">
        <w:rPr>
          <w:rFonts w:cs="FrankRuehl" w:hint="cs"/>
          <w:sz w:val="20"/>
          <w:szCs w:val="22"/>
          <w:rtl/>
        </w:rPr>
        <w:t xml:space="preserve"> וב</w:t>
      </w:r>
      <w:r w:rsidR="00B90414">
        <w:rPr>
          <w:rFonts w:cs="FrankRuehl" w:hint="cs"/>
          <w:sz w:val="20"/>
          <w:szCs w:val="22"/>
          <w:rtl/>
        </w:rPr>
        <w:t>ו</w:t>
      </w:r>
      <w:r>
        <w:rPr>
          <w:rFonts w:cs="FrankRuehl" w:hint="cs"/>
          <w:sz w:val="20"/>
          <w:szCs w:val="22"/>
          <w:rtl/>
        </w:rPr>
        <w:t xml:space="preserve"> מוצגים הסכומים שהקצתה העירייה למימון ההסעות לבתי הספר בכיתות א'-ט' במסגרת מסלול חוק נהרי בשלושת</w:t>
      </w:r>
      <w:r>
        <w:rPr>
          <w:rFonts w:cs="FrankRuehl"/>
          <w:sz w:val="20"/>
          <w:szCs w:val="22"/>
          <w:rtl/>
        </w:rPr>
        <w:t xml:space="preserve"> </w:t>
      </w:r>
      <w:r>
        <w:rPr>
          <w:rFonts w:cs="FrankRuehl" w:hint="cs"/>
          <w:sz w:val="20"/>
          <w:szCs w:val="22"/>
          <w:rtl/>
        </w:rPr>
        <w:t xml:space="preserve">המגזרים בשנים 2012-2010 </w:t>
      </w:r>
      <w:r>
        <w:rPr>
          <w:rFonts w:cs="FrankRuehl"/>
          <w:sz w:val="20"/>
          <w:szCs w:val="22"/>
          <w:rtl/>
        </w:rPr>
        <w:t xml:space="preserve">(באלפי </w:t>
      </w:r>
      <w:r>
        <w:rPr>
          <w:rFonts w:cs="FrankRuehl" w:hint="cs"/>
          <w:sz w:val="20"/>
          <w:szCs w:val="22"/>
          <w:rtl/>
        </w:rPr>
        <w:t>ש</w:t>
      </w:r>
      <w:r>
        <w:rPr>
          <w:rFonts w:cs="FrankRuehl"/>
          <w:sz w:val="20"/>
          <w:szCs w:val="22"/>
          <w:rtl/>
        </w:rPr>
        <w:t>"ח)</w:t>
      </w:r>
      <w:r>
        <w:rPr>
          <w:rFonts w:cs="FrankRuehl" w:hint="cs"/>
          <w:sz w:val="20"/>
          <w:szCs w:val="22"/>
          <w:rtl/>
        </w:rPr>
        <w:t xml:space="preserve"> ומספרי התלמידים המוסעים:</w:t>
      </w:r>
    </w:p>
    <w:p w:rsidR="008F3E66" w:rsidRPr="00324F05" w:rsidP="00324F05">
      <w:pPr>
        <w:pStyle w:val="tab-name"/>
        <w:rPr>
          <w:rtl/>
        </w:rPr>
      </w:pPr>
      <w:r w:rsidRPr="00324F05">
        <w:rPr>
          <w:rFonts w:hint="cs"/>
          <w:b w:val="0"/>
          <w:bCs w:val="0"/>
          <w:sz w:val="20"/>
          <w:szCs w:val="20"/>
          <w:rtl/>
        </w:rPr>
        <w:t>לוח 3</w:t>
      </w:r>
      <w:r w:rsidRPr="00324F05">
        <w:rPr>
          <w:b w:val="0"/>
          <w:bCs w:val="0"/>
          <w:sz w:val="20"/>
          <w:szCs w:val="20"/>
          <w:rtl/>
        </w:rPr>
        <w:br/>
      </w:r>
      <w:r w:rsidRPr="00324F05" w:rsidR="00324F05">
        <w:rPr>
          <w:rFonts w:hint="cs"/>
          <w:rtl/>
        </w:rPr>
        <w:t>תמיכת העירייה בבתי הספר המוכרים למימון ההסעות,</w:t>
      </w:r>
      <w:r w:rsidRPr="00324F05">
        <w:rPr>
          <w:rFonts w:hint="cs"/>
          <w:rtl/>
        </w:rPr>
        <w:t xml:space="preserve"> 2013-2010</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7"/>
        <w:gridCol w:w="976"/>
        <w:gridCol w:w="775"/>
        <w:gridCol w:w="1037"/>
        <w:gridCol w:w="910"/>
        <w:gridCol w:w="1049"/>
        <w:gridCol w:w="907"/>
      </w:tblGrid>
      <w:tr w:rsidTr="00607B01">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134" w:type="dxa"/>
            <w:tcBorders>
              <w:top w:val="single" w:sz="12" w:space="0" w:color="auto"/>
              <w:left w:val="single" w:sz="12" w:space="0" w:color="auto"/>
              <w:bottom w:val="single" w:sz="4" w:space="0" w:color="auto"/>
            </w:tcBorders>
            <w:shd w:val="pct10" w:color="auto" w:fill="FFFFFF"/>
          </w:tcPr>
          <w:p w:rsidR="005B7DA9" w:rsidRPr="008F3E66" w:rsidP="008F3E66">
            <w:pPr>
              <w:spacing w:before="40" w:after="40" w:line="220" w:lineRule="exact"/>
              <w:jc w:val="center"/>
              <w:rPr>
                <w:rFonts w:eastAsia="Calibri"/>
                <w:b/>
                <w:bCs/>
                <w:sz w:val="20"/>
                <w:szCs w:val="20"/>
                <w:rtl/>
              </w:rPr>
            </w:pPr>
          </w:p>
        </w:tc>
        <w:tc>
          <w:tcPr>
            <w:tcW w:w="1905" w:type="dxa"/>
            <w:gridSpan w:val="2"/>
            <w:tcBorders>
              <w:top w:val="single" w:sz="12" w:space="0" w:color="auto"/>
              <w:bottom w:val="single" w:sz="4" w:space="0" w:color="auto"/>
            </w:tcBorders>
            <w:shd w:val="pct10" w:color="auto" w:fill="FFFFFF"/>
          </w:tcPr>
          <w:p w:rsidR="005B7DA9" w:rsidRPr="008F3E66" w:rsidP="008F3E66">
            <w:pPr>
              <w:spacing w:before="40" w:after="40" w:line="220" w:lineRule="exact"/>
              <w:jc w:val="center"/>
              <w:rPr>
                <w:rFonts w:eastAsia="Calibri"/>
                <w:b/>
                <w:bCs/>
                <w:sz w:val="20"/>
                <w:szCs w:val="20"/>
                <w:rtl/>
              </w:rPr>
            </w:pPr>
            <w:r w:rsidRPr="008F3E66">
              <w:rPr>
                <w:rFonts w:eastAsia="Calibri" w:cs="FrankRuehl" w:hint="cs"/>
                <w:b/>
                <w:bCs/>
                <w:sz w:val="20"/>
                <w:szCs w:val="20"/>
                <w:rtl/>
              </w:rPr>
              <w:t>2010</w:t>
            </w:r>
          </w:p>
        </w:tc>
        <w:tc>
          <w:tcPr>
            <w:tcW w:w="2126" w:type="dxa"/>
            <w:gridSpan w:val="2"/>
            <w:tcBorders>
              <w:top w:val="single" w:sz="12" w:space="0" w:color="auto"/>
              <w:bottom w:val="single" w:sz="4" w:space="0" w:color="auto"/>
            </w:tcBorders>
            <w:shd w:val="pct10" w:color="auto" w:fill="FFFFFF"/>
          </w:tcPr>
          <w:p w:rsidR="005B7DA9" w:rsidRPr="008F3E66" w:rsidP="008F3E66">
            <w:pPr>
              <w:spacing w:before="40" w:after="40" w:line="220" w:lineRule="exact"/>
              <w:jc w:val="center"/>
              <w:rPr>
                <w:rFonts w:eastAsia="Calibri"/>
                <w:b/>
                <w:bCs/>
                <w:sz w:val="20"/>
                <w:szCs w:val="20"/>
                <w:rtl/>
              </w:rPr>
            </w:pPr>
            <w:r w:rsidRPr="008F3E66">
              <w:rPr>
                <w:rFonts w:eastAsia="Calibri" w:cs="FrankRuehl" w:hint="cs"/>
                <w:b/>
                <w:bCs/>
                <w:sz w:val="20"/>
                <w:szCs w:val="20"/>
                <w:rtl/>
              </w:rPr>
              <w:t>2011</w:t>
            </w:r>
          </w:p>
        </w:tc>
        <w:tc>
          <w:tcPr>
            <w:tcW w:w="2135" w:type="dxa"/>
            <w:gridSpan w:val="2"/>
            <w:tcBorders>
              <w:top w:val="single" w:sz="12" w:space="0" w:color="auto"/>
              <w:bottom w:val="single" w:sz="4" w:space="0" w:color="auto"/>
              <w:right w:val="single" w:sz="12" w:space="0" w:color="auto"/>
            </w:tcBorders>
            <w:shd w:val="pct10" w:color="auto" w:fill="FFFFFF"/>
          </w:tcPr>
          <w:p w:rsidR="005B7DA9" w:rsidRPr="008F3E66" w:rsidP="008F3E66">
            <w:pPr>
              <w:spacing w:before="40" w:after="40" w:line="220" w:lineRule="exact"/>
              <w:jc w:val="center"/>
              <w:rPr>
                <w:rFonts w:eastAsia="Calibri"/>
                <w:b/>
                <w:bCs/>
                <w:sz w:val="20"/>
                <w:szCs w:val="20"/>
                <w:rtl/>
              </w:rPr>
            </w:pPr>
            <w:r w:rsidRPr="008F3E66">
              <w:rPr>
                <w:rFonts w:eastAsia="Calibri" w:cs="FrankRuehl" w:hint="cs"/>
                <w:b/>
                <w:bCs/>
                <w:sz w:val="20"/>
                <w:szCs w:val="20"/>
                <w:rtl/>
              </w:rPr>
              <w:t>2012</w:t>
            </w:r>
          </w:p>
        </w:tc>
      </w:tr>
      <w:tr w:rsidTr="00607B01">
        <w:tblPrEx>
          <w:tblW w:w="6691" w:type="dxa"/>
          <w:jc w:val="center"/>
          <w:tblLayout w:type="fixed"/>
          <w:tblLook w:val="04A0"/>
        </w:tblPrEx>
        <w:trPr>
          <w:jc w:val="center"/>
        </w:trPr>
        <w:tc>
          <w:tcPr>
            <w:tcW w:w="1134" w:type="dxa"/>
            <w:tcBorders>
              <w:top w:val="single" w:sz="4" w:space="0" w:color="auto"/>
              <w:left w:val="single" w:sz="12" w:space="0" w:color="auto"/>
              <w:bottom w:val="single" w:sz="12" w:space="0" w:color="auto"/>
            </w:tcBorders>
            <w:shd w:val="pct10" w:color="auto" w:fill="FFFFFF"/>
            <w:vAlign w:val="bottom"/>
          </w:tcPr>
          <w:p w:rsidR="005B7DA9" w:rsidRPr="008F3E66" w:rsidP="008F3E66">
            <w:pPr>
              <w:spacing w:before="40" w:after="40" w:line="220" w:lineRule="exact"/>
              <w:jc w:val="center"/>
              <w:rPr>
                <w:rFonts w:eastAsia="Calibri"/>
                <w:b/>
                <w:bCs/>
                <w:sz w:val="20"/>
                <w:szCs w:val="20"/>
                <w:rtl/>
              </w:rPr>
            </w:pPr>
            <w:r w:rsidRPr="008F3E66">
              <w:rPr>
                <w:rFonts w:eastAsia="Calibri" w:cs="FrankRuehl" w:hint="cs"/>
                <w:b/>
                <w:bCs/>
                <w:sz w:val="20"/>
                <w:szCs w:val="20"/>
                <w:rtl/>
              </w:rPr>
              <w:t>המגזר</w:t>
            </w:r>
          </w:p>
        </w:tc>
        <w:tc>
          <w:tcPr>
            <w:tcW w:w="1065" w:type="dxa"/>
            <w:tcBorders>
              <w:top w:val="single" w:sz="4" w:space="0" w:color="auto"/>
              <w:bottom w:val="single" w:sz="12" w:space="0" w:color="auto"/>
            </w:tcBorders>
            <w:shd w:val="pct10" w:color="auto" w:fill="FFFFFF"/>
            <w:vAlign w:val="bottom"/>
          </w:tcPr>
          <w:p w:rsidR="005B7DA9" w:rsidRPr="008F3E66" w:rsidP="008F3E66">
            <w:pPr>
              <w:spacing w:before="40" w:after="40" w:line="220" w:lineRule="exact"/>
              <w:jc w:val="center"/>
              <w:rPr>
                <w:rFonts w:eastAsia="Calibri"/>
                <w:b/>
                <w:bCs/>
                <w:sz w:val="20"/>
                <w:szCs w:val="20"/>
                <w:rtl/>
              </w:rPr>
            </w:pPr>
            <w:r w:rsidRPr="008F3E66">
              <w:rPr>
                <w:rFonts w:eastAsia="Calibri" w:cs="FrankRuehl" w:hint="cs"/>
                <w:b/>
                <w:bCs/>
                <w:sz w:val="20"/>
                <w:szCs w:val="20"/>
                <w:rtl/>
              </w:rPr>
              <w:t xml:space="preserve">מספר </w:t>
            </w:r>
            <w:r w:rsidRPr="008F3E66" w:rsidR="008F3E66">
              <w:rPr>
                <w:rFonts w:eastAsia="Calibri" w:cs="FrankRuehl"/>
                <w:b/>
                <w:bCs/>
                <w:sz w:val="20"/>
                <w:szCs w:val="20"/>
                <w:rtl/>
              </w:rPr>
              <w:br/>
            </w:r>
            <w:r w:rsidRPr="008F3E66">
              <w:rPr>
                <w:rFonts w:eastAsia="Calibri" w:cs="FrankRuehl" w:hint="cs"/>
                <w:b/>
                <w:bCs/>
                <w:sz w:val="20"/>
                <w:szCs w:val="20"/>
                <w:rtl/>
              </w:rPr>
              <w:t>התלמידים</w:t>
            </w:r>
          </w:p>
        </w:tc>
        <w:tc>
          <w:tcPr>
            <w:tcW w:w="840" w:type="dxa"/>
            <w:tcBorders>
              <w:top w:val="single" w:sz="4" w:space="0" w:color="auto"/>
              <w:bottom w:val="single" w:sz="12" w:space="0" w:color="auto"/>
            </w:tcBorders>
            <w:shd w:val="pct10" w:color="auto" w:fill="FFFFFF"/>
            <w:vAlign w:val="bottom"/>
          </w:tcPr>
          <w:p w:rsidR="005B7DA9" w:rsidRPr="008F3E66" w:rsidP="008F3E66">
            <w:pPr>
              <w:spacing w:before="40" w:after="40" w:line="220" w:lineRule="exact"/>
              <w:jc w:val="center"/>
              <w:rPr>
                <w:rFonts w:eastAsia="Calibri"/>
                <w:b/>
                <w:bCs/>
                <w:sz w:val="20"/>
                <w:szCs w:val="20"/>
                <w:rtl/>
              </w:rPr>
            </w:pPr>
            <w:r w:rsidRPr="008F3E66">
              <w:rPr>
                <w:rFonts w:eastAsia="Calibri" w:cs="FrankRuehl" w:hint="cs"/>
                <w:b/>
                <w:bCs/>
                <w:sz w:val="20"/>
                <w:szCs w:val="20"/>
                <w:rtl/>
              </w:rPr>
              <w:t>הסכום</w:t>
            </w:r>
          </w:p>
        </w:tc>
        <w:tc>
          <w:tcPr>
            <w:tcW w:w="1134" w:type="dxa"/>
            <w:tcBorders>
              <w:top w:val="single" w:sz="4" w:space="0" w:color="auto"/>
              <w:bottom w:val="single" w:sz="12" w:space="0" w:color="auto"/>
            </w:tcBorders>
            <w:shd w:val="pct10" w:color="auto" w:fill="FFFFFF"/>
            <w:vAlign w:val="bottom"/>
          </w:tcPr>
          <w:p w:rsidR="005B7DA9" w:rsidRPr="008F3E66" w:rsidP="008F3E66">
            <w:pPr>
              <w:spacing w:before="40" w:after="40" w:line="220" w:lineRule="exact"/>
              <w:jc w:val="center"/>
              <w:rPr>
                <w:rFonts w:eastAsia="Calibri"/>
                <w:b/>
                <w:bCs/>
                <w:sz w:val="20"/>
                <w:szCs w:val="20"/>
                <w:rtl/>
              </w:rPr>
            </w:pPr>
            <w:r w:rsidRPr="008F3E66">
              <w:rPr>
                <w:rFonts w:eastAsia="Calibri" w:cs="FrankRuehl" w:hint="cs"/>
                <w:b/>
                <w:bCs/>
                <w:sz w:val="20"/>
                <w:szCs w:val="20"/>
                <w:rtl/>
              </w:rPr>
              <w:t>מספר</w:t>
            </w:r>
            <w:r w:rsidRPr="008F3E66" w:rsidR="008F3E66">
              <w:rPr>
                <w:rFonts w:eastAsia="Calibri" w:cs="FrankRuehl"/>
                <w:b/>
                <w:bCs/>
                <w:sz w:val="20"/>
                <w:szCs w:val="20"/>
                <w:rtl/>
              </w:rPr>
              <w:br/>
            </w:r>
            <w:r w:rsidRPr="008F3E66">
              <w:rPr>
                <w:rFonts w:eastAsia="Calibri" w:cs="FrankRuehl" w:hint="cs"/>
                <w:b/>
                <w:bCs/>
                <w:sz w:val="20"/>
                <w:szCs w:val="20"/>
                <w:rtl/>
              </w:rPr>
              <w:t>התלמידים</w:t>
            </w:r>
          </w:p>
        </w:tc>
        <w:tc>
          <w:tcPr>
            <w:tcW w:w="992" w:type="dxa"/>
            <w:tcBorders>
              <w:top w:val="single" w:sz="4" w:space="0" w:color="auto"/>
              <w:bottom w:val="single" w:sz="12" w:space="0" w:color="auto"/>
            </w:tcBorders>
            <w:shd w:val="pct10" w:color="auto" w:fill="FFFFFF"/>
            <w:vAlign w:val="bottom"/>
          </w:tcPr>
          <w:p w:rsidR="005B7DA9" w:rsidRPr="008F3E66" w:rsidP="008F3E66">
            <w:pPr>
              <w:spacing w:before="40" w:after="40" w:line="220" w:lineRule="exact"/>
              <w:jc w:val="center"/>
              <w:rPr>
                <w:rFonts w:eastAsia="Calibri"/>
                <w:b/>
                <w:bCs/>
                <w:sz w:val="20"/>
                <w:szCs w:val="20"/>
                <w:rtl/>
              </w:rPr>
            </w:pPr>
            <w:r w:rsidRPr="008F3E66">
              <w:rPr>
                <w:rFonts w:eastAsia="Calibri" w:cs="FrankRuehl" w:hint="cs"/>
                <w:b/>
                <w:bCs/>
                <w:sz w:val="20"/>
                <w:szCs w:val="20"/>
                <w:rtl/>
              </w:rPr>
              <w:t>הסכום</w:t>
            </w:r>
          </w:p>
        </w:tc>
        <w:tc>
          <w:tcPr>
            <w:tcW w:w="1147" w:type="dxa"/>
            <w:tcBorders>
              <w:top w:val="single" w:sz="4" w:space="0" w:color="auto"/>
              <w:bottom w:val="single" w:sz="12" w:space="0" w:color="auto"/>
            </w:tcBorders>
            <w:shd w:val="pct10" w:color="auto" w:fill="FFFFFF"/>
            <w:vAlign w:val="bottom"/>
          </w:tcPr>
          <w:p w:rsidR="005B7DA9" w:rsidRPr="008F3E66" w:rsidP="008F3E66">
            <w:pPr>
              <w:spacing w:before="40" w:after="40" w:line="220" w:lineRule="exact"/>
              <w:jc w:val="center"/>
              <w:rPr>
                <w:rFonts w:eastAsia="Calibri"/>
                <w:b/>
                <w:bCs/>
                <w:sz w:val="20"/>
                <w:szCs w:val="20"/>
                <w:rtl/>
              </w:rPr>
            </w:pPr>
            <w:r w:rsidRPr="008F3E66">
              <w:rPr>
                <w:rFonts w:eastAsia="Calibri" w:cs="FrankRuehl" w:hint="cs"/>
                <w:b/>
                <w:bCs/>
                <w:sz w:val="20"/>
                <w:szCs w:val="20"/>
                <w:rtl/>
              </w:rPr>
              <w:t>מספר</w:t>
            </w:r>
            <w:r w:rsidRPr="008F3E66" w:rsidR="008F3E66">
              <w:rPr>
                <w:rFonts w:eastAsia="Calibri" w:cs="FrankRuehl"/>
                <w:b/>
                <w:bCs/>
                <w:sz w:val="20"/>
                <w:szCs w:val="20"/>
                <w:rtl/>
              </w:rPr>
              <w:br/>
            </w:r>
            <w:r w:rsidRPr="008F3E66">
              <w:rPr>
                <w:rFonts w:eastAsia="Calibri" w:cs="FrankRuehl" w:hint="cs"/>
                <w:b/>
                <w:bCs/>
                <w:sz w:val="20"/>
                <w:szCs w:val="20"/>
                <w:rtl/>
              </w:rPr>
              <w:t>התלמידים</w:t>
            </w:r>
          </w:p>
        </w:tc>
        <w:tc>
          <w:tcPr>
            <w:tcW w:w="988" w:type="dxa"/>
            <w:tcBorders>
              <w:top w:val="single" w:sz="4" w:space="0" w:color="auto"/>
              <w:bottom w:val="single" w:sz="12" w:space="0" w:color="auto"/>
              <w:right w:val="single" w:sz="12" w:space="0" w:color="auto"/>
            </w:tcBorders>
            <w:shd w:val="pct10" w:color="auto" w:fill="FFFFFF"/>
            <w:vAlign w:val="bottom"/>
          </w:tcPr>
          <w:p w:rsidR="005B7DA9" w:rsidRPr="008F3E66" w:rsidP="008F3E66">
            <w:pPr>
              <w:spacing w:before="40" w:after="40" w:line="220" w:lineRule="exact"/>
              <w:jc w:val="center"/>
              <w:rPr>
                <w:rFonts w:eastAsia="Calibri"/>
                <w:b/>
                <w:bCs/>
                <w:sz w:val="20"/>
                <w:szCs w:val="20"/>
                <w:rtl/>
              </w:rPr>
            </w:pPr>
            <w:r w:rsidRPr="008F3E66">
              <w:rPr>
                <w:rFonts w:eastAsia="Calibri" w:cs="FrankRuehl" w:hint="cs"/>
                <w:b/>
                <w:bCs/>
                <w:sz w:val="20"/>
                <w:szCs w:val="20"/>
                <w:rtl/>
              </w:rPr>
              <w:t>הסכום</w:t>
            </w:r>
          </w:p>
        </w:tc>
      </w:tr>
      <w:tr w:rsidTr="008F3E66">
        <w:tblPrEx>
          <w:tblW w:w="6691" w:type="dxa"/>
          <w:jc w:val="center"/>
          <w:tblLayout w:type="fixed"/>
          <w:tblLook w:val="04A0"/>
        </w:tblPrEx>
        <w:trPr>
          <w:jc w:val="center"/>
        </w:trPr>
        <w:tc>
          <w:tcPr>
            <w:tcW w:w="1134" w:type="dxa"/>
            <w:tcBorders>
              <w:top w:val="single" w:sz="12" w:space="0" w:color="auto"/>
              <w:left w:val="single" w:sz="12" w:space="0" w:color="auto"/>
              <w:bottom w:val="nil"/>
            </w:tcBorders>
          </w:tcPr>
          <w:p w:rsidR="005B7DA9" w:rsidRPr="008F3E66" w:rsidP="008F3E66">
            <w:pPr>
              <w:spacing w:before="40" w:after="40" w:line="220" w:lineRule="exact"/>
              <w:jc w:val="both"/>
              <w:rPr>
                <w:rFonts w:eastAsia="Calibri"/>
                <w:sz w:val="20"/>
                <w:szCs w:val="20"/>
                <w:rtl/>
              </w:rPr>
            </w:pPr>
            <w:r w:rsidRPr="008F3E66">
              <w:rPr>
                <w:rFonts w:eastAsia="Calibri" w:cs="FrankRuehl" w:hint="cs"/>
                <w:sz w:val="20"/>
                <w:szCs w:val="20"/>
                <w:rtl/>
              </w:rPr>
              <w:t>תורני</w:t>
            </w:r>
          </w:p>
        </w:tc>
        <w:tc>
          <w:tcPr>
            <w:tcW w:w="1065" w:type="dxa"/>
            <w:tcBorders>
              <w:top w:val="single" w:sz="12" w:space="0" w:color="auto"/>
              <w:bottom w:val="nil"/>
            </w:tcBorders>
          </w:tcPr>
          <w:p w:rsidR="005B7DA9" w:rsidRPr="008F3E66" w:rsidP="008F3E66">
            <w:pPr>
              <w:spacing w:before="40" w:after="40" w:line="220" w:lineRule="exact"/>
              <w:jc w:val="both"/>
              <w:rPr>
                <w:rFonts w:eastAsia="Calibri"/>
                <w:sz w:val="20"/>
                <w:szCs w:val="20"/>
                <w:rtl/>
              </w:rPr>
            </w:pPr>
            <w:r w:rsidRPr="008F3E66">
              <w:rPr>
                <w:rFonts w:eastAsia="Calibri" w:cs="FrankRuehl" w:hint="cs"/>
                <w:sz w:val="20"/>
                <w:szCs w:val="20"/>
                <w:rtl/>
              </w:rPr>
              <w:t>1,545</w:t>
            </w:r>
          </w:p>
        </w:tc>
        <w:tc>
          <w:tcPr>
            <w:tcW w:w="840" w:type="dxa"/>
            <w:tcBorders>
              <w:top w:val="single" w:sz="12" w:space="0" w:color="auto"/>
              <w:bottom w:val="nil"/>
            </w:tcBorders>
          </w:tcPr>
          <w:p w:rsidR="005B7DA9" w:rsidRPr="008F3E66" w:rsidP="008F3E66">
            <w:pPr>
              <w:spacing w:before="40" w:after="40" w:line="220" w:lineRule="exact"/>
              <w:jc w:val="both"/>
              <w:rPr>
                <w:rFonts w:eastAsia="Calibri"/>
                <w:sz w:val="20"/>
                <w:szCs w:val="20"/>
                <w:rtl/>
              </w:rPr>
            </w:pPr>
            <w:r w:rsidRPr="008F3E66">
              <w:rPr>
                <w:rFonts w:eastAsia="Calibri" w:cs="FrankRuehl" w:hint="cs"/>
                <w:sz w:val="20"/>
                <w:szCs w:val="20"/>
                <w:rtl/>
              </w:rPr>
              <w:t>2,827</w:t>
            </w:r>
          </w:p>
        </w:tc>
        <w:tc>
          <w:tcPr>
            <w:tcW w:w="1134" w:type="dxa"/>
            <w:tcBorders>
              <w:top w:val="single" w:sz="12" w:space="0" w:color="auto"/>
              <w:bottom w:val="nil"/>
            </w:tcBorders>
          </w:tcPr>
          <w:p w:rsidR="005B7DA9" w:rsidRPr="008F3E66" w:rsidP="008F3E66">
            <w:pPr>
              <w:spacing w:before="40" w:after="40" w:line="220" w:lineRule="exact"/>
              <w:jc w:val="both"/>
              <w:rPr>
                <w:rFonts w:eastAsia="Calibri"/>
                <w:sz w:val="20"/>
                <w:szCs w:val="20"/>
                <w:rtl/>
              </w:rPr>
            </w:pPr>
            <w:r w:rsidRPr="008F3E66">
              <w:rPr>
                <w:rFonts w:eastAsia="Calibri" w:cs="FrankRuehl" w:hint="cs"/>
                <w:sz w:val="20"/>
                <w:szCs w:val="20"/>
                <w:rtl/>
              </w:rPr>
              <w:t>1,442</w:t>
            </w:r>
          </w:p>
        </w:tc>
        <w:tc>
          <w:tcPr>
            <w:tcW w:w="992" w:type="dxa"/>
            <w:tcBorders>
              <w:top w:val="single" w:sz="12" w:space="0" w:color="auto"/>
              <w:bottom w:val="nil"/>
            </w:tcBorders>
          </w:tcPr>
          <w:p w:rsidR="005B7DA9" w:rsidRPr="008F3E66" w:rsidP="008F3E66">
            <w:pPr>
              <w:spacing w:before="40" w:after="40" w:line="220" w:lineRule="exact"/>
              <w:jc w:val="both"/>
              <w:rPr>
                <w:rFonts w:eastAsia="Calibri"/>
                <w:sz w:val="20"/>
                <w:szCs w:val="20"/>
                <w:rtl/>
              </w:rPr>
            </w:pPr>
            <w:r w:rsidRPr="008F3E66">
              <w:rPr>
                <w:rFonts w:eastAsia="Calibri" w:cs="FrankRuehl" w:hint="cs"/>
                <w:sz w:val="20"/>
                <w:szCs w:val="20"/>
                <w:rtl/>
              </w:rPr>
              <w:t>4,708</w:t>
            </w:r>
          </w:p>
        </w:tc>
        <w:tc>
          <w:tcPr>
            <w:tcW w:w="1147" w:type="dxa"/>
            <w:tcBorders>
              <w:top w:val="single" w:sz="12" w:space="0" w:color="auto"/>
              <w:bottom w:val="nil"/>
            </w:tcBorders>
          </w:tcPr>
          <w:p w:rsidR="005B7DA9" w:rsidRPr="008F3E66" w:rsidP="008F3E66">
            <w:pPr>
              <w:spacing w:before="40" w:after="40" w:line="220" w:lineRule="exact"/>
              <w:jc w:val="both"/>
              <w:rPr>
                <w:rFonts w:eastAsia="Calibri"/>
                <w:sz w:val="20"/>
                <w:szCs w:val="20"/>
                <w:rtl/>
              </w:rPr>
            </w:pPr>
            <w:r w:rsidRPr="008F3E66">
              <w:rPr>
                <w:rFonts w:eastAsia="Calibri" w:cs="FrankRuehl" w:hint="cs"/>
                <w:sz w:val="20"/>
                <w:szCs w:val="20"/>
                <w:rtl/>
              </w:rPr>
              <w:t>1,442</w:t>
            </w:r>
          </w:p>
        </w:tc>
        <w:tc>
          <w:tcPr>
            <w:tcW w:w="988" w:type="dxa"/>
            <w:tcBorders>
              <w:top w:val="single" w:sz="12" w:space="0" w:color="auto"/>
              <w:bottom w:val="nil"/>
              <w:right w:val="single" w:sz="12" w:space="0" w:color="auto"/>
            </w:tcBorders>
          </w:tcPr>
          <w:p w:rsidR="005B7DA9" w:rsidRPr="008F3E66" w:rsidP="008F3E66">
            <w:pPr>
              <w:spacing w:before="40" w:after="40" w:line="220" w:lineRule="exact"/>
              <w:jc w:val="both"/>
              <w:rPr>
                <w:rFonts w:eastAsia="Calibri"/>
                <w:sz w:val="20"/>
                <w:szCs w:val="20"/>
                <w:rtl/>
              </w:rPr>
            </w:pPr>
            <w:r w:rsidRPr="008F3E66">
              <w:rPr>
                <w:rFonts w:eastAsia="Calibri" w:cs="FrankRuehl" w:hint="cs"/>
                <w:sz w:val="20"/>
                <w:szCs w:val="20"/>
                <w:rtl/>
              </w:rPr>
              <w:t>5,047</w:t>
            </w:r>
          </w:p>
        </w:tc>
      </w:tr>
      <w:tr w:rsidTr="008F3E66">
        <w:tblPrEx>
          <w:tblW w:w="6691" w:type="dxa"/>
          <w:jc w:val="center"/>
          <w:tblLayout w:type="fixed"/>
          <w:tblLook w:val="04A0"/>
        </w:tblPrEx>
        <w:trPr>
          <w:jc w:val="center"/>
        </w:trPr>
        <w:tc>
          <w:tcPr>
            <w:tcW w:w="1134" w:type="dxa"/>
            <w:tcBorders>
              <w:top w:val="nil"/>
              <w:left w:val="single" w:sz="12" w:space="0" w:color="auto"/>
              <w:bottom w:val="nil"/>
            </w:tcBorders>
          </w:tcPr>
          <w:p w:rsidR="005B7DA9" w:rsidRPr="008F3E66" w:rsidP="008F3E66">
            <w:pPr>
              <w:spacing w:before="40" w:after="40" w:line="220" w:lineRule="exact"/>
              <w:jc w:val="both"/>
              <w:rPr>
                <w:rFonts w:eastAsia="Calibri"/>
                <w:sz w:val="20"/>
                <w:szCs w:val="20"/>
                <w:rtl/>
              </w:rPr>
            </w:pPr>
            <w:r w:rsidRPr="008F3E66">
              <w:rPr>
                <w:rFonts w:eastAsia="Calibri" w:cs="FrankRuehl" w:hint="cs"/>
                <w:sz w:val="20"/>
                <w:szCs w:val="20"/>
                <w:rtl/>
              </w:rPr>
              <w:t xml:space="preserve">חרדי </w:t>
            </w:r>
          </w:p>
        </w:tc>
        <w:tc>
          <w:tcPr>
            <w:tcW w:w="1065" w:type="dxa"/>
            <w:tcBorders>
              <w:top w:val="nil"/>
              <w:bottom w:val="nil"/>
            </w:tcBorders>
          </w:tcPr>
          <w:p w:rsidR="005B7DA9" w:rsidRPr="008F3E66" w:rsidP="008F3E66">
            <w:pPr>
              <w:spacing w:before="40" w:after="40" w:line="220" w:lineRule="exact"/>
              <w:jc w:val="both"/>
              <w:rPr>
                <w:rFonts w:eastAsia="Calibri"/>
                <w:sz w:val="20"/>
                <w:szCs w:val="20"/>
                <w:rtl/>
              </w:rPr>
            </w:pPr>
            <w:r w:rsidRPr="008F3E66">
              <w:rPr>
                <w:rFonts w:eastAsia="Calibri" w:cs="FrankRuehl" w:hint="cs"/>
                <w:sz w:val="20"/>
                <w:szCs w:val="20"/>
                <w:rtl/>
              </w:rPr>
              <w:t>352</w:t>
            </w:r>
          </w:p>
        </w:tc>
        <w:tc>
          <w:tcPr>
            <w:tcW w:w="840" w:type="dxa"/>
            <w:tcBorders>
              <w:top w:val="nil"/>
              <w:bottom w:val="nil"/>
            </w:tcBorders>
          </w:tcPr>
          <w:p w:rsidR="005B7DA9" w:rsidRPr="008F3E66" w:rsidP="008F3E66">
            <w:pPr>
              <w:spacing w:before="40" w:after="40" w:line="220" w:lineRule="exact"/>
              <w:jc w:val="both"/>
              <w:rPr>
                <w:rFonts w:eastAsia="Calibri"/>
                <w:sz w:val="20"/>
                <w:szCs w:val="20"/>
                <w:rtl/>
              </w:rPr>
            </w:pPr>
            <w:r w:rsidRPr="008F3E66">
              <w:rPr>
                <w:rFonts w:eastAsia="Calibri" w:cs="FrankRuehl" w:hint="cs"/>
                <w:sz w:val="20"/>
                <w:szCs w:val="20"/>
                <w:rtl/>
              </w:rPr>
              <w:t>669</w:t>
            </w:r>
          </w:p>
        </w:tc>
        <w:tc>
          <w:tcPr>
            <w:tcW w:w="1134" w:type="dxa"/>
            <w:tcBorders>
              <w:top w:val="nil"/>
              <w:bottom w:val="nil"/>
            </w:tcBorders>
          </w:tcPr>
          <w:p w:rsidR="005B7DA9" w:rsidRPr="008F3E66" w:rsidP="008F3E66">
            <w:pPr>
              <w:spacing w:before="40" w:after="40" w:line="220" w:lineRule="exact"/>
              <w:jc w:val="both"/>
              <w:rPr>
                <w:rFonts w:eastAsia="Calibri"/>
                <w:sz w:val="20"/>
                <w:szCs w:val="20"/>
                <w:rtl/>
              </w:rPr>
            </w:pPr>
            <w:r w:rsidRPr="008F3E66">
              <w:rPr>
                <w:rFonts w:eastAsia="Calibri" w:cs="FrankRuehl" w:hint="cs"/>
                <w:sz w:val="20"/>
                <w:szCs w:val="20"/>
                <w:rtl/>
              </w:rPr>
              <w:t>770</w:t>
            </w:r>
          </w:p>
        </w:tc>
        <w:tc>
          <w:tcPr>
            <w:tcW w:w="992" w:type="dxa"/>
            <w:tcBorders>
              <w:top w:val="nil"/>
              <w:bottom w:val="nil"/>
            </w:tcBorders>
          </w:tcPr>
          <w:p w:rsidR="005B7DA9" w:rsidRPr="008F3E66" w:rsidP="008F3E66">
            <w:pPr>
              <w:spacing w:before="40" w:after="40" w:line="220" w:lineRule="exact"/>
              <w:jc w:val="both"/>
              <w:rPr>
                <w:rFonts w:eastAsia="Calibri"/>
                <w:sz w:val="20"/>
                <w:szCs w:val="20"/>
                <w:rtl/>
              </w:rPr>
            </w:pPr>
            <w:r w:rsidRPr="008F3E66">
              <w:rPr>
                <w:rFonts w:eastAsia="Calibri" w:cs="FrankRuehl" w:hint="cs"/>
                <w:sz w:val="20"/>
                <w:szCs w:val="20"/>
                <w:rtl/>
              </w:rPr>
              <w:t>1,450</w:t>
            </w:r>
          </w:p>
        </w:tc>
        <w:tc>
          <w:tcPr>
            <w:tcW w:w="1147" w:type="dxa"/>
            <w:tcBorders>
              <w:top w:val="nil"/>
              <w:bottom w:val="nil"/>
            </w:tcBorders>
          </w:tcPr>
          <w:p w:rsidR="005B7DA9" w:rsidRPr="008F3E66" w:rsidP="008F3E66">
            <w:pPr>
              <w:spacing w:before="40" w:after="40" w:line="220" w:lineRule="exact"/>
              <w:jc w:val="both"/>
              <w:rPr>
                <w:rFonts w:eastAsia="Calibri"/>
                <w:sz w:val="20"/>
                <w:szCs w:val="20"/>
                <w:rtl/>
              </w:rPr>
            </w:pPr>
            <w:r w:rsidRPr="008F3E66">
              <w:rPr>
                <w:rFonts w:eastAsia="Calibri" w:cs="FrankRuehl" w:hint="cs"/>
                <w:sz w:val="20"/>
                <w:szCs w:val="20"/>
                <w:rtl/>
              </w:rPr>
              <w:t>444</w:t>
            </w:r>
          </w:p>
        </w:tc>
        <w:tc>
          <w:tcPr>
            <w:tcW w:w="988" w:type="dxa"/>
            <w:tcBorders>
              <w:top w:val="nil"/>
              <w:bottom w:val="nil"/>
              <w:right w:val="single" w:sz="12" w:space="0" w:color="auto"/>
            </w:tcBorders>
          </w:tcPr>
          <w:p w:rsidR="005B7DA9" w:rsidRPr="008F3E66" w:rsidP="008F3E66">
            <w:pPr>
              <w:spacing w:before="40" w:after="40" w:line="220" w:lineRule="exact"/>
              <w:jc w:val="both"/>
              <w:rPr>
                <w:rFonts w:eastAsia="Calibri"/>
                <w:sz w:val="20"/>
                <w:szCs w:val="20"/>
                <w:rtl/>
              </w:rPr>
            </w:pPr>
            <w:r w:rsidRPr="008F3E66">
              <w:rPr>
                <w:rFonts w:eastAsia="Calibri" w:cs="FrankRuehl" w:hint="cs"/>
                <w:sz w:val="20"/>
                <w:szCs w:val="20"/>
                <w:rtl/>
              </w:rPr>
              <w:t>1,554</w:t>
            </w:r>
          </w:p>
        </w:tc>
      </w:tr>
      <w:tr w:rsidTr="008F3E66">
        <w:tblPrEx>
          <w:tblW w:w="6691" w:type="dxa"/>
          <w:jc w:val="center"/>
          <w:tblLayout w:type="fixed"/>
          <w:tblLook w:val="04A0"/>
        </w:tblPrEx>
        <w:trPr>
          <w:jc w:val="center"/>
        </w:trPr>
        <w:tc>
          <w:tcPr>
            <w:tcW w:w="1134" w:type="dxa"/>
            <w:tcBorders>
              <w:top w:val="nil"/>
              <w:left w:val="single" w:sz="12" w:space="0" w:color="auto"/>
              <w:bottom w:val="single" w:sz="12" w:space="0" w:color="auto"/>
            </w:tcBorders>
          </w:tcPr>
          <w:p w:rsidR="005B7DA9" w:rsidRPr="008F3E66" w:rsidP="008F3E66">
            <w:pPr>
              <w:spacing w:before="40" w:after="40" w:line="220" w:lineRule="exact"/>
              <w:jc w:val="both"/>
              <w:rPr>
                <w:rFonts w:eastAsia="Calibri"/>
                <w:sz w:val="20"/>
                <w:szCs w:val="20"/>
                <w:rtl/>
              </w:rPr>
            </w:pPr>
            <w:r w:rsidRPr="008F3E66">
              <w:rPr>
                <w:rFonts w:eastAsia="Calibri" w:cs="FrankRuehl" w:hint="cs"/>
                <w:sz w:val="20"/>
                <w:szCs w:val="20"/>
                <w:rtl/>
              </w:rPr>
              <w:t xml:space="preserve">דתי-לאומי </w:t>
            </w:r>
          </w:p>
        </w:tc>
        <w:tc>
          <w:tcPr>
            <w:tcW w:w="1065" w:type="dxa"/>
            <w:tcBorders>
              <w:top w:val="nil"/>
              <w:bottom w:val="single" w:sz="12" w:space="0" w:color="auto"/>
            </w:tcBorders>
          </w:tcPr>
          <w:p w:rsidR="005B7DA9" w:rsidRPr="008F3E66" w:rsidP="008F3E66">
            <w:pPr>
              <w:spacing w:before="40" w:after="40" w:line="220" w:lineRule="exact"/>
              <w:jc w:val="both"/>
              <w:rPr>
                <w:rFonts w:eastAsia="Calibri"/>
                <w:sz w:val="20"/>
                <w:szCs w:val="20"/>
                <w:rtl/>
              </w:rPr>
            </w:pPr>
            <w:r w:rsidRPr="008F3E66">
              <w:rPr>
                <w:rFonts w:eastAsia="Calibri" w:cs="FrankRuehl" w:hint="cs"/>
                <w:sz w:val="20"/>
                <w:szCs w:val="20"/>
                <w:rtl/>
              </w:rPr>
              <w:t>1,085</w:t>
            </w:r>
          </w:p>
        </w:tc>
        <w:tc>
          <w:tcPr>
            <w:tcW w:w="840" w:type="dxa"/>
            <w:tcBorders>
              <w:top w:val="nil"/>
              <w:bottom w:val="single" w:sz="12" w:space="0" w:color="auto"/>
            </w:tcBorders>
          </w:tcPr>
          <w:p w:rsidR="005B7DA9" w:rsidRPr="008F3E66" w:rsidP="008F3E66">
            <w:pPr>
              <w:spacing w:before="40" w:after="40" w:line="220" w:lineRule="exact"/>
              <w:jc w:val="both"/>
              <w:rPr>
                <w:rFonts w:eastAsia="Calibri"/>
                <w:sz w:val="20"/>
                <w:szCs w:val="20"/>
                <w:rtl/>
              </w:rPr>
            </w:pPr>
            <w:r w:rsidRPr="008F3E66">
              <w:rPr>
                <w:rFonts w:eastAsia="Calibri" w:cs="FrankRuehl" w:hint="cs"/>
                <w:sz w:val="20"/>
                <w:szCs w:val="20"/>
                <w:rtl/>
              </w:rPr>
              <w:t>2,253</w:t>
            </w:r>
          </w:p>
        </w:tc>
        <w:tc>
          <w:tcPr>
            <w:tcW w:w="1134" w:type="dxa"/>
            <w:tcBorders>
              <w:top w:val="nil"/>
              <w:bottom w:val="single" w:sz="12" w:space="0" w:color="auto"/>
            </w:tcBorders>
          </w:tcPr>
          <w:p w:rsidR="005B7DA9" w:rsidRPr="008F3E66" w:rsidP="008F3E66">
            <w:pPr>
              <w:spacing w:before="40" w:after="40" w:line="220" w:lineRule="exact"/>
              <w:jc w:val="both"/>
              <w:rPr>
                <w:rFonts w:eastAsia="Calibri"/>
                <w:sz w:val="20"/>
                <w:szCs w:val="20"/>
                <w:rtl/>
              </w:rPr>
            </w:pPr>
            <w:r w:rsidRPr="008F3E66">
              <w:rPr>
                <w:rFonts w:eastAsia="Calibri" w:cs="FrankRuehl" w:hint="cs"/>
                <w:sz w:val="20"/>
                <w:szCs w:val="20"/>
                <w:rtl/>
              </w:rPr>
              <w:t>1,517</w:t>
            </w:r>
          </w:p>
        </w:tc>
        <w:tc>
          <w:tcPr>
            <w:tcW w:w="992" w:type="dxa"/>
            <w:tcBorders>
              <w:top w:val="nil"/>
              <w:bottom w:val="single" w:sz="12" w:space="0" w:color="auto"/>
            </w:tcBorders>
          </w:tcPr>
          <w:p w:rsidR="005B7DA9" w:rsidRPr="008F3E66" w:rsidP="008F3E66">
            <w:pPr>
              <w:spacing w:before="40" w:after="40" w:line="220" w:lineRule="exact"/>
              <w:jc w:val="both"/>
              <w:rPr>
                <w:rFonts w:eastAsia="Calibri"/>
                <w:sz w:val="20"/>
                <w:szCs w:val="20"/>
                <w:rtl/>
              </w:rPr>
            </w:pPr>
            <w:r w:rsidRPr="008F3E66">
              <w:rPr>
                <w:rFonts w:eastAsia="Calibri" w:cs="FrankRuehl" w:hint="cs"/>
                <w:sz w:val="20"/>
                <w:szCs w:val="20"/>
                <w:rtl/>
              </w:rPr>
              <w:t>4,953</w:t>
            </w:r>
          </w:p>
        </w:tc>
        <w:tc>
          <w:tcPr>
            <w:tcW w:w="1147" w:type="dxa"/>
            <w:tcBorders>
              <w:top w:val="nil"/>
              <w:bottom w:val="single" w:sz="12" w:space="0" w:color="auto"/>
            </w:tcBorders>
          </w:tcPr>
          <w:p w:rsidR="005B7DA9" w:rsidRPr="008F3E66" w:rsidP="008F3E66">
            <w:pPr>
              <w:spacing w:before="40" w:after="40" w:line="220" w:lineRule="exact"/>
              <w:jc w:val="both"/>
              <w:rPr>
                <w:rFonts w:eastAsia="Calibri"/>
                <w:sz w:val="20"/>
                <w:szCs w:val="20"/>
                <w:rtl/>
              </w:rPr>
            </w:pPr>
            <w:r w:rsidRPr="008F3E66">
              <w:rPr>
                <w:rFonts w:eastAsia="Calibri" w:cs="FrankRuehl" w:hint="cs"/>
                <w:sz w:val="20"/>
                <w:szCs w:val="20"/>
                <w:rtl/>
              </w:rPr>
              <w:t>1,517</w:t>
            </w:r>
          </w:p>
        </w:tc>
        <w:tc>
          <w:tcPr>
            <w:tcW w:w="988" w:type="dxa"/>
            <w:tcBorders>
              <w:top w:val="nil"/>
              <w:bottom w:val="single" w:sz="12" w:space="0" w:color="auto"/>
              <w:right w:val="single" w:sz="12" w:space="0" w:color="auto"/>
            </w:tcBorders>
          </w:tcPr>
          <w:p w:rsidR="005B7DA9" w:rsidRPr="008F3E66" w:rsidP="008F3E66">
            <w:pPr>
              <w:spacing w:before="40" w:after="40" w:line="220" w:lineRule="exact"/>
              <w:jc w:val="both"/>
              <w:rPr>
                <w:rFonts w:eastAsia="Calibri"/>
                <w:sz w:val="20"/>
                <w:szCs w:val="20"/>
                <w:rtl/>
              </w:rPr>
            </w:pPr>
            <w:r w:rsidRPr="008F3E66">
              <w:rPr>
                <w:rFonts w:eastAsia="Calibri" w:cs="FrankRuehl" w:hint="cs"/>
                <w:sz w:val="20"/>
                <w:szCs w:val="20"/>
                <w:rtl/>
              </w:rPr>
              <w:t>5,309</w:t>
            </w:r>
          </w:p>
        </w:tc>
      </w:tr>
      <w:tr w:rsidTr="008F3E66">
        <w:tblPrEx>
          <w:tblW w:w="6691" w:type="dxa"/>
          <w:jc w:val="center"/>
          <w:tblLayout w:type="fixed"/>
          <w:tblLook w:val="04A0"/>
        </w:tblPrEx>
        <w:trPr>
          <w:jc w:val="center"/>
        </w:trPr>
        <w:tc>
          <w:tcPr>
            <w:tcW w:w="1134" w:type="dxa"/>
            <w:tcBorders>
              <w:top w:val="single" w:sz="12" w:space="0" w:color="auto"/>
              <w:left w:val="single" w:sz="12" w:space="0" w:color="auto"/>
              <w:bottom w:val="single" w:sz="12" w:space="0" w:color="auto"/>
            </w:tcBorders>
            <w:shd w:val="pct10" w:color="auto" w:fill="auto"/>
          </w:tcPr>
          <w:p w:rsidR="005B7DA9" w:rsidRPr="008F3E66" w:rsidP="008F3E66">
            <w:pPr>
              <w:spacing w:before="40" w:after="40" w:line="220" w:lineRule="exact"/>
              <w:jc w:val="right"/>
              <w:rPr>
                <w:rFonts w:eastAsia="Calibri" w:cs="FrankRuehl"/>
                <w:b/>
                <w:bCs/>
                <w:sz w:val="20"/>
                <w:szCs w:val="20"/>
                <w:rtl/>
              </w:rPr>
            </w:pPr>
            <w:r w:rsidRPr="008F3E66">
              <w:rPr>
                <w:rFonts w:eastAsia="Calibri" w:cs="FrankRuehl" w:hint="cs"/>
                <w:b/>
                <w:bCs/>
                <w:sz w:val="20"/>
                <w:szCs w:val="20"/>
                <w:rtl/>
              </w:rPr>
              <w:t>סה"כ</w:t>
            </w:r>
          </w:p>
        </w:tc>
        <w:tc>
          <w:tcPr>
            <w:tcW w:w="1065" w:type="dxa"/>
            <w:tcBorders>
              <w:top w:val="single" w:sz="12" w:space="0" w:color="auto"/>
              <w:bottom w:val="single" w:sz="12" w:space="0" w:color="auto"/>
            </w:tcBorders>
            <w:shd w:val="pct10" w:color="auto" w:fill="auto"/>
          </w:tcPr>
          <w:p w:rsidR="005B7DA9" w:rsidRPr="008F3E66" w:rsidP="008F3E66">
            <w:pPr>
              <w:spacing w:before="40" w:after="40" w:line="220" w:lineRule="exact"/>
              <w:jc w:val="both"/>
              <w:rPr>
                <w:rFonts w:eastAsia="Calibri"/>
                <w:b/>
                <w:bCs/>
                <w:sz w:val="20"/>
                <w:szCs w:val="20"/>
                <w:rtl/>
              </w:rPr>
            </w:pPr>
            <w:r w:rsidRPr="008F3E66">
              <w:rPr>
                <w:rFonts w:eastAsia="Calibri" w:cs="FrankRuehl" w:hint="cs"/>
                <w:b/>
                <w:bCs/>
                <w:sz w:val="20"/>
                <w:szCs w:val="20"/>
                <w:rtl/>
              </w:rPr>
              <w:t>2,982</w:t>
            </w:r>
          </w:p>
        </w:tc>
        <w:tc>
          <w:tcPr>
            <w:tcW w:w="840" w:type="dxa"/>
            <w:tcBorders>
              <w:top w:val="single" w:sz="12" w:space="0" w:color="auto"/>
              <w:bottom w:val="single" w:sz="12" w:space="0" w:color="auto"/>
            </w:tcBorders>
            <w:shd w:val="pct10" w:color="auto" w:fill="auto"/>
          </w:tcPr>
          <w:p w:rsidR="005B7DA9" w:rsidRPr="008F3E66" w:rsidP="008F3E66">
            <w:pPr>
              <w:spacing w:before="40" w:after="40" w:line="220" w:lineRule="exact"/>
              <w:jc w:val="both"/>
              <w:rPr>
                <w:rFonts w:eastAsia="Calibri"/>
                <w:b/>
                <w:bCs/>
                <w:sz w:val="20"/>
                <w:szCs w:val="20"/>
                <w:rtl/>
              </w:rPr>
            </w:pPr>
            <w:r w:rsidRPr="008F3E66">
              <w:rPr>
                <w:rFonts w:eastAsia="Calibri" w:cs="FrankRuehl" w:hint="cs"/>
                <w:b/>
                <w:bCs/>
                <w:sz w:val="20"/>
                <w:szCs w:val="20"/>
                <w:rtl/>
              </w:rPr>
              <w:t>5,749</w:t>
            </w:r>
          </w:p>
        </w:tc>
        <w:tc>
          <w:tcPr>
            <w:tcW w:w="1134" w:type="dxa"/>
            <w:tcBorders>
              <w:top w:val="single" w:sz="12" w:space="0" w:color="auto"/>
              <w:bottom w:val="single" w:sz="12" w:space="0" w:color="auto"/>
            </w:tcBorders>
            <w:shd w:val="pct10" w:color="auto" w:fill="auto"/>
          </w:tcPr>
          <w:p w:rsidR="005B7DA9" w:rsidRPr="008F3E66" w:rsidP="008F3E66">
            <w:pPr>
              <w:spacing w:before="40" w:after="40" w:line="220" w:lineRule="exact"/>
              <w:jc w:val="both"/>
              <w:rPr>
                <w:rFonts w:eastAsia="Calibri"/>
                <w:b/>
                <w:bCs/>
                <w:sz w:val="20"/>
                <w:szCs w:val="20"/>
                <w:rtl/>
              </w:rPr>
            </w:pPr>
            <w:r w:rsidRPr="008F3E66">
              <w:rPr>
                <w:rFonts w:eastAsia="Calibri" w:cs="FrankRuehl" w:hint="cs"/>
                <w:b/>
                <w:bCs/>
                <w:sz w:val="20"/>
                <w:szCs w:val="20"/>
                <w:rtl/>
              </w:rPr>
              <w:t>3,729</w:t>
            </w:r>
          </w:p>
        </w:tc>
        <w:tc>
          <w:tcPr>
            <w:tcW w:w="992" w:type="dxa"/>
            <w:tcBorders>
              <w:top w:val="single" w:sz="12" w:space="0" w:color="auto"/>
              <w:bottom w:val="single" w:sz="12" w:space="0" w:color="auto"/>
            </w:tcBorders>
            <w:shd w:val="pct10" w:color="auto" w:fill="auto"/>
          </w:tcPr>
          <w:p w:rsidR="005B7DA9" w:rsidRPr="008F3E66" w:rsidP="008F3E66">
            <w:pPr>
              <w:spacing w:before="40" w:after="40" w:line="220" w:lineRule="exact"/>
              <w:jc w:val="both"/>
              <w:rPr>
                <w:rFonts w:eastAsia="Calibri"/>
                <w:b/>
                <w:bCs/>
                <w:sz w:val="20"/>
                <w:szCs w:val="20"/>
                <w:rtl/>
              </w:rPr>
            </w:pPr>
            <w:r w:rsidRPr="008F3E66">
              <w:rPr>
                <w:rFonts w:eastAsia="Calibri" w:cs="FrankRuehl" w:hint="cs"/>
                <w:b/>
                <w:bCs/>
                <w:sz w:val="20"/>
                <w:szCs w:val="20"/>
                <w:rtl/>
              </w:rPr>
              <w:t>11,111</w:t>
            </w:r>
          </w:p>
        </w:tc>
        <w:tc>
          <w:tcPr>
            <w:tcW w:w="1147" w:type="dxa"/>
            <w:tcBorders>
              <w:top w:val="single" w:sz="12" w:space="0" w:color="auto"/>
              <w:bottom w:val="single" w:sz="12" w:space="0" w:color="auto"/>
            </w:tcBorders>
            <w:shd w:val="pct10" w:color="auto" w:fill="auto"/>
          </w:tcPr>
          <w:p w:rsidR="005B7DA9" w:rsidRPr="008F3E66" w:rsidP="008F3E66">
            <w:pPr>
              <w:spacing w:before="40" w:after="40" w:line="220" w:lineRule="exact"/>
              <w:jc w:val="both"/>
              <w:rPr>
                <w:rFonts w:eastAsia="Calibri"/>
                <w:b/>
                <w:bCs/>
                <w:sz w:val="20"/>
                <w:szCs w:val="20"/>
                <w:rtl/>
              </w:rPr>
            </w:pPr>
            <w:r w:rsidRPr="008F3E66">
              <w:rPr>
                <w:rFonts w:eastAsia="Calibri" w:cs="FrankRuehl" w:hint="cs"/>
                <w:b/>
                <w:bCs/>
                <w:sz w:val="20"/>
                <w:szCs w:val="20"/>
                <w:rtl/>
              </w:rPr>
              <w:t>3,403</w:t>
            </w:r>
          </w:p>
        </w:tc>
        <w:tc>
          <w:tcPr>
            <w:tcW w:w="988" w:type="dxa"/>
            <w:tcBorders>
              <w:top w:val="single" w:sz="12" w:space="0" w:color="auto"/>
              <w:bottom w:val="single" w:sz="12" w:space="0" w:color="auto"/>
              <w:right w:val="single" w:sz="12" w:space="0" w:color="auto"/>
            </w:tcBorders>
            <w:shd w:val="pct10" w:color="auto" w:fill="auto"/>
          </w:tcPr>
          <w:p w:rsidR="005B7DA9" w:rsidRPr="008F3E66" w:rsidP="008F3E66">
            <w:pPr>
              <w:spacing w:before="40" w:after="40" w:line="220" w:lineRule="exact"/>
              <w:jc w:val="both"/>
              <w:rPr>
                <w:rFonts w:eastAsia="Calibri"/>
                <w:b/>
                <w:bCs/>
                <w:sz w:val="20"/>
                <w:szCs w:val="20"/>
                <w:rtl/>
              </w:rPr>
            </w:pPr>
            <w:r w:rsidRPr="008F3E66">
              <w:rPr>
                <w:rFonts w:eastAsia="Calibri" w:cs="FrankRuehl" w:hint="cs"/>
                <w:b/>
                <w:bCs/>
                <w:sz w:val="20"/>
                <w:szCs w:val="20"/>
                <w:rtl/>
              </w:rPr>
              <w:t>11,910</w:t>
            </w:r>
          </w:p>
        </w:tc>
      </w:tr>
    </w:tbl>
    <w:p w:rsidR="00B767A7" w:rsidP="00FE2A5F">
      <w:pPr>
        <w:pStyle w:val="RESHET"/>
        <w:rPr>
          <w:rtl/>
        </w:rPr>
      </w:pPr>
      <w:r>
        <w:rPr>
          <w:rFonts w:hint="cs"/>
          <w:rtl/>
        </w:rPr>
        <w:t xml:space="preserve">משרד מבקר המדינה מעיר לעירייה כי תקצוב הסעות למוסדות החינוך המוכרים במסגרת מסלול חוק נהרי לא היה תקין מאמצע שנת 2012 - המועד שבו הובא לידיעתה פסק דין המתייחס לחוות הדעת של היועץ המשפטי לממשלה הדנה בהסעות. אם ברצונה של העירייה להשתתף בתקצוב הסעות למוסדות חינוך מוכרים, עליה לעשות זאת במסגרת מסלול התמיכות (ראו להלן), תוך הקפדה על כללי השוויון והמשפט המינהלי. </w:t>
      </w:r>
    </w:p>
    <w:p w:rsidR="00B767A7" w:rsidP="00FE2A5F">
      <w:pPr>
        <w:spacing w:before="180" w:after="120" w:line="230" w:lineRule="exact"/>
        <w:jc w:val="both"/>
        <w:rPr>
          <w:rFonts w:cs="FrankRuehl"/>
          <w:sz w:val="20"/>
          <w:szCs w:val="22"/>
          <w:rtl/>
        </w:rPr>
      </w:pPr>
      <w:r>
        <w:rPr>
          <w:rFonts w:cs="FrankRuehl" w:hint="cs"/>
          <w:sz w:val="20"/>
          <w:szCs w:val="22"/>
          <w:rtl/>
        </w:rPr>
        <w:t xml:space="preserve">כאמור לעיל העירייה מסרה בתשובתה הנוספת כי היא מאמצת את חוות הדעת של היועץ המשפטי לממשלה, וכי תשלום ההסעות למוסדות החינוך המוכרים ייעשה מעתה ואילך במסגרת מסלול תמיכות. </w:t>
      </w:r>
    </w:p>
    <w:p w:rsidR="00B767A7">
      <w:pPr>
        <w:spacing w:after="120" w:line="230" w:lineRule="exact"/>
        <w:jc w:val="both"/>
        <w:rPr>
          <w:rFonts w:cs="FrankRuehl"/>
          <w:sz w:val="20"/>
          <w:szCs w:val="22"/>
          <w:rtl/>
        </w:rPr>
      </w:pPr>
    </w:p>
    <w:p w:rsidR="00B767A7">
      <w:pPr>
        <w:pStyle w:val="KOT6"/>
        <w:rPr>
          <w:rtl/>
        </w:rPr>
      </w:pPr>
      <w:r>
        <w:rPr>
          <w:rFonts w:hint="eastAsia"/>
          <w:rtl/>
        </w:rPr>
        <w:t>השתתפות</w:t>
      </w:r>
      <w:r>
        <w:rPr>
          <w:rtl/>
        </w:rPr>
        <w:t xml:space="preserve"> </w:t>
      </w:r>
      <w:r>
        <w:rPr>
          <w:rFonts w:hint="eastAsia"/>
          <w:rtl/>
        </w:rPr>
        <w:t>העירייה</w:t>
      </w:r>
      <w:r>
        <w:rPr>
          <w:rtl/>
        </w:rPr>
        <w:t xml:space="preserve"> </w:t>
      </w:r>
      <w:r>
        <w:rPr>
          <w:rFonts w:hint="eastAsia"/>
          <w:rtl/>
        </w:rPr>
        <w:t>בתקציבי</w:t>
      </w:r>
      <w:r>
        <w:rPr>
          <w:rtl/>
        </w:rPr>
        <w:t xml:space="preserve"> </w:t>
      </w:r>
      <w:r>
        <w:rPr>
          <w:rFonts w:hint="eastAsia"/>
          <w:rtl/>
        </w:rPr>
        <w:t>בתי</w:t>
      </w:r>
      <w:r>
        <w:rPr>
          <w:rtl/>
        </w:rPr>
        <w:t xml:space="preserve"> </w:t>
      </w:r>
      <w:r>
        <w:rPr>
          <w:rFonts w:hint="eastAsia"/>
          <w:rtl/>
        </w:rPr>
        <w:t>ספר</w:t>
      </w:r>
      <w:r>
        <w:rPr>
          <w:rtl/>
        </w:rPr>
        <w:t xml:space="preserve"> </w:t>
      </w:r>
      <w:r>
        <w:rPr>
          <w:rFonts w:hint="eastAsia"/>
          <w:rtl/>
        </w:rPr>
        <w:t>על</w:t>
      </w:r>
      <w:r>
        <w:rPr>
          <w:rtl/>
        </w:rPr>
        <w:t>-יסודיים</w:t>
      </w:r>
      <w:r>
        <w:rPr>
          <w:rFonts w:hint="cs"/>
          <w:rtl/>
        </w:rPr>
        <w:t xml:space="preserve"> </w:t>
      </w:r>
    </w:p>
    <w:p w:rsidR="00B767A7">
      <w:pPr>
        <w:spacing w:after="120" w:line="230" w:lineRule="exact"/>
        <w:jc w:val="both"/>
        <w:rPr>
          <w:rFonts w:cs="FrankRuehl"/>
          <w:sz w:val="20"/>
          <w:szCs w:val="22"/>
          <w:rtl/>
        </w:rPr>
      </w:pPr>
      <w:r>
        <w:rPr>
          <w:rFonts w:cs="FrankRuehl" w:hint="cs"/>
          <w:sz w:val="20"/>
          <w:szCs w:val="22"/>
          <w:rtl/>
        </w:rPr>
        <w:t>תקציב</w:t>
      </w:r>
      <w:r>
        <w:rPr>
          <w:rFonts w:cs="FrankRuehl"/>
          <w:sz w:val="20"/>
          <w:szCs w:val="22"/>
          <w:rtl/>
        </w:rPr>
        <w:t xml:space="preserve"> החינוך של העירייה כולל סעיפי תקציב </w:t>
      </w:r>
      <w:r>
        <w:rPr>
          <w:rFonts w:cs="FrankRuehl" w:hint="cs"/>
          <w:sz w:val="20"/>
          <w:szCs w:val="22"/>
          <w:rtl/>
        </w:rPr>
        <w:t>בגין</w:t>
      </w:r>
      <w:r>
        <w:rPr>
          <w:rFonts w:cs="FrankRuehl"/>
          <w:sz w:val="20"/>
          <w:szCs w:val="22"/>
          <w:rtl/>
        </w:rPr>
        <w:t xml:space="preserve"> </w:t>
      </w:r>
      <w:r>
        <w:rPr>
          <w:rFonts w:cs="FrankRuehl" w:hint="cs"/>
          <w:sz w:val="20"/>
          <w:szCs w:val="22"/>
          <w:rtl/>
        </w:rPr>
        <w:t>כספים</w:t>
      </w:r>
      <w:r>
        <w:rPr>
          <w:rFonts w:cs="FrankRuehl"/>
          <w:sz w:val="20"/>
          <w:szCs w:val="22"/>
          <w:rtl/>
        </w:rPr>
        <w:t xml:space="preserve"> </w:t>
      </w:r>
      <w:r>
        <w:rPr>
          <w:rFonts w:cs="FrankRuehl" w:hint="cs"/>
          <w:sz w:val="20"/>
          <w:szCs w:val="22"/>
          <w:rtl/>
        </w:rPr>
        <w:t>המועברים לשלושת</w:t>
      </w:r>
      <w:r>
        <w:rPr>
          <w:rFonts w:cs="FrankRuehl"/>
          <w:sz w:val="20"/>
          <w:szCs w:val="22"/>
          <w:rtl/>
        </w:rPr>
        <w:t xml:space="preserve"> </w:t>
      </w:r>
      <w:r>
        <w:rPr>
          <w:rFonts w:cs="FrankRuehl" w:hint="cs"/>
          <w:sz w:val="20"/>
          <w:szCs w:val="22"/>
          <w:rtl/>
        </w:rPr>
        <w:t>המגזרים</w:t>
      </w:r>
      <w:r>
        <w:rPr>
          <w:rFonts w:cs="FrankRuehl"/>
          <w:sz w:val="20"/>
          <w:szCs w:val="22"/>
          <w:rtl/>
        </w:rPr>
        <w:t xml:space="preserve"> </w:t>
      </w:r>
      <w:r>
        <w:rPr>
          <w:rFonts w:cs="FrankRuehl" w:hint="cs"/>
          <w:sz w:val="20"/>
          <w:szCs w:val="22"/>
          <w:rtl/>
        </w:rPr>
        <w:t>המפעילים את מוסדות</w:t>
      </w:r>
      <w:r>
        <w:rPr>
          <w:rFonts w:cs="FrankRuehl"/>
          <w:sz w:val="20"/>
          <w:szCs w:val="22"/>
          <w:rtl/>
        </w:rPr>
        <w:t xml:space="preserve"> </w:t>
      </w:r>
      <w:r>
        <w:rPr>
          <w:rFonts w:cs="FrankRuehl" w:hint="cs"/>
          <w:sz w:val="20"/>
          <w:szCs w:val="22"/>
          <w:rtl/>
        </w:rPr>
        <w:t>החינוך</w:t>
      </w:r>
      <w:r>
        <w:rPr>
          <w:rFonts w:cs="FrankRuehl"/>
          <w:sz w:val="20"/>
          <w:szCs w:val="22"/>
          <w:rtl/>
        </w:rPr>
        <w:t xml:space="preserve"> </w:t>
      </w:r>
      <w:r>
        <w:rPr>
          <w:rFonts w:cs="FrankRuehl" w:hint="cs"/>
          <w:sz w:val="20"/>
          <w:szCs w:val="22"/>
          <w:rtl/>
        </w:rPr>
        <w:t>המוכרים</w:t>
      </w:r>
      <w:r>
        <w:rPr>
          <w:rFonts w:cs="FrankRuehl"/>
          <w:sz w:val="20"/>
          <w:szCs w:val="22"/>
          <w:rtl/>
        </w:rPr>
        <w:t xml:space="preserve"> (החרדי, </w:t>
      </w:r>
      <w:r>
        <w:rPr>
          <w:rFonts w:cs="FrankRuehl" w:hint="cs"/>
          <w:sz w:val="20"/>
          <w:szCs w:val="22"/>
          <w:rtl/>
        </w:rPr>
        <w:t>הדתי-לאומי</w:t>
      </w:r>
      <w:r>
        <w:rPr>
          <w:rFonts w:cs="FrankRuehl"/>
          <w:sz w:val="20"/>
          <w:szCs w:val="22"/>
          <w:rtl/>
        </w:rPr>
        <w:t xml:space="preserve">, </w:t>
      </w:r>
      <w:r>
        <w:rPr>
          <w:rFonts w:cs="FrankRuehl" w:hint="cs"/>
          <w:sz w:val="20"/>
          <w:szCs w:val="22"/>
          <w:rtl/>
        </w:rPr>
        <w:t>התורני</w:t>
      </w:r>
      <w:r>
        <w:rPr>
          <w:rFonts w:cs="FrankRuehl"/>
          <w:sz w:val="20"/>
          <w:szCs w:val="22"/>
          <w:rtl/>
        </w:rPr>
        <w:t>)</w:t>
      </w:r>
      <w:r>
        <w:rPr>
          <w:rFonts w:cs="FrankRuehl" w:hint="cs"/>
          <w:sz w:val="20"/>
          <w:szCs w:val="22"/>
          <w:rtl/>
        </w:rPr>
        <w:t>. בין סעיפי התקציב הללו ישנם שישה סעיפים העוסקים בחינוך העל-יסודי שבהם לא אושר תקציב, אבל בוצעה הוצאה באמצעות העברת כספים מסעיף תקציבי אחר -</w:t>
      </w:r>
      <w:r>
        <w:rPr>
          <w:rFonts w:cs="FrankRuehl"/>
          <w:sz w:val="20"/>
          <w:szCs w:val="22"/>
          <w:rtl/>
        </w:rPr>
        <w:t xml:space="preserve"> סעיף</w:t>
      </w:r>
      <w:r>
        <w:rPr>
          <w:rFonts w:cs="FrankRuehl" w:hint="cs"/>
          <w:sz w:val="20"/>
          <w:szCs w:val="22"/>
          <w:rtl/>
        </w:rPr>
        <w:t xml:space="preserve"> </w:t>
      </w:r>
      <w:r>
        <w:rPr>
          <w:rFonts w:cs="FrankRuehl" w:hint="eastAsia"/>
          <w:sz w:val="20"/>
          <w:szCs w:val="22"/>
          <w:rtl/>
        </w:rPr>
        <w:t>מתן</w:t>
      </w:r>
      <w:r>
        <w:rPr>
          <w:rFonts w:cs="FrankRuehl"/>
          <w:sz w:val="20"/>
          <w:szCs w:val="22"/>
          <w:rtl/>
        </w:rPr>
        <w:t xml:space="preserve"> תמיכות </w:t>
      </w:r>
      <w:r>
        <w:rPr>
          <w:rFonts w:cs="FrankRuehl" w:hint="eastAsia"/>
          <w:sz w:val="20"/>
          <w:szCs w:val="22"/>
          <w:rtl/>
        </w:rPr>
        <w:t>לישיבות</w:t>
      </w:r>
      <w:r>
        <w:rPr>
          <w:rFonts w:cs="FrankRuehl"/>
          <w:sz w:val="20"/>
          <w:szCs w:val="22"/>
          <w:rtl/>
        </w:rPr>
        <w:t xml:space="preserve"> </w:t>
      </w:r>
      <w:r>
        <w:rPr>
          <w:rFonts w:cs="FrankRuehl" w:hint="eastAsia"/>
          <w:sz w:val="20"/>
          <w:szCs w:val="22"/>
          <w:rtl/>
        </w:rPr>
        <w:t>הגבוהות</w:t>
      </w:r>
      <w:r>
        <w:rPr>
          <w:rFonts w:cs="FrankRuehl"/>
          <w:sz w:val="20"/>
          <w:szCs w:val="22"/>
          <w:rtl/>
        </w:rPr>
        <w:t xml:space="preserve"> </w:t>
      </w:r>
      <w:r>
        <w:rPr>
          <w:rFonts w:cs="FrankRuehl" w:hint="eastAsia"/>
          <w:sz w:val="20"/>
          <w:szCs w:val="22"/>
          <w:rtl/>
        </w:rPr>
        <w:t>ולכוללים</w:t>
      </w:r>
      <w:r>
        <w:rPr>
          <w:rFonts w:cs="FrankRuehl" w:hint="cs"/>
          <w:sz w:val="20"/>
          <w:szCs w:val="22"/>
          <w:rtl/>
        </w:rPr>
        <w:t>. להלן פירוט הוצאות העירייה בששת הסעיפים האמורים לעיל (באלפי ש"ח), בשנים 2013-2010:</w:t>
      </w:r>
    </w:p>
    <w:p w:rsidR="00FE2A5F" w:rsidRPr="00324F05" w:rsidP="00324F05">
      <w:pPr>
        <w:pStyle w:val="tab-name"/>
        <w:rPr>
          <w:rtl/>
        </w:rPr>
      </w:pPr>
      <w:r w:rsidRPr="00324F05">
        <w:rPr>
          <w:rFonts w:hint="cs"/>
          <w:b w:val="0"/>
          <w:bCs w:val="0"/>
          <w:sz w:val="20"/>
          <w:szCs w:val="20"/>
          <w:rtl/>
        </w:rPr>
        <w:t xml:space="preserve">לוח </w:t>
      </w:r>
      <w:r w:rsidRPr="00324F05" w:rsidR="00C01441">
        <w:rPr>
          <w:rFonts w:hint="cs"/>
          <w:b w:val="0"/>
          <w:bCs w:val="0"/>
          <w:sz w:val="20"/>
          <w:szCs w:val="20"/>
          <w:rtl/>
        </w:rPr>
        <w:t>4</w:t>
      </w:r>
      <w:r w:rsidRPr="00324F05">
        <w:rPr>
          <w:b w:val="0"/>
          <w:bCs w:val="0"/>
          <w:sz w:val="20"/>
          <w:szCs w:val="20"/>
          <w:rtl/>
        </w:rPr>
        <w:br/>
      </w:r>
      <w:r w:rsidRPr="00324F05" w:rsidR="00324F05">
        <w:rPr>
          <w:rFonts w:hint="cs"/>
          <w:rtl/>
        </w:rPr>
        <w:t>השתתפות העירייה בכוללים ובישיבות גבוהות,</w:t>
      </w:r>
      <w:r w:rsidRPr="00324F05">
        <w:rPr>
          <w:rFonts w:hint="cs"/>
          <w:rtl/>
        </w:rPr>
        <w:t xml:space="preserve"> 2013-2010</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0"/>
        <w:gridCol w:w="2481"/>
        <w:gridCol w:w="590"/>
        <w:gridCol w:w="590"/>
        <w:gridCol w:w="590"/>
        <w:gridCol w:w="590"/>
      </w:tblGrid>
      <w:tr w:rsidTr="00865613">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0" w:type="auto"/>
            <w:tcBorders>
              <w:top w:val="single" w:sz="12" w:space="0" w:color="auto"/>
              <w:left w:val="single" w:sz="12" w:space="0" w:color="auto"/>
              <w:bottom w:val="single" w:sz="12" w:space="0" w:color="auto"/>
            </w:tcBorders>
            <w:shd w:val="pct10" w:color="auto" w:fill="FFFFFF"/>
          </w:tcPr>
          <w:p w:rsidR="005B7DA9" w:rsidRPr="00FE2A5F" w:rsidP="00FE2A5F">
            <w:pPr>
              <w:spacing w:before="40" w:after="40" w:line="220" w:lineRule="exact"/>
              <w:rPr>
                <w:rFonts w:eastAsia="Calibri" w:cs="FrankRuehl"/>
                <w:b/>
                <w:bCs/>
                <w:sz w:val="20"/>
                <w:szCs w:val="20"/>
                <w:rtl/>
              </w:rPr>
            </w:pPr>
            <w:r>
              <w:rPr>
                <w:rFonts w:eastAsia="Calibri" w:cs="FrankRuehl" w:hint="cs"/>
                <w:b/>
                <w:bCs/>
                <w:sz w:val="20"/>
                <w:szCs w:val="20"/>
                <w:rtl/>
              </w:rPr>
              <w:t>מ</w:t>
            </w:r>
            <w:r w:rsidRPr="00FE2A5F">
              <w:rPr>
                <w:rFonts w:eastAsia="Calibri" w:cs="FrankRuehl" w:hint="cs"/>
                <w:b/>
                <w:bCs/>
                <w:sz w:val="20"/>
                <w:szCs w:val="20"/>
                <w:rtl/>
              </w:rPr>
              <w:t>ספר הסעיף</w:t>
            </w:r>
          </w:p>
        </w:tc>
        <w:tc>
          <w:tcPr>
            <w:tcW w:w="0" w:type="auto"/>
            <w:tcBorders>
              <w:top w:val="single" w:sz="12" w:space="0" w:color="auto"/>
              <w:bottom w:val="single" w:sz="12" w:space="0" w:color="auto"/>
            </w:tcBorders>
            <w:shd w:val="pct10" w:color="auto" w:fill="FFFFFF"/>
          </w:tcPr>
          <w:p w:rsidR="005B7DA9" w:rsidRPr="00FE2A5F" w:rsidP="00FE2A5F">
            <w:pPr>
              <w:spacing w:before="40" w:after="40" w:line="220" w:lineRule="exact"/>
              <w:rPr>
                <w:rFonts w:eastAsia="Calibri" w:cs="FrankRuehl"/>
                <w:b/>
                <w:bCs/>
                <w:sz w:val="20"/>
                <w:szCs w:val="20"/>
                <w:rtl/>
              </w:rPr>
            </w:pPr>
            <w:r w:rsidRPr="00FE2A5F">
              <w:rPr>
                <w:rFonts w:eastAsia="Calibri" w:cs="FrankRuehl" w:hint="cs"/>
                <w:b/>
                <w:bCs/>
                <w:sz w:val="20"/>
                <w:szCs w:val="20"/>
                <w:rtl/>
              </w:rPr>
              <w:t>שם הסעיף</w:t>
            </w:r>
            <w:r w:rsidRPr="00FE2A5F">
              <w:rPr>
                <w:rFonts w:eastAsia="Calibri" w:cs="FrankRuehl" w:hint="cs"/>
                <w:b/>
                <w:bCs/>
                <w:sz w:val="20"/>
                <w:szCs w:val="20"/>
                <w:rtl/>
              </w:rPr>
              <w:t xml:space="preserve"> </w:t>
            </w:r>
          </w:p>
        </w:tc>
        <w:tc>
          <w:tcPr>
            <w:tcW w:w="0" w:type="auto"/>
            <w:tcBorders>
              <w:top w:val="single" w:sz="12" w:space="0" w:color="auto"/>
              <w:bottom w:val="single" w:sz="12" w:space="0" w:color="auto"/>
            </w:tcBorders>
            <w:shd w:val="pct10" w:color="auto" w:fill="FFFFFF"/>
          </w:tcPr>
          <w:p w:rsidR="005B7DA9" w:rsidRPr="00FE2A5F" w:rsidP="00FE2A5F">
            <w:pPr>
              <w:spacing w:before="40" w:after="40" w:line="220" w:lineRule="exact"/>
              <w:rPr>
                <w:rFonts w:eastAsia="Calibri" w:cs="FrankRuehl"/>
                <w:b/>
                <w:bCs/>
                <w:sz w:val="20"/>
                <w:szCs w:val="20"/>
              </w:rPr>
            </w:pPr>
            <w:r w:rsidRPr="00FE2A5F">
              <w:rPr>
                <w:rFonts w:eastAsia="Calibri" w:cs="FrankRuehl" w:hint="cs"/>
                <w:b/>
                <w:bCs/>
                <w:sz w:val="20"/>
                <w:szCs w:val="20"/>
                <w:rtl/>
              </w:rPr>
              <w:t>2010</w:t>
            </w:r>
          </w:p>
        </w:tc>
        <w:tc>
          <w:tcPr>
            <w:tcW w:w="0" w:type="auto"/>
            <w:tcBorders>
              <w:top w:val="single" w:sz="12" w:space="0" w:color="auto"/>
              <w:bottom w:val="single" w:sz="12" w:space="0" w:color="auto"/>
            </w:tcBorders>
            <w:shd w:val="pct10" w:color="auto" w:fill="FFFFFF"/>
          </w:tcPr>
          <w:p w:rsidR="005B7DA9" w:rsidRPr="00FE2A5F" w:rsidP="00FE2A5F">
            <w:pPr>
              <w:spacing w:before="40" w:after="40" w:line="220" w:lineRule="exact"/>
              <w:rPr>
                <w:rFonts w:eastAsia="Calibri" w:cs="FrankRuehl"/>
                <w:b/>
                <w:bCs/>
                <w:sz w:val="20"/>
                <w:szCs w:val="20"/>
                <w:rtl/>
              </w:rPr>
            </w:pPr>
            <w:r w:rsidRPr="00FE2A5F">
              <w:rPr>
                <w:rFonts w:eastAsia="Calibri" w:cs="FrankRuehl" w:hint="cs"/>
                <w:b/>
                <w:bCs/>
                <w:sz w:val="20"/>
                <w:szCs w:val="20"/>
                <w:rtl/>
              </w:rPr>
              <w:t>2011</w:t>
            </w:r>
          </w:p>
        </w:tc>
        <w:tc>
          <w:tcPr>
            <w:tcW w:w="0" w:type="auto"/>
            <w:tcBorders>
              <w:top w:val="single" w:sz="12" w:space="0" w:color="auto"/>
              <w:bottom w:val="single" w:sz="12" w:space="0" w:color="auto"/>
            </w:tcBorders>
            <w:shd w:val="pct10" w:color="auto" w:fill="FFFFFF"/>
          </w:tcPr>
          <w:p w:rsidR="005B7DA9" w:rsidRPr="00FE2A5F" w:rsidP="00FE2A5F">
            <w:pPr>
              <w:spacing w:before="40" w:after="40" w:line="220" w:lineRule="exact"/>
              <w:rPr>
                <w:rFonts w:eastAsia="Calibri" w:cs="FrankRuehl"/>
                <w:b/>
                <w:bCs/>
                <w:sz w:val="20"/>
                <w:szCs w:val="20"/>
                <w:rtl/>
              </w:rPr>
            </w:pPr>
            <w:r w:rsidRPr="00FE2A5F">
              <w:rPr>
                <w:rFonts w:eastAsia="Calibri" w:cs="FrankRuehl" w:hint="cs"/>
                <w:b/>
                <w:bCs/>
                <w:sz w:val="20"/>
                <w:szCs w:val="20"/>
                <w:rtl/>
              </w:rPr>
              <w:t>2012</w:t>
            </w:r>
          </w:p>
        </w:tc>
        <w:tc>
          <w:tcPr>
            <w:tcW w:w="0" w:type="auto"/>
            <w:tcBorders>
              <w:top w:val="single" w:sz="12" w:space="0" w:color="auto"/>
              <w:bottom w:val="single" w:sz="12" w:space="0" w:color="auto"/>
              <w:right w:val="single" w:sz="12" w:space="0" w:color="auto"/>
            </w:tcBorders>
            <w:shd w:val="pct10" w:color="auto" w:fill="FFFFFF"/>
          </w:tcPr>
          <w:p w:rsidR="005B7DA9" w:rsidRPr="00FE2A5F" w:rsidP="00FE2A5F">
            <w:pPr>
              <w:spacing w:before="40" w:after="40" w:line="220" w:lineRule="exact"/>
              <w:rPr>
                <w:rFonts w:eastAsia="Calibri" w:cs="FrankRuehl"/>
                <w:b/>
                <w:bCs/>
                <w:sz w:val="20"/>
                <w:szCs w:val="20"/>
                <w:rtl/>
              </w:rPr>
            </w:pPr>
            <w:r w:rsidRPr="00FE2A5F">
              <w:rPr>
                <w:rFonts w:eastAsia="Calibri" w:cs="FrankRuehl" w:hint="cs"/>
                <w:b/>
                <w:bCs/>
                <w:sz w:val="20"/>
                <w:szCs w:val="20"/>
                <w:rtl/>
              </w:rPr>
              <w:t>2013</w:t>
            </w:r>
          </w:p>
        </w:tc>
      </w:tr>
      <w:tr w:rsidTr="00C01441">
        <w:tblPrEx>
          <w:tblW w:w="6691" w:type="dxa"/>
          <w:jc w:val="center"/>
          <w:tblLook w:val="04A0"/>
        </w:tblPrEx>
        <w:trPr>
          <w:jc w:val="center"/>
        </w:trPr>
        <w:tc>
          <w:tcPr>
            <w:tcW w:w="0" w:type="auto"/>
            <w:tcBorders>
              <w:top w:val="single" w:sz="12" w:space="0" w:color="auto"/>
              <w:left w:val="single" w:sz="12" w:space="0" w:color="auto"/>
              <w:bottom w:val="nil"/>
            </w:tcBorders>
          </w:tcPr>
          <w:p w:rsidR="005B7DA9" w:rsidRPr="00FE2A5F" w:rsidP="00C01441">
            <w:pPr>
              <w:spacing w:before="40" w:after="40" w:line="220" w:lineRule="exact"/>
              <w:rPr>
                <w:rFonts w:eastAsia="Calibri" w:cs="FrankRuehl"/>
                <w:sz w:val="20"/>
                <w:szCs w:val="20"/>
                <w:rtl/>
              </w:rPr>
            </w:pPr>
            <w:r w:rsidRPr="00FE2A5F">
              <w:rPr>
                <w:rFonts w:eastAsia="Calibri" w:cs="FrankRuehl" w:hint="cs"/>
                <w:sz w:val="20"/>
                <w:szCs w:val="20"/>
                <w:rtl/>
              </w:rPr>
              <w:t>811152.810</w:t>
            </w:r>
            <w:r w:rsidR="00C01441">
              <w:rPr>
                <w:rFonts w:eastAsia="Calibri" w:cs="FrankRuehl" w:hint="cs"/>
                <w:sz w:val="20"/>
                <w:szCs w:val="20"/>
                <w:rtl/>
              </w:rPr>
              <w:t xml:space="preserve"> </w:t>
            </w:r>
            <w:r w:rsidRPr="00FE2A5F">
              <w:rPr>
                <w:rFonts w:eastAsia="Calibri" w:cs="FrankRuehl" w:hint="cs"/>
                <w:sz w:val="20"/>
                <w:szCs w:val="20"/>
                <w:rtl/>
              </w:rPr>
              <w:t>דתי-לאומי</w:t>
            </w:r>
          </w:p>
        </w:tc>
        <w:tc>
          <w:tcPr>
            <w:tcW w:w="0" w:type="auto"/>
            <w:tcBorders>
              <w:top w:val="single" w:sz="12" w:space="0" w:color="auto"/>
              <w:bottom w:val="nil"/>
            </w:tcBorders>
          </w:tcPr>
          <w:p w:rsidR="005B7DA9" w:rsidRPr="00FE2A5F" w:rsidP="00FE2A5F">
            <w:pPr>
              <w:spacing w:before="40" w:after="40" w:line="220" w:lineRule="exact"/>
              <w:rPr>
                <w:rFonts w:eastAsia="Calibri" w:cs="FrankRuehl"/>
                <w:sz w:val="20"/>
                <w:szCs w:val="20"/>
                <w:rtl/>
              </w:rPr>
            </w:pPr>
            <w:r w:rsidRPr="00FE2A5F">
              <w:rPr>
                <w:rFonts w:eastAsia="Calibri" w:cs="FrankRuehl" w:hint="cs"/>
                <w:sz w:val="20"/>
                <w:szCs w:val="20"/>
                <w:rtl/>
              </w:rPr>
              <w:t>השתתפות במוסדות (כוללים)</w:t>
            </w:r>
          </w:p>
        </w:tc>
        <w:tc>
          <w:tcPr>
            <w:tcW w:w="0" w:type="auto"/>
            <w:tcBorders>
              <w:top w:val="single" w:sz="12" w:space="0" w:color="auto"/>
              <w:bottom w:val="nil"/>
            </w:tcBorders>
          </w:tcPr>
          <w:p w:rsidR="005B7DA9" w:rsidRPr="00FE2A5F" w:rsidP="00FE2A5F">
            <w:pPr>
              <w:spacing w:before="40" w:after="40" w:line="220" w:lineRule="exact"/>
              <w:rPr>
                <w:rFonts w:eastAsia="Calibri" w:cs="FrankRuehl"/>
                <w:sz w:val="20"/>
                <w:szCs w:val="20"/>
                <w:rtl/>
              </w:rPr>
            </w:pPr>
            <w:r w:rsidRPr="00FE2A5F">
              <w:rPr>
                <w:rFonts w:eastAsia="Calibri" w:cs="FrankRuehl" w:hint="cs"/>
                <w:sz w:val="20"/>
                <w:szCs w:val="20"/>
                <w:rtl/>
              </w:rPr>
              <w:t>41</w:t>
            </w:r>
          </w:p>
        </w:tc>
        <w:tc>
          <w:tcPr>
            <w:tcW w:w="0" w:type="auto"/>
            <w:tcBorders>
              <w:top w:val="single" w:sz="12" w:space="0" w:color="auto"/>
              <w:bottom w:val="nil"/>
            </w:tcBorders>
          </w:tcPr>
          <w:p w:rsidR="005B7DA9" w:rsidRPr="00FE2A5F" w:rsidP="00FE2A5F">
            <w:pPr>
              <w:spacing w:before="40" w:after="40" w:line="220" w:lineRule="exact"/>
              <w:rPr>
                <w:rFonts w:eastAsia="Calibri" w:cs="FrankRuehl"/>
                <w:sz w:val="20"/>
                <w:szCs w:val="20"/>
                <w:rtl/>
              </w:rPr>
            </w:pPr>
            <w:r w:rsidRPr="00FE2A5F">
              <w:rPr>
                <w:rFonts w:eastAsia="Calibri" w:cs="FrankRuehl" w:hint="cs"/>
                <w:sz w:val="20"/>
                <w:szCs w:val="20"/>
                <w:rtl/>
              </w:rPr>
              <w:t>35</w:t>
            </w:r>
          </w:p>
        </w:tc>
        <w:tc>
          <w:tcPr>
            <w:tcW w:w="0" w:type="auto"/>
            <w:tcBorders>
              <w:top w:val="single" w:sz="12" w:space="0" w:color="auto"/>
              <w:bottom w:val="nil"/>
            </w:tcBorders>
          </w:tcPr>
          <w:p w:rsidR="005B7DA9" w:rsidRPr="00FE2A5F" w:rsidP="00FE2A5F">
            <w:pPr>
              <w:spacing w:before="40" w:after="40" w:line="220" w:lineRule="exact"/>
              <w:rPr>
                <w:rFonts w:eastAsia="Calibri" w:cs="FrankRuehl"/>
                <w:sz w:val="20"/>
                <w:szCs w:val="20"/>
                <w:rtl/>
              </w:rPr>
            </w:pPr>
            <w:r w:rsidRPr="00FE2A5F">
              <w:rPr>
                <w:rFonts w:eastAsia="Calibri" w:cs="FrankRuehl" w:hint="cs"/>
                <w:sz w:val="20"/>
                <w:szCs w:val="20"/>
                <w:rtl/>
              </w:rPr>
              <w:t>22</w:t>
            </w:r>
          </w:p>
        </w:tc>
        <w:tc>
          <w:tcPr>
            <w:tcW w:w="0" w:type="auto"/>
            <w:tcBorders>
              <w:top w:val="single" w:sz="12" w:space="0" w:color="auto"/>
              <w:bottom w:val="nil"/>
              <w:right w:val="single" w:sz="12" w:space="0" w:color="auto"/>
            </w:tcBorders>
          </w:tcPr>
          <w:p w:rsidR="005B7DA9" w:rsidRPr="00FE2A5F" w:rsidP="00FE2A5F">
            <w:pPr>
              <w:spacing w:before="40" w:after="40" w:line="220" w:lineRule="exact"/>
              <w:rPr>
                <w:rFonts w:eastAsia="Calibri" w:cs="FrankRuehl"/>
                <w:sz w:val="20"/>
                <w:szCs w:val="20"/>
                <w:rtl/>
              </w:rPr>
            </w:pPr>
            <w:r w:rsidRPr="00FE2A5F">
              <w:rPr>
                <w:rFonts w:eastAsia="Calibri" w:cs="FrankRuehl" w:hint="cs"/>
                <w:sz w:val="20"/>
                <w:szCs w:val="20"/>
                <w:rtl/>
              </w:rPr>
              <w:t>12</w:t>
            </w:r>
          </w:p>
        </w:tc>
      </w:tr>
      <w:tr w:rsidTr="00C01441">
        <w:tblPrEx>
          <w:tblW w:w="6691" w:type="dxa"/>
          <w:jc w:val="center"/>
          <w:tblLook w:val="04A0"/>
        </w:tblPrEx>
        <w:trPr>
          <w:jc w:val="center"/>
        </w:trPr>
        <w:tc>
          <w:tcPr>
            <w:tcW w:w="0" w:type="auto"/>
            <w:tcBorders>
              <w:top w:val="nil"/>
              <w:left w:val="single" w:sz="12" w:space="0" w:color="auto"/>
              <w:bottom w:val="nil"/>
            </w:tcBorders>
          </w:tcPr>
          <w:p w:rsidR="005B7DA9" w:rsidRPr="00FE2A5F" w:rsidP="00C01441">
            <w:pPr>
              <w:spacing w:before="40" w:after="40" w:line="220" w:lineRule="exact"/>
              <w:rPr>
                <w:rFonts w:eastAsia="Calibri" w:cs="FrankRuehl"/>
                <w:sz w:val="20"/>
                <w:szCs w:val="20"/>
                <w:rtl/>
              </w:rPr>
            </w:pPr>
            <w:r w:rsidRPr="00FE2A5F">
              <w:rPr>
                <w:rFonts w:eastAsia="Calibri" w:cs="FrankRuehl" w:hint="cs"/>
                <w:sz w:val="20"/>
                <w:szCs w:val="20"/>
                <w:rtl/>
              </w:rPr>
              <w:t>811152.812</w:t>
            </w:r>
            <w:r w:rsidR="00C01441">
              <w:rPr>
                <w:rFonts w:eastAsia="Calibri" w:cs="FrankRuehl" w:hint="cs"/>
                <w:sz w:val="20"/>
                <w:szCs w:val="20"/>
                <w:rtl/>
              </w:rPr>
              <w:t xml:space="preserve"> </w:t>
            </w:r>
            <w:r w:rsidRPr="00FE2A5F">
              <w:rPr>
                <w:rFonts w:eastAsia="Calibri" w:cs="FrankRuehl" w:hint="cs"/>
                <w:sz w:val="20"/>
                <w:szCs w:val="20"/>
                <w:rtl/>
              </w:rPr>
              <w:t>דתי-לאומי</w:t>
            </w:r>
          </w:p>
        </w:tc>
        <w:tc>
          <w:tcPr>
            <w:tcW w:w="0" w:type="auto"/>
            <w:tcBorders>
              <w:top w:val="nil"/>
              <w:bottom w:val="nil"/>
            </w:tcBorders>
          </w:tcPr>
          <w:p w:rsidR="005B7DA9" w:rsidRPr="00FE2A5F" w:rsidP="00FE2A5F">
            <w:pPr>
              <w:pStyle w:val="FootnoteText"/>
              <w:spacing w:before="40" w:after="40" w:line="220" w:lineRule="exact"/>
              <w:rPr>
                <w:rFonts w:eastAsia="Calibri" w:cs="FrankRuehl"/>
                <w:rtl/>
              </w:rPr>
            </w:pPr>
            <w:r w:rsidRPr="00FE2A5F">
              <w:rPr>
                <w:rFonts w:eastAsia="Calibri" w:cs="FrankRuehl" w:hint="cs"/>
                <w:rtl/>
              </w:rPr>
              <w:t>השתתפות</w:t>
            </w:r>
            <w:r w:rsidRPr="00FE2A5F" w:rsidR="00FE2A5F">
              <w:rPr>
                <w:rFonts w:eastAsia="Calibri" w:cs="FrankRuehl" w:hint="cs"/>
                <w:rtl/>
              </w:rPr>
              <w:t xml:space="preserve"> </w:t>
            </w:r>
            <w:r w:rsidRPr="00FE2A5F">
              <w:rPr>
                <w:rFonts w:eastAsia="Calibri" w:cs="FrankRuehl" w:hint="cs"/>
                <w:rtl/>
              </w:rPr>
              <w:t>בישיבות גבוהות</w:t>
            </w:r>
          </w:p>
        </w:tc>
        <w:tc>
          <w:tcPr>
            <w:tcW w:w="0" w:type="auto"/>
            <w:tcBorders>
              <w:top w:val="nil"/>
              <w:bottom w:val="nil"/>
            </w:tcBorders>
          </w:tcPr>
          <w:p w:rsidR="005B7DA9" w:rsidRPr="00FE2A5F" w:rsidP="00FE2A5F">
            <w:pPr>
              <w:spacing w:before="40" w:after="40" w:line="220" w:lineRule="exact"/>
              <w:rPr>
                <w:rFonts w:eastAsia="Calibri" w:cs="FrankRuehl"/>
                <w:sz w:val="20"/>
                <w:szCs w:val="20"/>
                <w:rtl/>
              </w:rPr>
            </w:pPr>
            <w:r w:rsidRPr="00FE2A5F">
              <w:rPr>
                <w:rFonts w:eastAsia="Calibri" w:cs="FrankRuehl" w:hint="cs"/>
                <w:sz w:val="20"/>
                <w:szCs w:val="20"/>
                <w:rtl/>
              </w:rPr>
              <w:t>126</w:t>
            </w:r>
          </w:p>
        </w:tc>
        <w:tc>
          <w:tcPr>
            <w:tcW w:w="0" w:type="auto"/>
            <w:tcBorders>
              <w:top w:val="nil"/>
              <w:bottom w:val="nil"/>
            </w:tcBorders>
          </w:tcPr>
          <w:p w:rsidR="005B7DA9" w:rsidRPr="00FE2A5F" w:rsidP="00FE2A5F">
            <w:pPr>
              <w:spacing w:before="40" w:after="40" w:line="220" w:lineRule="exact"/>
              <w:rPr>
                <w:rFonts w:eastAsia="Calibri" w:cs="FrankRuehl"/>
                <w:sz w:val="20"/>
                <w:szCs w:val="20"/>
                <w:rtl/>
              </w:rPr>
            </w:pPr>
            <w:r w:rsidRPr="00FE2A5F">
              <w:rPr>
                <w:rFonts w:eastAsia="Calibri" w:cs="FrankRuehl" w:hint="cs"/>
                <w:sz w:val="20"/>
                <w:szCs w:val="20"/>
                <w:rtl/>
              </w:rPr>
              <w:t>100</w:t>
            </w:r>
          </w:p>
        </w:tc>
        <w:tc>
          <w:tcPr>
            <w:tcW w:w="0" w:type="auto"/>
            <w:tcBorders>
              <w:top w:val="nil"/>
              <w:bottom w:val="nil"/>
            </w:tcBorders>
          </w:tcPr>
          <w:p w:rsidR="005B7DA9" w:rsidRPr="00FE2A5F" w:rsidP="00FE2A5F">
            <w:pPr>
              <w:spacing w:before="40" w:after="40" w:line="220" w:lineRule="exact"/>
              <w:rPr>
                <w:rFonts w:eastAsia="Calibri" w:cs="FrankRuehl"/>
                <w:sz w:val="20"/>
                <w:szCs w:val="20"/>
                <w:rtl/>
              </w:rPr>
            </w:pPr>
            <w:r w:rsidRPr="00FE2A5F">
              <w:rPr>
                <w:rFonts w:eastAsia="Calibri" w:cs="FrankRuehl" w:hint="cs"/>
                <w:sz w:val="20"/>
                <w:szCs w:val="20"/>
                <w:rtl/>
              </w:rPr>
              <w:t>108</w:t>
            </w:r>
          </w:p>
        </w:tc>
        <w:tc>
          <w:tcPr>
            <w:tcW w:w="0" w:type="auto"/>
            <w:tcBorders>
              <w:top w:val="nil"/>
              <w:bottom w:val="nil"/>
              <w:right w:val="single" w:sz="12" w:space="0" w:color="auto"/>
            </w:tcBorders>
          </w:tcPr>
          <w:p w:rsidR="005B7DA9" w:rsidRPr="00FE2A5F" w:rsidP="00FE2A5F">
            <w:pPr>
              <w:spacing w:before="40" w:after="40" w:line="220" w:lineRule="exact"/>
              <w:rPr>
                <w:rFonts w:eastAsia="Calibri" w:cs="FrankRuehl"/>
                <w:sz w:val="20"/>
                <w:szCs w:val="20"/>
                <w:rtl/>
              </w:rPr>
            </w:pPr>
            <w:r w:rsidRPr="00FE2A5F">
              <w:rPr>
                <w:rFonts w:eastAsia="Calibri" w:cs="FrankRuehl" w:hint="cs"/>
                <w:sz w:val="20"/>
                <w:szCs w:val="20"/>
                <w:rtl/>
              </w:rPr>
              <w:t>0</w:t>
            </w:r>
          </w:p>
        </w:tc>
      </w:tr>
      <w:tr w:rsidTr="00C01441">
        <w:tblPrEx>
          <w:tblW w:w="6691" w:type="dxa"/>
          <w:jc w:val="center"/>
          <w:tblLook w:val="04A0"/>
        </w:tblPrEx>
        <w:trPr>
          <w:jc w:val="center"/>
        </w:trPr>
        <w:tc>
          <w:tcPr>
            <w:tcW w:w="0" w:type="auto"/>
            <w:tcBorders>
              <w:top w:val="nil"/>
              <w:left w:val="single" w:sz="12" w:space="0" w:color="auto"/>
              <w:bottom w:val="nil"/>
            </w:tcBorders>
          </w:tcPr>
          <w:p w:rsidR="005B7DA9" w:rsidRPr="00FE2A5F" w:rsidP="00C01441">
            <w:pPr>
              <w:spacing w:before="40" w:after="40" w:line="220" w:lineRule="exact"/>
              <w:rPr>
                <w:rFonts w:eastAsia="Calibri" w:cs="FrankRuehl"/>
                <w:sz w:val="20"/>
                <w:szCs w:val="20"/>
                <w:rtl/>
              </w:rPr>
            </w:pPr>
            <w:r w:rsidRPr="00FE2A5F">
              <w:rPr>
                <w:rFonts w:eastAsia="Calibri" w:cs="FrankRuehl" w:hint="cs"/>
                <w:sz w:val="20"/>
                <w:szCs w:val="20"/>
                <w:rtl/>
              </w:rPr>
              <w:t>815290.810</w:t>
            </w:r>
            <w:r w:rsidR="00C01441">
              <w:rPr>
                <w:rFonts w:eastAsia="Calibri" w:cs="FrankRuehl" w:hint="cs"/>
                <w:sz w:val="20"/>
                <w:szCs w:val="20"/>
                <w:rtl/>
              </w:rPr>
              <w:t xml:space="preserve"> </w:t>
            </w:r>
            <w:r w:rsidRPr="00FE2A5F">
              <w:rPr>
                <w:rFonts w:eastAsia="Calibri" w:cs="FrankRuehl" w:hint="cs"/>
                <w:sz w:val="20"/>
                <w:szCs w:val="20"/>
                <w:rtl/>
              </w:rPr>
              <w:t>חרדי</w:t>
            </w:r>
          </w:p>
        </w:tc>
        <w:tc>
          <w:tcPr>
            <w:tcW w:w="0" w:type="auto"/>
            <w:tcBorders>
              <w:top w:val="nil"/>
              <w:bottom w:val="nil"/>
            </w:tcBorders>
          </w:tcPr>
          <w:p w:rsidR="005B7DA9" w:rsidRPr="00FE2A5F" w:rsidP="00FE2A5F">
            <w:pPr>
              <w:spacing w:before="40" w:after="40" w:line="220" w:lineRule="exact"/>
              <w:rPr>
                <w:rFonts w:eastAsia="Calibri" w:cs="FrankRuehl"/>
                <w:sz w:val="20"/>
                <w:szCs w:val="20"/>
                <w:rtl/>
              </w:rPr>
            </w:pPr>
            <w:r w:rsidRPr="00FE2A5F">
              <w:rPr>
                <w:rFonts w:eastAsia="Calibri" w:cs="FrankRuehl" w:hint="cs"/>
                <w:sz w:val="20"/>
                <w:szCs w:val="20"/>
                <w:rtl/>
              </w:rPr>
              <w:t>הוצאות אחרות</w:t>
            </w:r>
            <w:r w:rsidR="00FE2A5F">
              <w:rPr>
                <w:rFonts w:eastAsia="Calibri" w:cs="FrankRuehl" w:hint="cs"/>
                <w:sz w:val="20"/>
                <w:szCs w:val="20"/>
                <w:rtl/>
              </w:rPr>
              <w:t xml:space="preserve"> </w:t>
            </w:r>
            <w:r w:rsidRPr="00FE2A5F">
              <w:rPr>
                <w:rFonts w:eastAsia="Calibri" w:cs="FrankRuehl" w:hint="cs"/>
                <w:sz w:val="20"/>
                <w:szCs w:val="20"/>
                <w:rtl/>
              </w:rPr>
              <w:t>(כוללים)</w:t>
            </w:r>
          </w:p>
        </w:tc>
        <w:tc>
          <w:tcPr>
            <w:tcW w:w="0" w:type="auto"/>
            <w:tcBorders>
              <w:top w:val="nil"/>
              <w:bottom w:val="nil"/>
            </w:tcBorders>
          </w:tcPr>
          <w:p w:rsidR="005B7DA9" w:rsidRPr="00FE2A5F" w:rsidP="00FE2A5F">
            <w:pPr>
              <w:spacing w:before="40" w:after="40" w:line="220" w:lineRule="exact"/>
              <w:rPr>
                <w:rFonts w:eastAsia="Calibri" w:cs="FrankRuehl"/>
                <w:sz w:val="20"/>
                <w:szCs w:val="20"/>
                <w:rtl/>
              </w:rPr>
            </w:pPr>
            <w:r w:rsidRPr="00FE2A5F">
              <w:rPr>
                <w:rFonts w:eastAsia="Calibri" w:cs="FrankRuehl" w:hint="cs"/>
                <w:sz w:val="20"/>
                <w:szCs w:val="20"/>
                <w:rtl/>
              </w:rPr>
              <w:t>465</w:t>
            </w:r>
          </w:p>
        </w:tc>
        <w:tc>
          <w:tcPr>
            <w:tcW w:w="0" w:type="auto"/>
            <w:tcBorders>
              <w:top w:val="nil"/>
              <w:bottom w:val="nil"/>
            </w:tcBorders>
          </w:tcPr>
          <w:p w:rsidR="005B7DA9" w:rsidRPr="00FE2A5F" w:rsidP="00FE2A5F">
            <w:pPr>
              <w:spacing w:before="40" w:after="40" w:line="220" w:lineRule="exact"/>
              <w:rPr>
                <w:rFonts w:eastAsia="Calibri" w:cs="FrankRuehl"/>
                <w:sz w:val="20"/>
                <w:szCs w:val="20"/>
                <w:rtl/>
              </w:rPr>
            </w:pPr>
            <w:r w:rsidRPr="00FE2A5F">
              <w:rPr>
                <w:rFonts w:eastAsia="Calibri" w:cs="FrankRuehl" w:hint="cs"/>
                <w:sz w:val="20"/>
                <w:szCs w:val="20"/>
                <w:rtl/>
              </w:rPr>
              <w:t>485</w:t>
            </w:r>
          </w:p>
        </w:tc>
        <w:tc>
          <w:tcPr>
            <w:tcW w:w="0" w:type="auto"/>
            <w:tcBorders>
              <w:top w:val="nil"/>
              <w:bottom w:val="nil"/>
            </w:tcBorders>
          </w:tcPr>
          <w:p w:rsidR="005B7DA9" w:rsidRPr="00FE2A5F" w:rsidP="00FE2A5F">
            <w:pPr>
              <w:spacing w:before="40" w:after="40" w:line="220" w:lineRule="exact"/>
              <w:rPr>
                <w:rFonts w:eastAsia="Calibri" w:cs="FrankRuehl"/>
                <w:sz w:val="20"/>
                <w:szCs w:val="20"/>
                <w:rtl/>
              </w:rPr>
            </w:pPr>
            <w:r w:rsidRPr="00FE2A5F">
              <w:rPr>
                <w:rFonts w:eastAsia="Calibri" w:cs="FrankRuehl" w:hint="cs"/>
                <w:sz w:val="20"/>
                <w:szCs w:val="20"/>
                <w:rtl/>
              </w:rPr>
              <w:t>380</w:t>
            </w:r>
          </w:p>
        </w:tc>
        <w:tc>
          <w:tcPr>
            <w:tcW w:w="0" w:type="auto"/>
            <w:tcBorders>
              <w:top w:val="nil"/>
              <w:bottom w:val="nil"/>
              <w:right w:val="single" w:sz="12" w:space="0" w:color="auto"/>
            </w:tcBorders>
          </w:tcPr>
          <w:p w:rsidR="005B7DA9" w:rsidRPr="00FE2A5F" w:rsidP="00FE2A5F">
            <w:pPr>
              <w:spacing w:before="40" w:after="40" w:line="220" w:lineRule="exact"/>
              <w:rPr>
                <w:rFonts w:eastAsia="Calibri" w:cs="FrankRuehl"/>
                <w:sz w:val="20"/>
                <w:szCs w:val="20"/>
                <w:rtl/>
              </w:rPr>
            </w:pPr>
            <w:r w:rsidRPr="00FE2A5F">
              <w:rPr>
                <w:rFonts w:eastAsia="Calibri" w:cs="FrankRuehl" w:hint="cs"/>
                <w:sz w:val="20"/>
                <w:szCs w:val="20"/>
                <w:rtl/>
              </w:rPr>
              <w:t>309</w:t>
            </w:r>
          </w:p>
        </w:tc>
      </w:tr>
      <w:tr w:rsidTr="00C01441">
        <w:tblPrEx>
          <w:tblW w:w="6691" w:type="dxa"/>
          <w:jc w:val="center"/>
          <w:tblLook w:val="04A0"/>
        </w:tblPrEx>
        <w:trPr>
          <w:jc w:val="center"/>
        </w:trPr>
        <w:tc>
          <w:tcPr>
            <w:tcW w:w="0" w:type="auto"/>
            <w:tcBorders>
              <w:top w:val="nil"/>
              <w:left w:val="single" w:sz="12" w:space="0" w:color="auto"/>
              <w:bottom w:val="nil"/>
            </w:tcBorders>
          </w:tcPr>
          <w:p w:rsidR="005B7DA9" w:rsidRPr="00FE2A5F" w:rsidP="00C01441">
            <w:pPr>
              <w:spacing w:before="40" w:after="40" w:line="220" w:lineRule="exact"/>
              <w:rPr>
                <w:rFonts w:eastAsia="Calibri" w:cs="FrankRuehl"/>
                <w:sz w:val="20"/>
                <w:szCs w:val="20"/>
                <w:rtl/>
              </w:rPr>
            </w:pPr>
            <w:r w:rsidRPr="00FE2A5F">
              <w:rPr>
                <w:rFonts w:eastAsia="Calibri" w:cs="FrankRuehl" w:hint="cs"/>
                <w:sz w:val="20"/>
                <w:szCs w:val="20"/>
                <w:rtl/>
              </w:rPr>
              <w:t>815290.812</w:t>
            </w:r>
            <w:r w:rsidR="00C01441">
              <w:rPr>
                <w:rFonts w:eastAsia="Calibri" w:cs="FrankRuehl" w:hint="cs"/>
                <w:sz w:val="20"/>
                <w:szCs w:val="20"/>
                <w:rtl/>
              </w:rPr>
              <w:t xml:space="preserve"> </w:t>
            </w:r>
            <w:r w:rsidRPr="00FE2A5F">
              <w:rPr>
                <w:rFonts w:eastAsia="Calibri" w:cs="FrankRuehl" w:hint="cs"/>
                <w:sz w:val="20"/>
                <w:szCs w:val="20"/>
                <w:rtl/>
              </w:rPr>
              <w:t>חרדי</w:t>
            </w:r>
          </w:p>
        </w:tc>
        <w:tc>
          <w:tcPr>
            <w:tcW w:w="0" w:type="auto"/>
            <w:tcBorders>
              <w:top w:val="nil"/>
              <w:bottom w:val="nil"/>
            </w:tcBorders>
          </w:tcPr>
          <w:p w:rsidR="005B7DA9" w:rsidRPr="00FE2A5F" w:rsidP="00FE2A5F">
            <w:pPr>
              <w:spacing w:before="40" w:after="40" w:line="220" w:lineRule="exact"/>
              <w:rPr>
                <w:rFonts w:eastAsia="Calibri" w:cs="FrankRuehl"/>
                <w:sz w:val="20"/>
                <w:szCs w:val="20"/>
                <w:rtl/>
              </w:rPr>
            </w:pPr>
            <w:r w:rsidRPr="00FE2A5F">
              <w:rPr>
                <w:rFonts w:eastAsia="Calibri" w:cs="FrankRuehl" w:hint="cs"/>
                <w:sz w:val="20"/>
                <w:szCs w:val="20"/>
                <w:rtl/>
              </w:rPr>
              <w:t>השתתפות בישיבות גבוהות</w:t>
            </w:r>
          </w:p>
        </w:tc>
        <w:tc>
          <w:tcPr>
            <w:tcW w:w="0" w:type="auto"/>
            <w:tcBorders>
              <w:top w:val="nil"/>
              <w:bottom w:val="nil"/>
            </w:tcBorders>
          </w:tcPr>
          <w:p w:rsidR="005B7DA9" w:rsidRPr="00FE2A5F" w:rsidP="00FE2A5F">
            <w:pPr>
              <w:spacing w:before="40" w:after="40" w:line="220" w:lineRule="exact"/>
              <w:rPr>
                <w:rFonts w:eastAsia="Calibri" w:cs="FrankRuehl"/>
                <w:sz w:val="20"/>
                <w:szCs w:val="20"/>
                <w:rtl/>
              </w:rPr>
            </w:pPr>
            <w:r w:rsidRPr="00FE2A5F">
              <w:rPr>
                <w:rFonts w:eastAsia="Calibri" w:cs="FrankRuehl" w:hint="cs"/>
                <w:sz w:val="20"/>
                <w:szCs w:val="20"/>
                <w:rtl/>
              </w:rPr>
              <w:t>458</w:t>
            </w:r>
          </w:p>
        </w:tc>
        <w:tc>
          <w:tcPr>
            <w:tcW w:w="0" w:type="auto"/>
            <w:tcBorders>
              <w:top w:val="nil"/>
              <w:bottom w:val="nil"/>
            </w:tcBorders>
          </w:tcPr>
          <w:p w:rsidR="005B7DA9" w:rsidRPr="00FE2A5F" w:rsidP="00FE2A5F">
            <w:pPr>
              <w:spacing w:before="40" w:after="40" w:line="220" w:lineRule="exact"/>
              <w:rPr>
                <w:rFonts w:eastAsia="Calibri" w:cs="FrankRuehl"/>
                <w:sz w:val="20"/>
                <w:szCs w:val="20"/>
                <w:rtl/>
              </w:rPr>
            </w:pPr>
            <w:r w:rsidRPr="00FE2A5F">
              <w:rPr>
                <w:rFonts w:eastAsia="Calibri" w:cs="FrankRuehl" w:hint="cs"/>
                <w:sz w:val="20"/>
                <w:szCs w:val="20"/>
                <w:rtl/>
              </w:rPr>
              <w:t>506</w:t>
            </w:r>
          </w:p>
        </w:tc>
        <w:tc>
          <w:tcPr>
            <w:tcW w:w="0" w:type="auto"/>
            <w:tcBorders>
              <w:top w:val="nil"/>
              <w:bottom w:val="nil"/>
            </w:tcBorders>
          </w:tcPr>
          <w:p w:rsidR="005B7DA9" w:rsidRPr="00FE2A5F" w:rsidP="00FE2A5F">
            <w:pPr>
              <w:spacing w:before="40" w:after="40" w:line="220" w:lineRule="exact"/>
              <w:rPr>
                <w:rFonts w:eastAsia="Calibri" w:cs="FrankRuehl"/>
                <w:sz w:val="20"/>
                <w:szCs w:val="20"/>
                <w:rtl/>
              </w:rPr>
            </w:pPr>
            <w:r w:rsidRPr="00FE2A5F">
              <w:rPr>
                <w:rFonts w:eastAsia="Calibri" w:cs="FrankRuehl" w:hint="cs"/>
                <w:sz w:val="20"/>
                <w:szCs w:val="20"/>
                <w:rtl/>
              </w:rPr>
              <w:t>444</w:t>
            </w:r>
          </w:p>
        </w:tc>
        <w:tc>
          <w:tcPr>
            <w:tcW w:w="0" w:type="auto"/>
            <w:tcBorders>
              <w:top w:val="nil"/>
              <w:bottom w:val="nil"/>
              <w:right w:val="single" w:sz="12" w:space="0" w:color="auto"/>
            </w:tcBorders>
          </w:tcPr>
          <w:p w:rsidR="005B7DA9" w:rsidRPr="00FE2A5F" w:rsidP="00FE2A5F">
            <w:pPr>
              <w:spacing w:before="40" w:after="40" w:line="220" w:lineRule="exact"/>
              <w:rPr>
                <w:rFonts w:eastAsia="Calibri" w:cs="FrankRuehl"/>
                <w:sz w:val="20"/>
                <w:szCs w:val="20"/>
                <w:rtl/>
              </w:rPr>
            </w:pPr>
            <w:r w:rsidRPr="00FE2A5F">
              <w:rPr>
                <w:rFonts w:eastAsia="Calibri" w:cs="FrankRuehl" w:hint="cs"/>
                <w:sz w:val="20"/>
                <w:szCs w:val="20"/>
                <w:rtl/>
              </w:rPr>
              <w:t>357</w:t>
            </w:r>
          </w:p>
        </w:tc>
      </w:tr>
      <w:tr w:rsidTr="00C01441">
        <w:tblPrEx>
          <w:tblW w:w="6691" w:type="dxa"/>
          <w:jc w:val="center"/>
          <w:tblLook w:val="04A0"/>
        </w:tblPrEx>
        <w:trPr>
          <w:jc w:val="center"/>
        </w:trPr>
        <w:tc>
          <w:tcPr>
            <w:tcW w:w="0" w:type="auto"/>
            <w:tcBorders>
              <w:top w:val="nil"/>
              <w:left w:val="single" w:sz="12" w:space="0" w:color="auto"/>
              <w:bottom w:val="nil"/>
            </w:tcBorders>
          </w:tcPr>
          <w:p w:rsidR="005B7DA9" w:rsidRPr="00FE2A5F" w:rsidP="00C01441">
            <w:pPr>
              <w:spacing w:before="40" w:after="40" w:line="220" w:lineRule="exact"/>
              <w:rPr>
                <w:rFonts w:eastAsia="Calibri" w:cs="FrankRuehl"/>
                <w:sz w:val="20"/>
                <w:szCs w:val="20"/>
                <w:rtl/>
              </w:rPr>
            </w:pPr>
            <w:r w:rsidRPr="00FE2A5F">
              <w:rPr>
                <w:rFonts w:eastAsia="Calibri" w:cs="FrankRuehl" w:hint="cs"/>
                <w:sz w:val="20"/>
                <w:szCs w:val="20"/>
                <w:rtl/>
              </w:rPr>
              <w:t>819500.811</w:t>
            </w:r>
            <w:r w:rsidR="00C01441">
              <w:rPr>
                <w:rFonts w:eastAsia="Calibri" w:cs="FrankRuehl" w:hint="cs"/>
                <w:sz w:val="20"/>
                <w:szCs w:val="20"/>
                <w:rtl/>
              </w:rPr>
              <w:t xml:space="preserve"> </w:t>
            </w:r>
            <w:r w:rsidRPr="00FE2A5F">
              <w:rPr>
                <w:rFonts w:eastAsia="Calibri" w:cs="FrankRuehl" w:hint="cs"/>
                <w:sz w:val="20"/>
                <w:szCs w:val="20"/>
                <w:rtl/>
              </w:rPr>
              <w:t>תורני</w:t>
            </w:r>
          </w:p>
        </w:tc>
        <w:tc>
          <w:tcPr>
            <w:tcW w:w="0" w:type="auto"/>
            <w:tcBorders>
              <w:top w:val="nil"/>
              <w:bottom w:val="nil"/>
            </w:tcBorders>
          </w:tcPr>
          <w:p w:rsidR="005B7DA9" w:rsidRPr="00FE2A5F" w:rsidP="00FE2A5F">
            <w:pPr>
              <w:spacing w:before="40" w:after="40" w:line="220" w:lineRule="exact"/>
              <w:rPr>
                <w:rFonts w:eastAsia="Calibri" w:cs="FrankRuehl"/>
                <w:sz w:val="20"/>
                <w:szCs w:val="20"/>
                <w:rtl/>
              </w:rPr>
            </w:pPr>
            <w:r w:rsidRPr="00FE2A5F">
              <w:rPr>
                <w:rFonts w:eastAsia="Calibri" w:cs="FrankRuehl" w:hint="cs"/>
                <w:sz w:val="20"/>
                <w:szCs w:val="20"/>
                <w:rtl/>
              </w:rPr>
              <w:t>הקצבות למוסדות חינוך (כוללים)</w:t>
            </w:r>
          </w:p>
        </w:tc>
        <w:tc>
          <w:tcPr>
            <w:tcW w:w="0" w:type="auto"/>
            <w:tcBorders>
              <w:top w:val="nil"/>
              <w:bottom w:val="nil"/>
            </w:tcBorders>
          </w:tcPr>
          <w:p w:rsidR="005B7DA9" w:rsidRPr="00FE2A5F" w:rsidP="00FE2A5F">
            <w:pPr>
              <w:spacing w:before="40" w:after="40" w:line="220" w:lineRule="exact"/>
              <w:rPr>
                <w:rFonts w:eastAsia="Calibri" w:cs="FrankRuehl"/>
                <w:sz w:val="20"/>
                <w:szCs w:val="20"/>
                <w:rtl/>
              </w:rPr>
            </w:pPr>
            <w:r w:rsidRPr="00FE2A5F">
              <w:rPr>
                <w:rFonts w:eastAsia="Calibri" w:cs="FrankRuehl" w:hint="cs"/>
                <w:sz w:val="20"/>
                <w:szCs w:val="20"/>
                <w:rtl/>
              </w:rPr>
              <w:t>524</w:t>
            </w:r>
          </w:p>
        </w:tc>
        <w:tc>
          <w:tcPr>
            <w:tcW w:w="0" w:type="auto"/>
            <w:tcBorders>
              <w:top w:val="nil"/>
              <w:bottom w:val="nil"/>
            </w:tcBorders>
          </w:tcPr>
          <w:p w:rsidR="005B7DA9" w:rsidRPr="00FE2A5F" w:rsidP="00FE2A5F">
            <w:pPr>
              <w:spacing w:before="40" w:after="40" w:line="220" w:lineRule="exact"/>
              <w:rPr>
                <w:rFonts w:eastAsia="Calibri" w:cs="FrankRuehl"/>
                <w:sz w:val="20"/>
                <w:szCs w:val="20"/>
                <w:rtl/>
              </w:rPr>
            </w:pPr>
            <w:r w:rsidRPr="00FE2A5F">
              <w:rPr>
                <w:rFonts w:eastAsia="Calibri" w:cs="FrankRuehl" w:hint="cs"/>
                <w:sz w:val="20"/>
                <w:szCs w:val="20"/>
                <w:rtl/>
              </w:rPr>
              <w:t>506</w:t>
            </w:r>
          </w:p>
        </w:tc>
        <w:tc>
          <w:tcPr>
            <w:tcW w:w="0" w:type="auto"/>
            <w:tcBorders>
              <w:top w:val="nil"/>
              <w:bottom w:val="nil"/>
            </w:tcBorders>
          </w:tcPr>
          <w:p w:rsidR="005B7DA9" w:rsidRPr="00FE2A5F" w:rsidP="00FE2A5F">
            <w:pPr>
              <w:spacing w:before="40" w:after="40" w:line="220" w:lineRule="exact"/>
              <w:rPr>
                <w:rFonts w:eastAsia="Calibri" w:cs="FrankRuehl"/>
                <w:sz w:val="20"/>
                <w:szCs w:val="20"/>
                <w:rtl/>
              </w:rPr>
            </w:pPr>
            <w:r w:rsidRPr="00FE2A5F">
              <w:rPr>
                <w:rFonts w:eastAsia="Calibri" w:cs="FrankRuehl" w:hint="cs"/>
                <w:sz w:val="20"/>
                <w:szCs w:val="20"/>
                <w:rtl/>
              </w:rPr>
              <w:t>485</w:t>
            </w:r>
          </w:p>
        </w:tc>
        <w:tc>
          <w:tcPr>
            <w:tcW w:w="0" w:type="auto"/>
            <w:tcBorders>
              <w:top w:val="nil"/>
              <w:bottom w:val="nil"/>
              <w:right w:val="single" w:sz="12" w:space="0" w:color="auto"/>
            </w:tcBorders>
          </w:tcPr>
          <w:p w:rsidR="005B7DA9" w:rsidRPr="00FE2A5F" w:rsidP="00FE2A5F">
            <w:pPr>
              <w:spacing w:before="40" w:after="40" w:line="220" w:lineRule="exact"/>
              <w:rPr>
                <w:rFonts w:eastAsia="Calibri" w:cs="FrankRuehl"/>
                <w:sz w:val="20"/>
                <w:szCs w:val="20"/>
                <w:rtl/>
              </w:rPr>
            </w:pPr>
            <w:r w:rsidRPr="00FE2A5F">
              <w:rPr>
                <w:rFonts w:eastAsia="Calibri" w:cs="FrankRuehl" w:hint="cs"/>
                <w:sz w:val="20"/>
                <w:szCs w:val="20"/>
                <w:rtl/>
              </w:rPr>
              <w:t>362</w:t>
            </w:r>
          </w:p>
        </w:tc>
      </w:tr>
      <w:tr w:rsidTr="00C01441">
        <w:tblPrEx>
          <w:tblW w:w="6691" w:type="dxa"/>
          <w:jc w:val="center"/>
          <w:tblLook w:val="04A0"/>
        </w:tblPrEx>
        <w:trPr>
          <w:jc w:val="center"/>
        </w:trPr>
        <w:tc>
          <w:tcPr>
            <w:tcW w:w="0" w:type="auto"/>
            <w:tcBorders>
              <w:top w:val="nil"/>
              <w:left w:val="single" w:sz="12" w:space="0" w:color="auto"/>
              <w:bottom w:val="single" w:sz="12" w:space="0" w:color="auto"/>
            </w:tcBorders>
          </w:tcPr>
          <w:p w:rsidR="005B7DA9" w:rsidRPr="00FE2A5F" w:rsidP="00C01441">
            <w:pPr>
              <w:spacing w:before="40" w:after="40" w:line="220" w:lineRule="exact"/>
              <w:rPr>
                <w:rFonts w:eastAsia="Calibri" w:cs="FrankRuehl"/>
                <w:sz w:val="20"/>
                <w:szCs w:val="20"/>
                <w:rtl/>
              </w:rPr>
            </w:pPr>
            <w:r w:rsidRPr="00FE2A5F">
              <w:rPr>
                <w:rFonts w:eastAsia="Calibri" w:cs="FrankRuehl" w:hint="cs"/>
                <w:sz w:val="20"/>
                <w:szCs w:val="20"/>
                <w:rtl/>
              </w:rPr>
              <w:t>819500.811</w:t>
            </w:r>
            <w:r w:rsidR="00C01441">
              <w:rPr>
                <w:rFonts w:eastAsia="Calibri" w:cs="FrankRuehl" w:hint="cs"/>
                <w:sz w:val="20"/>
                <w:szCs w:val="20"/>
                <w:rtl/>
              </w:rPr>
              <w:t xml:space="preserve"> </w:t>
            </w:r>
            <w:r w:rsidRPr="00FE2A5F">
              <w:rPr>
                <w:rFonts w:eastAsia="Calibri" w:cs="FrankRuehl" w:hint="cs"/>
                <w:sz w:val="20"/>
                <w:szCs w:val="20"/>
                <w:rtl/>
              </w:rPr>
              <w:t>תורני</w:t>
            </w:r>
          </w:p>
        </w:tc>
        <w:tc>
          <w:tcPr>
            <w:tcW w:w="0" w:type="auto"/>
            <w:tcBorders>
              <w:top w:val="nil"/>
              <w:bottom w:val="single" w:sz="12" w:space="0" w:color="auto"/>
            </w:tcBorders>
          </w:tcPr>
          <w:p w:rsidR="005B7DA9" w:rsidRPr="00FE2A5F" w:rsidP="00FE2A5F">
            <w:pPr>
              <w:spacing w:before="40" w:after="40" w:line="220" w:lineRule="exact"/>
              <w:rPr>
                <w:rFonts w:eastAsia="Calibri" w:cs="FrankRuehl"/>
                <w:sz w:val="20"/>
                <w:szCs w:val="20"/>
                <w:rtl/>
              </w:rPr>
            </w:pPr>
            <w:r w:rsidRPr="00FE2A5F">
              <w:rPr>
                <w:rFonts w:eastAsia="Calibri" w:cs="FrankRuehl" w:hint="cs"/>
                <w:sz w:val="20"/>
                <w:szCs w:val="20"/>
                <w:rtl/>
              </w:rPr>
              <w:t>השתתפות</w:t>
            </w:r>
            <w:r w:rsidR="00FE2A5F">
              <w:rPr>
                <w:rFonts w:eastAsia="Calibri" w:cs="FrankRuehl" w:hint="cs"/>
                <w:sz w:val="20"/>
                <w:szCs w:val="20"/>
                <w:rtl/>
              </w:rPr>
              <w:t xml:space="preserve"> </w:t>
            </w:r>
            <w:r w:rsidRPr="00FE2A5F">
              <w:rPr>
                <w:rFonts w:eastAsia="Calibri" w:cs="FrankRuehl" w:hint="cs"/>
                <w:sz w:val="20"/>
                <w:szCs w:val="20"/>
                <w:rtl/>
              </w:rPr>
              <w:t>בישיבות גבוהות</w:t>
            </w:r>
          </w:p>
        </w:tc>
        <w:tc>
          <w:tcPr>
            <w:tcW w:w="0" w:type="auto"/>
            <w:tcBorders>
              <w:top w:val="nil"/>
              <w:bottom w:val="single" w:sz="12" w:space="0" w:color="auto"/>
            </w:tcBorders>
          </w:tcPr>
          <w:p w:rsidR="005B7DA9" w:rsidRPr="00FE2A5F" w:rsidP="00FE2A5F">
            <w:pPr>
              <w:spacing w:before="40" w:after="40" w:line="220" w:lineRule="exact"/>
              <w:rPr>
                <w:rFonts w:eastAsia="Calibri" w:cs="FrankRuehl"/>
                <w:sz w:val="20"/>
                <w:szCs w:val="20"/>
                <w:rtl/>
              </w:rPr>
            </w:pPr>
            <w:r w:rsidRPr="00FE2A5F">
              <w:rPr>
                <w:rFonts w:eastAsia="Calibri" w:cs="FrankRuehl" w:hint="cs"/>
                <w:sz w:val="20"/>
                <w:szCs w:val="20"/>
                <w:rtl/>
              </w:rPr>
              <w:t>416</w:t>
            </w:r>
          </w:p>
        </w:tc>
        <w:tc>
          <w:tcPr>
            <w:tcW w:w="0" w:type="auto"/>
            <w:tcBorders>
              <w:top w:val="nil"/>
              <w:bottom w:val="single" w:sz="12" w:space="0" w:color="auto"/>
            </w:tcBorders>
          </w:tcPr>
          <w:p w:rsidR="005B7DA9" w:rsidRPr="00FE2A5F" w:rsidP="00FE2A5F">
            <w:pPr>
              <w:spacing w:before="40" w:after="40" w:line="220" w:lineRule="exact"/>
              <w:rPr>
                <w:rFonts w:eastAsia="Calibri" w:cs="FrankRuehl"/>
                <w:sz w:val="20"/>
                <w:szCs w:val="20"/>
                <w:rtl/>
              </w:rPr>
            </w:pPr>
            <w:r w:rsidRPr="00FE2A5F">
              <w:rPr>
                <w:rFonts w:eastAsia="Calibri" w:cs="FrankRuehl" w:hint="cs"/>
                <w:sz w:val="20"/>
                <w:szCs w:val="20"/>
                <w:rtl/>
              </w:rPr>
              <w:t>395</w:t>
            </w:r>
          </w:p>
        </w:tc>
        <w:tc>
          <w:tcPr>
            <w:tcW w:w="0" w:type="auto"/>
            <w:tcBorders>
              <w:top w:val="nil"/>
              <w:bottom w:val="single" w:sz="12" w:space="0" w:color="auto"/>
            </w:tcBorders>
          </w:tcPr>
          <w:p w:rsidR="005B7DA9" w:rsidRPr="00FE2A5F" w:rsidP="00FE2A5F">
            <w:pPr>
              <w:spacing w:before="40" w:after="40" w:line="220" w:lineRule="exact"/>
              <w:rPr>
                <w:rFonts w:eastAsia="Calibri" w:cs="FrankRuehl"/>
                <w:sz w:val="20"/>
                <w:szCs w:val="20"/>
                <w:rtl/>
              </w:rPr>
            </w:pPr>
            <w:r w:rsidRPr="00FE2A5F">
              <w:rPr>
                <w:rFonts w:eastAsia="Calibri" w:cs="FrankRuehl" w:hint="cs"/>
                <w:sz w:val="20"/>
                <w:szCs w:val="20"/>
                <w:rtl/>
              </w:rPr>
              <w:t>290</w:t>
            </w:r>
          </w:p>
        </w:tc>
        <w:tc>
          <w:tcPr>
            <w:tcW w:w="0" w:type="auto"/>
            <w:tcBorders>
              <w:top w:val="nil"/>
              <w:bottom w:val="single" w:sz="12" w:space="0" w:color="auto"/>
              <w:right w:val="single" w:sz="12" w:space="0" w:color="auto"/>
            </w:tcBorders>
          </w:tcPr>
          <w:p w:rsidR="005B7DA9" w:rsidRPr="00FE2A5F" w:rsidP="00FE2A5F">
            <w:pPr>
              <w:spacing w:before="40" w:after="40" w:line="220" w:lineRule="exact"/>
              <w:rPr>
                <w:rFonts w:eastAsia="Calibri" w:cs="FrankRuehl"/>
                <w:sz w:val="20"/>
                <w:szCs w:val="20"/>
                <w:rtl/>
              </w:rPr>
            </w:pPr>
            <w:r w:rsidRPr="00FE2A5F">
              <w:rPr>
                <w:rFonts w:eastAsia="Calibri" w:cs="FrankRuehl" w:hint="cs"/>
                <w:sz w:val="20"/>
                <w:szCs w:val="20"/>
                <w:rtl/>
              </w:rPr>
              <w:t>199</w:t>
            </w:r>
          </w:p>
        </w:tc>
      </w:tr>
    </w:tbl>
    <w:p w:rsidR="00FE2A5F" w:rsidRPr="00C01441" w:rsidP="00C01441">
      <w:pPr>
        <w:pStyle w:val="takzir"/>
        <w:spacing w:after="0"/>
        <w:rPr>
          <w:rFonts w:cs="FrankRuehl"/>
          <w:noProof w:val="0"/>
          <w:sz w:val="20"/>
          <w:rtl/>
          <w:lang w:eastAsia="en-US"/>
        </w:rPr>
      </w:pPr>
    </w:p>
    <w:p w:rsidR="00B767A7" w:rsidP="00C01441">
      <w:pPr>
        <w:pStyle w:val="RESHET"/>
        <w:rPr>
          <w:rtl/>
        </w:rPr>
      </w:pPr>
      <w:r>
        <w:rPr>
          <w:rFonts w:hint="cs"/>
          <w:rtl/>
        </w:rPr>
        <w:t xml:space="preserve">משרד מבקר המדינה העיר לעירייה כי </w:t>
      </w:r>
      <w:r>
        <w:rPr>
          <w:rFonts w:hint="eastAsia"/>
          <w:rtl/>
        </w:rPr>
        <w:t>מאחר</w:t>
      </w:r>
      <w:r>
        <w:rPr>
          <w:rtl/>
        </w:rPr>
        <w:t xml:space="preserve"> </w:t>
      </w:r>
      <w:r>
        <w:rPr>
          <w:rFonts w:hint="cs"/>
          <w:rtl/>
        </w:rPr>
        <w:t>ש</w:t>
      </w:r>
      <w:r>
        <w:rPr>
          <w:rtl/>
        </w:rPr>
        <w:t>אין דברי הסבר להצעת התקציב</w:t>
      </w:r>
      <w:r>
        <w:rPr>
          <w:rFonts w:hint="cs"/>
          <w:rtl/>
        </w:rPr>
        <w:t xml:space="preserve"> כולה וממילא לששת הסעיפים האמורים,</w:t>
      </w:r>
      <w:r>
        <w:rPr>
          <w:rtl/>
        </w:rPr>
        <w:t xml:space="preserve"> חברי המועצה והציבור הרחב </w:t>
      </w:r>
      <w:r>
        <w:rPr>
          <w:rFonts w:hint="cs"/>
          <w:rtl/>
        </w:rPr>
        <w:t>אינם</w:t>
      </w:r>
      <w:r>
        <w:rPr>
          <w:rtl/>
        </w:rPr>
        <w:t xml:space="preserve"> </w:t>
      </w:r>
      <w:r>
        <w:rPr>
          <w:rFonts w:hint="eastAsia"/>
          <w:rtl/>
        </w:rPr>
        <w:t>יכולים</w:t>
      </w:r>
      <w:r>
        <w:rPr>
          <w:rtl/>
        </w:rPr>
        <w:t xml:space="preserve"> </w:t>
      </w:r>
      <w:r>
        <w:rPr>
          <w:rFonts w:hint="eastAsia"/>
          <w:rtl/>
        </w:rPr>
        <w:t>לדעת</w:t>
      </w:r>
      <w:r>
        <w:rPr>
          <w:rtl/>
        </w:rPr>
        <w:t xml:space="preserve"> </w:t>
      </w:r>
      <w:r>
        <w:rPr>
          <w:rFonts w:hint="eastAsia"/>
          <w:rtl/>
        </w:rPr>
        <w:t>מדוע</w:t>
      </w:r>
      <w:r>
        <w:rPr>
          <w:rtl/>
        </w:rPr>
        <w:t xml:space="preserve"> תקציב התמיכות לא </w:t>
      </w:r>
      <w:r>
        <w:rPr>
          <w:rFonts w:hint="cs"/>
          <w:rtl/>
        </w:rPr>
        <w:t>מומש</w:t>
      </w:r>
      <w:r>
        <w:rPr>
          <w:rtl/>
        </w:rPr>
        <w:t xml:space="preserve"> </w:t>
      </w:r>
      <w:r>
        <w:rPr>
          <w:rFonts w:hint="eastAsia"/>
          <w:rtl/>
        </w:rPr>
        <w:t>ומדוע</w:t>
      </w:r>
      <w:r>
        <w:rPr>
          <w:rtl/>
        </w:rPr>
        <w:t xml:space="preserve"> </w:t>
      </w:r>
      <w:r>
        <w:rPr>
          <w:rFonts w:hint="cs"/>
          <w:rtl/>
        </w:rPr>
        <w:t>בחלק</w:t>
      </w:r>
      <w:r>
        <w:rPr>
          <w:rtl/>
        </w:rPr>
        <w:t xml:space="preserve"> </w:t>
      </w:r>
      <w:r>
        <w:rPr>
          <w:rFonts w:hint="cs"/>
          <w:rtl/>
        </w:rPr>
        <w:t>מ</w:t>
      </w:r>
      <w:r>
        <w:rPr>
          <w:rFonts w:hint="eastAsia"/>
          <w:rtl/>
        </w:rPr>
        <w:t>סעיפי</w:t>
      </w:r>
      <w:r>
        <w:rPr>
          <w:rtl/>
        </w:rPr>
        <w:t xml:space="preserve"> </w:t>
      </w:r>
      <w:r>
        <w:rPr>
          <w:rFonts w:hint="cs"/>
          <w:rtl/>
        </w:rPr>
        <w:t>ה</w:t>
      </w:r>
      <w:r>
        <w:rPr>
          <w:rFonts w:hint="eastAsia"/>
          <w:rtl/>
        </w:rPr>
        <w:t>תקציב</w:t>
      </w:r>
      <w:r>
        <w:rPr>
          <w:rtl/>
        </w:rPr>
        <w:t xml:space="preserve"> </w:t>
      </w:r>
      <w:r>
        <w:rPr>
          <w:rFonts w:hint="cs"/>
          <w:rtl/>
        </w:rPr>
        <w:t>מצוינת רק</w:t>
      </w:r>
      <w:r>
        <w:rPr>
          <w:rtl/>
        </w:rPr>
        <w:t xml:space="preserve"> </w:t>
      </w:r>
      <w:r>
        <w:rPr>
          <w:rFonts w:hint="cs"/>
          <w:rtl/>
        </w:rPr>
        <w:t>ה</w:t>
      </w:r>
      <w:r>
        <w:rPr>
          <w:rFonts w:hint="eastAsia"/>
          <w:rtl/>
        </w:rPr>
        <w:t>הוצאה</w:t>
      </w:r>
      <w:r>
        <w:rPr>
          <w:rtl/>
        </w:rPr>
        <w:t xml:space="preserve"> ללא </w:t>
      </w:r>
      <w:r>
        <w:rPr>
          <w:rFonts w:hint="cs"/>
          <w:rtl/>
        </w:rPr>
        <w:t>ה</w:t>
      </w:r>
      <w:r>
        <w:rPr>
          <w:rtl/>
        </w:rPr>
        <w:t xml:space="preserve">תקציב. </w:t>
      </w:r>
    </w:p>
    <w:p w:rsidR="00B767A7" w:rsidP="00C01441">
      <w:pPr>
        <w:pStyle w:val="RESHET"/>
        <w:rPr>
          <w:rtl/>
        </w:rPr>
      </w:pPr>
      <w:r>
        <w:rPr>
          <w:rFonts w:hint="cs"/>
          <w:rtl/>
        </w:rPr>
        <w:t xml:space="preserve">עוד העיר </w:t>
      </w:r>
      <w:r>
        <w:rPr>
          <w:rFonts w:hint="eastAsia"/>
          <w:rtl/>
        </w:rPr>
        <w:t>משרד</w:t>
      </w:r>
      <w:r>
        <w:rPr>
          <w:rtl/>
        </w:rPr>
        <w:t xml:space="preserve"> </w:t>
      </w:r>
      <w:r>
        <w:rPr>
          <w:rFonts w:hint="eastAsia"/>
          <w:rtl/>
        </w:rPr>
        <w:t>מבקר</w:t>
      </w:r>
      <w:r>
        <w:rPr>
          <w:rtl/>
        </w:rPr>
        <w:t xml:space="preserve"> </w:t>
      </w:r>
      <w:r>
        <w:rPr>
          <w:rFonts w:hint="eastAsia"/>
          <w:rtl/>
        </w:rPr>
        <w:t>המדינה</w:t>
      </w:r>
      <w:r>
        <w:rPr>
          <w:rtl/>
        </w:rPr>
        <w:t xml:space="preserve"> לעירייה כי </w:t>
      </w:r>
      <w:r>
        <w:rPr>
          <w:rFonts w:hint="cs"/>
          <w:rtl/>
        </w:rPr>
        <w:t>יש</w:t>
      </w:r>
      <w:r>
        <w:rPr>
          <w:rtl/>
        </w:rPr>
        <w:t xml:space="preserve"> ליקויים</w:t>
      </w:r>
      <w:r>
        <w:rPr>
          <w:rFonts w:hint="cs"/>
          <w:rtl/>
        </w:rPr>
        <w:t xml:space="preserve"> באופן טיפולה בנושא ההשתתפות בתקציבי מוסדות החינוך המוכר העל-יסודי</w:t>
      </w:r>
      <w:r>
        <w:rPr>
          <w:rtl/>
        </w:rPr>
        <w:t xml:space="preserve">, </w:t>
      </w:r>
      <w:r>
        <w:rPr>
          <w:rFonts w:hint="cs"/>
          <w:rtl/>
        </w:rPr>
        <w:t>והדבר בא לידי ביטוי</w:t>
      </w:r>
      <w:r>
        <w:rPr>
          <w:rtl/>
        </w:rPr>
        <w:t xml:space="preserve"> בחוסר שקיפות: </w:t>
      </w:r>
      <w:r>
        <w:rPr>
          <w:rFonts w:hint="cs"/>
          <w:rtl/>
        </w:rPr>
        <w:t xml:space="preserve">כאמור לעיל </w:t>
      </w:r>
      <w:r>
        <w:rPr>
          <w:rtl/>
        </w:rPr>
        <w:t xml:space="preserve">הסעיף התקציבי </w:t>
      </w:r>
      <w:r>
        <w:rPr>
          <w:rFonts w:hint="cs"/>
          <w:rtl/>
        </w:rPr>
        <w:t>ש</w:t>
      </w:r>
      <w:r>
        <w:rPr>
          <w:rtl/>
        </w:rPr>
        <w:t>ממנו הועבר הכסף הוא סעיף</w:t>
      </w:r>
      <w:r>
        <w:rPr>
          <w:rFonts w:hint="cs"/>
          <w:rtl/>
        </w:rPr>
        <w:t xml:space="preserve"> </w:t>
      </w:r>
      <w:r>
        <w:rPr>
          <w:rFonts w:hint="eastAsia"/>
          <w:rtl/>
        </w:rPr>
        <w:t>מתן</w:t>
      </w:r>
      <w:r>
        <w:rPr>
          <w:rtl/>
        </w:rPr>
        <w:t xml:space="preserve"> תמיכות, </w:t>
      </w:r>
      <w:r>
        <w:rPr>
          <w:rFonts w:hint="cs"/>
          <w:rtl/>
        </w:rPr>
        <w:t>ו</w:t>
      </w:r>
      <w:r>
        <w:rPr>
          <w:rFonts w:hint="eastAsia"/>
          <w:rtl/>
        </w:rPr>
        <w:t>בו</w:t>
      </w:r>
      <w:r>
        <w:rPr>
          <w:rtl/>
        </w:rPr>
        <w:t xml:space="preserve"> </w:t>
      </w:r>
      <w:r>
        <w:rPr>
          <w:rFonts w:hint="eastAsia"/>
          <w:rtl/>
        </w:rPr>
        <w:t>נכללו</w:t>
      </w:r>
      <w:r>
        <w:rPr>
          <w:rFonts w:hint="cs"/>
          <w:rtl/>
        </w:rPr>
        <w:t xml:space="preserve"> גם</w:t>
      </w:r>
      <w:r>
        <w:rPr>
          <w:rtl/>
        </w:rPr>
        <w:t xml:space="preserve"> </w:t>
      </w:r>
      <w:r>
        <w:rPr>
          <w:rFonts w:hint="eastAsia"/>
          <w:rtl/>
        </w:rPr>
        <w:t>תמיכות</w:t>
      </w:r>
      <w:r>
        <w:rPr>
          <w:rtl/>
        </w:rPr>
        <w:t xml:space="preserve"> </w:t>
      </w:r>
      <w:r>
        <w:rPr>
          <w:rFonts w:hint="eastAsia"/>
          <w:rtl/>
        </w:rPr>
        <w:t>לישיבות</w:t>
      </w:r>
      <w:r>
        <w:rPr>
          <w:rtl/>
        </w:rPr>
        <w:t xml:space="preserve"> </w:t>
      </w:r>
      <w:r>
        <w:rPr>
          <w:rFonts w:hint="eastAsia"/>
          <w:rtl/>
        </w:rPr>
        <w:t>הגבוהות</w:t>
      </w:r>
      <w:r>
        <w:rPr>
          <w:rtl/>
        </w:rPr>
        <w:t xml:space="preserve"> </w:t>
      </w:r>
      <w:r>
        <w:rPr>
          <w:rFonts w:hint="eastAsia"/>
          <w:rtl/>
        </w:rPr>
        <w:t>ולכוללים</w:t>
      </w:r>
      <w:r>
        <w:rPr>
          <w:rFonts w:hint="cs"/>
          <w:rtl/>
        </w:rPr>
        <w:t>, אשר אינם נכנסים בגדר</w:t>
      </w:r>
      <w:r>
        <w:rPr>
          <w:rtl/>
        </w:rPr>
        <w:t xml:space="preserve"> </w:t>
      </w:r>
      <w:r>
        <w:rPr>
          <w:rFonts w:hint="eastAsia"/>
          <w:rtl/>
        </w:rPr>
        <w:t>מוסדות</w:t>
      </w:r>
      <w:r>
        <w:rPr>
          <w:rtl/>
        </w:rPr>
        <w:t xml:space="preserve"> </w:t>
      </w:r>
      <w:r>
        <w:rPr>
          <w:rFonts w:hint="eastAsia"/>
          <w:rtl/>
        </w:rPr>
        <w:t>חינוך</w:t>
      </w:r>
      <w:r>
        <w:rPr>
          <w:rtl/>
        </w:rPr>
        <w:t xml:space="preserve"> </w:t>
      </w:r>
      <w:r>
        <w:rPr>
          <w:rFonts w:hint="cs"/>
          <w:rtl/>
        </w:rPr>
        <w:t>ש</w:t>
      </w:r>
      <w:r>
        <w:rPr>
          <w:rFonts w:hint="eastAsia"/>
          <w:rtl/>
        </w:rPr>
        <w:t>עליהם</w:t>
      </w:r>
      <w:r>
        <w:rPr>
          <w:rtl/>
        </w:rPr>
        <w:t xml:space="preserve"> </w:t>
      </w:r>
      <w:r>
        <w:rPr>
          <w:rFonts w:hint="eastAsia"/>
          <w:rtl/>
        </w:rPr>
        <w:t>חלים</w:t>
      </w:r>
      <w:r>
        <w:rPr>
          <w:rtl/>
        </w:rPr>
        <w:t xml:space="preserve"> </w:t>
      </w:r>
      <w:r>
        <w:rPr>
          <w:rFonts w:hint="eastAsia"/>
          <w:rtl/>
        </w:rPr>
        <w:t>סעיפי</w:t>
      </w:r>
      <w:r>
        <w:rPr>
          <w:rtl/>
        </w:rPr>
        <w:t xml:space="preserve"> </w:t>
      </w:r>
      <w:r>
        <w:rPr>
          <w:rFonts w:hint="eastAsia"/>
          <w:rtl/>
        </w:rPr>
        <w:t>תקציב</w:t>
      </w:r>
      <w:r>
        <w:rPr>
          <w:rtl/>
        </w:rPr>
        <w:t xml:space="preserve"> </w:t>
      </w:r>
      <w:r>
        <w:rPr>
          <w:rFonts w:hint="eastAsia"/>
          <w:rtl/>
        </w:rPr>
        <w:t>החינוך</w:t>
      </w:r>
      <w:r>
        <w:rPr>
          <w:rtl/>
        </w:rPr>
        <w:t xml:space="preserve"> </w:t>
      </w:r>
      <w:r>
        <w:rPr>
          <w:rFonts w:hint="cs"/>
          <w:rtl/>
        </w:rPr>
        <w:t>האלה</w:t>
      </w:r>
      <w:r>
        <w:rPr>
          <w:rtl/>
        </w:rPr>
        <w:t xml:space="preserve">. </w:t>
      </w:r>
    </w:p>
    <w:p w:rsidR="00B767A7" w:rsidP="00C01441">
      <w:pPr>
        <w:spacing w:before="180" w:after="120" w:line="230" w:lineRule="exact"/>
        <w:jc w:val="both"/>
        <w:rPr>
          <w:rFonts w:cs="FrankRuehl"/>
          <w:sz w:val="20"/>
          <w:szCs w:val="22"/>
        </w:rPr>
      </w:pPr>
      <w:r>
        <w:rPr>
          <w:rFonts w:cs="FrankRuehl" w:hint="cs"/>
          <w:sz w:val="20"/>
          <w:szCs w:val="22"/>
          <w:rtl/>
        </w:rPr>
        <w:t xml:space="preserve">העירייה מסרה בתשובתה הנוספת כי היא מקבלת את המלצת משרד מבקר המדינה, וכי החל משנת 2015 יתווסף לתקציב פרק מיוחד: "ישיבות וכוללים". </w:t>
      </w:r>
    </w:p>
    <w:p w:rsidR="00B767A7">
      <w:pPr>
        <w:pStyle w:val="KOT4"/>
        <w:rPr>
          <w:rtl/>
        </w:rPr>
      </w:pPr>
      <w:r>
        <w:rPr>
          <w:rFonts w:hint="cs"/>
          <w:rtl/>
        </w:rPr>
        <w:t>מסלול התמיכות</w:t>
      </w:r>
    </w:p>
    <w:p w:rsidR="00B767A7">
      <w:pPr>
        <w:pStyle w:val="KOT5"/>
        <w:rPr>
          <w:rtl/>
        </w:rPr>
      </w:pPr>
      <w:r>
        <w:rPr>
          <w:rFonts w:hint="cs"/>
          <w:rtl/>
        </w:rPr>
        <w:t>הנוהל למתן תמיכות</w:t>
      </w:r>
    </w:p>
    <w:p w:rsidR="00B767A7">
      <w:pPr>
        <w:spacing w:after="120" w:line="230" w:lineRule="exact"/>
        <w:jc w:val="both"/>
        <w:rPr>
          <w:rFonts w:cs="FrankRuehl"/>
          <w:sz w:val="20"/>
          <w:szCs w:val="22"/>
          <w:rtl/>
        </w:rPr>
      </w:pPr>
      <w:r>
        <w:rPr>
          <w:rFonts w:cs="FrankRuehl" w:hint="cs"/>
          <w:sz w:val="20"/>
          <w:szCs w:val="22"/>
          <w:rtl/>
        </w:rPr>
        <w:t>נוהל תמיכות במוסדות ציבור על ידי הרשויות המקומיות, שפורסם בחוזר מנכ"ל משרד הפנים בספטמבר 2006, נועד להסדיר את מתן התמיכות למוסדות על ידי הרשויות המקומיות ולהבטיח שהדבר יתבצע באופן שוויוני, שקוף, חסכוני ויעיל ובלא פגיעה בטוהר המידות ובסדרי מינהל תקין.</w:t>
      </w:r>
    </w:p>
    <w:p w:rsidR="00B767A7">
      <w:pPr>
        <w:spacing w:after="120" w:line="230" w:lineRule="exact"/>
        <w:jc w:val="both"/>
        <w:rPr>
          <w:rFonts w:cs="FrankRuehl"/>
          <w:sz w:val="20"/>
          <w:szCs w:val="22"/>
          <w:rtl/>
        </w:rPr>
      </w:pPr>
      <w:r>
        <w:rPr>
          <w:rFonts w:cs="FrankRuehl" w:hint="cs"/>
          <w:sz w:val="20"/>
          <w:szCs w:val="22"/>
          <w:rtl/>
        </w:rPr>
        <w:t>בנוהל תמיכות נקבע כי הוועדה</w:t>
      </w:r>
      <w:r>
        <w:rPr>
          <w:rFonts w:cs="FrankRuehl"/>
          <w:sz w:val="20"/>
          <w:szCs w:val="22"/>
          <w:rtl/>
        </w:rPr>
        <w:t xml:space="preserve"> </w:t>
      </w:r>
      <w:r>
        <w:rPr>
          <w:rFonts w:cs="FrankRuehl" w:hint="cs"/>
          <w:sz w:val="20"/>
          <w:szCs w:val="22"/>
          <w:rtl/>
        </w:rPr>
        <w:t>המקצועית</w:t>
      </w:r>
      <w:r>
        <w:rPr>
          <w:rFonts w:cs="FrankRuehl"/>
          <w:sz w:val="20"/>
          <w:szCs w:val="22"/>
          <w:rtl/>
        </w:rPr>
        <w:t xml:space="preserve"> </w:t>
      </w:r>
      <w:r>
        <w:rPr>
          <w:rFonts w:cs="FrankRuehl" w:hint="cs"/>
          <w:sz w:val="20"/>
          <w:szCs w:val="22"/>
          <w:rtl/>
        </w:rPr>
        <w:t>לתמיכות היא שתבחן את הבקשות לתמיכה. חברי ועדה זו הם מנכ"ל הרשות המקומית או נציגו מקרב עובדיה הבכירים של הרשות; גזבר הרשות או נציגו; והיועץ המשפטי של הרשות או נציגו. נקבע כי העובדים הבכירים שישתתפו בוועדה המקצועית לתמיכות נועדו לתמוך במדיניות של התמקצעות ולהעדיף זאת על פוליטיזציה של ההחלטות המתקבלות</w:t>
      </w:r>
      <w:r>
        <w:rPr>
          <w:rStyle w:val="FootnoteReference"/>
          <w:rFonts w:cs="FrankRuehl"/>
          <w:sz w:val="20"/>
          <w:szCs w:val="22"/>
          <w:rtl/>
        </w:rPr>
        <w:footnoteReference w:id="27"/>
      </w:r>
      <w:r>
        <w:rPr>
          <w:rFonts w:cs="FrankRuehl" w:hint="cs"/>
          <w:sz w:val="20"/>
          <w:szCs w:val="22"/>
          <w:rtl/>
        </w:rPr>
        <w:t>.</w:t>
      </w:r>
    </w:p>
    <w:p w:rsidR="00B767A7">
      <w:pPr>
        <w:spacing w:after="120" w:line="230" w:lineRule="exact"/>
        <w:jc w:val="both"/>
        <w:rPr>
          <w:rFonts w:cs="FrankRuehl"/>
          <w:sz w:val="20"/>
          <w:szCs w:val="22"/>
          <w:rtl/>
        </w:rPr>
      </w:pPr>
      <w:r>
        <w:rPr>
          <w:rFonts w:cs="FrankRuehl" w:hint="cs"/>
          <w:sz w:val="20"/>
          <w:szCs w:val="22"/>
          <w:rtl/>
        </w:rPr>
        <w:t>חברי הוועדה המקצועית לתמיכות של עיריית פתח תקווה היו מנכ"ל העירייה, גזברית העירייה והיועצת המשפטית שלה.</w:t>
      </w:r>
    </w:p>
    <w:p w:rsidR="00B767A7">
      <w:pPr>
        <w:spacing w:after="120" w:line="230" w:lineRule="exact"/>
        <w:jc w:val="both"/>
        <w:rPr>
          <w:rFonts w:cs="FrankRuehl"/>
          <w:sz w:val="20"/>
          <w:szCs w:val="22"/>
          <w:rtl/>
        </w:rPr>
      </w:pPr>
      <w:r>
        <w:rPr>
          <w:rFonts w:cs="FrankRuehl" w:hint="cs"/>
          <w:sz w:val="20"/>
          <w:szCs w:val="22"/>
          <w:rtl/>
        </w:rPr>
        <w:t>על פי כללי מינהל תקין, על ועדה ברשות מקומית לנהל פרוטוקול אשר ישקף את המידע שהובא לפניה, את עיקרי הדברים שנאמרו בדיוניה ואת ההחלטות שהתקבלו בהם בהתאם לאותו מידע. כתיבת פרוטוקול נועדה להבטיח את תקינות פעילותו של המינהל הציבורי באמצעות קיום עקרון השקיפות</w:t>
      </w:r>
      <w:r>
        <w:rPr>
          <w:rStyle w:val="FootnoteReference"/>
          <w:rFonts w:cs="FrankRuehl"/>
          <w:sz w:val="20"/>
          <w:szCs w:val="22"/>
          <w:rtl/>
        </w:rPr>
        <w:footnoteReference w:id="28"/>
      </w:r>
      <w:r>
        <w:rPr>
          <w:rFonts w:cs="FrankRuehl" w:hint="cs"/>
          <w:sz w:val="20"/>
          <w:szCs w:val="22"/>
          <w:rtl/>
        </w:rPr>
        <w:t>.</w:t>
      </w:r>
    </w:p>
    <w:p w:rsidR="00B767A7" w:rsidP="00C01441">
      <w:pPr>
        <w:spacing w:after="240" w:line="230" w:lineRule="exact"/>
        <w:jc w:val="both"/>
        <w:rPr>
          <w:rFonts w:cs="FrankRuehl"/>
          <w:sz w:val="20"/>
          <w:szCs w:val="22"/>
          <w:rtl/>
        </w:rPr>
      </w:pPr>
      <w:r>
        <w:rPr>
          <w:rFonts w:cs="FrankRuehl" w:hint="cs"/>
          <w:sz w:val="20"/>
          <w:szCs w:val="22"/>
          <w:rtl/>
        </w:rPr>
        <w:t>נמצא כי לקראת דיוני הוועדה המקצועית לתמיכות לא מכינה העירייה "סדר יום" הנוגע לישיבות הוועדה שבו מפורטים הנושאים העומדים לדיון, בהם אישור תבחינים, ואשר בסופו של דבר אמור להיות מוגש למועצת העירייה לשם קבלת אישורה. עוד נמצא כי מנהל היחידה לתמיכות כותב בכתב יד את הפרוטוקולים של הוועדה המקצועית, וכי הפרוטוקול משקף את חילופי הדברים בין חברי הוועדה אך לא ניתן להבין ממנו מה הם ההסברים והנימוקים לשינויים בתבחינים שאושרו ואילו החלטות התקבלו.</w:t>
      </w:r>
    </w:p>
    <w:p w:rsidR="00B767A7" w:rsidP="00C01441">
      <w:pPr>
        <w:pStyle w:val="RESHET"/>
        <w:rPr>
          <w:rtl/>
        </w:rPr>
      </w:pPr>
      <w:r>
        <w:rPr>
          <w:rFonts w:hint="cs"/>
          <w:rtl/>
        </w:rPr>
        <w:t xml:space="preserve">משרד מבקר המדינה העיר לעירייה כי ראוי שפרוטוקול של כל ועדה של העירייה, ובייחוד של ועדה מקצועית שהחלטותיה מובאות לאישור מועצת העירייה, ישקף את מהות הדיון, לרבות את עיקרי הדברים שנאמרו בו ואת ההחלטות שהתקבלו. על פרוטוקול של הוועדה המקצועית לתמיכות אף לכלול את השינוי המוצע בתבחין לעומת הנוסח שרוצים לשנות, הנוסח המלא של התבחין ששונה, הגורם היוזם את השינוי, והנימוקים וההסברים לשינוי. נוסף על כך ראוי שהפרוטוקול יודפס ויובא לאישור חברי הוועדה ולחתימתם כדי שלא ניתן יהיה לבצע בו שינויים. </w:t>
      </w:r>
    </w:p>
    <w:p w:rsidR="00B767A7" w:rsidP="00C01441">
      <w:pPr>
        <w:spacing w:before="180" w:after="120" w:line="230" w:lineRule="exact"/>
        <w:jc w:val="both"/>
        <w:rPr>
          <w:rFonts w:cs="FrankRuehl"/>
          <w:sz w:val="20"/>
          <w:szCs w:val="22"/>
          <w:rtl/>
        </w:rPr>
      </w:pPr>
      <w:r>
        <w:rPr>
          <w:rFonts w:cs="FrankRuehl" w:hint="cs"/>
          <w:sz w:val="20"/>
          <w:szCs w:val="22"/>
          <w:rtl/>
        </w:rPr>
        <w:t>העירייה מסרה בתשובתה כי "הערת הביקורת בעניין זה מיושמת ותיושם ביתר קפידה במיידי".</w:t>
      </w:r>
    </w:p>
    <w:p w:rsidR="00B767A7">
      <w:pPr>
        <w:spacing w:after="120" w:line="230" w:lineRule="exact"/>
        <w:jc w:val="both"/>
        <w:rPr>
          <w:rFonts w:cs="FrankRuehl"/>
          <w:sz w:val="20"/>
          <w:szCs w:val="22"/>
          <w:rtl/>
        </w:rPr>
      </w:pPr>
      <w:r>
        <w:rPr>
          <w:rFonts w:cs="FrankRuehl" w:hint="cs"/>
          <w:sz w:val="20"/>
          <w:szCs w:val="22"/>
          <w:rtl/>
        </w:rPr>
        <w:t xml:space="preserve">בנוהל תמיכות נקבע גם כי הוועדה המקצועית לתמיכות תכין ותגיש לאישור מועצת הרשות הצעה להוספת תבחינים חדשים לתמיכה או לתיקונם, וזאת לא יאוחר מחודשיים לפני המועד הקבוע לאישור התבחינים על ידי המועצה (קרי עד 1 ביולי). </w:t>
      </w:r>
    </w:p>
    <w:p w:rsidR="00B767A7">
      <w:pPr>
        <w:spacing w:after="120" w:line="230" w:lineRule="exact"/>
        <w:jc w:val="both"/>
        <w:rPr>
          <w:rFonts w:cs="FrankRuehl"/>
          <w:sz w:val="20"/>
          <w:szCs w:val="22"/>
          <w:rtl/>
        </w:rPr>
      </w:pPr>
      <w:r>
        <w:rPr>
          <w:rFonts w:cs="FrankRuehl" w:hint="cs"/>
          <w:sz w:val="20"/>
          <w:szCs w:val="22"/>
          <w:rtl/>
        </w:rPr>
        <w:t>עוד נקבע בנוהל כי מועצת הרשות המקומית תחליט אם לאשר את הצעת התבחינים לא יאוחר מ-1 בספטמבר בשנה שלפני שנת</w:t>
      </w:r>
      <w:r>
        <w:rPr>
          <w:rFonts w:cs="FrankRuehl"/>
          <w:sz w:val="20"/>
          <w:szCs w:val="22"/>
          <w:rtl/>
        </w:rPr>
        <w:t xml:space="preserve"> </w:t>
      </w:r>
      <w:r>
        <w:rPr>
          <w:rFonts w:cs="FrankRuehl" w:hint="cs"/>
          <w:sz w:val="20"/>
          <w:szCs w:val="22"/>
          <w:rtl/>
        </w:rPr>
        <w:t xml:space="preserve">הכספים שבה אמורה להינתן התמיכה, וכי היא "לא תאשר את </w:t>
      </w:r>
      <w:r>
        <w:rPr>
          <w:rFonts w:cs="FrankRuehl" w:hint="cs"/>
          <w:sz w:val="20"/>
          <w:szCs w:val="22"/>
          <w:rtl/>
        </w:rPr>
        <w:t xml:space="preserve">התבחינים אלא לאחר שקבלה חוות דעת בכתב, מהיועץ המשפטי לרשות, כי התבחינים הינם בהתאם להוראות כל דין לרבות לעניין השמירה על עקרון השוויון". </w:t>
      </w:r>
    </w:p>
    <w:p w:rsidR="00B767A7">
      <w:pPr>
        <w:spacing w:after="120" w:line="230" w:lineRule="exact"/>
        <w:jc w:val="both"/>
        <w:rPr>
          <w:rFonts w:cs="FrankRuehl"/>
          <w:sz w:val="20"/>
          <w:szCs w:val="22"/>
          <w:rtl/>
        </w:rPr>
      </w:pPr>
      <w:r>
        <w:rPr>
          <w:rFonts w:cs="FrankRuehl" w:hint="cs"/>
          <w:sz w:val="20"/>
          <w:szCs w:val="22"/>
          <w:rtl/>
        </w:rPr>
        <w:t>בדיקת אופן קבלת ההחלטות של הוועדה המקצועית לתמיכות ושל מועצת העירייה בעניין התבחינים לתמיכות למוסדות בשנים 2014-2010 העלתה את הממצאים האלה:</w:t>
      </w:r>
    </w:p>
    <w:p w:rsidR="00B767A7">
      <w:pPr>
        <w:spacing w:after="120" w:line="230" w:lineRule="exact"/>
        <w:jc w:val="both"/>
        <w:rPr>
          <w:rFonts w:cs="FrankRuehl"/>
          <w:sz w:val="20"/>
          <w:szCs w:val="22"/>
          <w:rtl/>
        </w:rPr>
      </w:pPr>
      <w:r w:rsidRPr="00324F05">
        <w:rPr>
          <w:rStyle w:val="Heading7Char"/>
          <w:rFonts w:cs="FrankRuehl" w:hint="cs"/>
          <w:b/>
          <w:bCs/>
          <w:spacing w:val="40"/>
          <w:sz w:val="20"/>
          <w:szCs w:val="22"/>
          <w:rtl/>
        </w:rPr>
        <w:t>תבחינים לשנת 2010</w:t>
      </w:r>
      <w:r>
        <w:rPr>
          <w:rStyle w:val="Heading7Char"/>
          <w:rFonts w:cs="FrankRuehl"/>
          <w:sz w:val="20"/>
          <w:szCs w:val="22"/>
          <w:rtl/>
        </w:rPr>
        <w:t xml:space="preserve"> : </w:t>
      </w:r>
      <w:r>
        <w:rPr>
          <w:rFonts w:cs="FrankRuehl" w:hint="cs"/>
          <w:sz w:val="20"/>
          <w:szCs w:val="22"/>
          <w:rtl/>
        </w:rPr>
        <w:t>ב-30.8.09 קבעה הוועדה המקצועית לתמיכות את תבחיני התמיכות לשנת 2010. ב-31.8.09 העביר מנהל היחידה לתמיכות את התבחינים האמורים למְרַכֵּז ישיבות המועצה, והם נדונו בישיבת מועצת העירייה ב-1.9.09.</w:t>
      </w:r>
    </w:p>
    <w:p w:rsidR="00B767A7">
      <w:pPr>
        <w:spacing w:after="120" w:line="230" w:lineRule="exact"/>
        <w:jc w:val="both"/>
        <w:rPr>
          <w:rFonts w:cs="FrankRuehl"/>
          <w:sz w:val="20"/>
          <w:szCs w:val="22"/>
          <w:rtl/>
        </w:rPr>
      </w:pPr>
      <w:r>
        <w:rPr>
          <w:rFonts w:cs="FrankRuehl" w:hint="cs"/>
          <w:sz w:val="20"/>
          <w:szCs w:val="22"/>
          <w:rtl/>
        </w:rPr>
        <w:t xml:space="preserve">הוועדה המקצועית לתמיכות אישרה את הנוסח הסופי של המלצתה לתבחינים כחודשיים לאחר המועד שבו הייתה אמורה לסכם אותם, ועקב כך מועצת העירייה דנה בהם יום לפני המועד האחרון לדיון בהם. </w:t>
      </w:r>
    </w:p>
    <w:p w:rsidR="00B767A7">
      <w:pPr>
        <w:spacing w:after="120" w:line="230" w:lineRule="exact"/>
        <w:jc w:val="both"/>
        <w:rPr>
          <w:rFonts w:cs="FrankRuehl"/>
          <w:sz w:val="20"/>
          <w:szCs w:val="22"/>
          <w:rtl/>
        </w:rPr>
      </w:pPr>
      <w:r>
        <w:rPr>
          <w:rFonts w:cs="FrankRuehl" w:hint="cs"/>
          <w:sz w:val="20"/>
          <w:szCs w:val="22"/>
          <w:rtl/>
        </w:rPr>
        <w:t xml:space="preserve">עוזר ראש העירייה דאז הקריא בעת הדיון במועצת העירייה ב-31.8.09 נוסח של תבחינים השונה מהתבחינים שאישרה הוועדה המקצועית לתמיכות ושצורפו לפרוטוקול מועצת העירייה. </w:t>
      </w:r>
    </w:p>
    <w:p w:rsidR="00B767A7">
      <w:pPr>
        <w:spacing w:after="120" w:line="230" w:lineRule="exact"/>
        <w:jc w:val="both"/>
        <w:rPr>
          <w:rFonts w:cs="FrankRuehl"/>
          <w:sz w:val="20"/>
          <w:szCs w:val="22"/>
          <w:rtl/>
        </w:rPr>
      </w:pPr>
      <w:r>
        <w:rPr>
          <w:rFonts w:cs="FrankRuehl" w:hint="cs"/>
          <w:sz w:val="20"/>
          <w:szCs w:val="22"/>
          <w:rtl/>
        </w:rPr>
        <w:t>אמנם במכתב האמור ששלח מנהל היחידה לתמיכות ב-31.8.09 הוא ציין כי התבחינים ככתבם קיבלו</w:t>
      </w:r>
      <w:r>
        <w:rPr>
          <w:rFonts w:cs="FrankRuehl"/>
          <w:sz w:val="20"/>
          <w:szCs w:val="22"/>
          <w:rtl/>
        </w:rPr>
        <w:t xml:space="preserve"> את אישור היועצת המשפטית לעירייה </w:t>
      </w:r>
      <w:r>
        <w:rPr>
          <w:rFonts w:cs="FrankRuehl" w:hint="cs"/>
          <w:sz w:val="20"/>
          <w:szCs w:val="22"/>
          <w:rtl/>
        </w:rPr>
        <w:t>ונכתבו</w:t>
      </w:r>
      <w:r>
        <w:rPr>
          <w:rFonts w:cs="FrankRuehl"/>
          <w:sz w:val="20"/>
          <w:szCs w:val="22"/>
          <w:rtl/>
        </w:rPr>
        <w:t xml:space="preserve"> בהתאם להוראת כל דין, </w:t>
      </w:r>
      <w:r>
        <w:rPr>
          <w:rFonts w:cs="FrankRuehl" w:hint="cs"/>
          <w:sz w:val="20"/>
          <w:szCs w:val="22"/>
          <w:rtl/>
        </w:rPr>
        <w:t>ובכלל</w:t>
      </w:r>
      <w:r>
        <w:rPr>
          <w:rFonts w:cs="FrankRuehl"/>
          <w:sz w:val="20"/>
          <w:szCs w:val="22"/>
          <w:rtl/>
        </w:rPr>
        <w:t xml:space="preserve"> </w:t>
      </w:r>
      <w:r>
        <w:rPr>
          <w:rFonts w:cs="FrankRuehl" w:hint="cs"/>
          <w:sz w:val="20"/>
          <w:szCs w:val="22"/>
          <w:rtl/>
        </w:rPr>
        <w:t>זה</w:t>
      </w:r>
      <w:r>
        <w:rPr>
          <w:rFonts w:cs="FrankRuehl"/>
          <w:sz w:val="20"/>
          <w:szCs w:val="22"/>
          <w:rtl/>
        </w:rPr>
        <w:t xml:space="preserve"> </w:t>
      </w:r>
      <w:r>
        <w:rPr>
          <w:rFonts w:cs="FrankRuehl" w:hint="cs"/>
          <w:sz w:val="20"/>
          <w:szCs w:val="22"/>
          <w:rtl/>
        </w:rPr>
        <w:t>בהתאם</w:t>
      </w:r>
      <w:r>
        <w:rPr>
          <w:rFonts w:cs="FrankRuehl"/>
          <w:sz w:val="20"/>
          <w:szCs w:val="22"/>
          <w:rtl/>
        </w:rPr>
        <w:t xml:space="preserve"> </w:t>
      </w:r>
      <w:r>
        <w:rPr>
          <w:rFonts w:cs="FrankRuehl" w:hint="cs"/>
          <w:sz w:val="20"/>
          <w:szCs w:val="22"/>
          <w:rtl/>
        </w:rPr>
        <w:t>לכלל</w:t>
      </w:r>
      <w:r>
        <w:rPr>
          <w:rFonts w:cs="FrankRuehl"/>
          <w:sz w:val="20"/>
          <w:szCs w:val="22"/>
          <w:rtl/>
        </w:rPr>
        <w:t xml:space="preserve"> </w:t>
      </w:r>
      <w:r>
        <w:rPr>
          <w:rFonts w:cs="FrankRuehl" w:hint="cs"/>
          <w:sz w:val="20"/>
          <w:szCs w:val="22"/>
          <w:rtl/>
        </w:rPr>
        <w:t>השמירה</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עקרון</w:t>
      </w:r>
      <w:r>
        <w:rPr>
          <w:rFonts w:cs="FrankRuehl"/>
          <w:sz w:val="20"/>
          <w:szCs w:val="22"/>
          <w:rtl/>
        </w:rPr>
        <w:t xml:space="preserve"> </w:t>
      </w:r>
      <w:r>
        <w:rPr>
          <w:rFonts w:cs="FrankRuehl" w:hint="cs"/>
          <w:sz w:val="20"/>
          <w:szCs w:val="22"/>
          <w:rtl/>
        </w:rPr>
        <w:t>השוויון; אך מנכ"ל העירייה דאז, שכיהן גם כיו"ר הוועדה המקצועית לתמיכות, ומועצת העירייה לא נתנו את דעתם לכך שהיועצת המשפטית לעירייה לא חיוותה דעתה כנדרש על נוסח התבחינים שאושר במועצת העירייה.</w:t>
      </w:r>
    </w:p>
    <w:p w:rsidR="00B767A7">
      <w:pPr>
        <w:spacing w:after="120" w:line="230" w:lineRule="exact"/>
        <w:jc w:val="both"/>
        <w:rPr>
          <w:rFonts w:cs="FrankRuehl"/>
          <w:sz w:val="20"/>
          <w:szCs w:val="22"/>
          <w:rtl/>
        </w:rPr>
      </w:pPr>
      <w:r>
        <w:rPr>
          <w:rFonts w:cs="FrankRuehl" w:hint="cs"/>
          <w:sz w:val="20"/>
          <w:szCs w:val="22"/>
          <w:rtl/>
        </w:rPr>
        <w:t xml:space="preserve">ב-21.9.09 שלח מנהל היחידה לתמיכות למְרַכֵּז ישיבות המועצה מכתב ולפיו הנוסח הסופי של תבחיני תמיכות לשנת 2010 יוגש לחברי מועצת העירייה לאחר שתינתן חוות דעת משפטית בנושא. הנוסח הוגש לחברי המועצה, וב-30.9.09 הם אישרו את התבחינים, אך חוות הדעת המשפטית האמורה לא צורפה לפרוטוקול הדיון. בנובמבר 2009 הגיש מנהל היחידה לתמיכות למרכז ישיבות המועצה שינויים קלים בתבחינים לשנת 2010, שעוסקים בתרבות תורנית ובקליטת עלייה. באותו היום אישרה מועצת העירייה את התבחינים שהוגשו לה (להלן - תבחיני נובמבר), ובכלל זה את השינויים הקלים שהוגשו לה ביום הדיון עצמו. </w:t>
      </w:r>
    </w:p>
    <w:p w:rsidR="00B767A7">
      <w:pPr>
        <w:spacing w:after="120" w:line="230" w:lineRule="exact"/>
        <w:jc w:val="both"/>
        <w:rPr>
          <w:rFonts w:cs="FrankRuehl"/>
          <w:sz w:val="20"/>
          <w:szCs w:val="22"/>
          <w:rtl/>
        </w:rPr>
      </w:pPr>
      <w:r>
        <w:rPr>
          <w:rFonts w:cs="FrankRuehl" w:hint="cs"/>
          <w:sz w:val="20"/>
          <w:szCs w:val="22"/>
          <w:rtl/>
        </w:rPr>
        <w:t xml:space="preserve">יוצא אפוא כי מועצת העירייה אישרה תבחינים יותר מחודשיים לאחר שהייתה אמורה לסיים את הדיון בהם על פי נוהל תמיכות של משרד הפנים. </w:t>
      </w:r>
    </w:p>
    <w:p w:rsidR="00B767A7">
      <w:pPr>
        <w:spacing w:after="120" w:line="230" w:lineRule="exact"/>
        <w:jc w:val="both"/>
        <w:rPr>
          <w:rFonts w:cs="FrankRuehl"/>
          <w:sz w:val="20"/>
          <w:szCs w:val="22"/>
          <w:rtl/>
        </w:rPr>
      </w:pPr>
      <w:r>
        <w:rPr>
          <w:rFonts w:cs="FrankRuehl" w:hint="cs"/>
          <w:sz w:val="20"/>
          <w:szCs w:val="22"/>
          <w:rtl/>
        </w:rPr>
        <w:t>בדיקת חלק מתבחיני נובמבר העלתה שהם שונים במקצת מהתבחינים שהוגשו למועצה ב-31.8.09 ומהתבחינים שהוקראו בישיבת המועצה בדיון שהתקיים ב-1.9.09. עוד נמצא כי שלא בהתאם לנוהל תמיכות לא ניתנה כנדרש חוות דעת של היועצת המשפטית לעירייה לגבי נוסח תבחיני נובמבר.</w:t>
      </w:r>
    </w:p>
    <w:p w:rsidR="00B767A7">
      <w:pPr>
        <w:spacing w:after="120" w:line="230" w:lineRule="exact"/>
        <w:jc w:val="both"/>
        <w:rPr>
          <w:rFonts w:cs="FrankRuehl"/>
          <w:sz w:val="20"/>
          <w:szCs w:val="22"/>
          <w:rtl/>
        </w:rPr>
      </w:pPr>
      <w:r w:rsidRPr="00324F05">
        <w:rPr>
          <w:rStyle w:val="Heading7Char"/>
          <w:rFonts w:cs="FrankRuehl" w:hint="cs"/>
          <w:b/>
          <w:bCs/>
          <w:spacing w:val="40"/>
          <w:sz w:val="20"/>
          <w:szCs w:val="22"/>
          <w:rtl/>
        </w:rPr>
        <w:t>התבחינים</w:t>
      </w:r>
      <w:r w:rsidRPr="00324F05">
        <w:rPr>
          <w:rStyle w:val="Heading7Char"/>
          <w:rFonts w:cs="FrankRuehl"/>
          <w:b/>
          <w:bCs/>
          <w:spacing w:val="40"/>
          <w:sz w:val="20"/>
          <w:szCs w:val="22"/>
          <w:rtl/>
        </w:rPr>
        <w:t xml:space="preserve"> </w:t>
      </w:r>
      <w:r w:rsidRPr="00324F05">
        <w:rPr>
          <w:rStyle w:val="Heading7Char"/>
          <w:rFonts w:cs="FrankRuehl" w:hint="cs"/>
          <w:b/>
          <w:bCs/>
          <w:spacing w:val="40"/>
          <w:sz w:val="20"/>
          <w:szCs w:val="22"/>
          <w:rtl/>
        </w:rPr>
        <w:t>לשנת</w:t>
      </w:r>
      <w:r w:rsidRPr="00324F05">
        <w:rPr>
          <w:rStyle w:val="Heading7Char"/>
          <w:rFonts w:cs="FrankRuehl"/>
          <w:b/>
          <w:bCs/>
          <w:spacing w:val="40"/>
          <w:sz w:val="20"/>
          <w:szCs w:val="22"/>
          <w:rtl/>
        </w:rPr>
        <w:t xml:space="preserve"> 2011</w:t>
      </w:r>
      <w:r w:rsidRPr="00324F05">
        <w:rPr>
          <w:rStyle w:val="Heading7Char"/>
          <w:rFonts w:cs="FrankRuehl" w:hint="cs"/>
          <w:b/>
          <w:bCs/>
          <w:spacing w:val="40"/>
          <w:sz w:val="20"/>
          <w:szCs w:val="22"/>
          <w:rtl/>
        </w:rPr>
        <w:t>:</w:t>
      </w:r>
      <w:r>
        <w:rPr>
          <w:rStyle w:val="Heading7Char"/>
          <w:rFonts w:cs="FrankRuehl" w:hint="cs"/>
          <w:sz w:val="20"/>
          <w:szCs w:val="22"/>
          <w:rtl/>
        </w:rPr>
        <w:t xml:space="preserve"> </w:t>
      </w:r>
      <w:r>
        <w:rPr>
          <w:rFonts w:cs="FrankRuehl" w:hint="cs"/>
          <w:sz w:val="20"/>
          <w:szCs w:val="22"/>
          <w:rtl/>
        </w:rPr>
        <w:t xml:space="preserve">הוועדה המקצועית לתמיכות אישרה את התבחינים לשנת 2011 רק ב-11.8.10, יותר מחודש לאחר המועד שבו היה עליה לאשרם. </w:t>
      </w:r>
    </w:p>
    <w:p w:rsidR="00B767A7">
      <w:pPr>
        <w:spacing w:after="120" w:line="230" w:lineRule="exact"/>
        <w:jc w:val="both"/>
        <w:rPr>
          <w:rFonts w:cs="FrankRuehl"/>
          <w:sz w:val="20"/>
          <w:szCs w:val="22"/>
          <w:rtl/>
        </w:rPr>
      </w:pPr>
      <w:r>
        <w:rPr>
          <w:rFonts w:cs="FrankRuehl" w:hint="cs"/>
          <w:sz w:val="20"/>
          <w:szCs w:val="22"/>
          <w:rtl/>
        </w:rPr>
        <w:t xml:space="preserve">ב-26.8.10 חיוותה היועצת המשפטית של העירייה את דעתה ולפיה שניים מהתבחינים (בנושא מימון בלתי מוגבל של הוצאות לחשמל ובנושא הסעות למוסדות חינוך) אינם סבירים ולכן אינם מתיישבים עם הוראות הדין. </w:t>
      </w:r>
    </w:p>
    <w:p w:rsidR="00B767A7">
      <w:pPr>
        <w:spacing w:after="120" w:line="230" w:lineRule="exact"/>
        <w:jc w:val="both"/>
        <w:rPr>
          <w:rFonts w:cs="FrankRuehl"/>
          <w:sz w:val="20"/>
          <w:szCs w:val="22"/>
          <w:rtl/>
        </w:rPr>
      </w:pPr>
      <w:r>
        <w:rPr>
          <w:rFonts w:cs="FrankRuehl" w:hint="cs"/>
          <w:sz w:val="20"/>
          <w:szCs w:val="22"/>
          <w:rtl/>
        </w:rPr>
        <w:t>מועצת העירייה דנה בתבחינים לשנת 2011 רק ב-29.8.10, לאמור: יומיים לפני המועד האחרון שבו היה באפשרותה לאשרם (על פי נוהל משרד הפנים).</w:t>
      </w:r>
    </w:p>
    <w:p w:rsidR="00B767A7">
      <w:pPr>
        <w:spacing w:after="120" w:line="230" w:lineRule="exact"/>
        <w:jc w:val="both"/>
        <w:rPr>
          <w:rFonts w:cs="FrankRuehl"/>
          <w:sz w:val="20"/>
          <w:szCs w:val="22"/>
          <w:rtl/>
        </w:rPr>
      </w:pPr>
      <w:r>
        <w:rPr>
          <w:rFonts w:cs="FrankRuehl" w:hint="cs"/>
          <w:sz w:val="20"/>
          <w:szCs w:val="22"/>
          <w:rtl/>
        </w:rPr>
        <w:t>בעת הדיון במועצה העלתה היועצת המשפטית דאז של העירייה את נושא הפגיעה בעקרון השוויון במסגרת מתן תמיכות למימון הוצאות החשמל וההסעות וציינה כי צריך לשנות את התבחינים האמורים. מועצת העירייה אישרה את התבחינים ללא השינוי הנדרש.</w:t>
      </w:r>
    </w:p>
    <w:p w:rsidR="00B767A7">
      <w:pPr>
        <w:spacing w:after="120" w:line="230" w:lineRule="exact"/>
        <w:jc w:val="both"/>
        <w:rPr>
          <w:rFonts w:cs="FrankRuehl"/>
          <w:sz w:val="20"/>
          <w:szCs w:val="22"/>
          <w:rtl/>
        </w:rPr>
      </w:pPr>
      <w:r>
        <w:rPr>
          <w:rFonts w:cs="FrankRuehl" w:hint="cs"/>
          <w:sz w:val="20"/>
          <w:szCs w:val="22"/>
          <w:rtl/>
        </w:rPr>
        <w:t>בהקשר זה של לוחות הזמנים הדוחקים אמר בדיון מנכ"ל העירייה דאז: "והיה וזה לא מאושר עד ה-1 בספטמבר, ואני לא מלחיץ אתכם, לא תהיינה תמיכות ב-2011".</w:t>
      </w:r>
    </w:p>
    <w:p w:rsidR="00B767A7">
      <w:pPr>
        <w:spacing w:after="120" w:line="230" w:lineRule="exact"/>
        <w:jc w:val="both"/>
        <w:rPr>
          <w:rFonts w:cs="FrankRuehl"/>
          <w:sz w:val="20"/>
          <w:szCs w:val="22"/>
          <w:rtl/>
        </w:rPr>
      </w:pPr>
      <w:r>
        <w:rPr>
          <w:rFonts w:cs="FrankRuehl" w:hint="cs"/>
          <w:sz w:val="20"/>
          <w:szCs w:val="22"/>
          <w:rtl/>
        </w:rPr>
        <w:t xml:space="preserve">באותו דיון אמר אחד מחברי המועצה: "הייתם צריכים לעשות את זה הרבה קודם, בצורה מסודרת. לא להגיד לנו עכשיו 'אם לא תחליטו - אין תבחינים'". </w:t>
      </w:r>
    </w:p>
    <w:p w:rsidR="00B767A7" w:rsidP="00C01441">
      <w:pPr>
        <w:spacing w:after="240" w:line="230" w:lineRule="exact"/>
        <w:jc w:val="both"/>
        <w:rPr>
          <w:rFonts w:cs="FrankRuehl"/>
          <w:sz w:val="20"/>
          <w:szCs w:val="22"/>
          <w:rtl/>
        </w:rPr>
      </w:pPr>
      <w:r>
        <w:rPr>
          <w:rFonts w:cs="FrankRuehl" w:hint="cs"/>
          <w:sz w:val="20"/>
          <w:szCs w:val="22"/>
          <w:rtl/>
        </w:rPr>
        <w:t xml:space="preserve">עולה אפוא כי מועצת העירייה דנה בתבחינים ואישרה אותם באותו יום, אף שידעה כי היועצת המשפטית של העירייה לא אישרה חלק מהם. </w:t>
      </w:r>
    </w:p>
    <w:p w:rsidR="00B767A7" w:rsidP="00C01441">
      <w:pPr>
        <w:pStyle w:val="RESHET"/>
        <w:rPr>
          <w:rtl/>
        </w:rPr>
      </w:pPr>
      <w:r>
        <w:rPr>
          <w:rFonts w:hint="cs"/>
          <w:rtl/>
        </w:rPr>
        <w:t xml:space="preserve">משרד מבקר המדינה מעיר לעירייה כי אישור התבחינים בידי היועצת המשפטית לעירייה הוא תנאי הכרחי לפני הבאתם לאישור מועצת העירייה. לפני שהביאה הוועדה המקצועית לתמיכות את התבחינים לאישור מועצת העירייה, היה עליה לשוב ולדון בשינוי הנדרש בתבחינים שפסלה היועצת המשפטית. לכאורה התבחינים, ללא השינוי הנדרש בהם, הובאו לאישור המועצה באותו מועד מאחר שלפי לוחות הזמנים נדרש אישור המועצה עד 1.9.10. עוד מעיר משרד מבקר המדינה כי בשל דחיית הדיון בנושא התבחינים לסוף אוגוסט כבר לא היה אפשר לבצע בהם שינויים במידת הצורך. על העירייה אפוא להקפיד לעמוד בלוחות הזמנים על מנת שתוכל לקיים קודם האישור דיון מעמיק בנושא התבחינים. </w:t>
      </w:r>
    </w:p>
    <w:p w:rsidR="00B767A7" w:rsidP="00C01441">
      <w:pPr>
        <w:spacing w:before="180" w:after="120" w:line="230" w:lineRule="exact"/>
        <w:jc w:val="both"/>
        <w:rPr>
          <w:rFonts w:cs="FrankRuehl"/>
          <w:sz w:val="20"/>
          <w:szCs w:val="22"/>
          <w:rtl/>
        </w:rPr>
      </w:pPr>
      <w:r>
        <w:rPr>
          <w:rFonts w:cs="FrankRuehl" w:hint="cs"/>
          <w:sz w:val="20"/>
          <w:szCs w:val="22"/>
          <w:rtl/>
        </w:rPr>
        <w:t>בעקבות כך שהיועצת המשפטית פסלה את התבחינים העוסקים בנושא החשמל וההסעות למוסדות חינוך ובוצעו שינויים בתבחינים נוספים, קיימה הוועדה המקצועית לתמיכות דיון בנושא באוקטובר 2010 ושני דיונים בנובמבר 2010. מועצת העירייה אישרה בדצמבר 2010 את שינוי התבחינים</w:t>
      </w:r>
      <w:r>
        <w:rPr>
          <w:rStyle w:val="FootnoteReference"/>
          <w:rFonts w:cs="FrankRuehl"/>
          <w:sz w:val="20"/>
          <w:szCs w:val="22"/>
          <w:rtl/>
        </w:rPr>
        <w:footnoteReference w:id="29"/>
      </w:r>
      <w:r>
        <w:rPr>
          <w:rFonts w:cs="FrankRuehl" w:hint="cs"/>
          <w:sz w:val="20"/>
          <w:szCs w:val="22"/>
          <w:rtl/>
        </w:rPr>
        <w:t>.</w:t>
      </w:r>
    </w:p>
    <w:p w:rsidR="00B767A7">
      <w:pPr>
        <w:spacing w:after="120" w:line="230" w:lineRule="exact"/>
        <w:jc w:val="both"/>
        <w:rPr>
          <w:rFonts w:cs="FrankRuehl"/>
          <w:sz w:val="20"/>
          <w:szCs w:val="22"/>
          <w:rtl/>
        </w:rPr>
      </w:pPr>
      <w:r>
        <w:rPr>
          <w:rFonts w:cs="FrankRuehl" w:hint="cs"/>
          <w:sz w:val="20"/>
          <w:szCs w:val="22"/>
          <w:rtl/>
        </w:rPr>
        <w:t xml:space="preserve">נמצא כי לפרוטוקול המועצה לא צורפה כנדרש חוות דעת של היועצת המשפטית הנוכחית של העירייה, שמכהנת בתפקיד מאוקטובר 2010; כמו כן אין בפרוטוקול הדיון התייחסות שלה לחוות הדעת. </w:t>
      </w:r>
    </w:p>
    <w:p w:rsidR="00B767A7">
      <w:pPr>
        <w:spacing w:after="120" w:line="230" w:lineRule="exact"/>
        <w:jc w:val="both"/>
        <w:rPr>
          <w:rFonts w:cs="FrankRuehl"/>
          <w:sz w:val="20"/>
          <w:szCs w:val="22"/>
          <w:rtl/>
        </w:rPr>
      </w:pPr>
      <w:r w:rsidRPr="00324F05">
        <w:rPr>
          <w:rStyle w:val="Heading7Char"/>
          <w:rFonts w:cs="FrankRuehl" w:hint="cs"/>
          <w:b/>
          <w:bCs/>
          <w:spacing w:val="40"/>
          <w:sz w:val="20"/>
          <w:szCs w:val="22"/>
          <w:rtl/>
        </w:rPr>
        <w:t>התבחינים</w:t>
      </w:r>
      <w:r w:rsidRPr="00324F05">
        <w:rPr>
          <w:rStyle w:val="Heading7Char"/>
          <w:rFonts w:cs="FrankRuehl"/>
          <w:b/>
          <w:bCs/>
          <w:spacing w:val="40"/>
          <w:sz w:val="20"/>
          <w:szCs w:val="22"/>
          <w:rtl/>
        </w:rPr>
        <w:t xml:space="preserve"> </w:t>
      </w:r>
      <w:r w:rsidRPr="00324F05">
        <w:rPr>
          <w:rStyle w:val="Heading7Char"/>
          <w:rFonts w:cs="FrankRuehl" w:hint="cs"/>
          <w:b/>
          <w:bCs/>
          <w:spacing w:val="40"/>
          <w:sz w:val="20"/>
          <w:szCs w:val="22"/>
          <w:rtl/>
        </w:rPr>
        <w:t>לשנת</w:t>
      </w:r>
      <w:r w:rsidRPr="00324F05" w:rsidR="00C01441">
        <w:rPr>
          <w:rStyle w:val="Heading7Char"/>
          <w:rFonts w:cs="FrankRuehl"/>
          <w:b/>
          <w:bCs/>
          <w:spacing w:val="40"/>
          <w:sz w:val="20"/>
          <w:szCs w:val="22"/>
          <w:rtl/>
        </w:rPr>
        <w:t xml:space="preserve"> 2012</w:t>
      </w:r>
      <w:r w:rsidRPr="00324F05">
        <w:rPr>
          <w:rStyle w:val="Heading7Char"/>
          <w:rFonts w:cs="FrankRuehl"/>
          <w:b/>
          <w:bCs/>
          <w:spacing w:val="40"/>
          <w:sz w:val="20"/>
          <w:szCs w:val="22"/>
          <w:rtl/>
        </w:rPr>
        <w:t>:</w:t>
      </w:r>
      <w:r>
        <w:rPr>
          <w:rStyle w:val="Heading7Char"/>
          <w:rFonts w:cs="FrankRuehl"/>
          <w:sz w:val="20"/>
          <w:szCs w:val="22"/>
          <w:rtl/>
        </w:rPr>
        <w:t xml:space="preserve"> </w:t>
      </w:r>
      <w:r>
        <w:rPr>
          <w:rFonts w:cs="FrankRuehl" w:hint="cs"/>
          <w:sz w:val="20"/>
          <w:szCs w:val="22"/>
          <w:rtl/>
        </w:rPr>
        <w:t>בסוף אוגוסט 2011, חודש וחצי לאחר שהיה על הוועדה המקצועית לתמיכות להחליט אם לאשר את התבחינים לשנת 2012 על פי נוהל משרד הפנים, היא התכנסה לשני דיונים בנושא. רק ב-11.9.11 הגישה היועצת המשפטית של העירייה את חוות הדעת הנדרשת. באותו יום אישרה מועצת העירייה את התבחינים לשנת 2012. מאחר שעקב תקלה לא הוקלטה הישיבה, לא ניתן לדעת אם חברי המועצה היו ערים לכך שהם אישרו את התבחינים כשבועיים לאחר המועד האחרון שנקבע לאישורם.</w:t>
      </w:r>
    </w:p>
    <w:p w:rsidR="00B767A7" w:rsidP="00C01441">
      <w:pPr>
        <w:spacing w:after="120" w:line="230" w:lineRule="exact"/>
        <w:jc w:val="both"/>
        <w:rPr>
          <w:rFonts w:cs="FrankRuehl"/>
          <w:sz w:val="20"/>
          <w:szCs w:val="22"/>
          <w:rtl/>
        </w:rPr>
      </w:pPr>
      <w:r w:rsidRPr="00324F05">
        <w:rPr>
          <w:rStyle w:val="Heading7Char"/>
          <w:rFonts w:cs="FrankRuehl" w:hint="cs"/>
          <w:b/>
          <w:bCs/>
          <w:spacing w:val="40"/>
          <w:sz w:val="20"/>
          <w:szCs w:val="22"/>
          <w:rtl/>
        </w:rPr>
        <w:t>התבחינים</w:t>
      </w:r>
      <w:r w:rsidRPr="00324F05">
        <w:rPr>
          <w:rStyle w:val="Heading7Char"/>
          <w:rFonts w:cs="FrankRuehl"/>
          <w:b/>
          <w:bCs/>
          <w:spacing w:val="40"/>
          <w:sz w:val="20"/>
          <w:szCs w:val="22"/>
          <w:rtl/>
        </w:rPr>
        <w:t xml:space="preserve"> לשנת 2013:</w:t>
      </w:r>
      <w:r>
        <w:rPr>
          <w:rStyle w:val="Heading7Char"/>
          <w:rFonts w:cs="FrankRuehl"/>
          <w:sz w:val="20"/>
          <w:szCs w:val="22"/>
          <w:rtl/>
        </w:rPr>
        <w:t xml:space="preserve"> </w:t>
      </w:r>
      <w:r>
        <w:rPr>
          <w:rFonts w:cs="FrankRuehl" w:hint="cs"/>
          <w:sz w:val="20"/>
          <w:szCs w:val="22"/>
          <w:rtl/>
        </w:rPr>
        <w:t xml:space="preserve">ב-30.8.12 אישרה מועצת העירייה את </w:t>
      </w:r>
      <w:r>
        <w:rPr>
          <w:rFonts w:cs="FrankRuehl"/>
          <w:sz w:val="20"/>
          <w:szCs w:val="22"/>
          <w:rtl/>
        </w:rPr>
        <w:t>התבחינים לשנת</w:t>
      </w:r>
      <w:r>
        <w:rPr>
          <w:rFonts w:cs="FrankRuehl" w:hint="cs"/>
          <w:sz w:val="20"/>
          <w:szCs w:val="22"/>
          <w:rtl/>
        </w:rPr>
        <w:t xml:space="preserve"> 2013. </w:t>
      </w:r>
    </w:p>
    <w:p w:rsidR="00B767A7">
      <w:pPr>
        <w:spacing w:after="120" w:line="230" w:lineRule="exact"/>
        <w:jc w:val="both"/>
        <w:rPr>
          <w:rFonts w:cs="FrankRuehl"/>
          <w:sz w:val="20"/>
          <w:szCs w:val="22"/>
          <w:rtl/>
        </w:rPr>
      </w:pPr>
      <w:r>
        <w:rPr>
          <w:rFonts w:cs="FrankRuehl" w:hint="cs"/>
          <w:sz w:val="20"/>
          <w:szCs w:val="22"/>
          <w:rtl/>
        </w:rPr>
        <w:t xml:space="preserve">עניין המועד המאוחר שבו מובאים התבחינים לחברי מועצת העירייה עלה בישיבת המועצה בסוף שנת 2013, שבה חבר המועצה דאז, שבמועד סיום הביקורת שימש ראש העירייה, ביקש ממנכ"ל העירייה דאז לקבל את התבחינים בתחילת אוגוסט, בנמקו: "כן. זה קריטי, כן. כי תמיד מה שקורה, אנחנו מקבלים את זה ברגע האחרון, ואי אפשר לבדוק, ואחרי זה אי אפשר לשנות את זה. זה לא כמו פה, אנחנו נתקעים עם זה, ותמיד נאמר, הרי יש מועד אחרון, זה ה-1.9". </w:t>
      </w:r>
    </w:p>
    <w:p w:rsidR="00B767A7" w:rsidP="00C01441">
      <w:pPr>
        <w:spacing w:after="120" w:line="230" w:lineRule="exact"/>
        <w:jc w:val="both"/>
        <w:rPr>
          <w:rFonts w:cs="FrankRuehl"/>
          <w:sz w:val="20"/>
          <w:szCs w:val="22"/>
          <w:rtl/>
        </w:rPr>
      </w:pPr>
      <w:r w:rsidRPr="00324F05">
        <w:rPr>
          <w:rStyle w:val="Heading7Char"/>
          <w:rFonts w:cs="FrankRuehl" w:hint="cs"/>
          <w:b/>
          <w:bCs/>
          <w:spacing w:val="40"/>
          <w:sz w:val="20"/>
          <w:szCs w:val="22"/>
          <w:rtl/>
        </w:rPr>
        <w:t>התבחינים לשנת 2014</w:t>
      </w:r>
      <w:r w:rsidRPr="00324F05">
        <w:rPr>
          <w:rStyle w:val="Heading7Char"/>
          <w:rFonts w:cs="FrankRuehl"/>
          <w:b/>
          <w:bCs/>
          <w:spacing w:val="40"/>
          <w:sz w:val="20"/>
          <w:szCs w:val="22"/>
          <w:rtl/>
        </w:rPr>
        <w:t>:</w:t>
      </w:r>
      <w:r>
        <w:rPr>
          <w:rFonts w:cs="FrankRuehl"/>
          <w:sz w:val="20"/>
          <w:szCs w:val="22"/>
          <w:rtl/>
        </w:rPr>
        <w:t xml:space="preserve"> </w:t>
      </w:r>
      <w:r>
        <w:rPr>
          <w:rFonts w:cs="FrankRuehl" w:hint="cs"/>
          <w:sz w:val="20"/>
          <w:szCs w:val="22"/>
          <w:rtl/>
        </w:rPr>
        <w:t xml:space="preserve">ב-18.8.13 אישרה מועצת העירייה את </w:t>
      </w:r>
      <w:r>
        <w:rPr>
          <w:rFonts w:cs="FrankRuehl"/>
          <w:sz w:val="20"/>
          <w:szCs w:val="22"/>
          <w:rtl/>
        </w:rPr>
        <w:t>התבחינים לשנת</w:t>
      </w:r>
      <w:r>
        <w:rPr>
          <w:rFonts w:cs="FrankRuehl" w:hint="cs"/>
          <w:sz w:val="20"/>
          <w:szCs w:val="22"/>
          <w:rtl/>
        </w:rPr>
        <w:t xml:space="preserve"> 2014, בלא שנמצאה חוות דעת בעניינם מאת היועצת המשפטית של העירייה, אף שאישור התבחינים במועצת העירייה מותנה כאמור בקבלת חוות</w:t>
      </w:r>
      <w:r>
        <w:rPr>
          <w:rFonts w:cs="FrankRuehl"/>
          <w:sz w:val="20"/>
          <w:szCs w:val="22"/>
          <w:rtl/>
        </w:rPr>
        <w:t xml:space="preserve"> </w:t>
      </w:r>
      <w:r>
        <w:rPr>
          <w:rFonts w:cs="FrankRuehl" w:hint="cs"/>
          <w:sz w:val="20"/>
          <w:szCs w:val="22"/>
          <w:rtl/>
        </w:rPr>
        <w:t>דעתה</w:t>
      </w:r>
      <w:r>
        <w:rPr>
          <w:rFonts w:cs="FrankRuehl"/>
          <w:sz w:val="20"/>
          <w:szCs w:val="22"/>
          <w:rtl/>
        </w:rPr>
        <w:t>.</w:t>
      </w:r>
    </w:p>
    <w:p w:rsidR="00B767A7">
      <w:pPr>
        <w:spacing w:after="120" w:line="230" w:lineRule="exact"/>
        <w:ind w:left="2" w:hanging="2"/>
        <w:jc w:val="both"/>
        <w:rPr>
          <w:rFonts w:cs="FrankRuehl"/>
          <w:sz w:val="20"/>
          <w:szCs w:val="22"/>
        </w:rPr>
      </w:pPr>
      <w:r>
        <w:rPr>
          <w:rFonts w:cs="FrankRuehl" w:hint="cs"/>
          <w:sz w:val="20"/>
          <w:szCs w:val="22"/>
          <w:rtl/>
        </w:rPr>
        <w:t>העירייה מסרה בתשובתה כי להבא היא תקפיד יותר על לוחות הזמנים שנקבעו בחוזר מנכ"ל משרד הפנים.</w:t>
      </w:r>
    </w:p>
    <w:p w:rsidR="00B767A7">
      <w:pPr>
        <w:spacing w:after="120" w:line="230" w:lineRule="exact"/>
        <w:ind w:left="2" w:hanging="2"/>
        <w:jc w:val="both"/>
        <w:rPr>
          <w:rFonts w:cs="FrankRuehl"/>
          <w:sz w:val="20"/>
          <w:szCs w:val="22"/>
          <w:rtl/>
        </w:rPr>
      </w:pPr>
    </w:p>
    <w:p w:rsidR="00B767A7">
      <w:pPr>
        <w:pStyle w:val="KOT5"/>
        <w:rPr>
          <w:rtl/>
        </w:rPr>
      </w:pPr>
      <w:r>
        <w:rPr>
          <w:rFonts w:hint="cs"/>
          <w:rtl/>
        </w:rPr>
        <w:t>תמיכה בגני ילדים</w:t>
      </w:r>
    </w:p>
    <w:p w:rsidR="00B767A7">
      <w:pPr>
        <w:spacing w:after="120" w:line="230" w:lineRule="exact"/>
        <w:jc w:val="both"/>
        <w:rPr>
          <w:rFonts w:cs="FrankRuehl"/>
          <w:sz w:val="20"/>
          <w:szCs w:val="22"/>
          <w:rtl/>
        </w:rPr>
      </w:pPr>
      <w:r>
        <w:rPr>
          <w:rFonts w:cs="FrankRuehl" w:hint="cs"/>
          <w:sz w:val="20"/>
          <w:szCs w:val="22"/>
          <w:rtl/>
        </w:rPr>
        <w:t>עיריית פתח תקווה תמכה בעמותות המפעילות גני ילדים טרום-חובה</w:t>
      </w:r>
      <w:r>
        <w:rPr>
          <w:rStyle w:val="FootnoteReference"/>
          <w:rFonts w:cs="FrankRuehl"/>
          <w:sz w:val="20"/>
          <w:szCs w:val="22"/>
          <w:rtl/>
        </w:rPr>
        <w:footnoteReference w:id="30"/>
      </w:r>
      <w:r>
        <w:rPr>
          <w:rFonts w:cs="FrankRuehl" w:hint="cs"/>
          <w:sz w:val="20"/>
          <w:szCs w:val="22"/>
          <w:rtl/>
        </w:rPr>
        <w:t xml:space="preserve">. להלן נתונים על התמיכות האלו </w:t>
      </w:r>
      <w:r>
        <w:rPr>
          <w:rFonts w:cs="FrankRuehl"/>
          <w:sz w:val="20"/>
          <w:szCs w:val="22"/>
          <w:rtl/>
        </w:rPr>
        <w:t xml:space="preserve">(באלפי </w:t>
      </w:r>
      <w:r>
        <w:rPr>
          <w:rFonts w:cs="FrankRuehl" w:hint="cs"/>
          <w:sz w:val="20"/>
          <w:szCs w:val="22"/>
          <w:rtl/>
        </w:rPr>
        <w:t>ש</w:t>
      </w:r>
      <w:r>
        <w:rPr>
          <w:rFonts w:cs="FrankRuehl"/>
          <w:sz w:val="20"/>
          <w:szCs w:val="22"/>
          <w:rtl/>
        </w:rPr>
        <w:t>"ח)</w:t>
      </w:r>
      <w:r>
        <w:rPr>
          <w:rFonts w:cs="FrankRuehl" w:hint="cs"/>
          <w:sz w:val="20"/>
          <w:szCs w:val="22"/>
          <w:rtl/>
        </w:rPr>
        <w:t xml:space="preserve"> בשנים 2013-2010:</w:t>
      </w:r>
    </w:p>
    <w:p w:rsidR="00C01441" w:rsidRPr="00324F05" w:rsidP="00324F05">
      <w:pPr>
        <w:pStyle w:val="tab-name"/>
        <w:rPr>
          <w:rtl/>
        </w:rPr>
      </w:pPr>
      <w:r w:rsidRPr="00324F05">
        <w:rPr>
          <w:rFonts w:hint="cs"/>
          <w:b w:val="0"/>
          <w:bCs w:val="0"/>
          <w:sz w:val="20"/>
          <w:szCs w:val="20"/>
          <w:rtl/>
        </w:rPr>
        <w:t>לוח 5</w:t>
      </w:r>
      <w:r w:rsidRPr="00324F05">
        <w:rPr>
          <w:b w:val="0"/>
          <w:bCs w:val="0"/>
          <w:sz w:val="20"/>
          <w:szCs w:val="20"/>
          <w:rtl/>
        </w:rPr>
        <w:br/>
      </w:r>
      <w:r w:rsidRPr="00324F05" w:rsidR="00324F05">
        <w:rPr>
          <w:rFonts w:hint="cs"/>
          <w:rtl/>
        </w:rPr>
        <w:t>תמיכת העירייה בגני ילדים בחינוך טרום חובה,</w:t>
      </w:r>
      <w:r w:rsidRPr="00324F05">
        <w:rPr>
          <w:rFonts w:hint="cs"/>
          <w:rtl/>
        </w:rPr>
        <w:t xml:space="preserve"> 2013-2010</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
      <w:tblGrid>
        <w:gridCol w:w="1306"/>
        <w:gridCol w:w="1347"/>
        <w:gridCol w:w="1346"/>
        <w:gridCol w:w="1346"/>
        <w:gridCol w:w="1346"/>
      </w:tblGrid>
      <w:tr w:rsidTr="00865613">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Ex>
        <w:trPr>
          <w:jc w:val="center"/>
        </w:trPr>
        <w:tc>
          <w:tcPr>
            <w:tcW w:w="1405" w:type="dxa"/>
            <w:tcBorders>
              <w:top w:val="single" w:sz="12" w:space="0" w:color="auto"/>
              <w:bottom w:val="single" w:sz="12" w:space="0" w:color="auto"/>
            </w:tcBorders>
            <w:shd w:val="pct10" w:color="auto" w:fill="FFFFFF"/>
          </w:tcPr>
          <w:p w:rsidR="005B7DA9" w:rsidRPr="00C01441" w:rsidP="00C01441">
            <w:pPr>
              <w:spacing w:before="40" w:after="40" w:line="220" w:lineRule="exact"/>
              <w:jc w:val="center"/>
              <w:rPr>
                <w:rFonts w:eastAsia="Calibri"/>
                <w:b/>
                <w:bCs/>
                <w:sz w:val="20"/>
                <w:szCs w:val="20"/>
                <w:rtl/>
              </w:rPr>
            </w:pPr>
          </w:p>
        </w:tc>
        <w:tc>
          <w:tcPr>
            <w:tcW w:w="1404" w:type="dxa"/>
            <w:tcBorders>
              <w:top w:val="single" w:sz="12" w:space="0" w:color="auto"/>
              <w:bottom w:val="single" w:sz="12" w:space="0" w:color="auto"/>
            </w:tcBorders>
            <w:shd w:val="pct10" w:color="auto" w:fill="FFFFFF"/>
          </w:tcPr>
          <w:p w:rsidR="005B7DA9" w:rsidRPr="00C01441" w:rsidP="00C01441">
            <w:pPr>
              <w:spacing w:before="40" w:after="40" w:line="220" w:lineRule="exact"/>
              <w:jc w:val="center"/>
              <w:rPr>
                <w:rFonts w:eastAsia="Calibri"/>
                <w:b/>
                <w:bCs/>
                <w:sz w:val="20"/>
                <w:szCs w:val="20"/>
                <w:rtl/>
              </w:rPr>
            </w:pPr>
            <w:r w:rsidRPr="00C01441">
              <w:rPr>
                <w:rFonts w:eastAsia="Calibri" w:cs="FrankRuehl" w:hint="cs"/>
                <w:b/>
                <w:bCs/>
                <w:sz w:val="20"/>
                <w:szCs w:val="20"/>
                <w:rtl/>
              </w:rPr>
              <w:t>2010</w:t>
            </w:r>
          </w:p>
        </w:tc>
        <w:tc>
          <w:tcPr>
            <w:tcW w:w="1403" w:type="dxa"/>
            <w:tcBorders>
              <w:top w:val="single" w:sz="12" w:space="0" w:color="auto"/>
              <w:bottom w:val="single" w:sz="12" w:space="0" w:color="auto"/>
            </w:tcBorders>
            <w:shd w:val="pct10" w:color="auto" w:fill="FFFFFF"/>
          </w:tcPr>
          <w:p w:rsidR="005B7DA9" w:rsidRPr="00C01441" w:rsidP="00C01441">
            <w:pPr>
              <w:spacing w:before="40" w:after="40" w:line="220" w:lineRule="exact"/>
              <w:jc w:val="center"/>
              <w:rPr>
                <w:rFonts w:eastAsia="Calibri"/>
                <w:b/>
                <w:bCs/>
                <w:sz w:val="20"/>
                <w:szCs w:val="20"/>
                <w:rtl/>
              </w:rPr>
            </w:pPr>
            <w:r w:rsidRPr="00C01441">
              <w:rPr>
                <w:rFonts w:eastAsia="Calibri" w:cs="FrankRuehl" w:hint="cs"/>
                <w:b/>
                <w:bCs/>
                <w:sz w:val="20"/>
                <w:szCs w:val="20"/>
                <w:rtl/>
              </w:rPr>
              <w:t>2011</w:t>
            </w:r>
          </w:p>
        </w:tc>
        <w:tc>
          <w:tcPr>
            <w:tcW w:w="1403" w:type="dxa"/>
            <w:tcBorders>
              <w:top w:val="single" w:sz="12" w:space="0" w:color="auto"/>
              <w:bottom w:val="single" w:sz="12" w:space="0" w:color="auto"/>
            </w:tcBorders>
            <w:shd w:val="pct10" w:color="auto" w:fill="FFFFFF"/>
          </w:tcPr>
          <w:p w:rsidR="005B7DA9" w:rsidRPr="00C01441" w:rsidP="00C01441">
            <w:pPr>
              <w:spacing w:before="40" w:after="40" w:line="220" w:lineRule="exact"/>
              <w:jc w:val="center"/>
              <w:rPr>
                <w:rFonts w:eastAsia="Calibri"/>
                <w:b/>
                <w:bCs/>
                <w:sz w:val="20"/>
                <w:szCs w:val="20"/>
                <w:rtl/>
              </w:rPr>
            </w:pPr>
            <w:r w:rsidRPr="00C01441">
              <w:rPr>
                <w:rFonts w:eastAsia="Calibri" w:cs="FrankRuehl" w:hint="cs"/>
                <w:b/>
                <w:bCs/>
                <w:sz w:val="20"/>
                <w:szCs w:val="20"/>
                <w:rtl/>
              </w:rPr>
              <w:t>2012</w:t>
            </w:r>
          </w:p>
        </w:tc>
        <w:tc>
          <w:tcPr>
            <w:tcW w:w="1403" w:type="dxa"/>
            <w:tcBorders>
              <w:top w:val="single" w:sz="12" w:space="0" w:color="auto"/>
              <w:bottom w:val="single" w:sz="12" w:space="0" w:color="auto"/>
            </w:tcBorders>
            <w:shd w:val="pct10" w:color="auto" w:fill="FFFFFF"/>
          </w:tcPr>
          <w:p w:rsidR="005B7DA9" w:rsidRPr="00C01441" w:rsidP="00C01441">
            <w:pPr>
              <w:spacing w:before="40" w:after="40" w:line="220" w:lineRule="exact"/>
              <w:jc w:val="center"/>
              <w:rPr>
                <w:rFonts w:eastAsia="Calibri"/>
                <w:b/>
                <w:bCs/>
                <w:sz w:val="20"/>
                <w:szCs w:val="20"/>
                <w:rtl/>
              </w:rPr>
            </w:pPr>
            <w:r w:rsidRPr="00C01441">
              <w:rPr>
                <w:rFonts w:eastAsia="Calibri" w:cs="FrankRuehl" w:hint="cs"/>
                <w:b/>
                <w:bCs/>
                <w:sz w:val="20"/>
                <w:szCs w:val="20"/>
                <w:rtl/>
              </w:rPr>
              <w:t>2013</w:t>
            </w:r>
          </w:p>
        </w:tc>
      </w:tr>
      <w:tr w:rsidTr="00DE227E">
        <w:tblPrEx>
          <w:tblW w:w="6691" w:type="dxa"/>
          <w:jc w:val="center"/>
          <w:tblLook w:val="04A0"/>
        </w:tblPrEx>
        <w:trPr>
          <w:jc w:val="center"/>
        </w:trPr>
        <w:tc>
          <w:tcPr>
            <w:tcW w:w="1405" w:type="dxa"/>
            <w:tcBorders>
              <w:top w:val="single" w:sz="12" w:space="0" w:color="auto"/>
            </w:tcBorders>
          </w:tcPr>
          <w:p w:rsidR="005B7DA9" w:rsidRPr="00C01441" w:rsidP="00C01441">
            <w:pPr>
              <w:spacing w:before="40" w:after="40" w:line="220" w:lineRule="exact"/>
              <w:jc w:val="both"/>
              <w:rPr>
                <w:rFonts w:eastAsia="Calibri"/>
                <w:sz w:val="20"/>
                <w:szCs w:val="20"/>
                <w:rtl/>
              </w:rPr>
            </w:pPr>
            <w:r w:rsidRPr="00C01441">
              <w:rPr>
                <w:rFonts w:eastAsia="Calibri" w:cs="FrankRuehl" w:hint="cs"/>
                <w:sz w:val="20"/>
                <w:szCs w:val="20"/>
                <w:rtl/>
              </w:rPr>
              <w:t>מס' הילדים</w:t>
            </w:r>
          </w:p>
        </w:tc>
        <w:tc>
          <w:tcPr>
            <w:tcW w:w="1404" w:type="dxa"/>
            <w:tcBorders>
              <w:top w:val="single" w:sz="12" w:space="0" w:color="auto"/>
            </w:tcBorders>
          </w:tcPr>
          <w:p w:rsidR="005B7DA9" w:rsidRPr="00C01441" w:rsidP="00DE227E">
            <w:pPr>
              <w:spacing w:before="40" w:after="40" w:line="220" w:lineRule="exact"/>
              <w:ind w:left="454"/>
              <w:jc w:val="both"/>
              <w:rPr>
                <w:rFonts w:eastAsia="Calibri"/>
                <w:sz w:val="20"/>
                <w:szCs w:val="20"/>
                <w:rtl/>
              </w:rPr>
            </w:pPr>
            <w:r w:rsidRPr="00C01441">
              <w:rPr>
                <w:rFonts w:eastAsia="Calibri" w:cs="FrankRuehl" w:hint="cs"/>
                <w:sz w:val="20"/>
                <w:szCs w:val="20"/>
                <w:rtl/>
              </w:rPr>
              <w:t>1,237</w:t>
            </w:r>
          </w:p>
        </w:tc>
        <w:tc>
          <w:tcPr>
            <w:tcW w:w="1403" w:type="dxa"/>
            <w:tcBorders>
              <w:top w:val="single" w:sz="12" w:space="0" w:color="auto"/>
            </w:tcBorders>
          </w:tcPr>
          <w:p w:rsidR="005B7DA9" w:rsidRPr="00C01441" w:rsidP="00DE227E">
            <w:pPr>
              <w:spacing w:before="40" w:after="40" w:line="220" w:lineRule="exact"/>
              <w:ind w:left="454"/>
              <w:jc w:val="both"/>
              <w:rPr>
                <w:rFonts w:eastAsia="Calibri"/>
                <w:sz w:val="20"/>
                <w:szCs w:val="20"/>
                <w:rtl/>
              </w:rPr>
            </w:pPr>
            <w:r w:rsidRPr="00C01441">
              <w:rPr>
                <w:rFonts w:eastAsia="Calibri" w:cs="FrankRuehl" w:hint="cs"/>
                <w:sz w:val="20"/>
                <w:szCs w:val="20"/>
                <w:rtl/>
              </w:rPr>
              <w:t>1,219</w:t>
            </w:r>
          </w:p>
        </w:tc>
        <w:tc>
          <w:tcPr>
            <w:tcW w:w="1403" w:type="dxa"/>
            <w:tcBorders>
              <w:top w:val="single" w:sz="12" w:space="0" w:color="auto"/>
            </w:tcBorders>
          </w:tcPr>
          <w:p w:rsidR="005B7DA9" w:rsidRPr="00C01441" w:rsidP="00DE227E">
            <w:pPr>
              <w:spacing w:before="40" w:after="40" w:line="220" w:lineRule="exact"/>
              <w:ind w:left="454"/>
              <w:jc w:val="both"/>
              <w:rPr>
                <w:rFonts w:eastAsia="Calibri"/>
                <w:sz w:val="20"/>
                <w:szCs w:val="20"/>
                <w:rtl/>
              </w:rPr>
            </w:pPr>
            <w:r w:rsidRPr="00C01441">
              <w:rPr>
                <w:rFonts w:eastAsia="Calibri" w:cs="FrankRuehl" w:hint="cs"/>
                <w:sz w:val="20"/>
                <w:szCs w:val="20"/>
                <w:rtl/>
              </w:rPr>
              <w:t>1,637</w:t>
            </w:r>
          </w:p>
        </w:tc>
        <w:tc>
          <w:tcPr>
            <w:tcW w:w="1403" w:type="dxa"/>
            <w:tcBorders>
              <w:top w:val="single" w:sz="12" w:space="0" w:color="auto"/>
            </w:tcBorders>
          </w:tcPr>
          <w:p w:rsidR="005B7DA9" w:rsidRPr="00C01441" w:rsidP="00DE227E">
            <w:pPr>
              <w:spacing w:before="40" w:after="40" w:line="220" w:lineRule="exact"/>
              <w:ind w:left="454"/>
              <w:jc w:val="both"/>
              <w:rPr>
                <w:rFonts w:eastAsia="Calibri"/>
                <w:sz w:val="20"/>
                <w:szCs w:val="20"/>
                <w:rtl/>
              </w:rPr>
            </w:pPr>
            <w:r w:rsidRPr="00C01441">
              <w:rPr>
                <w:rFonts w:eastAsia="Calibri" w:cs="FrankRuehl" w:hint="cs"/>
                <w:sz w:val="20"/>
                <w:szCs w:val="20"/>
                <w:rtl/>
              </w:rPr>
              <w:t>1,175</w:t>
            </w:r>
          </w:p>
        </w:tc>
      </w:tr>
      <w:tr w:rsidTr="00DE227E">
        <w:tblPrEx>
          <w:tblW w:w="6691" w:type="dxa"/>
          <w:jc w:val="center"/>
          <w:tblLook w:val="04A0"/>
        </w:tblPrEx>
        <w:trPr>
          <w:jc w:val="center"/>
        </w:trPr>
        <w:tc>
          <w:tcPr>
            <w:tcW w:w="1405" w:type="dxa"/>
          </w:tcPr>
          <w:p w:rsidR="005B7DA9" w:rsidRPr="00C01441" w:rsidP="00C01441">
            <w:pPr>
              <w:spacing w:before="40" w:after="40" w:line="220" w:lineRule="exact"/>
              <w:jc w:val="both"/>
              <w:rPr>
                <w:rFonts w:eastAsia="Calibri"/>
                <w:sz w:val="20"/>
                <w:szCs w:val="20"/>
                <w:rtl/>
              </w:rPr>
            </w:pPr>
            <w:r w:rsidRPr="00C01441">
              <w:rPr>
                <w:rFonts w:eastAsia="Calibri" w:cs="FrankRuehl" w:hint="cs"/>
                <w:sz w:val="20"/>
                <w:szCs w:val="20"/>
                <w:rtl/>
              </w:rPr>
              <w:t>מס' העמותות</w:t>
            </w:r>
          </w:p>
        </w:tc>
        <w:tc>
          <w:tcPr>
            <w:tcW w:w="1404" w:type="dxa"/>
          </w:tcPr>
          <w:p w:rsidR="005B7DA9" w:rsidRPr="00C01441" w:rsidP="00DE227E">
            <w:pPr>
              <w:spacing w:before="40" w:after="40" w:line="220" w:lineRule="exact"/>
              <w:ind w:left="454"/>
              <w:jc w:val="both"/>
              <w:rPr>
                <w:rFonts w:eastAsia="Calibri"/>
                <w:sz w:val="20"/>
                <w:szCs w:val="20"/>
                <w:rtl/>
              </w:rPr>
            </w:pPr>
            <w:r w:rsidRPr="00C01441">
              <w:rPr>
                <w:rFonts w:eastAsia="Calibri" w:cs="FrankRuehl" w:hint="cs"/>
                <w:sz w:val="20"/>
                <w:szCs w:val="20"/>
                <w:rtl/>
              </w:rPr>
              <w:t>15</w:t>
            </w:r>
          </w:p>
        </w:tc>
        <w:tc>
          <w:tcPr>
            <w:tcW w:w="1403" w:type="dxa"/>
          </w:tcPr>
          <w:p w:rsidR="005B7DA9" w:rsidRPr="00C01441" w:rsidP="00DE227E">
            <w:pPr>
              <w:spacing w:before="40" w:after="40" w:line="220" w:lineRule="exact"/>
              <w:ind w:left="454"/>
              <w:jc w:val="both"/>
              <w:rPr>
                <w:rFonts w:eastAsia="Calibri"/>
                <w:sz w:val="20"/>
                <w:szCs w:val="20"/>
                <w:rtl/>
              </w:rPr>
            </w:pPr>
            <w:r w:rsidRPr="00C01441">
              <w:rPr>
                <w:rFonts w:eastAsia="Calibri" w:cs="FrankRuehl" w:hint="cs"/>
                <w:sz w:val="20"/>
                <w:szCs w:val="20"/>
                <w:rtl/>
              </w:rPr>
              <w:t>12</w:t>
            </w:r>
          </w:p>
        </w:tc>
        <w:tc>
          <w:tcPr>
            <w:tcW w:w="1403" w:type="dxa"/>
          </w:tcPr>
          <w:p w:rsidR="005B7DA9" w:rsidRPr="00C01441" w:rsidP="00DE227E">
            <w:pPr>
              <w:spacing w:before="40" w:after="40" w:line="220" w:lineRule="exact"/>
              <w:ind w:left="454"/>
              <w:jc w:val="both"/>
              <w:rPr>
                <w:rFonts w:eastAsia="Calibri"/>
                <w:sz w:val="20"/>
                <w:szCs w:val="20"/>
                <w:rtl/>
              </w:rPr>
            </w:pPr>
            <w:r w:rsidRPr="00C01441">
              <w:rPr>
                <w:rFonts w:eastAsia="Calibri" w:cs="FrankRuehl" w:hint="cs"/>
                <w:sz w:val="20"/>
                <w:szCs w:val="20"/>
                <w:rtl/>
              </w:rPr>
              <w:t>14</w:t>
            </w:r>
          </w:p>
        </w:tc>
        <w:tc>
          <w:tcPr>
            <w:tcW w:w="1403" w:type="dxa"/>
          </w:tcPr>
          <w:p w:rsidR="005B7DA9" w:rsidRPr="00C01441" w:rsidP="00DE227E">
            <w:pPr>
              <w:spacing w:before="40" w:after="40" w:line="220" w:lineRule="exact"/>
              <w:ind w:left="454"/>
              <w:jc w:val="both"/>
              <w:rPr>
                <w:rFonts w:eastAsia="Calibri"/>
                <w:sz w:val="20"/>
                <w:szCs w:val="20"/>
                <w:rtl/>
              </w:rPr>
            </w:pPr>
            <w:r w:rsidRPr="00C01441">
              <w:rPr>
                <w:rFonts w:eastAsia="Calibri" w:cs="FrankRuehl" w:hint="cs"/>
                <w:sz w:val="20"/>
                <w:szCs w:val="20"/>
                <w:rtl/>
              </w:rPr>
              <w:t>14</w:t>
            </w:r>
          </w:p>
        </w:tc>
      </w:tr>
      <w:tr w:rsidTr="00DE227E">
        <w:tblPrEx>
          <w:tblW w:w="6691" w:type="dxa"/>
          <w:jc w:val="center"/>
          <w:tblLook w:val="04A0"/>
        </w:tblPrEx>
        <w:trPr>
          <w:jc w:val="center"/>
        </w:trPr>
        <w:tc>
          <w:tcPr>
            <w:tcW w:w="1405" w:type="dxa"/>
          </w:tcPr>
          <w:p w:rsidR="005B7DA9" w:rsidRPr="00C01441" w:rsidP="00C01441">
            <w:pPr>
              <w:spacing w:before="40" w:after="40" w:line="220" w:lineRule="exact"/>
              <w:jc w:val="both"/>
              <w:rPr>
                <w:rFonts w:eastAsia="Calibri" w:cs="FrankRuehl"/>
                <w:sz w:val="20"/>
                <w:szCs w:val="20"/>
                <w:rtl/>
              </w:rPr>
            </w:pPr>
            <w:r w:rsidRPr="00C01441">
              <w:rPr>
                <w:rFonts w:eastAsia="Calibri" w:cs="FrankRuehl" w:hint="cs"/>
                <w:sz w:val="20"/>
                <w:szCs w:val="20"/>
                <w:rtl/>
              </w:rPr>
              <w:t>הסכום</w:t>
            </w:r>
          </w:p>
        </w:tc>
        <w:tc>
          <w:tcPr>
            <w:tcW w:w="1404" w:type="dxa"/>
          </w:tcPr>
          <w:p w:rsidR="005B7DA9" w:rsidRPr="00C01441" w:rsidP="00DE227E">
            <w:pPr>
              <w:spacing w:before="40" w:after="40" w:line="220" w:lineRule="exact"/>
              <w:ind w:left="454"/>
              <w:jc w:val="both"/>
              <w:rPr>
                <w:rFonts w:eastAsia="Calibri"/>
                <w:sz w:val="20"/>
                <w:szCs w:val="20"/>
                <w:rtl/>
              </w:rPr>
            </w:pPr>
            <w:r w:rsidRPr="00C01441">
              <w:rPr>
                <w:rFonts w:eastAsia="Calibri" w:cs="FrankRuehl" w:hint="cs"/>
                <w:sz w:val="20"/>
                <w:szCs w:val="20"/>
                <w:rtl/>
              </w:rPr>
              <w:t>1,371</w:t>
            </w:r>
          </w:p>
        </w:tc>
        <w:tc>
          <w:tcPr>
            <w:tcW w:w="1403" w:type="dxa"/>
          </w:tcPr>
          <w:p w:rsidR="005B7DA9" w:rsidRPr="00C01441" w:rsidP="00DE227E">
            <w:pPr>
              <w:spacing w:before="40" w:after="40" w:line="220" w:lineRule="exact"/>
              <w:ind w:left="454"/>
              <w:jc w:val="both"/>
              <w:rPr>
                <w:rFonts w:eastAsia="Calibri"/>
                <w:sz w:val="20"/>
                <w:szCs w:val="20"/>
                <w:rtl/>
              </w:rPr>
            </w:pPr>
            <w:r w:rsidRPr="00C01441">
              <w:rPr>
                <w:rFonts w:eastAsia="Calibri" w:cs="FrankRuehl" w:hint="cs"/>
                <w:sz w:val="20"/>
                <w:szCs w:val="20"/>
                <w:rtl/>
              </w:rPr>
              <w:t>1,818</w:t>
            </w:r>
          </w:p>
        </w:tc>
        <w:tc>
          <w:tcPr>
            <w:tcW w:w="1403" w:type="dxa"/>
          </w:tcPr>
          <w:p w:rsidR="005B7DA9" w:rsidRPr="00C01441" w:rsidP="00DE227E">
            <w:pPr>
              <w:spacing w:before="40" w:after="40" w:line="220" w:lineRule="exact"/>
              <w:ind w:left="454"/>
              <w:jc w:val="both"/>
              <w:rPr>
                <w:rFonts w:eastAsia="Calibri"/>
                <w:sz w:val="20"/>
                <w:szCs w:val="20"/>
                <w:rtl/>
              </w:rPr>
            </w:pPr>
            <w:r w:rsidRPr="00C01441">
              <w:rPr>
                <w:rFonts w:eastAsia="Calibri" w:cs="FrankRuehl" w:hint="cs"/>
                <w:sz w:val="20"/>
                <w:szCs w:val="20"/>
                <w:rtl/>
              </w:rPr>
              <w:t>2,310</w:t>
            </w:r>
          </w:p>
        </w:tc>
        <w:tc>
          <w:tcPr>
            <w:tcW w:w="1403" w:type="dxa"/>
          </w:tcPr>
          <w:p w:rsidR="005B7DA9" w:rsidRPr="00C01441" w:rsidP="00DE227E">
            <w:pPr>
              <w:spacing w:before="40" w:after="40" w:line="220" w:lineRule="exact"/>
              <w:ind w:left="454"/>
              <w:jc w:val="both"/>
              <w:rPr>
                <w:rFonts w:eastAsia="Calibri"/>
                <w:sz w:val="20"/>
                <w:szCs w:val="20"/>
                <w:rtl/>
              </w:rPr>
            </w:pPr>
            <w:r w:rsidRPr="00C01441">
              <w:rPr>
                <w:rFonts w:eastAsia="Calibri" w:cs="FrankRuehl" w:hint="cs"/>
                <w:sz w:val="20"/>
                <w:szCs w:val="20"/>
                <w:rtl/>
              </w:rPr>
              <w:t>2,163</w:t>
            </w:r>
          </w:p>
        </w:tc>
      </w:tr>
    </w:tbl>
    <w:p w:rsidR="00B767A7" w:rsidRPr="00DE227E" w:rsidP="00DE227E">
      <w:pPr>
        <w:pStyle w:val="BodyText"/>
        <w:spacing w:before="240"/>
        <w:rPr>
          <w:sz w:val="20"/>
          <w:rtl/>
        </w:rPr>
      </w:pPr>
      <w:r w:rsidRPr="00DE227E">
        <w:rPr>
          <w:rFonts w:hint="cs"/>
          <w:sz w:val="20"/>
          <w:rtl/>
        </w:rPr>
        <w:t xml:space="preserve">העירייה תמכה בעמותות המפעילות את גני הילדים הללו על פי "ניקוד פר תלמיד" (ראו להלן) וכן באמצעות הסעות ומימון שכירות ושיפוצי קיץ. בתבחינים לשנת 2010 היה הניקוד פר תלמיד 1.25 נקודות לגן טרום-חובה. בתבחינים לשנת 2011 הועלה הניקוד פר תלמיד ל-2 נקודות. בדיון שקיימה הוועדה המקצועית לתמיכות בנובמבר 2011 סוכם כי בתבחינים לשנת 2012 יועלה הניקוד פר תלמיד לגני ילדים ל- 2.5 נקודות. </w:t>
      </w:r>
    </w:p>
    <w:p w:rsidR="00B767A7" w:rsidP="00DE227E">
      <w:pPr>
        <w:spacing w:after="240" w:line="230" w:lineRule="exact"/>
        <w:jc w:val="both"/>
        <w:rPr>
          <w:rFonts w:cs="FrankRuehl"/>
          <w:sz w:val="20"/>
          <w:szCs w:val="22"/>
          <w:rtl/>
        </w:rPr>
      </w:pPr>
      <w:r>
        <w:rPr>
          <w:rFonts w:cs="FrankRuehl" w:hint="cs"/>
          <w:sz w:val="20"/>
          <w:szCs w:val="22"/>
          <w:rtl/>
        </w:rPr>
        <w:t xml:space="preserve">נמצא כי בפרוטוקולים של הוועדה המקצועית לתמיכות ושל מועצת העירייה לא הובאו נימוקים והסברים להעלאת הניקוד האמור לגני ילדים טרום-חובה. עוד נמצא כי משנת 2009, השנה שבה החלה העירייה ליישם את חוק נהרי ובעקבות כך עשתה שינויים גם בשיעורי התמיכות בחינוך במסלול התמיכות, לא התקיים בפורומים האמורים דיון וממילא העירייה לא הסבירה לחברי המועצה מדוע היא סבורה שראוי כי היא תשתתף בתקצוב עמותות המפעילות גני ילדים טרום-חובה במסגרות החינוך המוכר ומוסדות הפטור. </w:t>
      </w:r>
    </w:p>
    <w:p w:rsidR="00B767A7" w:rsidP="00DE227E">
      <w:pPr>
        <w:pStyle w:val="RESHET"/>
        <w:rPr>
          <w:rtl/>
        </w:rPr>
      </w:pPr>
      <w:r>
        <w:rPr>
          <w:rFonts w:hint="cs"/>
          <w:rtl/>
        </w:rPr>
        <w:t>משרד מבקר המדינה מעיר לעירייה כי מתן תמיכות לעמותות המפעילות גני ילדים טרום-חובה פוגע בשוויון, שכן עד שיושמו מסקנות ועדת טרכטנברג</w:t>
      </w:r>
      <w:r>
        <w:rPr>
          <w:rStyle w:val="FootnoteReference"/>
          <w:rFonts w:cs="FrankRuehl"/>
          <w:b w:val="0"/>
          <w:bCs w:val="0"/>
          <w:rtl/>
        </w:rPr>
        <w:footnoteReference w:id="31"/>
      </w:r>
      <w:r>
        <w:rPr>
          <w:rFonts w:hint="cs"/>
          <w:rtl/>
        </w:rPr>
        <w:t xml:space="preserve"> בתחילת שנת הלימודים התשע"ג (ספטמבר 2012) לא היו די כיתות לימוד וגנים עירוניים שישמשו את כלל אוכלוסיית הילדים בגילי טרום-חובה בפתח תקווה. בכל אותן שנים השתתפה העירייה בתקציבי עמותות ממגזרים מסוימים, שהפעילו גני ילדים טרום-חובה, וכן מימנה שיפוצי קיץ ושכירות, ואילו חלק לא מבוטל מאוכלוסיית פתח תקווה שאינו שייך למגזרים הללו שילם עבור גני ילדים פרטיים. </w:t>
      </w:r>
    </w:p>
    <w:p w:rsidR="00B767A7">
      <w:pPr>
        <w:pStyle w:val="KOT5"/>
        <w:rPr>
          <w:rtl/>
        </w:rPr>
      </w:pPr>
      <w:r>
        <w:rPr>
          <w:rFonts w:hint="cs"/>
          <w:rtl/>
        </w:rPr>
        <w:t>תמיכה באמצעות מימון הסעות</w:t>
      </w:r>
    </w:p>
    <w:p w:rsidR="00B767A7">
      <w:pPr>
        <w:spacing w:after="120" w:line="230" w:lineRule="exact"/>
        <w:jc w:val="both"/>
        <w:rPr>
          <w:rFonts w:cs="FrankRuehl"/>
          <w:sz w:val="20"/>
          <w:szCs w:val="22"/>
          <w:rtl/>
        </w:rPr>
      </w:pPr>
      <w:r>
        <w:rPr>
          <w:rFonts w:cs="FrankRuehl" w:hint="cs"/>
          <w:sz w:val="20"/>
          <w:szCs w:val="22"/>
          <w:rtl/>
        </w:rPr>
        <w:t xml:space="preserve">העירייה העבירה בשנים 2013-2010 תמיכות שיועדו להסעות למוסדות החינוך המוכרים בחטיבה העליונה (כיתות י'-י"ב) ולבתי ספר יסודיים שמוגדרים כמוסדות פטור. להלן נתונים על תמיכות העירייה באמצעות מימון הסעות לעמותות המפעילות את בתי הספר הללו </w:t>
      </w:r>
      <w:r>
        <w:rPr>
          <w:rFonts w:cs="FrankRuehl"/>
          <w:sz w:val="20"/>
          <w:szCs w:val="22"/>
          <w:rtl/>
        </w:rPr>
        <w:t xml:space="preserve">(באלפי </w:t>
      </w:r>
      <w:r>
        <w:rPr>
          <w:rFonts w:cs="FrankRuehl" w:hint="cs"/>
          <w:sz w:val="20"/>
          <w:szCs w:val="22"/>
          <w:rtl/>
        </w:rPr>
        <w:t>ש</w:t>
      </w:r>
      <w:r>
        <w:rPr>
          <w:rFonts w:cs="FrankRuehl"/>
          <w:sz w:val="20"/>
          <w:szCs w:val="22"/>
          <w:rtl/>
        </w:rPr>
        <w:t>"ח)</w:t>
      </w:r>
      <w:r>
        <w:rPr>
          <w:rFonts w:cs="FrankRuehl" w:hint="cs"/>
          <w:sz w:val="20"/>
          <w:szCs w:val="22"/>
          <w:rtl/>
        </w:rPr>
        <w:t xml:space="preserve"> בשנים האלה:</w:t>
      </w:r>
    </w:p>
    <w:p w:rsidR="00DE227E" w:rsidRPr="00324F05" w:rsidP="00324F05">
      <w:pPr>
        <w:pStyle w:val="tab-name"/>
        <w:rPr>
          <w:rtl/>
        </w:rPr>
      </w:pPr>
      <w:r w:rsidRPr="00324F05">
        <w:rPr>
          <w:rFonts w:hint="cs"/>
          <w:b w:val="0"/>
          <w:bCs w:val="0"/>
          <w:sz w:val="20"/>
          <w:szCs w:val="20"/>
          <w:rtl/>
        </w:rPr>
        <w:t>לוח 6</w:t>
      </w:r>
      <w:r w:rsidRPr="00324F05">
        <w:rPr>
          <w:b w:val="0"/>
          <w:bCs w:val="0"/>
          <w:sz w:val="20"/>
          <w:szCs w:val="20"/>
          <w:rtl/>
        </w:rPr>
        <w:br/>
      </w:r>
      <w:r w:rsidRPr="00324F05" w:rsidR="00324F05">
        <w:rPr>
          <w:rFonts w:hint="cs"/>
          <w:rtl/>
        </w:rPr>
        <w:t>תמיכת העירייה במימון ההסעות,</w:t>
      </w:r>
      <w:r w:rsidRPr="00324F05">
        <w:rPr>
          <w:rFonts w:hint="cs"/>
          <w:rtl/>
        </w:rPr>
        <w:t xml:space="preserve"> 2013-2010</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
      <w:tblGrid>
        <w:gridCol w:w="1306"/>
        <w:gridCol w:w="1347"/>
        <w:gridCol w:w="1346"/>
        <w:gridCol w:w="1346"/>
        <w:gridCol w:w="1346"/>
      </w:tblGrid>
      <w:tr w:rsidTr="00DE227E">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Ex>
        <w:trPr>
          <w:jc w:val="center"/>
        </w:trPr>
        <w:tc>
          <w:tcPr>
            <w:tcW w:w="1306" w:type="dxa"/>
            <w:tcBorders>
              <w:top w:val="single" w:sz="12" w:space="0" w:color="auto"/>
              <w:bottom w:val="single" w:sz="12" w:space="0" w:color="auto"/>
            </w:tcBorders>
            <w:shd w:val="pct10" w:color="auto" w:fill="FFFFFF"/>
          </w:tcPr>
          <w:p w:rsidR="00DE227E" w:rsidRPr="00C01441" w:rsidP="00B871CA">
            <w:pPr>
              <w:spacing w:before="40" w:after="40" w:line="220" w:lineRule="exact"/>
              <w:jc w:val="center"/>
              <w:rPr>
                <w:rFonts w:eastAsia="Calibri"/>
                <w:b/>
                <w:bCs/>
                <w:sz w:val="20"/>
                <w:szCs w:val="20"/>
                <w:rtl/>
              </w:rPr>
            </w:pPr>
          </w:p>
        </w:tc>
        <w:tc>
          <w:tcPr>
            <w:tcW w:w="1347" w:type="dxa"/>
            <w:tcBorders>
              <w:top w:val="single" w:sz="12" w:space="0" w:color="auto"/>
              <w:bottom w:val="single" w:sz="12" w:space="0" w:color="auto"/>
            </w:tcBorders>
            <w:shd w:val="pct10" w:color="auto" w:fill="FFFFFF"/>
          </w:tcPr>
          <w:p w:rsidR="00DE227E" w:rsidRPr="00C01441" w:rsidP="00B871CA">
            <w:pPr>
              <w:spacing w:before="40" w:after="40" w:line="220" w:lineRule="exact"/>
              <w:jc w:val="center"/>
              <w:rPr>
                <w:rFonts w:eastAsia="Calibri"/>
                <w:b/>
                <w:bCs/>
                <w:sz w:val="20"/>
                <w:szCs w:val="20"/>
                <w:rtl/>
              </w:rPr>
            </w:pPr>
            <w:r w:rsidRPr="00C01441">
              <w:rPr>
                <w:rFonts w:eastAsia="Calibri" w:cs="FrankRuehl" w:hint="cs"/>
                <w:b/>
                <w:bCs/>
                <w:sz w:val="20"/>
                <w:szCs w:val="20"/>
                <w:rtl/>
              </w:rPr>
              <w:t>2010</w:t>
            </w:r>
          </w:p>
        </w:tc>
        <w:tc>
          <w:tcPr>
            <w:tcW w:w="1346" w:type="dxa"/>
            <w:tcBorders>
              <w:top w:val="single" w:sz="12" w:space="0" w:color="auto"/>
              <w:bottom w:val="single" w:sz="12" w:space="0" w:color="auto"/>
            </w:tcBorders>
            <w:shd w:val="pct10" w:color="auto" w:fill="FFFFFF"/>
          </w:tcPr>
          <w:p w:rsidR="00DE227E" w:rsidRPr="00C01441" w:rsidP="00B871CA">
            <w:pPr>
              <w:spacing w:before="40" w:after="40" w:line="220" w:lineRule="exact"/>
              <w:jc w:val="center"/>
              <w:rPr>
                <w:rFonts w:eastAsia="Calibri"/>
                <w:b/>
                <w:bCs/>
                <w:sz w:val="20"/>
                <w:szCs w:val="20"/>
                <w:rtl/>
              </w:rPr>
            </w:pPr>
            <w:r w:rsidRPr="00C01441">
              <w:rPr>
                <w:rFonts w:eastAsia="Calibri" w:cs="FrankRuehl" w:hint="cs"/>
                <w:b/>
                <w:bCs/>
                <w:sz w:val="20"/>
                <w:szCs w:val="20"/>
                <w:rtl/>
              </w:rPr>
              <w:t>2011</w:t>
            </w:r>
          </w:p>
        </w:tc>
        <w:tc>
          <w:tcPr>
            <w:tcW w:w="1346" w:type="dxa"/>
            <w:tcBorders>
              <w:top w:val="single" w:sz="12" w:space="0" w:color="auto"/>
              <w:bottom w:val="single" w:sz="12" w:space="0" w:color="auto"/>
            </w:tcBorders>
            <w:shd w:val="pct10" w:color="auto" w:fill="FFFFFF"/>
          </w:tcPr>
          <w:p w:rsidR="00DE227E" w:rsidRPr="00C01441" w:rsidP="00B871CA">
            <w:pPr>
              <w:spacing w:before="40" w:after="40" w:line="220" w:lineRule="exact"/>
              <w:jc w:val="center"/>
              <w:rPr>
                <w:rFonts w:eastAsia="Calibri"/>
                <w:b/>
                <w:bCs/>
                <w:sz w:val="20"/>
                <w:szCs w:val="20"/>
                <w:rtl/>
              </w:rPr>
            </w:pPr>
            <w:r w:rsidRPr="00C01441">
              <w:rPr>
                <w:rFonts w:eastAsia="Calibri" w:cs="FrankRuehl" w:hint="cs"/>
                <w:b/>
                <w:bCs/>
                <w:sz w:val="20"/>
                <w:szCs w:val="20"/>
                <w:rtl/>
              </w:rPr>
              <w:t>2012</w:t>
            </w:r>
          </w:p>
        </w:tc>
        <w:tc>
          <w:tcPr>
            <w:tcW w:w="1346" w:type="dxa"/>
            <w:tcBorders>
              <w:top w:val="single" w:sz="12" w:space="0" w:color="auto"/>
              <w:bottom w:val="single" w:sz="12" w:space="0" w:color="auto"/>
            </w:tcBorders>
            <w:shd w:val="pct10" w:color="auto" w:fill="FFFFFF"/>
          </w:tcPr>
          <w:p w:rsidR="00DE227E" w:rsidRPr="00C01441" w:rsidP="00B871CA">
            <w:pPr>
              <w:spacing w:before="40" w:after="40" w:line="220" w:lineRule="exact"/>
              <w:jc w:val="center"/>
              <w:rPr>
                <w:rFonts w:eastAsia="Calibri"/>
                <w:b/>
                <w:bCs/>
                <w:sz w:val="20"/>
                <w:szCs w:val="20"/>
                <w:rtl/>
              </w:rPr>
            </w:pPr>
            <w:r w:rsidRPr="00C01441">
              <w:rPr>
                <w:rFonts w:eastAsia="Calibri" w:cs="FrankRuehl" w:hint="cs"/>
                <w:b/>
                <w:bCs/>
                <w:sz w:val="20"/>
                <w:szCs w:val="20"/>
                <w:rtl/>
              </w:rPr>
              <w:t>2013</w:t>
            </w:r>
          </w:p>
        </w:tc>
      </w:tr>
      <w:tr w:rsidTr="00DE227E">
        <w:tblPrEx>
          <w:tblW w:w="6691" w:type="dxa"/>
          <w:jc w:val="center"/>
          <w:tblLook w:val="04A0"/>
        </w:tblPrEx>
        <w:trPr>
          <w:jc w:val="center"/>
        </w:trPr>
        <w:tc>
          <w:tcPr>
            <w:tcW w:w="1306" w:type="dxa"/>
            <w:tcBorders>
              <w:top w:val="single" w:sz="12" w:space="0" w:color="auto"/>
            </w:tcBorders>
          </w:tcPr>
          <w:p w:rsidR="00DE227E" w:rsidRPr="00DE227E" w:rsidP="00B871CA">
            <w:pPr>
              <w:spacing w:before="40" w:after="40" w:line="220" w:lineRule="exact"/>
              <w:jc w:val="both"/>
              <w:rPr>
                <w:rFonts w:eastAsia="Calibri" w:cs="FrankRuehl"/>
                <w:sz w:val="20"/>
                <w:szCs w:val="20"/>
                <w:rtl/>
              </w:rPr>
            </w:pPr>
            <w:r w:rsidRPr="00DE227E">
              <w:rPr>
                <w:rFonts w:eastAsia="Calibri" w:cs="FrankRuehl" w:hint="cs"/>
                <w:sz w:val="20"/>
                <w:szCs w:val="20"/>
                <w:rtl/>
              </w:rPr>
              <w:t>מוסדות הפטור</w:t>
            </w:r>
          </w:p>
        </w:tc>
        <w:tc>
          <w:tcPr>
            <w:tcW w:w="1347" w:type="dxa"/>
            <w:tcBorders>
              <w:top w:val="single" w:sz="12" w:space="0" w:color="auto"/>
            </w:tcBorders>
          </w:tcPr>
          <w:p w:rsidR="00DE227E" w:rsidRPr="00DE227E" w:rsidP="00B871CA">
            <w:pPr>
              <w:spacing w:before="40" w:after="40" w:line="220" w:lineRule="exact"/>
              <w:ind w:left="454"/>
              <w:jc w:val="both"/>
              <w:rPr>
                <w:rFonts w:eastAsia="Calibri" w:cs="FrankRuehl"/>
                <w:sz w:val="20"/>
                <w:szCs w:val="20"/>
                <w:rtl/>
              </w:rPr>
            </w:pPr>
            <w:r w:rsidRPr="00DE227E">
              <w:rPr>
                <w:rFonts w:eastAsia="Calibri" w:cs="FrankRuehl" w:hint="cs"/>
                <w:sz w:val="20"/>
                <w:szCs w:val="20"/>
                <w:rtl/>
              </w:rPr>
              <w:t>767</w:t>
            </w:r>
          </w:p>
        </w:tc>
        <w:tc>
          <w:tcPr>
            <w:tcW w:w="1346" w:type="dxa"/>
            <w:tcBorders>
              <w:top w:val="single" w:sz="12" w:space="0" w:color="auto"/>
            </w:tcBorders>
          </w:tcPr>
          <w:p w:rsidR="00DE227E" w:rsidRPr="00DE227E" w:rsidP="00B871CA">
            <w:pPr>
              <w:spacing w:before="40" w:after="40" w:line="220" w:lineRule="exact"/>
              <w:ind w:left="454"/>
              <w:jc w:val="both"/>
              <w:rPr>
                <w:rFonts w:eastAsia="Calibri" w:cs="FrankRuehl"/>
                <w:sz w:val="20"/>
                <w:szCs w:val="20"/>
                <w:rtl/>
              </w:rPr>
            </w:pPr>
            <w:r w:rsidRPr="00DE227E">
              <w:rPr>
                <w:rFonts w:eastAsia="Calibri" w:cs="FrankRuehl" w:hint="cs"/>
                <w:sz w:val="20"/>
                <w:szCs w:val="20"/>
                <w:rtl/>
              </w:rPr>
              <w:t>460</w:t>
            </w:r>
          </w:p>
        </w:tc>
        <w:tc>
          <w:tcPr>
            <w:tcW w:w="1346" w:type="dxa"/>
            <w:tcBorders>
              <w:top w:val="single" w:sz="12" w:space="0" w:color="auto"/>
            </w:tcBorders>
          </w:tcPr>
          <w:p w:rsidR="00DE227E" w:rsidRPr="00DE227E" w:rsidP="00B871CA">
            <w:pPr>
              <w:spacing w:before="40" w:after="40" w:line="220" w:lineRule="exact"/>
              <w:ind w:left="454"/>
              <w:jc w:val="both"/>
              <w:rPr>
                <w:rFonts w:eastAsia="Calibri" w:cs="FrankRuehl"/>
                <w:sz w:val="20"/>
                <w:szCs w:val="20"/>
                <w:rtl/>
              </w:rPr>
            </w:pPr>
            <w:r w:rsidRPr="00DE227E">
              <w:rPr>
                <w:rFonts w:eastAsia="Calibri" w:cs="FrankRuehl" w:hint="cs"/>
                <w:sz w:val="20"/>
                <w:szCs w:val="20"/>
                <w:rtl/>
              </w:rPr>
              <w:t>465</w:t>
            </w:r>
          </w:p>
        </w:tc>
        <w:tc>
          <w:tcPr>
            <w:tcW w:w="1346" w:type="dxa"/>
            <w:tcBorders>
              <w:top w:val="single" w:sz="12" w:space="0" w:color="auto"/>
            </w:tcBorders>
          </w:tcPr>
          <w:p w:rsidR="00DE227E" w:rsidRPr="00DE227E" w:rsidP="00B871CA">
            <w:pPr>
              <w:spacing w:before="40" w:after="40" w:line="220" w:lineRule="exact"/>
              <w:ind w:left="454"/>
              <w:jc w:val="both"/>
              <w:rPr>
                <w:rFonts w:eastAsia="Calibri" w:cs="FrankRuehl"/>
                <w:sz w:val="20"/>
                <w:szCs w:val="20"/>
                <w:rtl/>
              </w:rPr>
            </w:pPr>
            <w:r w:rsidRPr="00DE227E">
              <w:rPr>
                <w:rFonts w:eastAsia="Calibri" w:cs="FrankRuehl" w:hint="cs"/>
                <w:sz w:val="20"/>
                <w:szCs w:val="20"/>
                <w:rtl/>
              </w:rPr>
              <w:t>275</w:t>
            </w:r>
          </w:p>
        </w:tc>
      </w:tr>
      <w:tr w:rsidTr="00E425F8">
        <w:tblPrEx>
          <w:tblW w:w="6691" w:type="dxa"/>
          <w:jc w:val="center"/>
          <w:tblLook w:val="04A0"/>
        </w:tblPrEx>
        <w:trPr>
          <w:jc w:val="center"/>
        </w:trPr>
        <w:tc>
          <w:tcPr>
            <w:tcW w:w="1306" w:type="dxa"/>
            <w:tcBorders>
              <w:bottom w:val="single" w:sz="12" w:space="0" w:color="auto"/>
            </w:tcBorders>
          </w:tcPr>
          <w:p w:rsidR="00DE227E" w:rsidRPr="00DE227E" w:rsidP="00B871CA">
            <w:pPr>
              <w:spacing w:before="40" w:after="40" w:line="220" w:lineRule="exact"/>
              <w:jc w:val="both"/>
              <w:rPr>
                <w:rFonts w:eastAsia="Calibri" w:cs="FrankRuehl"/>
                <w:sz w:val="20"/>
                <w:szCs w:val="20"/>
                <w:rtl/>
              </w:rPr>
            </w:pPr>
            <w:r w:rsidRPr="00DE227E">
              <w:rPr>
                <w:rFonts w:eastAsia="Calibri" w:cs="FrankRuehl" w:hint="cs"/>
                <w:sz w:val="20"/>
                <w:szCs w:val="20"/>
                <w:rtl/>
              </w:rPr>
              <w:t xml:space="preserve">חטיבה עליונה </w:t>
            </w:r>
          </w:p>
        </w:tc>
        <w:tc>
          <w:tcPr>
            <w:tcW w:w="1347" w:type="dxa"/>
            <w:tcBorders>
              <w:bottom w:val="single" w:sz="12" w:space="0" w:color="auto"/>
            </w:tcBorders>
          </w:tcPr>
          <w:p w:rsidR="00DE227E" w:rsidRPr="00DE227E" w:rsidP="00B871CA">
            <w:pPr>
              <w:spacing w:before="40" w:after="40" w:line="220" w:lineRule="exact"/>
              <w:ind w:left="454"/>
              <w:jc w:val="both"/>
              <w:rPr>
                <w:rFonts w:eastAsia="Calibri" w:cs="FrankRuehl"/>
                <w:sz w:val="20"/>
                <w:szCs w:val="20"/>
                <w:rtl/>
              </w:rPr>
            </w:pPr>
            <w:r w:rsidRPr="00DE227E">
              <w:rPr>
                <w:rFonts w:eastAsia="Calibri" w:cs="FrankRuehl" w:hint="cs"/>
                <w:sz w:val="20"/>
                <w:szCs w:val="20"/>
                <w:rtl/>
              </w:rPr>
              <w:t>1,437</w:t>
            </w:r>
          </w:p>
        </w:tc>
        <w:tc>
          <w:tcPr>
            <w:tcW w:w="1346" w:type="dxa"/>
            <w:tcBorders>
              <w:bottom w:val="single" w:sz="12" w:space="0" w:color="auto"/>
            </w:tcBorders>
          </w:tcPr>
          <w:p w:rsidR="00DE227E" w:rsidRPr="00DE227E" w:rsidP="00B871CA">
            <w:pPr>
              <w:spacing w:before="40" w:after="40" w:line="220" w:lineRule="exact"/>
              <w:ind w:left="454"/>
              <w:jc w:val="both"/>
              <w:rPr>
                <w:rFonts w:eastAsia="Calibri" w:cs="FrankRuehl"/>
                <w:sz w:val="20"/>
                <w:szCs w:val="20"/>
                <w:rtl/>
              </w:rPr>
            </w:pPr>
            <w:r w:rsidRPr="00DE227E">
              <w:rPr>
                <w:rFonts w:eastAsia="Calibri" w:cs="FrankRuehl" w:hint="cs"/>
                <w:sz w:val="20"/>
                <w:szCs w:val="20"/>
                <w:rtl/>
              </w:rPr>
              <w:t>1,530</w:t>
            </w:r>
          </w:p>
        </w:tc>
        <w:tc>
          <w:tcPr>
            <w:tcW w:w="1346" w:type="dxa"/>
            <w:tcBorders>
              <w:bottom w:val="single" w:sz="12" w:space="0" w:color="auto"/>
            </w:tcBorders>
          </w:tcPr>
          <w:p w:rsidR="00DE227E" w:rsidRPr="00DE227E" w:rsidP="00B871CA">
            <w:pPr>
              <w:spacing w:before="40" w:after="40" w:line="220" w:lineRule="exact"/>
              <w:ind w:left="454"/>
              <w:jc w:val="both"/>
              <w:rPr>
                <w:rFonts w:eastAsia="Calibri" w:cs="FrankRuehl"/>
                <w:sz w:val="20"/>
                <w:szCs w:val="20"/>
                <w:rtl/>
              </w:rPr>
            </w:pPr>
            <w:r w:rsidRPr="00DE227E">
              <w:rPr>
                <w:rFonts w:eastAsia="Calibri" w:cs="FrankRuehl" w:hint="cs"/>
                <w:sz w:val="20"/>
                <w:szCs w:val="20"/>
                <w:rtl/>
              </w:rPr>
              <w:t>1,230</w:t>
            </w:r>
          </w:p>
        </w:tc>
        <w:tc>
          <w:tcPr>
            <w:tcW w:w="1346" w:type="dxa"/>
            <w:tcBorders>
              <w:bottom w:val="single" w:sz="12" w:space="0" w:color="auto"/>
            </w:tcBorders>
          </w:tcPr>
          <w:p w:rsidR="00DE227E" w:rsidRPr="00DE227E" w:rsidP="00B871CA">
            <w:pPr>
              <w:spacing w:before="40" w:after="40" w:line="220" w:lineRule="exact"/>
              <w:ind w:left="454"/>
              <w:jc w:val="both"/>
              <w:rPr>
                <w:rFonts w:eastAsia="Calibri" w:cs="FrankRuehl"/>
                <w:sz w:val="20"/>
                <w:szCs w:val="20"/>
                <w:rtl/>
              </w:rPr>
            </w:pPr>
            <w:r w:rsidRPr="00DE227E">
              <w:rPr>
                <w:rFonts w:eastAsia="Calibri" w:cs="FrankRuehl" w:hint="cs"/>
                <w:sz w:val="20"/>
                <w:szCs w:val="20"/>
                <w:rtl/>
              </w:rPr>
              <w:t>1,640</w:t>
            </w:r>
          </w:p>
        </w:tc>
      </w:tr>
      <w:tr w:rsidTr="00E425F8">
        <w:tblPrEx>
          <w:tblW w:w="6691" w:type="dxa"/>
          <w:jc w:val="center"/>
          <w:tblLook w:val="04A0"/>
        </w:tblPrEx>
        <w:trPr>
          <w:jc w:val="center"/>
        </w:trPr>
        <w:tc>
          <w:tcPr>
            <w:tcW w:w="1306" w:type="dxa"/>
            <w:tcBorders>
              <w:top w:val="single" w:sz="12" w:space="0" w:color="auto"/>
              <w:bottom w:val="single" w:sz="12" w:space="0" w:color="auto"/>
            </w:tcBorders>
            <w:shd w:val="pct10" w:color="auto" w:fill="auto"/>
          </w:tcPr>
          <w:p w:rsidR="00DE227E" w:rsidRPr="00E425F8" w:rsidP="00E425F8">
            <w:pPr>
              <w:spacing w:before="40" w:after="40" w:line="220" w:lineRule="exact"/>
              <w:jc w:val="right"/>
              <w:rPr>
                <w:rFonts w:eastAsia="Calibri" w:cs="FrankRuehl"/>
                <w:b/>
                <w:bCs/>
                <w:sz w:val="20"/>
                <w:szCs w:val="20"/>
                <w:rtl/>
              </w:rPr>
            </w:pPr>
            <w:r w:rsidRPr="00E425F8">
              <w:rPr>
                <w:rFonts w:eastAsia="Calibri" w:cs="FrankRuehl" w:hint="cs"/>
                <w:b/>
                <w:bCs/>
                <w:sz w:val="20"/>
                <w:szCs w:val="20"/>
                <w:rtl/>
              </w:rPr>
              <w:t>סה"כ</w:t>
            </w:r>
          </w:p>
        </w:tc>
        <w:tc>
          <w:tcPr>
            <w:tcW w:w="1347" w:type="dxa"/>
            <w:tcBorders>
              <w:top w:val="single" w:sz="12" w:space="0" w:color="auto"/>
              <w:bottom w:val="single" w:sz="12" w:space="0" w:color="auto"/>
            </w:tcBorders>
            <w:shd w:val="pct10" w:color="auto" w:fill="auto"/>
          </w:tcPr>
          <w:p w:rsidR="00DE227E" w:rsidRPr="00E425F8" w:rsidP="00B871CA">
            <w:pPr>
              <w:spacing w:before="40" w:after="40" w:line="220" w:lineRule="exact"/>
              <w:ind w:left="454"/>
              <w:jc w:val="both"/>
              <w:rPr>
                <w:rFonts w:eastAsia="Calibri" w:cs="FrankRuehl"/>
                <w:b/>
                <w:bCs/>
                <w:sz w:val="20"/>
                <w:szCs w:val="20"/>
                <w:rtl/>
              </w:rPr>
            </w:pPr>
            <w:r w:rsidRPr="00E425F8">
              <w:rPr>
                <w:rFonts w:eastAsia="Calibri" w:cs="FrankRuehl" w:hint="cs"/>
                <w:b/>
                <w:bCs/>
                <w:sz w:val="20"/>
                <w:szCs w:val="20"/>
                <w:rtl/>
              </w:rPr>
              <w:t>2,204</w:t>
            </w:r>
          </w:p>
        </w:tc>
        <w:tc>
          <w:tcPr>
            <w:tcW w:w="1346" w:type="dxa"/>
            <w:tcBorders>
              <w:top w:val="single" w:sz="12" w:space="0" w:color="auto"/>
              <w:bottom w:val="single" w:sz="12" w:space="0" w:color="auto"/>
            </w:tcBorders>
            <w:shd w:val="pct10" w:color="auto" w:fill="auto"/>
          </w:tcPr>
          <w:p w:rsidR="00DE227E" w:rsidRPr="00E425F8" w:rsidP="00B871CA">
            <w:pPr>
              <w:spacing w:before="40" w:after="40" w:line="220" w:lineRule="exact"/>
              <w:ind w:left="454"/>
              <w:jc w:val="both"/>
              <w:rPr>
                <w:rFonts w:eastAsia="Calibri" w:cs="FrankRuehl"/>
                <w:b/>
                <w:bCs/>
                <w:sz w:val="20"/>
                <w:szCs w:val="20"/>
                <w:rtl/>
              </w:rPr>
            </w:pPr>
            <w:r w:rsidRPr="00E425F8">
              <w:rPr>
                <w:rFonts w:eastAsia="Calibri" w:cs="FrankRuehl" w:hint="cs"/>
                <w:b/>
                <w:bCs/>
                <w:sz w:val="20"/>
                <w:szCs w:val="20"/>
                <w:rtl/>
              </w:rPr>
              <w:t>1,990</w:t>
            </w:r>
          </w:p>
        </w:tc>
        <w:tc>
          <w:tcPr>
            <w:tcW w:w="1346" w:type="dxa"/>
            <w:tcBorders>
              <w:top w:val="single" w:sz="12" w:space="0" w:color="auto"/>
              <w:bottom w:val="single" w:sz="12" w:space="0" w:color="auto"/>
            </w:tcBorders>
            <w:shd w:val="pct10" w:color="auto" w:fill="auto"/>
          </w:tcPr>
          <w:p w:rsidR="00DE227E" w:rsidRPr="00E425F8" w:rsidP="00B871CA">
            <w:pPr>
              <w:spacing w:before="40" w:after="40" w:line="220" w:lineRule="exact"/>
              <w:ind w:left="454"/>
              <w:jc w:val="both"/>
              <w:rPr>
                <w:rFonts w:eastAsia="Calibri" w:cs="FrankRuehl"/>
                <w:b/>
                <w:bCs/>
                <w:sz w:val="20"/>
                <w:szCs w:val="20"/>
                <w:rtl/>
              </w:rPr>
            </w:pPr>
            <w:r w:rsidRPr="00E425F8">
              <w:rPr>
                <w:rFonts w:eastAsia="Calibri" w:cs="FrankRuehl" w:hint="cs"/>
                <w:b/>
                <w:bCs/>
                <w:sz w:val="20"/>
                <w:szCs w:val="20"/>
                <w:rtl/>
              </w:rPr>
              <w:t>1,695</w:t>
            </w:r>
          </w:p>
        </w:tc>
        <w:tc>
          <w:tcPr>
            <w:tcW w:w="1346" w:type="dxa"/>
            <w:tcBorders>
              <w:top w:val="single" w:sz="12" w:space="0" w:color="auto"/>
              <w:bottom w:val="single" w:sz="12" w:space="0" w:color="auto"/>
            </w:tcBorders>
            <w:shd w:val="pct10" w:color="auto" w:fill="auto"/>
          </w:tcPr>
          <w:p w:rsidR="00DE227E" w:rsidRPr="00E425F8" w:rsidP="00B871CA">
            <w:pPr>
              <w:spacing w:before="40" w:after="40" w:line="220" w:lineRule="exact"/>
              <w:ind w:left="454"/>
              <w:jc w:val="both"/>
              <w:rPr>
                <w:rFonts w:eastAsia="Calibri" w:cs="FrankRuehl"/>
                <w:b/>
                <w:bCs/>
                <w:sz w:val="20"/>
                <w:szCs w:val="20"/>
                <w:rtl/>
              </w:rPr>
            </w:pPr>
            <w:r w:rsidRPr="00E425F8">
              <w:rPr>
                <w:rFonts w:eastAsia="Calibri" w:cs="FrankRuehl" w:hint="cs"/>
                <w:b/>
                <w:bCs/>
                <w:sz w:val="20"/>
                <w:szCs w:val="20"/>
                <w:rtl/>
              </w:rPr>
              <w:t>1,915</w:t>
            </w:r>
          </w:p>
        </w:tc>
      </w:tr>
    </w:tbl>
    <w:p w:rsidR="00B767A7" w:rsidRPr="00DE227E" w:rsidP="00DE227E">
      <w:pPr>
        <w:pStyle w:val="BodyText"/>
        <w:spacing w:before="240"/>
        <w:rPr>
          <w:sz w:val="20"/>
          <w:rtl/>
        </w:rPr>
      </w:pPr>
      <w:r w:rsidRPr="00DE227E">
        <w:rPr>
          <w:rFonts w:hint="cs"/>
          <w:sz w:val="20"/>
          <w:rtl/>
        </w:rPr>
        <w:t>בבדיקת אופן טיפולה של הוועדה המקצועית לתמיכות בעניין התבחינים להסעות ובעניין קבלת החלטות מועצת העירייה בנושא הועלו הממצאים שלהלן:</w:t>
      </w:r>
    </w:p>
    <w:p w:rsidR="00B767A7">
      <w:pPr>
        <w:spacing w:after="120" w:line="230" w:lineRule="exact"/>
        <w:jc w:val="both"/>
        <w:rPr>
          <w:rFonts w:cs="FrankRuehl"/>
          <w:sz w:val="20"/>
          <w:szCs w:val="22"/>
          <w:rtl/>
        </w:rPr>
      </w:pPr>
      <w:r>
        <w:rPr>
          <w:rFonts w:cs="FrankRuehl" w:hint="cs"/>
          <w:sz w:val="20"/>
          <w:szCs w:val="22"/>
          <w:rtl/>
        </w:rPr>
        <w:t>בתבחיני העירייה לשנת 2010 לעניין הסעות למוסדות חינוך נקבע: "תמיכה בהסעת תלמידים תינתן ע"פ כללי הזכאות של משרד החינוך, כפי שמופיע בחוזר מנכ"ל משרד החינוך ותקנות לימוד חובה וחינוך ממלכתי (רישום), התשי"ט-1959. מוסדות אליהם מוסעים תלמידים באמצעות קווי תחבורה ציבוריים יקבלו מימון ע"פ עלות בתחבורה ציבורית. במוסדות אשר בהם פועלים קווי הסעה ע"י חברות פרטיות תינתן תמיכה בגובה ההסעה השנתית בכפוף להמצאת חשבוניות, פירוט המסלולים ורשימת הזכאים. המחיר למסלול הסעה בקו פרטי לא יעלה על המחיר המשולם באגף החינוך במסלול דומה".</w:t>
      </w:r>
    </w:p>
    <w:p w:rsidR="00B767A7">
      <w:pPr>
        <w:spacing w:after="120" w:line="230" w:lineRule="exact"/>
        <w:jc w:val="both"/>
        <w:rPr>
          <w:rFonts w:cs="FrankRuehl"/>
          <w:sz w:val="20"/>
          <w:szCs w:val="22"/>
          <w:rtl/>
        </w:rPr>
      </w:pPr>
      <w:r>
        <w:rPr>
          <w:rFonts w:cs="FrankRuehl" w:hint="cs"/>
          <w:sz w:val="20"/>
          <w:szCs w:val="22"/>
          <w:rtl/>
        </w:rPr>
        <w:t>באוגוסט 2010 החליטה הוועדה המקצועית לתמיכות לאשר את התבחינים לשנת 2011. התבחין בעניין ההסעות נשאר כפי שהיה בתבחיני 2010.</w:t>
      </w:r>
    </w:p>
    <w:p w:rsidR="00B767A7">
      <w:pPr>
        <w:spacing w:after="120" w:line="230" w:lineRule="exact"/>
        <w:jc w:val="both"/>
        <w:rPr>
          <w:rFonts w:cs="FrankRuehl"/>
          <w:sz w:val="20"/>
          <w:szCs w:val="22"/>
          <w:rtl/>
        </w:rPr>
      </w:pPr>
      <w:r>
        <w:rPr>
          <w:rFonts w:cs="FrankRuehl" w:hint="cs"/>
          <w:sz w:val="20"/>
          <w:szCs w:val="22"/>
          <w:rtl/>
        </w:rPr>
        <w:t>כעבור כשבועיים הגישה היועצת המשפטית דאז של העירייה חוות דעת בעניין תבחיני התמיכות לשנת 2011 ובה ציינה כי התבחין בעניין ההוצאות על ההסעות נראה לה "לא סביר ולכן אינו עומד בהוראות הדין".</w:t>
      </w:r>
    </w:p>
    <w:p w:rsidR="00B767A7">
      <w:pPr>
        <w:spacing w:after="120" w:line="230" w:lineRule="exact"/>
        <w:jc w:val="both"/>
        <w:rPr>
          <w:rFonts w:cs="FrankRuehl"/>
          <w:sz w:val="20"/>
          <w:szCs w:val="22"/>
          <w:rtl/>
        </w:rPr>
      </w:pPr>
      <w:r>
        <w:rPr>
          <w:rFonts w:cs="FrankRuehl" w:hint="cs"/>
          <w:sz w:val="20"/>
          <w:szCs w:val="22"/>
          <w:rtl/>
        </w:rPr>
        <w:t>בסוף אוגוסט 2010 דנה מועצת העירייה בתבחינים לשנת 2011, ובמהלך הדיון שבה והעלתה היועצת המשפטית דאז של העירייה את נושא הפגיעה בעקרון השוויון (במתן התמיכות) בהסעות, והוסיפה כי הדבר צריך להשתנות.</w:t>
      </w:r>
    </w:p>
    <w:p w:rsidR="00B767A7">
      <w:pPr>
        <w:spacing w:after="120" w:line="230" w:lineRule="exact"/>
        <w:jc w:val="both"/>
        <w:rPr>
          <w:rFonts w:cs="FrankRuehl"/>
          <w:sz w:val="20"/>
          <w:szCs w:val="22"/>
          <w:rtl/>
        </w:rPr>
      </w:pPr>
      <w:r>
        <w:rPr>
          <w:rFonts w:cs="FrankRuehl" w:hint="cs"/>
          <w:sz w:val="20"/>
          <w:szCs w:val="22"/>
          <w:rtl/>
        </w:rPr>
        <w:t xml:space="preserve">למרות ההסתייגויות של היועצת המשפטית דאז, מועצת העירייה אישרה פה אחד את תבחיני 2011, ללא שינוי התבחינים הנוגעים לעניין ההסעות למוסדות החינוך האמורים. </w:t>
      </w:r>
    </w:p>
    <w:p w:rsidR="00B767A7">
      <w:pPr>
        <w:spacing w:after="120" w:line="230" w:lineRule="exact"/>
        <w:jc w:val="both"/>
        <w:rPr>
          <w:rFonts w:cs="FrankRuehl"/>
          <w:sz w:val="20"/>
          <w:szCs w:val="22"/>
          <w:rtl/>
        </w:rPr>
      </w:pPr>
      <w:r>
        <w:rPr>
          <w:rFonts w:cs="FrankRuehl" w:hint="cs"/>
          <w:sz w:val="20"/>
          <w:szCs w:val="22"/>
          <w:rtl/>
        </w:rPr>
        <w:t xml:space="preserve">באוקטובר 2010 דנה הוועדה המקצועית לתמיכות בתבחינים של הסעות למוסדות חינוך (יצוין כי בדיון האמור של הוועדה השתתפה לראשונה היועצת המשפטית המכהנת). בדיון הציע מנכ"ל העירייה להקציב למוסדות סכומים למימון ההסעות לפי סכום קבוע פר תלמיד זכאי, ואילו גזברית העירייה טענה כי העמותות המפעילות את מוסדות החינוך יינזקו אם תיושם הצעה זו, כי ההסדר המוצע קטן בהרבה מהסכומים שהן מבקשות. בנובמבר 2010 החליטה הוועדה המקצועית לתמיכות שהשתתפות העירייה בהסעות תהיה 5,000 ש"ח לשנה לילד הזכאי על פי כללי הזכאות של משרד החינוך (גן חובה עד כיתה י'). </w:t>
      </w:r>
    </w:p>
    <w:p w:rsidR="00B767A7">
      <w:pPr>
        <w:spacing w:after="120" w:line="230" w:lineRule="exact"/>
        <w:jc w:val="both"/>
        <w:rPr>
          <w:rFonts w:cs="FrankRuehl"/>
          <w:sz w:val="20"/>
          <w:szCs w:val="22"/>
          <w:rtl/>
        </w:rPr>
      </w:pPr>
      <w:r>
        <w:rPr>
          <w:rFonts w:cs="FrankRuehl" w:hint="cs"/>
          <w:sz w:val="20"/>
          <w:szCs w:val="22"/>
          <w:rtl/>
        </w:rPr>
        <w:t>בדיון בתבחיני התמיכות בישיבת מועצת העירייה שהתקיימה בדצמבר 2010 מסר מנכ"ל העירייה שהשינויים שמובאים לאישור חברי המועצה כבר בוצעו במוסדות החינוך המוכרים המצויים במסלול חוק נהרי. מועצת העירייה אישרה את שינוי התבחינים.</w:t>
      </w:r>
    </w:p>
    <w:p w:rsidR="00B767A7">
      <w:pPr>
        <w:spacing w:after="120" w:line="230" w:lineRule="exact"/>
        <w:jc w:val="both"/>
        <w:rPr>
          <w:rFonts w:cs="FrankRuehl"/>
          <w:sz w:val="20"/>
          <w:szCs w:val="22"/>
          <w:rtl/>
        </w:rPr>
      </w:pPr>
      <w:r>
        <w:rPr>
          <w:rFonts w:cs="FrankRuehl" w:hint="cs"/>
          <w:sz w:val="20"/>
          <w:szCs w:val="22"/>
          <w:rtl/>
        </w:rPr>
        <w:t>בפרוטוקולים של הוועדה המקצועית לתמיכות ושל מועצת העירייה לא הוסבר כיצד נקבע סכום ההשתתפות בסך 5,000 ש"ח לתלמיד לשנה בעד הסעות.</w:t>
      </w:r>
    </w:p>
    <w:p w:rsidR="00B767A7" w:rsidP="00DE227E">
      <w:pPr>
        <w:spacing w:after="240" w:line="230" w:lineRule="exact"/>
        <w:jc w:val="both"/>
        <w:rPr>
          <w:rFonts w:cs="FrankRuehl"/>
          <w:sz w:val="20"/>
          <w:szCs w:val="22"/>
          <w:rtl/>
        </w:rPr>
      </w:pPr>
      <w:r>
        <w:rPr>
          <w:rFonts w:cs="FrankRuehl" w:hint="cs"/>
          <w:sz w:val="20"/>
          <w:szCs w:val="22"/>
          <w:rtl/>
        </w:rPr>
        <w:t xml:space="preserve">עוד נמצא כי היועצת המשפטית של העירייה לא הגישה כנדרש חוות דעת בעניין שינוי תבחין ההסעות. </w:t>
      </w:r>
    </w:p>
    <w:p w:rsidR="00B767A7" w:rsidP="00DE227E">
      <w:pPr>
        <w:pStyle w:val="RESHET"/>
        <w:rPr>
          <w:rtl/>
        </w:rPr>
      </w:pPr>
      <w:r>
        <w:rPr>
          <w:rFonts w:hint="cs"/>
          <w:rtl/>
        </w:rPr>
        <w:t>משרד מבקר המדינה העיר לעירייה כי גם אם יש לרשויות המקומיות סמכות לאשר, במסגרת מסלול התמיכות, תמיכות להסעות לעמותות המפעילות מוסדות חינוך מוכרים ומוסדות פטור, בכל זאת עליהן לעבור</w:t>
      </w:r>
      <w:r>
        <w:rPr>
          <w:rtl/>
        </w:rPr>
        <w:t xml:space="preserve"> את המשוכה שהציב </w:t>
      </w:r>
      <w:r>
        <w:rPr>
          <w:rFonts w:hint="cs"/>
          <w:rtl/>
        </w:rPr>
        <w:t xml:space="preserve">היועץ המשפטי לממשלה בחוות דעתו, ולפיה מאחר שככלל הרשויות המקומיות אינן חייבות לממן הסעות לבתי ספר מוכרים ולמוסדות הפטור במסגרת חוק נהרי, יהיה עליהן לנמק את החלטותיהן לתת תמיכות להסעות במוסדות אלה במסגרת מסלול התמיכות. </w:t>
      </w:r>
    </w:p>
    <w:p w:rsidR="00B767A7" w:rsidP="00DE227E">
      <w:pPr>
        <w:pStyle w:val="RESHET"/>
        <w:rPr>
          <w:rtl/>
        </w:rPr>
      </w:pPr>
      <w:r>
        <w:rPr>
          <w:rFonts w:hint="cs"/>
          <w:rtl/>
        </w:rPr>
        <w:t>עוד העיר משרד מבקר המדינה לעירייה כי עליה לקבוע לאלתר נימוקים מבוססים ומוצקים ביותר לתמיכה בהסעות של מוסדות החינוך המוכרים ומוסדות פטור. נימוקים אלה צריכים לעמוד במבחן הסבירות ולהתפרסם בציבור כנדרש. עד אז על העירייה להפסיק את השתתפותה בתקצוב ההסעות האמורות. על העירייה גם לבחון את האפשרות המשפטית לקזז את הסכומים ששילמה בעבר לאותן עמותות בעד ההסעות.</w:t>
      </w:r>
    </w:p>
    <w:p w:rsidR="00B767A7" w:rsidP="00DE227E">
      <w:pPr>
        <w:spacing w:before="180" w:after="240" w:line="230" w:lineRule="exact"/>
        <w:jc w:val="both"/>
        <w:rPr>
          <w:rFonts w:cs="FrankRuehl"/>
          <w:sz w:val="20"/>
          <w:szCs w:val="22"/>
          <w:rtl/>
        </w:rPr>
      </w:pPr>
      <w:r>
        <w:rPr>
          <w:rFonts w:cs="FrankRuehl" w:hint="cs"/>
          <w:sz w:val="20"/>
          <w:szCs w:val="22"/>
          <w:rtl/>
        </w:rPr>
        <w:t>העירייה מסרה בתשובתה הנוספת כי "ההחלטה להשתתף בהסעות לעמותות ולמוסדות הפטור הינה החלטה של מדיניות".</w:t>
      </w:r>
    </w:p>
    <w:p w:rsidR="00B767A7" w:rsidP="00DE227E">
      <w:pPr>
        <w:pStyle w:val="RESHET"/>
        <w:rPr>
          <w:rtl/>
        </w:rPr>
      </w:pPr>
      <w:r>
        <w:rPr>
          <w:rFonts w:hint="cs"/>
          <w:rtl/>
        </w:rPr>
        <w:t>משרד מבקר המדינה מעיר לעירייה כי תמיכה ברכיב ההסעות לעמותות המפעילות מוסדות חינוך מוכרים ומוסדות פטור אינה מדיניות אלא מכשיר ליישום מדיניות החינוך של העירייה ושל ראש העירייה.</w:t>
      </w:r>
    </w:p>
    <w:p w:rsidR="00B767A7">
      <w:pPr>
        <w:spacing w:after="120" w:line="230" w:lineRule="exact"/>
        <w:jc w:val="both"/>
        <w:rPr>
          <w:rFonts w:cs="FrankRuehl"/>
          <w:sz w:val="20"/>
          <w:szCs w:val="22"/>
          <w:rtl/>
        </w:rPr>
      </w:pPr>
    </w:p>
    <w:p w:rsidR="00B767A7">
      <w:pPr>
        <w:pStyle w:val="KOT5"/>
        <w:rPr>
          <w:rtl/>
        </w:rPr>
      </w:pPr>
      <w:r>
        <w:rPr>
          <w:rFonts w:hint="cs"/>
          <w:rtl/>
        </w:rPr>
        <w:t>תמיכה הניתנת לפי מספר התלמידים בכל מוסד</w:t>
      </w:r>
    </w:p>
    <w:p w:rsidR="00B767A7">
      <w:pPr>
        <w:spacing w:after="120" w:line="230" w:lineRule="exact"/>
        <w:ind w:hanging="2"/>
        <w:jc w:val="both"/>
        <w:rPr>
          <w:rFonts w:cs="FrankRuehl"/>
          <w:sz w:val="20"/>
          <w:szCs w:val="22"/>
          <w:rtl/>
        </w:rPr>
      </w:pPr>
      <w:r>
        <w:rPr>
          <w:rFonts w:cs="FrankRuehl" w:hint="cs"/>
          <w:sz w:val="20"/>
          <w:szCs w:val="22"/>
          <w:rtl/>
        </w:rPr>
        <w:t>תקציב החינוך לתמיכות (נטו, ללא הסכומים שהוקצו לשיפוצי קיץ ולבניית מוסדות חינוך) בשנים 2013-2010 היה כ-8 מיליון ש"ח בכל שנה; חלק מהסכום שימש למימון הוצאות על שכירות והסעות, ואילו יתרת הסכום חולקה בין העמותות המפעילות מוסדות חינוך לפי תבחין המביא בחשבון את מספר התלמידים בכל מוסד ואת סוג המוסד (להלן - ניקוד פר תלמיד). בשנים האמורות ההוצאות לשכירות ולהסעות היו כ-2 מיליון ש"ח בכל שנה, ואילו ההוצאות לפי ניקוד פר תלמיד הסתכמו בכ-6 מיליון ש"ח בכל שנה.</w:t>
      </w:r>
    </w:p>
    <w:p w:rsidR="00B767A7" w:rsidP="00B90414">
      <w:pPr>
        <w:spacing w:after="120" w:line="230" w:lineRule="exact"/>
        <w:ind w:hanging="2"/>
        <w:jc w:val="both"/>
        <w:rPr>
          <w:rFonts w:cs="FrankRuehl"/>
          <w:sz w:val="20"/>
          <w:szCs w:val="22"/>
          <w:rtl/>
        </w:rPr>
      </w:pPr>
      <w:r>
        <w:rPr>
          <w:rFonts w:cs="FrankRuehl" w:hint="cs"/>
          <w:sz w:val="20"/>
          <w:szCs w:val="22"/>
          <w:rtl/>
        </w:rPr>
        <w:t xml:space="preserve">להלן </w:t>
      </w:r>
      <w:r w:rsidRPr="00324F05" w:rsidR="00A63D74">
        <w:rPr>
          <w:rFonts w:cs="FrankRuehl" w:hint="cs"/>
          <w:sz w:val="20"/>
          <w:szCs w:val="22"/>
          <w:rtl/>
        </w:rPr>
        <w:t>לוח</w:t>
      </w:r>
      <w:r w:rsidRPr="00324F05">
        <w:rPr>
          <w:rFonts w:cs="FrankRuehl" w:hint="cs"/>
          <w:sz w:val="20"/>
          <w:szCs w:val="22"/>
          <w:rtl/>
        </w:rPr>
        <w:t xml:space="preserve"> ה</w:t>
      </w:r>
      <w:r>
        <w:rPr>
          <w:rFonts w:cs="FrankRuehl" w:hint="cs"/>
          <w:sz w:val="20"/>
          <w:szCs w:val="22"/>
          <w:rtl/>
        </w:rPr>
        <w:t xml:space="preserve">מפרט את הניקוד פר תלמיד במוסדות החינוך בתבחינים לשנים 2013-2010: </w:t>
      </w:r>
    </w:p>
    <w:p w:rsidR="00DE227E" w:rsidRPr="00324F05" w:rsidP="00324F05">
      <w:pPr>
        <w:pStyle w:val="tab-name"/>
        <w:rPr>
          <w:rtl/>
        </w:rPr>
      </w:pPr>
      <w:r>
        <w:rPr>
          <w:b w:val="0"/>
          <w:bCs w:val="0"/>
          <w:sz w:val="20"/>
          <w:szCs w:val="20"/>
          <w:highlight w:val="yellow"/>
          <w:rtl/>
        </w:rPr>
        <w:br w:type="page"/>
      </w:r>
      <w:r w:rsidRPr="00324F05">
        <w:rPr>
          <w:rFonts w:hint="cs"/>
          <w:b w:val="0"/>
          <w:bCs w:val="0"/>
          <w:sz w:val="20"/>
          <w:szCs w:val="20"/>
          <w:rtl/>
        </w:rPr>
        <w:t>לוח 7</w:t>
      </w:r>
      <w:r w:rsidRPr="00324F05">
        <w:rPr>
          <w:b w:val="0"/>
          <w:bCs w:val="0"/>
          <w:sz w:val="20"/>
          <w:szCs w:val="20"/>
          <w:rtl/>
        </w:rPr>
        <w:br/>
      </w:r>
      <w:r w:rsidRPr="00324F05" w:rsidR="00324F05">
        <w:rPr>
          <w:rFonts w:hint="cs"/>
          <w:rtl/>
        </w:rPr>
        <w:t>הניקוד פר תלמיד,</w:t>
      </w:r>
      <w:r w:rsidRPr="00324F05">
        <w:rPr>
          <w:rFonts w:hint="cs"/>
          <w:rtl/>
        </w:rPr>
        <w:t xml:space="preserve"> 2013-2010</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
      <w:tblGrid>
        <w:gridCol w:w="3349"/>
        <w:gridCol w:w="710"/>
        <w:gridCol w:w="814"/>
        <w:gridCol w:w="606"/>
        <w:gridCol w:w="606"/>
        <w:gridCol w:w="606"/>
      </w:tblGrid>
      <w:tr w:rsidTr="00865613">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Ex>
        <w:trPr>
          <w:jc w:val="center"/>
        </w:trPr>
        <w:tc>
          <w:tcPr>
            <w:tcW w:w="0" w:type="auto"/>
            <w:tcBorders>
              <w:top w:val="single" w:sz="12" w:space="0" w:color="auto"/>
              <w:bottom w:val="single" w:sz="12" w:space="0" w:color="auto"/>
            </w:tcBorders>
            <w:shd w:val="pct10" w:color="auto" w:fill="FFFFFF"/>
          </w:tcPr>
          <w:p w:rsidR="005B7DA9" w:rsidRPr="00DE227E" w:rsidP="00DE227E">
            <w:pPr>
              <w:spacing w:after="120" w:line="230" w:lineRule="exact"/>
              <w:jc w:val="center"/>
              <w:rPr>
                <w:rFonts w:eastAsia="Calibri" w:cs="FrankRuehl"/>
                <w:b/>
                <w:bCs/>
                <w:sz w:val="20"/>
                <w:szCs w:val="20"/>
                <w:rtl/>
              </w:rPr>
            </w:pPr>
            <w:r w:rsidRPr="00DE227E">
              <w:rPr>
                <w:rFonts w:eastAsia="Calibri" w:cs="FrankRuehl" w:hint="cs"/>
                <w:b/>
                <w:bCs/>
                <w:sz w:val="20"/>
                <w:szCs w:val="20"/>
                <w:rtl/>
              </w:rPr>
              <w:t>סוג המוסד החינוכי</w:t>
            </w:r>
          </w:p>
        </w:tc>
        <w:tc>
          <w:tcPr>
            <w:tcW w:w="0" w:type="auto"/>
            <w:tcBorders>
              <w:top w:val="single" w:sz="12" w:space="0" w:color="auto"/>
              <w:bottom w:val="single" w:sz="12" w:space="0" w:color="auto"/>
            </w:tcBorders>
            <w:shd w:val="pct10" w:color="auto" w:fill="FFFFFF"/>
          </w:tcPr>
          <w:p w:rsidR="005B7DA9" w:rsidRPr="00DE227E" w:rsidP="00DE227E">
            <w:pPr>
              <w:spacing w:after="120" w:line="230" w:lineRule="exact"/>
              <w:jc w:val="center"/>
              <w:rPr>
                <w:rFonts w:eastAsia="Calibri" w:cs="FrankRuehl"/>
                <w:b/>
                <w:bCs/>
                <w:sz w:val="20"/>
                <w:szCs w:val="20"/>
                <w:rtl/>
              </w:rPr>
            </w:pPr>
            <w:r w:rsidRPr="00DE227E">
              <w:rPr>
                <w:rFonts w:eastAsia="Calibri" w:cs="FrankRuehl" w:hint="cs"/>
                <w:b/>
                <w:bCs/>
                <w:sz w:val="20"/>
                <w:szCs w:val="20"/>
                <w:rtl/>
              </w:rPr>
              <w:t>2010*</w:t>
            </w:r>
          </w:p>
        </w:tc>
        <w:tc>
          <w:tcPr>
            <w:tcW w:w="0" w:type="auto"/>
            <w:tcBorders>
              <w:top w:val="single" w:sz="12" w:space="0" w:color="auto"/>
              <w:bottom w:val="single" w:sz="12" w:space="0" w:color="auto"/>
            </w:tcBorders>
            <w:shd w:val="pct10" w:color="auto" w:fill="FFFFFF"/>
          </w:tcPr>
          <w:p w:rsidR="005B7DA9" w:rsidRPr="00DE227E" w:rsidP="00DE227E">
            <w:pPr>
              <w:spacing w:after="120" w:line="230" w:lineRule="exact"/>
              <w:jc w:val="center"/>
              <w:rPr>
                <w:rFonts w:eastAsia="Calibri" w:cs="FrankRuehl"/>
                <w:b/>
                <w:bCs/>
                <w:sz w:val="20"/>
                <w:szCs w:val="20"/>
                <w:rtl/>
              </w:rPr>
            </w:pPr>
            <w:r w:rsidRPr="00DE227E">
              <w:rPr>
                <w:rFonts w:eastAsia="Calibri" w:cs="FrankRuehl" w:hint="cs"/>
                <w:b/>
                <w:bCs/>
                <w:sz w:val="20"/>
                <w:szCs w:val="20"/>
                <w:rtl/>
              </w:rPr>
              <w:t>2010**</w:t>
            </w:r>
          </w:p>
        </w:tc>
        <w:tc>
          <w:tcPr>
            <w:tcW w:w="0" w:type="auto"/>
            <w:tcBorders>
              <w:top w:val="single" w:sz="12" w:space="0" w:color="auto"/>
              <w:bottom w:val="single" w:sz="12" w:space="0" w:color="auto"/>
            </w:tcBorders>
            <w:shd w:val="pct10" w:color="auto" w:fill="FFFFFF"/>
          </w:tcPr>
          <w:p w:rsidR="005B7DA9" w:rsidRPr="00DE227E" w:rsidP="00DE227E">
            <w:pPr>
              <w:spacing w:after="120" w:line="230" w:lineRule="exact"/>
              <w:jc w:val="center"/>
              <w:rPr>
                <w:rFonts w:eastAsia="Calibri" w:cs="FrankRuehl"/>
                <w:b/>
                <w:bCs/>
                <w:sz w:val="20"/>
                <w:szCs w:val="20"/>
                <w:rtl/>
              </w:rPr>
            </w:pPr>
            <w:r w:rsidRPr="00DE227E">
              <w:rPr>
                <w:rFonts w:eastAsia="Calibri" w:cs="FrankRuehl" w:hint="cs"/>
                <w:b/>
                <w:bCs/>
                <w:sz w:val="20"/>
                <w:szCs w:val="20"/>
                <w:rtl/>
              </w:rPr>
              <w:t>2011</w:t>
            </w:r>
          </w:p>
        </w:tc>
        <w:tc>
          <w:tcPr>
            <w:tcW w:w="0" w:type="auto"/>
            <w:tcBorders>
              <w:top w:val="single" w:sz="12" w:space="0" w:color="auto"/>
              <w:bottom w:val="single" w:sz="12" w:space="0" w:color="auto"/>
            </w:tcBorders>
            <w:shd w:val="pct10" w:color="auto" w:fill="FFFFFF"/>
          </w:tcPr>
          <w:p w:rsidR="005B7DA9" w:rsidRPr="00DE227E" w:rsidP="00DE227E">
            <w:pPr>
              <w:spacing w:after="120" w:line="230" w:lineRule="exact"/>
              <w:jc w:val="center"/>
              <w:rPr>
                <w:rFonts w:eastAsia="Calibri" w:cs="FrankRuehl"/>
                <w:b/>
                <w:bCs/>
                <w:sz w:val="20"/>
                <w:szCs w:val="20"/>
                <w:rtl/>
              </w:rPr>
            </w:pPr>
            <w:r w:rsidRPr="00DE227E">
              <w:rPr>
                <w:rFonts w:eastAsia="Calibri" w:cs="FrankRuehl" w:hint="cs"/>
                <w:b/>
                <w:bCs/>
                <w:sz w:val="20"/>
                <w:szCs w:val="20"/>
                <w:rtl/>
              </w:rPr>
              <w:t>2012</w:t>
            </w:r>
          </w:p>
        </w:tc>
        <w:tc>
          <w:tcPr>
            <w:tcW w:w="0" w:type="auto"/>
            <w:tcBorders>
              <w:top w:val="single" w:sz="12" w:space="0" w:color="auto"/>
              <w:bottom w:val="single" w:sz="12" w:space="0" w:color="auto"/>
            </w:tcBorders>
            <w:shd w:val="pct10" w:color="auto" w:fill="FFFFFF"/>
          </w:tcPr>
          <w:p w:rsidR="005B7DA9" w:rsidRPr="00DE227E" w:rsidP="00DE227E">
            <w:pPr>
              <w:spacing w:after="120" w:line="230" w:lineRule="exact"/>
              <w:jc w:val="center"/>
              <w:rPr>
                <w:rFonts w:eastAsia="Calibri" w:cs="FrankRuehl"/>
                <w:b/>
                <w:bCs/>
                <w:sz w:val="20"/>
                <w:szCs w:val="20"/>
                <w:rtl/>
              </w:rPr>
            </w:pPr>
            <w:r w:rsidRPr="00DE227E">
              <w:rPr>
                <w:rFonts w:eastAsia="Calibri" w:cs="FrankRuehl" w:hint="cs"/>
                <w:b/>
                <w:bCs/>
                <w:sz w:val="20"/>
                <w:szCs w:val="20"/>
                <w:rtl/>
              </w:rPr>
              <w:t>2013</w:t>
            </w:r>
          </w:p>
        </w:tc>
      </w:tr>
      <w:tr w:rsidTr="00DE227E">
        <w:tblPrEx>
          <w:tblW w:w="6691" w:type="dxa"/>
          <w:jc w:val="center"/>
          <w:tblLook w:val="04A0"/>
        </w:tblPrEx>
        <w:trPr>
          <w:jc w:val="center"/>
        </w:trPr>
        <w:tc>
          <w:tcPr>
            <w:tcW w:w="0" w:type="auto"/>
            <w:tcBorders>
              <w:top w:val="single" w:sz="12" w:space="0" w:color="auto"/>
            </w:tcBorders>
          </w:tcPr>
          <w:p w:rsidR="005B7DA9" w:rsidRPr="00DE227E" w:rsidP="00DE227E">
            <w:pPr>
              <w:spacing w:before="40" w:after="40" w:line="220" w:lineRule="exact"/>
              <w:jc w:val="both"/>
              <w:rPr>
                <w:rFonts w:eastAsia="Calibri" w:cs="FrankRuehl"/>
                <w:sz w:val="20"/>
                <w:szCs w:val="20"/>
                <w:rtl/>
              </w:rPr>
            </w:pPr>
            <w:r w:rsidRPr="00DE227E">
              <w:rPr>
                <w:rFonts w:eastAsia="Calibri" w:cs="FrankRuehl" w:hint="cs"/>
                <w:sz w:val="20"/>
                <w:szCs w:val="20"/>
                <w:rtl/>
              </w:rPr>
              <w:t>גן</w:t>
            </w:r>
          </w:p>
        </w:tc>
        <w:tc>
          <w:tcPr>
            <w:tcW w:w="0" w:type="auto"/>
            <w:tcBorders>
              <w:top w:val="single" w:sz="12" w:space="0" w:color="auto"/>
            </w:tcBorders>
          </w:tcPr>
          <w:p w:rsidR="005B7DA9" w:rsidRPr="00DE227E" w:rsidP="00DE227E">
            <w:pPr>
              <w:spacing w:before="40" w:after="40" w:line="220" w:lineRule="exact"/>
              <w:jc w:val="both"/>
              <w:rPr>
                <w:rFonts w:eastAsia="Calibri" w:cs="FrankRuehl"/>
                <w:sz w:val="20"/>
                <w:szCs w:val="20"/>
                <w:rtl/>
              </w:rPr>
            </w:pPr>
            <w:r w:rsidRPr="00DE227E">
              <w:rPr>
                <w:rFonts w:eastAsia="Calibri" w:cs="FrankRuehl" w:hint="cs"/>
                <w:sz w:val="20"/>
                <w:szCs w:val="20"/>
                <w:rtl/>
              </w:rPr>
              <w:t>2</w:t>
            </w:r>
          </w:p>
        </w:tc>
        <w:tc>
          <w:tcPr>
            <w:tcW w:w="0" w:type="auto"/>
            <w:tcBorders>
              <w:top w:val="single" w:sz="12" w:space="0" w:color="auto"/>
            </w:tcBorders>
          </w:tcPr>
          <w:p w:rsidR="005B7DA9" w:rsidRPr="00DE227E" w:rsidP="00DE227E">
            <w:pPr>
              <w:spacing w:before="40" w:after="40" w:line="220" w:lineRule="exact"/>
              <w:jc w:val="both"/>
              <w:rPr>
                <w:rFonts w:eastAsia="Calibri" w:cs="FrankRuehl"/>
                <w:sz w:val="20"/>
                <w:szCs w:val="20"/>
                <w:rtl/>
              </w:rPr>
            </w:pPr>
            <w:r w:rsidRPr="00DE227E">
              <w:rPr>
                <w:rFonts w:eastAsia="Calibri" w:cs="FrankRuehl" w:hint="cs"/>
                <w:sz w:val="20"/>
                <w:szCs w:val="20"/>
                <w:rtl/>
              </w:rPr>
              <w:t>1.25</w:t>
            </w:r>
          </w:p>
        </w:tc>
        <w:tc>
          <w:tcPr>
            <w:tcW w:w="0" w:type="auto"/>
            <w:tcBorders>
              <w:top w:val="single" w:sz="12" w:space="0" w:color="auto"/>
            </w:tcBorders>
          </w:tcPr>
          <w:p w:rsidR="005B7DA9" w:rsidRPr="00DE227E" w:rsidP="00DE227E">
            <w:pPr>
              <w:spacing w:before="40" w:after="40" w:line="220" w:lineRule="exact"/>
              <w:jc w:val="both"/>
              <w:rPr>
                <w:rFonts w:eastAsia="Calibri" w:cs="FrankRuehl"/>
                <w:sz w:val="20"/>
                <w:szCs w:val="20"/>
                <w:rtl/>
              </w:rPr>
            </w:pPr>
            <w:r w:rsidRPr="00DE227E">
              <w:rPr>
                <w:rFonts w:eastAsia="Calibri" w:cs="FrankRuehl" w:hint="cs"/>
                <w:sz w:val="20"/>
                <w:szCs w:val="20"/>
                <w:rtl/>
              </w:rPr>
              <w:t>2</w:t>
            </w:r>
          </w:p>
        </w:tc>
        <w:tc>
          <w:tcPr>
            <w:tcW w:w="0" w:type="auto"/>
            <w:tcBorders>
              <w:top w:val="single" w:sz="12" w:space="0" w:color="auto"/>
            </w:tcBorders>
          </w:tcPr>
          <w:p w:rsidR="005B7DA9" w:rsidRPr="00DE227E" w:rsidP="00DE227E">
            <w:pPr>
              <w:spacing w:before="40" w:after="40" w:line="220" w:lineRule="exact"/>
              <w:jc w:val="both"/>
              <w:rPr>
                <w:rFonts w:eastAsia="Calibri" w:cs="FrankRuehl"/>
                <w:sz w:val="20"/>
                <w:szCs w:val="20"/>
                <w:rtl/>
              </w:rPr>
            </w:pPr>
            <w:r w:rsidRPr="00DE227E">
              <w:rPr>
                <w:rFonts w:eastAsia="Calibri" w:cs="FrankRuehl" w:hint="cs"/>
                <w:sz w:val="20"/>
                <w:szCs w:val="20"/>
                <w:rtl/>
              </w:rPr>
              <w:t>2.5</w:t>
            </w:r>
          </w:p>
        </w:tc>
        <w:tc>
          <w:tcPr>
            <w:tcW w:w="0" w:type="auto"/>
            <w:tcBorders>
              <w:top w:val="single" w:sz="12" w:space="0" w:color="auto"/>
            </w:tcBorders>
          </w:tcPr>
          <w:p w:rsidR="005B7DA9" w:rsidRPr="00DE227E" w:rsidP="00DE227E">
            <w:pPr>
              <w:spacing w:before="40" w:after="40" w:line="220" w:lineRule="exact"/>
              <w:jc w:val="both"/>
              <w:rPr>
                <w:rFonts w:eastAsia="Calibri" w:cs="FrankRuehl"/>
                <w:sz w:val="20"/>
                <w:szCs w:val="20"/>
                <w:rtl/>
              </w:rPr>
            </w:pPr>
            <w:r w:rsidRPr="00DE227E">
              <w:rPr>
                <w:rFonts w:eastAsia="Calibri" w:cs="FrankRuehl" w:hint="cs"/>
                <w:sz w:val="20"/>
                <w:szCs w:val="20"/>
                <w:rtl/>
              </w:rPr>
              <w:t>2.5</w:t>
            </w:r>
          </w:p>
        </w:tc>
      </w:tr>
      <w:tr w:rsidTr="00DE227E">
        <w:tblPrEx>
          <w:tblW w:w="6691" w:type="dxa"/>
          <w:jc w:val="center"/>
          <w:tblLook w:val="04A0"/>
        </w:tblPrEx>
        <w:trPr>
          <w:jc w:val="center"/>
        </w:trPr>
        <w:tc>
          <w:tcPr>
            <w:tcW w:w="0" w:type="auto"/>
          </w:tcPr>
          <w:p w:rsidR="005B7DA9" w:rsidRPr="00DE227E" w:rsidP="00DE227E">
            <w:pPr>
              <w:spacing w:before="40" w:after="40" w:line="220" w:lineRule="exact"/>
              <w:jc w:val="both"/>
              <w:rPr>
                <w:rFonts w:eastAsia="Calibri" w:cs="FrankRuehl"/>
                <w:sz w:val="20"/>
                <w:szCs w:val="20"/>
                <w:rtl/>
              </w:rPr>
            </w:pPr>
            <w:r w:rsidRPr="00DE227E">
              <w:rPr>
                <w:rFonts w:eastAsia="Calibri" w:cs="FrankRuehl" w:hint="cs"/>
                <w:sz w:val="20"/>
                <w:szCs w:val="20"/>
                <w:rtl/>
              </w:rPr>
              <w:t xml:space="preserve">מוסד פטור לחינוך יסודי </w:t>
            </w:r>
          </w:p>
        </w:tc>
        <w:tc>
          <w:tcPr>
            <w:tcW w:w="0" w:type="auto"/>
          </w:tcPr>
          <w:p w:rsidR="005B7DA9" w:rsidRPr="00DE227E" w:rsidP="00DE227E">
            <w:pPr>
              <w:spacing w:before="40" w:after="40" w:line="220" w:lineRule="exact"/>
              <w:jc w:val="both"/>
              <w:rPr>
                <w:rFonts w:eastAsia="Calibri" w:cs="FrankRuehl"/>
                <w:sz w:val="20"/>
                <w:szCs w:val="20"/>
                <w:rtl/>
              </w:rPr>
            </w:pPr>
            <w:r w:rsidRPr="00DE227E">
              <w:rPr>
                <w:rFonts w:eastAsia="Calibri" w:cs="FrankRuehl" w:hint="cs"/>
                <w:sz w:val="20"/>
                <w:szCs w:val="20"/>
                <w:rtl/>
              </w:rPr>
              <w:t>2</w:t>
            </w:r>
          </w:p>
        </w:tc>
        <w:tc>
          <w:tcPr>
            <w:tcW w:w="0" w:type="auto"/>
          </w:tcPr>
          <w:p w:rsidR="005B7DA9" w:rsidRPr="00DE227E" w:rsidP="00DE227E">
            <w:pPr>
              <w:spacing w:before="40" w:after="40" w:line="220" w:lineRule="exact"/>
              <w:jc w:val="both"/>
              <w:rPr>
                <w:rFonts w:eastAsia="Calibri" w:cs="FrankRuehl"/>
                <w:sz w:val="20"/>
                <w:szCs w:val="20"/>
                <w:rtl/>
              </w:rPr>
            </w:pPr>
            <w:r w:rsidRPr="00DE227E">
              <w:rPr>
                <w:rFonts w:eastAsia="Calibri" w:cs="FrankRuehl" w:hint="cs"/>
                <w:sz w:val="20"/>
                <w:szCs w:val="20"/>
                <w:rtl/>
              </w:rPr>
              <w:t>2</w:t>
            </w:r>
          </w:p>
        </w:tc>
        <w:tc>
          <w:tcPr>
            <w:tcW w:w="0" w:type="auto"/>
          </w:tcPr>
          <w:p w:rsidR="005B7DA9" w:rsidRPr="00DE227E" w:rsidP="00DE227E">
            <w:pPr>
              <w:spacing w:before="40" w:after="40" w:line="220" w:lineRule="exact"/>
              <w:jc w:val="both"/>
              <w:rPr>
                <w:rFonts w:eastAsia="Calibri" w:cs="FrankRuehl"/>
                <w:sz w:val="20"/>
                <w:szCs w:val="20"/>
                <w:rtl/>
              </w:rPr>
            </w:pPr>
            <w:r w:rsidRPr="00DE227E">
              <w:rPr>
                <w:rFonts w:eastAsia="Calibri" w:cs="FrankRuehl" w:hint="cs"/>
                <w:sz w:val="20"/>
                <w:szCs w:val="20"/>
                <w:rtl/>
              </w:rPr>
              <w:t>2.5</w:t>
            </w:r>
          </w:p>
        </w:tc>
        <w:tc>
          <w:tcPr>
            <w:tcW w:w="0" w:type="auto"/>
          </w:tcPr>
          <w:p w:rsidR="005B7DA9" w:rsidRPr="00DE227E" w:rsidP="00DE227E">
            <w:pPr>
              <w:spacing w:before="40" w:after="40" w:line="220" w:lineRule="exact"/>
              <w:jc w:val="both"/>
              <w:rPr>
                <w:rFonts w:eastAsia="Calibri" w:cs="FrankRuehl"/>
                <w:sz w:val="20"/>
                <w:szCs w:val="20"/>
                <w:rtl/>
              </w:rPr>
            </w:pPr>
            <w:r w:rsidRPr="00DE227E">
              <w:rPr>
                <w:rFonts w:eastAsia="Calibri" w:cs="FrankRuehl" w:hint="cs"/>
                <w:sz w:val="20"/>
                <w:szCs w:val="20"/>
                <w:rtl/>
              </w:rPr>
              <w:t>2.5</w:t>
            </w:r>
          </w:p>
        </w:tc>
        <w:tc>
          <w:tcPr>
            <w:tcW w:w="0" w:type="auto"/>
          </w:tcPr>
          <w:p w:rsidR="005B7DA9" w:rsidRPr="00DE227E" w:rsidP="00DE227E">
            <w:pPr>
              <w:spacing w:before="40" w:after="40" w:line="220" w:lineRule="exact"/>
              <w:jc w:val="both"/>
              <w:rPr>
                <w:rFonts w:eastAsia="Calibri" w:cs="FrankRuehl"/>
                <w:sz w:val="20"/>
                <w:szCs w:val="20"/>
                <w:rtl/>
              </w:rPr>
            </w:pPr>
            <w:r w:rsidRPr="00DE227E">
              <w:rPr>
                <w:rFonts w:eastAsia="Calibri" w:cs="FrankRuehl" w:hint="cs"/>
                <w:sz w:val="20"/>
                <w:szCs w:val="20"/>
                <w:rtl/>
              </w:rPr>
              <w:t>2.5</w:t>
            </w:r>
          </w:p>
        </w:tc>
      </w:tr>
      <w:tr w:rsidTr="00DE227E">
        <w:tblPrEx>
          <w:tblW w:w="6691" w:type="dxa"/>
          <w:jc w:val="center"/>
          <w:tblLook w:val="04A0"/>
        </w:tblPrEx>
        <w:trPr>
          <w:jc w:val="center"/>
        </w:trPr>
        <w:tc>
          <w:tcPr>
            <w:tcW w:w="0" w:type="auto"/>
          </w:tcPr>
          <w:p w:rsidR="005B7DA9" w:rsidRPr="00DE227E" w:rsidP="00DE227E">
            <w:pPr>
              <w:spacing w:before="40" w:after="40" w:line="220" w:lineRule="exact"/>
              <w:jc w:val="both"/>
              <w:rPr>
                <w:rFonts w:eastAsia="Calibri" w:cs="FrankRuehl"/>
                <w:sz w:val="20"/>
                <w:szCs w:val="20"/>
                <w:rtl/>
              </w:rPr>
            </w:pPr>
            <w:r w:rsidRPr="00DE227E">
              <w:rPr>
                <w:rFonts w:eastAsia="Calibri" w:cs="FrankRuehl" w:hint="cs"/>
                <w:sz w:val="20"/>
                <w:szCs w:val="20"/>
                <w:rtl/>
              </w:rPr>
              <w:t>מוסד לחינוך על-יסודי</w:t>
            </w:r>
          </w:p>
        </w:tc>
        <w:tc>
          <w:tcPr>
            <w:tcW w:w="0" w:type="auto"/>
          </w:tcPr>
          <w:p w:rsidR="005B7DA9" w:rsidRPr="00DE227E" w:rsidP="00DE227E">
            <w:pPr>
              <w:spacing w:before="40" w:after="40" w:line="220" w:lineRule="exact"/>
              <w:jc w:val="both"/>
              <w:rPr>
                <w:rFonts w:eastAsia="Calibri" w:cs="FrankRuehl"/>
                <w:sz w:val="20"/>
                <w:szCs w:val="20"/>
                <w:rtl/>
              </w:rPr>
            </w:pPr>
            <w:r w:rsidRPr="00DE227E">
              <w:rPr>
                <w:rFonts w:eastAsia="Calibri" w:cs="FrankRuehl" w:hint="cs"/>
                <w:sz w:val="20"/>
                <w:szCs w:val="20"/>
                <w:rtl/>
              </w:rPr>
              <w:t>2.5</w:t>
            </w:r>
          </w:p>
        </w:tc>
        <w:tc>
          <w:tcPr>
            <w:tcW w:w="0" w:type="auto"/>
          </w:tcPr>
          <w:p w:rsidR="005B7DA9" w:rsidRPr="00DE227E" w:rsidP="00DE227E">
            <w:pPr>
              <w:spacing w:before="40" w:after="40" w:line="220" w:lineRule="exact"/>
              <w:jc w:val="both"/>
              <w:rPr>
                <w:rFonts w:eastAsia="Calibri" w:cs="FrankRuehl"/>
                <w:sz w:val="20"/>
                <w:szCs w:val="20"/>
                <w:rtl/>
              </w:rPr>
            </w:pPr>
            <w:r w:rsidRPr="00DE227E">
              <w:rPr>
                <w:rFonts w:eastAsia="Calibri" w:cs="FrankRuehl" w:hint="cs"/>
                <w:sz w:val="20"/>
                <w:szCs w:val="20"/>
                <w:rtl/>
              </w:rPr>
              <w:t>1</w:t>
            </w:r>
          </w:p>
        </w:tc>
        <w:tc>
          <w:tcPr>
            <w:tcW w:w="0" w:type="auto"/>
          </w:tcPr>
          <w:p w:rsidR="005B7DA9" w:rsidRPr="00DE227E" w:rsidP="00DE227E">
            <w:pPr>
              <w:spacing w:before="40" w:after="40" w:line="220" w:lineRule="exact"/>
              <w:jc w:val="both"/>
              <w:rPr>
                <w:rFonts w:eastAsia="Calibri" w:cs="FrankRuehl"/>
                <w:sz w:val="20"/>
                <w:szCs w:val="20"/>
                <w:rtl/>
              </w:rPr>
            </w:pPr>
            <w:r w:rsidRPr="00DE227E">
              <w:rPr>
                <w:rFonts w:eastAsia="Calibri" w:cs="FrankRuehl" w:hint="cs"/>
                <w:sz w:val="20"/>
                <w:szCs w:val="20"/>
                <w:rtl/>
              </w:rPr>
              <w:t>1</w:t>
            </w:r>
          </w:p>
        </w:tc>
        <w:tc>
          <w:tcPr>
            <w:tcW w:w="0" w:type="auto"/>
          </w:tcPr>
          <w:p w:rsidR="005B7DA9" w:rsidRPr="00DE227E" w:rsidP="00DE227E">
            <w:pPr>
              <w:spacing w:before="40" w:after="40" w:line="220" w:lineRule="exact"/>
              <w:jc w:val="both"/>
              <w:rPr>
                <w:rFonts w:eastAsia="Calibri" w:cs="FrankRuehl"/>
                <w:sz w:val="20"/>
                <w:szCs w:val="20"/>
                <w:rtl/>
              </w:rPr>
            </w:pPr>
            <w:r w:rsidRPr="00DE227E">
              <w:rPr>
                <w:rFonts w:eastAsia="Calibri" w:cs="FrankRuehl" w:hint="cs"/>
                <w:sz w:val="20"/>
                <w:szCs w:val="20"/>
                <w:rtl/>
              </w:rPr>
              <w:t>1</w:t>
            </w:r>
          </w:p>
        </w:tc>
        <w:tc>
          <w:tcPr>
            <w:tcW w:w="0" w:type="auto"/>
          </w:tcPr>
          <w:p w:rsidR="005B7DA9" w:rsidRPr="00DE227E" w:rsidP="00DE227E">
            <w:pPr>
              <w:spacing w:before="40" w:after="40" w:line="220" w:lineRule="exact"/>
              <w:jc w:val="both"/>
              <w:rPr>
                <w:rFonts w:eastAsia="Calibri" w:cs="FrankRuehl"/>
                <w:sz w:val="20"/>
                <w:szCs w:val="20"/>
                <w:rtl/>
              </w:rPr>
            </w:pPr>
            <w:r w:rsidRPr="00DE227E">
              <w:rPr>
                <w:rFonts w:eastAsia="Calibri" w:cs="FrankRuehl" w:hint="cs"/>
                <w:sz w:val="20"/>
                <w:szCs w:val="20"/>
                <w:rtl/>
              </w:rPr>
              <w:t>1</w:t>
            </w:r>
          </w:p>
        </w:tc>
      </w:tr>
      <w:tr w:rsidTr="00DE227E">
        <w:tblPrEx>
          <w:tblW w:w="6691" w:type="dxa"/>
          <w:jc w:val="center"/>
          <w:tblLook w:val="04A0"/>
        </w:tblPrEx>
        <w:trPr>
          <w:jc w:val="center"/>
        </w:trPr>
        <w:tc>
          <w:tcPr>
            <w:tcW w:w="0" w:type="auto"/>
          </w:tcPr>
          <w:p w:rsidR="005B7DA9" w:rsidRPr="00DE227E" w:rsidP="00DE227E">
            <w:pPr>
              <w:spacing w:before="40" w:after="40" w:line="220" w:lineRule="exact"/>
              <w:jc w:val="both"/>
              <w:rPr>
                <w:rFonts w:eastAsia="Calibri" w:cs="FrankRuehl"/>
                <w:sz w:val="20"/>
                <w:szCs w:val="20"/>
                <w:rtl/>
              </w:rPr>
            </w:pPr>
            <w:r w:rsidRPr="00DE227E">
              <w:rPr>
                <w:rFonts w:eastAsia="Calibri" w:cs="FrankRuehl" w:hint="cs"/>
                <w:sz w:val="20"/>
                <w:szCs w:val="20"/>
                <w:rtl/>
              </w:rPr>
              <w:t xml:space="preserve">מעל 10 שעות לימוד במוסד לחינוך על-יסודי </w:t>
            </w:r>
          </w:p>
        </w:tc>
        <w:tc>
          <w:tcPr>
            <w:tcW w:w="0" w:type="auto"/>
          </w:tcPr>
          <w:p w:rsidR="005B7DA9" w:rsidRPr="00DE227E" w:rsidP="00DE227E">
            <w:pPr>
              <w:spacing w:before="40" w:after="40" w:line="220" w:lineRule="exact"/>
              <w:jc w:val="both"/>
              <w:rPr>
                <w:rFonts w:eastAsia="Calibri" w:cs="FrankRuehl"/>
                <w:sz w:val="20"/>
                <w:szCs w:val="20"/>
                <w:rtl/>
              </w:rPr>
            </w:pPr>
            <w:r w:rsidRPr="00DE227E">
              <w:rPr>
                <w:rFonts w:eastAsia="Calibri" w:cs="FrankRuehl" w:hint="cs"/>
                <w:sz w:val="20"/>
                <w:szCs w:val="20"/>
                <w:rtl/>
              </w:rPr>
              <w:t>3.5</w:t>
            </w:r>
          </w:p>
        </w:tc>
        <w:tc>
          <w:tcPr>
            <w:tcW w:w="0" w:type="auto"/>
          </w:tcPr>
          <w:p w:rsidR="005B7DA9" w:rsidRPr="00DE227E" w:rsidP="00DE227E">
            <w:pPr>
              <w:spacing w:before="40" w:after="40" w:line="220" w:lineRule="exact"/>
              <w:jc w:val="both"/>
              <w:rPr>
                <w:rFonts w:eastAsia="Calibri" w:cs="FrankRuehl"/>
                <w:sz w:val="20"/>
                <w:szCs w:val="20"/>
                <w:rtl/>
              </w:rPr>
            </w:pPr>
            <w:r w:rsidRPr="00DE227E">
              <w:rPr>
                <w:rFonts w:eastAsia="Calibri" w:cs="FrankRuehl" w:hint="cs"/>
                <w:sz w:val="20"/>
                <w:szCs w:val="20"/>
                <w:rtl/>
              </w:rPr>
              <w:t>2.5</w:t>
            </w:r>
          </w:p>
        </w:tc>
        <w:tc>
          <w:tcPr>
            <w:tcW w:w="0" w:type="auto"/>
          </w:tcPr>
          <w:p w:rsidR="005B7DA9" w:rsidRPr="00DE227E" w:rsidP="00DE227E">
            <w:pPr>
              <w:spacing w:before="40" w:after="40" w:line="220" w:lineRule="exact"/>
              <w:jc w:val="both"/>
              <w:rPr>
                <w:rFonts w:eastAsia="Calibri" w:cs="FrankRuehl"/>
                <w:sz w:val="20"/>
                <w:szCs w:val="20"/>
                <w:rtl/>
              </w:rPr>
            </w:pPr>
            <w:r w:rsidRPr="00DE227E">
              <w:rPr>
                <w:rFonts w:eastAsia="Calibri" w:cs="FrankRuehl" w:hint="cs"/>
                <w:sz w:val="20"/>
                <w:szCs w:val="20"/>
                <w:rtl/>
              </w:rPr>
              <w:t>3</w:t>
            </w:r>
          </w:p>
        </w:tc>
        <w:tc>
          <w:tcPr>
            <w:tcW w:w="0" w:type="auto"/>
          </w:tcPr>
          <w:p w:rsidR="005B7DA9" w:rsidRPr="00DE227E" w:rsidP="00DE227E">
            <w:pPr>
              <w:spacing w:before="40" w:after="40" w:line="220" w:lineRule="exact"/>
              <w:jc w:val="both"/>
              <w:rPr>
                <w:rFonts w:eastAsia="Calibri" w:cs="FrankRuehl"/>
                <w:sz w:val="20"/>
                <w:szCs w:val="20"/>
                <w:rtl/>
              </w:rPr>
            </w:pPr>
            <w:r w:rsidRPr="00DE227E">
              <w:rPr>
                <w:rFonts w:eastAsia="Calibri" w:cs="FrankRuehl" w:hint="cs"/>
                <w:sz w:val="20"/>
                <w:szCs w:val="20"/>
                <w:rtl/>
              </w:rPr>
              <w:t>4</w:t>
            </w:r>
          </w:p>
        </w:tc>
        <w:tc>
          <w:tcPr>
            <w:tcW w:w="0" w:type="auto"/>
          </w:tcPr>
          <w:p w:rsidR="005B7DA9" w:rsidRPr="00DE227E" w:rsidP="00DE227E">
            <w:pPr>
              <w:spacing w:before="40" w:after="40" w:line="220" w:lineRule="exact"/>
              <w:jc w:val="both"/>
              <w:rPr>
                <w:rFonts w:eastAsia="Calibri" w:cs="FrankRuehl"/>
                <w:sz w:val="20"/>
                <w:szCs w:val="20"/>
                <w:rtl/>
              </w:rPr>
            </w:pPr>
            <w:r w:rsidRPr="00DE227E">
              <w:rPr>
                <w:rFonts w:eastAsia="Calibri" w:cs="FrankRuehl" w:hint="cs"/>
                <w:sz w:val="20"/>
                <w:szCs w:val="20"/>
                <w:rtl/>
              </w:rPr>
              <w:t>4</w:t>
            </w:r>
          </w:p>
        </w:tc>
      </w:tr>
      <w:tr w:rsidTr="00DE227E">
        <w:tblPrEx>
          <w:tblW w:w="6691" w:type="dxa"/>
          <w:jc w:val="center"/>
          <w:tblLook w:val="04A0"/>
        </w:tblPrEx>
        <w:trPr>
          <w:jc w:val="center"/>
        </w:trPr>
        <w:tc>
          <w:tcPr>
            <w:tcW w:w="0" w:type="auto"/>
          </w:tcPr>
          <w:p w:rsidR="005B7DA9" w:rsidRPr="00DE227E" w:rsidP="00DE227E">
            <w:pPr>
              <w:spacing w:before="40" w:after="40" w:line="220" w:lineRule="exact"/>
              <w:jc w:val="both"/>
              <w:rPr>
                <w:rFonts w:eastAsia="Calibri" w:cs="FrankRuehl"/>
                <w:sz w:val="20"/>
                <w:szCs w:val="20"/>
                <w:rtl/>
              </w:rPr>
            </w:pPr>
            <w:r w:rsidRPr="00DE227E">
              <w:rPr>
                <w:rFonts w:eastAsia="Calibri" w:cs="FrankRuehl" w:hint="cs"/>
                <w:sz w:val="20"/>
                <w:szCs w:val="20"/>
                <w:rtl/>
              </w:rPr>
              <w:t>על-יסודי עם פנימייה</w:t>
            </w:r>
          </w:p>
        </w:tc>
        <w:tc>
          <w:tcPr>
            <w:tcW w:w="0" w:type="auto"/>
          </w:tcPr>
          <w:p w:rsidR="005B7DA9" w:rsidRPr="00DE227E" w:rsidP="00DE227E">
            <w:pPr>
              <w:spacing w:before="40" w:after="40" w:line="220" w:lineRule="exact"/>
              <w:jc w:val="both"/>
              <w:rPr>
                <w:rFonts w:eastAsia="Calibri" w:cs="FrankRuehl"/>
                <w:sz w:val="20"/>
                <w:szCs w:val="20"/>
                <w:rtl/>
              </w:rPr>
            </w:pPr>
            <w:r w:rsidRPr="00DE227E">
              <w:rPr>
                <w:rFonts w:eastAsia="Calibri" w:cs="FrankRuehl" w:hint="cs"/>
                <w:sz w:val="20"/>
                <w:szCs w:val="20"/>
                <w:rtl/>
              </w:rPr>
              <w:t>-</w:t>
            </w:r>
          </w:p>
        </w:tc>
        <w:tc>
          <w:tcPr>
            <w:tcW w:w="0" w:type="auto"/>
          </w:tcPr>
          <w:p w:rsidR="005B7DA9" w:rsidRPr="00DE227E" w:rsidP="00DE227E">
            <w:pPr>
              <w:spacing w:before="40" w:after="40" w:line="220" w:lineRule="exact"/>
              <w:jc w:val="both"/>
              <w:rPr>
                <w:rFonts w:eastAsia="Calibri" w:cs="FrankRuehl"/>
                <w:sz w:val="20"/>
                <w:szCs w:val="20"/>
                <w:rtl/>
              </w:rPr>
            </w:pPr>
            <w:r w:rsidRPr="00DE227E">
              <w:rPr>
                <w:rFonts w:eastAsia="Calibri" w:cs="FrankRuehl" w:hint="cs"/>
                <w:sz w:val="20"/>
                <w:szCs w:val="20"/>
                <w:rtl/>
              </w:rPr>
              <w:t>4</w:t>
            </w:r>
          </w:p>
        </w:tc>
        <w:tc>
          <w:tcPr>
            <w:tcW w:w="0" w:type="auto"/>
          </w:tcPr>
          <w:p w:rsidR="005B7DA9" w:rsidRPr="00DE227E" w:rsidP="00DE227E">
            <w:pPr>
              <w:spacing w:before="40" w:after="40" w:line="220" w:lineRule="exact"/>
              <w:jc w:val="both"/>
              <w:rPr>
                <w:rFonts w:eastAsia="Calibri" w:cs="FrankRuehl"/>
                <w:sz w:val="20"/>
                <w:szCs w:val="20"/>
                <w:rtl/>
              </w:rPr>
            </w:pPr>
            <w:r w:rsidRPr="00DE227E">
              <w:rPr>
                <w:rFonts w:eastAsia="Calibri" w:cs="FrankRuehl" w:hint="cs"/>
                <w:sz w:val="20"/>
                <w:szCs w:val="20"/>
                <w:rtl/>
              </w:rPr>
              <w:t>3.5</w:t>
            </w:r>
          </w:p>
        </w:tc>
        <w:tc>
          <w:tcPr>
            <w:tcW w:w="0" w:type="auto"/>
          </w:tcPr>
          <w:p w:rsidR="005B7DA9" w:rsidRPr="00DE227E" w:rsidP="00DE227E">
            <w:pPr>
              <w:spacing w:before="40" w:after="40" w:line="220" w:lineRule="exact"/>
              <w:jc w:val="both"/>
              <w:rPr>
                <w:rFonts w:eastAsia="Calibri" w:cs="FrankRuehl"/>
                <w:sz w:val="20"/>
                <w:szCs w:val="20"/>
                <w:rtl/>
              </w:rPr>
            </w:pPr>
            <w:r w:rsidRPr="00DE227E">
              <w:rPr>
                <w:rFonts w:eastAsia="Calibri" w:cs="FrankRuehl" w:hint="cs"/>
                <w:sz w:val="20"/>
                <w:szCs w:val="20"/>
                <w:rtl/>
              </w:rPr>
              <w:t>7</w:t>
            </w:r>
          </w:p>
        </w:tc>
        <w:tc>
          <w:tcPr>
            <w:tcW w:w="0" w:type="auto"/>
          </w:tcPr>
          <w:p w:rsidR="005B7DA9" w:rsidRPr="00DE227E" w:rsidP="00DE227E">
            <w:pPr>
              <w:spacing w:before="40" w:after="40" w:line="220" w:lineRule="exact"/>
              <w:jc w:val="both"/>
              <w:rPr>
                <w:rFonts w:eastAsia="Calibri" w:cs="FrankRuehl"/>
                <w:sz w:val="20"/>
                <w:szCs w:val="20"/>
                <w:rtl/>
              </w:rPr>
            </w:pPr>
            <w:r w:rsidRPr="00DE227E">
              <w:rPr>
                <w:rFonts w:eastAsia="Calibri" w:cs="FrankRuehl" w:hint="cs"/>
                <w:sz w:val="20"/>
                <w:szCs w:val="20"/>
                <w:rtl/>
              </w:rPr>
              <w:t>7</w:t>
            </w:r>
          </w:p>
        </w:tc>
      </w:tr>
    </w:tbl>
    <w:p w:rsidR="00B767A7" w:rsidRPr="00DE227E" w:rsidP="00DE227E">
      <w:pPr>
        <w:spacing w:before="120" w:line="200" w:lineRule="exact"/>
        <w:ind w:left="397" w:hanging="397"/>
        <w:jc w:val="both"/>
        <w:rPr>
          <w:rFonts w:cs="FrankRuehl"/>
          <w:sz w:val="20"/>
          <w:szCs w:val="20"/>
          <w:rtl/>
        </w:rPr>
      </w:pPr>
      <w:r w:rsidRPr="00DE227E">
        <w:rPr>
          <w:rFonts w:cs="FrankRuehl" w:hint="cs"/>
          <w:sz w:val="20"/>
          <w:szCs w:val="20"/>
          <w:rtl/>
        </w:rPr>
        <w:t xml:space="preserve">* </w:t>
      </w:r>
      <w:r w:rsidRPr="00DE227E">
        <w:rPr>
          <w:rFonts w:cs="FrankRuehl" w:hint="cs"/>
          <w:sz w:val="20"/>
          <w:szCs w:val="20"/>
          <w:rtl/>
        </w:rPr>
        <w:tab/>
        <w:t>אישור התבחינים לשנת 2010 בדיון של מועצת העירייה שהתקיים באוגוסט 2009.</w:t>
      </w:r>
    </w:p>
    <w:p w:rsidR="00B767A7" w:rsidRPr="00DE227E" w:rsidP="00DE227E">
      <w:pPr>
        <w:spacing w:after="240" w:line="200" w:lineRule="exact"/>
        <w:ind w:left="397" w:hanging="397"/>
        <w:jc w:val="both"/>
        <w:rPr>
          <w:rFonts w:cs="FrankRuehl"/>
          <w:sz w:val="20"/>
          <w:szCs w:val="20"/>
          <w:rtl/>
        </w:rPr>
      </w:pPr>
      <w:r w:rsidRPr="00DE227E">
        <w:rPr>
          <w:rFonts w:cs="FrankRuehl" w:hint="cs"/>
          <w:sz w:val="20"/>
          <w:szCs w:val="20"/>
          <w:rtl/>
        </w:rPr>
        <w:t xml:space="preserve">** </w:t>
      </w:r>
      <w:r w:rsidRPr="00DE227E">
        <w:rPr>
          <w:rFonts w:cs="FrankRuehl" w:hint="cs"/>
          <w:sz w:val="20"/>
          <w:szCs w:val="20"/>
          <w:rtl/>
        </w:rPr>
        <w:tab/>
        <w:t>אישור נוסף של תבחיני 2010 בדיון של מועצת העירייה שהתקיים בנובמבר 2009.</w:t>
      </w:r>
    </w:p>
    <w:p w:rsidR="00B767A7" w:rsidP="00DE227E">
      <w:pPr>
        <w:pStyle w:val="RESHET"/>
        <w:rPr>
          <w:rtl/>
        </w:rPr>
      </w:pPr>
      <w:r>
        <w:rPr>
          <w:rFonts w:hint="cs"/>
          <w:rtl/>
        </w:rPr>
        <w:t xml:space="preserve">משרד מבקר המדינה העיר לעירייה כי כל שינוי בניקוד משמעו העדפה של קבוצה מסוימת על פני קבוצה אחרת, והדבר עלול לפגוע בעקרון השוויון. לא זו אף זו, מאחר שהעירייה מוסמכת לקבוע, לפי שיקול דעתה, מהו סך התקציב המוקצה לתמיכות בחינוך, היא חייבת לבחון אם העלאת הניקוד - וכפועל יוצא מכך הגדלת ההקצבה - אינה עשויה להשפיע על מספר התלמידים הנרשמים למוסדות החינוך הרשמיים. </w:t>
      </w:r>
    </w:p>
    <w:p w:rsidR="00B767A7" w:rsidP="00DE227E">
      <w:pPr>
        <w:spacing w:before="180" w:after="240" w:line="230" w:lineRule="exact"/>
        <w:jc w:val="both"/>
        <w:rPr>
          <w:rFonts w:cs="FrankRuehl"/>
          <w:sz w:val="20"/>
          <w:szCs w:val="22"/>
          <w:rtl/>
        </w:rPr>
      </w:pPr>
      <w:r>
        <w:rPr>
          <w:rFonts w:cs="FrankRuehl" w:hint="cs"/>
          <w:sz w:val="20"/>
          <w:szCs w:val="22"/>
          <w:rtl/>
        </w:rPr>
        <w:t>בפרוטוקולים של הוועדה המקצועית לתמיכות לא נמצאו נימוקים והסברים לשינויים שנעשו מדי שנה בשנה בניקוד פר תלמיד (בדרך כלל העלאת הניקוד). גם בישיבות מועצת העירייה שבהן אושרו התבחינים לא התקיימו דיונים בנושא ניקוד פר תלמיד והשפעותיו, למעט בישיבה אחת באוגוסט 2010</w:t>
      </w:r>
      <w:r>
        <w:rPr>
          <w:rStyle w:val="FootnoteReference"/>
          <w:rFonts w:cs="FrankRuehl"/>
          <w:sz w:val="20"/>
          <w:szCs w:val="22"/>
          <w:rtl/>
        </w:rPr>
        <w:footnoteReference w:id="32"/>
      </w:r>
      <w:r>
        <w:rPr>
          <w:rFonts w:cs="FrankRuehl" w:hint="cs"/>
          <w:sz w:val="20"/>
          <w:szCs w:val="22"/>
          <w:rtl/>
        </w:rPr>
        <w:t xml:space="preserve">. </w:t>
      </w:r>
    </w:p>
    <w:p w:rsidR="00B767A7" w:rsidP="00DE227E">
      <w:pPr>
        <w:pStyle w:val="RESHET"/>
        <w:rPr>
          <w:rtl/>
        </w:rPr>
      </w:pPr>
      <w:r>
        <w:rPr>
          <w:rFonts w:hint="cs"/>
          <w:rtl/>
        </w:rPr>
        <w:t xml:space="preserve">משרד מבקר המדינה מעיר לעירייה כי לנוכח כללי המשפט המינהלי, הוועדה המקצועית לתמיכות חייבת לקבל החלטות מנומקות ומוסברות בנוגע לשינוי תבחינים. עקרון השקיפות גם מחייב את הוועדה המקצועית להעביר לחברי המועצה את מלוא המידע הרלוונטי. </w:t>
      </w:r>
    </w:p>
    <w:p w:rsidR="00B767A7" w:rsidP="00DE227E">
      <w:pPr>
        <w:spacing w:before="180" w:after="240" w:line="230" w:lineRule="exact"/>
        <w:jc w:val="both"/>
        <w:rPr>
          <w:rFonts w:cs="FrankRuehl"/>
          <w:i/>
          <w:iCs/>
          <w:sz w:val="20"/>
          <w:szCs w:val="22"/>
          <w:rtl/>
        </w:rPr>
      </w:pPr>
      <w:r>
        <w:rPr>
          <w:rFonts w:cs="FrankRuehl" w:hint="cs"/>
          <w:sz w:val="20"/>
          <w:szCs w:val="22"/>
          <w:rtl/>
        </w:rPr>
        <w:t>נמצא כי בפתח תקווה רק עמותה אחת מפעילה מוסד חינוך על-יסודי שלו ניתנה נקודה אחת פר תלמיד. את שאר מוסדות החינוך העל-יסודי שהם מוסדות מוכרים או מוסדות פטור מפעילות 11 עמותות, ואלה הם בתי ספר חרדיים ותורניים-פרטיים שרק בהם נהוג לקיים יום לימודים ארוך, של 10 שעות ויותר</w:t>
      </w:r>
      <w:r>
        <w:rPr>
          <w:rStyle w:val="FootnoteReference"/>
          <w:rFonts w:cs="FrankRuehl"/>
          <w:sz w:val="20"/>
          <w:szCs w:val="22"/>
          <w:rtl/>
        </w:rPr>
        <w:footnoteReference w:id="33"/>
      </w:r>
      <w:r>
        <w:rPr>
          <w:rFonts w:cs="FrankRuehl" w:hint="cs"/>
          <w:sz w:val="20"/>
          <w:szCs w:val="22"/>
          <w:rtl/>
        </w:rPr>
        <w:t xml:space="preserve">. עוד נמצא כי 10 מ-11 העמותות המפעילות בתי ספר על-יסודיים עם פנימייה - שקיבלו 2,723 ש"ח פר תלמיד - מפעילות בתי ספר חרדיים ותורניים פרטיים, שרק בהם נהוג שתלמידים תושבי פתח תקווה לנים במוסד החינוך בתנאי פנימייה. </w:t>
      </w:r>
    </w:p>
    <w:p w:rsidR="00B767A7" w:rsidP="00DE227E">
      <w:pPr>
        <w:pStyle w:val="RESHET"/>
        <w:keepLines/>
        <w:rPr>
          <w:rtl/>
        </w:rPr>
      </w:pPr>
      <w:r>
        <w:rPr>
          <w:rFonts w:hint="cs"/>
          <w:rtl/>
        </w:rPr>
        <w:t>משרד מבקר המדינה העיר לעירייה כי היא רשאית לבחור, בהתאם לטעמים ענייניים ולמאפייני האוכלוסייה, לפי אילו תבחינים יחולקו כספי התמיכה. על התבחינים להיות שוויוניים ולעלות בקנה אחד עם שאר הכללים החלים על החלטות מינהליות, כלומר עליהם להתבסס על שיקולים ענייניים ועל תשתית עובדתית המשקפת את היחס בין התכלית שלשמה נועדה ההקצאה או התמיכה ובין העובדות הרלוונטיות, וכן עליהם לעמוד במבחני סבירות</w:t>
      </w:r>
      <w:r>
        <w:rPr>
          <w:rStyle w:val="FootnoteReference"/>
          <w:rFonts w:cs="FrankRuehl"/>
          <w:b w:val="0"/>
          <w:bCs w:val="0"/>
          <w:rtl/>
        </w:rPr>
        <w:footnoteReference w:id="34"/>
      </w:r>
      <w:r>
        <w:rPr>
          <w:rFonts w:hint="cs"/>
          <w:rtl/>
        </w:rPr>
        <w:t xml:space="preserve">. עיריית פתח תקווה לא קיימה את הכללים החלים על התבחינים הנוגעים לניקוד פר תלמיד, ולכן ספק אם יישמה גם את עקרון השוויון. על העירייה לבחון מחדש את כל סוגיית הניקוד פר תלמיד, בייחוד לאחר שתוקן חוק נהרי (ראו להלן). </w:t>
      </w:r>
    </w:p>
    <w:p w:rsidR="00B767A7">
      <w:pPr>
        <w:spacing w:after="120" w:line="230" w:lineRule="exact"/>
        <w:jc w:val="both"/>
        <w:rPr>
          <w:rFonts w:cs="FrankRuehl"/>
          <w:sz w:val="20"/>
          <w:szCs w:val="22"/>
        </w:rPr>
      </w:pPr>
    </w:p>
    <w:p w:rsidR="00B767A7">
      <w:pPr>
        <w:spacing w:after="120" w:line="230" w:lineRule="exact"/>
        <w:jc w:val="both"/>
        <w:rPr>
          <w:rFonts w:cs="FrankRuehl"/>
          <w:sz w:val="20"/>
          <w:szCs w:val="22"/>
          <w:rtl/>
        </w:rPr>
      </w:pPr>
    </w:p>
    <w:p w:rsidR="00B767A7">
      <w:pPr>
        <w:pStyle w:val="KOT4"/>
        <w:rPr>
          <w:rtl/>
        </w:rPr>
      </w:pPr>
      <w:r>
        <w:rPr>
          <w:rFonts w:hint="cs"/>
          <w:rtl/>
        </w:rPr>
        <w:t>תיקון לחוק נהרי</w:t>
      </w:r>
    </w:p>
    <w:p w:rsidR="00B767A7">
      <w:pPr>
        <w:spacing w:after="120" w:line="230" w:lineRule="exact"/>
        <w:jc w:val="both"/>
        <w:rPr>
          <w:rFonts w:cs="FrankRuehl"/>
          <w:sz w:val="20"/>
          <w:szCs w:val="22"/>
          <w:rtl/>
        </w:rPr>
      </w:pPr>
      <w:r>
        <w:rPr>
          <w:rFonts w:cs="FrankRuehl" w:hint="cs"/>
          <w:sz w:val="20"/>
          <w:szCs w:val="22"/>
          <w:rtl/>
        </w:rPr>
        <w:t>בפסק הדין של השופט נועם סולברג מאפריל 2010, שבו</w:t>
      </w:r>
      <w:r>
        <w:rPr>
          <w:rFonts w:cs="FrankRuehl"/>
          <w:sz w:val="20"/>
          <w:szCs w:val="22"/>
          <w:rtl/>
        </w:rPr>
        <w:t xml:space="preserve"> </w:t>
      </w:r>
      <w:r>
        <w:rPr>
          <w:rFonts w:cs="FrankRuehl" w:hint="cs"/>
          <w:sz w:val="20"/>
          <w:szCs w:val="22"/>
          <w:rtl/>
        </w:rPr>
        <w:t>חזר</w:t>
      </w:r>
      <w:r>
        <w:rPr>
          <w:rFonts w:cs="FrankRuehl"/>
          <w:sz w:val="20"/>
          <w:szCs w:val="22"/>
          <w:rtl/>
        </w:rPr>
        <w:t xml:space="preserve"> </w:t>
      </w:r>
      <w:r>
        <w:rPr>
          <w:rFonts w:cs="FrankRuehl" w:hint="cs"/>
          <w:sz w:val="20"/>
          <w:szCs w:val="22"/>
          <w:rtl/>
        </w:rPr>
        <w:t>השופט</w:t>
      </w:r>
      <w:r>
        <w:rPr>
          <w:rFonts w:cs="FrankRuehl"/>
          <w:sz w:val="20"/>
          <w:szCs w:val="22"/>
          <w:rtl/>
        </w:rPr>
        <w:t xml:space="preserve"> </w:t>
      </w:r>
      <w:r>
        <w:rPr>
          <w:rFonts w:cs="FrankRuehl" w:hint="cs"/>
          <w:sz w:val="20"/>
          <w:szCs w:val="22"/>
          <w:rtl/>
        </w:rPr>
        <w:t>על</w:t>
      </w:r>
      <w:r>
        <w:rPr>
          <w:rFonts w:cs="FrankRuehl"/>
          <w:sz w:val="20"/>
          <w:szCs w:val="22"/>
          <w:rtl/>
        </w:rPr>
        <w:t xml:space="preserve"> הפסיקה </w:t>
      </w:r>
      <w:r>
        <w:rPr>
          <w:rFonts w:cs="FrankRuehl" w:hint="cs"/>
          <w:sz w:val="20"/>
          <w:szCs w:val="22"/>
          <w:rtl/>
        </w:rPr>
        <w:t>שבמסגרתה</w:t>
      </w:r>
      <w:r>
        <w:rPr>
          <w:rFonts w:cs="FrankRuehl"/>
          <w:sz w:val="20"/>
          <w:szCs w:val="22"/>
          <w:rtl/>
        </w:rPr>
        <w:t xml:space="preserve"> נעשתה </w:t>
      </w:r>
      <w:r>
        <w:rPr>
          <w:rFonts w:cs="FrankRuehl" w:hint="cs"/>
          <w:sz w:val="20"/>
          <w:szCs w:val="22"/>
          <w:rtl/>
        </w:rPr>
        <w:t>הבחנה</w:t>
      </w:r>
      <w:r>
        <w:rPr>
          <w:rFonts w:cs="FrankRuehl"/>
          <w:sz w:val="20"/>
          <w:szCs w:val="22"/>
          <w:rtl/>
        </w:rPr>
        <w:t xml:space="preserve"> </w:t>
      </w:r>
      <w:r>
        <w:rPr>
          <w:rFonts w:cs="FrankRuehl" w:hint="cs"/>
          <w:sz w:val="20"/>
          <w:szCs w:val="22"/>
          <w:rtl/>
        </w:rPr>
        <w:t>בין</w:t>
      </w:r>
      <w:r>
        <w:rPr>
          <w:rFonts w:cs="FrankRuehl"/>
          <w:sz w:val="20"/>
          <w:szCs w:val="22"/>
          <w:rtl/>
        </w:rPr>
        <w:t xml:space="preserve"> </w:t>
      </w:r>
      <w:r>
        <w:rPr>
          <w:rFonts w:cs="FrankRuehl" w:hint="cs"/>
          <w:sz w:val="20"/>
          <w:szCs w:val="22"/>
          <w:rtl/>
        </w:rPr>
        <w:t>החינוך</w:t>
      </w:r>
      <w:r>
        <w:rPr>
          <w:rFonts w:cs="FrankRuehl"/>
          <w:sz w:val="20"/>
          <w:szCs w:val="22"/>
          <w:rtl/>
        </w:rPr>
        <w:t xml:space="preserve"> </w:t>
      </w:r>
      <w:r>
        <w:rPr>
          <w:rFonts w:cs="FrankRuehl" w:hint="cs"/>
          <w:sz w:val="20"/>
          <w:szCs w:val="22"/>
          <w:rtl/>
        </w:rPr>
        <w:t>הרשמי</w:t>
      </w:r>
      <w:r>
        <w:rPr>
          <w:rFonts w:cs="FrankRuehl"/>
          <w:sz w:val="20"/>
          <w:szCs w:val="22"/>
          <w:rtl/>
        </w:rPr>
        <w:t xml:space="preserve"> </w:t>
      </w:r>
      <w:r>
        <w:rPr>
          <w:rFonts w:cs="FrankRuehl" w:hint="cs"/>
          <w:sz w:val="20"/>
          <w:szCs w:val="22"/>
          <w:rtl/>
        </w:rPr>
        <w:t>לחינוך</w:t>
      </w:r>
      <w:r>
        <w:rPr>
          <w:rFonts w:cs="FrankRuehl"/>
          <w:sz w:val="20"/>
          <w:szCs w:val="22"/>
          <w:rtl/>
        </w:rPr>
        <w:t xml:space="preserve"> </w:t>
      </w:r>
      <w:r>
        <w:rPr>
          <w:rFonts w:cs="FrankRuehl" w:hint="cs"/>
          <w:sz w:val="20"/>
          <w:szCs w:val="22"/>
          <w:rtl/>
        </w:rPr>
        <w:t>המוכר</w:t>
      </w:r>
      <w:r>
        <w:rPr>
          <w:rFonts w:cs="FrankRuehl"/>
          <w:sz w:val="20"/>
          <w:szCs w:val="22"/>
          <w:rtl/>
        </w:rPr>
        <w:t>,</w:t>
      </w:r>
      <w:r>
        <w:rPr>
          <w:rFonts w:cs="FrankRuehl" w:hint="cs"/>
          <w:sz w:val="20"/>
          <w:szCs w:val="22"/>
          <w:rtl/>
        </w:rPr>
        <w:t xml:space="preserve"> נכתב</w:t>
      </w:r>
      <w:r>
        <w:rPr>
          <w:rStyle w:val="FootnoteReference"/>
          <w:rFonts w:cs="FrankRuehl"/>
          <w:sz w:val="20"/>
          <w:szCs w:val="22"/>
          <w:rtl/>
        </w:rPr>
        <w:footnoteReference w:id="35"/>
      </w:r>
      <w:r>
        <w:rPr>
          <w:rFonts w:cs="FrankRuehl" w:hint="cs"/>
          <w:sz w:val="20"/>
          <w:szCs w:val="22"/>
          <w:rtl/>
        </w:rPr>
        <w:t xml:space="preserve">: "תמיכה מכספי הציבור בשיעור מלא ניתנת למוסדות החינוך הרשמיים של המדינה, השייכים לה, המפוקחים על ידה, המלמדים את תכנית הלימוד שקבעה. המחוקק בחר להכיר בתנאים מסוימים גם במוסדות חינוך אחרים, שאינם רשמיים, ואף לתקצבם; אולם אין ניתן להשוות את מעמדם למעמדם של בתי הספר הרשמיים באופן סלקטיבי. בתי הספר המשתייכים לזרם הרשמי הם המתוקצבים תיקצוב מלא על פי חוק. כל החפץ ללמוד בהם - רשאי. אם בחר לו אדם, או ציבור, לחנך וללמד את ילדיו בבתי ספר פרטיים, אין ביכולתו לתבוע מעמד שווה לזה של תלמידי מוסדות החינוך הרשמיים, מבלעדי אסמכתא חוקית לכך... מעמדו שווה למעמדם של יתר האזרחים שבחרו לפנות לבתי ספר פרטיים, מוכרים שאינם רשמיים, וכפי חלקם - חלקו". </w:t>
      </w:r>
    </w:p>
    <w:p w:rsidR="00B767A7">
      <w:pPr>
        <w:spacing w:after="120" w:line="230" w:lineRule="exact"/>
        <w:jc w:val="both"/>
        <w:rPr>
          <w:rFonts w:cs="FrankRuehl"/>
          <w:sz w:val="20"/>
          <w:szCs w:val="22"/>
          <w:rtl/>
        </w:rPr>
      </w:pPr>
      <w:r>
        <w:rPr>
          <w:rFonts w:cs="FrankRuehl" w:hint="cs"/>
          <w:sz w:val="20"/>
          <w:szCs w:val="22"/>
          <w:rtl/>
        </w:rPr>
        <w:t>בהצעת חוק של הממשלה מיוני 2013</w:t>
      </w:r>
      <w:r>
        <w:rPr>
          <w:rStyle w:val="FootnoteReference"/>
          <w:rFonts w:cs="FrankRuehl"/>
          <w:sz w:val="20"/>
          <w:szCs w:val="22"/>
          <w:rtl/>
        </w:rPr>
        <w:footnoteReference w:id="36"/>
      </w:r>
      <w:r>
        <w:rPr>
          <w:rFonts w:cs="FrankRuehl" w:hint="cs"/>
          <w:sz w:val="20"/>
          <w:szCs w:val="22"/>
          <w:rtl/>
        </w:rPr>
        <w:t xml:space="preserve"> הוצע לבטל את סעיף 11א (חוק נהרי)</w:t>
      </w:r>
      <w:r>
        <w:rPr>
          <w:rStyle w:val="FootnoteReference"/>
          <w:rFonts w:cs="FrankRuehl"/>
          <w:sz w:val="20"/>
          <w:szCs w:val="22"/>
          <w:rtl/>
        </w:rPr>
        <w:footnoteReference w:id="37"/>
      </w:r>
      <w:r>
        <w:rPr>
          <w:rFonts w:cs="FrankRuehl" w:hint="cs"/>
          <w:sz w:val="20"/>
          <w:szCs w:val="22"/>
          <w:rtl/>
        </w:rPr>
        <w:t>, אך לבסוף תוקן חוק חינוך ממלכתי במסגרת חוק לשינוי סדרי עדיפויות לאומיים (תיקוני חקיקה להשגת יעדי התקציב לשנים 2013 ו-2014), התשע"ג-2013, וסעיף 11א תוקן כלהלן:</w:t>
      </w:r>
    </w:p>
    <w:p w:rsidR="00B767A7" w:rsidP="00DE227E">
      <w:pPr>
        <w:spacing w:after="240" w:line="230" w:lineRule="exact"/>
        <w:ind w:left="567"/>
        <w:jc w:val="both"/>
        <w:rPr>
          <w:rFonts w:cs="FrankRuehl"/>
          <w:sz w:val="20"/>
          <w:szCs w:val="22"/>
          <w:rtl/>
        </w:rPr>
      </w:pPr>
      <w:r>
        <w:rPr>
          <w:rFonts w:cs="FrankRuehl" w:hint="cs"/>
          <w:sz w:val="20"/>
          <w:szCs w:val="22"/>
          <w:rtl/>
        </w:rPr>
        <w:t>"רשות חינוך מקומית רשאית, אם תחליט ובמידה שתחליט, לקבוע שיעור השתתפות בתקציביהם של מוסדות חינוך מוכרים לא רשמיים הפועלים בתחומה; השתתפות רשות חינוך מקומית בתקציביהם של מוסדות חינוך מוכרים לא רשמיים כאמור, כולה או חלקה, יכול שתהיה גם בכסף או בשווה כסף, כגון באמצעות העסקת עובדים".</w:t>
      </w:r>
    </w:p>
    <w:p w:rsidR="00B767A7" w:rsidP="00DE227E">
      <w:pPr>
        <w:pStyle w:val="RESHET"/>
        <w:keepLines/>
        <w:rPr>
          <w:rtl/>
        </w:rPr>
      </w:pPr>
      <w:r>
        <w:rPr>
          <w:rFonts w:hint="cs"/>
          <w:rtl/>
        </w:rPr>
        <w:t xml:space="preserve">משרד מבקר המדינה מעיר כי סעיף 11א לחוק חינוך ממלכתי לא בוטל, אולם לנוכח התיקון שנעשה בו בוטלה חובת הרשויות המקומיות לתקצב מוסדות חינוך מוכרים בשיעור השווה ל-75% מתקציבם של מוסדות חינוך רשמיים דומים, ולפיכך ביטל התיקון לחוק הלכה למעשה את חוק נהרי. </w:t>
      </w:r>
    </w:p>
    <w:p w:rsidR="00B767A7" w:rsidP="00DE227E">
      <w:pPr>
        <w:spacing w:before="180" w:after="240" w:line="230" w:lineRule="exact"/>
        <w:jc w:val="both"/>
        <w:rPr>
          <w:rFonts w:cs="FrankRuehl"/>
          <w:sz w:val="20"/>
          <w:szCs w:val="22"/>
          <w:rtl/>
        </w:rPr>
      </w:pPr>
      <w:r>
        <w:rPr>
          <w:rFonts w:cs="FrankRuehl" w:hint="cs"/>
          <w:sz w:val="20"/>
          <w:szCs w:val="22"/>
          <w:rtl/>
        </w:rPr>
        <w:t>בדיונים שקיימו מועצת העירייה, ועדת ההנהלה והוועדה המקצועית לתמיכות בעניין ההשתתפות בתקציבי מוסדות החינוך המוכרים על פי חוק נהרי ובתמיכות לאותם מוסדות לא הובאה עמדת המדינה בעניין היחס בין החינוך הרשמי לחינוך המוכר, באופן</w:t>
      </w:r>
      <w:r>
        <w:rPr>
          <w:rFonts w:cs="FrankRuehl"/>
          <w:sz w:val="20"/>
          <w:szCs w:val="22"/>
          <w:rtl/>
        </w:rPr>
        <w:t xml:space="preserve"> </w:t>
      </w:r>
      <w:r>
        <w:rPr>
          <w:rFonts w:cs="FrankRuehl" w:hint="cs"/>
          <w:sz w:val="20"/>
          <w:szCs w:val="22"/>
          <w:rtl/>
        </w:rPr>
        <w:t>שבו</w:t>
      </w:r>
      <w:r>
        <w:rPr>
          <w:rFonts w:cs="FrankRuehl"/>
          <w:sz w:val="20"/>
          <w:szCs w:val="22"/>
          <w:rtl/>
        </w:rPr>
        <w:t xml:space="preserve"> </w:t>
      </w:r>
      <w:r>
        <w:rPr>
          <w:rFonts w:cs="FrankRuehl" w:hint="cs"/>
          <w:sz w:val="20"/>
          <w:szCs w:val="22"/>
          <w:rtl/>
        </w:rPr>
        <w:t>היא</w:t>
      </w:r>
      <w:r>
        <w:rPr>
          <w:rFonts w:cs="FrankRuehl"/>
          <w:sz w:val="20"/>
          <w:szCs w:val="22"/>
          <w:rtl/>
        </w:rPr>
        <w:t xml:space="preserve"> </w:t>
      </w:r>
      <w:r>
        <w:rPr>
          <w:rFonts w:cs="FrankRuehl" w:hint="cs"/>
          <w:sz w:val="20"/>
          <w:szCs w:val="22"/>
          <w:rtl/>
        </w:rPr>
        <w:t>באה לידי ביטוי בפסק הדין ובדברי ההסבר להצעת החוק של הממשלה לביטול חוק נהרי; ספק אפוא אם עיריית פתח תקווה שקלה את הנימוק הזה במסגרת שיקול הדעת שהיה עליה להפעיל</w:t>
      </w:r>
      <w:r>
        <w:rPr>
          <w:rStyle w:val="FootnoteReference"/>
          <w:rFonts w:cs="FrankRuehl"/>
          <w:sz w:val="20"/>
          <w:szCs w:val="22"/>
          <w:rtl/>
        </w:rPr>
        <w:footnoteReference w:id="38"/>
      </w:r>
      <w:r>
        <w:rPr>
          <w:rFonts w:cs="FrankRuehl" w:hint="cs"/>
          <w:sz w:val="20"/>
          <w:szCs w:val="22"/>
          <w:rtl/>
        </w:rPr>
        <w:t>.</w:t>
      </w:r>
    </w:p>
    <w:p w:rsidR="00B767A7" w:rsidP="00DE227E">
      <w:pPr>
        <w:pStyle w:val="RESHET"/>
        <w:rPr>
          <w:rtl/>
        </w:rPr>
      </w:pPr>
      <w:r>
        <w:rPr>
          <w:rFonts w:hint="cs"/>
          <w:rtl/>
        </w:rPr>
        <w:t xml:space="preserve">משרד מבקר המדינה מעיר לעירייה כי לנוכח העובדה שהוקנתה לה הסמכות לקבוע, לפי שיקול דעתה, את שיעור ההשתתפות בתקציבים אלה, עליה לגבש תבחינים שוויוניים בנושא באופן שיתחשב בעמדת המדינה כפי שבאה לידי ביטוי בדברי ההסבר לחוק ובפסקי הדין העוסקים ביחסים בין החינוך הרשמי לחינוך המוכר. עוד מעיר משרד מבקר המדינה לעירייה כי ראוי שהתבחינים לכל מוסדות החינוך מגני הילדים עד כיתה י"ב יידונו ויאושרו באותם הליכים, כלומר על ידי הוועדה המקצועית לתמיכות ומועצת העירייה, ושהם יפורסמו לידיעת הציבור הרחב כמו תבחיני התמיכות. </w:t>
      </w:r>
    </w:p>
    <w:p w:rsidR="00DE227E" w:rsidP="00DE227E">
      <w:pPr>
        <w:spacing w:after="120" w:line="230" w:lineRule="exact"/>
        <w:jc w:val="both"/>
        <w:rPr>
          <w:rFonts w:cs="FrankRuehl"/>
          <w:sz w:val="22"/>
          <w:szCs w:val="22"/>
          <w:rtl/>
        </w:rPr>
      </w:pPr>
    </w:p>
    <w:p w:rsidR="00DE227E" w:rsidP="00DE227E">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DE227E" w:rsidP="00DE227E">
      <w:pPr>
        <w:spacing w:after="120" w:line="230" w:lineRule="exact"/>
        <w:jc w:val="both"/>
        <w:rPr>
          <w:rFonts w:cs="FrankRuehl"/>
          <w:sz w:val="22"/>
          <w:szCs w:val="22"/>
          <w:rtl/>
        </w:rPr>
      </w:pPr>
    </w:p>
    <w:p w:rsidR="00B767A7" w:rsidP="00DE227E">
      <w:pPr>
        <w:pStyle w:val="RESHET"/>
        <w:rPr>
          <w:rtl/>
        </w:rPr>
      </w:pPr>
      <w:r>
        <w:rPr>
          <w:rFonts w:hint="cs"/>
          <w:rtl/>
        </w:rPr>
        <w:t>לנוכח הליקויים שנמצאו באופן שבו טיפלה הוועדה המקצועית לתמיכות - שבה חברים שניים מ"שומרי הסף" של העירייה, גזברית העירייה והיועצת המשפטית שלה - בסוגיית אישור התבחינים ובדיונים בהם במועצת העירייה, משרד מבקר המדינה הסב את תשומת לבה של העירייה לכך שלפי נוהל תמיכות אפשר למנות ועדת משנה לעניין תמיכות שתעסוק בנושא התבחינים לחינוך</w:t>
      </w:r>
      <w:r>
        <w:rPr>
          <w:rStyle w:val="FootnoteReference"/>
          <w:rFonts w:cs="FrankRuehl"/>
          <w:rtl/>
        </w:rPr>
        <w:footnoteReference w:id="39"/>
      </w:r>
      <w:r>
        <w:rPr>
          <w:rFonts w:hint="cs"/>
          <w:rtl/>
        </w:rPr>
        <w:t xml:space="preserve">. ועדת משנה כזאת בעיריית פתח תקווה עשויה להגביר את הפיקוח והמעורבות הציבורית בנושא התבחינים בחינוך ולשפר את המקצועיות בתחום אישור התבחינים. </w:t>
      </w:r>
    </w:p>
    <w:p w:rsidR="00B767A7">
      <w:pPr>
        <w:pStyle w:val="KOT4"/>
        <w:rPr>
          <w:rtl/>
        </w:rPr>
      </w:pPr>
      <w:r>
        <w:rPr>
          <w:rFonts w:hint="cs"/>
          <w:rtl/>
        </w:rPr>
        <w:t>תמיכות</w:t>
      </w:r>
      <w:r>
        <w:rPr>
          <w:rFonts w:ascii="Calibri" w:hAnsi="Calibri" w:hint="cs"/>
          <w:rtl/>
        </w:rPr>
        <w:t xml:space="preserve"> </w:t>
      </w:r>
      <w:r>
        <w:rPr>
          <w:rFonts w:hint="cs"/>
          <w:rtl/>
        </w:rPr>
        <w:t>במוסדות</w:t>
      </w:r>
      <w:r>
        <w:rPr>
          <w:rFonts w:ascii="Calibri" w:hAnsi="Calibri" w:hint="cs"/>
          <w:rtl/>
        </w:rPr>
        <w:t xml:space="preserve"> </w:t>
      </w:r>
      <w:r>
        <w:rPr>
          <w:rFonts w:hint="cs"/>
          <w:rtl/>
        </w:rPr>
        <w:t>העוסקים</w:t>
      </w:r>
      <w:r>
        <w:rPr>
          <w:rFonts w:ascii="Calibri" w:hAnsi="Calibri" w:hint="cs"/>
          <w:rtl/>
        </w:rPr>
        <w:t xml:space="preserve"> </w:t>
      </w:r>
      <w:r>
        <w:rPr>
          <w:rFonts w:hint="cs"/>
          <w:rtl/>
        </w:rPr>
        <w:t>בתרבות</w:t>
      </w:r>
      <w:r>
        <w:rPr>
          <w:rFonts w:ascii="Calibri" w:hAnsi="Calibri" w:hint="cs"/>
          <w:rtl/>
        </w:rPr>
        <w:t xml:space="preserve"> </w:t>
      </w:r>
      <w:r>
        <w:rPr>
          <w:rFonts w:hint="cs"/>
          <w:rtl/>
        </w:rPr>
        <w:t>תורנית</w:t>
      </w:r>
    </w:p>
    <w:p w:rsidR="00B767A7">
      <w:pPr>
        <w:spacing w:after="120" w:line="230" w:lineRule="exact"/>
        <w:jc w:val="both"/>
        <w:rPr>
          <w:rFonts w:cs="FrankRuehl"/>
          <w:sz w:val="20"/>
          <w:szCs w:val="22"/>
          <w:rtl/>
        </w:rPr>
      </w:pPr>
      <w:r>
        <w:rPr>
          <w:rFonts w:cs="FrankRuehl" w:hint="cs"/>
          <w:sz w:val="20"/>
          <w:szCs w:val="22"/>
          <w:rtl/>
        </w:rPr>
        <w:t xml:space="preserve">עיריית פתח תקווה תומכת מדי שנה בשנה בעשרות רבות של עמותות העוסקות בתחום הדת. בספרי העירייה קוטלגו עמותות אלה תחת הכותרות "ישיבות גבוהות", "כוללים" ו"תרבות תורנית". </w:t>
      </w:r>
    </w:p>
    <w:p w:rsidR="00B767A7">
      <w:pPr>
        <w:spacing w:after="120" w:line="230" w:lineRule="exact"/>
        <w:jc w:val="both"/>
        <w:rPr>
          <w:rFonts w:cs="FrankRuehl"/>
          <w:sz w:val="20"/>
          <w:szCs w:val="22"/>
        </w:rPr>
      </w:pPr>
      <w:r>
        <w:rPr>
          <w:rFonts w:cs="FrankRuehl" w:hint="cs"/>
          <w:sz w:val="20"/>
          <w:szCs w:val="22"/>
          <w:rtl/>
        </w:rPr>
        <w:t>משרד החינוך קבע תבחינים</w:t>
      </w:r>
      <w:r>
        <w:rPr>
          <w:rStyle w:val="FootnoteReference"/>
          <w:rFonts w:cs="FrankRuehl"/>
          <w:sz w:val="20"/>
          <w:szCs w:val="22"/>
          <w:rtl/>
        </w:rPr>
        <w:footnoteReference w:id="40"/>
      </w:r>
      <w:r>
        <w:rPr>
          <w:rFonts w:cs="FrankRuehl" w:hint="cs"/>
          <w:sz w:val="20"/>
          <w:szCs w:val="22"/>
          <w:rtl/>
        </w:rPr>
        <w:t xml:space="preserve"> הנוגעים לארגון או גוף (כגון עמותה) העוסק בתרבות תורנית (להלן - תבחיני משרד החינוך), והם אומצו על ידי כמה רשויות מקומיות. לפי תבחיני משרד החינוך, ארגון העוסק בתרבות תורנית הוא מוסד העוסק באחד או יותר מהנושאים האלה: הרצאות רבנים ומרצים אורחים, מסיבות ואירועים לקראת חגי ישראל ומועדיו, שיעורים קבועים בתנ"ך, גמרא ומדרשי חז"ל, שיעורי יהדות לנשים, חידונים, ימי עיון לציבור, סמינרים (יומיים לפחות כולל לינה), סיורי מורשת ישראל, הוצאת כתבי עת תורניים, הפעלת אתר אינטרנט, הפקת אמצעי המחשה אמנותיים, תיעוד בתחום המוזיקה היהודית ועוד. </w:t>
      </w:r>
    </w:p>
    <w:p w:rsidR="00B767A7">
      <w:pPr>
        <w:spacing w:after="120" w:line="230" w:lineRule="exact"/>
        <w:jc w:val="both"/>
        <w:rPr>
          <w:rFonts w:cs="FrankRuehl"/>
          <w:sz w:val="20"/>
          <w:szCs w:val="22"/>
          <w:rtl/>
        </w:rPr>
      </w:pPr>
    </w:p>
    <w:p w:rsidR="00B767A7">
      <w:pPr>
        <w:pStyle w:val="KOT5"/>
        <w:rPr>
          <w:rtl/>
        </w:rPr>
      </w:pPr>
      <w:r>
        <w:rPr>
          <w:rFonts w:hint="cs"/>
          <w:rtl/>
        </w:rPr>
        <w:t>היקף התמיכות בשנים 2013-2010</w:t>
      </w:r>
    </w:p>
    <w:p w:rsidR="00B767A7" w:rsidRPr="00324F05">
      <w:pPr>
        <w:spacing w:after="120" w:line="230" w:lineRule="exact"/>
        <w:jc w:val="both"/>
        <w:rPr>
          <w:rFonts w:cs="FrankRuehl"/>
          <w:sz w:val="20"/>
          <w:szCs w:val="22"/>
          <w:rtl/>
        </w:rPr>
      </w:pPr>
      <w:r w:rsidRPr="00324F05">
        <w:rPr>
          <w:rFonts w:cs="FrankRuehl" w:hint="cs"/>
          <w:sz w:val="20"/>
          <w:szCs w:val="22"/>
          <w:rtl/>
        </w:rPr>
        <w:t>ב</w:t>
      </w:r>
      <w:r w:rsidRPr="00324F05" w:rsidR="00A63D74">
        <w:rPr>
          <w:rFonts w:cs="FrankRuehl" w:hint="cs"/>
          <w:sz w:val="20"/>
          <w:szCs w:val="22"/>
          <w:rtl/>
        </w:rPr>
        <w:t>לוח</w:t>
      </w:r>
      <w:r w:rsidRPr="00324F05">
        <w:rPr>
          <w:rFonts w:cs="FrankRuehl" w:hint="cs"/>
          <w:sz w:val="20"/>
          <w:szCs w:val="22"/>
          <w:rtl/>
        </w:rPr>
        <w:t xml:space="preserve"> שלהלן מובאים נתונים על היקף התמיכות של עיריית פתח תקווה בעמותות בקטגוריית דת בשנים 2013-2010 (באלפי ש"ח):</w:t>
      </w:r>
    </w:p>
    <w:p w:rsidR="00DE227E" w:rsidRPr="00324F05" w:rsidP="00324F05">
      <w:pPr>
        <w:pStyle w:val="tab-name"/>
        <w:rPr>
          <w:rtl/>
        </w:rPr>
      </w:pPr>
      <w:r w:rsidRPr="00324F05">
        <w:rPr>
          <w:rFonts w:hint="cs"/>
          <w:b w:val="0"/>
          <w:bCs w:val="0"/>
          <w:sz w:val="20"/>
          <w:szCs w:val="20"/>
          <w:rtl/>
        </w:rPr>
        <w:t>לוח 8</w:t>
      </w:r>
      <w:r w:rsidRPr="00324F05">
        <w:rPr>
          <w:b w:val="0"/>
          <w:bCs w:val="0"/>
          <w:sz w:val="20"/>
          <w:szCs w:val="20"/>
          <w:rtl/>
        </w:rPr>
        <w:br/>
      </w:r>
      <w:r w:rsidRPr="00324F05" w:rsidR="00324F05">
        <w:rPr>
          <w:rFonts w:hint="cs"/>
          <w:rtl/>
        </w:rPr>
        <w:t>התמיכות בעמותות בקטגורית דת,</w:t>
      </w:r>
      <w:r w:rsidRPr="00324F05">
        <w:rPr>
          <w:rFonts w:hint="cs"/>
          <w:rtl/>
        </w:rPr>
        <w:t xml:space="preserve"> 2013-2010</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
      <w:tblGrid>
        <w:gridCol w:w="1306"/>
        <w:gridCol w:w="1347"/>
        <w:gridCol w:w="1346"/>
        <w:gridCol w:w="1346"/>
        <w:gridCol w:w="1346"/>
      </w:tblGrid>
      <w:tr w:rsidTr="00B871CA">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Ex>
        <w:trPr>
          <w:jc w:val="center"/>
        </w:trPr>
        <w:tc>
          <w:tcPr>
            <w:tcW w:w="1306" w:type="dxa"/>
            <w:tcBorders>
              <w:top w:val="single" w:sz="12" w:space="0" w:color="auto"/>
              <w:bottom w:val="single" w:sz="12" w:space="0" w:color="auto"/>
            </w:tcBorders>
            <w:shd w:val="pct10" w:color="auto" w:fill="FFFFFF"/>
          </w:tcPr>
          <w:p w:rsidR="00DE227E" w:rsidRPr="00C01441" w:rsidP="00B871CA">
            <w:pPr>
              <w:spacing w:before="40" w:after="40" w:line="220" w:lineRule="exact"/>
              <w:jc w:val="center"/>
              <w:rPr>
                <w:rFonts w:eastAsia="Calibri"/>
                <w:b/>
                <w:bCs/>
                <w:sz w:val="20"/>
                <w:szCs w:val="20"/>
                <w:rtl/>
              </w:rPr>
            </w:pPr>
          </w:p>
        </w:tc>
        <w:tc>
          <w:tcPr>
            <w:tcW w:w="1347" w:type="dxa"/>
            <w:tcBorders>
              <w:top w:val="single" w:sz="12" w:space="0" w:color="auto"/>
              <w:bottom w:val="single" w:sz="12" w:space="0" w:color="auto"/>
            </w:tcBorders>
            <w:shd w:val="pct10" w:color="auto" w:fill="FFFFFF"/>
          </w:tcPr>
          <w:p w:rsidR="00DE227E" w:rsidRPr="00C01441" w:rsidP="00B871CA">
            <w:pPr>
              <w:spacing w:before="40" w:after="40" w:line="220" w:lineRule="exact"/>
              <w:jc w:val="center"/>
              <w:rPr>
                <w:rFonts w:eastAsia="Calibri"/>
                <w:b/>
                <w:bCs/>
                <w:sz w:val="20"/>
                <w:szCs w:val="20"/>
                <w:rtl/>
              </w:rPr>
            </w:pPr>
            <w:r w:rsidRPr="00C01441">
              <w:rPr>
                <w:rFonts w:eastAsia="Calibri" w:cs="FrankRuehl" w:hint="cs"/>
                <w:b/>
                <w:bCs/>
                <w:sz w:val="20"/>
                <w:szCs w:val="20"/>
                <w:rtl/>
              </w:rPr>
              <w:t>2010</w:t>
            </w:r>
          </w:p>
        </w:tc>
        <w:tc>
          <w:tcPr>
            <w:tcW w:w="1346" w:type="dxa"/>
            <w:tcBorders>
              <w:top w:val="single" w:sz="12" w:space="0" w:color="auto"/>
              <w:bottom w:val="single" w:sz="12" w:space="0" w:color="auto"/>
            </w:tcBorders>
            <w:shd w:val="pct10" w:color="auto" w:fill="FFFFFF"/>
          </w:tcPr>
          <w:p w:rsidR="00DE227E" w:rsidRPr="00C01441" w:rsidP="00B871CA">
            <w:pPr>
              <w:spacing w:before="40" w:after="40" w:line="220" w:lineRule="exact"/>
              <w:jc w:val="center"/>
              <w:rPr>
                <w:rFonts w:eastAsia="Calibri"/>
                <w:b/>
                <w:bCs/>
                <w:sz w:val="20"/>
                <w:szCs w:val="20"/>
                <w:rtl/>
              </w:rPr>
            </w:pPr>
            <w:r w:rsidRPr="00C01441">
              <w:rPr>
                <w:rFonts w:eastAsia="Calibri" w:cs="FrankRuehl" w:hint="cs"/>
                <w:b/>
                <w:bCs/>
                <w:sz w:val="20"/>
                <w:szCs w:val="20"/>
                <w:rtl/>
              </w:rPr>
              <w:t>2011</w:t>
            </w:r>
          </w:p>
        </w:tc>
        <w:tc>
          <w:tcPr>
            <w:tcW w:w="1346" w:type="dxa"/>
            <w:tcBorders>
              <w:top w:val="single" w:sz="12" w:space="0" w:color="auto"/>
              <w:bottom w:val="single" w:sz="12" w:space="0" w:color="auto"/>
            </w:tcBorders>
            <w:shd w:val="pct10" w:color="auto" w:fill="FFFFFF"/>
          </w:tcPr>
          <w:p w:rsidR="00DE227E" w:rsidRPr="00C01441" w:rsidP="00B871CA">
            <w:pPr>
              <w:spacing w:before="40" w:after="40" w:line="220" w:lineRule="exact"/>
              <w:jc w:val="center"/>
              <w:rPr>
                <w:rFonts w:eastAsia="Calibri"/>
                <w:b/>
                <w:bCs/>
                <w:sz w:val="20"/>
                <w:szCs w:val="20"/>
                <w:rtl/>
              </w:rPr>
            </w:pPr>
            <w:r w:rsidRPr="00C01441">
              <w:rPr>
                <w:rFonts w:eastAsia="Calibri" w:cs="FrankRuehl" w:hint="cs"/>
                <w:b/>
                <w:bCs/>
                <w:sz w:val="20"/>
                <w:szCs w:val="20"/>
                <w:rtl/>
              </w:rPr>
              <w:t>2012</w:t>
            </w:r>
          </w:p>
        </w:tc>
        <w:tc>
          <w:tcPr>
            <w:tcW w:w="1346" w:type="dxa"/>
            <w:tcBorders>
              <w:top w:val="single" w:sz="12" w:space="0" w:color="auto"/>
              <w:bottom w:val="single" w:sz="12" w:space="0" w:color="auto"/>
            </w:tcBorders>
            <w:shd w:val="pct10" w:color="auto" w:fill="FFFFFF"/>
          </w:tcPr>
          <w:p w:rsidR="00DE227E" w:rsidRPr="00C01441" w:rsidP="00B871CA">
            <w:pPr>
              <w:spacing w:before="40" w:after="40" w:line="220" w:lineRule="exact"/>
              <w:jc w:val="center"/>
              <w:rPr>
                <w:rFonts w:eastAsia="Calibri"/>
                <w:b/>
                <w:bCs/>
                <w:sz w:val="20"/>
                <w:szCs w:val="20"/>
                <w:rtl/>
              </w:rPr>
            </w:pPr>
            <w:r w:rsidRPr="00C01441">
              <w:rPr>
                <w:rFonts w:eastAsia="Calibri" w:cs="FrankRuehl" w:hint="cs"/>
                <w:b/>
                <w:bCs/>
                <w:sz w:val="20"/>
                <w:szCs w:val="20"/>
                <w:rtl/>
              </w:rPr>
              <w:t>2013</w:t>
            </w:r>
          </w:p>
        </w:tc>
      </w:tr>
      <w:tr w:rsidTr="00B871CA">
        <w:tblPrEx>
          <w:tblW w:w="6691" w:type="dxa"/>
          <w:jc w:val="center"/>
          <w:tblLook w:val="04A0"/>
        </w:tblPrEx>
        <w:trPr>
          <w:jc w:val="center"/>
        </w:trPr>
        <w:tc>
          <w:tcPr>
            <w:tcW w:w="1306" w:type="dxa"/>
            <w:tcBorders>
              <w:top w:val="single" w:sz="12" w:space="0" w:color="auto"/>
            </w:tcBorders>
          </w:tcPr>
          <w:p w:rsidR="00DE227E" w:rsidRPr="00DE227E" w:rsidP="00B871CA">
            <w:pPr>
              <w:spacing w:before="40" w:after="40" w:line="220" w:lineRule="exact"/>
              <w:jc w:val="both"/>
              <w:rPr>
                <w:rFonts w:eastAsia="Calibri" w:cs="FrankRuehl"/>
                <w:sz w:val="20"/>
                <w:szCs w:val="20"/>
                <w:rtl/>
              </w:rPr>
            </w:pPr>
            <w:r w:rsidRPr="00DE227E">
              <w:rPr>
                <w:rFonts w:eastAsia="Calibri" w:cs="FrankRuehl" w:hint="cs"/>
                <w:sz w:val="20"/>
                <w:szCs w:val="20"/>
                <w:rtl/>
              </w:rPr>
              <w:t>ישיבות גבוהות</w:t>
            </w:r>
          </w:p>
        </w:tc>
        <w:tc>
          <w:tcPr>
            <w:tcW w:w="1347" w:type="dxa"/>
            <w:tcBorders>
              <w:top w:val="single" w:sz="12" w:space="0" w:color="auto"/>
            </w:tcBorders>
          </w:tcPr>
          <w:p w:rsidR="00DE227E" w:rsidRPr="00DE227E" w:rsidP="00B871CA">
            <w:pPr>
              <w:spacing w:before="40" w:after="40" w:line="220" w:lineRule="exact"/>
              <w:ind w:left="340"/>
              <w:jc w:val="both"/>
              <w:rPr>
                <w:rFonts w:eastAsia="Calibri" w:cs="FrankRuehl"/>
                <w:sz w:val="20"/>
                <w:szCs w:val="20"/>
                <w:rtl/>
              </w:rPr>
            </w:pPr>
            <w:r w:rsidRPr="00DE227E">
              <w:rPr>
                <w:rFonts w:eastAsia="Calibri" w:cs="FrankRuehl" w:hint="cs"/>
                <w:sz w:val="20"/>
                <w:szCs w:val="20"/>
                <w:rtl/>
              </w:rPr>
              <w:t>1,000</w:t>
            </w:r>
          </w:p>
        </w:tc>
        <w:tc>
          <w:tcPr>
            <w:tcW w:w="1346" w:type="dxa"/>
            <w:tcBorders>
              <w:top w:val="single" w:sz="12" w:space="0" w:color="auto"/>
            </w:tcBorders>
          </w:tcPr>
          <w:p w:rsidR="00DE227E" w:rsidRPr="00DE227E" w:rsidP="00B871CA">
            <w:pPr>
              <w:spacing w:before="40" w:after="40" w:line="220" w:lineRule="exact"/>
              <w:ind w:left="340"/>
              <w:jc w:val="both"/>
              <w:rPr>
                <w:rFonts w:eastAsia="Calibri" w:cs="FrankRuehl"/>
                <w:sz w:val="20"/>
                <w:szCs w:val="20"/>
                <w:rtl/>
              </w:rPr>
            </w:pPr>
            <w:r w:rsidRPr="00DE227E">
              <w:rPr>
                <w:rFonts w:eastAsia="Calibri" w:cs="FrankRuehl" w:hint="cs"/>
                <w:sz w:val="20"/>
                <w:szCs w:val="20"/>
                <w:rtl/>
              </w:rPr>
              <w:t>1,000</w:t>
            </w:r>
          </w:p>
        </w:tc>
        <w:tc>
          <w:tcPr>
            <w:tcW w:w="1346" w:type="dxa"/>
            <w:tcBorders>
              <w:top w:val="single" w:sz="12" w:space="0" w:color="auto"/>
            </w:tcBorders>
          </w:tcPr>
          <w:p w:rsidR="00DE227E" w:rsidRPr="00DE227E" w:rsidP="00B871CA">
            <w:pPr>
              <w:spacing w:before="40" w:after="40" w:line="220" w:lineRule="exact"/>
              <w:ind w:left="340"/>
              <w:jc w:val="both"/>
              <w:rPr>
                <w:rFonts w:eastAsia="Calibri" w:cs="FrankRuehl"/>
                <w:sz w:val="20"/>
                <w:szCs w:val="20"/>
                <w:rtl/>
              </w:rPr>
            </w:pPr>
            <w:r w:rsidRPr="00DE227E">
              <w:rPr>
                <w:rFonts w:eastAsia="Calibri" w:cs="FrankRuehl" w:hint="cs"/>
                <w:sz w:val="20"/>
                <w:szCs w:val="20"/>
                <w:rtl/>
              </w:rPr>
              <w:t>870</w:t>
            </w:r>
          </w:p>
        </w:tc>
        <w:tc>
          <w:tcPr>
            <w:tcW w:w="1346" w:type="dxa"/>
            <w:tcBorders>
              <w:top w:val="single" w:sz="12" w:space="0" w:color="auto"/>
            </w:tcBorders>
          </w:tcPr>
          <w:p w:rsidR="00DE227E" w:rsidRPr="00DE227E" w:rsidP="00B871CA">
            <w:pPr>
              <w:spacing w:before="40" w:after="40" w:line="220" w:lineRule="exact"/>
              <w:ind w:left="340"/>
              <w:jc w:val="both"/>
              <w:rPr>
                <w:rFonts w:eastAsia="Calibri" w:cs="FrankRuehl"/>
                <w:sz w:val="20"/>
                <w:szCs w:val="20"/>
                <w:rtl/>
              </w:rPr>
            </w:pPr>
            <w:r w:rsidRPr="00DE227E">
              <w:rPr>
                <w:rFonts w:eastAsia="Calibri" w:cs="FrankRuehl" w:hint="cs"/>
                <w:sz w:val="20"/>
                <w:szCs w:val="20"/>
                <w:rtl/>
              </w:rPr>
              <w:t>679</w:t>
            </w:r>
          </w:p>
        </w:tc>
      </w:tr>
      <w:tr w:rsidTr="00B871CA">
        <w:tblPrEx>
          <w:tblW w:w="6691" w:type="dxa"/>
          <w:jc w:val="center"/>
          <w:tblLook w:val="04A0"/>
        </w:tblPrEx>
        <w:trPr>
          <w:jc w:val="center"/>
        </w:trPr>
        <w:tc>
          <w:tcPr>
            <w:tcW w:w="1306" w:type="dxa"/>
          </w:tcPr>
          <w:p w:rsidR="00DE227E" w:rsidRPr="00DE227E" w:rsidP="00B871CA">
            <w:pPr>
              <w:spacing w:before="40" w:after="40" w:line="220" w:lineRule="exact"/>
              <w:jc w:val="both"/>
              <w:rPr>
                <w:rFonts w:eastAsia="Calibri" w:cs="FrankRuehl"/>
                <w:sz w:val="20"/>
                <w:szCs w:val="20"/>
                <w:rtl/>
              </w:rPr>
            </w:pPr>
            <w:r w:rsidRPr="00DE227E">
              <w:rPr>
                <w:rFonts w:eastAsia="Calibri" w:cs="FrankRuehl" w:hint="cs"/>
                <w:sz w:val="20"/>
                <w:szCs w:val="20"/>
                <w:rtl/>
              </w:rPr>
              <w:t>כוללים</w:t>
            </w:r>
          </w:p>
        </w:tc>
        <w:tc>
          <w:tcPr>
            <w:tcW w:w="1347" w:type="dxa"/>
          </w:tcPr>
          <w:p w:rsidR="00DE227E" w:rsidRPr="00DE227E" w:rsidP="00B871CA">
            <w:pPr>
              <w:spacing w:before="40" w:after="40" w:line="220" w:lineRule="exact"/>
              <w:ind w:left="340"/>
              <w:jc w:val="both"/>
              <w:rPr>
                <w:rFonts w:eastAsia="Calibri" w:cs="FrankRuehl"/>
                <w:sz w:val="20"/>
                <w:szCs w:val="20"/>
                <w:rtl/>
              </w:rPr>
            </w:pPr>
            <w:r w:rsidRPr="00DE227E">
              <w:rPr>
                <w:rFonts w:eastAsia="Calibri" w:cs="FrankRuehl" w:hint="cs"/>
                <w:sz w:val="20"/>
                <w:szCs w:val="20"/>
                <w:rtl/>
              </w:rPr>
              <w:t>1,029</w:t>
            </w:r>
          </w:p>
        </w:tc>
        <w:tc>
          <w:tcPr>
            <w:tcW w:w="1346" w:type="dxa"/>
          </w:tcPr>
          <w:p w:rsidR="00DE227E" w:rsidRPr="00DE227E" w:rsidP="00B871CA">
            <w:pPr>
              <w:spacing w:before="40" w:after="40" w:line="220" w:lineRule="exact"/>
              <w:ind w:left="340"/>
              <w:jc w:val="both"/>
              <w:rPr>
                <w:rFonts w:eastAsia="Calibri" w:cs="FrankRuehl"/>
                <w:sz w:val="20"/>
                <w:szCs w:val="20"/>
                <w:rtl/>
              </w:rPr>
            </w:pPr>
            <w:r w:rsidRPr="00DE227E">
              <w:rPr>
                <w:rFonts w:eastAsia="Calibri" w:cs="FrankRuehl" w:hint="cs"/>
                <w:sz w:val="20"/>
                <w:szCs w:val="20"/>
                <w:rtl/>
              </w:rPr>
              <w:t>1,025</w:t>
            </w:r>
          </w:p>
        </w:tc>
        <w:tc>
          <w:tcPr>
            <w:tcW w:w="1346" w:type="dxa"/>
          </w:tcPr>
          <w:p w:rsidR="00DE227E" w:rsidRPr="00DE227E" w:rsidP="00B871CA">
            <w:pPr>
              <w:spacing w:before="40" w:after="40" w:line="220" w:lineRule="exact"/>
              <w:ind w:left="340"/>
              <w:jc w:val="both"/>
              <w:rPr>
                <w:rFonts w:eastAsia="Calibri" w:cs="FrankRuehl"/>
                <w:sz w:val="20"/>
                <w:szCs w:val="20"/>
                <w:rtl/>
              </w:rPr>
            </w:pPr>
            <w:r w:rsidRPr="00DE227E">
              <w:rPr>
                <w:rFonts w:eastAsia="Calibri" w:cs="FrankRuehl" w:hint="cs"/>
                <w:sz w:val="20"/>
                <w:szCs w:val="20"/>
                <w:rtl/>
              </w:rPr>
              <w:t>940</w:t>
            </w:r>
          </w:p>
        </w:tc>
        <w:tc>
          <w:tcPr>
            <w:tcW w:w="1346" w:type="dxa"/>
          </w:tcPr>
          <w:p w:rsidR="00DE227E" w:rsidRPr="00DE227E" w:rsidP="00B871CA">
            <w:pPr>
              <w:spacing w:before="40" w:after="40" w:line="220" w:lineRule="exact"/>
              <w:ind w:left="340"/>
              <w:jc w:val="both"/>
              <w:rPr>
                <w:rFonts w:eastAsia="Calibri" w:cs="FrankRuehl"/>
                <w:sz w:val="20"/>
                <w:szCs w:val="20"/>
                <w:rtl/>
              </w:rPr>
            </w:pPr>
            <w:r w:rsidRPr="00DE227E">
              <w:rPr>
                <w:rFonts w:eastAsia="Calibri" w:cs="FrankRuehl" w:hint="cs"/>
                <w:sz w:val="20"/>
                <w:szCs w:val="20"/>
                <w:rtl/>
              </w:rPr>
              <w:t>735</w:t>
            </w:r>
          </w:p>
        </w:tc>
      </w:tr>
      <w:tr w:rsidTr="00DE227E">
        <w:tblPrEx>
          <w:tblW w:w="6691" w:type="dxa"/>
          <w:jc w:val="center"/>
          <w:tblLook w:val="04A0"/>
        </w:tblPrEx>
        <w:trPr>
          <w:jc w:val="center"/>
        </w:trPr>
        <w:tc>
          <w:tcPr>
            <w:tcW w:w="1306" w:type="dxa"/>
            <w:tcBorders>
              <w:bottom w:val="single" w:sz="12" w:space="0" w:color="auto"/>
            </w:tcBorders>
          </w:tcPr>
          <w:p w:rsidR="00DE227E" w:rsidRPr="00DE227E" w:rsidP="00B871CA">
            <w:pPr>
              <w:spacing w:before="40" w:after="40" w:line="220" w:lineRule="exact"/>
              <w:jc w:val="both"/>
              <w:rPr>
                <w:rFonts w:eastAsia="Calibri" w:cs="FrankRuehl"/>
                <w:sz w:val="20"/>
                <w:szCs w:val="20"/>
                <w:rtl/>
              </w:rPr>
            </w:pPr>
            <w:r w:rsidRPr="00DE227E">
              <w:rPr>
                <w:rFonts w:eastAsia="Calibri" w:cs="FrankRuehl" w:hint="cs"/>
                <w:sz w:val="20"/>
                <w:szCs w:val="20"/>
                <w:rtl/>
              </w:rPr>
              <w:t>תרבות תורנית</w:t>
            </w:r>
          </w:p>
        </w:tc>
        <w:tc>
          <w:tcPr>
            <w:tcW w:w="1347" w:type="dxa"/>
            <w:tcBorders>
              <w:bottom w:val="single" w:sz="12" w:space="0" w:color="auto"/>
            </w:tcBorders>
          </w:tcPr>
          <w:p w:rsidR="00DE227E" w:rsidRPr="00DE227E" w:rsidP="00B871CA">
            <w:pPr>
              <w:spacing w:before="40" w:after="40" w:line="220" w:lineRule="exact"/>
              <w:ind w:left="340"/>
              <w:jc w:val="both"/>
              <w:rPr>
                <w:rFonts w:eastAsia="Calibri" w:cs="FrankRuehl"/>
                <w:sz w:val="20"/>
                <w:szCs w:val="20"/>
                <w:rtl/>
              </w:rPr>
            </w:pPr>
            <w:r w:rsidRPr="00DE227E">
              <w:rPr>
                <w:rFonts w:eastAsia="Calibri" w:cs="FrankRuehl" w:hint="cs"/>
                <w:sz w:val="20"/>
                <w:szCs w:val="20"/>
                <w:rtl/>
              </w:rPr>
              <w:t>882</w:t>
            </w:r>
          </w:p>
        </w:tc>
        <w:tc>
          <w:tcPr>
            <w:tcW w:w="1346" w:type="dxa"/>
            <w:tcBorders>
              <w:bottom w:val="single" w:sz="12" w:space="0" w:color="auto"/>
            </w:tcBorders>
          </w:tcPr>
          <w:p w:rsidR="00DE227E" w:rsidRPr="00DE227E" w:rsidP="00B871CA">
            <w:pPr>
              <w:spacing w:before="40" w:after="40" w:line="220" w:lineRule="exact"/>
              <w:ind w:left="340"/>
              <w:jc w:val="both"/>
              <w:rPr>
                <w:rFonts w:eastAsia="Calibri" w:cs="FrankRuehl"/>
                <w:sz w:val="20"/>
                <w:szCs w:val="20"/>
                <w:rtl/>
              </w:rPr>
            </w:pPr>
            <w:r w:rsidRPr="00DE227E">
              <w:rPr>
                <w:rFonts w:eastAsia="Calibri" w:cs="FrankRuehl" w:hint="cs"/>
                <w:sz w:val="20"/>
                <w:szCs w:val="20"/>
                <w:rtl/>
              </w:rPr>
              <w:t>889</w:t>
            </w:r>
          </w:p>
        </w:tc>
        <w:tc>
          <w:tcPr>
            <w:tcW w:w="1346" w:type="dxa"/>
            <w:tcBorders>
              <w:bottom w:val="single" w:sz="12" w:space="0" w:color="auto"/>
            </w:tcBorders>
          </w:tcPr>
          <w:p w:rsidR="00DE227E" w:rsidRPr="00DE227E" w:rsidP="00B871CA">
            <w:pPr>
              <w:spacing w:before="40" w:after="40" w:line="220" w:lineRule="exact"/>
              <w:ind w:left="340"/>
              <w:jc w:val="both"/>
              <w:rPr>
                <w:rFonts w:eastAsia="Calibri" w:cs="FrankRuehl"/>
                <w:sz w:val="20"/>
                <w:szCs w:val="20"/>
                <w:rtl/>
              </w:rPr>
            </w:pPr>
            <w:r w:rsidRPr="00DE227E">
              <w:rPr>
                <w:rFonts w:eastAsia="Calibri" w:cs="FrankRuehl" w:hint="cs"/>
                <w:sz w:val="20"/>
                <w:szCs w:val="20"/>
                <w:rtl/>
              </w:rPr>
              <w:t>850</w:t>
            </w:r>
          </w:p>
        </w:tc>
        <w:tc>
          <w:tcPr>
            <w:tcW w:w="1346" w:type="dxa"/>
            <w:tcBorders>
              <w:bottom w:val="single" w:sz="12" w:space="0" w:color="auto"/>
            </w:tcBorders>
          </w:tcPr>
          <w:p w:rsidR="00DE227E" w:rsidRPr="00DE227E" w:rsidP="00B871CA">
            <w:pPr>
              <w:spacing w:before="40" w:after="40" w:line="220" w:lineRule="exact"/>
              <w:ind w:left="340"/>
              <w:jc w:val="both"/>
              <w:rPr>
                <w:rFonts w:eastAsia="Calibri" w:cs="FrankRuehl"/>
                <w:sz w:val="20"/>
                <w:szCs w:val="20"/>
                <w:rtl/>
              </w:rPr>
            </w:pPr>
            <w:r w:rsidRPr="00DE227E">
              <w:rPr>
                <w:rFonts w:eastAsia="Calibri" w:cs="FrankRuehl" w:hint="cs"/>
                <w:sz w:val="20"/>
                <w:szCs w:val="20"/>
                <w:rtl/>
              </w:rPr>
              <w:t>665</w:t>
            </w:r>
          </w:p>
        </w:tc>
      </w:tr>
      <w:tr w:rsidTr="00DE227E">
        <w:tblPrEx>
          <w:tblW w:w="6691" w:type="dxa"/>
          <w:jc w:val="center"/>
          <w:tblLook w:val="04A0"/>
        </w:tblPrEx>
        <w:trPr>
          <w:jc w:val="center"/>
        </w:trPr>
        <w:tc>
          <w:tcPr>
            <w:tcW w:w="1306" w:type="dxa"/>
            <w:tcBorders>
              <w:top w:val="single" w:sz="12" w:space="0" w:color="auto"/>
              <w:bottom w:val="single" w:sz="12" w:space="0" w:color="auto"/>
            </w:tcBorders>
            <w:shd w:val="pct10" w:color="auto" w:fill="auto"/>
          </w:tcPr>
          <w:p w:rsidR="00DE227E" w:rsidRPr="00DE227E" w:rsidP="00DE227E">
            <w:pPr>
              <w:spacing w:before="40" w:after="40" w:line="220" w:lineRule="exact"/>
              <w:jc w:val="right"/>
              <w:rPr>
                <w:rFonts w:eastAsia="Calibri" w:cs="FrankRuehl"/>
                <w:b/>
                <w:bCs/>
                <w:sz w:val="20"/>
                <w:szCs w:val="20"/>
                <w:rtl/>
              </w:rPr>
            </w:pPr>
            <w:r w:rsidRPr="00DE227E">
              <w:rPr>
                <w:rFonts w:eastAsia="Calibri" w:cs="FrankRuehl" w:hint="cs"/>
                <w:b/>
                <w:bCs/>
                <w:sz w:val="20"/>
                <w:szCs w:val="20"/>
                <w:rtl/>
              </w:rPr>
              <w:t>סה"כ</w:t>
            </w:r>
          </w:p>
        </w:tc>
        <w:tc>
          <w:tcPr>
            <w:tcW w:w="1347" w:type="dxa"/>
            <w:tcBorders>
              <w:top w:val="single" w:sz="12" w:space="0" w:color="auto"/>
              <w:bottom w:val="single" w:sz="12" w:space="0" w:color="auto"/>
            </w:tcBorders>
            <w:shd w:val="pct10" w:color="auto" w:fill="auto"/>
          </w:tcPr>
          <w:p w:rsidR="00DE227E" w:rsidRPr="00DE227E" w:rsidP="00B871CA">
            <w:pPr>
              <w:spacing w:before="40" w:after="40" w:line="220" w:lineRule="exact"/>
              <w:ind w:left="340"/>
              <w:jc w:val="both"/>
              <w:rPr>
                <w:rFonts w:eastAsia="Calibri" w:cs="FrankRuehl"/>
                <w:b/>
                <w:bCs/>
                <w:sz w:val="20"/>
                <w:szCs w:val="20"/>
                <w:rtl/>
              </w:rPr>
            </w:pPr>
            <w:r w:rsidRPr="00DE227E">
              <w:rPr>
                <w:rFonts w:eastAsia="Calibri" w:cs="FrankRuehl" w:hint="cs"/>
                <w:b/>
                <w:bCs/>
                <w:sz w:val="20"/>
                <w:szCs w:val="20"/>
                <w:rtl/>
              </w:rPr>
              <w:t>2,911</w:t>
            </w:r>
          </w:p>
        </w:tc>
        <w:tc>
          <w:tcPr>
            <w:tcW w:w="1346" w:type="dxa"/>
            <w:tcBorders>
              <w:top w:val="single" w:sz="12" w:space="0" w:color="auto"/>
              <w:bottom w:val="single" w:sz="12" w:space="0" w:color="auto"/>
            </w:tcBorders>
            <w:shd w:val="pct10" w:color="auto" w:fill="auto"/>
          </w:tcPr>
          <w:p w:rsidR="00DE227E" w:rsidRPr="00DE227E" w:rsidP="00B871CA">
            <w:pPr>
              <w:spacing w:before="40" w:after="40" w:line="220" w:lineRule="exact"/>
              <w:ind w:left="340"/>
              <w:jc w:val="both"/>
              <w:rPr>
                <w:rFonts w:eastAsia="Calibri" w:cs="FrankRuehl"/>
                <w:b/>
                <w:bCs/>
                <w:sz w:val="20"/>
                <w:szCs w:val="20"/>
                <w:rtl/>
              </w:rPr>
            </w:pPr>
            <w:r w:rsidRPr="00DE227E">
              <w:rPr>
                <w:rFonts w:eastAsia="Calibri" w:cs="FrankRuehl" w:hint="cs"/>
                <w:b/>
                <w:bCs/>
                <w:sz w:val="20"/>
                <w:szCs w:val="20"/>
                <w:rtl/>
              </w:rPr>
              <w:t>2,914</w:t>
            </w:r>
          </w:p>
        </w:tc>
        <w:tc>
          <w:tcPr>
            <w:tcW w:w="1346" w:type="dxa"/>
            <w:tcBorders>
              <w:top w:val="single" w:sz="12" w:space="0" w:color="auto"/>
              <w:bottom w:val="single" w:sz="12" w:space="0" w:color="auto"/>
            </w:tcBorders>
            <w:shd w:val="pct10" w:color="auto" w:fill="auto"/>
          </w:tcPr>
          <w:p w:rsidR="00DE227E" w:rsidRPr="00DE227E" w:rsidP="00B871CA">
            <w:pPr>
              <w:spacing w:before="40" w:after="40" w:line="220" w:lineRule="exact"/>
              <w:ind w:left="340"/>
              <w:jc w:val="both"/>
              <w:rPr>
                <w:rFonts w:eastAsia="Calibri" w:cs="FrankRuehl"/>
                <w:b/>
                <w:bCs/>
                <w:sz w:val="20"/>
                <w:szCs w:val="20"/>
                <w:rtl/>
              </w:rPr>
            </w:pPr>
            <w:r w:rsidRPr="00DE227E">
              <w:rPr>
                <w:rFonts w:eastAsia="Calibri" w:cs="FrankRuehl" w:hint="cs"/>
                <w:b/>
                <w:bCs/>
                <w:sz w:val="20"/>
                <w:szCs w:val="20"/>
                <w:rtl/>
              </w:rPr>
              <w:t>2,660</w:t>
            </w:r>
          </w:p>
        </w:tc>
        <w:tc>
          <w:tcPr>
            <w:tcW w:w="1346" w:type="dxa"/>
            <w:tcBorders>
              <w:top w:val="single" w:sz="12" w:space="0" w:color="auto"/>
              <w:bottom w:val="single" w:sz="12" w:space="0" w:color="auto"/>
            </w:tcBorders>
            <w:shd w:val="pct10" w:color="auto" w:fill="auto"/>
          </w:tcPr>
          <w:p w:rsidR="00DE227E" w:rsidRPr="00DE227E" w:rsidP="00B871CA">
            <w:pPr>
              <w:spacing w:before="40" w:after="40" w:line="220" w:lineRule="exact"/>
              <w:ind w:left="340"/>
              <w:jc w:val="both"/>
              <w:rPr>
                <w:rFonts w:eastAsia="Calibri" w:cs="FrankRuehl"/>
                <w:b/>
                <w:bCs/>
                <w:sz w:val="20"/>
                <w:szCs w:val="20"/>
                <w:rtl/>
              </w:rPr>
            </w:pPr>
            <w:r w:rsidRPr="00DE227E">
              <w:rPr>
                <w:rFonts w:eastAsia="Calibri" w:cs="FrankRuehl" w:hint="cs"/>
                <w:b/>
                <w:bCs/>
                <w:sz w:val="20"/>
                <w:szCs w:val="20"/>
                <w:rtl/>
              </w:rPr>
              <w:t>2,079</w:t>
            </w:r>
          </w:p>
        </w:tc>
      </w:tr>
    </w:tbl>
    <w:p w:rsidR="00B767A7" w:rsidP="00DE227E">
      <w:pPr>
        <w:spacing w:before="240" w:after="120" w:line="230" w:lineRule="exact"/>
        <w:jc w:val="both"/>
        <w:rPr>
          <w:rFonts w:cs="FrankRuehl"/>
          <w:sz w:val="20"/>
          <w:szCs w:val="22"/>
          <w:rtl/>
        </w:rPr>
      </w:pPr>
      <w:r>
        <w:rPr>
          <w:rFonts w:cs="FrankRuehl" w:hint="cs"/>
          <w:sz w:val="20"/>
          <w:szCs w:val="22"/>
          <w:rtl/>
        </w:rPr>
        <w:t xml:space="preserve">בשנת 2012 קיבלו 54 עמותות תמיכות בקטגוריה "תרבות תורנית" לפי החלוקה שלהלן: עמותה אחת קיבלה כ-132,000 ש"ח; 14 עמותות קיבלו תמיכה בסך 52,000-20,000 ש"ח; 12 עמותות קיבלו תמיכה בסך 20,000-10,000 ש"ח; 8 עמותות קיבלו תמיכה בסך 10,000-5,000 ש"ח; 16 עמותות קיבלו תמיכה בסך 5,000-1,000 ש"ח; 3 עמותות קיבלו פחות מ-1,000 ש"ח. </w:t>
      </w:r>
      <w:r>
        <w:rPr>
          <w:rFonts w:cs="FrankRuehl"/>
          <w:sz w:val="20"/>
          <w:szCs w:val="22"/>
          <w:rtl/>
        </w:rPr>
        <w:t xml:space="preserve">יצוין </w:t>
      </w:r>
      <w:r>
        <w:rPr>
          <w:rFonts w:cs="FrankRuehl" w:hint="cs"/>
          <w:sz w:val="20"/>
          <w:szCs w:val="22"/>
          <w:rtl/>
        </w:rPr>
        <w:t>כי</w:t>
      </w:r>
      <w:r>
        <w:rPr>
          <w:rFonts w:cs="FrankRuehl"/>
          <w:sz w:val="20"/>
          <w:szCs w:val="22"/>
          <w:rtl/>
        </w:rPr>
        <w:t xml:space="preserve"> </w:t>
      </w:r>
      <w:r>
        <w:rPr>
          <w:rFonts w:cs="FrankRuehl" w:hint="cs"/>
          <w:sz w:val="20"/>
          <w:szCs w:val="22"/>
          <w:rtl/>
        </w:rPr>
        <w:t>בשנת</w:t>
      </w:r>
      <w:r>
        <w:rPr>
          <w:rFonts w:cs="FrankRuehl"/>
          <w:sz w:val="20"/>
          <w:szCs w:val="22"/>
          <w:rtl/>
        </w:rPr>
        <w:t xml:space="preserve"> 2013 </w:t>
      </w:r>
      <w:r>
        <w:rPr>
          <w:rFonts w:cs="FrankRuehl" w:hint="cs"/>
          <w:sz w:val="20"/>
          <w:szCs w:val="22"/>
          <w:rtl/>
        </w:rPr>
        <w:t>קיבלו</w:t>
      </w:r>
      <w:r>
        <w:rPr>
          <w:rFonts w:cs="FrankRuehl"/>
          <w:sz w:val="20"/>
          <w:szCs w:val="22"/>
          <w:rtl/>
        </w:rPr>
        <w:t xml:space="preserve"> 47 </w:t>
      </w:r>
      <w:r>
        <w:rPr>
          <w:rFonts w:cs="FrankRuehl" w:hint="cs"/>
          <w:sz w:val="20"/>
          <w:szCs w:val="22"/>
          <w:rtl/>
        </w:rPr>
        <w:t>עמותות</w:t>
      </w:r>
      <w:r>
        <w:rPr>
          <w:rFonts w:cs="FrankRuehl"/>
          <w:sz w:val="20"/>
          <w:szCs w:val="22"/>
          <w:rtl/>
        </w:rPr>
        <w:t xml:space="preserve"> </w:t>
      </w:r>
      <w:r>
        <w:rPr>
          <w:rFonts w:cs="FrankRuehl" w:hint="cs"/>
          <w:sz w:val="20"/>
          <w:szCs w:val="22"/>
          <w:rtl/>
        </w:rPr>
        <w:t>תמיכות</w:t>
      </w:r>
      <w:r>
        <w:rPr>
          <w:rFonts w:cs="FrankRuehl"/>
          <w:sz w:val="20"/>
          <w:szCs w:val="22"/>
          <w:rtl/>
        </w:rPr>
        <w:t xml:space="preserve"> </w:t>
      </w:r>
      <w:r>
        <w:rPr>
          <w:rFonts w:cs="FrankRuehl" w:hint="cs"/>
          <w:sz w:val="20"/>
          <w:szCs w:val="22"/>
          <w:rtl/>
        </w:rPr>
        <w:t>בקטגוריה</w:t>
      </w:r>
      <w:r>
        <w:rPr>
          <w:rFonts w:cs="FrankRuehl"/>
          <w:sz w:val="20"/>
          <w:szCs w:val="22"/>
          <w:rtl/>
        </w:rPr>
        <w:t xml:space="preserve"> </w:t>
      </w:r>
      <w:r>
        <w:rPr>
          <w:rFonts w:cs="FrankRuehl" w:hint="cs"/>
          <w:sz w:val="20"/>
          <w:szCs w:val="22"/>
          <w:rtl/>
        </w:rPr>
        <w:t>זו.</w:t>
      </w:r>
    </w:p>
    <w:p w:rsidR="00B767A7">
      <w:pPr>
        <w:spacing w:after="120" w:line="230" w:lineRule="exact"/>
        <w:jc w:val="both"/>
        <w:rPr>
          <w:rFonts w:cs="FrankRuehl"/>
          <w:sz w:val="20"/>
          <w:szCs w:val="22"/>
          <w:rtl/>
        </w:rPr>
      </w:pPr>
    </w:p>
    <w:p w:rsidR="00B767A7">
      <w:pPr>
        <w:pStyle w:val="KOT5"/>
        <w:rPr>
          <w:rtl/>
        </w:rPr>
      </w:pPr>
      <w:r>
        <w:rPr>
          <w:rFonts w:hint="cs"/>
          <w:rtl/>
        </w:rPr>
        <w:t>קביעת תבחינים למתן תמיכות לעמותות בקטגוריה של תרבות תורנית</w:t>
      </w:r>
    </w:p>
    <w:p w:rsidR="00B767A7">
      <w:pPr>
        <w:spacing w:after="120" w:line="230" w:lineRule="exact"/>
        <w:jc w:val="both"/>
        <w:rPr>
          <w:rFonts w:cs="FrankRuehl"/>
          <w:sz w:val="20"/>
          <w:szCs w:val="22"/>
          <w:rtl/>
        </w:rPr>
      </w:pPr>
      <w:r>
        <w:rPr>
          <w:rFonts w:cs="FrankRuehl" w:hint="cs"/>
          <w:sz w:val="20"/>
          <w:szCs w:val="22"/>
          <w:rtl/>
        </w:rPr>
        <w:t xml:space="preserve">אחד הפרקים בתבחינים למתן תמיכות של עיריית פתח תקווה עוסק במוסדות הקרויים "הנחלת מורשת היהדות ומחשבת ישראל", המקביל למה שקרוי במשרד החינוך "מפעלי תרבות יהודית". בעיריית פתח תקווה (וכן ברשויות אחרות) תחום זה קרוּי כאמור "תרבות תורנית". </w:t>
      </w:r>
    </w:p>
    <w:p w:rsidR="00B767A7" w:rsidP="00E425F8">
      <w:pPr>
        <w:spacing w:after="120" w:line="230" w:lineRule="exact"/>
        <w:ind w:left="340" w:hanging="340"/>
        <w:jc w:val="both"/>
        <w:rPr>
          <w:rFonts w:cs="FrankRuehl"/>
          <w:sz w:val="20"/>
          <w:szCs w:val="22"/>
          <w:rtl/>
        </w:rPr>
      </w:pPr>
      <w:r>
        <w:rPr>
          <w:rFonts w:cs="FrankRuehl" w:hint="cs"/>
          <w:sz w:val="20"/>
          <w:szCs w:val="22"/>
          <w:rtl/>
        </w:rPr>
        <w:t>1.</w:t>
      </w:r>
      <w:r>
        <w:rPr>
          <w:rFonts w:cs="FrankRuehl" w:hint="cs"/>
          <w:sz w:val="20"/>
          <w:szCs w:val="22"/>
          <w:rtl/>
        </w:rPr>
        <w:tab/>
        <w:t>התבחינים שקבעה עיריית פתח תקווה</w:t>
      </w:r>
      <w:r>
        <w:rPr>
          <w:rStyle w:val="FootnoteReference"/>
          <w:rFonts w:cs="FrankRuehl"/>
          <w:sz w:val="20"/>
          <w:szCs w:val="22"/>
          <w:rtl/>
        </w:rPr>
        <w:footnoteReference w:id="41"/>
      </w:r>
      <w:r>
        <w:rPr>
          <w:rFonts w:cs="FrankRuehl" w:hint="cs"/>
          <w:sz w:val="20"/>
          <w:szCs w:val="22"/>
          <w:rtl/>
        </w:rPr>
        <w:t xml:space="preserve"> למתן תמיכות למוסדות הפועלים על פי הקטגוריה של תרבות תורנית (להלן - מוסדות התרבות התורנית) דומים בעניינים רבים לתבחיני משרד החינוך, אך עולה גם כי כמה תנאים שנכללים בתבחיני משרד החינוך לא נכללו בתבחיני עיריית פתח תקווה. </w:t>
      </w:r>
    </w:p>
    <w:p w:rsidR="00B767A7" w:rsidP="00E425F8">
      <w:pPr>
        <w:spacing w:after="240" w:line="230" w:lineRule="exact"/>
        <w:ind w:left="340" w:hanging="340"/>
        <w:jc w:val="both"/>
        <w:rPr>
          <w:rFonts w:cs="FrankRuehl"/>
          <w:sz w:val="20"/>
          <w:szCs w:val="22"/>
          <w:rtl/>
        </w:rPr>
      </w:pPr>
      <w:r>
        <w:rPr>
          <w:rFonts w:cs="FrankRuehl"/>
          <w:sz w:val="20"/>
          <w:szCs w:val="22"/>
          <w:rtl/>
        </w:rPr>
        <w:tab/>
      </w:r>
      <w:r>
        <w:rPr>
          <w:rFonts w:cs="FrankRuehl" w:hint="cs"/>
          <w:sz w:val="20"/>
          <w:szCs w:val="22"/>
          <w:rtl/>
        </w:rPr>
        <w:t>לדוגמה, בתבחיני משרד החינוך נקבע: "הוא אינו מוסד חינוך שבו ניתן לימוד שיטתי, כגון בית ספר, גן ילדים או כולל, ישיבה קטנה, ישיבה גבוהה, מדרשה, אולפנא, אוניברסיטה, מכללה, מוסדות להכשרת מורים וכיוצא בזה, והפעילות שבעבורה מבוקשת תמיכה לפי מבחנים אלה אינה מתוקצבת בדרך אחרת מתקציב המדינה... הפעילות שבעבורה מבוקשת התמיכה מתקיימת במבנה קבע, שאינו דירת מגורים פרטית... הפעילות שבעבורה מבוקשת התמיכה אינה חלק מתכנית לימודים פורמלית או מלימודים פורמליים... שיעור הפעילויות המתקיימות בשבתות ובמועדים, שיבואו במניין החישוב לצורך התמיכה, לא יעלה על 15% מן הפעילות הכוללת הנתמכת לפי מבחנים אלו של כל מוסד ציבור, פרט לימי סמינר". תנאי סף אלה לא נכללו בתבחינים שאימצה עיריית פתח תקווה לתמיכה במוסדות התרבות התורנית.</w:t>
      </w:r>
    </w:p>
    <w:p w:rsidR="00B767A7" w:rsidP="00E425F8">
      <w:pPr>
        <w:pStyle w:val="RESHET"/>
        <w:ind w:left="567"/>
        <w:rPr>
          <w:rtl/>
        </w:rPr>
      </w:pPr>
      <w:r>
        <w:rPr>
          <w:rFonts w:hint="cs"/>
          <w:rtl/>
        </w:rPr>
        <w:t xml:space="preserve">משרד מבקר המדינה מעיר לעיריית פתח תקווה כי אמנם אין היא מחויבת לאמץ את התנאים שקבע משרד החינוך, אולם תנאים אלה נועדו לשמש "סדרי בידוק", לאמור: אמצעי בקרה אלמנטריים שתפקידם להפריד בין פעילויות התרבות התורנית ובין פעילויות אחרות שמבצעות אותן עמותות או פעילויות המתבצעות באותם מקומות. לחלופין, העירייה גם לא קבעה תנאים אחרים שישמשו לצורך סדרי בידוק, ועקב כך נשללו ממנה כלים המאפשרים לבדוק אם הפעילות שעבורה מבוקשת התמיכה אינה חלק מפעילות הכולל או הישיבה הגבוהה. יתר על כן, העירייה ויתרה על כלים הכרחיים על מנת לבצע פיקוח אפקטיבי בשטח כנדרש. </w:t>
      </w:r>
    </w:p>
    <w:p w:rsidR="00B767A7" w:rsidP="00E425F8">
      <w:pPr>
        <w:spacing w:before="180" w:after="120" w:line="230" w:lineRule="exact"/>
        <w:ind w:left="340" w:hanging="340"/>
        <w:jc w:val="both"/>
        <w:rPr>
          <w:rFonts w:cs="FrankRuehl"/>
          <w:sz w:val="20"/>
          <w:szCs w:val="22"/>
          <w:rtl/>
        </w:rPr>
      </w:pPr>
      <w:r>
        <w:rPr>
          <w:rFonts w:cs="FrankRuehl" w:hint="cs"/>
          <w:sz w:val="20"/>
          <w:szCs w:val="22"/>
          <w:rtl/>
        </w:rPr>
        <w:t>2.</w:t>
      </w:r>
      <w:r>
        <w:rPr>
          <w:rFonts w:cs="FrankRuehl" w:hint="cs"/>
          <w:sz w:val="20"/>
          <w:szCs w:val="22"/>
          <w:rtl/>
        </w:rPr>
        <w:tab/>
        <w:t>בבדיקת הדיווחים שמסרו 15 עמותות המקבלות מהעירייה תמיכה עבור תרבות תורנית נמצא כי רוב השיעורים שעליהם דיווחו העמותות נלמדו במקומות שבהם לומדים האברכים של הכולל; מהדיווח גם לא ניתן היה ללמוד אם מדובר בשיעורים של האברכים בכולל או בשיעורים הניתנים לציבור הרחב. נמצא גם כי חלק מהשיעורים ניתנו בבתים פרטיים, וכי השיעורים שניתנו בשבתות ובמועדים היו למעלה מ-15% מכלל השיעורים; בחלק מהעמותות הם אף היו עיקר הפעילות.</w:t>
      </w:r>
    </w:p>
    <w:p w:rsidR="00B767A7" w:rsidP="00E425F8">
      <w:pPr>
        <w:spacing w:after="120" w:line="230" w:lineRule="exact"/>
        <w:ind w:left="340" w:hanging="340"/>
        <w:jc w:val="both"/>
        <w:rPr>
          <w:rFonts w:cs="FrankRuehl"/>
          <w:sz w:val="20"/>
          <w:szCs w:val="22"/>
          <w:rtl/>
        </w:rPr>
      </w:pPr>
      <w:r>
        <w:rPr>
          <w:rFonts w:cs="FrankRuehl" w:hint="cs"/>
          <w:sz w:val="20"/>
          <w:szCs w:val="22"/>
          <w:rtl/>
        </w:rPr>
        <w:t>3.</w:t>
      </w:r>
      <w:r>
        <w:rPr>
          <w:rFonts w:cs="FrankRuehl" w:hint="cs"/>
          <w:sz w:val="20"/>
          <w:szCs w:val="22"/>
          <w:rtl/>
        </w:rPr>
        <w:tab/>
        <w:t>בפרק</w:t>
      </w:r>
      <w:r>
        <w:rPr>
          <w:rFonts w:cs="FrankRuehl"/>
          <w:sz w:val="20"/>
          <w:szCs w:val="22"/>
          <w:rtl/>
        </w:rPr>
        <w:t xml:space="preserve"> </w:t>
      </w:r>
      <w:r>
        <w:rPr>
          <w:rFonts w:cs="FrankRuehl" w:hint="cs"/>
          <w:sz w:val="20"/>
          <w:szCs w:val="22"/>
          <w:rtl/>
        </w:rPr>
        <w:t>הכללי</w:t>
      </w:r>
      <w:r>
        <w:rPr>
          <w:rFonts w:cs="FrankRuehl"/>
          <w:sz w:val="20"/>
          <w:szCs w:val="22"/>
          <w:rtl/>
        </w:rPr>
        <w:t xml:space="preserve"> </w:t>
      </w:r>
      <w:r>
        <w:rPr>
          <w:rFonts w:cs="FrankRuehl" w:hint="cs"/>
          <w:sz w:val="20"/>
          <w:szCs w:val="22"/>
          <w:rtl/>
        </w:rPr>
        <w:t>של תבחיני עיריית פתח תקווה נקבע כי "פעילות שבוצעה ללא הוצאות של העמותה בגין ביצוע הפעילות לא תילקח בחשבון", כלומר העירייה לא תיתן תמיכה לעמותה במסגרת תרבות תורנית אם שירותיה ניתנים בהתנדבות ואין לה הוצאות על פעילותה, לרבות תשלום שכר למרצים.</w:t>
      </w:r>
    </w:p>
    <w:p w:rsidR="00B767A7" w:rsidP="00E425F8">
      <w:pPr>
        <w:spacing w:after="120" w:line="230" w:lineRule="exact"/>
        <w:ind w:left="340" w:hanging="340"/>
        <w:jc w:val="both"/>
        <w:rPr>
          <w:rFonts w:cs="FrankRuehl"/>
          <w:sz w:val="20"/>
          <w:szCs w:val="22"/>
          <w:rtl/>
        </w:rPr>
      </w:pPr>
      <w:r>
        <w:rPr>
          <w:rFonts w:cs="FrankRuehl"/>
          <w:sz w:val="20"/>
          <w:szCs w:val="22"/>
          <w:rtl/>
        </w:rPr>
        <w:tab/>
      </w:r>
      <w:r>
        <w:rPr>
          <w:rFonts w:cs="FrankRuehl" w:hint="cs"/>
          <w:sz w:val="20"/>
          <w:szCs w:val="22"/>
          <w:rtl/>
        </w:rPr>
        <w:t>לקראת דיון של הוועדה המקצועית לתמיכות באוגוסט 2010 לקביעת התבחינים לשנת 2011, הציע מנהל היחידה לתמיכות לחברי הוועדה המקצועית לשנות את התבחינים בעניין תרבות תורנית. הוא נימק כי "במסגרת הביקורות השונות עולה כי מרבית העמותות מדווחות דיווחים מוגזמים ונהנות על חשבון עמותות אחרות", ולפיכך "התבחין הנדרש הינו לחלוקה מדויקת בהתאם לדוחות המבוקרים של העמותה". הוא פירט כי חלוקת תמיכות לפי תבחין זה "הינה שוויונית ומונעת הטיית הכספים לעמותות המדווחות שלא כדין", וכי גם "תהא זיקה ישירה בין התשלומים המשולמים לעמותה לבין הוצאותיה בפועל (כאמור בדוחות הכספיים)".</w:t>
      </w:r>
    </w:p>
    <w:p w:rsidR="00B767A7" w:rsidP="00E425F8">
      <w:pPr>
        <w:spacing w:after="120" w:line="230" w:lineRule="exact"/>
        <w:ind w:left="340" w:hanging="340"/>
        <w:jc w:val="both"/>
        <w:rPr>
          <w:rFonts w:cs="FrankRuehl"/>
          <w:sz w:val="20"/>
          <w:szCs w:val="22"/>
          <w:rtl/>
        </w:rPr>
      </w:pPr>
      <w:r>
        <w:rPr>
          <w:rFonts w:cs="FrankRuehl"/>
          <w:sz w:val="20"/>
          <w:szCs w:val="22"/>
          <w:rtl/>
        </w:rPr>
        <w:tab/>
      </w:r>
      <w:r>
        <w:rPr>
          <w:rFonts w:cs="FrankRuehl" w:hint="cs"/>
          <w:sz w:val="20"/>
          <w:szCs w:val="22"/>
          <w:rtl/>
        </w:rPr>
        <w:t xml:space="preserve">באוגוסט 2010 דנה הוועדה המקצועית לתמיכות בשינוי כמה תבחינים, בכלל זה תבחין התמיכות במוסדות התרבות התורנית. מפרוטוקול הדיון לא ניתן ללמוד מה השינוי שהוצע בתבחין, מה היו הנימוקים וההסברים לשינוי ומה ההחלטה שהתקבלה. </w:t>
      </w:r>
    </w:p>
    <w:p w:rsidR="00B767A7" w:rsidP="00E425F8">
      <w:pPr>
        <w:spacing w:after="240" w:line="230" w:lineRule="exact"/>
        <w:ind w:left="340" w:hanging="340"/>
        <w:jc w:val="both"/>
        <w:rPr>
          <w:rFonts w:cs="FrankRuehl"/>
          <w:sz w:val="20"/>
          <w:szCs w:val="22"/>
          <w:rtl/>
        </w:rPr>
      </w:pPr>
      <w:r>
        <w:rPr>
          <w:rFonts w:cs="FrankRuehl" w:hint="cs"/>
          <w:sz w:val="20"/>
          <w:szCs w:val="22"/>
          <w:rtl/>
        </w:rPr>
        <w:t>4.</w:t>
      </w:r>
      <w:r>
        <w:rPr>
          <w:rFonts w:cs="FrankRuehl" w:hint="cs"/>
          <w:sz w:val="20"/>
          <w:szCs w:val="22"/>
          <w:rtl/>
        </w:rPr>
        <w:tab/>
        <w:t xml:space="preserve">בעקבות הדיון של הוועדה המקצועית לתמיכות אימצה העירייה תבחין חדש למוסדות התרבות תורנית, שעיקרו הוא חיוב המוסדות בהגשת דוח פעילות המאומת על ידי רואה החשבון של המוסד. מועצת העירייה אישרה בסוף אוגוסט 2010 את התבחינים לשנת 2011, לרבות שינוי התבחין בעניין התמיכות למוסדות בקטגוריה של תרבות תורנית, בלא שהתקיים דיון בעניין זה. </w:t>
      </w:r>
    </w:p>
    <w:p w:rsidR="00B767A7" w:rsidP="00E425F8">
      <w:pPr>
        <w:pStyle w:val="RESHET"/>
        <w:ind w:left="567"/>
        <w:rPr>
          <w:rtl/>
        </w:rPr>
      </w:pPr>
      <w:r>
        <w:rPr>
          <w:rFonts w:hint="cs"/>
          <w:rtl/>
        </w:rPr>
        <w:t>משרד מבקר המדינה מעיר לעירייה כי הפתרון שהציעה הוועדה המקצועית לתמיכות לבעיה שהעלה מנהל היחידה לתמיכות (חוסר האמינות של הבקשות לתמיכות שמגישות העמותות המבקשות תמיכה בקטגוריה "תרבות תורנית") לא אפשר בקרה ופיקוח של העירייה על הנעשה בעמותות ולכן לא היה פתרון מספק. על העירייה היה לקבוע תבחינים המאפשרים בקרה</w:t>
      </w:r>
      <w:r>
        <w:rPr>
          <w:rtl/>
        </w:rPr>
        <w:t xml:space="preserve"> </w:t>
      </w:r>
      <w:r>
        <w:rPr>
          <w:rFonts w:hint="cs"/>
          <w:rtl/>
        </w:rPr>
        <w:t>ופיקוח על פעילות העמותות בקטגוריה זו, שמגבירים את הפיקוח של העירייה בשלב בדיקות הבקשות לתמיכה ובשטח במהלך השנה. במקום זאת, בחרה הוועדה לאמץ פתרון שמעביר לידי העמותות מבקשות התמיכה את הבקרה</w:t>
      </w:r>
      <w:r>
        <w:rPr>
          <w:rtl/>
        </w:rPr>
        <w:t xml:space="preserve"> </w:t>
      </w:r>
      <w:r>
        <w:rPr>
          <w:rFonts w:hint="cs"/>
          <w:rtl/>
        </w:rPr>
        <w:t>והפיקוח. זאת באמצעות אישור רואה החשבון של העמותה החתום על הדוח הכספי שלה, המצהיר כי חלק מהוצאות העמותות מקורן בפעילויות של תרבות, בלא שיש לכך סימוכין בדוחות הכספיים של העמותה ובמאזני הבוחן שלה.</w:t>
      </w:r>
    </w:p>
    <w:p w:rsidR="00B767A7" w:rsidP="00E425F8">
      <w:pPr>
        <w:pStyle w:val="RESHET"/>
        <w:ind w:left="567"/>
        <w:rPr>
          <w:rtl/>
        </w:rPr>
      </w:pPr>
      <w:r>
        <w:rPr>
          <w:rFonts w:hint="cs"/>
          <w:rtl/>
        </w:rPr>
        <w:t>עוד מעיר משרד מבקר המדינה לעירייה כי בדיקת הדוחות הכספיים ומאזני הבוחן של שמונה עמותות העלתה כי היקף ההוצאות הכספיות שלהן המוקצה לפעילויות המסווגות ברשימת הפעילויות של תרבות תורנית</w:t>
      </w:r>
      <w:r>
        <w:rPr>
          <w:rStyle w:val="FootnoteReference"/>
          <w:rFonts w:cs="FrankRuehl"/>
          <w:rtl/>
        </w:rPr>
        <w:footnoteReference w:id="42"/>
      </w:r>
      <w:r>
        <w:rPr>
          <w:rFonts w:hint="cs"/>
          <w:rtl/>
        </w:rPr>
        <w:t xml:space="preserve"> זעום ביותר. </w:t>
      </w:r>
    </w:p>
    <w:p w:rsidR="00B767A7" w:rsidP="00E425F8">
      <w:pPr>
        <w:spacing w:before="180" w:after="120" w:line="230" w:lineRule="exact"/>
        <w:ind w:left="340" w:hanging="340"/>
        <w:jc w:val="both"/>
        <w:rPr>
          <w:rFonts w:cs="FrankRuehl"/>
          <w:sz w:val="20"/>
          <w:szCs w:val="22"/>
          <w:rtl/>
        </w:rPr>
      </w:pPr>
      <w:r>
        <w:rPr>
          <w:rFonts w:cs="FrankRuehl" w:hint="cs"/>
          <w:sz w:val="20"/>
          <w:szCs w:val="22"/>
          <w:rtl/>
        </w:rPr>
        <w:t>5.</w:t>
      </w:r>
      <w:r>
        <w:rPr>
          <w:rFonts w:cs="FrankRuehl" w:hint="cs"/>
          <w:sz w:val="20"/>
          <w:szCs w:val="22"/>
          <w:rtl/>
        </w:rPr>
        <w:tab/>
        <w:t xml:space="preserve">בפרק הכללי של התבחינים של עיריית פתח תקווה נקבע גם כי "הרשות לא תחלק תמיכות לגופים המחלקים תמיכות ו/או מלגות בכסף ו/או בשטרות שאינם ייעודיים לאחרים (להוציא גופים בהם התמיכה נקבעת לפי מספר התלמידים)". </w:t>
      </w:r>
    </w:p>
    <w:p w:rsidR="00B767A7" w:rsidP="00E425F8">
      <w:pPr>
        <w:spacing w:after="120" w:line="230" w:lineRule="exact"/>
        <w:ind w:left="340" w:hanging="340"/>
        <w:jc w:val="both"/>
        <w:rPr>
          <w:rFonts w:cs="FrankRuehl"/>
          <w:sz w:val="20"/>
          <w:szCs w:val="22"/>
          <w:rtl/>
        </w:rPr>
      </w:pPr>
      <w:r>
        <w:rPr>
          <w:rFonts w:cs="FrankRuehl"/>
          <w:sz w:val="20"/>
          <w:szCs w:val="22"/>
          <w:rtl/>
        </w:rPr>
        <w:tab/>
      </w:r>
      <w:r>
        <w:rPr>
          <w:rFonts w:cs="FrankRuehl" w:hint="cs"/>
          <w:sz w:val="20"/>
          <w:szCs w:val="22"/>
          <w:rtl/>
        </w:rPr>
        <w:t>בישיבת הוועדה המקצועית לתמיכות בנובמבר 2011 מסר מנהל היחידה לתמיכות כי לפי התבחין התמיכה תינתן רק לגופים שאינם מחלקים מלגות, אך העמותות הוסיפו בכתב יד את המילה "מלגות" על הבקשות שהגישו, ולדעתו דבר זה אינו תקין ואינו מתיישב עם התבחינים. הוא ציין כי הוא העלה</w:t>
      </w:r>
      <w:r>
        <w:rPr>
          <w:rFonts w:cs="FrankRuehl"/>
          <w:sz w:val="20"/>
          <w:szCs w:val="22"/>
        </w:rPr>
        <w:t xml:space="preserve"> </w:t>
      </w:r>
      <w:r>
        <w:rPr>
          <w:rFonts w:cs="FrankRuehl" w:hint="cs"/>
          <w:sz w:val="20"/>
          <w:szCs w:val="22"/>
          <w:rtl/>
        </w:rPr>
        <w:t>את הסוגיה האמורה לפני חברי הוועדה המקצועית, על מנת שיחליטו אם לשלם את התמיכות במקרים האמורים אם לאו.</w:t>
      </w:r>
    </w:p>
    <w:p w:rsidR="00B767A7" w:rsidP="00E425F8">
      <w:pPr>
        <w:spacing w:after="120" w:line="230" w:lineRule="exact"/>
        <w:ind w:left="340" w:hanging="340"/>
        <w:jc w:val="both"/>
        <w:rPr>
          <w:rFonts w:cs="FrankRuehl"/>
          <w:sz w:val="20"/>
          <w:szCs w:val="22"/>
          <w:rtl/>
        </w:rPr>
      </w:pPr>
      <w:r>
        <w:rPr>
          <w:rFonts w:cs="FrankRuehl"/>
          <w:sz w:val="20"/>
          <w:szCs w:val="22"/>
          <w:rtl/>
        </w:rPr>
        <w:tab/>
      </w:r>
      <w:r>
        <w:rPr>
          <w:rFonts w:cs="FrankRuehl" w:hint="cs"/>
          <w:sz w:val="20"/>
          <w:szCs w:val="22"/>
          <w:rtl/>
        </w:rPr>
        <w:t xml:space="preserve">גזברית העירייה תמכה באותה ישיבה בהמשך מתן תמיכות לעמותות שעיקר ההוצאה שלהן היא על מלגות לאברכי כולל בנימוק כי יש הבדל בין מלגות לאברכים לומדים בקטגוריה "כולל", על פי רשימות של משרד החינוך ובין אברכי כולל בקטגוריה "תרבות תורנית", המלמדים אחרים (ונקראים "מגידי שיעורים"). </w:t>
      </w:r>
    </w:p>
    <w:p w:rsidR="00B767A7" w:rsidP="00E425F8">
      <w:pPr>
        <w:spacing w:after="120" w:line="230" w:lineRule="exact"/>
        <w:ind w:left="340" w:hanging="340"/>
        <w:jc w:val="both"/>
        <w:rPr>
          <w:rFonts w:cs="FrankRuehl"/>
          <w:sz w:val="20"/>
          <w:szCs w:val="22"/>
          <w:rtl/>
        </w:rPr>
      </w:pPr>
      <w:r>
        <w:rPr>
          <w:rFonts w:cs="FrankRuehl"/>
          <w:sz w:val="20"/>
          <w:szCs w:val="22"/>
          <w:rtl/>
        </w:rPr>
        <w:tab/>
      </w:r>
      <w:r>
        <w:rPr>
          <w:rFonts w:cs="FrankRuehl" w:hint="cs"/>
          <w:sz w:val="20"/>
          <w:szCs w:val="22"/>
          <w:rtl/>
        </w:rPr>
        <w:t xml:space="preserve">הוועדה המקצועית לתמיכות אימצה את גישתה של גזברית העירייה והחליטה להמשיך לתמוך בעמותות שעיקר הוצאותיהן על מלגות לאברכי כולל בנימוק כי "הפעילות הינה, בין היתר, העברת שיעורים על ידי המשתתפים השונים בשעות הפנאי לאחר שעות העבודה... על אף שמופיעה המלה מלגות יש לראות בכך כתואם פעילות תרבות תורנית במקרים אלו, ובמיוחד לאור העובדה שאינם מקבלים תמיכות ככוללים". </w:t>
      </w:r>
    </w:p>
    <w:p w:rsidR="00B767A7" w:rsidP="00E425F8">
      <w:pPr>
        <w:spacing w:after="120" w:line="230" w:lineRule="exact"/>
        <w:ind w:left="340" w:hanging="340"/>
        <w:jc w:val="both"/>
        <w:rPr>
          <w:rFonts w:cs="FrankRuehl"/>
          <w:sz w:val="20"/>
          <w:szCs w:val="22"/>
          <w:rtl/>
        </w:rPr>
      </w:pPr>
      <w:r>
        <w:rPr>
          <w:rFonts w:cs="FrankRuehl"/>
          <w:sz w:val="20"/>
          <w:szCs w:val="22"/>
          <w:rtl/>
        </w:rPr>
        <w:tab/>
      </w:r>
      <w:r>
        <w:rPr>
          <w:rFonts w:cs="FrankRuehl" w:hint="cs"/>
          <w:sz w:val="20"/>
          <w:szCs w:val="22"/>
          <w:rtl/>
        </w:rPr>
        <w:t>נמצא כי חברי הוועדה המקצועית לתמיכות לא מצאו לנכון להעביר את החלטתם לאישור מועצת העירייה, אף שיש לה משמעות מהבחינה הציבורית, בדומה</w:t>
      </w:r>
      <w:r>
        <w:rPr>
          <w:rFonts w:cs="FrankRuehl"/>
          <w:sz w:val="20"/>
          <w:szCs w:val="22"/>
          <w:rtl/>
        </w:rPr>
        <w:t xml:space="preserve"> </w:t>
      </w:r>
      <w:r>
        <w:rPr>
          <w:rFonts w:cs="FrankRuehl" w:hint="cs"/>
          <w:sz w:val="20"/>
          <w:szCs w:val="22"/>
          <w:rtl/>
        </w:rPr>
        <w:t>לשינוי</w:t>
      </w:r>
      <w:r>
        <w:rPr>
          <w:rFonts w:cs="FrankRuehl"/>
          <w:sz w:val="20"/>
          <w:szCs w:val="22"/>
          <w:rtl/>
        </w:rPr>
        <w:t xml:space="preserve"> </w:t>
      </w:r>
      <w:r>
        <w:rPr>
          <w:rFonts w:cs="FrankRuehl" w:hint="cs"/>
          <w:sz w:val="20"/>
          <w:szCs w:val="22"/>
          <w:rtl/>
        </w:rPr>
        <w:t>בתבחין.</w:t>
      </w:r>
      <w:r>
        <w:rPr>
          <w:rFonts w:cs="FrankRuehl"/>
          <w:sz w:val="20"/>
          <w:szCs w:val="22"/>
          <w:rtl/>
        </w:rPr>
        <w:t xml:space="preserve"> </w:t>
      </w:r>
    </w:p>
    <w:p w:rsidR="00B767A7" w:rsidP="00E425F8">
      <w:pPr>
        <w:spacing w:after="120" w:line="230" w:lineRule="exact"/>
        <w:ind w:left="340" w:hanging="340"/>
        <w:jc w:val="both"/>
        <w:rPr>
          <w:rFonts w:cs="FrankRuehl"/>
          <w:sz w:val="20"/>
          <w:szCs w:val="22"/>
          <w:rtl/>
        </w:rPr>
      </w:pPr>
      <w:r>
        <w:rPr>
          <w:rFonts w:cs="FrankRuehl"/>
          <w:sz w:val="20"/>
          <w:szCs w:val="22"/>
          <w:rtl/>
        </w:rPr>
        <w:tab/>
      </w:r>
      <w:r>
        <w:rPr>
          <w:rFonts w:cs="FrankRuehl" w:hint="cs"/>
          <w:sz w:val="20"/>
          <w:szCs w:val="22"/>
          <w:rtl/>
        </w:rPr>
        <w:t xml:space="preserve">במועד סיום הביקורת, אפריל 2014, עדיין לא קיימו הוועדה המקצועית לתמיכות ומועצת העירייה דיונים נוספים בעניין התבחינים הנוגעים לעמותות המקבלות תמיכה בקטגוריה "תרבות תורנית"; ולמותר לציין שהסעיפים לא שונו. </w:t>
      </w:r>
    </w:p>
    <w:p w:rsidR="00B767A7" w:rsidP="00E425F8">
      <w:pPr>
        <w:pStyle w:val="RESHET"/>
        <w:ind w:left="567"/>
        <w:rPr>
          <w:rtl/>
        </w:rPr>
      </w:pPr>
      <w:r>
        <w:rPr>
          <w:rFonts w:hint="cs"/>
          <w:rtl/>
        </w:rPr>
        <w:t>משרד מבקר המדינה מעיר לעירייה כי החלטת הוועדה המקצועית לתמיכות להעביר תמיכות לעמותות שעיקר הוצאותיהן הוא מתן מלגות לאברכים הלומדים בכוללים אינה מתיישבת עם העיקרון העומד ביסוד מתן תמיכה לעמותות שעוסקות בהפצת תרבות תורנית ומורשת ישראל, והיא אף אינה עולה בקנה אחד עם הנחת היסוד של התבחינים ולפיה אין לתת תמיכות למוסדות המחלקים מלגות באמצעות תשלום כסף.</w:t>
      </w:r>
      <w:r>
        <w:rPr>
          <w:rtl/>
        </w:rPr>
        <w:t xml:space="preserve"> </w:t>
      </w:r>
    </w:p>
    <w:p w:rsidR="00B767A7" w:rsidP="00E425F8">
      <w:pPr>
        <w:spacing w:before="180" w:after="240" w:line="230" w:lineRule="exact"/>
        <w:ind w:left="340" w:hanging="340"/>
        <w:jc w:val="both"/>
        <w:rPr>
          <w:rFonts w:cs="FrankRuehl"/>
          <w:sz w:val="20"/>
          <w:szCs w:val="22"/>
          <w:rtl/>
        </w:rPr>
      </w:pPr>
      <w:r>
        <w:rPr>
          <w:rFonts w:cs="FrankRuehl" w:hint="cs"/>
          <w:sz w:val="20"/>
          <w:szCs w:val="22"/>
          <w:rtl/>
        </w:rPr>
        <w:t>6.</w:t>
      </w:r>
      <w:r>
        <w:rPr>
          <w:rFonts w:cs="FrankRuehl" w:hint="cs"/>
          <w:sz w:val="20"/>
          <w:szCs w:val="22"/>
          <w:rtl/>
        </w:rPr>
        <w:tab/>
        <w:t>הנספחים לבקשות התמיכה של מוסדות התרבות תורנית כוללים, בין היתר, את הדוח הכספי המבוקר האחרון של העמותה העוסק בשנת הכספים שקדמה בשנתיים לשנת הכספים שעבורה הוגשה בקשת התמיכה, ודוח כספי לא מבוקר (מאזן בוחן) המתייחס לשנת הכספים שלפני הבקשה. לפי הדוחות האלה פעילותן של חלק מהעמותות כלל לא נכללת בקטגוריה "תרבות תורנית". יתרה מזה, עיקר הוצאותיהן של עמותות אלה היו על מלגות לאברכים.</w:t>
      </w:r>
    </w:p>
    <w:p w:rsidR="00B767A7" w:rsidP="004A6B26">
      <w:pPr>
        <w:pStyle w:val="RESHET"/>
        <w:ind w:left="567"/>
        <w:rPr>
          <w:rtl/>
        </w:rPr>
      </w:pPr>
      <w:r>
        <w:rPr>
          <w:rFonts w:hint="cs"/>
          <w:rtl/>
        </w:rPr>
        <w:t>משרד</w:t>
      </w:r>
      <w:r>
        <w:rPr>
          <w:rtl/>
        </w:rPr>
        <w:t xml:space="preserve"> מבקר המדינה</w:t>
      </w:r>
      <w:r>
        <w:rPr>
          <w:rFonts w:hint="cs"/>
          <w:rtl/>
        </w:rPr>
        <w:t xml:space="preserve"> העיר </w:t>
      </w:r>
      <w:r>
        <w:rPr>
          <w:rtl/>
        </w:rPr>
        <w:t xml:space="preserve">לעירייה כי החלטתה לתמוך בעמותות שעיקר </w:t>
      </w:r>
      <w:r>
        <w:rPr>
          <w:rFonts w:hint="cs"/>
          <w:rtl/>
        </w:rPr>
        <w:t>הוצאותיהן</w:t>
      </w:r>
      <w:r>
        <w:rPr>
          <w:rtl/>
        </w:rPr>
        <w:t xml:space="preserve"> </w:t>
      </w:r>
      <w:r>
        <w:rPr>
          <w:rFonts w:hint="cs"/>
          <w:rtl/>
        </w:rPr>
        <w:t>הן</w:t>
      </w:r>
      <w:r>
        <w:rPr>
          <w:rtl/>
        </w:rPr>
        <w:t xml:space="preserve"> </w:t>
      </w:r>
      <w:r>
        <w:rPr>
          <w:rFonts w:hint="cs"/>
          <w:rtl/>
        </w:rPr>
        <w:t>עבור</w:t>
      </w:r>
      <w:r>
        <w:rPr>
          <w:rtl/>
        </w:rPr>
        <w:t xml:space="preserve"> </w:t>
      </w:r>
      <w:r>
        <w:rPr>
          <w:rFonts w:hint="cs"/>
          <w:rtl/>
        </w:rPr>
        <w:t>מתן</w:t>
      </w:r>
      <w:r>
        <w:rPr>
          <w:rtl/>
        </w:rPr>
        <w:t xml:space="preserve"> </w:t>
      </w:r>
      <w:r>
        <w:rPr>
          <w:rFonts w:hint="cs"/>
          <w:rtl/>
        </w:rPr>
        <w:t>מלגות</w:t>
      </w:r>
      <w:r>
        <w:rPr>
          <w:rtl/>
        </w:rPr>
        <w:t xml:space="preserve"> לאברכים אינה מתיישבת עם התבחינים הקובעים כי התמיכה תינתן לעמותות העוסקות בתרבות תורנית, קרי: מתן שיעורים, הרצאות, </w:t>
      </w:r>
      <w:r>
        <w:rPr>
          <w:rFonts w:hint="cs"/>
          <w:rtl/>
        </w:rPr>
        <w:t>ארגון</w:t>
      </w:r>
      <w:r>
        <w:rPr>
          <w:rtl/>
        </w:rPr>
        <w:t xml:space="preserve"> </w:t>
      </w:r>
      <w:r>
        <w:rPr>
          <w:rFonts w:hint="cs"/>
          <w:rtl/>
        </w:rPr>
        <w:t>סמינרים</w:t>
      </w:r>
      <w:r>
        <w:rPr>
          <w:rtl/>
        </w:rPr>
        <w:t xml:space="preserve"> בנושאי תורה, גמרא ויהדות וכיו"ב. ראוי שהעירייה </w:t>
      </w:r>
      <w:r>
        <w:rPr>
          <w:rFonts w:hint="cs"/>
          <w:rtl/>
        </w:rPr>
        <w:t>תבחן</w:t>
      </w:r>
      <w:r>
        <w:rPr>
          <w:rtl/>
        </w:rPr>
        <w:t xml:space="preserve"> </w:t>
      </w:r>
      <w:r>
        <w:rPr>
          <w:rFonts w:hint="cs"/>
          <w:rtl/>
        </w:rPr>
        <w:t>את</w:t>
      </w:r>
      <w:r>
        <w:rPr>
          <w:rtl/>
        </w:rPr>
        <w:t xml:space="preserve"> הנושא ותשקול להפסיק </w:t>
      </w:r>
      <w:r>
        <w:rPr>
          <w:rFonts w:hint="cs"/>
          <w:rtl/>
        </w:rPr>
        <w:t>את</w:t>
      </w:r>
      <w:r>
        <w:rPr>
          <w:rtl/>
        </w:rPr>
        <w:t xml:space="preserve"> </w:t>
      </w:r>
      <w:r>
        <w:rPr>
          <w:rFonts w:hint="cs"/>
          <w:rtl/>
        </w:rPr>
        <w:t>מתן</w:t>
      </w:r>
      <w:r>
        <w:rPr>
          <w:rtl/>
        </w:rPr>
        <w:t xml:space="preserve"> </w:t>
      </w:r>
      <w:r>
        <w:rPr>
          <w:rFonts w:hint="cs"/>
          <w:rtl/>
        </w:rPr>
        <w:t>התמיכות</w:t>
      </w:r>
      <w:r>
        <w:rPr>
          <w:rtl/>
        </w:rPr>
        <w:t xml:space="preserve"> </w:t>
      </w:r>
      <w:r>
        <w:rPr>
          <w:rFonts w:hint="cs"/>
          <w:rtl/>
        </w:rPr>
        <w:t>לגופים</w:t>
      </w:r>
      <w:r>
        <w:rPr>
          <w:rtl/>
        </w:rPr>
        <w:t xml:space="preserve"> </w:t>
      </w:r>
      <w:r>
        <w:rPr>
          <w:rFonts w:hint="cs"/>
          <w:rtl/>
        </w:rPr>
        <w:t>אלה</w:t>
      </w:r>
      <w:r>
        <w:rPr>
          <w:rtl/>
        </w:rPr>
        <w:t>.</w:t>
      </w:r>
    </w:p>
    <w:p w:rsidR="00B767A7">
      <w:pPr>
        <w:spacing w:after="120" w:line="230" w:lineRule="exact"/>
        <w:ind w:left="-1"/>
        <w:jc w:val="both"/>
        <w:rPr>
          <w:rFonts w:cs="FrankRuehl"/>
          <w:sz w:val="20"/>
          <w:szCs w:val="22"/>
          <w:rtl/>
        </w:rPr>
      </w:pPr>
    </w:p>
    <w:p w:rsidR="00B767A7">
      <w:pPr>
        <w:pStyle w:val="KOT5"/>
        <w:rPr>
          <w:rtl/>
        </w:rPr>
      </w:pPr>
      <w:r>
        <w:rPr>
          <w:rFonts w:hint="cs"/>
          <w:rtl/>
        </w:rPr>
        <w:t>הפיקוח על השימוש בתמיכות</w:t>
      </w:r>
    </w:p>
    <w:p w:rsidR="00B767A7" w:rsidP="004A6B26">
      <w:pPr>
        <w:spacing w:after="120" w:line="230" w:lineRule="exact"/>
        <w:ind w:left="340" w:hanging="340"/>
        <w:jc w:val="both"/>
        <w:rPr>
          <w:rFonts w:cs="FrankRuehl"/>
          <w:sz w:val="20"/>
          <w:szCs w:val="22"/>
          <w:rtl/>
        </w:rPr>
      </w:pPr>
      <w:r>
        <w:rPr>
          <w:rFonts w:cs="FrankRuehl" w:hint="cs"/>
          <w:sz w:val="20"/>
          <w:szCs w:val="22"/>
          <w:rtl/>
        </w:rPr>
        <w:t>1.</w:t>
      </w:r>
      <w:r>
        <w:rPr>
          <w:rFonts w:cs="FrankRuehl" w:hint="cs"/>
          <w:sz w:val="20"/>
          <w:szCs w:val="22"/>
          <w:rtl/>
        </w:rPr>
        <w:tab/>
        <w:t>נוהל תמיכות מחייב את מנכ"ל הרשות המקומית למנות עובד או עובדים מקרב עובדי הרשות שישמשו מפקחים על השימוש בכספי התמיכות שנותנת הרשות המקומית, לפי כללים שתקבע הוועדה המקצועית לתמיכות. על המפקח מוטלת החובה לדווח לוועדה המקצועית על ממצאי בדיקותיו.</w:t>
      </w:r>
    </w:p>
    <w:p w:rsidR="00B767A7" w:rsidP="004A6B26">
      <w:pPr>
        <w:spacing w:after="120" w:line="230" w:lineRule="exact"/>
        <w:ind w:left="340" w:hanging="340"/>
        <w:jc w:val="both"/>
        <w:rPr>
          <w:rFonts w:cs="FrankRuehl"/>
          <w:sz w:val="20"/>
          <w:szCs w:val="22"/>
          <w:rtl/>
        </w:rPr>
      </w:pPr>
      <w:r>
        <w:rPr>
          <w:rFonts w:cs="FrankRuehl"/>
          <w:sz w:val="20"/>
          <w:szCs w:val="22"/>
          <w:rtl/>
        </w:rPr>
        <w:tab/>
      </w:r>
      <w:r>
        <w:rPr>
          <w:rFonts w:cs="FrankRuehl" w:hint="cs"/>
          <w:sz w:val="20"/>
          <w:szCs w:val="22"/>
          <w:rtl/>
        </w:rPr>
        <w:t>מנכ"ל העירייה מינה בינואר 2008 את מנהל היחידה לתמיכות, המרכז גם את נושא המכרזים וההתקשרויות בעירייה, לתפקיד המפקח על השימוש בכספי התמיכות.</w:t>
      </w:r>
    </w:p>
    <w:p w:rsidR="00B767A7" w:rsidP="004A6B26">
      <w:pPr>
        <w:spacing w:after="120" w:line="230" w:lineRule="exact"/>
        <w:ind w:left="340" w:hanging="340"/>
        <w:jc w:val="both"/>
        <w:rPr>
          <w:rFonts w:cs="FrankRuehl"/>
          <w:color w:val="FF0000"/>
          <w:sz w:val="20"/>
          <w:szCs w:val="22"/>
          <w:rtl/>
        </w:rPr>
      </w:pPr>
      <w:r>
        <w:rPr>
          <w:rFonts w:cs="FrankRuehl"/>
          <w:sz w:val="20"/>
          <w:szCs w:val="22"/>
          <w:rtl/>
        </w:rPr>
        <w:tab/>
      </w:r>
      <w:r>
        <w:rPr>
          <w:rFonts w:cs="FrankRuehl" w:hint="cs"/>
          <w:sz w:val="20"/>
          <w:szCs w:val="22"/>
          <w:rtl/>
        </w:rPr>
        <w:t xml:space="preserve">נמצא כי הוועדה המקצועית לתמיכות לא קבעה כנדרש כללים שלפיהם יבוצע הפיקוח, ואף לא קבעה באיזה אופן ידווח לה המפקח על ממצאי בדיקותיו. </w:t>
      </w:r>
    </w:p>
    <w:p w:rsidR="00B767A7" w:rsidP="004A6B26">
      <w:pPr>
        <w:spacing w:after="120" w:line="230" w:lineRule="exact"/>
        <w:ind w:left="340" w:hanging="340"/>
        <w:jc w:val="both"/>
        <w:rPr>
          <w:rFonts w:cs="FrankRuehl"/>
          <w:sz w:val="20"/>
          <w:szCs w:val="22"/>
          <w:rtl/>
        </w:rPr>
      </w:pPr>
      <w:r>
        <w:rPr>
          <w:rFonts w:cs="FrankRuehl" w:hint="cs"/>
          <w:sz w:val="20"/>
          <w:szCs w:val="22"/>
          <w:rtl/>
        </w:rPr>
        <w:t>2.</w:t>
      </w:r>
      <w:r>
        <w:rPr>
          <w:rFonts w:cs="FrankRuehl" w:hint="cs"/>
          <w:sz w:val="20"/>
          <w:szCs w:val="22"/>
          <w:rtl/>
        </w:rPr>
        <w:tab/>
        <w:t>נוהל תמיכות מחייב גם לקיים במקום שבו פועלים כל המוסדות הנתמכים ביקורים ב"תכיפות הראויה בנסיבות העניין".</w:t>
      </w:r>
    </w:p>
    <w:p w:rsidR="00B767A7" w:rsidP="004A6B26">
      <w:pPr>
        <w:spacing w:after="120" w:line="230" w:lineRule="exact"/>
        <w:ind w:left="340" w:hanging="340"/>
        <w:jc w:val="both"/>
        <w:rPr>
          <w:rFonts w:cs="FrankRuehl"/>
          <w:sz w:val="20"/>
          <w:szCs w:val="22"/>
          <w:rtl/>
        </w:rPr>
      </w:pPr>
      <w:r>
        <w:rPr>
          <w:rFonts w:cs="FrankRuehl"/>
          <w:sz w:val="20"/>
          <w:szCs w:val="22"/>
          <w:rtl/>
        </w:rPr>
        <w:tab/>
      </w:r>
      <w:r>
        <w:rPr>
          <w:rFonts w:cs="FrankRuehl" w:hint="cs"/>
          <w:sz w:val="20"/>
          <w:szCs w:val="22"/>
          <w:rtl/>
        </w:rPr>
        <w:t>נמצא כי בשנת 2008 אישרה הוועדה המקצועית לתמיכות תכנית ביקורים בשטח בכמה מהמוסדות הנתמכים, לפי הצעתו של מנהל היחידה לתמיכות. התכנית כללה שתי ביקורות בשנת 2008 בכל</w:t>
      </w:r>
      <w:r>
        <w:rPr>
          <w:rFonts w:cs="FrankRuehl"/>
          <w:sz w:val="20"/>
          <w:szCs w:val="22"/>
          <w:rtl/>
        </w:rPr>
        <w:t xml:space="preserve"> אחד מתחומי הפעילות, קרי </w:t>
      </w:r>
      <w:r>
        <w:rPr>
          <w:rFonts w:cs="FrankRuehl" w:hint="cs"/>
          <w:sz w:val="20"/>
          <w:szCs w:val="22"/>
          <w:rtl/>
        </w:rPr>
        <w:t>ביקורות מתוכננות רק</w:t>
      </w:r>
      <w:r>
        <w:rPr>
          <w:rFonts w:cs="FrankRuehl"/>
          <w:sz w:val="20"/>
          <w:szCs w:val="22"/>
          <w:rtl/>
        </w:rPr>
        <w:t xml:space="preserve"> </w:t>
      </w:r>
      <w:r>
        <w:rPr>
          <w:rFonts w:cs="FrankRuehl" w:hint="cs"/>
          <w:sz w:val="20"/>
          <w:szCs w:val="22"/>
          <w:rtl/>
        </w:rPr>
        <w:t>בשתי</w:t>
      </w:r>
      <w:r>
        <w:rPr>
          <w:rFonts w:cs="FrankRuehl"/>
          <w:sz w:val="20"/>
          <w:szCs w:val="22"/>
          <w:rtl/>
        </w:rPr>
        <w:t xml:space="preserve"> </w:t>
      </w:r>
      <w:r>
        <w:rPr>
          <w:rFonts w:cs="FrankRuehl" w:hint="cs"/>
          <w:sz w:val="20"/>
          <w:szCs w:val="22"/>
          <w:rtl/>
        </w:rPr>
        <w:t>עמותות</w:t>
      </w:r>
      <w:r>
        <w:rPr>
          <w:rFonts w:cs="FrankRuehl"/>
          <w:sz w:val="20"/>
          <w:szCs w:val="22"/>
          <w:rtl/>
        </w:rPr>
        <w:t xml:space="preserve"> </w:t>
      </w:r>
      <w:r>
        <w:rPr>
          <w:rFonts w:cs="FrankRuehl" w:hint="cs"/>
          <w:sz w:val="20"/>
          <w:szCs w:val="22"/>
          <w:rtl/>
        </w:rPr>
        <w:t>המקבלות</w:t>
      </w:r>
      <w:r>
        <w:rPr>
          <w:rFonts w:cs="FrankRuehl"/>
          <w:sz w:val="20"/>
          <w:szCs w:val="22"/>
          <w:rtl/>
        </w:rPr>
        <w:t xml:space="preserve"> </w:t>
      </w:r>
      <w:r>
        <w:rPr>
          <w:rFonts w:cs="FrankRuehl" w:hint="cs"/>
          <w:sz w:val="20"/>
          <w:szCs w:val="22"/>
          <w:rtl/>
        </w:rPr>
        <w:t>תמיכה</w:t>
      </w:r>
      <w:r>
        <w:rPr>
          <w:rFonts w:cs="FrankRuehl"/>
          <w:sz w:val="20"/>
          <w:szCs w:val="22"/>
          <w:rtl/>
        </w:rPr>
        <w:t xml:space="preserve"> </w:t>
      </w:r>
      <w:r>
        <w:rPr>
          <w:rFonts w:cs="FrankRuehl" w:hint="cs"/>
          <w:sz w:val="20"/>
          <w:szCs w:val="22"/>
          <w:rtl/>
        </w:rPr>
        <w:t>בקטגוריה</w:t>
      </w:r>
      <w:r>
        <w:rPr>
          <w:rFonts w:cs="FrankRuehl"/>
          <w:sz w:val="20"/>
          <w:szCs w:val="22"/>
          <w:rtl/>
        </w:rPr>
        <w:t xml:space="preserve"> "תרבות </w:t>
      </w:r>
      <w:r>
        <w:rPr>
          <w:rFonts w:cs="FrankRuehl" w:hint="cs"/>
          <w:sz w:val="20"/>
          <w:szCs w:val="22"/>
          <w:rtl/>
        </w:rPr>
        <w:t>תורנית</w:t>
      </w:r>
      <w:r>
        <w:rPr>
          <w:rFonts w:cs="FrankRuehl"/>
          <w:sz w:val="20"/>
          <w:szCs w:val="22"/>
          <w:rtl/>
        </w:rPr>
        <w:t>"</w:t>
      </w:r>
      <w:r>
        <w:rPr>
          <w:rFonts w:cs="FrankRuehl" w:hint="cs"/>
          <w:sz w:val="20"/>
          <w:szCs w:val="22"/>
          <w:rtl/>
        </w:rPr>
        <w:t xml:space="preserve">. בשנים 2013-2009 לא קבעה הוועדה כנדרש את תדירות הביקורות בשטח בכל המוסדות הנתמכים, ובכלל זה במוסדות התרבות תורנית. עוד נמצא כי בפברואר 2014 אישרה הוועדה המקצועית לתמיכות "תכנית ביקורת שנתית לשנת 2014" </w:t>
      </w:r>
      <w:r>
        <w:rPr>
          <w:rFonts w:cs="FrankRuehl" w:hint="cs"/>
          <w:sz w:val="20"/>
          <w:szCs w:val="22"/>
          <w:rtl/>
        </w:rPr>
        <w:t xml:space="preserve">שהגיש לה מנהל היחידה לתמיכות, בלא שפורטו בה מספרן וזהותן של העמותות שבהן יתקיימו ביקורי שטח. </w:t>
      </w:r>
    </w:p>
    <w:p w:rsidR="00B767A7" w:rsidP="004A6B26">
      <w:pPr>
        <w:spacing w:after="120" w:line="230" w:lineRule="exact"/>
        <w:ind w:left="340" w:hanging="340"/>
        <w:jc w:val="both"/>
        <w:rPr>
          <w:rFonts w:cs="FrankRuehl"/>
          <w:sz w:val="20"/>
          <w:szCs w:val="22"/>
          <w:rtl/>
        </w:rPr>
      </w:pPr>
      <w:r>
        <w:rPr>
          <w:rFonts w:cs="FrankRuehl"/>
          <w:sz w:val="20"/>
          <w:szCs w:val="22"/>
          <w:rtl/>
        </w:rPr>
        <w:tab/>
      </w:r>
      <w:r>
        <w:rPr>
          <w:rFonts w:cs="FrankRuehl" w:hint="cs"/>
          <w:sz w:val="20"/>
          <w:szCs w:val="22"/>
          <w:rtl/>
        </w:rPr>
        <w:t>בפועל</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הביקורות</w:t>
      </w:r>
      <w:r>
        <w:rPr>
          <w:rFonts w:cs="FrankRuehl"/>
          <w:sz w:val="20"/>
          <w:szCs w:val="22"/>
          <w:rtl/>
        </w:rPr>
        <w:t xml:space="preserve"> בשטח </w:t>
      </w:r>
      <w:r>
        <w:rPr>
          <w:rFonts w:cs="FrankRuehl" w:hint="cs"/>
          <w:sz w:val="20"/>
          <w:szCs w:val="22"/>
          <w:rtl/>
        </w:rPr>
        <w:t>מבצע</w:t>
      </w:r>
      <w:r>
        <w:rPr>
          <w:rFonts w:cs="FrankRuehl"/>
          <w:sz w:val="20"/>
          <w:szCs w:val="22"/>
          <w:rtl/>
        </w:rPr>
        <w:t xml:space="preserve"> </w:t>
      </w:r>
      <w:r>
        <w:rPr>
          <w:rFonts w:cs="FrankRuehl" w:hint="cs"/>
          <w:sz w:val="20"/>
          <w:szCs w:val="22"/>
          <w:rtl/>
        </w:rPr>
        <w:t>רק</w:t>
      </w:r>
      <w:r>
        <w:rPr>
          <w:rFonts w:cs="FrankRuehl"/>
          <w:sz w:val="20"/>
          <w:szCs w:val="22"/>
          <w:rtl/>
        </w:rPr>
        <w:t xml:space="preserve"> </w:t>
      </w:r>
      <w:r>
        <w:rPr>
          <w:rFonts w:cs="FrankRuehl" w:hint="cs"/>
          <w:sz w:val="20"/>
          <w:szCs w:val="22"/>
          <w:rtl/>
        </w:rPr>
        <w:t>מנהל</w:t>
      </w:r>
      <w:r>
        <w:rPr>
          <w:rFonts w:cs="FrankRuehl"/>
          <w:sz w:val="20"/>
          <w:szCs w:val="22"/>
          <w:rtl/>
        </w:rPr>
        <w:t xml:space="preserve"> היחידה לתמיכות.</w:t>
      </w:r>
      <w:r>
        <w:rPr>
          <w:rFonts w:cs="FrankRuehl" w:hint="cs"/>
          <w:sz w:val="20"/>
          <w:szCs w:val="22"/>
          <w:rtl/>
        </w:rPr>
        <w:t xml:space="preserve"> </w:t>
      </w:r>
    </w:p>
    <w:p w:rsidR="00B767A7" w:rsidP="004A6B26">
      <w:pPr>
        <w:spacing w:after="240" w:line="230" w:lineRule="exact"/>
        <w:ind w:left="340" w:hanging="340"/>
        <w:jc w:val="both"/>
        <w:rPr>
          <w:rFonts w:cs="FrankRuehl"/>
          <w:sz w:val="20"/>
          <w:szCs w:val="22"/>
          <w:rtl/>
        </w:rPr>
      </w:pPr>
      <w:r>
        <w:rPr>
          <w:rFonts w:cs="FrankRuehl" w:hint="cs"/>
          <w:sz w:val="20"/>
          <w:szCs w:val="22"/>
          <w:rtl/>
        </w:rPr>
        <w:t>3.</w:t>
      </w:r>
      <w:r>
        <w:rPr>
          <w:rFonts w:cs="FrankRuehl" w:hint="cs"/>
          <w:sz w:val="20"/>
          <w:szCs w:val="22"/>
          <w:rtl/>
        </w:rPr>
        <w:tab/>
        <w:t>עוד הועלה כי בכל אחת מהשנים 2009 ו-2010 בוצעו ביקורות שטח בתשע מכ-50 עמותות בקטגוריה "תרבות תורנית", ובשנת 2011 בוצעו רק שתי ביקורות שטח. בשנים 2012 ו-2013 לא בוצעו כלל ביקורות שטח בעמותות אלה</w:t>
      </w:r>
      <w:r>
        <w:rPr>
          <w:rFonts w:cs="FrankRuehl"/>
          <w:sz w:val="20"/>
          <w:szCs w:val="22"/>
          <w:vertAlign w:val="superscript"/>
          <w:rtl/>
        </w:rPr>
        <w:footnoteReference w:id="43"/>
      </w:r>
      <w:r>
        <w:rPr>
          <w:rFonts w:cs="FrankRuehl" w:hint="cs"/>
          <w:sz w:val="20"/>
          <w:szCs w:val="22"/>
          <w:rtl/>
        </w:rPr>
        <w:t xml:space="preserve">. </w:t>
      </w:r>
    </w:p>
    <w:p w:rsidR="00B767A7" w:rsidP="004A6B26">
      <w:pPr>
        <w:pStyle w:val="RESHET"/>
        <w:ind w:left="567"/>
        <w:rPr>
          <w:rtl/>
        </w:rPr>
      </w:pPr>
      <w:r>
        <w:rPr>
          <w:rFonts w:hint="cs"/>
          <w:rtl/>
        </w:rPr>
        <w:t xml:space="preserve">עולה אפוא כי העירייה העבירה את כספי התמיכות לעמותות בהתאם לקטגוריה "תרבות תורנית" בלא שקיימה ביקורות שטח כנדרש לפי נוהל תמיכות. </w:t>
      </w:r>
    </w:p>
    <w:p w:rsidR="00B767A7" w:rsidP="004A6B26">
      <w:pPr>
        <w:spacing w:before="180" w:after="120" w:line="230" w:lineRule="exact"/>
        <w:ind w:left="340" w:hanging="340"/>
        <w:jc w:val="both"/>
        <w:rPr>
          <w:rFonts w:cs="FrankRuehl"/>
          <w:sz w:val="20"/>
          <w:szCs w:val="22"/>
          <w:rtl/>
        </w:rPr>
      </w:pPr>
      <w:r>
        <w:rPr>
          <w:rFonts w:cs="FrankRuehl" w:hint="cs"/>
          <w:sz w:val="20"/>
          <w:szCs w:val="22"/>
          <w:rtl/>
        </w:rPr>
        <w:t>4.</w:t>
      </w:r>
      <w:r>
        <w:rPr>
          <w:rFonts w:cs="FrankRuehl" w:hint="cs"/>
          <w:sz w:val="20"/>
          <w:szCs w:val="22"/>
          <w:rtl/>
        </w:rPr>
        <w:tab/>
        <w:t>כפי שהוזכר לעיל, בנובמבר 2011 החליטה הוועדה המקצועית לתמיכות לתמוך בעמותות שעיקר הוצאותיהן על מלגות לאברכים. נראה</w:t>
      </w:r>
      <w:r>
        <w:rPr>
          <w:rFonts w:cs="FrankRuehl"/>
          <w:sz w:val="20"/>
          <w:szCs w:val="22"/>
          <w:rtl/>
        </w:rPr>
        <w:t xml:space="preserve"> </w:t>
      </w:r>
      <w:r>
        <w:rPr>
          <w:rFonts w:cs="FrankRuehl" w:hint="cs"/>
          <w:sz w:val="20"/>
          <w:szCs w:val="22"/>
          <w:rtl/>
        </w:rPr>
        <w:t>אפוא</w:t>
      </w:r>
      <w:r>
        <w:rPr>
          <w:rFonts w:cs="FrankRuehl"/>
          <w:sz w:val="20"/>
          <w:szCs w:val="22"/>
          <w:rtl/>
        </w:rPr>
        <w:t xml:space="preserve"> כי החלטה זו מייתרת כמעט לגמרי את הצורך בפיקוח על הבקשות </w:t>
      </w:r>
      <w:r>
        <w:rPr>
          <w:rFonts w:cs="FrankRuehl" w:hint="cs"/>
          <w:sz w:val="20"/>
          <w:szCs w:val="22"/>
          <w:rtl/>
        </w:rPr>
        <w:t>שמגישות</w:t>
      </w:r>
      <w:r>
        <w:rPr>
          <w:rFonts w:cs="FrankRuehl"/>
          <w:sz w:val="20"/>
          <w:szCs w:val="22"/>
          <w:rtl/>
        </w:rPr>
        <w:t xml:space="preserve"> עמותות אלה </w:t>
      </w:r>
      <w:r>
        <w:rPr>
          <w:rFonts w:cs="FrankRuehl" w:hint="cs"/>
          <w:sz w:val="20"/>
          <w:szCs w:val="22"/>
          <w:rtl/>
        </w:rPr>
        <w:t>ועל</w:t>
      </w:r>
      <w:r>
        <w:rPr>
          <w:rFonts w:cs="FrankRuehl"/>
          <w:sz w:val="20"/>
          <w:szCs w:val="22"/>
          <w:rtl/>
        </w:rPr>
        <w:t xml:space="preserve"> השימוש בכספי התמיכה הניתנים לעמותות אלה, מכיוון שכספי התמיכה אינם מופנים </w:t>
      </w:r>
      <w:r>
        <w:rPr>
          <w:rFonts w:cs="FrankRuehl" w:hint="cs"/>
          <w:sz w:val="20"/>
          <w:szCs w:val="22"/>
          <w:rtl/>
        </w:rPr>
        <w:t>לתחומי</w:t>
      </w:r>
      <w:r>
        <w:rPr>
          <w:rFonts w:cs="FrankRuehl"/>
          <w:sz w:val="20"/>
          <w:szCs w:val="22"/>
          <w:rtl/>
        </w:rPr>
        <w:t xml:space="preserve"> </w:t>
      </w:r>
      <w:r>
        <w:rPr>
          <w:rFonts w:cs="FrankRuehl" w:hint="cs"/>
          <w:sz w:val="20"/>
          <w:szCs w:val="22"/>
          <w:rtl/>
        </w:rPr>
        <w:t>התרבות</w:t>
      </w:r>
      <w:r>
        <w:rPr>
          <w:rFonts w:cs="FrankRuehl"/>
          <w:sz w:val="20"/>
          <w:szCs w:val="22"/>
          <w:rtl/>
        </w:rPr>
        <w:t xml:space="preserve"> </w:t>
      </w:r>
      <w:r>
        <w:rPr>
          <w:rFonts w:cs="FrankRuehl" w:hint="cs"/>
          <w:sz w:val="20"/>
          <w:szCs w:val="22"/>
          <w:rtl/>
        </w:rPr>
        <w:t xml:space="preserve">תורנית. עם זאת, כל שנותר לעירייה הוא לוודא כי אותם אברכים לומדים בפועל באותן עמותות (ולא רק רשומים בהן), וכי לא משולמת בעבורם תמיכה כפולה לעמותה אחרת. </w:t>
      </w:r>
    </w:p>
    <w:p w:rsidR="00B767A7">
      <w:pPr>
        <w:tabs>
          <w:tab w:val="left" w:pos="186"/>
        </w:tabs>
        <w:spacing w:after="120" w:line="230" w:lineRule="exact"/>
        <w:jc w:val="both"/>
        <w:rPr>
          <w:rFonts w:cs="FrankRuehl"/>
          <w:sz w:val="20"/>
          <w:szCs w:val="22"/>
          <w:rtl/>
        </w:rPr>
      </w:pPr>
    </w:p>
    <w:p w:rsidR="00B767A7">
      <w:pPr>
        <w:pStyle w:val="KOT5"/>
        <w:rPr>
          <w:rtl/>
        </w:rPr>
      </w:pPr>
      <w:r>
        <w:rPr>
          <w:rFonts w:hint="cs"/>
          <w:rtl/>
        </w:rPr>
        <w:t>שימוש בלתי נאות בכספי תמיכות</w:t>
      </w:r>
    </w:p>
    <w:p w:rsidR="00B767A7" w:rsidRPr="004A6B26" w:rsidP="004A6B26">
      <w:pPr>
        <w:pStyle w:val="BodyText"/>
        <w:tabs>
          <w:tab w:val="left" w:pos="186"/>
        </w:tabs>
        <w:spacing w:before="0"/>
        <w:rPr>
          <w:sz w:val="20"/>
          <w:rtl/>
        </w:rPr>
      </w:pPr>
      <w:r w:rsidRPr="004A6B26">
        <w:rPr>
          <w:rFonts w:hint="cs"/>
          <w:sz w:val="20"/>
          <w:rtl/>
        </w:rPr>
        <w:t>בנוהל תמיכות של משרד הפנים נקבע: "נמצא על פי ממצאי ביקורת, שמוסד ציבור עשה שימוש בכספי תמיכה או בחלקם שהוענקו לו, שלא לפעילות שלשמה הוקצו הכספים, או שהנתונים שדווחו על ידי המוסד במסגרת הגשת הבקשה לתמיכה, התגלו, כולם או חלקם בלתי נכונים או שהשימוש שנעשה בכספי התמיכה, שימש לפעולות שנעשו שלא כדין - תופחת זכות המוסד לתמיכה בשיעור השימוש הבלתי נאות בכספי התמיכה, כאמור לעיל ובנוסף סכום השווה לכפל שיעור השימוש הבלתי נאות בכספי התמיכה, כאמור לעיל. ההפחתה תעשה על ידי הפחתת הסכום מכספי תמיכה עתידית למוסד או מתשלומים אחרים שמגיעים למוסד מהרשות המקומית; אין באמור בכדי לגרוע מסמכות הרשות לגבות את החוב האמור בכל דרך אחרת על פי כל דין".</w:t>
      </w:r>
    </w:p>
    <w:p w:rsidR="00B767A7" w:rsidP="004A6B26">
      <w:pPr>
        <w:spacing w:after="120" w:line="230" w:lineRule="exact"/>
        <w:ind w:left="340" w:hanging="340"/>
        <w:jc w:val="both"/>
        <w:rPr>
          <w:rFonts w:cs="FrankRuehl"/>
          <w:sz w:val="20"/>
          <w:szCs w:val="22"/>
          <w:rtl/>
        </w:rPr>
      </w:pPr>
      <w:r>
        <w:rPr>
          <w:rFonts w:cs="FrankRuehl" w:hint="cs"/>
          <w:sz w:val="20"/>
          <w:szCs w:val="22"/>
          <w:rtl/>
        </w:rPr>
        <w:t>1.</w:t>
      </w:r>
      <w:r>
        <w:rPr>
          <w:rFonts w:cs="FrankRuehl" w:hint="cs"/>
          <w:sz w:val="20"/>
          <w:szCs w:val="22"/>
          <w:rtl/>
        </w:rPr>
        <w:tab/>
        <w:t xml:space="preserve">בשתי ביקורות בעמותות א' ו-ב' שביצע בשנים 2008 ו-2009 מנהל היחידה לתמיכות, המשמש כאמור גם מפקח על השימוש בכספי התמיכות, הועלו ממצאים חמורים כלהלן: בשנת 2008 נמצא כי בפעילויות של עמותה א' (שקיבלה תמיכות גם על פי הקטגוריה "כולל" וגם על פי הקטגוריה "תרבות תורנית") לא השתתפו מספר האברכים שעליהם הוצהר. מנהל היחידה לתמיכות המליץ לדרוש מעמותה א' החזר בסך כ-28,000 ש"ח. בשנת 2009 הוא מצא כי הפעילויות בשתי העמותות, ששוכנות באותה כתובת, מתבצעות באותם ימים ובאותן שעות. הוא ציין בממצאיו גם כי העמותה פועלת במתכונת זו שנה אחר שנה. </w:t>
      </w:r>
    </w:p>
    <w:p w:rsidR="00B767A7" w:rsidP="004A6B26">
      <w:pPr>
        <w:spacing w:after="120" w:line="230" w:lineRule="exact"/>
        <w:ind w:left="340" w:hanging="340"/>
        <w:jc w:val="both"/>
        <w:rPr>
          <w:rFonts w:cs="FrankRuehl"/>
          <w:sz w:val="20"/>
          <w:szCs w:val="22"/>
          <w:rtl/>
        </w:rPr>
      </w:pPr>
      <w:r>
        <w:rPr>
          <w:rFonts w:cs="FrankRuehl"/>
          <w:sz w:val="20"/>
          <w:szCs w:val="22"/>
          <w:rtl/>
        </w:rPr>
        <w:tab/>
      </w:r>
      <w:r>
        <w:rPr>
          <w:rFonts w:cs="FrankRuehl" w:hint="cs"/>
          <w:sz w:val="20"/>
          <w:szCs w:val="22"/>
          <w:rtl/>
        </w:rPr>
        <w:t>הוועדה המקצועית לתמיכות החליטה בדצמבר 2009 לבטל לחלוטין את התמיכה הניתנת לשתי העמותות אלא אם כן יתגלה שהן מבצעות פעילות כלשהי, אך לבסוף הוחלט רק לקצץ את סכום התמיכות לשתי העמותות</w:t>
      </w:r>
      <w:r>
        <w:rPr>
          <w:rFonts w:cs="FrankRuehl" w:hint="cs"/>
          <w:color w:val="0070C0"/>
          <w:sz w:val="20"/>
          <w:szCs w:val="22"/>
          <w:rtl/>
        </w:rPr>
        <w:t xml:space="preserve">. </w:t>
      </w:r>
      <w:r>
        <w:rPr>
          <w:rFonts w:cs="FrankRuehl" w:hint="cs"/>
          <w:sz w:val="20"/>
          <w:szCs w:val="22"/>
          <w:rtl/>
        </w:rPr>
        <w:t xml:space="preserve">בשנת 2010 ניתנה תמיכה בסך כ-36,300 ש"ח לעמותה ב' וכ-15,400 ש"ח לעמותה א', בלי שהוועדה המקצועית לתמיכות דנה בשאלה אם יש לאשר תמיכות לעמותות שלא הייתה אמת בדיווחיהן. </w:t>
      </w:r>
    </w:p>
    <w:p w:rsidR="00B767A7" w:rsidP="004A6B26">
      <w:pPr>
        <w:spacing w:after="120" w:line="230" w:lineRule="exact"/>
        <w:ind w:left="340" w:hanging="340"/>
        <w:jc w:val="both"/>
        <w:rPr>
          <w:rFonts w:cs="FrankRuehl"/>
          <w:sz w:val="20"/>
          <w:szCs w:val="22"/>
          <w:rtl/>
        </w:rPr>
      </w:pPr>
      <w:r>
        <w:rPr>
          <w:rFonts w:cs="FrankRuehl" w:hint="cs"/>
          <w:sz w:val="20"/>
          <w:szCs w:val="22"/>
          <w:rtl/>
        </w:rPr>
        <w:t>2.</w:t>
      </w:r>
      <w:r>
        <w:rPr>
          <w:rFonts w:cs="FrankRuehl" w:hint="cs"/>
          <w:sz w:val="20"/>
          <w:szCs w:val="22"/>
          <w:rtl/>
        </w:rPr>
        <w:tab/>
        <w:t xml:space="preserve">המחלקה המשפטית של העירייה ביקשה ממשרד רואי חשבון לבצע עבורה בדיקה מיוחדת בעניין שתי העמותות האלה, בעקבות תלונה שהתקבלה בעירייה בעניין השימוש שהן עושות בכספי התמיכה. </w:t>
      </w:r>
    </w:p>
    <w:p w:rsidR="00B767A7" w:rsidP="00324F05">
      <w:pPr>
        <w:spacing w:after="120" w:line="230" w:lineRule="exact"/>
        <w:ind w:left="340" w:hanging="340"/>
        <w:jc w:val="both"/>
        <w:rPr>
          <w:rFonts w:cs="FrankRuehl"/>
          <w:sz w:val="20"/>
          <w:szCs w:val="22"/>
          <w:rtl/>
        </w:rPr>
      </w:pPr>
      <w:r>
        <w:rPr>
          <w:rFonts w:cs="FrankRuehl"/>
          <w:sz w:val="20"/>
          <w:szCs w:val="22"/>
          <w:rtl/>
        </w:rPr>
        <w:tab/>
      </w:r>
      <w:r>
        <w:rPr>
          <w:rFonts w:cs="FrankRuehl" w:hint="cs"/>
          <w:sz w:val="20"/>
          <w:szCs w:val="22"/>
          <w:rtl/>
        </w:rPr>
        <w:t xml:space="preserve">בספטמבר 2012 מסר משרד רואי החשבון (להלן - רואי החשבון) טיוטת דוח לעירייה ובה ציין: "התמיכה בגין תרבות תורנית לא משמשת בפועל לפעילות בתחום התרבות התורנית אלא מצורפת למלגת אברך. העירייה משלמת מלגת אברך ובנוסף משלמת בגין פעילות תרבותית המשמשת אף היא למלגת אברך". רואי החשבון פירטו למה משמשים בפועל כספי התמיכה שהועברה: "העמותות הגישו בקשה לתמיכה מעיריית פתח תקווה עבור תרבות תורנית. בפועל השיעורים אשר צוינו בבקשות התמיכה מתבצעים ע"י אברכים בכולל ללא קבלת תמורה, עבור מתן השיעור. מצאנו כי יש תלמידים אשר מעבירים מספר שיעורים ואילו מרבית התלמידים אינם מעבירים שיעורים במסגרת זו. </w:t>
      </w:r>
      <w:r>
        <w:rPr>
          <w:rFonts w:cs="FrankRuehl" w:hint="cs"/>
          <w:b/>
          <w:bCs/>
          <w:sz w:val="20"/>
          <w:szCs w:val="22"/>
          <w:rtl/>
        </w:rPr>
        <w:t>הכספים המועברים עבור תרבות תורנית מחולקים לכלל האברכים כמלגה... המשמעות היא כי כל הוצאות פעולות התרבות התורנית היא עבור מלגות</w:t>
      </w:r>
      <w:r>
        <w:rPr>
          <w:rFonts w:cs="FrankRuehl" w:hint="cs"/>
          <w:sz w:val="20"/>
          <w:szCs w:val="22"/>
          <w:rtl/>
        </w:rPr>
        <w:t>" (ההדגשה במקור)</w:t>
      </w:r>
      <w:r>
        <w:rPr>
          <w:rFonts w:cs="FrankRuehl"/>
          <w:sz w:val="20"/>
          <w:szCs w:val="22"/>
          <w:rtl/>
        </w:rPr>
        <w:t>.</w:t>
      </w:r>
    </w:p>
    <w:p w:rsidR="00B767A7" w:rsidP="00324F05">
      <w:pPr>
        <w:spacing w:after="120" w:line="230" w:lineRule="exact"/>
        <w:ind w:left="340" w:hanging="340"/>
        <w:jc w:val="both"/>
        <w:rPr>
          <w:rFonts w:cs="FrankRuehl"/>
          <w:sz w:val="20"/>
          <w:szCs w:val="22"/>
          <w:rtl/>
        </w:rPr>
      </w:pPr>
      <w:r>
        <w:rPr>
          <w:rFonts w:cs="FrankRuehl"/>
          <w:sz w:val="20"/>
          <w:szCs w:val="22"/>
          <w:rtl/>
        </w:rPr>
        <w:tab/>
      </w:r>
      <w:r>
        <w:rPr>
          <w:rFonts w:cs="FrankRuehl" w:hint="cs"/>
          <w:sz w:val="20"/>
          <w:szCs w:val="22"/>
          <w:rtl/>
        </w:rPr>
        <w:t>בתמצית הממצאים ציינו רואי החשבון כי מעיון במסמכי שתי העמותות עולה כי יש זהות בין העמותות מכמה בחינות: לשתי העמותות יש אותו משרד, הן פועלות באותו מבנה, לשתיהן אותו מנהל, תלמידי שתי העמותות לומדים יחד, כמחצית האברכים מקבלים מלגות משתי העמותות (הכוללים), ונוסף על כך ניהול החשבונות של שתי העמותות משותף.</w:t>
      </w:r>
    </w:p>
    <w:p w:rsidR="00B767A7" w:rsidP="004A6B26">
      <w:pPr>
        <w:spacing w:after="120" w:line="230" w:lineRule="exact"/>
        <w:ind w:left="340" w:hanging="340"/>
        <w:jc w:val="both"/>
        <w:rPr>
          <w:rFonts w:cs="FrankRuehl"/>
          <w:sz w:val="20"/>
          <w:szCs w:val="22"/>
          <w:rtl/>
        </w:rPr>
      </w:pPr>
      <w:r>
        <w:rPr>
          <w:rFonts w:cs="FrankRuehl" w:hint="cs"/>
          <w:sz w:val="20"/>
          <w:szCs w:val="22"/>
          <w:rtl/>
        </w:rPr>
        <w:t>3.</w:t>
      </w:r>
      <w:r>
        <w:rPr>
          <w:rFonts w:cs="FrankRuehl" w:hint="cs"/>
          <w:sz w:val="20"/>
          <w:szCs w:val="22"/>
          <w:rtl/>
        </w:rPr>
        <w:tab/>
        <w:t xml:space="preserve">בדצמבר 2012 דיווח מנהל היחידה לתמיכות לוועדה המקצועית לתמיכות כי סכום התמיכה שקוזז בגין התשלום הכפול עבור האברכים הוא כ-22,000 ש"ח, ולפי נוהל תמיכות של משרד הפנים חובה לקזז מהתמיכה הניתנת לעמותה גם את כפל שיעור השימוש הבלתי חוקי, ובסך הכול יש לקזז כ-65,000 ש"ח מכספי התמיכה. </w:t>
      </w:r>
    </w:p>
    <w:p w:rsidR="00B767A7" w:rsidP="004A6B26">
      <w:pPr>
        <w:spacing w:after="120" w:line="230" w:lineRule="exact"/>
        <w:ind w:left="340" w:hanging="340"/>
        <w:jc w:val="both"/>
        <w:rPr>
          <w:rFonts w:cs="FrankRuehl"/>
          <w:sz w:val="20"/>
          <w:szCs w:val="22"/>
          <w:rtl/>
        </w:rPr>
      </w:pPr>
      <w:r>
        <w:rPr>
          <w:rFonts w:cs="FrankRuehl"/>
          <w:sz w:val="20"/>
          <w:szCs w:val="22"/>
          <w:rtl/>
        </w:rPr>
        <w:tab/>
      </w:r>
      <w:r>
        <w:rPr>
          <w:rFonts w:cs="FrankRuehl" w:hint="cs"/>
          <w:sz w:val="20"/>
          <w:szCs w:val="22"/>
          <w:rtl/>
        </w:rPr>
        <w:t>מנכ"ל העירייה באותה עת (ששימש גם יו"ר הוועדה המקצועית לתמיכות) השיב בדצמבר 2012 "לדעתי לחייב אותם במקסימום האפשרי לרבות בדיקה אם אפשר להפסיק התמיכה כליל שכן הם לא דיווחו אמת".</w:t>
      </w:r>
    </w:p>
    <w:p w:rsidR="00B767A7" w:rsidP="00324F05">
      <w:pPr>
        <w:spacing w:after="120" w:line="230" w:lineRule="exact"/>
        <w:ind w:left="340" w:hanging="340"/>
        <w:jc w:val="both"/>
        <w:rPr>
          <w:rFonts w:cs="FrankRuehl"/>
          <w:sz w:val="20"/>
          <w:szCs w:val="22"/>
          <w:rtl/>
        </w:rPr>
      </w:pPr>
      <w:r>
        <w:rPr>
          <w:rFonts w:cs="FrankRuehl"/>
          <w:sz w:val="20"/>
          <w:szCs w:val="22"/>
          <w:rtl/>
        </w:rPr>
        <w:tab/>
      </w:r>
      <w:r>
        <w:rPr>
          <w:rFonts w:cs="FrankRuehl" w:hint="cs"/>
          <w:sz w:val="20"/>
          <w:szCs w:val="22"/>
          <w:rtl/>
        </w:rPr>
        <w:t>בדצמבר 2012 כתבה היועצת המשפטית של העירייה לחברי הוועדה המקצועית לתמיכות ולמנהל היחידה לתמיכות: "בכל מקרה סיכמנו כי מקזזים משתי העמותות את כל האברכים שדווחו כפול. זה שהם דיווחו בחודשים שונים - זה כנראה בכוונה כי היתה 'התניידות' בין העמותות ובכל חודש מדווחים אותם אברכים בכוללים אחרים ובכך מקבלים פעמיים עבור אותה שנה. מקובלת עלי עמדת המנכ"ל לפיה יש לבטל את התמיכה בכלל נוכח דיווח שאינו אמת".</w:t>
      </w:r>
    </w:p>
    <w:p w:rsidR="00B767A7" w:rsidP="00324F05">
      <w:pPr>
        <w:spacing w:after="240" w:line="230" w:lineRule="exact"/>
        <w:ind w:left="340" w:hanging="340"/>
        <w:jc w:val="both"/>
        <w:rPr>
          <w:rFonts w:cs="FrankRuehl"/>
          <w:sz w:val="20"/>
          <w:szCs w:val="22"/>
          <w:rtl/>
        </w:rPr>
      </w:pPr>
      <w:r>
        <w:rPr>
          <w:rFonts w:cs="FrankRuehl"/>
          <w:sz w:val="20"/>
          <w:szCs w:val="22"/>
          <w:rtl/>
        </w:rPr>
        <w:tab/>
      </w:r>
      <w:r>
        <w:rPr>
          <w:rFonts w:cs="FrankRuehl" w:hint="cs"/>
          <w:sz w:val="20"/>
          <w:szCs w:val="22"/>
          <w:rtl/>
        </w:rPr>
        <w:t xml:space="preserve">אף על פי כן, בשנת 2013 קיבלו שתי העמותות תמיכות בהתאם לקטגוריה "כוללים"; עמותה ב' נתמכה בכ-12,500 ש"ח, ועמותה א' בכ-10,000 ש"ח. </w:t>
      </w:r>
    </w:p>
    <w:p w:rsidR="00B767A7" w:rsidP="004A6B26">
      <w:pPr>
        <w:pStyle w:val="RESHET"/>
        <w:ind w:left="567"/>
        <w:rPr>
          <w:color w:val="FF0000"/>
          <w:rtl/>
        </w:rPr>
      </w:pPr>
      <w:r>
        <w:rPr>
          <w:rFonts w:hint="cs"/>
          <w:rtl/>
        </w:rPr>
        <w:t xml:space="preserve">משרד מבקר המדינה העיר כי מנכ"ל העירייה והיועצת המשפטית של העירייה לא התייחסו לכך שגם בשנים קודמות מצאה העירייה ליקויים כבדי משקל, לרבות דיווח כפול, בדיווחיהן של שתי העמותות. </w:t>
      </w:r>
    </w:p>
    <w:p w:rsidR="00B767A7" w:rsidP="00324F05">
      <w:pPr>
        <w:spacing w:before="180" w:after="120" w:line="230" w:lineRule="exact"/>
        <w:ind w:left="340" w:hanging="340"/>
        <w:jc w:val="both"/>
        <w:rPr>
          <w:rFonts w:cs="FrankRuehl"/>
          <w:sz w:val="20"/>
          <w:szCs w:val="22"/>
          <w:rtl/>
        </w:rPr>
      </w:pPr>
      <w:r>
        <w:rPr>
          <w:rFonts w:cs="FrankRuehl"/>
          <w:sz w:val="20"/>
          <w:szCs w:val="22"/>
          <w:rtl/>
        </w:rPr>
        <w:tab/>
      </w:r>
      <w:r>
        <w:rPr>
          <w:rFonts w:cs="FrankRuehl" w:hint="cs"/>
          <w:sz w:val="20"/>
          <w:szCs w:val="22"/>
          <w:rtl/>
        </w:rPr>
        <w:t xml:space="preserve">העירייה גם לא התייחסה להערתם של רואי החשבון שמינתה, ולפיה כל הוצאותיהן של שתי העמותות, המקבלות תמיכה בהתאם לסיווג "תרבות תורנית", שימשו למימון מלגות לאברכים הלומדים בכולל, ולכך שמתן מלגות הוא פעילותן העיקרית של העמותות האמורות. </w:t>
      </w:r>
    </w:p>
    <w:p w:rsidR="00B767A7" w:rsidP="004A6B26">
      <w:pPr>
        <w:spacing w:after="240" w:line="230" w:lineRule="exact"/>
        <w:ind w:left="340" w:hanging="340"/>
        <w:jc w:val="both"/>
        <w:rPr>
          <w:rFonts w:cs="FrankRuehl"/>
          <w:sz w:val="20"/>
          <w:szCs w:val="22"/>
          <w:rtl/>
        </w:rPr>
      </w:pPr>
      <w:r>
        <w:rPr>
          <w:rFonts w:cs="FrankRuehl"/>
          <w:sz w:val="20"/>
          <w:szCs w:val="22"/>
          <w:rtl/>
        </w:rPr>
        <w:tab/>
      </w:r>
      <w:r>
        <w:rPr>
          <w:rFonts w:cs="FrankRuehl" w:hint="cs"/>
          <w:sz w:val="20"/>
          <w:szCs w:val="22"/>
          <w:rtl/>
        </w:rPr>
        <w:t xml:space="preserve">בעקבות פרסום דוח הביקורת של רואי החשבון פנתה היועצת המשפטית של העירייה בנובמבר 2013 למנכ"ל העירייה דאז בעניין "מתן תמיכות/מלגות בכסות מימון תרבות </w:t>
      </w:r>
      <w:r>
        <w:rPr>
          <w:rFonts w:cs="FrankRuehl" w:hint="cs"/>
          <w:sz w:val="20"/>
          <w:szCs w:val="22"/>
          <w:rtl/>
        </w:rPr>
        <w:t>תורנית", וציינה כי כספי התמיכה המועברים לעמותות שונות - כביכול לצורכי הנחלת התרבות התורנית לציבור הרחב - מחולקים בפועל כמלגות או תמיכות לאברכים הרשומים בעמותה, ואינם משמשים כלל למטרה שלשמה הוקצו. היועצת המשפטית קבעה בפנייתה כי "נוהג זה פסול מיסודו והוא אינו עומד בקנה אחד עם מטרת נוהל תמיכות ועם החובה של העירייה לבקר את פעילותם של הגופים הנתמכים... אין המדובר בתמיכה אלא מדובר בתשלום למגידי שיעורים. אלא, שעל פי הבדיקות השונות עולה שמגידי השיעורים, כנראה, רובם ככולם, הם חברי העמותה, כך שיוצא כי חברי העמותה, מגידי שיעורים להם עצמם".</w:t>
      </w:r>
    </w:p>
    <w:p w:rsidR="00B767A7" w:rsidP="004A6B26">
      <w:pPr>
        <w:pStyle w:val="RESHET"/>
        <w:ind w:left="567"/>
        <w:rPr>
          <w:rtl/>
        </w:rPr>
      </w:pPr>
      <w:r>
        <w:rPr>
          <w:rFonts w:hint="cs"/>
          <w:rtl/>
        </w:rPr>
        <w:t>משרד מבקר המדינה רואה בחומרה את התנהלות העירייה ומעיר לה כי גם לאחר שפורסם דוח הבדיקה של רואי החשבון שהיא עצמה מינתה ולפיו רק מתי</w:t>
      </w:r>
      <w:r>
        <w:rPr>
          <w:rFonts w:hint="cs"/>
          <w:color w:val="FF0000"/>
          <w:rtl/>
        </w:rPr>
        <w:t xml:space="preserve"> </w:t>
      </w:r>
      <w:r>
        <w:rPr>
          <w:rFonts w:hint="cs"/>
          <w:rtl/>
        </w:rPr>
        <w:t xml:space="preserve">מעט מהאברכים בשתי העמותות שנבדקו מעבירים שיעורים (אולם כספי התמיכה נחלקים בין כל האברכים) וגם לאחר שנשלח מכתבה האמור של היועצת המשפטית של העירייה, לא התקיים דיון בוועדה המקצועית לתמיכות ואף לא במועצת העירייה בעניין התמיכות הניתנות לעמותות המסווגות בקטגוריה "תרבות תורנית", אף שהן משמשות בעיקר למתן מלגות לאברכים. </w:t>
      </w:r>
    </w:p>
    <w:p w:rsidR="00B767A7">
      <w:pPr>
        <w:spacing w:after="120" w:line="230" w:lineRule="exact"/>
        <w:jc w:val="both"/>
        <w:rPr>
          <w:rFonts w:cs="FrankRuehl"/>
          <w:sz w:val="20"/>
          <w:szCs w:val="22"/>
          <w:rtl/>
        </w:rPr>
      </w:pPr>
    </w:p>
    <w:p w:rsidR="00B767A7">
      <w:pPr>
        <w:pStyle w:val="KOT5"/>
        <w:rPr>
          <w:rtl/>
        </w:rPr>
      </w:pPr>
      <w:r>
        <w:rPr>
          <w:rFonts w:hint="cs"/>
          <w:rtl/>
        </w:rPr>
        <w:t>כפל תמיכות בשתי עמותות</w:t>
      </w:r>
    </w:p>
    <w:p w:rsidR="00B767A7">
      <w:pPr>
        <w:spacing w:after="120" w:line="230" w:lineRule="exact"/>
        <w:jc w:val="both"/>
        <w:rPr>
          <w:rFonts w:cs="FrankRuehl"/>
          <w:sz w:val="20"/>
          <w:szCs w:val="22"/>
          <w:rtl/>
        </w:rPr>
      </w:pPr>
      <w:r>
        <w:rPr>
          <w:rFonts w:cs="FrankRuehl" w:hint="cs"/>
          <w:sz w:val="20"/>
          <w:szCs w:val="22"/>
          <w:rtl/>
        </w:rPr>
        <w:t>בטופס לבקשת תמיכה שהגישה לעירייה בפברואר 2012 עמותה ג', המסווגת בעירייה כעמותה המפעילה פעילות מסוג "תרבות תורנית", צוין כי עיקרי המטרות והפעולות של העמותה "להרבות צדקה וחסד ע"י שיעורי תורה למבוגרים ונוער. פעילויות תורניות לנוער, מבוגרים ונשים. מלגות לנזקקים".</w:t>
      </w:r>
    </w:p>
    <w:p w:rsidR="00B767A7">
      <w:pPr>
        <w:spacing w:after="120" w:line="230" w:lineRule="exact"/>
        <w:jc w:val="both"/>
        <w:rPr>
          <w:rFonts w:cs="FrankRuehl"/>
          <w:sz w:val="20"/>
          <w:szCs w:val="22"/>
          <w:rtl/>
        </w:rPr>
      </w:pPr>
      <w:r>
        <w:rPr>
          <w:rFonts w:cs="FrankRuehl" w:hint="cs"/>
          <w:sz w:val="20"/>
          <w:szCs w:val="22"/>
          <w:rtl/>
        </w:rPr>
        <w:t xml:space="preserve">בטופס לבקשת תמיכה שהגישה לעירייה בפברואר 2012 עמותה ד', המסווגת בעירייה כ"כולל", צוין כי עיקרי המטרות והפעולות של העמותה הן: "הפעלת מוסדות חינוך, מעונות יום, כוללי אברכים, מקוואות טהרה, בתי כנסת, לרווחת הציבור החרדי-דתי המתגורר ב...". </w:t>
      </w:r>
    </w:p>
    <w:p w:rsidR="00B767A7">
      <w:pPr>
        <w:spacing w:after="120" w:line="230" w:lineRule="exact"/>
        <w:jc w:val="both"/>
        <w:rPr>
          <w:rFonts w:cs="FrankRuehl"/>
          <w:sz w:val="20"/>
          <w:szCs w:val="22"/>
          <w:rtl/>
        </w:rPr>
      </w:pPr>
      <w:r>
        <w:rPr>
          <w:rFonts w:cs="FrankRuehl" w:hint="cs"/>
          <w:sz w:val="20"/>
          <w:szCs w:val="22"/>
          <w:rtl/>
        </w:rPr>
        <w:t>עיריית פתח תקווה הקצתה בשנים 2013-2010 לעמותה ג' כ-107,000 ש"ח ולעמותה ד' כ-418,000 ש"ח בסך</w:t>
      </w:r>
      <w:r>
        <w:rPr>
          <w:rFonts w:cs="FrankRuehl"/>
          <w:sz w:val="20"/>
          <w:szCs w:val="22"/>
          <w:rtl/>
        </w:rPr>
        <w:t xml:space="preserve"> </w:t>
      </w:r>
      <w:r>
        <w:rPr>
          <w:rFonts w:cs="FrankRuehl" w:hint="cs"/>
          <w:sz w:val="20"/>
          <w:szCs w:val="22"/>
          <w:rtl/>
        </w:rPr>
        <w:t>הכול.</w:t>
      </w:r>
    </w:p>
    <w:p w:rsidR="00B767A7">
      <w:pPr>
        <w:spacing w:after="120" w:line="230" w:lineRule="exact"/>
        <w:jc w:val="both"/>
        <w:rPr>
          <w:rFonts w:cs="FrankRuehl"/>
          <w:sz w:val="20"/>
          <w:szCs w:val="22"/>
          <w:rtl/>
        </w:rPr>
      </w:pPr>
      <w:r>
        <w:rPr>
          <w:rFonts w:cs="FrankRuehl" w:hint="cs"/>
          <w:sz w:val="20"/>
          <w:szCs w:val="22"/>
          <w:rtl/>
        </w:rPr>
        <w:t>נמצא כי הכתובת הרשמית של שתי העמותות זהה והן מקיימות פעילות, בין היתר, במקום נוסף שכתובתו זהה. עוד נמצא כי בתפקידי יושב ראש העמותה, רואה החשבון והמבקרת הפנימית בשתי העמותות מכהנים אותם אנשים.</w:t>
      </w:r>
    </w:p>
    <w:p w:rsidR="00B767A7">
      <w:pPr>
        <w:spacing w:after="120" w:line="230" w:lineRule="exact"/>
        <w:jc w:val="both"/>
        <w:rPr>
          <w:rFonts w:cs="FrankRuehl"/>
          <w:sz w:val="20"/>
          <w:szCs w:val="22"/>
          <w:rtl/>
        </w:rPr>
      </w:pPr>
      <w:r>
        <w:rPr>
          <w:rFonts w:cs="FrankRuehl" w:hint="cs"/>
          <w:sz w:val="20"/>
          <w:szCs w:val="22"/>
          <w:rtl/>
        </w:rPr>
        <w:t xml:space="preserve">על פי מאזן הבוחן של שתי העמותות לשנת 2011, עמותה ג' העניקה באותה שנה מלגות ל-47 אברכים בסכום כולל של כ-280,000 ש"ח, ועמותה ד' העניקה באותה שנה מלגות ל-37 אברכים בסכום כולל של כ-548,000 ש"ח. </w:t>
      </w:r>
    </w:p>
    <w:p w:rsidR="00B767A7" w:rsidP="004A6B26">
      <w:pPr>
        <w:spacing w:after="240" w:line="230" w:lineRule="exact"/>
        <w:jc w:val="both"/>
        <w:rPr>
          <w:rFonts w:cs="FrankRuehl"/>
          <w:sz w:val="20"/>
          <w:szCs w:val="22"/>
          <w:rtl/>
        </w:rPr>
      </w:pPr>
      <w:r>
        <w:rPr>
          <w:rFonts w:cs="FrankRuehl" w:hint="cs"/>
          <w:sz w:val="20"/>
          <w:szCs w:val="22"/>
          <w:rtl/>
        </w:rPr>
        <w:t xml:space="preserve">נמצא כי 30 מהאברכים רשומים כמקבלי מלגות הן בעמותה ג' בקטגוריה "תרבות תורנית" והן בעמותה ד' בקטגוריה "כולל". </w:t>
      </w:r>
    </w:p>
    <w:p w:rsidR="00B767A7" w:rsidP="00B90414">
      <w:pPr>
        <w:pStyle w:val="RESHET"/>
        <w:keepLines/>
        <w:rPr>
          <w:rtl/>
        </w:rPr>
      </w:pPr>
      <w:r>
        <w:rPr>
          <w:rFonts w:hint="cs"/>
          <w:rtl/>
        </w:rPr>
        <w:t>משרד מבקר המדינה העיר לעירייה כי מכיוון שעיקר פעילותן של חלק מהעמותות הנתמכות בקטגוריה "תרבות תורנית" היא מתן מלגות לאברכים וכאמור לעיל בדוח של רואי החשבון רק מקצת מהאברכים עוסק במתן שיעורי תרבות תורנית, על העירייה לבדוק את כלל העמותות המקבלות תמיכה בסיווג זה ולבחון גם אם יש בהן אברכים המקבלים כפל תמיכות באמצעות עמותות אחרות תחת הסיווג "כוללים" או תחת הסיווג "תרבות תורנית".</w:t>
      </w:r>
    </w:p>
    <w:p w:rsidR="00B90414" w:rsidRPr="00B90414" w:rsidP="00B90414">
      <w:pPr>
        <w:spacing w:after="120" w:line="230" w:lineRule="exact"/>
        <w:ind w:hanging="2"/>
        <w:jc w:val="both"/>
        <w:rPr>
          <w:rFonts w:cs="FrankRuehl" w:hint="cs"/>
          <w:sz w:val="20"/>
          <w:szCs w:val="22"/>
          <w:rtl/>
        </w:rPr>
      </w:pPr>
    </w:p>
    <w:p w:rsidR="00B90414" w:rsidRPr="00B90414" w:rsidP="00B90414">
      <w:pPr>
        <w:spacing w:after="120" w:line="230" w:lineRule="exact"/>
        <w:ind w:hanging="2"/>
        <w:jc w:val="both"/>
        <w:rPr>
          <w:rFonts w:cs="FrankRuehl" w:hint="cs"/>
          <w:sz w:val="20"/>
          <w:szCs w:val="22"/>
          <w:rtl/>
        </w:rPr>
      </w:pPr>
    </w:p>
    <w:p w:rsidR="00B767A7">
      <w:pPr>
        <w:pStyle w:val="KOT4"/>
      </w:pPr>
      <w:r>
        <w:rPr>
          <w:rFonts w:hint="cs"/>
          <w:rtl/>
        </w:rPr>
        <w:t xml:space="preserve">ניגוד עניינים בפעילותו של חבר מועצה </w:t>
      </w:r>
    </w:p>
    <w:p w:rsidR="00B767A7">
      <w:pPr>
        <w:spacing w:after="120" w:line="230" w:lineRule="exact"/>
        <w:ind w:hanging="2"/>
        <w:jc w:val="both"/>
        <w:rPr>
          <w:rFonts w:cs="FrankRuehl"/>
          <w:sz w:val="20"/>
          <w:szCs w:val="22"/>
          <w:rtl/>
        </w:rPr>
      </w:pPr>
      <w:r>
        <w:rPr>
          <w:rFonts w:cs="FrankRuehl" w:hint="cs"/>
          <w:sz w:val="20"/>
          <w:szCs w:val="22"/>
          <w:rtl/>
        </w:rPr>
        <w:t>עובד ציבור אסור לו להימצא במצב שבו קיימת אפשרות ממשית של ניגוד עניינים בין האינטרס הקשור בביצוע סמכותו וכוחו ובין אינטרס אחר כלשהו שאף עמו הוא קשור</w:t>
      </w:r>
      <w:r>
        <w:rPr>
          <w:rFonts w:cs="FrankRuehl"/>
          <w:sz w:val="20"/>
          <w:szCs w:val="22"/>
          <w:vertAlign w:val="superscript"/>
          <w:rtl/>
        </w:rPr>
        <w:footnoteReference w:id="44"/>
      </w:r>
      <w:r>
        <w:rPr>
          <w:rFonts w:cs="FrankRuehl" w:hint="cs"/>
          <w:sz w:val="20"/>
          <w:szCs w:val="22"/>
          <w:rtl/>
        </w:rPr>
        <w:t>. השופט פוגלמן כבר העיר</w:t>
      </w:r>
      <w:r>
        <w:rPr>
          <w:rFonts w:cs="FrankRuehl"/>
          <w:sz w:val="20"/>
          <w:szCs w:val="22"/>
          <w:vertAlign w:val="superscript"/>
          <w:rtl/>
        </w:rPr>
        <w:footnoteReference w:id="45"/>
      </w:r>
      <w:r>
        <w:rPr>
          <w:rFonts w:cs="FrankRuehl" w:hint="cs"/>
          <w:sz w:val="20"/>
          <w:szCs w:val="22"/>
          <w:rtl/>
        </w:rPr>
        <w:t xml:space="preserve"> כי עיקרון משפטי זה חל על כל תחומי המשפט - הפרטי והציבורי גם יחד. בתחומי המשפט הציבורי הוא חל על בעלי תפקידים פוליטיים ומינהליים כאחד.</w:t>
      </w:r>
    </w:p>
    <w:p w:rsidR="00B767A7">
      <w:pPr>
        <w:spacing w:after="120" w:line="230" w:lineRule="exact"/>
        <w:ind w:hanging="2"/>
        <w:jc w:val="both"/>
        <w:rPr>
          <w:rFonts w:cs="FrankRuehl"/>
          <w:sz w:val="20"/>
          <w:szCs w:val="22"/>
          <w:rtl/>
        </w:rPr>
      </w:pPr>
      <w:r>
        <w:rPr>
          <w:rFonts w:cs="FrankRuehl" w:hint="cs"/>
          <w:sz w:val="20"/>
          <w:szCs w:val="22"/>
          <w:rtl/>
        </w:rPr>
        <w:t xml:space="preserve">ביולי 2006, לקראת מינויו של אחד מחברי מועצת עיריית פתח תקווה לתפקיד בכיר בעירייה, שלחה מרכזת הוועדה למניעת ניגוד עניינים של נבחרי ציבור ברשויות המקומיות, הפועלת במשרד המשפטים, מכתב לחבר המועצה, וכן שלחה העתק מהמכתב ליועצת המשפטית של העירייה. במכתב הובאה חוות דעת מקדימה של יו"ר הוועדה ולפיה ניתן למנות את חבר המועצה לתפקיד הבכיר אך עליו להימנע מכל טיפול ודיון בנושאי חינוך - בכל מסגרת וזרם, לאו דווקא במסגרת הדיונים הפורמליים של המועצה או של ועדה מוועדותיה - וזאת לנוכח עיסוקו בתחום החינוך בפתח תקווה של קרוב משפחתו מדרגה ראשונה. </w:t>
      </w:r>
    </w:p>
    <w:p w:rsidR="00B767A7">
      <w:pPr>
        <w:spacing w:after="120" w:line="230" w:lineRule="exact"/>
        <w:ind w:hanging="2"/>
        <w:jc w:val="both"/>
        <w:rPr>
          <w:rFonts w:cs="FrankRuehl"/>
          <w:sz w:val="20"/>
          <w:szCs w:val="22"/>
          <w:rtl/>
        </w:rPr>
      </w:pPr>
      <w:r>
        <w:rPr>
          <w:rFonts w:cs="FrankRuehl" w:hint="cs"/>
          <w:sz w:val="20"/>
          <w:szCs w:val="22"/>
          <w:rtl/>
        </w:rPr>
        <w:t>משנת 2006 ואילך כיהן אותו חבר מועצה (להלן - חבר המועצה) בכמה בתפקידים בכירים בעיריית פתח תקווה.</w:t>
      </w:r>
    </w:p>
    <w:p w:rsidR="00B767A7">
      <w:pPr>
        <w:spacing w:after="120" w:line="230" w:lineRule="exact"/>
        <w:ind w:hanging="2"/>
        <w:jc w:val="both"/>
        <w:rPr>
          <w:rFonts w:cs="FrankRuehl"/>
          <w:sz w:val="20"/>
          <w:szCs w:val="22"/>
          <w:rtl/>
        </w:rPr>
      </w:pPr>
      <w:r>
        <w:rPr>
          <w:rFonts w:cs="FrankRuehl" w:hint="cs"/>
          <w:sz w:val="20"/>
          <w:szCs w:val="22"/>
          <w:rtl/>
        </w:rPr>
        <w:t>מעיון בפרוטוקולים של ישיבות מועצת העירייה שבהן נידון נושא התמיכות במוסדות חינוך עולה כי חבר המועצה הודיע בכל אותן ישיבות כי אינו משתתף בדיון ובהצבעות.</w:t>
      </w:r>
    </w:p>
    <w:p w:rsidR="00B767A7">
      <w:pPr>
        <w:spacing w:after="120" w:line="230" w:lineRule="exact"/>
        <w:ind w:hanging="2"/>
        <w:jc w:val="both"/>
        <w:rPr>
          <w:rFonts w:cs="FrankRuehl"/>
          <w:sz w:val="20"/>
          <w:szCs w:val="22"/>
          <w:rtl/>
        </w:rPr>
      </w:pPr>
      <w:r>
        <w:rPr>
          <w:rFonts w:cs="FrankRuehl" w:hint="cs"/>
          <w:sz w:val="20"/>
          <w:szCs w:val="22"/>
          <w:rtl/>
        </w:rPr>
        <w:t xml:space="preserve">נמצא כי בחודשים ספטמבר-דצמבר 2009, חבר המועצה נכח והשתתף בארבע ישיבות של מועצת העירייה שעסקו ביישום חוק נהרי, וככל הנראה אף השתתף בהצבעה שהתקיימה בהן. לפי פרוטוקולי הישיבות מנובמבר ומדצמבר אותה שנה, במסגרת הדיונים בנושא יישום חוק נהרי הוא ניהל חילופי דברים ארוכים ונוקבים עם גזברית העירייה ואף עם היועצת המשפטית של העירייה. מהערותיו בדיונים עולה כי הוא היה בקיא ומעודכן בפרטי הפרטים של הקצבות העירייה ובנתונים הכספיים הנוגעים לכספים שהקצתה העירייה למוסדות החינוך המוכרים, ובהם רשת מוסדות חינוך שבה כיהן אותו קרוב משפחתו בתפקיד בכיר. יתר על כן, מפרוטוקולים אלה עלה כי הוא השתתף כמה פעמים בדיונים בלתי פורמליים בנושא חוק נהרי שבהן השתתפו גם הגזברית וראש העירייה. עוד נמצא כי חבר המועצה השתתף בישיבות ועדת ההנהלה שעסקו בין היתר בחוק נהרי ובתמיכות למוסדות חינוך. </w:t>
      </w:r>
    </w:p>
    <w:p w:rsidR="00B767A7" w:rsidP="004A6B26">
      <w:pPr>
        <w:spacing w:after="240" w:line="230" w:lineRule="exact"/>
        <w:jc w:val="both"/>
        <w:rPr>
          <w:rFonts w:cs="FrankRuehl"/>
          <w:sz w:val="20"/>
          <w:szCs w:val="22"/>
          <w:rtl/>
        </w:rPr>
      </w:pPr>
      <w:r>
        <w:rPr>
          <w:rFonts w:cs="FrankRuehl" w:hint="cs"/>
          <w:sz w:val="20"/>
          <w:szCs w:val="22"/>
          <w:rtl/>
        </w:rPr>
        <w:t xml:space="preserve">בא כוחו של חבר המועצה מסר למשרד מבקר המדינה במרץ 2014, בין היתר, כי ישיבות מועצת העירייה שאליהן התייחסה הביקורת התקיימו כחמש שנים לפני כן (בשנת 2009), וכי חבר המועצה </w:t>
      </w:r>
      <w:r>
        <w:rPr>
          <w:rFonts w:cs="FrankRuehl" w:hint="cs"/>
          <w:sz w:val="20"/>
          <w:szCs w:val="22"/>
          <w:rtl/>
        </w:rPr>
        <w:t xml:space="preserve">"הקפיד הקפדה יתרה... בכל שנות מהלך עבודתו בעשרות ישיבות להימנע מכל סוג של ניגוד עניינים כאמור בהחלטת הוועדה לניגוד עניינים". עוד מסר בא הכוח כי חבר המועצה קיבל מחברי סיעתו, אשר נפגשו עם גזברית העירייה, עדכונים שוטפים על הסכומים המועברים לזרמים השונים (הקשורים לעמותות המפעילות את מוסדות החינוך המוכרים), וכי הוא עודכן בכל הפרטים, ולכן ידע להשיב לגזברית העירייה על אמירותיה בנושא יישום חוק נהרי בישיבת מועצת העירייה בנובמבר 2009. </w:t>
      </w:r>
    </w:p>
    <w:p w:rsidR="00B767A7" w:rsidP="004A6B26">
      <w:pPr>
        <w:pStyle w:val="RESHET"/>
        <w:keepLines/>
        <w:rPr>
          <w:rtl/>
        </w:rPr>
      </w:pPr>
      <w:r>
        <w:rPr>
          <w:rFonts w:hint="cs"/>
          <w:rtl/>
        </w:rPr>
        <w:t xml:space="preserve">משרד מבקר המדינה מעיר לעיריית פתח תקווה כי מתשובתו המפורטת של בא הכוח עולה כי חבר המועצה סבור שעצם השתתפותו בדיונים לא פורמליים עם חברי סיעתו ועם גורמים אחרים אין בה משום הפרת חובתו להימנע מכל טיפול בתחום החינוך. </w:t>
      </w:r>
    </w:p>
    <w:p w:rsidR="00B767A7" w:rsidP="004A6B26">
      <w:pPr>
        <w:pStyle w:val="RESHET"/>
        <w:keepLines/>
        <w:rPr>
          <w:rtl/>
        </w:rPr>
      </w:pPr>
      <w:r w:rsidRPr="004A6B26">
        <w:rPr>
          <w:rFonts w:hint="cs"/>
          <w:rtl/>
        </w:rPr>
        <w:t xml:space="preserve">משרד מבקר המדינה מעיר לחבר המועצה כי עליו להימנע מעיסוק בנושאים שמעורבותו בהם עלולה לעורר חשש לניגוד עניינים בפעילותו, לרבות קבלת עדכונים והשתתפות בדיונים לא פורמליים. כמו כן העיר משרד מבקר המדינה לעיריית פתח תקווה ולעומד בראשה כי עליהם לרענן את הנחיית היועץ המשפטי לממשלה העוסקת בניגוד עניינים של נבחרי ציבור ולהקפיד כי חברי המועצה יימנעו מכל טיפול בנושא שעלול להביאם לידי ניגוד עניינים, לרבות השתתפות בדיונים פורמליים ואף בפורומים בלתי פורמליים, וכן לקבוע הסדר ניגוד עניינים אשר עליו יחתום כל חבר מועצה שיש לו ניגוד עניינים בנושא שבו הוא עוסק. </w:t>
      </w:r>
    </w:p>
    <w:p w:rsidR="00B767A7">
      <w:pPr>
        <w:spacing w:after="120" w:line="230" w:lineRule="exact"/>
        <w:ind w:hanging="2"/>
        <w:jc w:val="both"/>
        <w:rPr>
          <w:rFonts w:cs="FrankRuehl"/>
          <w:sz w:val="20"/>
          <w:szCs w:val="22"/>
        </w:rPr>
      </w:pPr>
    </w:p>
    <w:p w:rsidR="00B767A7">
      <w:pPr>
        <w:spacing w:after="120" w:line="230" w:lineRule="exact"/>
        <w:ind w:hanging="2"/>
        <w:jc w:val="both"/>
        <w:rPr>
          <w:rFonts w:cs="FrankRuehl"/>
          <w:sz w:val="20"/>
          <w:szCs w:val="22"/>
          <w:rtl/>
        </w:rPr>
      </w:pPr>
    </w:p>
    <w:p w:rsidR="00B767A7">
      <w:pPr>
        <w:pStyle w:val="KOT4"/>
        <w:rPr>
          <w:rtl/>
        </w:rPr>
      </w:pPr>
      <w:r>
        <w:rPr>
          <w:rtl/>
        </w:rPr>
        <w:t>סיכום</w:t>
      </w:r>
    </w:p>
    <w:p w:rsidR="00B767A7" w:rsidP="004A6B26">
      <w:pPr>
        <w:pStyle w:val="RESHET"/>
        <w:keepLines/>
        <w:rPr>
          <w:rtl/>
        </w:rPr>
      </w:pPr>
      <w:r w:rsidRPr="004A6B26">
        <w:rPr>
          <w:rFonts w:hint="cs"/>
          <w:rtl/>
        </w:rPr>
        <w:t>דוח זה העלה ממצאים חמורים בהליך קבלת ההחלטות של עיריית פתח תקווה בנושא ההקצבות לחינוך המוכר שאינו רשמי ומתן תמיכות למוסדות חינוך מוכרים ולמוסדות דת. על העירייה לנהוג ביתר זהירות בכספי הציבור ולהקפיד על הקצאות באופן שוויוני ושקוף, וכן על העירייה לטפל באופן מידי ביישום ההמלצות העיקריות שהובאו בדוח.</w:t>
      </w:r>
    </w:p>
    <w:p w:rsidR="00B767A7">
      <w:pPr>
        <w:spacing w:after="120" w:line="230" w:lineRule="exact"/>
        <w:jc w:val="both"/>
        <w:rPr>
          <w:rFonts w:cs="FrankRuehl"/>
          <w:sz w:val="20"/>
          <w:szCs w:val="22"/>
          <w:rtl/>
        </w:rPr>
      </w:pPr>
    </w:p>
    <w:p w:rsidR="00A249D9">
      <w:pPr>
        <w:spacing w:after="120" w:line="230" w:lineRule="exact"/>
        <w:jc w:val="both"/>
        <w:rPr>
          <w:rFonts w:cs="FrankRuehl"/>
          <w:sz w:val="20"/>
          <w:szCs w:val="22"/>
          <w:rtl/>
        </w:rPr>
        <w:sectPr w:rsidSect="00A249D9">
          <w:headerReference w:type="even" r:id="rId6"/>
          <w:headerReference w:type="default" r:id="rId7"/>
          <w:footerReference w:type="even" r:id="rId8"/>
          <w:footerReference w:type="default" r:id="rId9"/>
          <w:headerReference w:type="first" r:id="rId10"/>
          <w:footerReference w:type="first" r:id="rId11"/>
          <w:footnotePr>
            <w:numRestart w:val="eachSect"/>
          </w:footnotePr>
          <w:pgSz w:w="11906" w:h="16838" w:code="9"/>
          <w:pgMar w:top="1758" w:right="2552" w:bottom="4253" w:left="2552" w:header="1247" w:footer="1134" w:gutter="0"/>
          <w:pgNumType w:start="553"/>
          <w:cols w:space="720"/>
          <w:titlePg/>
          <w:rtlGutter/>
        </w:sectPr>
      </w:pPr>
    </w:p>
    <w:p w:rsidR="00A249D9">
      <w:pPr>
        <w:spacing w:after="120" w:line="230" w:lineRule="exact"/>
        <w:jc w:val="both"/>
        <w:rPr>
          <w:rFonts w:cs="FrankRuehl"/>
          <w:sz w:val="20"/>
          <w:szCs w:val="22"/>
          <w:rtl/>
        </w:rPr>
      </w:pPr>
    </w:p>
    <w:sectPr w:rsidSect="008F3E66">
      <w:headerReference w:type="first" r:id="rId12"/>
      <w:footerReference w:type="first" r:id="rId13"/>
      <w:footnotePr>
        <w:numRestart w:val="eachSect"/>
      </w:footnotePr>
      <w:pgSz w:w="11906" w:h="16838" w:code="9"/>
      <w:pgMar w:top="1758" w:right="2552" w:bottom="4253" w:left="2552" w:header="1247" w:footer="1134" w:gutter="0"/>
      <w:cols w:space="720"/>
      <w:titlePg/>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auto"/>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1441">
    <w:pPr>
      <w:pStyle w:val="Footer"/>
      <w:tabs>
        <w:tab w:val="left" w:pos="1222"/>
      </w:tabs>
      <w:spacing w:line="160" w:lineRule="exact"/>
      <w:rPr>
        <w:sz w:val="16"/>
        <w:szCs w:val="16"/>
        <w:rtl/>
      </w:rPr>
    </w:pPr>
    <w:r>
      <w:rPr>
        <w:sz w:val="16"/>
        <w:szCs w:val="16"/>
        <w:rtl/>
      </w:rPr>
      <w:t>שם הדוח:</w:t>
    </w:r>
    <w:r>
      <w:rPr>
        <w:sz w:val="16"/>
        <w:szCs w:val="16"/>
        <w:rtl/>
      </w:rPr>
      <w:tab/>
    </w:r>
    <w:r w:rsidRPr="005B7DA9">
      <w:rPr>
        <w:rFonts w:hint="cs"/>
        <w:sz w:val="16"/>
        <w:szCs w:val="16"/>
        <w:rtl/>
      </w:rPr>
      <w:t>עיריית פתח תקווה - מתן תמיכות למוסדות</w:t>
    </w:r>
  </w:p>
  <w:p w:rsidR="00C01441">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דוחות על הביקורת בשלטון המקומי לשנת 2014</w:t>
    </w:r>
  </w:p>
  <w:p w:rsidR="00C01441">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1441" w:rsidP="005B7DA9">
    <w:pPr>
      <w:pStyle w:val="Footer"/>
      <w:tabs>
        <w:tab w:val="left" w:pos="1222"/>
      </w:tabs>
      <w:spacing w:line="160" w:lineRule="exact"/>
      <w:rPr>
        <w:sz w:val="16"/>
        <w:szCs w:val="16"/>
        <w:rtl/>
      </w:rPr>
    </w:pPr>
    <w:r>
      <w:rPr>
        <w:sz w:val="16"/>
        <w:szCs w:val="16"/>
        <w:rtl/>
      </w:rPr>
      <w:t>שם הדוח:</w:t>
    </w:r>
    <w:r>
      <w:rPr>
        <w:sz w:val="16"/>
        <w:szCs w:val="16"/>
        <w:rtl/>
      </w:rPr>
      <w:tab/>
    </w:r>
    <w:r w:rsidRPr="005B7DA9">
      <w:rPr>
        <w:rFonts w:hint="cs"/>
        <w:sz w:val="16"/>
        <w:szCs w:val="16"/>
        <w:rtl/>
      </w:rPr>
      <w:t>עיריית פתח תקווה - מתן תמיכות למוסדות</w:t>
    </w:r>
  </w:p>
  <w:p w:rsidR="00C01441">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דוחות על הביקורת בשלטון המקומי לשנת 2014</w:t>
    </w:r>
  </w:p>
  <w:p w:rsidR="00C01441">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1441" w:rsidP="005B7DA9">
    <w:pPr>
      <w:pStyle w:val="Footer"/>
      <w:tabs>
        <w:tab w:val="left" w:pos="1222"/>
      </w:tabs>
      <w:spacing w:line="160" w:lineRule="exact"/>
      <w:rPr>
        <w:sz w:val="16"/>
        <w:szCs w:val="16"/>
        <w:rtl/>
      </w:rPr>
    </w:pPr>
    <w:r>
      <w:rPr>
        <w:sz w:val="16"/>
        <w:szCs w:val="16"/>
        <w:rtl/>
      </w:rPr>
      <w:t>שם הדוח:</w:t>
    </w:r>
    <w:r>
      <w:rPr>
        <w:sz w:val="16"/>
        <w:szCs w:val="16"/>
        <w:rtl/>
      </w:rPr>
      <w:tab/>
    </w:r>
    <w:r w:rsidRPr="005B7DA9">
      <w:rPr>
        <w:rFonts w:hint="cs"/>
        <w:sz w:val="16"/>
        <w:szCs w:val="16"/>
        <w:rtl/>
      </w:rPr>
      <w:t>עיריית פתח תקווה - מתן תמיכות למוסדות</w:t>
    </w:r>
  </w:p>
  <w:p w:rsidR="00C01441">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דוחות על הביקורת בשלטון המקומי לשנת 2014</w:t>
    </w:r>
  </w:p>
  <w:p w:rsidR="00C01441">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49D9" w:rsidRPr="00A249D9" w:rsidP="00A249D9">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6454A">
      <w:pPr>
        <w:spacing w:after="120"/>
        <w:rPr>
          <w:sz w:val="16"/>
          <w:szCs w:val="16"/>
        </w:rPr>
      </w:pPr>
      <w:r>
        <w:rPr>
          <w:sz w:val="16"/>
          <w:szCs w:val="16"/>
          <w:rtl/>
        </w:rPr>
        <w:t>__________________</w:t>
      </w:r>
    </w:p>
  </w:footnote>
  <w:footnote w:type="continuationSeparator" w:id="1">
    <w:p w:rsidR="0036454A">
      <w:r>
        <w:t>_______________</w:t>
      </w:r>
    </w:p>
  </w:footnote>
  <w:footnote w:id="2">
    <w:p w:rsidR="00C01441" w:rsidP="00222BEB">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הנימוקים וההסברים שבחוות דעת היועץ המשפטי לממשלה ובפסקי הדין כוחם יפה גם לגבי מסלול התמיכות.</w:t>
      </w:r>
    </w:p>
  </w:footnote>
  <w:footnote w:id="3">
    <w:p w:rsidR="00C01441" w:rsidP="00222BEB">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הוועדה לשינוי חברתי-כלכלי, הנודעת גם בשם ועדת טרכטנברג על שמו של העומד בראשה, הייתה ועדה ציבורית שמינה ראש הממשלה באוגוסט 2011 במטרה לבחון ולהציע פתרונות למצוקת יוקר המחיה בישראל. </w:t>
      </w:r>
    </w:p>
  </w:footnote>
  <w:footnote w:id="4">
    <w:p w:rsidR="00C01441" w:rsidP="00222BEB">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ראו לעניין זה את פרוטוקול הדיון בקריאה הראשונה של חוק נהרי בכנסת. וכן את דברי השופט סולברג בעת"ם (י-ם) 1754/09 </w:t>
      </w:r>
      <w:r>
        <w:rPr>
          <w:rFonts w:cs="FrankRuehl" w:hint="cs"/>
          <w:b/>
          <w:bCs/>
          <w:sz w:val="18"/>
          <w:rtl/>
        </w:rPr>
        <w:t>המרכז לפלורליזם יהודי</w:t>
      </w:r>
      <w:r>
        <w:rPr>
          <w:rFonts w:cs="FrankRuehl" w:hint="cs"/>
          <w:sz w:val="18"/>
          <w:rtl/>
        </w:rPr>
        <w:t xml:space="preserve"> </w:t>
      </w:r>
      <w:r>
        <w:rPr>
          <w:rFonts w:cs="FrankRuehl" w:hint="cs"/>
          <w:b/>
          <w:bCs/>
          <w:sz w:val="18"/>
          <w:rtl/>
        </w:rPr>
        <w:t>נ</w:t>
      </w:r>
      <w:r>
        <w:rPr>
          <w:rFonts w:cs="FrankRuehl"/>
          <w:b/>
          <w:bCs/>
          <w:sz w:val="18"/>
          <w:rtl/>
        </w:rPr>
        <w:t xml:space="preserve">' </w:t>
      </w:r>
      <w:r>
        <w:rPr>
          <w:rFonts w:cs="FrankRuehl" w:hint="cs"/>
          <w:b/>
          <w:bCs/>
          <w:sz w:val="18"/>
          <w:rtl/>
        </w:rPr>
        <w:t>מועצת עיריית ירושלים</w:t>
      </w:r>
      <w:r>
        <w:rPr>
          <w:rFonts w:cs="FrankRuehl" w:hint="cs"/>
          <w:sz w:val="18"/>
          <w:rtl/>
        </w:rPr>
        <w:t xml:space="preserve"> (פורסם בנבו, 15.4.10). </w:t>
      </w:r>
    </w:p>
  </w:footnote>
  <w:footnote w:id="5">
    <w:p w:rsidR="00C01441" w:rsidP="00222BEB">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תקנות חינוך ממלכתי (מוסדות מוכרים), התשי"ד-1953; תקנות חינוך ממלכתי (מוסדות מוכרים) (תיקון), התשס</w:t>
      </w:r>
      <w:r>
        <w:rPr>
          <w:rFonts w:cs="FrankRuehl"/>
          <w:sz w:val="18"/>
          <w:rtl/>
        </w:rPr>
        <w:t>"ח-2008.</w:t>
      </w:r>
    </w:p>
  </w:footnote>
  <w:footnote w:id="6">
    <w:p w:rsidR="00C01441" w:rsidP="00222BEB">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בנוהלי משרד הפנים הנוגעים ליישום חוק נהרי משמש המונח "קריטריונים", ואילו בנהלים הנוגעים למסלול התמיכות משמש המושג "תבחינים". מאחר שלשני המונחים אותה המשמעות נשתמש לשם האחידות והבהירות במונח "תבחינים". </w:t>
      </w:r>
    </w:p>
  </w:footnote>
  <w:footnote w:id="7">
    <w:p w:rsidR="00C01441" w:rsidP="00222BEB">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חוות הדעת ניתנה על ידי פרקליטות מחוז תל אביב אזרחי במסגרת התייצבות היועץ המשפטי לממשלה בעת"ם 26575-12-09 </w:t>
      </w:r>
      <w:r>
        <w:rPr>
          <w:rFonts w:cs="FrankRuehl" w:hint="cs"/>
          <w:b/>
          <w:bCs/>
          <w:sz w:val="18"/>
          <w:rtl/>
        </w:rPr>
        <w:t>הרב יצחק גוטליב</w:t>
      </w:r>
      <w:r>
        <w:rPr>
          <w:rFonts w:cs="FrankRuehl" w:hint="cs"/>
          <w:sz w:val="18"/>
          <w:rtl/>
        </w:rPr>
        <w:t xml:space="preserve"> נ</w:t>
      </w:r>
      <w:r>
        <w:rPr>
          <w:rFonts w:cs="FrankRuehl"/>
          <w:sz w:val="18"/>
          <w:rtl/>
        </w:rPr>
        <w:t>'</w:t>
      </w:r>
      <w:r>
        <w:rPr>
          <w:rFonts w:cs="FrankRuehl"/>
          <w:b/>
          <w:bCs/>
          <w:sz w:val="18"/>
          <w:rtl/>
        </w:rPr>
        <w:t xml:space="preserve"> </w:t>
      </w:r>
      <w:r>
        <w:rPr>
          <w:rFonts w:cs="FrankRuehl" w:hint="cs"/>
          <w:b/>
          <w:bCs/>
          <w:sz w:val="18"/>
          <w:rtl/>
        </w:rPr>
        <w:t>עיריית אור יהודה</w:t>
      </w:r>
      <w:r>
        <w:rPr>
          <w:rFonts w:cs="FrankRuehl" w:hint="cs"/>
          <w:sz w:val="18"/>
          <w:rtl/>
        </w:rPr>
        <w:t xml:space="preserve">. במועד סיום הבדיקה טרם ניתן פסק דין בעניין עתירה זו העוסקת בפרשנות לחוק נהרי. אולם בפסקי דין אחרים העוסקים בחוק נהרי אימצו השופטים את האמור בחוות דעת זו. לדוגמה, בעת"ם 27582-04-11 </w:t>
      </w:r>
      <w:r>
        <w:rPr>
          <w:rFonts w:cs="FrankRuehl" w:hint="cs"/>
          <w:b/>
          <w:bCs/>
          <w:sz w:val="18"/>
          <w:rtl/>
        </w:rPr>
        <w:t>עמותת</w:t>
      </w:r>
      <w:r>
        <w:rPr>
          <w:rFonts w:cs="FrankRuehl"/>
          <w:b/>
          <w:bCs/>
          <w:sz w:val="18"/>
          <w:rtl/>
        </w:rPr>
        <w:t xml:space="preserve"> </w:t>
      </w:r>
      <w:r>
        <w:rPr>
          <w:rFonts w:cs="FrankRuehl" w:hint="cs"/>
          <w:b/>
          <w:bCs/>
          <w:sz w:val="18"/>
          <w:rtl/>
        </w:rPr>
        <w:t>בית</w:t>
      </w:r>
      <w:r>
        <w:rPr>
          <w:rFonts w:cs="FrankRuehl"/>
          <w:b/>
          <w:bCs/>
          <w:sz w:val="18"/>
          <w:rtl/>
        </w:rPr>
        <w:t xml:space="preserve"> </w:t>
      </w:r>
      <w:r>
        <w:rPr>
          <w:rFonts w:cs="FrankRuehl" w:hint="cs"/>
          <w:b/>
          <w:bCs/>
          <w:sz w:val="18"/>
          <w:rtl/>
        </w:rPr>
        <w:t>ספר</w:t>
      </w:r>
      <w:r>
        <w:rPr>
          <w:rFonts w:cs="FrankRuehl"/>
          <w:b/>
          <w:bCs/>
          <w:sz w:val="18"/>
          <w:rtl/>
        </w:rPr>
        <w:t xml:space="preserve"> </w:t>
      </w:r>
      <w:r>
        <w:rPr>
          <w:rFonts w:cs="FrankRuehl" w:hint="cs"/>
          <w:b/>
          <w:bCs/>
          <w:sz w:val="18"/>
          <w:rtl/>
        </w:rPr>
        <w:t>אורים</w:t>
      </w:r>
      <w:r>
        <w:rPr>
          <w:rFonts w:cs="FrankRuehl"/>
          <w:b/>
          <w:bCs/>
          <w:sz w:val="18"/>
          <w:rtl/>
        </w:rPr>
        <w:t xml:space="preserve"> </w:t>
      </w:r>
      <w:r>
        <w:rPr>
          <w:rFonts w:cs="FrankRuehl" w:hint="cs"/>
          <w:sz w:val="18"/>
          <w:rtl/>
        </w:rPr>
        <w:t>נ</w:t>
      </w:r>
      <w:r>
        <w:rPr>
          <w:rFonts w:cs="FrankRuehl"/>
          <w:sz w:val="18"/>
          <w:rtl/>
        </w:rPr>
        <w:t xml:space="preserve">' </w:t>
      </w:r>
      <w:r>
        <w:rPr>
          <w:rFonts w:cs="FrankRuehl" w:hint="cs"/>
          <w:b/>
          <w:bCs/>
          <w:sz w:val="18"/>
          <w:rtl/>
        </w:rPr>
        <w:t>עיריית</w:t>
      </w:r>
      <w:r>
        <w:rPr>
          <w:rFonts w:cs="FrankRuehl" w:hint="cs"/>
          <w:sz w:val="18"/>
          <w:rtl/>
        </w:rPr>
        <w:t xml:space="preserve"> </w:t>
      </w:r>
      <w:r>
        <w:rPr>
          <w:rFonts w:cs="FrankRuehl" w:hint="cs"/>
          <w:b/>
          <w:bCs/>
          <w:sz w:val="18"/>
          <w:rtl/>
        </w:rPr>
        <w:t>רמת</w:t>
      </w:r>
      <w:r>
        <w:rPr>
          <w:rFonts w:cs="FrankRuehl"/>
          <w:b/>
          <w:bCs/>
          <w:sz w:val="18"/>
          <w:rtl/>
        </w:rPr>
        <w:t xml:space="preserve"> </w:t>
      </w:r>
      <w:r>
        <w:rPr>
          <w:rFonts w:cs="FrankRuehl" w:hint="cs"/>
          <w:b/>
          <w:bCs/>
          <w:sz w:val="18"/>
          <w:rtl/>
        </w:rPr>
        <w:t>השרון</w:t>
      </w:r>
      <w:r>
        <w:rPr>
          <w:rFonts w:cs="FrankRuehl" w:hint="cs"/>
          <w:sz w:val="18"/>
          <w:rtl/>
        </w:rPr>
        <w:t xml:space="preserve"> (פורסם בנבו, 9.9.13), אמרה השופטת שרה גדות בעניין עמדת היועץ המשפטי כי "משום כך עמדתו של היועץ המשפטי לממשלה היא בעלת משקל אשר יש להתחשב בה גם אם אין חובה לקבלה".</w:t>
      </w:r>
    </w:p>
  </w:footnote>
  <w:footnote w:id="8">
    <w:p w:rsidR="00C01441" w:rsidP="00222BEB">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מוסדות של עמותות</w:t>
      </w:r>
      <w:r>
        <w:rPr>
          <w:rFonts w:cs="FrankRuehl"/>
          <w:sz w:val="18"/>
          <w:rtl/>
        </w:rPr>
        <w:t xml:space="preserve"> </w:t>
      </w:r>
      <w:r>
        <w:rPr>
          <w:rFonts w:cs="FrankRuehl" w:hint="cs"/>
          <w:sz w:val="18"/>
          <w:rtl/>
        </w:rPr>
        <w:t>המפעילות</w:t>
      </w:r>
      <w:r>
        <w:rPr>
          <w:rFonts w:cs="FrankRuehl"/>
          <w:sz w:val="18"/>
          <w:rtl/>
        </w:rPr>
        <w:t xml:space="preserve"> </w:t>
      </w:r>
      <w:r>
        <w:rPr>
          <w:rFonts w:cs="FrankRuehl" w:hint="cs"/>
          <w:sz w:val="18"/>
          <w:rtl/>
        </w:rPr>
        <w:t>תלמודי</w:t>
      </w:r>
      <w:r>
        <w:rPr>
          <w:rFonts w:cs="FrankRuehl"/>
          <w:sz w:val="18"/>
          <w:rtl/>
        </w:rPr>
        <w:t xml:space="preserve"> </w:t>
      </w:r>
      <w:r>
        <w:rPr>
          <w:rFonts w:cs="FrankRuehl" w:hint="cs"/>
          <w:sz w:val="18"/>
          <w:rtl/>
        </w:rPr>
        <w:t>תורה</w:t>
      </w:r>
      <w:r>
        <w:rPr>
          <w:rFonts w:cs="FrankRuehl"/>
          <w:sz w:val="18"/>
          <w:rtl/>
        </w:rPr>
        <w:t xml:space="preserve"> (</w:t>
      </w:r>
      <w:r>
        <w:rPr>
          <w:rFonts w:cs="FrankRuehl" w:hint="cs"/>
          <w:sz w:val="18"/>
          <w:rtl/>
        </w:rPr>
        <w:t>ת</w:t>
      </w:r>
      <w:r>
        <w:rPr>
          <w:rFonts w:cs="FrankRuehl"/>
          <w:sz w:val="18"/>
          <w:rtl/>
        </w:rPr>
        <w:t>"תים</w:t>
      </w:r>
      <w:r>
        <w:rPr>
          <w:rFonts w:cs="FrankRuehl" w:hint="cs"/>
          <w:sz w:val="18"/>
          <w:rtl/>
        </w:rPr>
        <w:t>) שמערכת החינוך הכירה בהם כמוסדות הפטורים ממילוי התנאים הכלליים של מערכת החינוך ובכללם הוראות חוק לימוד חובה.</w:t>
      </w:r>
    </w:p>
  </w:footnote>
  <w:footnote w:id="9">
    <w:p w:rsidR="00C01441" w:rsidP="00222BEB">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אמנם בנוהל ליישום חוק נהרי נקבע כי הסעות נכללות במסלול חוק נהרי, אך חוות דעת היועץ המשפטי לממשלה קבעה כי הסעות אינן נכללות במסלול חוק נהרי (ראו להלן).</w:t>
      </w:r>
    </w:p>
  </w:footnote>
  <w:footnote w:id="10">
    <w:p w:rsidR="00C01441" w:rsidP="00222BEB">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ראו הערה 6.</w:t>
      </w:r>
    </w:p>
  </w:footnote>
  <w:footnote w:id="11">
    <w:p w:rsidR="00C01441" w:rsidP="00222BEB">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עיריית פתח תקווה צירפה לתשובתה הנוספת את עמדתו זו של משרד הפנים.</w:t>
      </w:r>
    </w:p>
  </w:footnote>
  <w:footnote w:id="12">
    <w:p w:rsidR="00C01441" w:rsidP="00222BEB">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חוות הדעת ניתנה בעקבות בקשתו של חבר מועצת העירייה ויו"ר האגף לחינוך ותרבות תורניים להעלות לדיון במועצת העירייה את נושא המשך מימונם של רכיבים שונים, כגון מים, חשמל ושמירה, בשיעור השתתפות העולה על 75% במסגרת תקצובם של מוסדות החינוך המוכרים; יו</w:t>
      </w:r>
      <w:r>
        <w:rPr>
          <w:rFonts w:cs="FrankRuehl"/>
          <w:sz w:val="18"/>
          <w:rtl/>
        </w:rPr>
        <w:t xml:space="preserve">"ר </w:t>
      </w:r>
      <w:r>
        <w:rPr>
          <w:rFonts w:cs="FrankRuehl" w:hint="cs"/>
          <w:sz w:val="18"/>
          <w:rtl/>
        </w:rPr>
        <w:t>האגף</w:t>
      </w:r>
      <w:r>
        <w:rPr>
          <w:rFonts w:cs="FrankRuehl"/>
          <w:sz w:val="18"/>
          <w:rtl/>
        </w:rPr>
        <w:t xml:space="preserve"> </w:t>
      </w:r>
      <w:r>
        <w:rPr>
          <w:rFonts w:cs="FrankRuehl" w:hint="cs"/>
          <w:sz w:val="18"/>
          <w:rtl/>
        </w:rPr>
        <w:t>נימק</w:t>
      </w:r>
      <w:r>
        <w:rPr>
          <w:rFonts w:cs="FrankRuehl"/>
          <w:sz w:val="18"/>
          <w:rtl/>
        </w:rPr>
        <w:t xml:space="preserve"> </w:t>
      </w:r>
      <w:r>
        <w:rPr>
          <w:rFonts w:cs="FrankRuehl" w:hint="cs"/>
          <w:sz w:val="18"/>
          <w:rtl/>
        </w:rPr>
        <w:t>את</w:t>
      </w:r>
      <w:r>
        <w:rPr>
          <w:rFonts w:cs="FrankRuehl"/>
          <w:sz w:val="18"/>
          <w:rtl/>
        </w:rPr>
        <w:t xml:space="preserve"> </w:t>
      </w:r>
      <w:r>
        <w:rPr>
          <w:rFonts w:cs="FrankRuehl" w:hint="cs"/>
          <w:sz w:val="18"/>
          <w:rtl/>
        </w:rPr>
        <w:t>בקשתו</w:t>
      </w:r>
      <w:r>
        <w:rPr>
          <w:rFonts w:cs="FrankRuehl"/>
          <w:sz w:val="18"/>
          <w:rtl/>
        </w:rPr>
        <w:t xml:space="preserve"> </w:t>
      </w:r>
      <w:r>
        <w:rPr>
          <w:rFonts w:cs="FrankRuehl" w:hint="cs"/>
          <w:sz w:val="18"/>
          <w:rtl/>
        </w:rPr>
        <w:t>בכך</w:t>
      </w:r>
      <w:r>
        <w:rPr>
          <w:rFonts w:cs="FrankRuehl"/>
          <w:sz w:val="18"/>
          <w:rtl/>
        </w:rPr>
        <w:t xml:space="preserve"> שהדבר אפשרי לפי </w:t>
      </w:r>
      <w:r>
        <w:rPr>
          <w:rFonts w:cs="FrankRuehl" w:hint="cs"/>
          <w:sz w:val="18"/>
          <w:rtl/>
        </w:rPr>
        <w:t>חוק</w:t>
      </w:r>
      <w:r>
        <w:rPr>
          <w:rFonts w:cs="FrankRuehl"/>
          <w:sz w:val="18"/>
          <w:rtl/>
        </w:rPr>
        <w:t xml:space="preserve"> </w:t>
      </w:r>
      <w:r>
        <w:rPr>
          <w:rFonts w:cs="FrankRuehl" w:hint="cs"/>
          <w:sz w:val="18"/>
          <w:rtl/>
        </w:rPr>
        <w:t>נהרי</w:t>
      </w:r>
      <w:r>
        <w:rPr>
          <w:rFonts w:cs="FrankRuehl"/>
          <w:sz w:val="18"/>
          <w:rtl/>
        </w:rPr>
        <w:t xml:space="preserve"> ומכיוון שהאגף אינו </w:t>
      </w:r>
      <w:r>
        <w:rPr>
          <w:rFonts w:cs="FrankRuehl" w:hint="cs"/>
          <w:sz w:val="18"/>
          <w:rtl/>
        </w:rPr>
        <w:t>מעוניין</w:t>
      </w:r>
      <w:r>
        <w:rPr>
          <w:rFonts w:cs="FrankRuehl"/>
          <w:sz w:val="18"/>
          <w:rtl/>
        </w:rPr>
        <w:t xml:space="preserve"> לבקש מההורים להשתתף בהוצאות אלה.</w:t>
      </w:r>
      <w:r>
        <w:rPr>
          <w:rFonts w:cs="FrankRuehl" w:hint="cs"/>
          <w:sz w:val="18"/>
          <w:rtl/>
        </w:rPr>
        <w:t xml:space="preserve"> </w:t>
      </w:r>
    </w:p>
  </w:footnote>
  <w:footnote w:id="13">
    <w:p w:rsidR="00C01441" w:rsidP="00222BEB">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אשרור החלטת המועצה הקודמת מספטמבר 2009.</w:t>
      </w:r>
    </w:p>
  </w:footnote>
  <w:footnote w:id="14">
    <w:p w:rsidR="00C01441" w:rsidP="00222BEB">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t>"תקנת הציבור" משמעותה הערכים, האינטרסים והעקרונות המרכזיים</w:t>
      </w:r>
      <w:r>
        <w:rPr>
          <w:rFonts w:cs="FrankRuehl" w:hint="cs"/>
          <w:sz w:val="18"/>
          <w:rtl/>
        </w:rPr>
        <w:t xml:space="preserve"> </w:t>
      </w:r>
      <w:r>
        <w:rPr>
          <w:rFonts w:cs="FrankRuehl"/>
          <w:sz w:val="18"/>
          <w:rtl/>
        </w:rPr>
        <w:t>והחיוניים אשר חברה נתונה בזמן נתון מבקשת לקיים, לשמר ולפתח. היא המכשיר המשפטי אשר באמצעותו מבטאת החברה את ה</w:t>
      </w:r>
      <w:r>
        <w:rPr>
          <w:rFonts w:cs="FrankRuehl" w:hint="cs"/>
          <w:sz w:val="18"/>
          <w:rtl/>
        </w:rPr>
        <w:t>"</w:t>
      </w:r>
      <w:r>
        <w:rPr>
          <w:rFonts w:cs="FrankRuehl"/>
          <w:sz w:val="18"/>
          <w:rtl/>
        </w:rPr>
        <w:t>אני מאמין" שלה</w:t>
      </w:r>
      <w:r>
        <w:rPr>
          <w:rFonts w:cs="FrankRuehl" w:hint="cs"/>
          <w:sz w:val="18"/>
          <w:rtl/>
        </w:rPr>
        <w:t xml:space="preserve">, </w:t>
      </w:r>
      <w:r>
        <w:rPr>
          <w:rFonts w:cs="FrankRuehl"/>
          <w:sz w:val="18"/>
          <w:rtl/>
        </w:rPr>
        <w:t>יוצרת מסגרות נורמטיביות חדשות ומונעת חדירה של הסדרים נורמטיביים בלתי ראויים למסגרות הקיימות. בג</w:t>
      </w:r>
      <w:r>
        <w:rPr>
          <w:rFonts w:cs="FrankRuehl" w:hint="cs"/>
          <w:sz w:val="18"/>
          <w:rtl/>
        </w:rPr>
        <w:t>"</w:t>
      </w:r>
      <w:r>
        <w:rPr>
          <w:rFonts w:cs="FrankRuehl"/>
          <w:sz w:val="18"/>
          <w:rtl/>
        </w:rPr>
        <w:t xml:space="preserve">ץ 693/91 </w:t>
      </w:r>
      <w:r>
        <w:rPr>
          <w:rFonts w:cs="FrankRuehl"/>
          <w:b/>
          <w:bCs/>
          <w:sz w:val="18"/>
          <w:rtl/>
        </w:rPr>
        <w:t>ד"ר מיכל אפרת נ' הממונה על מרשם האוכלוסין במשרד הפנים</w:t>
      </w:r>
      <w:r>
        <w:rPr>
          <w:rFonts w:cs="FrankRuehl"/>
          <w:sz w:val="18"/>
          <w:rtl/>
        </w:rPr>
        <w:t>, פ''ד מז(1) 749</w:t>
      </w:r>
      <w:r>
        <w:rPr>
          <w:rFonts w:cs="FrankRuehl" w:hint="cs"/>
          <w:sz w:val="18"/>
          <w:rtl/>
        </w:rPr>
        <w:t>.</w:t>
      </w:r>
    </w:p>
  </w:footnote>
  <w:footnote w:id="15">
    <w:p w:rsidR="00C01441" w:rsidP="00222BEB">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חוזר מנכ"ל משרד הפנים שקבע שרכיב ההסעות נכלל בחוק נהרי הוצא ביום שבו התקיים הדיון במועצת העירייה - 30.12.09 (ממילא הוא לא אוזכר בדיון). </w:t>
      </w:r>
      <w:r>
        <w:rPr>
          <w:rFonts w:cs="FrankRuehl"/>
          <w:sz w:val="18"/>
          <w:rtl/>
        </w:rPr>
        <w:tab/>
      </w:r>
    </w:p>
  </w:footnote>
  <w:footnote w:id="16">
    <w:p w:rsidR="00C01441" w:rsidP="00222BEB">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בעניין ההסעות ראו להלן.</w:t>
      </w:r>
    </w:p>
  </w:footnote>
  <w:footnote w:id="17">
    <w:p w:rsidR="00C01441" w:rsidP="00222BEB">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עת"ם (י-ם) 1754/09 </w:t>
      </w:r>
      <w:r>
        <w:rPr>
          <w:rFonts w:cs="FrankRuehl" w:hint="cs"/>
          <w:b/>
          <w:bCs/>
          <w:sz w:val="18"/>
          <w:rtl/>
        </w:rPr>
        <w:t>המרכז לפלורליזם יהודי</w:t>
      </w:r>
      <w:r>
        <w:rPr>
          <w:rFonts w:cs="FrankRuehl" w:hint="cs"/>
          <w:sz w:val="18"/>
          <w:rtl/>
        </w:rPr>
        <w:t xml:space="preserve"> </w:t>
      </w:r>
      <w:r>
        <w:rPr>
          <w:rFonts w:cs="FrankRuehl" w:hint="cs"/>
          <w:b/>
          <w:bCs/>
          <w:sz w:val="18"/>
          <w:rtl/>
        </w:rPr>
        <w:t>נ</w:t>
      </w:r>
      <w:r>
        <w:rPr>
          <w:rFonts w:cs="FrankRuehl"/>
          <w:b/>
          <w:bCs/>
          <w:sz w:val="18"/>
          <w:rtl/>
        </w:rPr>
        <w:t>'</w:t>
      </w:r>
      <w:r>
        <w:rPr>
          <w:rFonts w:cs="FrankRuehl" w:hint="cs"/>
          <w:sz w:val="18"/>
          <w:rtl/>
        </w:rPr>
        <w:t xml:space="preserve"> </w:t>
      </w:r>
      <w:r>
        <w:rPr>
          <w:rFonts w:cs="FrankRuehl" w:hint="cs"/>
          <w:b/>
          <w:bCs/>
          <w:sz w:val="18"/>
          <w:rtl/>
        </w:rPr>
        <w:t xml:space="preserve">מועצת עיריית ירושלים </w:t>
      </w:r>
      <w:r>
        <w:rPr>
          <w:rFonts w:cs="FrankRuehl" w:hint="cs"/>
          <w:sz w:val="18"/>
          <w:rtl/>
        </w:rPr>
        <w:t>(פורסם בנבו</w:t>
      </w:r>
      <w:r>
        <w:rPr>
          <w:rFonts w:cs="FrankRuehl"/>
          <w:sz w:val="18"/>
          <w:rtl/>
        </w:rPr>
        <w:t>,</w:t>
      </w:r>
      <w:r>
        <w:rPr>
          <w:rFonts w:cs="FrankRuehl" w:hint="cs"/>
          <w:b/>
          <w:bCs/>
          <w:sz w:val="18"/>
          <w:rtl/>
        </w:rPr>
        <w:t xml:space="preserve"> </w:t>
      </w:r>
      <w:r>
        <w:rPr>
          <w:rFonts w:cs="FrankRuehl" w:hint="cs"/>
          <w:sz w:val="18"/>
          <w:rtl/>
        </w:rPr>
        <w:t>15.4.10</w:t>
      </w:r>
      <w:r>
        <w:rPr>
          <w:rFonts w:cs="FrankRuehl" w:hint="cs"/>
          <w:b/>
          <w:bCs/>
          <w:sz w:val="18"/>
          <w:rtl/>
        </w:rPr>
        <w:t>)</w:t>
      </w:r>
      <w:r>
        <w:rPr>
          <w:rFonts w:cs="FrankRuehl" w:hint="cs"/>
          <w:sz w:val="18"/>
          <w:rtl/>
        </w:rPr>
        <w:t>.</w:t>
      </w:r>
    </w:p>
  </w:footnote>
  <w:footnote w:id="18">
    <w:p w:rsidR="00C01441" w:rsidP="00222BEB">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כך נכתב בפסק הדין; הנכון הוא "מוכרים שאינם רשמיים".</w:t>
      </w:r>
    </w:p>
  </w:footnote>
  <w:footnote w:id="19">
    <w:p w:rsidR="00C01441" w:rsidP="00222BEB">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כאמור לעיל, סעיף א בהחלטת מועצת העירייה בישיבה בסוף דצמבר 2009 סייג את ההחלטה לשנת 2009.</w:t>
      </w:r>
    </w:p>
  </w:footnote>
  <w:footnote w:id="20">
    <w:p w:rsidR="00C01441" w:rsidP="00222BEB">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עת"ם (חי') 8738-08-10 </w:t>
      </w:r>
      <w:r w:rsidRPr="00B90414">
        <w:rPr>
          <w:rFonts w:cs="FrankRuehl" w:hint="cs"/>
          <w:b/>
          <w:bCs/>
          <w:sz w:val="18"/>
          <w:rtl/>
        </w:rPr>
        <w:t>אלהודא לחינוך ותרבות בע"מ נ</w:t>
      </w:r>
      <w:r w:rsidRPr="00B90414">
        <w:rPr>
          <w:rFonts w:cs="FrankRuehl"/>
          <w:b/>
          <w:bCs/>
          <w:sz w:val="18"/>
          <w:rtl/>
        </w:rPr>
        <w:t>'</w:t>
      </w:r>
      <w:r w:rsidRPr="00B90414">
        <w:rPr>
          <w:rFonts w:cs="FrankRuehl" w:hint="cs"/>
          <w:b/>
          <w:bCs/>
          <w:sz w:val="18"/>
          <w:rtl/>
        </w:rPr>
        <w:t xml:space="preserve"> המועצה המקומית אבו סנאן</w:t>
      </w:r>
      <w:r>
        <w:rPr>
          <w:rFonts w:cs="FrankRuehl" w:hint="cs"/>
          <w:sz w:val="18"/>
          <w:rtl/>
        </w:rPr>
        <w:t xml:space="preserve"> (פורסם בנבו, 12.11.12); עת"ם (חי')32706-01-12 </w:t>
      </w:r>
      <w:r w:rsidRPr="00B90414">
        <w:rPr>
          <w:rFonts w:cs="FrankRuehl" w:hint="cs"/>
          <w:b/>
          <w:bCs/>
          <w:sz w:val="18"/>
          <w:rtl/>
        </w:rPr>
        <w:t>קול חינוכית (חיפה 96) בע"מ נ</w:t>
      </w:r>
      <w:r w:rsidRPr="00B90414">
        <w:rPr>
          <w:rFonts w:cs="FrankRuehl"/>
          <w:b/>
          <w:bCs/>
          <w:sz w:val="18"/>
          <w:rtl/>
        </w:rPr>
        <w:t xml:space="preserve">' </w:t>
      </w:r>
      <w:r w:rsidRPr="00B90414">
        <w:rPr>
          <w:rFonts w:cs="FrankRuehl" w:hint="cs"/>
          <w:b/>
          <w:bCs/>
          <w:sz w:val="18"/>
          <w:rtl/>
        </w:rPr>
        <w:t>עיריית קריית מוצקין</w:t>
      </w:r>
      <w:r>
        <w:rPr>
          <w:rFonts w:cs="FrankRuehl" w:hint="cs"/>
          <w:sz w:val="18"/>
          <w:rtl/>
        </w:rPr>
        <w:t xml:space="preserve"> (פורסם בנבו, 24.6.12); עת"ם (ת"א) 1394/08 </w:t>
      </w:r>
      <w:r w:rsidRPr="00B90414">
        <w:rPr>
          <w:rFonts w:cs="FrankRuehl" w:hint="cs"/>
          <w:b/>
          <w:bCs/>
          <w:sz w:val="18"/>
          <w:rtl/>
        </w:rPr>
        <w:t>מרכז תורני רעננה נ</w:t>
      </w:r>
      <w:r w:rsidRPr="00B90414">
        <w:rPr>
          <w:rFonts w:cs="FrankRuehl"/>
          <w:b/>
          <w:bCs/>
          <w:sz w:val="18"/>
          <w:rtl/>
        </w:rPr>
        <w:t xml:space="preserve">' </w:t>
      </w:r>
      <w:r w:rsidRPr="00B90414">
        <w:rPr>
          <w:rFonts w:cs="FrankRuehl" w:hint="cs"/>
          <w:b/>
          <w:bCs/>
          <w:sz w:val="18"/>
          <w:rtl/>
        </w:rPr>
        <w:t>עיריית רעננה</w:t>
      </w:r>
      <w:r>
        <w:rPr>
          <w:rFonts w:cs="FrankRuehl" w:hint="cs"/>
          <w:sz w:val="18"/>
          <w:rtl/>
        </w:rPr>
        <w:t xml:space="preserve"> (פורסם בנבו, 27.7.10); עת"ם (ת"א) 27582-04-11 </w:t>
      </w:r>
      <w:r w:rsidRPr="00B90414">
        <w:rPr>
          <w:rFonts w:cs="FrankRuehl" w:hint="cs"/>
          <w:b/>
          <w:bCs/>
          <w:sz w:val="18"/>
          <w:rtl/>
        </w:rPr>
        <w:t>עמותת בית ספר אורים נ</w:t>
      </w:r>
      <w:r w:rsidRPr="00B90414">
        <w:rPr>
          <w:rFonts w:cs="FrankRuehl"/>
          <w:b/>
          <w:bCs/>
          <w:sz w:val="18"/>
          <w:rtl/>
        </w:rPr>
        <w:t>'</w:t>
      </w:r>
      <w:r w:rsidRPr="00B90414">
        <w:rPr>
          <w:rFonts w:cs="FrankRuehl" w:hint="cs"/>
          <w:b/>
          <w:bCs/>
          <w:sz w:val="18"/>
          <w:rtl/>
        </w:rPr>
        <w:t xml:space="preserve"> עיריית רמת השרון</w:t>
      </w:r>
      <w:r>
        <w:rPr>
          <w:rFonts w:cs="FrankRuehl" w:hint="cs"/>
          <w:sz w:val="18"/>
          <w:rtl/>
        </w:rPr>
        <w:t xml:space="preserve"> (פורסם בנבו, 9.9.13</w:t>
      </w:r>
      <w:r>
        <w:rPr>
          <w:rFonts w:cs="FrankRuehl"/>
          <w:sz w:val="18"/>
          <w:rtl/>
        </w:rPr>
        <w:t>)</w:t>
      </w:r>
      <w:r>
        <w:rPr>
          <w:rFonts w:cs="FrankRuehl" w:hint="cs"/>
          <w:sz w:val="18"/>
          <w:rtl/>
        </w:rPr>
        <w:t xml:space="preserve">. </w:t>
      </w:r>
    </w:p>
  </w:footnote>
  <w:footnote w:id="21">
    <w:p w:rsidR="00C01441" w:rsidP="00222BEB">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עת"ם (חי') 8738-08-10 </w:t>
      </w:r>
      <w:r>
        <w:rPr>
          <w:rFonts w:cs="FrankRuehl" w:hint="cs"/>
          <w:b/>
          <w:bCs/>
          <w:sz w:val="18"/>
          <w:rtl/>
        </w:rPr>
        <w:t>אלהודא לחינוך ותרבות בע"מ</w:t>
      </w:r>
      <w:r>
        <w:rPr>
          <w:rFonts w:cs="FrankRuehl" w:hint="cs"/>
          <w:sz w:val="18"/>
          <w:rtl/>
        </w:rPr>
        <w:t xml:space="preserve"> נ</w:t>
      </w:r>
      <w:r>
        <w:rPr>
          <w:rFonts w:cs="FrankRuehl"/>
          <w:sz w:val="18"/>
          <w:rtl/>
        </w:rPr>
        <w:t>'</w:t>
      </w:r>
      <w:r>
        <w:rPr>
          <w:rFonts w:cs="FrankRuehl" w:hint="cs"/>
          <w:sz w:val="18"/>
          <w:rtl/>
        </w:rPr>
        <w:t xml:space="preserve"> </w:t>
      </w:r>
      <w:r>
        <w:rPr>
          <w:rFonts w:cs="FrankRuehl" w:hint="cs"/>
          <w:b/>
          <w:bCs/>
          <w:sz w:val="18"/>
          <w:rtl/>
        </w:rPr>
        <w:t>המועצה המקומית אבו סנאן</w:t>
      </w:r>
      <w:r>
        <w:rPr>
          <w:rFonts w:cs="FrankRuehl" w:hint="cs"/>
          <w:sz w:val="18"/>
          <w:rtl/>
        </w:rPr>
        <w:t xml:space="preserve"> (פורסם בנבו, 12.11.12).</w:t>
      </w:r>
    </w:p>
  </w:footnote>
  <w:footnote w:id="22">
    <w:p w:rsidR="00C01441" w:rsidP="00222BEB">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ביולי 2008 (לפני פרסום פסקי הדין שהובאו לעיל) אישרה היועצת המשפטית של העירייה דאז לתקצב את גני הילדים המוכרים במסלול חוק נהרי. </w:t>
      </w:r>
    </w:p>
  </w:footnote>
  <w:footnote w:id="23">
    <w:p w:rsidR="00C01441" w:rsidP="00222BEB">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עת"ם (ת"א) 1394-08 </w:t>
      </w:r>
      <w:r>
        <w:rPr>
          <w:rFonts w:cs="FrankRuehl" w:hint="cs"/>
          <w:b/>
          <w:bCs/>
          <w:sz w:val="18"/>
          <w:rtl/>
        </w:rPr>
        <w:t>מרכז תורני רעננה</w:t>
      </w:r>
      <w:r>
        <w:rPr>
          <w:rFonts w:cs="FrankRuehl"/>
          <w:b/>
          <w:bCs/>
          <w:sz w:val="18"/>
          <w:rtl/>
        </w:rPr>
        <w:t xml:space="preserve"> נ'</w:t>
      </w:r>
      <w:r>
        <w:rPr>
          <w:rFonts w:cs="FrankRuehl" w:hint="cs"/>
          <w:sz w:val="18"/>
          <w:rtl/>
        </w:rPr>
        <w:t xml:space="preserve"> </w:t>
      </w:r>
      <w:r>
        <w:rPr>
          <w:rFonts w:cs="FrankRuehl" w:hint="cs"/>
          <w:b/>
          <w:bCs/>
          <w:sz w:val="18"/>
          <w:rtl/>
        </w:rPr>
        <w:t>עיריית רעננה</w:t>
      </w:r>
      <w:r>
        <w:rPr>
          <w:rFonts w:cs="FrankRuehl" w:hint="cs"/>
          <w:sz w:val="18"/>
          <w:rtl/>
        </w:rPr>
        <w:t xml:space="preserve"> (פורסם בנבו, 27.7.10).</w:t>
      </w:r>
    </w:p>
  </w:footnote>
  <w:footnote w:id="24">
    <w:p w:rsidR="00C01441" w:rsidP="00222BEB">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עת"ם (ת"א) 27582-04-11 </w:t>
      </w:r>
      <w:r>
        <w:rPr>
          <w:rFonts w:cs="FrankRuehl" w:hint="cs"/>
          <w:b/>
          <w:bCs/>
          <w:sz w:val="18"/>
          <w:rtl/>
        </w:rPr>
        <w:t>עמותת בית ספר אורים</w:t>
      </w:r>
      <w:r>
        <w:rPr>
          <w:rFonts w:cs="FrankRuehl" w:hint="cs"/>
          <w:sz w:val="18"/>
          <w:rtl/>
        </w:rPr>
        <w:t xml:space="preserve"> </w:t>
      </w:r>
      <w:r>
        <w:rPr>
          <w:rFonts w:cs="FrankRuehl" w:hint="cs"/>
          <w:b/>
          <w:bCs/>
          <w:sz w:val="18"/>
          <w:rtl/>
        </w:rPr>
        <w:t>נ</w:t>
      </w:r>
      <w:r>
        <w:rPr>
          <w:rFonts w:cs="FrankRuehl"/>
          <w:b/>
          <w:bCs/>
          <w:sz w:val="18"/>
          <w:rtl/>
        </w:rPr>
        <w:t>'</w:t>
      </w:r>
      <w:r>
        <w:rPr>
          <w:rFonts w:cs="FrankRuehl" w:hint="cs"/>
          <w:sz w:val="18"/>
          <w:rtl/>
        </w:rPr>
        <w:t xml:space="preserve"> </w:t>
      </w:r>
      <w:r>
        <w:rPr>
          <w:rFonts w:cs="FrankRuehl" w:hint="cs"/>
          <w:b/>
          <w:bCs/>
          <w:sz w:val="18"/>
          <w:rtl/>
        </w:rPr>
        <w:t>עיריית רמת השרון</w:t>
      </w:r>
      <w:r>
        <w:rPr>
          <w:rFonts w:cs="FrankRuehl" w:hint="cs"/>
          <w:sz w:val="18"/>
          <w:rtl/>
        </w:rPr>
        <w:t xml:space="preserve"> (פורסם בנבו, 9.9.13).</w:t>
      </w:r>
    </w:p>
  </w:footnote>
  <w:footnote w:id="25">
    <w:p w:rsidR="00C01441" w:rsidP="00222BEB">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המדובר בהסעות של ילדי הרשות המקומית בתוך תחומי הרשות. </w:t>
      </w:r>
    </w:p>
  </w:footnote>
  <w:footnote w:id="26">
    <w:p w:rsidR="00C01441" w:rsidP="00222BEB">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ראו הערה 6.</w:t>
      </w:r>
    </w:p>
  </w:footnote>
  <w:footnote w:id="27">
    <w:p w:rsidR="00C01441" w:rsidP="00222BEB">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בעניין זה ראו גם עע"ם 384/07 </w:t>
      </w:r>
      <w:r>
        <w:rPr>
          <w:rFonts w:cs="FrankRuehl" w:hint="cs"/>
          <w:b/>
          <w:bCs/>
          <w:sz w:val="18"/>
          <w:rtl/>
        </w:rPr>
        <w:t>מנחם אריאב</w:t>
      </w:r>
      <w:r>
        <w:rPr>
          <w:rFonts w:cs="FrankRuehl" w:hint="cs"/>
          <w:sz w:val="18"/>
          <w:rtl/>
        </w:rPr>
        <w:t xml:space="preserve"> </w:t>
      </w:r>
      <w:r>
        <w:rPr>
          <w:rFonts w:cs="FrankRuehl" w:hint="cs"/>
          <w:b/>
          <w:bCs/>
          <w:sz w:val="18"/>
          <w:rtl/>
        </w:rPr>
        <w:t>נ</w:t>
      </w:r>
      <w:r>
        <w:rPr>
          <w:rFonts w:cs="FrankRuehl"/>
          <w:b/>
          <w:bCs/>
          <w:sz w:val="18"/>
          <w:rtl/>
        </w:rPr>
        <w:t xml:space="preserve">' </w:t>
      </w:r>
      <w:r>
        <w:rPr>
          <w:rFonts w:cs="FrankRuehl" w:hint="cs"/>
          <w:b/>
          <w:bCs/>
          <w:sz w:val="18"/>
          <w:rtl/>
        </w:rPr>
        <w:t>סיעת שינוי</w:t>
      </w:r>
      <w:r>
        <w:rPr>
          <w:rFonts w:cs="FrankRuehl" w:hint="cs"/>
          <w:sz w:val="18"/>
          <w:rtl/>
        </w:rPr>
        <w:t xml:space="preserve"> (פורסם בנבו, 29.5.08).</w:t>
      </w:r>
    </w:p>
  </w:footnote>
  <w:footnote w:id="28">
    <w:p w:rsidR="00C01441" w:rsidP="00222BEB">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בג"ץ 3751/03 </w:t>
      </w:r>
      <w:r>
        <w:rPr>
          <w:rFonts w:cs="FrankRuehl" w:hint="cs"/>
          <w:b/>
          <w:bCs/>
          <w:sz w:val="18"/>
          <w:rtl/>
        </w:rPr>
        <w:t>יוסי אילן</w:t>
      </w:r>
      <w:r>
        <w:rPr>
          <w:rFonts w:cs="FrankRuehl" w:hint="cs"/>
          <w:sz w:val="18"/>
          <w:rtl/>
        </w:rPr>
        <w:t xml:space="preserve"> </w:t>
      </w:r>
      <w:r>
        <w:rPr>
          <w:rFonts w:cs="FrankRuehl" w:hint="cs"/>
          <w:b/>
          <w:bCs/>
          <w:sz w:val="18"/>
          <w:rtl/>
        </w:rPr>
        <w:t>נ</w:t>
      </w:r>
      <w:r>
        <w:rPr>
          <w:rFonts w:cs="FrankRuehl"/>
          <w:b/>
          <w:bCs/>
          <w:sz w:val="18"/>
          <w:rtl/>
        </w:rPr>
        <w:t>'</w:t>
      </w:r>
      <w:r>
        <w:rPr>
          <w:rFonts w:cs="FrankRuehl" w:hint="cs"/>
          <w:sz w:val="18"/>
          <w:rtl/>
        </w:rPr>
        <w:t xml:space="preserve"> </w:t>
      </w:r>
      <w:r>
        <w:rPr>
          <w:rFonts w:cs="FrankRuehl" w:hint="cs"/>
          <w:b/>
          <w:bCs/>
          <w:sz w:val="18"/>
          <w:rtl/>
        </w:rPr>
        <w:t>עיריית תל אביב-יפו</w:t>
      </w:r>
      <w:r>
        <w:rPr>
          <w:rFonts w:cs="FrankRuehl" w:hint="cs"/>
          <w:sz w:val="18"/>
          <w:rtl/>
        </w:rPr>
        <w:t>, פ"ד נט(3) 817.</w:t>
      </w:r>
    </w:p>
  </w:footnote>
  <w:footnote w:id="29">
    <w:p w:rsidR="00C01441" w:rsidP="00222BEB">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color w:val="0070C0"/>
          <w:sz w:val="18"/>
          <w:rtl/>
        </w:rPr>
        <w:tab/>
      </w:r>
      <w:r>
        <w:rPr>
          <w:rFonts w:cs="FrankRuehl" w:hint="cs"/>
          <w:color w:val="000000"/>
          <w:sz w:val="18"/>
          <w:rtl/>
        </w:rPr>
        <w:t>מנכ"ל משרד הפנים אישר באופן חריג את בקשת העירייה לאשר עד אמצע דצמבר 2010 את התבחינים לשנת 2011.</w:t>
      </w:r>
      <w:r>
        <w:rPr>
          <w:rFonts w:cs="FrankRuehl"/>
          <w:sz w:val="18"/>
          <w:rtl/>
        </w:rPr>
        <w:tab/>
      </w:r>
    </w:p>
  </w:footnote>
  <w:footnote w:id="30">
    <w:p w:rsidR="00C01441" w:rsidP="00222BEB">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בעוד שבמסלול חוק נהרי התמיכה של הרשות המקומית ניתנה כפי שנקבע בחוק למוסד החינוך המוכר, הרי שבמסלול התמיכות הרשות המקומית רשאית על פי נוהל תמיכות לתת תמיכה רק למוסד ציבור; מוסד ציבור מוגדר בנוהל תמיכות כגוף שאינו פועל כדי לעשות רווחים, למטרות של חינוך, תרבות, דת וכדו'. מכיוון שרובם של מוסדות הציבור הם עמותות, הדוח מתייחס לעמותות המפעילות מוסדות חינוך מוכרים. יש לציין כי בשני המסלולים מדובר, בחלק לא מבוטל מהגופים הנתמכים, באותם מוסדות חינוך שמפעילות אותן עמותות.</w:t>
      </w:r>
    </w:p>
  </w:footnote>
  <w:footnote w:id="31">
    <w:p w:rsidR="00C01441" w:rsidP="00222BEB">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ראו הערה 2.</w:t>
      </w:r>
    </w:p>
  </w:footnote>
  <w:footnote w:id="32">
    <w:p w:rsidR="00C01441" w:rsidP="00222BEB">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באותה ישיבה שאלו כמה מחברי המועצה מדוע הורידו את הניקוד פר תלמיד לבתי הספר העל-יסודיים עם פנימייה מ-4 נקודות ל-3.5 נקודות, וסגן ראש העירייה דאז השיב כי כיום יש נטייה שלא לשלוח תלמידים לפנימיות. יש לציין כי כעבור שנה הוכפל הניקוד ל-7 נקודות, ושוב - ללא נימוקים והסברים. </w:t>
      </w:r>
    </w:p>
  </w:footnote>
  <w:footnote w:id="33">
    <w:p w:rsidR="00C01441" w:rsidP="00222BEB">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למשל, בשנת 2012 השווי של נקודה אחת פר תלמיד היה 389 ש"ח לשנה לעומת 1,556 ש"ח פר תלמיד למוסד על-יסודי שבו מספר שעות הלימוד גדול מ-10 שעות, שקיבל 4 נקודות.</w:t>
      </w:r>
    </w:p>
  </w:footnote>
  <w:footnote w:id="34">
    <w:p w:rsidR="00C01441" w:rsidP="00222BEB">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מפסק דינו של השופט סולברג, שעסק בתבחינים לחינוך בעיריית ירושלים: עת"ם (י-ם) 1754/09, </w:t>
      </w:r>
      <w:r>
        <w:rPr>
          <w:rFonts w:cs="FrankRuehl" w:hint="cs"/>
          <w:b/>
          <w:bCs/>
          <w:sz w:val="18"/>
          <w:rtl/>
        </w:rPr>
        <w:t>המרכז לפלורליזם יהודי - התנועה ליהדות מתקדמת</w:t>
      </w:r>
      <w:r>
        <w:rPr>
          <w:rFonts w:cs="FrankRuehl" w:hint="cs"/>
          <w:sz w:val="18"/>
          <w:rtl/>
        </w:rPr>
        <w:t xml:space="preserve"> </w:t>
      </w:r>
      <w:r>
        <w:rPr>
          <w:rFonts w:cs="FrankRuehl" w:hint="cs"/>
          <w:b/>
          <w:bCs/>
          <w:sz w:val="18"/>
          <w:rtl/>
        </w:rPr>
        <w:t>נ</w:t>
      </w:r>
      <w:r>
        <w:rPr>
          <w:rFonts w:cs="FrankRuehl"/>
          <w:b/>
          <w:bCs/>
          <w:sz w:val="18"/>
          <w:rtl/>
        </w:rPr>
        <w:t xml:space="preserve">' </w:t>
      </w:r>
      <w:r>
        <w:rPr>
          <w:rFonts w:cs="FrankRuehl" w:hint="cs"/>
          <w:b/>
          <w:bCs/>
          <w:sz w:val="18"/>
          <w:rtl/>
        </w:rPr>
        <w:t>מועצת עיריית ירושלים</w:t>
      </w:r>
      <w:r>
        <w:rPr>
          <w:rFonts w:cs="FrankRuehl" w:hint="cs"/>
          <w:sz w:val="18"/>
          <w:rtl/>
        </w:rPr>
        <w:t xml:space="preserve"> (פורסם בנבו, 15.4.10).</w:t>
      </w:r>
    </w:p>
  </w:footnote>
  <w:footnote w:id="35">
    <w:p w:rsidR="00C01441" w:rsidP="00222BEB">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ראו הערה 3. </w:t>
      </w:r>
    </w:p>
  </w:footnote>
  <w:footnote w:id="36">
    <w:p w:rsidR="00C01441" w:rsidP="00222BEB">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הצעת חוק לשינוי סדרי עדיפויות לאומיים (תיקוני חקיקה להשגת יעדי התקציב לשנים 2013 ו-2014), התשע"ג-2013, הצ"ח, 768.</w:t>
      </w:r>
    </w:p>
  </w:footnote>
  <w:footnote w:id="37">
    <w:p w:rsidR="00C01441" w:rsidP="00222BEB">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בדברי ההסבר להצעת החוק נכתב: "בשל השוואת תנאי התיקצוב של מוסדות חינוך מוכרים לא רשמיים למוסדות חינוך ממלכתיים רשמיים נוצר תמריץ שלילי למעבר של מוסדות אלה אל החינוך הממלכתי-רשמי. במטרה לחזק את החינוך הממלכתי-רשמי וכצעד משלים למדיניות שאותה מוביל משרד החינוך בשנים האחרונות לחיזוק החינוך הרשמי, מוצע לבטל סעיף זה ולהשיב את המצב לקדמותו, לפני התיקון". </w:t>
      </w:r>
    </w:p>
  </w:footnote>
  <w:footnote w:id="38">
    <w:p w:rsidR="00C01441" w:rsidP="00222BEB">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ההתייחסות היחידה שנמצאה היא הערתו של ראש העירייה דאז בדיון של ועדת ההנהלה בספטמבר 2009 בעניין הקצאת קרקע לבית ספר השייך לחינוך המוכר, ולפיה יש להמשיך לפעול להחזרת המוסדות הפרטיים למערכת החינוך הממלכתי. יש לציין כי לא נעשה דבר למימוש אותה אמירה. ראש העירייה תמך לדבריו גם בהקצאת הקרקע לאותו בית ספר.</w:t>
      </w:r>
    </w:p>
  </w:footnote>
  <w:footnote w:id="39">
    <w:p w:rsidR="00C01441" w:rsidP="00222BEB">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בנוהל תמיכות נקבע בעניין זה כי "מועצת הרשות המקומית רשאית למנות מקרב חברי המועצה ועדת משנה לעניין תמיכות </w:t>
      </w:r>
      <w:r>
        <w:rPr>
          <w:rFonts w:cs="FrankRuehl"/>
          <w:sz w:val="18"/>
          <w:rtl/>
        </w:rPr>
        <w:t>(</w:t>
      </w:r>
      <w:r>
        <w:rPr>
          <w:rFonts w:cs="FrankRuehl" w:hint="cs"/>
          <w:sz w:val="18"/>
          <w:rtl/>
        </w:rPr>
        <w:t xml:space="preserve">להלן </w:t>
      </w:r>
      <w:r>
        <w:rPr>
          <w:rFonts w:cs="FrankRuehl"/>
          <w:sz w:val="18"/>
          <w:rtl/>
        </w:rPr>
        <w:t>-</w:t>
      </w:r>
      <w:r>
        <w:rPr>
          <w:rFonts w:cs="FrankRuehl" w:hint="cs"/>
          <w:sz w:val="18"/>
          <w:rtl/>
        </w:rPr>
        <w:t xml:space="preserve"> ועדת</w:t>
      </w:r>
      <w:r>
        <w:rPr>
          <w:rFonts w:cs="FrankRuehl"/>
          <w:sz w:val="18"/>
          <w:rtl/>
        </w:rPr>
        <w:t xml:space="preserve"> </w:t>
      </w:r>
      <w:r>
        <w:rPr>
          <w:rFonts w:cs="FrankRuehl" w:hint="cs"/>
          <w:sz w:val="18"/>
          <w:rtl/>
        </w:rPr>
        <w:t>תמיכות</w:t>
      </w:r>
      <w:r>
        <w:rPr>
          <w:rFonts w:cs="FrankRuehl"/>
          <w:sz w:val="18"/>
          <w:rtl/>
        </w:rPr>
        <w:t>)</w:t>
      </w:r>
      <w:r>
        <w:rPr>
          <w:rFonts w:cs="FrankRuehl" w:hint="cs"/>
          <w:sz w:val="18"/>
          <w:rtl/>
        </w:rPr>
        <w:t xml:space="preserve"> המועצה רשאית למנות את ועדת המשנה לתמיכות לבחינת המלצות הוועדה המקצועית בין דרך כלל ובין לנושאים מסוימים. הרכב ועדת המשנה יהיה תואם ככל שניתן את ההרכב הסיעתי של המועצה ובלבד שיהיה בו נציג אחד לפחות מהאופוזיציה. לעניין סעיף זה, 'נציג אחד לפחות מהאופוזיציה' - מי שמתקיימים בסיעתו הוראות פיסקה 149ג(ג)(1) לפקודת העיריות. ועדת המשנה רשאית להמליץ בפני מועצת הרשות בדבר קבלת המלצות הוועדה המקצועית או דחייתה, כולה או חלקה. בקשה ועדת התמיכות לדחות את המלצת הוועדה המקצועית, תנמק עמדתה בכתב".</w:t>
      </w:r>
    </w:p>
  </w:footnote>
  <w:footnote w:id="40">
    <w:p w:rsidR="00C01441" w:rsidP="00222BEB">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בנוהלי התמיכות של משרד החינוך המונח הוא "מבחנים", ובנוהל תמיכות של משרד הפנים המונח הוא "תבחינים". מאחר שלשני המונחים אותה המשמעות, נשתמש - לשם האחידות והבהירות - במונח "תבחינים".</w:t>
      </w:r>
    </w:p>
  </w:footnote>
  <w:footnote w:id="41">
    <w:p w:rsidR="00C01441" w:rsidP="00222BEB">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המדובר בתבחינים של עיריית פתח תקווה עד שנת 2010; בשנה זו שונו התבחינים. על השינוי ראו להלן. </w:t>
      </w:r>
    </w:p>
  </w:footnote>
  <w:footnote w:id="42">
    <w:p w:rsidR="00C01441" w:rsidP="00222BEB">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ראו לעיל רשימת הנושאים בתבחיני משרד החינוך. </w:t>
      </w:r>
    </w:p>
  </w:footnote>
  <w:footnote w:id="43">
    <w:p w:rsidR="00C01441" w:rsidP="00222BEB">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בשנת 2012 ביצעו רואי חשבון בדיקה מיוחדת בשתי עמותות. ראו להלן בסעיף העוסק ב"כפל תמיכות לעמותות". </w:t>
      </w:r>
    </w:p>
  </w:footnote>
  <w:footnote w:id="44">
    <w:p w:rsidR="00C01441" w:rsidP="00222BEB">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t xml:space="preserve">בג"ץ 531/79 </w:t>
      </w:r>
      <w:bookmarkStart w:id="5" w:name="_GoBack"/>
      <w:r w:rsidRPr="00B90414">
        <w:rPr>
          <w:rFonts w:cs="FrankRuehl" w:hint="cs"/>
          <w:b/>
          <w:bCs/>
          <w:sz w:val="18"/>
          <w:rtl/>
        </w:rPr>
        <w:t>סיעת "הליכוד" בעיריית פתח תקווה נ</w:t>
      </w:r>
      <w:r w:rsidRPr="00B90414">
        <w:rPr>
          <w:rFonts w:cs="FrankRuehl"/>
          <w:b/>
          <w:bCs/>
          <w:sz w:val="18"/>
          <w:rtl/>
        </w:rPr>
        <w:t xml:space="preserve">' </w:t>
      </w:r>
      <w:r w:rsidRPr="00B90414">
        <w:rPr>
          <w:rFonts w:cs="FrankRuehl" w:hint="cs"/>
          <w:b/>
          <w:bCs/>
          <w:sz w:val="18"/>
          <w:rtl/>
        </w:rPr>
        <w:t>מועצת עיריית פתח תקווה</w:t>
      </w:r>
      <w:bookmarkEnd w:id="5"/>
      <w:r>
        <w:rPr>
          <w:rFonts w:cs="FrankRuehl" w:hint="cs"/>
          <w:sz w:val="18"/>
          <w:rtl/>
        </w:rPr>
        <w:t>, פ"ד לד(2) 566.</w:t>
      </w:r>
    </w:p>
  </w:footnote>
  <w:footnote w:id="45">
    <w:p w:rsidR="00C01441" w:rsidP="00222BEB">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t xml:space="preserve">עת"ם (ת"א) 1187/05 </w:t>
      </w:r>
      <w:r>
        <w:rPr>
          <w:rFonts w:cs="FrankRuehl" w:hint="cs"/>
          <w:b/>
          <w:bCs/>
          <w:sz w:val="18"/>
          <w:rtl/>
        </w:rPr>
        <w:t>נציגות הבית המשותף ברחוב פפר 18 בפתח תקווה</w:t>
      </w:r>
      <w:r>
        <w:rPr>
          <w:rFonts w:cs="FrankRuehl" w:hint="cs"/>
          <w:sz w:val="18"/>
          <w:rtl/>
        </w:rPr>
        <w:t xml:space="preserve"> נ</w:t>
      </w:r>
      <w:r>
        <w:rPr>
          <w:rFonts w:cs="FrankRuehl"/>
          <w:sz w:val="18"/>
          <w:rtl/>
        </w:rPr>
        <w:t>'</w:t>
      </w:r>
      <w:r>
        <w:rPr>
          <w:rFonts w:cs="FrankRuehl"/>
          <w:b/>
          <w:bCs/>
          <w:sz w:val="18"/>
          <w:rtl/>
        </w:rPr>
        <w:t xml:space="preserve"> </w:t>
      </w:r>
      <w:r>
        <w:rPr>
          <w:rFonts w:cs="FrankRuehl" w:hint="cs"/>
          <w:b/>
          <w:bCs/>
          <w:sz w:val="18"/>
          <w:rtl/>
        </w:rPr>
        <w:t>עיריית פתח תקווה</w:t>
      </w:r>
      <w:r>
        <w:rPr>
          <w:rFonts w:cs="FrankRuehl" w:hint="cs"/>
          <w:sz w:val="18"/>
          <w:rtl/>
        </w:rPr>
        <w:t xml:space="preserve"> (פורסם בנבו, 11.7.05).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1441">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B90414">
      <w:rPr>
        <w:rFonts w:ascii="FrankRuehl" w:hAnsi="FrankRuehl" w:cs="FrankRuehl"/>
        <w:noProof/>
        <w:szCs w:val="20"/>
        <w:rtl/>
      </w:rPr>
      <w:t>586</w:t>
    </w:r>
    <w:r>
      <w:rPr>
        <w:rFonts w:ascii="FrankRuehl" w:hAnsi="FrankRuehl" w:cs="FrankRuehl"/>
        <w:szCs w:val="20"/>
      </w:rPr>
      <w:fldChar w:fldCharType="end"/>
    </w:r>
    <w:r>
      <w:rPr>
        <w:rFonts w:ascii="FrankRuehl" w:hAnsi="FrankRuehl" w:cs="FrankRuehl"/>
        <w:szCs w:val="20"/>
        <w:rtl/>
      </w:rPr>
      <w:tab/>
    </w:r>
    <w:r>
      <w:rPr>
        <w:rFonts w:ascii="FrankRuehl" w:hAnsi="FrankRuehl" w:cs="FrankRuehl" w:hint="cs"/>
        <w:szCs w:val="20"/>
        <w:rtl/>
      </w:rPr>
      <w:t>דוחות על הביקורת בשלטון המקומי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1441">
    <w:pPr>
      <w:pStyle w:val="Header"/>
      <w:tabs>
        <w:tab w:val="clear" w:pos="4153"/>
        <w:tab w:val="right" w:pos="6804"/>
        <w:tab w:val="clear" w:pos="8306"/>
      </w:tabs>
      <w:rPr>
        <w:rFonts w:ascii="FrankRuehl" w:hAnsi="FrankRuehl" w:cs="FrankRuehl"/>
        <w:szCs w:val="20"/>
        <w:rtl/>
      </w:rPr>
    </w:pPr>
    <w:r w:rsidRPr="005B7DA9">
      <w:rPr>
        <w:rFonts w:ascii="FrankRuehl" w:hAnsi="FrankRuehl" w:cs="FrankRuehl" w:hint="cs"/>
        <w:noProof/>
        <w:szCs w:val="20"/>
        <w:rtl/>
      </w:rPr>
      <w:t>עיריית פתח תקווה</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B90414">
      <w:rPr>
        <w:rFonts w:ascii="FrankRuehl" w:hAnsi="FrankRuehl" w:cs="FrankRuehl"/>
        <w:noProof/>
        <w:szCs w:val="20"/>
        <w:rtl/>
      </w:rPr>
      <w:t>587</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1441">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B90414">
      <w:rPr>
        <w:rFonts w:ascii="FrankRuehl" w:hAnsi="FrankRuehl" w:cs="FrankRuehl"/>
        <w:noProof/>
        <w:szCs w:val="20"/>
        <w:rtl/>
      </w:rPr>
      <w:t>553</w:t>
    </w:r>
    <w:r>
      <w:rPr>
        <w:rFonts w:ascii="FrankRuehl" w:hAnsi="FrankRuehl" w:cs="FrankRuehl"/>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49D9" w:rsidRPr="00A249D9" w:rsidP="00A249D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762304"/>
    <w:multiLevelType w:val="hybridMultilevel"/>
    <w:tmpl w:val="0884EF4E"/>
    <w:lvl w:ilvl="0">
      <w:start w:val="1"/>
      <w:numFmt w:val="decimal"/>
      <w:lvlText w:val="%1."/>
      <w:lvlJc w:val="left"/>
      <w:pPr>
        <w:tabs>
          <w:tab w:val="num" w:pos="432"/>
        </w:tabs>
        <w:ind w:left="432"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11244A23"/>
    <w:multiLevelType w:val="hybridMultilevel"/>
    <w:tmpl w:val="0876E03A"/>
    <w:lvl w:ilvl="0">
      <w:start w:val="1"/>
      <w:numFmt w:val="hebrew1"/>
      <w:lvlText w:val="%1."/>
      <w:lvlJc w:val="left"/>
      <w:pPr>
        <w:ind w:left="438" w:hanging="360"/>
      </w:pPr>
      <w:rPr>
        <w:rFonts w:cs="Times New Roman" w:hint="default"/>
        <w:sz w:val="2"/>
        <w:szCs w:val="24"/>
      </w:rPr>
    </w:lvl>
    <w:lvl w:ilvl="1" w:tentative="1">
      <w:start w:val="1"/>
      <w:numFmt w:val="lowerLetter"/>
      <w:lvlText w:val="%2."/>
      <w:lvlJc w:val="left"/>
      <w:pPr>
        <w:ind w:left="1158" w:hanging="360"/>
      </w:pPr>
      <w:rPr>
        <w:rFonts w:cs="Times New Roman"/>
      </w:rPr>
    </w:lvl>
    <w:lvl w:ilvl="2" w:tentative="1">
      <w:start w:val="1"/>
      <w:numFmt w:val="lowerRoman"/>
      <w:lvlText w:val="%3."/>
      <w:lvlJc w:val="right"/>
      <w:pPr>
        <w:ind w:left="1878" w:hanging="180"/>
      </w:pPr>
      <w:rPr>
        <w:rFonts w:cs="Times New Roman"/>
      </w:rPr>
    </w:lvl>
    <w:lvl w:ilvl="3" w:tentative="1">
      <w:start w:val="1"/>
      <w:numFmt w:val="decimal"/>
      <w:lvlText w:val="%4."/>
      <w:lvlJc w:val="left"/>
      <w:pPr>
        <w:ind w:left="2598" w:hanging="360"/>
      </w:pPr>
      <w:rPr>
        <w:rFonts w:cs="Times New Roman"/>
      </w:rPr>
    </w:lvl>
    <w:lvl w:ilvl="4" w:tentative="1">
      <w:start w:val="1"/>
      <w:numFmt w:val="lowerLetter"/>
      <w:lvlText w:val="%5."/>
      <w:lvlJc w:val="left"/>
      <w:pPr>
        <w:ind w:left="3318" w:hanging="360"/>
      </w:pPr>
      <w:rPr>
        <w:rFonts w:cs="Times New Roman"/>
      </w:rPr>
    </w:lvl>
    <w:lvl w:ilvl="5" w:tentative="1">
      <w:start w:val="1"/>
      <w:numFmt w:val="lowerRoman"/>
      <w:lvlText w:val="%6."/>
      <w:lvlJc w:val="right"/>
      <w:pPr>
        <w:ind w:left="4038" w:hanging="180"/>
      </w:pPr>
      <w:rPr>
        <w:rFonts w:cs="Times New Roman"/>
      </w:rPr>
    </w:lvl>
    <w:lvl w:ilvl="6" w:tentative="1">
      <w:start w:val="1"/>
      <w:numFmt w:val="decimal"/>
      <w:lvlText w:val="%7."/>
      <w:lvlJc w:val="left"/>
      <w:pPr>
        <w:ind w:left="4758" w:hanging="360"/>
      </w:pPr>
      <w:rPr>
        <w:rFonts w:cs="Times New Roman"/>
      </w:rPr>
    </w:lvl>
    <w:lvl w:ilvl="7" w:tentative="1">
      <w:start w:val="1"/>
      <w:numFmt w:val="lowerLetter"/>
      <w:lvlText w:val="%8."/>
      <w:lvlJc w:val="left"/>
      <w:pPr>
        <w:ind w:left="5478" w:hanging="360"/>
      </w:pPr>
      <w:rPr>
        <w:rFonts w:cs="Times New Roman"/>
      </w:rPr>
    </w:lvl>
    <w:lvl w:ilvl="8" w:tentative="1">
      <w:start w:val="1"/>
      <w:numFmt w:val="lowerRoman"/>
      <w:lvlText w:val="%9."/>
      <w:lvlJc w:val="right"/>
      <w:pPr>
        <w:ind w:left="6198" w:hanging="180"/>
      </w:pPr>
      <w:rPr>
        <w:rFonts w:cs="Times New Roman"/>
      </w:rPr>
    </w:lvl>
  </w:abstractNum>
  <w:abstractNum w:abstractNumId="2">
    <w:nsid w:val="12B31CB0"/>
    <w:multiLevelType w:val="hybridMultilevel"/>
    <w:tmpl w:val="1B64100A"/>
    <w:lvl w:ilvl="0">
      <w:start w:val="1"/>
      <w:numFmt w:val="decimal"/>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3321BB4"/>
    <w:multiLevelType w:val="hybridMultilevel"/>
    <w:tmpl w:val="ED64A3A2"/>
    <w:lvl w:ilvl="0">
      <w:start w:val="1"/>
      <w:numFmt w:val="decimal"/>
      <w:lvlText w:val="%1."/>
      <w:lvlJc w:val="left"/>
      <w:pPr>
        <w:ind w:left="785" w:hanging="360"/>
      </w:pPr>
      <w:rPr>
        <w:rFonts w:eastAsia="Times New Roman" w:cs="Times New Roman" w:hint="default"/>
        <w:b/>
        <w:bCs w:val="0"/>
      </w:rPr>
    </w:lvl>
    <w:lvl w:ilvl="1" w:tentative="1">
      <w:start w:val="1"/>
      <w:numFmt w:val="lowerLetter"/>
      <w:lvlText w:val="%2."/>
      <w:lvlJc w:val="left"/>
      <w:pPr>
        <w:ind w:left="1362" w:hanging="360"/>
      </w:pPr>
      <w:rPr>
        <w:rFonts w:cs="Times New Roman"/>
      </w:rPr>
    </w:lvl>
    <w:lvl w:ilvl="2" w:tentative="1">
      <w:start w:val="1"/>
      <w:numFmt w:val="lowerRoman"/>
      <w:lvlText w:val="%3."/>
      <w:lvlJc w:val="right"/>
      <w:pPr>
        <w:ind w:left="2082" w:hanging="180"/>
      </w:pPr>
      <w:rPr>
        <w:rFonts w:cs="Times New Roman"/>
      </w:rPr>
    </w:lvl>
    <w:lvl w:ilvl="3" w:tentative="1">
      <w:start w:val="1"/>
      <w:numFmt w:val="decimal"/>
      <w:lvlText w:val="%4."/>
      <w:lvlJc w:val="left"/>
      <w:pPr>
        <w:ind w:left="2802" w:hanging="360"/>
      </w:pPr>
      <w:rPr>
        <w:rFonts w:cs="Times New Roman"/>
      </w:rPr>
    </w:lvl>
    <w:lvl w:ilvl="4" w:tentative="1">
      <w:start w:val="1"/>
      <w:numFmt w:val="lowerLetter"/>
      <w:lvlText w:val="%5."/>
      <w:lvlJc w:val="left"/>
      <w:pPr>
        <w:ind w:left="3522" w:hanging="360"/>
      </w:pPr>
      <w:rPr>
        <w:rFonts w:cs="Times New Roman"/>
      </w:rPr>
    </w:lvl>
    <w:lvl w:ilvl="5" w:tentative="1">
      <w:start w:val="1"/>
      <w:numFmt w:val="lowerRoman"/>
      <w:lvlText w:val="%6."/>
      <w:lvlJc w:val="right"/>
      <w:pPr>
        <w:ind w:left="4242" w:hanging="180"/>
      </w:pPr>
      <w:rPr>
        <w:rFonts w:cs="Times New Roman"/>
      </w:rPr>
    </w:lvl>
    <w:lvl w:ilvl="6" w:tentative="1">
      <w:start w:val="1"/>
      <w:numFmt w:val="decimal"/>
      <w:lvlText w:val="%7."/>
      <w:lvlJc w:val="left"/>
      <w:pPr>
        <w:ind w:left="4962" w:hanging="360"/>
      </w:pPr>
      <w:rPr>
        <w:rFonts w:cs="Times New Roman"/>
      </w:rPr>
    </w:lvl>
    <w:lvl w:ilvl="7" w:tentative="1">
      <w:start w:val="1"/>
      <w:numFmt w:val="lowerLetter"/>
      <w:lvlText w:val="%8."/>
      <w:lvlJc w:val="left"/>
      <w:pPr>
        <w:ind w:left="5682" w:hanging="360"/>
      </w:pPr>
      <w:rPr>
        <w:rFonts w:cs="Times New Roman"/>
      </w:rPr>
    </w:lvl>
    <w:lvl w:ilvl="8" w:tentative="1">
      <w:start w:val="1"/>
      <w:numFmt w:val="lowerRoman"/>
      <w:lvlText w:val="%9."/>
      <w:lvlJc w:val="right"/>
      <w:pPr>
        <w:ind w:left="6402" w:hanging="180"/>
      </w:pPr>
      <w:rPr>
        <w:rFonts w:cs="Times New Roman"/>
      </w:rPr>
    </w:lvl>
  </w:abstractNum>
  <w:abstractNum w:abstractNumId="4">
    <w:nsid w:val="13997AF5"/>
    <w:multiLevelType w:val="multilevel"/>
    <w:tmpl w:val="32F0A33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nsid w:val="1426371B"/>
    <w:multiLevelType w:val="hybridMultilevel"/>
    <w:tmpl w:val="A5A06B3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D143103"/>
    <w:multiLevelType w:val="hybridMultilevel"/>
    <w:tmpl w:val="800E3A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0AD4B8B"/>
    <w:multiLevelType w:val="hybridMultilevel"/>
    <w:tmpl w:val="7018DB84"/>
    <w:lvl w:ilvl="0">
      <w:start w:val="1"/>
      <w:numFmt w:val="decimal"/>
      <w:lvlText w:val="%1."/>
      <w:lvlJc w:val="left"/>
      <w:pPr>
        <w:ind w:left="642" w:hanging="360"/>
      </w:pPr>
      <w:rPr>
        <w:rFonts w:eastAsia="Times New Roman" w:cs="Times New Roman" w:hint="default"/>
        <w:b w:val="0"/>
        <w:bCs/>
      </w:rPr>
    </w:lvl>
    <w:lvl w:ilvl="1" w:tentative="1">
      <w:start w:val="1"/>
      <w:numFmt w:val="lowerLetter"/>
      <w:lvlText w:val="%2."/>
      <w:lvlJc w:val="left"/>
      <w:pPr>
        <w:ind w:left="1362" w:hanging="360"/>
      </w:pPr>
      <w:rPr>
        <w:rFonts w:cs="Times New Roman"/>
      </w:rPr>
    </w:lvl>
    <w:lvl w:ilvl="2" w:tentative="1">
      <w:start w:val="1"/>
      <w:numFmt w:val="lowerRoman"/>
      <w:lvlText w:val="%3."/>
      <w:lvlJc w:val="right"/>
      <w:pPr>
        <w:ind w:left="2082" w:hanging="180"/>
      </w:pPr>
      <w:rPr>
        <w:rFonts w:cs="Times New Roman"/>
      </w:rPr>
    </w:lvl>
    <w:lvl w:ilvl="3" w:tentative="1">
      <w:start w:val="1"/>
      <w:numFmt w:val="decimal"/>
      <w:lvlText w:val="%4."/>
      <w:lvlJc w:val="left"/>
      <w:pPr>
        <w:ind w:left="2802" w:hanging="360"/>
      </w:pPr>
      <w:rPr>
        <w:rFonts w:cs="Times New Roman"/>
      </w:rPr>
    </w:lvl>
    <w:lvl w:ilvl="4" w:tentative="1">
      <w:start w:val="1"/>
      <w:numFmt w:val="lowerLetter"/>
      <w:lvlText w:val="%5."/>
      <w:lvlJc w:val="left"/>
      <w:pPr>
        <w:ind w:left="3522" w:hanging="360"/>
      </w:pPr>
      <w:rPr>
        <w:rFonts w:cs="Times New Roman"/>
      </w:rPr>
    </w:lvl>
    <w:lvl w:ilvl="5" w:tentative="1">
      <w:start w:val="1"/>
      <w:numFmt w:val="lowerRoman"/>
      <w:lvlText w:val="%6."/>
      <w:lvlJc w:val="right"/>
      <w:pPr>
        <w:ind w:left="4242" w:hanging="180"/>
      </w:pPr>
      <w:rPr>
        <w:rFonts w:cs="Times New Roman"/>
      </w:rPr>
    </w:lvl>
    <w:lvl w:ilvl="6" w:tentative="1">
      <w:start w:val="1"/>
      <w:numFmt w:val="decimal"/>
      <w:lvlText w:val="%7."/>
      <w:lvlJc w:val="left"/>
      <w:pPr>
        <w:ind w:left="4962" w:hanging="360"/>
      </w:pPr>
      <w:rPr>
        <w:rFonts w:cs="Times New Roman"/>
      </w:rPr>
    </w:lvl>
    <w:lvl w:ilvl="7" w:tentative="1">
      <w:start w:val="1"/>
      <w:numFmt w:val="lowerLetter"/>
      <w:lvlText w:val="%8."/>
      <w:lvlJc w:val="left"/>
      <w:pPr>
        <w:ind w:left="5682" w:hanging="360"/>
      </w:pPr>
      <w:rPr>
        <w:rFonts w:cs="Times New Roman"/>
      </w:rPr>
    </w:lvl>
    <w:lvl w:ilvl="8" w:tentative="1">
      <w:start w:val="1"/>
      <w:numFmt w:val="lowerRoman"/>
      <w:lvlText w:val="%9."/>
      <w:lvlJc w:val="right"/>
      <w:pPr>
        <w:ind w:left="6402" w:hanging="180"/>
      </w:pPr>
      <w:rPr>
        <w:rFonts w:cs="Times New Roman"/>
      </w:rPr>
    </w:lvl>
  </w:abstractNum>
  <w:abstractNum w:abstractNumId="8">
    <w:nsid w:val="24B45026"/>
    <w:multiLevelType w:val="multilevel"/>
    <w:tmpl w:val="2A6AB3C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nsid w:val="27F932C8"/>
    <w:multiLevelType w:val="multilevel"/>
    <w:tmpl w:val="2A6AB3C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0">
    <w:nsid w:val="285F1089"/>
    <w:multiLevelType w:val="multilevel"/>
    <w:tmpl w:val="2A6AB3C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1">
    <w:nsid w:val="2A14778B"/>
    <w:multiLevelType w:val="multilevel"/>
    <w:tmpl w:val="32F0A33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nsid w:val="37225EEE"/>
    <w:multiLevelType w:val="hybridMultilevel"/>
    <w:tmpl w:val="ED64A3A2"/>
    <w:lvl w:ilvl="0">
      <w:start w:val="1"/>
      <w:numFmt w:val="decimal"/>
      <w:lvlText w:val="%1."/>
      <w:lvlJc w:val="left"/>
      <w:pPr>
        <w:ind w:left="785" w:hanging="360"/>
      </w:pPr>
      <w:rPr>
        <w:rFonts w:eastAsia="Times New Roman" w:cs="Times New Roman" w:hint="default"/>
        <w:b/>
        <w:bCs w:val="0"/>
      </w:rPr>
    </w:lvl>
    <w:lvl w:ilvl="1" w:tentative="1">
      <w:start w:val="1"/>
      <w:numFmt w:val="lowerLetter"/>
      <w:lvlText w:val="%2."/>
      <w:lvlJc w:val="left"/>
      <w:pPr>
        <w:ind w:left="1362" w:hanging="360"/>
      </w:pPr>
      <w:rPr>
        <w:rFonts w:cs="Times New Roman"/>
      </w:rPr>
    </w:lvl>
    <w:lvl w:ilvl="2" w:tentative="1">
      <w:start w:val="1"/>
      <w:numFmt w:val="lowerRoman"/>
      <w:lvlText w:val="%3."/>
      <w:lvlJc w:val="right"/>
      <w:pPr>
        <w:ind w:left="2082" w:hanging="180"/>
      </w:pPr>
      <w:rPr>
        <w:rFonts w:cs="Times New Roman"/>
      </w:rPr>
    </w:lvl>
    <w:lvl w:ilvl="3" w:tentative="1">
      <w:start w:val="1"/>
      <w:numFmt w:val="decimal"/>
      <w:lvlText w:val="%4."/>
      <w:lvlJc w:val="left"/>
      <w:pPr>
        <w:ind w:left="2802" w:hanging="360"/>
      </w:pPr>
      <w:rPr>
        <w:rFonts w:cs="Times New Roman"/>
      </w:rPr>
    </w:lvl>
    <w:lvl w:ilvl="4" w:tentative="1">
      <w:start w:val="1"/>
      <w:numFmt w:val="lowerLetter"/>
      <w:lvlText w:val="%5."/>
      <w:lvlJc w:val="left"/>
      <w:pPr>
        <w:ind w:left="3522" w:hanging="360"/>
      </w:pPr>
      <w:rPr>
        <w:rFonts w:cs="Times New Roman"/>
      </w:rPr>
    </w:lvl>
    <w:lvl w:ilvl="5" w:tentative="1">
      <w:start w:val="1"/>
      <w:numFmt w:val="lowerRoman"/>
      <w:lvlText w:val="%6."/>
      <w:lvlJc w:val="right"/>
      <w:pPr>
        <w:ind w:left="4242" w:hanging="180"/>
      </w:pPr>
      <w:rPr>
        <w:rFonts w:cs="Times New Roman"/>
      </w:rPr>
    </w:lvl>
    <w:lvl w:ilvl="6" w:tentative="1">
      <w:start w:val="1"/>
      <w:numFmt w:val="decimal"/>
      <w:lvlText w:val="%7."/>
      <w:lvlJc w:val="left"/>
      <w:pPr>
        <w:ind w:left="4962" w:hanging="360"/>
      </w:pPr>
      <w:rPr>
        <w:rFonts w:cs="Times New Roman"/>
      </w:rPr>
    </w:lvl>
    <w:lvl w:ilvl="7" w:tentative="1">
      <w:start w:val="1"/>
      <w:numFmt w:val="lowerLetter"/>
      <w:lvlText w:val="%8."/>
      <w:lvlJc w:val="left"/>
      <w:pPr>
        <w:ind w:left="5682" w:hanging="360"/>
      </w:pPr>
      <w:rPr>
        <w:rFonts w:cs="Times New Roman"/>
      </w:rPr>
    </w:lvl>
    <w:lvl w:ilvl="8" w:tentative="1">
      <w:start w:val="1"/>
      <w:numFmt w:val="lowerRoman"/>
      <w:lvlText w:val="%9."/>
      <w:lvlJc w:val="right"/>
      <w:pPr>
        <w:ind w:left="6402" w:hanging="180"/>
      </w:pPr>
      <w:rPr>
        <w:rFonts w:cs="Times New Roman"/>
      </w:rPr>
    </w:lvl>
  </w:abstractNum>
  <w:abstractNum w:abstractNumId="13">
    <w:nsid w:val="3F090DB9"/>
    <w:multiLevelType w:val="hybridMultilevel"/>
    <w:tmpl w:val="4836B2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42736B1D"/>
    <w:multiLevelType w:val="hybridMultilevel"/>
    <w:tmpl w:val="7018DB84"/>
    <w:lvl w:ilvl="0">
      <w:start w:val="1"/>
      <w:numFmt w:val="decimal"/>
      <w:lvlText w:val="%1."/>
      <w:lvlJc w:val="left"/>
      <w:pPr>
        <w:ind w:left="642" w:hanging="360"/>
      </w:pPr>
      <w:rPr>
        <w:rFonts w:eastAsia="Times New Roman" w:cs="Times New Roman" w:hint="default"/>
        <w:b w:val="0"/>
        <w:bCs/>
      </w:rPr>
    </w:lvl>
    <w:lvl w:ilvl="1" w:tentative="1">
      <w:start w:val="1"/>
      <w:numFmt w:val="lowerLetter"/>
      <w:lvlText w:val="%2."/>
      <w:lvlJc w:val="left"/>
      <w:pPr>
        <w:ind w:left="1362" w:hanging="360"/>
      </w:pPr>
      <w:rPr>
        <w:rFonts w:cs="Times New Roman"/>
      </w:rPr>
    </w:lvl>
    <w:lvl w:ilvl="2" w:tentative="1">
      <w:start w:val="1"/>
      <w:numFmt w:val="lowerRoman"/>
      <w:lvlText w:val="%3."/>
      <w:lvlJc w:val="right"/>
      <w:pPr>
        <w:ind w:left="2082" w:hanging="180"/>
      </w:pPr>
      <w:rPr>
        <w:rFonts w:cs="Times New Roman"/>
      </w:rPr>
    </w:lvl>
    <w:lvl w:ilvl="3" w:tentative="1">
      <w:start w:val="1"/>
      <w:numFmt w:val="decimal"/>
      <w:lvlText w:val="%4."/>
      <w:lvlJc w:val="left"/>
      <w:pPr>
        <w:ind w:left="2802" w:hanging="360"/>
      </w:pPr>
      <w:rPr>
        <w:rFonts w:cs="Times New Roman"/>
      </w:rPr>
    </w:lvl>
    <w:lvl w:ilvl="4" w:tentative="1">
      <w:start w:val="1"/>
      <w:numFmt w:val="lowerLetter"/>
      <w:lvlText w:val="%5."/>
      <w:lvlJc w:val="left"/>
      <w:pPr>
        <w:ind w:left="3522" w:hanging="360"/>
      </w:pPr>
      <w:rPr>
        <w:rFonts w:cs="Times New Roman"/>
      </w:rPr>
    </w:lvl>
    <w:lvl w:ilvl="5" w:tentative="1">
      <w:start w:val="1"/>
      <w:numFmt w:val="lowerRoman"/>
      <w:lvlText w:val="%6."/>
      <w:lvlJc w:val="right"/>
      <w:pPr>
        <w:ind w:left="4242" w:hanging="180"/>
      </w:pPr>
      <w:rPr>
        <w:rFonts w:cs="Times New Roman"/>
      </w:rPr>
    </w:lvl>
    <w:lvl w:ilvl="6" w:tentative="1">
      <w:start w:val="1"/>
      <w:numFmt w:val="decimal"/>
      <w:lvlText w:val="%7."/>
      <w:lvlJc w:val="left"/>
      <w:pPr>
        <w:ind w:left="4962" w:hanging="360"/>
      </w:pPr>
      <w:rPr>
        <w:rFonts w:cs="Times New Roman"/>
      </w:rPr>
    </w:lvl>
    <w:lvl w:ilvl="7" w:tentative="1">
      <w:start w:val="1"/>
      <w:numFmt w:val="lowerLetter"/>
      <w:lvlText w:val="%8."/>
      <w:lvlJc w:val="left"/>
      <w:pPr>
        <w:ind w:left="5682" w:hanging="360"/>
      </w:pPr>
      <w:rPr>
        <w:rFonts w:cs="Times New Roman"/>
      </w:rPr>
    </w:lvl>
    <w:lvl w:ilvl="8" w:tentative="1">
      <w:start w:val="1"/>
      <w:numFmt w:val="lowerRoman"/>
      <w:lvlText w:val="%9."/>
      <w:lvlJc w:val="right"/>
      <w:pPr>
        <w:ind w:left="6402" w:hanging="180"/>
      </w:pPr>
      <w:rPr>
        <w:rFonts w:cs="Times New Roman"/>
      </w:rPr>
    </w:lvl>
  </w:abstractNum>
  <w:abstractNum w:abstractNumId="17">
    <w:nsid w:val="43D44F4A"/>
    <w:multiLevelType w:val="hybridMultilevel"/>
    <w:tmpl w:val="8C9CE162"/>
    <w:lvl w:ilvl="0">
      <w:start w:val="1"/>
      <w:numFmt w:val="hebrew1"/>
      <w:lvlText w:val="%1."/>
      <w:lvlJc w:val="left"/>
      <w:pPr>
        <w:ind w:left="438" w:hanging="360"/>
      </w:pPr>
      <w:rPr>
        <w:rFonts w:cs="Times New Roman" w:hint="default"/>
        <w:sz w:val="2"/>
        <w:szCs w:val="24"/>
      </w:rPr>
    </w:lvl>
    <w:lvl w:ilvl="1" w:tentative="1">
      <w:start w:val="1"/>
      <w:numFmt w:val="lowerLetter"/>
      <w:lvlText w:val="%2."/>
      <w:lvlJc w:val="left"/>
      <w:pPr>
        <w:ind w:left="1158" w:hanging="360"/>
      </w:pPr>
      <w:rPr>
        <w:rFonts w:cs="Times New Roman"/>
      </w:rPr>
    </w:lvl>
    <w:lvl w:ilvl="2" w:tentative="1">
      <w:start w:val="1"/>
      <w:numFmt w:val="lowerRoman"/>
      <w:lvlText w:val="%3."/>
      <w:lvlJc w:val="right"/>
      <w:pPr>
        <w:ind w:left="1878" w:hanging="180"/>
      </w:pPr>
      <w:rPr>
        <w:rFonts w:cs="Times New Roman"/>
      </w:rPr>
    </w:lvl>
    <w:lvl w:ilvl="3" w:tentative="1">
      <w:start w:val="1"/>
      <w:numFmt w:val="decimal"/>
      <w:lvlText w:val="%4."/>
      <w:lvlJc w:val="left"/>
      <w:pPr>
        <w:ind w:left="2598" w:hanging="360"/>
      </w:pPr>
      <w:rPr>
        <w:rFonts w:cs="Times New Roman"/>
      </w:rPr>
    </w:lvl>
    <w:lvl w:ilvl="4" w:tentative="1">
      <w:start w:val="1"/>
      <w:numFmt w:val="lowerLetter"/>
      <w:lvlText w:val="%5."/>
      <w:lvlJc w:val="left"/>
      <w:pPr>
        <w:ind w:left="3318" w:hanging="360"/>
      </w:pPr>
      <w:rPr>
        <w:rFonts w:cs="Times New Roman"/>
      </w:rPr>
    </w:lvl>
    <w:lvl w:ilvl="5" w:tentative="1">
      <w:start w:val="1"/>
      <w:numFmt w:val="lowerRoman"/>
      <w:lvlText w:val="%6."/>
      <w:lvlJc w:val="right"/>
      <w:pPr>
        <w:ind w:left="4038" w:hanging="180"/>
      </w:pPr>
      <w:rPr>
        <w:rFonts w:cs="Times New Roman"/>
      </w:rPr>
    </w:lvl>
    <w:lvl w:ilvl="6" w:tentative="1">
      <w:start w:val="1"/>
      <w:numFmt w:val="decimal"/>
      <w:lvlText w:val="%7."/>
      <w:lvlJc w:val="left"/>
      <w:pPr>
        <w:ind w:left="4758" w:hanging="360"/>
      </w:pPr>
      <w:rPr>
        <w:rFonts w:cs="Times New Roman"/>
      </w:rPr>
    </w:lvl>
    <w:lvl w:ilvl="7" w:tentative="1">
      <w:start w:val="1"/>
      <w:numFmt w:val="lowerLetter"/>
      <w:lvlText w:val="%8."/>
      <w:lvlJc w:val="left"/>
      <w:pPr>
        <w:ind w:left="5478" w:hanging="360"/>
      </w:pPr>
      <w:rPr>
        <w:rFonts w:cs="Times New Roman"/>
      </w:rPr>
    </w:lvl>
    <w:lvl w:ilvl="8" w:tentative="1">
      <w:start w:val="1"/>
      <w:numFmt w:val="lowerRoman"/>
      <w:lvlText w:val="%9."/>
      <w:lvlJc w:val="right"/>
      <w:pPr>
        <w:ind w:left="6198" w:hanging="180"/>
      </w:pPr>
      <w:rPr>
        <w:rFonts w:cs="Times New Roman"/>
      </w:rPr>
    </w:lvl>
  </w:abstractNum>
  <w:abstractNum w:abstractNumId="18">
    <w:nsid w:val="4DDB0BAC"/>
    <w:multiLevelType w:val="multilevel"/>
    <w:tmpl w:val="2A6AB3C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9">
    <w:nsid w:val="4F117D81"/>
    <w:multiLevelType w:val="hybridMultilevel"/>
    <w:tmpl w:val="170C7F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79D749F"/>
    <w:multiLevelType w:val="hybridMultilevel"/>
    <w:tmpl w:val="968AD32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58D05990"/>
    <w:multiLevelType w:val="multilevel"/>
    <w:tmpl w:val="2A6AB3C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2">
    <w:nsid w:val="597939FD"/>
    <w:multiLevelType w:val="hybridMultilevel"/>
    <w:tmpl w:val="F2043BCC"/>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3">
    <w:nsid w:val="5A9F3F15"/>
    <w:multiLevelType w:val="hybridMultilevel"/>
    <w:tmpl w:val="56C05D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EE24317"/>
    <w:multiLevelType w:val="multilevel"/>
    <w:tmpl w:val="32F0A33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5">
    <w:nsid w:val="60FC5FC5"/>
    <w:multiLevelType w:val="hybridMultilevel"/>
    <w:tmpl w:val="93CEEFC6"/>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6">
    <w:nsid w:val="66F35481"/>
    <w:multiLevelType w:val="multilevel"/>
    <w:tmpl w:val="2A6AB3C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7">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8">
    <w:nsid w:val="69F706FE"/>
    <w:multiLevelType w:val="multilevel"/>
    <w:tmpl w:val="2A6AB3C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9">
    <w:nsid w:val="6A8A6E24"/>
    <w:multiLevelType w:val="multilevel"/>
    <w:tmpl w:val="32F0A33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0">
    <w:nsid w:val="6B9A3823"/>
    <w:multiLevelType w:val="multilevel"/>
    <w:tmpl w:val="32F0A33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1">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32">
    <w:nsid w:val="6EDA003B"/>
    <w:multiLevelType w:val="multilevel"/>
    <w:tmpl w:val="32F0A33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3">
    <w:nsid w:val="6F5B5531"/>
    <w:multiLevelType w:val="hybridMultilevel"/>
    <w:tmpl w:val="F3A0DE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abstractNum w:abstractNumId="35">
    <w:nsid w:val="7DDD61CF"/>
    <w:multiLevelType w:val="hybridMultilevel"/>
    <w:tmpl w:val="26B4525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27"/>
  </w:num>
  <w:num w:numId="2">
    <w:abstractNumId w:val="15"/>
  </w:num>
  <w:num w:numId="3">
    <w:abstractNumId w:val="14"/>
  </w:num>
  <w:num w:numId="4">
    <w:abstractNumId w:val="34"/>
  </w:num>
  <w:num w:numId="5">
    <w:abstractNumId w:val="31"/>
  </w:num>
  <w:num w:numId="6">
    <w:abstractNumId w:val="3"/>
  </w:num>
  <w:num w:numId="7">
    <w:abstractNumId w:val="22"/>
  </w:num>
  <w:num w:numId="8">
    <w:abstractNumId w:val="25"/>
  </w:num>
  <w:num w:numId="9">
    <w:abstractNumId w:val="17"/>
  </w:num>
  <w:num w:numId="10">
    <w:abstractNumId w:val="1"/>
  </w:num>
  <w:num w:numId="11">
    <w:abstractNumId w:val="16"/>
  </w:num>
  <w:num w:numId="12">
    <w:abstractNumId w:val="7"/>
  </w:num>
  <w:num w:numId="13">
    <w:abstractNumId w:val="12"/>
  </w:num>
  <w:num w:numId="14">
    <w:abstractNumId w:val="20"/>
  </w:num>
  <w:num w:numId="15">
    <w:abstractNumId w:val="35"/>
  </w:num>
  <w:num w:numId="16">
    <w:abstractNumId w:val="5"/>
  </w:num>
  <w:num w:numId="17">
    <w:abstractNumId w:val="2"/>
  </w:num>
  <w:num w:numId="18">
    <w:abstractNumId w:val="13"/>
  </w:num>
  <w:num w:numId="19">
    <w:abstractNumId w:val="23"/>
  </w:num>
  <w:num w:numId="20">
    <w:abstractNumId w:val="6"/>
  </w:num>
  <w:num w:numId="21">
    <w:abstractNumId w:val="33"/>
  </w:num>
  <w:num w:numId="22">
    <w:abstractNumId w:val="19"/>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0"/>
  </w:num>
  <w:num w:numId="26">
    <w:abstractNumId w:val="26"/>
  </w:num>
  <w:num w:numId="27">
    <w:abstractNumId w:val="28"/>
  </w:num>
  <w:num w:numId="28">
    <w:abstractNumId w:val="9"/>
  </w:num>
  <w:num w:numId="29">
    <w:abstractNumId w:val="18"/>
  </w:num>
  <w:num w:numId="30">
    <w:abstractNumId w:val="21"/>
  </w:num>
  <w:num w:numId="31">
    <w:abstractNumId w:val="32"/>
  </w:num>
  <w:num w:numId="32">
    <w:abstractNumId w:val="24"/>
  </w:num>
  <w:num w:numId="33">
    <w:abstractNumId w:val="11"/>
  </w:num>
  <w:num w:numId="34">
    <w:abstractNumId w:val="29"/>
  </w:num>
  <w:num w:numId="35">
    <w:abstractNumId w:val="30"/>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DA9"/>
    <w:rsid w:val="00222BEB"/>
    <w:rsid w:val="00324F05"/>
    <w:rsid w:val="0036454A"/>
    <w:rsid w:val="004A6B26"/>
    <w:rsid w:val="004C0316"/>
    <w:rsid w:val="0059662F"/>
    <w:rsid w:val="005B7DA9"/>
    <w:rsid w:val="00607B01"/>
    <w:rsid w:val="006D4208"/>
    <w:rsid w:val="00865613"/>
    <w:rsid w:val="008F3E66"/>
    <w:rsid w:val="00A03368"/>
    <w:rsid w:val="00A249D9"/>
    <w:rsid w:val="00A61749"/>
    <w:rsid w:val="00A63D74"/>
    <w:rsid w:val="00B767A7"/>
    <w:rsid w:val="00B871CA"/>
    <w:rsid w:val="00B90414"/>
    <w:rsid w:val="00C01441"/>
    <w:rsid w:val="00D121D3"/>
    <w:rsid w:val="00DE227E"/>
    <w:rsid w:val="00E425F8"/>
    <w:rsid w:val="00FE2A5F"/>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qFormat/>
    <w:locked/>
    <w:pPr>
      <w:keepNext/>
      <w:spacing w:line="360" w:lineRule="exact"/>
      <w:ind w:left="1293"/>
      <w:outlineLvl w:val="1"/>
    </w:pPr>
    <w:rPr>
      <w:sz w:val="32"/>
      <w:szCs w:val="32"/>
    </w:rPr>
  </w:style>
  <w:style w:type="paragraph" w:styleId="Heading3">
    <w:name w:val="heading 3"/>
    <w:basedOn w:val="Normal"/>
    <w:next w:val="Normal"/>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semiHidden/>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semiHidden/>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semiHidden/>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semiHidden/>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semiHidden/>
    <w:rPr>
      <w:rFonts w:cs="Times New Roman"/>
    </w:rPr>
  </w:style>
  <w:style w:type="paragraph" w:styleId="FootnoteText">
    <w:name w:val="footnote text"/>
    <w:basedOn w:val="Normal"/>
    <w:semiHidden/>
    <w:rPr>
      <w:sz w:val="20"/>
      <w:szCs w:val="20"/>
    </w:rPr>
  </w:style>
  <w:style w:type="character" w:customStyle="1" w:styleId="10">
    <w:name w:val="טקסט הערת שוליים תו1"/>
    <w:semiHidden/>
    <w:locked/>
    <w:rPr>
      <w:rFonts w:cs="David"/>
      <w:sz w:val="20"/>
      <w:szCs w:val="20"/>
      <w:lang w:bidi="he-IL"/>
    </w:rPr>
  </w:style>
  <w:style w:type="character" w:styleId="FootnoteReference">
    <w:name w:val="footnote reference"/>
    <w:semiHidden/>
    <w:rPr>
      <w:rFonts w:cs="Times New Roman"/>
      <w:vertAlign w:val="superscript"/>
    </w:rPr>
  </w:style>
  <w:style w:type="paragraph" w:styleId="EndnoteText">
    <w:name w:val="endnote text"/>
    <w:basedOn w:val="Normal"/>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semiHidden/>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semiHidden/>
    <w:rPr>
      <w:rFonts w:cs="Times New Roman"/>
      <w:sz w:val="16"/>
    </w:rPr>
  </w:style>
  <w:style w:type="paragraph" w:styleId="CommentText">
    <w:name w:val="annotation text"/>
    <w:basedOn w:val="Normal"/>
    <w:semiHidden/>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semiHidden/>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pPr>
      <w:spacing w:after="200" w:line="276" w:lineRule="auto"/>
      <w:ind w:left="-567"/>
    </w:pPr>
    <w:rPr>
      <w:rFonts w:ascii="Rockwell" w:eastAsia="Rockwell" w:hAnsi="Rockwell"/>
      <w:sz w:val="22"/>
      <w:szCs w:val="20"/>
    </w:rPr>
  </w:style>
  <w:style w:type="character" w:customStyle="1" w:styleId="a17">
    <w:name w:val="נבנצאל תו"/>
    <w:locked/>
    <w:rPr>
      <w:rFonts w:ascii="Rockwell" w:eastAsia="Rockwell" w:hAnsi="Rockwell" w:cs="David"/>
      <w:sz w:val="22"/>
    </w:rPr>
  </w:style>
  <w:style w:type="paragraph" w:styleId="Date">
    <w:name w:val="Date"/>
    <w:basedOn w:val="Normal"/>
    <w:next w:val="Normal"/>
    <w:semiHidden/>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semiHidden/>
    <w:rPr>
      <w:rFonts w:ascii="Rockwell" w:eastAsia="Rockwell" w:hAnsi="Rockwell" w:cs="David"/>
      <w:sz w:val="22"/>
      <w:szCs w:val="22"/>
    </w:rPr>
  </w:style>
  <w:style w:type="paragraph" w:customStyle="1" w:styleId="tab-name">
    <w:name w:val="tab-name"/>
    <w:basedOn w:val="KOT5"/>
    <w:qFormat/>
    <w:pPr>
      <w:jc w:val="center"/>
      <w:outlineLvl w:val="9"/>
    </w:pPr>
  </w:style>
  <w:style w:type="character" w:customStyle="1" w:styleId="Heading1Char">
    <w:name w:val="Heading 1 Char"/>
    <w:locked/>
    <w:rPr>
      <w:rFonts w:cs="David"/>
      <w:b/>
      <w:bCs/>
      <w:sz w:val="56"/>
      <w:szCs w:val="56"/>
      <w:lang w:eastAsia="he-IL"/>
    </w:rPr>
  </w:style>
  <w:style w:type="character" w:customStyle="1" w:styleId="Heading2Char">
    <w:name w:val="Heading 2 Char"/>
    <w:locked/>
    <w:rPr>
      <w:rFonts w:cs="David"/>
      <w:sz w:val="32"/>
      <w:szCs w:val="32"/>
    </w:rPr>
  </w:style>
  <w:style w:type="character" w:customStyle="1" w:styleId="Heading3Char">
    <w:name w:val="Heading 3 Char"/>
    <w:locked/>
    <w:rPr>
      <w:rFonts w:cs="David"/>
      <w:b/>
      <w:bCs/>
      <w:sz w:val="38"/>
      <w:szCs w:val="36"/>
      <w:lang w:eastAsia="he-IL"/>
    </w:rPr>
  </w:style>
  <w:style w:type="character" w:customStyle="1" w:styleId="Heading4Char">
    <w:name w:val="Heading 4 Char"/>
    <w:locked/>
    <w:rPr>
      <w:rFonts w:cs="David"/>
      <w:b/>
      <w:bCs/>
      <w:sz w:val="22"/>
      <w:szCs w:val="26"/>
      <w:lang w:eastAsia="he-IL"/>
    </w:rPr>
  </w:style>
  <w:style w:type="character" w:customStyle="1" w:styleId="Heading5Char">
    <w:name w:val="Heading 5 Char"/>
    <w:locked/>
    <w:rPr>
      <w:rFonts w:cs="David"/>
      <w:b/>
      <w:bCs/>
      <w:sz w:val="32"/>
      <w:szCs w:val="32"/>
      <w:lang w:eastAsia="he-IL"/>
    </w:rPr>
  </w:style>
  <w:style w:type="character" w:customStyle="1" w:styleId="Heading6Char">
    <w:name w:val="Heading 6 Char"/>
    <w:locked/>
    <w:rPr>
      <w:rFonts w:cs="FrankRuehl"/>
      <w:b/>
      <w:bCs/>
      <w:sz w:val="22"/>
      <w:szCs w:val="22"/>
    </w:rPr>
  </w:style>
  <w:style w:type="character" w:customStyle="1" w:styleId="Heading7Char">
    <w:name w:val="Heading 7 Char"/>
    <w:locked/>
    <w:rPr>
      <w:rFonts w:cs="David"/>
      <w:sz w:val="36"/>
      <w:szCs w:val="36"/>
      <w:lang w:eastAsia="he-IL"/>
    </w:rPr>
  </w:style>
  <w:style w:type="character" w:customStyle="1" w:styleId="Heading8Char">
    <w:name w:val="Heading 8 Char"/>
    <w:locked/>
    <w:rPr>
      <w:rFonts w:cs="David"/>
      <w:b/>
      <w:bCs/>
      <w:sz w:val="36"/>
      <w:szCs w:val="36"/>
      <w:lang w:eastAsia="he-IL"/>
    </w:rPr>
  </w:style>
  <w:style w:type="character" w:customStyle="1" w:styleId="HeaderChar">
    <w:name w:val="Header Char"/>
    <w:locked/>
    <w:rPr>
      <w:rFonts w:cs="David"/>
      <w:sz w:val="24"/>
      <w:szCs w:val="24"/>
    </w:rPr>
  </w:style>
  <w:style w:type="character" w:customStyle="1" w:styleId="FooterChar">
    <w:name w:val="Footer Char"/>
    <w:locked/>
    <w:rPr>
      <w:rFonts w:cs="David"/>
      <w:sz w:val="24"/>
      <w:szCs w:val="24"/>
    </w:rPr>
  </w:style>
  <w:style w:type="character" w:customStyle="1" w:styleId="DateChar">
    <w:name w:val="Date Char"/>
    <w:locked/>
    <w:rPr>
      <w:rFonts w:ascii="Rockwell" w:eastAsia="Rockwell" w:hAnsi="Rockwell" w:cs="David"/>
      <w:sz w:val="22"/>
      <w:szCs w:val="22"/>
    </w:rPr>
  </w:style>
  <w:style w:type="character" w:customStyle="1" w:styleId="FootnoteTextChar">
    <w:name w:val="Footnote Text Char"/>
    <w:locked/>
    <w:rPr>
      <w:rFonts w:cs="David"/>
    </w:rPr>
  </w:style>
  <w:style w:type="character" w:customStyle="1" w:styleId="BalloonTextChar">
    <w:name w:val="Balloon Text Char"/>
    <w:semiHidden/>
    <w:locked/>
    <w:rPr>
      <w:rFonts w:ascii="Tahoma" w:hAnsi="Tahoma" w:cs="Tahoma"/>
      <w:sz w:val="16"/>
      <w:szCs w:val="16"/>
    </w:rPr>
  </w:style>
  <w:style w:type="character" w:customStyle="1" w:styleId="CommentTextChar">
    <w:name w:val="Comment Text Char"/>
    <w:locked/>
    <w:rPr>
      <w:rFonts w:cs="David"/>
    </w:rPr>
  </w:style>
  <w:style w:type="character" w:customStyle="1" w:styleId="CommentSubjectChar">
    <w:name w:val="Comment Subject Char"/>
    <w:semiHidden/>
    <w:locked/>
    <w:rPr>
      <w:rFonts w:cs="David"/>
      <w:b/>
      <w:bCs/>
    </w:rPr>
  </w:style>
  <w:style w:type="character" w:customStyle="1" w:styleId="13">
    <w:name w:val="נושא הערה תו1"/>
    <w:semiHidden/>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8"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webSettings" Target="webSettings.xml"/><Relationship Id="rId12" Type="http://schemas.openxmlformats.org/officeDocument/2006/relationships/header" Target="header4.xml"/><Relationship Id="rId7" Type="http://schemas.openxmlformats.org/officeDocument/2006/relationships/header" Target="header2.xml"/><Relationship Id="rId17" Type="http://schemas.openxmlformats.org/officeDocument/2006/relationships/customXml" Target="../customXml/item2.xml"/><Relationship Id="rId16" Type="http://schemas.openxmlformats.org/officeDocument/2006/relationships/styles" Target="styles.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footer" Target="footer3.xml"/><Relationship Id="rId6" Type="http://schemas.openxmlformats.org/officeDocument/2006/relationships/header" Target="header1.xml"/><Relationship Id="rId15" Type="http://schemas.openxmlformats.org/officeDocument/2006/relationships/numbering" Target="numbering.xml"/><Relationship Id="rId5" Type="http://schemas.openxmlformats.org/officeDocument/2006/relationships/customXml" Target="../customXml/item1.xml"/><Relationship Id="rId10" Type="http://schemas.openxmlformats.org/officeDocument/2006/relationships/header" Target="header3.xml"/><Relationship Id="rId19" Type="http://schemas.openxmlformats.org/officeDocument/2006/relationships/customXml" Target="../customXml/item4.xml"/><Relationship Id="rId14"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037460D-73F7-48D1-8FDE-F50197CE8FDB}">
  <ds:schemaRefs>
    <ds:schemaRef ds:uri="http://schemas.openxmlformats.org/officeDocument/2006/bibliography"/>
  </ds:schemaRefs>
</ds:datastoreItem>
</file>

<file path=customXml/itemProps2.xml><?xml version="1.0" encoding="utf-8"?>
<ds:datastoreItem xmlns:ds="http://schemas.openxmlformats.org/officeDocument/2006/customXml" ds:itemID="{642A38E5-D8C4-4844-B5B8-DF6137C39DFC}"/>
</file>

<file path=customXml/itemProps3.xml><?xml version="1.0" encoding="utf-8"?>
<ds:datastoreItem xmlns:ds="http://schemas.openxmlformats.org/officeDocument/2006/customXml" ds:itemID="{0B18D6DD-5925-4E64-80DB-7204A0038E07}"/>
</file>

<file path=customXml/itemProps4.xml><?xml version="1.0" encoding="utf-8"?>
<ds:datastoreItem xmlns:ds="http://schemas.openxmlformats.org/officeDocument/2006/customXml" ds:itemID="{0BEF23AE-DE23-4889-9F24-4EA9564F02BD}"/>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