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5E7E86" w:rsidRPr="005E7E86" w:rsidP="00BF0FE2">
      <w:pPr>
        <w:pStyle w:val="NAME"/>
      </w:pPr>
      <w:bookmarkStart w:id="0" w:name="_Toc349122061"/>
      <w:bookmarkStart w:id="1" w:name="_Toc349136480"/>
      <w:bookmarkStart w:id="2" w:name="_Toc352831083"/>
      <w:bookmarkStart w:id="3" w:name="_Toc354324568"/>
      <w:bookmarkStart w:id="4" w:name="_Toc354661923"/>
      <w:r w:rsidRPr="005E7E86">
        <w:rPr>
          <w:rFonts w:hint="cs"/>
          <w:rtl/>
        </w:rPr>
        <w:t>מימון נסיעות שר לחו"ל</w:t>
      </w:r>
    </w:p>
    <w:p w:rsidR="001275A6">
      <w:pPr>
        <w:pStyle w:val="Footer"/>
        <w:tabs>
          <w:tab w:val="clear" w:pos="4153"/>
          <w:tab w:val="clear" w:pos="8306"/>
        </w:tabs>
        <w:spacing w:after="120" w:line="230" w:lineRule="exact"/>
        <w:jc w:val="both"/>
        <w:rPr>
          <w:rFonts w:cs="FrankRuehl"/>
          <w:szCs w:val="22"/>
          <w:rtl/>
        </w:rPr>
      </w:pPr>
    </w:p>
    <w:p w:rsidR="001275A6">
      <w:pPr>
        <w:spacing w:after="120" w:line="230" w:lineRule="exact"/>
        <w:jc w:val="both"/>
        <w:rPr>
          <w:rFonts w:cs="FrankRuehl"/>
          <w:szCs w:val="22"/>
          <w:rtl/>
        </w:rPr>
      </w:pPr>
    </w:p>
    <w:p w:rsidR="001275A6" w:rsidP="00BF0FE2">
      <w:pPr>
        <w:pStyle w:val="KOT1"/>
        <w:rPr>
          <w:rtl/>
        </w:rPr>
      </w:pPr>
      <w:r w:rsidRPr="005E7E86">
        <w:rPr>
          <w:rtl/>
        </w:rPr>
        <w:t>מימון נסיעות מר בנימין נתניהו לחו"ל בתפקיד בתקופת היותו שר האוצר;</w:t>
      </w:r>
      <w:r w:rsidR="00BF0FE2">
        <w:rPr>
          <w:rFonts w:hint="cs"/>
          <w:rtl/>
        </w:rPr>
        <w:br/>
      </w:r>
      <w:r w:rsidRPr="005E7E86">
        <w:rPr>
          <w:rtl/>
        </w:rPr>
        <w:t>ומעקב אחר יישום המלצות מבקר המדינה בדוח הביקורת בנושא נסיעות של שרים וסגני שרים לחו"ל במימון שאיננו ממשלתי</w:t>
      </w:r>
    </w:p>
    <w:p w:rsidR="001275A6">
      <w:pPr>
        <w:pStyle w:val="KOT4"/>
        <w:jc w:val="center"/>
        <w:rPr>
          <w:sz w:val="30"/>
          <w:szCs w:val="30"/>
          <w:rtl/>
        </w:rPr>
      </w:pPr>
      <w:r>
        <w:rPr>
          <w:sz w:val="30"/>
          <w:szCs w:val="30"/>
          <w:rtl/>
        </w:rPr>
        <w:t>תקציר</w:t>
      </w: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7018" w:type="dxa"/>
            <w:shd w:val="pct25" w:color="00FF00" w:fill="auto"/>
          </w:tcPr>
          <w:p w:rsidR="001275A6">
            <w:pPr>
              <w:pStyle w:val="KOT4"/>
              <w:spacing w:before="120"/>
              <w:jc w:val="center"/>
              <w:rPr>
                <w:rtl/>
              </w:rPr>
            </w:pPr>
            <w:r>
              <w:rPr>
                <w:rFonts w:hint="cs"/>
                <w:rtl/>
              </w:rPr>
              <w:t>רקע כללי</w:t>
            </w:r>
          </w:p>
        </w:tc>
      </w:tr>
      <w:tr w:rsidTr="00E44678">
        <w:tblPrEx>
          <w:tblW w:w="6691" w:type="dxa"/>
          <w:jc w:val="center"/>
          <w:tblLook w:val="04A0"/>
        </w:tblPrEx>
        <w:trPr>
          <w:jc w:val="center"/>
        </w:trPr>
        <w:tc>
          <w:tcPr>
            <w:tcW w:w="7018" w:type="dxa"/>
          </w:tcPr>
          <w:p w:rsidR="005D2E25" w:rsidRPr="005D2E25" w:rsidP="00306A96">
            <w:pPr>
              <w:pStyle w:val="PATIAH"/>
              <w:spacing w:before="60" w:line="240" w:lineRule="exact"/>
              <w:rPr>
                <w:sz w:val="22"/>
                <w:szCs w:val="22"/>
                <w:rtl/>
              </w:rPr>
            </w:pPr>
            <w:r w:rsidRPr="005D2E25">
              <w:rPr>
                <w:rFonts w:hint="cs"/>
                <w:sz w:val="22"/>
                <w:szCs w:val="22"/>
                <w:rtl/>
              </w:rPr>
              <w:t xml:space="preserve">שרי ממשלה נוסעים לחו"ל במסגרת תפקידם לצורך קידום ענייני המשרד שבראשו הם עומדים ומתוקף היותם חלק מהממשלה ומייצגיה (להלן </w:t>
            </w:r>
            <w:r w:rsidRPr="005D2E25">
              <w:rPr>
                <w:sz w:val="22"/>
                <w:szCs w:val="22"/>
                <w:rtl/>
              </w:rPr>
              <w:t>-</w:t>
            </w:r>
            <w:r w:rsidRPr="005D2E25">
              <w:rPr>
                <w:rFonts w:hint="cs"/>
                <w:sz w:val="22"/>
                <w:szCs w:val="22"/>
                <w:rtl/>
              </w:rPr>
              <w:t xml:space="preserve"> נסיעות בתפקיד)</w:t>
            </w:r>
            <w:r>
              <w:rPr>
                <w:sz w:val="22"/>
                <w:szCs w:val="22"/>
                <w:vertAlign w:val="superscript"/>
                <w:rtl/>
              </w:rPr>
              <w:footnoteReference w:id="2"/>
            </w:r>
            <w:r w:rsidRPr="005D2E25">
              <w:rPr>
                <w:rFonts w:hint="cs"/>
                <w:sz w:val="22"/>
                <w:szCs w:val="22"/>
                <w:rtl/>
              </w:rPr>
              <w:t>.</w:t>
            </w:r>
          </w:p>
          <w:p w:rsidR="005D2E25" w:rsidRPr="005D2E25" w:rsidP="00306A96">
            <w:pPr>
              <w:pStyle w:val="PATIAH"/>
              <w:spacing w:line="240" w:lineRule="exact"/>
              <w:rPr>
                <w:sz w:val="22"/>
                <w:szCs w:val="22"/>
                <w:rtl/>
              </w:rPr>
            </w:pPr>
            <w:r w:rsidRPr="005D2E25">
              <w:rPr>
                <w:rFonts w:hint="cs"/>
                <w:sz w:val="22"/>
                <w:szCs w:val="22"/>
                <w:rtl/>
              </w:rPr>
              <w:t>ההוצאות העיקריות הכרוכות בנסיעה בתפקיד הן הוצאות על טיסה, לינה ואירוח, אבטחה</w:t>
            </w:r>
            <w:r>
              <w:rPr>
                <w:sz w:val="22"/>
                <w:szCs w:val="22"/>
                <w:vertAlign w:val="superscript"/>
                <w:rtl/>
              </w:rPr>
              <w:footnoteReference w:id="3"/>
            </w:r>
            <w:r w:rsidRPr="005D2E25">
              <w:rPr>
                <w:rFonts w:hint="cs"/>
                <w:sz w:val="22"/>
                <w:szCs w:val="22"/>
                <w:rtl/>
              </w:rPr>
              <w:t xml:space="preserve"> והוצאות בגין מלווים</w:t>
            </w:r>
            <w:r>
              <w:rPr>
                <w:sz w:val="22"/>
                <w:szCs w:val="22"/>
                <w:vertAlign w:val="superscript"/>
                <w:rtl/>
              </w:rPr>
              <w:footnoteReference w:id="4"/>
            </w:r>
            <w:r w:rsidRPr="005D2E25">
              <w:rPr>
                <w:sz w:val="22"/>
                <w:szCs w:val="22"/>
                <w:rtl/>
              </w:rPr>
              <w:t>.</w:t>
            </w:r>
            <w:r w:rsidRPr="005D2E25">
              <w:rPr>
                <w:rFonts w:hint="cs"/>
                <w:sz w:val="22"/>
                <w:szCs w:val="22"/>
                <w:rtl/>
              </w:rPr>
              <w:t xml:space="preserve"> ככלל הנסיעות בתפקיד של השרים נחלקות לשניים: נסיעות הממומנות מתקציב המדינה באמצעות המשרדים הרלוונטיים (להלן - נסיעות במימון ממשלתי); ונסיעות הממומנות - במלואן או בחלקן - בידי גורמים חיצוניים כמו מדינות מזמינות, גופים וארגונים בין-לאומיים, ארגונים יהודיים בתפוצות, אנשים פרטיים וגופים עסקיים (להלן - נסיעות במימון גורמים חיצוניים או נסיעות במימון חיצוני).</w:t>
            </w:r>
          </w:p>
          <w:p w:rsidR="005D2E25" w:rsidRPr="005D2E25" w:rsidP="00306A96">
            <w:pPr>
              <w:pStyle w:val="PATIAH"/>
              <w:spacing w:line="240" w:lineRule="exact"/>
              <w:rPr>
                <w:sz w:val="22"/>
                <w:szCs w:val="22"/>
                <w:rtl/>
              </w:rPr>
            </w:pPr>
            <w:r w:rsidRPr="005D2E25">
              <w:rPr>
                <w:sz w:val="22"/>
                <w:szCs w:val="22"/>
                <w:rtl/>
              </w:rPr>
              <w:t xml:space="preserve">בחודשים מאי 2011 - מאי 2012 קיים משרד מבקר המדינה, בעקבות בקשת הוועדה לענייני ביקורת המדינה של הכנסת, </w:t>
            </w:r>
            <w:r w:rsidRPr="005D2E25">
              <w:rPr>
                <w:rFonts w:hint="cs"/>
                <w:sz w:val="22"/>
                <w:szCs w:val="22"/>
                <w:rtl/>
              </w:rPr>
              <w:t>ביקורת</w:t>
            </w:r>
            <w:r w:rsidRPr="005D2E25">
              <w:rPr>
                <w:sz w:val="22"/>
                <w:szCs w:val="22"/>
                <w:rtl/>
              </w:rPr>
              <w:t xml:space="preserve"> בנושא נסיעות לחו"ל</w:t>
            </w:r>
            <w:r w:rsidRPr="005D2E25">
              <w:rPr>
                <w:rFonts w:hint="cs"/>
                <w:sz w:val="22"/>
                <w:szCs w:val="22"/>
                <w:rtl/>
              </w:rPr>
              <w:t xml:space="preserve"> בתפקיד</w:t>
            </w:r>
            <w:r w:rsidRPr="005D2E25">
              <w:rPr>
                <w:sz w:val="22"/>
                <w:szCs w:val="22"/>
                <w:rtl/>
              </w:rPr>
              <w:t xml:space="preserve"> של שרים וסגני שרים.</w:t>
            </w:r>
            <w:r w:rsidRPr="005D2E25">
              <w:rPr>
                <w:rFonts w:hint="cs"/>
                <w:sz w:val="22"/>
                <w:szCs w:val="22"/>
                <w:rtl/>
              </w:rPr>
              <w:t xml:space="preserve"> </w:t>
            </w:r>
            <w:r w:rsidRPr="005D2E25">
              <w:rPr>
                <w:sz w:val="22"/>
                <w:szCs w:val="22"/>
                <w:rtl/>
              </w:rPr>
              <w:t xml:space="preserve">דוח הביקורת בעניין זה </w:t>
            </w:r>
            <w:r w:rsidRPr="005D2E25">
              <w:rPr>
                <w:rFonts w:hint="cs"/>
                <w:sz w:val="22"/>
                <w:szCs w:val="22"/>
                <w:rtl/>
              </w:rPr>
              <w:t xml:space="preserve">(להלן - דוח נסיעות שרים) </w:t>
            </w:r>
            <w:r w:rsidRPr="005D2E25">
              <w:rPr>
                <w:sz w:val="22"/>
                <w:szCs w:val="22"/>
                <w:rtl/>
              </w:rPr>
              <w:t xml:space="preserve">פורסם </w:t>
            </w:r>
            <w:r w:rsidRPr="005D2E25">
              <w:rPr>
                <w:rFonts w:hint="eastAsia"/>
                <w:sz w:val="22"/>
                <w:szCs w:val="22"/>
                <w:rtl/>
              </w:rPr>
              <w:t>במסגרת</w:t>
            </w:r>
            <w:r w:rsidRPr="005D2E25">
              <w:rPr>
                <w:sz w:val="22"/>
                <w:szCs w:val="22"/>
                <w:rtl/>
              </w:rPr>
              <w:t xml:space="preserve"> </w:t>
            </w:r>
            <w:r w:rsidRPr="005D2E25">
              <w:rPr>
                <w:rFonts w:hint="eastAsia"/>
                <w:sz w:val="22"/>
                <w:szCs w:val="22"/>
                <w:rtl/>
              </w:rPr>
              <w:t>דוח</w:t>
            </w:r>
            <w:r w:rsidRPr="005D2E25">
              <w:rPr>
                <w:sz w:val="22"/>
                <w:szCs w:val="22"/>
                <w:rtl/>
              </w:rPr>
              <w:t xml:space="preserve"> </w:t>
            </w:r>
            <w:r w:rsidRPr="005D2E25">
              <w:rPr>
                <w:rFonts w:hint="eastAsia"/>
                <w:sz w:val="22"/>
                <w:szCs w:val="22"/>
                <w:rtl/>
              </w:rPr>
              <w:t>שנתי</w:t>
            </w:r>
            <w:r w:rsidRPr="005D2E25">
              <w:rPr>
                <w:sz w:val="22"/>
                <w:szCs w:val="22"/>
                <w:rtl/>
              </w:rPr>
              <w:t xml:space="preserve"> 64</w:t>
            </w:r>
            <w:r w:rsidRPr="005D2E25">
              <w:rPr>
                <w:rFonts w:hint="eastAsia"/>
                <w:sz w:val="22"/>
                <w:szCs w:val="22"/>
                <w:rtl/>
              </w:rPr>
              <w:t>ג</w:t>
            </w:r>
            <w:r w:rsidRPr="005D2E25">
              <w:rPr>
                <w:sz w:val="22"/>
                <w:szCs w:val="22"/>
                <w:rtl/>
              </w:rPr>
              <w:t xml:space="preserve"> </w:t>
            </w:r>
            <w:r w:rsidRPr="005D2E25">
              <w:rPr>
                <w:rFonts w:hint="cs"/>
                <w:sz w:val="22"/>
                <w:szCs w:val="22"/>
                <w:rtl/>
              </w:rPr>
              <w:t>ב</w:t>
            </w:r>
            <w:r w:rsidRPr="005D2E25">
              <w:rPr>
                <w:rFonts w:hint="eastAsia"/>
                <w:sz w:val="22"/>
                <w:szCs w:val="22"/>
                <w:rtl/>
              </w:rPr>
              <w:t>שנת</w:t>
            </w:r>
            <w:r w:rsidRPr="005D2E25">
              <w:rPr>
                <w:sz w:val="22"/>
                <w:szCs w:val="22"/>
                <w:rtl/>
              </w:rPr>
              <w:t xml:space="preserve"> 2014.</w:t>
            </w:r>
          </w:p>
          <w:p w:rsidR="005D2E25" w:rsidRPr="005D2E25" w:rsidP="00306A96">
            <w:pPr>
              <w:pStyle w:val="PATIAH"/>
              <w:spacing w:line="240" w:lineRule="exact"/>
              <w:rPr>
                <w:sz w:val="22"/>
                <w:szCs w:val="22"/>
                <w:rtl/>
              </w:rPr>
            </w:pPr>
            <w:r w:rsidRPr="005D2E25">
              <w:rPr>
                <w:rFonts w:hint="cs"/>
                <w:sz w:val="22"/>
                <w:szCs w:val="22"/>
                <w:rtl/>
              </w:rPr>
              <w:t>הדוח הנוכחי כולל ממצאי ביקורת על היבטים</w:t>
            </w:r>
            <w:r w:rsidRPr="005D2E25">
              <w:rPr>
                <w:sz w:val="22"/>
                <w:szCs w:val="22"/>
                <w:rtl/>
              </w:rPr>
              <w:t xml:space="preserve"> </w:t>
            </w:r>
            <w:r w:rsidRPr="005D2E25">
              <w:rPr>
                <w:rFonts w:hint="cs"/>
                <w:sz w:val="22"/>
                <w:szCs w:val="22"/>
                <w:rtl/>
              </w:rPr>
              <w:t>הנוגעים</w:t>
            </w:r>
            <w:r w:rsidRPr="005D2E25">
              <w:rPr>
                <w:sz w:val="22"/>
                <w:szCs w:val="22"/>
                <w:rtl/>
              </w:rPr>
              <w:t xml:space="preserve"> </w:t>
            </w:r>
            <w:r w:rsidRPr="005D2E25">
              <w:rPr>
                <w:rFonts w:hint="cs"/>
                <w:sz w:val="22"/>
                <w:szCs w:val="22"/>
                <w:rtl/>
              </w:rPr>
              <w:t>למימון</w:t>
            </w:r>
            <w:r w:rsidRPr="005D2E25">
              <w:rPr>
                <w:sz w:val="22"/>
                <w:szCs w:val="22"/>
                <w:rtl/>
              </w:rPr>
              <w:t xml:space="preserve"> </w:t>
            </w:r>
            <w:r w:rsidRPr="005D2E25">
              <w:rPr>
                <w:rFonts w:hint="cs"/>
                <w:sz w:val="22"/>
                <w:szCs w:val="22"/>
                <w:rtl/>
              </w:rPr>
              <w:t>נסיעות לחו"ל בתפקיד שנסע</w:t>
            </w:r>
            <w:r w:rsidRPr="005D2E25">
              <w:rPr>
                <w:sz w:val="22"/>
                <w:szCs w:val="22"/>
                <w:rtl/>
              </w:rPr>
              <w:t xml:space="preserve"> </w:t>
            </w:r>
            <w:r w:rsidRPr="005D2E25">
              <w:rPr>
                <w:rFonts w:hint="cs"/>
                <w:sz w:val="22"/>
                <w:szCs w:val="22"/>
                <w:rtl/>
              </w:rPr>
              <w:t>ראש הממשלה הנוכחי מר בנימין נתניהו (להלן - מר נתניהו או שר האוצר) עת</w:t>
            </w:r>
            <w:r w:rsidRPr="005D2E25">
              <w:rPr>
                <w:sz w:val="22"/>
                <w:szCs w:val="22"/>
                <w:rtl/>
              </w:rPr>
              <w:t xml:space="preserve"> </w:t>
            </w:r>
            <w:r w:rsidRPr="005D2E25">
              <w:rPr>
                <w:rFonts w:hint="cs"/>
                <w:sz w:val="22"/>
                <w:szCs w:val="22"/>
                <w:rtl/>
              </w:rPr>
              <w:t>כיהן</w:t>
            </w:r>
            <w:r w:rsidRPr="005D2E25">
              <w:rPr>
                <w:sz w:val="22"/>
                <w:szCs w:val="22"/>
                <w:rtl/>
              </w:rPr>
              <w:t xml:space="preserve"> </w:t>
            </w:r>
            <w:r w:rsidRPr="005D2E25">
              <w:rPr>
                <w:rFonts w:hint="cs"/>
                <w:sz w:val="22"/>
                <w:szCs w:val="22"/>
                <w:rtl/>
              </w:rPr>
              <w:t>בתפקיד</w:t>
            </w:r>
            <w:r w:rsidRPr="005D2E25">
              <w:rPr>
                <w:sz w:val="22"/>
                <w:szCs w:val="22"/>
                <w:rtl/>
              </w:rPr>
              <w:t xml:space="preserve"> </w:t>
            </w:r>
            <w:r w:rsidRPr="005D2E25">
              <w:rPr>
                <w:rFonts w:hint="cs"/>
                <w:sz w:val="22"/>
                <w:szCs w:val="22"/>
                <w:rtl/>
              </w:rPr>
              <w:t xml:space="preserve">שר האוצר. מר נתניהו כיהן בתפקיד שר האוצר ממרץ 2003 ועד אוגוסט 2005 במהלך כהונת הממשלה ה-30. </w:t>
            </w:r>
          </w:p>
          <w:p w:rsidR="001275A6" w:rsidP="005D2E25">
            <w:pPr>
              <w:pStyle w:val="PATIAH"/>
              <w:spacing w:before="60"/>
              <w:rPr>
                <w:sz w:val="22"/>
                <w:szCs w:val="22"/>
                <w:rtl/>
              </w:rPr>
            </w:pPr>
            <w:r w:rsidRPr="005D2E25">
              <w:rPr>
                <w:rFonts w:hint="cs"/>
                <w:sz w:val="22"/>
                <w:szCs w:val="22"/>
                <w:rtl/>
              </w:rPr>
              <w:t>הדוח עוסק באירועים אשר חלף זמן רב מעת שאירעו ועד למועד שבו הוחלט על בדיקתם, ובוודאי עד למועד פרסום הדוח בעניינם. האירועים המתוארים בו אף אירעו קודם שנקבעו מכלול ההוראות הנורמטיביות בנושא החלות כיום. עם זאת, אף כאשר אין הסדרה מלאה, מחובתו של נבחר ציבור, כנאמנו של הציבור, לנהוג בשקיפות ולהימנע מכל מצב שיש בו חשש לניגוד עניינים או קבלת טובת הנאה. אסדרה, טובה ורחבה ככל שתהיה, אינה יכולה לצפות מראש את כל האפשרויות, ולפיכך חובתו של נבחר הציבור לבחון אם מעשיו ראויים הם.</w:t>
            </w:r>
          </w:p>
        </w:tc>
      </w:tr>
    </w:tbl>
    <w:p w:rsidR="001275A6">
      <w:pPr>
        <w:pStyle w:val="takzir"/>
        <w:jc w:val="cente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7018" w:type="dxa"/>
            <w:shd w:val="pct25" w:color="00FF00" w:fill="auto"/>
          </w:tcPr>
          <w:p w:rsidR="001275A6">
            <w:pPr>
              <w:pStyle w:val="KOT4"/>
              <w:spacing w:before="120"/>
              <w:jc w:val="center"/>
              <w:rPr>
                <w:rtl/>
              </w:rPr>
            </w:pPr>
            <w:r>
              <w:rPr>
                <w:rtl/>
              </w:rPr>
              <w:t>פעולות הביקורת</w:t>
            </w:r>
          </w:p>
        </w:tc>
      </w:tr>
      <w:tr w:rsidTr="00E44678">
        <w:tblPrEx>
          <w:tblW w:w="6691" w:type="dxa"/>
          <w:jc w:val="center"/>
          <w:tblLook w:val="04A0"/>
        </w:tblPrEx>
        <w:trPr>
          <w:jc w:val="center"/>
        </w:trPr>
        <w:tc>
          <w:tcPr>
            <w:tcW w:w="7018" w:type="dxa"/>
          </w:tcPr>
          <w:p w:rsidR="005D2E25" w:rsidRPr="005D2E25" w:rsidP="005D2E25">
            <w:pPr>
              <w:pStyle w:val="takzir"/>
              <w:spacing w:before="60"/>
              <w:rPr>
                <w:b w:val="0"/>
                <w:bCs w:val="0"/>
                <w:noProof w:val="0"/>
                <w:rtl/>
              </w:rPr>
            </w:pPr>
            <w:r w:rsidRPr="005D2E25">
              <w:rPr>
                <w:rFonts w:hint="cs"/>
                <w:b w:val="0"/>
                <w:bCs w:val="0"/>
                <w:noProof w:val="0"/>
                <w:rtl/>
              </w:rPr>
              <w:t>הבדיקה עסקה בעיקר בנסיעות של מר נתניהו בתפקיד במימון (מלא או חלקי) של גורמים חיצוניים ובמימון הנסיעות של רעייתו וילדיו במקרים שבהם הצטרפו אליו לנסיעות אלה.</w:t>
            </w:r>
          </w:p>
          <w:p w:rsidR="005D2E25" w:rsidRPr="005D2E25" w:rsidP="00306A96">
            <w:pPr>
              <w:pStyle w:val="takzir"/>
              <w:rPr>
                <w:b w:val="0"/>
                <w:bCs w:val="0"/>
                <w:noProof w:val="0"/>
                <w:rtl/>
              </w:rPr>
            </w:pPr>
            <w:r w:rsidRPr="005D2E25">
              <w:rPr>
                <w:rFonts w:hint="cs"/>
                <w:b w:val="0"/>
                <w:bCs w:val="0"/>
                <w:noProof w:val="0"/>
                <w:rtl/>
              </w:rPr>
              <w:t xml:space="preserve">הביקורת בוצעה במזכירות הממשלה, במשרד ראש הממשלה ובמשרד האוצר. בירורי השלמה נעשו בוועדה למתן היתרים הפועלת ליד מבקר המדינה בהתאם לכללים למניעת ניגוד עניינים של שרים וסגני שרים (להלן - הוועדה למתן היתרים), ובוועדת המתנות שמינה שר המשפטים לעניין ביצוע תקנות שירות הציבור (מתנות), התש"ם-1980 (להלן - ועדת המתנות). בירורים נוספים נעשו בחברת הנסיעות איילה נסיעות ותיירות בע"מ, לאחר שמר נתניהו נתן הסכמתו להעברת כל המידע הנוגע אליו ולבני משפחתו מגוף זה, שאינו גוף מבוקר, למשרד מבקר המדינה. </w:t>
            </w:r>
          </w:p>
          <w:p w:rsidR="001275A6" w:rsidP="00306A96">
            <w:pPr>
              <w:pStyle w:val="takzir"/>
              <w:rPr>
                <w:b w:val="0"/>
                <w:bCs w:val="0"/>
                <w:noProof w:val="0"/>
                <w:rtl/>
              </w:rPr>
            </w:pPr>
            <w:r w:rsidRPr="005D2E25">
              <w:rPr>
                <w:rFonts w:hint="cs"/>
                <w:b w:val="0"/>
                <w:bCs w:val="0"/>
                <w:noProof w:val="0"/>
                <w:rtl/>
              </w:rPr>
              <w:t>נוסף על כך ערך משרד מבקר המדינה במסגרת ביקורת זו ביקורת מעקב אחר יישום המלצות מבקר המדינה בדוח נסיעות שרים בעניין אישור הממשלה לנסיעות שרים לחו"ל ובעניין קביעת הנחיות על ידי היועץ המשפטי לממשלה בנושא מימון נסיעות אלה.</w:t>
            </w:r>
          </w:p>
        </w:tc>
      </w:tr>
    </w:tbl>
    <w:p w:rsidR="001275A6">
      <w:pPr>
        <w:pStyle w:val="takzir"/>
        <w:rPr>
          <w:noProof w:val="0"/>
          <w:sz w:val="28"/>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00FF00" w:fill="auto"/>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00FF00" w:fill="auto"/>
          <w:tblLook w:val="04A0"/>
        </w:tblPrEx>
        <w:trPr>
          <w:cantSplit/>
          <w:jc w:val="center"/>
        </w:trPr>
        <w:tc>
          <w:tcPr>
            <w:tcW w:w="7018" w:type="dxa"/>
            <w:shd w:val="pct25" w:color="00FF00" w:fill="auto"/>
          </w:tcPr>
          <w:p w:rsidR="001275A6">
            <w:pPr>
              <w:pStyle w:val="KOT4"/>
              <w:spacing w:before="120"/>
              <w:jc w:val="center"/>
              <w:rPr>
                <w:rtl/>
              </w:rPr>
            </w:pPr>
            <w:r>
              <w:rPr>
                <w:rFonts w:hint="cs"/>
                <w:rtl/>
              </w:rPr>
              <w:t>הליקויים העיקריים</w:t>
            </w:r>
          </w:p>
        </w:tc>
      </w:tr>
    </w:tbl>
    <w:p w:rsidR="001275A6">
      <w:pPr>
        <w:keepNext/>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1275A6">
            <w:pPr>
              <w:pStyle w:val="KOT5"/>
              <w:spacing w:before="120"/>
              <w:jc w:val="center"/>
              <w:rPr>
                <w:sz w:val="24"/>
                <w:szCs w:val="24"/>
                <w:rtl/>
              </w:rPr>
            </w:pPr>
            <w:r w:rsidRPr="005D2E25">
              <w:rPr>
                <w:sz w:val="24"/>
                <w:szCs w:val="24"/>
                <w:rtl/>
              </w:rPr>
              <w:t>נסיעות בתפקיד של מר נתניהו ושל בני משפחתו שנלוו אליו מומנו בידי גורמים חיצוניים ובהם גורמים פרטיים</w:t>
            </w:r>
          </w:p>
        </w:tc>
      </w:tr>
      <w:tr w:rsidTr="00E44678">
        <w:tblPrEx>
          <w:tblW w:w="6691" w:type="dxa"/>
          <w:jc w:val="center"/>
          <w:tblLook w:val="04A0"/>
        </w:tblPrEx>
        <w:trPr>
          <w:cantSplit/>
          <w:jc w:val="center"/>
        </w:trPr>
        <w:tc>
          <w:tcPr>
            <w:tcW w:w="6691" w:type="dxa"/>
          </w:tcPr>
          <w:p w:rsidR="005D2E25" w:rsidRPr="005D2E25" w:rsidP="005D2E25">
            <w:pPr>
              <w:pStyle w:val="takzir"/>
              <w:spacing w:before="60"/>
              <w:rPr>
                <w:b w:val="0"/>
                <w:bCs w:val="0"/>
                <w:noProof w:val="0"/>
                <w:rtl/>
              </w:rPr>
            </w:pPr>
            <w:r w:rsidRPr="005D2E25">
              <w:rPr>
                <w:rFonts w:hint="cs"/>
                <w:b w:val="0"/>
                <w:bCs w:val="0"/>
                <w:noProof w:val="0"/>
                <w:rtl/>
              </w:rPr>
              <w:t>בביקורת עלה כי נסיעות לחו"ל בתפקיד של מר נתניהו מומנו על ידי גורמים חיצוניים, בהם ממשלות של מדינות אחרות, הבונדס, גופים ציבוריים, אנשי עסקים ואנשים פרטיים בעלי קשרים שונים לשר</w:t>
            </w:r>
            <w:r w:rsidRPr="005D2E25">
              <w:rPr>
                <w:b w:val="0"/>
                <w:bCs w:val="0"/>
                <w:noProof w:val="0"/>
                <w:rtl/>
              </w:rPr>
              <w:t xml:space="preserve"> </w:t>
            </w:r>
            <w:r w:rsidRPr="005D2E25">
              <w:rPr>
                <w:rFonts w:hint="cs"/>
                <w:b w:val="0"/>
                <w:bCs w:val="0"/>
                <w:noProof w:val="0"/>
                <w:rtl/>
              </w:rPr>
              <w:t>האוצר</w:t>
            </w:r>
            <w:r w:rsidRPr="005D2E25">
              <w:rPr>
                <w:b w:val="0"/>
                <w:bCs w:val="0"/>
                <w:noProof w:val="0"/>
                <w:rtl/>
              </w:rPr>
              <w:t xml:space="preserve"> </w:t>
            </w:r>
            <w:r w:rsidRPr="005D2E25">
              <w:rPr>
                <w:rFonts w:hint="cs"/>
                <w:b w:val="0"/>
                <w:bCs w:val="0"/>
                <w:noProof w:val="0"/>
                <w:rtl/>
              </w:rPr>
              <w:t xml:space="preserve">דאז או למשק הישראלי. מימון זה נעשה ללא בחינה משפטית של האפשרות שהוא מעמיד את מר נתניהו בניגוד עניינים בינו לבין הגורם המממן או שהוא בגדר מתנה האסורה לפי חוק המתנות. </w:t>
            </w:r>
            <w:r w:rsidRPr="005D2E25">
              <w:rPr>
                <w:rFonts w:hint="eastAsia"/>
                <w:b w:val="0"/>
                <w:bCs w:val="0"/>
                <w:noProof w:val="0"/>
                <w:rtl/>
              </w:rPr>
              <w:t>יצוין</w:t>
            </w:r>
            <w:r w:rsidRPr="005D2E25">
              <w:rPr>
                <w:b w:val="0"/>
                <w:bCs w:val="0"/>
                <w:noProof w:val="0"/>
                <w:rtl/>
              </w:rPr>
              <w:t xml:space="preserve"> </w:t>
            </w:r>
            <w:r w:rsidRPr="005D2E25">
              <w:rPr>
                <w:rFonts w:hint="eastAsia"/>
                <w:b w:val="0"/>
                <w:bCs w:val="0"/>
                <w:noProof w:val="0"/>
                <w:rtl/>
              </w:rPr>
              <w:t>כי</w:t>
            </w:r>
            <w:r w:rsidRPr="005D2E25">
              <w:rPr>
                <w:b w:val="0"/>
                <w:bCs w:val="0"/>
                <w:noProof w:val="0"/>
                <w:rtl/>
              </w:rPr>
              <w:t xml:space="preserve"> </w:t>
            </w:r>
            <w:r w:rsidRPr="005D2E25">
              <w:rPr>
                <w:rFonts w:hint="eastAsia"/>
                <w:b w:val="0"/>
                <w:bCs w:val="0"/>
                <w:noProof w:val="0"/>
                <w:rtl/>
              </w:rPr>
              <w:t>כך</w:t>
            </w:r>
            <w:r w:rsidRPr="005D2E25">
              <w:rPr>
                <w:b w:val="0"/>
                <w:bCs w:val="0"/>
                <w:noProof w:val="0"/>
                <w:rtl/>
              </w:rPr>
              <w:t xml:space="preserve"> </w:t>
            </w:r>
            <w:r w:rsidRPr="005D2E25">
              <w:rPr>
                <w:rFonts w:hint="eastAsia"/>
                <w:b w:val="0"/>
                <w:bCs w:val="0"/>
                <w:noProof w:val="0"/>
                <w:rtl/>
              </w:rPr>
              <w:t>נהגו</w:t>
            </w:r>
            <w:r w:rsidRPr="005D2E25">
              <w:rPr>
                <w:b w:val="0"/>
                <w:bCs w:val="0"/>
                <w:noProof w:val="0"/>
                <w:rtl/>
              </w:rPr>
              <w:t xml:space="preserve"> </w:t>
            </w:r>
            <w:r w:rsidRPr="005D2E25">
              <w:rPr>
                <w:rFonts w:hint="cs"/>
                <w:b w:val="0"/>
                <w:bCs w:val="0"/>
                <w:noProof w:val="0"/>
                <w:rtl/>
              </w:rPr>
              <w:t xml:space="preserve">גם </w:t>
            </w:r>
            <w:r w:rsidRPr="005D2E25">
              <w:rPr>
                <w:b w:val="0"/>
                <w:bCs w:val="0"/>
                <w:noProof w:val="0"/>
                <w:rtl/>
              </w:rPr>
              <w:t xml:space="preserve">שרים אחרים </w:t>
            </w:r>
            <w:r w:rsidRPr="005D2E25">
              <w:rPr>
                <w:rFonts w:hint="eastAsia"/>
                <w:b w:val="0"/>
                <w:bCs w:val="0"/>
                <w:noProof w:val="0"/>
                <w:rtl/>
              </w:rPr>
              <w:t>ב</w:t>
            </w:r>
            <w:r w:rsidRPr="005D2E25">
              <w:rPr>
                <w:b w:val="0"/>
                <w:bCs w:val="0"/>
                <w:noProof w:val="0"/>
                <w:rtl/>
              </w:rPr>
              <w:t>אותה תקופה.</w:t>
            </w:r>
          </w:p>
          <w:p w:rsidR="001275A6" w:rsidP="00306A96">
            <w:pPr>
              <w:pStyle w:val="takzir"/>
              <w:rPr>
                <w:b w:val="0"/>
                <w:bCs w:val="0"/>
                <w:noProof w:val="0"/>
                <w:rtl/>
              </w:rPr>
            </w:pPr>
            <w:r w:rsidRPr="005D2E25">
              <w:rPr>
                <w:rFonts w:hint="cs"/>
                <w:b w:val="0"/>
                <w:bCs w:val="0"/>
                <w:noProof w:val="0"/>
                <w:rtl/>
              </w:rPr>
              <w:t xml:space="preserve">למרבית נסיעותיו של מר נתניהו בתפקיד התלוותה רעייתו. חלק מנסיעותיה מומנו על ידי גורם חיצוני; בחלק מן המקרים הגורם החיצוני שמימן את נסיעתה של רעיית השר היה אחר מזה שמימן את נסיעת השר, ולא היה לו קשר לנסיעה; במקרה מסוים התלווה ילדו של מר נתניהו </w:t>
            </w:r>
            <w:r w:rsidRPr="005D2E25">
              <w:rPr>
                <w:rFonts w:hint="eastAsia"/>
                <w:b w:val="0"/>
                <w:bCs w:val="0"/>
                <w:noProof w:val="0"/>
                <w:rtl/>
              </w:rPr>
              <w:t>לנסיע</w:t>
            </w:r>
            <w:r w:rsidRPr="005D2E25">
              <w:rPr>
                <w:rFonts w:hint="cs"/>
                <w:b w:val="0"/>
                <w:bCs w:val="0"/>
                <w:noProof w:val="0"/>
                <w:rtl/>
              </w:rPr>
              <w:t>ה, והוצאותיו מומנו במימון חיצוני. גם מימונים אלה נעשו ללא בחינה משפטית של האפשרות שהמימון הוא בגדר מתנה אסורה לשר או שהוא מעמיד אותו בניגוד עניינים.</w:t>
            </w:r>
          </w:p>
        </w:tc>
      </w:tr>
    </w:tbl>
    <w:p w:rsidR="001275A6">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550646">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BF4C3B" w:rsidP="00BF0FE2">
            <w:pPr>
              <w:pStyle w:val="KOT5"/>
              <w:spacing w:before="120"/>
              <w:jc w:val="center"/>
              <w:rPr>
                <w:sz w:val="24"/>
                <w:szCs w:val="24"/>
                <w:rtl/>
              </w:rPr>
            </w:pPr>
            <w:r w:rsidRPr="005D2E25">
              <w:rPr>
                <w:sz w:val="24"/>
                <w:szCs w:val="24"/>
                <w:rtl/>
              </w:rPr>
              <w:t xml:space="preserve">נסיעות </w:t>
            </w:r>
            <w:r w:rsidR="00BF0FE2">
              <w:rPr>
                <w:rFonts w:hint="cs"/>
                <w:sz w:val="24"/>
                <w:szCs w:val="24"/>
                <w:rtl/>
              </w:rPr>
              <w:t>במימון הבונדס</w:t>
            </w:r>
          </w:p>
        </w:tc>
      </w:tr>
      <w:tr w:rsidTr="00550646">
        <w:tblPrEx>
          <w:tblW w:w="6691" w:type="dxa"/>
          <w:jc w:val="center"/>
          <w:tblLook w:val="04A0"/>
        </w:tblPrEx>
        <w:trPr>
          <w:cantSplit/>
          <w:jc w:val="center"/>
        </w:trPr>
        <w:tc>
          <w:tcPr>
            <w:tcW w:w="6691" w:type="dxa"/>
          </w:tcPr>
          <w:p w:rsidR="005D2E25" w:rsidRPr="005D2E25" w:rsidP="005D2E25">
            <w:pPr>
              <w:pStyle w:val="takzir"/>
              <w:spacing w:before="60"/>
              <w:rPr>
                <w:b w:val="0"/>
                <w:bCs w:val="0"/>
                <w:noProof w:val="0"/>
                <w:rtl/>
              </w:rPr>
            </w:pPr>
            <w:r w:rsidRPr="005D2E25">
              <w:rPr>
                <w:rFonts w:hint="cs"/>
                <w:b w:val="0"/>
                <w:bCs w:val="0"/>
                <w:noProof w:val="0"/>
                <w:rtl/>
              </w:rPr>
              <w:t xml:space="preserve">הבונדס מוכר איגרות חוב של מדינת ישראל, הוא </w:t>
            </w:r>
            <w:r w:rsidRPr="005D2E25">
              <w:rPr>
                <w:b w:val="0"/>
                <w:bCs w:val="0"/>
                <w:noProof w:val="0"/>
                <w:rtl/>
              </w:rPr>
              <w:t xml:space="preserve">פועל </w:t>
            </w:r>
            <w:r w:rsidRPr="005D2E25">
              <w:rPr>
                <w:rFonts w:hint="cs"/>
                <w:b w:val="0"/>
                <w:bCs w:val="0"/>
                <w:noProof w:val="0"/>
                <w:rtl/>
              </w:rPr>
              <w:t>לפי</w:t>
            </w:r>
            <w:r w:rsidRPr="005D2E25">
              <w:rPr>
                <w:b w:val="0"/>
                <w:bCs w:val="0"/>
                <w:noProof w:val="0"/>
                <w:rtl/>
              </w:rPr>
              <w:t xml:space="preserve"> חוק מקומי </w:t>
            </w:r>
            <w:r w:rsidRPr="005D2E25">
              <w:rPr>
                <w:rFonts w:hint="cs"/>
                <w:b w:val="0"/>
                <w:bCs w:val="0"/>
                <w:noProof w:val="0"/>
                <w:rtl/>
              </w:rPr>
              <w:t xml:space="preserve">במדינה שבה הוא פועל </w:t>
            </w:r>
            <w:r w:rsidRPr="005D2E25">
              <w:rPr>
                <w:b w:val="0"/>
                <w:bCs w:val="0"/>
                <w:noProof w:val="0"/>
                <w:rtl/>
              </w:rPr>
              <w:t xml:space="preserve">ומפוקח </w:t>
            </w:r>
            <w:r w:rsidRPr="005D2E25">
              <w:rPr>
                <w:rFonts w:hint="cs"/>
                <w:b w:val="0"/>
                <w:bCs w:val="0"/>
                <w:noProof w:val="0"/>
                <w:rtl/>
              </w:rPr>
              <w:t xml:space="preserve">בידי </w:t>
            </w:r>
            <w:r w:rsidRPr="005D2E25">
              <w:rPr>
                <w:b w:val="0"/>
                <w:bCs w:val="0"/>
                <w:noProof w:val="0"/>
                <w:rtl/>
              </w:rPr>
              <w:t>רשויות</w:t>
            </w:r>
            <w:r w:rsidRPr="005D2E25">
              <w:rPr>
                <w:rFonts w:hint="cs"/>
                <w:b w:val="0"/>
                <w:bCs w:val="0"/>
                <w:noProof w:val="0"/>
                <w:rtl/>
              </w:rPr>
              <w:t xml:space="preserve">יה. החשב הכללי במשרד האוצר קובע את מדיניות גיוס ההון על ידי הבונדס, והוא </w:t>
            </w:r>
            <w:r w:rsidRPr="005D2E25">
              <w:rPr>
                <w:rFonts w:hint="eastAsia"/>
                <w:b w:val="0"/>
                <w:bCs w:val="0"/>
                <w:noProof w:val="0"/>
                <w:rtl/>
              </w:rPr>
              <w:t>ממומן</w:t>
            </w:r>
            <w:r w:rsidRPr="005D2E25">
              <w:rPr>
                <w:b w:val="0"/>
                <w:bCs w:val="0"/>
                <w:noProof w:val="0"/>
                <w:rtl/>
              </w:rPr>
              <w:t xml:space="preserve"> </w:t>
            </w:r>
            <w:r w:rsidRPr="005D2E25">
              <w:rPr>
                <w:rFonts w:hint="eastAsia"/>
                <w:b w:val="0"/>
                <w:bCs w:val="0"/>
                <w:noProof w:val="0"/>
                <w:rtl/>
              </w:rPr>
              <w:t>במלואו</w:t>
            </w:r>
            <w:r w:rsidRPr="005D2E25">
              <w:rPr>
                <w:rFonts w:hint="cs"/>
                <w:b w:val="0"/>
                <w:bCs w:val="0"/>
                <w:noProof w:val="0"/>
                <w:rtl/>
              </w:rPr>
              <w:t xml:space="preserve"> על ידי מדינת ישראל.</w:t>
            </w:r>
          </w:p>
          <w:p w:rsidR="00BF4C3B" w:rsidP="00306A96">
            <w:pPr>
              <w:pStyle w:val="takzir"/>
              <w:rPr>
                <w:b w:val="0"/>
                <w:bCs w:val="0"/>
                <w:noProof w:val="0"/>
                <w:rtl/>
              </w:rPr>
            </w:pPr>
            <w:r w:rsidRPr="005D2E25">
              <w:rPr>
                <w:rFonts w:hint="cs"/>
                <w:b w:val="0"/>
                <w:bCs w:val="0"/>
                <w:noProof w:val="0"/>
                <w:rtl/>
              </w:rPr>
              <w:t>בנסיעה פרטית של מר נתניהו לארצות הברית בזמן היותו שר האוצר, מימן הבונדס את שהותו במלון; בנסיעה בתפקיד לאנגליה במימון ממשלתי, מימן הבונדס את השהות שלו ושל רעייתו במלון; בשתי נסיעות בתפקיד שרעייתו הצטרפה אליהן, מימן הבונדס את הוצאותיה אף על פי שהוצאות מר נתניהו לא מומנו על ידו.</w:t>
            </w:r>
          </w:p>
        </w:tc>
      </w:tr>
    </w:tbl>
    <w:p w:rsidR="005D2E25" w:rsidP="005D2E25">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3708D">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5D2E25" w:rsidP="00BF0FE2">
            <w:pPr>
              <w:pStyle w:val="KOT5"/>
              <w:spacing w:before="120"/>
              <w:jc w:val="center"/>
              <w:rPr>
                <w:sz w:val="24"/>
                <w:szCs w:val="24"/>
                <w:rtl/>
              </w:rPr>
            </w:pPr>
            <w:r w:rsidRPr="005D2E25">
              <w:rPr>
                <w:sz w:val="24"/>
                <w:szCs w:val="24"/>
                <w:rtl/>
              </w:rPr>
              <w:t>תשלום הוצאות על ידי ראש הלשכה של מר נתניהו</w:t>
            </w:r>
          </w:p>
        </w:tc>
      </w:tr>
      <w:tr w:rsidTr="00E3708D">
        <w:tblPrEx>
          <w:tblW w:w="6691" w:type="dxa"/>
          <w:jc w:val="center"/>
          <w:tblLook w:val="04A0"/>
        </w:tblPrEx>
        <w:trPr>
          <w:cantSplit/>
          <w:jc w:val="center"/>
        </w:trPr>
        <w:tc>
          <w:tcPr>
            <w:tcW w:w="6691" w:type="dxa"/>
          </w:tcPr>
          <w:p w:rsidR="005D2E25" w:rsidRPr="005D2E25" w:rsidP="005D2E25">
            <w:pPr>
              <w:pStyle w:val="takzir"/>
              <w:spacing w:before="60"/>
              <w:rPr>
                <w:b w:val="0"/>
                <w:bCs w:val="0"/>
                <w:noProof w:val="0"/>
                <w:rtl/>
              </w:rPr>
            </w:pPr>
            <w:r w:rsidRPr="005D2E25">
              <w:rPr>
                <w:rFonts w:hint="cs"/>
                <w:b w:val="0"/>
                <w:bCs w:val="0"/>
                <w:noProof w:val="0"/>
                <w:rtl/>
              </w:rPr>
              <w:t xml:space="preserve">מר יחיאל לייטר, ראש לשכת שר האוצר דאז, שילם בכרטיס האשראי האישי שלו הוצאות שונות הקשורות לנסיעות מר נתניהו בתפקיד, בכללן עלות כרטיסי הטיסה לאנגליה של שני בניו של מר נתניהו בסך של 2,880 דולר. </w:t>
            </w:r>
          </w:p>
          <w:p w:rsidR="005D2E25" w:rsidP="00306A96">
            <w:pPr>
              <w:pStyle w:val="takzir"/>
              <w:rPr>
                <w:b w:val="0"/>
                <w:bCs w:val="0"/>
                <w:noProof w:val="0"/>
                <w:rtl/>
              </w:rPr>
            </w:pPr>
            <w:r w:rsidRPr="005D2E25">
              <w:rPr>
                <w:rFonts w:hint="cs"/>
                <w:b w:val="0"/>
                <w:bCs w:val="0"/>
                <w:noProof w:val="0"/>
                <w:rtl/>
              </w:rPr>
              <w:t>בפגישה של נציג משרד מבקר המדינה עם מר יחיאל לייטר בספטמבר 2011, מסר מר לייטר כי אינו זוכר את המקרה ואת התשלום, וכי "הדבר מאד מפתיע אותו בגלל גודל הסכום". בתגובתו מאוגוסט 2015 על טיוטת דוח הביקורת ציין מר לייטר כי השתמש בכרטיס האשראי שלו לתשלום הוצאות נלוות לנסיעות מר נתניהו או בני משפחתו לחו"ל, והתשלום הוחזר לו על ידי מר נתניהו. בפגישת שימוע עם מבקר המדינה ונציגי משרדו בינואר 2016 ציין מר נתניהו כי בכל מקרה שבו שילם מר לייטר, הושב לו התשלום במזומן.</w:t>
            </w:r>
          </w:p>
        </w:tc>
      </w:tr>
    </w:tbl>
    <w:p w:rsidR="005D2E25" w:rsidP="005D2E25">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3708D">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5D2E25" w:rsidP="00E3708D">
            <w:pPr>
              <w:pStyle w:val="KOT5"/>
              <w:spacing w:before="120"/>
              <w:jc w:val="center"/>
              <w:rPr>
                <w:sz w:val="24"/>
                <w:szCs w:val="24"/>
                <w:rtl/>
              </w:rPr>
            </w:pPr>
            <w:r w:rsidRPr="005D2E25">
              <w:rPr>
                <w:sz w:val="24"/>
                <w:szCs w:val="24"/>
                <w:rtl/>
              </w:rPr>
              <w:t xml:space="preserve">ליקויים בהליך הגשת בקשות לנסיעות שרים לחו"ל </w:t>
            </w:r>
            <w:r w:rsidR="000F24CD">
              <w:rPr>
                <w:rFonts w:hint="cs"/>
                <w:sz w:val="24"/>
                <w:szCs w:val="24"/>
                <w:rtl/>
              </w:rPr>
              <w:br/>
            </w:r>
            <w:bookmarkStart w:id="5" w:name="_GoBack"/>
            <w:bookmarkEnd w:id="5"/>
            <w:r w:rsidRPr="005D2E25">
              <w:rPr>
                <w:sz w:val="24"/>
                <w:szCs w:val="24"/>
                <w:rtl/>
              </w:rPr>
              <w:t>ואישורן על ידי הממשלה</w:t>
            </w:r>
          </w:p>
        </w:tc>
      </w:tr>
      <w:tr w:rsidTr="00E3708D">
        <w:tblPrEx>
          <w:tblW w:w="6691" w:type="dxa"/>
          <w:jc w:val="center"/>
          <w:tblLook w:val="04A0"/>
        </w:tblPrEx>
        <w:trPr>
          <w:cantSplit/>
          <w:jc w:val="center"/>
        </w:trPr>
        <w:tc>
          <w:tcPr>
            <w:tcW w:w="6691" w:type="dxa"/>
          </w:tcPr>
          <w:p w:rsidR="005D2E25" w:rsidRPr="005D2E25" w:rsidP="005D2E25">
            <w:pPr>
              <w:pStyle w:val="takzir"/>
              <w:spacing w:before="60"/>
              <w:rPr>
                <w:b w:val="0"/>
                <w:bCs w:val="0"/>
                <w:noProof w:val="0"/>
                <w:rtl/>
              </w:rPr>
            </w:pPr>
            <w:r w:rsidRPr="005D2E25">
              <w:rPr>
                <w:rFonts w:hint="eastAsia"/>
                <w:b w:val="0"/>
                <w:bCs w:val="0"/>
                <w:noProof w:val="0"/>
                <w:rtl/>
              </w:rPr>
              <w:t>נמצא</w:t>
            </w:r>
            <w:r w:rsidRPr="005D2E25">
              <w:rPr>
                <w:b w:val="0"/>
                <w:bCs w:val="0"/>
                <w:noProof w:val="0"/>
                <w:rtl/>
              </w:rPr>
              <w:t xml:space="preserve"> כי </w:t>
            </w:r>
            <w:r w:rsidRPr="005D2E25">
              <w:rPr>
                <w:rFonts w:hint="cs"/>
                <w:b w:val="0"/>
                <w:bCs w:val="0"/>
                <w:noProof w:val="0"/>
                <w:rtl/>
              </w:rPr>
              <w:t>השרים שכיהנו בעת היותו של מר נתניהו שר האוצר, ובכללם מר נתניהו,</w:t>
            </w:r>
            <w:r w:rsidRPr="005D2E25">
              <w:rPr>
                <w:b w:val="0"/>
                <w:bCs w:val="0"/>
                <w:noProof w:val="0"/>
                <w:rtl/>
              </w:rPr>
              <w:t xml:space="preserve"> </w:t>
            </w:r>
            <w:r w:rsidRPr="005D2E25">
              <w:rPr>
                <w:rFonts w:hint="eastAsia"/>
                <w:b w:val="0"/>
                <w:bCs w:val="0"/>
                <w:noProof w:val="0"/>
                <w:rtl/>
              </w:rPr>
              <w:t>הגיש</w:t>
            </w:r>
            <w:r w:rsidRPr="005D2E25">
              <w:rPr>
                <w:rFonts w:hint="cs"/>
                <w:b w:val="0"/>
                <w:bCs w:val="0"/>
                <w:noProof w:val="0"/>
                <w:rtl/>
              </w:rPr>
              <w:t>ו</w:t>
            </w:r>
            <w:r w:rsidRPr="005D2E25">
              <w:rPr>
                <w:b w:val="0"/>
                <w:bCs w:val="0"/>
                <w:noProof w:val="0"/>
                <w:rtl/>
              </w:rPr>
              <w:t xml:space="preserve"> </w:t>
            </w:r>
            <w:r w:rsidRPr="005D2E25">
              <w:rPr>
                <w:rFonts w:hint="cs"/>
                <w:b w:val="0"/>
                <w:bCs w:val="0"/>
                <w:noProof w:val="0"/>
                <w:rtl/>
              </w:rPr>
              <w:t>ל</w:t>
            </w:r>
            <w:r w:rsidRPr="005D2E25">
              <w:rPr>
                <w:rFonts w:hint="eastAsia"/>
                <w:b w:val="0"/>
                <w:bCs w:val="0"/>
                <w:noProof w:val="0"/>
                <w:rtl/>
              </w:rPr>
              <w:t>ממשלה</w:t>
            </w:r>
            <w:r w:rsidRPr="005D2E25">
              <w:rPr>
                <w:b w:val="0"/>
                <w:bCs w:val="0"/>
                <w:noProof w:val="0"/>
                <w:rtl/>
              </w:rPr>
              <w:t xml:space="preserve"> </w:t>
            </w:r>
            <w:r w:rsidRPr="005D2E25">
              <w:rPr>
                <w:rFonts w:hint="eastAsia"/>
                <w:b w:val="0"/>
                <w:bCs w:val="0"/>
                <w:noProof w:val="0"/>
                <w:rtl/>
              </w:rPr>
              <w:t>או</w:t>
            </w:r>
            <w:r w:rsidRPr="005D2E25">
              <w:rPr>
                <w:b w:val="0"/>
                <w:bCs w:val="0"/>
                <w:noProof w:val="0"/>
                <w:rtl/>
              </w:rPr>
              <w:t xml:space="preserve"> </w:t>
            </w:r>
            <w:r w:rsidRPr="005D2E25">
              <w:rPr>
                <w:rFonts w:hint="cs"/>
                <w:b w:val="0"/>
                <w:bCs w:val="0"/>
                <w:noProof w:val="0"/>
                <w:rtl/>
              </w:rPr>
              <w:t>ל</w:t>
            </w:r>
            <w:r w:rsidRPr="005D2E25">
              <w:rPr>
                <w:rFonts w:hint="eastAsia"/>
                <w:b w:val="0"/>
                <w:bCs w:val="0"/>
                <w:noProof w:val="0"/>
                <w:rtl/>
              </w:rPr>
              <w:t>ראש</w:t>
            </w:r>
            <w:r w:rsidRPr="005D2E25">
              <w:rPr>
                <w:b w:val="0"/>
                <w:bCs w:val="0"/>
                <w:noProof w:val="0"/>
                <w:rtl/>
              </w:rPr>
              <w:t xml:space="preserve"> </w:t>
            </w:r>
            <w:r w:rsidRPr="005D2E25">
              <w:rPr>
                <w:rFonts w:hint="eastAsia"/>
                <w:b w:val="0"/>
                <w:bCs w:val="0"/>
                <w:noProof w:val="0"/>
                <w:rtl/>
              </w:rPr>
              <w:t>הממשלה</w:t>
            </w:r>
            <w:r w:rsidRPr="005D2E25">
              <w:rPr>
                <w:b w:val="0"/>
                <w:bCs w:val="0"/>
                <w:noProof w:val="0"/>
                <w:rtl/>
              </w:rPr>
              <w:t xml:space="preserve"> </w:t>
            </w:r>
            <w:r w:rsidRPr="005D2E25">
              <w:rPr>
                <w:rFonts w:hint="eastAsia"/>
                <w:b w:val="0"/>
                <w:bCs w:val="0"/>
                <w:noProof w:val="0"/>
                <w:rtl/>
              </w:rPr>
              <w:t>בקשות</w:t>
            </w:r>
            <w:r w:rsidRPr="005D2E25">
              <w:rPr>
                <w:b w:val="0"/>
                <w:bCs w:val="0"/>
                <w:noProof w:val="0"/>
                <w:rtl/>
              </w:rPr>
              <w:t xml:space="preserve"> </w:t>
            </w:r>
            <w:r w:rsidRPr="005D2E25">
              <w:rPr>
                <w:rFonts w:hint="eastAsia"/>
                <w:b w:val="0"/>
                <w:bCs w:val="0"/>
                <w:noProof w:val="0"/>
                <w:rtl/>
              </w:rPr>
              <w:t>לאישור</w:t>
            </w:r>
            <w:r w:rsidRPr="005D2E25">
              <w:rPr>
                <w:b w:val="0"/>
                <w:bCs w:val="0"/>
                <w:noProof w:val="0"/>
                <w:rtl/>
              </w:rPr>
              <w:t xml:space="preserve"> </w:t>
            </w:r>
            <w:r w:rsidRPr="005D2E25">
              <w:rPr>
                <w:rFonts w:hint="eastAsia"/>
                <w:b w:val="0"/>
                <w:bCs w:val="0"/>
                <w:noProof w:val="0"/>
                <w:rtl/>
              </w:rPr>
              <w:t>נסיעותי</w:t>
            </w:r>
            <w:r w:rsidRPr="005D2E25">
              <w:rPr>
                <w:rFonts w:hint="cs"/>
                <w:b w:val="0"/>
                <w:bCs w:val="0"/>
                <w:noProof w:val="0"/>
                <w:rtl/>
              </w:rPr>
              <w:t>הם</w:t>
            </w:r>
            <w:r w:rsidRPr="005D2E25">
              <w:rPr>
                <w:b w:val="0"/>
                <w:bCs w:val="0"/>
                <w:noProof w:val="0"/>
                <w:rtl/>
              </w:rPr>
              <w:t xml:space="preserve"> </w:t>
            </w:r>
            <w:r w:rsidRPr="005D2E25">
              <w:rPr>
                <w:rFonts w:hint="eastAsia"/>
                <w:b w:val="0"/>
                <w:bCs w:val="0"/>
                <w:noProof w:val="0"/>
                <w:rtl/>
              </w:rPr>
              <w:t>בתפקיד</w:t>
            </w:r>
            <w:r w:rsidRPr="005D2E25">
              <w:rPr>
                <w:b w:val="0"/>
                <w:bCs w:val="0"/>
                <w:noProof w:val="0"/>
                <w:rtl/>
              </w:rPr>
              <w:t xml:space="preserve"> </w:t>
            </w:r>
            <w:r w:rsidRPr="005D2E25">
              <w:rPr>
                <w:rFonts w:hint="cs"/>
                <w:b w:val="0"/>
                <w:bCs w:val="0"/>
                <w:noProof w:val="0"/>
                <w:rtl/>
              </w:rPr>
              <w:t xml:space="preserve">אשר לא </w:t>
            </w:r>
            <w:r w:rsidRPr="005D2E25">
              <w:rPr>
                <w:rFonts w:hint="eastAsia"/>
                <w:b w:val="0"/>
                <w:bCs w:val="0"/>
                <w:noProof w:val="0"/>
                <w:rtl/>
              </w:rPr>
              <w:t>כללו</w:t>
            </w:r>
            <w:r w:rsidRPr="005D2E25">
              <w:rPr>
                <w:b w:val="0"/>
                <w:bCs w:val="0"/>
                <w:noProof w:val="0"/>
                <w:rtl/>
              </w:rPr>
              <w:t xml:space="preserve"> </w:t>
            </w:r>
            <w:r w:rsidRPr="005D2E25">
              <w:rPr>
                <w:rFonts w:hint="eastAsia"/>
                <w:b w:val="0"/>
                <w:bCs w:val="0"/>
                <w:noProof w:val="0"/>
                <w:rtl/>
              </w:rPr>
              <w:t>פרטים</w:t>
            </w:r>
            <w:r w:rsidRPr="005D2E25">
              <w:rPr>
                <w:b w:val="0"/>
                <w:bCs w:val="0"/>
                <w:noProof w:val="0"/>
                <w:rtl/>
              </w:rPr>
              <w:t xml:space="preserve"> </w:t>
            </w:r>
            <w:r w:rsidRPr="005D2E25">
              <w:rPr>
                <w:rFonts w:hint="cs"/>
                <w:b w:val="0"/>
                <w:bCs w:val="0"/>
                <w:noProof w:val="0"/>
                <w:rtl/>
              </w:rPr>
              <w:t xml:space="preserve">בדבר </w:t>
            </w:r>
            <w:r w:rsidRPr="005D2E25">
              <w:rPr>
                <w:rFonts w:hint="eastAsia"/>
                <w:b w:val="0"/>
                <w:bCs w:val="0"/>
                <w:noProof w:val="0"/>
                <w:rtl/>
              </w:rPr>
              <w:t>הנסיעות</w:t>
            </w:r>
            <w:r w:rsidRPr="005D2E25">
              <w:rPr>
                <w:b w:val="0"/>
                <w:bCs w:val="0"/>
                <w:noProof w:val="0"/>
                <w:rtl/>
              </w:rPr>
              <w:t xml:space="preserve">, </w:t>
            </w:r>
            <w:r w:rsidRPr="005D2E25">
              <w:rPr>
                <w:rFonts w:hint="cs"/>
                <w:b w:val="0"/>
                <w:bCs w:val="0"/>
                <w:noProof w:val="0"/>
                <w:rtl/>
              </w:rPr>
              <w:t xml:space="preserve">מטרתן, </w:t>
            </w:r>
            <w:r w:rsidRPr="005D2E25">
              <w:rPr>
                <w:rFonts w:hint="eastAsia"/>
                <w:b w:val="0"/>
                <w:bCs w:val="0"/>
                <w:noProof w:val="0"/>
                <w:rtl/>
              </w:rPr>
              <w:t>נחיצותן</w:t>
            </w:r>
            <w:r w:rsidRPr="005D2E25">
              <w:rPr>
                <w:b w:val="0"/>
                <w:bCs w:val="0"/>
                <w:noProof w:val="0"/>
                <w:rtl/>
              </w:rPr>
              <w:t xml:space="preserve">, </w:t>
            </w:r>
            <w:r w:rsidRPr="005D2E25">
              <w:rPr>
                <w:rFonts w:hint="eastAsia"/>
                <w:b w:val="0"/>
                <w:bCs w:val="0"/>
                <w:noProof w:val="0"/>
                <w:rtl/>
              </w:rPr>
              <w:t>הצטרפות</w:t>
            </w:r>
            <w:r w:rsidRPr="005D2E25">
              <w:rPr>
                <w:b w:val="0"/>
                <w:bCs w:val="0"/>
                <w:noProof w:val="0"/>
                <w:rtl/>
              </w:rPr>
              <w:t xml:space="preserve"> </w:t>
            </w:r>
            <w:r w:rsidRPr="005D2E25">
              <w:rPr>
                <w:rFonts w:hint="eastAsia"/>
                <w:b w:val="0"/>
                <w:bCs w:val="0"/>
                <w:noProof w:val="0"/>
                <w:rtl/>
              </w:rPr>
              <w:t>בני</w:t>
            </w:r>
            <w:r w:rsidRPr="005D2E25">
              <w:rPr>
                <w:b w:val="0"/>
                <w:bCs w:val="0"/>
                <w:noProof w:val="0"/>
                <w:rtl/>
              </w:rPr>
              <w:t xml:space="preserve"> </w:t>
            </w:r>
            <w:r w:rsidRPr="005D2E25">
              <w:rPr>
                <w:rFonts w:hint="eastAsia"/>
                <w:b w:val="0"/>
                <w:bCs w:val="0"/>
                <w:noProof w:val="0"/>
                <w:rtl/>
              </w:rPr>
              <w:t>משפחה</w:t>
            </w:r>
            <w:r w:rsidRPr="005D2E25">
              <w:rPr>
                <w:b w:val="0"/>
                <w:bCs w:val="0"/>
                <w:noProof w:val="0"/>
                <w:rtl/>
              </w:rPr>
              <w:t xml:space="preserve"> </w:t>
            </w:r>
            <w:r w:rsidRPr="005D2E25">
              <w:rPr>
                <w:rFonts w:hint="eastAsia"/>
                <w:b w:val="0"/>
                <w:bCs w:val="0"/>
                <w:noProof w:val="0"/>
                <w:rtl/>
              </w:rPr>
              <w:t>והגורם</w:t>
            </w:r>
            <w:r w:rsidRPr="005D2E25">
              <w:rPr>
                <w:b w:val="0"/>
                <w:bCs w:val="0"/>
                <w:noProof w:val="0"/>
                <w:rtl/>
              </w:rPr>
              <w:t xml:space="preserve"> </w:t>
            </w:r>
            <w:r w:rsidRPr="005D2E25">
              <w:rPr>
                <w:rFonts w:hint="eastAsia"/>
                <w:b w:val="0"/>
                <w:bCs w:val="0"/>
                <w:noProof w:val="0"/>
                <w:rtl/>
              </w:rPr>
              <w:t>המממן</w:t>
            </w:r>
            <w:r w:rsidRPr="005D2E25">
              <w:rPr>
                <w:b w:val="0"/>
                <w:bCs w:val="0"/>
                <w:noProof w:val="0"/>
                <w:rtl/>
              </w:rPr>
              <w:t xml:space="preserve"> </w:t>
            </w:r>
            <w:r w:rsidRPr="005D2E25">
              <w:rPr>
                <w:rFonts w:hint="cs"/>
                <w:b w:val="0"/>
                <w:bCs w:val="0"/>
                <w:noProof w:val="0"/>
                <w:rtl/>
              </w:rPr>
              <w:t>את הוצאותיהם</w:t>
            </w:r>
            <w:r w:rsidRPr="005D2E25">
              <w:rPr>
                <w:b w:val="0"/>
                <w:bCs w:val="0"/>
                <w:noProof w:val="0"/>
                <w:rtl/>
              </w:rPr>
              <w:t>.</w:t>
            </w:r>
            <w:r w:rsidRPr="005D2E25">
              <w:rPr>
                <w:rFonts w:hint="cs"/>
                <w:b w:val="0"/>
                <w:bCs w:val="0"/>
                <w:noProof w:val="0"/>
                <w:rtl/>
              </w:rPr>
              <w:t xml:space="preserve"> </w:t>
            </w:r>
            <w:r w:rsidRPr="005D2E25">
              <w:rPr>
                <w:b w:val="0"/>
                <w:bCs w:val="0"/>
                <w:noProof w:val="0"/>
                <w:rtl/>
              </w:rPr>
              <w:t>משמעות הדבר היא כי</w:t>
            </w:r>
            <w:r w:rsidRPr="005D2E25">
              <w:rPr>
                <w:rFonts w:hint="cs"/>
                <w:b w:val="0"/>
                <w:bCs w:val="0"/>
                <w:noProof w:val="0"/>
                <w:rtl/>
              </w:rPr>
              <w:t xml:space="preserve"> </w:t>
            </w:r>
            <w:r w:rsidRPr="005D2E25">
              <w:rPr>
                <w:rFonts w:hint="eastAsia"/>
                <w:b w:val="0"/>
                <w:bCs w:val="0"/>
                <w:noProof w:val="0"/>
                <w:rtl/>
              </w:rPr>
              <w:t>בפועל</w:t>
            </w:r>
            <w:r w:rsidRPr="005D2E25">
              <w:rPr>
                <w:b w:val="0"/>
                <w:bCs w:val="0"/>
                <w:noProof w:val="0"/>
                <w:rtl/>
              </w:rPr>
              <w:t xml:space="preserve"> </w:t>
            </w:r>
            <w:r w:rsidRPr="005D2E25">
              <w:rPr>
                <w:rFonts w:hint="eastAsia"/>
                <w:b w:val="0"/>
                <w:bCs w:val="0"/>
                <w:noProof w:val="0"/>
                <w:rtl/>
              </w:rPr>
              <w:t>אישור</w:t>
            </w:r>
            <w:r w:rsidRPr="005D2E25">
              <w:rPr>
                <w:b w:val="0"/>
                <w:bCs w:val="0"/>
                <w:noProof w:val="0"/>
                <w:rtl/>
              </w:rPr>
              <w:t xml:space="preserve"> </w:t>
            </w:r>
            <w:r w:rsidRPr="005D2E25">
              <w:rPr>
                <w:rFonts w:hint="eastAsia"/>
                <w:b w:val="0"/>
                <w:bCs w:val="0"/>
                <w:noProof w:val="0"/>
                <w:rtl/>
              </w:rPr>
              <w:t>הממשלה</w:t>
            </w:r>
            <w:r w:rsidRPr="005D2E25">
              <w:rPr>
                <w:b w:val="0"/>
                <w:bCs w:val="0"/>
                <w:noProof w:val="0"/>
                <w:rtl/>
              </w:rPr>
              <w:t xml:space="preserve"> </w:t>
            </w:r>
            <w:r w:rsidRPr="005D2E25">
              <w:rPr>
                <w:rFonts w:hint="eastAsia"/>
                <w:b w:val="0"/>
                <w:bCs w:val="0"/>
                <w:noProof w:val="0"/>
                <w:rtl/>
              </w:rPr>
              <w:t>נעשה</w:t>
            </w:r>
            <w:r w:rsidRPr="005D2E25">
              <w:rPr>
                <w:b w:val="0"/>
                <w:bCs w:val="0"/>
                <w:noProof w:val="0"/>
                <w:rtl/>
              </w:rPr>
              <w:t xml:space="preserve"> </w:t>
            </w:r>
            <w:r w:rsidRPr="005D2E25">
              <w:rPr>
                <w:rFonts w:hint="eastAsia"/>
                <w:b w:val="0"/>
                <w:bCs w:val="0"/>
                <w:noProof w:val="0"/>
                <w:rtl/>
              </w:rPr>
              <w:t>באופן</w:t>
            </w:r>
            <w:r w:rsidRPr="005D2E25">
              <w:rPr>
                <w:b w:val="0"/>
                <w:bCs w:val="0"/>
                <w:noProof w:val="0"/>
                <w:rtl/>
              </w:rPr>
              <w:t xml:space="preserve"> </w:t>
            </w:r>
            <w:r w:rsidRPr="005D2E25">
              <w:rPr>
                <w:rFonts w:hint="eastAsia"/>
                <w:b w:val="0"/>
                <w:bCs w:val="0"/>
                <w:noProof w:val="0"/>
                <w:rtl/>
              </w:rPr>
              <w:t>אוטומטי</w:t>
            </w:r>
            <w:r w:rsidRPr="005D2E25">
              <w:rPr>
                <w:b w:val="0"/>
                <w:bCs w:val="0"/>
                <w:noProof w:val="0"/>
                <w:rtl/>
              </w:rPr>
              <w:t xml:space="preserve"> </w:t>
            </w:r>
            <w:r w:rsidRPr="005D2E25">
              <w:rPr>
                <w:rFonts w:hint="eastAsia"/>
                <w:b w:val="0"/>
                <w:bCs w:val="0"/>
                <w:noProof w:val="0"/>
                <w:rtl/>
              </w:rPr>
              <w:t>ללא</w:t>
            </w:r>
            <w:r w:rsidRPr="005D2E25">
              <w:rPr>
                <w:b w:val="0"/>
                <w:bCs w:val="0"/>
                <w:noProof w:val="0"/>
                <w:rtl/>
              </w:rPr>
              <w:t xml:space="preserve"> </w:t>
            </w:r>
            <w:r w:rsidRPr="005D2E25">
              <w:rPr>
                <w:rFonts w:hint="eastAsia"/>
                <w:b w:val="0"/>
                <w:bCs w:val="0"/>
                <w:noProof w:val="0"/>
                <w:rtl/>
              </w:rPr>
              <w:t>בחינה</w:t>
            </w:r>
            <w:r w:rsidRPr="005D2E25">
              <w:rPr>
                <w:b w:val="0"/>
                <w:bCs w:val="0"/>
                <w:noProof w:val="0"/>
                <w:rtl/>
              </w:rPr>
              <w:t xml:space="preserve"> </w:t>
            </w:r>
            <w:r w:rsidRPr="005D2E25">
              <w:rPr>
                <w:rFonts w:hint="cs"/>
                <w:b w:val="0"/>
                <w:bCs w:val="0"/>
                <w:noProof w:val="0"/>
                <w:rtl/>
              </w:rPr>
              <w:t xml:space="preserve">והיה בגדר </w:t>
            </w:r>
            <w:r w:rsidRPr="005D2E25">
              <w:rPr>
                <w:b w:val="0"/>
                <w:bCs w:val="0"/>
                <w:noProof w:val="0"/>
                <w:rtl/>
              </w:rPr>
              <w:t>"חותמת גומי" בלבד.</w:t>
            </w:r>
          </w:p>
          <w:p w:rsidR="005D2E25" w:rsidP="00BF0FE2">
            <w:pPr>
              <w:pStyle w:val="takzir"/>
              <w:rPr>
                <w:b w:val="0"/>
                <w:bCs w:val="0"/>
                <w:noProof w:val="0"/>
                <w:rtl/>
              </w:rPr>
            </w:pPr>
            <w:r w:rsidRPr="005D2E25">
              <w:rPr>
                <w:rFonts w:hint="cs"/>
                <w:b w:val="0"/>
                <w:bCs w:val="0"/>
                <w:noProof w:val="0"/>
                <w:rtl/>
              </w:rPr>
              <w:t>הועלה כי גם בתקופה שנבדקה בביקורת המעקב (תחילת שנת 2012 עד אמצע שנת 2015), הממשלה - שאליה הובאו לאישור בקשות השרים לנסיעות לחו"ל - לא דנה בהן</w:t>
            </w:r>
            <w:r w:rsidR="000F24CD">
              <w:rPr>
                <w:rFonts w:hint="cs"/>
                <w:b w:val="0"/>
                <w:bCs w:val="0"/>
                <w:noProof w:val="0"/>
                <w:rtl/>
              </w:rPr>
              <w:t>,</w:t>
            </w:r>
            <w:r w:rsidRPr="005D2E25">
              <w:rPr>
                <w:rFonts w:hint="cs"/>
                <w:b w:val="0"/>
                <w:bCs w:val="0"/>
                <w:noProof w:val="0"/>
                <w:rtl/>
              </w:rPr>
              <w:t xml:space="preserve"> ואישרה אותן</w:t>
            </w:r>
            <w:r w:rsidRPr="005D2E25">
              <w:rPr>
                <w:b w:val="0"/>
                <w:bCs w:val="0"/>
                <w:noProof w:val="0"/>
                <w:rtl/>
              </w:rPr>
              <w:t xml:space="preserve"> </w:t>
            </w:r>
            <w:r w:rsidRPr="005D2E25">
              <w:rPr>
                <w:rFonts w:hint="eastAsia"/>
                <w:b w:val="0"/>
                <w:bCs w:val="0"/>
                <w:noProof w:val="0"/>
                <w:rtl/>
              </w:rPr>
              <w:t>ללא</w:t>
            </w:r>
            <w:r w:rsidRPr="005D2E25">
              <w:rPr>
                <w:b w:val="0"/>
                <w:bCs w:val="0"/>
                <w:noProof w:val="0"/>
                <w:rtl/>
              </w:rPr>
              <w:t xml:space="preserve"> </w:t>
            </w:r>
            <w:r w:rsidRPr="005D2E25">
              <w:rPr>
                <w:rFonts w:hint="eastAsia"/>
                <w:b w:val="0"/>
                <w:bCs w:val="0"/>
                <w:noProof w:val="0"/>
                <w:rtl/>
              </w:rPr>
              <w:t>בחינה</w:t>
            </w:r>
            <w:r w:rsidRPr="005D2E25">
              <w:rPr>
                <w:b w:val="0"/>
                <w:bCs w:val="0"/>
                <w:noProof w:val="0"/>
                <w:rtl/>
              </w:rPr>
              <w:t xml:space="preserve">. </w:t>
            </w:r>
            <w:r w:rsidRPr="005D2E25">
              <w:rPr>
                <w:rFonts w:hint="cs"/>
                <w:b w:val="0"/>
                <w:bCs w:val="0"/>
                <w:noProof w:val="0"/>
                <w:rtl/>
              </w:rPr>
              <w:t xml:space="preserve">יתרה מזו, לעניין מקור המימון לנסיעה - בטופס הבקשה לאישור נסיעת שר לחו"ל בתפקיד, שהוא נספח לתקנון עבודת הממשלה, אין </w:t>
            </w:r>
            <w:r w:rsidRPr="005D2E25">
              <w:rPr>
                <w:rFonts w:hint="eastAsia"/>
                <w:b w:val="0"/>
                <w:bCs w:val="0"/>
                <w:noProof w:val="0"/>
                <w:rtl/>
              </w:rPr>
              <w:t>דרישה</w:t>
            </w:r>
            <w:r w:rsidRPr="005D2E25">
              <w:rPr>
                <w:rFonts w:hint="cs"/>
                <w:b w:val="0"/>
                <w:bCs w:val="0"/>
                <w:noProof w:val="0"/>
                <w:rtl/>
              </w:rPr>
              <w:t xml:space="preserve"> לציין מי ה</w:t>
            </w:r>
            <w:r w:rsidRPr="005D2E25">
              <w:rPr>
                <w:rFonts w:hint="eastAsia"/>
                <w:b w:val="0"/>
                <w:bCs w:val="0"/>
                <w:noProof w:val="0"/>
                <w:rtl/>
              </w:rPr>
              <w:t>גורם</w:t>
            </w:r>
            <w:r w:rsidRPr="005D2E25">
              <w:rPr>
                <w:b w:val="0"/>
                <w:bCs w:val="0"/>
                <w:noProof w:val="0"/>
                <w:rtl/>
              </w:rPr>
              <w:t xml:space="preserve"> </w:t>
            </w:r>
            <w:r w:rsidRPr="005D2E25">
              <w:rPr>
                <w:rFonts w:hint="eastAsia"/>
                <w:b w:val="0"/>
                <w:bCs w:val="0"/>
                <w:noProof w:val="0"/>
                <w:rtl/>
              </w:rPr>
              <w:t>המממן</w:t>
            </w:r>
            <w:r w:rsidRPr="005D2E25">
              <w:rPr>
                <w:b w:val="0"/>
                <w:bCs w:val="0"/>
                <w:noProof w:val="0"/>
                <w:rtl/>
              </w:rPr>
              <w:t xml:space="preserve"> </w:t>
            </w:r>
            <w:r w:rsidRPr="005D2E25">
              <w:rPr>
                <w:rFonts w:hint="eastAsia"/>
                <w:b w:val="0"/>
                <w:bCs w:val="0"/>
                <w:noProof w:val="0"/>
                <w:rtl/>
              </w:rPr>
              <w:t>א</w:t>
            </w:r>
            <w:r w:rsidRPr="005D2E25">
              <w:rPr>
                <w:rFonts w:hint="cs"/>
                <w:b w:val="0"/>
                <w:bCs w:val="0"/>
                <w:noProof w:val="0"/>
                <w:rtl/>
              </w:rPr>
              <w:t xml:space="preserve">ת הנסיעה. כפועל יוצא מכך, כשבקשה לנסיעת שר לחו"ל </w:t>
            </w:r>
            <w:r w:rsidR="00BF0FE2">
              <w:rPr>
                <w:rFonts w:hint="cs"/>
                <w:b w:val="0"/>
                <w:bCs w:val="0"/>
                <w:noProof w:val="0"/>
                <w:rtl/>
              </w:rPr>
              <w:t>הובאה</w:t>
            </w:r>
            <w:r w:rsidRPr="005D2E25">
              <w:rPr>
                <w:rFonts w:hint="cs"/>
                <w:b w:val="0"/>
                <w:bCs w:val="0"/>
                <w:noProof w:val="0"/>
                <w:rtl/>
              </w:rPr>
              <w:t xml:space="preserve"> לפני הממשלה, הממשלה </w:t>
            </w:r>
            <w:r w:rsidR="00BF0FE2">
              <w:rPr>
                <w:rFonts w:hint="cs"/>
                <w:b w:val="0"/>
                <w:bCs w:val="0"/>
                <w:noProof w:val="0"/>
                <w:rtl/>
              </w:rPr>
              <w:t>לא ידעה</w:t>
            </w:r>
            <w:r w:rsidRPr="005D2E25">
              <w:rPr>
                <w:rFonts w:hint="cs"/>
                <w:b w:val="0"/>
                <w:bCs w:val="0"/>
                <w:noProof w:val="0"/>
                <w:rtl/>
              </w:rPr>
              <w:t xml:space="preserve"> אם מדובר בנסיעה במימון ממשלתי או במימון חיצוני.</w:t>
            </w:r>
          </w:p>
        </w:tc>
      </w:tr>
    </w:tbl>
    <w:p w:rsidR="001275A6">
      <w:pPr>
        <w:pStyle w:val="takzi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5750D3">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804" w:type="dxa"/>
            <w:shd w:val="pct25" w:color="00FF00" w:fill="auto"/>
          </w:tcPr>
          <w:p w:rsidR="001275A6">
            <w:pPr>
              <w:pStyle w:val="KOT4"/>
              <w:spacing w:before="120"/>
              <w:jc w:val="center"/>
              <w:rPr>
                <w:rtl/>
              </w:rPr>
            </w:pPr>
            <w:r>
              <w:rPr>
                <w:rFonts w:hint="cs"/>
                <w:rtl/>
              </w:rPr>
              <w:t>ה</w:t>
            </w:r>
            <w:r>
              <w:rPr>
                <w:rtl/>
              </w:rPr>
              <w:t xml:space="preserve">המלצות </w:t>
            </w:r>
            <w:r>
              <w:rPr>
                <w:rFonts w:hint="cs"/>
                <w:rtl/>
              </w:rPr>
              <w:t>העיקריות</w:t>
            </w:r>
          </w:p>
        </w:tc>
      </w:tr>
      <w:tr w:rsidTr="005750D3">
        <w:tblPrEx>
          <w:tblW w:w="6691" w:type="dxa"/>
          <w:jc w:val="center"/>
          <w:tblLook w:val="04A0"/>
        </w:tblPrEx>
        <w:trPr>
          <w:jc w:val="center"/>
        </w:trPr>
        <w:tc>
          <w:tcPr>
            <w:tcW w:w="6804" w:type="dxa"/>
          </w:tcPr>
          <w:p w:rsidR="005D2E25" w:rsidRPr="005D2E25" w:rsidP="005D2E25">
            <w:pPr>
              <w:pStyle w:val="takzir"/>
              <w:spacing w:before="60"/>
              <w:rPr>
                <w:b w:val="0"/>
                <w:bCs w:val="0"/>
                <w:noProof w:val="0"/>
                <w:rtl/>
              </w:rPr>
            </w:pPr>
            <w:r w:rsidRPr="005D2E25">
              <w:rPr>
                <w:rFonts w:hint="cs"/>
                <w:b w:val="0"/>
                <w:bCs w:val="0"/>
                <w:noProof w:val="0"/>
                <w:rtl/>
              </w:rPr>
              <w:t xml:space="preserve">מקום שבו לדעת הממשלה נודעת חשיבות להשתתפותו של שר או סגן שר באירוע בין-לאומי לקידום שמה ומעמדה של מדינת ישראל, מן הראוי שהמימון לנסיעה לאותו אירוע לא יינתן על ידי גורם חיצוני שאינו ממשלתי, ועל מזכירות הממשלה והשרים לפעול בהתאם לכך. </w:t>
            </w:r>
          </w:p>
          <w:p w:rsidR="005D2E25" w:rsidRPr="005D2E25" w:rsidP="00306A96">
            <w:pPr>
              <w:pStyle w:val="takzir"/>
              <w:rPr>
                <w:b w:val="0"/>
                <w:bCs w:val="0"/>
                <w:noProof w:val="0"/>
                <w:rtl/>
              </w:rPr>
            </w:pPr>
            <w:r w:rsidRPr="005D2E25">
              <w:rPr>
                <w:rFonts w:hint="cs"/>
                <w:b w:val="0"/>
                <w:bCs w:val="0"/>
                <w:noProof w:val="0"/>
                <w:rtl/>
              </w:rPr>
              <w:t xml:space="preserve">כל עוד לא נעשה השינוי הנדרש לעיל, על השרים להקפיד למלא את הדרישה היסודית שכל נסיעה של שר לחו"ל במימון של גורם חיצוני שאינו ממשלתי תיבחן על ידי גורם משפטי מוסמך, ועל מזכירות הממשלה להקפיד לאכוף דרישה זו. </w:t>
            </w:r>
          </w:p>
          <w:p w:rsidR="001275A6" w:rsidP="005D2E25">
            <w:pPr>
              <w:pStyle w:val="takzir"/>
              <w:rPr>
                <w:b w:val="0"/>
                <w:bCs w:val="0"/>
                <w:rtl/>
              </w:rPr>
            </w:pPr>
            <w:r w:rsidRPr="005D2E25">
              <w:rPr>
                <w:b w:val="0"/>
                <w:bCs w:val="0"/>
                <w:noProof w:val="0"/>
                <w:rtl/>
              </w:rPr>
              <w:t>מבקר המדינה מבקש להפנות את תשומת לב ועדת הכספים של הכנסת לממצאי דוח זה</w:t>
            </w:r>
            <w:r w:rsidRPr="005D2E25">
              <w:rPr>
                <w:rFonts w:hint="cs"/>
                <w:b w:val="0"/>
                <w:bCs w:val="0"/>
                <w:noProof w:val="0"/>
                <w:rtl/>
              </w:rPr>
              <w:t>.</w:t>
            </w:r>
            <w:r w:rsidRPr="005D2E25">
              <w:rPr>
                <w:b w:val="0"/>
                <w:bCs w:val="0"/>
                <w:noProof w:val="0"/>
                <w:rtl/>
              </w:rPr>
              <w:t xml:space="preserve"> מוצע כי הוועדה תיתן דעתה </w:t>
            </w:r>
            <w:r w:rsidRPr="005D2E25">
              <w:rPr>
                <w:rFonts w:hint="cs"/>
                <w:b w:val="0"/>
                <w:bCs w:val="0"/>
                <w:noProof w:val="0"/>
                <w:rtl/>
              </w:rPr>
              <w:t xml:space="preserve">לכך שכששר נוסע לחו"ל בתפקיד במימון ממשלתי, היקף ההוצאה נתון לפיקוח ממשלתי, ואילו כששר נוסע לחו"ל במימון חיצוני, היקף ההוצאה תלוי במממן החיצוני. עובדה זו יש בה כדי לעודד העדפה של מימון חיצוני על פני מימון ממשלתי. </w:t>
            </w:r>
            <w:r w:rsidRPr="005D2E25">
              <w:rPr>
                <w:b w:val="0"/>
                <w:bCs w:val="0"/>
                <w:noProof w:val="0"/>
                <w:rtl/>
              </w:rPr>
              <w:t xml:space="preserve">ראוי </w:t>
            </w:r>
            <w:r w:rsidRPr="005D2E25">
              <w:rPr>
                <w:rFonts w:hint="cs"/>
                <w:b w:val="0"/>
                <w:bCs w:val="0"/>
                <w:noProof w:val="0"/>
                <w:rtl/>
              </w:rPr>
              <w:t>ש</w:t>
            </w:r>
            <w:r w:rsidRPr="005D2E25">
              <w:rPr>
                <w:b w:val="0"/>
                <w:bCs w:val="0"/>
                <w:noProof w:val="0"/>
                <w:rtl/>
              </w:rPr>
              <w:t>משרד</w:t>
            </w:r>
            <w:r w:rsidRPr="005D2E25">
              <w:rPr>
                <w:rFonts w:hint="cs"/>
                <w:b w:val="0"/>
                <w:bCs w:val="0"/>
                <w:noProof w:val="0"/>
                <w:rtl/>
              </w:rPr>
              <w:t xml:space="preserve"> האוצר</w:t>
            </w:r>
            <w:r w:rsidRPr="005D2E25">
              <w:rPr>
                <w:b w:val="0"/>
                <w:bCs w:val="0"/>
                <w:noProof w:val="0"/>
                <w:rtl/>
              </w:rPr>
              <w:t xml:space="preserve"> יביא לפני ועדת הכספים של הכנסת הצעה </w:t>
            </w:r>
            <w:r w:rsidRPr="005D2E25">
              <w:rPr>
                <w:rFonts w:hint="cs"/>
                <w:b w:val="0"/>
                <w:bCs w:val="0"/>
                <w:noProof w:val="0"/>
                <w:rtl/>
              </w:rPr>
              <w:t>לבחון את האפשרות שהוראות המחייבות עובדי מדינה בנושא טיסות ושירותים נלווים לנסיעות בתפקיד לחוץ לארץ, ובנושא קצובות שהייה והחזרי הוצאות בחו"ל, יוחלו גם על שרי הממשלה והנלווים להם. בכלל זה יש לבחון את האפשרות לקבוע עבור שרי הממשלה את תקרות המימון החיצוני, את סוגי ההוצאות המותרות ותקרותיהן ואת סדרי הזמנת הטיסות והשירותים הנלווים.</w:t>
            </w:r>
          </w:p>
        </w:tc>
      </w:tr>
    </w:tbl>
    <w:p w:rsidR="001275A6">
      <w:pPr>
        <w:pStyle w:val="takzi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306A96">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7018" w:type="dxa"/>
            <w:shd w:val="pct25" w:color="00FF00" w:fill="auto"/>
          </w:tcPr>
          <w:p w:rsidR="001275A6">
            <w:pPr>
              <w:pStyle w:val="KOT4"/>
              <w:spacing w:before="120"/>
              <w:jc w:val="center"/>
              <w:rPr>
                <w:rtl/>
              </w:rPr>
            </w:pPr>
            <w:r>
              <w:rPr>
                <w:rtl/>
              </w:rPr>
              <w:t>סיכום</w:t>
            </w:r>
          </w:p>
        </w:tc>
      </w:tr>
      <w:tr w:rsidTr="00306A96">
        <w:tblPrEx>
          <w:tblW w:w="6691" w:type="dxa"/>
          <w:jc w:val="center"/>
          <w:tblLook w:val="04A0"/>
        </w:tblPrEx>
        <w:trPr>
          <w:jc w:val="center"/>
        </w:trPr>
        <w:tc>
          <w:tcPr>
            <w:tcW w:w="7018" w:type="dxa"/>
          </w:tcPr>
          <w:p w:rsidR="005D2E25" w:rsidRPr="005D2E25" w:rsidP="005D2E25">
            <w:pPr>
              <w:spacing w:before="60" w:after="120"/>
              <w:jc w:val="both"/>
              <w:rPr>
                <w:b/>
                <w:bCs/>
                <w:sz w:val="22"/>
                <w:szCs w:val="22"/>
                <w:rtl/>
                <w:lang w:eastAsia="he-IL"/>
              </w:rPr>
            </w:pPr>
            <w:r w:rsidRPr="005D2E25">
              <w:rPr>
                <w:rFonts w:hint="cs"/>
                <w:b/>
                <w:bCs/>
                <w:sz w:val="22"/>
                <w:szCs w:val="22"/>
                <w:rtl/>
                <w:lang w:eastAsia="he-IL"/>
              </w:rPr>
              <w:t xml:space="preserve">ביסוד קיומו ופעולתו של השירות הציבורי עומד אמון הציבור. איש ציבור נאמן הציבור הוא; לא לעצמו הוא פועל, אלא למען ענייניו של הציבור. </w:t>
            </w:r>
          </w:p>
          <w:p w:rsidR="005D2E25" w:rsidRPr="005D2E25" w:rsidP="005D2E25">
            <w:pPr>
              <w:spacing w:before="60" w:after="120"/>
              <w:jc w:val="both"/>
              <w:rPr>
                <w:b/>
                <w:bCs/>
                <w:sz w:val="22"/>
                <w:szCs w:val="22"/>
                <w:rtl/>
                <w:lang w:eastAsia="he-IL"/>
              </w:rPr>
            </w:pPr>
            <w:r w:rsidRPr="005D2E25">
              <w:rPr>
                <w:rFonts w:hint="cs"/>
                <w:b/>
                <w:bCs/>
                <w:sz w:val="22"/>
                <w:szCs w:val="22"/>
                <w:rtl/>
                <w:lang w:eastAsia="he-IL"/>
              </w:rPr>
              <w:t xml:space="preserve">השתתפותם של שרים במכלול של פעילויות במדינות העולם נדרשת למילוי תפקידם. הביקורת העלתה כי הכללים המחייבים את כל עובדי המדינה שעניינם תקרת ההוצאות בנוגע לנסיעות לחו"ל, לא הוחלו על שרי הממשלה. </w:t>
            </w:r>
          </w:p>
          <w:p w:rsidR="005D2E25" w:rsidRPr="005D2E25" w:rsidP="005D2E25">
            <w:pPr>
              <w:spacing w:before="60" w:after="120"/>
              <w:jc w:val="both"/>
              <w:rPr>
                <w:b/>
                <w:bCs/>
                <w:sz w:val="22"/>
                <w:szCs w:val="22"/>
                <w:rtl/>
                <w:lang w:eastAsia="he-IL"/>
              </w:rPr>
            </w:pPr>
            <w:r w:rsidRPr="005D2E25">
              <w:rPr>
                <w:rFonts w:hint="cs"/>
                <w:b/>
                <w:bCs/>
                <w:sz w:val="22"/>
                <w:szCs w:val="22"/>
                <w:rtl/>
                <w:lang w:eastAsia="he-IL"/>
              </w:rPr>
              <w:t xml:space="preserve">נסיעות של שרים לחו"ל ובעיקר נסיעות שהוצאותיהן ממומנות שלא מתקציב המדינה אלא על ידי גורמים חיצוניים - מחייבות אותם לתשומת לב מיוחדת והקפדה יתרה על הכללים בנושא קבלת טובות הנאה ומתנות ומניעת ניגודי עניינים, אשר חלים עליהם מכוח חוק. </w:t>
            </w:r>
          </w:p>
          <w:p w:rsidR="005D2E25" w:rsidRPr="005D2E25" w:rsidP="005D2E25">
            <w:pPr>
              <w:spacing w:before="60" w:after="120"/>
              <w:jc w:val="both"/>
              <w:rPr>
                <w:b/>
                <w:bCs/>
                <w:sz w:val="22"/>
                <w:szCs w:val="22"/>
                <w:rtl/>
                <w:lang w:eastAsia="he-IL"/>
              </w:rPr>
            </w:pPr>
            <w:r w:rsidRPr="005D2E25">
              <w:rPr>
                <w:rFonts w:hint="cs"/>
                <w:b/>
                <w:bCs/>
                <w:sz w:val="22"/>
                <w:szCs w:val="22"/>
                <w:rtl/>
                <w:lang w:eastAsia="he-IL"/>
              </w:rPr>
              <w:t>הביקורת העלתה כי נסיעותיו של מר בנימין נתניהו ובני משפחתו במימון גורמים חיצוניים בתקופת היותו שר האוצר חרגו מהכללים החלים בנושא, והדבר עלול ליצור מראית עין של קבלת טובת הנאה או של ניגוד עניינים. יצוין כי בכל אותם מקרים, בדומה לשרים אחרים באותה תקופה, לא פנה מר נתניהו לוועדת המתנות או לוועדה למתן היתרים כדי שתבחן אם יש בקבלת המימון החיצוני משום קבלת טובת הנאה או מתנה אסורה.</w:t>
            </w:r>
          </w:p>
          <w:p w:rsidR="005D2E25" w:rsidRPr="005D2E25" w:rsidP="005D2E25">
            <w:pPr>
              <w:spacing w:before="60" w:after="120"/>
              <w:jc w:val="both"/>
              <w:rPr>
                <w:b/>
                <w:bCs/>
                <w:sz w:val="22"/>
                <w:szCs w:val="22"/>
                <w:rtl/>
                <w:lang w:eastAsia="he-IL"/>
              </w:rPr>
            </w:pPr>
            <w:r w:rsidRPr="005D2E25">
              <w:rPr>
                <w:rFonts w:hint="cs"/>
                <w:b/>
                <w:bCs/>
                <w:sz w:val="22"/>
                <w:szCs w:val="22"/>
                <w:rtl/>
                <w:lang w:eastAsia="he-IL"/>
              </w:rPr>
              <w:t>על השרים להקפיד על קיום הדרישה היסודית שכל נסיעה של שר לחו"ל במימון של גורם חיצוני שאינו ממשלתי תיבחן על ידי גורם משפטי מוסמך. בחינה זו חייבת להיעשות באופן יסודי ועל סמך מידע מפורט. באופן זה ניתן יהיה להבטיח הנהגת מדיניות בחינה ואישור אחידה. יודגש כי בחינה זו אינה מסירה מן השרים את האחריות האישית הרובצת עליהם להימנע מקבלת מתנה אסורה ומחשש לניגוד עניינים או מראית עין של אלה.</w:t>
            </w:r>
          </w:p>
          <w:p w:rsidR="001275A6" w:rsidP="005D2E25">
            <w:pPr>
              <w:spacing w:after="120"/>
              <w:jc w:val="both"/>
              <w:rPr>
                <w:b/>
                <w:bCs/>
                <w:sz w:val="22"/>
                <w:szCs w:val="22"/>
                <w:rtl/>
                <w:lang w:eastAsia="he-IL"/>
              </w:rPr>
            </w:pPr>
            <w:r w:rsidRPr="005D2E25">
              <w:rPr>
                <w:rFonts w:hint="cs"/>
                <w:b/>
                <w:bCs/>
                <w:sz w:val="22"/>
                <w:szCs w:val="22"/>
                <w:rtl/>
                <w:lang w:eastAsia="he-IL"/>
              </w:rPr>
              <w:t xml:space="preserve">במהלך עבודת הביקורת הועברו בשנת 2013 ליועץ המשפטי לממשלה לבדיקתו חומרים הנוגעים להיבטים מסוימים במימון נסיעות מר נתניהו לחו"ל. בספטמבר 2014 הודיע היועץ המשפטי לממשלה ש"לא נמצא שיש מקום לפתוח בחקירה בחשד לביצוע עבירה פלילית מצידו של מר נתניהו", ובשל כך על סיום הבדיקה שלו בעניינים אלה. לאחר קבלת תגובות המבוקרים על טיוטת הדוח, ובמהלך </w:t>
            </w:r>
            <w:r w:rsidRPr="005D2E25">
              <w:rPr>
                <w:rFonts w:hint="cs"/>
                <w:b/>
                <w:bCs/>
                <w:sz w:val="22"/>
                <w:szCs w:val="22"/>
                <w:rtl/>
                <w:lang w:eastAsia="he-IL"/>
              </w:rPr>
              <w:t>עבודת השלמת הביקורת שנעשתה לאור תגובות אלה, הועברו אל היועץ המשפטי לממשלה לבדיקה חומרים נוספים הנוגעים להיבטים מסוימים במימון נסיעות מר נתניהו לחו"ל, זאת בחודשים מאי ודצמבר 2015. לפי בקשת היועץ המשפטי לממשלה, הועברו אליו שוב, בד בבד עם העברת החומרים הנוספים, החומרים שכבר הועברו אליו בשנת 2013 לבדיקתו. לאור בדיקת היועץ המשפטי לממשלה, יש סוגיות הנוגעות לנושא שאינן נדונות בדוח זה.</w:t>
            </w:r>
          </w:p>
        </w:tc>
      </w:tr>
    </w:tbl>
    <w:p w:rsidR="001275A6">
      <w:pPr>
        <w:spacing w:after="120" w:line="230" w:lineRule="exact"/>
        <w:jc w:val="both"/>
        <w:rPr>
          <w:rFonts w:cs="FrankRuehl"/>
          <w:sz w:val="20"/>
          <w:szCs w:val="22"/>
          <w:rtl/>
        </w:rPr>
      </w:pPr>
    </w:p>
    <w:p w:rsidR="001275A6">
      <w:pPr>
        <w:pStyle w:val="KOT1"/>
        <w:keepNext w:val="0"/>
        <w:spacing w:after="0" w:line="240" w:lineRule="atLeast"/>
        <w:rPr>
          <w:rFonts w:ascii="Arial" w:hAnsi="Arial" w:cs="Arial"/>
          <w:lang w:eastAsia="en-US"/>
        </w:rPr>
      </w:pPr>
      <w:r>
        <w:rPr>
          <w:rFonts w:ascii="Arial" w:hAnsi="Arial" w:cs="Arial"/>
          <w:lang w:eastAsia="en-US"/>
        </w:rPr>
        <w:t>♦</w:t>
      </w:r>
    </w:p>
    <w:p w:rsidR="001275A6">
      <w:pPr>
        <w:spacing w:after="120" w:line="230" w:lineRule="exact"/>
        <w:jc w:val="both"/>
        <w:rPr>
          <w:rFonts w:cs="FrankRuehl"/>
          <w:sz w:val="20"/>
          <w:szCs w:val="22"/>
          <w:rtl/>
        </w:rPr>
      </w:pPr>
    </w:p>
    <w:p w:rsidR="001275A6">
      <w:pPr>
        <w:pStyle w:val="KOT4"/>
        <w:rPr>
          <w:rtl/>
        </w:rPr>
      </w:pPr>
      <w:bookmarkEnd w:id="0"/>
      <w:bookmarkEnd w:id="1"/>
      <w:bookmarkEnd w:id="2"/>
      <w:bookmarkEnd w:id="3"/>
      <w:bookmarkEnd w:id="4"/>
      <w:r>
        <w:rPr>
          <w:rtl/>
        </w:rPr>
        <w:br w:type="page"/>
      </w:r>
      <w:r>
        <w:rPr>
          <w:rFonts w:hint="eastAsia"/>
          <w:rtl/>
        </w:rPr>
        <w:t>מבוא</w:t>
      </w:r>
    </w:p>
    <w:p w:rsidR="009B5B44" w:rsidRPr="005E7E86" w:rsidP="005E7E86">
      <w:pPr>
        <w:spacing w:after="120" w:line="230" w:lineRule="exact"/>
        <w:ind w:left="12" w:hanging="12"/>
        <w:jc w:val="both"/>
        <w:rPr>
          <w:rFonts w:cs="FrankRuehl"/>
          <w:sz w:val="20"/>
          <w:szCs w:val="22"/>
          <w:rtl/>
        </w:rPr>
      </w:pPr>
      <w:r w:rsidRPr="005E7E86">
        <w:rPr>
          <w:rFonts w:cs="FrankRuehl" w:hint="cs"/>
          <w:sz w:val="20"/>
          <w:szCs w:val="22"/>
          <w:rtl/>
        </w:rPr>
        <w:t>שרי ממשלה נוסעים לחו"ל במסגרת תפקידם לצורך קידום ענייני המשרד שבראשו הם עומדים ומתוקף היותם חלק מהממשלה ומייצגיה.</w:t>
      </w:r>
    </w:p>
    <w:p w:rsidR="009B5B44" w:rsidRPr="005E7E86" w:rsidP="005E7E86">
      <w:pPr>
        <w:spacing w:after="120" w:line="230" w:lineRule="exact"/>
        <w:jc w:val="both"/>
        <w:rPr>
          <w:rFonts w:cs="FrankRuehl"/>
          <w:sz w:val="20"/>
          <w:szCs w:val="22"/>
          <w:rtl/>
        </w:rPr>
      </w:pPr>
      <w:r w:rsidRPr="005E7E86">
        <w:rPr>
          <w:rFonts w:cs="FrankRuehl" w:hint="cs"/>
          <w:sz w:val="20"/>
          <w:szCs w:val="22"/>
          <w:rtl/>
        </w:rPr>
        <w:t>ההוצאות העיקריות שבהן כרוכה נסיעה בתפקיד הן הוצאות טיסה, לינה ואירוח, אבטחה</w:t>
      </w:r>
      <w:r w:rsidRPr="005E7E86">
        <w:rPr>
          <w:rFonts w:cs="FrankRuehl" w:hint="cs"/>
          <w:sz w:val="20"/>
          <w:szCs w:val="22"/>
          <w:vertAlign w:val="superscript"/>
          <w:rtl/>
          <w:lang w:eastAsia="he-IL"/>
        </w:rPr>
        <w:t xml:space="preserve"> </w:t>
      </w:r>
      <w:r w:rsidRPr="005E7E86">
        <w:rPr>
          <w:rFonts w:cs="FrankRuehl" w:hint="cs"/>
          <w:sz w:val="20"/>
          <w:szCs w:val="22"/>
          <w:rtl/>
        </w:rPr>
        <w:t>והוצאות בגין מלווים</w:t>
      </w:r>
      <w:r w:rsidRPr="005E7E86">
        <w:rPr>
          <w:rFonts w:cs="FrankRuehl"/>
          <w:sz w:val="20"/>
          <w:szCs w:val="22"/>
          <w:rtl/>
        </w:rPr>
        <w:t>.</w:t>
      </w:r>
      <w:r w:rsidRPr="005E7E86">
        <w:rPr>
          <w:rFonts w:cs="FrankRuehl" w:hint="cs"/>
          <w:sz w:val="20"/>
          <w:szCs w:val="22"/>
          <w:rtl/>
        </w:rPr>
        <w:t xml:space="preserve"> ככלל הנסיעות בתפקיד של השרים נחלקות לשניים: נסיעות הממומנות מתקציב המדינה באמצעות המשרדים הרלוונטיים; ונסיעות הממומנות - במלואן או בחלקן - במימון גורמים חיצוניים כמו מדינות מזמינות, גופים וארגונים בין-לאומיים, ארגוניים יהודיים בתפוצות, אנשים פרטיים וגופים עסקיים. </w:t>
      </w:r>
    </w:p>
    <w:p w:rsidR="009B5B44" w:rsidP="005E7E86">
      <w:pPr>
        <w:spacing w:after="120" w:line="230" w:lineRule="exact"/>
        <w:jc w:val="both"/>
        <w:rPr>
          <w:rFonts w:cs="FrankRuehl"/>
          <w:sz w:val="20"/>
          <w:szCs w:val="22"/>
        </w:rPr>
      </w:pPr>
    </w:p>
    <w:p w:rsidR="00306A96" w:rsidRPr="005E7E86" w:rsidP="005E7E86">
      <w:pPr>
        <w:spacing w:after="120" w:line="230" w:lineRule="exact"/>
        <w:jc w:val="both"/>
        <w:rPr>
          <w:rFonts w:cs="FrankRuehl"/>
          <w:sz w:val="20"/>
          <w:szCs w:val="22"/>
          <w:rtl/>
        </w:rPr>
      </w:pPr>
    </w:p>
    <w:p w:rsidR="009B5B44" w:rsidP="00BF3C50">
      <w:pPr>
        <w:pStyle w:val="KOT4"/>
        <w:rPr>
          <w:rtl/>
        </w:rPr>
      </w:pPr>
      <w:r>
        <w:rPr>
          <w:rFonts w:hint="cs"/>
          <w:rtl/>
        </w:rPr>
        <w:t>פעולות הביקורת</w:t>
      </w:r>
    </w:p>
    <w:p w:rsidR="009B5B44" w:rsidRPr="005E7E86" w:rsidP="005E7E86">
      <w:pPr>
        <w:spacing w:after="120" w:line="230" w:lineRule="exact"/>
        <w:jc w:val="both"/>
        <w:rPr>
          <w:rFonts w:cs="FrankRuehl"/>
          <w:sz w:val="20"/>
          <w:szCs w:val="22"/>
          <w:rtl/>
        </w:rPr>
      </w:pPr>
      <w:r w:rsidRPr="005E7E86">
        <w:rPr>
          <w:rFonts w:cs="FrankRuehl" w:hint="cs"/>
          <w:sz w:val="20"/>
          <w:szCs w:val="22"/>
          <w:rtl/>
        </w:rPr>
        <w:t>במרץ 2011 החל משרד מבקר המדינה לבדוק היבטים</w:t>
      </w:r>
      <w:r w:rsidRPr="005E7E86">
        <w:rPr>
          <w:rFonts w:cs="FrankRuehl"/>
          <w:sz w:val="20"/>
          <w:szCs w:val="22"/>
          <w:rtl/>
        </w:rPr>
        <w:t xml:space="preserve"> </w:t>
      </w:r>
      <w:r w:rsidRPr="005E7E86">
        <w:rPr>
          <w:rFonts w:cs="FrankRuehl" w:hint="cs"/>
          <w:sz w:val="20"/>
          <w:szCs w:val="22"/>
          <w:rtl/>
        </w:rPr>
        <w:t>הנוגעים</w:t>
      </w:r>
      <w:r w:rsidRPr="005E7E86">
        <w:rPr>
          <w:rFonts w:cs="FrankRuehl"/>
          <w:sz w:val="20"/>
          <w:szCs w:val="22"/>
          <w:rtl/>
        </w:rPr>
        <w:t xml:space="preserve"> </w:t>
      </w:r>
      <w:r w:rsidRPr="005E7E86">
        <w:rPr>
          <w:rFonts w:cs="FrankRuehl" w:hint="cs"/>
          <w:sz w:val="20"/>
          <w:szCs w:val="22"/>
          <w:rtl/>
        </w:rPr>
        <w:t>למימון</w:t>
      </w:r>
      <w:r w:rsidRPr="005E7E86">
        <w:rPr>
          <w:rFonts w:cs="FrankRuehl"/>
          <w:sz w:val="20"/>
          <w:szCs w:val="22"/>
          <w:rtl/>
        </w:rPr>
        <w:t xml:space="preserve"> </w:t>
      </w:r>
      <w:r w:rsidRPr="005E7E86">
        <w:rPr>
          <w:rFonts w:cs="FrankRuehl" w:hint="cs"/>
          <w:sz w:val="20"/>
          <w:szCs w:val="22"/>
          <w:rtl/>
        </w:rPr>
        <w:t>נסיעות לחו"ל של</w:t>
      </w:r>
      <w:r w:rsidRPr="005E7E86">
        <w:rPr>
          <w:rFonts w:cs="FrankRuehl"/>
          <w:sz w:val="20"/>
          <w:szCs w:val="22"/>
          <w:rtl/>
        </w:rPr>
        <w:t xml:space="preserve"> </w:t>
      </w:r>
      <w:r w:rsidRPr="005E7E86">
        <w:rPr>
          <w:rFonts w:cs="FrankRuehl" w:hint="cs"/>
          <w:sz w:val="20"/>
          <w:szCs w:val="22"/>
          <w:rtl/>
        </w:rPr>
        <w:t>מר בנימין נתניהו, ראש הממשלה הנוכחי וראש הממשלה בשנים 1999-1996, שבוצעו בתקופה שבה</w:t>
      </w:r>
      <w:r w:rsidRPr="005E7E86">
        <w:rPr>
          <w:rFonts w:cs="FrankRuehl"/>
          <w:sz w:val="20"/>
          <w:szCs w:val="22"/>
          <w:rtl/>
        </w:rPr>
        <w:t xml:space="preserve"> </w:t>
      </w:r>
      <w:r w:rsidRPr="005E7E86">
        <w:rPr>
          <w:rFonts w:cs="FrankRuehl" w:hint="cs"/>
          <w:sz w:val="20"/>
          <w:szCs w:val="22"/>
          <w:rtl/>
        </w:rPr>
        <w:t>כיהן</w:t>
      </w:r>
      <w:r w:rsidRPr="005E7E86">
        <w:rPr>
          <w:rFonts w:cs="FrankRuehl"/>
          <w:sz w:val="20"/>
          <w:szCs w:val="22"/>
          <w:rtl/>
        </w:rPr>
        <w:t xml:space="preserve"> </w:t>
      </w:r>
      <w:r w:rsidRPr="005E7E86">
        <w:rPr>
          <w:rFonts w:cs="FrankRuehl" w:hint="cs"/>
          <w:sz w:val="20"/>
          <w:szCs w:val="22"/>
          <w:rtl/>
        </w:rPr>
        <w:t>בתפקיד</w:t>
      </w:r>
      <w:r w:rsidRPr="005E7E86">
        <w:rPr>
          <w:rFonts w:cs="FrankRuehl"/>
          <w:sz w:val="20"/>
          <w:szCs w:val="22"/>
          <w:rtl/>
        </w:rPr>
        <w:t xml:space="preserve"> </w:t>
      </w:r>
      <w:r w:rsidRPr="005E7E86">
        <w:rPr>
          <w:rFonts w:cs="FrankRuehl" w:hint="cs"/>
          <w:sz w:val="20"/>
          <w:szCs w:val="22"/>
          <w:rtl/>
        </w:rPr>
        <w:t>שר האוצר - ממרץ 2003 ועד אוגוסט 2005.</w:t>
      </w:r>
    </w:p>
    <w:p w:rsidR="009B5B44" w:rsidRPr="005E7E86" w:rsidP="005E7E86">
      <w:pPr>
        <w:spacing w:after="120" w:line="230" w:lineRule="exact"/>
        <w:jc w:val="both"/>
        <w:rPr>
          <w:rFonts w:cs="FrankRuehl"/>
          <w:sz w:val="20"/>
          <w:szCs w:val="22"/>
          <w:rtl/>
        </w:rPr>
      </w:pPr>
      <w:r w:rsidRPr="005E7E86">
        <w:rPr>
          <w:rFonts w:cs="FrankRuehl"/>
          <w:sz w:val="20"/>
          <w:szCs w:val="22"/>
          <w:rtl/>
        </w:rPr>
        <w:t>בעקבות בקשת הוועדה לענייני ביקורת המדינה של הכנסת</w:t>
      </w:r>
      <w:r w:rsidRPr="005E7E86">
        <w:rPr>
          <w:rFonts w:cs="FrankRuehl" w:hint="cs"/>
          <w:sz w:val="20"/>
          <w:szCs w:val="22"/>
          <w:rtl/>
        </w:rPr>
        <w:t xml:space="preserve"> הרחיב </w:t>
      </w:r>
      <w:r w:rsidRPr="005E7E86">
        <w:rPr>
          <w:rFonts w:cs="FrankRuehl"/>
          <w:sz w:val="20"/>
          <w:szCs w:val="22"/>
          <w:rtl/>
        </w:rPr>
        <w:t>משרד מבקר המדינה</w:t>
      </w:r>
      <w:r w:rsidRPr="005E7E86">
        <w:rPr>
          <w:rFonts w:cs="FrankRuehl" w:hint="cs"/>
          <w:sz w:val="20"/>
          <w:szCs w:val="22"/>
          <w:rtl/>
        </w:rPr>
        <w:t xml:space="preserve"> את הביקורת</w:t>
      </w:r>
      <w:r w:rsidRPr="005E7E86">
        <w:rPr>
          <w:rFonts w:cs="FrankRuehl"/>
          <w:sz w:val="20"/>
          <w:szCs w:val="22"/>
          <w:rtl/>
        </w:rPr>
        <w:t xml:space="preserve"> </w:t>
      </w:r>
      <w:r w:rsidRPr="005E7E86">
        <w:rPr>
          <w:rFonts w:cs="FrankRuehl" w:hint="cs"/>
          <w:sz w:val="20"/>
          <w:szCs w:val="22"/>
          <w:rtl/>
        </w:rPr>
        <w:t>ועסק גם ב</w:t>
      </w:r>
      <w:r w:rsidRPr="005E7E86">
        <w:rPr>
          <w:rFonts w:cs="FrankRuehl"/>
          <w:sz w:val="20"/>
          <w:szCs w:val="22"/>
          <w:rtl/>
        </w:rPr>
        <w:t>נסיעות לחו"ל</w:t>
      </w:r>
      <w:r w:rsidRPr="005E7E86">
        <w:rPr>
          <w:rFonts w:cs="FrankRuehl" w:hint="cs"/>
          <w:sz w:val="20"/>
          <w:szCs w:val="22"/>
          <w:rtl/>
        </w:rPr>
        <w:t xml:space="preserve"> בתפקיד</w:t>
      </w:r>
      <w:r w:rsidRPr="005E7E86">
        <w:rPr>
          <w:rFonts w:cs="FrankRuehl"/>
          <w:sz w:val="20"/>
          <w:szCs w:val="22"/>
          <w:rtl/>
        </w:rPr>
        <w:t xml:space="preserve"> של שרים וסגני שרים</w:t>
      </w:r>
      <w:r w:rsidRPr="005E7E86">
        <w:rPr>
          <w:rFonts w:cs="FrankRuehl" w:hint="cs"/>
          <w:sz w:val="20"/>
          <w:szCs w:val="22"/>
          <w:rtl/>
        </w:rPr>
        <w:t>. הביקורת נעשתה</w:t>
      </w:r>
      <w:r w:rsidRPr="005E7E86">
        <w:rPr>
          <w:rFonts w:cs="FrankRuehl"/>
          <w:sz w:val="20"/>
          <w:szCs w:val="22"/>
          <w:rtl/>
        </w:rPr>
        <w:t xml:space="preserve"> בחודשים מאי 2011 - מאי 2012</w:t>
      </w:r>
      <w:r w:rsidRPr="005E7E86">
        <w:rPr>
          <w:rFonts w:cs="FrankRuehl" w:hint="cs"/>
          <w:sz w:val="20"/>
          <w:szCs w:val="22"/>
          <w:rtl/>
        </w:rPr>
        <w:t xml:space="preserve"> ו</w:t>
      </w:r>
      <w:r w:rsidRPr="005E7E86">
        <w:rPr>
          <w:rFonts w:cs="FrankRuehl"/>
          <w:sz w:val="20"/>
          <w:szCs w:val="22"/>
          <w:rtl/>
        </w:rPr>
        <w:t>עסקה בעיקרה בנסיעות</w:t>
      </w:r>
      <w:r w:rsidRPr="005E7E86">
        <w:rPr>
          <w:rFonts w:cs="FrankRuehl" w:hint="cs"/>
          <w:sz w:val="20"/>
          <w:szCs w:val="22"/>
          <w:rtl/>
        </w:rPr>
        <w:t xml:space="preserve"> שמומנו במלואן או בחלקן בידי גורם חיצוני</w:t>
      </w:r>
      <w:r w:rsidRPr="005E7E86">
        <w:rPr>
          <w:rFonts w:cs="FrankRuehl"/>
          <w:sz w:val="20"/>
          <w:szCs w:val="22"/>
          <w:rtl/>
        </w:rPr>
        <w:t xml:space="preserve"> שאינו ממשלתי, ובחלקה בהיבטים הקשורים במימון ממשלתי. הבדיקה נעשתה לגבי השנים 2003-2011, שבהן כיהנו הממשלות ה-30, ה-31 וה-32. דוח הביקורת בעניין זה פורסם </w:t>
      </w:r>
      <w:r w:rsidRPr="005E7E86">
        <w:rPr>
          <w:rFonts w:cs="FrankRuehl" w:hint="eastAsia"/>
          <w:sz w:val="20"/>
          <w:szCs w:val="22"/>
          <w:rtl/>
        </w:rPr>
        <w:t>במסגרת</w:t>
      </w:r>
      <w:r w:rsidRPr="005E7E86">
        <w:rPr>
          <w:rFonts w:cs="FrankRuehl"/>
          <w:sz w:val="20"/>
          <w:szCs w:val="22"/>
          <w:rtl/>
        </w:rPr>
        <w:t xml:space="preserve"> </w:t>
      </w:r>
      <w:r w:rsidRPr="005E7E86">
        <w:rPr>
          <w:rFonts w:cs="FrankRuehl" w:hint="eastAsia"/>
          <w:sz w:val="20"/>
          <w:szCs w:val="22"/>
          <w:rtl/>
        </w:rPr>
        <w:t>דוח</w:t>
      </w:r>
      <w:r w:rsidRPr="005E7E86">
        <w:rPr>
          <w:rFonts w:cs="FrankRuehl"/>
          <w:sz w:val="20"/>
          <w:szCs w:val="22"/>
          <w:rtl/>
        </w:rPr>
        <w:t xml:space="preserve"> </w:t>
      </w:r>
      <w:r w:rsidRPr="005E7E86">
        <w:rPr>
          <w:rFonts w:cs="FrankRuehl" w:hint="eastAsia"/>
          <w:sz w:val="20"/>
          <w:szCs w:val="22"/>
          <w:rtl/>
        </w:rPr>
        <w:t>שנתי</w:t>
      </w:r>
      <w:r w:rsidRPr="005E7E86">
        <w:rPr>
          <w:rFonts w:cs="FrankRuehl"/>
          <w:sz w:val="20"/>
          <w:szCs w:val="22"/>
          <w:rtl/>
        </w:rPr>
        <w:t xml:space="preserve"> 64</w:t>
      </w:r>
      <w:r w:rsidRPr="005E7E86">
        <w:rPr>
          <w:rFonts w:cs="FrankRuehl" w:hint="eastAsia"/>
          <w:sz w:val="20"/>
          <w:szCs w:val="22"/>
          <w:rtl/>
        </w:rPr>
        <w:t>ג</w:t>
      </w:r>
      <w:r w:rsidRPr="005E7E86">
        <w:rPr>
          <w:rFonts w:cs="FrankRuehl"/>
          <w:sz w:val="20"/>
          <w:szCs w:val="22"/>
          <w:rtl/>
        </w:rPr>
        <w:t xml:space="preserve"> </w:t>
      </w:r>
      <w:r w:rsidRPr="005E7E86">
        <w:rPr>
          <w:rFonts w:cs="FrankRuehl" w:hint="eastAsia"/>
          <w:sz w:val="20"/>
          <w:szCs w:val="22"/>
          <w:rtl/>
        </w:rPr>
        <w:t>משנת</w:t>
      </w:r>
      <w:r w:rsidRPr="005E7E86">
        <w:rPr>
          <w:rFonts w:cs="FrankRuehl"/>
          <w:sz w:val="20"/>
          <w:szCs w:val="22"/>
          <w:rtl/>
        </w:rPr>
        <w:t xml:space="preserve"> 2014.</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rPr>
        <w:t>ב-27.12.12 נמסרה</w:t>
      </w:r>
      <w:r w:rsidRPr="005E7E86">
        <w:rPr>
          <w:rFonts w:cs="FrankRuehl"/>
          <w:sz w:val="20"/>
          <w:szCs w:val="22"/>
          <w:rtl/>
        </w:rPr>
        <w:t xml:space="preserve"> </w:t>
      </w:r>
      <w:r w:rsidRPr="005E7E86">
        <w:rPr>
          <w:rFonts w:cs="FrankRuehl" w:hint="cs"/>
          <w:sz w:val="20"/>
          <w:szCs w:val="22"/>
          <w:rtl/>
        </w:rPr>
        <w:t>למר</w:t>
      </w:r>
      <w:r w:rsidRPr="005E7E86">
        <w:rPr>
          <w:rFonts w:cs="FrankRuehl"/>
          <w:sz w:val="20"/>
          <w:szCs w:val="22"/>
          <w:rtl/>
        </w:rPr>
        <w:t xml:space="preserve"> </w:t>
      </w:r>
      <w:r w:rsidRPr="005E7E86">
        <w:rPr>
          <w:rFonts w:cs="FrankRuehl" w:hint="cs"/>
          <w:sz w:val="20"/>
          <w:szCs w:val="22"/>
          <w:rtl/>
        </w:rPr>
        <w:t>נתניהו</w:t>
      </w:r>
      <w:r w:rsidRPr="005E7E86">
        <w:rPr>
          <w:rFonts w:cs="FrankRuehl"/>
          <w:sz w:val="20"/>
          <w:szCs w:val="22"/>
          <w:rtl/>
        </w:rPr>
        <w:t xml:space="preserve"> </w:t>
      </w:r>
      <w:r w:rsidRPr="005E7E86">
        <w:rPr>
          <w:rFonts w:cs="FrankRuehl" w:hint="cs"/>
          <w:sz w:val="20"/>
          <w:szCs w:val="22"/>
          <w:rtl/>
        </w:rPr>
        <w:t>טיוטת</w:t>
      </w:r>
      <w:r w:rsidRPr="005E7E86">
        <w:rPr>
          <w:rFonts w:cs="FrankRuehl"/>
          <w:sz w:val="20"/>
          <w:szCs w:val="22"/>
          <w:rtl/>
        </w:rPr>
        <w:t xml:space="preserve"> </w:t>
      </w:r>
      <w:r w:rsidRPr="005E7E86">
        <w:rPr>
          <w:rFonts w:cs="FrankRuehl" w:hint="cs"/>
          <w:sz w:val="20"/>
          <w:szCs w:val="22"/>
          <w:rtl/>
        </w:rPr>
        <w:t>הדוח</w:t>
      </w:r>
      <w:r w:rsidRPr="005E7E86">
        <w:rPr>
          <w:rFonts w:cs="FrankRuehl"/>
          <w:sz w:val="20"/>
          <w:szCs w:val="22"/>
          <w:rtl/>
        </w:rPr>
        <w:t xml:space="preserve"> </w:t>
      </w:r>
      <w:r w:rsidRPr="005E7E86">
        <w:rPr>
          <w:rFonts w:cs="FrankRuehl" w:hint="cs"/>
          <w:sz w:val="20"/>
          <w:szCs w:val="22"/>
          <w:rtl/>
        </w:rPr>
        <w:t>שבה</w:t>
      </w:r>
      <w:r w:rsidRPr="005E7E86">
        <w:rPr>
          <w:rFonts w:cs="FrankRuehl"/>
          <w:sz w:val="20"/>
          <w:szCs w:val="22"/>
          <w:rtl/>
        </w:rPr>
        <w:t xml:space="preserve"> </w:t>
      </w:r>
      <w:r w:rsidRPr="005E7E86">
        <w:rPr>
          <w:rFonts w:cs="FrankRuehl" w:hint="cs"/>
          <w:sz w:val="20"/>
          <w:szCs w:val="22"/>
          <w:rtl/>
        </w:rPr>
        <w:t>פורטו</w:t>
      </w:r>
      <w:r w:rsidRPr="005E7E86">
        <w:rPr>
          <w:rFonts w:cs="FrankRuehl"/>
          <w:sz w:val="20"/>
          <w:szCs w:val="22"/>
          <w:rtl/>
        </w:rPr>
        <w:t xml:space="preserve"> </w:t>
      </w:r>
      <w:r w:rsidRPr="005E7E86">
        <w:rPr>
          <w:rFonts w:cs="FrankRuehl" w:hint="cs"/>
          <w:sz w:val="20"/>
          <w:szCs w:val="22"/>
          <w:rtl/>
        </w:rPr>
        <w:t>ממצאי</w:t>
      </w:r>
      <w:r w:rsidRPr="005E7E86">
        <w:rPr>
          <w:rFonts w:cs="FrankRuehl"/>
          <w:sz w:val="20"/>
          <w:szCs w:val="22"/>
          <w:rtl/>
        </w:rPr>
        <w:t xml:space="preserve"> </w:t>
      </w:r>
      <w:r w:rsidRPr="005E7E86">
        <w:rPr>
          <w:rFonts w:cs="FrankRuehl" w:hint="cs"/>
          <w:sz w:val="20"/>
          <w:szCs w:val="22"/>
          <w:rtl/>
        </w:rPr>
        <w:t>הביקורת</w:t>
      </w:r>
      <w:r w:rsidRPr="005E7E86">
        <w:rPr>
          <w:rFonts w:cs="FrankRuehl"/>
          <w:sz w:val="20"/>
          <w:szCs w:val="22"/>
          <w:rtl/>
        </w:rPr>
        <w:t xml:space="preserve"> </w:t>
      </w:r>
      <w:r w:rsidRPr="005E7E86">
        <w:rPr>
          <w:rFonts w:cs="FrankRuehl" w:hint="cs"/>
          <w:sz w:val="20"/>
          <w:szCs w:val="22"/>
          <w:rtl/>
        </w:rPr>
        <w:t>בנושאים הנוגעים אליו</w:t>
      </w:r>
      <w:r w:rsidRPr="005E7E86">
        <w:rPr>
          <w:rFonts w:cs="FrankRuehl"/>
          <w:sz w:val="20"/>
          <w:szCs w:val="22"/>
          <w:rtl/>
        </w:rPr>
        <w:t xml:space="preserve"> </w:t>
      </w:r>
      <w:r w:rsidRPr="005E7E86">
        <w:rPr>
          <w:rFonts w:cs="FrankRuehl" w:hint="cs"/>
          <w:sz w:val="20"/>
          <w:szCs w:val="22"/>
          <w:rtl/>
        </w:rPr>
        <w:t>אישית. אולם</w:t>
      </w:r>
      <w:r w:rsidRPr="005E7E86">
        <w:rPr>
          <w:rFonts w:cs="FrankRuehl"/>
          <w:sz w:val="20"/>
          <w:szCs w:val="22"/>
          <w:rtl/>
        </w:rPr>
        <w:t xml:space="preserve"> </w:t>
      </w:r>
      <w:r w:rsidRPr="005E7E86">
        <w:rPr>
          <w:rFonts w:cs="FrankRuehl" w:hint="cs"/>
          <w:sz w:val="20"/>
          <w:szCs w:val="22"/>
          <w:rtl/>
        </w:rPr>
        <w:t>עקב</w:t>
      </w:r>
      <w:r w:rsidRPr="005E7E86">
        <w:rPr>
          <w:rFonts w:cs="FrankRuehl"/>
          <w:sz w:val="20"/>
          <w:szCs w:val="22"/>
          <w:rtl/>
        </w:rPr>
        <w:t xml:space="preserve"> </w:t>
      </w:r>
      <w:r w:rsidRPr="005E7E86">
        <w:rPr>
          <w:rFonts w:cs="FrankRuehl" w:hint="cs"/>
          <w:sz w:val="20"/>
          <w:szCs w:val="22"/>
          <w:rtl/>
        </w:rPr>
        <w:t>בדיקה</w:t>
      </w:r>
      <w:r w:rsidRPr="005E7E86">
        <w:rPr>
          <w:rFonts w:cs="FrankRuehl"/>
          <w:sz w:val="20"/>
          <w:szCs w:val="22"/>
          <w:rtl/>
        </w:rPr>
        <w:t xml:space="preserve"> </w:t>
      </w:r>
      <w:r w:rsidRPr="005E7E86">
        <w:rPr>
          <w:rFonts w:cs="FrankRuehl" w:hint="cs"/>
          <w:sz w:val="20"/>
          <w:szCs w:val="22"/>
          <w:rtl/>
        </w:rPr>
        <w:t>שקיים</w:t>
      </w:r>
      <w:r w:rsidRPr="005E7E86">
        <w:rPr>
          <w:rFonts w:cs="FrankRuehl"/>
          <w:sz w:val="20"/>
          <w:szCs w:val="22"/>
          <w:rtl/>
        </w:rPr>
        <w:t xml:space="preserve"> </w:t>
      </w:r>
      <w:r w:rsidRPr="005E7E86">
        <w:rPr>
          <w:rFonts w:cs="FrankRuehl" w:hint="cs"/>
          <w:sz w:val="20"/>
          <w:szCs w:val="22"/>
          <w:rtl/>
        </w:rPr>
        <w:t>היועץ</w:t>
      </w:r>
      <w:r w:rsidRPr="005E7E86">
        <w:rPr>
          <w:rFonts w:cs="FrankRuehl"/>
          <w:sz w:val="20"/>
          <w:szCs w:val="22"/>
          <w:rtl/>
        </w:rPr>
        <w:t xml:space="preserve"> </w:t>
      </w:r>
      <w:r w:rsidRPr="005E7E86">
        <w:rPr>
          <w:rFonts w:cs="FrankRuehl" w:hint="cs"/>
          <w:sz w:val="20"/>
          <w:szCs w:val="22"/>
          <w:rtl/>
        </w:rPr>
        <w:t>המשפטי</w:t>
      </w:r>
      <w:r w:rsidRPr="005E7E86">
        <w:rPr>
          <w:rFonts w:cs="FrankRuehl"/>
          <w:sz w:val="20"/>
          <w:szCs w:val="22"/>
          <w:rtl/>
        </w:rPr>
        <w:t xml:space="preserve"> </w:t>
      </w:r>
      <w:r w:rsidRPr="005E7E86">
        <w:rPr>
          <w:rFonts w:cs="FrankRuehl" w:hint="cs"/>
          <w:sz w:val="20"/>
          <w:szCs w:val="22"/>
          <w:rtl/>
        </w:rPr>
        <w:t>לממשלה</w:t>
      </w:r>
      <w:r w:rsidRPr="005E7E86">
        <w:rPr>
          <w:rFonts w:cs="FrankRuehl"/>
          <w:sz w:val="20"/>
          <w:szCs w:val="22"/>
          <w:rtl/>
        </w:rPr>
        <w:t xml:space="preserve"> </w:t>
      </w:r>
      <w:r w:rsidRPr="005E7E86">
        <w:rPr>
          <w:rFonts w:cs="FrankRuehl" w:hint="cs"/>
          <w:sz w:val="20"/>
          <w:szCs w:val="22"/>
          <w:rtl/>
        </w:rPr>
        <w:t>בנושא, נבצר</w:t>
      </w:r>
      <w:r w:rsidRPr="005E7E86">
        <w:rPr>
          <w:rFonts w:cs="FrankRuehl"/>
          <w:sz w:val="20"/>
          <w:szCs w:val="22"/>
          <w:rtl/>
        </w:rPr>
        <w:t xml:space="preserve"> </w:t>
      </w:r>
      <w:r w:rsidRPr="005E7E86">
        <w:rPr>
          <w:rFonts w:cs="FrankRuehl" w:hint="cs"/>
          <w:sz w:val="20"/>
          <w:szCs w:val="22"/>
          <w:rtl/>
        </w:rPr>
        <w:t>באותה עת ממשרד</w:t>
      </w:r>
      <w:r w:rsidRPr="005E7E86">
        <w:rPr>
          <w:rFonts w:cs="FrankRuehl"/>
          <w:sz w:val="20"/>
          <w:szCs w:val="22"/>
          <w:rtl/>
        </w:rPr>
        <w:t xml:space="preserve"> </w:t>
      </w:r>
      <w:r w:rsidRPr="005E7E86">
        <w:rPr>
          <w:rFonts w:cs="FrankRuehl" w:hint="cs"/>
          <w:sz w:val="20"/>
          <w:szCs w:val="22"/>
          <w:rtl/>
        </w:rPr>
        <w:t>מבקר</w:t>
      </w:r>
      <w:r w:rsidRPr="005E7E86">
        <w:rPr>
          <w:rFonts w:cs="FrankRuehl"/>
          <w:sz w:val="20"/>
          <w:szCs w:val="22"/>
          <w:rtl/>
        </w:rPr>
        <w:t xml:space="preserve"> </w:t>
      </w:r>
      <w:r w:rsidRPr="005E7E86">
        <w:rPr>
          <w:rFonts w:cs="FrankRuehl" w:hint="cs"/>
          <w:sz w:val="20"/>
          <w:szCs w:val="22"/>
          <w:rtl/>
        </w:rPr>
        <w:t>המדינה</w:t>
      </w:r>
      <w:r w:rsidRPr="005E7E86">
        <w:rPr>
          <w:rFonts w:cs="FrankRuehl"/>
          <w:sz w:val="20"/>
          <w:szCs w:val="22"/>
          <w:rtl/>
        </w:rPr>
        <w:t xml:space="preserve"> </w:t>
      </w:r>
      <w:r w:rsidRPr="005E7E86">
        <w:rPr>
          <w:rFonts w:cs="FrankRuehl" w:hint="cs"/>
          <w:sz w:val="20"/>
          <w:szCs w:val="22"/>
          <w:rtl/>
        </w:rPr>
        <w:t>למסור</w:t>
      </w:r>
      <w:r w:rsidRPr="005E7E86">
        <w:rPr>
          <w:rFonts w:cs="FrankRuehl"/>
          <w:sz w:val="20"/>
          <w:szCs w:val="22"/>
          <w:rtl/>
        </w:rPr>
        <w:t xml:space="preserve"> </w:t>
      </w:r>
      <w:r w:rsidRPr="005E7E86">
        <w:rPr>
          <w:rFonts w:cs="FrankRuehl" w:hint="cs"/>
          <w:sz w:val="20"/>
          <w:szCs w:val="22"/>
          <w:rtl/>
        </w:rPr>
        <w:t>למר</w:t>
      </w:r>
      <w:r w:rsidRPr="005E7E86">
        <w:rPr>
          <w:rFonts w:cs="FrankRuehl"/>
          <w:sz w:val="20"/>
          <w:szCs w:val="22"/>
          <w:rtl/>
        </w:rPr>
        <w:t xml:space="preserve"> </w:t>
      </w:r>
      <w:r w:rsidRPr="005E7E86">
        <w:rPr>
          <w:rFonts w:cs="FrankRuehl" w:hint="cs"/>
          <w:sz w:val="20"/>
          <w:szCs w:val="22"/>
          <w:rtl/>
        </w:rPr>
        <w:t>נתניהו</w:t>
      </w:r>
      <w:r w:rsidRPr="005E7E86">
        <w:rPr>
          <w:rFonts w:cs="FrankRuehl"/>
          <w:sz w:val="20"/>
          <w:szCs w:val="22"/>
          <w:rtl/>
        </w:rPr>
        <w:t xml:space="preserve"> </w:t>
      </w:r>
      <w:r w:rsidRPr="005E7E86">
        <w:rPr>
          <w:rFonts w:cs="FrankRuehl" w:hint="cs"/>
          <w:sz w:val="20"/>
          <w:szCs w:val="22"/>
          <w:rtl/>
        </w:rPr>
        <w:t>את</w:t>
      </w:r>
      <w:r w:rsidRPr="005E7E86">
        <w:rPr>
          <w:rFonts w:cs="FrankRuehl"/>
          <w:sz w:val="20"/>
          <w:szCs w:val="22"/>
          <w:rtl/>
        </w:rPr>
        <w:t xml:space="preserve"> </w:t>
      </w:r>
      <w:r w:rsidRPr="005E7E86">
        <w:rPr>
          <w:rFonts w:cs="FrankRuehl" w:hint="cs"/>
          <w:sz w:val="20"/>
          <w:szCs w:val="22"/>
          <w:rtl/>
        </w:rPr>
        <w:t>החומר</w:t>
      </w:r>
      <w:r w:rsidRPr="005E7E86">
        <w:rPr>
          <w:rFonts w:cs="FrankRuehl"/>
          <w:sz w:val="20"/>
          <w:szCs w:val="22"/>
          <w:rtl/>
        </w:rPr>
        <w:t xml:space="preserve"> </w:t>
      </w:r>
      <w:r w:rsidRPr="005E7E86">
        <w:rPr>
          <w:rFonts w:cs="FrankRuehl" w:hint="cs"/>
          <w:sz w:val="20"/>
          <w:szCs w:val="22"/>
          <w:rtl/>
        </w:rPr>
        <w:t>אשר</w:t>
      </w:r>
      <w:r w:rsidRPr="005E7E86">
        <w:rPr>
          <w:rFonts w:cs="FrankRuehl"/>
          <w:sz w:val="20"/>
          <w:szCs w:val="22"/>
          <w:rtl/>
        </w:rPr>
        <w:t xml:space="preserve"> </w:t>
      </w:r>
      <w:r w:rsidRPr="005E7E86">
        <w:rPr>
          <w:rFonts w:cs="FrankRuehl" w:hint="cs"/>
          <w:sz w:val="20"/>
          <w:szCs w:val="22"/>
          <w:rtl/>
        </w:rPr>
        <w:t>שימש</w:t>
      </w:r>
      <w:r w:rsidRPr="005E7E86">
        <w:rPr>
          <w:rFonts w:cs="FrankRuehl"/>
          <w:sz w:val="20"/>
          <w:szCs w:val="22"/>
          <w:rtl/>
        </w:rPr>
        <w:t xml:space="preserve"> </w:t>
      </w:r>
      <w:r w:rsidRPr="005E7E86">
        <w:rPr>
          <w:rFonts w:cs="FrankRuehl" w:hint="cs"/>
          <w:sz w:val="20"/>
          <w:szCs w:val="22"/>
          <w:rtl/>
        </w:rPr>
        <w:t>בסיס לאמירות</w:t>
      </w:r>
      <w:r w:rsidRPr="005E7E86">
        <w:rPr>
          <w:rFonts w:cs="FrankRuehl"/>
          <w:sz w:val="20"/>
          <w:szCs w:val="22"/>
          <w:rtl/>
        </w:rPr>
        <w:t xml:space="preserve"> </w:t>
      </w:r>
      <w:r w:rsidRPr="005E7E86">
        <w:rPr>
          <w:rFonts w:cs="FrankRuehl" w:hint="cs"/>
          <w:sz w:val="20"/>
          <w:szCs w:val="22"/>
          <w:rtl/>
        </w:rPr>
        <w:t>הביקורת. לפיכך</w:t>
      </w:r>
      <w:r w:rsidRPr="005E7E86">
        <w:rPr>
          <w:rFonts w:cs="FrankRuehl"/>
          <w:sz w:val="20"/>
          <w:szCs w:val="22"/>
          <w:rtl/>
        </w:rPr>
        <w:t xml:space="preserve"> </w:t>
      </w:r>
      <w:r w:rsidRPr="005E7E86">
        <w:rPr>
          <w:rFonts w:cs="FrankRuehl" w:hint="cs"/>
          <w:sz w:val="20"/>
          <w:szCs w:val="22"/>
          <w:rtl/>
        </w:rPr>
        <w:t>לא הייתה בידי מר</w:t>
      </w:r>
      <w:r w:rsidRPr="005E7E86">
        <w:rPr>
          <w:rFonts w:cs="FrankRuehl"/>
          <w:sz w:val="20"/>
          <w:szCs w:val="22"/>
          <w:rtl/>
        </w:rPr>
        <w:t xml:space="preserve"> </w:t>
      </w:r>
      <w:r w:rsidRPr="005E7E86">
        <w:rPr>
          <w:rFonts w:cs="FrankRuehl" w:hint="cs"/>
          <w:sz w:val="20"/>
          <w:szCs w:val="22"/>
          <w:rtl/>
        </w:rPr>
        <w:t>נתניהו</w:t>
      </w:r>
      <w:r w:rsidRPr="005E7E86">
        <w:rPr>
          <w:rFonts w:cs="FrankRuehl"/>
          <w:sz w:val="20"/>
          <w:szCs w:val="22"/>
          <w:rtl/>
        </w:rPr>
        <w:t xml:space="preserve"> </w:t>
      </w:r>
      <w:r w:rsidRPr="005E7E86">
        <w:rPr>
          <w:rFonts w:cs="FrankRuehl" w:hint="cs"/>
          <w:sz w:val="20"/>
          <w:szCs w:val="22"/>
          <w:rtl/>
        </w:rPr>
        <w:t>האפשרות להגיב</w:t>
      </w:r>
      <w:r w:rsidRPr="005E7E86">
        <w:rPr>
          <w:rFonts w:cs="FrankRuehl"/>
          <w:sz w:val="20"/>
          <w:szCs w:val="22"/>
          <w:rtl/>
        </w:rPr>
        <w:t xml:space="preserve"> </w:t>
      </w:r>
      <w:r w:rsidRPr="005E7E86">
        <w:rPr>
          <w:rFonts w:cs="FrankRuehl" w:hint="cs"/>
          <w:sz w:val="20"/>
          <w:szCs w:val="22"/>
          <w:rtl/>
        </w:rPr>
        <w:t>על</w:t>
      </w:r>
      <w:r w:rsidRPr="005E7E86">
        <w:rPr>
          <w:rFonts w:cs="FrankRuehl"/>
          <w:sz w:val="20"/>
          <w:szCs w:val="22"/>
          <w:rtl/>
        </w:rPr>
        <w:t xml:space="preserve"> </w:t>
      </w:r>
      <w:r w:rsidRPr="005E7E86">
        <w:rPr>
          <w:rFonts w:cs="FrankRuehl" w:hint="cs"/>
          <w:sz w:val="20"/>
          <w:szCs w:val="22"/>
          <w:rtl/>
        </w:rPr>
        <w:t>הממצאים</w:t>
      </w:r>
      <w:r w:rsidRPr="005E7E86">
        <w:rPr>
          <w:rFonts w:cs="FrankRuehl"/>
          <w:sz w:val="20"/>
          <w:szCs w:val="22"/>
          <w:rtl/>
        </w:rPr>
        <w:t xml:space="preserve"> </w:t>
      </w:r>
      <w:r w:rsidRPr="005E7E86">
        <w:rPr>
          <w:rFonts w:cs="FrankRuehl" w:hint="cs"/>
          <w:sz w:val="20"/>
          <w:szCs w:val="22"/>
          <w:rtl/>
        </w:rPr>
        <w:t>שהעלתה</w:t>
      </w:r>
      <w:r w:rsidRPr="005E7E86">
        <w:rPr>
          <w:rFonts w:cs="FrankRuehl"/>
          <w:sz w:val="20"/>
          <w:szCs w:val="22"/>
          <w:rtl/>
        </w:rPr>
        <w:t xml:space="preserve"> </w:t>
      </w:r>
      <w:r w:rsidRPr="005E7E86">
        <w:rPr>
          <w:rFonts w:cs="FrankRuehl" w:hint="cs"/>
          <w:sz w:val="20"/>
          <w:szCs w:val="22"/>
          <w:rtl/>
        </w:rPr>
        <w:t>הביקורת בהתאם לדין ולפסיקה, והדבר עיכב את המשך הטיפול בדוח וכפועל יוצא מכך את פרסומו.</w:t>
      </w:r>
      <w:r w:rsidRPr="005E7E86">
        <w:rPr>
          <w:rFonts w:cs="FrankRuehl"/>
          <w:sz w:val="20"/>
          <w:szCs w:val="22"/>
          <w:rtl/>
        </w:rPr>
        <w:t xml:space="preserve"> </w:t>
      </w:r>
      <w:r w:rsidRPr="005E7E86">
        <w:rPr>
          <w:rFonts w:cs="FrankRuehl" w:hint="cs"/>
          <w:sz w:val="20"/>
          <w:szCs w:val="22"/>
          <w:rtl/>
        </w:rPr>
        <w:t xml:space="preserve">רק ב-7.9.14 הודיע היועץ המשפטי לממשלה למבקר המדינה כי "לא נמצא שיש מקום לפתוח בחקירה בחשד לביצוע עבירה פלילית מצידו של מר נתניהו", ובשל כך הסתיימה בדיקתו בעניינים אלה, ואין מניעה להעביר למר נתניהו את החומר הנוגע לטיוטת הדוח. סמוך לאחר הודעת היועץ המשפטי לממשלה העביר משרד מבקר המדינה לבא כוחו של מר נתניהו את החומר הנוגע לטיוטת הדוח, התבקשה תגובתו ונסללה הדרך להכנת דוח ביקורת זה. </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lang w:eastAsia="he-IL"/>
        </w:rPr>
        <w:t>בביקורת זו בדק משרד מבקר המדינה היבטי</w:t>
      </w:r>
      <w:r w:rsidRPr="005E7E86">
        <w:rPr>
          <w:rFonts w:cs="FrankRuehl" w:hint="eastAsia"/>
          <w:sz w:val="20"/>
          <w:szCs w:val="22"/>
          <w:rtl/>
          <w:lang w:eastAsia="he-IL"/>
        </w:rPr>
        <w:t>ם</w:t>
      </w:r>
      <w:r w:rsidRPr="005E7E86">
        <w:rPr>
          <w:rFonts w:cs="FrankRuehl" w:hint="cs"/>
          <w:sz w:val="20"/>
          <w:szCs w:val="22"/>
          <w:rtl/>
          <w:lang w:eastAsia="he-IL"/>
        </w:rPr>
        <w:t xml:space="preserve"> שונים הנוגעים למימון נסיעות מר נתניהו לחו"ל עת כיהן בתפקיד שר האוצר. הבדיקה עסקה בעיקר בנסיעותיו בתפקיד במימון (מלא או חלקי) של גורמים חיצוניים ובמימון נסיעות של רעייתו וילדיו כאשר הצטרפו אליו לנסיעות אלה. הביקורת בוצעה במזכירות הממשלה, במשרד ראש הממשלה ובמשרד האוצר. בירורי השלמה נעשו בוועדה למתן היתרים הפועלת ליד מבקר המדינה, בהתאם לכללים למניעת ניגוד עניינים של שרים וסגני שרים, ובוועדת המתנות</w:t>
      </w:r>
      <w:r w:rsidRPr="005E7E86">
        <w:rPr>
          <w:rFonts w:cs="FrankRuehl" w:hint="cs"/>
          <w:sz w:val="20"/>
          <w:szCs w:val="22"/>
          <w:rtl/>
        </w:rPr>
        <w:t xml:space="preserve"> שמינה שר המשפטים</w:t>
      </w:r>
      <w:r w:rsidRPr="005E7E86">
        <w:rPr>
          <w:rFonts w:cs="FrankRuehl" w:hint="cs"/>
          <w:sz w:val="20"/>
          <w:szCs w:val="22"/>
          <w:rtl/>
          <w:lang w:eastAsia="he-IL"/>
        </w:rPr>
        <w:t xml:space="preserve"> לעניין ביצוע תקנות שירות הציבור (מתנות), התש"ם-1980. בירורים נוספים נעשו בחברת הנסיעות איילה נסיעות ותיירות בע"מ, לאחר שמר נתניהו נתן הסכמתו להעברת כל המידע הנוגע אליו ולבני משפחתו מחברה זו, שאינה גוף הכפוף לביקורתו של מבקר המדינה. </w:t>
      </w:r>
    </w:p>
    <w:p w:rsidR="009B5B44" w:rsidRPr="005E7E86" w:rsidP="005E7E86">
      <w:pPr>
        <w:spacing w:after="120" w:line="230" w:lineRule="exact"/>
        <w:jc w:val="both"/>
        <w:rPr>
          <w:rFonts w:cs="FrankRuehl"/>
          <w:sz w:val="20"/>
          <w:szCs w:val="22"/>
          <w:rtl/>
        </w:rPr>
      </w:pPr>
      <w:r w:rsidRPr="005E7E86">
        <w:rPr>
          <w:rFonts w:cs="FrankRuehl" w:hint="cs"/>
          <w:sz w:val="20"/>
          <w:szCs w:val="22"/>
          <w:rtl/>
        </w:rPr>
        <w:t xml:space="preserve">משרד מבקר המדינה פנה לבא כוחו של מר נתניהו כדי שיאשר את הנתונים שהיו בידי משרד מבקר המדינה וישלים את הנתונים החסרים. </w:t>
      </w:r>
      <w:r w:rsidRPr="005E7E86">
        <w:rPr>
          <w:rFonts w:cs="FrankRuehl" w:hint="eastAsia"/>
          <w:sz w:val="20"/>
          <w:szCs w:val="22"/>
          <w:rtl/>
        </w:rPr>
        <w:t>בביקורת</w:t>
      </w:r>
      <w:r w:rsidRPr="005E7E86">
        <w:rPr>
          <w:rFonts w:cs="FrankRuehl"/>
          <w:sz w:val="20"/>
          <w:szCs w:val="22"/>
          <w:rtl/>
        </w:rPr>
        <w:t xml:space="preserve"> </w:t>
      </w:r>
      <w:r w:rsidRPr="005E7E86">
        <w:rPr>
          <w:rFonts w:cs="FrankRuehl" w:hint="cs"/>
          <w:sz w:val="20"/>
          <w:szCs w:val="22"/>
          <w:rtl/>
        </w:rPr>
        <w:t xml:space="preserve">בעניין נסיעות שרים נעשתה פנייה דומה </w:t>
      </w:r>
      <w:r w:rsidRPr="005E7E86">
        <w:rPr>
          <w:rFonts w:cs="FrankRuehl" w:hint="eastAsia"/>
          <w:sz w:val="20"/>
          <w:szCs w:val="22"/>
          <w:rtl/>
        </w:rPr>
        <w:t>לשרים</w:t>
      </w:r>
      <w:r w:rsidRPr="005E7E86">
        <w:rPr>
          <w:rFonts w:cs="FrankRuehl" w:hint="cs"/>
          <w:sz w:val="20"/>
          <w:szCs w:val="22"/>
          <w:rtl/>
        </w:rPr>
        <w:t xml:space="preserve"> נוספים שנסיעותיהם נבדקו. נוסף על כך נפגשו נציגי משרד מבקר המדינה עם מר נתניהו ובאי כוחו. בפגישות התבקש מר נתניהו להשלים מידע חסר ולהבהיר נושאים שונים. הביקורת מבוססת אפוא גם על המידע שמסרו הוא ובאי כוחו בפגישות אלה. </w:t>
      </w:r>
      <w:r w:rsidRPr="005E7E86">
        <w:rPr>
          <w:rFonts w:cs="FrankRuehl" w:hint="cs"/>
          <w:sz w:val="20"/>
          <w:szCs w:val="22"/>
          <w:rtl/>
          <w:lang w:eastAsia="he-IL"/>
        </w:rPr>
        <w:t>באי כוחו של מר נתניהו הדגישו את הקושי שיש, מטבע הדברים, במתן מענה על כל השאלות נוכח פרק הזמן שחלף מאז מועד הנסיעות.</w:t>
      </w:r>
      <w:r w:rsidRPr="005E7E86">
        <w:rPr>
          <w:rFonts w:cs="FrankRuehl" w:hint="cs"/>
          <w:sz w:val="20"/>
          <w:szCs w:val="22"/>
          <w:rtl/>
        </w:rPr>
        <w:t xml:space="preserve"> מר נתניהו, באמצעות באי כוחו, השיב על טיוטת דוח הביקורת בכתב בינואר ובנובמבר 2015 וכן בעל פה בפגישת שימוע, לבקשתו, עם מבקר המדינה ונציגי משרדו בינואר 2016. </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lang w:eastAsia="he-IL"/>
        </w:rPr>
        <w:t xml:space="preserve">נוסף על כך ערך משרד מבקר המדינה במסגרת ביקורת זו ביקורת מעקב אחר יישום המלצות מבקר המדינה בדוח נסיעות שרים בעניין אישור הממשלה לנסיעות שרים לחו"ל </w:t>
      </w:r>
      <w:r w:rsidRPr="005E7E86">
        <w:rPr>
          <w:rFonts w:cs="FrankRuehl" w:hint="cs"/>
          <w:sz w:val="20"/>
          <w:szCs w:val="22"/>
          <w:rtl/>
        </w:rPr>
        <w:t>ובעניין קביעת הנחיות על ידי היועץ המשפטי לממשלה</w:t>
      </w:r>
      <w:r w:rsidRPr="005E7E86">
        <w:rPr>
          <w:rFonts w:cs="FrankRuehl" w:hint="cs"/>
          <w:sz w:val="20"/>
          <w:szCs w:val="22"/>
          <w:rtl/>
          <w:lang w:eastAsia="he-IL"/>
        </w:rPr>
        <w:t xml:space="preserve"> בנושא מימון נסיעות אלה.</w:t>
      </w:r>
    </w:p>
    <w:p w:rsidR="009B5B44" w:rsidP="005E7E86">
      <w:pPr>
        <w:spacing w:after="120" w:line="230" w:lineRule="exact"/>
        <w:jc w:val="both"/>
        <w:rPr>
          <w:rFonts w:cs="FrankRuehl"/>
          <w:bCs/>
          <w:sz w:val="20"/>
          <w:szCs w:val="22"/>
        </w:rPr>
      </w:pPr>
    </w:p>
    <w:p w:rsidR="00BF3C50" w:rsidRPr="005E7E86" w:rsidP="005E7E86">
      <w:pPr>
        <w:spacing w:after="120" w:line="230" w:lineRule="exact"/>
        <w:jc w:val="both"/>
        <w:rPr>
          <w:rFonts w:cs="FrankRuehl"/>
          <w:bCs/>
          <w:sz w:val="20"/>
          <w:szCs w:val="22"/>
          <w:rtl/>
        </w:rPr>
      </w:pPr>
    </w:p>
    <w:p w:rsidR="009B5B44" w:rsidRPr="00742B46" w:rsidP="00BF3C50">
      <w:pPr>
        <w:pStyle w:val="KOT2"/>
        <w:rPr>
          <w:rtl/>
        </w:rPr>
      </w:pPr>
      <w:r>
        <w:rPr>
          <w:rFonts w:hint="cs"/>
          <w:rtl/>
        </w:rPr>
        <w:t xml:space="preserve">המסד </w:t>
      </w:r>
      <w:r w:rsidRPr="00742B46">
        <w:rPr>
          <w:rFonts w:hint="cs"/>
          <w:rtl/>
        </w:rPr>
        <w:t>הנורמטיבי</w:t>
      </w:r>
      <w:r>
        <w:rPr>
          <w:rFonts w:hint="cs"/>
          <w:rtl/>
        </w:rPr>
        <w:t xml:space="preserve"> בתחום </w:t>
      </w:r>
      <w:r w:rsidRPr="00742B46">
        <w:rPr>
          <w:rFonts w:hint="cs"/>
          <w:rtl/>
        </w:rPr>
        <w:t>מימון</w:t>
      </w:r>
      <w:r>
        <w:rPr>
          <w:rFonts w:hint="cs"/>
          <w:rtl/>
        </w:rPr>
        <w:t xml:space="preserve"> </w:t>
      </w:r>
      <w:r w:rsidRPr="00742B46">
        <w:rPr>
          <w:rFonts w:hint="cs"/>
          <w:rtl/>
        </w:rPr>
        <w:t>נסיעות</w:t>
      </w:r>
      <w:r>
        <w:rPr>
          <w:rFonts w:hint="cs"/>
          <w:rtl/>
        </w:rPr>
        <w:t xml:space="preserve"> </w:t>
      </w:r>
      <w:r w:rsidRPr="00742B46">
        <w:rPr>
          <w:rFonts w:hint="cs"/>
          <w:rtl/>
        </w:rPr>
        <w:t>שרים</w:t>
      </w:r>
      <w:r w:rsidR="00BF0FE2">
        <w:rPr>
          <w:rFonts w:hint="cs"/>
          <w:rtl/>
        </w:rPr>
        <w:t xml:space="preserve"> לחו"ל</w:t>
      </w:r>
      <w:r>
        <w:rPr>
          <w:rFonts w:hint="cs"/>
          <w:rtl/>
        </w:rPr>
        <w:t xml:space="preserve"> </w:t>
      </w:r>
      <w:r w:rsidR="00BF3C50">
        <w:br/>
      </w:r>
      <w:r w:rsidRPr="00742B46">
        <w:rPr>
          <w:rFonts w:hint="cs"/>
          <w:rtl/>
        </w:rPr>
        <w:t>על</w:t>
      </w:r>
      <w:r>
        <w:rPr>
          <w:rFonts w:hint="cs"/>
          <w:rtl/>
        </w:rPr>
        <w:t xml:space="preserve"> </w:t>
      </w:r>
      <w:r w:rsidRPr="00742B46">
        <w:rPr>
          <w:rFonts w:hint="cs"/>
          <w:rtl/>
        </w:rPr>
        <w:t>ידי</w:t>
      </w:r>
      <w:r>
        <w:rPr>
          <w:rFonts w:hint="cs"/>
          <w:rtl/>
        </w:rPr>
        <w:t xml:space="preserve"> </w:t>
      </w:r>
      <w:r w:rsidRPr="00742B46">
        <w:rPr>
          <w:rFonts w:hint="cs"/>
          <w:sz w:val="24"/>
          <w:rtl/>
        </w:rPr>
        <w:t>גורמים</w:t>
      </w:r>
      <w:r>
        <w:rPr>
          <w:rFonts w:hint="cs"/>
          <w:sz w:val="24"/>
          <w:rtl/>
        </w:rPr>
        <w:t xml:space="preserve"> </w:t>
      </w:r>
      <w:r w:rsidRPr="00742B46">
        <w:rPr>
          <w:rFonts w:hint="cs"/>
          <w:sz w:val="24"/>
          <w:rtl/>
        </w:rPr>
        <w:t>חיצוניים</w:t>
      </w:r>
    </w:p>
    <w:p w:rsidR="009B5B44" w:rsidP="005E7E86">
      <w:pPr>
        <w:spacing w:after="120" w:line="230" w:lineRule="exact"/>
        <w:jc w:val="both"/>
        <w:rPr>
          <w:rFonts w:cs="FrankRuehl"/>
          <w:sz w:val="20"/>
          <w:szCs w:val="22"/>
        </w:rPr>
      </w:pPr>
      <w:r w:rsidRPr="005E7E86">
        <w:rPr>
          <w:rFonts w:cs="FrankRuehl" w:hint="cs"/>
          <w:sz w:val="20"/>
          <w:szCs w:val="22"/>
          <w:rtl/>
        </w:rPr>
        <w:t>מימון של נסיעת שר לחו"ל על ידי גורם חיצוני שאינו ממשלתי עלול להציבו במצב שיש בו חשש לניגוד עניינים, ולו למראית עין, ועלול ליצור מחויבות בלתי ראויה שלו למממן. מצבים מעין אלה עלולים להשפיע על שיקול הדעת של השר לטובת האינטרסים הישירים או העקיפים של הגורם המממן, ולמצער לעורר חשש כי יש השפעה כזו, הפוגעת בטוהר המידות ובסדרי מינהל תקין. הדבר עלול להביא גם לפגיעה באמון הציבור ברשויות השלטון. כדי למנוע מצבים כגון אלה נקבעו במשך השנים חוקים, תקנות, הוראות, כללים והנחיות לשם יצירת מנגנוני בקרה ופיקוח שיאפשרו להתמודד עם סוגיה זו, כמפורט להלן:</w:t>
      </w:r>
    </w:p>
    <w:p w:rsidR="00BF3C50" w:rsidP="005E7E86">
      <w:pPr>
        <w:spacing w:after="120" w:line="230" w:lineRule="exact"/>
        <w:jc w:val="both"/>
        <w:rPr>
          <w:rFonts w:cs="FrankRuehl"/>
          <w:sz w:val="20"/>
          <w:szCs w:val="22"/>
        </w:rPr>
      </w:pPr>
    </w:p>
    <w:p w:rsidR="00BF3C50" w:rsidRPr="005E7E86" w:rsidP="005E7E86">
      <w:pPr>
        <w:spacing w:after="120" w:line="230" w:lineRule="exact"/>
        <w:jc w:val="both"/>
        <w:rPr>
          <w:rFonts w:cs="FrankRuehl"/>
          <w:sz w:val="20"/>
          <w:szCs w:val="22"/>
          <w:rtl/>
        </w:rPr>
      </w:pPr>
    </w:p>
    <w:p w:rsidR="009B5B44" w:rsidRPr="00742B46" w:rsidP="00BF3C50">
      <w:pPr>
        <w:pStyle w:val="KOT4"/>
        <w:rPr>
          <w:rtl/>
        </w:rPr>
      </w:pPr>
      <w:r w:rsidRPr="00742B46">
        <w:rPr>
          <w:rFonts w:hint="cs"/>
          <w:rtl/>
        </w:rPr>
        <w:t>חוק</w:t>
      </w:r>
      <w:r>
        <w:rPr>
          <w:rFonts w:hint="cs"/>
          <w:rtl/>
        </w:rPr>
        <w:t xml:space="preserve"> </w:t>
      </w:r>
      <w:r w:rsidRPr="00742B46">
        <w:rPr>
          <w:rFonts w:hint="cs"/>
          <w:rtl/>
        </w:rPr>
        <w:t>שירות</w:t>
      </w:r>
      <w:r>
        <w:rPr>
          <w:rFonts w:hint="cs"/>
          <w:rtl/>
        </w:rPr>
        <w:t xml:space="preserve"> </w:t>
      </w:r>
      <w:r w:rsidRPr="00742B46">
        <w:rPr>
          <w:rFonts w:hint="cs"/>
          <w:rtl/>
        </w:rPr>
        <w:t>הציבור</w:t>
      </w:r>
      <w:r>
        <w:rPr>
          <w:rFonts w:hint="cs"/>
          <w:rtl/>
        </w:rPr>
        <w:t xml:space="preserve"> </w:t>
      </w:r>
      <w:r w:rsidRPr="00742B46">
        <w:rPr>
          <w:rFonts w:hint="cs"/>
          <w:rtl/>
        </w:rPr>
        <w:t>(מתנות),</w:t>
      </w:r>
      <w:r>
        <w:rPr>
          <w:rFonts w:hint="cs"/>
          <w:rtl/>
        </w:rPr>
        <w:t xml:space="preserve"> </w:t>
      </w:r>
      <w:r w:rsidRPr="00742B46">
        <w:rPr>
          <w:rFonts w:hint="cs"/>
          <w:rtl/>
        </w:rPr>
        <w:t>התש"ם-1979</w:t>
      </w:r>
    </w:p>
    <w:p w:rsidR="009B5B44" w:rsidRPr="005E7E86" w:rsidP="005E7E86">
      <w:pPr>
        <w:spacing w:after="120" w:line="230" w:lineRule="exact"/>
        <w:ind w:left="12"/>
        <w:jc w:val="both"/>
        <w:rPr>
          <w:rFonts w:cs="FrankRuehl"/>
          <w:sz w:val="20"/>
          <w:szCs w:val="22"/>
          <w:rtl/>
        </w:rPr>
      </w:pPr>
      <w:r w:rsidRPr="005E7E86">
        <w:rPr>
          <w:rFonts w:cs="FrankRuehl" w:hint="cs"/>
          <w:sz w:val="20"/>
          <w:szCs w:val="22"/>
          <w:rtl/>
        </w:rPr>
        <w:t xml:space="preserve">בחוק שירות הציבור (מתנות), התש"ם-1979 (להלן - חוק המתנות), מוגדר עובד ציבור כמי שנושא משרה או תפקיד מטעם המדינה. </w:t>
      </w:r>
      <w:r w:rsidRPr="005E7E86">
        <w:rPr>
          <w:rFonts w:cs="FrankRuehl" w:hint="cs"/>
          <w:sz w:val="20"/>
          <w:szCs w:val="22"/>
          <w:rtl/>
          <w:lang w:eastAsia="he-IL"/>
        </w:rPr>
        <w:t xml:space="preserve">בשל כך </w:t>
      </w:r>
      <w:r w:rsidRPr="005E7E86">
        <w:rPr>
          <w:rFonts w:cs="FrankRuehl" w:hint="cs"/>
          <w:sz w:val="20"/>
          <w:szCs w:val="22"/>
          <w:rtl/>
        </w:rPr>
        <w:t>שרים הם עובדי ציבור</w:t>
      </w:r>
      <w:r w:rsidRPr="005E7E86">
        <w:rPr>
          <w:rFonts w:cs="FrankRuehl" w:hint="cs"/>
          <w:sz w:val="20"/>
          <w:szCs w:val="22"/>
          <w:rtl/>
          <w:lang w:eastAsia="he-IL"/>
        </w:rPr>
        <w:t xml:space="preserve"> לעניין חוק זה</w:t>
      </w:r>
      <w:r>
        <w:rPr>
          <w:rFonts w:cs="FrankRuehl"/>
          <w:sz w:val="20"/>
          <w:szCs w:val="22"/>
          <w:vertAlign w:val="superscript"/>
          <w:rtl/>
        </w:rPr>
        <w:footnoteReference w:id="5"/>
      </w:r>
      <w:r w:rsidRPr="005E7E86">
        <w:rPr>
          <w:rFonts w:cs="FrankRuehl" w:hint="cs"/>
          <w:sz w:val="20"/>
          <w:szCs w:val="22"/>
          <w:rtl/>
        </w:rPr>
        <w:t>. מתנה מוגדרת בחוק המתנות "הקניית נכס שלא בתמורה או מתן שרות או טובת הנאה אחרת שלא בתמורה"</w:t>
      </w:r>
      <w:r>
        <w:rPr>
          <w:rStyle w:val="FootnoteReference"/>
          <w:rFonts w:cs="FrankRuehl"/>
          <w:sz w:val="20"/>
          <w:szCs w:val="22"/>
          <w:rtl/>
        </w:rPr>
        <w:footnoteReference w:id="6"/>
      </w:r>
      <w:r w:rsidRPr="005E7E86">
        <w:rPr>
          <w:rFonts w:cs="FrankRuehl" w:hint="cs"/>
          <w:sz w:val="20"/>
          <w:szCs w:val="22"/>
          <w:rtl/>
        </w:rPr>
        <w:t>. החוק קובע כי "</w:t>
      </w:r>
      <w:r w:rsidRPr="005E7E86">
        <w:rPr>
          <w:rFonts w:cs="FrankRuehl"/>
          <w:sz w:val="20"/>
          <w:szCs w:val="22"/>
          <w:rtl/>
        </w:rPr>
        <w:t>ניתנה לעובד הציבור באשר הוא עובד הציבור מתנה - בין בישראל ובין ב</w:t>
      </w:r>
      <w:r w:rsidRPr="005E7E86">
        <w:rPr>
          <w:rFonts w:cs="FrankRuehl" w:hint="cs"/>
          <w:sz w:val="20"/>
          <w:szCs w:val="22"/>
          <w:rtl/>
        </w:rPr>
        <w:t>חו"ל</w:t>
      </w:r>
      <w:r w:rsidRPr="005E7E86">
        <w:rPr>
          <w:rFonts w:cs="FrankRuehl"/>
          <w:sz w:val="20"/>
          <w:szCs w:val="22"/>
          <w:rtl/>
        </w:rPr>
        <w:t>, בין שניתנה לו עצמו ובין שניתנה לבן זוגו החי עמו או לילדו הסמוך על שולחנו - ועובד הציבור לא סירב לקבלה ולא החזירה לנותנה לאלתר, תקום המתנה לקני</w:t>
      </w:r>
      <w:r w:rsidRPr="005E7E86">
        <w:rPr>
          <w:rFonts w:cs="FrankRuehl" w:hint="cs"/>
          <w:sz w:val="20"/>
          <w:szCs w:val="22"/>
          <w:rtl/>
        </w:rPr>
        <w:t>י</w:t>
      </w:r>
      <w:r w:rsidRPr="005E7E86">
        <w:rPr>
          <w:rFonts w:cs="FrankRuehl"/>
          <w:sz w:val="20"/>
          <w:szCs w:val="22"/>
          <w:rtl/>
        </w:rPr>
        <w:t>ן המדינה;</w:t>
      </w:r>
      <w:r w:rsidRPr="005E7E86">
        <w:rPr>
          <w:rFonts w:cs="FrankRuehl" w:hint="cs"/>
          <w:sz w:val="20"/>
          <w:szCs w:val="22"/>
          <w:rtl/>
        </w:rPr>
        <w:t xml:space="preserve"> </w:t>
      </w:r>
      <w:r w:rsidRPr="005E7E86">
        <w:rPr>
          <w:rFonts w:cs="FrankRuehl"/>
          <w:sz w:val="20"/>
          <w:szCs w:val="22"/>
          <w:rtl/>
        </w:rPr>
        <w:t>ובמתנה שאין בה קנ</w:t>
      </w:r>
      <w:r w:rsidRPr="005E7E86">
        <w:rPr>
          <w:rFonts w:cs="FrankRuehl" w:hint="cs"/>
          <w:sz w:val="20"/>
          <w:szCs w:val="22"/>
          <w:rtl/>
        </w:rPr>
        <w:t>י</w:t>
      </w:r>
      <w:r w:rsidRPr="005E7E86">
        <w:rPr>
          <w:rFonts w:cs="FrankRuehl"/>
          <w:sz w:val="20"/>
          <w:szCs w:val="22"/>
          <w:rtl/>
        </w:rPr>
        <w:t>ין חייב עובד הציבור לשלם לאוצר המדינה את שוויה</w:t>
      </w:r>
      <w:r w:rsidRPr="005E7E86">
        <w:rPr>
          <w:rFonts w:cs="FrankRuehl" w:hint="cs"/>
          <w:sz w:val="20"/>
          <w:szCs w:val="22"/>
          <w:rtl/>
        </w:rPr>
        <w:t>"</w:t>
      </w:r>
      <w:r>
        <w:rPr>
          <w:rFonts w:cs="FrankRuehl"/>
          <w:sz w:val="20"/>
          <w:szCs w:val="22"/>
          <w:vertAlign w:val="superscript"/>
          <w:rtl/>
        </w:rPr>
        <w:footnoteReference w:id="7"/>
      </w:r>
      <w:r w:rsidRPr="005E7E86">
        <w:rPr>
          <w:rFonts w:cs="FrankRuehl" w:hint="cs"/>
          <w:sz w:val="20"/>
          <w:szCs w:val="22"/>
          <w:rtl/>
        </w:rPr>
        <w:t xml:space="preserve">. </w:t>
      </w:r>
    </w:p>
    <w:p w:rsidR="009B5B44" w:rsidRPr="005E7E86" w:rsidP="005E7E86">
      <w:pPr>
        <w:spacing w:after="120" w:line="230" w:lineRule="exact"/>
        <w:ind w:left="12"/>
        <w:jc w:val="both"/>
        <w:rPr>
          <w:rFonts w:cs="FrankRuehl"/>
          <w:sz w:val="20"/>
          <w:szCs w:val="22"/>
          <w:highlight w:val="yellow"/>
          <w:rtl/>
        </w:rPr>
      </w:pPr>
      <w:r w:rsidRPr="005E7E86">
        <w:rPr>
          <w:rFonts w:cs="FrankRuehl" w:hint="cs"/>
          <w:sz w:val="20"/>
          <w:szCs w:val="22"/>
          <w:rtl/>
        </w:rPr>
        <w:t>הוראות חוק המתנות נועדו למנוע מצב שבו לעובד הציבור יהיה עניין מיוחד בנותן המתנה, ואף למנוע את הרושם שהמתנה ניתנת כדי לשאת פנים או שהיא עלולה לגרום לכך</w:t>
      </w:r>
      <w:r>
        <w:rPr>
          <w:rFonts w:cs="FrankRuehl"/>
          <w:sz w:val="20"/>
          <w:szCs w:val="22"/>
          <w:vertAlign w:val="superscript"/>
          <w:rtl/>
        </w:rPr>
        <w:footnoteReference w:id="8"/>
      </w:r>
      <w:r w:rsidRPr="005E7E86">
        <w:rPr>
          <w:rFonts w:cs="FrankRuehl" w:hint="cs"/>
          <w:sz w:val="20"/>
          <w:szCs w:val="22"/>
          <w:rtl/>
        </w:rPr>
        <w:t xml:space="preserve">. אם קיבל עובד ציבור </w:t>
      </w:r>
      <w:r w:rsidRPr="005E7E86">
        <w:rPr>
          <w:rFonts w:cs="FrankRuehl"/>
          <w:sz w:val="20"/>
          <w:szCs w:val="22"/>
          <w:rtl/>
        </w:rPr>
        <w:t>מתנה ש</w:t>
      </w:r>
      <w:r w:rsidRPr="005E7E86">
        <w:rPr>
          <w:rFonts w:cs="FrankRuehl" w:hint="cs"/>
          <w:sz w:val="20"/>
          <w:szCs w:val="22"/>
          <w:rtl/>
        </w:rPr>
        <w:t>החוק</w:t>
      </w:r>
      <w:r w:rsidRPr="005E7E86">
        <w:rPr>
          <w:rFonts w:cs="FrankRuehl"/>
          <w:sz w:val="20"/>
          <w:szCs w:val="22"/>
          <w:rtl/>
        </w:rPr>
        <w:t xml:space="preserve"> חל עליה</w:t>
      </w:r>
      <w:r w:rsidRPr="005E7E86">
        <w:rPr>
          <w:rFonts w:cs="FrankRuehl" w:hint="cs"/>
          <w:sz w:val="20"/>
          <w:szCs w:val="22"/>
          <w:rtl/>
        </w:rPr>
        <w:t xml:space="preserve">, הוא </w:t>
      </w:r>
      <w:r w:rsidRPr="005E7E86">
        <w:rPr>
          <w:rFonts w:cs="FrankRuehl"/>
          <w:sz w:val="20"/>
          <w:szCs w:val="22"/>
          <w:rtl/>
        </w:rPr>
        <w:t>חייב להודיע</w:t>
      </w:r>
      <w:r w:rsidRPr="005E7E86">
        <w:rPr>
          <w:rFonts w:cs="FrankRuehl" w:hint="cs"/>
          <w:sz w:val="20"/>
          <w:szCs w:val="22"/>
          <w:rtl/>
        </w:rPr>
        <w:t xml:space="preserve"> על כך לגורם המתאים במשרדו, </w:t>
      </w:r>
      <w:r w:rsidRPr="005E7E86">
        <w:rPr>
          <w:rFonts w:cs="FrankRuehl"/>
          <w:sz w:val="20"/>
          <w:szCs w:val="22"/>
          <w:rtl/>
        </w:rPr>
        <w:t>ועליו לנהוג בה בדרך שנקבע</w:t>
      </w:r>
      <w:r w:rsidRPr="005E7E86">
        <w:rPr>
          <w:rFonts w:cs="FrankRuehl" w:hint="cs"/>
          <w:sz w:val="20"/>
          <w:szCs w:val="22"/>
          <w:rtl/>
        </w:rPr>
        <w:t>ה</w:t>
      </w:r>
      <w:r w:rsidRPr="005E7E86">
        <w:rPr>
          <w:rFonts w:cs="FrankRuehl"/>
          <w:sz w:val="20"/>
          <w:szCs w:val="22"/>
          <w:rtl/>
        </w:rPr>
        <w:t xml:space="preserve"> בתקנות</w:t>
      </w:r>
      <w:r w:rsidRPr="005E7E86">
        <w:rPr>
          <w:rFonts w:cs="FrankRuehl" w:hint="cs"/>
          <w:sz w:val="20"/>
          <w:szCs w:val="22"/>
          <w:rtl/>
        </w:rPr>
        <w:t xml:space="preserve"> שירות הציבור (מתנות), התש"ם-1980 (להלן - תקנות המתנות). הפרה ביודעין של חובת הדיווח היא עברה פלילית.</w:t>
      </w:r>
    </w:p>
    <w:p w:rsidR="009B5B44" w:rsidRPr="005E7E86" w:rsidP="005E7E86">
      <w:pPr>
        <w:spacing w:after="120" w:line="230" w:lineRule="exact"/>
        <w:ind w:left="12"/>
        <w:jc w:val="both"/>
        <w:rPr>
          <w:rFonts w:cs="FrankRuehl"/>
          <w:sz w:val="20"/>
          <w:szCs w:val="22"/>
          <w:rtl/>
        </w:rPr>
      </w:pPr>
      <w:r w:rsidRPr="005E7E86">
        <w:rPr>
          <w:rFonts w:cs="FrankRuehl" w:hint="cs"/>
          <w:sz w:val="20"/>
          <w:szCs w:val="22"/>
          <w:rtl/>
        </w:rPr>
        <w:t>לפי תקנות המתנות ימנה שר המשפטים ועדה של שלושה חברים בראשות שופט שלה הסמכות להחליט על הקניית מתנה לעובד הציבור או על שחרורו מתשלום שווייה, אם ראתה שאין בעצם קבלת המתנה משום פגיעה בטוהר המידות</w:t>
      </w:r>
      <w:r>
        <w:rPr>
          <w:rFonts w:cs="FrankRuehl"/>
          <w:sz w:val="20"/>
          <w:szCs w:val="22"/>
          <w:vertAlign w:val="superscript"/>
          <w:rtl/>
        </w:rPr>
        <w:footnoteReference w:id="9"/>
      </w:r>
      <w:r w:rsidRPr="005E7E86">
        <w:rPr>
          <w:rFonts w:cs="FrankRuehl" w:hint="cs"/>
          <w:sz w:val="20"/>
          <w:szCs w:val="22"/>
          <w:rtl/>
        </w:rPr>
        <w:t>. בהתאם לתקנות המתנות רשאי עובד הציבור לפנות לוועדת המתנות ולבקש היתר להקנות לו מתנה שקיבל בעצמו או שקיבל בן זוגו או ילדו. במקרים שבהם הקניית המתנה לעובד הציבור מעוררת חשש לפגיעה בטוהר המידות, לא תיתן הוועדה היתר להקנייתה. עוד קובעות התקנות כי בכל משרד ממשלתי תמונה ועדה לטיפול במתנות שקיבל עובד או נושא משרה במשרד</w:t>
      </w:r>
      <w:r>
        <w:rPr>
          <w:rFonts w:cs="FrankRuehl"/>
          <w:sz w:val="20"/>
          <w:szCs w:val="22"/>
          <w:vertAlign w:val="superscript"/>
          <w:rtl/>
        </w:rPr>
        <w:footnoteReference w:id="10"/>
      </w:r>
      <w:r w:rsidRPr="005E7E86">
        <w:rPr>
          <w:rFonts w:cs="FrankRuehl" w:hint="cs"/>
          <w:sz w:val="20"/>
          <w:szCs w:val="22"/>
          <w:rtl/>
        </w:rPr>
        <w:t>.</w:t>
      </w:r>
      <w:r w:rsidRPr="005E7E86">
        <w:rPr>
          <w:rFonts w:cs="FrankRuehl" w:hint="cs"/>
          <w:sz w:val="20"/>
          <w:szCs w:val="22"/>
          <w:rtl/>
          <w:lang w:eastAsia="he-IL"/>
        </w:rPr>
        <w:t xml:space="preserve"> </w:t>
      </w:r>
    </w:p>
    <w:p w:rsidR="009B5B44" w:rsidP="005E7E86">
      <w:pPr>
        <w:spacing w:after="120" w:line="230" w:lineRule="exact"/>
        <w:ind w:left="12"/>
        <w:jc w:val="both"/>
        <w:rPr>
          <w:rFonts w:cs="FrankRuehl"/>
          <w:sz w:val="20"/>
          <w:szCs w:val="22"/>
          <w:lang w:eastAsia="he-IL"/>
        </w:rPr>
      </w:pPr>
      <w:r w:rsidRPr="005E7E86">
        <w:rPr>
          <w:rFonts w:cs="FrankRuehl" w:hint="cs"/>
          <w:sz w:val="20"/>
          <w:szCs w:val="22"/>
          <w:rtl/>
        </w:rPr>
        <w:t xml:space="preserve">לדעת משרד מבקר המדינה מימון חיצוני של נסיעת שר או של בני משפחתו לחו"ל עשוי להוות מתנה כהגדרתה בחוק המתנות, בשל היותו קבלת </w:t>
      </w:r>
      <w:r w:rsidRPr="005E7E86">
        <w:rPr>
          <w:rFonts w:cs="FrankRuehl"/>
          <w:sz w:val="20"/>
          <w:szCs w:val="22"/>
          <w:rtl/>
        </w:rPr>
        <w:t>שירות או טובת הנאה שלא בתמורה</w:t>
      </w:r>
      <w:r>
        <w:rPr>
          <w:rFonts w:cs="FrankRuehl"/>
          <w:sz w:val="20"/>
          <w:szCs w:val="22"/>
          <w:vertAlign w:val="superscript"/>
          <w:rtl/>
        </w:rPr>
        <w:footnoteReference w:id="11"/>
      </w:r>
      <w:r w:rsidRPr="005E7E86">
        <w:rPr>
          <w:rFonts w:cs="FrankRuehl" w:hint="cs"/>
          <w:sz w:val="20"/>
          <w:szCs w:val="22"/>
          <w:rtl/>
        </w:rPr>
        <w:t xml:space="preserve">. </w:t>
      </w:r>
      <w:r w:rsidRPr="005E7E86">
        <w:rPr>
          <w:rFonts w:cs="FrankRuehl" w:hint="cs"/>
          <w:sz w:val="20"/>
          <w:szCs w:val="22"/>
          <w:rtl/>
          <w:lang w:eastAsia="he-IL"/>
        </w:rPr>
        <w:t>לכן נדרשים השרים לפנות לוועדת המתנות לבקש היתר להקנות להם כמתנה מימון שאינו ממשלתי לנסיעותיהם לחו"ל.</w:t>
      </w:r>
    </w:p>
    <w:p w:rsidR="00BF3C50" w:rsidP="005E7E86">
      <w:pPr>
        <w:spacing w:after="120" w:line="230" w:lineRule="exact"/>
        <w:ind w:left="12"/>
        <w:jc w:val="both"/>
        <w:rPr>
          <w:rFonts w:cs="FrankRuehl"/>
          <w:sz w:val="20"/>
          <w:szCs w:val="22"/>
          <w:lang w:eastAsia="he-IL"/>
        </w:rPr>
      </w:pPr>
    </w:p>
    <w:p w:rsidR="00BF3C50" w:rsidRPr="005E7E86" w:rsidP="005E7E86">
      <w:pPr>
        <w:spacing w:after="120" w:line="230" w:lineRule="exact"/>
        <w:ind w:left="12"/>
        <w:jc w:val="both"/>
        <w:rPr>
          <w:rFonts w:cs="FrankRuehl"/>
          <w:sz w:val="20"/>
          <w:szCs w:val="22"/>
          <w:rtl/>
        </w:rPr>
      </w:pPr>
    </w:p>
    <w:p w:rsidR="009B5B44" w:rsidRPr="00742B46" w:rsidP="00BF3C50">
      <w:pPr>
        <w:pStyle w:val="KOT4"/>
        <w:rPr>
          <w:rtl/>
        </w:rPr>
      </w:pPr>
      <w:r w:rsidRPr="00742B46">
        <w:rPr>
          <w:rFonts w:hint="cs"/>
          <w:rtl/>
        </w:rPr>
        <w:t>הכללים</w:t>
      </w:r>
      <w:r>
        <w:rPr>
          <w:rFonts w:hint="cs"/>
          <w:rtl/>
        </w:rPr>
        <w:t xml:space="preserve"> </w:t>
      </w:r>
      <w:r w:rsidRPr="00742B46">
        <w:rPr>
          <w:rFonts w:hint="cs"/>
          <w:rtl/>
        </w:rPr>
        <w:t>למניעת</w:t>
      </w:r>
      <w:r>
        <w:rPr>
          <w:rFonts w:hint="cs"/>
          <w:rtl/>
        </w:rPr>
        <w:t xml:space="preserve"> </w:t>
      </w:r>
      <w:r w:rsidRPr="00742B46">
        <w:rPr>
          <w:rFonts w:hint="cs"/>
          <w:rtl/>
        </w:rPr>
        <w:t>ניגוד</w:t>
      </w:r>
      <w:r>
        <w:rPr>
          <w:rFonts w:hint="cs"/>
          <w:rtl/>
        </w:rPr>
        <w:t xml:space="preserve"> </w:t>
      </w:r>
      <w:r w:rsidRPr="00742B46">
        <w:rPr>
          <w:rFonts w:hint="cs"/>
          <w:rtl/>
        </w:rPr>
        <w:t>עניינים</w:t>
      </w:r>
      <w:r>
        <w:rPr>
          <w:rFonts w:hint="cs"/>
          <w:rtl/>
        </w:rPr>
        <w:t xml:space="preserve"> </w:t>
      </w:r>
      <w:r w:rsidRPr="00742B46">
        <w:rPr>
          <w:rFonts w:hint="cs"/>
          <w:rtl/>
        </w:rPr>
        <w:t>של</w:t>
      </w:r>
      <w:r>
        <w:rPr>
          <w:rFonts w:hint="cs"/>
          <w:rtl/>
        </w:rPr>
        <w:t xml:space="preserve"> </w:t>
      </w:r>
      <w:r w:rsidRPr="00742B46">
        <w:rPr>
          <w:rFonts w:hint="cs"/>
          <w:rtl/>
        </w:rPr>
        <w:t>שרים</w:t>
      </w:r>
      <w:r>
        <w:rPr>
          <w:rFonts w:hint="cs"/>
          <w:rtl/>
        </w:rPr>
        <w:t xml:space="preserve"> </w:t>
      </w:r>
      <w:r w:rsidRPr="00742B46">
        <w:rPr>
          <w:rFonts w:hint="cs"/>
          <w:rtl/>
        </w:rPr>
        <w:t>וסגני</w:t>
      </w:r>
      <w:r>
        <w:rPr>
          <w:rFonts w:hint="cs"/>
          <w:rtl/>
        </w:rPr>
        <w:t xml:space="preserve"> </w:t>
      </w:r>
      <w:r w:rsidRPr="00742B46">
        <w:rPr>
          <w:rFonts w:hint="cs"/>
          <w:rtl/>
        </w:rPr>
        <w:t>שרים</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lang w:eastAsia="he-IL"/>
        </w:rPr>
        <w:t>הכלל שלפיו אישי ציבור, ובכללם שרים, חייבים להקפיד שלא ייווצר ניגוד ענייני</w:t>
      </w:r>
      <w:r w:rsidRPr="005E7E86">
        <w:rPr>
          <w:rFonts w:cs="FrankRuehl" w:hint="eastAsia"/>
          <w:sz w:val="20"/>
          <w:szCs w:val="22"/>
          <w:rtl/>
          <w:lang w:eastAsia="he-IL"/>
        </w:rPr>
        <w:t>ם</w:t>
      </w:r>
      <w:r w:rsidRPr="005E7E86">
        <w:rPr>
          <w:rFonts w:cs="FrankRuehl" w:hint="cs"/>
          <w:sz w:val="20"/>
          <w:szCs w:val="22"/>
          <w:rtl/>
          <w:lang w:eastAsia="he-IL"/>
        </w:rPr>
        <w:t xml:space="preserve"> - ואף חשש לניגוד עניינים - בין תפקידיהם ובין ענייניהם האישיים הוא כלל יסוד במינהל הציבורי. כדי לגבש נורמות</w:t>
      </w:r>
      <w:r w:rsidRPr="005E7E86">
        <w:rPr>
          <w:rFonts w:cs="FrankRuehl" w:hint="cs"/>
          <w:sz w:val="20"/>
          <w:szCs w:val="22"/>
          <w:rtl/>
        </w:rPr>
        <w:t xml:space="preserve"> בנושא החליטה הממשלה</w:t>
      </w:r>
      <w:r>
        <w:rPr>
          <w:rFonts w:cs="FrankRuehl"/>
          <w:sz w:val="20"/>
          <w:szCs w:val="22"/>
          <w:vertAlign w:val="superscript"/>
          <w:rtl/>
        </w:rPr>
        <w:footnoteReference w:id="12"/>
      </w:r>
      <w:r w:rsidRPr="005E7E86">
        <w:rPr>
          <w:rFonts w:cs="FrankRuehl" w:hint="cs"/>
          <w:sz w:val="20"/>
          <w:szCs w:val="22"/>
          <w:rtl/>
        </w:rPr>
        <w:t xml:space="preserve"> על הקמת ועדה ציבורית</w:t>
      </w:r>
      <w:r w:rsidRPr="005E7E86">
        <w:rPr>
          <w:rFonts w:cs="FrankRuehl" w:hint="cs"/>
          <w:sz w:val="20"/>
          <w:szCs w:val="22"/>
          <w:rtl/>
          <w:lang w:eastAsia="he-IL"/>
        </w:rPr>
        <w:t xml:space="preserve"> שתעסוק בסוגיית מניעת ניגוד עניינים בפעילותם של שרים וסגני שרים (להלן - ועדת אשר).</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lang w:eastAsia="he-IL"/>
        </w:rPr>
        <w:t>דוח ועדת אשר</w:t>
      </w:r>
      <w:r>
        <w:rPr>
          <w:rFonts w:cs="FrankRuehl"/>
          <w:sz w:val="20"/>
          <w:szCs w:val="22"/>
          <w:vertAlign w:val="superscript"/>
          <w:rtl/>
          <w:lang w:eastAsia="he-IL"/>
        </w:rPr>
        <w:footnoteReference w:id="13"/>
      </w:r>
      <w:r w:rsidRPr="005E7E86">
        <w:rPr>
          <w:rFonts w:cs="FrankRuehl" w:hint="cs"/>
          <w:sz w:val="20"/>
          <w:szCs w:val="22"/>
          <w:rtl/>
          <w:lang w:eastAsia="he-IL"/>
        </w:rPr>
        <w:t xml:space="preserve"> קבע את המסגרת הנורמטיבית להגנה על עקרון היסוד בדבר מניעת ניגוד עניינים (ואף חשש לניגוד עניינים) בנוגע למילוי תפקידיהם של השרים וסגני השרים בהמליצו על כללים למניעת ניגוד עניינים</w:t>
      </w:r>
      <w:r w:rsidRPr="005E7E86">
        <w:rPr>
          <w:rFonts w:cs="FrankRuehl" w:hint="cs"/>
          <w:b/>
          <w:bCs/>
          <w:sz w:val="20"/>
          <w:szCs w:val="22"/>
          <w:rtl/>
        </w:rPr>
        <w:t xml:space="preserve"> </w:t>
      </w:r>
      <w:r w:rsidRPr="005E7E86">
        <w:rPr>
          <w:rFonts w:cs="FrankRuehl" w:hint="cs"/>
          <w:sz w:val="20"/>
          <w:szCs w:val="22"/>
          <w:rtl/>
        </w:rPr>
        <w:t>של שרים וסגני שרים</w:t>
      </w:r>
      <w:r w:rsidRPr="005E7E86">
        <w:rPr>
          <w:rFonts w:cs="FrankRuehl" w:hint="cs"/>
          <w:sz w:val="20"/>
          <w:szCs w:val="22"/>
          <w:rtl/>
          <w:lang w:eastAsia="he-IL"/>
        </w:rPr>
        <w:t xml:space="preserve"> (להלן - הכללים למניעת ניגוד עניינים), ואלה קיבלו תוקף מחייב בהחלטת הממשלה ותוקנו במשך השנים מכוח החלטות ממשלה נוספות</w:t>
      </w:r>
      <w:r>
        <w:rPr>
          <w:rFonts w:cs="FrankRuehl"/>
          <w:sz w:val="20"/>
          <w:szCs w:val="22"/>
          <w:vertAlign w:val="superscript"/>
          <w:rtl/>
          <w:lang w:eastAsia="he-IL"/>
        </w:rPr>
        <w:footnoteReference w:id="14"/>
      </w:r>
      <w:r w:rsidRPr="005E7E86">
        <w:rPr>
          <w:rFonts w:cs="FrankRuehl" w:hint="cs"/>
          <w:sz w:val="20"/>
          <w:szCs w:val="22"/>
          <w:rtl/>
          <w:lang w:eastAsia="he-IL"/>
        </w:rPr>
        <w:t>.</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lang w:eastAsia="he-IL"/>
        </w:rPr>
        <w:t xml:space="preserve">הכללים למניעת ניגוד עניינים קובעים הוראות שתכליתן למנוע מצבים של ניגוד עניינים בין מילוי תפקידם של השרים ושל סגני השרים ובין ענייניהם האישיים. לפי הכללים, שר ינהג במסגרת מילוי תפקידיו בלא משוא פנים ובהגינות כלפי הכול, ובלא שיהיה לו עניין אישי בהחלטותיו או </w:t>
      </w:r>
      <w:r w:rsidRPr="005E7E86">
        <w:rPr>
          <w:rFonts w:cs="FrankRuehl" w:hint="cs"/>
          <w:sz w:val="20"/>
          <w:szCs w:val="22"/>
          <w:rtl/>
          <w:lang w:eastAsia="he-IL"/>
        </w:rPr>
        <w:t>בפעולותיו אף למראית עין</w:t>
      </w:r>
      <w:r>
        <w:rPr>
          <w:rFonts w:cs="FrankRuehl"/>
          <w:sz w:val="20"/>
          <w:szCs w:val="22"/>
          <w:vertAlign w:val="superscript"/>
          <w:rtl/>
        </w:rPr>
        <w:footnoteReference w:id="15"/>
      </w:r>
      <w:r w:rsidRPr="005E7E86">
        <w:rPr>
          <w:rFonts w:cs="FrankRuehl" w:hint="cs"/>
          <w:sz w:val="20"/>
          <w:szCs w:val="22"/>
          <w:rtl/>
          <w:lang w:eastAsia="he-IL"/>
        </w:rPr>
        <w:t>; מחובתו של השר לנהל את ענייני</w:t>
      </w:r>
      <w:r w:rsidRPr="005E7E86">
        <w:rPr>
          <w:rFonts w:cs="FrankRuehl" w:hint="eastAsia"/>
          <w:sz w:val="20"/>
          <w:szCs w:val="22"/>
          <w:rtl/>
          <w:lang w:eastAsia="he-IL"/>
        </w:rPr>
        <w:t>ו</w:t>
      </w:r>
      <w:r w:rsidRPr="005E7E86">
        <w:rPr>
          <w:rFonts w:cs="FrankRuehl" w:hint="cs"/>
          <w:sz w:val="20"/>
          <w:szCs w:val="22"/>
          <w:rtl/>
          <w:lang w:eastAsia="he-IL"/>
        </w:rPr>
        <w:t xml:space="preserve"> באופן שלא ייווצר ניגוד ענייני</w:t>
      </w:r>
      <w:r w:rsidRPr="005E7E86">
        <w:rPr>
          <w:rFonts w:cs="FrankRuehl" w:hint="eastAsia"/>
          <w:sz w:val="20"/>
          <w:szCs w:val="22"/>
          <w:rtl/>
          <w:lang w:eastAsia="he-IL"/>
        </w:rPr>
        <w:t>ם</w:t>
      </w:r>
      <w:r w:rsidRPr="005E7E86">
        <w:rPr>
          <w:rFonts w:cs="FrankRuehl" w:hint="cs"/>
          <w:sz w:val="20"/>
          <w:szCs w:val="22"/>
          <w:rtl/>
          <w:lang w:eastAsia="he-IL"/>
        </w:rPr>
        <w:t xml:space="preserve"> בין מילוי תפקידו כשר ובין ענייניו האישיים</w:t>
      </w:r>
      <w:r>
        <w:rPr>
          <w:rFonts w:cs="FrankRuehl"/>
          <w:sz w:val="20"/>
          <w:szCs w:val="22"/>
          <w:vertAlign w:val="superscript"/>
          <w:rtl/>
        </w:rPr>
        <w:footnoteReference w:id="16"/>
      </w:r>
      <w:r w:rsidRPr="005E7E86">
        <w:rPr>
          <w:rFonts w:cs="FrankRuehl" w:hint="cs"/>
          <w:sz w:val="20"/>
          <w:szCs w:val="22"/>
          <w:rtl/>
          <w:lang w:eastAsia="he-IL"/>
        </w:rPr>
        <w:t>. עניין אישי מוגדר בכללים גם כעניין אישי של קרוב של השר. כמו כן, שר לא יקבל שכר או טובת הנאה זולת שכרו שמשלמת לו המדינה</w:t>
      </w:r>
      <w:r>
        <w:rPr>
          <w:rFonts w:cs="FrankRuehl"/>
          <w:sz w:val="20"/>
          <w:szCs w:val="22"/>
          <w:vertAlign w:val="superscript"/>
          <w:rtl/>
          <w:lang w:eastAsia="he-IL"/>
        </w:rPr>
        <w:footnoteReference w:id="17"/>
      </w:r>
      <w:r w:rsidRPr="005E7E86">
        <w:rPr>
          <w:rFonts w:cs="FrankRuehl" w:hint="cs"/>
          <w:sz w:val="20"/>
          <w:szCs w:val="22"/>
          <w:rtl/>
          <w:lang w:eastAsia="he-IL"/>
        </w:rPr>
        <w:t>, וכן לא יעסוק תמורת תשלום בהשמעת נאומים או הרצאות וכיו"ב</w:t>
      </w:r>
      <w:r>
        <w:rPr>
          <w:rStyle w:val="FootnoteReference"/>
          <w:rFonts w:cs="FrankRuehl"/>
          <w:sz w:val="20"/>
          <w:szCs w:val="22"/>
          <w:rtl/>
          <w:lang w:eastAsia="he-IL"/>
        </w:rPr>
        <w:footnoteReference w:id="18"/>
      </w:r>
      <w:r w:rsidRPr="005E7E86">
        <w:rPr>
          <w:rFonts w:cs="FrankRuehl" w:hint="cs"/>
          <w:sz w:val="20"/>
          <w:szCs w:val="22"/>
          <w:rtl/>
          <w:lang w:eastAsia="he-IL"/>
        </w:rPr>
        <w:t>.</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lang w:eastAsia="he-IL"/>
        </w:rPr>
        <w:t>בכללים למניעת ניגוד עניינים נקבע שמבקר המדינה ימנה ועדה של שלושה חברים בראשות שופט או שופט בדימוס שתבחן בקשות של שרים לקבלת היתר אישי לאי-קיום כלל מהכללים</w:t>
      </w:r>
      <w:r>
        <w:rPr>
          <w:rFonts w:cs="FrankRuehl"/>
          <w:sz w:val="20"/>
          <w:szCs w:val="22"/>
          <w:vertAlign w:val="superscript"/>
          <w:rtl/>
        </w:rPr>
        <w:footnoteReference w:id="19"/>
      </w:r>
      <w:r w:rsidRPr="005E7E86">
        <w:rPr>
          <w:rFonts w:cs="FrankRuehl" w:hint="cs"/>
          <w:sz w:val="20"/>
          <w:szCs w:val="22"/>
          <w:rtl/>
          <w:lang w:eastAsia="he-IL"/>
        </w:rPr>
        <w:t>. הוועדה למתן היתרים רשאית לסרב לבקשות שרים לקבלת היתר אישי, לתת היתר או לתת היתר בתנאים מסוימים, אם הדבר נראה לה מוצדק בנסיבות המקרה ותקין מהבחינה הציבורית. יצוין שעם הקמת ממשלה חדשה או בעת מינוי של שר או של סגן שר מביא מבקר המדינה את הכללים לידיעת השרים וסגני השרים ומציין לפניהם כי באפשרותם לבקש מהוועדה היתר אישי לאי-קיום כלל מכללים אלה.</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lang w:eastAsia="he-IL"/>
        </w:rPr>
        <w:t>מימון נסיעת שר או קרובו (כהגדרת הכללים) לחו"ל על ידי</w:t>
      </w:r>
      <w:r w:rsidRPr="005E7E86">
        <w:rPr>
          <w:rFonts w:cs="FrankRuehl" w:hint="cs"/>
          <w:sz w:val="20"/>
          <w:szCs w:val="22"/>
          <w:rtl/>
        </w:rPr>
        <w:t xml:space="preserve"> גורם חיצוני שאינו ממשלתי</w:t>
      </w:r>
      <w:r w:rsidRPr="005E7E86">
        <w:rPr>
          <w:rFonts w:cs="FrankRuehl" w:hint="cs"/>
          <w:sz w:val="20"/>
          <w:szCs w:val="22"/>
          <w:rtl/>
          <w:lang w:eastAsia="he-IL"/>
        </w:rPr>
        <w:t xml:space="preserve"> באופן מלא או חלקי עשוי להיחשב טובת הנאה או להביא למצב של ניגוד עניינים לפי כללים אלה. לפיכך, לדעת משרד מבקר המדינה, נדרש ששר יפנה לוועדה למתן היתרים על מנת שתבחן אם ניתן לתת לו היתר למימון כאמור לנסיעה.</w:t>
      </w:r>
    </w:p>
    <w:p w:rsidR="009B5B44" w:rsidP="005E7E86">
      <w:pPr>
        <w:spacing w:after="120" w:line="230" w:lineRule="exact"/>
        <w:jc w:val="both"/>
        <w:rPr>
          <w:rFonts w:cs="FrankRuehl"/>
          <w:sz w:val="20"/>
          <w:szCs w:val="22"/>
          <w:lang w:eastAsia="he-IL"/>
        </w:rPr>
      </w:pPr>
    </w:p>
    <w:p w:rsidR="00BF3C50" w:rsidRPr="005E7E86" w:rsidP="005E7E86">
      <w:pPr>
        <w:spacing w:after="120" w:line="230" w:lineRule="exact"/>
        <w:jc w:val="both"/>
        <w:rPr>
          <w:rFonts w:cs="FrankRuehl"/>
          <w:sz w:val="20"/>
          <w:szCs w:val="22"/>
          <w:rtl/>
          <w:lang w:eastAsia="he-IL"/>
        </w:rPr>
      </w:pPr>
    </w:p>
    <w:p w:rsidR="009B5B44" w:rsidRPr="001D0D8A" w:rsidP="00BF3C50">
      <w:pPr>
        <w:pStyle w:val="KOT4"/>
        <w:rPr>
          <w:rtl/>
        </w:rPr>
      </w:pPr>
      <w:r w:rsidRPr="001D0D8A">
        <w:rPr>
          <w:rFonts w:hint="cs"/>
          <w:rtl/>
        </w:rPr>
        <w:t>מימון</w:t>
      </w:r>
      <w:r>
        <w:rPr>
          <w:rFonts w:hint="cs"/>
          <w:rtl/>
        </w:rPr>
        <w:t xml:space="preserve"> </w:t>
      </w:r>
      <w:r w:rsidRPr="001D0D8A">
        <w:rPr>
          <w:rFonts w:hint="cs"/>
          <w:rtl/>
        </w:rPr>
        <w:t>קצובות</w:t>
      </w:r>
      <w:r>
        <w:rPr>
          <w:rFonts w:hint="cs"/>
          <w:rtl/>
        </w:rPr>
        <w:t xml:space="preserve"> </w:t>
      </w:r>
      <w:r w:rsidRPr="001D0D8A">
        <w:rPr>
          <w:rFonts w:hint="cs"/>
          <w:rtl/>
        </w:rPr>
        <w:t>שהייה</w:t>
      </w:r>
      <w:r>
        <w:rPr>
          <w:rFonts w:hint="cs"/>
          <w:rtl/>
        </w:rPr>
        <w:t xml:space="preserve"> </w:t>
      </w:r>
      <w:r w:rsidRPr="001D0D8A">
        <w:rPr>
          <w:rFonts w:hint="cs"/>
          <w:rtl/>
        </w:rPr>
        <w:t>ולינה</w:t>
      </w:r>
      <w:r>
        <w:rPr>
          <w:rFonts w:hint="cs"/>
          <w:rtl/>
        </w:rPr>
        <w:t xml:space="preserve"> </w:t>
      </w:r>
      <w:r w:rsidRPr="001D0D8A">
        <w:rPr>
          <w:rFonts w:hint="cs"/>
          <w:rtl/>
        </w:rPr>
        <w:t>בשהות</w:t>
      </w:r>
      <w:r>
        <w:rPr>
          <w:rFonts w:hint="cs"/>
          <w:rtl/>
        </w:rPr>
        <w:t xml:space="preserve"> </w:t>
      </w:r>
      <w:r w:rsidRPr="001D0D8A">
        <w:rPr>
          <w:rFonts w:hint="cs"/>
          <w:rtl/>
        </w:rPr>
        <w:t>בחו"ל</w:t>
      </w:r>
      <w:r>
        <w:rPr>
          <w:rFonts w:hint="cs"/>
          <w:rtl/>
        </w:rPr>
        <w:t xml:space="preserve"> </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lang w:eastAsia="he-IL"/>
        </w:rPr>
        <w:t xml:space="preserve">ארגון הנסיעות לחו"ל של עובדי מדינה נעשה בכפוף לשתי הוראות תכ"ם: הוראה 13.10.1 - טיסות ושירותים נלווים לנסיעות בתפקיד לחו"ל, והוראה 13.10.2 - נסיעות לחו"ל - קצובות שהייה ולינה, החזרי הוצאות ומיסוי. </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lang w:eastAsia="he-IL"/>
        </w:rPr>
        <w:t xml:space="preserve">הוראות התכ"ם אינן חלות על שרים. </w:t>
      </w:r>
      <w:r w:rsidRPr="005E7E86">
        <w:rPr>
          <w:rFonts w:cs="FrankRuehl"/>
          <w:sz w:val="20"/>
          <w:szCs w:val="22"/>
          <w:rtl/>
          <w:lang w:eastAsia="he-IL"/>
        </w:rPr>
        <w:t>ועדת הכספים</w:t>
      </w:r>
      <w:r w:rsidRPr="005E7E86">
        <w:rPr>
          <w:rFonts w:cs="FrankRuehl" w:hint="cs"/>
          <w:sz w:val="20"/>
          <w:szCs w:val="22"/>
          <w:rtl/>
          <w:lang w:eastAsia="he-IL"/>
        </w:rPr>
        <w:t xml:space="preserve"> של הכנסת </w:t>
      </w:r>
      <w:r w:rsidRPr="005E7E86">
        <w:rPr>
          <w:rFonts w:cs="FrankRuehl"/>
          <w:sz w:val="20"/>
          <w:szCs w:val="22"/>
          <w:rtl/>
          <w:lang w:eastAsia="he-IL"/>
        </w:rPr>
        <w:t>מוסמכת לדון בעניין תנאי שירות של שרים.</w:t>
      </w:r>
    </w:p>
    <w:p w:rsidR="009B5B44" w:rsidRPr="005E7E86" w:rsidP="005E7E86">
      <w:pPr>
        <w:spacing w:after="120" w:line="230" w:lineRule="exact"/>
        <w:jc w:val="both"/>
        <w:rPr>
          <w:rFonts w:cs="FrankRuehl"/>
          <w:sz w:val="20"/>
          <w:szCs w:val="22"/>
          <w:rtl/>
        </w:rPr>
      </w:pPr>
    </w:p>
    <w:p w:rsidR="009B5B44" w:rsidRPr="005E7E86" w:rsidP="005E7E86">
      <w:pPr>
        <w:spacing w:after="120" w:line="230" w:lineRule="exact"/>
        <w:jc w:val="both"/>
        <w:rPr>
          <w:rFonts w:cs="FrankRuehl"/>
          <w:sz w:val="20"/>
          <w:szCs w:val="22"/>
          <w:rtl/>
        </w:rPr>
      </w:pPr>
    </w:p>
    <w:p w:rsidR="009B5B44" w:rsidRPr="00742B46" w:rsidP="00BF3C50">
      <w:pPr>
        <w:pStyle w:val="KOT2"/>
        <w:rPr>
          <w:rtl/>
        </w:rPr>
      </w:pPr>
      <w:r w:rsidRPr="00742B46">
        <w:rPr>
          <w:rFonts w:hint="cs"/>
          <w:rtl/>
        </w:rPr>
        <w:t>נסיעות</w:t>
      </w:r>
      <w:r>
        <w:rPr>
          <w:rFonts w:hint="cs"/>
          <w:rtl/>
        </w:rPr>
        <w:t xml:space="preserve"> </w:t>
      </w:r>
      <w:r w:rsidRPr="00742B46">
        <w:rPr>
          <w:rFonts w:hint="cs"/>
          <w:rtl/>
        </w:rPr>
        <w:t>מר</w:t>
      </w:r>
      <w:r>
        <w:rPr>
          <w:rFonts w:hint="cs"/>
          <w:rtl/>
        </w:rPr>
        <w:t xml:space="preserve"> </w:t>
      </w:r>
      <w:r w:rsidRPr="00742B46">
        <w:rPr>
          <w:rFonts w:hint="cs"/>
          <w:rtl/>
        </w:rPr>
        <w:t>נתניהו</w:t>
      </w:r>
      <w:r>
        <w:rPr>
          <w:rFonts w:hint="cs"/>
          <w:rtl/>
        </w:rPr>
        <w:t xml:space="preserve"> </w:t>
      </w:r>
      <w:r w:rsidRPr="00742B46">
        <w:rPr>
          <w:rFonts w:hint="cs"/>
          <w:rtl/>
        </w:rPr>
        <w:t>לחו"ל</w:t>
      </w:r>
      <w:r>
        <w:rPr>
          <w:rFonts w:hint="cs"/>
          <w:rtl/>
        </w:rPr>
        <w:t xml:space="preserve"> </w:t>
      </w:r>
      <w:r w:rsidRPr="00742B46">
        <w:rPr>
          <w:rFonts w:hint="cs"/>
          <w:rtl/>
        </w:rPr>
        <w:t>בתקופת</w:t>
      </w:r>
      <w:r>
        <w:rPr>
          <w:rFonts w:hint="cs"/>
          <w:rtl/>
        </w:rPr>
        <w:t xml:space="preserve"> </w:t>
      </w:r>
      <w:r w:rsidRPr="00742B46">
        <w:rPr>
          <w:rFonts w:hint="cs"/>
          <w:rtl/>
        </w:rPr>
        <w:t>היותו</w:t>
      </w:r>
      <w:r>
        <w:rPr>
          <w:rFonts w:hint="cs"/>
          <w:rtl/>
        </w:rPr>
        <w:t xml:space="preserve"> </w:t>
      </w:r>
      <w:r w:rsidRPr="00742B46">
        <w:rPr>
          <w:rFonts w:hint="cs"/>
          <w:rtl/>
        </w:rPr>
        <w:t>שר</w:t>
      </w:r>
      <w:r>
        <w:rPr>
          <w:rFonts w:hint="cs"/>
          <w:rtl/>
        </w:rPr>
        <w:t xml:space="preserve"> </w:t>
      </w:r>
      <w:r w:rsidRPr="00742B46">
        <w:rPr>
          <w:rFonts w:hint="cs"/>
          <w:rtl/>
        </w:rPr>
        <w:t>האוצר</w:t>
      </w:r>
    </w:p>
    <w:p w:rsidR="009B5B44" w:rsidRPr="005E7E86" w:rsidP="005E7E86">
      <w:pPr>
        <w:spacing w:after="120" w:line="230" w:lineRule="exact"/>
        <w:jc w:val="both"/>
        <w:rPr>
          <w:rFonts w:cs="FrankRuehl"/>
          <w:sz w:val="20"/>
          <w:szCs w:val="22"/>
          <w:rtl/>
        </w:rPr>
      </w:pPr>
      <w:r w:rsidRPr="005E7E86">
        <w:rPr>
          <w:rFonts w:cs="FrankRuehl" w:hint="cs"/>
          <w:sz w:val="20"/>
          <w:szCs w:val="22"/>
          <w:rtl/>
        </w:rPr>
        <w:t xml:space="preserve">בתקופת כהונתו של מר נתניהו כשר האוצר כעשרה גופים - ממשלות זרות, הבונדס, גופים ציבוריים, אנשי עסקים ואנשים פרטיים - מימנו נסיעות לחו"ל בתפקיד או את הוצאות הטיסה או השהייה בחו"ל של מר נתניהו, רעייתו וילדיו. </w:t>
      </w:r>
    </w:p>
    <w:p w:rsidR="009B5B44" w:rsidRPr="005E7E86" w:rsidP="005E7E86">
      <w:pPr>
        <w:spacing w:after="120" w:line="230" w:lineRule="exact"/>
        <w:jc w:val="both"/>
        <w:rPr>
          <w:rFonts w:cs="FrankRuehl"/>
          <w:sz w:val="20"/>
          <w:szCs w:val="22"/>
          <w:rtl/>
        </w:rPr>
      </w:pPr>
      <w:r w:rsidRPr="005E7E86">
        <w:rPr>
          <w:rFonts w:cs="FrankRuehl" w:hint="cs"/>
          <w:sz w:val="20"/>
          <w:szCs w:val="22"/>
          <w:rtl/>
        </w:rPr>
        <w:t xml:space="preserve">בפגישת שימוע שקיימו מבקר המדינה ונציגי משרדו לבקשת מר נתניהו ובאי כוחו בינואר 2016, טען מר נתניהו כי מבחינתו אין מדובר במימון פרטי או של אנשי עסקים, אלא במימון של הארגון </w:t>
      </w:r>
      <w:r w:rsidRPr="005E7E86">
        <w:rPr>
          <w:rFonts w:cs="FrankRuehl" w:hint="cs"/>
          <w:sz w:val="20"/>
          <w:szCs w:val="22"/>
          <w:rtl/>
        </w:rPr>
        <w:t>המזמין. הארגון המזמין אחראי למימון גם אם בפועל התשלום נעשה בידי גורם אחר. מר נתניהו טען כי לא ידע מי שילם בפועל.</w:t>
      </w:r>
    </w:p>
    <w:p w:rsidR="009B5B44" w:rsidRPr="005E7E86" w:rsidP="005E7E86">
      <w:pPr>
        <w:spacing w:after="120" w:line="230" w:lineRule="exact"/>
        <w:jc w:val="both"/>
        <w:rPr>
          <w:rFonts w:cs="FrankRuehl"/>
          <w:sz w:val="20"/>
          <w:szCs w:val="22"/>
          <w:rtl/>
        </w:rPr>
      </w:pPr>
      <w:r w:rsidRPr="005E7E86">
        <w:rPr>
          <w:rFonts w:cs="FrankRuehl" w:hint="cs"/>
          <w:sz w:val="20"/>
          <w:szCs w:val="22"/>
          <w:rtl/>
        </w:rPr>
        <w:t>בתקופת היותו שר האוצר טס מר נתניהו 15 טיסות לחו"ל שעליהן דווח למזכירות הממשלה כנסיעות בתפקיד. רק 7 מהן היו במימון משרד האוצר, והיתר -</w:t>
      </w:r>
      <w:r w:rsidRPr="005E7E86">
        <w:rPr>
          <w:rFonts w:cs="FrankRuehl"/>
          <w:sz w:val="20"/>
          <w:szCs w:val="22"/>
          <w:rtl/>
        </w:rPr>
        <w:t xml:space="preserve"> </w:t>
      </w:r>
      <w:r w:rsidRPr="005E7E86">
        <w:rPr>
          <w:rFonts w:cs="FrankRuehl" w:hint="cs"/>
          <w:sz w:val="20"/>
          <w:szCs w:val="22"/>
          <w:rtl/>
        </w:rPr>
        <w:t xml:space="preserve">יותר </w:t>
      </w:r>
      <w:r w:rsidRPr="005E7E86">
        <w:rPr>
          <w:rFonts w:cs="FrankRuehl"/>
          <w:sz w:val="20"/>
          <w:szCs w:val="22"/>
          <w:rtl/>
        </w:rPr>
        <w:t>ממחצית הנסיעות בתפקיד</w:t>
      </w:r>
      <w:r w:rsidRPr="005E7E86">
        <w:rPr>
          <w:rFonts w:cs="FrankRuehl" w:hint="cs"/>
          <w:sz w:val="20"/>
          <w:szCs w:val="22"/>
          <w:rtl/>
        </w:rPr>
        <w:t xml:space="preserve"> - מומנו בידי גורם חיצוני</w:t>
      </w:r>
      <w:r w:rsidRPr="005E7E86">
        <w:rPr>
          <w:rStyle w:val="CommentReference"/>
          <w:rFonts w:cs="FrankRuehl" w:hint="cs"/>
          <w:sz w:val="20"/>
          <w:szCs w:val="22"/>
          <w:rtl/>
          <w:lang w:eastAsia="he-IL"/>
        </w:rPr>
        <w:t xml:space="preserve">: </w:t>
      </w:r>
      <w:r w:rsidRPr="005E7E86">
        <w:rPr>
          <w:rFonts w:cs="FrankRuehl" w:hint="cs"/>
          <w:sz w:val="20"/>
          <w:szCs w:val="22"/>
          <w:rtl/>
        </w:rPr>
        <w:t>1.5 טיסות</w:t>
      </w:r>
      <w:r>
        <w:rPr>
          <w:rFonts w:cs="FrankRuehl"/>
          <w:sz w:val="20"/>
          <w:szCs w:val="22"/>
          <w:vertAlign w:val="superscript"/>
          <w:rtl/>
          <w:lang w:eastAsia="he-IL"/>
        </w:rPr>
        <w:footnoteReference w:id="20"/>
      </w:r>
      <w:r w:rsidRPr="005E7E86">
        <w:rPr>
          <w:rFonts w:cs="FrankRuehl" w:hint="cs"/>
          <w:sz w:val="20"/>
          <w:szCs w:val="22"/>
          <w:rtl/>
        </w:rPr>
        <w:t xml:space="preserve"> היו במימון </w:t>
      </w:r>
      <w:r w:rsidRPr="005E7E86">
        <w:rPr>
          <w:rFonts w:cs="FrankRuehl" w:hint="eastAsia"/>
          <w:sz w:val="20"/>
          <w:szCs w:val="22"/>
          <w:rtl/>
        </w:rPr>
        <w:t>ממשלה</w:t>
      </w:r>
      <w:r w:rsidRPr="005E7E86">
        <w:rPr>
          <w:rFonts w:cs="FrankRuehl"/>
          <w:sz w:val="20"/>
          <w:szCs w:val="22"/>
          <w:rtl/>
        </w:rPr>
        <w:t xml:space="preserve"> </w:t>
      </w:r>
      <w:r w:rsidRPr="005E7E86">
        <w:rPr>
          <w:rFonts w:cs="FrankRuehl" w:hint="eastAsia"/>
          <w:sz w:val="20"/>
          <w:szCs w:val="22"/>
          <w:rtl/>
        </w:rPr>
        <w:t>זרה</w:t>
      </w:r>
      <w:r w:rsidRPr="005E7E86">
        <w:rPr>
          <w:rFonts w:cs="FrankRuehl" w:hint="cs"/>
          <w:sz w:val="20"/>
          <w:szCs w:val="22"/>
          <w:rtl/>
        </w:rPr>
        <w:t>, 2 טיסות היו במימון ארגונים יהודיים, 3.5 טיסות במימון הבונדס (מספר זה אינו כולל נסיעות שבהן מימן הבונדס רק את הוצאות השהייה ואף לא נסיעה פרטית במימון הבונדס - ראו להלן) וטיסה אחת במימון ארגון בין-לאומי אחר.</w:t>
      </w:r>
    </w:p>
    <w:p w:rsidR="009B5B44" w:rsidRPr="005E7E86" w:rsidP="00BF3C50">
      <w:pPr>
        <w:spacing w:after="240" w:line="230" w:lineRule="exact"/>
        <w:jc w:val="both"/>
        <w:rPr>
          <w:rFonts w:cs="FrankRuehl"/>
          <w:sz w:val="20"/>
          <w:szCs w:val="22"/>
          <w:rtl/>
        </w:rPr>
      </w:pPr>
      <w:r w:rsidRPr="005E7E86">
        <w:rPr>
          <w:rFonts w:cs="FrankRuehl" w:hint="cs"/>
          <w:sz w:val="20"/>
          <w:szCs w:val="22"/>
          <w:rtl/>
          <w:lang w:eastAsia="he-IL"/>
        </w:rPr>
        <w:t>יו"ר ועדת המתנות מסר ב-30.8.11 למשרד מבקר המדינה כי בתקופת כהונתו של מר נתניהו כשר האוצר, "עד כמה שמצאה ידי לא פנה שום שר ו/או סגן שר בבקשה לאישור נסיעתו לחו"ל".</w:t>
      </w:r>
    </w:p>
    <w:p w:rsidR="009B5B44" w:rsidRPr="005E7E86" w:rsidP="00BF3C50">
      <w:pPr>
        <w:pStyle w:val="RESHET"/>
        <w:keepLines/>
        <w:rPr>
          <w:rtl/>
        </w:rPr>
      </w:pPr>
      <w:r w:rsidRPr="005E7E86">
        <w:rPr>
          <w:rFonts w:hint="eastAsia"/>
          <w:rtl/>
        </w:rPr>
        <w:t>מהביקורת</w:t>
      </w:r>
      <w:r w:rsidRPr="005E7E86">
        <w:rPr>
          <w:rtl/>
        </w:rPr>
        <w:t xml:space="preserve"> </w:t>
      </w:r>
      <w:r w:rsidRPr="005E7E86">
        <w:rPr>
          <w:rFonts w:hint="eastAsia"/>
          <w:rtl/>
        </w:rPr>
        <w:t>עלה</w:t>
      </w:r>
      <w:r w:rsidRPr="005E7E86">
        <w:rPr>
          <w:rtl/>
        </w:rPr>
        <w:t xml:space="preserve"> </w:t>
      </w:r>
      <w:r w:rsidRPr="005E7E86">
        <w:rPr>
          <w:rFonts w:hint="eastAsia"/>
          <w:rtl/>
        </w:rPr>
        <w:t>כי</w:t>
      </w:r>
      <w:r w:rsidRPr="005E7E86">
        <w:rPr>
          <w:rtl/>
        </w:rPr>
        <w:t xml:space="preserve"> </w:t>
      </w:r>
      <w:r w:rsidRPr="005E7E86">
        <w:rPr>
          <w:rFonts w:hint="eastAsia"/>
          <w:rtl/>
        </w:rPr>
        <w:t>מר</w:t>
      </w:r>
      <w:r w:rsidRPr="005E7E86">
        <w:rPr>
          <w:rtl/>
        </w:rPr>
        <w:t xml:space="preserve"> </w:t>
      </w:r>
      <w:r w:rsidRPr="005E7E86">
        <w:rPr>
          <w:rFonts w:hint="eastAsia"/>
          <w:rtl/>
        </w:rPr>
        <w:t>נתניהו</w:t>
      </w:r>
      <w:r w:rsidRPr="005E7E86">
        <w:rPr>
          <w:rtl/>
        </w:rPr>
        <w:t xml:space="preserve"> </w:t>
      </w:r>
      <w:r w:rsidRPr="005E7E86">
        <w:rPr>
          <w:rFonts w:hint="eastAsia"/>
          <w:rtl/>
        </w:rPr>
        <w:t>נסע</w:t>
      </w:r>
      <w:r w:rsidRPr="005E7E86">
        <w:rPr>
          <w:rtl/>
        </w:rPr>
        <w:t xml:space="preserve"> לחו"ל </w:t>
      </w:r>
      <w:r w:rsidRPr="005E7E86">
        <w:rPr>
          <w:rFonts w:hint="eastAsia"/>
          <w:rtl/>
        </w:rPr>
        <w:t>במימון</w:t>
      </w:r>
      <w:r w:rsidRPr="005E7E86">
        <w:rPr>
          <w:rtl/>
        </w:rPr>
        <w:t xml:space="preserve"> </w:t>
      </w:r>
      <w:r w:rsidRPr="005E7E86">
        <w:rPr>
          <w:rFonts w:hint="eastAsia"/>
          <w:rtl/>
        </w:rPr>
        <w:t>חיצוני</w:t>
      </w:r>
      <w:r w:rsidRPr="005E7E86">
        <w:rPr>
          <w:rtl/>
        </w:rPr>
        <w:t xml:space="preserve"> </w:t>
      </w:r>
      <w:r w:rsidRPr="005E7E86">
        <w:rPr>
          <w:rFonts w:hint="eastAsia"/>
          <w:rtl/>
        </w:rPr>
        <w:t>בלי</w:t>
      </w:r>
      <w:r w:rsidRPr="005E7E86">
        <w:rPr>
          <w:rtl/>
        </w:rPr>
        <w:t xml:space="preserve"> </w:t>
      </w:r>
      <w:r w:rsidRPr="005E7E86">
        <w:rPr>
          <w:rFonts w:hint="cs"/>
          <w:rtl/>
        </w:rPr>
        <w:t>לדווח על כך ל</w:t>
      </w:r>
      <w:r w:rsidRPr="005E7E86">
        <w:rPr>
          <w:rFonts w:hint="eastAsia"/>
          <w:rtl/>
        </w:rPr>
        <w:t>וועדת</w:t>
      </w:r>
      <w:r w:rsidRPr="005E7E86">
        <w:rPr>
          <w:rtl/>
        </w:rPr>
        <w:t xml:space="preserve"> </w:t>
      </w:r>
      <w:r w:rsidRPr="005E7E86">
        <w:rPr>
          <w:rFonts w:hint="eastAsia"/>
          <w:rtl/>
        </w:rPr>
        <w:t>המתנות</w:t>
      </w:r>
      <w:r w:rsidRPr="005E7E86">
        <w:rPr>
          <w:rFonts w:hint="cs"/>
          <w:rtl/>
        </w:rPr>
        <w:t xml:space="preserve"> כדי שתקבע אם אין</w:t>
      </w:r>
      <w:r w:rsidRPr="005E7E86">
        <w:rPr>
          <w:rtl/>
        </w:rPr>
        <w:t xml:space="preserve"> </w:t>
      </w:r>
      <w:r w:rsidRPr="005E7E86">
        <w:rPr>
          <w:rFonts w:hint="eastAsia"/>
          <w:rtl/>
        </w:rPr>
        <w:t>ב</w:t>
      </w:r>
      <w:r w:rsidRPr="005E7E86">
        <w:rPr>
          <w:rFonts w:hint="cs"/>
          <w:rtl/>
        </w:rPr>
        <w:t xml:space="preserve">קבלת </w:t>
      </w:r>
      <w:r w:rsidRPr="005E7E86">
        <w:rPr>
          <w:rFonts w:hint="eastAsia"/>
          <w:rtl/>
        </w:rPr>
        <w:t>מימון</w:t>
      </w:r>
      <w:r w:rsidRPr="005E7E86">
        <w:rPr>
          <w:rtl/>
        </w:rPr>
        <w:t xml:space="preserve"> </w:t>
      </w:r>
      <w:r w:rsidRPr="005E7E86">
        <w:rPr>
          <w:rFonts w:hint="eastAsia"/>
          <w:rtl/>
        </w:rPr>
        <w:t>זה</w:t>
      </w:r>
      <w:r w:rsidRPr="005E7E86">
        <w:rPr>
          <w:rtl/>
        </w:rPr>
        <w:t xml:space="preserve"> </w:t>
      </w:r>
      <w:r w:rsidRPr="005E7E86">
        <w:rPr>
          <w:rFonts w:hint="eastAsia"/>
          <w:rtl/>
        </w:rPr>
        <w:t>משום</w:t>
      </w:r>
      <w:r w:rsidRPr="005E7E86">
        <w:rPr>
          <w:rtl/>
        </w:rPr>
        <w:t xml:space="preserve"> </w:t>
      </w:r>
      <w:r w:rsidRPr="005E7E86">
        <w:rPr>
          <w:rFonts w:hint="eastAsia"/>
          <w:rtl/>
        </w:rPr>
        <w:t>קבלת</w:t>
      </w:r>
      <w:r w:rsidRPr="005E7E86">
        <w:rPr>
          <w:rtl/>
        </w:rPr>
        <w:t xml:space="preserve"> </w:t>
      </w:r>
      <w:r w:rsidRPr="005E7E86">
        <w:rPr>
          <w:rFonts w:hint="eastAsia"/>
          <w:rtl/>
        </w:rPr>
        <w:t>טובת</w:t>
      </w:r>
      <w:r w:rsidRPr="005E7E86">
        <w:rPr>
          <w:rtl/>
        </w:rPr>
        <w:t xml:space="preserve"> </w:t>
      </w:r>
      <w:r w:rsidRPr="005E7E86">
        <w:rPr>
          <w:rFonts w:hint="eastAsia"/>
          <w:rtl/>
        </w:rPr>
        <w:t>הנאה</w:t>
      </w:r>
      <w:r w:rsidRPr="005E7E86">
        <w:rPr>
          <w:rFonts w:hint="cs"/>
          <w:rtl/>
        </w:rPr>
        <w:t xml:space="preserve"> אסורה.</w:t>
      </w:r>
      <w:r w:rsidRPr="005E7E86">
        <w:rPr>
          <w:rtl/>
        </w:rPr>
        <w:t xml:space="preserve"> </w:t>
      </w:r>
      <w:r w:rsidRPr="005E7E86">
        <w:rPr>
          <w:rFonts w:hint="eastAsia"/>
          <w:rtl/>
        </w:rPr>
        <w:t>יצוין</w:t>
      </w:r>
      <w:r w:rsidRPr="005E7E86">
        <w:rPr>
          <w:rtl/>
        </w:rPr>
        <w:t xml:space="preserve"> </w:t>
      </w:r>
      <w:r w:rsidRPr="005E7E86">
        <w:rPr>
          <w:rFonts w:hint="eastAsia"/>
          <w:rtl/>
        </w:rPr>
        <w:t>כי</w:t>
      </w:r>
      <w:r w:rsidRPr="005E7E86">
        <w:rPr>
          <w:rtl/>
        </w:rPr>
        <w:t xml:space="preserve"> </w:t>
      </w:r>
      <w:r w:rsidRPr="005E7E86">
        <w:rPr>
          <w:rFonts w:hint="eastAsia"/>
          <w:rtl/>
        </w:rPr>
        <w:t>כך</w:t>
      </w:r>
      <w:r w:rsidRPr="005E7E86">
        <w:rPr>
          <w:rtl/>
        </w:rPr>
        <w:t xml:space="preserve"> </w:t>
      </w:r>
      <w:r w:rsidRPr="005E7E86">
        <w:rPr>
          <w:rFonts w:hint="eastAsia"/>
          <w:rtl/>
        </w:rPr>
        <w:t>נהגו</w:t>
      </w:r>
      <w:r w:rsidRPr="005E7E86">
        <w:rPr>
          <w:rtl/>
        </w:rPr>
        <w:t xml:space="preserve"> גם שרים אחרים </w:t>
      </w:r>
      <w:r w:rsidRPr="005E7E86">
        <w:rPr>
          <w:rFonts w:hint="eastAsia"/>
          <w:rtl/>
        </w:rPr>
        <w:t>ב</w:t>
      </w:r>
      <w:r w:rsidRPr="005E7E86">
        <w:rPr>
          <w:rtl/>
        </w:rPr>
        <w:t>אותה תקופה</w:t>
      </w:r>
      <w:r w:rsidRPr="005E7E86">
        <w:rPr>
          <w:rFonts w:hint="cs"/>
          <w:rtl/>
        </w:rPr>
        <w:t xml:space="preserve">. </w:t>
      </w:r>
    </w:p>
    <w:p w:rsidR="009B5B44" w:rsidRPr="005E7E86" w:rsidP="00BF3C50">
      <w:pPr>
        <w:pStyle w:val="RESHET"/>
        <w:keepLines/>
        <w:rPr>
          <w:rtl/>
        </w:rPr>
      </w:pPr>
      <w:r w:rsidRPr="005E7E86">
        <w:rPr>
          <w:rFonts w:hint="cs"/>
          <w:rtl/>
        </w:rPr>
        <w:t xml:space="preserve">כמו כן, לפחות בחלק מנסיעות מר נתניהו לחו"ל בתפקיד, ובכלל זה בנסיעות אשר הטיסות בהן מומנו על ידי משרד האוצר, שהותו של מר נתניהו בחו"ל מומנה על ידי גורמים חיצוניים. </w:t>
      </w:r>
    </w:p>
    <w:p w:rsidR="009B5B44" w:rsidRPr="005E7E86" w:rsidP="00BF3C50">
      <w:pPr>
        <w:pStyle w:val="RESHET"/>
        <w:keepLines/>
        <w:rPr>
          <w:rtl/>
        </w:rPr>
      </w:pPr>
      <w:r w:rsidRPr="005E7E86">
        <w:rPr>
          <w:rFonts w:hint="cs"/>
          <w:rtl/>
        </w:rPr>
        <w:t xml:space="preserve">לדעת משרד מבקר המדינה אין זה ראוי שבנסיעות של שר לחו"ל בתפקיד שבהן הממשלה מממנת את הטיסה, גורם חיצוני יממן את שהות השר בחו"ל. </w:t>
      </w:r>
    </w:p>
    <w:p w:rsidR="009B5B44" w:rsidP="005E7E86">
      <w:pPr>
        <w:spacing w:after="120" w:line="230" w:lineRule="exact"/>
        <w:jc w:val="both"/>
        <w:rPr>
          <w:rFonts w:cs="FrankRuehl"/>
          <w:sz w:val="20"/>
          <w:szCs w:val="22"/>
          <w:lang w:eastAsia="he-IL"/>
        </w:rPr>
      </w:pPr>
    </w:p>
    <w:p w:rsidR="00BF3C50" w:rsidRPr="005E7E86" w:rsidP="005E7E86">
      <w:pPr>
        <w:spacing w:after="120" w:line="230" w:lineRule="exact"/>
        <w:jc w:val="both"/>
        <w:rPr>
          <w:rFonts w:cs="FrankRuehl"/>
          <w:sz w:val="20"/>
          <w:szCs w:val="22"/>
          <w:rtl/>
          <w:lang w:eastAsia="he-IL"/>
        </w:rPr>
      </w:pPr>
    </w:p>
    <w:p w:rsidR="009B5B44" w:rsidRPr="00375D9A" w:rsidP="00BF3C50">
      <w:pPr>
        <w:pStyle w:val="KOT4"/>
        <w:rPr>
          <w:rtl/>
        </w:rPr>
      </w:pPr>
      <w:r w:rsidRPr="00375D9A">
        <w:rPr>
          <w:rFonts w:hint="cs"/>
          <w:rtl/>
        </w:rPr>
        <w:t>מימון</w:t>
      </w:r>
      <w:r>
        <w:rPr>
          <w:rFonts w:hint="cs"/>
          <w:rtl/>
        </w:rPr>
        <w:t xml:space="preserve"> </w:t>
      </w:r>
      <w:r w:rsidRPr="00375D9A">
        <w:rPr>
          <w:rFonts w:hint="cs"/>
          <w:rtl/>
        </w:rPr>
        <w:t>חיצוני</w:t>
      </w:r>
      <w:r>
        <w:rPr>
          <w:rFonts w:hint="cs"/>
          <w:rtl/>
        </w:rPr>
        <w:t xml:space="preserve"> </w:t>
      </w:r>
      <w:r w:rsidRPr="00375D9A">
        <w:rPr>
          <w:rFonts w:hint="cs"/>
          <w:rtl/>
        </w:rPr>
        <w:t>שאינו</w:t>
      </w:r>
      <w:r>
        <w:rPr>
          <w:rFonts w:hint="cs"/>
          <w:rtl/>
        </w:rPr>
        <w:t xml:space="preserve"> </w:t>
      </w:r>
      <w:r w:rsidRPr="00375D9A">
        <w:rPr>
          <w:rFonts w:hint="cs"/>
          <w:rtl/>
        </w:rPr>
        <w:t>ממשלתי</w:t>
      </w:r>
      <w:r>
        <w:rPr>
          <w:rFonts w:hint="cs"/>
          <w:rtl/>
        </w:rPr>
        <w:t xml:space="preserve"> </w:t>
      </w:r>
      <w:r w:rsidRPr="00375D9A">
        <w:rPr>
          <w:rFonts w:hint="cs"/>
          <w:rtl/>
        </w:rPr>
        <w:t>לנסיעות</w:t>
      </w:r>
      <w:r>
        <w:rPr>
          <w:rFonts w:hint="cs"/>
          <w:rtl/>
        </w:rPr>
        <w:t xml:space="preserve"> בתפקיד של </w:t>
      </w:r>
      <w:r w:rsidRPr="00375D9A">
        <w:rPr>
          <w:rFonts w:hint="cs"/>
          <w:rtl/>
        </w:rPr>
        <w:t>מר</w:t>
      </w:r>
      <w:r>
        <w:rPr>
          <w:rFonts w:hint="cs"/>
          <w:rtl/>
        </w:rPr>
        <w:t xml:space="preserve"> </w:t>
      </w:r>
      <w:r w:rsidRPr="00375D9A">
        <w:rPr>
          <w:rFonts w:hint="cs"/>
          <w:rtl/>
        </w:rPr>
        <w:t>נתניהו</w:t>
      </w:r>
      <w:r>
        <w:rPr>
          <w:rFonts w:hint="cs"/>
          <w:rtl/>
        </w:rPr>
        <w:t xml:space="preserve"> </w:t>
      </w:r>
      <w:r w:rsidR="00BF3C50">
        <w:br/>
      </w:r>
      <w:r>
        <w:rPr>
          <w:rFonts w:hint="cs"/>
          <w:rtl/>
        </w:rPr>
        <w:t xml:space="preserve">ובני משפחתו </w:t>
      </w:r>
    </w:p>
    <w:p w:rsidR="009B5B44" w:rsidRPr="005E7E86" w:rsidP="005E7E86">
      <w:pPr>
        <w:spacing w:after="120" w:line="230" w:lineRule="exact"/>
        <w:jc w:val="both"/>
        <w:rPr>
          <w:rFonts w:cs="FrankRuehl"/>
          <w:sz w:val="20"/>
          <w:szCs w:val="22"/>
          <w:rtl/>
        </w:rPr>
      </w:pPr>
      <w:r w:rsidRPr="005E7E86">
        <w:rPr>
          <w:rFonts w:cs="FrankRuehl" w:hint="cs"/>
          <w:sz w:val="20"/>
          <w:szCs w:val="22"/>
          <w:rtl/>
        </w:rPr>
        <w:t>להלן פירוט נסיעות מר נתניהו בתפקיד ובני משפחה שנלוו אליו, במימון חיצוני שאינו ממשלתי, בתקופת היותו שר האוצר לפי הסדר הכרונולוגי של הנסיעות שנבדקו:</w:t>
      </w:r>
    </w:p>
    <w:p w:rsidR="009B5B44" w:rsidRPr="005E7E86" w:rsidP="00BF3C50">
      <w:pPr>
        <w:pStyle w:val="tab-name"/>
        <w:rPr>
          <w:rtl/>
        </w:rPr>
      </w:pPr>
      <w:r>
        <w:rPr>
          <w:b w:val="0"/>
          <w:bCs w:val="0"/>
          <w:sz w:val="24"/>
          <w:szCs w:val="24"/>
          <w:rtl/>
        </w:rPr>
        <w:br w:type="page"/>
      </w:r>
      <w:r w:rsidRPr="00BF3C50">
        <w:rPr>
          <w:rFonts w:hint="eastAsia"/>
          <w:b w:val="0"/>
          <w:bCs w:val="0"/>
          <w:sz w:val="24"/>
          <w:szCs w:val="24"/>
          <w:rtl/>
        </w:rPr>
        <w:t>לוח</w:t>
      </w:r>
      <w:r w:rsidRPr="00BF3C50">
        <w:rPr>
          <w:b w:val="0"/>
          <w:bCs w:val="0"/>
          <w:sz w:val="24"/>
          <w:szCs w:val="24"/>
          <w:rtl/>
        </w:rPr>
        <w:t xml:space="preserve"> 1</w:t>
      </w:r>
      <w:r>
        <w:rPr>
          <w:b w:val="0"/>
          <w:bCs w:val="0"/>
          <w:sz w:val="24"/>
          <w:szCs w:val="24"/>
        </w:rPr>
        <w:br/>
      </w:r>
      <w:r w:rsidRPr="005E7E86">
        <w:rPr>
          <w:rFonts w:hint="cs"/>
          <w:rtl/>
        </w:rPr>
        <w:t xml:space="preserve">מימון חיצוני שאינו ממשלתי לנסיעות בתפקיד של מר נתניהו ובני משפחתו </w:t>
      </w:r>
    </w:p>
    <w:tbl>
      <w:tblPr>
        <w:bidiVisual/>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CellMar>
          <w:left w:w="57" w:type="dxa"/>
          <w:right w:w="57" w:type="dxa"/>
        </w:tblCellMar>
        <w:tblLook w:val="04A0"/>
      </w:tblPr>
      <w:tblGrid>
        <w:gridCol w:w="785"/>
        <w:gridCol w:w="682"/>
        <w:gridCol w:w="980"/>
        <w:gridCol w:w="860"/>
        <w:gridCol w:w="965"/>
        <w:gridCol w:w="1277"/>
        <w:gridCol w:w="1142"/>
      </w:tblGrid>
      <w:tr w:rsidTr="00BF3C50">
        <w:tblPrEx>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CellMar>
            <w:left w:w="57" w:type="dxa"/>
            <w:right w:w="57" w:type="dxa"/>
          </w:tblCellMar>
          <w:tblLook w:val="04A0"/>
        </w:tblPrEx>
        <w:trPr>
          <w:cantSplit/>
          <w:tblHeader/>
          <w:jc w:val="center"/>
        </w:trPr>
        <w:tc>
          <w:tcPr>
            <w:tcW w:w="0" w:type="auto"/>
            <w:tcBorders>
              <w:top w:val="single" w:sz="12" w:space="0" w:color="auto"/>
              <w:bottom w:val="single" w:sz="12" w:space="0" w:color="auto"/>
            </w:tcBorders>
            <w:shd w:val="pct10" w:color="auto" w:fill="auto"/>
            <w:vAlign w:val="bottom"/>
          </w:tcPr>
          <w:p w:rsidR="009B5B44" w:rsidRPr="00BF3C50" w:rsidP="00BF3C50">
            <w:pPr>
              <w:spacing w:before="40" w:after="40" w:line="220" w:lineRule="exact"/>
              <w:jc w:val="center"/>
              <w:rPr>
                <w:rFonts w:eastAsia="Calibri" w:cs="FrankRuehl"/>
                <w:b/>
                <w:bCs/>
                <w:sz w:val="18"/>
                <w:szCs w:val="18"/>
                <w:rtl/>
                <w:lang w:eastAsia="he-IL"/>
              </w:rPr>
            </w:pPr>
            <w:r w:rsidRPr="00BF3C50">
              <w:rPr>
                <w:rFonts w:eastAsia="Calibri" w:cs="FrankRuehl" w:hint="cs"/>
                <w:b/>
                <w:bCs/>
                <w:sz w:val="18"/>
                <w:szCs w:val="18"/>
                <w:rtl/>
                <w:lang w:eastAsia="he-IL"/>
              </w:rPr>
              <w:t>יעד הטיסה</w:t>
            </w:r>
          </w:p>
        </w:tc>
        <w:tc>
          <w:tcPr>
            <w:tcW w:w="0" w:type="auto"/>
            <w:tcBorders>
              <w:top w:val="single" w:sz="12" w:space="0" w:color="auto"/>
              <w:bottom w:val="single" w:sz="12" w:space="0" w:color="auto"/>
            </w:tcBorders>
            <w:shd w:val="pct10" w:color="auto" w:fill="auto"/>
            <w:vAlign w:val="bottom"/>
          </w:tcPr>
          <w:p w:rsidR="009B5B44" w:rsidRPr="00BF3C50" w:rsidP="00BF3C50">
            <w:pPr>
              <w:spacing w:before="40" w:after="40" w:line="220" w:lineRule="exact"/>
              <w:jc w:val="center"/>
              <w:rPr>
                <w:rFonts w:eastAsia="Calibri" w:cs="FrankRuehl"/>
                <w:b/>
                <w:bCs/>
                <w:sz w:val="18"/>
                <w:szCs w:val="18"/>
                <w:rtl/>
                <w:lang w:eastAsia="he-IL"/>
              </w:rPr>
            </w:pPr>
            <w:r w:rsidRPr="00BF3C50">
              <w:rPr>
                <w:rFonts w:eastAsia="Calibri" w:cs="FrankRuehl" w:hint="cs"/>
                <w:b/>
                <w:bCs/>
                <w:sz w:val="18"/>
                <w:szCs w:val="18"/>
                <w:rtl/>
                <w:lang w:eastAsia="he-IL"/>
              </w:rPr>
              <w:t>תאריכי הנסיעה</w:t>
            </w:r>
          </w:p>
        </w:tc>
        <w:tc>
          <w:tcPr>
            <w:tcW w:w="0" w:type="auto"/>
            <w:tcBorders>
              <w:top w:val="single" w:sz="12" w:space="0" w:color="auto"/>
              <w:bottom w:val="single" w:sz="12" w:space="0" w:color="auto"/>
            </w:tcBorders>
            <w:shd w:val="pct10" w:color="auto" w:fill="auto"/>
            <w:vAlign w:val="bottom"/>
          </w:tcPr>
          <w:p w:rsidR="009B5B44" w:rsidRPr="00BF3C50" w:rsidP="00BF3C50">
            <w:pPr>
              <w:spacing w:before="40" w:after="40" w:line="220" w:lineRule="exact"/>
              <w:jc w:val="center"/>
              <w:rPr>
                <w:rFonts w:eastAsia="Calibri" w:cs="FrankRuehl"/>
                <w:b/>
                <w:bCs/>
                <w:sz w:val="18"/>
                <w:szCs w:val="18"/>
                <w:rtl/>
                <w:lang w:eastAsia="he-IL"/>
              </w:rPr>
            </w:pPr>
            <w:r w:rsidRPr="00BF3C50">
              <w:rPr>
                <w:rFonts w:eastAsia="Calibri" w:cs="FrankRuehl" w:hint="cs"/>
                <w:b/>
                <w:bCs/>
                <w:sz w:val="18"/>
                <w:szCs w:val="18"/>
                <w:rtl/>
                <w:lang w:eastAsia="he-IL"/>
              </w:rPr>
              <w:t>עלות הטיסה של מר נתניהו</w:t>
            </w:r>
          </w:p>
        </w:tc>
        <w:tc>
          <w:tcPr>
            <w:tcW w:w="0" w:type="auto"/>
            <w:tcBorders>
              <w:top w:val="single" w:sz="12" w:space="0" w:color="auto"/>
              <w:bottom w:val="single" w:sz="12" w:space="0" w:color="auto"/>
            </w:tcBorders>
            <w:shd w:val="pct10" w:color="auto" w:fill="auto"/>
            <w:vAlign w:val="bottom"/>
          </w:tcPr>
          <w:p w:rsidR="009B5B44" w:rsidRPr="00BF3C50" w:rsidP="00BF3C50">
            <w:pPr>
              <w:spacing w:before="40" w:after="40" w:line="220" w:lineRule="exact"/>
              <w:jc w:val="center"/>
              <w:rPr>
                <w:rFonts w:eastAsia="Calibri" w:cs="FrankRuehl"/>
                <w:b/>
                <w:bCs/>
                <w:sz w:val="18"/>
                <w:szCs w:val="18"/>
                <w:rtl/>
                <w:lang w:eastAsia="he-IL"/>
              </w:rPr>
            </w:pPr>
            <w:r w:rsidRPr="00BF3C50">
              <w:rPr>
                <w:rFonts w:eastAsia="Calibri" w:cs="FrankRuehl" w:hint="cs"/>
                <w:b/>
                <w:bCs/>
                <w:sz w:val="18"/>
                <w:szCs w:val="18"/>
                <w:rtl/>
                <w:lang w:eastAsia="he-IL"/>
              </w:rPr>
              <w:t>המממן החיצוני של טיסת מר נתניהו</w:t>
            </w:r>
          </w:p>
        </w:tc>
        <w:tc>
          <w:tcPr>
            <w:tcW w:w="0" w:type="auto"/>
            <w:tcBorders>
              <w:top w:val="single" w:sz="12" w:space="0" w:color="auto"/>
              <w:bottom w:val="single" w:sz="12" w:space="0" w:color="auto"/>
            </w:tcBorders>
            <w:shd w:val="pct10" w:color="auto" w:fill="auto"/>
            <w:vAlign w:val="bottom"/>
          </w:tcPr>
          <w:p w:rsidR="009B5B44" w:rsidRPr="00BF3C50" w:rsidP="00BF3C50">
            <w:pPr>
              <w:spacing w:before="40" w:after="40" w:line="220" w:lineRule="exact"/>
              <w:jc w:val="center"/>
              <w:rPr>
                <w:rFonts w:eastAsia="Calibri" w:cs="FrankRuehl"/>
                <w:b/>
                <w:bCs/>
                <w:sz w:val="18"/>
                <w:szCs w:val="18"/>
                <w:rtl/>
                <w:lang w:eastAsia="he-IL"/>
              </w:rPr>
            </w:pPr>
            <w:r w:rsidRPr="00BF3C50">
              <w:rPr>
                <w:rFonts w:eastAsia="Calibri" w:cs="FrankRuehl" w:hint="cs"/>
                <w:b/>
                <w:bCs/>
                <w:sz w:val="18"/>
                <w:szCs w:val="18"/>
                <w:rtl/>
                <w:lang w:eastAsia="he-IL"/>
              </w:rPr>
              <w:t>המממן החיצוני של טיסת רעיית מר נתניהו</w:t>
            </w:r>
          </w:p>
        </w:tc>
        <w:tc>
          <w:tcPr>
            <w:tcW w:w="0" w:type="auto"/>
            <w:tcBorders>
              <w:top w:val="single" w:sz="12" w:space="0" w:color="auto"/>
              <w:bottom w:val="single" w:sz="12" w:space="0" w:color="auto"/>
            </w:tcBorders>
            <w:shd w:val="pct10" w:color="auto" w:fill="auto"/>
            <w:vAlign w:val="bottom"/>
          </w:tcPr>
          <w:p w:rsidR="009B5B44" w:rsidRPr="00BF3C50" w:rsidP="00BF3C50">
            <w:pPr>
              <w:spacing w:before="40" w:after="40" w:line="220" w:lineRule="exact"/>
              <w:jc w:val="center"/>
              <w:rPr>
                <w:rFonts w:eastAsia="Calibri" w:cs="FrankRuehl"/>
                <w:b/>
                <w:bCs/>
                <w:sz w:val="18"/>
                <w:szCs w:val="18"/>
                <w:rtl/>
                <w:lang w:eastAsia="he-IL"/>
              </w:rPr>
            </w:pPr>
            <w:r w:rsidRPr="00BF3C50">
              <w:rPr>
                <w:rFonts w:eastAsia="Calibri" w:cs="FrankRuehl" w:hint="cs"/>
                <w:b/>
                <w:bCs/>
                <w:sz w:val="18"/>
                <w:szCs w:val="18"/>
                <w:rtl/>
                <w:lang w:eastAsia="he-IL"/>
              </w:rPr>
              <w:t>המממן החיצוני של שהות בני הזוג נתניהו בחו"ל</w:t>
            </w:r>
            <w:r>
              <w:rPr>
                <w:rFonts w:eastAsia="Calibri" w:cs="FrankRuehl"/>
                <w:b/>
                <w:bCs/>
                <w:sz w:val="18"/>
                <w:szCs w:val="18"/>
                <w:vertAlign w:val="superscript"/>
                <w:rtl/>
                <w:lang w:eastAsia="he-IL"/>
              </w:rPr>
              <w:footnoteReference w:id="21"/>
            </w:r>
          </w:p>
        </w:tc>
        <w:tc>
          <w:tcPr>
            <w:tcW w:w="0" w:type="auto"/>
            <w:tcBorders>
              <w:top w:val="single" w:sz="12" w:space="0" w:color="auto"/>
              <w:bottom w:val="single" w:sz="12" w:space="0" w:color="auto"/>
            </w:tcBorders>
            <w:shd w:val="pct10" w:color="auto" w:fill="auto"/>
            <w:vAlign w:val="bottom"/>
          </w:tcPr>
          <w:p w:rsidR="009B5B44" w:rsidRPr="00BF3C50" w:rsidP="00BF3C50">
            <w:pPr>
              <w:spacing w:before="40" w:after="40" w:line="220" w:lineRule="exact"/>
              <w:jc w:val="center"/>
              <w:rPr>
                <w:rFonts w:eastAsia="Calibri" w:cs="FrankRuehl"/>
                <w:b/>
                <w:bCs/>
                <w:sz w:val="18"/>
                <w:szCs w:val="18"/>
                <w:rtl/>
                <w:lang w:eastAsia="he-IL"/>
              </w:rPr>
            </w:pPr>
            <w:r w:rsidRPr="00BF3C50">
              <w:rPr>
                <w:rFonts w:eastAsia="Calibri" w:cs="FrankRuehl" w:hint="cs"/>
                <w:b/>
                <w:bCs/>
                <w:sz w:val="18"/>
                <w:szCs w:val="18"/>
                <w:rtl/>
                <w:lang w:eastAsia="he-IL"/>
              </w:rPr>
              <w:t>המממן החיצוני של הוצאות ילדי מר נתניהו</w:t>
            </w:r>
            <w:r>
              <w:rPr>
                <w:rStyle w:val="FootnoteReference"/>
                <w:rFonts w:eastAsia="Calibri" w:cs="FrankRuehl"/>
                <w:b/>
                <w:bCs/>
                <w:sz w:val="18"/>
                <w:szCs w:val="18"/>
                <w:rtl/>
                <w:lang w:eastAsia="he-IL"/>
              </w:rPr>
              <w:footnoteReference w:id="22"/>
            </w:r>
            <w:r w:rsidRPr="00BF3C50">
              <w:rPr>
                <w:rFonts w:eastAsia="Calibri" w:cs="FrankRuehl" w:hint="cs"/>
                <w:b/>
                <w:bCs/>
                <w:sz w:val="18"/>
                <w:szCs w:val="18"/>
                <w:rtl/>
                <w:lang w:eastAsia="he-IL"/>
              </w:rPr>
              <w:t xml:space="preserve"> (טיסה או שהות בחו"ל לפי העניין)</w:t>
            </w:r>
          </w:p>
        </w:tc>
      </w:tr>
      <w:tr w:rsidTr="00BF3C50">
        <w:tblPrEx>
          <w:tblW w:w="6691" w:type="dxa"/>
          <w:jc w:val="center"/>
          <w:tblCellMar>
            <w:left w:w="57" w:type="dxa"/>
            <w:right w:w="57" w:type="dxa"/>
          </w:tblCellMar>
          <w:tblLook w:val="04A0"/>
        </w:tblPrEx>
        <w:trPr>
          <w:cantSplit/>
          <w:jc w:val="center"/>
        </w:trPr>
        <w:tc>
          <w:tcPr>
            <w:tcW w:w="0" w:type="auto"/>
            <w:tcBorders>
              <w:top w:val="single" w:sz="12"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ארצות הברית, אנגליה וצרפת</w:t>
            </w:r>
          </w:p>
        </w:tc>
        <w:tc>
          <w:tcPr>
            <w:tcW w:w="0" w:type="auto"/>
            <w:tcBorders>
              <w:top w:val="single" w:sz="12"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13.6.03 עד 23.6.03</w:t>
            </w:r>
          </w:p>
        </w:tc>
        <w:tc>
          <w:tcPr>
            <w:tcW w:w="0" w:type="auto"/>
            <w:tcBorders>
              <w:top w:val="single" w:sz="12"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6,992.34 דולר</w:t>
            </w:r>
          </w:p>
        </w:tc>
        <w:tc>
          <w:tcPr>
            <w:tcW w:w="0" w:type="auto"/>
            <w:tcBorders>
              <w:top w:val="single" w:sz="12"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p>
        </w:tc>
        <w:tc>
          <w:tcPr>
            <w:tcW w:w="0" w:type="auto"/>
            <w:tcBorders>
              <w:top w:val="single" w:sz="12"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lang w:eastAsia="he-IL"/>
              </w:rPr>
            </w:pPr>
            <w:r w:rsidRPr="00BF3C50">
              <w:rPr>
                <w:rFonts w:eastAsia="Calibri" w:cs="FrankRuehl" w:hint="cs"/>
                <w:sz w:val="18"/>
                <w:szCs w:val="18"/>
                <w:rtl/>
                <w:lang w:eastAsia="he-IL"/>
              </w:rPr>
              <w:t xml:space="preserve">איש עסקים א', בסכום של 4,795 דולר </w:t>
            </w:r>
          </w:p>
        </w:tc>
        <w:tc>
          <w:tcPr>
            <w:tcW w:w="0" w:type="auto"/>
            <w:tcBorders>
              <w:top w:val="single" w:sz="12"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p>
        </w:tc>
        <w:tc>
          <w:tcPr>
            <w:tcW w:w="0" w:type="auto"/>
            <w:tcBorders>
              <w:top w:val="single" w:sz="12"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p>
        </w:tc>
      </w:tr>
      <w:tr w:rsidTr="00BF3C50">
        <w:tblPrEx>
          <w:tblW w:w="6691" w:type="dxa"/>
          <w:jc w:val="center"/>
          <w:tblCellMar>
            <w:left w:w="57" w:type="dxa"/>
            <w:right w:w="57" w:type="dxa"/>
          </w:tblCellMar>
          <w:tblLook w:val="04A0"/>
        </w:tblPrEx>
        <w:trPr>
          <w:cantSplit/>
          <w:jc w:val="center"/>
        </w:trPr>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אנגליה</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15.1.04 עד 19.1.04</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7,469.90 דולר (העלות היא עבור כרטיסי טיסה למר נתניהו, לרעייתו ולמלווה)</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הבונדס</w:t>
            </w:r>
            <w:r>
              <w:rPr>
                <w:rFonts w:eastAsia="Calibri" w:cs="FrankRuehl"/>
                <w:sz w:val="18"/>
                <w:szCs w:val="18"/>
                <w:vertAlign w:val="superscript"/>
                <w:rtl/>
                <w:lang w:eastAsia="he-IL"/>
              </w:rPr>
              <w:footnoteReference w:id="23"/>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הבונדס</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p>
        </w:tc>
      </w:tr>
      <w:tr w:rsidTr="00BF3C50">
        <w:tblPrEx>
          <w:tblW w:w="6691" w:type="dxa"/>
          <w:jc w:val="center"/>
          <w:tblCellMar>
            <w:left w:w="57" w:type="dxa"/>
            <w:right w:w="57" w:type="dxa"/>
          </w:tblCellMar>
          <w:tblLook w:val="04A0"/>
        </w:tblPrEx>
        <w:trPr>
          <w:cantSplit/>
          <w:jc w:val="center"/>
        </w:trPr>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ארצות הברית</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23.1.04 עד 27.1.04</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sz w:val="18"/>
                <w:szCs w:val="18"/>
                <w:rtl/>
                <w:lang w:eastAsia="he-IL"/>
              </w:rPr>
              <w:t>7,489</w:t>
            </w:r>
            <w:r w:rsidRPr="00BF3C50">
              <w:rPr>
                <w:rFonts w:eastAsia="Calibri" w:cs="FrankRuehl" w:hint="cs"/>
                <w:sz w:val="18"/>
                <w:szCs w:val="18"/>
                <w:rtl/>
                <w:lang w:eastAsia="he-IL"/>
              </w:rPr>
              <w:t xml:space="preserve"> דולר</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הבונדס</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ארגון א'</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p>
        </w:tc>
      </w:tr>
      <w:tr w:rsidTr="00BF3C50">
        <w:tblPrEx>
          <w:tblW w:w="6691" w:type="dxa"/>
          <w:jc w:val="center"/>
          <w:tblCellMar>
            <w:left w:w="57" w:type="dxa"/>
            <w:right w:w="57" w:type="dxa"/>
          </w:tblCellMar>
          <w:tblLook w:val="04A0"/>
        </w:tblPrEx>
        <w:trPr>
          <w:cantSplit/>
          <w:jc w:val="center"/>
        </w:trPr>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 xml:space="preserve">איטליה </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26.3.04 עד 29.3.04</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1,060.59 דולר</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p>
        </w:tc>
        <w:tc>
          <w:tcPr>
            <w:tcW w:w="0" w:type="auto"/>
            <w:vMerge w:val="restart"/>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הטיסה מאיטליה (מילאנו) להולנד מומנה על ידי ארגון זר א'</w:t>
            </w:r>
            <w:r w:rsidRPr="00BF3C50">
              <w:rPr>
                <w:rFonts w:eastAsia="Calibri" w:cs="FrankRuehl"/>
                <w:sz w:val="18"/>
                <w:szCs w:val="18"/>
                <w:vertAlign w:val="superscript"/>
                <w:rtl/>
                <w:lang w:eastAsia="he-IL"/>
              </w:rPr>
              <w:t xml:space="preserve"> </w:t>
            </w:r>
            <w:r>
              <w:rPr>
                <w:rFonts w:eastAsia="Calibri" w:cs="FrankRuehl"/>
                <w:sz w:val="18"/>
                <w:szCs w:val="18"/>
                <w:vertAlign w:val="superscript"/>
                <w:rtl/>
                <w:lang w:eastAsia="he-IL"/>
              </w:rPr>
              <w:footnoteReference w:id="24"/>
            </w:r>
            <w:r w:rsidRPr="00BF3C50">
              <w:rPr>
                <w:rFonts w:eastAsia="Calibri" w:cs="FrankRuehl" w:hint="cs"/>
                <w:sz w:val="18"/>
                <w:szCs w:val="18"/>
                <w:rtl/>
                <w:lang w:eastAsia="he-IL"/>
              </w:rPr>
              <w:t xml:space="preserve"> בסכום של 733.5 דולר </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p>
        </w:tc>
      </w:tr>
      <w:tr w:rsidTr="00BF3C50">
        <w:tblPrEx>
          <w:tblW w:w="6691" w:type="dxa"/>
          <w:jc w:val="center"/>
          <w:tblCellMar>
            <w:left w:w="57" w:type="dxa"/>
            <w:right w:w="57" w:type="dxa"/>
          </w:tblCellMar>
          <w:tblLook w:val="04A0"/>
        </w:tblPrEx>
        <w:trPr>
          <w:cantSplit/>
          <w:jc w:val="center"/>
        </w:trPr>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הולנד</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29.3.04 עד 1.4.04</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3,165.32 דולר</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p>
        </w:tc>
        <w:tc>
          <w:tcPr>
            <w:tcW w:w="0" w:type="auto"/>
            <w:vMerge/>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p>
        </w:tc>
      </w:tr>
      <w:tr w:rsidTr="00BF3C50">
        <w:tblPrEx>
          <w:tblW w:w="6691" w:type="dxa"/>
          <w:jc w:val="center"/>
          <w:tblCellMar>
            <w:left w:w="57" w:type="dxa"/>
            <w:right w:w="57" w:type="dxa"/>
          </w:tblCellMar>
          <w:tblLook w:val="04A0"/>
        </w:tblPrEx>
        <w:trPr>
          <w:cantSplit/>
          <w:jc w:val="center"/>
        </w:trPr>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ארצות הברית</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17.6.04 עד 24.6.04</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11,860.9 דולר</w:t>
            </w:r>
            <w:r w:rsidR="00BF3C50">
              <w:rPr>
                <w:rFonts w:eastAsia="Calibri" w:cs="FrankRuehl"/>
                <w:sz w:val="18"/>
                <w:szCs w:val="18"/>
                <w:lang w:eastAsia="he-IL"/>
              </w:rPr>
              <w:br/>
            </w:r>
            <w:r w:rsidRPr="00BF3C50">
              <w:rPr>
                <w:rFonts w:eastAsia="Calibri" w:cs="FrankRuehl" w:hint="cs"/>
                <w:sz w:val="18"/>
                <w:szCs w:val="18"/>
                <w:rtl/>
                <w:lang w:eastAsia="he-IL"/>
              </w:rPr>
              <w:t>(מחצית מהעלות של 23,721.8 דולר עבור בני הזוג נתניהו)</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lang w:eastAsia="he-IL"/>
              </w:rPr>
            </w:pPr>
            <w:r w:rsidRPr="00BF3C50">
              <w:rPr>
                <w:rFonts w:eastAsia="Calibri" w:cs="FrankRuehl" w:hint="cs"/>
                <w:sz w:val="18"/>
                <w:szCs w:val="18"/>
                <w:rtl/>
                <w:lang w:eastAsia="he-IL"/>
              </w:rPr>
              <w:t>ארגון זר ב'</w:t>
            </w:r>
            <w:r>
              <w:rPr>
                <w:rFonts w:eastAsia="Calibri" w:cs="FrankRuehl"/>
                <w:sz w:val="18"/>
                <w:szCs w:val="18"/>
                <w:vertAlign w:val="superscript"/>
                <w:rtl/>
                <w:lang w:eastAsia="he-IL"/>
              </w:rPr>
              <w:footnoteReference w:id="25"/>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ארגון זר ב'</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lang w:eastAsia="he-IL"/>
              </w:rPr>
            </w:pP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lang w:eastAsia="he-IL"/>
              </w:rPr>
            </w:pPr>
          </w:p>
        </w:tc>
      </w:tr>
      <w:tr w:rsidTr="00BF3C50">
        <w:tblPrEx>
          <w:tblW w:w="6691" w:type="dxa"/>
          <w:jc w:val="center"/>
          <w:tblCellMar>
            <w:left w:w="57" w:type="dxa"/>
            <w:right w:w="57" w:type="dxa"/>
          </w:tblCellMar>
          <w:tblLook w:val="04A0"/>
        </w:tblPrEx>
        <w:trPr>
          <w:cantSplit/>
          <w:jc w:val="center"/>
        </w:trPr>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ארצות הברית (עד 5.10.04), הריביירה הצרפתית</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1.10.04 עד 10.10.04</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13,747.35 דולר.</w:t>
            </w:r>
          </w:p>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 xml:space="preserve">על פי מסמכי הבונדס, סכום זה שימש למימון הוצאות מר נתניהו, מנהלת לשכתו ומאבטח. </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הבונדס מימן את הטיסה מארצות הברית לריביירה הצרפתית ובחזרה לארץ.</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לא ברור.</w:t>
            </w:r>
            <w:r w:rsidR="00BF3C50">
              <w:rPr>
                <w:rFonts w:eastAsia="Calibri" w:cs="FrankRuehl"/>
                <w:sz w:val="18"/>
                <w:szCs w:val="18"/>
                <w:lang w:eastAsia="he-IL"/>
              </w:rPr>
              <w:br/>
            </w:r>
            <w:r w:rsidRPr="00BF3C50">
              <w:rPr>
                <w:rFonts w:eastAsia="Calibri" w:cs="FrankRuehl" w:hint="cs"/>
                <w:sz w:val="18"/>
                <w:szCs w:val="18"/>
                <w:rtl/>
                <w:lang w:eastAsia="he-IL"/>
              </w:rPr>
              <w:t>עלות הטיסה: 11,018 דולר.</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 xml:space="preserve">הבונדס מימן את השהות בארצות הברית בסכום של כ-4,270 דולר. עלות השהות בריביירה הצרפתית: כ-7,627 אירו. מסכום זה שילם מר נתניהו 3,494 אירו, והבונדס שילם 4,133 אירו. </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p>
        </w:tc>
      </w:tr>
      <w:tr w:rsidTr="00BF3C50">
        <w:tblPrEx>
          <w:tblW w:w="6691" w:type="dxa"/>
          <w:jc w:val="center"/>
          <w:tblCellMar>
            <w:left w:w="57" w:type="dxa"/>
            <w:right w:w="57" w:type="dxa"/>
          </w:tblCellMar>
          <w:tblLook w:val="04A0"/>
        </w:tblPrEx>
        <w:trPr>
          <w:cantSplit/>
          <w:jc w:val="center"/>
        </w:trPr>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ארצות הברית,</w:t>
            </w:r>
            <w:r w:rsidR="00BF3C50">
              <w:rPr>
                <w:rFonts w:eastAsia="Calibri" w:cs="FrankRuehl"/>
                <w:sz w:val="18"/>
                <w:szCs w:val="18"/>
                <w:lang w:eastAsia="he-IL"/>
              </w:rPr>
              <w:br/>
            </w:r>
            <w:r w:rsidRPr="00BF3C50">
              <w:rPr>
                <w:rFonts w:eastAsia="Calibri" w:cs="FrankRuehl" w:hint="cs"/>
                <w:sz w:val="18"/>
                <w:szCs w:val="18"/>
                <w:rtl/>
                <w:lang w:eastAsia="he-IL"/>
              </w:rPr>
              <w:t>אנגליה</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21.1.05 עד 30.1.05</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6,417.67 דולר</w:t>
            </w:r>
            <w:r w:rsidR="00BF3C50">
              <w:rPr>
                <w:rFonts w:eastAsia="Calibri" w:cs="FrankRuehl"/>
                <w:sz w:val="18"/>
                <w:szCs w:val="18"/>
                <w:lang w:eastAsia="he-IL"/>
              </w:rPr>
              <w:br/>
            </w:r>
            <w:r w:rsidRPr="00BF3C50">
              <w:rPr>
                <w:rFonts w:eastAsia="Calibri" w:cs="FrankRuehl" w:hint="cs"/>
                <w:sz w:val="18"/>
                <w:szCs w:val="18"/>
                <w:rtl/>
                <w:lang w:eastAsia="he-IL"/>
              </w:rPr>
              <w:t>(מחצית מעלות של 12,835.34 דולר עבור בני הזוג נתניהו)</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הבונדס</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הבונדס</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השהות של בני הזוג נתניהו ובנם בבית המלון בלונדון בסכום של 8,568 לירות שטרלינג מומנה על ידי איש עסקים ב'.</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הבונדס ואיש עסקים ב' מימנו את שהות בנו של מר נתניהו בלונדון.</w:t>
            </w:r>
          </w:p>
        </w:tc>
      </w:tr>
      <w:tr w:rsidTr="00BF3C50">
        <w:tblPrEx>
          <w:tblW w:w="6691" w:type="dxa"/>
          <w:jc w:val="center"/>
          <w:tblCellMar>
            <w:left w:w="57" w:type="dxa"/>
            <w:right w:w="57" w:type="dxa"/>
          </w:tblCellMar>
          <w:tblLook w:val="04A0"/>
        </w:tblPrEx>
        <w:trPr>
          <w:cantSplit/>
          <w:jc w:val="center"/>
        </w:trPr>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בלגיה</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4.3.05 עד 7.3.05</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1,373.5 דולר</w:t>
            </w:r>
            <w:r w:rsidR="00BF3C50">
              <w:rPr>
                <w:rFonts w:eastAsia="Calibri" w:cs="FrankRuehl"/>
                <w:sz w:val="18"/>
                <w:szCs w:val="18"/>
                <w:lang w:eastAsia="he-IL"/>
              </w:rPr>
              <w:br/>
            </w:r>
            <w:r w:rsidRPr="00BF3C50">
              <w:rPr>
                <w:rFonts w:eastAsia="Calibri" w:cs="FrankRuehl" w:hint="cs"/>
                <w:sz w:val="18"/>
                <w:szCs w:val="18"/>
                <w:rtl/>
                <w:lang w:eastAsia="he-IL"/>
              </w:rPr>
              <w:t>(מחצית מהעלות של 2,747 דולר עבור בני הזוג נתניהו)</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מוסד חינוכי בבלגיה</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מוסד חינוכי בבלגיה</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p>
        </w:tc>
      </w:tr>
      <w:tr w:rsidTr="00BF3C50">
        <w:tblPrEx>
          <w:tblW w:w="6691" w:type="dxa"/>
          <w:jc w:val="center"/>
          <w:tblCellMar>
            <w:left w:w="57" w:type="dxa"/>
            <w:right w:w="57" w:type="dxa"/>
          </w:tblCellMar>
          <w:tblLook w:val="04A0"/>
        </w:tblPrEx>
        <w:trPr>
          <w:cantSplit/>
          <w:jc w:val="center"/>
        </w:trPr>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ארצות הברית</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23.6.05 עד 28.6.05</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11,920.71 דולר</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ארגון ב'</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הבונדס, בסכום של 11,920.71 דולר.</w:t>
            </w: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p>
        </w:tc>
        <w:tc>
          <w:tcPr>
            <w:tcW w:w="0" w:type="auto"/>
            <w:tcBorders>
              <w:top w:val="single" w:sz="4" w:space="0" w:color="auto"/>
              <w:bottom w:val="single" w:sz="4"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p>
        </w:tc>
      </w:tr>
      <w:tr w:rsidTr="00BF3C50">
        <w:tblPrEx>
          <w:tblW w:w="6691" w:type="dxa"/>
          <w:jc w:val="center"/>
          <w:tblCellMar>
            <w:left w:w="57" w:type="dxa"/>
            <w:right w:w="57" w:type="dxa"/>
          </w:tblCellMar>
          <w:tblLook w:val="04A0"/>
        </w:tblPrEx>
        <w:trPr>
          <w:cantSplit/>
          <w:jc w:val="center"/>
        </w:trPr>
        <w:tc>
          <w:tcPr>
            <w:tcW w:w="0" w:type="auto"/>
            <w:tcBorders>
              <w:top w:val="single" w:sz="4" w:space="0" w:color="auto"/>
              <w:bottom w:val="single" w:sz="12"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אנגליה</w:t>
            </w:r>
          </w:p>
        </w:tc>
        <w:tc>
          <w:tcPr>
            <w:tcW w:w="0" w:type="auto"/>
            <w:tcBorders>
              <w:top w:val="single" w:sz="4" w:space="0" w:color="auto"/>
              <w:bottom w:val="single" w:sz="12"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6.7.05 עד 10.7.05</w:t>
            </w:r>
          </w:p>
        </w:tc>
        <w:tc>
          <w:tcPr>
            <w:tcW w:w="0" w:type="auto"/>
            <w:tcBorders>
              <w:top w:val="single" w:sz="4" w:space="0" w:color="auto"/>
              <w:bottom w:val="single" w:sz="12"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1,375 דולר</w:t>
            </w:r>
          </w:p>
        </w:tc>
        <w:tc>
          <w:tcPr>
            <w:tcW w:w="0" w:type="auto"/>
            <w:tcBorders>
              <w:top w:val="single" w:sz="4" w:space="0" w:color="auto"/>
              <w:bottom w:val="single" w:sz="12"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p>
        </w:tc>
        <w:tc>
          <w:tcPr>
            <w:tcW w:w="0" w:type="auto"/>
            <w:tcBorders>
              <w:top w:val="single" w:sz="4" w:space="0" w:color="auto"/>
              <w:bottom w:val="single" w:sz="12"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הבונדס, בסכום של 1,615.45 דולר.</w:t>
            </w:r>
          </w:p>
        </w:tc>
        <w:tc>
          <w:tcPr>
            <w:tcW w:w="0" w:type="auto"/>
            <w:tcBorders>
              <w:top w:val="single" w:sz="4" w:space="0" w:color="auto"/>
              <w:bottom w:val="single" w:sz="12"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עלות שהותם של מר נתניהו ורעייתו בסכום כולל של 5,343.76 ליש"ט מומנה על ידי הבונדס.</w:t>
            </w:r>
          </w:p>
        </w:tc>
        <w:tc>
          <w:tcPr>
            <w:tcW w:w="0" w:type="auto"/>
            <w:tcBorders>
              <w:top w:val="single" w:sz="4" w:space="0" w:color="auto"/>
              <w:bottom w:val="single" w:sz="12" w:space="0" w:color="auto"/>
            </w:tcBorders>
            <w:shd w:val="clear" w:color="auto" w:fill="auto"/>
          </w:tcPr>
          <w:p w:rsidR="009B5B44" w:rsidRPr="00BF3C50" w:rsidP="00BF3C50">
            <w:pPr>
              <w:spacing w:before="40" w:after="40" w:line="220" w:lineRule="exact"/>
              <w:rPr>
                <w:rFonts w:eastAsia="Calibri" w:cs="FrankRuehl"/>
                <w:sz w:val="18"/>
                <w:szCs w:val="18"/>
                <w:rtl/>
                <w:lang w:eastAsia="he-IL"/>
              </w:rPr>
            </w:pPr>
            <w:r w:rsidRPr="00BF3C50">
              <w:rPr>
                <w:rFonts w:eastAsia="Calibri" w:cs="FrankRuehl" w:hint="cs"/>
                <w:sz w:val="18"/>
                <w:szCs w:val="18"/>
                <w:rtl/>
                <w:lang w:eastAsia="he-IL"/>
              </w:rPr>
              <w:t>עלות טיסת בניו של מר נתניהו, בסכום של 2,880 דולר, שולמה על ידי מר יחיאל לייטר, ראש לשכת שר האוצר דאז, באמצעות כרטיס האשראי האישי שלו.</w:t>
            </w:r>
          </w:p>
        </w:tc>
      </w:tr>
    </w:tbl>
    <w:p w:rsidR="009B5B44" w:rsidRPr="005E7E86" w:rsidP="005E7E86">
      <w:pPr>
        <w:spacing w:after="120" w:line="230" w:lineRule="exact"/>
        <w:jc w:val="both"/>
        <w:rPr>
          <w:rFonts w:cs="FrankRuehl"/>
          <w:sz w:val="20"/>
          <w:szCs w:val="22"/>
          <w:rtl/>
        </w:rPr>
      </w:pPr>
    </w:p>
    <w:p w:rsidR="009B5B44" w:rsidRPr="00742B46" w:rsidP="00BF3C50">
      <w:pPr>
        <w:pStyle w:val="KOT4"/>
        <w:rPr>
          <w:rtl/>
        </w:rPr>
      </w:pPr>
      <w:r w:rsidRPr="00742B46">
        <w:rPr>
          <w:rFonts w:hint="cs"/>
          <w:rtl/>
        </w:rPr>
        <w:t>אי</w:t>
      </w:r>
      <w:r>
        <w:rPr>
          <w:rFonts w:hint="cs"/>
          <w:rtl/>
        </w:rPr>
        <w:t>-</w:t>
      </w:r>
      <w:r w:rsidRPr="00742B46">
        <w:rPr>
          <w:rFonts w:hint="cs"/>
          <w:rtl/>
        </w:rPr>
        <w:t>בחינת</w:t>
      </w:r>
      <w:r>
        <w:rPr>
          <w:rFonts w:hint="cs"/>
          <w:rtl/>
        </w:rPr>
        <w:t xml:space="preserve"> ה</w:t>
      </w:r>
      <w:r w:rsidRPr="00742B46">
        <w:rPr>
          <w:rFonts w:hint="cs"/>
          <w:rtl/>
        </w:rPr>
        <w:t>זיקות</w:t>
      </w:r>
      <w:r>
        <w:rPr>
          <w:rFonts w:hint="cs"/>
          <w:rtl/>
        </w:rPr>
        <w:t xml:space="preserve"> של </w:t>
      </w:r>
      <w:r w:rsidRPr="00742B46">
        <w:rPr>
          <w:rFonts w:hint="cs"/>
          <w:rtl/>
        </w:rPr>
        <w:t>מר</w:t>
      </w:r>
      <w:r>
        <w:rPr>
          <w:rFonts w:hint="cs"/>
          <w:rtl/>
        </w:rPr>
        <w:t xml:space="preserve"> </w:t>
      </w:r>
      <w:r w:rsidRPr="00742B46">
        <w:rPr>
          <w:rFonts w:hint="cs"/>
          <w:rtl/>
        </w:rPr>
        <w:t>נתניהו</w:t>
      </w:r>
      <w:r>
        <w:rPr>
          <w:rFonts w:hint="cs"/>
          <w:rtl/>
        </w:rPr>
        <w:t xml:space="preserve"> </w:t>
      </w:r>
      <w:r w:rsidRPr="00742B46">
        <w:rPr>
          <w:rFonts w:hint="cs"/>
          <w:rtl/>
        </w:rPr>
        <w:t>לגורמים</w:t>
      </w:r>
      <w:r>
        <w:rPr>
          <w:rFonts w:hint="cs"/>
          <w:rtl/>
        </w:rPr>
        <w:t xml:space="preserve"> </w:t>
      </w:r>
      <w:r w:rsidRPr="00742B46">
        <w:rPr>
          <w:rFonts w:hint="cs"/>
          <w:rtl/>
        </w:rPr>
        <w:t>המממנים</w:t>
      </w:r>
    </w:p>
    <w:p w:rsidR="009B5B44" w:rsidRPr="005E7E86" w:rsidP="00BF3C50">
      <w:pPr>
        <w:spacing w:after="240" w:line="230" w:lineRule="exact"/>
        <w:jc w:val="both"/>
        <w:rPr>
          <w:rFonts w:cs="FrankRuehl"/>
          <w:sz w:val="20"/>
          <w:szCs w:val="22"/>
          <w:rtl/>
          <w:lang w:eastAsia="he-IL"/>
        </w:rPr>
      </w:pPr>
      <w:r w:rsidRPr="005E7E86">
        <w:rPr>
          <w:rFonts w:cs="FrankRuehl" w:hint="cs"/>
          <w:sz w:val="20"/>
          <w:szCs w:val="22"/>
          <w:rtl/>
          <w:lang w:eastAsia="he-IL"/>
        </w:rPr>
        <w:t xml:space="preserve">ככלל, בדיקת ניגוד העניינים בשאלת נסיעותיו של שר במימון חיצוני נחלקת לשני רבדים: החשש מניגוד עניינים כתוצאה של פעילויות משותפות וזיקות כלכליות בין המשרד לבין הגורם המממן והחשש מניגוד עניינים כתוצאה מקשרים וזיקות אישיים בין השר לבין הגורם המממן. </w:t>
      </w:r>
    </w:p>
    <w:p w:rsidR="009B5B44" w:rsidRPr="005E7E86" w:rsidP="00BF3C50">
      <w:pPr>
        <w:pStyle w:val="RESHET"/>
        <w:keepLines/>
        <w:rPr>
          <w:rtl/>
        </w:rPr>
      </w:pPr>
      <w:r w:rsidRPr="005E7E86">
        <w:rPr>
          <w:rFonts w:hint="cs"/>
          <w:rtl/>
        </w:rPr>
        <w:t>מהביקורת עלה כי אף שרוב נסיעות מר נתניהו בתקופת היותו שר האוצר מומנו בידי גורמים חיצוניים, הוא לא פנה לגבי אף אחת מהן לוועדה למתן היתרים כדי לבקש היתר לסטייה מהכללים למניעת ניגוד עניינים ולוודא שאין במימון החיצוני כדי לעורר חשש לניגוד עניינים.</w:t>
      </w:r>
    </w:p>
    <w:p w:rsidR="009B5B44" w:rsidRPr="005E7E86" w:rsidP="00BF3C50">
      <w:pPr>
        <w:spacing w:before="180" w:after="120" w:line="230" w:lineRule="exact"/>
        <w:jc w:val="both"/>
        <w:rPr>
          <w:rFonts w:cs="FrankRuehl"/>
          <w:b/>
          <w:bCs/>
          <w:sz w:val="20"/>
          <w:szCs w:val="22"/>
          <w:rtl/>
          <w:lang w:eastAsia="he-IL"/>
        </w:rPr>
      </w:pPr>
      <w:r w:rsidRPr="005E7E86">
        <w:rPr>
          <w:rFonts w:cs="FrankRuehl" w:hint="eastAsia"/>
          <w:sz w:val="20"/>
          <w:szCs w:val="22"/>
          <w:rtl/>
          <w:lang w:eastAsia="he-IL"/>
        </w:rPr>
        <w:t>יצוין</w:t>
      </w:r>
      <w:r w:rsidRPr="005E7E86">
        <w:rPr>
          <w:rFonts w:cs="FrankRuehl"/>
          <w:sz w:val="20"/>
          <w:szCs w:val="22"/>
          <w:rtl/>
          <w:lang w:eastAsia="he-IL"/>
        </w:rPr>
        <w:t xml:space="preserve"> </w:t>
      </w:r>
      <w:r w:rsidRPr="005E7E86">
        <w:rPr>
          <w:rFonts w:cs="FrankRuehl" w:hint="cs"/>
          <w:sz w:val="20"/>
          <w:szCs w:val="22"/>
          <w:rtl/>
          <w:lang w:eastAsia="he-IL"/>
        </w:rPr>
        <w:t xml:space="preserve">כי בתקופה הרלוונטית לביקורת זו נהגו כך מרבית השרים. </w:t>
      </w:r>
      <w:r w:rsidRPr="005E7E86">
        <w:rPr>
          <w:rFonts w:cs="FrankRuehl" w:hint="eastAsia"/>
          <w:sz w:val="20"/>
          <w:szCs w:val="22"/>
          <w:rtl/>
          <w:lang w:eastAsia="he-IL"/>
        </w:rPr>
        <w:t>בדוח</w:t>
      </w:r>
      <w:r w:rsidRPr="005E7E86">
        <w:rPr>
          <w:rFonts w:cs="FrankRuehl"/>
          <w:sz w:val="20"/>
          <w:szCs w:val="22"/>
          <w:rtl/>
          <w:lang w:eastAsia="he-IL"/>
        </w:rPr>
        <w:t xml:space="preserve"> </w:t>
      </w:r>
      <w:r w:rsidRPr="005E7E86">
        <w:rPr>
          <w:rFonts w:cs="FrankRuehl" w:hint="eastAsia"/>
          <w:sz w:val="20"/>
          <w:szCs w:val="22"/>
          <w:rtl/>
          <w:lang w:eastAsia="he-IL"/>
        </w:rPr>
        <w:t>נסיעות</w:t>
      </w:r>
      <w:r w:rsidRPr="005E7E86">
        <w:rPr>
          <w:rFonts w:cs="FrankRuehl"/>
          <w:sz w:val="20"/>
          <w:szCs w:val="22"/>
          <w:rtl/>
          <w:lang w:eastAsia="he-IL"/>
        </w:rPr>
        <w:t xml:space="preserve"> </w:t>
      </w:r>
      <w:r w:rsidRPr="005E7E86">
        <w:rPr>
          <w:rFonts w:cs="FrankRuehl" w:hint="eastAsia"/>
          <w:sz w:val="20"/>
          <w:szCs w:val="22"/>
          <w:rtl/>
          <w:lang w:eastAsia="he-IL"/>
        </w:rPr>
        <w:t>שרים</w:t>
      </w:r>
      <w:r w:rsidRPr="005E7E86">
        <w:rPr>
          <w:rFonts w:cs="FrankRuehl" w:hint="cs"/>
          <w:sz w:val="20"/>
          <w:szCs w:val="22"/>
          <w:rtl/>
          <w:lang w:eastAsia="he-IL"/>
        </w:rPr>
        <w:t xml:space="preserve"> נכתב, לגבי התקופה הרלוונטית לדוח זה, כי "</w:t>
      </w:r>
      <w:r w:rsidRPr="005E7E86">
        <w:rPr>
          <w:rFonts w:cs="FrankRuehl" w:hint="eastAsia"/>
          <w:sz w:val="20"/>
          <w:szCs w:val="22"/>
          <w:rtl/>
          <w:lang w:eastAsia="he-IL"/>
        </w:rPr>
        <w:t>נמצאו</w:t>
      </w:r>
      <w:r w:rsidRPr="005E7E86">
        <w:rPr>
          <w:rFonts w:cs="FrankRuehl"/>
          <w:sz w:val="20"/>
          <w:szCs w:val="22"/>
          <w:rtl/>
          <w:lang w:eastAsia="he-IL"/>
        </w:rPr>
        <w:t xml:space="preserve"> </w:t>
      </w:r>
      <w:r w:rsidRPr="005E7E86">
        <w:rPr>
          <w:rFonts w:cs="FrankRuehl" w:hint="eastAsia"/>
          <w:sz w:val="20"/>
          <w:szCs w:val="22"/>
          <w:rtl/>
          <w:lang w:eastAsia="he-IL"/>
        </w:rPr>
        <w:t>נסיעות</w:t>
      </w:r>
      <w:r w:rsidRPr="005E7E86">
        <w:rPr>
          <w:rFonts w:cs="FrankRuehl"/>
          <w:sz w:val="20"/>
          <w:szCs w:val="22"/>
          <w:rtl/>
          <w:lang w:eastAsia="he-IL"/>
        </w:rPr>
        <w:t xml:space="preserve"> </w:t>
      </w:r>
      <w:r w:rsidRPr="005E7E86">
        <w:rPr>
          <w:rFonts w:cs="FrankRuehl" w:hint="eastAsia"/>
          <w:sz w:val="20"/>
          <w:szCs w:val="22"/>
          <w:rtl/>
          <w:lang w:eastAsia="he-IL"/>
        </w:rPr>
        <w:t>שבעניינן</w:t>
      </w:r>
      <w:r w:rsidRPr="005E7E86">
        <w:rPr>
          <w:rFonts w:cs="FrankRuehl"/>
          <w:sz w:val="20"/>
          <w:szCs w:val="22"/>
          <w:rtl/>
          <w:lang w:eastAsia="he-IL"/>
        </w:rPr>
        <w:t xml:space="preserve"> </w:t>
      </w:r>
      <w:r w:rsidRPr="005E7E86">
        <w:rPr>
          <w:rFonts w:cs="FrankRuehl" w:hint="eastAsia"/>
          <w:sz w:val="20"/>
          <w:szCs w:val="22"/>
          <w:rtl/>
          <w:lang w:eastAsia="he-IL"/>
        </w:rPr>
        <w:t>היו</w:t>
      </w:r>
      <w:r w:rsidRPr="005E7E86">
        <w:rPr>
          <w:rFonts w:cs="FrankRuehl"/>
          <w:sz w:val="20"/>
          <w:szCs w:val="22"/>
          <w:rtl/>
          <w:lang w:eastAsia="he-IL"/>
        </w:rPr>
        <w:t xml:space="preserve"> </w:t>
      </w:r>
      <w:r w:rsidRPr="005E7E86">
        <w:rPr>
          <w:rFonts w:cs="FrankRuehl" w:hint="eastAsia"/>
          <w:sz w:val="20"/>
          <w:szCs w:val="22"/>
          <w:rtl/>
          <w:lang w:eastAsia="he-IL"/>
        </w:rPr>
        <w:t>השרים</w:t>
      </w:r>
      <w:r w:rsidRPr="005E7E86">
        <w:rPr>
          <w:rFonts w:cs="FrankRuehl"/>
          <w:sz w:val="20"/>
          <w:szCs w:val="22"/>
          <w:rtl/>
          <w:lang w:eastAsia="he-IL"/>
        </w:rPr>
        <w:t xml:space="preserve"> </w:t>
      </w:r>
      <w:r w:rsidRPr="005E7E86">
        <w:rPr>
          <w:rFonts w:cs="FrankRuehl" w:hint="eastAsia"/>
          <w:sz w:val="20"/>
          <w:szCs w:val="22"/>
          <w:rtl/>
          <w:lang w:eastAsia="he-IL"/>
        </w:rPr>
        <w:t>חייבים</w:t>
      </w:r>
      <w:r w:rsidRPr="005E7E86">
        <w:rPr>
          <w:rFonts w:cs="FrankRuehl"/>
          <w:sz w:val="20"/>
          <w:szCs w:val="22"/>
          <w:rtl/>
          <w:lang w:eastAsia="he-IL"/>
        </w:rPr>
        <w:t xml:space="preserve"> </w:t>
      </w:r>
      <w:r w:rsidRPr="005E7E86">
        <w:rPr>
          <w:rFonts w:cs="FrankRuehl" w:hint="eastAsia"/>
          <w:sz w:val="20"/>
          <w:szCs w:val="22"/>
          <w:rtl/>
          <w:lang w:eastAsia="he-IL"/>
        </w:rPr>
        <w:t>לכאורה</w:t>
      </w:r>
      <w:r w:rsidRPr="005E7E86">
        <w:rPr>
          <w:rFonts w:cs="FrankRuehl"/>
          <w:sz w:val="20"/>
          <w:szCs w:val="22"/>
          <w:rtl/>
          <w:lang w:eastAsia="he-IL"/>
        </w:rPr>
        <w:t xml:space="preserve"> </w:t>
      </w:r>
      <w:r w:rsidRPr="005E7E86">
        <w:rPr>
          <w:rFonts w:cs="FrankRuehl" w:hint="eastAsia"/>
          <w:sz w:val="20"/>
          <w:szCs w:val="22"/>
          <w:rtl/>
          <w:lang w:eastAsia="he-IL"/>
        </w:rPr>
        <w:t>לפנות</w:t>
      </w:r>
      <w:r w:rsidRPr="005E7E86">
        <w:rPr>
          <w:rFonts w:cs="FrankRuehl"/>
          <w:sz w:val="20"/>
          <w:szCs w:val="22"/>
          <w:rtl/>
          <w:lang w:eastAsia="he-IL"/>
        </w:rPr>
        <w:t xml:space="preserve"> </w:t>
      </w:r>
      <w:r w:rsidRPr="005E7E86">
        <w:rPr>
          <w:rFonts w:cs="FrankRuehl" w:hint="eastAsia"/>
          <w:sz w:val="20"/>
          <w:szCs w:val="22"/>
          <w:rtl/>
          <w:lang w:eastAsia="he-IL"/>
        </w:rPr>
        <w:t>לוועדה</w:t>
      </w:r>
      <w:r w:rsidRPr="005E7E86">
        <w:rPr>
          <w:rFonts w:cs="FrankRuehl"/>
          <w:sz w:val="20"/>
          <w:szCs w:val="22"/>
          <w:rtl/>
          <w:lang w:eastAsia="he-IL"/>
        </w:rPr>
        <w:t xml:space="preserve"> </w:t>
      </w:r>
      <w:r w:rsidRPr="005E7E86">
        <w:rPr>
          <w:rFonts w:cs="FrankRuehl" w:hint="eastAsia"/>
          <w:sz w:val="20"/>
          <w:szCs w:val="22"/>
          <w:rtl/>
          <w:lang w:eastAsia="he-IL"/>
        </w:rPr>
        <w:t>למתן</w:t>
      </w:r>
      <w:r w:rsidRPr="005E7E86">
        <w:rPr>
          <w:rFonts w:cs="FrankRuehl" w:hint="cs"/>
          <w:sz w:val="20"/>
          <w:szCs w:val="22"/>
          <w:rtl/>
          <w:lang w:eastAsia="he-IL"/>
        </w:rPr>
        <w:t xml:space="preserve"> </w:t>
      </w:r>
      <w:r w:rsidRPr="005E7E86">
        <w:rPr>
          <w:rFonts w:cs="FrankRuehl" w:hint="eastAsia"/>
          <w:sz w:val="20"/>
          <w:szCs w:val="22"/>
          <w:rtl/>
          <w:lang w:eastAsia="he-IL"/>
        </w:rPr>
        <w:t>היתרים</w:t>
      </w:r>
      <w:r w:rsidRPr="005E7E86">
        <w:rPr>
          <w:rFonts w:cs="FrankRuehl" w:hint="cs"/>
          <w:sz w:val="20"/>
          <w:szCs w:val="22"/>
          <w:rtl/>
          <w:lang w:eastAsia="he-IL"/>
        </w:rPr>
        <w:t>,</w:t>
      </w:r>
      <w:r w:rsidRPr="005E7E86">
        <w:rPr>
          <w:rFonts w:cs="FrankRuehl"/>
          <w:sz w:val="20"/>
          <w:szCs w:val="22"/>
          <w:rtl/>
          <w:lang w:eastAsia="he-IL"/>
        </w:rPr>
        <w:t xml:space="preserve"> </w:t>
      </w:r>
      <w:r w:rsidRPr="005E7E86">
        <w:rPr>
          <w:rFonts w:cs="FrankRuehl" w:hint="eastAsia"/>
          <w:sz w:val="20"/>
          <w:szCs w:val="22"/>
          <w:rtl/>
          <w:lang w:eastAsia="he-IL"/>
        </w:rPr>
        <w:t>למשל</w:t>
      </w:r>
      <w:r w:rsidRPr="005E7E86">
        <w:rPr>
          <w:rFonts w:cs="FrankRuehl"/>
          <w:sz w:val="20"/>
          <w:szCs w:val="22"/>
          <w:rtl/>
          <w:lang w:eastAsia="he-IL"/>
        </w:rPr>
        <w:t xml:space="preserve"> </w:t>
      </w:r>
      <w:r w:rsidRPr="005E7E86">
        <w:rPr>
          <w:rFonts w:cs="FrankRuehl" w:hint="eastAsia"/>
          <w:sz w:val="20"/>
          <w:szCs w:val="22"/>
          <w:rtl/>
          <w:lang w:eastAsia="he-IL"/>
        </w:rPr>
        <w:t>עקב</w:t>
      </w:r>
      <w:r w:rsidRPr="005E7E86">
        <w:rPr>
          <w:rFonts w:cs="FrankRuehl"/>
          <w:sz w:val="20"/>
          <w:szCs w:val="22"/>
          <w:rtl/>
          <w:lang w:eastAsia="he-IL"/>
        </w:rPr>
        <w:t xml:space="preserve"> </w:t>
      </w:r>
      <w:r w:rsidRPr="005E7E86">
        <w:rPr>
          <w:rFonts w:cs="FrankRuehl" w:hint="eastAsia"/>
          <w:sz w:val="20"/>
          <w:szCs w:val="22"/>
          <w:rtl/>
          <w:lang w:eastAsia="he-IL"/>
        </w:rPr>
        <w:t>חשש</w:t>
      </w:r>
      <w:r w:rsidRPr="005E7E86">
        <w:rPr>
          <w:rFonts w:cs="FrankRuehl"/>
          <w:sz w:val="20"/>
          <w:szCs w:val="22"/>
          <w:rtl/>
          <w:lang w:eastAsia="he-IL"/>
        </w:rPr>
        <w:t xml:space="preserve"> </w:t>
      </w:r>
      <w:r w:rsidRPr="005E7E86">
        <w:rPr>
          <w:rFonts w:cs="FrankRuehl" w:hint="eastAsia"/>
          <w:sz w:val="20"/>
          <w:szCs w:val="22"/>
          <w:rtl/>
          <w:lang w:eastAsia="he-IL"/>
        </w:rPr>
        <w:t>לניגוד</w:t>
      </w:r>
      <w:r w:rsidRPr="005E7E86">
        <w:rPr>
          <w:rFonts w:cs="FrankRuehl"/>
          <w:sz w:val="20"/>
          <w:szCs w:val="22"/>
          <w:rtl/>
          <w:lang w:eastAsia="he-IL"/>
        </w:rPr>
        <w:t xml:space="preserve"> </w:t>
      </w:r>
      <w:r w:rsidRPr="005E7E86">
        <w:rPr>
          <w:rFonts w:cs="FrankRuehl" w:hint="eastAsia"/>
          <w:sz w:val="20"/>
          <w:szCs w:val="22"/>
          <w:rtl/>
          <w:lang w:eastAsia="he-IL"/>
        </w:rPr>
        <w:t>עניינים</w:t>
      </w:r>
      <w:r w:rsidRPr="005E7E86">
        <w:rPr>
          <w:rFonts w:cs="FrankRuehl"/>
          <w:sz w:val="20"/>
          <w:szCs w:val="22"/>
          <w:rtl/>
          <w:lang w:eastAsia="he-IL"/>
        </w:rPr>
        <w:t xml:space="preserve"> </w:t>
      </w:r>
      <w:r w:rsidRPr="005E7E86">
        <w:rPr>
          <w:rFonts w:cs="FrankRuehl" w:hint="eastAsia"/>
          <w:sz w:val="20"/>
          <w:szCs w:val="22"/>
          <w:rtl/>
          <w:lang w:eastAsia="he-IL"/>
        </w:rPr>
        <w:t>בשל</w:t>
      </w:r>
      <w:r w:rsidRPr="005E7E86">
        <w:rPr>
          <w:rFonts w:cs="FrankRuehl"/>
          <w:sz w:val="20"/>
          <w:szCs w:val="22"/>
          <w:rtl/>
          <w:lang w:eastAsia="he-IL"/>
        </w:rPr>
        <w:t xml:space="preserve"> </w:t>
      </w:r>
      <w:r w:rsidRPr="005E7E86">
        <w:rPr>
          <w:rFonts w:cs="FrankRuehl" w:hint="eastAsia"/>
          <w:sz w:val="20"/>
          <w:szCs w:val="22"/>
          <w:rtl/>
          <w:lang w:eastAsia="he-IL"/>
        </w:rPr>
        <w:t>זיקה</w:t>
      </w:r>
      <w:r w:rsidRPr="005E7E86">
        <w:rPr>
          <w:rFonts w:cs="FrankRuehl"/>
          <w:sz w:val="20"/>
          <w:szCs w:val="22"/>
          <w:rtl/>
          <w:lang w:eastAsia="he-IL"/>
        </w:rPr>
        <w:t xml:space="preserve"> </w:t>
      </w:r>
      <w:r w:rsidRPr="005E7E86">
        <w:rPr>
          <w:rFonts w:cs="FrankRuehl" w:hint="eastAsia"/>
          <w:sz w:val="20"/>
          <w:szCs w:val="22"/>
          <w:rtl/>
          <w:lang w:eastAsia="he-IL"/>
        </w:rPr>
        <w:t>אישית</w:t>
      </w:r>
      <w:r w:rsidRPr="005E7E86">
        <w:rPr>
          <w:rFonts w:cs="FrankRuehl" w:hint="cs"/>
          <w:sz w:val="20"/>
          <w:szCs w:val="22"/>
          <w:rtl/>
          <w:lang w:eastAsia="he-IL"/>
        </w:rPr>
        <w:t>.</w:t>
      </w:r>
      <w:r w:rsidRPr="005E7E86">
        <w:rPr>
          <w:rFonts w:cs="FrankRuehl"/>
          <w:sz w:val="20"/>
          <w:szCs w:val="22"/>
          <w:rtl/>
          <w:lang w:eastAsia="he-IL"/>
        </w:rPr>
        <w:t xml:space="preserve"> </w:t>
      </w:r>
      <w:r w:rsidRPr="005E7E86">
        <w:rPr>
          <w:rFonts w:cs="FrankRuehl" w:hint="eastAsia"/>
          <w:sz w:val="20"/>
          <w:szCs w:val="22"/>
          <w:rtl/>
          <w:lang w:eastAsia="he-IL"/>
        </w:rPr>
        <w:t>למרות</w:t>
      </w:r>
      <w:r w:rsidRPr="005E7E86">
        <w:rPr>
          <w:rFonts w:cs="FrankRuehl"/>
          <w:sz w:val="20"/>
          <w:szCs w:val="22"/>
          <w:rtl/>
          <w:lang w:eastAsia="he-IL"/>
        </w:rPr>
        <w:t xml:space="preserve"> </w:t>
      </w:r>
      <w:r w:rsidRPr="005E7E86">
        <w:rPr>
          <w:rFonts w:cs="FrankRuehl" w:hint="eastAsia"/>
          <w:sz w:val="20"/>
          <w:szCs w:val="22"/>
          <w:rtl/>
          <w:lang w:eastAsia="he-IL"/>
        </w:rPr>
        <w:t>זאת</w:t>
      </w:r>
      <w:r w:rsidRPr="005E7E86">
        <w:rPr>
          <w:rFonts w:cs="FrankRuehl"/>
          <w:sz w:val="20"/>
          <w:szCs w:val="22"/>
          <w:rtl/>
          <w:lang w:eastAsia="he-IL"/>
        </w:rPr>
        <w:t xml:space="preserve"> </w:t>
      </w:r>
      <w:r w:rsidRPr="005E7E86">
        <w:rPr>
          <w:rFonts w:cs="FrankRuehl" w:hint="eastAsia"/>
          <w:sz w:val="20"/>
          <w:szCs w:val="22"/>
          <w:rtl/>
          <w:lang w:eastAsia="he-IL"/>
        </w:rPr>
        <w:t>רק</w:t>
      </w:r>
      <w:r w:rsidRPr="005E7E86">
        <w:rPr>
          <w:rFonts w:cs="FrankRuehl"/>
          <w:sz w:val="20"/>
          <w:szCs w:val="22"/>
          <w:rtl/>
          <w:lang w:eastAsia="he-IL"/>
        </w:rPr>
        <w:t xml:space="preserve"> </w:t>
      </w:r>
      <w:r w:rsidRPr="005E7E86">
        <w:rPr>
          <w:rFonts w:cs="FrankRuehl" w:hint="eastAsia"/>
          <w:sz w:val="20"/>
          <w:szCs w:val="22"/>
          <w:rtl/>
          <w:lang w:eastAsia="he-IL"/>
        </w:rPr>
        <w:t>שני</w:t>
      </w:r>
      <w:r w:rsidRPr="005E7E86">
        <w:rPr>
          <w:rFonts w:cs="FrankRuehl" w:hint="cs"/>
          <w:sz w:val="20"/>
          <w:szCs w:val="22"/>
          <w:rtl/>
          <w:lang w:eastAsia="he-IL"/>
        </w:rPr>
        <w:t xml:space="preserve"> </w:t>
      </w:r>
      <w:r w:rsidRPr="005E7E86">
        <w:rPr>
          <w:rFonts w:cs="FrankRuehl" w:hint="eastAsia"/>
          <w:sz w:val="20"/>
          <w:szCs w:val="22"/>
          <w:rtl/>
          <w:lang w:eastAsia="he-IL"/>
        </w:rPr>
        <w:t>שרים</w:t>
      </w:r>
      <w:r w:rsidRPr="005E7E86">
        <w:rPr>
          <w:rFonts w:cs="FrankRuehl"/>
          <w:sz w:val="20"/>
          <w:szCs w:val="22"/>
          <w:rtl/>
          <w:lang w:eastAsia="he-IL"/>
        </w:rPr>
        <w:t xml:space="preserve"> </w:t>
      </w:r>
      <w:r w:rsidRPr="005E7E86">
        <w:rPr>
          <w:rFonts w:cs="FrankRuehl" w:hint="eastAsia"/>
          <w:sz w:val="20"/>
          <w:szCs w:val="22"/>
          <w:rtl/>
          <w:lang w:eastAsia="he-IL"/>
        </w:rPr>
        <w:t>פנו</w:t>
      </w:r>
      <w:r w:rsidRPr="005E7E86">
        <w:rPr>
          <w:rFonts w:cs="FrankRuehl"/>
          <w:sz w:val="20"/>
          <w:szCs w:val="22"/>
          <w:rtl/>
          <w:lang w:eastAsia="he-IL"/>
        </w:rPr>
        <w:t xml:space="preserve"> </w:t>
      </w:r>
      <w:r w:rsidRPr="005E7E86">
        <w:rPr>
          <w:rFonts w:cs="FrankRuehl" w:hint="eastAsia"/>
          <w:sz w:val="20"/>
          <w:szCs w:val="22"/>
          <w:rtl/>
          <w:lang w:eastAsia="he-IL"/>
        </w:rPr>
        <w:t>בתקופה</w:t>
      </w:r>
      <w:r w:rsidRPr="005E7E86">
        <w:rPr>
          <w:rFonts w:cs="FrankRuehl"/>
          <w:sz w:val="20"/>
          <w:szCs w:val="22"/>
          <w:rtl/>
          <w:lang w:eastAsia="he-IL"/>
        </w:rPr>
        <w:t xml:space="preserve"> </w:t>
      </w:r>
      <w:r w:rsidRPr="005E7E86">
        <w:rPr>
          <w:rFonts w:cs="FrankRuehl" w:hint="eastAsia"/>
          <w:sz w:val="20"/>
          <w:szCs w:val="22"/>
          <w:rtl/>
          <w:lang w:eastAsia="he-IL"/>
        </w:rPr>
        <w:t>האמורה</w:t>
      </w:r>
      <w:r w:rsidRPr="005E7E86">
        <w:rPr>
          <w:rFonts w:cs="FrankRuehl"/>
          <w:sz w:val="20"/>
          <w:szCs w:val="22"/>
          <w:rtl/>
          <w:lang w:eastAsia="he-IL"/>
        </w:rPr>
        <w:t xml:space="preserve"> </w:t>
      </w:r>
      <w:r w:rsidRPr="005E7E86">
        <w:rPr>
          <w:rFonts w:cs="FrankRuehl" w:hint="eastAsia"/>
          <w:sz w:val="20"/>
          <w:szCs w:val="22"/>
          <w:rtl/>
          <w:lang w:eastAsia="he-IL"/>
        </w:rPr>
        <w:t>לוועדה</w:t>
      </w:r>
      <w:r w:rsidRPr="005E7E86">
        <w:rPr>
          <w:rFonts w:cs="FrankRuehl"/>
          <w:sz w:val="20"/>
          <w:szCs w:val="22"/>
          <w:rtl/>
          <w:lang w:eastAsia="he-IL"/>
        </w:rPr>
        <w:t xml:space="preserve"> </w:t>
      </w:r>
      <w:r w:rsidRPr="005E7E86">
        <w:rPr>
          <w:rFonts w:cs="FrankRuehl" w:hint="eastAsia"/>
          <w:sz w:val="20"/>
          <w:szCs w:val="22"/>
          <w:rtl/>
          <w:lang w:eastAsia="he-IL"/>
        </w:rPr>
        <w:t>למתן</w:t>
      </w:r>
      <w:r w:rsidRPr="005E7E86">
        <w:rPr>
          <w:rFonts w:cs="FrankRuehl"/>
          <w:sz w:val="20"/>
          <w:szCs w:val="22"/>
          <w:rtl/>
          <w:lang w:eastAsia="he-IL"/>
        </w:rPr>
        <w:t xml:space="preserve"> </w:t>
      </w:r>
      <w:r w:rsidRPr="005E7E86">
        <w:rPr>
          <w:rFonts w:cs="FrankRuehl" w:hint="eastAsia"/>
          <w:sz w:val="20"/>
          <w:szCs w:val="22"/>
          <w:rtl/>
          <w:lang w:eastAsia="he-IL"/>
        </w:rPr>
        <w:t>היתרים</w:t>
      </w:r>
      <w:r w:rsidRPr="005E7E86">
        <w:rPr>
          <w:rFonts w:cs="FrankRuehl"/>
          <w:sz w:val="20"/>
          <w:szCs w:val="22"/>
          <w:rtl/>
          <w:lang w:eastAsia="he-IL"/>
        </w:rPr>
        <w:t xml:space="preserve"> </w:t>
      </w:r>
      <w:r w:rsidRPr="005E7E86">
        <w:rPr>
          <w:rFonts w:cs="FrankRuehl" w:hint="eastAsia"/>
          <w:sz w:val="20"/>
          <w:szCs w:val="22"/>
          <w:rtl/>
          <w:lang w:eastAsia="he-IL"/>
        </w:rPr>
        <w:t>לבחינת</w:t>
      </w:r>
      <w:r w:rsidRPr="005E7E86">
        <w:rPr>
          <w:rFonts w:cs="FrankRuehl"/>
          <w:sz w:val="20"/>
          <w:szCs w:val="22"/>
          <w:rtl/>
          <w:lang w:eastAsia="he-IL"/>
        </w:rPr>
        <w:t xml:space="preserve"> </w:t>
      </w:r>
      <w:r w:rsidRPr="005E7E86">
        <w:rPr>
          <w:rFonts w:cs="FrankRuehl" w:hint="eastAsia"/>
          <w:sz w:val="20"/>
          <w:szCs w:val="22"/>
          <w:rtl/>
          <w:lang w:eastAsia="he-IL"/>
        </w:rPr>
        <w:t>שתי</w:t>
      </w:r>
      <w:r w:rsidRPr="005E7E86">
        <w:rPr>
          <w:rFonts w:cs="FrankRuehl"/>
          <w:sz w:val="20"/>
          <w:szCs w:val="22"/>
          <w:rtl/>
          <w:lang w:eastAsia="he-IL"/>
        </w:rPr>
        <w:t xml:space="preserve"> </w:t>
      </w:r>
      <w:r w:rsidRPr="005E7E86">
        <w:rPr>
          <w:rFonts w:cs="FrankRuehl" w:hint="eastAsia"/>
          <w:sz w:val="20"/>
          <w:szCs w:val="22"/>
          <w:rtl/>
          <w:lang w:eastAsia="he-IL"/>
        </w:rPr>
        <w:t>נסיעות</w:t>
      </w:r>
      <w:r w:rsidRPr="005E7E86">
        <w:rPr>
          <w:rFonts w:cs="FrankRuehl"/>
          <w:sz w:val="20"/>
          <w:szCs w:val="22"/>
          <w:rtl/>
          <w:lang w:eastAsia="he-IL"/>
        </w:rPr>
        <w:t xml:space="preserve"> </w:t>
      </w:r>
      <w:r w:rsidRPr="005E7E86">
        <w:rPr>
          <w:rFonts w:cs="FrankRuehl" w:hint="eastAsia"/>
          <w:sz w:val="20"/>
          <w:szCs w:val="22"/>
          <w:rtl/>
          <w:lang w:eastAsia="he-IL"/>
        </w:rPr>
        <w:t>לחו</w:t>
      </w:r>
      <w:r w:rsidRPr="005E7E86">
        <w:rPr>
          <w:rFonts w:cs="FrankRuehl" w:hint="cs"/>
          <w:sz w:val="20"/>
          <w:szCs w:val="22"/>
          <w:rtl/>
          <w:lang w:eastAsia="he-IL"/>
        </w:rPr>
        <w:t>"</w:t>
      </w:r>
      <w:r w:rsidRPr="005E7E86">
        <w:rPr>
          <w:rFonts w:cs="FrankRuehl" w:hint="eastAsia"/>
          <w:sz w:val="20"/>
          <w:szCs w:val="22"/>
          <w:rtl/>
          <w:lang w:eastAsia="he-IL"/>
        </w:rPr>
        <w:t>ל</w:t>
      </w:r>
      <w:r w:rsidRPr="005E7E86">
        <w:rPr>
          <w:rFonts w:cs="FrankRuehl" w:hint="cs"/>
          <w:sz w:val="20"/>
          <w:szCs w:val="22"/>
          <w:rtl/>
          <w:lang w:eastAsia="he-IL"/>
        </w:rPr>
        <w:t xml:space="preserve">". </w:t>
      </w:r>
    </w:p>
    <w:p w:rsidR="009B5B44" w:rsidRPr="005E7E86" w:rsidP="005E7E86">
      <w:pPr>
        <w:spacing w:after="120" w:line="230" w:lineRule="exact"/>
        <w:jc w:val="both"/>
        <w:rPr>
          <w:rFonts w:cs="FrankRuehl"/>
          <w:sz w:val="20"/>
          <w:szCs w:val="22"/>
          <w:rtl/>
          <w:lang w:eastAsia="he-IL"/>
        </w:rPr>
      </w:pPr>
    </w:p>
    <w:p w:rsidR="009B5B44" w:rsidRPr="00742B46" w:rsidP="00BF3C50">
      <w:pPr>
        <w:pStyle w:val="KOT5"/>
        <w:rPr>
          <w:rtl/>
        </w:rPr>
      </w:pPr>
      <w:r w:rsidRPr="00742B46">
        <w:rPr>
          <w:rFonts w:hint="cs"/>
          <w:rtl/>
        </w:rPr>
        <w:t>נסיעות</w:t>
      </w:r>
      <w:r>
        <w:rPr>
          <w:rFonts w:hint="cs"/>
          <w:rtl/>
        </w:rPr>
        <w:t xml:space="preserve"> </w:t>
      </w:r>
      <w:r w:rsidRPr="00742B46">
        <w:rPr>
          <w:rFonts w:hint="cs"/>
          <w:rtl/>
        </w:rPr>
        <w:t>במימון</w:t>
      </w:r>
      <w:r>
        <w:rPr>
          <w:rFonts w:hint="cs"/>
          <w:rtl/>
        </w:rPr>
        <w:t xml:space="preserve"> </w:t>
      </w:r>
      <w:r w:rsidRPr="00742B46">
        <w:rPr>
          <w:rFonts w:hint="cs"/>
          <w:rtl/>
        </w:rPr>
        <w:t>גורמים</w:t>
      </w:r>
      <w:r>
        <w:rPr>
          <w:rFonts w:hint="cs"/>
          <w:rtl/>
        </w:rPr>
        <w:t xml:space="preserve"> </w:t>
      </w:r>
      <w:r w:rsidRPr="00742B46">
        <w:rPr>
          <w:rFonts w:hint="cs"/>
          <w:rtl/>
        </w:rPr>
        <w:t>פרטיים</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lang w:eastAsia="he-IL"/>
        </w:rPr>
        <w:t xml:space="preserve">כאמור, את נסיעות מר נתניהו מימנו לעתים גופים עסקיים ואנשי עסקים. כך לדוגמה ב-21.1.05 נסע מר נתניהו לארצות הברית ולאנגליה. עלות שהותם של בני הזוג נתניהו ובנם במלון בלונדון בסכום של 8,568 לירות שטרלינג שולמה על ידי איש עסקים ב', הפעיל בקרב ארגונים יהודיים בלונדון. לאיש עסקים ב' מיזמים בארץ בתחומי הנדל"ן והתיירות ועוד; ב-4.3.05 נסעו מר נתניהו ורעייתו לבלגיה במימון מוסד חינוכי בבלגיה בסך 2,747 דולר; ב-23.6.05 נסע מר נתניהו לארצות הברית במימון ארגון ב' בסך 11,920 דולר. ארגון ב' הוא מלכ"ר השואף להנחיל בישראל את עקרונות השוק החופשי. </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lang w:eastAsia="he-IL"/>
        </w:rPr>
        <w:t>בתגובה למשרד מבקר המדינה מנובמבר 2015 ציינו באי כוחו של מר נתניהו, לגבי מימון נסיעות בתפקיד על ידי גופים עסקיים ואנשי עסקים, כי</w:t>
      </w:r>
      <w:r w:rsidRPr="005E7E86">
        <w:rPr>
          <w:rFonts w:cs="FrankRuehl"/>
          <w:sz w:val="20"/>
          <w:szCs w:val="22"/>
          <w:rtl/>
          <w:lang w:eastAsia="he-IL"/>
        </w:rPr>
        <w:t xml:space="preserve"> </w:t>
      </w:r>
      <w:r w:rsidRPr="005E7E86">
        <w:rPr>
          <w:rFonts w:cs="FrankRuehl" w:hint="cs"/>
          <w:sz w:val="20"/>
          <w:szCs w:val="22"/>
          <w:rtl/>
          <w:lang w:eastAsia="he-IL"/>
        </w:rPr>
        <w:t>"[מר נתניהו]</w:t>
      </w:r>
      <w:r w:rsidRPr="005E7E86">
        <w:rPr>
          <w:rFonts w:cs="FrankRuehl"/>
          <w:sz w:val="20"/>
          <w:szCs w:val="22"/>
          <w:rtl/>
          <w:lang w:eastAsia="he-IL"/>
        </w:rPr>
        <w:t xml:space="preserve"> </w:t>
      </w:r>
      <w:r w:rsidRPr="005E7E86">
        <w:rPr>
          <w:rFonts w:cs="FrankRuehl" w:hint="cs"/>
          <w:sz w:val="20"/>
          <w:szCs w:val="22"/>
          <w:rtl/>
          <w:lang w:eastAsia="he-IL"/>
        </w:rPr>
        <w:t>פעל</w:t>
      </w:r>
      <w:r w:rsidRPr="005E7E86">
        <w:rPr>
          <w:rFonts w:cs="FrankRuehl"/>
          <w:sz w:val="20"/>
          <w:szCs w:val="22"/>
          <w:rtl/>
          <w:lang w:eastAsia="he-IL"/>
        </w:rPr>
        <w:t xml:space="preserve"> </w:t>
      </w:r>
      <w:r w:rsidRPr="005E7E86">
        <w:rPr>
          <w:rFonts w:cs="FrankRuehl" w:hint="cs"/>
          <w:sz w:val="20"/>
          <w:szCs w:val="22"/>
          <w:rtl/>
          <w:lang w:eastAsia="he-IL"/>
        </w:rPr>
        <w:t>עבור [ארגון בריטי]</w:t>
      </w:r>
      <w:r w:rsidRPr="005E7E86">
        <w:rPr>
          <w:rFonts w:cs="FrankRuehl"/>
          <w:sz w:val="20"/>
          <w:szCs w:val="22"/>
          <w:rtl/>
          <w:lang w:eastAsia="he-IL"/>
        </w:rPr>
        <w:t xml:space="preserve"> </w:t>
      </w:r>
      <w:r w:rsidRPr="005E7E86">
        <w:rPr>
          <w:rFonts w:cs="FrankRuehl" w:hint="cs"/>
          <w:sz w:val="20"/>
          <w:szCs w:val="22"/>
          <w:rtl/>
          <w:lang w:eastAsia="he-IL"/>
        </w:rPr>
        <w:t>ולא</w:t>
      </w:r>
      <w:r w:rsidRPr="005E7E86">
        <w:rPr>
          <w:rFonts w:cs="FrankRuehl"/>
          <w:sz w:val="20"/>
          <w:szCs w:val="22"/>
          <w:rtl/>
          <w:lang w:eastAsia="he-IL"/>
        </w:rPr>
        <w:t xml:space="preserve"> </w:t>
      </w:r>
      <w:r w:rsidRPr="005E7E86">
        <w:rPr>
          <w:rFonts w:cs="FrankRuehl" w:hint="cs"/>
          <w:sz w:val="20"/>
          <w:szCs w:val="22"/>
          <w:rtl/>
          <w:lang w:eastAsia="he-IL"/>
        </w:rPr>
        <w:t>עבור</w:t>
      </w:r>
      <w:r w:rsidRPr="005E7E86">
        <w:rPr>
          <w:rFonts w:cs="FrankRuehl"/>
          <w:sz w:val="20"/>
          <w:szCs w:val="22"/>
          <w:rtl/>
          <w:lang w:eastAsia="he-IL"/>
        </w:rPr>
        <w:t xml:space="preserve"> </w:t>
      </w:r>
      <w:r w:rsidRPr="005E7E86">
        <w:rPr>
          <w:rFonts w:cs="FrankRuehl" w:hint="cs"/>
          <w:sz w:val="20"/>
          <w:szCs w:val="22"/>
          <w:rtl/>
          <w:lang w:eastAsia="he-IL"/>
        </w:rPr>
        <w:t>איש עסקים באופן</w:t>
      </w:r>
      <w:r w:rsidRPr="005E7E86">
        <w:rPr>
          <w:rFonts w:cs="FrankRuehl"/>
          <w:sz w:val="20"/>
          <w:szCs w:val="22"/>
          <w:rtl/>
          <w:lang w:eastAsia="he-IL"/>
        </w:rPr>
        <w:t xml:space="preserve"> </w:t>
      </w:r>
      <w:r w:rsidRPr="005E7E86">
        <w:rPr>
          <w:rFonts w:cs="FrankRuehl" w:hint="cs"/>
          <w:sz w:val="20"/>
          <w:szCs w:val="22"/>
          <w:rtl/>
          <w:lang w:eastAsia="he-IL"/>
        </w:rPr>
        <w:t>אישי.</w:t>
      </w:r>
      <w:r w:rsidRPr="005E7E86">
        <w:rPr>
          <w:rFonts w:cs="FrankRuehl"/>
          <w:sz w:val="20"/>
          <w:szCs w:val="22"/>
          <w:rtl/>
          <w:lang w:eastAsia="he-IL"/>
        </w:rPr>
        <w:t xml:space="preserve"> </w:t>
      </w:r>
      <w:r w:rsidRPr="005E7E86">
        <w:rPr>
          <w:rFonts w:cs="FrankRuehl" w:hint="cs"/>
          <w:sz w:val="20"/>
          <w:szCs w:val="22"/>
          <w:rtl/>
          <w:lang w:eastAsia="he-IL"/>
        </w:rPr>
        <w:t>מדובר</w:t>
      </w:r>
      <w:r w:rsidRPr="005E7E86">
        <w:rPr>
          <w:rFonts w:cs="FrankRuehl"/>
          <w:sz w:val="20"/>
          <w:szCs w:val="22"/>
          <w:rtl/>
          <w:lang w:eastAsia="he-IL"/>
        </w:rPr>
        <w:t xml:space="preserve"> </w:t>
      </w:r>
      <w:r w:rsidRPr="005E7E86">
        <w:rPr>
          <w:rFonts w:cs="FrankRuehl" w:hint="cs"/>
          <w:sz w:val="20"/>
          <w:szCs w:val="22"/>
          <w:rtl/>
          <w:lang w:eastAsia="he-IL"/>
        </w:rPr>
        <w:t>בארגון</w:t>
      </w:r>
      <w:r w:rsidRPr="005E7E86">
        <w:rPr>
          <w:rFonts w:cs="FrankRuehl"/>
          <w:sz w:val="20"/>
          <w:szCs w:val="22"/>
          <w:rtl/>
          <w:lang w:eastAsia="he-IL"/>
        </w:rPr>
        <w:t xml:space="preserve"> </w:t>
      </w:r>
      <w:r w:rsidRPr="005E7E86">
        <w:rPr>
          <w:rFonts w:cs="FrankRuehl" w:hint="cs"/>
          <w:sz w:val="20"/>
          <w:szCs w:val="22"/>
          <w:rtl/>
          <w:lang w:eastAsia="he-IL"/>
        </w:rPr>
        <w:t>המיועד</w:t>
      </w:r>
      <w:r w:rsidRPr="005E7E86">
        <w:rPr>
          <w:rFonts w:cs="FrankRuehl"/>
          <w:sz w:val="20"/>
          <w:szCs w:val="22"/>
          <w:rtl/>
          <w:lang w:eastAsia="he-IL"/>
        </w:rPr>
        <w:t xml:space="preserve"> </w:t>
      </w:r>
      <w:r w:rsidRPr="005E7E86">
        <w:rPr>
          <w:rFonts w:cs="FrankRuehl" w:hint="cs"/>
          <w:sz w:val="20"/>
          <w:szCs w:val="22"/>
          <w:rtl/>
          <w:lang w:eastAsia="he-IL"/>
        </w:rPr>
        <w:t>לקדם</w:t>
      </w:r>
      <w:r w:rsidRPr="005E7E86">
        <w:rPr>
          <w:rFonts w:cs="FrankRuehl"/>
          <w:sz w:val="20"/>
          <w:szCs w:val="22"/>
          <w:rtl/>
          <w:lang w:eastAsia="he-IL"/>
        </w:rPr>
        <w:t xml:space="preserve"> </w:t>
      </w:r>
      <w:r w:rsidRPr="005E7E86">
        <w:rPr>
          <w:rFonts w:cs="FrankRuehl" w:hint="cs"/>
          <w:sz w:val="20"/>
          <w:szCs w:val="22"/>
          <w:rtl/>
          <w:lang w:eastAsia="he-IL"/>
        </w:rPr>
        <w:t>הגנה</w:t>
      </w:r>
      <w:r w:rsidRPr="005E7E86">
        <w:rPr>
          <w:rFonts w:cs="FrankRuehl"/>
          <w:sz w:val="20"/>
          <w:szCs w:val="22"/>
          <w:rtl/>
          <w:lang w:eastAsia="he-IL"/>
        </w:rPr>
        <w:t xml:space="preserve"> </w:t>
      </w:r>
      <w:r w:rsidRPr="005E7E86">
        <w:rPr>
          <w:rFonts w:cs="FrankRuehl" w:hint="cs"/>
          <w:sz w:val="20"/>
          <w:szCs w:val="22"/>
          <w:rtl/>
          <w:lang w:eastAsia="he-IL"/>
        </w:rPr>
        <w:t>על</w:t>
      </w:r>
      <w:r w:rsidRPr="005E7E86">
        <w:rPr>
          <w:rFonts w:cs="FrankRuehl"/>
          <w:sz w:val="20"/>
          <w:szCs w:val="22"/>
          <w:rtl/>
          <w:lang w:eastAsia="he-IL"/>
        </w:rPr>
        <w:t xml:space="preserve"> </w:t>
      </w:r>
      <w:r w:rsidRPr="005E7E86">
        <w:rPr>
          <w:rFonts w:cs="FrankRuehl" w:hint="cs"/>
          <w:sz w:val="20"/>
          <w:szCs w:val="22"/>
          <w:rtl/>
          <w:lang w:eastAsia="he-IL"/>
        </w:rPr>
        <w:t>מדינת</w:t>
      </w:r>
      <w:r w:rsidRPr="005E7E86">
        <w:rPr>
          <w:rFonts w:cs="FrankRuehl"/>
          <w:sz w:val="20"/>
          <w:szCs w:val="22"/>
          <w:rtl/>
          <w:lang w:eastAsia="he-IL"/>
        </w:rPr>
        <w:t xml:space="preserve"> </w:t>
      </w:r>
      <w:r w:rsidRPr="005E7E86">
        <w:rPr>
          <w:rFonts w:cs="FrankRuehl" w:hint="cs"/>
          <w:sz w:val="20"/>
          <w:szCs w:val="22"/>
          <w:rtl/>
          <w:lang w:eastAsia="he-IL"/>
        </w:rPr>
        <w:t>ישראל</w:t>
      </w:r>
      <w:r w:rsidRPr="005E7E86">
        <w:rPr>
          <w:rFonts w:cs="FrankRuehl"/>
          <w:sz w:val="20"/>
          <w:szCs w:val="22"/>
          <w:rtl/>
          <w:lang w:eastAsia="he-IL"/>
        </w:rPr>
        <w:t xml:space="preserve"> </w:t>
      </w:r>
      <w:r w:rsidRPr="005E7E86">
        <w:rPr>
          <w:rFonts w:cs="FrankRuehl" w:hint="cs"/>
          <w:sz w:val="20"/>
          <w:szCs w:val="22"/>
          <w:rtl/>
          <w:lang w:eastAsia="he-IL"/>
        </w:rPr>
        <w:t>באנגליה...</w:t>
      </w:r>
      <w:r w:rsidRPr="005E7E86">
        <w:rPr>
          <w:rFonts w:cs="FrankRuehl"/>
          <w:sz w:val="20"/>
          <w:szCs w:val="22"/>
          <w:rtl/>
          <w:lang w:eastAsia="he-IL"/>
        </w:rPr>
        <w:t xml:space="preserve"> </w:t>
      </w:r>
      <w:r w:rsidRPr="005E7E86">
        <w:rPr>
          <w:rFonts w:cs="FrankRuehl" w:hint="cs"/>
          <w:sz w:val="20"/>
          <w:szCs w:val="22"/>
          <w:rtl/>
          <w:lang w:eastAsia="he-IL"/>
        </w:rPr>
        <w:t>הנוהג</w:t>
      </w:r>
      <w:r w:rsidRPr="005E7E86">
        <w:rPr>
          <w:rFonts w:cs="FrankRuehl"/>
          <w:sz w:val="20"/>
          <w:szCs w:val="22"/>
          <w:rtl/>
          <w:lang w:eastAsia="he-IL"/>
        </w:rPr>
        <w:t xml:space="preserve"> </w:t>
      </w:r>
      <w:r w:rsidRPr="005E7E86">
        <w:rPr>
          <w:rFonts w:cs="FrankRuehl" w:hint="cs"/>
          <w:sz w:val="20"/>
          <w:szCs w:val="22"/>
          <w:rtl/>
          <w:lang w:eastAsia="he-IL"/>
        </w:rPr>
        <w:t>באנגליה במקרים</w:t>
      </w:r>
      <w:r w:rsidRPr="005E7E86">
        <w:rPr>
          <w:rFonts w:cs="FrankRuehl"/>
          <w:sz w:val="20"/>
          <w:szCs w:val="22"/>
          <w:rtl/>
          <w:lang w:eastAsia="he-IL"/>
        </w:rPr>
        <w:t xml:space="preserve"> </w:t>
      </w:r>
      <w:r w:rsidRPr="005E7E86">
        <w:rPr>
          <w:rFonts w:cs="FrankRuehl" w:hint="cs"/>
          <w:sz w:val="20"/>
          <w:szCs w:val="22"/>
          <w:rtl/>
          <w:lang w:eastAsia="he-IL"/>
        </w:rPr>
        <w:t>רבים</w:t>
      </w:r>
      <w:r w:rsidRPr="005E7E86">
        <w:rPr>
          <w:rFonts w:cs="FrankRuehl"/>
          <w:sz w:val="20"/>
          <w:szCs w:val="22"/>
          <w:rtl/>
          <w:lang w:eastAsia="he-IL"/>
        </w:rPr>
        <w:t xml:space="preserve"> </w:t>
      </w:r>
      <w:r w:rsidRPr="005E7E86">
        <w:rPr>
          <w:rFonts w:cs="FrankRuehl" w:hint="cs"/>
          <w:sz w:val="20"/>
          <w:szCs w:val="22"/>
          <w:rtl/>
          <w:lang w:eastAsia="he-IL"/>
        </w:rPr>
        <w:t>הוא,</w:t>
      </w:r>
      <w:r w:rsidRPr="005E7E86">
        <w:rPr>
          <w:rFonts w:cs="FrankRuehl"/>
          <w:sz w:val="20"/>
          <w:szCs w:val="22"/>
          <w:rtl/>
          <w:lang w:eastAsia="he-IL"/>
        </w:rPr>
        <w:t xml:space="preserve"> </w:t>
      </w:r>
      <w:r w:rsidRPr="005E7E86">
        <w:rPr>
          <w:rFonts w:cs="FrankRuehl" w:hint="cs"/>
          <w:sz w:val="20"/>
          <w:szCs w:val="22"/>
          <w:rtl/>
          <w:lang w:eastAsia="he-IL"/>
        </w:rPr>
        <w:t>שכאשר</w:t>
      </w:r>
      <w:r w:rsidRPr="005E7E86">
        <w:rPr>
          <w:rFonts w:cs="FrankRuehl"/>
          <w:sz w:val="20"/>
          <w:szCs w:val="22"/>
          <w:rtl/>
          <w:lang w:eastAsia="he-IL"/>
        </w:rPr>
        <w:t xml:space="preserve"> </w:t>
      </w:r>
      <w:r w:rsidRPr="005E7E86">
        <w:rPr>
          <w:rFonts w:cs="FrankRuehl" w:hint="cs"/>
          <w:sz w:val="20"/>
          <w:szCs w:val="22"/>
          <w:rtl/>
          <w:lang w:eastAsia="he-IL"/>
        </w:rPr>
        <w:t>ארגון</w:t>
      </w:r>
      <w:r w:rsidRPr="005E7E86">
        <w:rPr>
          <w:rFonts w:cs="FrankRuehl"/>
          <w:sz w:val="20"/>
          <w:szCs w:val="22"/>
          <w:rtl/>
          <w:lang w:eastAsia="he-IL"/>
        </w:rPr>
        <w:t xml:space="preserve"> </w:t>
      </w:r>
      <w:r w:rsidRPr="005E7E86">
        <w:rPr>
          <w:rFonts w:cs="FrankRuehl" w:hint="cs"/>
          <w:sz w:val="20"/>
          <w:szCs w:val="22"/>
          <w:rtl/>
          <w:lang w:eastAsia="he-IL"/>
        </w:rPr>
        <w:t>מקבל</w:t>
      </w:r>
      <w:r w:rsidRPr="005E7E86">
        <w:rPr>
          <w:rFonts w:cs="FrankRuehl"/>
          <w:sz w:val="20"/>
          <w:szCs w:val="22"/>
          <w:rtl/>
          <w:lang w:eastAsia="he-IL"/>
        </w:rPr>
        <w:t xml:space="preserve"> </w:t>
      </w:r>
      <w:r w:rsidRPr="005E7E86">
        <w:rPr>
          <w:rFonts w:cs="FrankRuehl" w:hint="cs"/>
          <w:sz w:val="20"/>
          <w:szCs w:val="22"/>
          <w:rtl/>
          <w:lang w:eastAsia="he-IL"/>
        </w:rPr>
        <w:t>על</w:t>
      </w:r>
      <w:r w:rsidRPr="005E7E86">
        <w:rPr>
          <w:rFonts w:cs="FrankRuehl"/>
          <w:sz w:val="20"/>
          <w:szCs w:val="22"/>
          <w:rtl/>
          <w:lang w:eastAsia="he-IL"/>
        </w:rPr>
        <w:t xml:space="preserve"> </w:t>
      </w:r>
      <w:r w:rsidRPr="005E7E86">
        <w:rPr>
          <w:rFonts w:cs="FrankRuehl" w:hint="cs"/>
          <w:sz w:val="20"/>
          <w:szCs w:val="22"/>
          <w:rtl/>
          <w:lang w:eastAsia="he-IL"/>
        </w:rPr>
        <w:t>עצמו</w:t>
      </w:r>
      <w:r w:rsidRPr="005E7E86">
        <w:rPr>
          <w:rFonts w:cs="FrankRuehl"/>
          <w:sz w:val="20"/>
          <w:szCs w:val="22"/>
          <w:rtl/>
          <w:lang w:eastAsia="he-IL"/>
        </w:rPr>
        <w:t xml:space="preserve"> </w:t>
      </w:r>
      <w:r w:rsidRPr="005E7E86">
        <w:rPr>
          <w:rFonts w:cs="FrankRuehl" w:hint="cs"/>
          <w:sz w:val="20"/>
          <w:szCs w:val="22"/>
          <w:rtl/>
          <w:lang w:eastAsia="he-IL"/>
        </w:rPr>
        <w:t>מימון</w:t>
      </w:r>
      <w:r w:rsidRPr="005E7E86">
        <w:rPr>
          <w:rFonts w:cs="FrankRuehl"/>
          <w:sz w:val="20"/>
          <w:szCs w:val="22"/>
          <w:rtl/>
          <w:lang w:eastAsia="he-IL"/>
        </w:rPr>
        <w:t xml:space="preserve"> </w:t>
      </w:r>
      <w:r w:rsidRPr="005E7E86">
        <w:rPr>
          <w:rFonts w:cs="FrankRuehl" w:hint="cs"/>
          <w:sz w:val="20"/>
          <w:szCs w:val="22"/>
          <w:rtl/>
          <w:lang w:eastAsia="he-IL"/>
        </w:rPr>
        <w:t>פעילות,</w:t>
      </w:r>
      <w:r w:rsidRPr="005E7E86">
        <w:rPr>
          <w:rFonts w:cs="FrankRuehl"/>
          <w:sz w:val="20"/>
          <w:szCs w:val="22"/>
          <w:rtl/>
          <w:lang w:eastAsia="he-IL"/>
        </w:rPr>
        <w:t xml:space="preserve"> </w:t>
      </w:r>
      <w:r w:rsidRPr="005E7E86">
        <w:rPr>
          <w:rFonts w:cs="FrankRuehl" w:hint="cs"/>
          <w:sz w:val="20"/>
          <w:szCs w:val="22"/>
          <w:rtl/>
          <w:lang w:eastAsia="he-IL"/>
        </w:rPr>
        <w:t>אחד</w:t>
      </w:r>
      <w:r w:rsidRPr="005E7E86">
        <w:rPr>
          <w:rFonts w:cs="FrankRuehl"/>
          <w:sz w:val="20"/>
          <w:szCs w:val="22"/>
          <w:rtl/>
          <w:lang w:eastAsia="he-IL"/>
        </w:rPr>
        <w:t xml:space="preserve"> </w:t>
      </w:r>
      <w:r w:rsidRPr="005E7E86">
        <w:rPr>
          <w:rFonts w:cs="FrankRuehl" w:hint="cs"/>
          <w:sz w:val="20"/>
          <w:szCs w:val="22"/>
          <w:rtl/>
          <w:lang w:eastAsia="he-IL"/>
        </w:rPr>
        <w:t>התורמים</w:t>
      </w:r>
      <w:r w:rsidRPr="005E7E86">
        <w:rPr>
          <w:rFonts w:cs="FrankRuehl"/>
          <w:sz w:val="20"/>
          <w:szCs w:val="22"/>
          <w:rtl/>
          <w:lang w:eastAsia="he-IL"/>
        </w:rPr>
        <w:t xml:space="preserve"> </w:t>
      </w:r>
      <w:r w:rsidRPr="005E7E86">
        <w:rPr>
          <w:rFonts w:cs="FrankRuehl" w:hint="cs"/>
          <w:sz w:val="20"/>
          <w:szCs w:val="22"/>
          <w:rtl/>
          <w:lang w:eastAsia="he-IL"/>
        </w:rPr>
        <w:t>לארגון</w:t>
      </w:r>
      <w:r w:rsidRPr="005E7E86">
        <w:rPr>
          <w:rFonts w:cs="FrankRuehl"/>
          <w:sz w:val="20"/>
          <w:szCs w:val="22"/>
          <w:rtl/>
          <w:lang w:eastAsia="he-IL"/>
        </w:rPr>
        <w:t xml:space="preserve"> </w:t>
      </w:r>
      <w:r w:rsidRPr="005E7E86">
        <w:rPr>
          <w:rFonts w:cs="FrankRuehl" w:hint="cs"/>
          <w:sz w:val="20"/>
          <w:szCs w:val="22"/>
          <w:rtl/>
          <w:lang w:eastAsia="he-IL"/>
        </w:rPr>
        <w:t>משלם ישירות</w:t>
      </w:r>
      <w:r w:rsidRPr="005E7E86">
        <w:rPr>
          <w:rFonts w:cs="FrankRuehl"/>
          <w:sz w:val="20"/>
          <w:szCs w:val="22"/>
          <w:rtl/>
          <w:lang w:eastAsia="he-IL"/>
        </w:rPr>
        <w:t xml:space="preserve"> </w:t>
      </w:r>
      <w:r w:rsidRPr="005E7E86">
        <w:rPr>
          <w:rFonts w:cs="FrankRuehl" w:hint="cs"/>
          <w:sz w:val="20"/>
          <w:szCs w:val="22"/>
          <w:rtl/>
          <w:lang w:eastAsia="he-IL"/>
        </w:rPr>
        <w:t>את</w:t>
      </w:r>
      <w:r w:rsidRPr="005E7E86">
        <w:rPr>
          <w:rFonts w:cs="FrankRuehl"/>
          <w:sz w:val="20"/>
          <w:szCs w:val="22"/>
          <w:rtl/>
          <w:lang w:eastAsia="he-IL"/>
        </w:rPr>
        <w:t xml:space="preserve"> </w:t>
      </w:r>
      <w:r w:rsidRPr="005E7E86">
        <w:rPr>
          <w:rFonts w:cs="FrankRuehl" w:hint="cs"/>
          <w:sz w:val="20"/>
          <w:szCs w:val="22"/>
          <w:rtl/>
          <w:lang w:eastAsia="he-IL"/>
        </w:rPr>
        <w:t>התשלום</w:t>
      </w:r>
      <w:r w:rsidRPr="005E7E86">
        <w:rPr>
          <w:rFonts w:cs="FrankRuehl"/>
          <w:sz w:val="20"/>
          <w:szCs w:val="22"/>
          <w:rtl/>
          <w:lang w:eastAsia="he-IL"/>
        </w:rPr>
        <w:t xml:space="preserve"> </w:t>
      </w:r>
      <w:r w:rsidRPr="005E7E86">
        <w:rPr>
          <w:rFonts w:cs="FrankRuehl" w:hint="cs"/>
          <w:sz w:val="20"/>
          <w:szCs w:val="22"/>
          <w:rtl/>
          <w:lang w:eastAsia="he-IL"/>
        </w:rPr>
        <w:t>למלון</w:t>
      </w:r>
      <w:r w:rsidRPr="005E7E86">
        <w:rPr>
          <w:rFonts w:cs="FrankRuehl"/>
          <w:sz w:val="20"/>
          <w:szCs w:val="22"/>
          <w:rtl/>
          <w:lang w:eastAsia="he-IL"/>
        </w:rPr>
        <w:t xml:space="preserve"> </w:t>
      </w:r>
      <w:r w:rsidRPr="005E7E86">
        <w:rPr>
          <w:rFonts w:cs="FrankRuehl" w:hint="cs"/>
          <w:sz w:val="20"/>
          <w:szCs w:val="22"/>
          <w:rtl/>
          <w:lang w:eastAsia="he-IL"/>
        </w:rPr>
        <w:t>וכיו"ב. לראש</w:t>
      </w:r>
      <w:r w:rsidRPr="005E7E86">
        <w:rPr>
          <w:rFonts w:cs="FrankRuehl"/>
          <w:sz w:val="20"/>
          <w:szCs w:val="22"/>
          <w:rtl/>
          <w:lang w:eastAsia="he-IL"/>
        </w:rPr>
        <w:t xml:space="preserve"> </w:t>
      </w:r>
      <w:r w:rsidRPr="005E7E86">
        <w:rPr>
          <w:rFonts w:cs="FrankRuehl" w:hint="cs"/>
          <w:sz w:val="20"/>
          <w:szCs w:val="22"/>
          <w:rtl/>
          <w:lang w:eastAsia="he-IL"/>
        </w:rPr>
        <w:t>הממשלה</w:t>
      </w:r>
      <w:r w:rsidRPr="005E7E86">
        <w:rPr>
          <w:rFonts w:cs="FrankRuehl"/>
          <w:sz w:val="20"/>
          <w:szCs w:val="22"/>
          <w:rtl/>
          <w:lang w:eastAsia="he-IL"/>
        </w:rPr>
        <w:t xml:space="preserve"> </w:t>
      </w:r>
      <w:r w:rsidRPr="005E7E86">
        <w:rPr>
          <w:rFonts w:cs="FrankRuehl" w:hint="cs"/>
          <w:sz w:val="20"/>
          <w:szCs w:val="22"/>
          <w:rtl/>
          <w:lang w:eastAsia="he-IL"/>
        </w:rPr>
        <w:t>אין</w:t>
      </w:r>
      <w:r w:rsidRPr="005E7E86">
        <w:rPr>
          <w:rFonts w:cs="FrankRuehl"/>
          <w:sz w:val="20"/>
          <w:szCs w:val="22"/>
          <w:rtl/>
          <w:lang w:eastAsia="he-IL"/>
        </w:rPr>
        <w:t xml:space="preserve"> </w:t>
      </w:r>
      <w:r w:rsidRPr="005E7E86">
        <w:rPr>
          <w:rFonts w:cs="FrankRuehl" w:hint="cs"/>
          <w:sz w:val="20"/>
          <w:szCs w:val="22"/>
          <w:rtl/>
          <w:lang w:eastAsia="he-IL"/>
        </w:rPr>
        <w:t>כל</w:t>
      </w:r>
      <w:r w:rsidRPr="005E7E86">
        <w:rPr>
          <w:rFonts w:cs="FrankRuehl"/>
          <w:sz w:val="20"/>
          <w:szCs w:val="22"/>
          <w:rtl/>
          <w:lang w:eastAsia="he-IL"/>
        </w:rPr>
        <w:t xml:space="preserve"> </w:t>
      </w:r>
      <w:r w:rsidRPr="005E7E86">
        <w:rPr>
          <w:rFonts w:cs="FrankRuehl" w:hint="cs"/>
          <w:sz w:val="20"/>
          <w:szCs w:val="22"/>
          <w:rtl/>
          <w:lang w:eastAsia="he-IL"/>
        </w:rPr>
        <w:t>קשר</w:t>
      </w:r>
      <w:r w:rsidRPr="005E7E86">
        <w:rPr>
          <w:rFonts w:cs="FrankRuehl"/>
          <w:sz w:val="20"/>
          <w:szCs w:val="22"/>
          <w:rtl/>
          <w:lang w:eastAsia="he-IL"/>
        </w:rPr>
        <w:t xml:space="preserve"> </w:t>
      </w:r>
      <w:r w:rsidRPr="005E7E86">
        <w:rPr>
          <w:rFonts w:cs="FrankRuehl" w:hint="cs"/>
          <w:sz w:val="20"/>
          <w:szCs w:val="22"/>
          <w:rtl/>
          <w:lang w:eastAsia="he-IL"/>
        </w:rPr>
        <w:t>לכך</w:t>
      </w:r>
      <w:r w:rsidRPr="005E7E86">
        <w:rPr>
          <w:rFonts w:cs="FrankRuehl"/>
          <w:sz w:val="20"/>
          <w:szCs w:val="22"/>
          <w:rtl/>
          <w:lang w:eastAsia="he-IL"/>
        </w:rPr>
        <w:t xml:space="preserve"> </w:t>
      </w:r>
      <w:r w:rsidRPr="005E7E86">
        <w:rPr>
          <w:rFonts w:cs="FrankRuehl" w:hint="cs"/>
          <w:sz w:val="20"/>
          <w:szCs w:val="22"/>
          <w:rtl/>
          <w:lang w:eastAsia="he-IL"/>
        </w:rPr>
        <w:t>והוא</w:t>
      </w:r>
      <w:r w:rsidRPr="005E7E86">
        <w:rPr>
          <w:rFonts w:cs="FrankRuehl"/>
          <w:sz w:val="20"/>
          <w:szCs w:val="22"/>
          <w:rtl/>
          <w:lang w:eastAsia="he-IL"/>
        </w:rPr>
        <w:t xml:space="preserve"> </w:t>
      </w:r>
      <w:r w:rsidRPr="005E7E86">
        <w:rPr>
          <w:rFonts w:cs="FrankRuehl" w:hint="cs"/>
          <w:sz w:val="20"/>
          <w:szCs w:val="22"/>
          <w:rtl/>
          <w:lang w:eastAsia="he-IL"/>
        </w:rPr>
        <w:t>לא</w:t>
      </w:r>
      <w:r w:rsidRPr="005E7E86">
        <w:rPr>
          <w:rFonts w:cs="FrankRuehl"/>
          <w:sz w:val="20"/>
          <w:szCs w:val="22"/>
          <w:rtl/>
          <w:lang w:eastAsia="he-IL"/>
        </w:rPr>
        <w:t xml:space="preserve"> </w:t>
      </w:r>
      <w:r w:rsidRPr="005E7E86">
        <w:rPr>
          <w:rFonts w:cs="FrankRuehl" w:hint="cs"/>
          <w:sz w:val="20"/>
          <w:szCs w:val="22"/>
          <w:rtl/>
          <w:lang w:eastAsia="he-IL"/>
        </w:rPr>
        <w:t>ידע</w:t>
      </w:r>
      <w:r w:rsidRPr="005E7E86">
        <w:rPr>
          <w:rFonts w:cs="FrankRuehl"/>
          <w:sz w:val="20"/>
          <w:szCs w:val="22"/>
          <w:rtl/>
          <w:lang w:eastAsia="he-IL"/>
        </w:rPr>
        <w:t xml:space="preserve"> </w:t>
      </w:r>
      <w:r w:rsidRPr="005E7E86">
        <w:rPr>
          <w:rFonts w:cs="FrankRuehl" w:hint="cs"/>
          <w:sz w:val="20"/>
          <w:szCs w:val="22"/>
          <w:rtl/>
          <w:lang w:eastAsia="he-IL"/>
        </w:rPr>
        <w:t>מי</w:t>
      </w:r>
      <w:r w:rsidRPr="005E7E86">
        <w:rPr>
          <w:rFonts w:cs="FrankRuehl"/>
          <w:sz w:val="20"/>
          <w:szCs w:val="22"/>
          <w:rtl/>
          <w:lang w:eastAsia="he-IL"/>
        </w:rPr>
        <w:t xml:space="preserve"> </w:t>
      </w:r>
      <w:r w:rsidRPr="005E7E86">
        <w:rPr>
          <w:rFonts w:cs="FrankRuehl" w:hint="cs"/>
          <w:sz w:val="20"/>
          <w:szCs w:val="22"/>
          <w:rtl/>
          <w:lang w:eastAsia="he-IL"/>
        </w:rPr>
        <w:t>מימן</w:t>
      </w:r>
      <w:r w:rsidRPr="005E7E86">
        <w:rPr>
          <w:rFonts w:cs="FrankRuehl"/>
          <w:sz w:val="20"/>
          <w:szCs w:val="22"/>
          <w:rtl/>
          <w:lang w:eastAsia="he-IL"/>
        </w:rPr>
        <w:t xml:space="preserve"> </w:t>
      </w:r>
      <w:r w:rsidRPr="005E7E86">
        <w:rPr>
          <w:rFonts w:cs="FrankRuehl" w:hint="cs"/>
          <w:sz w:val="20"/>
          <w:szCs w:val="22"/>
          <w:rtl/>
          <w:lang w:eastAsia="he-IL"/>
        </w:rPr>
        <w:t>את השהות</w:t>
      </w:r>
      <w:r w:rsidRPr="005E7E86">
        <w:rPr>
          <w:rFonts w:cs="FrankRuehl"/>
          <w:sz w:val="20"/>
          <w:szCs w:val="22"/>
          <w:rtl/>
          <w:lang w:eastAsia="he-IL"/>
        </w:rPr>
        <w:t xml:space="preserve"> </w:t>
      </w:r>
      <w:r w:rsidRPr="005E7E86">
        <w:rPr>
          <w:rFonts w:cs="FrankRuehl" w:hint="cs"/>
          <w:sz w:val="20"/>
          <w:szCs w:val="22"/>
          <w:rtl/>
          <w:lang w:eastAsia="he-IL"/>
        </w:rPr>
        <w:t>במלון.</w:t>
      </w:r>
      <w:r w:rsidRPr="005E7E86">
        <w:rPr>
          <w:rFonts w:cs="FrankRuehl"/>
          <w:sz w:val="20"/>
          <w:szCs w:val="22"/>
          <w:rtl/>
          <w:lang w:eastAsia="he-IL"/>
        </w:rPr>
        <w:t xml:space="preserve"> </w:t>
      </w:r>
      <w:r w:rsidRPr="005E7E86">
        <w:rPr>
          <w:rFonts w:cs="FrankRuehl" w:hint="cs"/>
          <w:sz w:val="20"/>
          <w:szCs w:val="22"/>
          <w:rtl/>
          <w:lang w:eastAsia="he-IL"/>
        </w:rPr>
        <w:t>ראש</w:t>
      </w:r>
      <w:r w:rsidRPr="005E7E86">
        <w:rPr>
          <w:rFonts w:cs="FrankRuehl"/>
          <w:sz w:val="20"/>
          <w:szCs w:val="22"/>
          <w:rtl/>
          <w:lang w:eastAsia="he-IL"/>
        </w:rPr>
        <w:t xml:space="preserve"> </w:t>
      </w:r>
      <w:r w:rsidRPr="005E7E86">
        <w:rPr>
          <w:rFonts w:cs="FrankRuehl" w:hint="cs"/>
          <w:sz w:val="20"/>
          <w:szCs w:val="22"/>
          <w:rtl/>
          <w:lang w:eastAsia="he-IL"/>
        </w:rPr>
        <w:t>הממשלה... מעולם</w:t>
      </w:r>
      <w:r w:rsidRPr="005E7E86">
        <w:rPr>
          <w:rFonts w:cs="FrankRuehl"/>
          <w:sz w:val="20"/>
          <w:szCs w:val="22"/>
          <w:rtl/>
          <w:lang w:eastAsia="he-IL"/>
        </w:rPr>
        <w:t xml:space="preserve"> </w:t>
      </w:r>
      <w:r w:rsidRPr="005E7E86">
        <w:rPr>
          <w:rFonts w:cs="FrankRuehl" w:hint="cs"/>
          <w:sz w:val="20"/>
          <w:szCs w:val="22"/>
          <w:rtl/>
          <w:lang w:eastAsia="he-IL"/>
        </w:rPr>
        <w:t>לא</w:t>
      </w:r>
      <w:r w:rsidRPr="005E7E86">
        <w:rPr>
          <w:rFonts w:cs="FrankRuehl"/>
          <w:sz w:val="20"/>
          <w:szCs w:val="22"/>
          <w:rtl/>
          <w:lang w:eastAsia="he-IL"/>
        </w:rPr>
        <w:t xml:space="preserve"> </w:t>
      </w:r>
      <w:r w:rsidRPr="005E7E86">
        <w:rPr>
          <w:rFonts w:cs="FrankRuehl" w:hint="cs"/>
          <w:sz w:val="20"/>
          <w:szCs w:val="22"/>
          <w:rtl/>
          <w:lang w:eastAsia="he-IL"/>
        </w:rPr>
        <w:t>נפגש</w:t>
      </w:r>
      <w:r w:rsidRPr="005E7E86">
        <w:rPr>
          <w:rFonts w:cs="FrankRuehl"/>
          <w:sz w:val="20"/>
          <w:szCs w:val="22"/>
          <w:rtl/>
          <w:lang w:eastAsia="he-IL"/>
        </w:rPr>
        <w:t xml:space="preserve"> </w:t>
      </w:r>
      <w:r w:rsidRPr="005E7E86">
        <w:rPr>
          <w:rFonts w:cs="FrankRuehl" w:hint="cs"/>
          <w:sz w:val="20"/>
          <w:szCs w:val="22"/>
          <w:rtl/>
          <w:lang w:eastAsia="he-IL"/>
        </w:rPr>
        <w:t>עם</w:t>
      </w:r>
      <w:r w:rsidRPr="005E7E86">
        <w:rPr>
          <w:rFonts w:cs="FrankRuehl"/>
          <w:sz w:val="20"/>
          <w:szCs w:val="22"/>
          <w:rtl/>
          <w:lang w:eastAsia="he-IL"/>
        </w:rPr>
        <w:t xml:space="preserve"> </w:t>
      </w:r>
      <w:r w:rsidRPr="005E7E86">
        <w:rPr>
          <w:rFonts w:cs="FrankRuehl" w:hint="cs"/>
          <w:sz w:val="20"/>
          <w:szCs w:val="22"/>
          <w:rtl/>
          <w:lang w:eastAsia="he-IL"/>
        </w:rPr>
        <w:t>איש עסקים ב'</w:t>
      </w:r>
      <w:r w:rsidRPr="005E7E86">
        <w:rPr>
          <w:rFonts w:cs="FrankRuehl"/>
          <w:sz w:val="20"/>
          <w:szCs w:val="22"/>
          <w:rtl/>
          <w:lang w:eastAsia="he-IL"/>
        </w:rPr>
        <w:t xml:space="preserve"> </w:t>
      </w:r>
      <w:r w:rsidRPr="005E7E86">
        <w:rPr>
          <w:rFonts w:cs="FrankRuehl" w:hint="eastAsia"/>
          <w:sz w:val="20"/>
          <w:szCs w:val="22"/>
          <w:rtl/>
          <w:lang w:eastAsia="he-IL"/>
        </w:rPr>
        <w:t>בקשר</w:t>
      </w:r>
      <w:r w:rsidRPr="005E7E86">
        <w:rPr>
          <w:rFonts w:cs="FrankRuehl"/>
          <w:sz w:val="20"/>
          <w:szCs w:val="22"/>
          <w:rtl/>
          <w:lang w:eastAsia="he-IL"/>
        </w:rPr>
        <w:t xml:space="preserve"> </w:t>
      </w:r>
      <w:r w:rsidRPr="005E7E86">
        <w:rPr>
          <w:rFonts w:cs="FrankRuehl" w:hint="eastAsia"/>
          <w:sz w:val="20"/>
          <w:szCs w:val="22"/>
          <w:rtl/>
          <w:lang w:eastAsia="he-IL"/>
        </w:rPr>
        <w:t>לעסקיו</w:t>
      </w:r>
      <w:r w:rsidRPr="005E7E86">
        <w:rPr>
          <w:rFonts w:cs="FrankRuehl"/>
          <w:sz w:val="20"/>
          <w:szCs w:val="22"/>
          <w:rtl/>
          <w:lang w:eastAsia="he-IL"/>
        </w:rPr>
        <w:t xml:space="preserve"> </w:t>
      </w:r>
      <w:r w:rsidRPr="005E7E86">
        <w:rPr>
          <w:rFonts w:cs="FrankRuehl" w:hint="eastAsia"/>
          <w:sz w:val="20"/>
          <w:szCs w:val="22"/>
          <w:rtl/>
          <w:lang w:eastAsia="he-IL"/>
        </w:rPr>
        <w:t>בישראל</w:t>
      </w:r>
      <w:r w:rsidRPr="005E7E86">
        <w:rPr>
          <w:rFonts w:cs="FrankRuehl"/>
          <w:sz w:val="20"/>
          <w:szCs w:val="22"/>
          <w:rtl/>
          <w:lang w:eastAsia="he-IL"/>
        </w:rPr>
        <w:t>"</w:t>
      </w:r>
      <w:r w:rsidRPr="005E7E86">
        <w:rPr>
          <w:rFonts w:cs="FrankRuehl" w:hint="cs"/>
          <w:sz w:val="20"/>
          <w:szCs w:val="22"/>
          <w:rtl/>
          <w:lang w:eastAsia="he-IL"/>
        </w:rPr>
        <w:t>.</w:t>
      </w:r>
      <w:r w:rsidRPr="005E7E86">
        <w:rPr>
          <w:rFonts w:cs="FrankRuehl"/>
          <w:sz w:val="20"/>
          <w:szCs w:val="22"/>
          <w:rtl/>
          <w:lang w:eastAsia="he-IL"/>
        </w:rPr>
        <w:t xml:space="preserve"> </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lang w:eastAsia="he-IL"/>
        </w:rPr>
        <w:t xml:space="preserve">לגבי מימון הנסיעה לבלגיה ציינו באי כוחו של מר נתניהו </w:t>
      </w:r>
      <w:r w:rsidRPr="005E7E86">
        <w:rPr>
          <w:rFonts w:cs="FrankRuehl" w:hint="eastAsia"/>
          <w:sz w:val="20"/>
          <w:szCs w:val="22"/>
          <w:rtl/>
          <w:lang w:eastAsia="he-IL"/>
        </w:rPr>
        <w:t>כי</w:t>
      </w:r>
      <w:r w:rsidRPr="005E7E86">
        <w:rPr>
          <w:rFonts w:cs="FrankRuehl"/>
          <w:sz w:val="20"/>
          <w:szCs w:val="22"/>
          <w:rtl/>
          <w:lang w:eastAsia="he-IL"/>
        </w:rPr>
        <w:t xml:space="preserve"> "</w:t>
      </w:r>
      <w:r w:rsidRPr="005E7E86">
        <w:rPr>
          <w:rFonts w:cs="FrankRuehl" w:hint="eastAsia"/>
          <w:sz w:val="20"/>
          <w:szCs w:val="22"/>
          <w:rtl/>
          <w:lang w:eastAsia="he-IL"/>
        </w:rPr>
        <w:t>היה</w:t>
      </w:r>
      <w:r w:rsidRPr="005E7E86">
        <w:rPr>
          <w:rFonts w:cs="FrankRuehl"/>
          <w:sz w:val="20"/>
          <w:szCs w:val="22"/>
          <w:rtl/>
          <w:lang w:eastAsia="he-IL"/>
        </w:rPr>
        <w:t xml:space="preserve"> </w:t>
      </w:r>
      <w:r w:rsidRPr="005E7E86">
        <w:rPr>
          <w:rFonts w:cs="FrankRuehl" w:hint="eastAsia"/>
          <w:sz w:val="20"/>
          <w:szCs w:val="22"/>
          <w:rtl/>
          <w:lang w:eastAsia="he-IL"/>
        </w:rPr>
        <w:t>א</w:t>
      </w:r>
      <w:r w:rsidRPr="005E7E86">
        <w:rPr>
          <w:rFonts w:cs="FrankRuehl" w:hint="cs"/>
          <w:sz w:val="20"/>
          <w:szCs w:val="22"/>
          <w:rtl/>
          <w:lang w:eastAsia="he-IL"/>
        </w:rPr>
        <w:t>ירוע</w:t>
      </w:r>
      <w:r w:rsidRPr="005E7E86">
        <w:rPr>
          <w:rFonts w:cs="FrankRuehl"/>
          <w:sz w:val="20"/>
          <w:szCs w:val="22"/>
          <w:rtl/>
          <w:lang w:eastAsia="he-IL"/>
        </w:rPr>
        <w:t xml:space="preserve"> </w:t>
      </w:r>
      <w:r w:rsidRPr="005E7E86">
        <w:rPr>
          <w:rFonts w:cs="FrankRuehl" w:hint="cs"/>
          <w:sz w:val="20"/>
          <w:szCs w:val="22"/>
          <w:rtl/>
          <w:lang w:eastAsia="he-IL"/>
        </w:rPr>
        <w:t>שנתי</w:t>
      </w:r>
      <w:r w:rsidRPr="005E7E86">
        <w:rPr>
          <w:rFonts w:cs="FrankRuehl"/>
          <w:sz w:val="20"/>
          <w:szCs w:val="22"/>
          <w:rtl/>
          <w:lang w:eastAsia="he-IL"/>
        </w:rPr>
        <w:t xml:space="preserve"> </w:t>
      </w:r>
      <w:r w:rsidRPr="005E7E86">
        <w:rPr>
          <w:rFonts w:cs="FrankRuehl" w:hint="cs"/>
          <w:sz w:val="20"/>
          <w:szCs w:val="22"/>
          <w:rtl/>
          <w:lang w:eastAsia="he-IL"/>
        </w:rPr>
        <w:t>של</w:t>
      </w:r>
      <w:r w:rsidRPr="005E7E86">
        <w:rPr>
          <w:rFonts w:cs="FrankRuehl"/>
          <w:sz w:val="20"/>
          <w:szCs w:val="22"/>
          <w:rtl/>
          <w:lang w:eastAsia="he-IL"/>
        </w:rPr>
        <w:t xml:space="preserve"> </w:t>
      </w:r>
      <w:r w:rsidRPr="005E7E86">
        <w:rPr>
          <w:rFonts w:cs="FrankRuehl" w:hint="cs"/>
          <w:sz w:val="20"/>
          <w:szCs w:val="22"/>
          <w:rtl/>
          <w:lang w:eastAsia="he-IL"/>
        </w:rPr>
        <w:t>[המוסד החינוכי]...</w:t>
      </w:r>
      <w:r w:rsidRPr="005E7E86">
        <w:rPr>
          <w:rFonts w:cs="FrankRuehl"/>
          <w:sz w:val="20"/>
          <w:szCs w:val="22"/>
          <w:rtl/>
          <w:lang w:eastAsia="he-IL"/>
        </w:rPr>
        <w:t xml:space="preserve"> </w:t>
      </w:r>
      <w:r w:rsidRPr="005E7E86">
        <w:rPr>
          <w:rFonts w:cs="FrankRuehl" w:hint="cs"/>
          <w:sz w:val="20"/>
          <w:szCs w:val="22"/>
          <w:rtl/>
          <w:lang w:eastAsia="he-IL"/>
        </w:rPr>
        <w:t>[ומר נתניהו] עודד</w:t>
      </w:r>
      <w:r w:rsidRPr="005E7E86">
        <w:rPr>
          <w:rFonts w:cs="FrankRuehl"/>
          <w:sz w:val="20"/>
          <w:szCs w:val="22"/>
          <w:rtl/>
          <w:lang w:eastAsia="he-IL"/>
        </w:rPr>
        <w:t xml:space="preserve"> </w:t>
      </w:r>
      <w:r w:rsidRPr="005E7E86">
        <w:rPr>
          <w:rFonts w:cs="FrankRuehl" w:hint="cs"/>
          <w:sz w:val="20"/>
          <w:szCs w:val="22"/>
          <w:rtl/>
          <w:lang w:eastAsia="he-IL"/>
        </w:rPr>
        <w:t>באותה</w:t>
      </w:r>
      <w:r w:rsidRPr="005E7E86">
        <w:rPr>
          <w:rFonts w:cs="FrankRuehl"/>
          <w:sz w:val="20"/>
          <w:szCs w:val="22"/>
          <w:rtl/>
          <w:lang w:eastAsia="he-IL"/>
        </w:rPr>
        <w:t xml:space="preserve"> </w:t>
      </w:r>
      <w:r w:rsidRPr="005E7E86">
        <w:rPr>
          <w:rFonts w:cs="FrankRuehl" w:hint="cs"/>
          <w:sz w:val="20"/>
          <w:szCs w:val="22"/>
          <w:rtl/>
          <w:lang w:eastAsia="he-IL"/>
        </w:rPr>
        <w:t>נסיעה</w:t>
      </w:r>
      <w:r w:rsidRPr="005E7E86">
        <w:rPr>
          <w:rFonts w:cs="FrankRuehl"/>
          <w:sz w:val="20"/>
          <w:szCs w:val="22"/>
          <w:rtl/>
          <w:lang w:eastAsia="he-IL"/>
        </w:rPr>
        <w:t xml:space="preserve"> </w:t>
      </w:r>
      <w:r w:rsidRPr="005E7E86">
        <w:rPr>
          <w:rFonts w:cs="FrankRuehl" w:hint="cs"/>
          <w:sz w:val="20"/>
          <w:szCs w:val="22"/>
          <w:rtl/>
          <w:lang w:eastAsia="he-IL"/>
        </w:rPr>
        <w:t>אנשי</w:t>
      </w:r>
      <w:r w:rsidRPr="005E7E86">
        <w:rPr>
          <w:rFonts w:cs="FrankRuehl"/>
          <w:sz w:val="20"/>
          <w:szCs w:val="22"/>
          <w:rtl/>
          <w:lang w:eastAsia="he-IL"/>
        </w:rPr>
        <w:t xml:space="preserve"> </w:t>
      </w:r>
      <w:r w:rsidRPr="005E7E86">
        <w:rPr>
          <w:rFonts w:cs="FrankRuehl" w:hint="cs"/>
          <w:sz w:val="20"/>
          <w:szCs w:val="22"/>
          <w:rtl/>
          <w:lang w:eastAsia="he-IL"/>
        </w:rPr>
        <w:t>עסקים</w:t>
      </w:r>
      <w:r w:rsidRPr="005E7E86">
        <w:rPr>
          <w:rFonts w:cs="FrankRuehl"/>
          <w:sz w:val="20"/>
          <w:szCs w:val="22"/>
          <w:rtl/>
          <w:lang w:eastAsia="he-IL"/>
        </w:rPr>
        <w:t xml:space="preserve"> </w:t>
      </w:r>
      <w:r w:rsidRPr="005E7E86">
        <w:rPr>
          <w:rFonts w:cs="FrankRuehl" w:hint="cs"/>
          <w:sz w:val="20"/>
          <w:szCs w:val="22"/>
          <w:rtl/>
          <w:lang w:eastAsia="he-IL"/>
        </w:rPr>
        <w:t>לעלות</w:t>
      </w:r>
      <w:r w:rsidRPr="005E7E86">
        <w:rPr>
          <w:rFonts w:cs="FrankRuehl"/>
          <w:sz w:val="20"/>
          <w:szCs w:val="22"/>
          <w:rtl/>
          <w:lang w:eastAsia="he-IL"/>
        </w:rPr>
        <w:t xml:space="preserve"> </w:t>
      </w:r>
      <w:r w:rsidRPr="005E7E86">
        <w:rPr>
          <w:rFonts w:cs="FrankRuehl" w:hint="cs"/>
          <w:sz w:val="20"/>
          <w:szCs w:val="22"/>
          <w:rtl/>
          <w:lang w:eastAsia="he-IL"/>
        </w:rPr>
        <w:t>לישראל".</w:t>
      </w:r>
    </w:p>
    <w:p w:rsidR="009B5B44" w:rsidRPr="005E7E86" w:rsidP="00BF3C50">
      <w:pPr>
        <w:spacing w:after="240" w:line="230" w:lineRule="exact"/>
        <w:jc w:val="both"/>
        <w:rPr>
          <w:rFonts w:cs="FrankRuehl"/>
          <w:sz w:val="20"/>
          <w:szCs w:val="22"/>
          <w:rtl/>
          <w:lang w:eastAsia="he-IL"/>
        </w:rPr>
      </w:pPr>
      <w:r w:rsidRPr="005E7E86">
        <w:rPr>
          <w:rFonts w:cs="FrankRuehl" w:hint="cs"/>
          <w:sz w:val="20"/>
          <w:szCs w:val="22"/>
          <w:rtl/>
          <w:lang w:eastAsia="he-IL"/>
        </w:rPr>
        <w:t>לגבי הנסיעה לארצות הברית במימון ארגון ב' ציין מר נתניהו כי מרכז זה שו</w:t>
      </w:r>
      <w:r w:rsidRPr="005E7E86">
        <w:rPr>
          <w:rFonts w:cs="FrankRuehl" w:hint="eastAsia"/>
          <w:sz w:val="20"/>
          <w:szCs w:val="22"/>
          <w:rtl/>
          <w:lang w:eastAsia="he-IL"/>
        </w:rPr>
        <w:t>אף</w:t>
      </w:r>
      <w:r w:rsidRPr="005E7E86">
        <w:rPr>
          <w:rFonts w:cs="FrankRuehl"/>
          <w:sz w:val="20"/>
          <w:szCs w:val="22"/>
          <w:rtl/>
          <w:lang w:eastAsia="he-IL"/>
        </w:rPr>
        <w:t xml:space="preserve"> </w:t>
      </w:r>
      <w:r w:rsidRPr="005E7E86">
        <w:rPr>
          <w:rFonts w:cs="FrankRuehl" w:hint="eastAsia"/>
          <w:sz w:val="20"/>
          <w:szCs w:val="22"/>
          <w:rtl/>
          <w:lang w:eastAsia="he-IL"/>
        </w:rPr>
        <w:t>להנחיל</w:t>
      </w:r>
      <w:r w:rsidRPr="005E7E86">
        <w:rPr>
          <w:rFonts w:cs="FrankRuehl"/>
          <w:sz w:val="20"/>
          <w:szCs w:val="22"/>
          <w:rtl/>
          <w:lang w:eastAsia="he-IL"/>
        </w:rPr>
        <w:t xml:space="preserve"> </w:t>
      </w:r>
      <w:r w:rsidRPr="005E7E86">
        <w:rPr>
          <w:rFonts w:cs="FrankRuehl" w:hint="eastAsia"/>
          <w:sz w:val="20"/>
          <w:szCs w:val="22"/>
          <w:rtl/>
          <w:lang w:eastAsia="he-IL"/>
        </w:rPr>
        <w:t>את</w:t>
      </w:r>
      <w:r w:rsidRPr="005E7E86">
        <w:rPr>
          <w:rFonts w:cs="FrankRuehl"/>
          <w:sz w:val="20"/>
          <w:szCs w:val="22"/>
          <w:rtl/>
          <w:lang w:eastAsia="he-IL"/>
        </w:rPr>
        <w:t xml:space="preserve"> </w:t>
      </w:r>
      <w:r w:rsidRPr="005E7E86">
        <w:rPr>
          <w:rFonts w:cs="FrankRuehl" w:hint="eastAsia"/>
          <w:sz w:val="20"/>
          <w:szCs w:val="22"/>
          <w:rtl/>
          <w:lang w:eastAsia="he-IL"/>
        </w:rPr>
        <w:t>עקרונות</w:t>
      </w:r>
      <w:r w:rsidRPr="005E7E86">
        <w:rPr>
          <w:rFonts w:cs="FrankRuehl"/>
          <w:sz w:val="20"/>
          <w:szCs w:val="22"/>
          <w:rtl/>
          <w:lang w:eastAsia="he-IL"/>
        </w:rPr>
        <w:t xml:space="preserve"> </w:t>
      </w:r>
      <w:r w:rsidRPr="005E7E86">
        <w:rPr>
          <w:rFonts w:cs="FrankRuehl" w:hint="eastAsia"/>
          <w:sz w:val="20"/>
          <w:szCs w:val="22"/>
          <w:rtl/>
          <w:lang w:eastAsia="he-IL"/>
        </w:rPr>
        <w:t>השוק</w:t>
      </w:r>
      <w:r w:rsidRPr="005E7E86">
        <w:rPr>
          <w:rFonts w:cs="FrankRuehl"/>
          <w:sz w:val="20"/>
          <w:szCs w:val="22"/>
          <w:rtl/>
          <w:lang w:eastAsia="he-IL"/>
        </w:rPr>
        <w:t xml:space="preserve"> </w:t>
      </w:r>
      <w:r w:rsidRPr="005E7E86">
        <w:rPr>
          <w:rFonts w:cs="FrankRuehl" w:hint="eastAsia"/>
          <w:sz w:val="20"/>
          <w:szCs w:val="22"/>
          <w:rtl/>
          <w:lang w:eastAsia="he-IL"/>
        </w:rPr>
        <w:t>החופשי</w:t>
      </w:r>
      <w:r w:rsidRPr="005E7E86">
        <w:rPr>
          <w:rFonts w:cs="FrankRuehl" w:hint="cs"/>
          <w:sz w:val="20"/>
          <w:szCs w:val="22"/>
          <w:rtl/>
          <w:lang w:eastAsia="he-IL"/>
        </w:rPr>
        <w:t>,</w:t>
      </w:r>
      <w:r w:rsidRPr="005E7E86">
        <w:rPr>
          <w:rFonts w:cs="FrankRuehl"/>
          <w:sz w:val="20"/>
          <w:szCs w:val="22"/>
          <w:rtl/>
          <w:lang w:eastAsia="he-IL"/>
        </w:rPr>
        <w:t xml:space="preserve"> </w:t>
      </w:r>
      <w:r w:rsidRPr="005E7E86">
        <w:rPr>
          <w:rFonts w:cs="FrankRuehl" w:hint="cs"/>
          <w:sz w:val="20"/>
          <w:szCs w:val="22"/>
          <w:rtl/>
          <w:lang w:eastAsia="he-IL"/>
        </w:rPr>
        <w:t>ו</w:t>
      </w:r>
      <w:r w:rsidRPr="005E7E86">
        <w:rPr>
          <w:rFonts w:cs="FrankRuehl"/>
          <w:sz w:val="20"/>
          <w:szCs w:val="22"/>
          <w:rtl/>
          <w:lang w:eastAsia="he-IL"/>
        </w:rPr>
        <w:t xml:space="preserve">"מדובר </w:t>
      </w:r>
      <w:r w:rsidRPr="005E7E86">
        <w:rPr>
          <w:rFonts w:cs="FrankRuehl" w:hint="eastAsia"/>
          <w:sz w:val="20"/>
          <w:szCs w:val="22"/>
          <w:rtl/>
          <w:lang w:eastAsia="he-IL"/>
        </w:rPr>
        <w:t>בעקרונות</w:t>
      </w:r>
      <w:r w:rsidRPr="005E7E86">
        <w:rPr>
          <w:rFonts w:cs="FrankRuehl"/>
          <w:sz w:val="20"/>
          <w:szCs w:val="22"/>
          <w:rtl/>
          <w:lang w:eastAsia="he-IL"/>
        </w:rPr>
        <w:t xml:space="preserve"> </w:t>
      </w:r>
      <w:r w:rsidRPr="005E7E86">
        <w:rPr>
          <w:rFonts w:cs="FrankRuehl" w:hint="eastAsia"/>
          <w:sz w:val="20"/>
          <w:szCs w:val="22"/>
          <w:rtl/>
          <w:lang w:eastAsia="he-IL"/>
        </w:rPr>
        <w:t>שראש</w:t>
      </w:r>
      <w:r w:rsidRPr="005E7E86">
        <w:rPr>
          <w:rFonts w:cs="FrankRuehl"/>
          <w:sz w:val="20"/>
          <w:szCs w:val="22"/>
          <w:rtl/>
          <w:lang w:eastAsia="he-IL"/>
        </w:rPr>
        <w:t xml:space="preserve"> </w:t>
      </w:r>
      <w:r w:rsidRPr="005E7E86">
        <w:rPr>
          <w:rFonts w:cs="FrankRuehl" w:hint="eastAsia"/>
          <w:sz w:val="20"/>
          <w:szCs w:val="22"/>
          <w:rtl/>
          <w:lang w:eastAsia="he-IL"/>
        </w:rPr>
        <w:t>הממשלה</w:t>
      </w:r>
      <w:r w:rsidRPr="005E7E86">
        <w:rPr>
          <w:rFonts w:cs="FrankRuehl"/>
          <w:sz w:val="20"/>
          <w:szCs w:val="22"/>
          <w:rtl/>
          <w:lang w:eastAsia="he-IL"/>
        </w:rPr>
        <w:t xml:space="preserve"> </w:t>
      </w:r>
      <w:r w:rsidRPr="005E7E86">
        <w:rPr>
          <w:rFonts w:cs="FrankRuehl" w:hint="eastAsia"/>
          <w:sz w:val="20"/>
          <w:szCs w:val="22"/>
          <w:rtl/>
          <w:lang w:eastAsia="he-IL"/>
        </w:rPr>
        <w:t>מזוהה</w:t>
      </w:r>
      <w:r w:rsidRPr="005E7E86">
        <w:rPr>
          <w:rFonts w:cs="FrankRuehl"/>
          <w:sz w:val="20"/>
          <w:szCs w:val="22"/>
          <w:rtl/>
          <w:lang w:eastAsia="he-IL"/>
        </w:rPr>
        <w:t xml:space="preserve"> </w:t>
      </w:r>
      <w:r w:rsidRPr="005E7E86">
        <w:rPr>
          <w:rFonts w:cs="FrankRuehl" w:hint="eastAsia"/>
          <w:sz w:val="20"/>
          <w:szCs w:val="22"/>
          <w:rtl/>
          <w:lang w:eastAsia="he-IL"/>
        </w:rPr>
        <w:t>איתם</w:t>
      </w:r>
      <w:r w:rsidRPr="005E7E86">
        <w:rPr>
          <w:rFonts w:cs="FrankRuehl"/>
          <w:sz w:val="20"/>
          <w:szCs w:val="22"/>
          <w:rtl/>
          <w:lang w:eastAsia="he-IL"/>
        </w:rPr>
        <w:t xml:space="preserve"> </w:t>
      </w:r>
      <w:r w:rsidRPr="005E7E86">
        <w:rPr>
          <w:rFonts w:cs="FrankRuehl" w:hint="eastAsia"/>
          <w:sz w:val="20"/>
          <w:szCs w:val="22"/>
          <w:rtl/>
          <w:lang w:eastAsia="he-IL"/>
        </w:rPr>
        <w:t>ולא</w:t>
      </w:r>
      <w:r w:rsidRPr="005E7E86">
        <w:rPr>
          <w:rFonts w:cs="FrankRuehl"/>
          <w:sz w:val="20"/>
          <w:szCs w:val="22"/>
          <w:rtl/>
          <w:lang w:eastAsia="he-IL"/>
        </w:rPr>
        <w:t xml:space="preserve"> </w:t>
      </w:r>
      <w:r w:rsidRPr="005E7E86">
        <w:rPr>
          <w:rFonts w:cs="FrankRuehl" w:hint="eastAsia"/>
          <w:sz w:val="20"/>
          <w:szCs w:val="22"/>
          <w:rtl/>
          <w:lang w:eastAsia="he-IL"/>
        </w:rPr>
        <w:t>יכול</w:t>
      </w:r>
      <w:r w:rsidRPr="005E7E86">
        <w:rPr>
          <w:rFonts w:cs="FrankRuehl"/>
          <w:sz w:val="20"/>
          <w:szCs w:val="22"/>
          <w:rtl/>
          <w:lang w:eastAsia="he-IL"/>
        </w:rPr>
        <w:t xml:space="preserve"> </w:t>
      </w:r>
      <w:r w:rsidRPr="005E7E86">
        <w:rPr>
          <w:rFonts w:cs="FrankRuehl" w:hint="eastAsia"/>
          <w:sz w:val="20"/>
          <w:szCs w:val="22"/>
          <w:rtl/>
          <w:lang w:eastAsia="he-IL"/>
        </w:rPr>
        <w:t>להיות</w:t>
      </w:r>
      <w:r w:rsidRPr="005E7E86">
        <w:rPr>
          <w:rFonts w:cs="FrankRuehl"/>
          <w:sz w:val="20"/>
          <w:szCs w:val="22"/>
          <w:rtl/>
          <w:lang w:eastAsia="he-IL"/>
        </w:rPr>
        <w:t xml:space="preserve"> </w:t>
      </w:r>
      <w:r w:rsidRPr="005E7E86">
        <w:rPr>
          <w:rFonts w:cs="FrankRuehl" w:hint="eastAsia"/>
          <w:sz w:val="20"/>
          <w:szCs w:val="22"/>
          <w:rtl/>
          <w:lang w:eastAsia="he-IL"/>
        </w:rPr>
        <w:t>כל</w:t>
      </w:r>
      <w:r w:rsidRPr="005E7E86">
        <w:rPr>
          <w:rFonts w:cs="FrankRuehl"/>
          <w:sz w:val="20"/>
          <w:szCs w:val="22"/>
          <w:rtl/>
          <w:lang w:eastAsia="he-IL"/>
        </w:rPr>
        <w:t xml:space="preserve"> </w:t>
      </w:r>
      <w:r w:rsidRPr="005E7E86">
        <w:rPr>
          <w:rFonts w:cs="FrankRuehl" w:hint="eastAsia"/>
          <w:sz w:val="20"/>
          <w:szCs w:val="22"/>
          <w:rtl/>
          <w:lang w:eastAsia="he-IL"/>
        </w:rPr>
        <w:t>ניגוד</w:t>
      </w:r>
      <w:r w:rsidRPr="005E7E86">
        <w:rPr>
          <w:rFonts w:cs="FrankRuehl"/>
          <w:sz w:val="20"/>
          <w:szCs w:val="22"/>
          <w:rtl/>
          <w:lang w:eastAsia="he-IL"/>
        </w:rPr>
        <w:t xml:space="preserve"> </w:t>
      </w:r>
      <w:r w:rsidRPr="005E7E86">
        <w:rPr>
          <w:rFonts w:cs="FrankRuehl" w:hint="eastAsia"/>
          <w:sz w:val="20"/>
          <w:szCs w:val="22"/>
          <w:rtl/>
          <w:lang w:eastAsia="he-IL"/>
        </w:rPr>
        <w:t>עניינים</w:t>
      </w:r>
      <w:r w:rsidRPr="005E7E86">
        <w:rPr>
          <w:rFonts w:cs="FrankRuehl"/>
          <w:sz w:val="20"/>
          <w:szCs w:val="22"/>
          <w:rtl/>
          <w:lang w:eastAsia="he-IL"/>
        </w:rPr>
        <w:t xml:space="preserve"> </w:t>
      </w:r>
      <w:r w:rsidRPr="005E7E86">
        <w:rPr>
          <w:rFonts w:cs="FrankRuehl" w:hint="eastAsia"/>
          <w:sz w:val="20"/>
          <w:szCs w:val="22"/>
          <w:rtl/>
          <w:lang w:eastAsia="he-IL"/>
        </w:rPr>
        <w:t>במימון</w:t>
      </w:r>
      <w:r w:rsidRPr="005E7E86">
        <w:rPr>
          <w:rFonts w:cs="FrankRuehl"/>
          <w:sz w:val="20"/>
          <w:szCs w:val="22"/>
          <w:rtl/>
          <w:lang w:eastAsia="he-IL"/>
        </w:rPr>
        <w:t xml:space="preserve"> </w:t>
      </w:r>
      <w:r w:rsidRPr="005E7E86">
        <w:rPr>
          <w:rFonts w:cs="FrankRuehl" w:hint="eastAsia"/>
          <w:sz w:val="20"/>
          <w:szCs w:val="22"/>
          <w:rtl/>
          <w:lang w:eastAsia="he-IL"/>
        </w:rPr>
        <w:t>זה</w:t>
      </w:r>
      <w:r w:rsidRPr="005E7E86">
        <w:rPr>
          <w:rFonts w:cs="FrankRuehl"/>
          <w:sz w:val="20"/>
          <w:szCs w:val="22"/>
          <w:rtl/>
          <w:lang w:eastAsia="he-IL"/>
        </w:rPr>
        <w:t>".</w:t>
      </w:r>
    </w:p>
    <w:p w:rsidR="009B5B44" w:rsidRPr="005E7E86" w:rsidP="00BF3C50">
      <w:pPr>
        <w:pStyle w:val="RESHET"/>
        <w:keepLines/>
        <w:rPr>
          <w:rtl/>
        </w:rPr>
      </w:pPr>
      <w:r w:rsidRPr="005E7E86">
        <w:rPr>
          <w:rFonts w:hint="cs"/>
          <w:rtl/>
        </w:rPr>
        <w:t xml:space="preserve">לדעת משרד מבקר המדינה, נוכח הסמכויות הנרחבות של שר האוצר ובהתחשב באינטרסים פוטנציאליים של הגורמים השונים שמימנו את הנסיעות, ובהם גופים ואנשים פרטיים שהיו להם קשרים מסוגים שונים לשר האוצר דאז או למשק הישראלי, ולנוכח החשש לניגוד עניינים, ראוי היה שמר נתניהו ינקוט את מידת הזהירות ויפנה לוועדה למתן היתרים כדי שתבחן אם ניתן לתת לו היתר לנסיעה. </w:t>
      </w:r>
    </w:p>
    <w:p w:rsidR="009B5B44" w:rsidRPr="00742B46" w:rsidP="00BF3C50">
      <w:pPr>
        <w:pStyle w:val="KOT4"/>
        <w:rPr>
          <w:rtl/>
        </w:rPr>
      </w:pPr>
      <w:r w:rsidRPr="00742B46">
        <w:rPr>
          <w:rFonts w:hint="cs"/>
          <w:rtl/>
        </w:rPr>
        <w:t>נסיעות</w:t>
      </w:r>
      <w:r>
        <w:rPr>
          <w:rFonts w:hint="cs"/>
          <w:rtl/>
        </w:rPr>
        <w:t xml:space="preserve"> </w:t>
      </w:r>
      <w:r w:rsidRPr="00742B46">
        <w:rPr>
          <w:rFonts w:hint="cs"/>
          <w:rtl/>
        </w:rPr>
        <w:t>שר</w:t>
      </w:r>
      <w:r>
        <w:rPr>
          <w:rFonts w:hint="cs"/>
          <w:rtl/>
        </w:rPr>
        <w:t xml:space="preserve"> </w:t>
      </w:r>
      <w:r w:rsidRPr="00742B46">
        <w:rPr>
          <w:rFonts w:hint="cs"/>
          <w:rtl/>
        </w:rPr>
        <w:t>האוצר</w:t>
      </w:r>
      <w:r>
        <w:rPr>
          <w:rFonts w:hint="cs"/>
          <w:rtl/>
        </w:rPr>
        <w:t xml:space="preserve"> </w:t>
      </w:r>
      <w:r w:rsidRPr="00742B46">
        <w:rPr>
          <w:rFonts w:hint="cs"/>
          <w:rtl/>
        </w:rPr>
        <w:t>במימון</w:t>
      </w:r>
      <w:r>
        <w:rPr>
          <w:rFonts w:hint="cs"/>
          <w:rtl/>
        </w:rPr>
        <w:t xml:space="preserve"> </w:t>
      </w:r>
      <w:r w:rsidRPr="00742B46">
        <w:rPr>
          <w:rFonts w:hint="cs"/>
          <w:rtl/>
        </w:rPr>
        <w:t>הבונדס</w:t>
      </w:r>
    </w:p>
    <w:p w:rsidR="009B5B44" w:rsidRPr="005E7E86" w:rsidP="00BF0FE2">
      <w:pPr>
        <w:spacing w:after="120" w:line="230" w:lineRule="exact"/>
        <w:jc w:val="both"/>
        <w:rPr>
          <w:rFonts w:cs="FrankRuehl"/>
          <w:sz w:val="20"/>
          <w:szCs w:val="22"/>
          <w:rtl/>
          <w:lang w:eastAsia="he-IL"/>
        </w:rPr>
      </w:pPr>
      <w:r w:rsidRPr="005E7E86">
        <w:rPr>
          <w:rFonts w:cs="FrankRuehl" w:hint="cs"/>
          <w:sz w:val="20"/>
          <w:szCs w:val="22"/>
          <w:rtl/>
          <w:lang w:eastAsia="he-IL"/>
        </w:rPr>
        <w:t>מדינת ישראל מוכרת איגרות חוב-מדינה למשקיעים פרטיים ומוסדיים באירופה, בצפון אמריקה ובדרומה. המכירה נעשית באמצעות ארבעה ארגונים: בארצות הברית ובבריטניה קיימים שני ארגונים ששמם</w:t>
      </w:r>
      <w:r w:rsidR="00BF0FE2">
        <w:rPr>
          <w:rFonts w:cs="FrankRuehl" w:hint="cs"/>
          <w:sz w:val="20"/>
          <w:szCs w:val="22"/>
          <w:rtl/>
          <w:lang w:eastAsia="he-IL"/>
        </w:rPr>
        <w:t>:</w:t>
      </w:r>
      <w:r w:rsidRPr="005E7E86">
        <w:rPr>
          <w:rFonts w:cs="FrankRuehl" w:hint="cs"/>
          <w:sz w:val="20"/>
          <w:szCs w:val="22"/>
          <w:rtl/>
          <w:lang w:eastAsia="he-IL"/>
        </w:rPr>
        <w:t xml:space="preserve"> </w:t>
      </w:r>
      <w:r w:rsidRPr="005E7E86">
        <w:rPr>
          <w:rFonts w:cs="FrankRuehl"/>
          <w:sz w:val="20"/>
          <w:szCs w:val="22"/>
          <w:lang w:eastAsia="he-IL"/>
        </w:rPr>
        <w:t>The Development Corporation for Israel</w:t>
      </w:r>
      <w:r w:rsidR="00BF0FE2">
        <w:rPr>
          <w:rFonts w:cs="FrankRuehl"/>
          <w:sz w:val="20"/>
          <w:szCs w:val="22"/>
          <w:lang w:eastAsia="he-IL"/>
        </w:rPr>
        <w:t>)</w:t>
      </w:r>
      <w:r w:rsidRPr="005E7E86">
        <w:rPr>
          <w:rFonts w:cs="FrankRuehl"/>
          <w:sz w:val="20"/>
          <w:szCs w:val="22"/>
          <w:lang w:eastAsia="he-IL"/>
        </w:rPr>
        <w:t xml:space="preserve"> </w:t>
      </w:r>
      <w:r w:rsidRPr="005E7E86">
        <w:rPr>
          <w:rFonts w:cs="FrankRuehl" w:hint="cs"/>
          <w:sz w:val="20"/>
          <w:szCs w:val="22"/>
          <w:lang w:eastAsia="he-IL"/>
        </w:rPr>
        <w:t>DCI</w:t>
      </w:r>
      <w:r w:rsidRPr="005E7E86">
        <w:rPr>
          <w:rFonts w:cs="FrankRuehl" w:hint="cs"/>
          <w:sz w:val="20"/>
          <w:szCs w:val="22"/>
          <w:rtl/>
          <w:lang w:eastAsia="he-IL"/>
        </w:rPr>
        <w:t>); בקנדה הארגון מכונה</w:t>
      </w:r>
      <w:r w:rsidR="00BF0FE2">
        <w:rPr>
          <w:rFonts w:cs="FrankRuehl" w:hint="cs"/>
          <w:sz w:val="20"/>
          <w:szCs w:val="22"/>
          <w:rtl/>
          <w:lang w:eastAsia="he-IL"/>
        </w:rPr>
        <w:t>:</w:t>
      </w:r>
      <w:r w:rsidRPr="005E7E86">
        <w:rPr>
          <w:rFonts w:cs="FrankRuehl" w:hint="cs"/>
          <w:sz w:val="20"/>
          <w:szCs w:val="22"/>
          <w:rtl/>
          <w:lang w:eastAsia="he-IL"/>
        </w:rPr>
        <w:t xml:space="preserve"> </w:t>
      </w:r>
      <w:r w:rsidRPr="005E7E86">
        <w:rPr>
          <w:rFonts w:cs="FrankRuehl" w:hint="cs"/>
          <w:sz w:val="20"/>
          <w:szCs w:val="22"/>
          <w:lang w:eastAsia="he-IL"/>
        </w:rPr>
        <w:t>C</w:t>
      </w:r>
      <w:r w:rsidRPr="005E7E86">
        <w:rPr>
          <w:rFonts w:cs="FrankRuehl"/>
          <w:sz w:val="20"/>
          <w:szCs w:val="22"/>
          <w:lang w:eastAsia="he-IL"/>
        </w:rPr>
        <w:t>anada Israel Securities</w:t>
      </w:r>
      <w:r w:rsidRPr="005E7E86">
        <w:rPr>
          <w:rFonts w:cs="FrankRuehl" w:hint="cs"/>
          <w:sz w:val="20"/>
          <w:szCs w:val="22"/>
          <w:rtl/>
          <w:lang w:eastAsia="he-IL"/>
        </w:rPr>
        <w:t xml:space="preserve">, וביתר המדינות הארגון נקרא: </w:t>
      </w:r>
      <w:r w:rsidRPr="005E7E86">
        <w:rPr>
          <w:rFonts w:cs="FrankRuehl"/>
          <w:sz w:val="20"/>
          <w:szCs w:val="22"/>
          <w:lang w:eastAsia="he-IL"/>
        </w:rPr>
        <w:t>Israel Bonds International</w:t>
      </w:r>
      <w:r w:rsidRPr="005E7E86">
        <w:rPr>
          <w:rFonts w:cs="FrankRuehl" w:hint="cs"/>
          <w:sz w:val="20"/>
          <w:szCs w:val="22"/>
          <w:rtl/>
          <w:lang w:eastAsia="he-IL"/>
        </w:rPr>
        <w:t>. הארגונים פועלים לפי חוק</w:t>
      </w:r>
      <w:r w:rsidRPr="005E7E86">
        <w:rPr>
          <w:rFonts w:cs="FrankRuehl"/>
          <w:sz w:val="20"/>
          <w:szCs w:val="22"/>
          <w:rtl/>
          <w:lang w:eastAsia="he-IL"/>
        </w:rPr>
        <w:t xml:space="preserve"> </w:t>
      </w:r>
      <w:r w:rsidRPr="005E7E86">
        <w:rPr>
          <w:rFonts w:cs="FrankRuehl" w:hint="cs"/>
          <w:sz w:val="20"/>
          <w:szCs w:val="22"/>
          <w:rtl/>
          <w:lang w:eastAsia="he-IL"/>
        </w:rPr>
        <w:t>מקומי במדינה שבה הם פועלים ומפוקחים על ידי רשויותיה. כלל הארגונים האמורים לעיל נקראים בדוח זה "הבונדס".</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lang w:eastAsia="he-IL"/>
        </w:rPr>
        <w:t>החשב הכללי במשרד האוצר קובע את מדיניות גיוס ההון על ידי הבונדס (</w:t>
      </w:r>
      <w:r w:rsidRPr="005E7E86">
        <w:rPr>
          <w:rFonts w:cs="FrankRuehl" w:hint="eastAsia"/>
          <w:sz w:val="20"/>
          <w:szCs w:val="22"/>
          <w:rtl/>
          <w:lang w:eastAsia="he-IL"/>
        </w:rPr>
        <w:t>הממומן</w:t>
      </w:r>
      <w:r w:rsidRPr="005E7E86">
        <w:rPr>
          <w:rFonts w:cs="FrankRuehl"/>
          <w:sz w:val="20"/>
          <w:szCs w:val="22"/>
          <w:rtl/>
          <w:lang w:eastAsia="he-IL"/>
        </w:rPr>
        <w:t xml:space="preserve"> </w:t>
      </w:r>
      <w:r w:rsidRPr="005E7E86">
        <w:rPr>
          <w:rFonts w:cs="FrankRuehl" w:hint="eastAsia"/>
          <w:sz w:val="20"/>
          <w:szCs w:val="22"/>
          <w:rtl/>
          <w:lang w:eastAsia="he-IL"/>
        </w:rPr>
        <w:t>במלואו</w:t>
      </w:r>
      <w:r w:rsidRPr="005E7E86">
        <w:rPr>
          <w:rFonts w:cs="FrankRuehl" w:hint="cs"/>
          <w:sz w:val="20"/>
          <w:szCs w:val="22"/>
          <w:rtl/>
          <w:lang w:eastAsia="he-IL"/>
        </w:rPr>
        <w:t xml:space="preserve"> על ידי מדינת ישראל) בהתאם לצורכי מטבע החוץ של הממשלה, בהתאם לעלויות הגיוס האלטרנטיביות של הממשלה ובהתאם ליעדים אסטרטגיים בניהול החוב החיצוני של מדינת ישראל. בשנת 2010 גייס ארגון הבונדס 1.255 מיליארד דולר. </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lang w:eastAsia="he-IL"/>
        </w:rPr>
        <w:t xml:space="preserve">רכישת איגרות החוב מאפשרת בין היתר לרוכש להביע תמיכה אישית בישראל, שכן מלבד ההיבט העסקי יש הרואים ברכישת איגרת החוב של הבונדס תרומה לחיזוק כלכלתה של מדינת ישראל והשתתפות במפעל הציוני. </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lang w:eastAsia="he-IL"/>
        </w:rPr>
        <w:t>הנוהג המושרש הוא כי שר האוצר או ראש הממשלה ממליצים לדירקטוריון הבונדס בארצות הברית (ה-</w:t>
      </w:r>
      <w:r w:rsidRPr="005E7E86">
        <w:rPr>
          <w:rFonts w:cs="FrankRuehl" w:hint="cs"/>
          <w:sz w:val="20"/>
          <w:szCs w:val="22"/>
          <w:lang w:eastAsia="he-IL"/>
        </w:rPr>
        <w:t>DCI</w:t>
      </w:r>
      <w:r w:rsidRPr="005E7E86">
        <w:rPr>
          <w:rFonts w:cs="FrankRuehl" w:hint="cs"/>
          <w:sz w:val="20"/>
          <w:szCs w:val="22"/>
          <w:rtl/>
          <w:lang w:eastAsia="he-IL"/>
        </w:rPr>
        <w:t>) על מינוי של נשיא הבונדס. בשנים 2005 ו-2008 המליצו שרי האוצר דאז על הארכת כהונתו של נשיא בונדס ארצות הברית.</w:t>
      </w:r>
    </w:p>
    <w:p w:rsidR="009B5B44" w:rsidRPr="005E7E86" w:rsidP="005E7E86">
      <w:pPr>
        <w:spacing w:after="120" w:line="230" w:lineRule="exact"/>
        <w:jc w:val="both"/>
        <w:rPr>
          <w:rFonts w:cs="FrankRuehl"/>
          <w:sz w:val="20"/>
          <w:szCs w:val="22"/>
          <w:rtl/>
          <w:lang w:eastAsia="he-IL"/>
        </w:rPr>
      </w:pPr>
    </w:p>
    <w:p w:rsidR="009B5B44" w:rsidRPr="00742B46" w:rsidP="00BF3C50">
      <w:pPr>
        <w:pStyle w:val="KOT5"/>
        <w:rPr>
          <w:rtl/>
        </w:rPr>
      </w:pPr>
      <w:r w:rsidRPr="00742B46">
        <w:rPr>
          <w:rFonts w:hint="cs"/>
          <w:rtl/>
        </w:rPr>
        <w:t>נסיעות</w:t>
      </w:r>
      <w:r>
        <w:rPr>
          <w:rFonts w:hint="cs"/>
          <w:rtl/>
        </w:rPr>
        <w:t xml:space="preserve"> </w:t>
      </w:r>
      <w:r w:rsidRPr="00742B46">
        <w:rPr>
          <w:rFonts w:hint="cs"/>
          <w:rtl/>
        </w:rPr>
        <w:t>שר</w:t>
      </w:r>
      <w:r>
        <w:rPr>
          <w:rFonts w:hint="cs"/>
          <w:rtl/>
        </w:rPr>
        <w:t xml:space="preserve"> </w:t>
      </w:r>
      <w:r w:rsidRPr="00742B46">
        <w:rPr>
          <w:rFonts w:hint="cs"/>
          <w:rtl/>
        </w:rPr>
        <w:t>האוצר</w:t>
      </w:r>
      <w:r>
        <w:rPr>
          <w:rFonts w:hint="cs"/>
          <w:rtl/>
        </w:rPr>
        <w:t xml:space="preserve"> </w:t>
      </w:r>
      <w:r w:rsidRPr="00742B46">
        <w:rPr>
          <w:rFonts w:hint="cs"/>
          <w:rtl/>
        </w:rPr>
        <w:t>במימון</w:t>
      </w:r>
      <w:r>
        <w:rPr>
          <w:rFonts w:hint="cs"/>
          <w:rtl/>
        </w:rPr>
        <w:t xml:space="preserve"> </w:t>
      </w:r>
      <w:r w:rsidRPr="00742B46">
        <w:rPr>
          <w:rFonts w:hint="cs"/>
          <w:rtl/>
        </w:rPr>
        <w:t>הבונדס</w:t>
      </w:r>
      <w:r>
        <w:rPr>
          <w:rFonts w:hint="cs"/>
          <w:rtl/>
        </w:rPr>
        <w:t xml:space="preserve"> </w:t>
      </w:r>
      <w:r w:rsidRPr="00742B46">
        <w:rPr>
          <w:rFonts w:hint="cs"/>
          <w:rtl/>
        </w:rPr>
        <w:t>לאירועים</w:t>
      </w:r>
      <w:r>
        <w:rPr>
          <w:rFonts w:hint="cs"/>
          <w:rtl/>
        </w:rPr>
        <w:t xml:space="preserve"> </w:t>
      </w:r>
      <w:r w:rsidRPr="00742B46">
        <w:rPr>
          <w:rFonts w:hint="cs"/>
          <w:rtl/>
        </w:rPr>
        <w:t>מטעם</w:t>
      </w:r>
      <w:r>
        <w:rPr>
          <w:rFonts w:hint="cs"/>
          <w:rtl/>
        </w:rPr>
        <w:t xml:space="preserve"> </w:t>
      </w:r>
      <w:r w:rsidRPr="00742B46">
        <w:rPr>
          <w:rFonts w:hint="cs"/>
          <w:rtl/>
        </w:rPr>
        <w:t>הבונדס</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rPr>
        <w:t>שרים מוזמנים על ידי גורמים שונים להשתתף באירועים של גיוס כספים וגיוס תרומות בחו"ל, שמרביתם מתקיימים למען מטרות ציבוריות. ברוב האירועים האמורים השרים הם האישיות המרכזית באירוע, והם מתבקשים לכבדו בנוכחותם ולמלא בו "תפקיד כבוד", שאינו כרוך במעורבות שוטפת בפעילות שמקיים אותו גוף. הנחיית היועץ המשפטי לממשלה ממאי 2000</w:t>
      </w:r>
      <w:r>
        <w:rPr>
          <w:rFonts w:cs="FrankRuehl"/>
          <w:sz w:val="20"/>
          <w:szCs w:val="22"/>
          <w:vertAlign w:val="superscript"/>
          <w:rtl/>
        </w:rPr>
        <w:footnoteReference w:id="26"/>
      </w:r>
      <w:r w:rsidRPr="005E7E86">
        <w:rPr>
          <w:rFonts w:cs="FrankRuehl" w:hint="cs"/>
          <w:sz w:val="20"/>
          <w:szCs w:val="22"/>
          <w:rtl/>
        </w:rPr>
        <w:t xml:space="preserve"> </w:t>
      </w:r>
      <w:r w:rsidRPr="005E7E86">
        <w:rPr>
          <w:rFonts w:cs="FrankRuehl" w:hint="cs"/>
          <w:sz w:val="20"/>
          <w:szCs w:val="22"/>
          <w:rtl/>
          <w:lang w:eastAsia="he-IL"/>
        </w:rPr>
        <w:t>בנושא "מתן חסויות וגיוס תרומות בידי עובדי ציבור"</w:t>
      </w:r>
      <w:r>
        <w:rPr>
          <w:rStyle w:val="FootnoteReference"/>
          <w:rFonts w:cs="FrankRuehl"/>
          <w:sz w:val="20"/>
          <w:szCs w:val="22"/>
          <w:rtl/>
          <w:lang w:eastAsia="he-IL"/>
        </w:rPr>
        <w:footnoteReference w:id="27"/>
      </w:r>
      <w:r w:rsidRPr="005E7E86">
        <w:rPr>
          <w:rFonts w:cs="FrankRuehl" w:hint="cs"/>
          <w:sz w:val="20"/>
          <w:szCs w:val="22"/>
          <w:rtl/>
          <w:lang w:eastAsia="he-IL"/>
        </w:rPr>
        <w:t xml:space="preserve"> </w:t>
      </w:r>
      <w:r w:rsidRPr="005E7E86">
        <w:rPr>
          <w:rFonts w:cs="FrankRuehl" w:hint="cs"/>
          <w:sz w:val="20"/>
          <w:szCs w:val="22"/>
          <w:rtl/>
        </w:rPr>
        <w:t>(להלן - נוהל גיוס תרומות) מגדירה לעניין זה שרים כעובדי ציבור וקובעת שהשתתפותם כאורחים מרכזיים באירוע של גיוס תרומות וכספים היא בגדר מתן חסות לאירוע.</w:t>
      </w:r>
      <w:r w:rsidRPr="005E7E86">
        <w:rPr>
          <w:rFonts w:cs="FrankRuehl" w:hint="cs"/>
          <w:sz w:val="20"/>
          <w:szCs w:val="22"/>
          <w:rtl/>
          <w:lang w:eastAsia="he-IL"/>
        </w:rPr>
        <w:t xml:space="preserve"> לפי הנורמות שנקבעו בנוהל גיוס תרומות, ניתן לראות בהשתתפות של שר באירועים מטעם הבונדס ובעידוד רכישת איגרות החוב של מדינת ישראל </w:t>
      </w:r>
      <w:r w:rsidRPr="005E7E86">
        <w:rPr>
          <w:rFonts w:cs="FrankRuehl" w:hint="eastAsia"/>
          <w:sz w:val="20"/>
          <w:szCs w:val="22"/>
          <w:rtl/>
          <w:lang w:eastAsia="he-IL"/>
        </w:rPr>
        <w:t>מתן</w:t>
      </w:r>
      <w:r w:rsidRPr="005E7E86">
        <w:rPr>
          <w:rFonts w:cs="FrankRuehl"/>
          <w:sz w:val="20"/>
          <w:szCs w:val="22"/>
          <w:rtl/>
          <w:lang w:eastAsia="he-IL"/>
        </w:rPr>
        <w:t xml:space="preserve"> </w:t>
      </w:r>
      <w:r w:rsidRPr="005E7E86">
        <w:rPr>
          <w:rFonts w:cs="FrankRuehl" w:hint="eastAsia"/>
          <w:sz w:val="20"/>
          <w:szCs w:val="22"/>
          <w:rtl/>
          <w:lang w:eastAsia="he-IL"/>
        </w:rPr>
        <w:t>חסות</w:t>
      </w:r>
      <w:r w:rsidRPr="005E7E86">
        <w:rPr>
          <w:rFonts w:cs="FrankRuehl"/>
          <w:sz w:val="20"/>
          <w:szCs w:val="22"/>
          <w:rtl/>
          <w:lang w:eastAsia="he-IL"/>
        </w:rPr>
        <w:t xml:space="preserve"> </w:t>
      </w:r>
      <w:r w:rsidRPr="005E7E86">
        <w:rPr>
          <w:rFonts w:cs="FrankRuehl" w:hint="eastAsia"/>
          <w:sz w:val="20"/>
          <w:szCs w:val="22"/>
          <w:rtl/>
          <w:lang w:eastAsia="he-IL"/>
        </w:rPr>
        <w:t>לאירועים</w:t>
      </w:r>
      <w:r w:rsidRPr="005E7E86">
        <w:rPr>
          <w:rFonts w:cs="FrankRuehl"/>
          <w:sz w:val="20"/>
          <w:szCs w:val="22"/>
          <w:rtl/>
          <w:lang w:eastAsia="he-IL"/>
        </w:rPr>
        <w:t xml:space="preserve"> </w:t>
      </w:r>
      <w:r w:rsidRPr="005E7E86">
        <w:rPr>
          <w:rFonts w:cs="FrankRuehl" w:hint="eastAsia"/>
          <w:sz w:val="20"/>
          <w:szCs w:val="22"/>
          <w:rtl/>
          <w:lang w:eastAsia="he-IL"/>
        </w:rPr>
        <w:t>אלה</w:t>
      </w:r>
      <w:r w:rsidRPr="005E7E86">
        <w:rPr>
          <w:rFonts w:cs="FrankRuehl" w:hint="cs"/>
          <w:sz w:val="20"/>
          <w:szCs w:val="22"/>
          <w:rtl/>
          <w:lang w:eastAsia="he-IL"/>
        </w:rPr>
        <w:t xml:space="preserve">. </w:t>
      </w:r>
      <w:r w:rsidRPr="005E7E86">
        <w:rPr>
          <w:rFonts w:cs="FrankRuehl" w:hint="cs"/>
          <w:sz w:val="20"/>
          <w:szCs w:val="22"/>
          <w:rtl/>
        </w:rPr>
        <w:t>לפי הנוהל, שר ישיב להזמנה להשתתפות באירוע שמהותו גיוס כספים לאחר היוועצות ביועץ המשפטי של משרדו.</w:t>
      </w:r>
    </w:p>
    <w:p w:rsidR="009B5B44" w:rsidRPr="005E7E86" w:rsidP="005E7E86">
      <w:pPr>
        <w:spacing w:after="120" w:line="230" w:lineRule="exact"/>
        <w:jc w:val="both"/>
        <w:rPr>
          <w:rFonts w:cs="FrankRuehl"/>
          <w:sz w:val="20"/>
          <w:szCs w:val="22"/>
          <w:rtl/>
        </w:rPr>
      </w:pPr>
      <w:r w:rsidRPr="005E7E86">
        <w:rPr>
          <w:rFonts w:cs="FrankRuehl" w:hint="cs"/>
          <w:sz w:val="20"/>
          <w:szCs w:val="22"/>
          <w:rtl/>
        </w:rPr>
        <w:t>השתתפותו של שר באירועי התרמה וגיוס כספים קושרת אותו, למצער למראית עין, אל הגוף המתרים, אל מטרותיו ואל פעילותו. נוהל גיוס תרומות קובע כי כדי למנוע את האפשרות שהשר יימצא במצב של ניגוד עניינים או יתעורר חשש למצב כזה, יש לנקוט זהירות והקפדה מיוחדת כאשר מדובר בגיוס כספים או איסוף תרומות. ההנחיה מפרטת "תנאי סף" שיש לבחון ושיקולים נוספים שיש לשקול על מנת להבטיח שהשר לא יימצא במצב של ניגוד עניינים אישי או מוסדי. לדוגמה, יש לתת את הדעת למצב שבו השר עצמו או משרדו נמצאים בקשרים בעלי אופי כלכלי-עסקי עם הגורם המזמין, משום שהוא מספק שירותים למשרד שעליו ממונה השר.</w:t>
      </w:r>
    </w:p>
    <w:p w:rsidR="009B5B44" w:rsidRPr="005E7E86" w:rsidP="00BF3C50">
      <w:pPr>
        <w:spacing w:after="240" w:line="230" w:lineRule="exact"/>
        <w:jc w:val="both"/>
        <w:rPr>
          <w:rFonts w:cs="FrankRuehl"/>
          <w:sz w:val="20"/>
          <w:szCs w:val="22"/>
          <w:rtl/>
        </w:rPr>
      </w:pPr>
      <w:r w:rsidRPr="005E7E86">
        <w:rPr>
          <w:rFonts w:cs="FrankRuehl"/>
          <w:sz w:val="20"/>
          <w:szCs w:val="22"/>
          <w:rtl/>
          <w:lang w:eastAsia="he-IL"/>
        </w:rPr>
        <w:t>בדיקת משרד מבקר המדינה העלתה שהבונדס מימן</w:t>
      </w:r>
      <w:r w:rsidRPr="005E7E86">
        <w:rPr>
          <w:rFonts w:cs="FrankRuehl"/>
          <w:sz w:val="20"/>
          <w:szCs w:val="22"/>
          <w:rtl/>
        </w:rPr>
        <w:t xml:space="preserve"> נסיעות</w:t>
      </w:r>
      <w:r w:rsidRPr="005E7E86">
        <w:rPr>
          <w:rFonts w:cs="FrankRuehl"/>
          <w:sz w:val="20"/>
          <w:szCs w:val="22"/>
          <w:rtl/>
          <w:lang w:eastAsia="he-IL"/>
        </w:rPr>
        <w:t xml:space="preserve"> </w:t>
      </w:r>
      <w:r w:rsidRPr="005E7E86">
        <w:rPr>
          <w:rFonts w:cs="FrankRuehl" w:hint="cs"/>
          <w:sz w:val="20"/>
          <w:szCs w:val="22"/>
          <w:rtl/>
          <w:lang w:eastAsia="he-IL"/>
        </w:rPr>
        <w:t xml:space="preserve">של מר נתניהו </w:t>
      </w:r>
      <w:r w:rsidRPr="005E7E86">
        <w:rPr>
          <w:rFonts w:cs="FrankRuehl"/>
          <w:sz w:val="20"/>
          <w:szCs w:val="22"/>
          <w:rtl/>
          <w:lang w:eastAsia="he-IL"/>
        </w:rPr>
        <w:t xml:space="preserve">כשר </w:t>
      </w:r>
      <w:r w:rsidRPr="005E7E86">
        <w:rPr>
          <w:rFonts w:cs="FrankRuehl" w:hint="cs"/>
          <w:sz w:val="20"/>
          <w:szCs w:val="22"/>
          <w:rtl/>
          <w:lang w:eastAsia="he-IL"/>
        </w:rPr>
        <w:t>ה</w:t>
      </w:r>
      <w:r w:rsidRPr="005E7E86">
        <w:rPr>
          <w:rFonts w:cs="FrankRuehl"/>
          <w:sz w:val="20"/>
          <w:szCs w:val="22"/>
          <w:rtl/>
          <w:lang w:eastAsia="he-IL"/>
        </w:rPr>
        <w:t xml:space="preserve">אוצר </w:t>
      </w:r>
      <w:r w:rsidRPr="005E7E86">
        <w:rPr>
          <w:rFonts w:cs="FrankRuehl" w:hint="cs"/>
          <w:sz w:val="20"/>
          <w:szCs w:val="22"/>
          <w:rtl/>
          <w:lang w:eastAsia="he-IL"/>
        </w:rPr>
        <w:t>לאירועים מטעם הבונדס</w:t>
      </w:r>
      <w:r w:rsidRPr="005E7E86">
        <w:rPr>
          <w:rFonts w:cs="FrankRuehl"/>
          <w:sz w:val="20"/>
          <w:szCs w:val="22"/>
          <w:rtl/>
        </w:rPr>
        <w:t xml:space="preserve">. </w:t>
      </w:r>
    </w:p>
    <w:p w:rsidR="009B5B44" w:rsidRPr="005E7E86" w:rsidP="00BF3C50">
      <w:pPr>
        <w:pStyle w:val="RESHET"/>
        <w:keepLines/>
        <w:rPr>
          <w:rtl/>
        </w:rPr>
      </w:pPr>
      <w:r w:rsidRPr="005E7E86">
        <w:rPr>
          <w:rFonts w:hint="cs"/>
          <w:rtl/>
        </w:rPr>
        <w:t>מהביקורת עלה כי מר נתניהו לא נועץ ביועצת המשפטית של משרד האוצר קודם מימון נסיעותיו על ידי הבונדס על אף נוהל גיוס תרומות, הקובע כי השתתפותם של שרים כאורחים מרכזיים באירוע של גיוס תרומות וכספים היא בגדר מתן חסות לאירוע. נוכח זאת, ונוכח החשש להימצאותו של השר במצב של ניגוד עניינים, היה על מר נתניהו להיוועץ ביועץ המשפטי של משרדו לפני אישור השתתפותו, על חשבון הבונדס, באירועים שקיים ארגון זה. יצוין כי בתקופה האמורה גם שרים אחרים לא נועצו בעניינים אלה עם היועץ המשפטי של משרדם.</w:t>
      </w:r>
    </w:p>
    <w:p w:rsidR="009B5B44" w:rsidRPr="005E7E86" w:rsidP="00BF3C50">
      <w:pPr>
        <w:spacing w:before="180" w:after="120" w:line="230" w:lineRule="exact"/>
        <w:jc w:val="both"/>
        <w:rPr>
          <w:rFonts w:cs="FrankRuehl"/>
          <w:sz w:val="20"/>
          <w:szCs w:val="22"/>
          <w:rtl/>
          <w:lang w:eastAsia="he-IL"/>
        </w:rPr>
      </w:pPr>
      <w:r w:rsidRPr="005E7E86">
        <w:rPr>
          <w:rFonts w:cs="FrankRuehl" w:hint="cs"/>
          <w:sz w:val="20"/>
          <w:szCs w:val="22"/>
          <w:rtl/>
          <w:lang w:eastAsia="he-IL"/>
        </w:rPr>
        <w:t xml:space="preserve">בתגובתו למשרד מבקר המדינה ציין בא כוחו של מר נתניהו, כי "נסיעה במימון הבונדס כמוה כנסיעה במימון המדינה... הבונדס הוא </w:t>
      </w:r>
      <w:r w:rsidRPr="005E7E86">
        <w:rPr>
          <w:rFonts w:cs="FrankRuehl" w:hint="eastAsia"/>
          <w:sz w:val="20"/>
          <w:szCs w:val="22"/>
          <w:u w:val="single"/>
          <w:rtl/>
          <w:lang w:eastAsia="he-IL"/>
        </w:rPr>
        <w:t>זרוע</w:t>
      </w:r>
      <w:r w:rsidRPr="005E7E86">
        <w:rPr>
          <w:rFonts w:cs="FrankRuehl"/>
          <w:sz w:val="20"/>
          <w:szCs w:val="22"/>
          <w:u w:val="single"/>
          <w:rtl/>
          <w:lang w:eastAsia="he-IL"/>
        </w:rPr>
        <w:t xml:space="preserve"> </w:t>
      </w:r>
      <w:r w:rsidRPr="005E7E86">
        <w:rPr>
          <w:rFonts w:cs="FrankRuehl" w:hint="eastAsia"/>
          <w:sz w:val="20"/>
          <w:szCs w:val="22"/>
          <w:u w:val="single"/>
          <w:rtl/>
          <w:lang w:eastAsia="he-IL"/>
        </w:rPr>
        <w:t>של</w:t>
      </w:r>
      <w:r w:rsidRPr="005E7E86">
        <w:rPr>
          <w:rFonts w:cs="FrankRuehl"/>
          <w:sz w:val="20"/>
          <w:szCs w:val="22"/>
          <w:u w:val="single"/>
          <w:rtl/>
          <w:lang w:eastAsia="he-IL"/>
        </w:rPr>
        <w:t xml:space="preserve"> </w:t>
      </w:r>
      <w:r w:rsidRPr="005E7E86">
        <w:rPr>
          <w:rFonts w:cs="FrankRuehl" w:hint="eastAsia"/>
          <w:sz w:val="20"/>
          <w:szCs w:val="22"/>
          <w:u w:val="single"/>
          <w:rtl/>
          <w:lang w:eastAsia="he-IL"/>
        </w:rPr>
        <w:t>המדינה</w:t>
      </w:r>
      <w:r w:rsidRPr="005E7E86">
        <w:rPr>
          <w:rFonts w:cs="FrankRuehl"/>
          <w:sz w:val="20"/>
          <w:szCs w:val="22"/>
          <w:u w:val="single"/>
          <w:rtl/>
          <w:lang w:eastAsia="he-IL"/>
        </w:rPr>
        <w:t xml:space="preserve"> </w:t>
      </w:r>
      <w:r w:rsidRPr="005E7E86">
        <w:rPr>
          <w:rFonts w:cs="FrankRuehl" w:hint="eastAsia"/>
          <w:sz w:val="20"/>
          <w:szCs w:val="22"/>
          <w:u w:val="single"/>
          <w:rtl/>
          <w:lang w:eastAsia="he-IL"/>
        </w:rPr>
        <w:t>לגיוס</w:t>
      </w:r>
      <w:r w:rsidRPr="005E7E86">
        <w:rPr>
          <w:rFonts w:cs="FrankRuehl"/>
          <w:sz w:val="20"/>
          <w:szCs w:val="22"/>
          <w:u w:val="single"/>
          <w:rtl/>
          <w:lang w:eastAsia="he-IL"/>
        </w:rPr>
        <w:t xml:space="preserve"> </w:t>
      </w:r>
      <w:r w:rsidRPr="005E7E86">
        <w:rPr>
          <w:rFonts w:cs="FrankRuehl" w:hint="eastAsia"/>
          <w:sz w:val="20"/>
          <w:szCs w:val="22"/>
          <w:u w:val="single"/>
          <w:rtl/>
          <w:lang w:eastAsia="he-IL"/>
        </w:rPr>
        <w:t>כספים</w:t>
      </w:r>
      <w:r w:rsidRPr="005E7E86">
        <w:rPr>
          <w:rFonts w:cs="FrankRuehl"/>
          <w:sz w:val="20"/>
          <w:szCs w:val="22"/>
          <w:u w:val="single"/>
          <w:rtl/>
          <w:lang w:eastAsia="he-IL"/>
        </w:rPr>
        <w:t xml:space="preserve"> </w:t>
      </w:r>
      <w:r w:rsidRPr="005E7E86">
        <w:rPr>
          <w:rFonts w:cs="FrankRuehl" w:hint="eastAsia"/>
          <w:sz w:val="20"/>
          <w:szCs w:val="22"/>
          <w:u w:val="single"/>
          <w:rtl/>
          <w:lang w:eastAsia="he-IL"/>
        </w:rPr>
        <w:t>עבורה</w:t>
      </w:r>
      <w:r w:rsidRPr="005E7E86">
        <w:rPr>
          <w:rFonts w:cs="FrankRuehl"/>
          <w:sz w:val="20"/>
          <w:szCs w:val="22"/>
          <w:u w:val="single"/>
          <w:rtl/>
          <w:lang w:eastAsia="he-IL"/>
        </w:rPr>
        <w:t xml:space="preserve"> </w:t>
      </w:r>
      <w:r w:rsidRPr="005E7E86">
        <w:rPr>
          <w:rFonts w:cs="FrankRuehl" w:hint="eastAsia"/>
          <w:sz w:val="20"/>
          <w:szCs w:val="22"/>
          <w:u w:val="single"/>
          <w:rtl/>
          <w:lang w:eastAsia="he-IL"/>
        </w:rPr>
        <w:t>בלבד</w:t>
      </w:r>
      <w:r w:rsidRPr="005E7E86">
        <w:rPr>
          <w:rFonts w:cs="FrankRuehl"/>
          <w:sz w:val="20"/>
          <w:szCs w:val="22"/>
          <w:u w:val="single"/>
          <w:rtl/>
          <w:lang w:eastAsia="he-IL"/>
        </w:rPr>
        <w:t xml:space="preserve"> </w:t>
      </w:r>
      <w:r w:rsidRPr="005E7E86">
        <w:rPr>
          <w:rFonts w:cs="FrankRuehl" w:hint="eastAsia"/>
          <w:sz w:val="20"/>
          <w:szCs w:val="22"/>
          <w:u w:val="single"/>
          <w:rtl/>
          <w:lang w:eastAsia="he-IL"/>
        </w:rPr>
        <w:t>והוא</w:t>
      </w:r>
      <w:r w:rsidRPr="005E7E86">
        <w:rPr>
          <w:rFonts w:cs="FrankRuehl"/>
          <w:sz w:val="20"/>
          <w:szCs w:val="22"/>
          <w:u w:val="single"/>
          <w:rtl/>
          <w:lang w:eastAsia="he-IL"/>
        </w:rPr>
        <w:t xml:space="preserve"> </w:t>
      </w:r>
      <w:r w:rsidRPr="005E7E86">
        <w:rPr>
          <w:rFonts w:cs="FrankRuehl" w:hint="eastAsia"/>
          <w:sz w:val="20"/>
          <w:szCs w:val="22"/>
          <w:u w:val="single"/>
          <w:rtl/>
          <w:lang w:eastAsia="he-IL"/>
        </w:rPr>
        <w:t>פועל</w:t>
      </w:r>
      <w:r w:rsidRPr="005E7E86">
        <w:rPr>
          <w:rFonts w:cs="FrankRuehl"/>
          <w:sz w:val="20"/>
          <w:szCs w:val="22"/>
          <w:u w:val="single"/>
          <w:rtl/>
          <w:lang w:eastAsia="he-IL"/>
        </w:rPr>
        <w:t xml:space="preserve"> </w:t>
      </w:r>
      <w:r w:rsidRPr="005E7E86">
        <w:rPr>
          <w:rFonts w:cs="FrankRuehl" w:hint="eastAsia"/>
          <w:sz w:val="20"/>
          <w:szCs w:val="22"/>
          <w:u w:val="single"/>
          <w:rtl/>
          <w:lang w:eastAsia="he-IL"/>
        </w:rPr>
        <w:t>בשליחותה</w:t>
      </w:r>
      <w:r w:rsidRPr="005E7E86">
        <w:rPr>
          <w:rFonts w:cs="FrankRuehl" w:hint="cs"/>
          <w:sz w:val="20"/>
          <w:szCs w:val="22"/>
          <w:rtl/>
          <w:lang w:eastAsia="he-IL"/>
        </w:rPr>
        <w:t xml:space="preserve">" (ההדגשה במקור). מר נתניהו חזר והביע עמדה זו </w:t>
      </w:r>
      <w:r w:rsidRPr="005E7E86">
        <w:rPr>
          <w:rFonts w:cs="FrankRuehl" w:hint="cs"/>
          <w:sz w:val="20"/>
          <w:szCs w:val="22"/>
          <w:rtl/>
        </w:rPr>
        <w:t>בפגישת השימוע עם מבקר המדינה ונציגי משרדו בינואר 2016</w:t>
      </w:r>
      <w:r w:rsidRPr="005E7E86">
        <w:rPr>
          <w:rFonts w:cs="FrankRuehl" w:hint="cs"/>
          <w:sz w:val="20"/>
          <w:szCs w:val="22"/>
          <w:rtl/>
          <w:lang w:eastAsia="he-IL"/>
        </w:rPr>
        <w:t>.</w:t>
      </w:r>
    </w:p>
    <w:p w:rsidR="009B5B44" w:rsidRPr="005E7E86" w:rsidP="00BF3C50">
      <w:pPr>
        <w:spacing w:after="240" w:line="230" w:lineRule="exact"/>
        <w:jc w:val="both"/>
        <w:rPr>
          <w:rFonts w:cs="FrankRuehl"/>
          <w:sz w:val="20"/>
          <w:szCs w:val="22"/>
          <w:rtl/>
          <w:lang w:eastAsia="he-IL"/>
        </w:rPr>
      </w:pPr>
      <w:r w:rsidRPr="005E7E86">
        <w:rPr>
          <w:rFonts w:cs="FrankRuehl" w:hint="cs"/>
          <w:sz w:val="20"/>
          <w:szCs w:val="22"/>
          <w:rtl/>
          <w:lang w:eastAsia="he-IL"/>
        </w:rPr>
        <w:t>מר יהושע מצא, שהיה הנשיא והמנכ"ל של הבונדס בארצות הברית בתקופה הרלוונטית לביקורת, מסר בתגובתו מאוגוסט 2015 על טיוטת הדוח כי "ככלל הזמנת שר האוצר לאירועי הבונדס השונים ונוכחותו נחשבה כהישג להגדלת המכירות והשגת יעדי החשב הכללי. זיקת משרד האוצר לבונדס היא כורח למען השגת יעדי הגיוס".</w:t>
      </w:r>
    </w:p>
    <w:p w:rsidR="009B5B44" w:rsidRPr="005E7E86" w:rsidP="00BF3C50">
      <w:pPr>
        <w:pStyle w:val="RESHET"/>
        <w:keepLines/>
        <w:rPr>
          <w:rtl/>
        </w:rPr>
      </w:pPr>
      <w:r w:rsidRPr="005E7E86">
        <w:rPr>
          <w:rFonts w:hint="cs"/>
          <w:rtl/>
        </w:rPr>
        <w:t xml:space="preserve">בדוח נסיעות שרים העיר </w:t>
      </w:r>
      <w:r w:rsidRPr="005E7E86">
        <w:rPr>
          <w:rtl/>
        </w:rPr>
        <w:t xml:space="preserve">משרד מבקר המדינה כי </w:t>
      </w:r>
      <w:r w:rsidRPr="005E7E86">
        <w:rPr>
          <w:rFonts w:hint="cs"/>
          <w:rtl/>
        </w:rPr>
        <w:t>"</w:t>
      </w:r>
      <w:r w:rsidRPr="005E7E86">
        <w:rPr>
          <w:rtl/>
        </w:rPr>
        <w:t xml:space="preserve">ראוי </w:t>
      </w:r>
      <w:r w:rsidRPr="005E7E86">
        <w:rPr>
          <w:rFonts w:hint="cs"/>
          <w:rtl/>
        </w:rPr>
        <w:t>ש</w:t>
      </w:r>
      <w:r w:rsidRPr="005E7E86">
        <w:rPr>
          <w:rtl/>
        </w:rPr>
        <w:t xml:space="preserve">היועץ המשפטי לממשלה יבחן בשיתוף היועץ המשפטי של משרד האוצר, אם יש בזיקות </w:t>
      </w:r>
      <w:r w:rsidRPr="005E7E86">
        <w:rPr>
          <w:rFonts w:hint="cs"/>
          <w:rtl/>
        </w:rPr>
        <w:t xml:space="preserve">בין משרד האוצר לבונדס </w:t>
      </w:r>
      <w:r w:rsidRPr="005E7E86">
        <w:rPr>
          <w:rtl/>
        </w:rPr>
        <w:t>כדי לעורר חשש לניגוד עניינים</w:t>
      </w:r>
      <w:r w:rsidRPr="005E7E86">
        <w:rPr>
          <w:rFonts w:hint="cs"/>
          <w:rtl/>
        </w:rPr>
        <w:t>,</w:t>
      </w:r>
      <w:r w:rsidRPr="005E7E86">
        <w:rPr>
          <w:rtl/>
        </w:rPr>
        <w:t xml:space="preserve"> ויכריע אם נסיעות שרי אוצר </w:t>
      </w:r>
      <w:r w:rsidRPr="005E7E86">
        <w:rPr>
          <w:rFonts w:hint="cs"/>
          <w:rtl/>
        </w:rPr>
        <w:t xml:space="preserve">יתקיימו </w:t>
      </w:r>
      <w:r w:rsidRPr="005E7E86">
        <w:rPr>
          <w:rtl/>
        </w:rPr>
        <w:t>במימון הבונדס</w:t>
      </w:r>
      <w:r w:rsidRPr="005E7E86">
        <w:rPr>
          <w:rFonts w:hint="cs"/>
          <w:rtl/>
        </w:rPr>
        <w:t>,</w:t>
      </w:r>
      <w:r w:rsidRPr="005E7E86">
        <w:rPr>
          <w:rtl/>
        </w:rPr>
        <w:t xml:space="preserve"> או שיש להעדיף </w:t>
      </w:r>
      <w:r w:rsidRPr="005E7E86">
        <w:rPr>
          <w:rFonts w:hint="cs"/>
          <w:rtl/>
        </w:rPr>
        <w:t xml:space="preserve">שימומנו </w:t>
      </w:r>
      <w:r w:rsidRPr="005E7E86">
        <w:rPr>
          <w:rtl/>
        </w:rPr>
        <w:t>מתקציב הממשלה</w:t>
      </w:r>
      <w:r w:rsidRPr="005E7E86">
        <w:rPr>
          <w:rFonts w:hint="cs"/>
          <w:rtl/>
        </w:rPr>
        <w:t>"</w:t>
      </w:r>
      <w:r w:rsidRPr="005E7E86">
        <w:rPr>
          <w:rtl/>
        </w:rPr>
        <w:t>.</w:t>
      </w:r>
      <w:r w:rsidRPr="005E7E86">
        <w:rPr>
          <w:rFonts w:hint="cs"/>
          <w:rtl/>
        </w:rPr>
        <w:t xml:space="preserve"> לדעת משרד מבקר המדינה, נוכח השכיחות הגבוהה של נסיעות במימון הבונדס, יש מקום שהיועץ המשפטי לממשלה יקבע הנחיה כללית מיוחדת לעניין נסיעותיהם של שרים וסגני שרים לאירועי גיוס כספים והתרמה של ארגון זה.</w:t>
      </w:r>
    </w:p>
    <w:p w:rsidR="009B5B44" w:rsidRPr="005E7E86" w:rsidP="00BF3C50">
      <w:pPr>
        <w:spacing w:before="180" w:after="120" w:line="230" w:lineRule="exact"/>
        <w:jc w:val="both"/>
        <w:rPr>
          <w:rFonts w:cs="FrankRuehl"/>
          <w:sz w:val="20"/>
          <w:szCs w:val="22"/>
          <w:rtl/>
          <w:lang w:eastAsia="he-IL"/>
        </w:rPr>
      </w:pPr>
      <w:r w:rsidRPr="005E7E86">
        <w:rPr>
          <w:rFonts w:cs="FrankRuehl" w:hint="cs"/>
          <w:sz w:val="20"/>
          <w:szCs w:val="22"/>
          <w:rtl/>
          <w:lang w:eastAsia="he-IL"/>
        </w:rPr>
        <w:t>בתגובת היועץ המשפטי לממשלה מאוקטובר 2015 על טיוטת הדוח</w:t>
      </w:r>
      <w:r>
        <w:rPr>
          <w:rStyle w:val="FootnoteReference"/>
          <w:rFonts w:cs="FrankRuehl"/>
          <w:sz w:val="20"/>
          <w:szCs w:val="22"/>
          <w:rtl/>
          <w:lang w:eastAsia="he-IL"/>
        </w:rPr>
        <w:footnoteReference w:id="28"/>
      </w:r>
      <w:r w:rsidRPr="005E7E86">
        <w:rPr>
          <w:rFonts w:cs="FrankRuehl" w:hint="cs"/>
          <w:sz w:val="20"/>
          <w:szCs w:val="22"/>
          <w:rtl/>
          <w:lang w:eastAsia="he-IL"/>
        </w:rPr>
        <w:t xml:space="preserve"> נכתב כי נושא ההשתתפות ב</w:t>
      </w:r>
      <w:r w:rsidRPr="005E7E86">
        <w:rPr>
          <w:rFonts w:cs="FrankRuehl"/>
          <w:sz w:val="20"/>
          <w:szCs w:val="22"/>
          <w:rtl/>
          <w:lang w:eastAsia="he-IL"/>
        </w:rPr>
        <w:t>אירועי גיוס כספים של הבונדס ו</w:t>
      </w:r>
      <w:r w:rsidRPr="005E7E86">
        <w:rPr>
          <w:rFonts w:cs="FrankRuehl" w:hint="cs"/>
          <w:sz w:val="20"/>
          <w:szCs w:val="22"/>
          <w:rtl/>
          <w:lang w:eastAsia="he-IL"/>
        </w:rPr>
        <w:t xml:space="preserve">של </w:t>
      </w:r>
      <w:r w:rsidRPr="005E7E86">
        <w:rPr>
          <w:rFonts w:cs="FrankRuehl"/>
          <w:sz w:val="20"/>
          <w:szCs w:val="22"/>
          <w:rtl/>
          <w:lang w:eastAsia="he-IL"/>
        </w:rPr>
        <w:t xml:space="preserve">גופים דומים </w:t>
      </w:r>
      <w:r w:rsidRPr="005E7E86">
        <w:rPr>
          <w:rFonts w:cs="FrankRuehl" w:hint="cs"/>
          <w:sz w:val="20"/>
          <w:szCs w:val="22"/>
          <w:rtl/>
          <w:lang w:eastAsia="he-IL"/>
        </w:rPr>
        <w:t xml:space="preserve">שיש להם </w:t>
      </w:r>
      <w:r w:rsidRPr="005E7E86">
        <w:rPr>
          <w:rFonts w:cs="FrankRuehl"/>
          <w:sz w:val="20"/>
          <w:szCs w:val="22"/>
          <w:rtl/>
          <w:lang w:eastAsia="he-IL"/>
        </w:rPr>
        <w:t>זיקה ייח</w:t>
      </w:r>
      <w:r w:rsidRPr="005E7E86">
        <w:rPr>
          <w:rFonts w:cs="FrankRuehl" w:hint="cs"/>
          <w:sz w:val="20"/>
          <w:szCs w:val="22"/>
          <w:rtl/>
          <w:lang w:eastAsia="he-IL"/>
        </w:rPr>
        <w:t>ו</w:t>
      </w:r>
      <w:r w:rsidRPr="005E7E86">
        <w:rPr>
          <w:rFonts w:cs="FrankRuehl"/>
          <w:sz w:val="20"/>
          <w:szCs w:val="22"/>
          <w:rtl/>
          <w:lang w:eastAsia="he-IL"/>
        </w:rPr>
        <w:t xml:space="preserve">דית למדינה </w:t>
      </w:r>
      <w:r w:rsidRPr="005E7E86">
        <w:rPr>
          <w:rFonts w:cs="FrankRuehl" w:hint="cs"/>
          <w:sz w:val="20"/>
          <w:szCs w:val="22"/>
          <w:rtl/>
          <w:lang w:eastAsia="he-IL"/>
        </w:rPr>
        <w:t>אינו</w:t>
      </w:r>
      <w:r w:rsidRPr="005E7E86">
        <w:rPr>
          <w:rFonts w:cs="FrankRuehl"/>
          <w:sz w:val="20"/>
          <w:szCs w:val="22"/>
          <w:rtl/>
          <w:lang w:eastAsia="he-IL"/>
        </w:rPr>
        <w:t xml:space="preserve"> מקבל מענה</w:t>
      </w:r>
      <w:r w:rsidRPr="005E7E86">
        <w:rPr>
          <w:rFonts w:cs="FrankRuehl" w:hint="cs"/>
          <w:sz w:val="20"/>
          <w:szCs w:val="22"/>
          <w:rtl/>
          <w:lang w:eastAsia="he-IL"/>
        </w:rPr>
        <w:t xml:space="preserve"> בנהלים הקיימים. </w:t>
      </w:r>
      <w:r w:rsidRPr="005E7E86">
        <w:rPr>
          <w:rFonts w:cs="FrankRuehl"/>
          <w:sz w:val="20"/>
          <w:szCs w:val="22"/>
          <w:rtl/>
          <w:lang w:eastAsia="he-IL"/>
        </w:rPr>
        <w:t>בכוונת היוע</w:t>
      </w:r>
      <w:r w:rsidRPr="005E7E86">
        <w:rPr>
          <w:rFonts w:cs="FrankRuehl" w:hint="cs"/>
          <w:sz w:val="20"/>
          <w:szCs w:val="22"/>
          <w:rtl/>
          <w:lang w:eastAsia="he-IL"/>
        </w:rPr>
        <w:t>ץ המשפטי לממשלה ל</w:t>
      </w:r>
      <w:r w:rsidRPr="005E7E86">
        <w:rPr>
          <w:rFonts w:cs="FrankRuehl"/>
          <w:sz w:val="20"/>
          <w:szCs w:val="22"/>
          <w:rtl/>
          <w:lang w:eastAsia="he-IL"/>
        </w:rPr>
        <w:t xml:space="preserve">התייחס </w:t>
      </w:r>
      <w:r w:rsidRPr="005E7E86">
        <w:rPr>
          <w:rFonts w:cs="FrankRuehl" w:hint="cs"/>
          <w:sz w:val="20"/>
          <w:szCs w:val="22"/>
          <w:rtl/>
          <w:lang w:eastAsia="he-IL"/>
        </w:rPr>
        <w:t xml:space="preserve">לנושא </w:t>
      </w:r>
      <w:r w:rsidRPr="005E7E86">
        <w:rPr>
          <w:rFonts w:cs="FrankRuehl"/>
          <w:sz w:val="20"/>
          <w:szCs w:val="22"/>
          <w:rtl/>
          <w:lang w:eastAsia="he-IL"/>
        </w:rPr>
        <w:t>בהנחיה עתידית</w:t>
      </w:r>
      <w:r w:rsidRPr="005E7E86">
        <w:rPr>
          <w:rFonts w:cs="FrankRuehl" w:hint="cs"/>
          <w:sz w:val="20"/>
          <w:szCs w:val="22"/>
          <w:rtl/>
          <w:lang w:eastAsia="he-IL"/>
        </w:rPr>
        <w:t xml:space="preserve"> (הרחבה בעניין זה ראו בהמשך)</w:t>
      </w:r>
      <w:r w:rsidRPr="005E7E86">
        <w:rPr>
          <w:rFonts w:cs="FrankRuehl"/>
          <w:sz w:val="20"/>
          <w:szCs w:val="22"/>
          <w:rtl/>
          <w:lang w:eastAsia="he-IL"/>
        </w:rPr>
        <w:t>.</w:t>
      </w:r>
    </w:p>
    <w:p w:rsidR="009B5B44" w:rsidRPr="005E7E86" w:rsidP="005E7E86">
      <w:pPr>
        <w:spacing w:after="120" w:line="230" w:lineRule="exact"/>
        <w:jc w:val="both"/>
        <w:rPr>
          <w:rFonts w:cs="FrankRuehl"/>
          <w:sz w:val="20"/>
          <w:szCs w:val="22"/>
          <w:rtl/>
          <w:lang w:eastAsia="he-IL"/>
        </w:rPr>
      </w:pPr>
    </w:p>
    <w:p w:rsidR="009B5B44" w:rsidRPr="00742B46" w:rsidP="00BF3C50">
      <w:pPr>
        <w:pStyle w:val="KOT5"/>
        <w:rPr>
          <w:rtl/>
        </w:rPr>
      </w:pPr>
      <w:r>
        <w:rPr>
          <w:rFonts w:hint="cs"/>
          <w:rtl/>
        </w:rPr>
        <w:t xml:space="preserve">קבלת </w:t>
      </w:r>
      <w:r w:rsidRPr="00742B46">
        <w:rPr>
          <w:rFonts w:hint="cs"/>
          <w:rtl/>
        </w:rPr>
        <w:t>מימון</w:t>
      </w:r>
      <w:r>
        <w:rPr>
          <w:rFonts w:hint="cs"/>
          <w:rtl/>
        </w:rPr>
        <w:t xml:space="preserve"> </w:t>
      </w:r>
      <w:r w:rsidRPr="00742B46">
        <w:rPr>
          <w:rFonts w:hint="cs"/>
          <w:rtl/>
        </w:rPr>
        <w:t>הבונדס</w:t>
      </w:r>
      <w:r>
        <w:rPr>
          <w:rFonts w:hint="cs"/>
          <w:rtl/>
        </w:rPr>
        <w:t xml:space="preserve"> ל</w:t>
      </w:r>
      <w:r w:rsidRPr="00742B46">
        <w:rPr>
          <w:rFonts w:hint="cs"/>
          <w:rtl/>
        </w:rPr>
        <w:t>נסיעות</w:t>
      </w:r>
      <w:r>
        <w:rPr>
          <w:rFonts w:hint="cs"/>
          <w:rtl/>
        </w:rPr>
        <w:t xml:space="preserve"> </w:t>
      </w:r>
      <w:r w:rsidRPr="00742B46">
        <w:rPr>
          <w:rFonts w:hint="cs"/>
          <w:rtl/>
        </w:rPr>
        <w:t>שאינן</w:t>
      </w:r>
      <w:r>
        <w:rPr>
          <w:rFonts w:hint="cs"/>
          <w:rtl/>
        </w:rPr>
        <w:t xml:space="preserve"> </w:t>
      </w:r>
      <w:r w:rsidRPr="00742B46">
        <w:rPr>
          <w:rFonts w:hint="cs"/>
          <w:rtl/>
        </w:rPr>
        <w:t>קשורות</w:t>
      </w:r>
      <w:r>
        <w:rPr>
          <w:rFonts w:hint="cs"/>
          <w:rtl/>
        </w:rPr>
        <w:t xml:space="preserve"> </w:t>
      </w:r>
      <w:r w:rsidRPr="00742B46">
        <w:rPr>
          <w:rFonts w:hint="cs"/>
          <w:rtl/>
        </w:rPr>
        <w:t>לאירועים</w:t>
      </w:r>
      <w:r>
        <w:rPr>
          <w:rFonts w:hint="cs"/>
          <w:rtl/>
        </w:rPr>
        <w:t xml:space="preserve"> </w:t>
      </w:r>
      <w:r w:rsidRPr="00742B46">
        <w:rPr>
          <w:rFonts w:hint="cs"/>
          <w:rtl/>
        </w:rPr>
        <w:t>מטע</w:t>
      </w:r>
      <w:r>
        <w:rPr>
          <w:rFonts w:hint="cs"/>
          <w:rtl/>
        </w:rPr>
        <w:t xml:space="preserve">מו </w:t>
      </w:r>
    </w:p>
    <w:p w:rsidR="009B5B44" w:rsidRPr="00742B46" w:rsidP="00BF3C50">
      <w:pPr>
        <w:pStyle w:val="KOT6"/>
        <w:rPr>
          <w:rtl/>
        </w:rPr>
      </w:pPr>
      <w:r w:rsidRPr="00742B46">
        <w:rPr>
          <w:rFonts w:hint="cs"/>
          <w:rtl/>
        </w:rPr>
        <w:t>מימון</w:t>
      </w:r>
      <w:r>
        <w:rPr>
          <w:rFonts w:hint="cs"/>
          <w:rtl/>
        </w:rPr>
        <w:t xml:space="preserve"> </w:t>
      </w:r>
      <w:r w:rsidRPr="00742B46">
        <w:rPr>
          <w:rFonts w:hint="cs"/>
          <w:rtl/>
        </w:rPr>
        <w:t>שהות</w:t>
      </w:r>
      <w:r>
        <w:rPr>
          <w:rFonts w:hint="cs"/>
          <w:rtl/>
        </w:rPr>
        <w:t xml:space="preserve"> </w:t>
      </w:r>
      <w:r w:rsidRPr="00742B46">
        <w:rPr>
          <w:rFonts w:hint="cs"/>
          <w:rtl/>
        </w:rPr>
        <w:t>שר</w:t>
      </w:r>
      <w:r>
        <w:rPr>
          <w:rFonts w:hint="cs"/>
          <w:rtl/>
        </w:rPr>
        <w:t xml:space="preserve"> </w:t>
      </w:r>
      <w:r w:rsidRPr="00742B46">
        <w:rPr>
          <w:rFonts w:hint="cs"/>
          <w:rtl/>
        </w:rPr>
        <w:t>האוצר</w:t>
      </w:r>
      <w:r>
        <w:rPr>
          <w:rFonts w:hint="cs"/>
          <w:rtl/>
        </w:rPr>
        <w:t xml:space="preserve"> </w:t>
      </w:r>
      <w:r w:rsidRPr="00742B46">
        <w:rPr>
          <w:rFonts w:hint="cs"/>
          <w:rtl/>
        </w:rPr>
        <w:t>בחו"ל</w:t>
      </w:r>
      <w:r>
        <w:rPr>
          <w:rFonts w:hint="cs"/>
          <w:rtl/>
        </w:rPr>
        <w:t xml:space="preserve"> בידי </w:t>
      </w:r>
      <w:r w:rsidRPr="00742B46">
        <w:rPr>
          <w:rFonts w:hint="cs"/>
          <w:rtl/>
        </w:rPr>
        <w:t>הבונדס</w:t>
      </w:r>
      <w:r>
        <w:rPr>
          <w:rFonts w:hint="cs"/>
          <w:rtl/>
        </w:rPr>
        <w:t xml:space="preserve"> </w:t>
      </w:r>
      <w:r w:rsidRPr="00742B46">
        <w:rPr>
          <w:rFonts w:hint="cs"/>
          <w:rtl/>
        </w:rPr>
        <w:t>בנסיעה</w:t>
      </w:r>
      <w:r>
        <w:rPr>
          <w:rFonts w:hint="cs"/>
          <w:rtl/>
        </w:rPr>
        <w:t xml:space="preserve"> </w:t>
      </w:r>
      <w:r w:rsidRPr="00742B46">
        <w:rPr>
          <w:rFonts w:hint="cs"/>
          <w:rtl/>
        </w:rPr>
        <w:t>במימון</w:t>
      </w:r>
      <w:r>
        <w:rPr>
          <w:rFonts w:hint="cs"/>
          <w:rtl/>
        </w:rPr>
        <w:t xml:space="preserve"> </w:t>
      </w:r>
      <w:r w:rsidRPr="00742B46">
        <w:rPr>
          <w:rFonts w:hint="cs"/>
          <w:rtl/>
        </w:rPr>
        <w:t>ממשלתי</w:t>
      </w:r>
    </w:p>
    <w:p w:rsidR="009B5B44" w:rsidRPr="005E7E86" w:rsidP="00BF3C50">
      <w:pPr>
        <w:spacing w:after="240" w:line="230" w:lineRule="exact"/>
        <w:jc w:val="both"/>
        <w:rPr>
          <w:rFonts w:cs="FrankRuehl"/>
          <w:sz w:val="20"/>
          <w:szCs w:val="22"/>
          <w:rtl/>
          <w:lang w:eastAsia="he-IL"/>
        </w:rPr>
      </w:pPr>
      <w:r w:rsidRPr="005E7E86">
        <w:rPr>
          <w:rFonts w:cs="FrankRuehl" w:hint="cs"/>
          <w:sz w:val="20"/>
          <w:szCs w:val="22"/>
          <w:rtl/>
          <w:lang w:eastAsia="he-IL"/>
        </w:rPr>
        <w:t>בתאריך 6.7.05 נסע מר נתניהו לאנגליה במימון משרד האוצר ושהה בה עד 10.7.05. הממשלה אישרה את נסיעתו ללונדון "בענייני משרדו". לנסיעה זו התלוותה אליו רעייתו, והבונדס מימן את הוצאות נסיעתה (ראו להלן). מהביקורת עלה כי אף שמדובר בנסיעה במימון ממשלתי, שהותם של מר נתניהו ורעייתו במלון, בעלות כוללת של כ-5,343 לירות שטרלינג, מומנה על ידי הבונדס.</w:t>
      </w:r>
    </w:p>
    <w:p w:rsidR="009B5B44" w:rsidRPr="005E7E86" w:rsidP="00BF3C50">
      <w:pPr>
        <w:pStyle w:val="RESHET"/>
        <w:keepLines/>
        <w:rPr>
          <w:rtl/>
        </w:rPr>
      </w:pPr>
      <w:r w:rsidRPr="005E7E86">
        <w:rPr>
          <w:rFonts w:hint="cs"/>
          <w:rtl/>
        </w:rPr>
        <w:t xml:space="preserve">לדעת משרד מבקר המדינה, כאשר המדינה מממנת נסיעת שר בתפקיד, ראוי שכשם שטיסתו ממומנת על ידי המדינה, שהותו בחו"ל תמומן גם היא על ידי המדינה ולא על ידי גורם חיצוני שאינו ממשלתי. </w:t>
      </w:r>
    </w:p>
    <w:p w:rsidR="009B5B44" w:rsidRPr="005E7E86" w:rsidP="005E7E86">
      <w:pPr>
        <w:spacing w:after="120" w:line="230" w:lineRule="exact"/>
        <w:jc w:val="both"/>
        <w:rPr>
          <w:rFonts w:cs="FrankRuehl"/>
          <w:sz w:val="20"/>
          <w:szCs w:val="22"/>
          <w:rtl/>
        </w:rPr>
      </w:pPr>
    </w:p>
    <w:p w:rsidR="009B5B44" w:rsidRPr="00742B46" w:rsidP="00BF3C50">
      <w:pPr>
        <w:pStyle w:val="KOT6"/>
        <w:rPr>
          <w:rtl/>
        </w:rPr>
      </w:pPr>
      <w:r w:rsidRPr="00742B46">
        <w:rPr>
          <w:rFonts w:hint="cs"/>
          <w:rtl/>
        </w:rPr>
        <w:t>מימון</w:t>
      </w:r>
      <w:r>
        <w:rPr>
          <w:rFonts w:hint="cs"/>
          <w:rtl/>
        </w:rPr>
        <w:t xml:space="preserve"> </w:t>
      </w:r>
      <w:r w:rsidRPr="00742B46">
        <w:rPr>
          <w:rFonts w:hint="cs"/>
          <w:rtl/>
        </w:rPr>
        <w:t>שהות</w:t>
      </w:r>
      <w:r>
        <w:rPr>
          <w:rFonts w:hint="cs"/>
          <w:rtl/>
        </w:rPr>
        <w:t xml:space="preserve"> </w:t>
      </w:r>
      <w:r w:rsidRPr="00742B46">
        <w:rPr>
          <w:rFonts w:hint="cs"/>
          <w:rtl/>
        </w:rPr>
        <w:t>שר</w:t>
      </w:r>
      <w:r>
        <w:rPr>
          <w:rFonts w:hint="cs"/>
          <w:rtl/>
        </w:rPr>
        <w:t xml:space="preserve"> </w:t>
      </w:r>
      <w:r w:rsidRPr="00742B46">
        <w:rPr>
          <w:rFonts w:hint="cs"/>
          <w:rtl/>
        </w:rPr>
        <w:t>האוצר</w:t>
      </w:r>
      <w:r>
        <w:rPr>
          <w:rFonts w:hint="cs"/>
          <w:rtl/>
        </w:rPr>
        <w:t xml:space="preserve"> </w:t>
      </w:r>
      <w:r w:rsidRPr="00742B46">
        <w:rPr>
          <w:rFonts w:hint="cs"/>
          <w:rtl/>
        </w:rPr>
        <w:t>בחו"ל</w:t>
      </w:r>
      <w:r>
        <w:rPr>
          <w:rFonts w:hint="cs"/>
          <w:rtl/>
        </w:rPr>
        <w:t xml:space="preserve"> בידי </w:t>
      </w:r>
      <w:r w:rsidRPr="00742B46">
        <w:rPr>
          <w:rFonts w:hint="cs"/>
          <w:rtl/>
        </w:rPr>
        <w:t>הבונדס</w:t>
      </w:r>
      <w:r>
        <w:rPr>
          <w:rFonts w:hint="cs"/>
          <w:rtl/>
        </w:rPr>
        <w:t xml:space="preserve"> </w:t>
      </w:r>
      <w:r w:rsidRPr="00742B46">
        <w:rPr>
          <w:rFonts w:hint="cs"/>
          <w:rtl/>
        </w:rPr>
        <w:t>בנסיעה</w:t>
      </w:r>
      <w:r>
        <w:rPr>
          <w:rFonts w:hint="cs"/>
          <w:rtl/>
        </w:rPr>
        <w:t xml:space="preserve"> </w:t>
      </w:r>
      <w:r w:rsidRPr="00742B46">
        <w:rPr>
          <w:rFonts w:hint="cs"/>
          <w:rtl/>
        </w:rPr>
        <w:t>פרטית</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lang w:eastAsia="he-IL"/>
        </w:rPr>
        <w:t xml:space="preserve">ב-27.10.04 כתב מר יחיאל לייטר, ראש מטה שר האוצר דאז, למזכיר הממשלה דאז: "ברצוני להביא לידיעתך כי שר האוצר, מר בנימין נתניהו, יוצא לארה"ב בתאריכים 28.10-31.10 </w:t>
      </w:r>
      <w:r w:rsidRPr="005E7E86">
        <w:rPr>
          <w:rFonts w:cs="FrankRuehl" w:hint="cs"/>
          <w:sz w:val="20"/>
          <w:szCs w:val="22"/>
          <w:u w:val="single"/>
          <w:rtl/>
          <w:lang w:eastAsia="he-IL"/>
        </w:rPr>
        <w:t>לביקור פרטי</w:t>
      </w:r>
      <w:r w:rsidRPr="005E7E86">
        <w:rPr>
          <w:rFonts w:cs="FrankRuehl" w:hint="cs"/>
          <w:sz w:val="20"/>
          <w:szCs w:val="22"/>
          <w:rtl/>
          <w:lang w:eastAsia="he-IL"/>
        </w:rPr>
        <w:t xml:space="preserve">" (ההדגשה אינה במקור). באותו היום כתב מזכיר הממשלה לראש הממשלה: "אבקש להודיעך כי השר בנימין נתניהו יצא לארצות הברית </w:t>
      </w:r>
      <w:r w:rsidRPr="005E7E86">
        <w:rPr>
          <w:rFonts w:cs="FrankRuehl" w:hint="cs"/>
          <w:sz w:val="20"/>
          <w:szCs w:val="22"/>
          <w:u w:val="single"/>
          <w:rtl/>
          <w:lang w:eastAsia="he-IL"/>
        </w:rPr>
        <w:t>באורח פרטי</w:t>
      </w:r>
      <w:r w:rsidRPr="005E7E86">
        <w:rPr>
          <w:rFonts w:cs="FrankRuehl" w:hint="cs"/>
          <w:sz w:val="20"/>
          <w:szCs w:val="22"/>
          <w:rtl/>
          <w:lang w:eastAsia="he-IL"/>
        </w:rPr>
        <w:t xml:space="preserve">, מיום 28.10.2004 עד יום 31.10.2004. לידיעה. אין צורך באישור" (ההדגשה אינה במקור). </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lang w:eastAsia="he-IL"/>
        </w:rPr>
        <w:t>מהביקורת עלה כי בנסיעה האמורה של מר נתניהו לארצות הברית, שהוגדרה כאמור נסיעה פרטית, מימן הבונדס את שהותו במלון בניו יורק בסכום של 2,164.39 דולר. במסמך שהתקבל מהבונדס נרשם לגבי מימון זה: "</w:t>
      </w:r>
      <w:r w:rsidRPr="005E7E86">
        <w:rPr>
          <w:rFonts w:cs="FrankRuehl"/>
          <w:sz w:val="20"/>
          <w:szCs w:val="22"/>
          <w:lang w:eastAsia="he-IL"/>
        </w:rPr>
        <w:t>N.Y. Business Meeting</w:t>
      </w:r>
      <w:r w:rsidRPr="005E7E86">
        <w:rPr>
          <w:rFonts w:cs="FrankRuehl" w:hint="cs"/>
          <w:sz w:val="20"/>
          <w:szCs w:val="22"/>
          <w:rtl/>
          <w:lang w:eastAsia="he-IL"/>
        </w:rPr>
        <w:t>".</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lang w:eastAsia="he-IL"/>
        </w:rPr>
        <w:t>בתגובת בא כוחו של מר נתניהו צוין כי "הבונדס מעולם לא מימן עבורו שהות אם לא נעשתה מצידו פעולה עבור הבונדס. נתניהו 'חוטא' בפעילות ציבורית גם בנסיעות פרטיות והוא מנצל את נסיעותיו הפרטיות כדי לסייע לארגונים ציבוריים (במיוחד ארגון כמו הבונדס...)".</w:t>
      </w:r>
    </w:p>
    <w:p w:rsidR="009B5B44" w:rsidRPr="005E7E86" w:rsidP="00BF3C50">
      <w:pPr>
        <w:spacing w:after="240" w:line="230" w:lineRule="exact"/>
        <w:jc w:val="both"/>
        <w:rPr>
          <w:rFonts w:cs="FrankRuehl"/>
          <w:sz w:val="20"/>
          <w:szCs w:val="22"/>
          <w:rtl/>
          <w:lang w:eastAsia="he-IL"/>
        </w:rPr>
      </w:pPr>
      <w:r w:rsidRPr="005E7E86">
        <w:rPr>
          <w:rFonts w:cs="FrankRuehl" w:hint="cs"/>
          <w:sz w:val="20"/>
          <w:szCs w:val="22"/>
          <w:rtl/>
          <w:lang w:eastAsia="he-IL"/>
        </w:rPr>
        <w:t>בתשובת הבונדס מאוקטובר 2015 על טיוטת הדוח צוין כי בכל נסיעה שמימן הארגון, נתן מר נתניהו סקירות לפני רוכשי איגרות חוב פוטנציאליים של הבונדס.</w:t>
      </w:r>
    </w:p>
    <w:p w:rsidR="009B5B44" w:rsidRPr="005E7E86" w:rsidP="00BF3C50">
      <w:pPr>
        <w:pStyle w:val="RESHET"/>
        <w:keepLines/>
        <w:rPr>
          <w:rtl/>
        </w:rPr>
      </w:pPr>
      <w:r w:rsidRPr="005E7E86">
        <w:rPr>
          <w:rFonts w:hint="cs"/>
          <w:rtl/>
        </w:rPr>
        <w:t>לדעת משרד מבקר המדינה, יש טעם לפגם כאשר מר נתניהו מקבל מימון ללא היתר עבור השהות בחו"ל מהבונדס לנסיעה שהגדיר פרטית, גם אם הוא משלב במהלכה פעילות עבור ארגון זה.</w:t>
      </w:r>
    </w:p>
    <w:p w:rsidR="00AA4780" w:rsidP="00AA4780">
      <w:pPr>
        <w:spacing w:after="120" w:line="230" w:lineRule="exact"/>
        <w:jc w:val="both"/>
        <w:rPr>
          <w:rFonts w:cs="FrankRuehl"/>
          <w:sz w:val="22"/>
          <w:szCs w:val="22"/>
          <w:rtl/>
        </w:rPr>
      </w:pPr>
    </w:p>
    <w:p w:rsidR="00AA4780" w:rsidP="00AA4780">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AA4780" w:rsidP="00AA4780">
      <w:pPr>
        <w:spacing w:after="120" w:line="230" w:lineRule="exact"/>
        <w:jc w:val="both"/>
        <w:rPr>
          <w:rFonts w:cs="FrankRuehl"/>
          <w:sz w:val="22"/>
          <w:szCs w:val="22"/>
          <w:rtl/>
        </w:rPr>
      </w:pPr>
    </w:p>
    <w:p w:rsidR="009B5B44" w:rsidRPr="005E7E86" w:rsidP="00AA4780">
      <w:pPr>
        <w:pStyle w:val="RESHET"/>
        <w:keepLines/>
        <w:rPr>
          <w:rtl/>
        </w:rPr>
      </w:pPr>
      <w:r w:rsidRPr="005E7E86">
        <w:rPr>
          <w:rFonts w:hint="cs"/>
          <w:rtl/>
        </w:rPr>
        <w:t>על פי חוק המתנות ועל פי הכללים למניעת ניגוד עניינים, נסיעת שר לחו"ל במימון מלא או חלקי של גורם חיצוני שאינו ממשלתי עשויה להיחשב טובת הנאה או מתנה, שיש בה פוטנציאל לניגוד עניינים. מהביקורת עלה כי מר נתניהו לא פנה לוועדת המתנות לצורך בדיקה אם נסיעותיו הן בגדר טובת הנאה או מתנה, וממילא לא נבדקה השאלה אם ניתן להקנות לו את המתנה - או שעליו לשלם את שווייה. כמו כן לא פנה אל הוועדה למתן היתרים.</w:t>
      </w:r>
    </w:p>
    <w:p w:rsidR="009B5B44" w:rsidRPr="005E7E86" w:rsidP="00AA4780">
      <w:pPr>
        <w:pStyle w:val="RESHET"/>
        <w:keepLines/>
        <w:rPr>
          <w:rtl/>
        </w:rPr>
      </w:pPr>
      <w:r w:rsidRPr="005E7E86">
        <w:rPr>
          <w:rFonts w:hint="cs"/>
          <w:rtl/>
        </w:rPr>
        <w:t>משרד מבקר המדינה מעיר על השימוש שעשה מר נתניהו בכספי הבונדס לצורך מימון שהותו במלון בנסיעה פרטית.</w:t>
      </w:r>
    </w:p>
    <w:p w:rsidR="009B5B44" w:rsidRPr="005E7E86" w:rsidP="00AA4780">
      <w:pPr>
        <w:spacing w:before="180" w:after="240" w:line="230" w:lineRule="exact"/>
        <w:jc w:val="both"/>
        <w:rPr>
          <w:rFonts w:cs="FrankRuehl"/>
          <w:sz w:val="20"/>
          <w:szCs w:val="22"/>
          <w:rtl/>
          <w:lang w:eastAsia="he-IL"/>
        </w:rPr>
      </w:pPr>
      <w:r w:rsidRPr="005E7E86">
        <w:rPr>
          <w:rFonts w:cs="FrankRuehl" w:hint="eastAsia"/>
          <w:sz w:val="20"/>
          <w:szCs w:val="22"/>
          <w:rtl/>
          <w:lang w:eastAsia="he-IL"/>
        </w:rPr>
        <w:t>בתגובתו</w:t>
      </w:r>
      <w:r w:rsidRPr="005E7E86">
        <w:rPr>
          <w:rFonts w:cs="FrankRuehl"/>
          <w:sz w:val="20"/>
          <w:szCs w:val="22"/>
          <w:rtl/>
          <w:lang w:eastAsia="he-IL"/>
        </w:rPr>
        <w:t xml:space="preserve"> </w:t>
      </w:r>
      <w:r w:rsidRPr="005E7E86">
        <w:rPr>
          <w:rFonts w:cs="FrankRuehl" w:hint="eastAsia"/>
          <w:sz w:val="20"/>
          <w:szCs w:val="22"/>
          <w:rtl/>
          <w:lang w:eastAsia="he-IL"/>
        </w:rPr>
        <w:t>למשרד</w:t>
      </w:r>
      <w:r w:rsidRPr="005E7E86">
        <w:rPr>
          <w:rFonts w:cs="FrankRuehl"/>
          <w:sz w:val="20"/>
          <w:szCs w:val="22"/>
          <w:rtl/>
          <w:lang w:eastAsia="he-IL"/>
        </w:rPr>
        <w:t xml:space="preserve"> </w:t>
      </w:r>
      <w:r w:rsidRPr="005E7E86">
        <w:rPr>
          <w:rFonts w:cs="FrankRuehl" w:hint="eastAsia"/>
          <w:sz w:val="20"/>
          <w:szCs w:val="22"/>
          <w:rtl/>
          <w:lang w:eastAsia="he-IL"/>
        </w:rPr>
        <w:t>מבקר</w:t>
      </w:r>
      <w:r w:rsidRPr="005E7E86">
        <w:rPr>
          <w:rFonts w:cs="FrankRuehl"/>
          <w:sz w:val="20"/>
          <w:szCs w:val="22"/>
          <w:rtl/>
          <w:lang w:eastAsia="he-IL"/>
        </w:rPr>
        <w:t xml:space="preserve"> </w:t>
      </w:r>
      <w:r w:rsidRPr="005E7E86">
        <w:rPr>
          <w:rFonts w:cs="FrankRuehl" w:hint="eastAsia"/>
          <w:sz w:val="20"/>
          <w:szCs w:val="22"/>
          <w:rtl/>
          <w:lang w:eastAsia="he-IL"/>
        </w:rPr>
        <w:t>המדינה</w:t>
      </w:r>
      <w:r w:rsidRPr="005E7E86">
        <w:rPr>
          <w:rFonts w:cs="FrankRuehl"/>
          <w:sz w:val="20"/>
          <w:szCs w:val="22"/>
          <w:rtl/>
          <w:lang w:eastAsia="he-IL"/>
        </w:rPr>
        <w:t xml:space="preserve"> </w:t>
      </w:r>
      <w:r w:rsidRPr="005E7E86">
        <w:rPr>
          <w:rFonts w:cs="FrankRuehl" w:hint="eastAsia"/>
          <w:sz w:val="20"/>
          <w:szCs w:val="22"/>
          <w:rtl/>
          <w:lang w:eastAsia="he-IL"/>
        </w:rPr>
        <w:t>מינואר</w:t>
      </w:r>
      <w:r w:rsidRPr="005E7E86">
        <w:rPr>
          <w:rFonts w:cs="FrankRuehl"/>
          <w:sz w:val="20"/>
          <w:szCs w:val="22"/>
          <w:rtl/>
          <w:lang w:eastAsia="he-IL"/>
        </w:rPr>
        <w:t xml:space="preserve"> 2015 </w:t>
      </w:r>
      <w:r w:rsidRPr="005E7E86">
        <w:rPr>
          <w:rFonts w:cs="FrankRuehl" w:hint="eastAsia"/>
          <w:sz w:val="20"/>
          <w:szCs w:val="22"/>
          <w:rtl/>
          <w:lang w:eastAsia="he-IL"/>
        </w:rPr>
        <w:t>ציי</w:t>
      </w:r>
      <w:r w:rsidRPr="005E7E86">
        <w:rPr>
          <w:rFonts w:cs="FrankRuehl" w:hint="cs"/>
          <w:sz w:val="20"/>
          <w:szCs w:val="22"/>
          <w:rtl/>
          <w:lang w:eastAsia="he-IL"/>
        </w:rPr>
        <w:t xml:space="preserve">ן בא כוחו של </w:t>
      </w:r>
      <w:r w:rsidRPr="005E7E86">
        <w:rPr>
          <w:rFonts w:cs="FrankRuehl" w:hint="eastAsia"/>
          <w:sz w:val="20"/>
          <w:szCs w:val="22"/>
          <w:rtl/>
          <w:lang w:eastAsia="he-IL"/>
        </w:rPr>
        <w:t>מר</w:t>
      </w:r>
      <w:r w:rsidRPr="005E7E86">
        <w:rPr>
          <w:rFonts w:cs="FrankRuehl"/>
          <w:sz w:val="20"/>
          <w:szCs w:val="22"/>
          <w:rtl/>
          <w:lang w:eastAsia="he-IL"/>
        </w:rPr>
        <w:t xml:space="preserve"> </w:t>
      </w:r>
      <w:r w:rsidRPr="005E7E86">
        <w:rPr>
          <w:rFonts w:cs="FrankRuehl" w:hint="eastAsia"/>
          <w:sz w:val="20"/>
          <w:szCs w:val="22"/>
          <w:rtl/>
          <w:lang w:eastAsia="he-IL"/>
        </w:rPr>
        <w:t>נתניהו</w:t>
      </w:r>
      <w:r w:rsidRPr="005E7E86">
        <w:rPr>
          <w:rFonts w:cs="FrankRuehl"/>
          <w:sz w:val="20"/>
          <w:szCs w:val="22"/>
          <w:rtl/>
          <w:lang w:eastAsia="he-IL"/>
        </w:rPr>
        <w:t xml:space="preserve">, כי תכלית </w:t>
      </w:r>
      <w:r w:rsidRPr="005E7E86">
        <w:rPr>
          <w:rFonts w:cs="FrankRuehl" w:hint="cs"/>
          <w:sz w:val="20"/>
          <w:szCs w:val="22"/>
          <w:rtl/>
          <w:lang w:eastAsia="he-IL"/>
        </w:rPr>
        <w:t>ה</w:t>
      </w:r>
      <w:r w:rsidRPr="005E7E86">
        <w:rPr>
          <w:rFonts w:cs="FrankRuehl"/>
          <w:sz w:val="20"/>
          <w:szCs w:val="22"/>
          <w:rtl/>
          <w:lang w:eastAsia="he-IL"/>
        </w:rPr>
        <w:t xml:space="preserve">נסיעות הייתה הופעות הסברה עבור מדינת ישראל או סיוע לארגונים, </w:t>
      </w:r>
      <w:r w:rsidRPr="005E7E86">
        <w:rPr>
          <w:rFonts w:cs="FrankRuehl" w:hint="cs"/>
          <w:sz w:val="20"/>
          <w:szCs w:val="22"/>
          <w:rtl/>
          <w:lang w:eastAsia="he-IL"/>
        </w:rPr>
        <w:t xml:space="preserve">כי </w:t>
      </w:r>
      <w:r w:rsidRPr="005E7E86">
        <w:rPr>
          <w:rFonts w:cs="FrankRuehl"/>
          <w:sz w:val="20"/>
          <w:szCs w:val="22"/>
          <w:rtl/>
          <w:lang w:eastAsia="he-IL"/>
        </w:rPr>
        <w:t>"הנסיעות המדוברות נופלות כולן לקטגוריה של הזמנות ממוסדות וגופים ציבוריים", ו</w:t>
      </w:r>
      <w:r w:rsidRPr="005E7E86">
        <w:rPr>
          <w:rFonts w:cs="FrankRuehl" w:hint="cs"/>
          <w:sz w:val="20"/>
          <w:szCs w:val="22"/>
          <w:rtl/>
          <w:lang w:eastAsia="he-IL"/>
        </w:rPr>
        <w:t>כי מר נתניהו</w:t>
      </w:r>
      <w:r w:rsidRPr="005E7E86">
        <w:rPr>
          <w:rFonts w:cs="FrankRuehl"/>
          <w:sz w:val="20"/>
          <w:szCs w:val="22"/>
          <w:rtl/>
          <w:lang w:eastAsia="he-IL"/>
        </w:rPr>
        <w:t xml:space="preserve"> "לא קיבל תמורה כלשהי מהגוף </w:t>
      </w:r>
      <w:r w:rsidRPr="005E7E86">
        <w:rPr>
          <w:rFonts w:cs="FrankRuehl"/>
          <w:sz w:val="20"/>
          <w:szCs w:val="22"/>
          <w:rtl/>
          <w:lang w:eastAsia="he-IL"/>
        </w:rPr>
        <w:t>המזמין למעט החזר הוצאות ממשי (ההוצאות ששולמו ישירות ע"י הגופים השונים ומר נתניהו לא קיבל לידיו ולו גם שקל אחד)"</w:t>
      </w:r>
      <w:r w:rsidRPr="005E7E86">
        <w:rPr>
          <w:rFonts w:cs="FrankRuehl" w:hint="cs"/>
          <w:sz w:val="20"/>
          <w:szCs w:val="22"/>
          <w:rtl/>
          <w:lang w:eastAsia="he-IL"/>
        </w:rPr>
        <w:t>.</w:t>
      </w:r>
    </w:p>
    <w:p w:rsidR="009B5B44" w:rsidRPr="005E7E86" w:rsidP="00AA4780">
      <w:pPr>
        <w:pStyle w:val="RESHET"/>
        <w:keepLines/>
        <w:rPr>
          <w:rtl/>
        </w:rPr>
      </w:pPr>
      <w:r w:rsidRPr="005E7E86">
        <w:rPr>
          <w:rFonts w:hint="cs"/>
          <w:rtl/>
        </w:rPr>
        <w:t>משרד מבקר המדינה מעיר כי נסיעותיו של מר נתניהו לחו"ל במימון גורם חיצוני שאינו ממשלתי מעוררות חשש, ולו למראית עין, לניגוד עניינים וכן לקבלת טובה הנאה בלא ההיתר הנדרש. לפיכך, לדעת משרד מבקר המדינה, גם כשתכלית הנסיעות הייתה הופעות הסברה עבור מדינת ישראל או סיוע לארגונים - וקל וחומר כשמדובר בנסיעה פרטית במימון חיצוני - ראוי היה שמר נתניהו יבקש חוות דעת משפטית קודם קבלת המימון החיצוני לנסיעות אלה ויוודא כי הדבר עולה בקנה אחד עם הכללים החלים בנושא.</w:t>
      </w:r>
    </w:p>
    <w:p w:rsidR="009B5B44" w:rsidP="005E7E86">
      <w:pPr>
        <w:spacing w:after="120" w:line="230" w:lineRule="exact"/>
        <w:jc w:val="both"/>
        <w:rPr>
          <w:rFonts w:cs="FrankRuehl"/>
          <w:sz w:val="20"/>
          <w:szCs w:val="22"/>
          <w:lang w:eastAsia="he-IL"/>
        </w:rPr>
      </w:pPr>
    </w:p>
    <w:p w:rsidR="00AA4780" w:rsidRPr="005E7E86" w:rsidP="005E7E86">
      <w:pPr>
        <w:spacing w:after="120" w:line="230" w:lineRule="exact"/>
        <w:jc w:val="both"/>
        <w:rPr>
          <w:rFonts w:cs="FrankRuehl"/>
          <w:sz w:val="20"/>
          <w:szCs w:val="22"/>
          <w:rtl/>
          <w:lang w:eastAsia="he-IL"/>
        </w:rPr>
      </w:pPr>
    </w:p>
    <w:p w:rsidR="009B5B44" w:rsidRPr="008725B9" w:rsidP="00BF3C50">
      <w:pPr>
        <w:pStyle w:val="KOT4"/>
        <w:rPr>
          <w:rtl/>
        </w:rPr>
      </w:pPr>
      <w:r w:rsidRPr="008725B9">
        <w:rPr>
          <w:rFonts w:hint="eastAsia"/>
          <w:rtl/>
        </w:rPr>
        <w:t>מימון</w:t>
      </w:r>
      <w:r w:rsidRPr="008725B9">
        <w:rPr>
          <w:rtl/>
        </w:rPr>
        <w:t xml:space="preserve"> קצובות שהייה ולינה בשהות בחו"ל </w:t>
      </w:r>
    </w:p>
    <w:p w:rsidR="009B5B44" w:rsidRPr="005E7E86" w:rsidP="005E7E86">
      <w:pPr>
        <w:spacing w:after="120" w:line="230" w:lineRule="exact"/>
        <w:jc w:val="both"/>
        <w:rPr>
          <w:rFonts w:cs="FrankRuehl"/>
          <w:b/>
          <w:sz w:val="20"/>
          <w:szCs w:val="22"/>
          <w:rtl/>
          <w:lang w:eastAsia="he-IL"/>
        </w:rPr>
      </w:pPr>
      <w:r w:rsidRPr="005E7E86">
        <w:rPr>
          <w:rFonts w:cs="FrankRuehl" w:hint="eastAsia"/>
          <w:b/>
          <w:sz w:val="20"/>
          <w:szCs w:val="22"/>
          <w:rtl/>
          <w:lang w:eastAsia="he-IL"/>
        </w:rPr>
        <w:t>כאמור</w:t>
      </w:r>
      <w:r w:rsidRPr="005E7E86">
        <w:rPr>
          <w:rFonts w:cs="FrankRuehl"/>
          <w:b/>
          <w:sz w:val="20"/>
          <w:szCs w:val="22"/>
          <w:rtl/>
          <w:lang w:eastAsia="he-IL"/>
        </w:rPr>
        <w:t xml:space="preserve"> </w:t>
      </w:r>
      <w:r w:rsidRPr="005E7E86">
        <w:rPr>
          <w:rFonts w:cs="FrankRuehl" w:hint="eastAsia"/>
          <w:b/>
          <w:sz w:val="20"/>
          <w:szCs w:val="22"/>
          <w:rtl/>
          <w:lang w:eastAsia="he-IL"/>
        </w:rPr>
        <w:t>לעיל</w:t>
      </w:r>
      <w:r w:rsidRPr="005E7E86">
        <w:rPr>
          <w:rFonts w:cs="FrankRuehl"/>
          <w:b/>
          <w:sz w:val="20"/>
          <w:szCs w:val="22"/>
          <w:rtl/>
          <w:lang w:eastAsia="he-IL"/>
        </w:rPr>
        <w:t xml:space="preserve">, </w:t>
      </w:r>
      <w:r w:rsidRPr="005E7E86">
        <w:rPr>
          <w:rFonts w:cs="FrankRuehl" w:hint="eastAsia"/>
          <w:b/>
          <w:sz w:val="20"/>
          <w:szCs w:val="22"/>
          <w:rtl/>
          <w:lang w:eastAsia="he-IL"/>
        </w:rPr>
        <w:t>ב</w:t>
      </w:r>
      <w:r w:rsidRPr="005E7E86">
        <w:rPr>
          <w:rFonts w:cs="FrankRuehl"/>
          <w:b/>
          <w:sz w:val="20"/>
          <w:szCs w:val="22"/>
          <w:rtl/>
          <w:lang w:eastAsia="he-IL"/>
        </w:rPr>
        <w:t>-6.10.0</w:t>
      </w:r>
      <w:r w:rsidRPr="005E7E86">
        <w:rPr>
          <w:rFonts w:cs="FrankRuehl" w:hint="cs"/>
          <w:b/>
          <w:sz w:val="20"/>
          <w:szCs w:val="22"/>
          <w:rtl/>
          <w:lang w:eastAsia="he-IL"/>
        </w:rPr>
        <w:t>4</w:t>
      </w:r>
      <w:r w:rsidRPr="005E7E86">
        <w:rPr>
          <w:rFonts w:cs="FrankRuehl"/>
          <w:b/>
          <w:sz w:val="20"/>
          <w:szCs w:val="22"/>
          <w:rtl/>
          <w:lang w:eastAsia="he-IL"/>
        </w:rPr>
        <w:t xml:space="preserve"> נסעו מר נתניהו ורעייתו </w:t>
      </w:r>
      <w:r w:rsidRPr="005E7E86">
        <w:rPr>
          <w:rFonts w:cs="FrankRuehl" w:hint="eastAsia"/>
          <w:b/>
          <w:sz w:val="20"/>
          <w:szCs w:val="22"/>
          <w:rtl/>
          <w:lang w:eastAsia="he-IL"/>
        </w:rPr>
        <w:t>לריביירה</w:t>
      </w:r>
      <w:r w:rsidRPr="005E7E86">
        <w:rPr>
          <w:rFonts w:cs="FrankRuehl"/>
          <w:b/>
          <w:sz w:val="20"/>
          <w:szCs w:val="22"/>
          <w:rtl/>
          <w:lang w:eastAsia="he-IL"/>
        </w:rPr>
        <w:t xml:space="preserve"> הצרפתית</w:t>
      </w:r>
      <w:r w:rsidRPr="005E7E86">
        <w:rPr>
          <w:rFonts w:cs="FrankRuehl" w:hint="cs"/>
          <w:b/>
          <w:sz w:val="20"/>
          <w:szCs w:val="22"/>
          <w:rtl/>
          <w:lang w:eastAsia="he-IL"/>
        </w:rPr>
        <w:t>.</w:t>
      </w:r>
      <w:r w:rsidRPr="005E7E86">
        <w:rPr>
          <w:rFonts w:cs="FrankRuehl"/>
          <w:b/>
          <w:sz w:val="20"/>
          <w:szCs w:val="22"/>
          <w:rtl/>
          <w:lang w:eastAsia="he-IL"/>
        </w:rPr>
        <w:t xml:space="preserve"> בני הזוג נתניהו שהו במקום </w:t>
      </w:r>
      <w:r w:rsidRPr="005E7E86">
        <w:rPr>
          <w:rFonts w:cs="FrankRuehl" w:hint="eastAsia"/>
          <w:b/>
          <w:sz w:val="20"/>
          <w:szCs w:val="22"/>
          <w:rtl/>
          <w:lang w:eastAsia="he-IL"/>
        </w:rPr>
        <w:t>ארבעה</w:t>
      </w:r>
      <w:r w:rsidRPr="005E7E86">
        <w:rPr>
          <w:rFonts w:cs="FrankRuehl"/>
          <w:b/>
          <w:sz w:val="20"/>
          <w:szCs w:val="22"/>
          <w:rtl/>
          <w:lang w:eastAsia="he-IL"/>
        </w:rPr>
        <w:t xml:space="preserve"> </w:t>
      </w:r>
      <w:r w:rsidRPr="005E7E86">
        <w:rPr>
          <w:rFonts w:cs="FrankRuehl" w:hint="eastAsia"/>
          <w:b/>
          <w:sz w:val="20"/>
          <w:szCs w:val="22"/>
          <w:rtl/>
          <w:lang w:eastAsia="he-IL"/>
        </w:rPr>
        <w:t>ימים</w:t>
      </w:r>
      <w:r w:rsidRPr="005E7E86">
        <w:rPr>
          <w:rFonts w:cs="FrankRuehl" w:hint="cs"/>
          <w:b/>
          <w:sz w:val="20"/>
          <w:szCs w:val="22"/>
          <w:rtl/>
          <w:lang w:eastAsia="he-IL"/>
        </w:rPr>
        <w:t xml:space="preserve"> (שלושה לילות)</w:t>
      </w:r>
      <w:r w:rsidRPr="005E7E86">
        <w:rPr>
          <w:rFonts w:cs="FrankRuehl"/>
          <w:b/>
          <w:sz w:val="20"/>
          <w:szCs w:val="22"/>
          <w:rtl/>
          <w:lang w:eastAsia="he-IL"/>
        </w:rPr>
        <w:t xml:space="preserve">, </w:t>
      </w:r>
      <w:r w:rsidRPr="005E7E86">
        <w:rPr>
          <w:rFonts w:cs="FrankRuehl" w:hint="eastAsia"/>
          <w:b/>
          <w:sz w:val="20"/>
          <w:szCs w:val="22"/>
          <w:rtl/>
          <w:lang w:eastAsia="he-IL"/>
        </w:rPr>
        <w:t>ועלות</w:t>
      </w:r>
      <w:r w:rsidRPr="005E7E86">
        <w:rPr>
          <w:rFonts w:cs="FrankRuehl"/>
          <w:b/>
          <w:sz w:val="20"/>
          <w:szCs w:val="22"/>
          <w:rtl/>
          <w:lang w:eastAsia="he-IL"/>
        </w:rPr>
        <w:t xml:space="preserve"> </w:t>
      </w:r>
      <w:r w:rsidRPr="005E7E86">
        <w:rPr>
          <w:rFonts w:cs="FrankRuehl" w:hint="eastAsia"/>
          <w:b/>
          <w:sz w:val="20"/>
          <w:szCs w:val="22"/>
          <w:rtl/>
          <w:lang w:eastAsia="he-IL"/>
        </w:rPr>
        <w:t>שהיי</w:t>
      </w:r>
      <w:r w:rsidRPr="005E7E86">
        <w:rPr>
          <w:rFonts w:cs="FrankRuehl" w:hint="cs"/>
          <w:b/>
          <w:sz w:val="20"/>
          <w:szCs w:val="22"/>
          <w:rtl/>
          <w:lang w:eastAsia="he-IL"/>
        </w:rPr>
        <w:t>תם</w:t>
      </w:r>
      <w:r w:rsidRPr="005E7E86">
        <w:rPr>
          <w:rFonts w:cs="FrankRuehl"/>
          <w:b/>
          <w:sz w:val="20"/>
          <w:szCs w:val="22"/>
          <w:rtl/>
          <w:lang w:eastAsia="he-IL"/>
        </w:rPr>
        <w:t xml:space="preserve"> </w:t>
      </w:r>
      <w:r w:rsidRPr="005E7E86">
        <w:rPr>
          <w:rFonts w:cs="FrankRuehl" w:hint="eastAsia"/>
          <w:b/>
          <w:sz w:val="20"/>
          <w:szCs w:val="22"/>
          <w:rtl/>
          <w:lang w:eastAsia="he-IL"/>
        </w:rPr>
        <w:t>במלון</w:t>
      </w:r>
      <w:r w:rsidRPr="005E7E86">
        <w:rPr>
          <w:rFonts w:cs="FrankRuehl"/>
          <w:b/>
          <w:sz w:val="20"/>
          <w:szCs w:val="22"/>
          <w:rtl/>
          <w:lang w:eastAsia="he-IL"/>
        </w:rPr>
        <w:t xml:space="preserve"> הייתה</w:t>
      </w:r>
      <w:r w:rsidRPr="005E7E86">
        <w:rPr>
          <w:rFonts w:cs="FrankRuehl" w:hint="cs"/>
          <w:b/>
          <w:sz w:val="20"/>
          <w:szCs w:val="22"/>
          <w:rtl/>
          <w:lang w:eastAsia="he-IL"/>
        </w:rPr>
        <w:t xml:space="preserve"> 7,627 אירו</w:t>
      </w:r>
      <w:r>
        <w:rPr>
          <w:rStyle w:val="FootnoteReference"/>
          <w:rFonts w:cs="FrankRuehl"/>
          <w:b/>
          <w:sz w:val="20"/>
          <w:szCs w:val="22"/>
          <w:rtl/>
          <w:lang w:eastAsia="he-IL"/>
        </w:rPr>
        <w:footnoteReference w:id="29"/>
      </w:r>
      <w:r w:rsidRPr="005E7E86">
        <w:rPr>
          <w:rFonts w:cs="FrankRuehl" w:hint="cs"/>
          <w:b/>
          <w:sz w:val="20"/>
          <w:szCs w:val="22"/>
          <w:rtl/>
          <w:lang w:eastAsia="he-IL"/>
        </w:rPr>
        <w:t>,</w:t>
      </w:r>
      <w:r w:rsidRPr="005E7E86">
        <w:rPr>
          <w:rFonts w:cs="FrankRuehl"/>
          <w:b/>
          <w:sz w:val="20"/>
          <w:szCs w:val="22"/>
          <w:rtl/>
          <w:lang w:eastAsia="he-IL"/>
        </w:rPr>
        <w:t xml:space="preserve"> קרי </w:t>
      </w:r>
      <w:r w:rsidRPr="005E7E86">
        <w:rPr>
          <w:rFonts w:cs="FrankRuehl" w:hint="eastAsia"/>
          <w:b/>
          <w:sz w:val="20"/>
          <w:szCs w:val="22"/>
          <w:rtl/>
          <w:lang w:eastAsia="he-IL"/>
        </w:rPr>
        <w:t>כ</w:t>
      </w:r>
      <w:r w:rsidRPr="005E7E86">
        <w:rPr>
          <w:rFonts w:cs="FrankRuehl"/>
          <w:b/>
          <w:sz w:val="20"/>
          <w:szCs w:val="22"/>
          <w:rtl/>
          <w:lang w:eastAsia="he-IL"/>
        </w:rPr>
        <w:t xml:space="preserve">-2,500 </w:t>
      </w:r>
      <w:r w:rsidRPr="005E7E86">
        <w:rPr>
          <w:rFonts w:cs="FrankRuehl" w:hint="cs"/>
          <w:b/>
          <w:sz w:val="20"/>
          <w:szCs w:val="22"/>
          <w:rtl/>
          <w:lang w:eastAsia="he-IL"/>
        </w:rPr>
        <w:t xml:space="preserve">אירו ללילה. </w:t>
      </w:r>
    </w:p>
    <w:p w:rsidR="009B5B44" w:rsidRPr="005E7E86" w:rsidP="00AA4780">
      <w:pPr>
        <w:spacing w:after="240" w:line="230" w:lineRule="exact"/>
        <w:jc w:val="both"/>
        <w:rPr>
          <w:rFonts w:cs="FrankRuehl"/>
          <w:b/>
          <w:sz w:val="20"/>
          <w:szCs w:val="22"/>
          <w:rtl/>
        </w:rPr>
      </w:pPr>
      <w:r w:rsidRPr="005E7E86">
        <w:rPr>
          <w:rFonts w:cs="FrankRuehl" w:hint="cs"/>
          <w:b/>
          <w:sz w:val="20"/>
          <w:szCs w:val="22"/>
          <w:rtl/>
          <w:lang w:eastAsia="he-IL"/>
        </w:rPr>
        <w:t xml:space="preserve">כאמור, ארגון הנסיעות לחו"ל של עובדי מדינה נעשה בכפוף להוראות תכ"ם 13.10.1 - טיסות ושירותים נלווים לנסיעות בתפקיד לחו"ל, ו-13.10.2 - נסיעות לחו"ל - קצובות שהייה ולינה, החזרי הוצאות ומיסוי, הקובעות את הכללים לעניין נסיעות בתפקיד לרבות קצובת שהייה, קצובת לינה והחזר הוצאות. הוראות התכ"ם אינן חלות על שרים. </w:t>
      </w:r>
      <w:r w:rsidRPr="005E7E86">
        <w:rPr>
          <w:rFonts w:cs="FrankRuehl"/>
          <w:b/>
          <w:sz w:val="20"/>
          <w:szCs w:val="22"/>
          <w:rtl/>
          <w:lang w:eastAsia="he-IL"/>
        </w:rPr>
        <w:t>ועדת הכספים</w:t>
      </w:r>
      <w:r w:rsidRPr="005E7E86">
        <w:rPr>
          <w:rFonts w:cs="FrankRuehl" w:hint="cs"/>
          <w:b/>
          <w:sz w:val="20"/>
          <w:szCs w:val="22"/>
          <w:rtl/>
          <w:lang w:eastAsia="he-IL"/>
        </w:rPr>
        <w:t xml:space="preserve"> של הכנסת </w:t>
      </w:r>
      <w:r w:rsidRPr="005E7E86">
        <w:rPr>
          <w:rFonts w:cs="FrankRuehl"/>
          <w:b/>
          <w:sz w:val="20"/>
          <w:szCs w:val="22"/>
          <w:rtl/>
          <w:lang w:eastAsia="he-IL"/>
        </w:rPr>
        <w:t>מוסמכת לדון בעניין תנאי שירות של שרים.</w:t>
      </w:r>
    </w:p>
    <w:p w:rsidR="009B5B44" w:rsidRPr="005E7E86" w:rsidP="00AA4780">
      <w:pPr>
        <w:pStyle w:val="RESHET"/>
        <w:keepLines/>
        <w:rPr>
          <w:rtl/>
        </w:rPr>
      </w:pPr>
      <w:r w:rsidRPr="005E7E86">
        <w:rPr>
          <w:rtl/>
        </w:rPr>
        <w:t xml:space="preserve">מבקר המדינה מבקש </w:t>
      </w:r>
      <w:r w:rsidRPr="005E7E86">
        <w:rPr>
          <w:rFonts w:hint="cs"/>
          <w:rtl/>
        </w:rPr>
        <w:t>להסב</w:t>
      </w:r>
      <w:r w:rsidRPr="005E7E86">
        <w:rPr>
          <w:rtl/>
        </w:rPr>
        <w:t xml:space="preserve"> את תשומת לב ועדת הכספים של הכנסת לממצאי דוח זה</w:t>
      </w:r>
      <w:r w:rsidRPr="005E7E86">
        <w:rPr>
          <w:rFonts w:hint="cs"/>
          <w:rtl/>
        </w:rPr>
        <w:t>.</w:t>
      </w:r>
      <w:r w:rsidRPr="005E7E86">
        <w:rPr>
          <w:rtl/>
        </w:rPr>
        <w:t xml:space="preserve"> מוצע כי הוועדה תיתן דעתה </w:t>
      </w:r>
      <w:r w:rsidRPr="005E7E86">
        <w:rPr>
          <w:rFonts w:hint="cs"/>
          <w:rtl/>
        </w:rPr>
        <w:t xml:space="preserve">לכך שכששר נוסע לחו"ל בתפקיד במימון ממשלתי, היקף ההוצאה נתון לפיקוח ממשלתי, ואילו כשנסיעתו ממומנת במימון חיצוני, היקף ההוצאה תלוי במממן החיצוני. עובדה זו יש בה כדי לעודד העדפה של מימון חיצוני על פני מימון ממשלתי. </w:t>
      </w:r>
      <w:r w:rsidRPr="005E7E86">
        <w:rPr>
          <w:rtl/>
        </w:rPr>
        <w:t>ראוי כי משרד</w:t>
      </w:r>
      <w:r w:rsidRPr="005E7E86">
        <w:rPr>
          <w:rFonts w:hint="cs"/>
          <w:rtl/>
        </w:rPr>
        <w:t xml:space="preserve"> האוצר</w:t>
      </w:r>
      <w:r w:rsidRPr="005E7E86">
        <w:rPr>
          <w:rtl/>
        </w:rPr>
        <w:t xml:space="preserve"> יביא לפני ועדת הכספים של הכנסת הצעה </w:t>
      </w:r>
      <w:r w:rsidRPr="005E7E86">
        <w:rPr>
          <w:rFonts w:hint="cs"/>
          <w:rtl/>
        </w:rPr>
        <w:t xml:space="preserve">לבחון את האפשרות להחיל על שרי הממשלה והנלווים להם הוראות המחייבות עובדי מדינה בנושא טיסות ושירותים נלווים לנסיעות בתפקיד, ובנושא קצובות שהייה והחזרי הוצאות בחו"ל. בכלל זה יש לבחון את האפשרות לקבוע כללים אשר יסדירו עבור שרי הממשלה את תקרות המימון החיצוני, את סוגי ההוצאות המותרות ותקרותיהן </w:t>
      </w:r>
      <w:r w:rsidRPr="005E7E86">
        <w:rPr>
          <w:rFonts w:hint="eastAsia"/>
          <w:rtl/>
        </w:rPr>
        <w:t>ואת</w:t>
      </w:r>
      <w:r w:rsidRPr="005E7E86">
        <w:rPr>
          <w:rtl/>
        </w:rPr>
        <w:t xml:space="preserve"> סדרי הזמנת הטיסות והשירותים הנלווים. </w:t>
      </w:r>
    </w:p>
    <w:p w:rsidR="009B5B44" w:rsidRPr="005E7E86" w:rsidP="005E7E86">
      <w:pPr>
        <w:spacing w:after="120" w:line="230" w:lineRule="exact"/>
        <w:jc w:val="both"/>
        <w:rPr>
          <w:rFonts w:cs="FrankRuehl"/>
          <w:bCs/>
          <w:sz w:val="20"/>
          <w:szCs w:val="22"/>
          <w:rtl/>
          <w:lang w:eastAsia="he-IL"/>
        </w:rPr>
      </w:pPr>
    </w:p>
    <w:p w:rsidR="009B5B44" w:rsidRPr="005E7E86" w:rsidP="005E7E86">
      <w:pPr>
        <w:spacing w:after="120" w:line="230" w:lineRule="exact"/>
        <w:jc w:val="both"/>
        <w:rPr>
          <w:rFonts w:cs="FrankRuehl"/>
          <w:bCs/>
          <w:sz w:val="20"/>
          <w:szCs w:val="22"/>
          <w:rtl/>
          <w:lang w:eastAsia="he-IL"/>
        </w:rPr>
      </w:pPr>
    </w:p>
    <w:p w:rsidR="009B5B44" w:rsidRPr="00742B46" w:rsidP="00AA4780">
      <w:pPr>
        <w:pStyle w:val="KOT2"/>
        <w:rPr>
          <w:rtl/>
        </w:rPr>
      </w:pPr>
      <w:r w:rsidRPr="00742B46">
        <w:rPr>
          <w:rFonts w:hint="cs"/>
          <w:rtl/>
        </w:rPr>
        <w:t>מימון</w:t>
      </w:r>
      <w:r>
        <w:rPr>
          <w:rFonts w:hint="cs"/>
          <w:rtl/>
        </w:rPr>
        <w:t xml:space="preserve"> </w:t>
      </w:r>
      <w:r w:rsidRPr="00742B46">
        <w:rPr>
          <w:rFonts w:hint="cs"/>
          <w:rtl/>
        </w:rPr>
        <w:t>נסיעות</w:t>
      </w:r>
      <w:r>
        <w:rPr>
          <w:rFonts w:hint="cs"/>
          <w:rtl/>
        </w:rPr>
        <w:t xml:space="preserve"> לחו"ל של בני משפחתו של </w:t>
      </w:r>
      <w:r w:rsidRPr="00742B46">
        <w:rPr>
          <w:rFonts w:hint="cs"/>
          <w:rtl/>
        </w:rPr>
        <w:t>השר</w:t>
      </w:r>
      <w:r>
        <w:rPr>
          <w:rFonts w:hint="cs"/>
          <w:rtl/>
        </w:rPr>
        <w:t xml:space="preserve"> </w:t>
      </w:r>
      <w:r w:rsidRPr="00742B46">
        <w:rPr>
          <w:rFonts w:hint="cs"/>
          <w:rtl/>
        </w:rPr>
        <w:t>נתניהו</w:t>
      </w:r>
      <w:r>
        <w:rPr>
          <w:rFonts w:hint="cs"/>
          <w:rtl/>
        </w:rPr>
        <w:t xml:space="preserve"> </w:t>
      </w:r>
      <w:r w:rsidR="00AA4780">
        <w:br/>
      </w:r>
      <w:r w:rsidRPr="00742B46">
        <w:rPr>
          <w:rFonts w:hint="cs"/>
          <w:rtl/>
        </w:rPr>
        <w:t>על</w:t>
      </w:r>
      <w:r>
        <w:rPr>
          <w:rFonts w:hint="cs"/>
          <w:rtl/>
        </w:rPr>
        <w:t xml:space="preserve"> </w:t>
      </w:r>
      <w:r w:rsidRPr="00742B46">
        <w:rPr>
          <w:rFonts w:hint="cs"/>
          <w:rtl/>
        </w:rPr>
        <w:t>ידי</w:t>
      </w:r>
      <w:r>
        <w:rPr>
          <w:rFonts w:hint="cs"/>
          <w:rtl/>
        </w:rPr>
        <w:t xml:space="preserve"> </w:t>
      </w:r>
      <w:r w:rsidRPr="00742B46">
        <w:rPr>
          <w:rFonts w:hint="cs"/>
          <w:sz w:val="24"/>
          <w:rtl/>
        </w:rPr>
        <w:t>גורם</w:t>
      </w:r>
      <w:r>
        <w:rPr>
          <w:rFonts w:hint="cs"/>
          <w:sz w:val="24"/>
          <w:rtl/>
        </w:rPr>
        <w:t xml:space="preserve"> </w:t>
      </w:r>
      <w:r w:rsidRPr="00742B46">
        <w:rPr>
          <w:rFonts w:hint="cs"/>
          <w:sz w:val="24"/>
          <w:rtl/>
        </w:rPr>
        <w:t>חיצוני</w:t>
      </w:r>
      <w:r>
        <w:rPr>
          <w:rFonts w:hint="cs"/>
          <w:sz w:val="24"/>
          <w:rtl/>
        </w:rPr>
        <w:t xml:space="preserve"> </w:t>
      </w:r>
      <w:r w:rsidRPr="00742B46">
        <w:rPr>
          <w:rFonts w:hint="cs"/>
          <w:sz w:val="24"/>
          <w:rtl/>
        </w:rPr>
        <w:t>שאינו</w:t>
      </w:r>
      <w:r>
        <w:rPr>
          <w:rFonts w:hint="cs"/>
          <w:sz w:val="24"/>
          <w:rtl/>
        </w:rPr>
        <w:t xml:space="preserve"> </w:t>
      </w:r>
      <w:r w:rsidRPr="00742B46">
        <w:rPr>
          <w:rFonts w:hint="cs"/>
          <w:sz w:val="24"/>
          <w:rtl/>
        </w:rPr>
        <w:t>ממשלתי</w:t>
      </w:r>
      <w:r>
        <w:rPr>
          <w:rFonts w:hint="cs"/>
          <w:rtl/>
        </w:rPr>
        <w:t xml:space="preserve"> </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lang w:eastAsia="he-IL"/>
        </w:rPr>
        <w:t xml:space="preserve">כאמור, חוק המתנות אוסר על עובדי ציבור ובכללם שרים באשר הם עובדי ציבור, לקבל מתנה שהיא נכס או טובת הנאה שלא בתמורה. מתנה לפי החוק היא גם מתנה שניתנה לקרוב משפחה של עובד הציבור לרבות בן זוג או ילד. החוק מאפשר לעובד הציבור לפנות לוועדת המתנות בבקשה להקניית המתנה, ולוועדה הסמכות לקבוע אם אין בעצם קבלת טובת ההנאה משום פגיעה בטוהר המידות. </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lang w:eastAsia="he-IL"/>
        </w:rPr>
        <w:t>בתקופת כהונתו של מר נתניהו</w:t>
      </w:r>
      <w:r w:rsidRPr="005E7E86">
        <w:rPr>
          <w:rFonts w:cs="FrankRuehl" w:hint="cs"/>
          <w:color w:val="FF00FF"/>
          <w:sz w:val="20"/>
          <w:szCs w:val="22"/>
          <w:rtl/>
          <w:lang w:eastAsia="he-IL"/>
        </w:rPr>
        <w:t xml:space="preserve"> </w:t>
      </w:r>
      <w:r w:rsidRPr="005E7E86">
        <w:rPr>
          <w:rFonts w:cs="FrankRuehl" w:hint="cs"/>
          <w:sz w:val="20"/>
          <w:szCs w:val="22"/>
          <w:rtl/>
          <w:lang w:eastAsia="he-IL"/>
        </w:rPr>
        <w:t xml:space="preserve">כשר האוצר התלוותה אליו רעייתו לרוב נסיעותיו בתפקיד לחו"ל. מרבית נסיעותיה מומנו על ידי גורמים חיצוניים בסכום כולל של יותר מ-50,000 דולר - עבור טיסות בלבד. </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lang w:eastAsia="he-IL"/>
        </w:rPr>
        <w:t>בתגובת בא כוחו של מר נתניהו צוין כי מקובל בעולם ובישראל שרעיית ראש ממשלה לשעבר</w:t>
      </w:r>
      <w:r>
        <w:rPr>
          <w:rStyle w:val="FootnoteReference"/>
          <w:rFonts w:cs="FrankRuehl"/>
          <w:sz w:val="20"/>
          <w:szCs w:val="22"/>
          <w:rtl/>
          <w:lang w:eastAsia="he-IL"/>
        </w:rPr>
        <w:footnoteReference w:id="30"/>
      </w:r>
      <w:r w:rsidRPr="005E7E86">
        <w:rPr>
          <w:rFonts w:cs="FrankRuehl" w:hint="cs"/>
          <w:sz w:val="20"/>
          <w:szCs w:val="22"/>
          <w:rtl/>
          <w:lang w:eastAsia="he-IL"/>
        </w:rPr>
        <w:t xml:space="preserve"> מתלווה אליו להרצאות שהן חלק ממסע הסברה של מדינת ישראל, ו"מעמד מיוחד זה של ראש ממשלה לשעבר מצוין על ידי גורמים דיפלומטיים ומדיניים ברחבי העולם". כמו כן ציין בא כוחו של מר נתניהו כי הזמנת מרצים עם בנות זוגן על חשבון המזמין היא נוהג מקובל, והוא "מקבל משנה תוקף, כאשר מדובר ברעיית ראש ממשלה לשעבר".</w:t>
      </w:r>
    </w:p>
    <w:p w:rsidR="009B5B44" w:rsidRPr="005E7E86" w:rsidP="00AA4780">
      <w:pPr>
        <w:spacing w:after="240" w:line="230" w:lineRule="exact"/>
        <w:jc w:val="both"/>
        <w:rPr>
          <w:rFonts w:cs="FrankRuehl"/>
          <w:sz w:val="20"/>
          <w:szCs w:val="22"/>
          <w:rtl/>
          <w:lang w:eastAsia="he-IL"/>
        </w:rPr>
      </w:pPr>
      <w:r w:rsidRPr="005E7E86">
        <w:rPr>
          <w:rFonts w:cs="FrankRuehl" w:hint="cs"/>
          <w:sz w:val="20"/>
          <w:szCs w:val="22"/>
          <w:rtl/>
          <w:lang w:eastAsia="he-IL"/>
        </w:rPr>
        <w:t xml:space="preserve">משרד מבקר המדינה מציין כי לפי </w:t>
      </w:r>
      <w:r w:rsidRPr="005E7E86">
        <w:rPr>
          <w:rFonts w:cs="FrankRuehl" w:hint="cs"/>
          <w:sz w:val="20"/>
          <w:szCs w:val="22"/>
          <w:rtl/>
        </w:rPr>
        <w:t>החלטת גמלאות לנושאי משרה ברשויות השלטון (שרים ושאריהם), התשמ"א-1981</w:t>
      </w:r>
      <w:r>
        <w:rPr>
          <w:rStyle w:val="FootnoteReference"/>
          <w:rFonts w:cs="FrankRuehl"/>
          <w:sz w:val="20"/>
          <w:szCs w:val="22"/>
          <w:rtl/>
        </w:rPr>
        <w:footnoteReference w:id="31"/>
      </w:r>
      <w:r w:rsidRPr="005E7E86">
        <w:rPr>
          <w:rFonts w:cs="FrankRuehl" w:hint="cs"/>
          <w:sz w:val="20"/>
          <w:szCs w:val="22"/>
          <w:rtl/>
        </w:rPr>
        <w:t xml:space="preserve">, </w:t>
      </w:r>
      <w:r w:rsidRPr="005E7E86">
        <w:rPr>
          <w:rFonts w:cs="FrankRuehl" w:hint="cs"/>
          <w:sz w:val="20"/>
          <w:szCs w:val="22"/>
          <w:rtl/>
          <w:lang w:eastAsia="he-IL"/>
        </w:rPr>
        <w:t xml:space="preserve">לראש ממשלה לשעבר אמנם יש זכויות מתוקף התפקיד שכיהן בו, כגון </w:t>
      </w:r>
      <w:r w:rsidRPr="005E7E86">
        <w:rPr>
          <w:rFonts w:cs="FrankRuehl"/>
          <w:sz w:val="20"/>
          <w:szCs w:val="22"/>
          <w:rtl/>
          <w:lang w:eastAsia="he-IL"/>
        </w:rPr>
        <w:t>זכויות פנסיוניות, ש</w:t>
      </w:r>
      <w:r w:rsidRPr="005E7E86">
        <w:rPr>
          <w:rFonts w:cs="FrankRuehl" w:hint="cs"/>
          <w:sz w:val="20"/>
          <w:szCs w:val="22"/>
          <w:rtl/>
          <w:lang w:eastAsia="he-IL"/>
        </w:rPr>
        <w:t>י</w:t>
      </w:r>
      <w:r w:rsidRPr="005E7E86">
        <w:rPr>
          <w:rFonts w:cs="FrankRuehl"/>
          <w:sz w:val="20"/>
          <w:szCs w:val="22"/>
          <w:rtl/>
          <w:lang w:eastAsia="he-IL"/>
        </w:rPr>
        <w:t xml:space="preserve">רותי משרד לתקופה מוגבלת והוצאות אבטחה בהתאם להנחיות </w:t>
      </w:r>
      <w:r w:rsidRPr="005E7E86">
        <w:rPr>
          <w:rFonts w:cs="FrankRuehl" w:hint="cs"/>
          <w:sz w:val="20"/>
          <w:szCs w:val="22"/>
          <w:rtl/>
          <w:lang w:eastAsia="he-IL"/>
        </w:rPr>
        <w:t xml:space="preserve">שירות הביטחון הכללי, אולם </w:t>
      </w:r>
      <w:r w:rsidRPr="005E7E86">
        <w:rPr>
          <w:rFonts w:cs="FrankRuehl"/>
          <w:sz w:val="20"/>
          <w:szCs w:val="22"/>
          <w:rtl/>
          <w:lang w:eastAsia="he-IL"/>
        </w:rPr>
        <w:t>אין</w:t>
      </w:r>
      <w:r w:rsidRPr="005E7E86">
        <w:rPr>
          <w:rFonts w:cs="FrankRuehl" w:hint="cs"/>
          <w:sz w:val="20"/>
          <w:szCs w:val="22"/>
          <w:rtl/>
          <w:lang w:eastAsia="he-IL"/>
        </w:rPr>
        <w:t xml:space="preserve"> לו </w:t>
      </w:r>
      <w:r w:rsidRPr="005E7E86">
        <w:rPr>
          <w:rFonts w:cs="FrankRuehl"/>
          <w:sz w:val="20"/>
          <w:szCs w:val="22"/>
          <w:rtl/>
          <w:lang w:eastAsia="he-IL"/>
        </w:rPr>
        <w:t>כל זכות</w:t>
      </w:r>
      <w:r w:rsidRPr="005E7E86">
        <w:rPr>
          <w:rFonts w:cs="FrankRuehl" w:hint="cs"/>
          <w:sz w:val="20"/>
          <w:szCs w:val="22"/>
          <w:rtl/>
          <w:lang w:eastAsia="he-IL"/>
        </w:rPr>
        <w:t xml:space="preserve"> </w:t>
      </w:r>
      <w:r w:rsidRPr="005E7E86">
        <w:rPr>
          <w:rFonts w:cs="FrankRuehl"/>
          <w:sz w:val="20"/>
          <w:szCs w:val="22"/>
          <w:rtl/>
          <w:lang w:eastAsia="he-IL"/>
        </w:rPr>
        <w:t>בנושא נסיעות לחו"ל</w:t>
      </w:r>
      <w:r w:rsidRPr="005E7E86">
        <w:rPr>
          <w:rFonts w:cs="FrankRuehl" w:hint="cs"/>
          <w:sz w:val="20"/>
          <w:szCs w:val="22"/>
          <w:rtl/>
          <w:lang w:eastAsia="he-IL"/>
        </w:rPr>
        <w:t xml:space="preserve"> מתוקף התפקיד שכיהן בו.</w:t>
      </w:r>
    </w:p>
    <w:p w:rsidR="009B5B44" w:rsidRPr="005E7E86" w:rsidP="00AA4780">
      <w:pPr>
        <w:pStyle w:val="RESHET"/>
        <w:keepLines/>
        <w:rPr>
          <w:rtl/>
        </w:rPr>
      </w:pPr>
      <w:r w:rsidRPr="005E7E86">
        <w:rPr>
          <w:rFonts w:hint="eastAsia"/>
          <w:rtl/>
        </w:rPr>
        <w:t>מהביקורת</w:t>
      </w:r>
      <w:r w:rsidRPr="005E7E86">
        <w:rPr>
          <w:rtl/>
        </w:rPr>
        <w:t xml:space="preserve"> </w:t>
      </w:r>
      <w:r w:rsidRPr="005E7E86">
        <w:rPr>
          <w:rFonts w:hint="eastAsia"/>
          <w:rtl/>
        </w:rPr>
        <w:t>עלה</w:t>
      </w:r>
      <w:r w:rsidRPr="005E7E86">
        <w:rPr>
          <w:rtl/>
        </w:rPr>
        <w:t xml:space="preserve"> </w:t>
      </w:r>
      <w:r w:rsidRPr="005E7E86">
        <w:rPr>
          <w:rFonts w:hint="eastAsia"/>
          <w:rtl/>
        </w:rPr>
        <w:t>כי</w:t>
      </w:r>
      <w:r w:rsidRPr="005E7E86">
        <w:rPr>
          <w:rtl/>
        </w:rPr>
        <w:t xml:space="preserve"> </w:t>
      </w:r>
      <w:r w:rsidRPr="005E7E86">
        <w:rPr>
          <w:rFonts w:hint="eastAsia"/>
          <w:rtl/>
        </w:rPr>
        <w:t>רעיית</w:t>
      </w:r>
      <w:r w:rsidRPr="005E7E86">
        <w:rPr>
          <w:rtl/>
        </w:rPr>
        <w:t xml:space="preserve"> </w:t>
      </w:r>
      <w:r w:rsidRPr="005E7E86">
        <w:rPr>
          <w:rFonts w:hint="eastAsia"/>
          <w:rtl/>
        </w:rPr>
        <w:t>שר</w:t>
      </w:r>
      <w:r w:rsidRPr="005E7E86">
        <w:rPr>
          <w:rtl/>
        </w:rPr>
        <w:t xml:space="preserve"> </w:t>
      </w:r>
      <w:r w:rsidRPr="005E7E86">
        <w:rPr>
          <w:rFonts w:hint="eastAsia"/>
          <w:rtl/>
        </w:rPr>
        <w:t>האוצר</w:t>
      </w:r>
      <w:r w:rsidRPr="005E7E86">
        <w:rPr>
          <w:rtl/>
        </w:rPr>
        <w:t xml:space="preserve"> </w:t>
      </w:r>
      <w:r w:rsidRPr="005E7E86">
        <w:rPr>
          <w:rFonts w:hint="eastAsia"/>
          <w:rtl/>
        </w:rPr>
        <w:t>דאז</w:t>
      </w:r>
      <w:r w:rsidRPr="005E7E86">
        <w:rPr>
          <w:rtl/>
        </w:rPr>
        <w:t xml:space="preserve"> </w:t>
      </w:r>
      <w:r w:rsidRPr="005E7E86">
        <w:rPr>
          <w:rFonts w:hint="eastAsia"/>
          <w:rtl/>
        </w:rPr>
        <w:t>הצטרפה</w:t>
      </w:r>
      <w:r w:rsidRPr="005E7E86">
        <w:rPr>
          <w:rtl/>
        </w:rPr>
        <w:t xml:space="preserve"> </w:t>
      </w:r>
      <w:r w:rsidRPr="005E7E86">
        <w:rPr>
          <w:rFonts w:hint="eastAsia"/>
          <w:rtl/>
        </w:rPr>
        <w:t>לנסיעותיו</w:t>
      </w:r>
      <w:r w:rsidRPr="005E7E86">
        <w:rPr>
          <w:rtl/>
        </w:rPr>
        <w:t xml:space="preserve">, </w:t>
      </w:r>
      <w:r w:rsidRPr="005E7E86">
        <w:rPr>
          <w:rFonts w:hint="eastAsia"/>
          <w:rtl/>
        </w:rPr>
        <w:t>במימון</w:t>
      </w:r>
      <w:r w:rsidRPr="005E7E86">
        <w:rPr>
          <w:rtl/>
        </w:rPr>
        <w:t xml:space="preserve"> </w:t>
      </w:r>
      <w:r w:rsidRPr="005E7E86">
        <w:rPr>
          <w:rFonts w:hint="cs"/>
          <w:rtl/>
        </w:rPr>
        <w:t>חיצוני</w:t>
      </w:r>
      <w:r w:rsidRPr="005E7E86">
        <w:rPr>
          <w:rtl/>
        </w:rPr>
        <w:t xml:space="preserve"> (מלא </w:t>
      </w:r>
      <w:r w:rsidRPr="005E7E86">
        <w:rPr>
          <w:rFonts w:hint="eastAsia"/>
          <w:rtl/>
        </w:rPr>
        <w:t>או</w:t>
      </w:r>
      <w:r w:rsidRPr="005E7E86">
        <w:rPr>
          <w:rtl/>
        </w:rPr>
        <w:t xml:space="preserve"> </w:t>
      </w:r>
      <w:r w:rsidRPr="005E7E86">
        <w:rPr>
          <w:rFonts w:hint="eastAsia"/>
          <w:rtl/>
        </w:rPr>
        <w:t>חלקי</w:t>
      </w:r>
      <w:r w:rsidRPr="005E7E86">
        <w:rPr>
          <w:rtl/>
        </w:rPr>
        <w:t>)</w:t>
      </w:r>
      <w:r w:rsidRPr="005E7E86">
        <w:rPr>
          <w:rFonts w:hint="cs"/>
          <w:rtl/>
        </w:rPr>
        <w:t>,</w:t>
      </w:r>
      <w:r w:rsidRPr="005E7E86">
        <w:rPr>
          <w:rtl/>
        </w:rPr>
        <w:t xml:space="preserve"> </w:t>
      </w:r>
      <w:r w:rsidRPr="005E7E86">
        <w:rPr>
          <w:rFonts w:hint="eastAsia"/>
          <w:rtl/>
        </w:rPr>
        <w:t>בלי</w:t>
      </w:r>
      <w:r w:rsidRPr="005E7E86">
        <w:rPr>
          <w:rtl/>
        </w:rPr>
        <w:t xml:space="preserve"> </w:t>
      </w:r>
      <w:r w:rsidRPr="005E7E86">
        <w:rPr>
          <w:rFonts w:hint="eastAsia"/>
          <w:rtl/>
        </w:rPr>
        <w:t>שהשר</w:t>
      </w:r>
      <w:r w:rsidRPr="005E7E86">
        <w:rPr>
          <w:rtl/>
        </w:rPr>
        <w:t xml:space="preserve"> </w:t>
      </w:r>
      <w:r w:rsidRPr="005E7E86">
        <w:rPr>
          <w:rFonts w:hint="eastAsia"/>
          <w:rtl/>
        </w:rPr>
        <w:t>פנה</w:t>
      </w:r>
      <w:r w:rsidRPr="005E7E86">
        <w:rPr>
          <w:rtl/>
        </w:rPr>
        <w:t xml:space="preserve"> </w:t>
      </w:r>
      <w:r w:rsidRPr="005E7E86">
        <w:rPr>
          <w:rFonts w:hint="eastAsia"/>
          <w:rtl/>
        </w:rPr>
        <w:t>לוועדת</w:t>
      </w:r>
      <w:r w:rsidRPr="005E7E86">
        <w:rPr>
          <w:rtl/>
        </w:rPr>
        <w:t xml:space="preserve"> </w:t>
      </w:r>
      <w:r w:rsidRPr="005E7E86">
        <w:rPr>
          <w:rFonts w:hint="eastAsia"/>
          <w:rtl/>
        </w:rPr>
        <w:t>המתנות</w:t>
      </w:r>
      <w:r w:rsidRPr="005E7E86">
        <w:rPr>
          <w:rtl/>
        </w:rPr>
        <w:t xml:space="preserve"> </w:t>
      </w:r>
      <w:r w:rsidRPr="005E7E86">
        <w:rPr>
          <w:rFonts w:hint="eastAsia"/>
          <w:rtl/>
        </w:rPr>
        <w:t>על</w:t>
      </w:r>
      <w:r w:rsidRPr="005E7E86">
        <w:rPr>
          <w:rtl/>
        </w:rPr>
        <w:t xml:space="preserve"> </w:t>
      </w:r>
      <w:r w:rsidRPr="005E7E86">
        <w:rPr>
          <w:rFonts w:hint="eastAsia"/>
          <w:rtl/>
        </w:rPr>
        <w:t>מנת</w:t>
      </w:r>
      <w:r w:rsidRPr="005E7E86">
        <w:rPr>
          <w:rtl/>
        </w:rPr>
        <w:t xml:space="preserve"> </w:t>
      </w:r>
      <w:r w:rsidRPr="005E7E86">
        <w:rPr>
          <w:rFonts w:hint="eastAsia"/>
          <w:rtl/>
        </w:rPr>
        <w:t>לקבל</w:t>
      </w:r>
      <w:r w:rsidRPr="005E7E86">
        <w:rPr>
          <w:rtl/>
        </w:rPr>
        <w:t xml:space="preserve"> </w:t>
      </w:r>
      <w:r w:rsidRPr="005E7E86">
        <w:rPr>
          <w:rFonts w:hint="cs"/>
          <w:rtl/>
        </w:rPr>
        <w:t>היתר לקבלת המתנה ולוודא</w:t>
      </w:r>
      <w:r w:rsidRPr="005E7E86">
        <w:rPr>
          <w:rtl/>
        </w:rPr>
        <w:t xml:space="preserve"> </w:t>
      </w:r>
      <w:r w:rsidRPr="005E7E86">
        <w:rPr>
          <w:rFonts w:hint="eastAsia"/>
          <w:rtl/>
        </w:rPr>
        <w:t>שאין</w:t>
      </w:r>
      <w:r w:rsidRPr="005E7E86">
        <w:rPr>
          <w:rtl/>
        </w:rPr>
        <w:t xml:space="preserve"> </w:t>
      </w:r>
      <w:r w:rsidRPr="005E7E86">
        <w:rPr>
          <w:rFonts w:hint="eastAsia"/>
          <w:rtl/>
        </w:rPr>
        <w:t>במימון</w:t>
      </w:r>
      <w:r w:rsidRPr="005E7E86">
        <w:rPr>
          <w:rtl/>
        </w:rPr>
        <w:t xml:space="preserve"> </w:t>
      </w:r>
      <w:r w:rsidRPr="005E7E86">
        <w:rPr>
          <w:rFonts w:hint="eastAsia"/>
          <w:rtl/>
        </w:rPr>
        <w:t>זה</w:t>
      </w:r>
      <w:r w:rsidRPr="005E7E86">
        <w:rPr>
          <w:rtl/>
        </w:rPr>
        <w:t xml:space="preserve"> </w:t>
      </w:r>
      <w:r w:rsidRPr="005E7E86">
        <w:rPr>
          <w:rFonts w:hint="eastAsia"/>
          <w:rtl/>
        </w:rPr>
        <w:t>משום</w:t>
      </w:r>
      <w:r w:rsidRPr="005E7E86">
        <w:rPr>
          <w:rtl/>
        </w:rPr>
        <w:t xml:space="preserve"> </w:t>
      </w:r>
      <w:r w:rsidRPr="005E7E86">
        <w:rPr>
          <w:rFonts w:hint="eastAsia"/>
          <w:rtl/>
        </w:rPr>
        <w:t>קבלת</w:t>
      </w:r>
      <w:r w:rsidRPr="005E7E86">
        <w:rPr>
          <w:rtl/>
        </w:rPr>
        <w:t xml:space="preserve"> </w:t>
      </w:r>
      <w:r w:rsidRPr="005E7E86">
        <w:rPr>
          <w:rFonts w:hint="eastAsia"/>
          <w:rtl/>
        </w:rPr>
        <w:t>טובת</w:t>
      </w:r>
      <w:r w:rsidRPr="005E7E86">
        <w:rPr>
          <w:rtl/>
        </w:rPr>
        <w:t xml:space="preserve"> </w:t>
      </w:r>
      <w:r w:rsidRPr="005E7E86">
        <w:rPr>
          <w:rFonts w:hint="eastAsia"/>
          <w:rtl/>
        </w:rPr>
        <w:t>הנאה</w:t>
      </w:r>
      <w:r w:rsidRPr="005E7E86">
        <w:rPr>
          <w:rtl/>
        </w:rPr>
        <w:t xml:space="preserve"> </w:t>
      </w:r>
      <w:r w:rsidRPr="005E7E86">
        <w:rPr>
          <w:rFonts w:hint="eastAsia"/>
          <w:rtl/>
        </w:rPr>
        <w:t>אסורה</w:t>
      </w:r>
      <w:r w:rsidRPr="005E7E86">
        <w:rPr>
          <w:rtl/>
        </w:rPr>
        <w:t>.</w:t>
      </w:r>
    </w:p>
    <w:p w:rsidR="009B5B44" w:rsidP="005E7E86">
      <w:pPr>
        <w:spacing w:after="120" w:line="230" w:lineRule="exact"/>
        <w:jc w:val="both"/>
        <w:rPr>
          <w:rFonts w:cs="FrankRuehl"/>
          <w:sz w:val="20"/>
          <w:szCs w:val="22"/>
          <w:lang w:eastAsia="he-IL"/>
        </w:rPr>
      </w:pPr>
    </w:p>
    <w:p w:rsidR="00AA4780" w:rsidRPr="005E7E86" w:rsidP="005E7E86">
      <w:pPr>
        <w:spacing w:after="120" w:line="230" w:lineRule="exact"/>
        <w:jc w:val="both"/>
        <w:rPr>
          <w:rFonts w:cs="FrankRuehl"/>
          <w:sz w:val="20"/>
          <w:szCs w:val="22"/>
          <w:rtl/>
          <w:lang w:eastAsia="he-IL"/>
        </w:rPr>
      </w:pPr>
    </w:p>
    <w:p w:rsidR="009B5B44" w:rsidRPr="00742B46" w:rsidP="00BF3C50">
      <w:pPr>
        <w:pStyle w:val="KOT4"/>
        <w:rPr>
          <w:rtl/>
        </w:rPr>
      </w:pPr>
      <w:r w:rsidRPr="00184C0C">
        <w:rPr>
          <w:rFonts w:hint="cs"/>
          <w:rtl/>
        </w:rPr>
        <w:t xml:space="preserve">מימון הוצאות רעיית השר על ידי גורם חיצוני שאינו ממשלתי </w:t>
      </w:r>
      <w:r w:rsidR="00AA4780">
        <w:br/>
      </w:r>
      <w:r w:rsidRPr="00184C0C">
        <w:rPr>
          <w:rFonts w:hint="cs"/>
          <w:rtl/>
        </w:rPr>
        <w:t xml:space="preserve">ואינו הגורם שמימן את </w:t>
      </w:r>
      <w:r w:rsidRPr="00184C0C">
        <w:rPr>
          <w:rFonts w:hint="eastAsia"/>
          <w:rtl/>
        </w:rPr>
        <w:t>הוצאות</w:t>
      </w:r>
      <w:r w:rsidRPr="00184C0C">
        <w:rPr>
          <w:rtl/>
        </w:rPr>
        <w:t xml:space="preserve"> </w:t>
      </w:r>
      <w:r w:rsidRPr="00184C0C">
        <w:rPr>
          <w:rFonts w:hint="eastAsia"/>
          <w:rtl/>
        </w:rPr>
        <w:t>השר</w:t>
      </w:r>
    </w:p>
    <w:p w:rsidR="009B5B44" w:rsidRPr="005E7E86" w:rsidP="00AA4780">
      <w:pPr>
        <w:spacing w:after="240" w:line="230" w:lineRule="exact"/>
        <w:jc w:val="both"/>
        <w:rPr>
          <w:rFonts w:cs="FrankRuehl"/>
          <w:sz w:val="20"/>
          <w:szCs w:val="22"/>
          <w:rtl/>
        </w:rPr>
      </w:pPr>
      <w:r w:rsidRPr="005E7E86">
        <w:rPr>
          <w:rFonts w:cs="FrankRuehl" w:hint="cs"/>
          <w:sz w:val="20"/>
          <w:szCs w:val="22"/>
          <w:rtl/>
        </w:rPr>
        <w:t xml:space="preserve">מהביקורת עלה שבכמה נסיעות של מר נתניהו לחו"ל בתפקיד, שאליהן הצטרפה רעייתו, מומנו </w:t>
      </w:r>
      <w:r w:rsidRPr="005E7E86">
        <w:rPr>
          <w:rFonts w:cs="FrankRuehl" w:hint="eastAsia"/>
          <w:sz w:val="20"/>
          <w:szCs w:val="22"/>
          <w:rtl/>
        </w:rPr>
        <w:t>הוצאותיה</w:t>
      </w:r>
      <w:r w:rsidRPr="005E7E86">
        <w:rPr>
          <w:rFonts w:cs="FrankRuehl" w:hint="cs"/>
          <w:sz w:val="20"/>
          <w:szCs w:val="22"/>
          <w:rtl/>
        </w:rPr>
        <w:t xml:space="preserve"> בידי גורם אחר מזה שמימן את הוצאות השר: בנסיעה לארצות הברית, אנגליה וצרפת ביוני 2003 מימנה ממשלת ישראל את נסיעת השר, ואת נסיעת רעייתו מימן איש עסקים א'; בנסיעה לארצות הברית בינואר 2004 נסיעת השר מומנה על ידי הבונדס, ואילו נסיעת רעייתו מומנה על ידי ארגון א'; בנסיעה לאיטליה ולהולנד במרץ 2004 מימנה ממשלת ישראל את נסיעת השר, ואילו את נסיעת רעייתו מימן </w:t>
      </w:r>
      <w:r w:rsidRPr="005E7E86">
        <w:rPr>
          <w:rFonts w:cs="FrankRuehl" w:hint="cs"/>
          <w:sz w:val="20"/>
          <w:szCs w:val="22"/>
          <w:rtl/>
          <w:lang w:eastAsia="he-IL"/>
        </w:rPr>
        <w:t>ארגון זר א</w:t>
      </w:r>
      <w:r w:rsidRPr="005E7E86">
        <w:rPr>
          <w:rFonts w:cs="FrankRuehl" w:hint="cs"/>
          <w:sz w:val="20"/>
          <w:szCs w:val="22"/>
          <w:rtl/>
        </w:rPr>
        <w:t>'.</w:t>
      </w:r>
    </w:p>
    <w:p w:rsidR="009B5B44" w:rsidP="00AA4780">
      <w:pPr>
        <w:pStyle w:val="RESHET"/>
        <w:keepLines/>
      </w:pPr>
      <w:r w:rsidRPr="005E7E86">
        <w:rPr>
          <w:rFonts w:hint="eastAsia"/>
          <w:rtl/>
        </w:rPr>
        <w:t>לדעת</w:t>
      </w:r>
      <w:r w:rsidRPr="005E7E86">
        <w:rPr>
          <w:rtl/>
        </w:rPr>
        <w:t xml:space="preserve"> משרד מבקר המדינה, </w:t>
      </w:r>
      <w:r w:rsidRPr="005E7E86">
        <w:rPr>
          <w:rFonts w:hint="cs"/>
          <w:rtl/>
        </w:rPr>
        <w:t xml:space="preserve">כאשר </w:t>
      </w:r>
      <w:r w:rsidRPr="005E7E86">
        <w:rPr>
          <w:rtl/>
        </w:rPr>
        <w:t>רעייתו</w:t>
      </w:r>
      <w:r w:rsidRPr="005E7E86">
        <w:rPr>
          <w:rFonts w:hint="cs"/>
          <w:rtl/>
        </w:rPr>
        <w:t xml:space="preserve"> של השר מתלווה אליו ו</w:t>
      </w:r>
      <w:r w:rsidRPr="005E7E86">
        <w:rPr>
          <w:rFonts w:hint="eastAsia"/>
          <w:rtl/>
        </w:rPr>
        <w:t>הוצאותיה</w:t>
      </w:r>
      <w:r w:rsidRPr="005E7E86">
        <w:rPr>
          <w:rtl/>
        </w:rPr>
        <w:t xml:space="preserve"> </w:t>
      </w:r>
      <w:r w:rsidRPr="005E7E86">
        <w:rPr>
          <w:rFonts w:hint="cs"/>
          <w:rtl/>
        </w:rPr>
        <w:t>ממומנות על ידי גורם חיצוני שאינו ממשלתי, י</w:t>
      </w:r>
      <w:r w:rsidRPr="005E7E86">
        <w:rPr>
          <w:rFonts w:hint="eastAsia"/>
          <w:rtl/>
        </w:rPr>
        <w:t>ש</w:t>
      </w:r>
      <w:r w:rsidRPr="005E7E86">
        <w:rPr>
          <w:rtl/>
        </w:rPr>
        <w:t xml:space="preserve"> בכך משום </w:t>
      </w:r>
      <w:r w:rsidRPr="005E7E86">
        <w:rPr>
          <w:rFonts w:hint="cs"/>
          <w:rtl/>
        </w:rPr>
        <w:t xml:space="preserve">חשש למתן </w:t>
      </w:r>
      <w:r w:rsidRPr="005E7E86">
        <w:rPr>
          <w:rFonts w:hint="eastAsia"/>
          <w:rtl/>
        </w:rPr>
        <w:t>טובת</w:t>
      </w:r>
      <w:r w:rsidRPr="005E7E86">
        <w:rPr>
          <w:rtl/>
        </w:rPr>
        <w:t xml:space="preserve"> </w:t>
      </w:r>
      <w:r w:rsidRPr="005E7E86">
        <w:rPr>
          <w:rFonts w:hint="eastAsia"/>
          <w:rtl/>
        </w:rPr>
        <w:t>הנאה</w:t>
      </w:r>
      <w:r w:rsidRPr="005E7E86">
        <w:rPr>
          <w:rFonts w:hint="cs"/>
          <w:rtl/>
        </w:rPr>
        <w:t xml:space="preserve"> לשר, המצריכה פנייה אל הוועדה למתן היתרים ולוועדת המתנות ובחינה שלהן בעניין. הדבר מקבל משנה תוקף כשמדובר במימון של גורם שאינו קשור לנסיעה ושלא הוא מימן את נסיעת השר.</w:t>
      </w:r>
    </w:p>
    <w:p w:rsidR="00AA4780" w:rsidP="005E7E86">
      <w:pPr>
        <w:spacing w:after="120" w:line="230" w:lineRule="exact"/>
        <w:jc w:val="both"/>
        <w:rPr>
          <w:rFonts w:cs="FrankRuehl"/>
          <w:b/>
          <w:bCs/>
          <w:sz w:val="20"/>
          <w:szCs w:val="22"/>
        </w:rPr>
      </w:pPr>
    </w:p>
    <w:p w:rsidR="00AA4780" w:rsidRPr="005E7E86" w:rsidP="005E7E86">
      <w:pPr>
        <w:spacing w:after="120" w:line="230" w:lineRule="exact"/>
        <w:jc w:val="both"/>
        <w:rPr>
          <w:rFonts w:cs="FrankRuehl"/>
          <w:b/>
          <w:bCs/>
          <w:sz w:val="20"/>
          <w:szCs w:val="22"/>
          <w:rtl/>
        </w:rPr>
      </w:pPr>
    </w:p>
    <w:p w:rsidR="009B5B44" w:rsidRPr="00184C0C" w:rsidP="00BF3C50">
      <w:pPr>
        <w:pStyle w:val="KOT4"/>
        <w:rPr>
          <w:rtl/>
        </w:rPr>
      </w:pPr>
      <w:r w:rsidRPr="00184C0C">
        <w:rPr>
          <w:rFonts w:hint="cs"/>
          <w:rtl/>
        </w:rPr>
        <w:t xml:space="preserve">מימון הוצאות רעיית השר על ידי הבונדס בנסיעות שבהן </w:t>
      </w:r>
      <w:r w:rsidR="00AA4780">
        <w:br/>
      </w:r>
      <w:r w:rsidRPr="00184C0C">
        <w:rPr>
          <w:rFonts w:hint="cs"/>
          <w:rtl/>
        </w:rPr>
        <w:t xml:space="preserve">לא מימן הבונדס את הוצאות השר </w:t>
      </w:r>
    </w:p>
    <w:p w:rsidR="009B5B44" w:rsidRPr="005E7E86" w:rsidP="005E7E86">
      <w:pPr>
        <w:spacing w:after="120" w:line="230" w:lineRule="exact"/>
        <w:jc w:val="both"/>
        <w:rPr>
          <w:rFonts w:cs="FrankRuehl"/>
          <w:sz w:val="20"/>
          <w:szCs w:val="22"/>
          <w:rtl/>
        </w:rPr>
      </w:pPr>
      <w:r w:rsidRPr="005E7E86">
        <w:rPr>
          <w:rFonts w:cs="FrankRuehl" w:hint="cs"/>
          <w:sz w:val="20"/>
          <w:szCs w:val="22"/>
          <w:rtl/>
        </w:rPr>
        <w:t xml:space="preserve">על פי דיווחי חברת איילה </w:t>
      </w:r>
      <w:r w:rsidRPr="005E7E86">
        <w:rPr>
          <w:rFonts w:cs="FrankRuehl" w:hint="cs"/>
          <w:sz w:val="20"/>
          <w:szCs w:val="22"/>
          <w:rtl/>
          <w:lang w:eastAsia="he-IL"/>
        </w:rPr>
        <w:t>נסיעות ותיירות בע"מ</w:t>
      </w:r>
      <w:r w:rsidRPr="005E7E86">
        <w:rPr>
          <w:rFonts w:cs="FrankRuehl" w:hint="cs"/>
          <w:sz w:val="20"/>
          <w:szCs w:val="22"/>
          <w:rtl/>
        </w:rPr>
        <w:t xml:space="preserve">, הבונדס מימן את </w:t>
      </w:r>
      <w:r w:rsidRPr="005E7E86">
        <w:rPr>
          <w:rFonts w:cs="FrankRuehl" w:hint="eastAsia"/>
          <w:sz w:val="20"/>
          <w:szCs w:val="22"/>
          <w:rtl/>
        </w:rPr>
        <w:t>הוצאותיה</w:t>
      </w:r>
      <w:r w:rsidRPr="005E7E86">
        <w:rPr>
          <w:rFonts w:cs="FrankRuehl" w:hint="cs"/>
          <w:sz w:val="20"/>
          <w:szCs w:val="22"/>
          <w:rtl/>
        </w:rPr>
        <w:t xml:space="preserve"> של רעיית השר בכמה נסיעות שבהן מומנו </w:t>
      </w:r>
      <w:r w:rsidRPr="005E7E86">
        <w:rPr>
          <w:rFonts w:cs="FrankRuehl" w:hint="eastAsia"/>
          <w:sz w:val="20"/>
          <w:szCs w:val="22"/>
          <w:rtl/>
        </w:rPr>
        <w:t>הוצאות</w:t>
      </w:r>
      <w:r w:rsidRPr="005E7E86">
        <w:rPr>
          <w:rFonts w:cs="FrankRuehl" w:hint="cs"/>
          <w:sz w:val="20"/>
          <w:szCs w:val="22"/>
          <w:rtl/>
        </w:rPr>
        <w:t xml:space="preserve"> מר נתניהו בידי גורם אחר: ה</w:t>
      </w:r>
      <w:r w:rsidRPr="005E7E86">
        <w:rPr>
          <w:rFonts w:cs="FrankRuehl" w:hint="eastAsia"/>
          <w:sz w:val="20"/>
          <w:szCs w:val="22"/>
          <w:rtl/>
        </w:rPr>
        <w:t>נסיעה</w:t>
      </w:r>
      <w:r w:rsidRPr="005E7E86">
        <w:rPr>
          <w:rFonts w:cs="FrankRuehl" w:hint="cs"/>
          <w:sz w:val="20"/>
          <w:szCs w:val="22"/>
          <w:rtl/>
        </w:rPr>
        <w:t xml:space="preserve"> לארצות הברית ביוני 2005, שבה מומנו </w:t>
      </w:r>
      <w:r w:rsidRPr="005E7E86">
        <w:rPr>
          <w:rFonts w:cs="FrankRuehl" w:hint="eastAsia"/>
          <w:sz w:val="20"/>
          <w:szCs w:val="22"/>
          <w:rtl/>
        </w:rPr>
        <w:t>הוצאות</w:t>
      </w:r>
      <w:r w:rsidRPr="005E7E86">
        <w:rPr>
          <w:rFonts w:cs="FrankRuehl" w:hint="cs"/>
          <w:sz w:val="20"/>
          <w:szCs w:val="22"/>
          <w:rtl/>
        </w:rPr>
        <w:t xml:space="preserve"> מר נתניהו בידי ארגון ב', וה</w:t>
      </w:r>
      <w:r w:rsidRPr="005E7E86">
        <w:rPr>
          <w:rFonts w:cs="FrankRuehl" w:hint="eastAsia"/>
          <w:sz w:val="20"/>
          <w:szCs w:val="22"/>
          <w:rtl/>
        </w:rPr>
        <w:t>נסיעה</w:t>
      </w:r>
      <w:r w:rsidRPr="005E7E86">
        <w:rPr>
          <w:rFonts w:cs="FrankRuehl"/>
          <w:sz w:val="20"/>
          <w:szCs w:val="22"/>
          <w:rtl/>
        </w:rPr>
        <w:t xml:space="preserve"> </w:t>
      </w:r>
      <w:r w:rsidRPr="005E7E86">
        <w:rPr>
          <w:rFonts w:cs="FrankRuehl" w:hint="eastAsia"/>
          <w:sz w:val="20"/>
          <w:szCs w:val="22"/>
          <w:rtl/>
        </w:rPr>
        <w:t>לאנגליה</w:t>
      </w:r>
      <w:r w:rsidRPr="005E7E86">
        <w:rPr>
          <w:rFonts w:cs="FrankRuehl" w:hint="cs"/>
          <w:sz w:val="20"/>
          <w:szCs w:val="22"/>
          <w:rtl/>
        </w:rPr>
        <w:t xml:space="preserve"> ביולי 2005, שבה מומנו </w:t>
      </w:r>
      <w:r w:rsidRPr="005E7E86">
        <w:rPr>
          <w:rFonts w:cs="FrankRuehl" w:hint="eastAsia"/>
          <w:sz w:val="20"/>
          <w:szCs w:val="22"/>
          <w:rtl/>
        </w:rPr>
        <w:t>הוצאותיו</w:t>
      </w:r>
      <w:r w:rsidRPr="005E7E86">
        <w:rPr>
          <w:rFonts w:cs="FrankRuehl" w:hint="cs"/>
          <w:sz w:val="20"/>
          <w:szCs w:val="22"/>
          <w:rtl/>
        </w:rPr>
        <w:t xml:space="preserve"> בידי</w:t>
      </w:r>
      <w:r w:rsidRPr="005E7E86">
        <w:rPr>
          <w:rFonts w:cs="FrankRuehl"/>
          <w:sz w:val="20"/>
          <w:szCs w:val="22"/>
          <w:rtl/>
        </w:rPr>
        <w:t xml:space="preserve"> ממשלת ישראל.</w:t>
      </w:r>
    </w:p>
    <w:p w:rsidR="009B5B44" w:rsidRPr="005E7E86" w:rsidP="00AA4780">
      <w:pPr>
        <w:spacing w:after="240" w:line="230" w:lineRule="exact"/>
        <w:jc w:val="both"/>
        <w:rPr>
          <w:rFonts w:cs="FrankRuehl"/>
          <w:sz w:val="20"/>
          <w:szCs w:val="22"/>
          <w:rtl/>
        </w:rPr>
      </w:pPr>
      <w:r w:rsidRPr="005E7E86">
        <w:rPr>
          <w:rFonts w:cs="FrankRuehl" w:hint="cs"/>
          <w:sz w:val="20"/>
          <w:szCs w:val="22"/>
          <w:rtl/>
        </w:rPr>
        <w:t>כאמור לעיל, בא כוחו של מר נתניהו ציין בתשובתו כי "נסיעה במימון הבונדס כמוה כנסיעה במימון המדינה... הבונדס הוא זרוע של המדינה לגיוס כספים עבורה בלבד והוא פועל בשליחותה". מר נתניהו חזר והביע עמדה זו בפגישת השימוע עם מבקר המדינה ונציגי משרדו בינואר 2016.</w:t>
      </w:r>
    </w:p>
    <w:p w:rsidR="009B5B44" w:rsidRPr="005E7E86" w:rsidP="00AA4780">
      <w:pPr>
        <w:pStyle w:val="RESHET"/>
        <w:keepLines/>
        <w:rPr>
          <w:rtl/>
        </w:rPr>
      </w:pPr>
      <w:r w:rsidRPr="005E7E86">
        <w:rPr>
          <w:rFonts w:hint="cs"/>
          <w:rtl/>
        </w:rPr>
        <w:t>משרד מבקר המדינה מעיר על השימוש בכספי הבונדס למימון הוצאות רעיית השר בנסיעות שבהן הוצאות השר עצמו לא מומנו בידי ארגון זה ושמטרתן לא הייתה פעולה למענו.</w:t>
      </w:r>
    </w:p>
    <w:p w:rsidR="009B5B44" w:rsidP="005E7E86">
      <w:pPr>
        <w:spacing w:after="120" w:line="230" w:lineRule="exact"/>
        <w:jc w:val="both"/>
        <w:rPr>
          <w:rFonts w:cs="FrankRuehl"/>
          <w:sz w:val="20"/>
          <w:szCs w:val="22"/>
          <w:lang w:eastAsia="he-IL"/>
        </w:rPr>
      </w:pPr>
    </w:p>
    <w:p w:rsidR="00AA4780" w:rsidRPr="005E7E86" w:rsidP="005E7E86">
      <w:pPr>
        <w:spacing w:after="120" w:line="230" w:lineRule="exact"/>
        <w:jc w:val="both"/>
        <w:rPr>
          <w:rFonts w:cs="FrankRuehl"/>
          <w:sz w:val="20"/>
          <w:szCs w:val="22"/>
          <w:rtl/>
          <w:lang w:eastAsia="he-IL"/>
        </w:rPr>
      </w:pPr>
    </w:p>
    <w:p w:rsidR="009B5B44" w:rsidP="00BF3C50">
      <w:pPr>
        <w:pStyle w:val="KOT4"/>
        <w:rPr>
          <w:rtl/>
        </w:rPr>
      </w:pPr>
      <w:r>
        <w:rPr>
          <w:rFonts w:hint="cs"/>
          <w:rtl/>
        </w:rPr>
        <w:t xml:space="preserve">מימון השהות בחו"ל של </w:t>
      </w:r>
      <w:r w:rsidRPr="005F4E79">
        <w:rPr>
          <w:rFonts w:hint="cs"/>
          <w:rtl/>
        </w:rPr>
        <w:t>ילדו</w:t>
      </w:r>
      <w:r>
        <w:rPr>
          <w:rFonts w:hint="cs"/>
          <w:rtl/>
        </w:rPr>
        <w:t xml:space="preserve"> </w:t>
      </w:r>
      <w:r w:rsidRPr="005F4E79">
        <w:rPr>
          <w:rFonts w:hint="cs"/>
          <w:rtl/>
        </w:rPr>
        <w:t>של</w:t>
      </w:r>
      <w:r>
        <w:rPr>
          <w:rFonts w:hint="cs"/>
          <w:rtl/>
        </w:rPr>
        <w:t xml:space="preserve"> </w:t>
      </w:r>
      <w:r w:rsidRPr="005F4E79">
        <w:rPr>
          <w:rFonts w:hint="cs"/>
          <w:rtl/>
        </w:rPr>
        <w:t>השר</w:t>
      </w:r>
      <w:r>
        <w:rPr>
          <w:rFonts w:hint="cs"/>
          <w:rtl/>
        </w:rPr>
        <w:t xml:space="preserve"> </w:t>
      </w:r>
      <w:r w:rsidRPr="005F4E79">
        <w:rPr>
          <w:rFonts w:hint="cs"/>
          <w:rtl/>
        </w:rPr>
        <w:t>נתניהו</w:t>
      </w:r>
      <w:r>
        <w:rPr>
          <w:rFonts w:hint="cs"/>
          <w:rtl/>
        </w:rPr>
        <w:t xml:space="preserve"> שהתלווה אליו, </w:t>
      </w:r>
      <w:r w:rsidR="00AA4780">
        <w:br/>
      </w:r>
      <w:r>
        <w:rPr>
          <w:rFonts w:hint="cs"/>
          <w:rtl/>
        </w:rPr>
        <w:t>על ידי גורמים חיצוניים שאינם ממשלתיים</w:t>
      </w:r>
    </w:p>
    <w:p w:rsidR="009B5B44" w:rsidRPr="005E7E86" w:rsidP="00AA4780">
      <w:pPr>
        <w:spacing w:after="240" w:line="230" w:lineRule="exact"/>
        <w:jc w:val="both"/>
        <w:rPr>
          <w:rFonts w:cs="FrankRuehl"/>
          <w:sz w:val="20"/>
          <w:szCs w:val="22"/>
          <w:rtl/>
          <w:lang w:eastAsia="he-IL"/>
        </w:rPr>
      </w:pPr>
      <w:r w:rsidRPr="005E7E86">
        <w:rPr>
          <w:rFonts w:cs="FrankRuehl" w:hint="cs"/>
          <w:sz w:val="20"/>
          <w:szCs w:val="22"/>
          <w:rtl/>
          <w:lang w:eastAsia="he-IL"/>
        </w:rPr>
        <w:t xml:space="preserve">בתאריך 21.1.05 נסע מר נתניהו לעשרה ימים לארצות הברית ולאנגליה, ובשהותו בלונדון הצטרף אליו בנו. את מימון שהות בנו בלונדון מימנו הבונדס ואיש עסקים ב'. </w:t>
      </w:r>
    </w:p>
    <w:p w:rsidR="009B5B44" w:rsidRPr="005E7E86" w:rsidP="00AA4780">
      <w:pPr>
        <w:pStyle w:val="RESHET"/>
        <w:keepLines/>
        <w:rPr>
          <w:rtl/>
        </w:rPr>
      </w:pPr>
      <w:r w:rsidRPr="005E7E86">
        <w:rPr>
          <w:rFonts w:hint="cs"/>
          <w:rtl/>
        </w:rPr>
        <w:t xml:space="preserve">מר נתניהו לא פנה לוועדת המתנות או לוועדה למתן היתרים כדי שתבחן אם יש בקבלת המימונים החיצוניים האמורים משום קבלת טובת הנאה אסורה. </w:t>
      </w:r>
    </w:p>
    <w:p w:rsidR="00AA4780" w:rsidP="00AA4780">
      <w:pPr>
        <w:spacing w:after="120" w:line="230" w:lineRule="exact"/>
        <w:jc w:val="both"/>
        <w:rPr>
          <w:rFonts w:cs="FrankRuehl"/>
          <w:sz w:val="22"/>
          <w:szCs w:val="22"/>
          <w:rtl/>
        </w:rPr>
      </w:pPr>
    </w:p>
    <w:p w:rsidR="00AA4780" w:rsidP="00AA4780">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AA4780" w:rsidP="00AA4780">
      <w:pPr>
        <w:spacing w:after="120" w:line="230" w:lineRule="exact"/>
        <w:jc w:val="both"/>
        <w:rPr>
          <w:rFonts w:cs="FrankRuehl"/>
          <w:sz w:val="22"/>
          <w:szCs w:val="22"/>
          <w:rtl/>
        </w:rPr>
      </w:pPr>
    </w:p>
    <w:p w:rsidR="009B5B44" w:rsidRPr="005E7E86" w:rsidP="00AA4780">
      <w:pPr>
        <w:pStyle w:val="RESHET"/>
        <w:keepLines/>
        <w:rPr>
          <w:rtl/>
        </w:rPr>
      </w:pPr>
      <w:r w:rsidRPr="005E7E86">
        <w:rPr>
          <w:rFonts w:hint="cs"/>
          <w:rtl/>
        </w:rPr>
        <w:t>מהביקורת עלה כי גורמים שונים מימנו את טיסותיהם או את שהותם בחו"ל של בני משפחתו של שר האוצר דאז שהתלוו אליו לנסיעות בתפקיד. מר נתניהו לא פנה לוועדת המתנות כדי שתבדוק אם מימון נסיעותיו עולה כדי טובת הנאה או מתנה, וממילא לא נבדקה האפשרות אם ניתן להקנות לו את המתנה - או שעליו לשלם את שווייה. כמו כן לא פנה מר נתניהו אל הוועדה למתן היתרים.</w:t>
      </w:r>
    </w:p>
    <w:p w:rsidR="009B5B44" w:rsidRPr="005E7E86" w:rsidP="005E7E86">
      <w:pPr>
        <w:spacing w:after="120" w:line="230" w:lineRule="exact"/>
        <w:jc w:val="both"/>
        <w:rPr>
          <w:rFonts w:cs="FrankRuehl"/>
          <w:sz w:val="20"/>
          <w:szCs w:val="22"/>
          <w:rtl/>
          <w:lang w:eastAsia="he-IL"/>
        </w:rPr>
      </w:pPr>
    </w:p>
    <w:p w:rsidR="009B5B44" w:rsidRPr="005E7E86" w:rsidP="005E7E86">
      <w:pPr>
        <w:spacing w:after="120" w:line="230" w:lineRule="exact"/>
        <w:jc w:val="both"/>
        <w:rPr>
          <w:rFonts w:cs="FrankRuehl"/>
          <w:sz w:val="20"/>
          <w:szCs w:val="22"/>
          <w:rtl/>
          <w:lang w:eastAsia="he-IL"/>
        </w:rPr>
      </w:pPr>
    </w:p>
    <w:p w:rsidR="009B5B44" w:rsidRPr="00742B46" w:rsidP="00AA4780">
      <w:pPr>
        <w:pStyle w:val="KOT2"/>
        <w:rPr>
          <w:rtl/>
        </w:rPr>
      </w:pPr>
      <w:r>
        <w:rPr>
          <w:rFonts w:hint="cs"/>
          <w:rtl/>
        </w:rPr>
        <w:t xml:space="preserve">תשלום </w:t>
      </w:r>
      <w:r w:rsidRPr="00742B46">
        <w:rPr>
          <w:rFonts w:hint="cs"/>
          <w:rtl/>
        </w:rPr>
        <w:t>הוצאות</w:t>
      </w:r>
      <w:r>
        <w:rPr>
          <w:rFonts w:hint="cs"/>
          <w:rtl/>
        </w:rPr>
        <w:t xml:space="preserve"> </w:t>
      </w:r>
      <w:r w:rsidRPr="00742B46">
        <w:rPr>
          <w:rFonts w:hint="cs"/>
          <w:rtl/>
        </w:rPr>
        <w:t>נסיעות</w:t>
      </w:r>
      <w:r>
        <w:rPr>
          <w:rFonts w:hint="cs"/>
          <w:rtl/>
        </w:rPr>
        <w:t xml:space="preserve"> </w:t>
      </w:r>
      <w:r w:rsidRPr="00742B46">
        <w:rPr>
          <w:rFonts w:hint="cs"/>
          <w:rtl/>
        </w:rPr>
        <w:t>על</w:t>
      </w:r>
      <w:r>
        <w:rPr>
          <w:rFonts w:hint="cs"/>
          <w:rtl/>
        </w:rPr>
        <w:t xml:space="preserve"> </w:t>
      </w:r>
      <w:r w:rsidRPr="00742B46">
        <w:rPr>
          <w:rFonts w:hint="cs"/>
          <w:rtl/>
        </w:rPr>
        <w:t>ידי</w:t>
      </w:r>
      <w:r>
        <w:rPr>
          <w:rFonts w:hint="cs"/>
          <w:rtl/>
        </w:rPr>
        <w:t xml:space="preserve"> </w:t>
      </w:r>
      <w:r w:rsidRPr="00742B46">
        <w:rPr>
          <w:rFonts w:hint="cs"/>
          <w:rtl/>
        </w:rPr>
        <w:t>ראש</w:t>
      </w:r>
      <w:r>
        <w:rPr>
          <w:rFonts w:hint="cs"/>
          <w:rtl/>
        </w:rPr>
        <w:t xml:space="preserve"> </w:t>
      </w:r>
      <w:r w:rsidRPr="00742B46">
        <w:rPr>
          <w:rFonts w:hint="cs"/>
          <w:rtl/>
        </w:rPr>
        <w:t>לשכתו</w:t>
      </w:r>
      <w:r>
        <w:rPr>
          <w:rFonts w:hint="cs"/>
          <w:rtl/>
        </w:rPr>
        <w:t xml:space="preserve"> </w:t>
      </w:r>
      <w:r w:rsidRPr="00742B46">
        <w:rPr>
          <w:rFonts w:hint="cs"/>
          <w:rtl/>
        </w:rPr>
        <w:t>של</w:t>
      </w:r>
      <w:r>
        <w:rPr>
          <w:rFonts w:hint="cs"/>
          <w:rtl/>
        </w:rPr>
        <w:t xml:space="preserve"> </w:t>
      </w:r>
      <w:r w:rsidRPr="00742B46">
        <w:rPr>
          <w:rFonts w:hint="cs"/>
          <w:rtl/>
        </w:rPr>
        <w:t>מר</w:t>
      </w:r>
      <w:r>
        <w:rPr>
          <w:rFonts w:hint="cs"/>
          <w:rtl/>
        </w:rPr>
        <w:t xml:space="preserve"> </w:t>
      </w:r>
      <w:r w:rsidRPr="00742B46">
        <w:rPr>
          <w:rFonts w:hint="cs"/>
          <w:rtl/>
        </w:rPr>
        <w:t>נתניהו</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rPr>
        <w:t xml:space="preserve">מר יחיאל לייטר, ראש לשכת שר האוצר דאז, שילם באמצעות כרטיס האשראי האישי שלו הוצאות שונות הקשורות לנסיעות מר נתניהו בתפקיד, בכלל זה עלות טיסותיהם של שני בניו של מר נתניהו שהתלוו אליו לנסיעה בתפקיד לאנגליה ביולי 2005, </w:t>
      </w:r>
      <w:r w:rsidRPr="005E7E86">
        <w:rPr>
          <w:rFonts w:cs="FrankRuehl" w:hint="cs"/>
          <w:sz w:val="20"/>
          <w:szCs w:val="22"/>
          <w:rtl/>
          <w:lang w:eastAsia="he-IL"/>
        </w:rPr>
        <w:t>בסך של 2,880 דולר</w:t>
      </w:r>
      <w:r w:rsidRPr="005E7E86">
        <w:rPr>
          <w:rFonts w:cs="FrankRuehl" w:hint="cs"/>
          <w:sz w:val="20"/>
          <w:szCs w:val="22"/>
          <w:rtl/>
        </w:rPr>
        <w:t xml:space="preserve">. </w:t>
      </w:r>
    </w:p>
    <w:p w:rsidR="009B5B44" w:rsidRPr="005E7E86" w:rsidP="005E7E86">
      <w:pPr>
        <w:spacing w:after="120" w:line="230" w:lineRule="exact"/>
        <w:jc w:val="both"/>
        <w:rPr>
          <w:rFonts w:cs="FrankRuehl"/>
          <w:sz w:val="20"/>
          <w:szCs w:val="22"/>
          <w:rtl/>
        </w:rPr>
      </w:pPr>
      <w:r w:rsidRPr="005E7E86">
        <w:rPr>
          <w:rFonts w:cs="FrankRuehl" w:hint="cs"/>
          <w:sz w:val="20"/>
          <w:szCs w:val="22"/>
          <w:rtl/>
          <w:lang w:eastAsia="he-IL"/>
        </w:rPr>
        <w:t xml:space="preserve">בפגישה שנערכה בין נציג משרד מבקר המדינה לבין מר יחיאל לייטר בספטמבר 2011, מסר מר לייטר כי אינו זוכר את המקרה ואת התשלום, וכי "הדבר מאד מפתיע אותו בגלל גודל הסכום". </w:t>
      </w:r>
      <w:r w:rsidRPr="005E7E86">
        <w:rPr>
          <w:rFonts w:cs="FrankRuehl" w:hint="cs"/>
          <w:sz w:val="20"/>
          <w:szCs w:val="22"/>
          <w:rtl/>
        </w:rPr>
        <w:t>בתגובתו מאוגוסט 2015 על טיוטת דוח הביקורת ציין</w:t>
      </w:r>
      <w:r w:rsidRPr="005E7E86">
        <w:rPr>
          <w:rFonts w:cs="FrankRuehl" w:hint="cs"/>
          <w:sz w:val="20"/>
          <w:szCs w:val="22"/>
          <w:rtl/>
          <w:lang w:eastAsia="he-IL"/>
        </w:rPr>
        <w:t xml:space="preserve">: "במסגרת פעילותי כראש לשכתו [של מר נתניהו], השתמשתי בכרטיס האשראי שלי לטובת הוצאות נלוות לנסיעות מר נתניהו או בני משפחתו לחו"ל. כמובן, שמלוא התשלום הוחזר לי על ידי מר נתניהו באופן מלא לאחר מכן". </w:t>
      </w:r>
    </w:p>
    <w:p w:rsidR="009B5B44" w:rsidRPr="005E7E86" w:rsidP="002E1867">
      <w:pPr>
        <w:spacing w:after="240" w:line="230" w:lineRule="exact"/>
        <w:jc w:val="both"/>
        <w:rPr>
          <w:rFonts w:cs="FrankRuehl"/>
          <w:sz w:val="20"/>
          <w:szCs w:val="22"/>
          <w:rtl/>
        </w:rPr>
      </w:pPr>
      <w:r w:rsidRPr="005E7E86">
        <w:rPr>
          <w:rFonts w:cs="FrankRuehl" w:hint="cs"/>
          <w:sz w:val="20"/>
          <w:szCs w:val="22"/>
          <w:rtl/>
          <w:lang w:eastAsia="he-IL"/>
        </w:rPr>
        <w:t xml:space="preserve">בא כוחו של מר נתניהו ציין בתשובתו כי מר לייטר עשה שימוש בכרטיס האשראי שלו משום שלמר נתניהו אין כרטיס אשראי, וקיבל ממר נתניהו החזר על הוצאותיו. </w:t>
      </w:r>
      <w:r w:rsidRPr="005E7E86">
        <w:rPr>
          <w:rFonts w:cs="FrankRuehl" w:hint="cs"/>
          <w:sz w:val="20"/>
          <w:szCs w:val="22"/>
          <w:rtl/>
        </w:rPr>
        <w:t>בפגישת השימוע עם מבקר המדינה ונציגי משרדו בינואר 2016 ציין מר נתניהו כי בכל מקרה שבו שילם מר לייטר, הושב לו התשלום במזומן.</w:t>
      </w:r>
    </w:p>
    <w:p w:rsidR="009B5B44" w:rsidRPr="005E7E86" w:rsidP="002E1867">
      <w:pPr>
        <w:pStyle w:val="RESHET"/>
        <w:keepLines/>
        <w:rPr>
          <w:rtl/>
        </w:rPr>
      </w:pPr>
      <w:r w:rsidRPr="005E7E86">
        <w:rPr>
          <w:rFonts w:hint="eastAsia"/>
          <w:rtl/>
        </w:rPr>
        <w:t>משרד</w:t>
      </w:r>
      <w:r w:rsidRPr="005E7E86">
        <w:rPr>
          <w:rtl/>
        </w:rPr>
        <w:t xml:space="preserve"> מבקר המדינה </w:t>
      </w:r>
      <w:r w:rsidRPr="005E7E86">
        <w:rPr>
          <w:rFonts w:hint="cs"/>
          <w:rtl/>
        </w:rPr>
        <w:t xml:space="preserve">מעיר על קיומם של </w:t>
      </w:r>
      <w:r w:rsidRPr="005E7E86">
        <w:rPr>
          <w:rtl/>
        </w:rPr>
        <w:t xml:space="preserve">מקרים </w:t>
      </w:r>
      <w:r w:rsidRPr="005E7E86">
        <w:rPr>
          <w:rFonts w:hint="cs"/>
          <w:rtl/>
        </w:rPr>
        <w:t>ש</w:t>
      </w:r>
      <w:r w:rsidRPr="005E7E86">
        <w:rPr>
          <w:rtl/>
        </w:rPr>
        <w:t>בהם עובד מדינה הכפוף לשר</w:t>
      </w:r>
      <w:r w:rsidRPr="005E7E86">
        <w:rPr>
          <w:rFonts w:hint="cs"/>
          <w:rtl/>
        </w:rPr>
        <w:t xml:space="preserve"> שילם בכרטיס האשראי הפרטי שלו</w:t>
      </w:r>
      <w:r w:rsidRPr="005E7E86">
        <w:rPr>
          <w:rtl/>
        </w:rPr>
        <w:t xml:space="preserve"> </w:t>
      </w:r>
      <w:r w:rsidRPr="005E7E86">
        <w:rPr>
          <w:rFonts w:hint="eastAsia"/>
          <w:rtl/>
        </w:rPr>
        <w:t>הוצאות</w:t>
      </w:r>
      <w:r w:rsidRPr="005E7E86">
        <w:rPr>
          <w:rtl/>
        </w:rPr>
        <w:t xml:space="preserve"> </w:t>
      </w:r>
      <w:r w:rsidRPr="005E7E86">
        <w:rPr>
          <w:rFonts w:hint="eastAsia"/>
          <w:rtl/>
        </w:rPr>
        <w:t>נסיעות</w:t>
      </w:r>
      <w:r w:rsidRPr="005E7E86">
        <w:rPr>
          <w:rFonts w:hint="cs"/>
          <w:rtl/>
        </w:rPr>
        <w:t xml:space="preserve"> לחו"ל</w:t>
      </w:r>
      <w:r w:rsidRPr="005E7E86">
        <w:rPr>
          <w:rtl/>
        </w:rPr>
        <w:t xml:space="preserve"> </w:t>
      </w:r>
      <w:r w:rsidRPr="005E7E86">
        <w:rPr>
          <w:rFonts w:hint="cs"/>
          <w:rtl/>
        </w:rPr>
        <w:t>של ה</w:t>
      </w:r>
      <w:r w:rsidRPr="005E7E86">
        <w:rPr>
          <w:rFonts w:hint="eastAsia"/>
          <w:rtl/>
        </w:rPr>
        <w:t>שר</w:t>
      </w:r>
      <w:r w:rsidRPr="005E7E86">
        <w:rPr>
          <w:rFonts w:hint="cs"/>
          <w:rtl/>
        </w:rPr>
        <w:t xml:space="preserve"> הממונה עליו</w:t>
      </w:r>
      <w:r w:rsidRPr="005E7E86">
        <w:rPr>
          <w:rtl/>
        </w:rPr>
        <w:t xml:space="preserve"> </w:t>
      </w:r>
      <w:r w:rsidRPr="005E7E86">
        <w:rPr>
          <w:rFonts w:hint="eastAsia"/>
          <w:rtl/>
        </w:rPr>
        <w:t>ובני</w:t>
      </w:r>
      <w:r w:rsidRPr="005E7E86">
        <w:rPr>
          <w:rtl/>
        </w:rPr>
        <w:t xml:space="preserve"> </w:t>
      </w:r>
      <w:r w:rsidRPr="005E7E86">
        <w:rPr>
          <w:rFonts w:hint="eastAsia"/>
          <w:rtl/>
        </w:rPr>
        <w:t>משפחתו</w:t>
      </w:r>
      <w:r w:rsidRPr="005E7E86">
        <w:rPr>
          <w:rFonts w:hint="cs"/>
          <w:rtl/>
        </w:rPr>
        <w:t>, אף שאין מדובר במקרה חירום.</w:t>
      </w:r>
      <w:r w:rsidRPr="005E7E86">
        <w:rPr>
          <w:rtl/>
        </w:rPr>
        <w:t xml:space="preserve"> </w:t>
      </w:r>
      <w:r w:rsidRPr="005E7E86">
        <w:rPr>
          <w:rFonts w:hint="cs"/>
          <w:rtl/>
        </w:rPr>
        <w:t xml:space="preserve">זאת, </w:t>
      </w:r>
      <w:r w:rsidRPr="005E7E86">
        <w:rPr>
          <w:rFonts w:hint="eastAsia"/>
          <w:rtl/>
        </w:rPr>
        <w:t>גם</w:t>
      </w:r>
      <w:r w:rsidRPr="005E7E86">
        <w:rPr>
          <w:rtl/>
        </w:rPr>
        <w:t xml:space="preserve"> </w:t>
      </w:r>
      <w:r w:rsidRPr="005E7E86">
        <w:rPr>
          <w:rFonts w:hint="eastAsia"/>
          <w:rtl/>
        </w:rPr>
        <w:t>אם</w:t>
      </w:r>
      <w:r w:rsidRPr="005E7E86">
        <w:rPr>
          <w:rtl/>
        </w:rPr>
        <w:t xml:space="preserve"> </w:t>
      </w:r>
      <w:r w:rsidRPr="005E7E86">
        <w:rPr>
          <w:rFonts w:hint="eastAsia"/>
          <w:rtl/>
        </w:rPr>
        <w:t>מדובר</w:t>
      </w:r>
      <w:r w:rsidRPr="005E7E86">
        <w:rPr>
          <w:rtl/>
        </w:rPr>
        <w:t xml:space="preserve"> </w:t>
      </w:r>
      <w:r w:rsidRPr="005E7E86">
        <w:rPr>
          <w:rFonts w:hint="eastAsia"/>
          <w:rtl/>
        </w:rPr>
        <w:t>במימון</w:t>
      </w:r>
      <w:r w:rsidRPr="005E7E86">
        <w:rPr>
          <w:rtl/>
        </w:rPr>
        <w:t xml:space="preserve"> </w:t>
      </w:r>
      <w:r w:rsidRPr="005E7E86">
        <w:rPr>
          <w:rFonts w:hint="eastAsia"/>
          <w:rtl/>
        </w:rPr>
        <w:t>ביניים</w:t>
      </w:r>
      <w:r w:rsidRPr="005E7E86">
        <w:rPr>
          <w:rtl/>
        </w:rPr>
        <w:t>.</w:t>
      </w:r>
    </w:p>
    <w:p w:rsidR="009B5B44" w:rsidRPr="005E7E86" w:rsidP="005E7E86">
      <w:pPr>
        <w:spacing w:after="120" w:line="230" w:lineRule="exact"/>
        <w:jc w:val="both"/>
        <w:rPr>
          <w:rFonts w:cs="FrankRuehl"/>
          <w:b/>
          <w:bCs/>
          <w:sz w:val="20"/>
          <w:szCs w:val="22"/>
          <w:rtl/>
          <w:lang w:eastAsia="he-IL"/>
        </w:rPr>
      </w:pPr>
    </w:p>
    <w:p w:rsidR="009B5B44" w:rsidRPr="005E7E86" w:rsidP="005E7E86">
      <w:pPr>
        <w:spacing w:after="120" w:line="230" w:lineRule="exact"/>
        <w:jc w:val="both"/>
        <w:rPr>
          <w:rFonts w:cs="FrankRuehl"/>
          <w:sz w:val="20"/>
          <w:szCs w:val="22"/>
          <w:rtl/>
          <w:lang w:eastAsia="he-IL"/>
        </w:rPr>
      </w:pPr>
    </w:p>
    <w:p w:rsidR="009B5B44" w:rsidRPr="00742B46" w:rsidP="002E1867">
      <w:pPr>
        <w:pStyle w:val="KOT2"/>
        <w:rPr>
          <w:rtl/>
        </w:rPr>
      </w:pPr>
      <w:r w:rsidRPr="00742B46">
        <w:rPr>
          <w:rFonts w:hint="cs"/>
          <w:rtl/>
        </w:rPr>
        <w:t>הצטרפות</w:t>
      </w:r>
      <w:r>
        <w:rPr>
          <w:rFonts w:hint="cs"/>
          <w:rtl/>
        </w:rPr>
        <w:t xml:space="preserve"> </w:t>
      </w:r>
      <w:r w:rsidRPr="00742B46">
        <w:rPr>
          <w:rFonts w:hint="cs"/>
          <w:rtl/>
        </w:rPr>
        <w:t>מלווים</w:t>
      </w:r>
      <w:r>
        <w:rPr>
          <w:rFonts w:hint="cs"/>
          <w:rtl/>
        </w:rPr>
        <w:t xml:space="preserve"> </w:t>
      </w:r>
      <w:r w:rsidRPr="00742B46">
        <w:rPr>
          <w:rFonts w:hint="cs"/>
          <w:rtl/>
        </w:rPr>
        <w:t>ומאבטחים</w:t>
      </w:r>
      <w:r>
        <w:rPr>
          <w:rFonts w:hint="cs"/>
          <w:rtl/>
        </w:rPr>
        <w:t xml:space="preserve"> </w:t>
      </w:r>
      <w:r w:rsidRPr="00742B46">
        <w:rPr>
          <w:rFonts w:hint="cs"/>
          <w:rtl/>
        </w:rPr>
        <w:t>לנסיעות</w:t>
      </w:r>
      <w:r>
        <w:rPr>
          <w:rFonts w:hint="cs"/>
          <w:rtl/>
        </w:rPr>
        <w:t xml:space="preserve"> </w:t>
      </w:r>
      <w:r w:rsidRPr="00742B46">
        <w:rPr>
          <w:rFonts w:hint="cs"/>
          <w:rtl/>
        </w:rPr>
        <w:t>מר</w:t>
      </w:r>
      <w:r>
        <w:rPr>
          <w:rFonts w:hint="cs"/>
          <w:rtl/>
        </w:rPr>
        <w:t xml:space="preserve"> </w:t>
      </w:r>
      <w:r w:rsidRPr="00742B46">
        <w:rPr>
          <w:rFonts w:hint="cs"/>
          <w:rtl/>
        </w:rPr>
        <w:t>נתניהו</w:t>
      </w:r>
    </w:p>
    <w:p w:rsidR="009B5B44" w:rsidRPr="00742B46" w:rsidP="00BF3C50">
      <w:pPr>
        <w:pStyle w:val="KOT4"/>
        <w:rPr>
          <w:rtl/>
        </w:rPr>
      </w:pPr>
      <w:r w:rsidRPr="00742B46">
        <w:rPr>
          <w:rFonts w:hint="cs"/>
          <w:rtl/>
        </w:rPr>
        <w:t>מימון</w:t>
      </w:r>
      <w:r>
        <w:rPr>
          <w:rFonts w:hint="cs"/>
          <w:rtl/>
        </w:rPr>
        <w:t xml:space="preserve"> הוצאות </w:t>
      </w:r>
      <w:r w:rsidRPr="00742B46">
        <w:rPr>
          <w:rFonts w:hint="cs"/>
          <w:rtl/>
        </w:rPr>
        <w:t>מלווים</w:t>
      </w:r>
      <w:r>
        <w:rPr>
          <w:rFonts w:hint="cs"/>
          <w:rtl/>
        </w:rPr>
        <w:t xml:space="preserve"> </w:t>
      </w:r>
      <w:r w:rsidRPr="00742B46">
        <w:rPr>
          <w:rFonts w:hint="cs"/>
          <w:rtl/>
        </w:rPr>
        <w:t>ומאבטחים</w:t>
      </w:r>
      <w:r>
        <w:rPr>
          <w:rFonts w:hint="cs"/>
          <w:rtl/>
        </w:rPr>
        <w:t xml:space="preserve"> </w:t>
      </w:r>
      <w:r w:rsidRPr="00742B46">
        <w:rPr>
          <w:rFonts w:hint="cs"/>
          <w:rtl/>
        </w:rPr>
        <w:t>מתקציב</w:t>
      </w:r>
      <w:r>
        <w:rPr>
          <w:rFonts w:hint="cs"/>
          <w:rtl/>
        </w:rPr>
        <w:t xml:space="preserve"> </w:t>
      </w:r>
      <w:r w:rsidRPr="00742B46">
        <w:rPr>
          <w:rFonts w:hint="cs"/>
          <w:rtl/>
        </w:rPr>
        <w:t>המדינה</w:t>
      </w:r>
      <w:r>
        <w:rPr>
          <w:rFonts w:hint="cs"/>
          <w:rtl/>
        </w:rPr>
        <w:t xml:space="preserve"> עבור </w:t>
      </w:r>
      <w:r w:rsidRPr="00742B46">
        <w:rPr>
          <w:rFonts w:hint="cs"/>
          <w:rtl/>
        </w:rPr>
        <w:t>נסיעות</w:t>
      </w:r>
      <w:r>
        <w:rPr>
          <w:rFonts w:hint="cs"/>
          <w:rtl/>
        </w:rPr>
        <w:t xml:space="preserve"> </w:t>
      </w:r>
      <w:r w:rsidRPr="00742B46">
        <w:rPr>
          <w:rFonts w:hint="cs"/>
          <w:rtl/>
        </w:rPr>
        <w:t>מר</w:t>
      </w:r>
      <w:r>
        <w:rPr>
          <w:rFonts w:hint="cs"/>
          <w:rtl/>
        </w:rPr>
        <w:t xml:space="preserve"> </w:t>
      </w:r>
      <w:r w:rsidRPr="00742B46">
        <w:rPr>
          <w:rFonts w:hint="cs"/>
          <w:rtl/>
        </w:rPr>
        <w:t>נתניהו</w:t>
      </w:r>
      <w:r>
        <w:rPr>
          <w:rFonts w:hint="cs"/>
          <w:rtl/>
        </w:rPr>
        <w:t xml:space="preserve"> שמומנו בידי </w:t>
      </w:r>
      <w:r w:rsidRPr="00742B46">
        <w:rPr>
          <w:rFonts w:hint="cs"/>
          <w:rtl/>
        </w:rPr>
        <w:t>גורם</w:t>
      </w:r>
      <w:r>
        <w:rPr>
          <w:rFonts w:hint="cs"/>
          <w:rtl/>
        </w:rPr>
        <w:t xml:space="preserve"> </w:t>
      </w:r>
      <w:r w:rsidRPr="00742B46">
        <w:rPr>
          <w:rFonts w:hint="cs"/>
          <w:rtl/>
        </w:rPr>
        <w:t>חיצוני</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lang w:eastAsia="he-IL"/>
        </w:rPr>
        <w:t xml:space="preserve">העלות של נסיעת שר לחו"ל מורכבת מהוצאות ישירות, כגון עלות טיסת השר עצמו ושהייתו בחו"ל, ומהוצאות עקיפות בגין אבטחת השר בחו"ל והוצאות עבור הנלווים אליו - אם ישנם. ברוב נסיעות השרים הממומנות על ידי </w:t>
      </w:r>
      <w:r w:rsidRPr="005E7E86">
        <w:rPr>
          <w:rFonts w:cs="FrankRuehl" w:hint="cs"/>
          <w:sz w:val="20"/>
          <w:szCs w:val="22"/>
          <w:rtl/>
        </w:rPr>
        <w:t xml:space="preserve">גורם חיצוני </w:t>
      </w:r>
      <w:r w:rsidRPr="005E7E86">
        <w:rPr>
          <w:rFonts w:cs="FrankRuehl" w:hint="cs"/>
          <w:sz w:val="20"/>
          <w:szCs w:val="22"/>
          <w:rtl/>
          <w:lang w:eastAsia="he-IL"/>
        </w:rPr>
        <w:t>מממן אותו גורם רק את הוצאות השר עצמו, ואילו ההוצאות בגין אבטחתו ממומנות מתקציב המדינה. במרבית המקרים גם הוצאות הפמליה הנלווית לשר (אם נלווית) והוצאות נוספות, כגון הוצאות תקשורת ותחבורה פנימית, ממומנות מתקציב המדינה.</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lang w:eastAsia="he-IL"/>
        </w:rPr>
        <w:t xml:space="preserve">הביקורת העלתה כי אף שחלק מנסיעותיו של שר האוצר דאז מומנו על ידי </w:t>
      </w:r>
      <w:r w:rsidRPr="005E7E86">
        <w:rPr>
          <w:rFonts w:cs="FrankRuehl" w:hint="cs"/>
          <w:sz w:val="20"/>
          <w:szCs w:val="22"/>
          <w:rtl/>
        </w:rPr>
        <w:t>גורם חיצוני</w:t>
      </w:r>
      <w:r w:rsidRPr="005E7E86">
        <w:rPr>
          <w:rFonts w:cs="FrankRuehl" w:hint="cs"/>
          <w:sz w:val="20"/>
          <w:szCs w:val="22"/>
          <w:rtl/>
          <w:lang w:eastAsia="he-IL"/>
        </w:rPr>
        <w:t xml:space="preserve">, חלק מהן היו כרוכות בהוצאות עקיפות של עשרות אלפי שקלים מתקציב משרד האוצר בגין מלווים ומאבטחים. להלן דוגמאות: </w:t>
      </w:r>
    </w:p>
    <w:p w:rsidR="009B5B44" w:rsidRPr="005E7E86" w:rsidP="002E1867">
      <w:pPr>
        <w:pStyle w:val="tab-name"/>
        <w:rPr>
          <w:rtl/>
          <w:lang w:eastAsia="he-IL"/>
        </w:rPr>
      </w:pPr>
      <w:r w:rsidRPr="002E1867">
        <w:rPr>
          <w:rFonts w:hint="cs"/>
          <w:b w:val="0"/>
          <w:bCs w:val="0"/>
          <w:sz w:val="20"/>
          <w:szCs w:val="20"/>
          <w:rtl/>
        </w:rPr>
        <w:t>לוח 2</w:t>
      </w:r>
      <w:r w:rsidR="002E1867">
        <w:rPr>
          <w:b w:val="0"/>
          <w:bCs w:val="0"/>
          <w:sz w:val="20"/>
          <w:szCs w:val="20"/>
        </w:rPr>
        <w:br/>
      </w:r>
      <w:r w:rsidRPr="005E7E86">
        <w:rPr>
          <w:rFonts w:hint="cs"/>
          <w:rtl/>
        </w:rPr>
        <w:t xml:space="preserve">נסיעות מר נתניהו לחו"ל בתפקיד בתקופת היותו שר האוצר - </w:t>
      </w:r>
      <w:r w:rsidR="002E1867">
        <w:br/>
      </w:r>
      <w:r w:rsidRPr="005E7E86">
        <w:rPr>
          <w:rFonts w:hint="cs"/>
          <w:rtl/>
        </w:rPr>
        <w:t>מימון מלווים</w:t>
      </w:r>
      <w:r w:rsidRPr="005E7E86">
        <w:rPr>
          <w:rFonts w:hint="cs"/>
          <w:rtl/>
          <w:lang w:eastAsia="he-IL"/>
        </w:rPr>
        <w:t xml:space="preserve"> על ידי הממשלה</w:t>
      </w:r>
    </w:p>
    <w:tbl>
      <w:tblPr>
        <w:bidiVisual/>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ayout w:type="fixed"/>
        <w:tblLook w:val="0000"/>
      </w:tblPr>
      <w:tblGrid>
        <w:gridCol w:w="1356"/>
        <w:gridCol w:w="1375"/>
        <w:gridCol w:w="1375"/>
        <w:gridCol w:w="1045"/>
        <w:gridCol w:w="1540"/>
      </w:tblGrid>
      <w:tr w:rsidTr="002E1867">
        <w:tblPrEx>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ayout w:type="fixed"/>
          <w:tblLook w:val="0000"/>
        </w:tblPrEx>
        <w:trPr>
          <w:trHeight w:val="750"/>
          <w:jc w:val="center"/>
        </w:trPr>
        <w:tc>
          <w:tcPr>
            <w:tcW w:w="1480" w:type="dxa"/>
            <w:tcBorders>
              <w:top w:val="single" w:sz="12" w:space="0" w:color="auto"/>
              <w:bottom w:val="single" w:sz="12" w:space="0" w:color="auto"/>
            </w:tcBorders>
            <w:shd w:val="pct10" w:color="auto" w:fill="auto"/>
            <w:vAlign w:val="bottom"/>
          </w:tcPr>
          <w:p w:rsidR="009B5B44" w:rsidRPr="002E1867" w:rsidP="002E1867">
            <w:pPr>
              <w:spacing w:before="40" w:after="40" w:line="220" w:lineRule="exact"/>
              <w:jc w:val="center"/>
              <w:rPr>
                <w:rFonts w:ascii="Arial" w:hAnsi="Arial"/>
                <w:b/>
                <w:bCs/>
                <w:sz w:val="18"/>
                <w:szCs w:val="20"/>
              </w:rPr>
            </w:pPr>
            <w:r w:rsidRPr="002E1867">
              <w:rPr>
                <w:rFonts w:cs="FrankRuehl"/>
                <w:b/>
                <w:bCs/>
                <w:sz w:val="18"/>
                <w:szCs w:val="20"/>
                <w:rtl/>
              </w:rPr>
              <w:t>יעד</w:t>
            </w:r>
            <w:r w:rsidRPr="002E1867">
              <w:rPr>
                <w:rFonts w:cs="FrankRuehl" w:hint="cs"/>
                <w:b/>
                <w:bCs/>
                <w:sz w:val="18"/>
                <w:szCs w:val="20"/>
                <w:rtl/>
              </w:rPr>
              <w:t xml:space="preserve"> הנסיעה</w:t>
            </w:r>
          </w:p>
        </w:tc>
        <w:tc>
          <w:tcPr>
            <w:tcW w:w="1501" w:type="dxa"/>
            <w:tcBorders>
              <w:top w:val="single" w:sz="12" w:space="0" w:color="auto"/>
              <w:bottom w:val="single" w:sz="12" w:space="0" w:color="auto"/>
            </w:tcBorders>
            <w:shd w:val="pct10" w:color="auto" w:fill="auto"/>
            <w:vAlign w:val="bottom"/>
          </w:tcPr>
          <w:p w:rsidR="009B5B44" w:rsidRPr="002E1867" w:rsidP="002E1867">
            <w:pPr>
              <w:spacing w:before="40" w:after="40" w:line="220" w:lineRule="exact"/>
              <w:jc w:val="center"/>
              <w:rPr>
                <w:rFonts w:ascii="Arial" w:hAnsi="Arial"/>
                <w:b/>
                <w:bCs/>
                <w:sz w:val="18"/>
                <w:szCs w:val="20"/>
                <w:rtl/>
              </w:rPr>
            </w:pPr>
            <w:r w:rsidRPr="002E1867">
              <w:rPr>
                <w:rFonts w:cs="FrankRuehl" w:hint="cs"/>
                <w:b/>
                <w:bCs/>
                <w:sz w:val="18"/>
                <w:szCs w:val="20"/>
                <w:rtl/>
              </w:rPr>
              <w:t>מועד הנסיעה</w:t>
            </w:r>
          </w:p>
        </w:tc>
        <w:tc>
          <w:tcPr>
            <w:tcW w:w="1501" w:type="dxa"/>
            <w:tcBorders>
              <w:top w:val="single" w:sz="12" w:space="0" w:color="auto"/>
              <w:bottom w:val="single" w:sz="12" w:space="0" w:color="auto"/>
            </w:tcBorders>
            <w:shd w:val="pct10" w:color="auto" w:fill="auto"/>
            <w:vAlign w:val="bottom"/>
          </w:tcPr>
          <w:p w:rsidR="009B5B44" w:rsidRPr="002E1867" w:rsidP="002E1867">
            <w:pPr>
              <w:spacing w:before="40" w:after="40" w:line="220" w:lineRule="exact"/>
              <w:jc w:val="center"/>
              <w:rPr>
                <w:rFonts w:ascii="Arial" w:hAnsi="Arial"/>
                <w:b/>
                <w:bCs/>
                <w:sz w:val="18"/>
                <w:szCs w:val="20"/>
              </w:rPr>
            </w:pPr>
            <w:r w:rsidRPr="002E1867">
              <w:rPr>
                <w:rFonts w:cs="FrankRuehl"/>
                <w:b/>
                <w:bCs/>
                <w:sz w:val="18"/>
                <w:szCs w:val="20"/>
                <w:rtl/>
              </w:rPr>
              <w:t>הגורם</w:t>
            </w:r>
            <w:r w:rsidRPr="002E1867">
              <w:rPr>
                <w:rFonts w:cs="FrankRuehl" w:hint="cs"/>
                <w:b/>
                <w:bCs/>
                <w:sz w:val="18"/>
                <w:szCs w:val="20"/>
                <w:rtl/>
              </w:rPr>
              <w:t xml:space="preserve"> החיצוני </w:t>
            </w:r>
            <w:r w:rsidRPr="002E1867">
              <w:rPr>
                <w:rFonts w:cs="FrankRuehl"/>
                <w:b/>
                <w:bCs/>
                <w:sz w:val="18"/>
                <w:szCs w:val="20"/>
                <w:rtl/>
              </w:rPr>
              <w:t>שמ</w:t>
            </w:r>
            <w:r w:rsidRPr="002E1867">
              <w:rPr>
                <w:rFonts w:cs="FrankRuehl" w:hint="cs"/>
                <w:b/>
                <w:bCs/>
                <w:sz w:val="18"/>
                <w:szCs w:val="20"/>
                <w:rtl/>
              </w:rPr>
              <w:t>י</w:t>
            </w:r>
            <w:r w:rsidRPr="002E1867">
              <w:rPr>
                <w:rFonts w:cs="FrankRuehl"/>
                <w:b/>
                <w:bCs/>
                <w:sz w:val="18"/>
                <w:szCs w:val="20"/>
                <w:rtl/>
              </w:rPr>
              <w:t xml:space="preserve">מן את </w:t>
            </w:r>
            <w:r w:rsidRPr="002E1867">
              <w:rPr>
                <w:rFonts w:cs="FrankRuehl" w:hint="cs"/>
                <w:b/>
                <w:bCs/>
                <w:sz w:val="18"/>
                <w:szCs w:val="20"/>
                <w:rtl/>
              </w:rPr>
              <w:t>נסיעת השר</w:t>
            </w:r>
          </w:p>
        </w:tc>
        <w:tc>
          <w:tcPr>
            <w:tcW w:w="1135" w:type="dxa"/>
            <w:tcBorders>
              <w:top w:val="single" w:sz="12" w:space="0" w:color="auto"/>
              <w:bottom w:val="single" w:sz="12" w:space="0" w:color="auto"/>
            </w:tcBorders>
            <w:shd w:val="pct10" w:color="auto" w:fill="auto"/>
            <w:vAlign w:val="bottom"/>
          </w:tcPr>
          <w:p w:rsidR="009B5B44" w:rsidRPr="002E1867" w:rsidP="002E1867">
            <w:pPr>
              <w:spacing w:before="40" w:after="40" w:line="220" w:lineRule="exact"/>
              <w:jc w:val="center"/>
              <w:rPr>
                <w:rFonts w:ascii="Arial" w:hAnsi="Arial"/>
                <w:b/>
                <w:bCs/>
                <w:sz w:val="18"/>
                <w:szCs w:val="20"/>
              </w:rPr>
            </w:pPr>
            <w:r w:rsidRPr="002E1867">
              <w:rPr>
                <w:rFonts w:cs="FrankRuehl"/>
                <w:b/>
                <w:bCs/>
                <w:sz w:val="18"/>
                <w:szCs w:val="20"/>
                <w:rtl/>
              </w:rPr>
              <w:t>הוצאות הממשלה</w:t>
            </w:r>
          </w:p>
        </w:tc>
        <w:tc>
          <w:tcPr>
            <w:tcW w:w="1684" w:type="dxa"/>
            <w:tcBorders>
              <w:top w:val="single" w:sz="12" w:space="0" w:color="auto"/>
              <w:bottom w:val="single" w:sz="12" w:space="0" w:color="auto"/>
            </w:tcBorders>
            <w:shd w:val="pct10" w:color="auto" w:fill="auto"/>
            <w:vAlign w:val="bottom"/>
          </w:tcPr>
          <w:p w:rsidR="009B5B44" w:rsidRPr="002E1867" w:rsidP="002E1867">
            <w:pPr>
              <w:spacing w:before="40" w:after="40" w:line="220" w:lineRule="exact"/>
              <w:jc w:val="center"/>
              <w:rPr>
                <w:rFonts w:ascii="Arial" w:hAnsi="Arial"/>
                <w:b/>
                <w:bCs/>
                <w:sz w:val="18"/>
                <w:szCs w:val="20"/>
              </w:rPr>
            </w:pPr>
            <w:r w:rsidRPr="002E1867">
              <w:rPr>
                <w:rFonts w:cs="FrankRuehl"/>
                <w:b/>
                <w:bCs/>
                <w:sz w:val="18"/>
                <w:szCs w:val="20"/>
                <w:rtl/>
              </w:rPr>
              <w:t>מהות ההוצאה</w:t>
            </w:r>
          </w:p>
        </w:tc>
      </w:tr>
      <w:tr w:rsidTr="002E1867">
        <w:tblPrEx>
          <w:tblW w:w="6691" w:type="dxa"/>
          <w:jc w:val="center"/>
          <w:tblLayout w:type="fixed"/>
          <w:tblLook w:val="0000"/>
        </w:tblPrEx>
        <w:trPr>
          <w:trHeight w:val="255"/>
          <w:jc w:val="center"/>
        </w:trPr>
        <w:tc>
          <w:tcPr>
            <w:tcW w:w="1480" w:type="dxa"/>
            <w:tcBorders>
              <w:top w:val="single" w:sz="12" w:space="0" w:color="auto"/>
              <w:bottom w:val="single" w:sz="4" w:space="0" w:color="auto"/>
            </w:tcBorders>
            <w:shd w:val="clear" w:color="auto" w:fill="auto"/>
            <w:noWrap/>
          </w:tcPr>
          <w:p w:rsidR="009B5B44" w:rsidRPr="002E1867" w:rsidP="002E1867">
            <w:pPr>
              <w:spacing w:before="40" w:after="40" w:line="220" w:lineRule="exact"/>
              <w:rPr>
                <w:rFonts w:ascii="Arial" w:hAnsi="Arial"/>
                <w:sz w:val="18"/>
                <w:szCs w:val="20"/>
              </w:rPr>
            </w:pPr>
            <w:r w:rsidRPr="002E1867">
              <w:rPr>
                <w:rFonts w:cs="FrankRuehl" w:hint="cs"/>
                <w:sz w:val="18"/>
                <w:szCs w:val="20"/>
                <w:rtl/>
              </w:rPr>
              <w:t>רומניה</w:t>
            </w:r>
          </w:p>
        </w:tc>
        <w:tc>
          <w:tcPr>
            <w:tcW w:w="1501" w:type="dxa"/>
            <w:tcBorders>
              <w:top w:val="single" w:sz="12" w:space="0" w:color="auto"/>
              <w:bottom w:val="single" w:sz="4" w:space="0" w:color="auto"/>
            </w:tcBorders>
            <w:shd w:val="clear" w:color="auto" w:fill="auto"/>
          </w:tcPr>
          <w:p w:rsidR="009B5B44" w:rsidRPr="002E1867" w:rsidP="002E1867">
            <w:pPr>
              <w:spacing w:before="40" w:after="40" w:line="220" w:lineRule="exact"/>
              <w:rPr>
                <w:rFonts w:ascii="Arial" w:hAnsi="Arial"/>
                <w:sz w:val="18"/>
                <w:szCs w:val="20"/>
                <w:rtl/>
              </w:rPr>
            </w:pPr>
            <w:r w:rsidRPr="002E1867">
              <w:rPr>
                <w:rFonts w:cs="FrankRuehl" w:hint="cs"/>
                <w:sz w:val="18"/>
                <w:szCs w:val="20"/>
                <w:rtl/>
              </w:rPr>
              <w:t>דצמבר 2003</w:t>
            </w:r>
          </w:p>
        </w:tc>
        <w:tc>
          <w:tcPr>
            <w:tcW w:w="1501" w:type="dxa"/>
            <w:tcBorders>
              <w:top w:val="single" w:sz="12" w:space="0" w:color="auto"/>
              <w:bottom w:val="single" w:sz="4" w:space="0" w:color="auto"/>
            </w:tcBorders>
            <w:shd w:val="clear" w:color="auto" w:fill="auto"/>
            <w:noWrap/>
          </w:tcPr>
          <w:p w:rsidR="009B5B44" w:rsidRPr="002E1867" w:rsidP="002E1867">
            <w:pPr>
              <w:spacing w:before="40" w:after="40" w:line="220" w:lineRule="exact"/>
              <w:rPr>
                <w:rFonts w:ascii="Arial" w:hAnsi="Arial"/>
                <w:sz w:val="18"/>
                <w:szCs w:val="20"/>
                <w:highlight w:val="yellow"/>
                <w:rtl/>
              </w:rPr>
            </w:pPr>
            <w:r w:rsidRPr="002E1867">
              <w:rPr>
                <w:rFonts w:cs="FrankRuehl" w:hint="cs"/>
                <w:sz w:val="18"/>
                <w:szCs w:val="20"/>
                <w:rtl/>
              </w:rPr>
              <w:t>ממשלת</w:t>
            </w:r>
            <w:r w:rsidRPr="002E1867">
              <w:rPr>
                <w:rFonts w:cs="FrankRuehl"/>
                <w:sz w:val="18"/>
                <w:szCs w:val="20"/>
                <w:rtl/>
              </w:rPr>
              <w:t xml:space="preserve"> </w:t>
            </w:r>
            <w:r w:rsidRPr="002E1867">
              <w:rPr>
                <w:rFonts w:cs="FrankRuehl" w:hint="cs"/>
                <w:sz w:val="18"/>
                <w:szCs w:val="20"/>
                <w:rtl/>
              </w:rPr>
              <w:t>רומניה</w:t>
            </w:r>
          </w:p>
        </w:tc>
        <w:tc>
          <w:tcPr>
            <w:tcW w:w="1135" w:type="dxa"/>
            <w:tcBorders>
              <w:top w:val="single" w:sz="12" w:space="0" w:color="auto"/>
              <w:bottom w:val="single" w:sz="4" w:space="0" w:color="auto"/>
            </w:tcBorders>
            <w:shd w:val="clear" w:color="auto" w:fill="auto"/>
            <w:noWrap/>
          </w:tcPr>
          <w:p w:rsidR="009B5B44" w:rsidRPr="002E1867" w:rsidP="002E1867">
            <w:pPr>
              <w:spacing w:before="40" w:after="40" w:line="220" w:lineRule="exact"/>
              <w:rPr>
                <w:rFonts w:ascii="Arial" w:hAnsi="Arial"/>
                <w:sz w:val="18"/>
                <w:szCs w:val="20"/>
              </w:rPr>
            </w:pPr>
            <w:r w:rsidRPr="002E1867">
              <w:rPr>
                <w:rFonts w:cs="FrankRuehl" w:hint="cs"/>
                <w:sz w:val="18"/>
                <w:szCs w:val="20"/>
                <w:rtl/>
              </w:rPr>
              <w:t xml:space="preserve">1,644 דולר </w:t>
            </w:r>
          </w:p>
        </w:tc>
        <w:tc>
          <w:tcPr>
            <w:tcW w:w="1684" w:type="dxa"/>
            <w:tcBorders>
              <w:top w:val="single" w:sz="12" w:space="0" w:color="auto"/>
              <w:bottom w:val="single" w:sz="4" w:space="0" w:color="auto"/>
            </w:tcBorders>
            <w:shd w:val="clear" w:color="auto" w:fill="auto"/>
            <w:noWrap/>
          </w:tcPr>
          <w:p w:rsidR="009B5B44" w:rsidRPr="002E1867" w:rsidP="002E1867">
            <w:pPr>
              <w:spacing w:before="40" w:after="40" w:line="220" w:lineRule="exact"/>
              <w:rPr>
                <w:rFonts w:ascii="Arial" w:hAnsi="Arial"/>
                <w:sz w:val="18"/>
                <w:szCs w:val="20"/>
              </w:rPr>
            </w:pPr>
            <w:r w:rsidRPr="002E1867">
              <w:rPr>
                <w:rFonts w:cs="FrankRuehl"/>
                <w:sz w:val="18"/>
                <w:szCs w:val="20"/>
                <w:rtl/>
              </w:rPr>
              <w:t xml:space="preserve">אבטחה </w:t>
            </w:r>
          </w:p>
        </w:tc>
      </w:tr>
      <w:tr w:rsidTr="002E1867">
        <w:tblPrEx>
          <w:tblW w:w="6691" w:type="dxa"/>
          <w:jc w:val="center"/>
          <w:tblLayout w:type="fixed"/>
          <w:tblLook w:val="0000"/>
        </w:tblPrEx>
        <w:trPr>
          <w:trHeight w:val="255"/>
          <w:jc w:val="center"/>
        </w:trPr>
        <w:tc>
          <w:tcPr>
            <w:tcW w:w="1480" w:type="dxa"/>
            <w:tcBorders>
              <w:top w:val="single" w:sz="4" w:space="0" w:color="auto"/>
              <w:bottom w:val="single" w:sz="4" w:space="0" w:color="auto"/>
            </w:tcBorders>
            <w:shd w:val="clear" w:color="auto" w:fill="auto"/>
            <w:noWrap/>
          </w:tcPr>
          <w:p w:rsidR="009B5B44" w:rsidRPr="002E1867" w:rsidP="002E1867">
            <w:pPr>
              <w:spacing w:before="40" w:after="40" w:line="220" w:lineRule="exact"/>
              <w:rPr>
                <w:rFonts w:ascii="Arial" w:hAnsi="Arial"/>
                <w:sz w:val="18"/>
                <w:szCs w:val="20"/>
              </w:rPr>
            </w:pPr>
            <w:r w:rsidRPr="002E1867">
              <w:rPr>
                <w:rFonts w:cs="FrankRuehl" w:hint="cs"/>
                <w:sz w:val="18"/>
                <w:szCs w:val="20"/>
                <w:rtl/>
              </w:rPr>
              <w:t>אנגליה</w:t>
            </w:r>
          </w:p>
        </w:tc>
        <w:tc>
          <w:tcPr>
            <w:tcW w:w="1501" w:type="dxa"/>
            <w:tcBorders>
              <w:top w:val="single" w:sz="4" w:space="0" w:color="auto"/>
              <w:bottom w:val="single" w:sz="4" w:space="0" w:color="auto"/>
            </w:tcBorders>
            <w:shd w:val="clear" w:color="auto" w:fill="auto"/>
          </w:tcPr>
          <w:p w:rsidR="009B5B44" w:rsidRPr="002E1867" w:rsidP="002E1867">
            <w:pPr>
              <w:spacing w:before="40" w:after="40" w:line="220" w:lineRule="exact"/>
              <w:rPr>
                <w:rFonts w:ascii="Arial" w:hAnsi="Arial"/>
                <w:sz w:val="18"/>
                <w:szCs w:val="20"/>
                <w:rtl/>
              </w:rPr>
            </w:pPr>
            <w:r w:rsidRPr="002E1867">
              <w:rPr>
                <w:rFonts w:cs="FrankRuehl" w:hint="cs"/>
                <w:sz w:val="18"/>
                <w:szCs w:val="20"/>
                <w:rtl/>
              </w:rPr>
              <w:t>ינואר 2004</w:t>
            </w:r>
          </w:p>
        </w:tc>
        <w:tc>
          <w:tcPr>
            <w:tcW w:w="1501" w:type="dxa"/>
            <w:tcBorders>
              <w:top w:val="single" w:sz="4" w:space="0" w:color="auto"/>
              <w:bottom w:val="single" w:sz="4" w:space="0" w:color="auto"/>
            </w:tcBorders>
            <w:shd w:val="clear" w:color="auto" w:fill="auto"/>
            <w:noWrap/>
          </w:tcPr>
          <w:p w:rsidR="009B5B44" w:rsidRPr="002E1867" w:rsidP="002E1867">
            <w:pPr>
              <w:spacing w:before="40" w:after="40" w:line="220" w:lineRule="exact"/>
              <w:rPr>
                <w:rFonts w:ascii="Arial" w:hAnsi="Arial"/>
                <w:sz w:val="18"/>
                <w:szCs w:val="20"/>
              </w:rPr>
            </w:pPr>
            <w:r w:rsidRPr="002E1867">
              <w:rPr>
                <w:rFonts w:cs="FrankRuehl" w:hint="cs"/>
                <w:sz w:val="18"/>
                <w:szCs w:val="20"/>
                <w:rtl/>
              </w:rPr>
              <w:t>הבונדס</w:t>
            </w:r>
          </w:p>
        </w:tc>
        <w:tc>
          <w:tcPr>
            <w:tcW w:w="1135" w:type="dxa"/>
            <w:tcBorders>
              <w:top w:val="single" w:sz="4" w:space="0" w:color="auto"/>
              <w:bottom w:val="single" w:sz="4" w:space="0" w:color="auto"/>
            </w:tcBorders>
            <w:shd w:val="clear" w:color="auto" w:fill="auto"/>
            <w:noWrap/>
          </w:tcPr>
          <w:p w:rsidR="009B5B44" w:rsidRPr="002E1867" w:rsidP="002E1867">
            <w:pPr>
              <w:spacing w:before="40" w:after="40" w:line="220" w:lineRule="exact"/>
              <w:rPr>
                <w:rFonts w:ascii="Arial" w:hAnsi="Arial"/>
                <w:sz w:val="18"/>
                <w:szCs w:val="20"/>
              </w:rPr>
            </w:pPr>
            <w:r w:rsidRPr="002E1867">
              <w:rPr>
                <w:rFonts w:cs="FrankRuehl" w:hint="cs"/>
                <w:sz w:val="18"/>
                <w:szCs w:val="20"/>
                <w:rtl/>
              </w:rPr>
              <w:t xml:space="preserve">4,811 ש"ח </w:t>
            </w:r>
          </w:p>
        </w:tc>
        <w:tc>
          <w:tcPr>
            <w:tcW w:w="1684" w:type="dxa"/>
            <w:tcBorders>
              <w:top w:val="single" w:sz="4" w:space="0" w:color="auto"/>
              <w:bottom w:val="single" w:sz="4" w:space="0" w:color="auto"/>
            </w:tcBorders>
            <w:shd w:val="clear" w:color="auto" w:fill="auto"/>
            <w:noWrap/>
          </w:tcPr>
          <w:p w:rsidR="009B5B44" w:rsidRPr="002E1867" w:rsidP="002E1867">
            <w:pPr>
              <w:spacing w:before="40" w:after="40" w:line="220" w:lineRule="exact"/>
              <w:rPr>
                <w:rFonts w:ascii="Arial" w:hAnsi="Arial"/>
                <w:sz w:val="18"/>
                <w:szCs w:val="20"/>
              </w:rPr>
            </w:pPr>
            <w:r w:rsidRPr="002E1867">
              <w:rPr>
                <w:rFonts w:cs="FrankRuehl" w:hint="cs"/>
                <w:sz w:val="18"/>
                <w:szCs w:val="20"/>
                <w:rtl/>
              </w:rPr>
              <w:t>אבטחה</w:t>
            </w:r>
          </w:p>
        </w:tc>
      </w:tr>
      <w:tr w:rsidTr="002E1867">
        <w:tblPrEx>
          <w:tblW w:w="6691" w:type="dxa"/>
          <w:jc w:val="center"/>
          <w:tblLayout w:type="fixed"/>
          <w:tblLook w:val="0000"/>
        </w:tblPrEx>
        <w:trPr>
          <w:trHeight w:val="255"/>
          <w:jc w:val="center"/>
        </w:trPr>
        <w:tc>
          <w:tcPr>
            <w:tcW w:w="1480" w:type="dxa"/>
            <w:tcBorders>
              <w:top w:val="single" w:sz="4" w:space="0" w:color="auto"/>
              <w:bottom w:val="single" w:sz="4" w:space="0" w:color="auto"/>
            </w:tcBorders>
            <w:shd w:val="clear" w:color="auto" w:fill="auto"/>
            <w:noWrap/>
          </w:tcPr>
          <w:p w:rsidR="009B5B44" w:rsidRPr="002E1867" w:rsidP="002E1867">
            <w:pPr>
              <w:spacing w:before="40" w:after="40" w:line="220" w:lineRule="exact"/>
              <w:rPr>
                <w:rFonts w:ascii="Arial" w:hAnsi="Arial"/>
                <w:sz w:val="18"/>
                <w:szCs w:val="20"/>
              </w:rPr>
            </w:pPr>
            <w:r w:rsidRPr="002E1867">
              <w:rPr>
                <w:rFonts w:cs="FrankRuehl" w:hint="cs"/>
                <w:sz w:val="18"/>
                <w:szCs w:val="20"/>
                <w:rtl/>
              </w:rPr>
              <w:t>ארצות הברית</w:t>
            </w:r>
          </w:p>
        </w:tc>
        <w:tc>
          <w:tcPr>
            <w:tcW w:w="1501" w:type="dxa"/>
            <w:tcBorders>
              <w:top w:val="single" w:sz="4" w:space="0" w:color="auto"/>
              <w:bottom w:val="single" w:sz="4" w:space="0" w:color="auto"/>
            </w:tcBorders>
            <w:shd w:val="clear" w:color="auto" w:fill="auto"/>
          </w:tcPr>
          <w:p w:rsidR="009B5B44" w:rsidRPr="002E1867" w:rsidP="002E1867">
            <w:pPr>
              <w:spacing w:before="40" w:after="40" w:line="220" w:lineRule="exact"/>
              <w:rPr>
                <w:rFonts w:ascii="Arial" w:hAnsi="Arial"/>
                <w:sz w:val="18"/>
                <w:szCs w:val="20"/>
                <w:rtl/>
              </w:rPr>
            </w:pPr>
            <w:r w:rsidRPr="002E1867">
              <w:rPr>
                <w:rFonts w:cs="FrankRuehl" w:hint="cs"/>
                <w:sz w:val="18"/>
                <w:szCs w:val="20"/>
                <w:rtl/>
              </w:rPr>
              <w:t>ינואר 2004</w:t>
            </w:r>
          </w:p>
        </w:tc>
        <w:tc>
          <w:tcPr>
            <w:tcW w:w="1501" w:type="dxa"/>
            <w:tcBorders>
              <w:top w:val="single" w:sz="4" w:space="0" w:color="auto"/>
              <w:bottom w:val="single" w:sz="4" w:space="0" w:color="auto"/>
            </w:tcBorders>
            <w:shd w:val="clear" w:color="auto" w:fill="auto"/>
            <w:noWrap/>
          </w:tcPr>
          <w:p w:rsidR="009B5B44" w:rsidRPr="002E1867" w:rsidP="002E1867">
            <w:pPr>
              <w:spacing w:before="40" w:after="40" w:line="220" w:lineRule="exact"/>
              <w:rPr>
                <w:rFonts w:ascii="Arial" w:hAnsi="Arial"/>
                <w:sz w:val="18"/>
                <w:szCs w:val="20"/>
              </w:rPr>
            </w:pPr>
            <w:r w:rsidRPr="002E1867">
              <w:rPr>
                <w:rFonts w:cs="FrankRuehl" w:hint="cs"/>
                <w:sz w:val="18"/>
                <w:szCs w:val="20"/>
                <w:rtl/>
              </w:rPr>
              <w:t>הבונדס</w:t>
            </w:r>
          </w:p>
        </w:tc>
        <w:tc>
          <w:tcPr>
            <w:tcW w:w="1135" w:type="dxa"/>
            <w:tcBorders>
              <w:top w:val="single" w:sz="4" w:space="0" w:color="auto"/>
              <w:bottom w:val="single" w:sz="4" w:space="0" w:color="auto"/>
            </w:tcBorders>
            <w:shd w:val="clear" w:color="auto" w:fill="auto"/>
            <w:noWrap/>
          </w:tcPr>
          <w:p w:rsidR="009B5B44" w:rsidRPr="002E1867" w:rsidP="002E1867">
            <w:pPr>
              <w:spacing w:before="40" w:after="40" w:line="220" w:lineRule="exact"/>
              <w:rPr>
                <w:rFonts w:ascii="Arial" w:hAnsi="Arial"/>
                <w:sz w:val="18"/>
                <w:szCs w:val="20"/>
              </w:rPr>
            </w:pPr>
            <w:r w:rsidRPr="002E1867">
              <w:rPr>
                <w:rFonts w:cs="FrankRuehl" w:hint="cs"/>
                <w:sz w:val="18"/>
                <w:szCs w:val="20"/>
                <w:rtl/>
              </w:rPr>
              <w:t>42,171 ש"ח</w:t>
            </w:r>
          </w:p>
        </w:tc>
        <w:tc>
          <w:tcPr>
            <w:tcW w:w="1684" w:type="dxa"/>
            <w:tcBorders>
              <w:top w:val="single" w:sz="4" w:space="0" w:color="auto"/>
              <w:bottom w:val="single" w:sz="4" w:space="0" w:color="auto"/>
            </w:tcBorders>
            <w:shd w:val="clear" w:color="auto" w:fill="auto"/>
            <w:noWrap/>
          </w:tcPr>
          <w:p w:rsidR="009B5B44" w:rsidRPr="002E1867" w:rsidP="002E1867">
            <w:pPr>
              <w:spacing w:before="40" w:after="40" w:line="220" w:lineRule="exact"/>
              <w:rPr>
                <w:rFonts w:ascii="Arial" w:hAnsi="Arial"/>
                <w:sz w:val="18"/>
                <w:szCs w:val="20"/>
              </w:rPr>
            </w:pPr>
            <w:r w:rsidRPr="002E1867">
              <w:rPr>
                <w:rFonts w:cs="FrankRuehl" w:hint="cs"/>
                <w:sz w:val="18"/>
                <w:szCs w:val="20"/>
                <w:rtl/>
              </w:rPr>
              <w:t>אבטחה</w:t>
            </w:r>
          </w:p>
        </w:tc>
      </w:tr>
      <w:tr w:rsidTr="002E1867">
        <w:tblPrEx>
          <w:tblW w:w="6691" w:type="dxa"/>
          <w:jc w:val="center"/>
          <w:tblLayout w:type="fixed"/>
          <w:tblLook w:val="0000"/>
        </w:tblPrEx>
        <w:trPr>
          <w:trHeight w:val="255"/>
          <w:jc w:val="center"/>
        </w:trPr>
        <w:tc>
          <w:tcPr>
            <w:tcW w:w="1480" w:type="dxa"/>
            <w:tcBorders>
              <w:top w:val="single" w:sz="4" w:space="0" w:color="auto"/>
              <w:bottom w:val="single" w:sz="4" w:space="0" w:color="auto"/>
            </w:tcBorders>
            <w:shd w:val="clear" w:color="auto" w:fill="auto"/>
            <w:noWrap/>
          </w:tcPr>
          <w:p w:rsidR="009B5B44" w:rsidRPr="002E1867" w:rsidP="002E1867">
            <w:pPr>
              <w:spacing w:before="40" w:after="40" w:line="220" w:lineRule="exact"/>
              <w:rPr>
                <w:rFonts w:ascii="Arial" w:hAnsi="Arial"/>
                <w:sz w:val="18"/>
                <w:szCs w:val="20"/>
              </w:rPr>
            </w:pPr>
            <w:r w:rsidRPr="002E1867">
              <w:rPr>
                <w:rFonts w:cs="FrankRuehl" w:hint="cs"/>
                <w:sz w:val="18"/>
                <w:szCs w:val="20"/>
                <w:rtl/>
              </w:rPr>
              <w:t>ארצות הברית</w:t>
            </w:r>
          </w:p>
        </w:tc>
        <w:tc>
          <w:tcPr>
            <w:tcW w:w="1501" w:type="dxa"/>
            <w:tcBorders>
              <w:top w:val="single" w:sz="4" w:space="0" w:color="auto"/>
              <w:bottom w:val="single" w:sz="4" w:space="0" w:color="auto"/>
            </w:tcBorders>
            <w:shd w:val="clear" w:color="auto" w:fill="auto"/>
          </w:tcPr>
          <w:p w:rsidR="009B5B44" w:rsidRPr="002E1867" w:rsidP="002E1867">
            <w:pPr>
              <w:spacing w:before="40" w:after="40" w:line="220" w:lineRule="exact"/>
              <w:rPr>
                <w:rFonts w:ascii="Arial" w:hAnsi="Arial"/>
                <w:sz w:val="18"/>
                <w:szCs w:val="20"/>
                <w:rtl/>
              </w:rPr>
            </w:pPr>
            <w:r w:rsidRPr="002E1867">
              <w:rPr>
                <w:rFonts w:cs="FrankRuehl" w:hint="cs"/>
                <w:sz w:val="18"/>
                <w:szCs w:val="20"/>
                <w:rtl/>
              </w:rPr>
              <w:t>יוני 2004</w:t>
            </w:r>
          </w:p>
        </w:tc>
        <w:tc>
          <w:tcPr>
            <w:tcW w:w="1501" w:type="dxa"/>
            <w:tcBorders>
              <w:top w:val="single" w:sz="4" w:space="0" w:color="auto"/>
              <w:bottom w:val="single" w:sz="4" w:space="0" w:color="auto"/>
            </w:tcBorders>
            <w:shd w:val="clear" w:color="auto" w:fill="auto"/>
            <w:noWrap/>
          </w:tcPr>
          <w:p w:rsidR="009B5B44" w:rsidRPr="002E1867" w:rsidP="002E1867">
            <w:pPr>
              <w:spacing w:before="40" w:after="40" w:line="220" w:lineRule="exact"/>
              <w:rPr>
                <w:rFonts w:ascii="Arial" w:hAnsi="Arial"/>
                <w:sz w:val="18"/>
                <w:szCs w:val="20"/>
                <w:rtl/>
              </w:rPr>
            </w:pPr>
            <w:r w:rsidRPr="002E1867">
              <w:rPr>
                <w:rFonts w:cs="FrankRuehl" w:hint="cs"/>
                <w:sz w:val="18"/>
                <w:szCs w:val="20"/>
                <w:rtl/>
              </w:rPr>
              <w:t>ארגון זר ב'</w:t>
            </w:r>
          </w:p>
        </w:tc>
        <w:tc>
          <w:tcPr>
            <w:tcW w:w="1135" w:type="dxa"/>
            <w:tcBorders>
              <w:top w:val="single" w:sz="4" w:space="0" w:color="auto"/>
              <w:bottom w:val="single" w:sz="4" w:space="0" w:color="auto"/>
            </w:tcBorders>
            <w:shd w:val="clear" w:color="auto" w:fill="auto"/>
            <w:noWrap/>
          </w:tcPr>
          <w:p w:rsidR="009B5B44" w:rsidRPr="002E1867" w:rsidP="002E1867">
            <w:pPr>
              <w:spacing w:before="40" w:after="40" w:line="220" w:lineRule="exact"/>
              <w:rPr>
                <w:rFonts w:ascii="Arial" w:hAnsi="Arial"/>
                <w:sz w:val="18"/>
                <w:szCs w:val="20"/>
                <w:rtl/>
              </w:rPr>
            </w:pPr>
            <w:r w:rsidRPr="002E1867">
              <w:rPr>
                <w:rFonts w:cs="FrankRuehl" w:hint="cs"/>
                <w:sz w:val="18"/>
                <w:szCs w:val="20"/>
                <w:rtl/>
              </w:rPr>
              <w:t xml:space="preserve">19,608 ש"ח </w:t>
            </w:r>
            <w:r w:rsidR="002E1867">
              <w:rPr>
                <w:rFonts w:cs="FrankRuehl"/>
                <w:sz w:val="18"/>
                <w:szCs w:val="20"/>
              </w:rPr>
              <w:br/>
            </w:r>
            <w:r w:rsidRPr="002E1867">
              <w:rPr>
                <w:rFonts w:cs="FrankRuehl" w:hint="cs"/>
                <w:sz w:val="18"/>
                <w:szCs w:val="20"/>
                <w:rtl/>
              </w:rPr>
              <w:t>1,483 דולר</w:t>
            </w:r>
          </w:p>
        </w:tc>
        <w:tc>
          <w:tcPr>
            <w:tcW w:w="1684" w:type="dxa"/>
            <w:tcBorders>
              <w:top w:val="single" w:sz="4" w:space="0" w:color="auto"/>
              <w:bottom w:val="single" w:sz="4" w:space="0" w:color="auto"/>
            </w:tcBorders>
            <w:shd w:val="clear" w:color="auto" w:fill="auto"/>
            <w:noWrap/>
          </w:tcPr>
          <w:p w:rsidR="009B5B44" w:rsidRPr="002E1867" w:rsidP="002E1867">
            <w:pPr>
              <w:spacing w:before="40" w:after="40" w:line="220" w:lineRule="exact"/>
              <w:rPr>
                <w:rFonts w:cs="FrankRuehl"/>
                <w:sz w:val="18"/>
                <w:szCs w:val="20"/>
                <w:rtl/>
              </w:rPr>
            </w:pPr>
            <w:r w:rsidRPr="002E1867">
              <w:rPr>
                <w:rFonts w:cs="FrankRuehl" w:hint="cs"/>
                <w:sz w:val="18"/>
                <w:szCs w:val="20"/>
                <w:rtl/>
              </w:rPr>
              <w:t>מלווה</w:t>
            </w:r>
          </w:p>
          <w:p w:rsidR="009B5B44" w:rsidRPr="002E1867" w:rsidP="002E1867">
            <w:pPr>
              <w:spacing w:before="40" w:after="40" w:line="220" w:lineRule="exact"/>
              <w:rPr>
                <w:rFonts w:ascii="Arial" w:hAnsi="Arial"/>
                <w:sz w:val="18"/>
                <w:szCs w:val="20"/>
              </w:rPr>
            </w:pPr>
            <w:r w:rsidRPr="002E1867">
              <w:rPr>
                <w:rFonts w:cs="FrankRuehl" w:hint="cs"/>
                <w:sz w:val="18"/>
                <w:szCs w:val="20"/>
                <w:rtl/>
              </w:rPr>
              <w:t>מאבטח</w:t>
            </w:r>
          </w:p>
        </w:tc>
      </w:tr>
      <w:tr w:rsidTr="002E1867">
        <w:tblPrEx>
          <w:tblW w:w="6691" w:type="dxa"/>
          <w:jc w:val="center"/>
          <w:tblLayout w:type="fixed"/>
          <w:tblLook w:val="0000"/>
        </w:tblPrEx>
        <w:trPr>
          <w:trHeight w:val="255"/>
          <w:jc w:val="center"/>
        </w:trPr>
        <w:tc>
          <w:tcPr>
            <w:tcW w:w="1480" w:type="dxa"/>
            <w:tcBorders>
              <w:top w:val="single" w:sz="4" w:space="0" w:color="auto"/>
              <w:bottom w:val="single" w:sz="4" w:space="0" w:color="auto"/>
            </w:tcBorders>
            <w:shd w:val="clear" w:color="auto" w:fill="auto"/>
            <w:noWrap/>
          </w:tcPr>
          <w:p w:rsidR="009B5B44" w:rsidRPr="002E1867" w:rsidP="002E1867">
            <w:pPr>
              <w:spacing w:before="40" w:after="40" w:line="220" w:lineRule="exact"/>
              <w:rPr>
                <w:rFonts w:ascii="Arial" w:hAnsi="Arial"/>
                <w:sz w:val="18"/>
                <w:szCs w:val="20"/>
                <w:rtl/>
              </w:rPr>
            </w:pPr>
            <w:r w:rsidRPr="002E1867">
              <w:rPr>
                <w:rFonts w:cs="FrankRuehl" w:hint="cs"/>
                <w:sz w:val="18"/>
                <w:szCs w:val="20"/>
                <w:rtl/>
              </w:rPr>
              <w:t>ארצות הברית והריביירה הצרפתית</w:t>
            </w:r>
          </w:p>
        </w:tc>
        <w:tc>
          <w:tcPr>
            <w:tcW w:w="1501" w:type="dxa"/>
            <w:tcBorders>
              <w:top w:val="single" w:sz="4" w:space="0" w:color="auto"/>
              <w:bottom w:val="single" w:sz="4" w:space="0" w:color="auto"/>
            </w:tcBorders>
            <w:shd w:val="clear" w:color="auto" w:fill="auto"/>
          </w:tcPr>
          <w:p w:rsidR="009B5B44" w:rsidRPr="002E1867" w:rsidP="002E1867">
            <w:pPr>
              <w:spacing w:before="40" w:after="40" w:line="220" w:lineRule="exact"/>
              <w:rPr>
                <w:rFonts w:ascii="Arial" w:hAnsi="Arial"/>
                <w:sz w:val="18"/>
                <w:szCs w:val="20"/>
                <w:rtl/>
              </w:rPr>
            </w:pPr>
            <w:r w:rsidRPr="002E1867">
              <w:rPr>
                <w:rFonts w:cs="FrankRuehl" w:hint="cs"/>
                <w:sz w:val="18"/>
                <w:szCs w:val="20"/>
                <w:rtl/>
              </w:rPr>
              <w:t>אוקטובר 2004</w:t>
            </w:r>
          </w:p>
        </w:tc>
        <w:tc>
          <w:tcPr>
            <w:tcW w:w="1501" w:type="dxa"/>
            <w:tcBorders>
              <w:top w:val="single" w:sz="4" w:space="0" w:color="auto"/>
              <w:bottom w:val="single" w:sz="4" w:space="0" w:color="auto"/>
            </w:tcBorders>
            <w:shd w:val="clear" w:color="auto" w:fill="auto"/>
            <w:noWrap/>
          </w:tcPr>
          <w:p w:rsidR="009B5B44" w:rsidRPr="002E1867" w:rsidP="002E1867">
            <w:pPr>
              <w:spacing w:before="40" w:after="40" w:line="220" w:lineRule="exact"/>
              <w:rPr>
                <w:rFonts w:ascii="Arial" w:hAnsi="Arial"/>
                <w:sz w:val="18"/>
                <w:szCs w:val="20"/>
              </w:rPr>
            </w:pPr>
            <w:r w:rsidRPr="002E1867">
              <w:rPr>
                <w:rFonts w:cs="FrankRuehl" w:hint="cs"/>
                <w:sz w:val="18"/>
                <w:szCs w:val="20"/>
                <w:rtl/>
              </w:rPr>
              <w:t>הבונדס</w:t>
            </w:r>
          </w:p>
        </w:tc>
        <w:tc>
          <w:tcPr>
            <w:tcW w:w="1135" w:type="dxa"/>
            <w:tcBorders>
              <w:top w:val="single" w:sz="4" w:space="0" w:color="auto"/>
              <w:bottom w:val="single" w:sz="4" w:space="0" w:color="auto"/>
            </w:tcBorders>
            <w:shd w:val="clear" w:color="auto" w:fill="auto"/>
            <w:noWrap/>
          </w:tcPr>
          <w:p w:rsidR="009B5B44" w:rsidRPr="002E1867" w:rsidP="002E1867">
            <w:pPr>
              <w:spacing w:before="40" w:after="40" w:line="220" w:lineRule="exact"/>
              <w:rPr>
                <w:rFonts w:ascii="Arial" w:hAnsi="Arial"/>
                <w:sz w:val="18"/>
                <w:szCs w:val="20"/>
                <w:rtl/>
              </w:rPr>
            </w:pPr>
            <w:r w:rsidRPr="002E1867">
              <w:rPr>
                <w:rFonts w:cs="FrankRuehl" w:hint="cs"/>
                <w:sz w:val="18"/>
                <w:szCs w:val="20"/>
                <w:rtl/>
              </w:rPr>
              <w:t>11,051 דולר</w:t>
            </w:r>
          </w:p>
        </w:tc>
        <w:tc>
          <w:tcPr>
            <w:tcW w:w="1684" w:type="dxa"/>
            <w:tcBorders>
              <w:top w:val="single" w:sz="4" w:space="0" w:color="auto"/>
              <w:bottom w:val="single" w:sz="4" w:space="0" w:color="auto"/>
            </w:tcBorders>
            <w:shd w:val="clear" w:color="auto" w:fill="auto"/>
            <w:noWrap/>
          </w:tcPr>
          <w:p w:rsidR="009B5B44" w:rsidRPr="002E1867" w:rsidP="002E1867">
            <w:pPr>
              <w:spacing w:before="40" w:after="40" w:line="220" w:lineRule="exact"/>
              <w:rPr>
                <w:rFonts w:ascii="Arial" w:hAnsi="Arial"/>
                <w:sz w:val="18"/>
                <w:szCs w:val="20"/>
                <w:rtl/>
              </w:rPr>
            </w:pPr>
            <w:r w:rsidRPr="002E1867">
              <w:rPr>
                <w:rFonts w:cs="FrankRuehl" w:hint="cs"/>
                <w:sz w:val="18"/>
                <w:szCs w:val="20"/>
                <w:rtl/>
              </w:rPr>
              <w:t>מלווה</w:t>
            </w:r>
          </w:p>
        </w:tc>
      </w:tr>
      <w:tr w:rsidTr="002E1867">
        <w:tblPrEx>
          <w:tblW w:w="6691" w:type="dxa"/>
          <w:jc w:val="center"/>
          <w:tblLayout w:type="fixed"/>
          <w:tblLook w:val="0000"/>
        </w:tblPrEx>
        <w:trPr>
          <w:trHeight w:val="255"/>
          <w:jc w:val="center"/>
        </w:trPr>
        <w:tc>
          <w:tcPr>
            <w:tcW w:w="1480" w:type="dxa"/>
            <w:tcBorders>
              <w:top w:val="single" w:sz="4" w:space="0" w:color="auto"/>
              <w:bottom w:val="single" w:sz="12" w:space="0" w:color="auto"/>
            </w:tcBorders>
            <w:shd w:val="clear" w:color="auto" w:fill="auto"/>
            <w:noWrap/>
          </w:tcPr>
          <w:p w:rsidR="009B5B44" w:rsidRPr="002E1867" w:rsidP="002E1867">
            <w:pPr>
              <w:spacing w:before="40" w:after="40" w:line="220" w:lineRule="exact"/>
              <w:rPr>
                <w:rFonts w:ascii="Arial" w:hAnsi="Arial"/>
                <w:sz w:val="18"/>
                <w:szCs w:val="20"/>
                <w:rtl/>
              </w:rPr>
            </w:pPr>
            <w:r w:rsidRPr="002E1867">
              <w:rPr>
                <w:rFonts w:cs="FrankRuehl" w:hint="cs"/>
                <w:sz w:val="18"/>
                <w:szCs w:val="20"/>
                <w:rtl/>
              </w:rPr>
              <w:t>בלגיה</w:t>
            </w:r>
          </w:p>
        </w:tc>
        <w:tc>
          <w:tcPr>
            <w:tcW w:w="1501" w:type="dxa"/>
            <w:tcBorders>
              <w:top w:val="single" w:sz="4" w:space="0" w:color="auto"/>
              <w:bottom w:val="single" w:sz="12" w:space="0" w:color="auto"/>
            </w:tcBorders>
            <w:shd w:val="clear" w:color="auto" w:fill="auto"/>
          </w:tcPr>
          <w:p w:rsidR="009B5B44" w:rsidRPr="002E1867" w:rsidP="002E1867">
            <w:pPr>
              <w:spacing w:before="40" w:after="40" w:line="220" w:lineRule="exact"/>
              <w:rPr>
                <w:rFonts w:ascii="Arial" w:hAnsi="Arial"/>
                <w:sz w:val="18"/>
                <w:szCs w:val="20"/>
                <w:rtl/>
              </w:rPr>
            </w:pPr>
            <w:r w:rsidRPr="002E1867">
              <w:rPr>
                <w:rFonts w:cs="FrankRuehl" w:hint="cs"/>
                <w:sz w:val="18"/>
                <w:szCs w:val="20"/>
                <w:rtl/>
              </w:rPr>
              <w:t>מרץ 2005</w:t>
            </w:r>
          </w:p>
        </w:tc>
        <w:tc>
          <w:tcPr>
            <w:tcW w:w="1501" w:type="dxa"/>
            <w:tcBorders>
              <w:top w:val="single" w:sz="4" w:space="0" w:color="auto"/>
              <w:bottom w:val="single" w:sz="12" w:space="0" w:color="auto"/>
            </w:tcBorders>
            <w:shd w:val="clear" w:color="auto" w:fill="auto"/>
            <w:noWrap/>
          </w:tcPr>
          <w:p w:rsidR="009B5B44" w:rsidRPr="002E1867" w:rsidP="002E1867">
            <w:pPr>
              <w:spacing w:before="40" w:after="40" w:line="220" w:lineRule="exact"/>
              <w:rPr>
                <w:rFonts w:ascii="Arial" w:hAnsi="Arial"/>
                <w:sz w:val="18"/>
                <w:szCs w:val="20"/>
                <w:rtl/>
              </w:rPr>
            </w:pPr>
            <w:r w:rsidRPr="002E1867">
              <w:rPr>
                <w:rFonts w:cs="FrankRuehl" w:hint="cs"/>
                <w:sz w:val="18"/>
                <w:szCs w:val="20"/>
                <w:rtl/>
              </w:rPr>
              <w:t>מוסד חינוכי בבלגיה</w:t>
            </w:r>
          </w:p>
        </w:tc>
        <w:tc>
          <w:tcPr>
            <w:tcW w:w="1135" w:type="dxa"/>
            <w:tcBorders>
              <w:top w:val="single" w:sz="4" w:space="0" w:color="auto"/>
              <w:bottom w:val="single" w:sz="12" w:space="0" w:color="auto"/>
            </w:tcBorders>
            <w:shd w:val="clear" w:color="auto" w:fill="auto"/>
            <w:noWrap/>
          </w:tcPr>
          <w:p w:rsidR="009B5B44" w:rsidRPr="002E1867" w:rsidP="002E1867">
            <w:pPr>
              <w:spacing w:before="40" w:after="40" w:line="220" w:lineRule="exact"/>
              <w:rPr>
                <w:rFonts w:ascii="Arial" w:hAnsi="Arial"/>
                <w:sz w:val="18"/>
                <w:szCs w:val="20"/>
              </w:rPr>
            </w:pPr>
            <w:r w:rsidRPr="002E1867">
              <w:rPr>
                <w:rFonts w:cs="FrankRuehl" w:hint="cs"/>
                <w:sz w:val="18"/>
                <w:szCs w:val="20"/>
                <w:rtl/>
              </w:rPr>
              <w:t>1,688 דולר</w:t>
            </w:r>
          </w:p>
        </w:tc>
        <w:tc>
          <w:tcPr>
            <w:tcW w:w="1684" w:type="dxa"/>
            <w:tcBorders>
              <w:top w:val="single" w:sz="4" w:space="0" w:color="auto"/>
              <w:bottom w:val="single" w:sz="12" w:space="0" w:color="auto"/>
            </w:tcBorders>
            <w:shd w:val="clear" w:color="auto" w:fill="auto"/>
            <w:noWrap/>
          </w:tcPr>
          <w:p w:rsidR="009B5B44" w:rsidRPr="002E1867" w:rsidP="002E1867">
            <w:pPr>
              <w:spacing w:before="40" w:after="40" w:line="220" w:lineRule="exact"/>
              <w:rPr>
                <w:rFonts w:cs="FrankRuehl"/>
                <w:sz w:val="18"/>
                <w:szCs w:val="20"/>
                <w:rtl/>
              </w:rPr>
            </w:pPr>
            <w:r w:rsidRPr="002E1867">
              <w:rPr>
                <w:rFonts w:cs="FrankRuehl" w:hint="cs"/>
                <w:sz w:val="18"/>
                <w:szCs w:val="20"/>
                <w:rtl/>
              </w:rPr>
              <w:t>שכירת רכב, החזר הוצאות אש"ל לנהג והוצאות טלפון נייד</w:t>
            </w:r>
          </w:p>
        </w:tc>
      </w:tr>
    </w:tbl>
    <w:p w:rsidR="009B5B44" w:rsidRPr="005E7E86" w:rsidP="002E1867">
      <w:pPr>
        <w:spacing w:before="240" w:after="240" w:line="230" w:lineRule="exact"/>
        <w:jc w:val="both"/>
        <w:rPr>
          <w:rFonts w:cs="FrankRuehl"/>
          <w:sz w:val="20"/>
          <w:szCs w:val="22"/>
          <w:rtl/>
          <w:lang w:eastAsia="he-IL"/>
        </w:rPr>
      </w:pPr>
      <w:r w:rsidRPr="005E7E86">
        <w:rPr>
          <w:rFonts w:cs="FrankRuehl" w:hint="eastAsia"/>
          <w:sz w:val="20"/>
          <w:szCs w:val="22"/>
          <w:rtl/>
          <w:lang w:eastAsia="he-IL"/>
        </w:rPr>
        <w:t>מבדיקה</w:t>
      </w:r>
      <w:r w:rsidRPr="005E7E86">
        <w:rPr>
          <w:rFonts w:cs="FrankRuehl"/>
          <w:sz w:val="20"/>
          <w:szCs w:val="22"/>
          <w:rtl/>
          <w:lang w:eastAsia="he-IL"/>
        </w:rPr>
        <w:t xml:space="preserve"> </w:t>
      </w:r>
      <w:r w:rsidRPr="005E7E86">
        <w:rPr>
          <w:rFonts w:cs="FrankRuehl" w:hint="eastAsia"/>
          <w:sz w:val="20"/>
          <w:szCs w:val="22"/>
          <w:rtl/>
          <w:lang w:eastAsia="he-IL"/>
        </w:rPr>
        <w:t>במזכירות</w:t>
      </w:r>
      <w:r w:rsidRPr="005E7E86">
        <w:rPr>
          <w:rFonts w:cs="FrankRuehl"/>
          <w:sz w:val="20"/>
          <w:szCs w:val="22"/>
          <w:rtl/>
          <w:lang w:eastAsia="he-IL"/>
        </w:rPr>
        <w:t xml:space="preserve"> </w:t>
      </w:r>
      <w:r w:rsidRPr="005E7E86">
        <w:rPr>
          <w:rFonts w:cs="FrankRuehl" w:hint="eastAsia"/>
          <w:sz w:val="20"/>
          <w:szCs w:val="22"/>
          <w:rtl/>
          <w:lang w:eastAsia="he-IL"/>
        </w:rPr>
        <w:t>הממשלה</w:t>
      </w:r>
      <w:r w:rsidRPr="005E7E86">
        <w:rPr>
          <w:rFonts w:cs="FrankRuehl"/>
          <w:sz w:val="20"/>
          <w:szCs w:val="22"/>
          <w:rtl/>
          <w:lang w:eastAsia="he-IL"/>
        </w:rPr>
        <w:t xml:space="preserve"> </w:t>
      </w:r>
      <w:r w:rsidRPr="005E7E86">
        <w:rPr>
          <w:rFonts w:cs="FrankRuehl" w:hint="eastAsia"/>
          <w:sz w:val="20"/>
          <w:szCs w:val="22"/>
          <w:rtl/>
          <w:lang w:eastAsia="he-IL"/>
        </w:rPr>
        <w:t>ואצל</w:t>
      </w:r>
      <w:r w:rsidRPr="005E7E86">
        <w:rPr>
          <w:rFonts w:cs="FrankRuehl"/>
          <w:sz w:val="20"/>
          <w:szCs w:val="22"/>
          <w:rtl/>
          <w:lang w:eastAsia="he-IL"/>
        </w:rPr>
        <w:t xml:space="preserve"> </w:t>
      </w:r>
      <w:r w:rsidRPr="005E7E86">
        <w:rPr>
          <w:rFonts w:cs="FrankRuehl" w:hint="eastAsia"/>
          <w:sz w:val="20"/>
          <w:szCs w:val="22"/>
          <w:rtl/>
          <w:lang w:eastAsia="he-IL"/>
        </w:rPr>
        <w:t>חשב</w:t>
      </w:r>
      <w:r w:rsidRPr="005E7E86">
        <w:rPr>
          <w:rFonts w:cs="FrankRuehl"/>
          <w:sz w:val="20"/>
          <w:szCs w:val="22"/>
          <w:rtl/>
          <w:lang w:eastAsia="he-IL"/>
        </w:rPr>
        <w:t xml:space="preserve"> </w:t>
      </w:r>
      <w:r w:rsidRPr="005E7E86">
        <w:rPr>
          <w:rFonts w:cs="FrankRuehl" w:hint="eastAsia"/>
          <w:sz w:val="20"/>
          <w:szCs w:val="22"/>
          <w:rtl/>
          <w:lang w:eastAsia="he-IL"/>
        </w:rPr>
        <w:t>משרד</w:t>
      </w:r>
      <w:r w:rsidRPr="005E7E86">
        <w:rPr>
          <w:rFonts w:cs="FrankRuehl"/>
          <w:sz w:val="20"/>
          <w:szCs w:val="22"/>
          <w:rtl/>
          <w:lang w:eastAsia="he-IL"/>
        </w:rPr>
        <w:t xml:space="preserve"> </w:t>
      </w:r>
      <w:r w:rsidRPr="005E7E86">
        <w:rPr>
          <w:rFonts w:cs="FrankRuehl" w:hint="eastAsia"/>
          <w:sz w:val="20"/>
          <w:szCs w:val="22"/>
          <w:rtl/>
          <w:lang w:eastAsia="he-IL"/>
        </w:rPr>
        <w:t>האוצר</w:t>
      </w:r>
      <w:r w:rsidRPr="005E7E86">
        <w:rPr>
          <w:rFonts w:cs="FrankRuehl"/>
          <w:sz w:val="20"/>
          <w:szCs w:val="22"/>
          <w:rtl/>
          <w:lang w:eastAsia="he-IL"/>
        </w:rPr>
        <w:t xml:space="preserve"> </w:t>
      </w:r>
      <w:r w:rsidRPr="005E7E86">
        <w:rPr>
          <w:rFonts w:cs="FrankRuehl" w:hint="eastAsia"/>
          <w:sz w:val="20"/>
          <w:szCs w:val="22"/>
          <w:rtl/>
          <w:lang w:eastAsia="he-IL"/>
        </w:rPr>
        <w:t>עולה</w:t>
      </w:r>
      <w:r w:rsidRPr="005E7E86">
        <w:rPr>
          <w:rFonts w:cs="FrankRuehl"/>
          <w:sz w:val="20"/>
          <w:szCs w:val="22"/>
          <w:rtl/>
          <w:lang w:eastAsia="he-IL"/>
        </w:rPr>
        <w:t xml:space="preserve">, כי נתוני ההוצאות העקיפות אינם מרוכזים ואינם מוצגים לגורמים הנוגעים בדבר, לרבות השר עצמו, לפני הנסיעה. </w:t>
      </w:r>
    </w:p>
    <w:p w:rsidR="009B5B44" w:rsidRPr="005E7E86" w:rsidP="002E1867">
      <w:pPr>
        <w:pStyle w:val="RESHET"/>
        <w:keepLines/>
        <w:rPr>
          <w:rtl/>
        </w:rPr>
      </w:pPr>
      <w:r w:rsidRPr="005E7E86">
        <w:rPr>
          <w:rFonts w:hint="cs"/>
          <w:rtl/>
        </w:rPr>
        <w:t>משרד מבקר המדינה מעיר כי הנתונים בדבר העלויות הנוספות המשולמות מתקציב המדינה עבור נסיעת שר - גם אם נסיעת השר עצמו היא במימון חיצוני - חייבים להיות מפורטים ומוצגים בכל שלב של תהליך הבחינה והאישור של הנסיעה במשרד הממשלתי ובממשלה וכן בוועדות אחרות אם יידרשו לנושא. על החשב הכללי לקבוע בנהלים הוראות מפורשות שינחו את החשבים במשרדי הממשלה לבחון את פרטי ההוצאה התקציבית הכרוכה בנסיעה במסגרת מכלול הבחינות הנעשות בקשר לנסיעה.</w:t>
      </w:r>
    </w:p>
    <w:p w:rsidR="009B5B44" w:rsidRPr="005E7E86" w:rsidP="002E1867">
      <w:pPr>
        <w:pStyle w:val="RESHET"/>
        <w:keepLines/>
        <w:rPr>
          <w:rtl/>
        </w:rPr>
      </w:pPr>
      <w:r w:rsidRPr="005E7E86">
        <w:rPr>
          <w:rFonts w:hint="cs"/>
          <w:rtl/>
        </w:rPr>
        <w:t>לדעת משרד מבקר המדינה, על הממשלה לבחון - קודם קבלת החלטותיה בעניין אישור נסיעות שרים לחו"ל - את כלל ההיבטים הרלוונטיי</w:t>
      </w:r>
      <w:r w:rsidRPr="005E7E86">
        <w:rPr>
          <w:rFonts w:hint="eastAsia"/>
          <w:rtl/>
        </w:rPr>
        <w:t>ם</w:t>
      </w:r>
      <w:r w:rsidRPr="005E7E86">
        <w:rPr>
          <w:rFonts w:hint="cs"/>
          <w:rtl/>
        </w:rPr>
        <w:t xml:space="preserve"> לעניין: מטרת הנסיעה, תרומתה לפעילות הממשלה והעלויות המושתות על תקציב המדינה הנלוות לנסיעות במימון חיצוני. </w:t>
      </w:r>
    </w:p>
    <w:p w:rsidR="009B5B44" w:rsidP="005E7E86">
      <w:pPr>
        <w:spacing w:after="120" w:line="230" w:lineRule="exact"/>
        <w:jc w:val="both"/>
        <w:rPr>
          <w:rFonts w:cs="FrankRuehl"/>
          <w:sz w:val="20"/>
          <w:szCs w:val="22"/>
          <w:lang w:eastAsia="he-IL"/>
        </w:rPr>
      </w:pPr>
    </w:p>
    <w:p w:rsidR="002E1867" w:rsidRPr="005E7E86" w:rsidP="005E7E86">
      <w:pPr>
        <w:spacing w:after="120" w:line="230" w:lineRule="exact"/>
        <w:jc w:val="both"/>
        <w:rPr>
          <w:rFonts w:cs="FrankRuehl"/>
          <w:sz w:val="20"/>
          <w:szCs w:val="22"/>
          <w:rtl/>
          <w:lang w:eastAsia="he-IL"/>
        </w:rPr>
      </w:pPr>
    </w:p>
    <w:p w:rsidR="009B5B44" w:rsidRPr="00742B46" w:rsidP="00BF3C50">
      <w:pPr>
        <w:pStyle w:val="KOT4"/>
        <w:rPr>
          <w:rtl/>
        </w:rPr>
      </w:pPr>
      <w:r w:rsidRPr="00742B46">
        <w:rPr>
          <w:rFonts w:hint="cs"/>
          <w:rtl/>
        </w:rPr>
        <w:t>מימון</w:t>
      </w:r>
      <w:r>
        <w:rPr>
          <w:rFonts w:hint="cs"/>
          <w:rtl/>
        </w:rPr>
        <w:t xml:space="preserve"> </w:t>
      </w:r>
      <w:r w:rsidRPr="00742B46">
        <w:rPr>
          <w:rFonts w:hint="cs"/>
          <w:rtl/>
        </w:rPr>
        <w:t>מלווים</w:t>
      </w:r>
      <w:r>
        <w:rPr>
          <w:rFonts w:hint="cs"/>
          <w:rtl/>
        </w:rPr>
        <w:t xml:space="preserve"> </w:t>
      </w:r>
      <w:r w:rsidRPr="00742B46">
        <w:rPr>
          <w:rFonts w:hint="cs"/>
          <w:rtl/>
        </w:rPr>
        <w:t>על</w:t>
      </w:r>
      <w:r>
        <w:rPr>
          <w:rFonts w:hint="cs"/>
          <w:rtl/>
        </w:rPr>
        <w:t xml:space="preserve"> </w:t>
      </w:r>
      <w:r w:rsidRPr="00742B46">
        <w:rPr>
          <w:rFonts w:hint="cs"/>
          <w:rtl/>
        </w:rPr>
        <w:t>ידי</w:t>
      </w:r>
      <w:r>
        <w:rPr>
          <w:rFonts w:hint="cs"/>
          <w:rtl/>
        </w:rPr>
        <w:t xml:space="preserve"> </w:t>
      </w:r>
      <w:r w:rsidRPr="00742B46">
        <w:rPr>
          <w:rFonts w:hint="cs"/>
          <w:rtl/>
        </w:rPr>
        <w:t>גורם</w:t>
      </w:r>
      <w:r>
        <w:rPr>
          <w:rFonts w:hint="cs"/>
          <w:rtl/>
        </w:rPr>
        <w:t xml:space="preserve"> </w:t>
      </w:r>
      <w:r w:rsidRPr="00742B46">
        <w:rPr>
          <w:rFonts w:hint="cs"/>
          <w:rtl/>
        </w:rPr>
        <w:t>חיצוני</w:t>
      </w:r>
      <w:r>
        <w:rPr>
          <w:rFonts w:hint="cs"/>
          <w:rtl/>
        </w:rPr>
        <w:t xml:space="preserve"> </w:t>
      </w:r>
      <w:r w:rsidRPr="00742B46">
        <w:rPr>
          <w:rFonts w:hint="cs"/>
          <w:rtl/>
        </w:rPr>
        <w:t>שאינו</w:t>
      </w:r>
      <w:r>
        <w:rPr>
          <w:rFonts w:hint="cs"/>
          <w:rtl/>
        </w:rPr>
        <w:t xml:space="preserve"> </w:t>
      </w:r>
      <w:r w:rsidRPr="00742B46">
        <w:rPr>
          <w:rFonts w:hint="cs"/>
          <w:rtl/>
        </w:rPr>
        <w:t>ממשלתי</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lang w:eastAsia="he-IL"/>
        </w:rPr>
        <w:t xml:space="preserve">בדיקת עלויות הנסיעות של שר האוצר דאז העלתה כי גורמים חיצוניים מימנו גם נסיעות של מלווי השר (ובמקרה אחד שני מאבטחים) שהצטרפו לחלק מנסיעות מר נתניהו, הן </w:t>
      </w:r>
      <w:r w:rsidR="00BF0FE2">
        <w:rPr>
          <w:rFonts w:cs="FrankRuehl" w:hint="cs"/>
          <w:sz w:val="20"/>
          <w:szCs w:val="22"/>
          <w:rtl/>
          <w:lang w:eastAsia="he-IL"/>
        </w:rPr>
        <w:t>ב</w:t>
      </w:r>
      <w:r w:rsidRPr="005E7E86">
        <w:rPr>
          <w:rFonts w:cs="FrankRuehl" w:hint="cs"/>
          <w:sz w:val="20"/>
          <w:szCs w:val="22"/>
          <w:rtl/>
          <w:lang w:eastAsia="he-IL"/>
        </w:rPr>
        <w:t xml:space="preserve">נסיעות שמומנו על </w:t>
      </w:r>
      <w:r w:rsidRPr="005E7E86">
        <w:rPr>
          <w:rFonts w:cs="FrankRuehl" w:hint="cs"/>
          <w:sz w:val="20"/>
          <w:szCs w:val="22"/>
          <w:rtl/>
          <w:lang w:eastAsia="he-IL"/>
        </w:rPr>
        <w:t xml:space="preserve">ידי משרד האוצר והן </w:t>
      </w:r>
      <w:r w:rsidR="00BF0FE2">
        <w:rPr>
          <w:rFonts w:cs="FrankRuehl" w:hint="cs"/>
          <w:sz w:val="20"/>
          <w:szCs w:val="22"/>
          <w:rtl/>
          <w:lang w:eastAsia="he-IL"/>
        </w:rPr>
        <w:t>ב</w:t>
      </w:r>
      <w:r w:rsidRPr="005E7E86">
        <w:rPr>
          <w:rFonts w:cs="FrankRuehl" w:hint="cs"/>
          <w:sz w:val="20"/>
          <w:szCs w:val="22"/>
          <w:rtl/>
          <w:lang w:eastAsia="he-IL"/>
        </w:rPr>
        <w:t xml:space="preserve">נסיעות שמומנו על ידי </w:t>
      </w:r>
      <w:r w:rsidRPr="005E7E86">
        <w:rPr>
          <w:rFonts w:cs="FrankRuehl" w:hint="cs"/>
          <w:sz w:val="20"/>
          <w:szCs w:val="22"/>
          <w:rtl/>
        </w:rPr>
        <w:t>גורם חיצוני</w:t>
      </w:r>
      <w:r w:rsidRPr="005E7E86">
        <w:rPr>
          <w:rFonts w:cs="FrankRuehl" w:hint="cs"/>
          <w:sz w:val="20"/>
          <w:szCs w:val="22"/>
          <w:rtl/>
          <w:lang w:eastAsia="he-IL"/>
        </w:rPr>
        <w:t xml:space="preserve">. </w:t>
      </w:r>
      <w:r w:rsidRPr="005E7E86">
        <w:rPr>
          <w:rFonts w:cs="FrankRuehl" w:hint="eastAsia"/>
          <w:sz w:val="20"/>
          <w:szCs w:val="22"/>
          <w:rtl/>
          <w:lang w:eastAsia="he-IL"/>
        </w:rPr>
        <w:t>בחלק</w:t>
      </w:r>
      <w:r w:rsidRPr="005E7E86">
        <w:rPr>
          <w:rFonts w:cs="FrankRuehl"/>
          <w:sz w:val="20"/>
          <w:szCs w:val="22"/>
          <w:rtl/>
          <w:lang w:eastAsia="he-IL"/>
        </w:rPr>
        <w:t xml:space="preserve"> מהמקרים הגורם החיצוני שמימן את </w:t>
      </w:r>
      <w:r w:rsidRPr="005E7E86">
        <w:rPr>
          <w:rFonts w:cs="FrankRuehl" w:hint="cs"/>
          <w:sz w:val="20"/>
          <w:szCs w:val="22"/>
          <w:rtl/>
          <w:lang w:eastAsia="he-IL"/>
        </w:rPr>
        <w:t xml:space="preserve">הוצאות </w:t>
      </w:r>
      <w:r w:rsidRPr="005E7E86">
        <w:rPr>
          <w:rFonts w:cs="FrankRuehl"/>
          <w:sz w:val="20"/>
          <w:szCs w:val="22"/>
          <w:rtl/>
          <w:lang w:eastAsia="he-IL"/>
        </w:rPr>
        <w:t xml:space="preserve">המלווים </w:t>
      </w:r>
      <w:r w:rsidRPr="005E7E86">
        <w:rPr>
          <w:rFonts w:cs="FrankRuehl" w:hint="cs"/>
          <w:sz w:val="20"/>
          <w:szCs w:val="22"/>
          <w:rtl/>
          <w:lang w:eastAsia="he-IL"/>
        </w:rPr>
        <w:t xml:space="preserve">לא </w:t>
      </w:r>
      <w:r w:rsidRPr="005E7E86">
        <w:rPr>
          <w:rFonts w:cs="FrankRuehl"/>
          <w:sz w:val="20"/>
          <w:szCs w:val="22"/>
          <w:rtl/>
          <w:lang w:eastAsia="he-IL"/>
        </w:rPr>
        <w:t xml:space="preserve">היה הגורם שמימן את נסיעת השר. </w:t>
      </w:r>
      <w:r w:rsidRPr="005E7E86">
        <w:rPr>
          <w:rFonts w:cs="FrankRuehl" w:hint="cs"/>
          <w:sz w:val="20"/>
          <w:szCs w:val="22"/>
          <w:rtl/>
          <w:lang w:eastAsia="he-IL"/>
        </w:rPr>
        <w:t>להלן דוגמאות:</w:t>
      </w:r>
    </w:p>
    <w:p w:rsidR="009B5B44" w:rsidRPr="002E1867" w:rsidP="002E1867">
      <w:pPr>
        <w:pStyle w:val="tab-name"/>
        <w:rPr>
          <w:b w:val="0"/>
          <w:bCs w:val="0"/>
          <w:sz w:val="20"/>
          <w:szCs w:val="20"/>
          <w:rtl/>
        </w:rPr>
      </w:pPr>
      <w:r w:rsidRPr="002E1867">
        <w:rPr>
          <w:rFonts w:hint="eastAsia"/>
          <w:b w:val="0"/>
          <w:bCs w:val="0"/>
          <w:sz w:val="20"/>
          <w:szCs w:val="20"/>
          <w:rtl/>
        </w:rPr>
        <w:t>לוח</w:t>
      </w:r>
      <w:r w:rsidRPr="002E1867">
        <w:rPr>
          <w:b w:val="0"/>
          <w:bCs w:val="0"/>
          <w:sz w:val="20"/>
          <w:szCs w:val="20"/>
          <w:rtl/>
        </w:rPr>
        <w:t xml:space="preserve"> 3</w:t>
      </w:r>
    </w:p>
    <w:p w:rsidR="009B5B44" w:rsidRPr="005E7E86" w:rsidP="002E1867">
      <w:pPr>
        <w:pStyle w:val="tab-name"/>
        <w:rPr>
          <w:rtl/>
          <w:lang w:eastAsia="he-IL"/>
        </w:rPr>
      </w:pPr>
      <w:r w:rsidRPr="005E7E86">
        <w:rPr>
          <w:rFonts w:hint="cs"/>
          <w:rtl/>
        </w:rPr>
        <w:t xml:space="preserve">נסיעות מר נתניהו לחו"ל בתפקיד בתקופת היותו שר האוצר - </w:t>
      </w:r>
      <w:r w:rsidR="002E1867">
        <w:br/>
      </w:r>
      <w:r w:rsidRPr="005E7E86">
        <w:rPr>
          <w:rFonts w:hint="cs"/>
          <w:rtl/>
        </w:rPr>
        <w:t>מימון מלווים</w:t>
      </w:r>
      <w:r w:rsidRPr="005E7E86">
        <w:rPr>
          <w:rFonts w:hint="cs"/>
          <w:rtl/>
          <w:lang w:eastAsia="he-IL"/>
        </w:rPr>
        <w:t xml:space="preserve"> על ידי גורמים חיצוניים</w:t>
      </w:r>
    </w:p>
    <w:tbl>
      <w:tblPr>
        <w:bidiVisual/>
        <w:tblW w:w="669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000"/>
      </w:tblPr>
      <w:tblGrid>
        <w:gridCol w:w="961"/>
        <w:gridCol w:w="974"/>
        <w:gridCol w:w="973"/>
        <w:gridCol w:w="973"/>
        <w:gridCol w:w="973"/>
        <w:gridCol w:w="853"/>
        <w:gridCol w:w="984"/>
      </w:tblGrid>
      <w:tr w:rsidTr="002E1867">
        <w:tblPrEx>
          <w:tblW w:w="669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000"/>
        </w:tblPrEx>
        <w:trPr>
          <w:trHeight w:val="750"/>
          <w:jc w:val="center"/>
        </w:trPr>
        <w:tc>
          <w:tcPr>
            <w:tcW w:w="1211" w:type="dxa"/>
            <w:tcBorders>
              <w:top w:val="single" w:sz="12" w:space="0" w:color="auto"/>
              <w:bottom w:val="single" w:sz="12" w:space="0" w:color="auto"/>
            </w:tcBorders>
            <w:shd w:val="pct10" w:color="auto" w:fill="auto"/>
            <w:vAlign w:val="bottom"/>
          </w:tcPr>
          <w:p w:rsidR="009B5B44" w:rsidRPr="002E1867" w:rsidP="002E1867">
            <w:pPr>
              <w:spacing w:before="40" w:after="40" w:line="220" w:lineRule="exact"/>
              <w:jc w:val="both"/>
              <w:rPr>
                <w:rFonts w:ascii="Arial" w:hAnsi="Arial"/>
                <w:b/>
                <w:bCs/>
                <w:sz w:val="18"/>
                <w:szCs w:val="20"/>
              </w:rPr>
            </w:pPr>
            <w:r w:rsidRPr="002E1867">
              <w:rPr>
                <w:rFonts w:cs="FrankRuehl"/>
                <w:b/>
                <w:bCs/>
                <w:sz w:val="18"/>
                <w:szCs w:val="20"/>
                <w:rtl/>
              </w:rPr>
              <w:t>יעד</w:t>
            </w:r>
            <w:r w:rsidRPr="002E1867">
              <w:rPr>
                <w:rFonts w:cs="FrankRuehl" w:hint="cs"/>
                <w:b/>
                <w:bCs/>
                <w:sz w:val="18"/>
                <w:szCs w:val="20"/>
                <w:rtl/>
              </w:rPr>
              <w:t xml:space="preserve"> הנסיעה</w:t>
            </w:r>
          </w:p>
        </w:tc>
        <w:tc>
          <w:tcPr>
            <w:tcW w:w="1228" w:type="dxa"/>
            <w:tcBorders>
              <w:top w:val="single" w:sz="12" w:space="0" w:color="auto"/>
              <w:bottom w:val="single" w:sz="12" w:space="0" w:color="auto"/>
            </w:tcBorders>
            <w:shd w:val="pct10" w:color="auto" w:fill="auto"/>
            <w:vAlign w:val="bottom"/>
          </w:tcPr>
          <w:p w:rsidR="009B5B44" w:rsidRPr="002E1867" w:rsidP="002E1867">
            <w:pPr>
              <w:spacing w:before="40" w:after="40" w:line="220" w:lineRule="exact"/>
              <w:jc w:val="both"/>
              <w:rPr>
                <w:rFonts w:ascii="Arial" w:hAnsi="Arial"/>
                <w:b/>
                <w:bCs/>
                <w:sz w:val="18"/>
                <w:szCs w:val="20"/>
                <w:rtl/>
              </w:rPr>
            </w:pPr>
            <w:r w:rsidRPr="002E1867">
              <w:rPr>
                <w:rFonts w:cs="FrankRuehl" w:hint="cs"/>
                <w:b/>
                <w:bCs/>
                <w:sz w:val="18"/>
                <w:szCs w:val="20"/>
                <w:rtl/>
              </w:rPr>
              <w:t>מועד הנסיעה</w:t>
            </w:r>
          </w:p>
        </w:tc>
        <w:tc>
          <w:tcPr>
            <w:tcW w:w="1228" w:type="dxa"/>
            <w:tcBorders>
              <w:top w:val="single" w:sz="12" w:space="0" w:color="auto"/>
              <w:bottom w:val="single" w:sz="12" w:space="0" w:color="auto"/>
            </w:tcBorders>
            <w:shd w:val="pct10" w:color="auto" w:fill="auto"/>
            <w:vAlign w:val="bottom"/>
          </w:tcPr>
          <w:p w:rsidR="009B5B44" w:rsidRPr="002E1867" w:rsidP="002E1867">
            <w:pPr>
              <w:spacing w:before="40" w:after="40" w:line="220" w:lineRule="exact"/>
              <w:jc w:val="both"/>
              <w:rPr>
                <w:rFonts w:ascii="Arial" w:hAnsi="Arial"/>
                <w:b/>
                <w:bCs/>
                <w:sz w:val="18"/>
                <w:szCs w:val="20"/>
                <w:rtl/>
              </w:rPr>
            </w:pPr>
            <w:r w:rsidRPr="002E1867">
              <w:rPr>
                <w:rFonts w:cs="FrankRuehl" w:hint="cs"/>
                <w:b/>
                <w:bCs/>
                <w:sz w:val="18"/>
                <w:szCs w:val="20"/>
                <w:rtl/>
              </w:rPr>
              <w:t>הגורם שמימן את נסיעת השר</w:t>
            </w:r>
          </w:p>
        </w:tc>
        <w:tc>
          <w:tcPr>
            <w:tcW w:w="1228" w:type="dxa"/>
            <w:tcBorders>
              <w:top w:val="single" w:sz="12" w:space="0" w:color="auto"/>
              <w:bottom w:val="single" w:sz="12" w:space="0" w:color="auto"/>
            </w:tcBorders>
            <w:shd w:val="pct10" w:color="auto" w:fill="auto"/>
            <w:vAlign w:val="bottom"/>
          </w:tcPr>
          <w:p w:rsidR="009B5B44" w:rsidRPr="002E1867" w:rsidP="002E1867">
            <w:pPr>
              <w:spacing w:before="40" w:after="40" w:line="220" w:lineRule="exact"/>
              <w:jc w:val="both"/>
              <w:rPr>
                <w:rFonts w:ascii="Arial" w:hAnsi="Arial"/>
                <w:b/>
                <w:bCs/>
                <w:sz w:val="18"/>
                <w:szCs w:val="20"/>
              </w:rPr>
            </w:pPr>
            <w:r w:rsidRPr="002E1867">
              <w:rPr>
                <w:rFonts w:cs="FrankRuehl" w:hint="cs"/>
                <w:b/>
                <w:bCs/>
                <w:sz w:val="18"/>
                <w:szCs w:val="20"/>
                <w:rtl/>
              </w:rPr>
              <w:t>מספר המלווים</w:t>
            </w:r>
          </w:p>
        </w:tc>
        <w:tc>
          <w:tcPr>
            <w:tcW w:w="1228" w:type="dxa"/>
            <w:tcBorders>
              <w:top w:val="single" w:sz="12" w:space="0" w:color="auto"/>
              <w:bottom w:val="single" w:sz="12" w:space="0" w:color="auto"/>
            </w:tcBorders>
            <w:shd w:val="pct10" w:color="auto" w:fill="auto"/>
            <w:vAlign w:val="bottom"/>
          </w:tcPr>
          <w:p w:rsidR="009B5B44" w:rsidRPr="002E1867" w:rsidP="002E1867">
            <w:pPr>
              <w:spacing w:before="40" w:after="40" w:line="220" w:lineRule="exact"/>
              <w:jc w:val="both"/>
              <w:rPr>
                <w:rFonts w:ascii="Arial" w:hAnsi="Arial"/>
                <w:b/>
                <w:bCs/>
                <w:sz w:val="18"/>
                <w:szCs w:val="20"/>
              </w:rPr>
            </w:pPr>
            <w:r w:rsidRPr="002E1867">
              <w:rPr>
                <w:rFonts w:cs="FrankRuehl"/>
                <w:b/>
                <w:bCs/>
                <w:sz w:val="18"/>
                <w:szCs w:val="20"/>
                <w:rtl/>
              </w:rPr>
              <w:t>הגורם</w:t>
            </w:r>
            <w:r w:rsidRPr="002E1867">
              <w:rPr>
                <w:rFonts w:cs="FrankRuehl" w:hint="cs"/>
                <w:b/>
                <w:bCs/>
                <w:sz w:val="18"/>
                <w:szCs w:val="20"/>
                <w:rtl/>
              </w:rPr>
              <w:t xml:space="preserve"> </w:t>
            </w:r>
            <w:r w:rsidRPr="002E1867">
              <w:rPr>
                <w:rFonts w:cs="FrankRuehl"/>
                <w:b/>
                <w:bCs/>
                <w:sz w:val="18"/>
                <w:szCs w:val="20"/>
                <w:rtl/>
              </w:rPr>
              <w:t>שמ</w:t>
            </w:r>
            <w:r w:rsidRPr="002E1867">
              <w:rPr>
                <w:rFonts w:cs="FrankRuehl" w:hint="cs"/>
                <w:b/>
                <w:bCs/>
                <w:sz w:val="18"/>
                <w:szCs w:val="20"/>
                <w:rtl/>
              </w:rPr>
              <w:t>י</w:t>
            </w:r>
            <w:r w:rsidRPr="002E1867">
              <w:rPr>
                <w:rFonts w:cs="FrankRuehl"/>
                <w:b/>
                <w:bCs/>
                <w:sz w:val="18"/>
                <w:szCs w:val="20"/>
                <w:rtl/>
              </w:rPr>
              <w:t xml:space="preserve">מן את </w:t>
            </w:r>
            <w:r w:rsidRPr="002E1867">
              <w:rPr>
                <w:rFonts w:cs="FrankRuehl" w:hint="cs"/>
                <w:b/>
                <w:bCs/>
                <w:sz w:val="18"/>
                <w:szCs w:val="20"/>
                <w:rtl/>
              </w:rPr>
              <w:t>נסיעת המלווים</w:t>
            </w:r>
          </w:p>
        </w:tc>
        <w:tc>
          <w:tcPr>
            <w:tcW w:w="1071" w:type="dxa"/>
            <w:tcBorders>
              <w:top w:val="single" w:sz="12" w:space="0" w:color="auto"/>
              <w:bottom w:val="single" w:sz="12" w:space="0" w:color="auto"/>
            </w:tcBorders>
            <w:shd w:val="pct10" w:color="auto" w:fill="auto"/>
            <w:vAlign w:val="bottom"/>
          </w:tcPr>
          <w:p w:rsidR="009B5B44" w:rsidRPr="002E1867" w:rsidP="002E1867">
            <w:pPr>
              <w:spacing w:before="40" w:after="40" w:line="220" w:lineRule="exact"/>
              <w:jc w:val="both"/>
              <w:rPr>
                <w:rFonts w:ascii="Arial" w:hAnsi="Arial"/>
                <w:b/>
                <w:bCs/>
                <w:sz w:val="18"/>
                <w:szCs w:val="20"/>
                <w:rtl/>
              </w:rPr>
            </w:pPr>
            <w:r w:rsidRPr="002E1867">
              <w:rPr>
                <w:rFonts w:cs="FrankRuehl" w:hint="cs"/>
                <w:b/>
                <w:bCs/>
                <w:sz w:val="18"/>
                <w:szCs w:val="20"/>
                <w:rtl/>
              </w:rPr>
              <w:t>סכום המימון (בדולרים)</w:t>
            </w:r>
          </w:p>
        </w:tc>
        <w:tc>
          <w:tcPr>
            <w:tcW w:w="1242" w:type="dxa"/>
            <w:tcBorders>
              <w:top w:val="single" w:sz="12" w:space="0" w:color="auto"/>
              <w:bottom w:val="single" w:sz="12" w:space="0" w:color="auto"/>
            </w:tcBorders>
            <w:shd w:val="pct10" w:color="auto" w:fill="auto"/>
            <w:vAlign w:val="bottom"/>
          </w:tcPr>
          <w:p w:rsidR="009B5B44" w:rsidRPr="002E1867" w:rsidP="002E1867">
            <w:pPr>
              <w:spacing w:before="40" w:after="40" w:line="220" w:lineRule="exact"/>
              <w:jc w:val="both"/>
              <w:rPr>
                <w:rFonts w:ascii="Arial" w:hAnsi="Arial"/>
                <w:b/>
                <w:bCs/>
                <w:sz w:val="18"/>
                <w:szCs w:val="20"/>
              </w:rPr>
            </w:pPr>
            <w:r w:rsidRPr="002E1867">
              <w:rPr>
                <w:rFonts w:cs="FrankRuehl"/>
                <w:b/>
                <w:bCs/>
                <w:sz w:val="18"/>
                <w:szCs w:val="20"/>
                <w:rtl/>
              </w:rPr>
              <w:t>מהות ההוצאה</w:t>
            </w:r>
          </w:p>
        </w:tc>
      </w:tr>
      <w:tr w:rsidTr="002E1867">
        <w:tblPrEx>
          <w:tblW w:w="6691" w:type="dxa"/>
          <w:jc w:val="center"/>
          <w:tblLayout w:type="fixed"/>
          <w:tblCellMar>
            <w:left w:w="57" w:type="dxa"/>
            <w:right w:w="57" w:type="dxa"/>
          </w:tblCellMar>
          <w:tblLook w:val="0000"/>
        </w:tblPrEx>
        <w:trPr>
          <w:trHeight w:val="255"/>
          <w:jc w:val="center"/>
        </w:trPr>
        <w:tc>
          <w:tcPr>
            <w:tcW w:w="1211" w:type="dxa"/>
            <w:tcBorders>
              <w:top w:val="single" w:sz="12" w:space="0" w:color="auto"/>
            </w:tcBorders>
            <w:shd w:val="clear" w:color="auto" w:fill="auto"/>
            <w:noWrap/>
          </w:tcPr>
          <w:p w:rsidR="009B5B44" w:rsidRPr="002E1867" w:rsidP="002E1867">
            <w:pPr>
              <w:spacing w:before="40" w:after="40" w:line="220" w:lineRule="exact"/>
              <w:rPr>
                <w:rFonts w:ascii="Arial" w:hAnsi="Arial"/>
                <w:sz w:val="18"/>
                <w:szCs w:val="20"/>
              </w:rPr>
            </w:pPr>
            <w:r w:rsidRPr="002E1867">
              <w:rPr>
                <w:rFonts w:cs="FrankRuehl"/>
                <w:sz w:val="18"/>
                <w:szCs w:val="20"/>
                <w:rtl/>
              </w:rPr>
              <w:t>ארצות הברית</w:t>
            </w:r>
            <w:r w:rsidRPr="002E1867">
              <w:rPr>
                <w:rFonts w:cs="FrankRuehl" w:hint="cs"/>
                <w:sz w:val="18"/>
                <w:szCs w:val="20"/>
                <w:rtl/>
              </w:rPr>
              <w:t>,</w:t>
            </w:r>
            <w:r w:rsidR="002E1867">
              <w:rPr>
                <w:rFonts w:cs="FrankRuehl"/>
                <w:sz w:val="18"/>
                <w:szCs w:val="20"/>
              </w:rPr>
              <w:br/>
            </w:r>
            <w:r w:rsidRPr="002E1867">
              <w:rPr>
                <w:rFonts w:cs="FrankRuehl" w:hint="cs"/>
                <w:sz w:val="18"/>
                <w:szCs w:val="20"/>
                <w:rtl/>
              </w:rPr>
              <w:t>אנגליה</w:t>
            </w:r>
            <w:r w:rsidRPr="002E1867">
              <w:rPr>
                <w:rFonts w:cs="FrankRuehl"/>
                <w:sz w:val="18"/>
                <w:szCs w:val="20"/>
                <w:rtl/>
              </w:rPr>
              <w:t xml:space="preserve"> וצרפת</w:t>
            </w:r>
          </w:p>
        </w:tc>
        <w:tc>
          <w:tcPr>
            <w:tcW w:w="1228" w:type="dxa"/>
            <w:tcBorders>
              <w:top w:val="single" w:sz="12" w:space="0" w:color="auto"/>
            </w:tcBorders>
            <w:shd w:val="clear" w:color="auto" w:fill="auto"/>
          </w:tcPr>
          <w:p w:rsidR="009B5B44" w:rsidRPr="002E1867" w:rsidP="002E1867">
            <w:pPr>
              <w:spacing w:before="40" w:after="40" w:line="220" w:lineRule="exact"/>
              <w:rPr>
                <w:rFonts w:ascii="Arial" w:hAnsi="Arial"/>
                <w:sz w:val="18"/>
                <w:szCs w:val="20"/>
                <w:rtl/>
              </w:rPr>
            </w:pPr>
            <w:r w:rsidRPr="002E1867">
              <w:rPr>
                <w:rFonts w:cs="FrankRuehl" w:hint="cs"/>
                <w:sz w:val="18"/>
                <w:szCs w:val="20"/>
                <w:rtl/>
              </w:rPr>
              <w:t>יוני 2003</w:t>
            </w:r>
          </w:p>
        </w:tc>
        <w:tc>
          <w:tcPr>
            <w:tcW w:w="1228" w:type="dxa"/>
            <w:tcBorders>
              <w:top w:val="single" w:sz="12" w:space="0" w:color="auto"/>
            </w:tcBorders>
            <w:shd w:val="clear" w:color="auto" w:fill="auto"/>
          </w:tcPr>
          <w:p w:rsidR="009B5B44" w:rsidRPr="002E1867" w:rsidP="002E1867">
            <w:pPr>
              <w:spacing w:before="40" w:after="40" w:line="220" w:lineRule="exact"/>
              <w:rPr>
                <w:rFonts w:ascii="Arial" w:hAnsi="Arial"/>
                <w:sz w:val="18"/>
                <w:szCs w:val="20"/>
                <w:rtl/>
              </w:rPr>
            </w:pPr>
            <w:r w:rsidRPr="002E1867">
              <w:rPr>
                <w:rFonts w:cs="FrankRuehl" w:hint="cs"/>
                <w:sz w:val="18"/>
                <w:szCs w:val="20"/>
                <w:rtl/>
              </w:rPr>
              <w:t>משרד האוצר</w:t>
            </w:r>
          </w:p>
        </w:tc>
        <w:tc>
          <w:tcPr>
            <w:tcW w:w="1228" w:type="dxa"/>
            <w:tcBorders>
              <w:top w:val="single" w:sz="12" w:space="0" w:color="auto"/>
            </w:tcBorders>
            <w:shd w:val="clear" w:color="auto" w:fill="auto"/>
          </w:tcPr>
          <w:p w:rsidR="009B5B44" w:rsidRPr="002E1867" w:rsidP="002E1867">
            <w:pPr>
              <w:spacing w:before="40" w:after="40" w:line="220" w:lineRule="exact"/>
              <w:rPr>
                <w:rFonts w:ascii="Arial" w:hAnsi="Arial"/>
                <w:sz w:val="18"/>
                <w:szCs w:val="20"/>
              </w:rPr>
            </w:pPr>
            <w:r w:rsidRPr="002E1867">
              <w:rPr>
                <w:rFonts w:cs="FrankRuehl" w:hint="cs"/>
                <w:sz w:val="18"/>
                <w:szCs w:val="20"/>
                <w:rtl/>
              </w:rPr>
              <w:t>1</w:t>
            </w:r>
          </w:p>
        </w:tc>
        <w:tc>
          <w:tcPr>
            <w:tcW w:w="1228" w:type="dxa"/>
            <w:tcBorders>
              <w:top w:val="single" w:sz="12" w:space="0" w:color="auto"/>
            </w:tcBorders>
            <w:shd w:val="clear" w:color="auto" w:fill="auto"/>
            <w:noWrap/>
          </w:tcPr>
          <w:p w:rsidR="009B5B44" w:rsidRPr="002E1867" w:rsidP="002E1867">
            <w:pPr>
              <w:spacing w:before="40" w:after="40" w:line="220" w:lineRule="exact"/>
              <w:rPr>
                <w:rFonts w:ascii="Arial" w:hAnsi="Arial"/>
                <w:sz w:val="18"/>
                <w:szCs w:val="20"/>
              </w:rPr>
            </w:pPr>
            <w:r w:rsidRPr="002E1867">
              <w:rPr>
                <w:rFonts w:cs="FrankRuehl" w:hint="cs"/>
                <w:sz w:val="18"/>
                <w:szCs w:val="20"/>
                <w:rtl/>
              </w:rPr>
              <w:t>איש עסקים א'</w:t>
            </w:r>
          </w:p>
        </w:tc>
        <w:tc>
          <w:tcPr>
            <w:tcW w:w="1071" w:type="dxa"/>
            <w:tcBorders>
              <w:top w:val="single" w:sz="12" w:space="0" w:color="auto"/>
            </w:tcBorders>
            <w:shd w:val="clear" w:color="auto" w:fill="auto"/>
            <w:noWrap/>
          </w:tcPr>
          <w:p w:rsidR="009B5B44" w:rsidRPr="002E1867" w:rsidP="002E1867">
            <w:pPr>
              <w:spacing w:before="40" w:after="40" w:line="220" w:lineRule="exact"/>
              <w:rPr>
                <w:rFonts w:ascii="Arial" w:hAnsi="Arial"/>
                <w:sz w:val="18"/>
                <w:szCs w:val="20"/>
              </w:rPr>
            </w:pPr>
            <w:r w:rsidRPr="002E1867">
              <w:rPr>
                <w:rFonts w:cs="FrankRuehl" w:hint="cs"/>
                <w:sz w:val="18"/>
                <w:szCs w:val="20"/>
                <w:rtl/>
              </w:rPr>
              <w:t>4,795</w:t>
            </w:r>
            <w:r w:rsidR="002E1867">
              <w:rPr>
                <w:rFonts w:cs="FrankRuehl"/>
                <w:sz w:val="18"/>
                <w:szCs w:val="20"/>
              </w:rPr>
              <w:br/>
            </w:r>
            <w:r w:rsidRPr="002E1867">
              <w:rPr>
                <w:rFonts w:cs="FrankRuehl" w:hint="cs"/>
                <w:sz w:val="18"/>
                <w:szCs w:val="20"/>
                <w:rtl/>
              </w:rPr>
              <w:t>עבור גב' נתניהו ומלווה</w:t>
            </w:r>
          </w:p>
        </w:tc>
        <w:tc>
          <w:tcPr>
            <w:tcW w:w="1242" w:type="dxa"/>
            <w:tcBorders>
              <w:top w:val="single" w:sz="12" w:space="0" w:color="auto"/>
            </w:tcBorders>
            <w:shd w:val="clear" w:color="auto" w:fill="auto"/>
            <w:noWrap/>
          </w:tcPr>
          <w:p w:rsidR="009B5B44" w:rsidRPr="002E1867" w:rsidP="002E1867">
            <w:pPr>
              <w:spacing w:before="40" w:after="40" w:line="220" w:lineRule="exact"/>
              <w:rPr>
                <w:rFonts w:ascii="Arial" w:hAnsi="Arial"/>
                <w:sz w:val="18"/>
                <w:szCs w:val="20"/>
              </w:rPr>
            </w:pPr>
            <w:r w:rsidRPr="002E1867">
              <w:rPr>
                <w:rFonts w:cs="FrankRuehl" w:hint="cs"/>
                <w:sz w:val="18"/>
                <w:szCs w:val="20"/>
                <w:rtl/>
              </w:rPr>
              <w:t>מלווה</w:t>
            </w:r>
          </w:p>
        </w:tc>
      </w:tr>
      <w:tr w:rsidTr="002E1867">
        <w:tblPrEx>
          <w:tblW w:w="6691" w:type="dxa"/>
          <w:jc w:val="center"/>
          <w:tblLayout w:type="fixed"/>
          <w:tblCellMar>
            <w:left w:w="57" w:type="dxa"/>
            <w:right w:w="57" w:type="dxa"/>
          </w:tblCellMar>
          <w:tblLook w:val="0000"/>
        </w:tblPrEx>
        <w:trPr>
          <w:trHeight w:val="255"/>
          <w:jc w:val="center"/>
        </w:trPr>
        <w:tc>
          <w:tcPr>
            <w:tcW w:w="1211" w:type="dxa"/>
            <w:shd w:val="clear" w:color="auto" w:fill="auto"/>
            <w:noWrap/>
          </w:tcPr>
          <w:p w:rsidR="009B5B44" w:rsidRPr="002E1867" w:rsidP="002E1867">
            <w:pPr>
              <w:spacing w:before="40" w:after="40" w:line="220" w:lineRule="exact"/>
              <w:rPr>
                <w:rFonts w:ascii="Arial" w:hAnsi="Arial"/>
                <w:sz w:val="18"/>
                <w:szCs w:val="20"/>
              </w:rPr>
            </w:pPr>
            <w:r w:rsidRPr="002E1867">
              <w:rPr>
                <w:rFonts w:cs="FrankRuehl" w:hint="cs"/>
                <w:sz w:val="18"/>
                <w:szCs w:val="20"/>
                <w:rtl/>
              </w:rPr>
              <w:t>אנגליה</w:t>
            </w:r>
            <w:r w:rsidRPr="002E1867">
              <w:rPr>
                <w:rFonts w:cs="FrankRuehl"/>
                <w:sz w:val="18"/>
                <w:szCs w:val="20"/>
                <w:rtl/>
              </w:rPr>
              <w:t xml:space="preserve"> </w:t>
            </w:r>
          </w:p>
        </w:tc>
        <w:tc>
          <w:tcPr>
            <w:tcW w:w="1228" w:type="dxa"/>
            <w:shd w:val="clear" w:color="auto" w:fill="auto"/>
          </w:tcPr>
          <w:p w:rsidR="009B5B44" w:rsidRPr="002E1867" w:rsidP="002E1867">
            <w:pPr>
              <w:spacing w:before="40" w:after="40" w:line="220" w:lineRule="exact"/>
              <w:rPr>
                <w:rFonts w:ascii="Arial" w:hAnsi="Arial"/>
                <w:sz w:val="18"/>
                <w:szCs w:val="20"/>
                <w:rtl/>
              </w:rPr>
            </w:pPr>
            <w:r w:rsidRPr="002E1867">
              <w:rPr>
                <w:rFonts w:cs="FrankRuehl" w:hint="cs"/>
                <w:sz w:val="18"/>
                <w:szCs w:val="20"/>
                <w:rtl/>
              </w:rPr>
              <w:t>ינואר 2004</w:t>
            </w:r>
          </w:p>
        </w:tc>
        <w:tc>
          <w:tcPr>
            <w:tcW w:w="1228" w:type="dxa"/>
            <w:shd w:val="clear" w:color="auto" w:fill="auto"/>
          </w:tcPr>
          <w:p w:rsidR="009B5B44" w:rsidRPr="002E1867" w:rsidP="002E1867">
            <w:pPr>
              <w:spacing w:before="40" w:after="40" w:line="220" w:lineRule="exact"/>
              <w:rPr>
                <w:rFonts w:ascii="Arial" w:hAnsi="Arial"/>
                <w:sz w:val="18"/>
                <w:szCs w:val="20"/>
                <w:rtl/>
              </w:rPr>
            </w:pPr>
            <w:r w:rsidRPr="002E1867">
              <w:rPr>
                <w:rFonts w:cs="FrankRuehl" w:hint="cs"/>
                <w:sz w:val="18"/>
                <w:szCs w:val="20"/>
                <w:rtl/>
              </w:rPr>
              <w:t>הבונדס</w:t>
            </w:r>
          </w:p>
        </w:tc>
        <w:tc>
          <w:tcPr>
            <w:tcW w:w="1228" w:type="dxa"/>
            <w:shd w:val="clear" w:color="auto" w:fill="auto"/>
          </w:tcPr>
          <w:p w:rsidR="009B5B44" w:rsidRPr="002E1867" w:rsidP="002E1867">
            <w:pPr>
              <w:spacing w:before="40" w:after="40" w:line="220" w:lineRule="exact"/>
              <w:rPr>
                <w:rFonts w:ascii="Arial" w:hAnsi="Arial"/>
                <w:sz w:val="18"/>
                <w:szCs w:val="20"/>
              </w:rPr>
            </w:pPr>
            <w:r w:rsidRPr="002E1867">
              <w:rPr>
                <w:rFonts w:cs="FrankRuehl" w:hint="cs"/>
                <w:sz w:val="18"/>
                <w:szCs w:val="20"/>
                <w:rtl/>
              </w:rPr>
              <w:t>1</w:t>
            </w:r>
          </w:p>
        </w:tc>
        <w:tc>
          <w:tcPr>
            <w:tcW w:w="1228" w:type="dxa"/>
            <w:shd w:val="clear" w:color="auto" w:fill="auto"/>
            <w:noWrap/>
          </w:tcPr>
          <w:p w:rsidR="009B5B44" w:rsidRPr="002E1867" w:rsidP="002E1867">
            <w:pPr>
              <w:spacing w:before="40" w:after="40" w:line="220" w:lineRule="exact"/>
              <w:rPr>
                <w:rFonts w:ascii="Arial" w:hAnsi="Arial"/>
                <w:sz w:val="18"/>
                <w:szCs w:val="20"/>
              </w:rPr>
            </w:pPr>
            <w:r w:rsidRPr="002E1867">
              <w:rPr>
                <w:rFonts w:cs="FrankRuehl" w:hint="cs"/>
                <w:sz w:val="18"/>
                <w:szCs w:val="20"/>
                <w:rtl/>
              </w:rPr>
              <w:t>הבונדס</w:t>
            </w:r>
          </w:p>
        </w:tc>
        <w:tc>
          <w:tcPr>
            <w:tcW w:w="1071" w:type="dxa"/>
            <w:shd w:val="clear" w:color="auto" w:fill="auto"/>
            <w:noWrap/>
          </w:tcPr>
          <w:p w:rsidR="009B5B44" w:rsidRPr="002E1867" w:rsidP="002E1867">
            <w:pPr>
              <w:spacing w:before="40" w:after="40" w:line="220" w:lineRule="exact"/>
              <w:rPr>
                <w:rFonts w:ascii="Arial" w:hAnsi="Arial"/>
                <w:sz w:val="18"/>
                <w:szCs w:val="20"/>
              </w:rPr>
            </w:pPr>
            <w:r w:rsidRPr="002E1867">
              <w:rPr>
                <w:rFonts w:cs="FrankRuehl" w:hint="cs"/>
                <w:sz w:val="18"/>
                <w:szCs w:val="20"/>
                <w:rtl/>
              </w:rPr>
              <w:t xml:space="preserve">7,469 </w:t>
            </w:r>
            <w:r w:rsidR="002E1867">
              <w:rPr>
                <w:rFonts w:cs="FrankRuehl"/>
                <w:sz w:val="18"/>
                <w:szCs w:val="20"/>
              </w:rPr>
              <w:br/>
            </w:r>
            <w:r w:rsidRPr="002E1867">
              <w:rPr>
                <w:rFonts w:cs="FrankRuehl" w:hint="cs"/>
                <w:sz w:val="18"/>
                <w:szCs w:val="20"/>
                <w:rtl/>
              </w:rPr>
              <w:t>עבור גב' נתניהו ומלווה</w:t>
            </w:r>
          </w:p>
        </w:tc>
        <w:tc>
          <w:tcPr>
            <w:tcW w:w="1242" w:type="dxa"/>
            <w:shd w:val="clear" w:color="auto" w:fill="auto"/>
            <w:noWrap/>
          </w:tcPr>
          <w:p w:rsidR="009B5B44" w:rsidRPr="002E1867" w:rsidP="002E1867">
            <w:pPr>
              <w:spacing w:before="40" w:after="40" w:line="220" w:lineRule="exact"/>
              <w:rPr>
                <w:rFonts w:ascii="Arial" w:hAnsi="Arial"/>
                <w:sz w:val="18"/>
                <w:szCs w:val="20"/>
              </w:rPr>
            </w:pPr>
            <w:r w:rsidRPr="002E1867">
              <w:rPr>
                <w:rFonts w:cs="FrankRuehl" w:hint="cs"/>
                <w:sz w:val="18"/>
                <w:szCs w:val="20"/>
                <w:rtl/>
              </w:rPr>
              <w:t>מלווה</w:t>
            </w:r>
          </w:p>
        </w:tc>
      </w:tr>
      <w:tr w:rsidTr="002E1867">
        <w:tblPrEx>
          <w:tblW w:w="6691" w:type="dxa"/>
          <w:jc w:val="center"/>
          <w:tblLayout w:type="fixed"/>
          <w:tblCellMar>
            <w:left w:w="57" w:type="dxa"/>
            <w:right w:w="57" w:type="dxa"/>
          </w:tblCellMar>
          <w:tblLook w:val="0000"/>
        </w:tblPrEx>
        <w:trPr>
          <w:trHeight w:val="255"/>
          <w:jc w:val="center"/>
        </w:trPr>
        <w:tc>
          <w:tcPr>
            <w:tcW w:w="1211" w:type="dxa"/>
            <w:shd w:val="clear" w:color="auto" w:fill="auto"/>
            <w:noWrap/>
          </w:tcPr>
          <w:p w:rsidR="009B5B44" w:rsidRPr="002E1867" w:rsidP="002E1867">
            <w:pPr>
              <w:spacing w:before="40" w:after="40" w:line="220" w:lineRule="exact"/>
              <w:rPr>
                <w:rFonts w:ascii="Arial" w:hAnsi="Arial"/>
                <w:sz w:val="18"/>
                <w:szCs w:val="20"/>
              </w:rPr>
            </w:pPr>
            <w:r w:rsidRPr="002E1867">
              <w:rPr>
                <w:rFonts w:cs="FrankRuehl" w:hint="cs"/>
                <w:sz w:val="18"/>
                <w:szCs w:val="20"/>
                <w:rtl/>
              </w:rPr>
              <w:t>ארצות הברית</w:t>
            </w:r>
          </w:p>
        </w:tc>
        <w:tc>
          <w:tcPr>
            <w:tcW w:w="1228" w:type="dxa"/>
            <w:shd w:val="clear" w:color="auto" w:fill="auto"/>
          </w:tcPr>
          <w:p w:rsidR="009B5B44" w:rsidRPr="002E1867" w:rsidP="002E1867">
            <w:pPr>
              <w:spacing w:before="40" w:after="40" w:line="220" w:lineRule="exact"/>
              <w:rPr>
                <w:rFonts w:ascii="Arial" w:hAnsi="Arial"/>
                <w:sz w:val="18"/>
                <w:szCs w:val="20"/>
                <w:rtl/>
              </w:rPr>
            </w:pPr>
            <w:r w:rsidRPr="002E1867">
              <w:rPr>
                <w:rFonts w:cs="FrankRuehl" w:hint="cs"/>
                <w:sz w:val="18"/>
                <w:szCs w:val="20"/>
                <w:rtl/>
              </w:rPr>
              <w:t>ינואר 2004</w:t>
            </w:r>
          </w:p>
        </w:tc>
        <w:tc>
          <w:tcPr>
            <w:tcW w:w="1228" w:type="dxa"/>
            <w:shd w:val="clear" w:color="auto" w:fill="auto"/>
          </w:tcPr>
          <w:p w:rsidR="009B5B44" w:rsidRPr="002E1867" w:rsidP="002E1867">
            <w:pPr>
              <w:spacing w:before="40" w:after="40" w:line="220" w:lineRule="exact"/>
              <w:rPr>
                <w:rFonts w:ascii="Arial" w:hAnsi="Arial"/>
                <w:sz w:val="18"/>
                <w:szCs w:val="20"/>
                <w:rtl/>
              </w:rPr>
            </w:pPr>
            <w:r w:rsidRPr="002E1867">
              <w:rPr>
                <w:rFonts w:cs="FrankRuehl" w:hint="cs"/>
                <w:sz w:val="18"/>
                <w:szCs w:val="20"/>
                <w:rtl/>
              </w:rPr>
              <w:t>הבונדס</w:t>
            </w:r>
          </w:p>
        </w:tc>
        <w:tc>
          <w:tcPr>
            <w:tcW w:w="1228" w:type="dxa"/>
            <w:shd w:val="clear" w:color="auto" w:fill="auto"/>
          </w:tcPr>
          <w:p w:rsidR="009B5B44" w:rsidRPr="002E1867" w:rsidP="002E1867">
            <w:pPr>
              <w:spacing w:before="40" w:after="40" w:line="220" w:lineRule="exact"/>
              <w:rPr>
                <w:rFonts w:ascii="Arial" w:hAnsi="Arial"/>
                <w:sz w:val="18"/>
                <w:szCs w:val="20"/>
              </w:rPr>
            </w:pPr>
            <w:r w:rsidRPr="002E1867">
              <w:rPr>
                <w:rFonts w:cs="FrankRuehl" w:hint="cs"/>
                <w:sz w:val="18"/>
                <w:szCs w:val="20"/>
                <w:rtl/>
              </w:rPr>
              <w:t>2</w:t>
            </w:r>
          </w:p>
        </w:tc>
        <w:tc>
          <w:tcPr>
            <w:tcW w:w="1228" w:type="dxa"/>
            <w:shd w:val="clear" w:color="auto" w:fill="auto"/>
            <w:noWrap/>
          </w:tcPr>
          <w:p w:rsidR="009B5B44" w:rsidRPr="002E1867" w:rsidP="002E1867">
            <w:pPr>
              <w:spacing w:before="40" w:after="40" w:line="220" w:lineRule="exact"/>
              <w:rPr>
                <w:rFonts w:ascii="Arial" w:hAnsi="Arial"/>
                <w:sz w:val="18"/>
                <w:szCs w:val="20"/>
              </w:rPr>
            </w:pPr>
            <w:r w:rsidRPr="002E1867">
              <w:rPr>
                <w:rFonts w:cs="FrankRuehl" w:hint="cs"/>
                <w:sz w:val="18"/>
                <w:szCs w:val="20"/>
                <w:rtl/>
              </w:rPr>
              <w:t>הבונדס</w:t>
            </w:r>
          </w:p>
        </w:tc>
        <w:tc>
          <w:tcPr>
            <w:tcW w:w="1071" w:type="dxa"/>
            <w:shd w:val="clear" w:color="auto" w:fill="auto"/>
            <w:noWrap/>
          </w:tcPr>
          <w:p w:rsidR="009B5B44" w:rsidRPr="002E1867" w:rsidP="002E1867">
            <w:pPr>
              <w:spacing w:before="40" w:after="40" w:line="220" w:lineRule="exact"/>
              <w:rPr>
                <w:rFonts w:ascii="Arial" w:hAnsi="Arial"/>
                <w:sz w:val="18"/>
                <w:szCs w:val="20"/>
              </w:rPr>
            </w:pPr>
            <w:r w:rsidRPr="002E1867">
              <w:rPr>
                <w:rFonts w:cs="FrankRuehl" w:hint="cs"/>
                <w:sz w:val="18"/>
                <w:szCs w:val="20"/>
                <w:rtl/>
              </w:rPr>
              <w:t xml:space="preserve">4,500 </w:t>
            </w:r>
          </w:p>
        </w:tc>
        <w:tc>
          <w:tcPr>
            <w:tcW w:w="1242" w:type="dxa"/>
            <w:shd w:val="clear" w:color="auto" w:fill="auto"/>
            <w:noWrap/>
          </w:tcPr>
          <w:p w:rsidR="009B5B44" w:rsidRPr="002E1867" w:rsidP="002E1867">
            <w:pPr>
              <w:spacing w:before="40" w:after="40" w:line="220" w:lineRule="exact"/>
              <w:rPr>
                <w:rFonts w:ascii="Arial" w:hAnsi="Arial"/>
                <w:sz w:val="18"/>
                <w:szCs w:val="20"/>
              </w:rPr>
            </w:pPr>
            <w:r w:rsidRPr="002E1867">
              <w:rPr>
                <w:rFonts w:cs="FrankRuehl" w:hint="cs"/>
                <w:sz w:val="18"/>
                <w:szCs w:val="20"/>
                <w:rtl/>
              </w:rPr>
              <w:t>מלווים</w:t>
            </w:r>
          </w:p>
        </w:tc>
      </w:tr>
      <w:tr w:rsidTr="002E1867">
        <w:tblPrEx>
          <w:tblW w:w="6691" w:type="dxa"/>
          <w:jc w:val="center"/>
          <w:tblLayout w:type="fixed"/>
          <w:tblCellMar>
            <w:left w:w="57" w:type="dxa"/>
            <w:right w:w="57" w:type="dxa"/>
          </w:tblCellMar>
          <w:tblLook w:val="0000"/>
        </w:tblPrEx>
        <w:trPr>
          <w:trHeight w:val="255"/>
          <w:jc w:val="center"/>
        </w:trPr>
        <w:tc>
          <w:tcPr>
            <w:tcW w:w="1211" w:type="dxa"/>
            <w:shd w:val="clear" w:color="auto" w:fill="auto"/>
            <w:noWrap/>
          </w:tcPr>
          <w:p w:rsidR="009B5B44" w:rsidRPr="002E1867" w:rsidP="002E1867">
            <w:pPr>
              <w:spacing w:before="40" w:after="40" w:line="220" w:lineRule="exact"/>
              <w:rPr>
                <w:rFonts w:ascii="Arial" w:hAnsi="Arial"/>
                <w:sz w:val="18"/>
                <w:szCs w:val="20"/>
              </w:rPr>
            </w:pPr>
            <w:r w:rsidRPr="002E1867">
              <w:rPr>
                <w:rFonts w:cs="FrankRuehl" w:hint="cs"/>
                <w:sz w:val="18"/>
                <w:szCs w:val="20"/>
                <w:rtl/>
              </w:rPr>
              <w:t>ארצות הברית</w:t>
            </w:r>
          </w:p>
        </w:tc>
        <w:tc>
          <w:tcPr>
            <w:tcW w:w="1228" w:type="dxa"/>
            <w:shd w:val="clear" w:color="auto" w:fill="auto"/>
          </w:tcPr>
          <w:p w:rsidR="009B5B44" w:rsidRPr="002E1867" w:rsidP="002E1867">
            <w:pPr>
              <w:spacing w:before="40" w:after="40" w:line="220" w:lineRule="exact"/>
              <w:rPr>
                <w:rFonts w:ascii="Arial" w:hAnsi="Arial"/>
                <w:sz w:val="18"/>
                <w:szCs w:val="20"/>
                <w:rtl/>
              </w:rPr>
            </w:pPr>
            <w:r w:rsidRPr="002E1867">
              <w:rPr>
                <w:rFonts w:cs="FrankRuehl" w:hint="cs"/>
                <w:sz w:val="18"/>
                <w:szCs w:val="20"/>
                <w:rtl/>
              </w:rPr>
              <w:t>יוני 2005</w:t>
            </w:r>
          </w:p>
        </w:tc>
        <w:tc>
          <w:tcPr>
            <w:tcW w:w="1228" w:type="dxa"/>
            <w:shd w:val="clear" w:color="auto" w:fill="auto"/>
          </w:tcPr>
          <w:p w:rsidR="009B5B44" w:rsidRPr="002E1867" w:rsidP="002E1867">
            <w:pPr>
              <w:spacing w:before="40" w:after="40" w:line="220" w:lineRule="exact"/>
              <w:rPr>
                <w:rFonts w:ascii="Arial" w:hAnsi="Arial"/>
                <w:sz w:val="18"/>
                <w:szCs w:val="20"/>
                <w:rtl/>
              </w:rPr>
            </w:pPr>
            <w:r w:rsidRPr="002E1867">
              <w:rPr>
                <w:rFonts w:cs="FrankRuehl" w:hint="cs"/>
                <w:sz w:val="18"/>
                <w:szCs w:val="20"/>
                <w:rtl/>
              </w:rPr>
              <w:t>ארגון ב'</w:t>
            </w:r>
          </w:p>
        </w:tc>
        <w:tc>
          <w:tcPr>
            <w:tcW w:w="1228" w:type="dxa"/>
            <w:shd w:val="clear" w:color="auto" w:fill="auto"/>
          </w:tcPr>
          <w:p w:rsidR="009B5B44" w:rsidRPr="002E1867" w:rsidP="002E1867">
            <w:pPr>
              <w:spacing w:before="40" w:after="40" w:line="220" w:lineRule="exact"/>
              <w:rPr>
                <w:rFonts w:cs="FrankRuehl"/>
                <w:sz w:val="18"/>
                <w:szCs w:val="20"/>
              </w:rPr>
            </w:pPr>
            <w:r w:rsidRPr="002E1867">
              <w:rPr>
                <w:rFonts w:cs="FrankRuehl" w:hint="cs"/>
                <w:sz w:val="18"/>
                <w:szCs w:val="20"/>
                <w:rtl/>
              </w:rPr>
              <w:t>2</w:t>
            </w:r>
          </w:p>
          <w:p w:rsidR="009B5B44" w:rsidRPr="002E1867" w:rsidP="002E1867">
            <w:pPr>
              <w:spacing w:before="40" w:after="40" w:line="220" w:lineRule="exact"/>
              <w:rPr>
                <w:rFonts w:ascii="Arial" w:hAnsi="Arial"/>
                <w:sz w:val="18"/>
                <w:szCs w:val="20"/>
                <w:rtl/>
              </w:rPr>
            </w:pPr>
            <w:r w:rsidRPr="002E1867">
              <w:rPr>
                <w:rFonts w:cs="FrankRuehl" w:hint="cs"/>
                <w:sz w:val="18"/>
                <w:szCs w:val="20"/>
                <w:rtl/>
              </w:rPr>
              <w:t>1</w:t>
            </w:r>
          </w:p>
        </w:tc>
        <w:tc>
          <w:tcPr>
            <w:tcW w:w="1228" w:type="dxa"/>
            <w:shd w:val="clear" w:color="auto" w:fill="auto"/>
            <w:noWrap/>
          </w:tcPr>
          <w:p w:rsidR="009B5B44" w:rsidRPr="002E1867" w:rsidP="002E1867">
            <w:pPr>
              <w:spacing w:before="40" w:after="40" w:line="220" w:lineRule="exact"/>
              <w:rPr>
                <w:rFonts w:cs="FrankRuehl"/>
                <w:sz w:val="18"/>
                <w:szCs w:val="20"/>
                <w:rtl/>
              </w:rPr>
            </w:pPr>
            <w:r w:rsidRPr="002E1867">
              <w:rPr>
                <w:rFonts w:cs="FrankRuehl" w:hint="cs"/>
                <w:sz w:val="18"/>
                <w:szCs w:val="20"/>
                <w:rtl/>
              </w:rPr>
              <w:t>הבונדס</w:t>
            </w:r>
          </w:p>
          <w:p w:rsidR="009B5B44" w:rsidRPr="002E1867" w:rsidP="002E1867">
            <w:pPr>
              <w:spacing w:before="40" w:after="40" w:line="220" w:lineRule="exact"/>
              <w:rPr>
                <w:rFonts w:ascii="Arial" w:hAnsi="Arial"/>
                <w:sz w:val="18"/>
                <w:szCs w:val="20"/>
              </w:rPr>
            </w:pPr>
            <w:r w:rsidRPr="002E1867">
              <w:rPr>
                <w:rFonts w:cs="FrankRuehl" w:hint="cs"/>
                <w:sz w:val="18"/>
                <w:szCs w:val="20"/>
                <w:rtl/>
              </w:rPr>
              <w:t>ארגון א'</w:t>
            </w:r>
          </w:p>
        </w:tc>
        <w:tc>
          <w:tcPr>
            <w:tcW w:w="1071" w:type="dxa"/>
            <w:shd w:val="clear" w:color="auto" w:fill="auto"/>
            <w:noWrap/>
          </w:tcPr>
          <w:p w:rsidR="009B5B44" w:rsidRPr="002E1867" w:rsidP="002E1867">
            <w:pPr>
              <w:spacing w:before="40" w:after="40" w:line="220" w:lineRule="exact"/>
              <w:rPr>
                <w:rFonts w:cs="FrankRuehl"/>
                <w:sz w:val="18"/>
                <w:szCs w:val="20"/>
                <w:rtl/>
              </w:rPr>
            </w:pPr>
            <w:r w:rsidRPr="002E1867">
              <w:rPr>
                <w:rFonts w:cs="FrankRuehl" w:hint="cs"/>
                <w:sz w:val="18"/>
                <w:szCs w:val="20"/>
                <w:rtl/>
              </w:rPr>
              <w:t>7,655</w:t>
            </w:r>
          </w:p>
          <w:p w:rsidR="009B5B44" w:rsidRPr="002E1867" w:rsidP="002E1867">
            <w:pPr>
              <w:spacing w:before="40" w:after="40" w:line="220" w:lineRule="exact"/>
              <w:rPr>
                <w:sz w:val="18"/>
                <w:szCs w:val="20"/>
              </w:rPr>
            </w:pPr>
            <w:r w:rsidRPr="002E1867">
              <w:rPr>
                <w:rFonts w:cs="FrankRuehl" w:hint="cs"/>
                <w:sz w:val="18"/>
                <w:szCs w:val="20"/>
                <w:rtl/>
              </w:rPr>
              <w:t>4,988</w:t>
            </w:r>
          </w:p>
        </w:tc>
        <w:tc>
          <w:tcPr>
            <w:tcW w:w="1242" w:type="dxa"/>
            <w:shd w:val="clear" w:color="auto" w:fill="auto"/>
            <w:noWrap/>
          </w:tcPr>
          <w:p w:rsidR="009B5B44" w:rsidRPr="002E1867" w:rsidP="002E1867">
            <w:pPr>
              <w:spacing w:before="40" w:after="40" w:line="220" w:lineRule="exact"/>
              <w:rPr>
                <w:rFonts w:cs="FrankRuehl"/>
                <w:sz w:val="18"/>
                <w:szCs w:val="20"/>
              </w:rPr>
            </w:pPr>
            <w:r w:rsidRPr="002E1867">
              <w:rPr>
                <w:rFonts w:cs="FrankRuehl" w:hint="cs"/>
                <w:sz w:val="18"/>
                <w:szCs w:val="20"/>
                <w:rtl/>
              </w:rPr>
              <w:t>אירוח - מר נתניהו ושני מאבטחים;</w:t>
            </w:r>
            <w:r w:rsidR="002E1867">
              <w:rPr>
                <w:rFonts w:cs="FrankRuehl"/>
                <w:sz w:val="18"/>
                <w:szCs w:val="20"/>
              </w:rPr>
              <w:br/>
            </w:r>
            <w:r w:rsidRPr="002E1867">
              <w:rPr>
                <w:rFonts w:cs="FrankRuehl" w:hint="cs"/>
                <w:sz w:val="18"/>
                <w:szCs w:val="20"/>
                <w:rtl/>
              </w:rPr>
              <w:t>טיסה - מלווה</w:t>
            </w:r>
          </w:p>
        </w:tc>
      </w:tr>
    </w:tbl>
    <w:p w:rsidR="002E1867" w:rsidP="005E7E86">
      <w:pPr>
        <w:spacing w:after="120" w:line="230" w:lineRule="exact"/>
        <w:jc w:val="both"/>
        <w:rPr>
          <w:rFonts w:cs="FrankRuehl"/>
          <w:b/>
          <w:bCs/>
          <w:sz w:val="20"/>
          <w:szCs w:val="22"/>
          <w:lang w:eastAsia="he-IL"/>
        </w:rPr>
      </w:pPr>
    </w:p>
    <w:p w:rsidR="009B5B44" w:rsidRPr="005E7E86" w:rsidP="002E1867">
      <w:pPr>
        <w:pStyle w:val="RESHET"/>
        <w:keepLines/>
        <w:rPr>
          <w:rtl/>
        </w:rPr>
      </w:pPr>
      <w:r w:rsidRPr="005E7E86">
        <w:rPr>
          <w:rFonts w:hint="cs"/>
          <w:rtl/>
        </w:rPr>
        <w:t>מהביקורת עלה כי גורמים חיצוניים מימנו את נסיעותיהם של מלווי מר נתניהו בנסיעותיו במימון גורם חיצוני שאינו ממשלתי ובמימון משרד האוצר. מר נתניהו לא פנה לוועדת המתנות על מנת לקבל את אישורה לכך, כשם שלא פנו שרים אחרים באותה תקופה, הגם שמדובר בחשש לטובת הנאה נוספת.</w:t>
      </w:r>
    </w:p>
    <w:p w:rsidR="002E1867" w:rsidP="002E1867">
      <w:pPr>
        <w:spacing w:after="120" w:line="230" w:lineRule="exact"/>
        <w:jc w:val="both"/>
        <w:rPr>
          <w:rFonts w:cs="FrankRuehl"/>
          <w:sz w:val="22"/>
          <w:szCs w:val="22"/>
          <w:rtl/>
        </w:rPr>
      </w:pPr>
    </w:p>
    <w:p w:rsidR="002E1867" w:rsidP="002E1867">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2E1867" w:rsidP="002E1867">
      <w:pPr>
        <w:spacing w:after="120" w:line="230" w:lineRule="exact"/>
        <w:jc w:val="both"/>
        <w:rPr>
          <w:rFonts w:cs="FrankRuehl"/>
          <w:sz w:val="22"/>
          <w:szCs w:val="22"/>
          <w:rtl/>
        </w:rPr>
      </w:pPr>
    </w:p>
    <w:p w:rsidR="009B5B44" w:rsidRPr="005E7E86" w:rsidP="002E1867">
      <w:pPr>
        <w:pStyle w:val="RESHET"/>
        <w:keepLines/>
        <w:rPr>
          <w:rtl/>
        </w:rPr>
      </w:pPr>
      <w:r w:rsidRPr="005E7E86">
        <w:rPr>
          <w:rFonts w:hint="cs"/>
          <w:rtl/>
        </w:rPr>
        <w:t>מכלל הממצאים עולה כי נסיעות של מר נתניהו לחו"ל בתפקיד, וכן נסיעותיהם של בני משפחתו שהתלוו אליו, מומנו על ידי גורמים חיצוניים, בהם גופים שונים, אנשי עסקים ואנשים פרטיים בעלי קשרים מסוגים שונים לשר האוצר ולמשק הישראלי. מימון זה נעשה ללא בחינה משפטית של האפשרות לניגוד עניינים.</w:t>
      </w:r>
    </w:p>
    <w:p w:rsidR="009B5B44" w:rsidRPr="005E7E86" w:rsidP="002E1867">
      <w:pPr>
        <w:pStyle w:val="RESHET"/>
        <w:keepLines/>
        <w:rPr>
          <w:rtl/>
        </w:rPr>
      </w:pPr>
      <w:r w:rsidRPr="005E7E86">
        <w:rPr>
          <w:rFonts w:hint="cs"/>
          <w:rtl/>
        </w:rPr>
        <w:t>מר נתניהו, בהיותו שר האוצר, נסע לחו"ל במימון הבונדס לנסיעות שאינן לאירועי הבונדס. מר נתניהו נסע נסיעה פרטית לארצות הברית, בזמן היותו שר האוצר, כשאת מימון שהותו במלון מימן הבונדס. מר נתניהו נסע לאנגליה נסיעה בתפקיד במימון ממשלתי, כשאת מימון השהות במלון שלו ושל רעייתו מימן הבונדס.</w:t>
      </w:r>
    </w:p>
    <w:p w:rsidR="009B5B44" w:rsidRPr="005E7E86" w:rsidP="002E1867">
      <w:pPr>
        <w:pStyle w:val="RESHET"/>
        <w:keepLines/>
        <w:rPr>
          <w:rtl/>
        </w:rPr>
      </w:pPr>
      <w:r w:rsidRPr="005E7E86">
        <w:rPr>
          <w:rFonts w:hint="cs"/>
          <w:rtl/>
        </w:rPr>
        <w:t>למרבית נסיעותיו של מר נתניהו בתפקיד התלוותה רעייתו. חלק מנסיעותיה מומנו על ידי גורם חיצוני; בחלק מן המקרים, הגורם החיצוני שמימן את נסיעתה היה אחר מהגורם שמימן את נסיעת השר. בשתי נסיעות שאליהן הצטרפה מימן הבונדס את הוצאותיה אף על פי שהוצאות מר נתניהו לא מומנו על ידיו.</w:t>
      </w:r>
    </w:p>
    <w:p w:rsidR="009B5B44" w:rsidRPr="005E7E86" w:rsidP="002E1867">
      <w:pPr>
        <w:pStyle w:val="RESHET"/>
        <w:keepLines/>
        <w:rPr>
          <w:rtl/>
        </w:rPr>
      </w:pPr>
      <w:r w:rsidRPr="005E7E86">
        <w:rPr>
          <w:rFonts w:hint="cs"/>
          <w:rtl/>
        </w:rPr>
        <w:t>לנסיעה של מר נתניהו לחו"ל בתקופת היותו שר האוצר הצטרף ילדו, ושהותו בחו"ל מומנה על ידי גורמים חיצונים.</w:t>
      </w:r>
    </w:p>
    <w:p w:rsidR="009B5B44" w:rsidRPr="005E7E86" w:rsidP="002E1867">
      <w:pPr>
        <w:pStyle w:val="RESHET"/>
        <w:keepLines/>
        <w:rPr>
          <w:rtl/>
        </w:rPr>
      </w:pPr>
      <w:r w:rsidRPr="005E7E86">
        <w:rPr>
          <w:rFonts w:hint="cs"/>
          <w:rtl/>
        </w:rPr>
        <w:t>לדעת משרד מבקר המדינה, אין זה ראוי שבנסיעות של שר לחו"ל בתפקיד במימון הממשלה גורם חיצוני יממן את שהות השר בחו"ל. יתרה מזו, אם נסיעת שר ממומנת בידי גורם חיצוני, אין זה ראוי שהוצאות רעייתו או ילדיו המתלווים אליו ימומנו בידי גורם אחר, לא כל שכן גורם שאין לו קשר לתכלית הנסיעה.</w:t>
      </w:r>
    </w:p>
    <w:p w:rsidR="009B5B44" w:rsidRPr="005E7E86" w:rsidP="005E7E86">
      <w:pPr>
        <w:spacing w:after="120" w:line="230" w:lineRule="exact"/>
        <w:jc w:val="both"/>
        <w:rPr>
          <w:rFonts w:cs="FrankRuehl"/>
          <w:sz w:val="20"/>
          <w:szCs w:val="22"/>
          <w:rtl/>
          <w:lang w:eastAsia="he-IL"/>
        </w:rPr>
      </w:pPr>
    </w:p>
    <w:p w:rsidR="009B5B44" w:rsidRPr="005E7E86" w:rsidP="005E7E86">
      <w:pPr>
        <w:spacing w:after="120" w:line="230" w:lineRule="exact"/>
        <w:jc w:val="both"/>
        <w:rPr>
          <w:rFonts w:cs="FrankRuehl"/>
          <w:sz w:val="20"/>
          <w:szCs w:val="22"/>
          <w:rtl/>
          <w:lang w:eastAsia="he-IL"/>
        </w:rPr>
      </w:pPr>
    </w:p>
    <w:p w:rsidR="009B5B44" w:rsidRPr="00742B46" w:rsidP="002E1867">
      <w:pPr>
        <w:pStyle w:val="KOT2"/>
        <w:rPr>
          <w:rtl/>
        </w:rPr>
      </w:pPr>
      <w:r w:rsidRPr="00742B46">
        <w:rPr>
          <w:rFonts w:hint="cs"/>
          <w:rtl/>
        </w:rPr>
        <w:t>אישור</w:t>
      </w:r>
      <w:r>
        <w:rPr>
          <w:rFonts w:hint="cs"/>
          <w:rtl/>
        </w:rPr>
        <w:t xml:space="preserve"> </w:t>
      </w:r>
      <w:r w:rsidRPr="00742B46">
        <w:rPr>
          <w:rFonts w:hint="cs"/>
          <w:rtl/>
        </w:rPr>
        <w:t>הממשלה</w:t>
      </w:r>
      <w:r>
        <w:rPr>
          <w:rFonts w:hint="cs"/>
          <w:rtl/>
        </w:rPr>
        <w:t xml:space="preserve"> </w:t>
      </w:r>
      <w:r w:rsidRPr="00742B46">
        <w:rPr>
          <w:rFonts w:hint="cs"/>
          <w:rtl/>
        </w:rPr>
        <w:t>לנסיעות</w:t>
      </w:r>
      <w:r>
        <w:rPr>
          <w:rFonts w:hint="cs"/>
          <w:rtl/>
        </w:rPr>
        <w:t xml:space="preserve"> </w:t>
      </w:r>
      <w:r w:rsidRPr="00742B46">
        <w:rPr>
          <w:rFonts w:hint="cs"/>
          <w:rtl/>
        </w:rPr>
        <w:t>השר</w:t>
      </w:r>
    </w:p>
    <w:p w:rsidR="009B5B44" w:rsidRPr="005E7E86" w:rsidP="005E7E86">
      <w:pPr>
        <w:spacing w:after="120" w:line="230" w:lineRule="exact"/>
        <w:jc w:val="both"/>
        <w:rPr>
          <w:rFonts w:cs="FrankRuehl"/>
          <w:sz w:val="20"/>
          <w:szCs w:val="22"/>
          <w:rtl/>
        </w:rPr>
      </w:pPr>
      <w:r w:rsidRPr="005E7E86">
        <w:rPr>
          <w:rFonts w:cs="FrankRuehl" w:hint="cs"/>
          <w:sz w:val="20"/>
          <w:szCs w:val="22"/>
          <w:rtl/>
        </w:rPr>
        <w:t xml:space="preserve">התקנון לעבודת הממשלה (להלן </w:t>
      </w:r>
      <w:r w:rsidRPr="005E7E86">
        <w:rPr>
          <w:rFonts w:cs="FrankRuehl"/>
          <w:sz w:val="20"/>
          <w:szCs w:val="22"/>
          <w:rtl/>
        </w:rPr>
        <w:t>-</w:t>
      </w:r>
      <w:r w:rsidRPr="005E7E86">
        <w:rPr>
          <w:rFonts w:cs="FrankRuehl" w:hint="cs"/>
          <w:sz w:val="20"/>
          <w:szCs w:val="22"/>
          <w:rtl/>
        </w:rPr>
        <w:t xml:space="preserve"> תקנון עבודת הממשלה או התקנון) מסדיר מכלול של נושאים הנוגעים לעבודת הממשלה. כמו כן מפרט התקנון כמה הסדרים ונהלים בנוגע לנסיעות ראש ממשלה, שרים וסגני שרים לחו"ל. בתקופה שבה כיהן מר נתניהו כשר האוצר חייב התקנון את השרים לקבל את אישור הממשלה לנסיעותיהם בתפקיד לחו"ל, ולחלופין במקרים מיוחדים לקבל את אישור ראש הממשלה לנסיעה. יצוין כי הממשלה ה-34 תיקנה את התקנון במאי 2015 וקבעה בו שנסיעותיהם של שרים לחו"ל בתפקיד ייעשו באישור ראש הממשלה, ולאחר אישורו הן יובאו לידיעת הממשלה בלא צורך באישורה. יודגש כי אישור הממשלה או ראש הממשלה אינם מייתרים את האישורים הנדרשים לפי הוראות הדין שפורטו לעיל.</w:t>
      </w:r>
    </w:p>
    <w:p w:rsidR="009B5B44" w:rsidRPr="005E7E86" w:rsidP="005E7E86">
      <w:pPr>
        <w:spacing w:after="120" w:line="230" w:lineRule="exact"/>
        <w:jc w:val="both"/>
        <w:rPr>
          <w:rFonts w:cs="FrankRuehl"/>
          <w:sz w:val="20"/>
          <w:szCs w:val="22"/>
          <w:rtl/>
        </w:rPr>
      </w:pPr>
      <w:r w:rsidRPr="005E7E86">
        <w:rPr>
          <w:rFonts w:cs="FrankRuehl" w:hint="cs"/>
          <w:sz w:val="20"/>
          <w:szCs w:val="22"/>
          <w:rtl/>
        </w:rPr>
        <w:t>עוד יצוין כי באפריל 2008 החליטה הממשלה ה-31</w:t>
      </w:r>
      <w:r>
        <w:rPr>
          <w:rFonts w:cs="FrankRuehl"/>
          <w:sz w:val="20"/>
          <w:szCs w:val="22"/>
          <w:vertAlign w:val="superscript"/>
          <w:rtl/>
        </w:rPr>
        <w:footnoteReference w:id="32"/>
      </w:r>
      <w:r w:rsidRPr="005E7E86">
        <w:rPr>
          <w:rFonts w:cs="FrankRuehl" w:hint="cs"/>
          <w:sz w:val="20"/>
          <w:szCs w:val="22"/>
          <w:rtl/>
        </w:rPr>
        <w:t xml:space="preserve"> לתקן את הסעיף בתקנון העוסק בנסיעות שרים לחו"ל</w:t>
      </w:r>
      <w:r>
        <w:rPr>
          <w:rFonts w:cs="FrankRuehl"/>
          <w:sz w:val="20"/>
          <w:szCs w:val="22"/>
          <w:vertAlign w:val="superscript"/>
          <w:rtl/>
        </w:rPr>
        <w:footnoteReference w:id="33"/>
      </w:r>
      <w:r w:rsidRPr="005E7E86">
        <w:rPr>
          <w:rFonts w:cs="FrankRuehl" w:hint="cs"/>
          <w:sz w:val="20"/>
          <w:szCs w:val="22"/>
          <w:rtl/>
        </w:rPr>
        <w:t xml:space="preserve"> ולהוסיף הנחיות בעניין נסיעות במימון גורם שאינו ממשלתי. בתקנון המתוקן נקבע כי נוסף על הצורך בקבלת אישור הממשלה, "במקרים של נסיעת שר לחו"ל הממומנת על ידי גורם שאינו ממשלתי, האחריות להימנע מחשש לניגוד עניינים מוטלת על השר עצמו, לפי הכללים למניעת ניגוד עניינים של שרים ושל סגני שרים. אשר-על כן, יינתן אישור של היועץ המשפטי של המשרד כי אין במימון נסיעתו של השר, על ידי גורם שאינו ממשלתי, משום חשש לניגוד עניינים ו/או פגיעה בטוהר המידות ו/או המינהל התקין". בתקנון עבודת הממשלה ה-34 נקבע עיקרון דומה, החל על שרים וסגני שרים</w:t>
      </w:r>
      <w:r>
        <w:rPr>
          <w:rStyle w:val="FootnoteReference"/>
          <w:rFonts w:cs="FrankRuehl"/>
          <w:sz w:val="20"/>
          <w:szCs w:val="22"/>
          <w:rtl/>
        </w:rPr>
        <w:footnoteReference w:id="34"/>
      </w:r>
      <w:r w:rsidRPr="005E7E86">
        <w:rPr>
          <w:rFonts w:cs="FrankRuehl" w:hint="cs"/>
          <w:sz w:val="20"/>
          <w:szCs w:val="22"/>
          <w:rtl/>
        </w:rPr>
        <w:t xml:space="preserve">. לפי התקנון מתבקשים חברי הממשלה להודיע על נסיעותיהם לחו"ל על גבי טופס בקשה הכולל פרטים בדבר מועדי נסיעתם, מדינת היעד ומטרת הנסיעה. יצוין כי התקנון שהיה תקף בתקופת כהונתו של מר נתניהו כשר האוצר לא התייחס לנושאים אלה. </w:t>
      </w:r>
    </w:p>
    <w:p w:rsidR="009B5B44" w:rsidRPr="005E7E86" w:rsidP="002E1867">
      <w:pPr>
        <w:pStyle w:val="ListParagraph"/>
        <w:numPr>
          <w:ilvl w:val="0"/>
          <w:numId w:val="15"/>
        </w:numPr>
        <w:spacing w:after="240" w:line="230" w:lineRule="exact"/>
        <w:jc w:val="both"/>
        <w:rPr>
          <w:rFonts w:ascii="Times New Roman" w:hAnsi="Times New Roman" w:cs="FrankRuehl"/>
          <w:sz w:val="20"/>
          <w:rtl/>
        </w:rPr>
      </w:pPr>
      <w:r w:rsidRPr="005E7E86">
        <w:rPr>
          <w:rFonts w:ascii="Times New Roman" w:hAnsi="Times New Roman" w:cs="FrankRuehl" w:hint="cs"/>
          <w:sz w:val="20"/>
          <w:rtl/>
        </w:rPr>
        <w:t>כאמור, לפי תקנון עבודת הממשלה שהיה בתוקף בתקופת כהונתו של מר נתניהו כשר האוצר, נסיעה של שר לחו"ל בתפקיד הייתה טעונה אישור הממשלה ובמקרים מיוחדים אישור ראש הממשלה. לדעת משרד מבקר המדינה, אישור הממשלה לנסיעת שר הוא בעל ערך ותועלת כאשר הוא משקף שיקול ענייני בדבר חשיבות הנסיעה לתפקודה ולפעילותה של הממשלה.</w:t>
      </w:r>
    </w:p>
    <w:p w:rsidR="009B5B44" w:rsidRPr="005E7E86" w:rsidP="002E1867">
      <w:pPr>
        <w:pStyle w:val="RESHET"/>
        <w:keepLines/>
        <w:ind w:left="567"/>
        <w:rPr>
          <w:rtl/>
        </w:rPr>
      </w:pPr>
      <w:r w:rsidRPr="005E7E86">
        <w:rPr>
          <w:rFonts w:hint="eastAsia"/>
          <w:rtl/>
        </w:rPr>
        <w:t>נמצא</w:t>
      </w:r>
      <w:r w:rsidRPr="005E7E86">
        <w:rPr>
          <w:rtl/>
        </w:rPr>
        <w:t xml:space="preserve"> כי</w:t>
      </w:r>
      <w:r w:rsidRPr="005E7E86">
        <w:rPr>
          <w:rFonts w:hint="cs"/>
          <w:rtl/>
        </w:rPr>
        <w:t xml:space="preserve"> הבקשות </w:t>
      </w:r>
      <w:r w:rsidRPr="005E7E86">
        <w:rPr>
          <w:rFonts w:hint="eastAsia"/>
          <w:rtl/>
        </w:rPr>
        <w:t>לאישור</w:t>
      </w:r>
      <w:r w:rsidRPr="005E7E86">
        <w:rPr>
          <w:rFonts w:hint="cs"/>
          <w:rtl/>
        </w:rPr>
        <w:t xml:space="preserve"> נסיעות בתפקיד שהגיש</w:t>
      </w:r>
      <w:r w:rsidRPr="005E7E86">
        <w:rPr>
          <w:rtl/>
        </w:rPr>
        <w:t xml:space="preserve"> </w:t>
      </w:r>
      <w:r w:rsidRPr="005E7E86">
        <w:rPr>
          <w:rFonts w:hint="eastAsia"/>
          <w:rtl/>
        </w:rPr>
        <w:t>מר</w:t>
      </w:r>
      <w:r w:rsidRPr="005E7E86">
        <w:rPr>
          <w:rtl/>
        </w:rPr>
        <w:t xml:space="preserve"> </w:t>
      </w:r>
      <w:r w:rsidRPr="005E7E86">
        <w:rPr>
          <w:rFonts w:hint="eastAsia"/>
          <w:rtl/>
        </w:rPr>
        <w:t>נתניהו</w:t>
      </w:r>
      <w:r w:rsidRPr="005E7E86">
        <w:rPr>
          <w:rFonts w:hint="cs"/>
          <w:rtl/>
        </w:rPr>
        <w:t xml:space="preserve"> לממשלה או לראש הממשלה, בדומה ליתר השרים שכיהנו באותה תקופה, לא כללו </w:t>
      </w:r>
      <w:r w:rsidRPr="005E7E86">
        <w:rPr>
          <w:rFonts w:hint="eastAsia"/>
          <w:rtl/>
        </w:rPr>
        <w:t>פרטים</w:t>
      </w:r>
      <w:r w:rsidRPr="005E7E86">
        <w:rPr>
          <w:rtl/>
        </w:rPr>
        <w:t xml:space="preserve"> </w:t>
      </w:r>
      <w:r w:rsidRPr="005E7E86">
        <w:rPr>
          <w:rFonts w:hint="cs"/>
          <w:rtl/>
        </w:rPr>
        <w:t xml:space="preserve">על </w:t>
      </w:r>
      <w:r w:rsidRPr="005E7E86">
        <w:rPr>
          <w:rFonts w:hint="eastAsia"/>
          <w:rtl/>
        </w:rPr>
        <w:t>הנסיעות</w:t>
      </w:r>
      <w:r w:rsidRPr="005E7E86">
        <w:rPr>
          <w:rtl/>
        </w:rPr>
        <w:t xml:space="preserve">, </w:t>
      </w:r>
      <w:r w:rsidRPr="005E7E86">
        <w:rPr>
          <w:rFonts w:hint="cs"/>
          <w:rtl/>
        </w:rPr>
        <w:t xml:space="preserve">מטרתן, </w:t>
      </w:r>
      <w:r w:rsidRPr="005E7E86">
        <w:rPr>
          <w:rFonts w:hint="eastAsia"/>
          <w:rtl/>
        </w:rPr>
        <w:t>נחיצותן</w:t>
      </w:r>
      <w:r w:rsidRPr="005E7E86">
        <w:rPr>
          <w:rtl/>
        </w:rPr>
        <w:t xml:space="preserve">, </w:t>
      </w:r>
      <w:r w:rsidRPr="005E7E86">
        <w:rPr>
          <w:rFonts w:hint="eastAsia"/>
          <w:rtl/>
        </w:rPr>
        <w:t>הצטרפות</w:t>
      </w:r>
      <w:r w:rsidRPr="005E7E86">
        <w:rPr>
          <w:rtl/>
        </w:rPr>
        <w:t xml:space="preserve"> </w:t>
      </w:r>
      <w:r w:rsidRPr="005E7E86">
        <w:rPr>
          <w:rFonts w:hint="eastAsia"/>
          <w:rtl/>
        </w:rPr>
        <w:t>בני</w:t>
      </w:r>
      <w:r w:rsidRPr="005E7E86">
        <w:rPr>
          <w:rtl/>
        </w:rPr>
        <w:t xml:space="preserve"> </w:t>
      </w:r>
      <w:r w:rsidRPr="005E7E86">
        <w:rPr>
          <w:rFonts w:hint="eastAsia"/>
          <w:rtl/>
        </w:rPr>
        <w:t>משפחה</w:t>
      </w:r>
      <w:r w:rsidRPr="005E7E86">
        <w:rPr>
          <w:rtl/>
        </w:rPr>
        <w:t xml:space="preserve"> </w:t>
      </w:r>
      <w:r w:rsidRPr="005E7E86">
        <w:rPr>
          <w:rFonts w:hint="eastAsia"/>
          <w:rtl/>
        </w:rPr>
        <w:t>והגורם</w:t>
      </w:r>
      <w:r w:rsidRPr="005E7E86">
        <w:rPr>
          <w:rtl/>
        </w:rPr>
        <w:t xml:space="preserve"> </w:t>
      </w:r>
      <w:r w:rsidRPr="005E7E86">
        <w:rPr>
          <w:rFonts w:hint="eastAsia"/>
          <w:rtl/>
        </w:rPr>
        <w:t>המממן</w:t>
      </w:r>
      <w:r w:rsidRPr="005E7E86">
        <w:rPr>
          <w:rtl/>
        </w:rPr>
        <w:t xml:space="preserve"> </w:t>
      </w:r>
      <w:r w:rsidRPr="005E7E86">
        <w:rPr>
          <w:rFonts w:hint="eastAsia"/>
          <w:rtl/>
        </w:rPr>
        <w:t>אות</w:t>
      </w:r>
      <w:r w:rsidRPr="005E7E86">
        <w:rPr>
          <w:rFonts w:hint="cs"/>
          <w:rtl/>
        </w:rPr>
        <w:t>ן</w:t>
      </w:r>
      <w:r w:rsidRPr="005E7E86">
        <w:rPr>
          <w:rtl/>
        </w:rPr>
        <w:t>.</w:t>
      </w:r>
      <w:r w:rsidRPr="005E7E86">
        <w:rPr>
          <w:rFonts w:hint="cs"/>
          <w:rtl/>
        </w:rPr>
        <w:t xml:space="preserve"> </w:t>
      </w:r>
      <w:r w:rsidRPr="005E7E86">
        <w:rPr>
          <w:rFonts w:hint="eastAsia"/>
          <w:rtl/>
        </w:rPr>
        <w:t>בפועל</w:t>
      </w:r>
      <w:r w:rsidRPr="005E7E86">
        <w:rPr>
          <w:rtl/>
        </w:rPr>
        <w:t xml:space="preserve"> </w:t>
      </w:r>
      <w:r w:rsidRPr="005E7E86">
        <w:rPr>
          <w:rFonts w:hint="eastAsia"/>
          <w:rtl/>
        </w:rPr>
        <w:t>אישור</w:t>
      </w:r>
      <w:r w:rsidRPr="005E7E86">
        <w:rPr>
          <w:rtl/>
        </w:rPr>
        <w:t xml:space="preserve"> </w:t>
      </w:r>
      <w:r w:rsidRPr="005E7E86">
        <w:rPr>
          <w:rFonts w:hint="eastAsia"/>
          <w:rtl/>
        </w:rPr>
        <w:t>הממשלה</w:t>
      </w:r>
      <w:r w:rsidRPr="005E7E86">
        <w:rPr>
          <w:rtl/>
        </w:rPr>
        <w:t xml:space="preserve"> </w:t>
      </w:r>
      <w:r w:rsidRPr="005E7E86">
        <w:rPr>
          <w:rFonts w:hint="eastAsia"/>
          <w:rtl/>
        </w:rPr>
        <w:t>נעשה</w:t>
      </w:r>
      <w:r w:rsidRPr="005E7E86">
        <w:rPr>
          <w:rtl/>
        </w:rPr>
        <w:t xml:space="preserve"> </w:t>
      </w:r>
      <w:r w:rsidRPr="005E7E86">
        <w:rPr>
          <w:rFonts w:hint="eastAsia"/>
          <w:rtl/>
        </w:rPr>
        <w:t>באופן</w:t>
      </w:r>
      <w:r w:rsidRPr="005E7E86">
        <w:rPr>
          <w:rtl/>
        </w:rPr>
        <w:t xml:space="preserve"> </w:t>
      </w:r>
      <w:r w:rsidRPr="005E7E86">
        <w:rPr>
          <w:rFonts w:hint="eastAsia"/>
          <w:rtl/>
        </w:rPr>
        <w:t>אוטומטי</w:t>
      </w:r>
      <w:r w:rsidRPr="005E7E86">
        <w:rPr>
          <w:rtl/>
        </w:rPr>
        <w:t xml:space="preserve"> </w:t>
      </w:r>
      <w:r w:rsidRPr="005E7E86">
        <w:rPr>
          <w:rFonts w:hint="eastAsia"/>
          <w:rtl/>
        </w:rPr>
        <w:t>ללא</w:t>
      </w:r>
      <w:r w:rsidRPr="005E7E86">
        <w:rPr>
          <w:rtl/>
        </w:rPr>
        <w:t xml:space="preserve"> </w:t>
      </w:r>
      <w:r w:rsidRPr="005E7E86">
        <w:rPr>
          <w:rFonts w:hint="eastAsia"/>
          <w:rtl/>
        </w:rPr>
        <w:t>בחינה</w:t>
      </w:r>
      <w:r w:rsidRPr="005E7E86">
        <w:rPr>
          <w:rtl/>
        </w:rPr>
        <w:t xml:space="preserve"> </w:t>
      </w:r>
      <w:r w:rsidRPr="005E7E86">
        <w:rPr>
          <w:rFonts w:hint="cs"/>
          <w:rtl/>
        </w:rPr>
        <w:t xml:space="preserve">והיה בגדר </w:t>
      </w:r>
      <w:r w:rsidRPr="005E7E86">
        <w:rPr>
          <w:rtl/>
        </w:rPr>
        <w:t>"חותמת גומי" בלבד.</w:t>
      </w:r>
    </w:p>
    <w:p w:rsidR="009B5B44" w:rsidRPr="005E7E86" w:rsidP="002E1867">
      <w:pPr>
        <w:pStyle w:val="ListParagraph"/>
        <w:numPr>
          <w:ilvl w:val="0"/>
          <w:numId w:val="15"/>
        </w:numPr>
        <w:spacing w:before="180" w:after="120" w:line="230" w:lineRule="exact"/>
        <w:jc w:val="both"/>
        <w:rPr>
          <w:rFonts w:ascii="Times New Roman" w:hAnsi="Times New Roman" w:cs="FrankRuehl"/>
          <w:sz w:val="20"/>
          <w:rtl/>
        </w:rPr>
      </w:pPr>
      <w:r w:rsidRPr="005E7E86">
        <w:rPr>
          <w:rFonts w:ascii="Times New Roman" w:hAnsi="Times New Roman" w:cs="FrankRuehl" w:hint="cs"/>
          <w:sz w:val="20"/>
          <w:rtl/>
        </w:rPr>
        <w:t>בדוח נסיעות שרים קבע מבקר המדינה כי ק</w:t>
      </w:r>
      <w:r w:rsidRPr="005E7E86">
        <w:rPr>
          <w:rFonts w:ascii="Times New Roman" w:hAnsi="Times New Roman" w:cs="FrankRuehl"/>
          <w:sz w:val="20"/>
          <w:rtl/>
        </w:rPr>
        <w:t>ודם שהממשלה מאשר</w:t>
      </w:r>
      <w:r w:rsidRPr="005E7E86">
        <w:rPr>
          <w:rFonts w:ascii="Times New Roman" w:hAnsi="Times New Roman" w:cs="FrankRuehl" w:hint="eastAsia"/>
          <w:sz w:val="20"/>
          <w:rtl/>
        </w:rPr>
        <w:t>ת</w:t>
      </w:r>
      <w:r w:rsidRPr="005E7E86">
        <w:rPr>
          <w:rFonts w:ascii="Times New Roman" w:hAnsi="Times New Roman" w:cs="FrankRuehl"/>
          <w:sz w:val="20"/>
          <w:rtl/>
        </w:rPr>
        <w:t xml:space="preserve"> נסיעה עליה לדרוש ולקבל מידע מפורט </w:t>
      </w:r>
      <w:r w:rsidRPr="005E7E86">
        <w:rPr>
          <w:rFonts w:ascii="Times New Roman" w:hAnsi="Times New Roman" w:cs="FrankRuehl" w:hint="cs"/>
          <w:sz w:val="20"/>
          <w:rtl/>
        </w:rPr>
        <w:t xml:space="preserve">בדבר </w:t>
      </w:r>
      <w:r w:rsidRPr="005E7E86">
        <w:rPr>
          <w:rFonts w:ascii="Times New Roman" w:hAnsi="Times New Roman" w:cs="FrankRuehl"/>
          <w:sz w:val="20"/>
          <w:rtl/>
        </w:rPr>
        <w:t xml:space="preserve">מטרת הנסיעה, הגורם המממן וההוצאות הכוללות הכרוכות במימושה, כדי שאישורה לא יהיה טכני אלא </w:t>
      </w:r>
      <w:r w:rsidRPr="005E7E86">
        <w:rPr>
          <w:rFonts w:ascii="Times New Roman" w:hAnsi="Times New Roman" w:cs="FrankRuehl" w:hint="cs"/>
          <w:sz w:val="20"/>
          <w:rtl/>
        </w:rPr>
        <w:t>י</w:t>
      </w:r>
      <w:r w:rsidRPr="005E7E86">
        <w:rPr>
          <w:rFonts w:ascii="Times New Roman" w:hAnsi="Times New Roman" w:cs="FrankRuehl"/>
          <w:sz w:val="20"/>
          <w:rtl/>
        </w:rPr>
        <w:t>יעשה על בסיס מלוא המידע הנדרש.</w:t>
      </w:r>
    </w:p>
    <w:p w:rsidR="009B5B44" w:rsidRPr="005E7E86" w:rsidP="002E1867">
      <w:pPr>
        <w:spacing w:after="240" w:line="230" w:lineRule="exact"/>
        <w:ind w:left="312"/>
        <w:jc w:val="both"/>
        <w:rPr>
          <w:rFonts w:cs="FrankRuehl"/>
          <w:sz w:val="20"/>
          <w:szCs w:val="22"/>
          <w:rtl/>
        </w:rPr>
      </w:pPr>
      <w:r w:rsidRPr="005E7E86">
        <w:rPr>
          <w:rFonts w:cs="FrankRuehl" w:hint="cs"/>
          <w:sz w:val="20"/>
          <w:szCs w:val="22"/>
          <w:rtl/>
        </w:rPr>
        <w:t>ביוני 2015 ערך משרד מבקר המדינה ביקורת מעקב בנושא אישור נסיעות שרים לחו"ל בידי הממשלה. הביקורת נעשתה במזכירות הממשלה ועסקה בבקשות השרים לנסיעות לחו"ל ואישורן על ידי הממשלה משנת 2012 עד אמצע שנת 2015.</w:t>
      </w:r>
    </w:p>
    <w:p w:rsidR="009B5B44" w:rsidRPr="005E7E86" w:rsidP="002E1867">
      <w:pPr>
        <w:pStyle w:val="RESHET"/>
        <w:keepLines/>
        <w:ind w:left="567"/>
        <w:rPr>
          <w:rtl/>
        </w:rPr>
      </w:pPr>
      <w:r w:rsidRPr="005E7E86">
        <w:rPr>
          <w:rFonts w:hint="cs"/>
          <w:rtl/>
        </w:rPr>
        <w:t xml:space="preserve">בביקורת נמצא כי שרים </w:t>
      </w:r>
      <w:r w:rsidRPr="005E7E86">
        <w:rPr>
          <w:rFonts w:hint="eastAsia"/>
          <w:rtl/>
        </w:rPr>
        <w:t>הגיש</w:t>
      </w:r>
      <w:r w:rsidRPr="005E7E86">
        <w:rPr>
          <w:rFonts w:hint="cs"/>
          <w:rtl/>
        </w:rPr>
        <w:t>ו</w:t>
      </w:r>
      <w:r w:rsidRPr="005E7E86">
        <w:rPr>
          <w:rtl/>
        </w:rPr>
        <w:t xml:space="preserve"> </w:t>
      </w:r>
      <w:r w:rsidRPr="005E7E86">
        <w:rPr>
          <w:rFonts w:hint="cs"/>
          <w:rtl/>
        </w:rPr>
        <w:t xml:space="preserve">לממשלה </w:t>
      </w:r>
      <w:r w:rsidRPr="005E7E86">
        <w:rPr>
          <w:rFonts w:hint="eastAsia"/>
          <w:rtl/>
        </w:rPr>
        <w:t>בקשות</w:t>
      </w:r>
      <w:r w:rsidRPr="005E7E86">
        <w:rPr>
          <w:rtl/>
        </w:rPr>
        <w:t xml:space="preserve"> </w:t>
      </w:r>
      <w:r w:rsidRPr="005E7E86">
        <w:rPr>
          <w:rFonts w:hint="eastAsia"/>
          <w:rtl/>
        </w:rPr>
        <w:t>לאישור</w:t>
      </w:r>
      <w:r w:rsidRPr="005E7E86">
        <w:rPr>
          <w:rtl/>
        </w:rPr>
        <w:t xml:space="preserve"> </w:t>
      </w:r>
      <w:r w:rsidRPr="005E7E86">
        <w:rPr>
          <w:rFonts w:hint="cs"/>
          <w:rtl/>
        </w:rPr>
        <w:t>נס</w:t>
      </w:r>
      <w:r w:rsidRPr="005E7E86">
        <w:rPr>
          <w:rFonts w:hint="eastAsia"/>
          <w:rtl/>
        </w:rPr>
        <w:t>יעותי</w:t>
      </w:r>
      <w:r w:rsidRPr="005E7E86">
        <w:rPr>
          <w:rFonts w:hint="cs"/>
          <w:rtl/>
        </w:rPr>
        <w:t>הם</w:t>
      </w:r>
      <w:r w:rsidRPr="005E7E86">
        <w:rPr>
          <w:rtl/>
        </w:rPr>
        <w:t xml:space="preserve"> </w:t>
      </w:r>
      <w:r w:rsidRPr="005E7E86">
        <w:rPr>
          <w:rFonts w:hint="eastAsia"/>
          <w:rtl/>
        </w:rPr>
        <w:t>בתפקיד</w:t>
      </w:r>
      <w:r w:rsidRPr="005E7E86">
        <w:rPr>
          <w:rFonts w:hint="cs"/>
          <w:rtl/>
        </w:rPr>
        <w:t xml:space="preserve"> בטופס המובנה, אך רישומיהם בטופס היו לקוניים ולא כללו</w:t>
      </w:r>
      <w:r w:rsidRPr="005E7E86">
        <w:rPr>
          <w:rtl/>
        </w:rPr>
        <w:t xml:space="preserve"> </w:t>
      </w:r>
      <w:r w:rsidRPr="005E7E86">
        <w:rPr>
          <w:rFonts w:hint="cs"/>
          <w:rtl/>
        </w:rPr>
        <w:t xml:space="preserve">מידע מפורט על </w:t>
      </w:r>
      <w:r w:rsidRPr="005E7E86">
        <w:rPr>
          <w:rFonts w:hint="eastAsia"/>
          <w:rtl/>
        </w:rPr>
        <w:t>אודות</w:t>
      </w:r>
      <w:r w:rsidRPr="005E7E86">
        <w:rPr>
          <w:rtl/>
        </w:rPr>
        <w:t xml:space="preserve"> </w:t>
      </w:r>
      <w:r w:rsidRPr="005E7E86">
        <w:rPr>
          <w:rFonts w:hint="eastAsia"/>
          <w:rtl/>
        </w:rPr>
        <w:t>הנסיעות</w:t>
      </w:r>
      <w:r w:rsidRPr="005E7E86">
        <w:rPr>
          <w:rtl/>
        </w:rPr>
        <w:t xml:space="preserve">, </w:t>
      </w:r>
      <w:r w:rsidRPr="005E7E86">
        <w:rPr>
          <w:rFonts w:hint="cs"/>
          <w:rtl/>
        </w:rPr>
        <w:t>מטרתן ו</w:t>
      </w:r>
      <w:r w:rsidRPr="005E7E86">
        <w:rPr>
          <w:rFonts w:hint="eastAsia"/>
          <w:rtl/>
        </w:rPr>
        <w:t>נחיצותן</w:t>
      </w:r>
      <w:r w:rsidRPr="005E7E86">
        <w:rPr>
          <w:rFonts w:hint="cs"/>
          <w:rtl/>
        </w:rPr>
        <w:t>.</w:t>
      </w:r>
    </w:p>
    <w:p w:rsidR="009B5B44" w:rsidRPr="005E7E86" w:rsidP="002E1867">
      <w:pPr>
        <w:pStyle w:val="RESHET"/>
        <w:keepLines/>
        <w:ind w:left="567"/>
        <w:rPr>
          <w:rtl/>
        </w:rPr>
      </w:pPr>
      <w:r w:rsidRPr="005E7E86">
        <w:rPr>
          <w:rFonts w:hint="cs"/>
          <w:rtl/>
        </w:rPr>
        <w:t>ביקורת המעקב העלתה כי גם בתקופה שנבדקה בה לא דנה הממשלה בבקשות</w:t>
      </w:r>
      <w:r w:rsidRPr="005E7E86">
        <w:rPr>
          <w:rtl/>
        </w:rPr>
        <w:t xml:space="preserve"> </w:t>
      </w:r>
      <w:r w:rsidRPr="005E7E86">
        <w:rPr>
          <w:rFonts w:hint="cs"/>
          <w:rtl/>
        </w:rPr>
        <w:t>ו</w:t>
      </w:r>
      <w:r w:rsidRPr="005E7E86">
        <w:rPr>
          <w:rFonts w:hint="eastAsia"/>
          <w:rtl/>
        </w:rPr>
        <w:t>אישר</w:t>
      </w:r>
      <w:r w:rsidRPr="005E7E86">
        <w:rPr>
          <w:rFonts w:hint="cs"/>
          <w:rtl/>
        </w:rPr>
        <w:t>ה</w:t>
      </w:r>
      <w:r w:rsidRPr="005E7E86">
        <w:rPr>
          <w:rtl/>
        </w:rPr>
        <w:t xml:space="preserve"> </w:t>
      </w:r>
      <w:r w:rsidRPr="005E7E86">
        <w:rPr>
          <w:rFonts w:hint="cs"/>
          <w:rtl/>
        </w:rPr>
        <w:t xml:space="preserve">אותן </w:t>
      </w:r>
      <w:r w:rsidRPr="005E7E86">
        <w:rPr>
          <w:rFonts w:hint="eastAsia"/>
          <w:rtl/>
        </w:rPr>
        <w:t>ללא</w:t>
      </w:r>
      <w:r w:rsidRPr="005E7E86">
        <w:rPr>
          <w:rtl/>
        </w:rPr>
        <w:t xml:space="preserve"> </w:t>
      </w:r>
      <w:r w:rsidRPr="005E7E86">
        <w:rPr>
          <w:rFonts w:hint="eastAsia"/>
          <w:rtl/>
        </w:rPr>
        <w:t>בחינה</w:t>
      </w:r>
      <w:r w:rsidRPr="005E7E86">
        <w:rPr>
          <w:rtl/>
        </w:rPr>
        <w:t>.</w:t>
      </w:r>
    </w:p>
    <w:p w:rsidR="009B5B44" w:rsidRPr="005E7E86" w:rsidP="002E1867">
      <w:pPr>
        <w:pStyle w:val="RESHET"/>
        <w:keepLines/>
        <w:ind w:left="567"/>
        <w:rPr>
          <w:rtl/>
        </w:rPr>
      </w:pPr>
      <w:r w:rsidRPr="005E7E86">
        <w:rPr>
          <w:rFonts w:hint="cs"/>
          <w:rtl/>
        </w:rPr>
        <w:t>יתרה מזו, לעניין מקור המימון לנסיעה - בטופס הבקשה לנסיעת שר לחו"ל בתפקיד, שהוא נספח לתקנון עבודת הממשלה, לא נדרש לציין מי ה</w:t>
      </w:r>
      <w:r w:rsidRPr="005E7E86">
        <w:rPr>
          <w:rFonts w:hint="eastAsia"/>
          <w:rtl/>
        </w:rPr>
        <w:t>גורם</w:t>
      </w:r>
      <w:r w:rsidRPr="005E7E86">
        <w:rPr>
          <w:rtl/>
        </w:rPr>
        <w:t xml:space="preserve"> </w:t>
      </w:r>
      <w:r w:rsidRPr="005E7E86">
        <w:rPr>
          <w:rFonts w:hint="eastAsia"/>
          <w:rtl/>
        </w:rPr>
        <w:t>המממן</w:t>
      </w:r>
      <w:r w:rsidRPr="005E7E86">
        <w:rPr>
          <w:rtl/>
        </w:rPr>
        <w:t xml:space="preserve"> </w:t>
      </w:r>
      <w:r w:rsidRPr="005E7E86">
        <w:rPr>
          <w:rFonts w:hint="eastAsia"/>
          <w:rtl/>
        </w:rPr>
        <w:t>א</w:t>
      </w:r>
      <w:r w:rsidRPr="005E7E86">
        <w:rPr>
          <w:rFonts w:hint="cs"/>
          <w:rtl/>
        </w:rPr>
        <w:t>ת הנסיעה. כפועל יוצא מכך, כשבקשה לנסיעת שר לחו"ל הובאה לפני הממשלה, לא ידעה הממשלה אם מדובר בנסיעה במימון ממשלתי או במימון חיצוני.</w:t>
      </w:r>
    </w:p>
    <w:p w:rsidR="009B5B44" w:rsidRPr="005E7E86" w:rsidP="002E1867">
      <w:pPr>
        <w:pStyle w:val="RESHET"/>
        <w:keepLines/>
        <w:ind w:left="567"/>
        <w:rPr>
          <w:rtl/>
        </w:rPr>
      </w:pPr>
      <w:r w:rsidRPr="005E7E86">
        <w:rPr>
          <w:rFonts w:hint="cs"/>
          <w:rtl/>
        </w:rPr>
        <w:t xml:space="preserve">לדעת משרד מבקר המדינה, כל עוד שרים מוסיפים לנסוע לחו"ל במימון חיצוני, ראוי שהממשלה תתקן את התקנון ותקבע שבטופס הבקשה יצוין הגורם המממן את הנסיעה, ויצוינו העלויות העקיפות שימומנו מקופת המדינה, וכן תקבע בתקנון חובה לצרף לבקשה את חוות דעתו של היועץ המשפטי המשרדי </w:t>
      </w:r>
      <w:r w:rsidRPr="005E7E86">
        <w:rPr>
          <w:rFonts w:hint="eastAsia"/>
          <w:rtl/>
        </w:rPr>
        <w:t>בעניין</w:t>
      </w:r>
      <w:r w:rsidRPr="005E7E86">
        <w:rPr>
          <w:rtl/>
        </w:rPr>
        <w:t xml:space="preserve"> </w:t>
      </w:r>
      <w:r w:rsidRPr="005E7E86">
        <w:rPr>
          <w:rFonts w:hint="eastAsia"/>
          <w:rtl/>
        </w:rPr>
        <w:t>זה</w:t>
      </w:r>
      <w:r w:rsidRPr="005E7E86">
        <w:rPr>
          <w:rFonts w:hint="cs"/>
          <w:rtl/>
        </w:rPr>
        <w:t>.</w:t>
      </w:r>
    </w:p>
    <w:p w:rsidR="009B5B44" w:rsidRPr="005E7E86" w:rsidP="002E1867">
      <w:pPr>
        <w:pStyle w:val="ListParagraph"/>
        <w:numPr>
          <w:ilvl w:val="0"/>
          <w:numId w:val="15"/>
        </w:numPr>
        <w:spacing w:before="180" w:after="240" w:line="230" w:lineRule="exact"/>
        <w:jc w:val="both"/>
        <w:rPr>
          <w:rFonts w:ascii="Times New Roman" w:hAnsi="Times New Roman" w:cs="FrankRuehl"/>
          <w:sz w:val="20"/>
          <w:rtl/>
        </w:rPr>
      </w:pPr>
      <w:r w:rsidRPr="005E7E86">
        <w:rPr>
          <w:rFonts w:ascii="Times New Roman" w:hAnsi="Times New Roman" w:cs="FrankRuehl" w:hint="cs"/>
          <w:sz w:val="20"/>
          <w:rtl/>
        </w:rPr>
        <w:t xml:space="preserve">בתגובת היועץ המשפטי לממשלה על טיוטת הדוח הוא ציין שהתקנון לעבודת הממשלה קובע כיום כי </w:t>
      </w:r>
      <w:r w:rsidRPr="005E7E86">
        <w:rPr>
          <w:rFonts w:ascii="Times New Roman" w:hAnsi="Times New Roman" w:cs="FrankRuehl"/>
          <w:sz w:val="20"/>
          <w:rtl/>
        </w:rPr>
        <w:t>"</w:t>
      </w:r>
      <w:r w:rsidRPr="005E7E86">
        <w:rPr>
          <w:rFonts w:ascii="Times New Roman" w:hAnsi="Times New Roman" w:cs="FrankRuehl" w:hint="cs"/>
          <w:sz w:val="20"/>
          <w:rtl/>
        </w:rPr>
        <w:t>נסיעת שר לחוץ</w:t>
      </w:r>
      <w:r w:rsidRPr="005E7E86">
        <w:rPr>
          <w:rFonts w:ascii="Times New Roman" w:hAnsi="Times New Roman" w:cs="FrankRuehl"/>
          <w:sz w:val="20"/>
          <w:rtl/>
        </w:rPr>
        <w:t>-</w:t>
      </w:r>
      <w:r w:rsidRPr="005E7E86">
        <w:rPr>
          <w:rFonts w:ascii="Times New Roman" w:hAnsi="Times New Roman" w:cs="FrankRuehl" w:hint="cs"/>
          <w:sz w:val="20"/>
          <w:rtl/>
        </w:rPr>
        <w:t>לארץ בתפקיד תהיה באישורו של ראש הממשלה והיא תובא</w:t>
      </w:r>
      <w:r w:rsidRPr="005E7E86">
        <w:rPr>
          <w:rFonts w:ascii="Times New Roman" w:hAnsi="Times New Roman" w:cs="FrankRuehl"/>
          <w:sz w:val="20"/>
          <w:rtl/>
        </w:rPr>
        <w:t xml:space="preserve"> </w:t>
      </w:r>
      <w:r w:rsidRPr="005E7E86">
        <w:rPr>
          <w:rFonts w:ascii="Times New Roman" w:hAnsi="Times New Roman" w:cs="FrankRuehl" w:hint="cs"/>
          <w:sz w:val="20"/>
          <w:rtl/>
        </w:rPr>
        <w:t>לידיעת</w:t>
      </w:r>
      <w:r w:rsidRPr="005E7E86">
        <w:rPr>
          <w:rFonts w:ascii="Times New Roman" w:hAnsi="Times New Roman" w:cs="FrankRuehl"/>
          <w:sz w:val="20"/>
          <w:rtl/>
        </w:rPr>
        <w:t xml:space="preserve"> </w:t>
      </w:r>
      <w:r w:rsidRPr="005E7E86">
        <w:rPr>
          <w:rFonts w:ascii="Times New Roman" w:hAnsi="Times New Roman" w:cs="FrankRuehl" w:hint="cs"/>
          <w:sz w:val="20"/>
          <w:rtl/>
        </w:rPr>
        <w:t>הממשלה</w:t>
      </w:r>
      <w:r w:rsidRPr="005E7E86">
        <w:rPr>
          <w:rFonts w:ascii="Times New Roman" w:hAnsi="Times New Roman" w:cs="FrankRuehl"/>
          <w:sz w:val="20"/>
          <w:rtl/>
        </w:rPr>
        <w:t xml:space="preserve">. </w:t>
      </w:r>
      <w:r w:rsidRPr="005E7E86">
        <w:rPr>
          <w:rFonts w:ascii="Times New Roman" w:hAnsi="Times New Roman" w:cs="FrankRuehl" w:hint="cs"/>
          <w:sz w:val="20"/>
          <w:rtl/>
        </w:rPr>
        <w:t>זאת</w:t>
      </w:r>
      <w:r w:rsidRPr="005E7E86">
        <w:rPr>
          <w:rFonts w:ascii="Times New Roman" w:hAnsi="Times New Roman" w:cs="FrankRuehl"/>
          <w:sz w:val="20"/>
          <w:rtl/>
        </w:rPr>
        <w:t xml:space="preserve">, </w:t>
      </w:r>
      <w:r w:rsidRPr="005E7E86">
        <w:rPr>
          <w:rFonts w:ascii="Times New Roman" w:hAnsi="Times New Roman" w:cs="FrankRuehl" w:hint="cs"/>
          <w:sz w:val="20"/>
          <w:rtl/>
        </w:rPr>
        <w:t>בשונה</w:t>
      </w:r>
      <w:r w:rsidRPr="005E7E86">
        <w:rPr>
          <w:rFonts w:ascii="Times New Roman" w:hAnsi="Times New Roman" w:cs="FrankRuehl"/>
          <w:sz w:val="20"/>
          <w:rtl/>
        </w:rPr>
        <w:t xml:space="preserve"> </w:t>
      </w:r>
      <w:r w:rsidRPr="005E7E86">
        <w:rPr>
          <w:rFonts w:ascii="Times New Roman" w:hAnsi="Times New Roman" w:cs="FrankRuehl" w:hint="cs"/>
          <w:sz w:val="20"/>
          <w:rtl/>
        </w:rPr>
        <w:t>מתקנוני</w:t>
      </w:r>
      <w:r w:rsidRPr="005E7E86">
        <w:rPr>
          <w:rFonts w:ascii="Times New Roman" w:hAnsi="Times New Roman" w:cs="FrankRuehl"/>
          <w:sz w:val="20"/>
          <w:rtl/>
        </w:rPr>
        <w:t xml:space="preserve"> </w:t>
      </w:r>
      <w:r w:rsidRPr="005E7E86">
        <w:rPr>
          <w:rFonts w:ascii="Times New Roman" w:hAnsi="Times New Roman" w:cs="FrankRuehl" w:hint="cs"/>
          <w:sz w:val="20"/>
          <w:rtl/>
        </w:rPr>
        <w:t>הממשלה</w:t>
      </w:r>
      <w:r w:rsidRPr="005E7E86">
        <w:rPr>
          <w:rFonts w:ascii="Times New Roman" w:hAnsi="Times New Roman" w:cs="FrankRuehl"/>
          <w:sz w:val="20"/>
          <w:rtl/>
        </w:rPr>
        <w:t xml:space="preserve"> </w:t>
      </w:r>
      <w:r w:rsidRPr="005E7E86">
        <w:rPr>
          <w:rFonts w:ascii="Times New Roman" w:hAnsi="Times New Roman" w:cs="FrankRuehl" w:hint="cs"/>
          <w:sz w:val="20"/>
          <w:rtl/>
        </w:rPr>
        <w:t>בעבר</w:t>
      </w:r>
      <w:r w:rsidRPr="005E7E86">
        <w:rPr>
          <w:rFonts w:ascii="Times New Roman" w:hAnsi="Times New Roman" w:cs="FrankRuehl"/>
          <w:sz w:val="20"/>
          <w:rtl/>
        </w:rPr>
        <w:t xml:space="preserve">, </w:t>
      </w:r>
      <w:r w:rsidRPr="005E7E86">
        <w:rPr>
          <w:rFonts w:ascii="Times New Roman" w:hAnsi="Times New Roman" w:cs="FrankRuehl" w:hint="cs"/>
          <w:sz w:val="20"/>
          <w:rtl/>
        </w:rPr>
        <w:t>אשר</w:t>
      </w:r>
      <w:r w:rsidRPr="005E7E86">
        <w:rPr>
          <w:rFonts w:ascii="Times New Roman" w:hAnsi="Times New Roman" w:cs="FrankRuehl"/>
          <w:sz w:val="20"/>
          <w:rtl/>
        </w:rPr>
        <w:t xml:space="preserve"> </w:t>
      </w:r>
      <w:r w:rsidRPr="005E7E86">
        <w:rPr>
          <w:rFonts w:ascii="Times New Roman" w:hAnsi="Times New Roman" w:cs="FrankRuehl" w:hint="cs"/>
          <w:sz w:val="20"/>
          <w:rtl/>
        </w:rPr>
        <w:t>קבעו</w:t>
      </w:r>
      <w:r w:rsidRPr="005E7E86">
        <w:rPr>
          <w:rFonts w:ascii="Times New Roman" w:hAnsi="Times New Roman" w:cs="FrankRuehl"/>
          <w:sz w:val="20"/>
          <w:rtl/>
        </w:rPr>
        <w:t xml:space="preserve"> </w:t>
      </w:r>
      <w:r w:rsidRPr="005E7E86">
        <w:rPr>
          <w:rFonts w:ascii="Times New Roman" w:hAnsi="Times New Roman" w:cs="FrankRuehl" w:hint="cs"/>
          <w:sz w:val="20"/>
          <w:rtl/>
        </w:rPr>
        <w:t>כי</w:t>
      </w:r>
      <w:r w:rsidRPr="005E7E86">
        <w:rPr>
          <w:rFonts w:ascii="Times New Roman" w:hAnsi="Times New Roman" w:cs="FrankRuehl"/>
          <w:sz w:val="20"/>
          <w:rtl/>
        </w:rPr>
        <w:t xml:space="preserve"> </w:t>
      </w:r>
      <w:r w:rsidRPr="005E7E86">
        <w:rPr>
          <w:rFonts w:ascii="Times New Roman" w:hAnsi="Times New Roman" w:cs="FrankRuehl" w:hint="cs"/>
          <w:sz w:val="20"/>
          <w:rtl/>
        </w:rPr>
        <w:t>יש</w:t>
      </w:r>
      <w:r w:rsidRPr="005E7E86">
        <w:rPr>
          <w:rFonts w:ascii="Times New Roman" w:hAnsi="Times New Roman" w:cs="FrankRuehl"/>
          <w:sz w:val="20"/>
          <w:rtl/>
        </w:rPr>
        <w:t xml:space="preserve"> </w:t>
      </w:r>
      <w:r w:rsidRPr="005E7E86">
        <w:rPr>
          <w:rFonts w:ascii="Times New Roman" w:hAnsi="Times New Roman" w:cs="FrankRuehl" w:hint="cs"/>
          <w:sz w:val="20"/>
          <w:rtl/>
        </w:rPr>
        <w:t>לקבל</w:t>
      </w:r>
      <w:r w:rsidRPr="005E7E86">
        <w:rPr>
          <w:rFonts w:ascii="Times New Roman" w:hAnsi="Times New Roman" w:cs="FrankRuehl"/>
          <w:sz w:val="20"/>
          <w:rtl/>
        </w:rPr>
        <w:t xml:space="preserve"> </w:t>
      </w:r>
      <w:r w:rsidRPr="005E7E86">
        <w:rPr>
          <w:rFonts w:ascii="Times New Roman" w:hAnsi="Times New Roman" w:cs="FrankRuehl" w:hint="cs"/>
          <w:sz w:val="20"/>
          <w:rtl/>
        </w:rPr>
        <w:t>את</w:t>
      </w:r>
      <w:r w:rsidRPr="005E7E86">
        <w:rPr>
          <w:rFonts w:ascii="Times New Roman" w:hAnsi="Times New Roman" w:cs="FrankRuehl"/>
          <w:sz w:val="20"/>
          <w:rtl/>
        </w:rPr>
        <w:t xml:space="preserve"> </w:t>
      </w:r>
      <w:r w:rsidRPr="005E7E86">
        <w:rPr>
          <w:rFonts w:ascii="Times New Roman" w:hAnsi="Times New Roman" w:cs="FrankRuehl" w:hint="cs"/>
          <w:sz w:val="20"/>
          <w:rtl/>
        </w:rPr>
        <w:t>אישורה</w:t>
      </w:r>
      <w:r w:rsidRPr="005E7E86">
        <w:rPr>
          <w:rFonts w:ascii="Times New Roman" w:hAnsi="Times New Roman" w:cs="FrankRuehl"/>
          <w:sz w:val="20"/>
          <w:rtl/>
        </w:rPr>
        <w:t xml:space="preserve"> </w:t>
      </w:r>
      <w:r w:rsidRPr="005E7E86">
        <w:rPr>
          <w:rFonts w:ascii="Times New Roman" w:hAnsi="Times New Roman" w:cs="FrankRuehl" w:hint="cs"/>
          <w:sz w:val="20"/>
          <w:rtl/>
        </w:rPr>
        <w:t>של</w:t>
      </w:r>
      <w:r w:rsidRPr="005E7E86">
        <w:rPr>
          <w:rFonts w:ascii="Times New Roman" w:hAnsi="Times New Roman" w:cs="FrankRuehl"/>
          <w:sz w:val="20"/>
          <w:rtl/>
        </w:rPr>
        <w:t xml:space="preserve"> </w:t>
      </w:r>
      <w:r w:rsidRPr="005E7E86">
        <w:rPr>
          <w:rFonts w:ascii="Times New Roman" w:hAnsi="Times New Roman" w:cs="FrankRuehl" w:hint="cs"/>
          <w:sz w:val="20"/>
          <w:rtl/>
        </w:rPr>
        <w:t>הממשלה</w:t>
      </w:r>
      <w:r w:rsidRPr="005E7E86">
        <w:rPr>
          <w:rFonts w:ascii="Times New Roman" w:hAnsi="Times New Roman" w:cs="FrankRuehl"/>
          <w:sz w:val="20"/>
          <w:rtl/>
        </w:rPr>
        <w:t xml:space="preserve"> </w:t>
      </w:r>
      <w:r w:rsidRPr="005E7E86">
        <w:rPr>
          <w:rFonts w:ascii="Times New Roman" w:hAnsi="Times New Roman" w:cs="FrankRuehl" w:hint="cs"/>
          <w:sz w:val="20"/>
          <w:rtl/>
        </w:rPr>
        <w:t>כולה</w:t>
      </w:r>
      <w:r w:rsidRPr="005E7E86">
        <w:rPr>
          <w:rFonts w:ascii="Times New Roman" w:hAnsi="Times New Roman" w:cs="FrankRuehl"/>
          <w:sz w:val="20"/>
          <w:rtl/>
        </w:rPr>
        <w:t xml:space="preserve"> </w:t>
      </w:r>
      <w:r w:rsidRPr="005E7E86">
        <w:rPr>
          <w:rFonts w:ascii="Times New Roman" w:hAnsi="Times New Roman" w:cs="FrankRuehl" w:hint="cs"/>
          <w:sz w:val="20"/>
          <w:rtl/>
        </w:rPr>
        <w:t>לנסיעות</w:t>
      </w:r>
      <w:r w:rsidRPr="005E7E86">
        <w:rPr>
          <w:rFonts w:ascii="Times New Roman" w:hAnsi="Times New Roman" w:cs="FrankRuehl"/>
          <w:sz w:val="20"/>
          <w:rtl/>
        </w:rPr>
        <w:t xml:space="preserve"> </w:t>
      </w:r>
      <w:r w:rsidRPr="005E7E86">
        <w:rPr>
          <w:rFonts w:ascii="Times New Roman" w:hAnsi="Times New Roman" w:cs="FrankRuehl" w:hint="cs"/>
          <w:sz w:val="20"/>
          <w:rtl/>
        </w:rPr>
        <w:t>כאמור</w:t>
      </w:r>
      <w:r w:rsidRPr="005E7E86">
        <w:rPr>
          <w:rFonts w:ascii="Times New Roman" w:hAnsi="Times New Roman" w:cs="FrankRuehl"/>
          <w:sz w:val="20"/>
          <w:rtl/>
        </w:rPr>
        <w:t xml:space="preserve">. </w:t>
      </w:r>
      <w:r w:rsidRPr="005E7E86">
        <w:rPr>
          <w:rFonts w:ascii="Times New Roman" w:hAnsi="Times New Roman" w:cs="FrankRuehl" w:hint="cs"/>
          <w:sz w:val="20"/>
          <w:rtl/>
        </w:rPr>
        <w:t>התיקון</w:t>
      </w:r>
      <w:r w:rsidRPr="005E7E86">
        <w:rPr>
          <w:rFonts w:ascii="Times New Roman" w:hAnsi="Times New Roman" w:cs="FrankRuehl"/>
          <w:sz w:val="20"/>
          <w:rtl/>
        </w:rPr>
        <w:t xml:space="preserve"> </w:t>
      </w:r>
      <w:r w:rsidRPr="005E7E86">
        <w:rPr>
          <w:rFonts w:ascii="Times New Roman" w:hAnsi="Times New Roman" w:cs="FrankRuehl" w:hint="cs"/>
          <w:sz w:val="20"/>
          <w:rtl/>
        </w:rPr>
        <w:t>שנערך</w:t>
      </w:r>
      <w:r w:rsidRPr="005E7E86">
        <w:rPr>
          <w:rFonts w:ascii="Times New Roman" w:hAnsi="Times New Roman" w:cs="FrankRuehl"/>
          <w:sz w:val="20"/>
          <w:rtl/>
        </w:rPr>
        <w:t xml:space="preserve"> </w:t>
      </w:r>
      <w:r w:rsidRPr="005E7E86">
        <w:rPr>
          <w:rFonts w:ascii="Times New Roman" w:hAnsi="Times New Roman" w:cs="FrankRuehl" w:hint="cs"/>
          <w:sz w:val="20"/>
          <w:rtl/>
        </w:rPr>
        <w:t>בתקנון</w:t>
      </w:r>
      <w:r w:rsidRPr="005E7E86">
        <w:rPr>
          <w:rFonts w:ascii="Times New Roman" w:hAnsi="Times New Roman" w:cs="FrankRuehl"/>
          <w:sz w:val="20"/>
          <w:rtl/>
        </w:rPr>
        <w:t xml:space="preserve"> </w:t>
      </w:r>
      <w:r w:rsidRPr="005E7E86">
        <w:rPr>
          <w:rFonts w:ascii="Times New Roman" w:hAnsi="Times New Roman" w:cs="FrankRuehl" w:hint="cs"/>
          <w:sz w:val="20"/>
          <w:rtl/>
        </w:rPr>
        <w:t>בעניין</w:t>
      </w:r>
      <w:r w:rsidRPr="005E7E86">
        <w:rPr>
          <w:rFonts w:ascii="Times New Roman" w:hAnsi="Times New Roman" w:cs="FrankRuehl"/>
          <w:sz w:val="20"/>
          <w:rtl/>
        </w:rPr>
        <w:t xml:space="preserve"> </w:t>
      </w:r>
      <w:r w:rsidRPr="005E7E86">
        <w:rPr>
          <w:rFonts w:ascii="Times New Roman" w:hAnsi="Times New Roman" w:cs="FrankRuehl" w:hint="cs"/>
          <w:sz w:val="20"/>
          <w:rtl/>
        </w:rPr>
        <w:t>זה</w:t>
      </w:r>
      <w:r w:rsidRPr="005E7E86">
        <w:rPr>
          <w:rFonts w:ascii="Times New Roman" w:hAnsi="Times New Roman" w:cs="FrankRuehl"/>
          <w:sz w:val="20"/>
          <w:rtl/>
        </w:rPr>
        <w:t xml:space="preserve"> </w:t>
      </w:r>
      <w:r w:rsidRPr="005E7E86">
        <w:rPr>
          <w:rFonts w:ascii="Times New Roman" w:hAnsi="Times New Roman" w:cs="FrankRuehl" w:hint="cs"/>
          <w:sz w:val="20"/>
          <w:rtl/>
        </w:rPr>
        <w:t>התבסס</w:t>
      </w:r>
      <w:r w:rsidRPr="005E7E86">
        <w:rPr>
          <w:rFonts w:ascii="Times New Roman" w:hAnsi="Times New Roman" w:cs="FrankRuehl"/>
          <w:sz w:val="20"/>
          <w:rtl/>
        </w:rPr>
        <w:t xml:space="preserve"> </w:t>
      </w:r>
      <w:r w:rsidRPr="005E7E86">
        <w:rPr>
          <w:rFonts w:ascii="Times New Roman" w:hAnsi="Times New Roman" w:cs="FrankRuehl" w:hint="cs"/>
          <w:sz w:val="20"/>
          <w:rtl/>
        </w:rPr>
        <w:t>בין</w:t>
      </w:r>
      <w:r w:rsidRPr="005E7E86">
        <w:rPr>
          <w:rFonts w:ascii="Times New Roman" w:hAnsi="Times New Roman" w:cs="FrankRuehl"/>
          <w:sz w:val="20"/>
          <w:rtl/>
        </w:rPr>
        <w:t xml:space="preserve"> </w:t>
      </w:r>
      <w:r w:rsidRPr="005E7E86">
        <w:rPr>
          <w:rFonts w:ascii="Times New Roman" w:hAnsi="Times New Roman" w:cs="FrankRuehl" w:hint="cs"/>
          <w:sz w:val="20"/>
          <w:rtl/>
        </w:rPr>
        <w:t>היתר</w:t>
      </w:r>
      <w:r w:rsidRPr="005E7E86">
        <w:rPr>
          <w:rFonts w:ascii="Times New Roman" w:hAnsi="Times New Roman" w:cs="FrankRuehl"/>
          <w:sz w:val="20"/>
          <w:rtl/>
        </w:rPr>
        <w:t xml:space="preserve"> </w:t>
      </w:r>
      <w:r w:rsidRPr="005E7E86">
        <w:rPr>
          <w:rFonts w:ascii="Times New Roman" w:hAnsi="Times New Roman" w:cs="FrankRuehl" w:hint="cs"/>
          <w:sz w:val="20"/>
          <w:rtl/>
        </w:rPr>
        <w:t>על</w:t>
      </w:r>
      <w:r w:rsidRPr="005E7E86">
        <w:rPr>
          <w:rFonts w:ascii="Times New Roman" w:hAnsi="Times New Roman" w:cs="FrankRuehl"/>
          <w:sz w:val="20"/>
          <w:rtl/>
        </w:rPr>
        <w:t xml:space="preserve"> </w:t>
      </w:r>
      <w:r w:rsidRPr="005E7E86">
        <w:rPr>
          <w:rFonts w:ascii="Times New Roman" w:hAnsi="Times New Roman" w:cs="FrankRuehl" w:hint="cs"/>
          <w:sz w:val="20"/>
          <w:rtl/>
        </w:rPr>
        <w:t>ממצאי</w:t>
      </w:r>
      <w:r w:rsidRPr="005E7E86">
        <w:rPr>
          <w:rFonts w:ascii="Times New Roman" w:hAnsi="Times New Roman" w:cs="FrankRuehl"/>
          <w:sz w:val="20"/>
          <w:rtl/>
        </w:rPr>
        <w:t xml:space="preserve"> </w:t>
      </w:r>
      <w:r w:rsidRPr="005E7E86">
        <w:rPr>
          <w:rFonts w:ascii="Times New Roman" w:hAnsi="Times New Roman" w:cs="FrankRuehl" w:hint="cs"/>
          <w:sz w:val="20"/>
          <w:rtl/>
        </w:rPr>
        <w:t>דו</w:t>
      </w:r>
      <w:r w:rsidRPr="005E7E86">
        <w:rPr>
          <w:rFonts w:ascii="Times New Roman" w:hAnsi="Times New Roman" w:cs="FrankRuehl"/>
          <w:sz w:val="20"/>
          <w:rtl/>
        </w:rPr>
        <w:t>"</w:t>
      </w:r>
      <w:r w:rsidRPr="005E7E86">
        <w:rPr>
          <w:rFonts w:ascii="Times New Roman" w:hAnsi="Times New Roman" w:cs="FrankRuehl" w:hint="cs"/>
          <w:sz w:val="20"/>
          <w:rtl/>
        </w:rPr>
        <w:t>ח</w:t>
      </w:r>
      <w:r w:rsidRPr="005E7E86">
        <w:rPr>
          <w:rFonts w:ascii="Times New Roman" w:hAnsi="Times New Roman" w:cs="FrankRuehl"/>
          <w:sz w:val="20"/>
          <w:rtl/>
        </w:rPr>
        <w:t xml:space="preserve"> </w:t>
      </w:r>
      <w:r w:rsidRPr="005E7E86">
        <w:rPr>
          <w:rFonts w:ascii="Times New Roman" w:hAnsi="Times New Roman" w:cs="FrankRuehl" w:hint="cs"/>
          <w:sz w:val="20"/>
          <w:rtl/>
        </w:rPr>
        <w:t>הביקורת</w:t>
      </w:r>
      <w:r w:rsidRPr="005E7E86">
        <w:rPr>
          <w:rFonts w:ascii="Times New Roman" w:hAnsi="Times New Roman" w:cs="FrankRuehl"/>
          <w:sz w:val="20"/>
          <w:rtl/>
        </w:rPr>
        <w:t xml:space="preserve"> </w:t>
      </w:r>
      <w:r w:rsidRPr="005E7E86">
        <w:rPr>
          <w:rFonts w:ascii="Times New Roman" w:hAnsi="Times New Roman" w:cs="FrankRuehl" w:hint="cs"/>
          <w:sz w:val="20"/>
          <w:rtl/>
        </w:rPr>
        <w:t>הקודם</w:t>
      </w:r>
      <w:r w:rsidRPr="005E7E86">
        <w:rPr>
          <w:rFonts w:ascii="Times New Roman" w:hAnsi="Times New Roman" w:cs="FrankRuehl"/>
          <w:sz w:val="20"/>
          <w:rtl/>
        </w:rPr>
        <w:t xml:space="preserve"> </w:t>
      </w:r>
      <w:r w:rsidRPr="005E7E86">
        <w:rPr>
          <w:rFonts w:ascii="Times New Roman" w:hAnsi="Times New Roman" w:cs="FrankRuehl" w:hint="cs"/>
          <w:sz w:val="20"/>
          <w:rtl/>
        </w:rPr>
        <w:t>בנושא</w:t>
      </w:r>
      <w:r w:rsidRPr="005E7E86">
        <w:rPr>
          <w:rFonts w:ascii="Times New Roman" w:hAnsi="Times New Roman" w:cs="FrankRuehl"/>
          <w:sz w:val="20"/>
          <w:rtl/>
        </w:rPr>
        <w:t xml:space="preserve">, </w:t>
      </w:r>
      <w:r w:rsidRPr="005E7E86">
        <w:rPr>
          <w:rFonts w:ascii="Times New Roman" w:hAnsi="Times New Roman" w:cs="FrankRuehl" w:hint="cs"/>
          <w:sz w:val="20"/>
          <w:rtl/>
        </w:rPr>
        <w:t>אשר</w:t>
      </w:r>
      <w:r w:rsidRPr="005E7E86">
        <w:rPr>
          <w:rFonts w:ascii="Times New Roman" w:hAnsi="Times New Roman" w:cs="FrankRuehl"/>
          <w:sz w:val="20"/>
          <w:rtl/>
        </w:rPr>
        <w:t xml:space="preserve"> </w:t>
      </w:r>
      <w:r w:rsidRPr="005E7E86">
        <w:rPr>
          <w:rFonts w:ascii="Times New Roman" w:hAnsi="Times New Roman" w:cs="FrankRuehl" w:hint="cs"/>
          <w:sz w:val="20"/>
          <w:rtl/>
        </w:rPr>
        <w:t>העלו</w:t>
      </w:r>
      <w:r w:rsidRPr="005E7E86">
        <w:rPr>
          <w:rFonts w:ascii="Times New Roman" w:hAnsi="Times New Roman" w:cs="FrankRuehl"/>
          <w:sz w:val="20"/>
          <w:rtl/>
        </w:rPr>
        <w:t xml:space="preserve"> </w:t>
      </w:r>
      <w:r w:rsidRPr="005E7E86">
        <w:rPr>
          <w:rFonts w:ascii="Times New Roman" w:hAnsi="Times New Roman" w:cs="FrankRuehl" w:hint="cs"/>
          <w:sz w:val="20"/>
          <w:rtl/>
        </w:rPr>
        <w:t>כי</w:t>
      </w:r>
      <w:r w:rsidRPr="005E7E86">
        <w:rPr>
          <w:rFonts w:ascii="Times New Roman" w:hAnsi="Times New Roman" w:cs="FrankRuehl"/>
          <w:sz w:val="20"/>
          <w:rtl/>
        </w:rPr>
        <w:t xml:space="preserve"> </w:t>
      </w:r>
      <w:r w:rsidRPr="005E7E86">
        <w:rPr>
          <w:rFonts w:ascii="Times New Roman" w:hAnsi="Times New Roman" w:cs="FrankRuehl" w:hint="cs"/>
          <w:sz w:val="20"/>
          <w:rtl/>
        </w:rPr>
        <w:t>החלטות</w:t>
      </w:r>
      <w:r w:rsidRPr="005E7E86">
        <w:rPr>
          <w:rFonts w:ascii="Times New Roman" w:hAnsi="Times New Roman" w:cs="FrankRuehl"/>
          <w:sz w:val="20"/>
          <w:rtl/>
        </w:rPr>
        <w:t xml:space="preserve"> </w:t>
      </w:r>
      <w:r w:rsidRPr="005E7E86">
        <w:rPr>
          <w:rFonts w:ascii="Times New Roman" w:hAnsi="Times New Roman" w:cs="FrankRuehl" w:hint="cs"/>
          <w:sz w:val="20"/>
          <w:rtl/>
        </w:rPr>
        <w:t>הממשלה</w:t>
      </w:r>
      <w:r w:rsidRPr="005E7E86">
        <w:rPr>
          <w:rFonts w:ascii="Times New Roman" w:hAnsi="Times New Roman" w:cs="FrankRuehl"/>
          <w:sz w:val="20"/>
          <w:rtl/>
        </w:rPr>
        <w:t xml:space="preserve"> </w:t>
      </w:r>
      <w:r w:rsidRPr="005E7E86">
        <w:rPr>
          <w:rFonts w:ascii="Times New Roman" w:hAnsi="Times New Roman" w:cs="FrankRuehl" w:hint="eastAsia"/>
          <w:sz w:val="20"/>
          <w:rtl/>
        </w:rPr>
        <w:t>בעניין</w:t>
      </w:r>
      <w:r w:rsidRPr="005E7E86">
        <w:rPr>
          <w:rFonts w:ascii="Times New Roman" w:hAnsi="Times New Roman" w:cs="FrankRuehl"/>
          <w:sz w:val="20"/>
          <w:rtl/>
        </w:rPr>
        <w:t xml:space="preserve"> </w:t>
      </w:r>
      <w:r w:rsidRPr="005E7E86">
        <w:rPr>
          <w:rFonts w:ascii="Times New Roman" w:hAnsi="Times New Roman" w:cs="FrankRuehl" w:hint="eastAsia"/>
          <w:sz w:val="20"/>
          <w:rtl/>
        </w:rPr>
        <w:t>זה</w:t>
      </w:r>
      <w:r w:rsidRPr="005E7E86">
        <w:rPr>
          <w:rFonts w:ascii="Times New Roman" w:hAnsi="Times New Roman" w:cs="FrankRuehl"/>
          <w:sz w:val="20"/>
          <w:rtl/>
        </w:rPr>
        <w:t xml:space="preserve"> </w:t>
      </w:r>
      <w:r w:rsidRPr="005E7E86">
        <w:rPr>
          <w:rFonts w:ascii="Times New Roman" w:hAnsi="Times New Roman" w:cs="FrankRuehl" w:hint="eastAsia"/>
          <w:sz w:val="20"/>
          <w:rtl/>
        </w:rPr>
        <w:t>התקבלו</w:t>
      </w:r>
      <w:r w:rsidRPr="005E7E86">
        <w:rPr>
          <w:rFonts w:ascii="Times New Roman" w:hAnsi="Times New Roman" w:cs="FrankRuehl"/>
          <w:sz w:val="20"/>
          <w:rtl/>
        </w:rPr>
        <w:t xml:space="preserve"> </w:t>
      </w:r>
      <w:r w:rsidRPr="005E7E86">
        <w:rPr>
          <w:rFonts w:ascii="Times New Roman" w:hAnsi="Times New Roman" w:cs="FrankRuehl" w:hint="eastAsia"/>
          <w:sz w:val="20"/>
          <w:rtl/>
        </w:rPr>
        <w:t>בעבר</w:t>
      </w:r>
      <w:r w:rsidRPr="005E7E86">
        <w:rPr>
          <w:rFonts w:ascii="Times New Roman" w:hAnsi="Times New Roman" w:cs="FrankRuehl"/>
          <w:sz w:val="20"/>
          <w:rtl/>
        </w:rPr>
        <w:t xml:space="preserve"> </w:t>
      </w:r>
      <w:r w:rsidRPr="005E7E86">
        <w:rPr>
          <w:rFonts w:ascii="Times New Roman" w:hAnsi="Times New Roman" w:cs="FrankRuehl" w:hint="eastAsia"/>
          <w:sz w:val="20"/>
          <w:rtl/>
        </w:rPr>
        <w:t>ללא</w:t>
      </w:r>
      <w:r w:rsidRPr="005E7E86">
        <w:rPr>
          <w:rFonts w:ascii="Times New Roman" w:hAnsi="Times New Roman" w:cs="FrankRuehl"/>
          <w:sz w:val="20"/>
          <w:rtl/>
        </w:rPr>
        <w:t xml:space="preserve"> </w:t>
      </w:r>
      <w:r w:rsidRPr="005E7E86">
        <w:rPr>
          <w:rFonts w:ascii="Times New Roman" w:hAnsi="Times New Roman" w:cs="FrankRuehl" w:hint="eastAsia"/>
          <w:sz w:val="20"/>
          <w:rtl/>
        </w:rPr>
        <w:t>כל</w:t>
      </w:r>
      <w:r w:rsidRPr="005E7E86">
        <w:rPr>
          <w:rFonts w:ascii="Times New Roman" w:hAnsi="Times New Roman" w:cs="FrankRuehl"/>
          <w:sz w:val="20"/>
          <w:rtl/>
        </w:rPr>
        <w:t xml:space="preserve"> </w:t>
      </w:r>
      <w:r w:rsidRPr="005E7E86">
        <w:rPr>
          <w:rFonts w:ascii="Times New Roman" w:hAnsi="Times New Roman" w:cs="FrankRuehl" w:hint="eastAsia"/>
          <w:sz w:val="20"/>
          <w:rtl/>
        </w:rPr>
        <w:t>תהליך</w:t>
      </w:r>
      <w:r w:rsidRPr="005E7E86">
        <w:rPr>
          <w:rFonts w:ascii="Times New Roman" w:hAnsi="Times New Roman" w:cs="FrankRuehl"/>
          <w:sz w:val="20"/>
          <w:rtl/>
        </w:rPr>
        <w:t xml:space="preserve"> </w:t>
      </w:r>
      <w:r w:rsidRPr="005E7E86">
        <w:rPr>
          <w:rFonts w:ascii="Times New Roman" w:hAnsi="Times New Roman" w:cs="FrankRuehl" w:hint="eastAsia"/>
          <w:sz w:val="20"/>
          <w:rtl/>
        </w:rPr>
        <w:t>של</w:t>
      </w:r>
      <w:r w:rsidRPr="005E7E86">
        <w:rPr>
          <w:rFonts w:ascii="Times New Roman" w:hAnsi="Times New Roman" w:cs="FrankRuehl"/>
          <w:sz w:val="20"/>
          <w:rtl/>
        </w:rPr>
        <w:t xml:space="preserve"> </w:t>
      </w:r>
      <w:r w:rsidRPr="005E7E86">
        <w:rPr>
          <w:rFonts w:ascii="Times New Roman" w:hAnsi="Times New Roman" w:cs="FrankRuehl" w:hint="eastAsia"/>
          <w:sz w:val="20"/>
          <w:rtl/>
        </w:rPr>
        <w:t>שקילה</w:t>
      </w:r>
      <w:r w:rsidRPr="005E7E86">
        <w:rPr>
          <w:rFonts w:ascii="Times New Roman" w:hAnsi="Times New Roman" w:cs="FrankRuehl"/>
          <w:sz w:val="20"/>
          <w:rtl/>
        </w:rPr>
        <w:t xml:space="preserve"> </w:t>
      </w:r>
      <w:r w:rsidRPr="005E7E86">
        <w:rPr>
          <w:rFonts w:ascii="Times New Roman" w:hAnsi="Times New Roman" w:cs="FrankRuehl" w:hint="eastAsia"/>
          <w:sz w:val="20"/>
          <w:rtl/>
        </w:rPr>
        <w:t>ודיון</w:t>
      </w:r>
      <w:r w:rsidRPr="005E7E86">
        <w:rPr>
          <w:rFonts w:ascii="Times New Roman" w:hAnsi="Times New Roman" w:cs="FrankRuehl"/>
          <w:sz w:val="20"/>
          <w:rtl/>
        </w:rPr>
        <w:t xml:space="preserve">, </w:t>
      </w:r>
      <w:r w:rsidRPr="005E7E86">
        <w:rPr>
          <w:rFonts w:ascii="Times New Roman" w:hAnsi="Times New Roman" w:cs="FrankRuehl" w:hint="cs"/>
          <w:sz w:val="20"/>
          <w:rtl/>
        </w:rPr>
        <w:t>כמו</w:t>
      </w:r>
      <w:r w:rsidRPr="005E7E86">
        <w:rPr>
          <w:rFonts w:ascii="Times New Roman" w:hAnsi="Times New Roman" w:cs="FrankRuehl"/>
          <w:sz w:val="20"/>
          <w:rtl/>
        </w:rPr>
        <w:t xml:space="preserve"> </w:t>
      </w:r>
      <w:r w:rsidRPr="005E7E86">
        <w:rPr>
          <w:rFonts w:ascii="Times New Roman" w:hAnsi="Times New Roman" w:cs="FrankRuehl" w:hint="cs"/>
          <w:sz w:val="20"/>
          <w:rtl/>
        </w:rPr>
        <w:t>גם</w:t>
      </w:r>
      <w:r w:rsidRPr="005E7E86">
        <w:rPr>
          <w:rFonts w:ascii="Times New Roman" w:hAnsi="Times New Roman" w:cs="FrankRuehl"/>
          <w:sz w:val="20"/>
          <w:rtl/>
        </w:rPr>
        <w:t xml:space="preserve"> </w:t>
      </w:r>
      <w:r w:rsidRPr="005E7E86">
        <w:rPr>
          <w:rFonts w:ascii="Times New Roman" w:hAnsi="Times New Roman" w:cs="FrankRuehl" w:hint="cs"/>
          <w:sz w:val="20"/>
          <w:rtl/>
        </w:rPr>
        <w:t>על</w:t>
      </w:r>
      <w:r w:rsidRPr="005E7E86">
        <w:rPr>
          <w:rFonts w:ascii="Times New Roman" w:hAnsi="Times New Roman" w:cs="FrankRuehl"/>
          <w:sz w:val="20"/>
          <w:rtl/>
        </w:rPr>
        <w:t xml:space="preserve"> </w:t>
      </w:r>
      <w:r w:rsidRPr="005E7E86">
        <w:rPr>
          <w:rFonts w:ascii="Times New Roman" w:hAnsi="Times New Roman" w:cs="FrankRuehl" w:hint="cs"/>
          <w:sz w:val="20"/>
          <w:rtl/>
        </w:rPr>
        <w:t>יסוד</w:t>
      </w:r>
      <w:r w:rsidRPr="005E7E86">
        <w:rPr>
          <w:rFonts w:ascii="Times New Roman" w:hAnsi="Times New Roman" w:cs="FrankRuehl"/>
          <w:sz w:val="20"/>
          <w:rtl/>
        </w:rPr>
        <w:t xml:space="preserve"> </w:t>
      </w:r>
      <w:r w:rsidRPr="005E7E86">
        <w:rPr>
          <w:rFonts w:ascii="Times New Roman" w:hAnsi="Times New Roman" w:cs="FrankRuehl" w:hint="cs"/>
          <w:sz w:val="20"/>
          <w:rtl/>
        </w:rPr>
        <w:t>התפיסה</w:t>
      </w:r>
      <w:r w:rsidRPr="005E7E86">
        <w:rPr>
          <w:rFonts w:ascii="Times New Roman" w:hAnsi="Times New Roman" w:cs="FrankRuehl"/>
          <w:sz w:val="20"/>
          <w:rtl/>
        </w:rPr>
        <w:t xml:space="preserve"> </w:t>
      </w:r>
      <w:r w:rsidRPr="005E7E86">
        <w:rPr>
          <w:rFonts w:ascii="Times New Roman" w:hAnsi="Times New Roman" w:cs="FrankRuehl" w:hint="cs"/>
          <w:sz w:val="20"/>
          <w:rtl/>
        </w:rPr>
        <w:t>כי</w:t>
      </w:r>
      <w:r w:rsidRPr="005E7E86">
        <w:rPr>
          <w:rFonts w:ascii="Times New Roman" w:hAnsi="Times New Roman" w:cs="FrankRuehl"/>
          <w:sz w:val="20"/>
          <w:rtl/>
        </w:rPr>
        <w:t xml:space="preserve"> </w:t>
      </w:r>
      <w:r w:rsidRPr="005E7E86">
        <w:rPr>
          <w:rFonts w:ascii="Times New Roman" w:hAnsi="Times New Roman" w:cs="FrankRuehl" w:hint="cs"/>
          <w:sz w:val="20"/>
          <w:rtl/>
        </w:rPr>
        <w:t>קבלת</w:t>
      </w:r>
      <w:r w:rsidRPr="005E7E86">
        <w:rPr>
          <w:rFonts w:ascii="Times New Roman" w:hAnsi="Times New Roman" w:cs="FrankRuehl"/>
          <w:sz w:val="20"/>
          <w:rtl/>
        </w:rPr>
        <w:t xml:space="preserve"> </w:t>
      </w:r>
      <w:r w:rsidRPr="005E7E86">
        <w:rPr>
          <w:rFonts w:ascii="Times New Roman" w:hAnsi="Times New Roman" w:cs="FrankRuehl" w:hint="cs"/>
          <w:sz w:val="20"/>
          <w:rtl/>
        </w:rPr>
        <w:t>אישור</w:t>
      </w:r>
      <w:r w:rsidRPr="005E7E86">
        <w:rPr>
          <w:rFonts w:ascii="Times New Roman" w:hAnsi="Times New Roman" w:cs="FrankRuehl"/>
          <w:sz w:val="20"/>
          <w:rtl/>
        </w:rPr>
        <w:t xml:space="preserve"> </w:t>
      </w:r>
      <w:r w:rsidRPr="005E7E86">
        <w:rPr>
          <w:rFonts w:ascii="Times New Roman" w:hAnsi="Times New Roman" w:cs="FrankRuehl" w:hint="cs"/>
          <w:sz w:val="20"/>
          <w:rtl/>
        </w:rPr>
        <w:t>הממשלה</w:t>
      </w:r>
      <w:r w:rsidRPr="005E7E86">
        <w:rPr>
          <w:rFonts w:ascii="Times New Roman" w:hAnsi="Times New Roman" w:cs="FrankRuehl"/>
          <w:sz w:val="20"/>
          <w:rtl/>
        </w:rPr>
        <w:t xml:space="preserve"> </w:t>
      </w:r>
      <w:r w:rsidRPr="005E7E86">
        <w:rPr>
          <w:rFonts w:ascii="Times New Roman" w:hAnsi="Times New Roman" w:cs="FrankRuehl" w:hint="cs"/>
          <w:sz w:val="20"/>
          <w:rtl/>
        </w:rPr>
        <w:t>לכלל</w:t>
      </w:r>
      <w:r w:rsidRPr="005E7E86">
        <w:rPr>
          <w:rFonts w:ascii="Times New Roman" w:hAnsi="Times New Roman" w:cs="FrankRuehl"/>
          <w:sz w:val="20"/>
          <w:rtl/>
        </w:rPr>
        <w:t xml:space="preserve"> </w:t>
      </w:r>
      <w:r w:rsidRPr="005E7E86">
        <w:rPr>
          <w:rFonts w:ascii="Times New Roman" w:hAnsi="Times New Roman" w:cs="FrankRuehl" w:hint="cs"/>
          <w:sz w:val="20"/>
          <w:rtl/>
        </w:rPr>
        <w:t>נסיעותיהם</w:t>
      </w:r>
      <w:r w:rsidRPr="005E7E86">
        <w:rPr>
          <w:rFonts w:ascii="Times New Roman" w:hAnsi="Times New Roman" w:cs="FrankRuehl"/>
          <w:sz w:val="20"/>
          <w:rtl/>
        </w:rPr>
        <w:t xml:space="preserve"> </w:t>
      </w:r>
      <w:r w:rsidRPr="005E7E86">
        <w:rPr>
          <w:rFonts w:ascii="Times New Roman" w:hAnsi="Times New Roman" w:cs="FrankRuehl" w:hint="cs"/>
          <w:sz w:val="20"/>
          <w:rtl/>
        </w:rPr>
        <w:t>של</w:t>
      </w:r>
      <w:r w:rsidRPr="005E7E86">
        <w:rPr>
          <w:rFonts w:ascii="Times New Roman" w:hAnsi="Times New Roman" w:cs="FrankRuehl"/>
          <w:sz w:val="20"/>
          <w:rtl/>
        </w:rPr>
        <w:t xml:space="preserve"> </w:t>
      </w:r>
      <w:r w:rsidRPr="005E7E86">
        <w:rPr>
          <w:rFonts w:ascii="Times New Roman" w:hAnsi="Times New Roman" w:cs="FrankRuehl" w:hint="cs"/>
          <w:sz w:val="20"/>
          <w:rtl/>
        </w:rPr>
        <w:t>כלל</w:t>
      </w:r>
      <w:r w:rsidRPr="005E7E86">
        <w:rPr>
          <w:rFonts w:ascii="Times New Roman" w:hAnsi="Times New Roman" w:cs="FrankRuehl"/>
          <w:sz w:val="20"/>
          <w:rtl/>
        </w:rPr>
        <w:t xml:space="preserve"> </w:t>
      </w:r>
      <w:r w:rsidRPr="005E7E86">
        <w:rPr>
          <w:rFonts w:ascii="Times New Roman" w:hAnsi="Times New Roman" w:cs="FrankRuehl" w:hint="cs"/>
          <w:sz w:val="20"/>
          <w:rtl/>
        </w:rPr>
        <w:t>השרים</w:t>
      </w:r>
      <w:r w:rsidRPr="005E7E86">
        <w:rPr>
          <w:rFonts w:ascii="Times New Roman" w:hAnsi="Times New Roman" w:cs="FrankRuehl"/>
          <w:sz w:val="20"/>
          <w:rtl/>
        </w:rPr>
        <w:t xml:space="preserve"> </w:t>
      </w:r>
      <w:r w:rsidRPr="005E7E86">
        <w:rPr>
          <w:rFonts w:ascii="Times New Roman" w:hAnsi="Times New Roman" w:cs="FrankRuehl" w:hint="cs"/>
          <w:sz w:val="20"/>
          <w:rtl/>
        </w:rPr>
        <w:t>מהווה</w:t>
      </w:r>
      <w:r w:rsidRPr="005E7E86">
        <w:rPr>
          <w:rFonts w:ascii="Times New Roman" w:hAnsi="Times New Roman" w:cs="FrankRuehl"/>
          <w:sz w:val="20"/>
          <w:rtl/>
        </w:rPr>
        <w:t xml:space="preserve"> </w:t>
      </w:r>
      <w:r w:rsidRPr="005E7E86">
        <w:rPr>
          <w:rFonts w:ascii="Times New Roman" w:hAnsi="Times New Roman" w:cs="FrankRuehl" w:hint="cs"/>
          <w:sz w:val="20"/>
          <w:rtl/>
        </w:rPr>
        <w:t>הכבדה</w:t>
      </w:r>
      <w:r w:rsidRPr="005E7E86">
        <w:rPr>
          <w:rFonts w:ascii="Times New Roman" w:hAnsi="Times New Roman" w:cs="FrankRuehl"/>
          <w:sz w:val="20"/>
          <w:rtl/>
        </w:rPr>
        <w:t xml:space="preserve"> </w:t>
      </w:r>
      <w:r w:rsidRPr="005E7E86">
        <w:rPr>
          <w:rFonts w:ascii="Times New Roman" w:hAnsi="Times New Roman" w:cs="FrankRuehl" w:hint="cs"/>
          <w:sz w:val="20"/>
          <w:rtl/>
        </w:rPr>
        <w:t>בלתי</w:t>
      </w:r>
      <w:r w:rsidRPr="005E7E86">
        <w:rPr>
          <w:rFonts w:ascii="Times New Roman" w:hAnsi="Times New Roman" w:cs="FrankRuehl"/>
          <w:sz w:val="20"/>
          <w:rtl/>
        </w:rPr>
        <w:t>-</w:t>
      </w:r>
      <w:r w:rsidRPr="005E7E86">
        <w:rPr>
          <w:rFonts w:ascii="Times New Roman" w:hAnsi="Times New Roman" w:cs="FrankRuehl" w:hint="cs"/>
          <w:sz w:val="20"/>
          <w:rtl/>
        </w:rPr>
        <w:t>נחוצה</w:t>
      </w:r>
      <w:r w:rsidRPr="005E7E86">
        <w:rPr>
          <w:rFonts w:ascii="Times New Roman" w:hAnsi="Times New Roman" w:cs="FrankRuehl"/>
          <w:sz w:val="20"/>
          <w:rtl/>
        </w:rPr>
        <w:t xml:space="preserve"> </w:t>
      </w:r>
      <w:r w:rsidRPr="005E7E86">
        <w:rPr>
          <w:rFonts w:ascii="Times New Roman" w:hAnsi="Times New Roman" w:cs="FrankRuehl" w:hint="cs"/>
          <w:sz w:val="20"/>
          <w:rtl/>
        </w:rPr>
        <w:t>על</w:t>
      </w:r>
      <w:r w:rsidRPr="005E7E86">
        <w:rPr>
          <w:rFonts w:ascii="Times New Roman" w:hAnsi="Times New Roman" w:cs="FrankRuehl"/>
          <w:sz w:val="20"/>
          <w:rtl/>
        </w:rPr>
        <w:t xml:space="preserve"> </w:t>
      </w:r>
      <w:r w:rsidRPr="005E7E86">
        <w:rPr>
          <w:rFonts w:ascii="Times New Roman" w:hAnsi="Times New Roman" w:cs="FrankRuehl" w:hint="cs"/>
          <w:sz w:val="20"/>
          <w:rtl/>
        </w:rPr>
        <w:t>עבודת</w:t>
      </w:r>
      <w:r w:rsidRPr="005E7E86">
        <w:rPr>
          <w:rFonts w:ascii="Times New Roman" w:hAnsi="Times New Roman" w:cs="FrankRuehl"/>
          <w:sz w:val="20"/>
          <w:rtl/>
        </w:rPr>
        <w:t xml:space="preserve"> </w:t>
      </w:r>
      <w:r w:rsidRPr="005E7E86">
        <w:rPr>
          <w:rFonts w:ascii="Times New Roman" w:hAnsi="Times New Roman" w:cs="FrankRuehl" w:hint="cs"/>
          <w:sz w:val="20"/>
          <w:rtl/>
        </w:rPr>
        <w:t>הממשלה</w:t>
      </w:r>
      <w:r w:rsidRPr="005E7E86">
        <w:rPr>
          <w:rFonts w:ascii="Times New Roman" w:hAnsi="Times New Roman" w:cs="FrankRuehl"/>
          <w:sz w:val="20"/>
          <w:rtl/>
        </w:rPr>
        <w:t>".</w:t>
      </w:r>
    </w:p>
    <w:p w:rsidR="009B5B44" w:rsidRPr="005E7E86" w:rsidP="002E1867">
      <w:pPr>
        <w:pStyle w:val="RESHET"/>
        <w:keepLines/>
        <w:ind w:left="567"/>
        <w:rPr>
          <w:rtl/>
        </w:rPr>
      </w:pPr>
      <w:r w:rsidRPr="005E7E86">
        <w:rPr>
          <w:rFonts w:hint="cs"/>
          <w:rtl/>
        </w:rPr>
        <w:t xml:space="preserve">לדעת משרד מבקר המדינה, יש חשיבות לאישור הממשלה לנסיעות שרים לחו"ל לאחר תהליך של שקילה ודיון. יתרה מזו, התיקון לתקנון עבודת הממשלה, הקובע כי ראש הממשלה הוא המוסמך לבדו לאשר נסיעות שרים לחו"ל, ולממשלה אין כל תפקיד בהקשר זה, עלול ליצור מצב שבו ראש הממשלה מאשר לעצמו את נסיעותיו לחו"ל. לדעת משרד מבקר המדינה על היועץ המשפטי לממשלה להידרש לעניין זה. </w:t>
      </w:r>
    </w:p>
    <w:p w:rsidR="009B5B44" w:rsidRPr="005E7E86" w:rsidP="005E7E86">
      <w:pPr>
        <w:spacing w:after="120" w:line="230" w:lineRule="exact"/>
        <w:jc w:val="both"/>
        <w:rPr>
          <w:rFonts w:cs="FrankRuehl"/>
          <w:b/>
          <w:bCs/>
          <w:sz w:val="20"/>
          <w:szCs w:val="22"/>
        </w:rPr>
      </w:pPr>
    </w:p>
    <w:p w:rsidR="009B5B44" w:rsidRPr="005E7E86" w:rsidP="005E7E86">
      <w:pPr>
        <w:spacing w:after="120" w:line="230" w:lineRule="exact"/>
        <w:jc w:val="both"/>
        <w:rPr>
          <w:rFonts w:cs="FrankRuehl"/>
          <w:sz w:val="20"/>
          <w:szCs w:val="22"/>
          <w:rtl/>
        </w:rPr>
      </w:pPr>
    </w:p>
    <w:p w:rsidR="009B5B44" w:rsidRPr="00742B46" w:rsidP="002E1867">
      <w:pPr>
        <w:pStyle w:val="KOT2"/>
        <w:rPr>
          <w:rtl/>
        </w:rPr>
      </w:pPr>
      <w:r w:rsidRPr="00742B46">
        <w:rPr>
          <w:rFonts w:hint="cs"/>
          <w:rtl/>
        </w:rPr>
        <w:t>הנחיות</w:t>
      </w:r>
      <w:r>
        <w:rPr>
          <w:rFonts w:hint="cs"/>
          <w:rtl/>
        </w:rPr>
        <w:t xml:space="preserve">יו </w:t>
      </w:r>
      <w:r w:rsidRPr="00742B46">
        <w:rPr>
          <w:rFonts w:hint="cs"/>
          <w:rtl/>
        </w:rPr>
        <w:t>והוראות</w:t>
      </w:r>
      <w:r>
        <w:rPr>
          <w:rFonts w:hint="cs"/>
          <w:rtl/>
        </w:rPr>
        <w:t xml:space="preserve">יו של </w:t>
      </w:r>
      <w:r w:rsidRPr="00742B46">
        <w:rPr>
          <w:rFonts w:hint="cs"/>
          <w:rtl/>
        </w:rPr>
        <w:t>היועץ</w:t>
      </w:r>
      <w:r>
        <w:rPr>
          <w:rFonts w:hint="cs"/>
          <w:rtl/>
        </w:rPr>
        <w:t xml:space="preserve"> </w:t>
      </w:r>
      <w:r w:rsidRPr="00742B46">
        <w:rPr>
          <w:rFonts w:hint="cs"/>
          <w:rtl/>
        </w:rPr>
        <w:t>המשפטי</w:t>
      </w:r>
      <w:r>
        <w:rPr>
          <w:rFonts w:hint="cs"/>
          <w:rtl/>
        </w:rPr>
        <w:t xml:space="preserve"> </w:t>
      </w:r>
      <w:r w:rsidRPr="00742B46">
        <w:rPr>
          <w:rFonts w:hint="cs"/>
          <w:rtl/>
        </w:rPr>
        <w:t>לממשלה</w:t>
      </w:r>
      <w:r>
        <w:rPr>
          <w:rFonts w:hint="cs"/>
          <w:rtl/>
        </w:rPr>
        <w:t xml:space="preserve"> </w:t>
      </w:r>
      <w:r w:rsidRPr="00742B46">
        <w:rPr>
          <w:rFonts w:hint="cs"/>
          <w:rtl/>
        </w:rPr>
        <w:t>בעניין</w:t>
      </w:r>
      <w:r>
        <w:rPr>
          <w:rFonts w:hint="cs"/>
          <w:rtl/>
        </w:rPr>
        <w:t xml:space="preserve"> </w:t>
      </w:r>
      <w:r w:rsidRPr="00742B46">
        <w:rPr>
          <w:rFonts w:hint="cs"/>
          <w:rtl/>
        </w:rPr>
        <w:t>נסיעות</w:t>
      </w:r>
      <w:r>
        <w:rPr>
          <w:rFonts w:hint="cs"/>
          <w:rtl/>
        </w:rPr>
        <w:t xml:space="preserve"> </w:t>
      </w:r>
      <w:r w:rsidRPr="00742B46">
        <w:rPr>
          <w:rFonts w:hint="cs"/>
          <w:rtl/>
        </w:rPr>
        <w:t>שרים</w:t>
      </w:r>
      <w:r>
        <w:rPr>
          <w:rFonts w:hint="cs"/>
          <w:rtl/>
        </w:rPr>
        <w:t xml:space="preserve"> </w:t>
      </w:r>
      <w:r w:rsidRPr="00742B46">
        <w:rPr>
          <w:rFonts w:hint="cs"/>
          <w:rtl/>
        </w:rPr>
        <w:t>בתפקיד</w:t>
      </w:r>
      <w:r>
        <w:rPr>
          <w:rFonts w:hint="cs"/>
          <w:rtl/>
        </w:rPr>
        <w:t xml:space="preserve"> </w:t>
      </w:r>
      <w:r w:rsidRPr="00742B46">
        <w:rPr>
          <w:rFonts w:hint="cs"/>
          <w:rtl/>
        </w:rPr>
        <w:t>לחו"ל</w:t>
      </w:r>
      <w:r>
        <w:rPr>
          <w:rFonts w:hint="cs"/>
          <w:rtl/>
        </w:rPr>
        <w:t xml:space="preserve"> </w:t>
      </w:r>
      <w:r w:rsidRPr="00742B46">
        <w:rPr>
          <w:rFonts w:hint="cs"/>
          <w:rtl/>
        </w:rPr>
        <w:t>במימון</w:t>
      </w:r>
      <w:r>
        <w:rPr>
          <w:rFonts w:hint="cs"/>
          <w:rtl/>
        </w:rPr>
        <w:t xml:space="preserve"> </w:t>
      </w:r>
      <w:r w:rsidRPr="00742B46">
        <w:rPr>
          <w:rFonts w:hint="cs"/>
          <w:rtl/>
        </w:rPr>
        <w:t>שאיננו</w:t>
      </w:r>
      <w:r>
        <w:rPr>
          <w:rFonts w:hint="cs"/>
          <w:rtl/>
        </w:rPr>
        <w:t xml:space="preserve"> </w:t>
      </w:r>
      <w:r w:rsidRPr="00742B46">
        <w:rPr>
          <w:rFonts w:hint="cs"/>
          <w:rtl/>
        </w:rPr>
        <w:t>ממשלתי</w:t>
      </w:r>
    </w:p>
    <w:p w:rsidR="009B5B44" w:rsidRPr="005E7E86" w:rsidP="005E7E86">
      <w:pPr>
        <w:spacing w:after="120" w:line="230" w:lineRule="exact"/>
        <w:jc w:val="both"/>
        <w:rPr>
          <w:rFonts w:cs="FrankRuehl"/>
          <w:sz w:val="20"/>
          <w:szCs w:val="22"/>
          <w:rtl/>
          <w:lang w:eastAsia="he-IL"/>
        </w:rPr>
      </w:pPr>
      <w:r w:rsidRPr="005E7E86">
        <w:rPr>
          <w:rFonts w:cs="FrankRuehl" w:hint="cs"/>
          <w:sz w:val="20"/>
          <w:szCs w:val="22"/>
          <w:rtl/>
          <w:lang w:eastAsia="he-IL"/>
        </w:rPr>
        <w:t>דוח נסיעות שרים הצביע על הצורך בתיקון והסדרה של שורת נושאים הנוגעים לעניין זה. הדוח הצביע, בין השאר על כך שנוהל שקבע משרד המשפטים בתחילת 2010 בנוגע ל</w:t>
      </w:r>
      <w:r w:rsidRPr="005E7E86">
        <w:rPr>
          <w:rFonts w:cs="FrankRuehl"/>
          <w:sz w:val="20"/>
          <w:szCs w:val="22"/>
          <w:rtl/>
          <w:lang w:eastAsia="he-IL"/>
        </w:rPr>
        <w:t xml:space="preserve">הליכי האישור של נסיעות שרים וסגני שרים לחו"ל במימון </w:t>
      </w:r>
      <w:r w:rsidRPr="005E7E86">
        <w:rPr>
          <w:rFonts w:cs="FrankRuehl" w:hint="cs"/>
          <w:sz w:val="20"/>
          <w:szCs w:val="22"/>
          <w:rtl/>
          <w:lang w:eastAsia="he-IL"/>
        </w:rPr>
        <w:t xml:space="preserve">שאינו ממשלתי </w:t>
      </w:r>
      <w:r w:rsidRPr="005E7E86">
        <w:rPr>
          <w:rFonts w:cs="FrankRuehl"/>
          <w:sz w:val="20"/>
          <w:szCs w:val="22"/>
          <w:rtl/>
          <w:lang w:eastAsia="he-IL"/>
        </w:rPr>
        <w:t xml:space="preserve">"אינו מסדיר באופן מלא והולם את כלל הנושאים הכרוכים בנסיעת שר או סגן שר לחו"ל במימון שאינו ממשלתי, ואף יש בו הוראות </w:t>
      </w:r>
      <w:r w:rsidRPr="005E7E86">
        <w:rPr>
          <w:rFonts w:cs="FrankRuehl" w:hint="cs"/>
          <w:sz w:val="20"/>
          <w:szCs w:val="22"/>
          <w:rtl/>
          <w:lang w:eastAsia="he-IL"/>
        </w:rPr>
        <w:t>הניתנות לפרשנות</w:t>
      </w:r>
      <w:r w:rsidRPr="005E7E86">
        <w:rPr>
          <w:rFonts w:cs="FrankRuehl"/>
          <w:sz w:val="20"/>
          <w:szCs w:val="22"/>
          <w:rtl/>
          <w:lang w:eastAsia="he-IL"/>
        </w:rPr>
        <w:t xml:space="preserve"> בדרכים שונות</w:t>
      </w:r>
      <w:r w:rsidRPr="005E7E86">
        <w:rPr>
          <w:rFonts w:cs="FrankRuehl" w:hint="cs"/>
          <w:sz w:val="20"/>
          <w:szCs w:val="22"/>
          <w:rtl/>
          <w:lang w:eastAsia="he-IL"/>
        </w:rPr>
        <w:t xml:space="preserve">". משרד מבקר המדינה המליץ ליועץ המשפטי לממשלה </w:t>
      </w:r>
      <w:r w:rsidRPr="005E7E86">
        <w:rPr>
          <w:rFonts w:cs="FrankRuehl" w:hint="eastAsia"/>
          <w:sz w:val="20"/>
          <w:szCs w:val="22"/>
          <w:rtl/>
          <w:lang w:eastAsia="he-IL"/>
        </w:rPr>
        <w:t>לפעול</w:t>
      </w:r>
      <w:r w:rsidRPr="005E7E86">
        <w:rPr>
          <w:rFonts w:cs="FrankRuehl" w:hint="cs"/>
          <w:sz w:val="20"/>
          <w:szCs w:val="22"/>
          <w:rtl/>
          <w:lang w:eastAsia="he-IL"/>
        </w:rPr>
        <w:t xml:space="preserve"> לקביעת הנחיות מיוחדות בעניין נסיעות שרים ובכלל זה "</w:t>
      </w:r>
      <w:r w:rsidRPr="005E7E86">
        <w:rPr>
          <w:rFonts w:cs="FrankRuehl"/>
          <w:sz w:val="20"/>
          <w:szCs w:val="22"/>
          <w:rtl/>
          <w:lang w:eastAsia="he-IL"/>
        </w:rPr>
        <w:t xml:space="preserve">לחדד ולהבהיר את המונח </w:t>
      </w:r>
      <w:r w:rsidRPr="005E7E86">
        <w:rPr>
          <w:rFonts w:cs="FrankRuehl" w:hint="cs"/>
          <w:sz w:val="20"/>
          <w:szCs w:val="22"/>
          <w:rtl/>
          <w:lang w:eastAsia="he-IL"/>
        </w:rPr>
        <w:t>'</w:t>
      </w:r>
      <w:r w:rsidRPr="005E7E86">
        <w:rPr>
          <w:rFonts w:cs="FrankRuehl"/>
          <w:sz w:val="20"/>
          <w:szCs w:val="22"/>
          <w:rtl/>
          <w:lang w:eastAsia="he-IL"/>
        </w:rPr>
        <w:t xml:space="preserve">נסיעה במסגרת </w:t>
      </w:r>
      <w:r w:rsidRPr="005E7E86">
        <w:rPr>
          <w:rFonts w:cs="FrankRuehl" w:hint="cs"/>
          <w:sz w:val="20"/>
          <w:szCs w:val="22"/>
          <w:rtl/>
          <w:lang w:eastAsia="he-IL"/>
        </w:rPr>
        <w:t>ה</w:t>
      </w:r>
      <w:r w:rsidRPr="005E7E86">
        <w:rPr>
          <w:rFonts w:cs="FrankRuehl"/>
          <w:sz w:val="20"/>
          <w:szCs w:val="22"/>
          <w:rtl/>
          <w:lang w:eastAsia="he-IL"/>
        </w:rPr>
        <w:t>תפקיד</w:t>
      </w:r>
      <w:r w:rsidRPr="005E7E86">
        <w:rPr>
          <w:rFonts w:cs="FrankRuehl" w:hint="cs"/>
          <w:sz w:val="20"/>
          <w:szCs w:val="22"/>
          <w:rtl/>
          <w:lang w:eastAsia="he-IL"/>
        </w:rPr>
        <w:t>'"; "</w:t>
      </w:r>
      <w:r w:rsidRPr="005E7E86">
        <w:rPr>
          <w:rFonts w:cs="FrankRuehl"/>
          <w:sz w:val="20"/>
          <w:szCs w:val="22"/>
          <w:rtl/>
          <w:lang w:eastAsia="he-IL"/>
        </w:rPr>
        <w:t>לקבוע הנחיות מיוחדות לעניין נסיעות שרים וסגני שרים הממומנות על ידי קרן היסוד, קק"ל והבונדס</w:t>
      </w:r>
      <w:r w:rsidRPr="005E7E86">
        <w:rPr>
          <w:rFonts w:cs="FrankRuehl" w:hint="cs"/>
          <w:sz w:val="20"/>
          <w:szCs w:val="22"/>
          <w:rtl/>
          <w:lang w:eastAsia="he-IL"/>
        </w:rPr>
        <w:t>"; "</w:t>
      </w:r>
      <w:r w:rsidRPr="005E7E86">
        <w:rPr>
          <w:rFonts w:cs="FrankRuehl"/>
          <w:sz w:val="20"/>
          <w:szCs w:val="22"/>
          <w:rtl/>
          <w:lang w:eastAsia="he-IL"/>
        </w:rPr>
        <w:t xml:space="preserve">להבהיר את ההנחיות לעניין השתתפות שרים </w:t>
      </w:r>
      <w:r w:rsidRPr="005E7E86">
        <w:rPr>
          <w:rFonts w:cs="FrankRuehl" w:hint="cs"/>
          <w:sz w:val="20"/>
          <w:szCs w:val="22"/>
          <w:rtl/>
          <w:lang w:eastAsia="he-IL"/>
        </w:rPr>
        <w:t xml:space="preserve">וסגני שרים </w:t>
      </w:r>
      <w:r w:rsidRPr="005E7E86">
        <w:rPr>
          <w:rFonts w:cs="FrankRuehl"/>
          <w:sz w:val="20"/>
          <w:szCs w:val="22"/>
          <w:rtl/>
          <w:lang w:eastAsia="he-IL"/>
        </w:rPr>
        <w:t>באירועי התרמה וגיוס כספים</w:t>
      </w:r>
      <w:r w:rsidRPr="005E7E86">
        <w:rPr>
          <w:rFonts w:cs="FrankRuehl" w:hint="cs"/>
          <w:sz w:val="20"/>
          <w:szCs w:val="22"/>
          <w:rtl/>
          <w:lang w:eastAsia="he-IL"/>
        </w:rPr>
        <w:t>"; "</w:t>
      </w:r>
      <w:r w:rsidRPr="005E7E86">
        <w:rPr>
          <w:rFonts w:cs="FrankRuehl"/>
          <w:sz w:val="20"/>
          <w:szCs w:val="22"/>
          <w:rtl/>
          <w:lang w:eastAsia="he-IL"/>
        </w:rPr>
        <w:t>להסדיר באופן מורחב ומפורט את הכללים לנסיעת בני זוג של שרים</w:t>
      </w:r>
      <w:r w:rsidRPr="005E7E86">
        <w:rPr>
          <w:rFonts w:cs="FrankRuehl" w:hint="cs"/>
          <w:sz w:val="20"/>
          <w:szCs w:val="22"/>
          <w:rtl/>
          <w:lang w:eastAsia="he-IL"/>
        </w:rPr>
        <w:t>"; "</w:t>
      </w:r>
      <w:r w:rsidRPr="005E7E86">
        <w:rPr>
          <w:rFonts w:cs="FrankRuehl"/>
          <w:sz w:val="20"/>
          <w:szCs w:val="22"/>
          <w:rtl/>
          <w:lang w:eastAsia="he-IL"/>
        </w:rPr>
        <w:t>להחיל את הכללים והתקרות שיקבע החשכ</w:t>
      </w:r>
      <w:r w:rsidRPr="005E7E86">
        <w:rPr>
          <w:rFonts w:cs="FrankRuehl" w:hint="cs"/>
          <w:sz w:val="20"/>
          <w:szCs w:val="22"/>
          <w:rtl/>
          <w:lang w:eastAsia="he-IL"/>
        </w:rPr>
        <w:t>"</w:t>
      </w:r>
      <w:r w:rsidRPr="005E7E86">
        <w:rPr>
          <w:rFonts w:cs="FrankRuehl"/>
          <w:sz w:val="20"/>
          <w:szCs w:val="22"/>
          <w:rtl/>
          <w:lang w:eastAsia="he-IL"/>
        </w:rPr>
        <w:t>ל למרכיבי ההוצאה השונים (טיסות, לינה וכד') בנסיעות של השרים ופמליותיהם לחו"ל גם על נסיעות במימון שאינו ממשלתי</w:t>
      </w:r>
      <w:r w:rsidRPr="005E7E86">
        <w:rPr>
          <w:rFonts w:cs="FrankRuehl" w:hint="cs"/>
          <w:sz w:val="20"/>
          <w:szCs w:val="22"/>
          <w:rtl/>
          <w:lang w:eastAsia="he-IL"/>
        </w:rPr>
        <w:t>"</w:t>
      </w:r>
      <w:r w:rsidRPr="005E7E86">
        <w:rPr>
          <w:rFonts w:cs="FrankRuehl"/>
          <w:sz w:val="20"/>
          <w:szCs w:val="22"/>
          <w:rtl/>
          <w:lang w:eastAsia="he-IL"/>
        </w:rPr>
        <w:t>.</w:t>
      </w:r>
    </w:p>
    <w:p w:rsidR="009B5B44" w:rsidRPr="005E7E86" w:rsidP="005E7E86">
      <w:pPr>
        <w:spacing w:after="120" w:line="230" w:lineRule="exact"/>
        <w:jc w:val="both"/>
        <w:rPr>
          <w:rFonts w:cs="FrankRuehl"/>
          <w:sz w:val="20"/>
          <w:szCs w:val="22"/>
          <w:rtl/>
        </w:rPr>
      </w:pPr>
      <w:r w:rsidRPr="005E7E86">
        <w:rPr>
          <w:rFonts w:cs="FrankRuehl" w:hint="cs"/>
          <w:sz w:val="20"/>
          <w:szCs w:val="22"/>
          <w:rtl/>
        </w:rPr>
        <w:t xml:space="preserve">בינואר 2014 שלח משרד היועץ המשפטי לממשלה למשרד מבקר המדינה טיוטת הנחיה מטעמו של היועץ המשפטי לממשלה, אשר עתידה </w:t>
      </w:r>
      <w:r w:rsidRPr="005E7E86">
        <w:rPr>
          <w:rFonts w:cs="FrankRuehl" w:hint="eastAsia"/>
          <w:sz w:val="20"/>
          <w:szCs w:val="22"/>
          <w:rtl/>
        </w:rPr>
        <w:t>לבוא</w:t>
      </w:r>
      <w:r w:rsidRPr="005E7E86">
        <w:rPr>
          <w:rFonts w:cs="FrankRuehl"/>
          <w:sz w:val="20"/>
          <w:szCs w:val="22"/>
          <w:rtl/>
        </w:rPr>
        <w:t xml:space="preserve"> </w:t>
      </w:r>
      <w:r w:rsidRPr="005E7E86">
        <w:rPr>
          <w:rFonts w:cs="FrankRuehl" w:hint="eastAsia"/>
          <w:sz w:val="20"/>
          <w:szCs w:val="22"/>
          <w:rtl/>
        </w:rPr>
        <w:t>במקום</w:t>
      </w:r>
      <w:r w:rsidRPr="005E7E86">
        <w:rPr>
          <w:rFonts w:cs="FrankRuehl" w:hint="cs"/>
          <w:sz w:val="20"/>
          <w:szCs w:val="22"/>
          <w:rtl/>
        </w:rPr>
        <w:t xml:space="preserve"> הנוהל המסדיר את הנושא מאז שנת 2010. טיוטת ההנחיה עסקה במכלול הנושאים אשר לגביהם הועלו ממצאים בדוח נסיעות שרים.</w:t>
      </w:r>
    </w:p>
    <w:p w:rsidR="009B5B44" w:rsidRPr="005E7E86" w:rsidP="005E7E86">
      <w:pPr>
        <w:spacing w:after="120" w:line="230" w:lineRule="exact"/>
        <w:jc w:val="both"/>
        <w:rPr>
          <w:rFonts w:cs="FrankRuehl"/>
          <w:sz w:val="20"/>
          <w:szCs w:val="22"/>
          <w:rtl/>
        </w:rPr>
      </w:pPr>
      <w:r w:rsidRPr="005E7E86">
        <w:rPr>
          <w:rFonts w:cs="FrankRuehl" w:hint="cs"/>
          <w:sz w:val="20"/>
          <w:szCs w:val="22"/>
          <w:rtl/>
        </w:rPr>
        <w:t>במכתב משרד מבקר המדינה מיוני 2014 אל היועץ המשפטי לממשלה נכלל</w:t>
      </w:r>
      <w:r w:rsidRPr="005E7E86">
        <w:rPr>
          <w:rFonts w:cs="FrankRuehl" w:hint="eastAsia"/>
          <w:sz w:val="20"/>
          <w:szCs w:val="22"/>
          <w:rtl/>
        </w:rPr>
        <w:t>ה</w:t>
      </w:r>
      <w:r w:rsidRPr="005E7E86">
        <w:rPr>
          <w:rFonts w:cs="FrankRuehl" w:hint="cs"/>
          <w:sz w:val="20"/>
          <w:szCs w:val="22"/>
          <w:rtl/>
        </w:rPr>
        <w:t xml:space="preserve"> התייחסות לאמור בהנחיה האמורה. ב-28.4.15 פנה מבקר המדינה אל היועץ המשפטי לממשלה וביקש שיודיע לו אם הושלם גיבושם של </w:t>
      </w:r>
      <w:r w:rsidRPr="005E7E86">
        <w:rPr>
          <w:rFonts w:cs="FrankRuehl" w:hint="eastAsia"/>
          <w:sz w:val="20"/>
          <w:szCs w:val="22"/>
          <w:rtl/>
        </w:rPr>
        <w:t>ה</w:t>
      </w:r>
      <w:r w:rsidRPr="005E7E86">
        <w:rPr>
          <w:rFonts w:cs="FrankRuehl" w:hint="cs"/>
          <w:sz w:val="20"/>
          <w:szCs w:val="22"/>
          <w:rtl/>
        </w:rPr>
        <w:t>ה</w:t>
      </w:r>
      <w:r w:rsidRPr="005E7E86">
        <w:rPr>
          <w:rFonts w:cs="FrankRuehl" w:hint="eastAsia"/>
          <w:sz w:val="20"/>
          <w:szCs w:val="22"/>
          <w:rtl/>
        </w:rPr>
        <w:t>נחיות</w:t>
      </w:r>
      <w:r w:rsidRPr="005E7E86">
        <w:rPr>
          <w:rFonts w:cs="FrankRuehl"/>
          <w:sz w:val="20"/>
          <w:szCs w:val="22"/>
          <w:rtl/>
        </w:rPr>
        <w:t xml:space="preserve"> </w:t>
      </w:r>
      <w:r w:rsidRPr="005E7E86">
        <w:rPr>
          <w:rFonts w:cs="FrankRuehl" w:hint="eastAsia"/>
          <w:sz w:val="20"/>
          <w:szCs w:val="22"/>
          <w:rtl/>
        </w:rPr>
        <w:t>ו</w:t>
      </w:r>
      <w:r w:rsidRPr="005E7E86">
        <w:rPr>
          <w:rFonts w:cs="FrankRuehl" w:hint="cs"/>
          <w:sz w:val="20"/>
          <w:szCs w:val="22"/>
          <w:rtl/>
        </w:rPr>
        <w:t>ה</w:t>
      </w:r>
      <w:r w:rsidRPr="005E7E86">
        <w:rPr>
          <w:rFonts w:cs="FrankRuehl" w:hint="eastAsia"/>
          <w:sz w:val="20"/>
          <w:szCs w:val="22"/>
          <w:rtl/>
        </w:rPr>
        <w:t>הסדרים</w:t>
      </w:r>
      <w:r w:rsidRPr="005E7E86">
        <w:rPr>
          <w:rFonts w:cs="FrankRuehl"/>
          <w:sz w:val="20"/>
          <w:szCs w:val="22"/>
          <w:rtl/>
        </w:rPr>
        <w:t xml:space="preserve"> </w:t>
      </w:r>
      <w:r w:rsidRPr="005E7E86">
        <w:rPr>
          <w:rFonts w:cs="FrankRuehl" w:hint="cs"/>
          <w:sz w:val="20"/>
          <w:szCs w:val="22"/>
          <w:rtl/>
        </w:rPr>
        <w:t>ה</w:t>
      </w:r>
      <w:r w:rsidRPr="005E7E86">
        <w:rPr>
          <w:rFonts w:cs="FrankRuehl" w:hint="eastAsia"/>
          <w:sz w:val="20"/>
          <w:szCs w:val="22"/>
          <w:rtl/>
        </w:rPr>
        <w:t>כוללים</w:t>
      </w:r>
      <w:r w:rsidRPr="005E7E86">
        <w:rPr>
          <w:rFonts w:cs="FrankRuehl" w:hint="cs"/>
          <w:sz w:val="20"/>
          <w:szCs w:val="22"/>
          <w:rtl/>
        </w:rPr>
        <w:t xml:space="preserve"> שעליהם המליץ משרד מבקר המדינה בדוח נסיעות שרים.</w:t>
      </w:r>
    </w:p>
    <w:p w:rsidR="009B5B44" w:rsidRPr="005E7E86" w:rsidP="005E7E86">
      <w:pPr>
        <w:spacing w:after="120" w:line="230" w:lineRule="exact"/>
        <w:jc w:val="both"/>
        <w:rPr>
          <w:rFonts w:cs="FrankRuehl"/>
          <w:sz w:val="20"/>
          <w:szCs w:val="22"/>
          <w:rtl/>
        </w:rPr>
      </w:pPr>
      <w:r w:rsidRPr="005E7E86">
        <w:rPr>
          <w:rFonts w:cs="FrankRuehl" w:hint="cs"/>
          <w:sz w:val="20"/>
          <w:szCs w:val="22"/>
          <w:rtl/>
        </w:rPr>
        <w:t xml:space="preserve">במענה למבקר המדינה מסרה עו"ד זילבר, המשנה ליועץ המשפטי לממשלה (ייעוץ), על דעתו של היועץ המשפטי לממשלה, כי במישור הערכי-ציבורי, מכלול שיקולים - הנוגעים לאחריות הממשלה לפעילותה, תקינות התנהלותה של הממשלה, הצורך להבטיח טוהר מידות והיעדר ניגוד עניינים בפעילותם של השרים וסגניהם, הנראות הציבורית והשמירה על אמון הציבור בממשלה - תומכים כולם במסקנה כי יש לקבוע שמעתה ואילך לא יותרו עוד נסיעות שרים וסגני שרים לחו"ל במימון שאינו ממשלתי. עם זאת ציינה עו"ד זילבר: "יש לטעמנו קושי לקבוע - בגדרו של כלל משפטי גורף - כי לא ניתן להתיר קבלת מימון חיצוני לנסיעות מעין אלו", ו"זאת על יסוד התפיסה המקובלת... שלפיה טובת-הנאה אשר נכרכה בפעילות הקשורה למילוי תפקידו של עובד הציבור, אין לראותה, ככלל, כטובת-הנאה אסורה, ובלבד שקבלתה אינה יכולה להשפיע, או להיראות כעלולה להשפיע על מילוי תפקידו של עובד הציבור". </w:t>
      </w:r>
    </w:p>
    <w:p w:rsidR="009B5B44" w:rsidRPr="005E7E86" w:rsidP="005E7E86">
      <w:pPr>
        <w:spacing w:after="120" w:line="230" w:lineRule="exact"/>
        <w:jc w:val="both"/>
        <w:rPr>
          <w:rFonts w:cs="FrankRuehl"/>
          <w:sz w:val="20"/>
          <w:szCs w:val="22"/>
          <w:rtl/>
        </w:rPr>
      </w:pPr>
      <w:r w:rsidRPr="005E7E86">
        <w:rPr>
          <w:rFonts w:cs="FrankRuehl" w:hint="cs"/>
          <w:sz w:val="20"/>
          <w:szCs w:val="22"/>
          <w:rtl/>
        </w:rPr>
        <w:t xml:space="preserve">עו"ד זילבר הוסיפה וציינה, כי </w:t>
      </w:r>
      <w:r w:rsidRPr="005E7E86">
        <w:rPr>
          <w:rFonts w:cs="FrankRuehl" w:hint="eastAsia"/>
          <w:sz w:val="20"/>
          <w:szCs w:val="22"/>
          <w:rtl/>
        </w:rPr>
        <w:t>הם</w:t>
      </w:r>
      <w:r w:rsidRPr="005E7E86">
        <w:rPr>
          <w:rFonts w:cs="FrankRuehl"/>
          <w:sz w:val="20"/>
          <w:szCs w:val="22"/>
          <w:rtl/>
        </w:rPr>
        <w:t xml:space="preserve"> </w:t>
      </w:r>
      <w:r w:rsidRPr="005E7E86">
        <w:rPr>
          <w:rFonts w:cs="FrankRuehl" w:hint="eastAsia"/>
          <w:sz w:val="20"/>
          <w:szCs w:val="22"/>
          <w:rtl/>
        </w:rPr>
        <w:t>פועלים</w:t>
      </w:r>
      <w:r w:rsidRPr="005E7E86">
        <w:rPr>
          <w:rFonts w:cs="FrankRuehl" w:hint="cs"/>
          <w:sz w:val="20"/>
          <w:szCs w:val="22"/>
          <w:rtl/>
        </w:rPr>
        <w:t xml:space="preserve"> זה תקופה ארוכה במטרה להביא לשיפור ההסדרים הקיימים בנושא ובכלל זה לגיבושה של הנחיה </w:t>
      </w:r>
      <w:r w:rsidRPr="005E7E86">
        <w:rPr>
          <w:rFonts w:cs="FrankRuehl" w:hint="eastAsia"/>
          <w:sz w:val="20"/>
          <w:szCs w:val="22"/>
          <w:rtl/>
        </w:rPr>
        <w:t>ייעודית</w:t>
      </w:r>
      <w:r w:rsidRPr="005E7E86">
        <w:rPr>
          <w:rFonts w:cs="FrankRuehl" w:hint="cs"/>
          <w:sz w:val="20"/>
          <w:szCs w:val="22"/>
          <w:rtl/>
        </w:rPr>
        <w:t xml:space="preserve"> בנושא מטעמו של היועץ המשפטי לממשלה </w:t>
      </w:r>
      <w:r w:rsidRPr="005E7E86">
        <w:rPr>
          <w:rFonts w:cs="FrankRuehl" w:hint="cs"/>
          <w:sz w:val="20"/>
          <w:szCs w:val="22"/>
          <w:rtl/>
        </w:rPr>
        <w:t xml:space="preserve">אשר עתידה </w:t>
      </w:r>
      <w:r w:rsidRPr="005E7E86">
        <w:rPr>
          <w:rFonts w:cs="FrankRuehl" w:hint="eastAsia"/>
          <w:sz w:val="20"/>
          <w:szCs w:val="22"/>
          <w:rtl/>
        </w:rPr>
        <w:t>לכלול</w:t>
      </w:r>
      <w:r w:rsidRPr="005E7E86">
        <w:rPr>
          <w:rFonts w:cs="FrankRuehl"/>
          <w:sz w:val="20"/>
          <w:szCs w:val="22"/>
          <w:rtl/>
        </w:rPr>
        <w:t xml:space="preserve"> </w:t>
      </w:r>
      <w:r w:rsidRPr="005E7E86">
        <w:rPr>
          <w:rFonts w:cs="FrankRuehl" w:hint="eastAsia"/>
          <w:sz w:val="20"/>
          <w:szCs w:val="22"/>
          <w:rtl/>
        </w:rPr>
        <w:t>התייחסות</w:t>
      </w:r>
      <w:r w:rsidRPr="005E7E86">
        <w:rPr>
          <w:rFonts w:cs="FrankRuehl"/>
          <w:sz w:val="20"/>
          <w:szCs w:val="22"/>
          <w:rtl/>
        </w:rPr>
        <w:t xml:space="preserve"> </w:t>
      </w:r>
      <w:r w:rsidRPr="005E7E86">
        <w:rPr>
          <w:rFonts w:cs="FrankRuehl" w:hint="eastAsia"/>
          <w:sz w:val="20"/>
          <w:szCs w:val="22"/>
          <w:rtl/>
        </w:rPr>
        <w:t>למכלול</w:t>
      </w:r>
      <w:r w:rsidRPr="005E7E86">
        <w:rPr>
          <w:rFonts w:cs="FrankRuehl" w:hint="cs"/>
          <w:sz w:val="20"/>
          <w:szCs w:val="22"/>
          <w:rtl/>
        </w:rPr>
        <w:t xml:space="preserve"> הנושאים שלגביהם </w:t>
      </w:r>
      <w:r w:rsidRPr="005E7E86">
        <w:rPr>
          <w:rFonts w:cs="FrankRuehl" w:hint="eastAsia"/>
          <w:sz w:val="20"/>
          <w:szCs w:val="22"/>
          <w:rtl/>
        </w:rPr>
        <w:t>העלו</w:t>
      </w:r>
      <w:r w:rsidRPr="005E7E86">
        <w:rPr>
          <w:rFonts w:cs="FrankRuehl"/>
          <w:sz w:val="20"/>
          <w:szCs w:val="22"/>
          <w:rtl/>
        </w:rPr>
        <w:t xml:space="preserve"> </w:t>
      </w:r>
      <w:r w:rsidRPr="005E7E86">
        <w:rPr>
          <w:rFonts w:cs="FrankRuehl" w:hint="eastAsia"/>
          <w:sz w:val="20"/>
          <w:szCs w:val="22"/>
          <w:rtl/>
        </w:rPr>
        <w:t>הממצאים</w:t>
      </w:r>
      <w:r w:rsidRPr="005E7E86">
        <w:rPr>
          <w:rFonts w:cs="FrankRuehl"/>
          <w:sz w:val="20"/>
          <w:szCs w:val="22"/>
          <w:rtl/>
        </w:rPr>
        <w:t xml:space="preserve"> </w:t>
      </w:r>
      <w:r w:rsidRPr="005E7E86">
        <w:rPr>
          <w:rFonts w:cs="FrankRuehl" w:hint="eastAsia"/>
          <w:sz w:val="20"/>
          <w:szCs w:val="22"/>
          <w:rtl/>
        </w:rPr>
        <w:t>שבדוח</w:t>
      </w:r>
      <w:r w:rsidRPr="005E7E86">
        <w:rPr>
          <w:rFonts w:cs="FrankRuehl" w:hint="cs"/>
          <w:sz w:val="20"/>
          <w:szCs w:val="22"/>
          <w:rtl/>
        </w:rPr>
        <w:t xml:space="preserve"> </w:t>
      </w:r>
      <w:r w:rsidRPr="005E7E86">
        <w:rPr>
          <w:rFonts w:cs="FrankRuehl" w:hint="eastAsia"/>
          <w:sz w:val="20"/>
          <w:szCs w:val="22"/>
          <w:rtl/>
        </w:rPr>
        <w:t>הביקורת</w:t>
      </w:r>
      <w:r w:rsidRPr="005E7E86">
        <w:rPr>
          <w:rFonts w:cs="FrankRuehl"/>
          <w:sz w:val="20"/>
          <w:szCs w:val="22"/>
          <w:rtl/>
        </w:rPr>
        <w:t xml:space="preserve"> </w:t>
      </w:r>
      <w:r w:rsidRPr="005E7E86">
        <w:rPr>
          <w:rFonts w:cs="FrankRuehl" w:hint="eastAsia"/>
          <w:sz w:val="20"/>
          <w:szCs w:val="22"/>
          <w:rtl/>
        </w:rPr>
        <w:t>הקודם</w:t>
      </w:r>
      <w:r w:rsidRPr="005E7E86">
        <w:rPr>
          <w:rFonts w:cs="FrankRuehl" w:hint="cs"/>
          <w:sz w:val="20"/>
          <w:szCs w:val="22"/>
          <w:rtl/>
        </w:rPr>
        <w:t xml:space="preserve"> כי יש מקום לקביעת הנחיות בעניינם או לחידוד ההנחיות הקיימות; היא עדכנה כי "בכוונת היועץ המשפטי לממשלה לפנות לממשלה בהצעה שלפיה - על מנת למנוע את הקשיים הפוטנציאליים שקבלת מימון חיצוני לנסיעות שרים וסגני שרים מעוררת... - הממשלה תשנה את מדיניותה בנושא זה ותחליט, כי שרים וסגני שרים לא יוכלו עוד לקבל מימון חיצוני לצורך נסיעות בתפקיד, ונסיעות אלה תבוצענה מעתה בהתבסס על מימון ממשלתי בלבד. זאת בסייג יחיד של מימון לנסיעות כאמור מצד ממשלות זרות". עו"ד זילבר הוסיפה כי "ככל שהגישה המוצעת תאומץ על-ידי הממשלה, ואנו מקווים שכך יהיה, הרי יהיה בכך כדי לתת את המענה ההולם ביותר לליקויים השונים שעליהם הצביע דוח הביקורת. ואולם ככל או כל עוד שהממשלה לא תמצא לנכון לשנות את מדיניותה בנושא זה, עמדתנו היא כי במצב המשפטי הקיים, אשר איננו סבורים, כי יש עילה לשנותו, אין מקום לאמץ את הכלל המוצע על-ידיכם כאיסור משפטי מחייב". עו"ד זילבר הדגישה את ההבחנה הברורה בין עמדת היועץ המשפטי לממשלה בנושא זה במישור המשפטי לבין עמדתו במישור הערכי-ציבורי.</w:t>
      </w:r>
    </w:p>
    <w:p w:rsidR="009B5B44" w:rsidRPr="005E7E86" w:rsidP="005E7E86">
      <w:pPr>
        <w:spacing w:after="120" w:line="230" w:lineRule="exact"/>
        <w:jc w:val="both"/>
        <w:rPr>
          <w:rFonts w:cs="FrankRuehl"/>
          <w:sz w:val="20"/>
          <w:szCs w:val="22"/>
          <w:rtl/>
        </w:rPr>
      </w:pPr>
      <w:r w:rsidRPr="005E7E86">
        <w:rPr>
          <w:rFonts w:cs="FrankRuehl" w:hint="cs"/>
          <w:sz w:val="20"/>
          <w:szCs w:val="22"/>
          <w:rtl/>
        </w:rPr>
        <w:t>משרד מבקר המדינה, בהתייחסותו מיולי 2015 למכתבה של עו"ד זילבר ולנוסח טיוטת ההנחיה שהועברה לו לעיון, שב והביע את עמדתו העקרונית שלפיה "כל נסיעה של שר בתפקיד תיעשה במימון ממשלתי", ו"הנסיעה במימון זר היא חריג שיאושר כאשר מתקיימות נסיבות מיוחדות וחריגות ולאחר שיינתנו אישורים המיוחדים והחריגים לכך".</w:t>
      </w:r>
    </w:p>
    <w:p w:rsidR="009B5B44" w:rsidRPr="005E7E86" w:rsidP="005E7E86">
      <w:pPr>
        <w:spacing w:after="120" w:line="230" w:lineRule="exact"/>
        <w:jc w:val="both"/>
        <w:rPr>
          <w:rFonts w:cs="FrankRuehl"/>
          <w:sz w:val="20"/>
          <w:szCs w:val="22"/>
          <w:rtl/>
        </w:rPr>
      </w:pPr>
      <w:r w:rsidRPr="005E7E86">
        <w:rPr>
          <w:rFonts w:cs="FrankRuehl" w:hint="cs"/>
          <w:sz w:val="20"/>
          <w:szCs w:val="22"/>
          <w:rtl/>
        </w:rPr>
        <w:t xml:space="preserve">בסוף יולי 2015 פנתה עו"ד זילבר למזכיר הממשלה במכתב ובו ציינה כי מוטב היה שהממשלה לא הייתה נסמכת על גורמים זרים שיישאו בעלויות נסיעות חבריה וסגניהם לחו"ל לצורך מילוי תפקידם ובמסגרת תפקידם, וכי ראוי שנסיעות אלה יבוצעו במימון ממשלתי בלבד. עו"ד זילבר ביקשה ממזכיר הממשלה בפנייה זו, שהדברים יובאו לפני הממשלה על מנת שזו תוכל לשקול ולהכריע בדבר. גם במסגרת פנייה זו נעשתה הבחנה ברורה בין המדיניות המשפטית בנושא זה לבין המישור הלבר-משפטי. </w:t>
      </w:r>
    </w:p>
    <w:p w:rsidR="009B5B44" w:rsidRPr="005E7E86" w:rsidP="005E7E86">
      <w:pPr>
        <w:spacing w:after="120" w:line="230" w:lineRule="exact"/>
        <w:jc w:val="both"/>
        <w:rPr>
          <w:rFonts w:cs="FrankRuehl"/>
          <w:sz w:val="20"/>
          <w:szCs w:val="22"/>
          <w:rtl/>
        </w:rPr>
      </w:pPr>
      <w:r w:rsidRPr="005E7E86">
        <w:rPr>
          <w:rFonts w:cs="FrankRuehl" w:hint="cs"/>
          <w:sz w:val="20"/>
          <w:szCs w:val="22"/>
          <w:rtl/>
        </w:rPr>
        <w:t xml:space="preserve">בתגובת מזכיר הממשלה מאוגוסט 2015 על טיוטת הדוח צוין כי "לשינוי סדרי נסיעותיהם של השרים במימון שאינו ממשלתי עשויות להיות השלכות תקציביות והשלכות על יחסי מדינת ישראל ויהדות התפוצות ובכוונתי לבחון עניין זה עם נציגי היועץ המשפטי לממשלה, החשב הכללי ואגף התקציבים במשרד האוצר והגורמים הרלוונטיים לנושא". </w:t>
      </w:r>
    </w:p>
    <w:p w:rsidR="009B5B44" w:rsidP="005E7E86">
      <w:pPr>
        <w:spacing w:after="120" w:line="230" w:lineRule="exact"/>
        <w:jc w:val="both"/>
        <w:rPr>
          <w:rFonts w:cs="FrankRuehl"/>
          <w:sz w:val="20"/>
          <w:szCs w:val="22"/>
          <w:lang w:eastAsia="he-IL"/>
        </w:rPr>
      </w:pPr>
    </w:p>
    <w:p w:rsidR="002E1867" w:rsidRPr="005E7E86" w:rsidP="005E7E86">
      <w:pPr>
        <w:spacing w:after="120" w:line="230" w:lineRule="exact"/>
        <w:jc w:val="both"/>
        <w:rPr>
          <w:rFonts w:cs="FrankRuehl"/>
          <w:sz w:val="20"/>
          <w:szCs w:val="22"/>
          <w:rtl/>
          <w:lang w:eastAsia="he-IL"/>
        </w:rPr>
      </w:pPr>
    </w:p>
    <w:p w:rsidR="009B5B44" w:rsidP="00BF3C50">
      <w:pPr>
        <w:pStyle w:val="KOT4"/>
        <w:rPr>
          <w:rtl/>
        </w:rPr>
      </w:pPr>
      <w:r>
        <w:rPr>
          <w:rtl/>
        </w:rPr>
        <w:t>סיכום</w:t>
      </w:r>
    </w:p>
    <w:p w:rsidR="009B5B44" w:rsidRPr="005E7E86" w:rsidP="002E1867">
      <w:pPr>
        <w:pStyle w:val="RESHET"/>
        <w:keepLines/>
        <w:rPr>
          <w:rtl/>
        </w:rPr>
      </w:pPr>
      <w:r w:rsidRPr="005E7E86">
        <w:rPr>
          <w:rFonts w:hint="cs"/>
          <w:rtl/>
        </w:rPr>
        <w:t>ביסוד קיומו ופעולתו של השירות הציבורי עומד אמון הציבור. איש ציבור נאמן הציבור הוא; לא לעצמו הוא פועל, אלא למען ענייניו של הציבור.</w:t>
      </w:r>
    </w:p>
    <w:p w:rsidR="009B5B44" w:rsidRPr="005E7E86" w:rsidP="002E1867">
      <w:pPr>
        <w:pStyle w:val="RESHET"/>
        <w:keepLines/>
        <w:rPr>
          <w:rtl/>
        </w:rPr>
      </w:pPr>
      <w:r w:rsidRPr="005E7E86">
        <w:rPr>
          <w:rFonts w:hint="cs"/>
          <w:rtl/>
        </w:rPr>
        <w:t>השתתפותם של שרים במכלול של פעילויות במדינות העולם נדרשת למילוי תפקידם. הביקורת העלתה כי הכללים המחייבים את כל עובדי המדינה שעניינם תקרת ההוצאות בנוגע לנסיעות לחו"ל, לא הוחלו על שרי הממשלה.</w:t>
      </w:r>
    </w:p>
    <w:p w:rsidR="009B5B44" w:rsidRPr="005E7E86" w:rsidP="002E1867">
      <w:pPr>
        <w:pStyle w:val="RESHET"/>
        <w:keepLines/>
        <w:rPr>
          <w:rtl/>
        </w:rPr>
      </w:pPr>
      <w:r w:rsidRPr="005E7E86">
        <w:rPr>
          <w:rFonts w:hint="cs"/>
          <w:rtl/>
        </w:rPr>
        <w:t>נסיעות של שרים לחו"ל ובעיקר נסיעות שהוצאותיהן ממומנות שלא מתקציב המדינה אלא על ידי גורמים חיצוניים - מחייבות אותם לתשומת לב מיוחדת והקפדה יתרה על הכללים בנושא קבלת טובות הנאה ומתנות ומניעת ניגודי עניינים, אשר חלים עליהם מכוח חוק.</w:t>
      </w:r>
    </w:p>
    <w:p w:rsidR="009B5B44" w:rsidRPr="005E7E86" w:rsidP="002E1867">
      <w:pPr>
        <w:pStyle w:val="RESHET"/>
        <w:keepLines/>
        <w:rPr>
          <w:rtl/>
        </w:rPr>
      </w:pPr>
      <w:r w:rsidRPr="005E7E86">
        <w:rPr>
          <w:rFonts w:hint="cs"/>
          <w:rtl/>
        </w:rPr>
        <w:t>הביקורת העלתה כי נסיעותיו של מר בנימין נתניהו ובני משפחתו במימון גורמים חיצוניים בתקופת היותו שר האוצר חרגו מהכללים החלים בנושא, והדבר עלול ליצור מראית עין של קבלת טובת הנאה או של ניגוד עניינים. יצוין כי בכל אותם מקרים, בדומה לשרים אחרים באותה תקופה, לא פנה מר נתניהו לוועדת המתנות או לוועדה למתן היתרים כדי שתבחן אם יש בקבלת המימון החיצוני משום קבלת טובת הנאה או מתנה אסורה.</w:t>
      </w:r>
    </w:p>
    <w:p w:rsidR="009B5B44" w:rsidRPr="005E7E86" w:rsidP="002E1867">
      <w:pPr>
        <w:pStyle w:val="RESHET"/>
        <w:keepLines/>
        <w:rPr>
          <w:rtl/>
        </w:rPr>
      </w:pPr>
      <w:r w:rsidRPr="005E7E86">
        <w:rPr>
          <w:rFonts w:hint="cs"/>
          <w:rtl/>
        </w:rPr>
        <w:t>על השרים להקפיד על קיום הדרישה היסודית שכל נסיעה של שר לחו"ל במימון של גורם חיצוני שאינו ממשלתי תיבחן על ידי גורם משפטי מוסמך. בחינה זו חייבת להיעשות באופן יסודי ועל סמך מידע מפורט. באופן זה ניתן יהיה להבטיח הנהגת מדיניות בחינה ואישור אחידה. יודגש כי בחינה זו אינה מסירה מן השרים את האחריות האישית הרובצת עליהם להימנע מקבלת מתנה אסורה ומחשש לניגוד עניינים או מראית עין של אלה.</w:t>
      </w:r>
    </w:p>
    <w:p w:rsidR="009B5B44" w:rsidRPr="005E7E86" w:rsidP="002E1867">
      <w:pPr>
        <w:pStyle w:val="RESHET"/>
        <w:keepLines/>
        <w:rPr>
          <w:rtl/>
        </w:rPr>
      </w:pPr>
      <w:r w:rsidRPr="005E7E86">
        <w:rPr>
          <w:rFonts w:hint="cs"/>
          <w:rtl/>
        </w:rPr>
        <w:t>במהלך עבודת הביקורת הועברו בשנת 2013 ליועץ המשפטי לממשלה לבדיקתו חומרים הנוגעים להיבטים מסוימים במימון נסיעות מר נתניהו לחו"ל. בספטמבר 2014 הודיע היועץ המשפטי לממשלה ש"לא נמצא שיש מקום לפתוח בחקירה בחשד לביצוע עבירה פלילית מצידו של מר נתניהו", ובשל כך על סיום הבדיקה שלו בעניינים אלה. לאחר קבלת תגובות המבוקרים על טיוטת הדוח, ובמהלך עבודת השלמת הביקורת שנעשתה לאור תגובות אלה, הועברו אל היועץ המשפטי לממשלה לבדיקה חומרים נוספים הנוגעים להיבטים מסוימים במימון נסיעות מר נתניהו לחו"ל, זאת בחודשים מאי ודצמבר 2015. לפי בקשת היועץ המשפטי לממשלה, הועברו אליו שוב, בד בבד עם העברת החומרים הנוספים, החומרים שכבר הועברו אליו בשנת 2013 לבדיקתו. לאור בדיקת היועץ המשפטי לממשלה, יש סוגיות הנוגעות לנושא שאינן נדונות בדוח זה.</w:t>
      </w:r>
    </w:p>
    <w:p w:rsidR="00C8241F" w:rsidP="00854DA5">
      <w:pPr>
        <w:pStyle w:val="Header"/>
        <w:tabs>
          <w:tab w:val="clear" w:pos="4153"/>
          <w:tab w:val="clear" w:pos="8306"/>
        </w:tabs>
        <w:rPr>
          <w:rtl/>
        </w:rPr>
      </w:pPr>
    </w:p>
    <w:sectPr w:rsidSect="000F24CD">
      <w:headerReference w:type="even" r:id="rId6"/>
      <w:headerReference w:type="default" r:id="rId7"/>
      <w:footerReference w:type="even" r:id="rId8"/>
      <w:footerReference w:type="default" r:id="rId9"/>
      <w:headerReference w:type="first" r:id="rId10"/>
      <w:footerReference w:type="first" r:id="rId11"/>
      <w:footnotePr>
        <w:numRestart w:val="eachSect"/>
      </w:footnotePr>
      <w:pgSz w:w="11906" w:h="16838" w:code="9"/>
      <w:pgMar w:top="1758" w:right="2552" w:bottom="4253" w:left="2552" w:header="1247" w:footer="1134" w:gutter="0"/>
      <w:pgNumType w:start="375"/>
      <w:cols w:space="720"/>
      <w:titlePg/>
      <w:rtlGutter/>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E86" w:rsidP="00BF0FE2">
    <w:pPr>
      <w:pStyle w:val="Footer"/>
      <w:tabs>
        <w:tab w:val="left" w:pos="1222"/>
      </w:tabs>
      <w:spacing w:line="160" w:lineRule="exact"/>
      <w:ind w:left="1225" w:hanging="1225"/>
      <w:rPr>
        <w:sz w:val="16"/>
        <w:szCs w:val="16"/>
        <w:rtl/>
      </w:rPr>
    </w:pPr>
    <w:r>
      <w:rPr>
        <w:sz w:val="16"/>
        <w:szCs w:val="16"/>
        <w:rtl/>
      </w:rPr>
      <w:t>שם הדוח:</w:t>
    </w:r>
    <w:r>
      <w:rPr>
        <w:sz w:val="16"/>
        <w:szCs w:val="16"/>
        <w:rtl/>
      </w:rPr>
      <w:tab/>
    </w:r>
    <w:r w:rsidRPr="005E7E86">
      <w:rPr>
        <w:sz w:val="16"/>
        <w:szCs w:val="16"/>
        <w:rtl/>
      </w:rPr>
      <w:t>מימון נסיעות שר לחו"ל</w:t>
    </w:r>
    <w:r>
      <w:rPr>
        <w:rFonts w:hint="cs"/>
        <w:sz w:val="16"/>
        <w:szCs w:val="16"/>
        <w:rtl/>
      </w:rPr>
      <w:t xml:space="preserve"> -</w:t>
    </w:r>
    <w:r w:rsidR="00BF0FE2">
      <w:rPr>
        <w:rFonts w:hint="cs"/>
        <w:sz w:val="16"/>
        <w:szCs w:val="16"/>
        <w:rtl/>
      </w:rPr>
      <w:t xml:space="preserve"> </w:t>
    </w:r>
    <w:r w:rsidRPr="005E7E86">
      <w:rPr>
        <w:sz w:val="16"/>
        <w:szCs w:val="16"/>
        <w:rtl/>
      </w:rPr>
      <w:tab/>
      <w:t>מימון נסיעות מר בנימין נתניהו לחו"ל בתפקיד בתקופת היותו שר האוצר; ומעקב אחר יישום המלצות מבקר המדינה בדוח הביקורת בנושא נסיעות של שרים וסגני שרים לחו"ל במימון שאיננו ממשלתי</w:t>
    </w:r>
  </w:p>
  <w:p w:rsidR="00C2718A" w:rsidRPr="00B4181C" w:rsidP="00C2718A">
    <w:pPr>
      <w:pStyle w:val="Footer"/>
      <w:tabs>
        <w:tab w:val="left" w:pos="1222"/>
      </w:tabs>
      <w:spacing w:line="160" w:lineRule="exact"/>
      <w:rPr>
        <w:sz w:val="16"/>
        <w:szCs w:val="16"/>
        <w:rtl/>
      </w:rPr>
    </w:pPr>
    <w:r w:rsidRPr="00B4181C">
      <w:rPr>
        <w:sz w:val="16"/>
        <w:szCs w:val="16"/>
        <w:rtl/>
      </w:rPr>
      <w:t>מסגרת הפרסום:</w:t>
    </w:r>
    <w:r w:rsidRPr="00B4181C">
      <w:rPr>
        <w:sz w:val="16"/>
        <w:szCs w:val="16"/>
        <w:rtl/>
      </w:rPr>
      <w:tab/>
    </w:r>
    <w:r>
      <w:rPr>
        <w:rFonts w:hint="cs"/>
        <w:sz w:val="16"/>
        <w:szCs w:val="16"/>
        <w:rtl/>
      </w:rPr>
      <w:t>דוח שנתי 66ג</w:t>
    </w:r>
  </w:p>
  <w:p w:rsidR="008029DE" w:rsidP="008029DE">
    <w:pPr>
      <w:pStyle w:val="Footer"/>
      <w:tabs>
        <w:tab w:val="left" w:pos="1222"/>
      </w:tabs>
      <w:spacing w:line="160" w:lineRule="exact"/>
      <w:rPr>
        <w:sz w:val="16"/>
        <w:szCs w:val="16"/>
        <w:rtl/>
      </w:rPr>
    </w:pPr>
    <w:r>
      <w:rPr>
        <w:sz w:val="16"/>
        <w:szCs w:val="16"/>
        <w:rtl/>
      </w:rPr>
      <w:t>שנת פרסום:</w:t>
    </w:r>
    <w:r>
      <w:rPr>
        <w:sz w:val="16"/>
        <w:szCs w:val="16"/>
        <w:rtl/>
      </w:rPr>
      <w:tab/>
      <w:t>התשע"ו-201</w:t>
    </w:r>
    <w:r>
      <w:rPr>
        <w:rFonts w:hint="cs"/>
        <w:sz w:val="16"/>
        <w:szCs w:val="16"/>
        <w:rtl/>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7E86" w:rsidP="00BF0FE2">
    <w:pPr>
      <w:pStyle w:val="Footer"/>
      <w:tabs>
        <w:tab w:val="left" w:pos="1222"/>
      </w:tabs>
      <w:spacing w:line="160" w:lineRule="exact"/>
      <w:ind w:left="1225" w:hanging="1225"/>
      <w:rPr>
        <w:sz w:val="16"/>
        <w:szCs w:val="16"/>
        <w:rtl/>
      </w:rPr>
    </w:pPr>
    <w:r>
      <w:rPr>
        <w:sz w:val="16"/>
        <w:szCs w:val="16"/>
        <w:rtl/>
      </w:rPr>
      <w:t>שם הדוח:</w:t>
    </w:r>
    <w:r>
      <w:rPr>
        <w:sz w:val="16"/>
        <w:szCs w:val="16"/>
        <w:rtl/>
      </w:rPr>
      <w:tab/>
    </w:r>
    <w:r w:rsidRPr="005E7E86">
      <w:rPr>
        <w:sz w:val="16"/>
        <w:szCs w:val="16"/>
        <w:rtl/>
      </w:rPr>
      <w:t>מימון נסיעות שר לחו"ל</w:t>
    </w:r>
    <w:r>
      <w:rPr>
        <w:rFonts w:hint="cs"/>
        <w:sz w:val="16"/>
        <w:szCs w:val="16"/>
        <w:rtl/>
      </w:rPr>
      <w:t xml:space="preserve"> -</w:t>
    </w:r>
    <w:r w:rsidR="00BF0FE2">
      <w:rPr>
        <w:rFonts w:hint="cs"/>
        <w:sz w:val="16"/>
        <w:szCs w:val="16"/>
        <w:rtl/>
      </w:rPr>
      <w:t xml:space="preserve"> </w:t>
    </w:r>
    <w:r w:rsidRPr="005E7E86">
      <w:rPr>
        <w:sz w:val="16"/>
        <w:szCs w:val="16"/>
        <w:rtl/>
      </w:rPr>
      <w:tab/>
      <w:t>מימון נסיעות מר בנימין נתניהו לחו"ל בתפקיד בתקופת היותו שר האוצר; ומעקב אחר יישום המלצות מבקר המדינה בדוח הביקורת בנושא נסיעות של שרים וסגני שרים לחו"ל במימון שאיננו ממשלתי</w:t>
    </w:r>
  </w:p>
  <w:p w:rsidR="00C2718A" w:rsidRPr="00B4181C" w:rsidP="00C2718A">
    <w:pPr>
      <w:pStyle w:val="Footer"/>
      <w:tabs>
        <w:tab w:val="left" w:pos="1222"/>
      </w:tabs>
      <w:spacing w:line="160" w:lineRule="exact"/>
      <w:rPr>
        <w:sz w:val="16"/>
        <w:szCs w:val="16"/>
        <w:rtl/>
      </w:rPr>
    </w:pPr>
    <w:r w:rsidRPr="00B4181C">
      <w:rPr>
        <w:sz w:val="16"/>
        <w:szCs w:val="16"/>
        <w:rtl/>
      </w:rPr>
      <w:t>מסגרת הפרסום:</w:t>
    </w:r>
    <w:r w:rsidRPr="00B4181C">
      <w:rPr>
        <w:sz w:val="16"/>
        <w:szCs w:val="16"/>
        <w:rtl/>
      </w:rPr>
      <w:tab/>
    </w:r>
    <w:r>
      <w:rPr>
        <w:rFonts w:hint="cs"/>
        <w:sz w:val="16"/>
        <w:szCs w:val="16"/>
        <w:rtl/>
      </w:rPr>
      <w:t>דוח שנתי 66ג</w:t>
    </w:r>
  </w:p>
  <w:p w:rsidR="008029DE" w:rsidP="008029DE">
    <w:pPr>
      <w:pStyle w:val="Footer"/>
      <w:tabs>
        <w:tab w:val="left" w:pos="1222"/>
      </w:tabs>
      <w:spacing w:line="160" w:lineRule="exact"/>
      <w:rPr>
        <w:sz w:val="16"/>
        <w:szCs w:val="16"/>
        <w:rtl/>
      </w:rPr>
    </w:pPr>
    <w:r>
      <w:rPr>
        <w:sz w:val="16"/>
        <w:szCs w:val="16"/>
        <w:rtl/>
      </w:rPr>
      <w:t>שנת פרסום:</w:t>
    </w:r>
    <w:r>
      <w:rPr>
        <w:sz w:val="16"/>
        <w:szCs w:val="16"/>
        <w:rtl/>
      </w:rPr>
      <w:tab/>
      <w:t>התשע"ו-201</w:t>
    </w:r>
    <w:r>
      <w:rPr>
        <w:rFonts w:hint="cs"/>
        <w:sz w:val="16"/>
        <w:szCs w:val="16"/>
        <w:rtl/>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75A6" w:rsidP="000F24CD">
    <w:pPr>
      <w:pStyle w:val="Footer"/>
      <w:tabs>
        <w:tab w:val="left" w:pos="1222"/>
      </w:tabs>
      <w:spacing w:line="160" w:lineRule="exact"/>
      <w:ind w:left="1225" w:hanging="1225"/>
      <w:rPr>
        <w:sz w:val="16"/>
        <w:szCs w:val="16"/>
        <w:rtl/>
      </w:rPr>
    </w:pPr>
    <w:r>
      <w:rPr>
        <w:sz w:val="16"/>
        <w:szCs w:val="16"/>
        <w:rtl/>
      </w:rPr>
      <w:t>שם הדוח:</w:t>
    </w:r>
    <w:r>
      <w:rPr>
        <w:sz w:val="16"/>
        <w:szCs w:val="16"/>
        <w:rtl/>
      </w:rPr>
      <w:tab/>
    </w:r>
    <w:r w:rsidRPr="005E7E86" w:rsidR="005E7E86">
      <w:rPr>
        <w:sz w:val="16"/>
        <w:szCs w:val="16"/>
        <w:rtl/>
      </w:rPr>
      <w:t>מימון נסיעות שר לחו"ל</w:t>
    </w:r>
    <w:r w:rsidR="005E7E86">
      <w:rPr>
        <w:rFonts w:hint="cs"/>
        <w:sz w:val="16"/>
        <w:szCs w:val="16"/>
        <w:rtl/>
      </w:rPr>
      <w:t xml:space="preserve"> - </w:t>
    </w:r>
    <w:r w:rsidRPr="005E7E86" w:rsidR="005E7E86">
      <w:rPr>
        <w:sz w:val="16"/>
        <w:szCs w:val="16"/>
        <w:rtl/>
      </w:rPr>
      <w:t>11.</w:t>
    </w:r>
    <w:r w:rsidRPr="005E7E86" w:rsidR="005E7E86">
      <w:rPr>
        <w:sz w:val="16"/>
        <w:szCs w:val="16"/>
        <w:rtl/>
      </w:rPr>
      <w:tab/>
      <w:t>מימון נסיעות מר בנימין נתניהו לחו"ל בתפקיד בתקופת היותו שר האוצר; ומעקב אחר יישום המלצות מבקר המדינה בדוח הביקורת בנושא נסיעות של שרים וסגני שרים לחו"ל במימון שאיננו ממשלתי</w:t>
    </w:r>
  </w:p>
  <w:p w:rsidR="00C2718A" w:rsidRPr="00B4181C" w:rsidP="00C2718A">
    <w:pPr>
      <w:pStyle w:val="Footer"/>
      <w:tabs>
        <w:tab w:val="left" w:pos="1222"/>
      </w:tabs>
      <w:spacing w:line="160" w:lineRule="exact"/>
      <w:rPr>
        <w:sz w:val="16"/>
        <w:szCs w:val="16"/>
        <w:rtl/>
      </w:rPr>
    </w:pPr>
    <w:r w:rsidRPr="00B4181C">
      <w:rPr>
        <w:sz w:val="16"/>
        <w:szCs w:val="16"/>
        <w:rtl/>
      </w:rPr>
      <w:t>מסגרת הפרסום:</w:t>
    </w:r>
    <w:r w:rsidRPr="00B4181C">
      <w:rPr>
        <w:sz w:val="16"/>
        <w:szCs w:val="16"/>
        <w:rtl/>
      </w:rPr>
      <w:tab/>
    </w:r>
    <w:r>
      <w:rPr>
        <w:rFonts w:hint="cs"/>
        <w:sz w:val="16"/>
        <w:szCs w:val="16"/>
        <w:rtl/>
      </w:rPr>
      <w:t>דוח שנתי 66ג</w:t>
    </w:r>
  </w:p>
  <w:p w:rsidR="001275A6" w:rsidP="009718F9">
    <w:pPr>
      <w:pStyle w:val="Footer"/>
      <w:tabs>
        <w:tab w:val="left" w:pos="1222"/>
      </w:tabs>
      <w:spacing w:line="160" w:lineRule="exact"/>
      <w:rPr>
        <w:sz w:val="16"/>
        <w:szCs w:val="16"/>
        <w:rtl/>
      </w:rPr>
    </w:pPr>
    <w:r>
      <w:rPr>
        <w:sz w:val="16"/>
        <w:szCs w:val="16"/>
        <w:rtl/>
      </w:rPr>
      <w:t>שנת פרסום:</w:t>
    </w:r>
    <w:r>
      <w:rPr>
        <w:sz w:val="16"/>
        <w:szCs w:val="16"/>
        <w:rtl/>
      </w:rPr>
      <w:tab/>
    </w:r>
    <w:r w:rsidR="008029DE">
      <w:rPr>
        <w:sz w:val="16"/>
        <w:szCs w:val="16"/>
        <w:rtl/>
      </w:rPr>
      <w:t>התשע"ו-201</w:t>
    </w:r>
    <w:r w:rsidR="008029DE">
      <w:rPr>
        <w:rFonts w:hint="cs"/>
        <w:sz w:val="16"/>
        <w:szCs w:val="16"/>
        <w:rtl/>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6436F">
      <w:pPr>
        <w:spacing w:after="120"/>
        <w:rPr>
          <w:sz w:val="16"/>
          <w:szCs w:val="16"/>
        </w:rPr>
      </w:pPr>
      <w:r>
        <w:rPr>
          <w:sz w:val="16"/>
          <w:szCs w:val="16"/>
          <w:rtl/>
        </w:rPr>
        <w:t>__________________</w:t>
      </w:r>
    </w:p>
  </w:footnote>
  <w:footnote w:type="continuationSeparator" w:id="1">
    <w:p w:rsidR="00A6436F">
      <w:r>
        <w:t>_______________</w:t>
      </w:r>
    </w:p>
  </w:footnote>
  <w:footnote w:id="2">
    <w:p w:rsidR="00306A96" w:rsidRPr="005E7E86" w:rsidP="005D2E25">
      <w:pPr>
        <w:pStyle w:val="FootnoteText"/>
        <w:keepLines/>
        <w:spacing w:line="200" w:lineRule="exact"/>
        <w:ind w:left="397" w:hanging="397"/>
        <w:jc w:val="both"/>
        <w:rPr>
          <w:rFonts w:cs="FrankRuehl"/>
          <w:sz w:val="18"/>
          <w:rtl/>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בהבחנה מנסיעותיהם הפרטיות של השרים.</w:t>
      </w:r>
    </w:p>
  </w:footnote>
  <w:footnote w:id="3">
    <w:p w:rsidR="00306A96" w:rsidRPr="005E7E86" w:rsidP="005D2E25">
      <w:pPr>
        <w:pStyle w:val="FootnoteText"/>
        <w:keepLines/>
        <w:spacing w:line="200" w:lineRule="exact"/>
        <w:ind w:left="397" w:hanging="397"/>
        <w:jc w:val="both"/>
        <w:rPr>
          <w:rFonts w:cs="FrankRuehl"/>
          <w:sz w:val="18"/>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 xml:space="preserve">נסיעה בתפקיד של שר נעשית בליווי מאבטחים. </w:t>
      </w:r>
    </w:p>
  </w:footnote>
  <w:footnote w:id="4">
    <w:p w:rsidR="00306A96" w:rsidRPr="005E7E86" w:rsidP="005D2E25">
      <w:pPr>
        <w:pStyle w:val="FootnoteText"/>
        <w:keepLines/>
        <w:spacing w:line="200" w:lineRule="exact"/>
        <w:ind w:left="397" w:hanging="397"/>
        <w:jc w:val="both"/>
        <w:rPr>
          <w:rFonts w:cs="FrankRuehl"/>
          <w:sz w:val="18"/>
          <w:rtl/>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במרבית הנסיעות בתפקיד מתלווים לשר עוזרים, יועצים ועובדי מדינה.</w:t>
      </w:r>
    </w:p>
  </w:footnote>
  <w:footnote w:id="5">
    <w:p w:rsidR="009B5B44" w:rsidRPr="005E7E86" w:rsidP="005E7E86">
      <w:pPr>
        <w:pStyle w:val="FootnoteText"/>
        <w:keepLines/>
        <w:spacing w:line="200" w:lineRule="exact"/>
        <w:ind w:left="397" w:hanging="397"/>
        <w:jc w:val="both"/>
        <w:rPr>
          <w:rFonts w:cs="FrankRuehl"/>
          <w:sz w:val="18"/>
          <w:rtl/>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גם בהנחיית היועץ המשפטי לממשלה מס' 1.1700 מ-28.5.00 ההתייחסות לשרים היא כאל עובדי ציבור. ברם אין קביעה כללית ולפיה כלל דיני עובדי ציבור חלים על שרים.</w:t>
      </w:r>
    </w:p>
  </w:footnote>
  <w:footnote w:id="6">
    <w:p w:rsidR="009B5B44" w:rsidRPr="005E7E86" w:rsidP="005E7E86">
      <w:pPr>
        <w:pStyle w:val="FootnoteText"/>
        <w:keepLines/>
        <w:spacing w:line="200" w:lineRule="exact"/>
        <w:ind w:left="397" w:hanging="397"/>
        <w:jc w:val="both"/>
        <w:rPr>
          <w:rFonts w:cs="FrankRuehl"/>
          <w:sz w:val="18"/>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 xml:space="preserve">סעיף 1 לחוק המתנות. </w:t>
      </w:r>
    </w:p>
  </w:footnote>
  <w:footnote w:id="7">
    <w:p w:rsidR="009B5B44" w:rsidRPr="005E7E86" w:rsidP="005E7E86">
      <w:pPr>
        <w:pStyle w:val="FootnoteText"/>
        <w:keepLines/>
        <w:spacing w:line="200" w:lineRule="exact"/>
        <w:ind w:left="397" w:hanging="397"/>
        <w:jc w:val="both"/>
        <w:rPr>
          <w:rFonts w:cs="FrankRuehl"/>
          <w:sz w:val="18"/>
          <w:rtl/>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 xml:space="preserve">סעיף 2 לחוק המתנות. </w:t>
      </w:r>
    </w:p>
  </w:footnote>
  <w:footnote w:id="8">
    <w:p w:rsidR="009B5B44" w:rsidRPr="005E7E86" w:rsidP="005E7E86">
      <w:pPr>
        <w:pStyle w:val="FootnoteText"/>
        <w:keepLines/>
        <w:spacing w:line="200" w:lineRule="exact"/>
        <w:ind w:left="397" w:hanging="397"/>
        <w:jc w:val="both"/>
        <w:rPr>
          <w:rFonts w:cs="FrankRuehl"/>
          <w:sz w:val="18"/>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 xml:space="preserve">הנחיית היועץ המשפטי לממשלה מס' 1.1709 מ-21.11.05, בעניין קבלת הזמנות וכרטיסים למופעים ולאירועים. </w:t>
      </w:r>
    </w:p>
  </w:footnote>
  <w:footnote w:id="9">
    <w:p w:rsidR="009B5B44" w:rsidRPr="005E7E86" w:rsidP="005E7E86">
      <w:pPr>
        <w:pStyle w:val="FootnoteText"/>
        <w:keepLines/>
        <w:spacing w:line="200" w:lineRule="exact"/>
        <w:ind w:left="397" w:hanging="397"/>
        <w:jc w:val="both"/>
        <w:rPr>
          <w:rFonts w:cs="FrankRuehl"/>
          <w:sz w:val="18"/>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 xml:space="preserve">תקנות המתנות, תקנה 4(א). </w:t>
      </w:r>
    </w:p>
  </w:footnote>
  <w:footnote w:id="10">
    <w:p w:rsidR="009B5B44" w:rsidRPr="005E7E86" w:rsidP="005E7E86">
      <w:pPr>
        <w:pStyle w:val="FootnoteText"/>
        <w:keepLines/>
        <w:spacing w:line="200" w:lineRule="exact"/>
        <w:ind w:left="397" w:hanging="397"/>
        <w:jc w:val="both"/>
        <w:rPr>
          <w:rFonts w:cs="FrankRuehl"/>
          <w:sz w:val="18"/>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 xml:space="preserve">שם, תקנה 1(א). </w:t>
      </w:r>
    </w:p>
  </w:footnote>
  <w:footnote w:id="11">
    <w:p w:rsidR="009B5B44" w:rsidRPr="005E7E86" w:rsidP="005E7E86">
      <w:pPr>
        <w:pStyle w:val="FootnoteText"/>
        <w:keepLines/>
        <w:spacing w:line="200" w:lineRule="exact"/>
        <w:ind w:left="397" w:hanging="397"/>
        <w:jc w:val="both"/>
        <w:rPr>
          <w:rFonts w:cs="FrankRuehl"/>
          <w:sz w:val="18"/>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ראו בעניין זה את החלטת ועדת האתיקה של הכנסת מ-12.2.02 בעניין מימון נסיעות לחו"ל של חברי הכנסת. ההחלטה קובעת כי "מימון נסיעה לחו"ל לחבר הכנסת יכול להיחשב כמתן הנאה חומרית... שמטרתו להשפיע על שיקול דעתו של חבר הכנסת במהלך פעילותו ולעתים אף כמתנה האסורה לפי חוק שירות הציבור (מתנות)".</w:t>
      </w:r>
    </w:p>
  </w:footnote>
  <w:footnote w:id="12">
    <w:p w:rsidR="009B5B44" w:rsidRPr="005E7E86" w:rsidP="005E7E86">
      <w:pPr>
        <w:pStyle w:val="FootnoteText"/>
        <w:keepLines/>
        <w:spacing w:line="200" w:lineRule="exact"/>
        <w:ind w:left="397" w:hanging="397"/>
        <w:jc w:val="both"/>
        <w:rPr>
          <w:rFonts w:cs="FrankRuehl"/>
          <w:sz w:val="18"/>
          <w:rtl/>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החלטה מס' 778 מיום 3.7.77.</w:t>
      </w:r>
    </w:p>
  </w:footnote>
  <w:footnote w:id="13">
    <w:p w:rsidR="009B5B44" w:rsidRPr="005E7E86" w:rsidP="005E7E86">
      <w:pPr>
        <w:pStyle w:val="FootnoteText"/>
        <w:keepLines/>
        <w:spacing w:line="200" w:lineRule="exact"/>
        <w:ind w:left="397" w:hanging="397"/>
        <w:jc w:val="both"/>
        <w:rPr>
          <w:rFonts w:cs="FrankRuehl"/>
          <w:sz w:val="18"/>
          <w:rtl/>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מיום 11.8.77.</w:t>
      </w:r>
    </w:p>
  </w:footnote>
  <w:footnote w:id="14">
    <w:p w:rsidR="009B5B44" w:rsidRPr="005E7E86" w:rsidP="005E7E86">
      <w:pPr>
        <w:pStyle w:val="FootnoteText"/>
        <w:keepLines/>
        <w:spacing w:line="200" w:lineRule="exact"/>
        <w:ind w:left="397" w:hanging="397"/>
        <w:jc w:val="both"/>
        <w:rPr>
          <w:rFonts w:cs="FrankRuehl"/>
          <w:sz w:val="18"/>
          <w:rtl/>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 xml:space="preserve">ראו החלטת ועדת שרים לתיאום, מינהל וביקורת המדינה מס' 2801(תמ/61), שקיבלה תוקף </w:t>
      </w:r>
      <w:r w:rsidR="00FC2F7B">
        <w:rPr>
          <w:rFonts w:cs="FrankRuehl"/>
          <w:sz w:val="18"/>
        </w:rPr>
        <w:br/>
      </w:r>
      <w:r w:rsidRPr="005E7E86">
        <w:rPr>
          <w:rFonts w:cs="FrankRuehl"/>
          <w:sz w:val="18"/>
          <w:rtl/>
        </w:rPr>
        <w:t>ב-28.11.02. פורסם בי"פ התשס"ג, 1139-1136, מיום 16.1.03.</w:t>
      </w:r>
    </w:p>
  </w:footnote>
  <w:footnote w:id="15">
    <w:p w:rsidR="009B5B44" w:rsidRPr="005E7E86" w:rsidP="005E7E86">
      <w:pPr>
        <w:pStyle w:val="FootnoteText"/>
        <w:keepLines/>
        <w:spacing w:line="200" w:lineRule="exact"/>
        <w:ind w:left="397" w:hanging="397"/>
        <w:jc w:val="both"/>
        <w:rPr>
          <w:rFonts w:cs="FrankRuehl"/>
          <w:sz w:val="18"/>
          <w:rtl/>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 xml:space="preserve">כלל מס' 3. </w:t>
      </w:r>
    </w:p>
  </w:footnote>
  <w:footnote w:id="16">
    <w:p w:rsidR="009B5B44" w:rsidRPr="005E7E86" w:rsidP="005E7E86">
      <w:pPr>
        <w:pStyle w:val="FootnoteText"/>
        <w:keepLines/>
        <w:spacing w:line="200" w:lineRule="exact"/>
        <w:ind w:left="397" w:hanging="397"/>
        <w:jc w:val="both"/>
        <w:rPr>
          <w:rFonts w:cs="FrankRuehl"/>
          <w:sz w:val="18"/>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כלל מס' 4.</w:t>
      </w:r>
    </w:p>
  </w:footnote>
  <w:footnote w:id="17">
    <w:p w:rsidR="009B5B44" w:rsidRPr="005E7E86" w:rsidP="005E7E86">
      <w:pPr>
        <w:pStyle w:val="FootnoteText"/>
        <w:keepLines/>
        <w:spacing w:line="200" w:lineRule="exact"/>
        <w:ind w:left="397" w:hanging="397"/>
        <w:jc w:val="both"/>
        <w:rPr>
          <w:rFonts w:cs="FrankRuehl"/>
          <w:sz w:val="18"/>
          <w:rtl/>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כלל מס' 6(3)(א).</w:t>
      </w:r>
    </w:p>
  </w:footnote>
  <w:footnote w:id="18">
    <w:p w:rsidR="009B5B44" w:rsidRPr="005E7E86" w:rsidP="005E7E86">
      <w:pPr>
        <w:pStyle w:val="FootnoteText"/>
        <w:keepLines/>
        <w:spacing w:line="200" w:lineRule="exact"/>
        <w:ind w:left="397" w:hanging="397"/>
        <w:jc w:val="both"/>
        <w:rPr>
          <w:rFonts w:cs="FrankRuehl"/>
          <w:sz w:val="18"/>
          <w:rtl/>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כלל מס' 5(ג).</w:t>
      </w:r>
    </w:p>
  </w:footnote>
  <w:footnote w:id="19">
    <w:p w:rsidR="009B5B44" w:rsidRPr="005E7E86" w:rsidP="005E7E86">
      <w:pPr>
        <w:pStyle w:val="FootnoteText"/>
        <w:keepLines/>
        <w:spacing w:line="200" w:lineRule="exact"/>
        <w:ind w:left="397" w:hanging="397"/>
        <w:jc w:val="both"/>
        <w:rPr>
          <w:rFonts w:cs="FrankRuehl"/>
          <w:sz w:val="18"/>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כלל מס' 19.</w:t>
      </w:r>
    </w:p>
  </w:footnote>
  <w:footnote w:id="20">
    <w:p w:rsidR="009B5B44" w:rsidRPr="005E7E86" w:rsidP="005E7E86">
      <w:pPr>
        <w:pStyle w:val="FootnoteText"/>
        <w:keepLines/>
        <w:spacing w:line="200" w:lineRule="exact"/>
        <w:ind w:left="397" w:hanging="397"/>
        <w:jc w:val="both"/>
        <w:rPr>
          <w:rFonts w:cs="FrankRuehl"/>
          <w:sz w:val="18"/>
          <w:rtl/>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 xml:space="preserve">ב-0.5 טיסה הכוונה לטיסה שמומנה רק בחלקה ולא בשלמותה. </w:t>
      </w:r>
    </w:p>
  </w:footnote>
  <w:footnote w:id="21">
    <w:p w:rsidR="009B5B44" w:rsidRPr="005E7E86" w:rsidP="005E7E86">
      <w:pPr>
        <w:pStyle w:val="FootnoteText"/>
        <w:keepLines/>
        <w:spacing w:line="200" w:lineRule="exact"/>
        <w:ind w:left="397" w:hanging="397"/>
        <w:jc w:val="both"/>
        <w:rPr>
          <w:rFonts w:cs="FrankRuehl"/>
          <w:sz w:val="18"/>
          <w:rtl/>
        </w:rPr>
      </w:pPr>
      <w:r w:rsidRPr="00AA4780">
        <w:rPr>
          <w:rStyle w:val="FootnoteReference"/>
          <w:rFonts w:ascii="FrankRuehl" w:hAnsi="FrankRuehl" w:cs="FrankRuehl"/>
          <w:vertAlign w:val="baseline"/>
        </w:rPr>
        <w:footnoteRef/>
      </w:r>
      <w:r w:rsidRPr="005E7E86">
        <w:rPr>
          <w:rStyle w:val="FootnoteReference"/>
          <w:rFonts w:cs="FrankRuehl"/>
          <w:sz w:val="18"/>
          <w:rtl/>
        </w:rPr>
        <w:t xml:space="preserve"> </w:t>
      </w:r>
      <w:r w:rsidRPr="005E7E86">
        <w:rPr>
          <w:rFonts w:cs="FrankRuehl"/>
          <w:sz w:val="18"/>
          <w:rtl/>
        </w:rPr>
        <w:tab/>
        <w:t>במידע המצוי בידי משרד מבקר המדינה אין פרטים מלאים או אסמכתאות בדבר הגורם שמימן את ההוצאות הנלוות לטיסות כגון הוצאות עבור רכב, לינה ואירוח בנסיעות מר נתניהו, לרבות נסיעות בני משפחתו. בהיעדר מידע לא ניתן לדעת מי הגורם שמימן הוצאות אלה באותם מקרים.</w:t>
      </w:r>
    </w:p>
  </w:footnote>
  <w:footnote w:id="22">
    <w:p w:rsidR="009B5B44" w:rsidRPr="005E7E86" w:rsidP="005E7E86">
      <w:pPr>
        <w:pStyle w:val="FootnoteText"/>
        <w:keepLines/>
        <w:spacing w:line="200" w:lineRule="exact"/>
        <w:ind w:left="397" w:hanging="397"/>
        <w:jc w:val="both"/>
        <w:rPr>
          <w:rFonts w:cs="FrankRuehl"/>
          <w:sz w:val="18"/>
          <w:rtl/>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שהיו קטינים באותה עת.</w:t>
      </w:r>
    </w:p>
  </w:footnote>
  <w:footnote w:id="23">
    <w:p w:rsidR="009B5B44" w:rsidRPr="005E7E86" w:rsidP="005E7E86">
      <w:pPr>
        <w:pStyle w:val="FootnoteText"/>
        <w:keepLines/>
        <w:spacing w:line="200" w:lineRule="exact"/>
        <w:ind w:left="397" w:hanging="397"/>
        <w:jc w:val="both"/>
        <w:rPr>
          <w:rFonts w:cs="FrankRuehl"/>
          <w:sz w:val="18"/>
          <w:rtl/>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 xml:space="preserve">ראו הגדרה להלן. </w:t>
      </w:r>
    </w:p>
  </w:footnote>
  <w:footnote w:id="24">
    <w:p w:rsidR="009B5B44" w:rsidRPr="005E7E86" w:rsidP="005E7E86">
      <w:pPr>
        <w:pStyle w:val="FootnoteText"/>
        <w:keepLines/>
        <w:spacing w:line="200" w:lineRule="exact"/>
        <w:ind w:left="397" w:hanging="397"/>
        <w:jc w:val="both"/>
        <w:rPr>
          <w:rFonts w:cs="FrankRuehl"/>
          <w:sz w:val="18"/>
          <w:rtl/>
        </w:rPr>
      </w:pPr>
      <w:r w:rsidRPr="00AA4780">
        <w:rPr>
          <w:rStyle w:val="FootnoteReference"/>
          <w:rFonts w:ascii="FrankRuehl" w:hAnsi="FrankRuehl" w:cs="FrankRuehl"/>
          <w:vertAlign w:val="baseline"/>
        </w:rPr>
        <w:footnoteRef/>
      </w:r>
      <w:r w:rsidRPr="005E7E86">
        <w:rPr>
          <w:rFonts w:cs="FrankRuehl"/>
          <w:sz w:val="18"/>
        </w:rPr>
        <w:tab/>
      </w:r>
      <w:r w:rsidRPr="005E7E86">
        <w:rPr>
          <w:rFonts w:cs="FrankRuehl"/>
          <w:sz w:val="18"/>
          <w:rtl/>
        </w:rPr>
        <w:t>ארגון אקדמי בתחום הכלכלי בהולנד.</w:t>
      </w:r>
    </w:p>
  </w:footnote>
  <w:footnote w:id="25">
    <w:p w:rsidR="009B5B44" w:rsidRPr="005E7E86" w:rsidP="005E7E86">
      <w:pPr>
        <w:pStyle w:val="FootnoteText"/>
        <w:keepLines/>
        <w:spacing w:line="200" w:lineRule="exact"/>
        <w:ind w:left="397" w:hanging="397"/>
        <w:jc w:val="both"/>
        <w:rPr>
          <w:rFonts w:cs="FrankRuehl"/>
          <w:sz w:val="18"/>
          <w:rtl/>
        </w:rPr>
      </w:pPr>
      <w:r w:rsidRPr="00AA4780">
        <w:rPr>
          <w:rStyle w:val="FootnoteReference"/>
          <w:rFonts w:ascii="FrankRuehl" w:hAnsi="FrankRuehl" w:cs="FrankRuehl"/>
          <w:vertAlign w:val="baseline"/>
        </w:rPr>
        <w:footnoteRef/>
      </w:r>
      <w:r w:rsidRPr="005E7E86">
        <w:rPr>
          <w:rStyle w:val="FootnoteReference"/>
          <w:rFonts w:cs="FrankRuehl"/>
          <w:sz w:val="18"/>
          <w:rtl/>
        </w:rPr>
        <w:t xml:space="preserve"> </w:t>
      </w:r>
      <w:r w:rsidRPr="005E7E86">
        <w:rPr>
          <w:rFonts w:cs="FrankRuehl"/>
          <w:sz w:val="18"/>
          <w:rtl/>
        </w:rPr>
        <w:tab/>
        <w:t>מכון מחקר בארצות הברית.</w:t>
      </w:r>
    </w:p>
  </w:footnote>
  <w:footnote w:id="26">
    <w:p w:rsidR="009B5B44" w:rsidRPr="005E7E86" w:rsidP="005E7E86">
      <w:pPr>
        <w:pStyle w:val="FootnoteText"/>
        <w:keepLines/>
        <w:spacing w:line="200" w:lineRule="exact"/>
        <w:ind w:left="397" w:hanging="397"/>
        <w:jc w:val="both"/>
        <w:rPr>
          <w:rFonts w:cs="FrankRuehl"/>
          <w:sz w:val="18"/>
          <w:rtl/>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 xml:space="preserve">הנחיה מס' 1.1700 מ-28.5.00. </w:t>
      </w:r>
    </w:p>
  </w:footnote>
  <w:footnote w:id="27">
    <w:p w:rsidR="009B5B44" w:rsidRPr="005E7E86" w:rsidP="005E7E86">
      <w:pPr>
        <w:pStyle w:val="FootnoteText"/>
        <w:keepLines/>
        <w:spacing w:line="200" w:lineRule="exact"/>
        <w:ind w:left="397" w:hanging="397"/>
        <w:jc w:val="both"/>
        <w:rPr>
          <w:rFonts w:cs="FrankRuehl"/>
          <w:sz w:val="18"/>
          <w:rtl/>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ההנחיה אינה מבחינה בין גיוס תרומות בארץ ובין גיוס תרומות בחו"ל.</w:t>
      </w:r>
    </w:p>
  </w:footnote>
  <w:footnote w:id="28">
    <w:p w:rsidR="009B5B44" w:rsidRPr="005E7E86" w:rsidP="005E7E86">
      <w:pPr>
        <w:pStyle w:val="FootnoteText"/>
        <w:keepLines/>
        <w:spacing w:line="200" w:lineRule="exact"/>
        <w:ind w:left="397" w:hanging="397"/>
        <w:jc w:val="both"/>
        <w:rPr>
          <w:rFonts w:cs="FrankRuehl"/>
          <w:sz w:val="18"/>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r>
      <w:r w:rsidRPr="005E7E86">
        <w:rPr>
          <w:rFonts w:cs="FrankRuehl"/>
          <w:sz w:val="18"/>
          <w:rtl/>
          <w:lang w:eastAsia="he-IL"/>
        </w:rPr>
        <w:t>באמצעות גב' דינה זילבר, המשנה ליועץ המשפטי לממשלה (ייעוץ).</w:t>
      </w:r>
    </w:p>
  </w:footnote>
  <w:footnote w:id="29">
    <w:p w:rsidR="009B5B44" w:rsidRPr="005E7E86" w:rsidP="005E7E86">
      <w:pPr>
        <w:keepLines/>
        <w:spacing w:line="200" w:lineRule="exact"/>
        <w:ind w:left="397" w:hanging="397"/>
        <w:jc w:val="both"/>
        <w:rPr>
          <w:rFonts w:cs="FrankRuehl"/>
          <w:sz w:val="18"/>
          <w:szCs w:val="20"/>
          <w:rtl/>
        </w:rPr>
      </w:pPr>
      <w:r w:rsidRPr="00AA4780">
        <w:rPr>
          <w:rStyle w:val="FootnoteReference"/>
          <w:rFonts w:ascii="FrankRuehl" w:hAnsi="FrankRuehl" w:cs="FrankRuehl"/>
          <w:sz w:val="20"/>
          <w:szCs w:val="20"/>
          <w:vertAlign w:val="baseline"/>
        </w:rPr>
        <w:footnoteRef/>
      </w:r>
      <w:r w:rsidRPr="005E7E86">
        <w:rPr>
          <w:rFonts w:cs="FrankRuehl"/>
          <w:sz w:val="18"/>
          <w:szCs w:val="20"/>
          <w:rtl/>
        </w:rPr>
        <w:t xml:space="preserve"> </w:t>
      </w:r>
      <w:r w:rsidRPr="005E7E86">
        <w:rPr>
          <w:rFonts w:cs="FrankRuehl"/>
          <w:sz w:val="18"/>
          <w:szCs w:val="20"/>
          <w:rtl/>
        </w:rPr>
        <w:tab/>
        <w:t xml:space="preserve">מסכום זה שילם הבונדס 4,133 אירו ומר נתניהו שילם 3,494 אירו. </w:t>
      </w:r>
    </w:p>
  </w:footnote>
  <w:footnote w:id="30">
    <w:p w:rsidR="009B5B44" w:rsidRPr="005E7E86" w:rsidP="005E7E86">
      <w:pPr>
        <w:pStyle w:val="FootnoteText"/>
        <w:keepLines/>
        <w:spacing w:line="200" w:lineRule="exact"/>
        <w:ind w:left="397" w:hanging="397"/>
        <w:jc w:val="both"/>
        <w:rPr>
          <w:rFonts w:cs="FrankRuehl"/>
          <w:sz w:val="18"/>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מר נתניהו כיהן כראש ממשלה בשנים 1999-1996, לפני כהונתו כשר האוצר.</w:t>
      </w:r>
    </w:p>
  </w:footnote>
  <w:footnote w:id="31">
    <w:p w:rsidR="009B5B44" w:rsidRPr="005E7E86" w:rsidP="005E7E86">
      <w:pPr>
        <w:pStyle w:val="FootnoteText"/>
        <w:keepLines/>
        <w:spacing w:line="200" w:lineRule="exact"/>
        <w:ind w:left="397" w:hanging="397"/>
        <w:jc w:val="both"/>
        <w:rPr>
          <w:rFonts w:cs="FrankRuehl"/>
          <w:sz w:val="18"/>
          <w:rtl/>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ק"ת התשמ"א, 1435.</w:t>
      </w:r>
    </w:p>
  </w:footnote>
  <w:footnote w:id="32">
    <w:p w:rsidR="009B5B44" w:rsidRPr="005E7E86" w:rsidP="005E7E86">
      <w:pPr>
        <w:pStyle w:val="FootnoteText"/>
        <w:keepLines/>
        <w:spacing w:line="200" w:lineRule="exact"/>
        <w:ind w:left="397" w:hanging="397"/>
        <w:jc w:val="both"/>
        <w:rPr>
          <w:rFonts w:cs="FrankRuehl"/>
          <w:sz w:val="18"/>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החלטה מס' 3468 מיום 29.4.08.</w:t>
      </w:r>
    </w:p>
  </w:footnote>
  <w:footnote w:id="33">
    <w:p w:rsidR="009B5B44" w:rsidRPr="005E7E86" w:rsidP="005E7E86">
      <w:pPr>
        <w:pStyle w:val="FootnoteText"/>
        <w:keepLines/>
        <w:spacing w:line="200" w:lineRule="exact"/>
        <w:ind w:left="397" w:hanging="397"/>
        <w:jc w:val="both"/>
        <w:rPr>
          <w:rFonts w:cs="FrankRuehl"/>
          <w:sz w:val="18"/>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 xml:space="preserve">סעיף 59. </w:t>
      </w:r>
    </w:p>
  </w:footnote>
  <w:footnote w:id="34">
    <w:p w:rsidR="009B5B44" w:rsidRPr="005E7E86" w:rsidP="005E7E86">
      <w:pPr>
        <w:pStyle w:val="FootnoteText"/>
        <w:keepLines/>
        <w:spacing w:line="200" w:lineRule="exact"/>
        <w:ind w:left="397" w:hanging="397"/>
        <w:jc w:val="both"/>
        <w:rPr>
          <w:rFonts w:cs="FrankRuehl"/>
          <w:sz w:val="18"/>
        </w:rPr>
      </w:pPr>
      <w:r w:rsidRPr="00AA4780">
        <w:rPr>
          <w:rStyle w:val="FootnoteReference"/>
          <w:rFonts w:ascii="FrankRuehl" w:hAnsi="FrankRuehl" w:cs="FrankRuehl"/>
          <w:vertAlign w:val="baseline"/>
        </w:rPr>
        <w:footnoteRef/>
      </w:r>
      <w:r w:rsidRPr="005E7E86">
        <w:rPr>
          <w:rFonts w:cs="FrankRuehl"/>
          <w:sz w:val="18"/>
          <w:rtl/>
        </w:rPr>
        <w:t xml:space="preserve"> </w:t>
      </w:r>
      <w:r w:rsidRPr="005E7E86">
        <w:rPr>
          <w:rFonts w:cs="FrankRuehl"/>
          <w:sz w:val="18"/>
          <w:rtl/>
        </w:rPr>
        <w:tab/>
        <w:t xml:space="preserve">סעיף 70 לתקנון עבודת הממשלה.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0D3" w:rsidP="005750D3">
    <w:pPr>
      <w:pStyle w:val="Header"/>
      <w:tabs>
        <w:tab w:val="clear" w:pos="4153"/>
        <w:tab w:val="right" w:pos="6804"/>
        <w:tab w:val="clear" w:pos="8306"/>
      </w:tabs>
      <w:rPr>
        <w:rFonts w:ascii="FrankRuehl" w:hAnsi="FrankRuehl" w:cs="FrankRuehl"/>
        <w:szCs w:val="20"/>
        <w:rtl/>
      </w:rPr>
    </w:pP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0F24CD">
      <w:rPr>
        <w:rFonts w:ascii="FrankRuehl" w:hAnsi="FrankRuehl" w:cs="FrankRuehl"/>
        <w:noProof/>
        <w:szCs w:val="20"/>
        <w:rtl/>
      </w:rPr>
      <w:t>378</w:t>
    </w:r>
    <w:r>
      <w:rPr>
        <w:rFonts w:ascii="FrankRuehl" w:hAnsi="FrankRuehl" w:cs="FrankRuehl"/>
        <w:szCs w:val="20"/>
      </w:rPr>
      <w:fldChar w:fldCharType="end"/>
    </w:r>
    <w:r>
      <w:rPr>
        <w:rFonts w:ascii="FrankRuehl" w:hAnsi="FrankRuehl" w:cs="FrankRuehl"/>
        <w:szCs w:val="20"/>
        <w:rtl/>
      </w:rPr>
      <w:tab/>
    </w:r>
    <w:r w:rsidR="00C2718A">
      <w:rPr>
        <w:rFonts w:ascii="FrankRuehl" w:hAnsi="FrankRuehl" w:cs="FrankRuehl" w:hint="cs"/>
        <w:szCs w:val="20"/>
        <w:rtl/>
      </w:rPr>
      <w:t>דוח שנתי 66ג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583" w:rsidP="00DA5583">
    <w:pPr>
      <w:pStyle w:val="Header"/>
      <w:tabs>
        <w:tab w:val="clear" w:pos="4153"/>
        <w:tab w:val="right" w:pos="6804"/>
        <w:tab w:val="clear" w:pos="8306"/>
      </w:tabs>
      <w:rPr>
        <w:rFonts w:ascii="FrankRuehl" w:hAnsi="FrankRuehl" w:cs="FrankRuehl"/>
        <w:szCs w:val="20"/>
        <w:rtl/>
      </w:rPr>
    </w:pPr>
    <w:r w:rsidRPr="000F24CD">
      <w:rPr>
        <w:rFonts w:ascii="FrankRuehl" w:hAnsi="FrankRuehl" w:cs="FrankRuehl"/>
        <w:noProof/>
        <w:szCs w:val="20"/>
        <w:rtl/>
      </w:rPr>
      <w:t>מימון נסיעות שר לחו"ל</w:t>
    </w: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Pr>
        <w:rFonts w:ascii="FrankRuehl" w:hAnsi="FrankRuehl" w:cs="FrankRuehl"/>
        <w:noProof/>
        <w:szCs w:val="20"/>
        <w:rtl/>
      </w:rPr>
      <w:t>377</w:t>
    </w:r>
    <w:r>
      <w:rPr>
        <w:rFonts w:ascii="FrankRuehl" w:hAnsi="FrankRuehl" w:cs="FrankRuehl"/>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583" w:rsidP="00DA5583">
    <w:pPr>
      <w:pStyle w:val="Header"/>
      <w:tabs>
        <w:tab w:val="clear" w:pos="4153"/>
        <w:tab w:val="right" w:pos="6804"/>
        <w:tab w:val="clear" w:pos="8306"/>
      </w:tabs>
      <w:rPr>
        <w:rFonts w:ascii="FrankRuehl" w:hAnsi="FrankRuehl" w:cs="FrankRuehl"/>
        <w:szCs w:val="20"/>
        <w:rtl/>
      </w:rPr>
    </w:pP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0F24CD">
      <w:rPr>
        <w:rFonts w:ascii="FrankRuehl" w:hAnsi="FrankRuehl" w:cs="FrankRuehl"/>
        <w:noProof/>
        <w:szCs w:val="20"/>
        <w:rtl/>
      </w:rPr>
      <w:t>375</w:t>
    </w:r>
    <w:r>
      <w:rPr>
        <w:rFonts w:ascii="FrankRuehl" w:hAnsi="FrankRuehl" w:cs="FrankRuehl"/>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0A03B1"/>
    <w:multiLevelType w:val="multilevel"/>
    <w:tmpl w:val="2C9EFE6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
    <w:nsid w:val="24B0334A"/>
    <w:multiLevelType w:val="hybridMultilevel"/>
    <w:tmpl w:val="C6702E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98516B2"/>
    <w:multiLevelType w:val="hybridMultilevel"/>
    <w:tmpl w:val="575487DC"/>
    <w:lvl w:ilvl="0">
      <w:start w:val="1"/>
      <w:numFmt w:val="decimal"/>
      <w:lvlText w:val="%1."/>
      <w:lvlJc w:val="left"/>
      <w:pPr>
        <w:ind w:left="720" w:hanging="360"/>
      </w:pPr>
      <w:rPr>
        <w:rFonts w:hint="default"/>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D1C4CC5"/>
    <w:multiLevelType w:val="hybridMultilevel"/>
    <w:tmpl w:val="710EA31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FD638CD"/>
    <w:multiLevelType w:val="hybridMultilevel"/>
    <w:tmpl w:val="7B38B6C8"/>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3FFC6428"/>
    <w:multiLevelType w:val="hybridMultilevel"/>
    <w:tmpl w:val="1CD22AE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43D46A6B"/>
    <w:multiLevelType w:val="hybridMultilevel"/>
    <w:tmpl w:val="2AC2D8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579958FC"/>
    <w:multiLevelType w:val="multilevel"/>
    <w:tmpl w:val="965E20E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8">
    <w:nsid w:val="66FE5D93"/>
    <w:multiLevelType w:val="hybridMultilevel"/>
    <w:tmpl w:val="4E36D2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7BF5139"/>
    <w:multiLevelType w:val="multilevel"/>
    <w:tmpl w:val="DC6C961C"/>
    <w:lvl w:ilvl="0">
      <w:start w:val="1"/>
      <w:numFmt w:val="decimal"/>
      <w:pStyle w:val="a6"/>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10">
    <w:nsid w:val="6D1B7DBB"/>
    <w:multiLevelType w:val="hybridMultilevel"/>
    <w:tmpl w:val="DF240F68"/>
    <w:lvl w:ilvl="0">
      <w:start w:val="1"/>
      <w:numFmt w:val="hebrew1"/>
      <w:lvlText w:val="(%1)"/>
      <w:lvlJc w:val="left"/>
      <w:pPr>
        <w:ind w:left="870" w:hanging="360"/>
      </w:pPr>
      <w:rPr>
        <w:rFonts w:hint="default"/>
      </w:rPr>
    </w:lvl>
    <w:lvl w:ilvl="1" w:tentative="1">
      <w:start w:val="1"/>
      <w:numFmt w:val="lowerLetter"/>
      <w:lvlText w:val="%2."/>
      <w:lvlJc w:val="left"/>
      <w:pPr>
        <w:ind w:left="1590" w:hanging="360"/>
      </w:pPr>
    </w:lvl>
    <w:lvl w:ilvl="2" w:tentative="1">
      <w:start w:val="1"/>
      <w:numFmt w:val="lowerRoman"/>
      <w:lvlText w:val="%3."/>
      <w:lvlJc w:val="right"/>
      <w:pPr>
        <w:ind w:left="2310" w:hanging="180"/>
      </w:pPr>
    </w:lvl>
    <w:lvl w:ilvl="3" w:tentative="1">
      <w:start w:val="1"/>
      <w:numFmt w:val="decimal"/>
      <w:lvlText w:val="%4."/>
      <w:lvlJc w:val="left"/>
      <w:pPr>
        <w:ind w:left="3030" w:hanging="360"/>
      </w:pPr>
    </w:lvl>
    <w:lvl w:ilvl="4" w:tentative="1">
      <w:start w:val="1"/>
      <w:numFmt w:val="lowerLetter"/>
      <w:lvlText w:val="%5."/>
      <w:lvlJc w:val="left"/>
      <w:pPr>
        <w:ind w:left="3750" w:hanging="360"/>
      </w:pPr>
    </w:lvl>
    <w:lvl w:ilvl="5" w:tentative="1">
      <w:start w:val="1"/>
      <w:numFmt w:val="lowerRoman"/>
      <w:lvlText w:val="%6."/>
      <w:lvlJc w:val="right"/>
      <w:pPr>
        <w:ind w:left="4470" w:hanging="180"/>
      </w:pPr>
    </w:lvl>
    <w:lvl w:ilvl="6" w:tentative="1">
      <w:start w:val="1"/>
      <w:numFmt w:val="decimal"/>
      <w:lvlText w:val="%7."/>
      <w:lvlJc w:val="left"/>
      <w:pPr>
        <w:ind w:left="5190" w:hanging="360"/>
      </w:pPr>
    </w:lvl>
    <w:lvl w:ilvl="7" w:tentative="1">
      <w:start w:val="1"/>
      <w:numFmt w:val="lowerLetter"/>
      <w:lvlText w:val="%8."/>
      <w:lvlJc w:val="left"/>
      <w:pPr>
        <w:ind w:left="5910" w:hanging="360"/>
      </w:pPr>
    </w:lvl>
    <w:lvl w:ilvl="8" w:tentative="1">
      <w:start w:val="1"/>
      <w:numFmt w:val="lowerRoman"/>
      <w:lvlText w:val="%9."/>
      <w:lvlJc w:val="right"/>
      <w:pPr>
        <w:ind w:left="6630" w:hanging="180"/>
      </w:pPr>
    </w:lvl>
  </w:abstractNum>
  <w:abstractNum w:abstractNumId="11">
    <w:nsid w:val="6DC621B1"/>
    <w:multiLevelType w:val="hybridMultilevel"/>
    <w:tmpl w:val="9A88F7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7C3D7669"/>
    <w:multiLevelType w:val="hybridMultilevel"/>
    <w:tmpl w:val="B1B4E61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C757186"/>
    <w:multiLevelType w:val="hybridMultilevel"/>
    <w:tmpl w:val="E3781540"/>
    <w:lvl w:ilvl="0">
      <w:start w:val="1"/>
      <w:numFmt w:val="decimal"/>
      <w:lvlText w:val="%1."/>
      <w:lvlJc w:val="left"/>
      <w:pPr>
        <w:ind w:left="510" w:hanging="360"/>
      </w:pPr>
      <w:rPr>
        <w:rFonts w:hint="default"/>
      </w:rPr>
    </w:lvl>
    <w:lvl w:ilvl="1" w:tentative="1">
      <w:start w:val="1"/>
      <w:numFmt w:val="lowerLetter"/>
      <w:lvlText w:val="%2."/>
      <w:lvlJc w:val="left"/>
      <w:pPr>
        <w:ind w:left="1230" w:hanging="360"/>
      </w:pPr>
    </w:lvl>
    <w:lvl w:ilvl="2" w:tentative="1">
      <w:start w:val="1"/>
      <w:numFmt w:val="lowerRoman"/>
      <w:lvlText w:val="%3."/>
      <w:lvlJc w:val="right"/>
      <w:pPr>
        <w:ind w:left="1950" w:hanging="180"/>
      </w:pPr>
    </w:lvl>
    <w:lvl w:ilvl="3" w:tentative="1">
      <w:start w:val="1"/>
      <w:numFmt w:val="decimal"/>
      <w:lvlText w:val="%4."/>
      <w:lvlJc w:val="left"/>
      <w:pPr>
        <w:ind w:left="2670" w:hanging="360"/>
      </w:pPr>
    </w:lvl>
    <w:lvl w:ilvl="4" w:tentative="1">
      <w:start w:val="1"/>
      <w:numFmt w:val="lowerLetter"/>
      <w:lvlText w:val="%5."/>
      <w:lvlJc w:val="left"/>
      <w:pPr>
        <w:ind w:left="3390" w:hanging="360"/>
      </w:pPr>
    </w:lvl>
    <w:lvl w:ilvl="5" w:tentative="1">
      <w:start w:val="1"/>
      <w:numFmt w:val="lowerRoman"/>
      <w:lvlText w:val="%6."/>
      <w:lvlJc w:val="right"/>
      <w:pPr>
        <w:ind w:left="4110" w:hanging="180"/>
      </w:pPr>
    </w:lvl>
    <w:lvl w:ilvl="6" w:tentative="1">
      <w:start w:val="1"/>
      <w:numFmt w:val="decimal"/>
      <w:lvlText w:val="%7."/>
      <w:lvlJc w:val="left"/>
      <w:pPr>
        <w:ind w:left="4830" w:hanging="360"/>
      </w:pPr>
    </w:lvl>
    <w:lvl w:ilvl="7" w:tentative="1">
      <w:start w:val="1"/>
      <w:numFmt w:val="lowerLetter"/>
      <w:lvlText w:val="%8."/>
      <w:lvlJc w:val="left"/>
      <w:pPr>
        <w:ind w:left="5550" w:hanging="360"/>
      </w:pPr>
    </w:lvl>
    <w:lvl w:ilvl="8" w:tentative="1">
      <w:start w:val="1"/>
      <w:numFmt w:val="lowerRoman"/>
      <w:lvlText w:val="%9."/>
      <w:lvlJc w:val="right"/>
      <w:pPr>
        <w:ind w:left="6270" w:hanging="180"/>
      </w:pPr>
    </w:lvl>
  </w:abstractNum>
  <w:num w:numId="1">
    <w:abstractNumId w:val="9"/>
  </w:num>
  <w:num w:numId="2">
    <w:abstractNumId w:val="5"/>
  </w:num>
  <w:num w:numId="3">
    <w:abstractNumId w:val="4"/>
  </w:num>
  <w:num w:numId="4">
    <w:abstractNumId w:val="13"/>
  </w:num>
  <w:num w:numId="5">
    <w:abstractNumId w:val="10"/>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6"/>
  </w:num>
  <w:num w:numId="9">
    <w:abstractNumId w:val="8"/>
  </w:num>
  <w:num w:numId="10">
    <w:abstractNumId w:val="12"/>
  </w:num>
  <w:num w:numId="11">
    <w:abstractNumId w:val="7"/>
  </w:num>
  <w:num w:numId="12">
    <w:abstractNumId w:val="2"/>
  </w:num>
  <w:num w:numId="13">
    <w:abstractNumId w:val="1"/>
  </w:num>
  <w:num w:numId="14">
    <w:abstractNumId w:val="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TrackMoves/>
  <w:defaultTabStop w:val="340"/>
  <w:evenAndOddHeaders/>
  <w:drawingGridHorizontalSpacing w:val="72"/>
  <w:drawingGridVerticalSpacing w:val="98"/>
  <w:displayHorizontalDrawingGridEvery w:val="2"/>
  <w:displayVerticalDrawingGridEvery w:val="2"/>
  <w:noPunctuationKerning/>
  <w:characterSpacingControl w:val="doNotCompress"/>
  <w:footnotePr>
    <w:numRestart w:val="eachSect"/>
    <w:footnote w:id="0"/>
    <w:footnote w:id="1"/>
  </w:foot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678"/>
    <w:rsid w:val="00031B26"/>
    <w:rsid w:val="00047C24"/>
    <w:rsid w:val="00081C30"/>
    <w:rsid w:val="000B190A"/>
    <w:rsid w:val="000D7FC3"/>
    <w:rsid w:val="000F24CD"/>
    <w:rsid w:val="001275A6"/>
    <w:rsid w:val="00184C0C"/>
    <w:rsid w:val="001D0D8A"/>
    <w:rsid w:val="002272B8"/>
    <w:rsid w:val="002A7FAA"/>
    <w:rsid w:val="002E1867"/>
    <w:rsid w:val="00306A96"/>
    <w:rsid w:val="00375D9A"/>
    <w:rsid w:val="00396B9B"/>
    <w:rsid w:val="0040289A"/>
    <w:rsid w:val="00411F28"/>
    <w:rsid w:val="00440588"/>
    <w:rsid w:val="004B13D5"/>
    <w:rsid w:val="0051463B"/>
    <w:rsid w:val="00550646"/>
    <w:rsid w:val="005750D3"/>
    <w:rsid w:val="00584BA7"/>
    <w:rsid w:val="005A0EA1"/>
    <w:rsid w:val="005D2E25"/>
    <w:rsid w:val="005E7E86"/>
    <w:rsid w:val="005F4E79"/>
    <w:rsid w:val="006721BD"/>
    <w:rsid w:val="007415E9"/>
    <w:rsid w:val="00742B46"/>
    <w:rsid w:val="008029DE"/>
    <w:rsid w:val="00853CD3"/>
    <w:rsid w:val="00854DA5"/>
    <w:rsid w:val="008725B9"/>
    <w:rsid w:val="009718F9"/>
    <w:rsid w:val="009B5B44"/>
    <w:rsid w:val="009E525C"/>
    <w:rsid w:val="00A15B63"/>
    <w:rsid w:val="00A37BD3"/>
    <w:rsid w:val="00A6436F"/>
    <w:rsid w:val="00AA4780"/>
    <w:rsid w:val="00AD673C"/>
    <w:rsid w:val="00B27766"/>
    <w:rsid w:val="00B4181C"/>
    <w:rsid w:val="00BF0FE2"/>
    <w:rsid w:val="00BF3C50"/>
    <w:rsid w:val="00BF4C3B"/>
    <w:rsid w:val="00C2718A"/>
    <w:rsid w:val="00C8241F"/>
    <w:rsid w:val="00CA33C9"/>
    <w:rsid w:val="00CA5D2E"/>
    <w:rsid w:val="00DA5583"/>
    <w:rsid w:val="00E3708D"/>
    <w:rsid w:val="00E44678"/>
    <w:rsid w:val="00ED6792"/>
    <w:rsid w:val="00FC2F7B"/>
  </w:rsids>
  <w:docVars>
    <w:docVar w:name="sivug" w:val="0"/>
    <w:docVar w:name="space" w:val="-1"/>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semiHidden="0" w:uiPriority="35" w:unhideWhenUsed="0" w:qFormat="1"/>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Date" w:uiPriority="0"/>
    <w:lsdException w:name="Body Text 2" w:uiPriority="0"/>
    <w:lsdException w:name="Body Text 3"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Contemporary"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line="240" w:lineRule="exact"/>
    </w:pPr>
    <w:rPr>
      <w:rFonts w:cs="David"/>
      <w:sz w:val="24"/>
      <w:szCs w:val="24"/>
    </w:rPr>
  </w:style>
  <w:style w:type="paragraph" w:styleId="Heading1">
    <w:name w:val="heading 1"/>
    <w:basedOn w:val="Normal"/>
    <w:next w:val="Normal"/>
    <w:link w:val="Heading1Char"/>
    <w:qFormat/>
    <w:locked/>
    <w:pPr>
      <w:keepNext/>
      <w:widowControl w:val="0"/>
      <w:spacing w:line="700" w:lineRule="atLeast"/>
      <w:jc w:val="center"/>
      <w:outlineLvl w:val="0"/>
    </w:pPr>
    <w:rPr>
      <w:b/>
      <w:bCs/>
      <w:sz w:val="56"/>
      <w:szCs w:val="56"/>
      <w:lang w:eastAsia="he-IL"/>
    </w:rPr>
  </w:style>
  <w:style w:type="paragraph" w:styleId="Heading2">
    <w:name w:val="heading 2"/>
    <w:basedOn w:val="Normal"/>
    <w:next w:val="Normal"/>
    <w:link w:val="Heading2Char"/>
    <w:qFormat/>
    <w:locked/>
    <w:pPr>
      <w:keepNext/>
      <w:spacing w:line="360" w:lineRule="exact"/>
      <w:ind w:left="1293"/>
      <w:outlineLvl w:val="1"/>
    </w:pPr>
    <w:rPr>
      <w:sz w:val="32"/>
      <w:szCs w:val="32"/>
    </w:rPr>
  </w:style>
  <w:style w:type="paragraph" w:styleId="Heading3">
    <w:name w:val="heading 3"/>
    <w:basedOn w:val="Normal"/>
    <w:next w:val="Normal"/>
    <w:link w:val="Heading3Char"/>
    <w:qFormat/>
    <w:locked/>
    <w:pPr>
      <w:keepNext/>
      <w:widowControl w:val="0"/>
      <w:spacing w:line="312" w:lineRule="auto"/>
      <w:jc w:val="both"/>
      <w:outlineLvl w:val="2"/>
    </w:pPr>
    <w:rPr>
      <w:b/>
      <w:bCs/>
      <w:sz w:val="38"/>
      <w:szCs w:val="36"/>
      <w:lang w:eastAsia="he-IL"/>
    </w:rPr>
  </w:style>
  <w:style w:type="paragraph" w:styleId="Heading4">
    <w:name w:val="heading 4"/>
    <w:basedOn w:val="Normal"/>
    <w:next w:val="Normal"/>
    <w:link w:val="Heading4Char"/>
    <w:qFormat/>
    <w:locked/>
    <w:pPr>
      <w:widowControl w:val="0"/>
      <w:spacing w:before="100" w:beforeAutospacing="1" w:line="264" w:lineRule="auto"/>
      <w:outlineLvl w:val="3"/>
    </w:pPr>
    <w:rPr>
      <w:b/>
      <w:bCs/>
      <w:sz w:val="22"/>
      <w:szCs w:val="26"/>
      <w:lang w:eastAsia="he-IL"/>
    </w:rPr>
  </w:style>
  <w:style w:type="paragraph" w:styleId="Heading5">
    <w:name w:val="heading 5"/>
    <w:basedOn w:val="Normal"/>
    <w:next w:val="Normal"/>
    <w:link w:val="Heading5Char"/>
    <w:qFormat/>
    <w:locked/>
    <w:pPr>
      <w:keepNext/>
      <w:spacing w:after="120" w:line="360" w:lineRule="exact"/>
      <w:ind w:left="3649"/>
      <w:outlineLvl w:val="4"/>
    </w:pPr>
    <w:rPr>
      <w:b/>
      <w:bCs/>
      <w:sz w:val="32"/>
      <w:szCs w:val="32"/>
      <w:lang w:eastAsia="he-IL"/>
    </w:rPr>
  </w:style>
  <w:style w:type="paragraph" w:styleId="Heading6">
    <w:name w:val="heading 6"/>
    <w:basedOn w:val="Normal"/>
    <w:next w:val="Normal"/>
    <w:link w:val="Heading6Char"/>
    <w:qFormat/>
    <w:locked/>
    <w:pPr>
      <w:keepNext/>
      <w:spacing w:before="60" w:after="60" w:line="220" w:lineRule="exact"/>
      <w:jc w:val="right"/>
      <w:outlineLvl w:val="5"/>
    </w:pPr>
    <w:rPr>
      <w:rFonts w:cs="FrankRuehl"/>
      <w:b/>
      <w:bCs/>
      <w:sz w:val="22"/>
      <w:szCs w:val="22"/>
    </w:rPr>
  </w:style>
  <w:style w:type="paragraph" w:styleId="Heading7">
    <w:name w:val="heading 7"/>
    <w:basedOn w:val="Normal"/>
    <w:next w:val="Normal"/>
    <w:link w:val="Heading7Char"/>
    <w:qFormat/>
    <w:locked/>
    <w:pPr>
      <w:keepNext/>
      <w:widowControl w:val="0"/>
      <w:spacing w:before="120" w:after="120" w:line="312" w:lineRule="auto"/>
      <w:jc w:val="center"/>
      <w:outlineLvl w:val="6"/>
    </w:pPr>
    <w:rPr>
      <w:sz w:val="36"/>
      <w:szCs w:val="36"/>
      <w:lang w:eastAsia="he-IL"/>
    </w:rPr>
  </w:style>
  <w:style w:type="paragraph" w:styleId="Heading8">
    <w:name w:val="heading 8"/>
    <w:basedOn w:val="Normal"/>
    <w:next w:val="Normal"/>
    <w:link w:val="Heading8Char"/>
    <w:qFormat/>
    <w:locked/>
    <w:pPr>
      <w:keepNext/>
      <w:snapToGrid w:val="0"/>
      <w:spacing w:after="120" w:line="240" w:lineRule="auto"/>
      <w:ind w:left="153" w:firstLine="567"/>
      <w:jc w:val="both"/>
      <w:outlineLvl w:val="7"/>
    </w:pPr>
    <w:rPr>
      <w:b/>
      <w:bCs/>
      <w:sz w:val="36"/>
      <w:szCs w:val="36"/>
      <w:lang w:eastAsia="he-IL"/>
    </w:rPr>
  </w:style>
  <w:style w:type="paragraph" w:styleId="Heading9">
    <w:name w:val="heading 9"/>
    <w:basedOn w:val="Normal"/>
    <w:next w:val="Normal"/>
    <w:qFormat/>
    <w:locked/>
    <w:pPr>
      <w:keepNext/>
      <w:spacing w:before="40" w:after="40" w:line="240" w:lineRule="auto"/>
      <w:jc w:val="center"/>
      <w:outlineLvl w:val="8"/>
    </w:pPr>
    <w:rPr>
      <w:noProof/>
      <w:sz w:val="48"/>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locked/>
    <w:rPr>
      <w:rFonts w:ascii="Cambria" w:hAnsi="Cambria" w:cs="Times New Roman"/>
      <w:b/>
      <w:bCs/>
      <w:kern w:val="32"/>
      <w:sz w:val="32"/>
      <w:szCs w:val="32"/>
    </w:rPr>
  </w:style>
  <w:style w:type="character" w:customStyle="1" w:styleId="2">
    <w:name w:val="כותרת 2 תו"/>
    <w:locked/>
    <w:rPr>
      <w:rFonts w:ascii="Cambria" w:hAnsi="Cambria" w:cs="Times New Roman"/>
      <w:b/>
      <w:bCs/>
      <w:i/>
      <w:iCs/>
      <w:sz w:val="28"/>
      <w:szCs w:val="28"/>
    </w:rPr>
  </w:style>
  <w:style w:type="character" w:customStyle="1" w:styleId="3">
    <w:name w:val="כותרת 3 תו"/>
    <w:locked/>
    <w:rPr>
      <w:rFonts w:ascii="Cambria" w:hAnsi="Cambria" w:cs="Times New Roman"/>
      <w:b/>
      <w:bCs/>
      <w:sz w:val="26"/>
      <w:szCs w:val="26"/>
    </w:rPr>
  </w:style>
  <w:style w:type="character" w:customStyle="1" w:styleId="4">
    <w:name w:val="כותרת 4 תו"/>
    <w:locked/>
    <w:rPr>
      <w:rFonts w:ascii="Calibri" w:hAnsi="Calibri" w:cs="Arial"/>
      <w:b/>
      <w:bCs/>
      <w:sz w:val="28"/>
      <w:szCs w:val="28"/>
    </w:rPr>
  </w:style>
  <w:style w:type="character" w:customStyle="1" w:styleId="5">
    <w:name w:val="כותרת 5 תו"/>
    <w:locked/>
    <w:rPr>
      <w:rFonts w:ascii="Calibri" w:hAnsi="Calibri" w:cs="Arial"/>
      <w:b/>
      <w:bCs/>
      <w:i/>
      <w:iCs/>
      <w:sz w:val="26"/>
      <w:szCs w:val="26"/>
    </w:rPr>
  </w:style>
  <w:style w:type="character" w:customStyle="1" w:styleId="6">
    <w:name w:val="כותרת 6 תו"/>
    <w:locked/>
    <w:rPr>
      <w:rFonts w:ascii="Calibri" w:hAnsi="Calibri" w:cs="Arial"/>
      <w:b/>
      <w:bCs/>
    </w:rPr>
  </w:style>
  <w:style w:type="character" w:customStyle="1" w:styleId="7">
    <w:name w:val="כותרת 7 תו"/>
    <w:locked/>
    <w:rPr>
      <w:rFonts w:ascii="Calibri" w:hAnsi="Calibri" w:cs="Arial"/>
      <w:sz w:val="24"/>
      <w:szCs w:val="24"/>
    </w:rPr>
  </w:style>
  <w:style w:type="character" w:customStyle="1" w:styleId="8">
    <w:name w:val="כותרת 8 תו"/>
    <w:locked/>
    <w:rPr>
      <w:rFonts w:ascii="Calibri" w:hAnsi="Calibri" w:cs="Arial"/>
      <w:i/>
      <w:iCs/>
      <w:sz w:val="24"/>
      <w:szCs w:val="24"/>
    </w:rPr>
  </w:style>
  <w:style w:type="character" w:customStyle="1" w:styleId="9">
    <w:name w:val="כותרת 9 תו"/>
    <w:locked/>
    <w:rPr>
      <w:rFonts w:ascii="Cambria" w:hAnsi="Cambria" w:cs="Times New Roman"/>
    </w:rPr>
  </w:style>
  <w:style w:type="paragraph" w:styleId="Title">
    <w:name w:val="Title"/>
    <w:basedOn w:val="Normal"/>
    <w:link w:val="TitleChar"/>
    <w:qFormat/>
    <w:locked/>
    <w:pPr>
      <w:jc w:val="center"/>
    </w:pPr>
    <w:rPr>
      <w:b/>
      <w:bCs/>
      <w:u w:val="single"/>
    </w:rPr>
  </w:style>
  <w:style w:type="character" w:customStyle="1" w:styleId="a">
    <w:name w:val="כותרת טקסט תו"/>
    <w:locked/>
    <w:rPr>
      <w:rFonts w:ascii="Cambria" w:hAnsi="Cambria" w:cs="Times New Roman"/>
      <w:b/>
      <w:bCs/>
      <w:kern w:val="28"/>
      <w:sz w:val="32"/>
      <w:szCs w:val="32"/>
    </w:rPr>
  </w:style>
  <w:style w:type="paragraph" w:customStyle="1" w:styleId="KOT1">
    <w:name w:val="KOT1"/>
    <w:basedOn w:val="Normal"/>
    <w:pPr>
      <w:keepNext/>
      <w:spacing w:after="360" w:line="400" w:lineRule="exact"/>
      <w:jc w:val="center"/>
    </w:pPr>
    <w:rPr>
      <w:b/>
      <w:bCs/>
      <w:sz w:val="36"/>
      <w:szCs w:val="36"/>
      <w:lang w:eastAsia="he-IL"/>
    </w:rPr>
  </w:style>
  <w:style w:type="paragraph" w:customStyle="1" w:styleId="KOT2">
    <w:name w:val="KOT2"/>
    <w:basedOn w:val="Normal"/>
    <w:pPr>
      <w:keepNext/>
      <w:spacing w:after="360" w:line="360" w:lineRule="exact"/>
      <w:jc w:val="center"/>
    </w:pPr>
    <w:rPr>
      <w:b/>
      <w:bCs/>
      <w:sz w:val="32"/>
      <w:szCs w:val="32"/>
      <w:lang w:eastAsia="he-IL"/>
    </w:rPr>
  </w:style>
  <w:style w:type="paragraph" w:customStyle="1" w:styleId="30">
    <w:name w:val="כותרת 3_0"/>
    <w:basedOn w:val="Normal"/>
    <w:next w:val="Normal"/>
    <w:pPr>
      <w:spacing w:before="100" w:beforeAutospacing="1" w:line="288" w:lineRule="auto"/>
      <w:outlineLvl w:val="2"/>
    </w:pPr>
    <w:rPr>
      <w:b/>
      <w:bCs/>
      <w:szCs w:val="28"/>
      <w:u w:val="single"/>
    </w:rPr>
  </w:style>
  <w:style w:type="paragraph" w:customStyle="1" w:styleId="40">
    <w:name w:val="כותרת 4_0"/>
    <w:basedOn w:val="Normal"/>
    <w:next w:val="Normal"/>
    <w:pPr>
      <w:spacing w:before="100" w:beforeAutospacing="1" w:line="264" w:lineRule="auto"/>
      <w:outlineLvl w:val="3"/>
    </w:pPr>
    <w:rPr>
      <w:b/>
      <w:bCs/>
      <w:sz w:val="22"/>
      <w:szCs w:val="26"/>
    </w:rPr>
  </w:style>
  <w:style w:type="paragraph" w:customStyle="1" w:styleId="a0">
    <w:name w:val="נבנצלים"/>
    <w:basedOn w:val="Normal"/>
    <w:next w:val="Normal"/>
    <w:link w:val="a19"/>
    <w:pPr>
      <w:widowControl w:val="0"/>
      <w:spacing w:line="269" w:lineRule="auto"/>
      <w:ind w:left="-567"/>
      <w:jc w:val="both"/>
    </w:pPr>
    <w:rPr>
      <w:sz w:val="20"/>
      <w:szCs w:val="20"/>
      <w:lang w:eastAsia="he-IL"/>
    </w:rPr>
  </w:style>
  <w:style w:type="paragraph" w:styleId="BodyText">
    <w:name w:val="Body Text"/>
    <w:basedOn w:val="Normal"/>
    <w:link w:val="BodyTextChar"/>
    <w:pPr>
      <w:spacing w:before="180" w:after="120" w:line="230" w:lineRule="exact"/>
      <w:jc w:val="both"/>
    </w:pPr>
    <w:rPr>
      <w:rFonts w:cs="FrankRuehl"/>
      <w:sz w:val="22"/>
      <w:szCs w:val="22"/>
    </w:rPr>
  </w:style>
  <w:style w:type="character" w:customStyle="1" w:styleId="a1">
    <w:name w:val="גוף טקסט תו"/>
    <w:semiHidden/>
    <w:locked/>
    <w:rPr>
      <w:rFonts w:cs="David"/>
      <w:sz w:val="24"/>
      <w:szCs w:val="24"/>
      <w:lang w:bidi="he-IL"/>
    </w:rPr>
  </w:style>
  <w:style w:type="paragraph" w:styleId="BodyText2">
    <w:name w:val="Body Text 2"/>
    <w:basedOn w:val="Normal"/>
    <w:link w:val="BodyText2Char"/>
    <w:pPr>
      <w:widowControl w:val="0"/>
      <w:spacing w:line="312" w:lineRule="auto"/>
      <w:ind w:right="567"/>
      <w:jc w:val="both"/>
    </w:pPr>
    <w:rPr>
      <w:rFonts w:cs="FrankRuehl"/>
      <w:lang w:eastAsia="he-IL"/>
    </w:rPr>
  </w:style>
  <w:style w:type="character" w:customStyle="1" w:styleId="20">
    <w:name w:val="גוף טקסט 2 תו"/>
    <w:semiHidden/>
    <w:locked/>
    <w:rPr>
      <w:rFonts w:cs="David"/>
      <w:sz w:val="24"/>
      <w:szCs w:val="24"/>
      <w:lang w:bidi="he-IL"/>
    </w:rPr>
  </w:style>
  <w:style w:type="paragraph" w:styleId="Header">
    <w:name w:val="header"/>
    <w:basedOn w:val="Normal"/>
    <w:link w:val="HeaderChar"/>
    <w:pPr>
      <w:tabs>
        <w:tab w:val="center" w:pos="4153"/>
        <w:tab w:val="right" w:pos="8306"/>
      </w:tabs>
    </w:pPr>
  </w:style>
  <w:style w:type="character" w:customStyle="1" w:styleId="a2">
    <w:name w:val="כותרת עליונה תו"/>
    <w:locked/>
    <w:rPr>
      <w:rFonts w:cs="David"/>
      <w:sz w:val="24"/>
      <w:szCs w:val="24"/>
      <w:lang w:bidi="he-IL"/>
    </w:rPr>
  </w:style>
  <w:style w:type="paragraph" w:styleId="Footer">
    <w:name w:val="footer"/>
    <w:basedOn w:val="Normal"/>
    <w:link w:val="FooterChar"/>
    <w:pPr>
      <w:tabs>
        <w:tab w:val="center" w:pos="4153"/>
        <w:tab w:val="right" w:pos="8306"/>
      </w:tabs>
    </w:pPr>
  </w:style>
  <w:style w:type="character" w:customStyle="1" w:styleId="a3">
    <w:name w:val="כותרת תחתונה תו"/>
    <w:locked/>
    <w:rPr>
      <w:rFonts w:cs="David"/>
      <w:sz w:val="24"/>
      <w:szCs w:val="24"/>
      <w:lang w:bidi="he-IL"/>
    </w:rPr>
  </w:style>
  <w:style w:type="character" w:styleId="PageNumber">
    <w:name w:val="page number"/>
    <w:rPr>
      <w:rFonts w:cs="Times New Roman"/>
    </w:rPr>
  </w:style>
  <w:style w:type="paragraph" w:styleId="FootnoteText">
    <w:name w:val="footnote text"/>
    <w:basedOn w:val="Normal"/>
    <w:link w:val="FootnoteTextChar1"/>
    <w:uiPriority w:val="99"/>
    <w:rPr>
      <w:sz w:val="20"/>
      <w:szCs w:val="20"/>
    </w:rPr>
  </w:style>
  <w:style w:type="character" w:customStyle="1" w:styleId="10">
    <w:name w:val="טקסט הערת שוליים תו1"/>
    <w:semiHidden/>
    <w:locked/>
    <w:rPr>
      <w:rFonts w:cs="David"/>
      <w:sz w:val="20"/>
      <w:szCs w:val="20"/>
      <w:lang w:bidi="he-IL"/>
    </w:rPr>
  </w:style>
  <w:style w:type="character" w:styleId="FootnoteReference">
    <w:name w:val="footnote reference"/>
    <w:uiPriority w:val="99"/>
    <w:semiHidden/>
    <w:rPr>
      <w:rFonts w:cs="Times New Roman"/>
      <w:vertAlign w:val="superscript"/>
    </w:rPr>
  </w:style>
  <w:style w:type="paragraph" w:styleId="EndnoteText">
    <w:name w:val="endnote text"/>
    <w:basedOn w:val="Normal"/>
    <w:link w:val="EndnoteTextChar"/>
    <w:semiHidden/>
    <w:pPr>
      <w:jc w:val="both"/>
    </w:pPr>
    <w:rPr>
      <w:szCs w:val="20"/>
    </w:rPr>
  </w:style>
  <w:style w:type="character" w:customStyle="1" w:styleId="a4">
    <w:name w:val="טקסט הערת סיום תו"/>
    <w:semiHidden/>
    <w:locked/>
    <w:rPr>
      <w:rFonts w:cs="David"/>
      <w:sz w:val="20"/>
      <w:szCs w:val="20"/>
      <w:lang w:bidi="he-IL"/>
    </w:rPr>
  </w:style>
  <w:style w:type="character" w:styleId="EndnoteReference">
    <w:name w:val="endnote reference"/>
    <w:semiHidden/>
    <w:rPr>
      <w:rFonts w:cs="Times New Roman"/>
      <w:vertAlign w:val="superscript"/>
    </w:rPr>
  </w:style>
  <w:style w:type="paragraph" w:styleId="BodyText3">
    <w:name w:val="Body Text 3"/>
    <w:basedOn w:val="Normal"/>
    <w:link w:val="BodyText3Char"/>
    <w:pPr>
      <w:widowControl w:val="0"/>
      <w:jc w:val="both"/>
    </w:pPr>
  </w:style>
  <w:style w:type="character" w:customStyle="1" w:styleId="31">
    <w:name w:val="גוף טקסט 3 תו"/>
    <w:semiHidden/>
    <w:locked/>
    <w:rPr>
      <w:rFonts w:cs="David"/>
      <w:sz w:val="16"/>
      <w:szCs w:val="16"/>
      <w:lang w:bidi="he-IL"/>
    </w:rPr>
  </w:style>
  <w:style w:type="paragraph" w:customStyle="1" w:styleId="KOT3A">
    <w:name w:val="KOT3A"/>
    <w:basedOn w:val="Normal"/>
    <w:pPr>
      <w:spacing w:after="120" w:line="360" w:lineRule="exact"/>
    </w:pPr>
    <w:rPr>
      <w:b/>
      <w:bCs/>
      <w:spacing w:val="40"/>
      <w:szCs w:val="30"/>
    </w:rPr>
  </w:style>
  <w:style w:type="paragraph" w:customStyle="1" w:styleId="KOT3">
    <w:name w:val="KOT3"/>
    <w:basedOn w:val="KOT3A"/>
    <w:pPr>
      <w:keepNext/>
      <w:spacing w:after="360"/>
      <w:jc w:val="center"/>
    </w:pPr>
    <w:rPr>
      <w:spacing w:val="0"/>
      <w:szCs w:val="28"/>
    </w:rPr>
  </w:style>
  <w:style w:type="paragraph" w:customStyle="1" w:styleId="KOT4">
    <w:name w:val="KOT4"/>
    <w:basedOn w:val="KOT3"/>
    <w:pPr>
      <w:spacing w:after="240" w:line="300" w:lineRule="exact"/>
      <w:jc w:val="left"/>
      <w:outlineLvl w:val="1"/>
    </w:pPr>
    <w:rPr>
      <w:sz w:val="26"/>
      <w:szCs w:val="26"/>
    </w:rPr>
  </w:style>
  <w:style w:type="paragraph" w:customStyle="1" w:styleId="KOT5">
    <w:name w:val="KOT5"/>
    <w:basedOn w:val="KOT4"/>
    <w:pPr>
      <w:spacing w:after="120" w:line="260" w:lineRule="exact"/>
      <w:outlineLvl w:val="2"/>
    </w:pPr>
    <w:rPr>
      <w:sz w:val="22"/>
      <w:szCs w:val="22"/>
    </w:rPr>
  </w:style>
  <w:style w:type="character" w:customStyle="1" w:styleId="100">
    <w:name w:val="סגנון (עברית ושפות אחרות) ‏10 נק'"/>
    <w:rPr>
      <w:rFonts w:ascii="Times New Roman" w:hAnsi="Times New Roman"/>
      <w:sz w:val="24"/>
      <w:vertAlign w:val="baseline"/>
    </w:rPr>
  </w:style>
  <w:style w:type="paragraph" w:customStyle="1" w:styleId="NAME">
    <w:name w:val="NAME"/>
    <w:basedOn w:val="Normal"/>
    <w:pPr>
      <w:pBdr>
        <w:bottom w:val="single" w:sz="4" w:space="6" w:color="auto"/>
      </w:pBdr>
      <w:spacing w:after="120" w:line="312" w:lineRule="auto"/>
      <w:jc w:val="right"/>
      <w:outlineLvl w:val="0"/>
    </w:pPr>
    <w:rPr>
      <w:sz w:val="42"/>
      <w:szCs w:val="42"/>
      <w:lang w:eastAsia="he-IL"/>
    </w:rPr>
  </w:style>
  <w:style w:type="paragraph" w:customStyle="1" w:styleId="PATIAH">
    <w:name w:val="PATIAH"/>
    <w:basedOn w:val="Normal"/>
    <w:pPr>
      <w:spacing w:after="120" w:line="260" w:lineRule="exact"/>
      <w:jc w:val="both"/>
    </w:pPr>
    <w:rPr>
      <w:sz w:val="20"/>
      <w:lang w:eastAsia="he-IL"/>
    </w:rPr>
  </w:style>
  <w:style w:type="paragraph" w:customStyle="1" w:styleId="RESHET">
    <w:name w:val="RESHET"/>
    <w:basedOn w:val="Normal"/>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 w:val="20"/>
      <w:szCs w:val="22"/>
      <w:lang w:eastAsia="he-IL"/>
    </w:rPr>
  </w:style>
  <w:style w:type="paragraph" w:customStyle="1" w:styleId="takzir">
    <w:name w:val="takzir"/>
    <w:basedOn w:val="Normal"/>
    <w:uiPriority w:val="99"/>
    <w:pPr>
      <w:spacing w:after="120"/>
      <w:jc w:val="both"/>
    </w:pPr>
    <w:rPr>
      <w:b/>
      <w:bCs/>
      <w:noProof/>
      <w:sz w:val="22"/>
      <w:szCs w:val="22"/>
      <w:lang w:eastAsia="he-IL"/>
    </w:rPr>
  </w:style>
  <w:style w:type="paragraph" w:styleId="PlainText">
    <w:name w:val="Plain Text"/>
    <w:basedOn w:val="Normal"/>
    <w:link w:val="PlainTextChar"/>
    <w:uiPriority w:val="99"/>
    <w:semiHidden/>
    <w:pPr>
      <w:widowControl w:val="0"/>
      <w:spacing w:line="312" w:lineRule="auto"/>
      <w:jc w:val="both"/>
    </w:pPr>
    <w:rPr>
      <w:rFonts w:ascii="Courier New" w:hAnsi="Courier New" w:cs="Courier New"/>
      <w:sz w:val="20"/>
      <w:szCs w:val="20"/>
      <w:lang w:eastAsia="he-IL"/>
    </w:rPr>
  </w:style>
  <w:style w:type="character" w:customStyle="1" w:styleId="a5">
    <w:name w:val="טקסט רגיל תו"/>
    <w:semiHidden/>
    <w:locked/>
    <w:rPr>
      <w:rFonts w:ascii="Courier New" w:hAnsi="Courier New" w:cs="Courier New"/>
      <w:sz w:val="20"/>
      <w:szCs w:val="20"/>
    </w:rPr>
  </w:style>
  <w:style w:type="paragraph" w:styleId="Caption">
    <w:name w:val="caption"/>
    <w:basedOn w:val="Normal"/>
    <w:next w:val="Normal"/>
    <w:qFormat/>
    <w:locked/>
    <w:pPr>
      <w:tabs>
        <w:tab w:val="left" w:pos="1021"/>
        <w:tab w:val="center" w:pos="5131"/>
      </w:tabs>
      <w:spacing w:line="280" w:lineRule="exact"/>
    </w:pPr>
    <w:rPr>
      <w:b/>
      <w:bCs/>
      <w:sz w:val="28"/>
      <w:szCs w:val="28"/>
    </w:rPr>
  </w:style>
  <w:style w:type="character" w:customStyle="1" w:styleId="51">
    <w:name w:val="כותרת 51"/>
    <w:rPr>
      <w:rFonts w:ascii="Times New Roman" w:hAnsi="Times New Roman"/>
      <w:b/>
      <w:color w:val="auto"/>
      <w:spacing w:val="40"/>
      <w:w w:val="100"/>
      <w:position w:val="0"/>
      <w:sz w:val="24"/>
      <w:u w:val="none"/>
      <w:vertAlign w:val="baseline"/>
    </w:rPr>
  </w:style>
  <w:style w:type="character" w:customStyle="1" w:styleId="61">
    <w:name w:val="כותרת 61"/>
    <w:rPr>
      <w:rFonts w:ascii="Times New Roman" w:hAnsi="Times New Roman"/>
      <w:color w:val="auto"/>
      <w:spacing w:val="40"/>
      <w:w w:val="100"/>
      <w:position w:val="0"/>
      <w:sz w:val="24"/>
      <w:u w:val="none"/>
    </w:rPr>
  </w:style>
  <w:style w:type="character" w:customStyle="1" w:styleId="PersonalComposeStyle">
    <w:name w:val="Personal Compose Style"/>
    <w:rPr>
      <w:rFonts w:ascii="Arial" w:hAnsi="Arial"/>
      <w:color w:val="auto"/>
      <w:sz w:val="20"/>
    </w:rPr>
  </w:style>
  <w:style w:type="character" w:customStyle="1" w:styleId="PersonalReplyStyle">
    <w:name w:val="Personal Reply Style"/>
    <w:rPr>
      <w:rFonts w:ascii="Arial" w:hAnsi="Arial"/>
      <w:color w:val="auto"/>
      <w:sz w:val="20"/>
    </w:rPr>
  </w:style>
  <w:style w:type="character" w:customStyle="1" w:styleId="52">
    <w:name w:val="כותרת 52"/>
    <w:rPr>
      <w:rFonts w:ascii="Times New Roman" w:hAnsi="Times New Roman"/>
      <w:b/>
      <w:color w:val="auto"/>
      <w:spacing w:val="40"/>
      <w:w w:val="100"/>
      <w:position w:val="0"/>
      <w:sz w:val="24"/>
      <w:u w:val="none"/>
      <w:vertAlign w:val="baseline"/>
    </w:rPr>
  </w:style>
  <w:style w:type="character" w:customStyle="1" w:styleId="520">
    <w:name w:val="כותרת 5 תו2"/>
    <w:rPr>
      <w:b/>
      <w:spacing w:val="40"/>
      <w:sz w:val="24"/>
      <w:lang w:val="en-US" w:eastAsia="he-IL" w:bidi="he-IL"/>
    </w:rPr>
  </w:style>
  <w:style w:type="character" w:customStyle="1" w:styleId="71">
    <w:name w:val="כותרת 7 תו1"/>
    <w:rPr>
      <w:b/>
      <w:spacing w:val="40"/>
      <w:sz w:val="24"/>
      <w:lang w:val="en-US" w:eastAsia="he-IL" w:bidi="he-IL"/>
    </w:rPr>
  </w:style>
  <w:style w:type="paragraph" w:customStyle="1" w:styleId="a6">
    <w:name w:val="ממוספר"/>
    <w:basedOn w:val="Normal"/>
    <w:pPr>
      <w:numPr>
        <w:numId w:val="1"/>
      </w:numPr>
      <w:spacing w:after="240" w:line="312" w:lineRule="auto"/>
      <w:ind w:right="397"/>
      <w:jc w:val="both"/>
    </w:pPr>
    <w:rPr>
      <w:rFonts w:cs="FrankRuehl"/>
      <w:lang w:eastAsia="he-IL"/>
    </w:rPr>
  </w:style>
  <w:style w:type="paragraph" w:customStyle="1" w:styleId="a7">
    <w:name w:val="טקסט מודגש"/>
    <w:basedOn w:val="Normal"/>
    <w:pPr>
      <w:spacing w:after="240" w:line="312" w:lineRule="auto"/>
      <w:jc w:val="both"/>
    </w:pPr>
    <w:rPr>
      <w:b/>
      <w:bCs/>
      <w:sz w:val="22"/>
      <w:szCs w:val="22"/>
      <w:lang w:eastAsia="he-IL"/>
    </w:rPr>
  </w:style>
  <w:style w:type="paragraph" w:customStyle="1" w:styleId="11">
    <w:name w:val="ציטוט1"/>
    <w:basedOn w:val="Normal"/>
    <w:pPr>
      <w:spacing w:after="240" w:line="240" w:lineRule="auto"/>
      <w:ind w:left="851" w:right="851"/>
      <w:jc w:val="both"/>
    </w:pPr>
    <w:rPr>
      <w:rFonts w:cs="FrankRuehl"/>
      <w:lang w:eastAsia="he-IL"/>
    </w:rPr>
  </w:style>
  <w:style w:type="paragraph" w:styleId="BodyTextIndent2">
    <w:name w:val="Body Text Indent 2"/>
    <w:basedOn w:val="Normal"/>
    <w:semiHidden/>
    <w:pPr>
      <w:spacing w:after="240" w:line="240" w:lineRule="auto"/>
      <w:ind w:left="540" w:hanging="540"/>
      <w:jc w:val="both"/>
    </w:pPr>
    <w:rPr>
      <w:rFonts w:cs="FrankRuehl"/>
      <w:lang w:eastAsia="he-IL"/>
    </w:rPr>
  </w:style>
  <w:style w:type="character" w:customStyle="1" w:styleId="21">
    <w:name w:val="כניסה בגוף טקסט 2 תו"/>
    <w:semiHidden/>
    <w:locked/>
    <w:rPr>
      <w:rFonts w:cs="David"/>
      <w:sz w:val="24"/>
      <w:szCs w:val="24"/>
      <w:lang w:bidi="he-IL"/>
    </w:rPr>
  </w:style>
  <w:style w:type="character" w:customStyle="1" w:styleId="notes">
    <w:name w:val="notes"/>
  </w:style>
  <w:style w:type="paragraph" w:styleId="BlockText">
    <w:name w:val="Block Text"/>
    <w:basedOn w:val="Normal"/>
    <w:semiHidden/>
    <w:pPr>
      <w:spacing w:line="240" w:lineRule="auto"/>
      <w:ind w:left="509"/>
    </w:pPr>
    <w:rPr>
      <w:sz w:val="20"/>
      <w:lang w:eastAsia="he-IL"/>
    </w:rPr>
  </w:style>
  <w:style w:type="character" w:customStyle="1" w:styleId="a8">
    <w:name w:val="טקסט הערות שוליים תו"/>
    <w:rPr>
      <w:lang w:val="en-US" w:eastAsia="en-US"/>
    </w:rPr>
  </w:style>
  <w:style w:type="character" w:customStyle="1" w:styleId="a9">
    <w:name w:val="טקסט הערת שוליים תו"/>
    <w:locked/>
    <w:rPr>
      <w:lang w:val="en-US" w:eastAsia="en-US"/>
    </w:rPr>
  </w:style>
  <w:style w:type="character" w:customStyle="1" w:styleId="a10">
    <w:name w:val="תו תו"/>
    <w:semiHidden/>
    <w:locked/>
    <w:rPr>
      <w:lang w:val="en-US" w:eastAsia="he-IL" w:bidi="he-IL"/>
    </w:rPr>
  </w:style>
  <w:style w:type="paragraph" w:styleId="BodyTextIndent3">
    <w:name w:val="Body Text Indent 3"/>
    <w:basedOn w:val="Normal"/>
    <w:semiHidden/>
    <w:pPr>
      <w:spacing w:after="120"/>
      <w:ind w:left="283"/>
    </w:pPr>
    <w:rPr>
      <w:sz w:val="16"/>
      <w:szCs w:val="16"/>
    </w:rPr>
  </w:style>
  <w:style w:type="character" w:customStyle="1" w:styleId="32">
    <w:name w:val="כניסה בגוף טקסט 3 תו"/>
    <w:semiHidden/>
    <w:locked/>
    <w:rPr>
      <w:rFonts w:cs="David"/>
      <w:sz w:val="16"/>
      <w:szCs w:val="16"/>
      <w:lang w:bidi="he-IL"/>
    </w:rPr>
  </w:style>
  <w:style w:type="paragraph" w:customStyle="1" w:styleId="12">
    <w:name w:val="פיסקת רשימה1"/>
    <w:basedOn w:val="Normal"/>
    <w:pPr>
      <w:ind w:left="720"/>
    </w:pPr>
  </w:style>
  <w:style w:type="paragraph" w:styleId="BalloonText">
    <w:name w:val="Balloon Text"/>
    <w:basedOn w:val="Normal"/>
    <w:link w:val="BalloonTextChar"/>
    <w:semiHidden/>
    <w:rPr>
      <w:rFonts w:ascii="Tahoma" w:hAnsi="Tahoma" w:cs="Tahoma"/>
      <w:sz w:val="16"/>
      <w:szCs w:val="16"/>
    </w:rPr>
  </w:style>
  <w:style w:type="character" w:customStyle="1" w:styleId="a11">
    <w:name w:val="טקסט בלונים תו"/>
    <w:semiHidden/>
    <w:locked/>
    <w:rPr>
      <w:rFonts w:cs="Times New Roman"/>
      <w:sz w:val="2"/>
    </w:rPr>
  </w:style>
  <w:style w:type="paragraph" w:styleId="BodyTextIndent">
    <w:name w:val="Body Text Indent"/>
    <w:basedOn w:val="Normal"/>
    <w:semiHidden/>
    <w:pPr>
      <w:spacing w:after="120"/>
      <w:ind w:left="283"/>
    </w:pPr>
  </w:style>
  <w:style w:type="character" w:customStyle="1" w:styleId="a12">
    <w:name w:val="כניסה בגוף טקסט תו"/>
    <w:semiHidden/>
    <w:locked/>
    <w:rPr>
      <w:rFonts w:cs="David"/>
      <w:sz w:val="24"/>
      <w:szCs w:val="24"/>
      <w:lang w:bidi="he-IL"/>
    </w:rPr>
  </w:style>
  <w:style w:type="character" w:styleId="CommentReference">
    <w:name w:val="annotation reference"/>
    <w:semiHidden/>
    <w:rPr>
      <w:rFonts w:cs="Times New Roman"/>
      <w:sz w:val="16"/>
    </w:rPr>
  </w:style>
  <w:style w:type="paragraph" w:styleId="CommentText">
    <w:name w:val="annotation text"/>
    <w:basedOn w:val="Normal"/>
    <w:link w:val="CommentTextChar"/>
    <w:semiHidden/>
    <w:rPr>
      <w:sz w:val="20"/>
      <w:szCs w:val="20"/>
    </w:rPr>
  </w:style>
  <w:style w:type="character" w:customStyle="1" w:styleId="a13">
    <w:name w:val="טקסט הערה תו"/>
    <w:semiHidden/>
    <w:locked/>
    <w:rPr>
      <w:rFonts w:cs="David"/>
      <w:sz w:val="20"/>
      <w:szCs w:val="20"/>
      <w:lang w:bidi="he-IL"/>
    </w:rPr>
  </w:style>
  <w:style w:type="paragraph" w:styleId="CommentSubject">
    <w:name w:val="annotation subject"/>
    <w:basedOn w:val="CommentText"/>
    <w:next w:val="CommentText"/>
    <w:link w:val="CommentSubjectChar"/>
    <w:semiHidden/>
    <w:rPr>
      <w:b/>
      <w:bCs/>
    </w:rPr>
  </w:style>
  <w:style w:type="character" w:customStyle="1" w:styleId="a14">
    <w:name w:val="נושא הערה תו"/>
    <w:semiHidden/>
    <w:locked/>
    <w:rPr>
      <w:rFonts w:cs="David"/>
      <w:b/>
      <w:bCs/>
      <w:sz w:val="20"/>
      <w:szCs w:val="20"/>
      <w:lang w:bidi="he-IL"/>
    </w:rPr>
  </w:style>
  <w:style w:type="paragraph" w:customStyle="1" w:styleId="310">
    <w:name w:val="כותרת 31"/>
    <w:basedOn w:val="Normal"/>
    <w:next w:val="Normal"/>
    <w:link w:val="311"/>
    <w:pPr>
      <w:spacing w:before="100" w:beforeAutospacing="1" w:line="288" w:lineRule="auto"/>
      <w:outlineLvl w:val="2"/>
    </w:pPr>
    <w:rPr>
      <w:b/>
      <w:bCs/>
      <w:szCs w:val="28"/>
      <w:u w:val="single"/>
    </w:rPr>
  </w:style>
  <w:style w:type="paragraph" w:customStyle="1" w:styleId="41">
    <w:name w:val="כותרת 41"/>
    <w:basedOn w:val="Normal"/>
    <w:next w:val="Normal"/>
    <w:pPr>
      <w:spacing w:before="100" w:beforeAutospacing="1" w:line="264" w:lineRule="auto"/>
      <w:outlineLvl w:val="3"/>
    </w:pPr>
    <w:rPr>
      <w:b/>
      <w:bCs/>
      <w:sz w:val="22"/>
      <w:szCs w:val="26"/>
    </w:rPr>
  </w:style>
  <w:style w:type="character" w:customStyle="1" w:styleId="default">
    <w:name w:val="default"/>
    <w:rPr>
      <w:rFonts w:ascii="Times New Roman" w:hAnsi="Times New Roman"/>
      <w:sz w:val="26"/>
    </w:rPr>
  </w:style>
  <w:style w:type="character" w:customStyle="1" w:styleId="510">
    <w:name w:val="כותרת 5 תו1"/>
    <w:locked/>
    <w:rPr>
      <w:rFonts w:cs="David"/>
      <w:b/>
      <w:bCs/>
      <w:sz w:val="32"/>
      <w:szCs w:val="32"/>
      <w:lang w:eastAsia="he-IL"/>
    </w:rPr>
  </w:style>
  <w:style w:type="character" w:customStyle="1" w:styleId="72">
    <w:name w:val="כותרת 7 תו2"/>
    <w:locked/>
    <w:rPr>
      <w:rFonts w:cs="David"/>
      <w:sz w:val="36"/>
      <w:szCs w:val="36"/>
      <w:lang w:eastAsia="he-IL"/>
    </w:rPr>
  </w:style>
  <w:style w:type="paragraph" w:customStyle="1" w:styleId="Arial10">
    <w:name w:val="סגנון (לטיני) Arial (עברית ושפות אחרות) ‏10 נק' שמאל מרווח בין ש..."/>
    <w:basedOn w:val="Normal"/>
    <w:pPr>
      <w:widowControl w:val="0"/>
      <w:spacing w:line="360" w:lineRule="auto"/>
      <w:jc w:val="right"/>
    </w:pPr>
    <w:rPr>
      <w:rFonts w:ascii="David" w:hAnsi="David"/>
      <w:sz w:val="20"/>
      <w:szCs w:val="20"/>
      <w:lang w:eastAsia="he-IL"/>
    </w:rPr>
  </w:style>
  <w:style w:type="character" w:customStyle="1" w:styleId="17">
    <w:name w:val="תו תו17"/>
    <w:semiHidden/>
    <w:locked/>
    <w:rPr>
      <w:b/>
      <w:spacing w:val="40"/>
      <w:sz w:val="24"/>
      <w:lang w:val="en-US" w:eastAsia="he-IL" w:bidi="he-IL"/>
    </w:rPr>
  </w:style>
  <w:style w:type="character" w:customStyle="1" w:styleId="22">
    <w:name w:val="תו תו2"/>
    <w:rPr>
      <w:b/>
      <w:spacing w:val="40"/>
      <w:sz w:val="24"/>
      <w:lang w:val="en-US" w:eastAsia="he-IL" w:bidi="he-IL"/>
    </w:rPr>
  </w:style>
  <w:style w:type="paragraph" w:customStyle="1" w:styleId="KOT6">
    <w:name w:val="KOT6"/>
    <w:basedOn w:val="KOT5"/>
    <w:locked/>
    <w:pPr>
      <w:outlineLvl w:val="3"/>
    </w:pPr>
    <w:rPr>
      <w:rFonts w:cs="FrankRuehl"/>
      <w:spacing w:val="40"/>
      <w:sz w:val="20"/>
    </w:rPr>
  </w:style>
  <w:style w:type="paragraph" w:customStyle="1" w:styleId="KOT7">
    <w:name w:val="KOT7"/>
    <w:basedOn w:val="KOT6"/>
    <w:locked/>
    <w:pPr>
      <w:outlineLvl w:val="4"/>
    </w:pPr>
    <w:rPr>
      <w:b w:val="0"/>
      <w:bCs w:val="0"/>
    </w:rPr>
  </w:style>
  <w:style w:type="character" w:customStyle="1" w:styleId="610">
    <w:name w:val="כותרת 6 תו1"/>
    <w:rPr>
      <w:rFonts w:cs="David"/>
      <w:spacing w:val="40"/>
      <w:szCs w:val="24"/>
      <w:lang w:val="en-US" w:eastAsia="he-IL" w:bidi="he-IL"/>
    </w:rPr>
  </w:style>
  <w:style w:type="paragraph" w:customStyle="1" w:styleId="320">
    <w:name w:val="כותרת 32"/>
    <w:basedOn w:val="Normal"/>
    <w:next w:val="Normal"/>
    <w:pPr>
      <w:widowControl w:val="0"/>
      <w:spacing w:before="100" w:beforeAutospacing="1" w:line="288" w:lineRule="auto"/>
      <w:outlineLvl w:val="2"/>
    </w:pPr>
    <w:rPr>
      <w:b/>
      <w:bCs/>
      <w:szCs w:val="28"/>
      <w:u w:val="single"/>
      <w:lang w:eastAsia="he-IL"/>
    </w:rPr>
  </w:style>
  <w:style w:type="paragraph" w:customStyle="1" w:styleId="42">
    <w:name w:val="כותרת 42"/>
    <w:basedOn w:val="Normal"/>
    <w:next w:val="Normal"/>
    <w:pPr>
      <w:widowControl w:val="0"/>
      <w:spacing w:before="100" w:beforeAutospacing="1" w:line="264" w:lineRule="auto"/>
      <w:outlineLvl w:val="3"/>
    </w:pPr>
    <w:rPr>
      <w:b/>
      <w:bCs/>
      <w:sz w:val="22"/>
      <w:szCs w:val="26"/>
      <w:lang w:eastAsia="he-IL"/>
    </w:rPr>
  </w:style>
  <w:style w:type="character" w:customStyle="1" w:styleId="410">
    <w:name w:val="כותרת 41 תו"/>
    <w:rPr>
      <w:rFonts w:cs="David"/>
      <w:b/>
      <w:bCs/>
      <w:sz w:val="22"/>
      <w:szCs w:val="26"/>
    </w:rPr>
  </w:style>
  <w:style w:type="character" w:styleId="Hyperlink">
    <w:name w:val="Hyperlink"/>
    <w:semiHidden/>
    <w:locked/>
    <w:rPr>
      <w:color w:val="0000FF"/>
      <w:u w:val="single"/>
    </w:rPr>
  </w:style>
  <w:style w:type="paragraph" w:styleId="DocumentMap">
    <w:name w:val="Document Map"/>
    <w:basedOn w:val="Normal"/>
    <w:link w:val="DocumentMapChar"/>
    <w:semiHidden/>
    <w:locked/>
    <w:pPr>
      <w:widowControl w:val="0"/>
      <w:shd w:val="clear" w:color="auto" w:fill="000080"/>
      <w:spacing w:line="312" w:lineRule="auto"/>
      <w:jc w:val="both"/>
    </w:pPr>
    <w:rPr>
      <w:rFonts w:ascii="Tahoma" w:hAnsi="Tahoma" w:cs="Tahoma"/>
      <w:sz w:val="20"/>
      <w:szCs w:val="20"/>
      <w:lang w:eastAsia="he-IL"/>
    </w:rPr>
  </w:style>
  <w:style w:type="character" w:customStyle="1" w:styleId="a15">
    <w:name w:val="מפת מסמך תו"/>
    <w:semiHidden/>
    <w:rPr>
      <w:rFonts w:ascii="Tahoma" w:hAnsi="Tahoma" w:cs="Tahoma"/>
      <w:shd w:val="clear" w:color="auto" w:fill="000080"/>
      <w:lang w:eastAsia="he-IL"/>
    </w:rPr>
  </w:style>
  <w:style w:type="paragraph" w:styleId="ListParagraph">
    <w:name w:val="List Paragraph"/>
    <w:basedOn w:val="Normal"/>
    <w:uiPriority w:val="34"/>
    <w:qFormat/>
    <w:pPr>
      <w:spacing w:after="200" w:line="276" w:lineRule="auto"/>
      <w:ind w:left="720"/>
      <w:contextualSpacing/>
    </w:pPr>
    <w:rPr>
      <w:rFonts w:ascii="Rockwell" w:eastAsia="Rockwell" w:hAnsi="Rockwell"/>
      <w:sz w:val="22"/>
      <w:szCs w:val="22"/>
    </w:rPr>
  </w:style>
  <w:style w:type="paragraph" w:customStyle="1" w:styleId="a16">
    <w:name w:val="נבנצאל"/>
    <w:basedOn w:val="Normal"/>
    <w:next w:val="Normal"/>
    <w:uiPriority w:val="99"/>
    <w:pPr>
      <w:spacing w:after="200" w:line="276" w:lineRule="auto"/>
      <w:ind w:left="-567"/>
    </w:pPr>
    <w:rPr>
      <w:rFonts w:ascii="Rockwell" w:eastAsia="Rockwell" w:hAnsi="Rockwell"/>
      <w:sz w:val="22"/>
      <w:szCs w:val="20"/>
    </w:rPr>
  </w:style>
  <w:style w:type="character" w:customStyle="1" w:styleId="a17">
    <w:name w:val="נבנצאל תו"/>
    <w:uiPriority w:val="99"/>
    <w:locked/>
    <w:rPr>
      <w:rFonts w:ascii="Rockwell" w:eastAsia="Rockwell" w:hAnsi="Rockwell" w:cs="David"/>
      <w:sz w:val="22"/>
    </w:rPr>
  </w:style>
  <w:style w:type="paragraph" w:styleId="Date">
    <w:name w:val="Date"/>
    <w:basedOn w:val="Normal"/>
    <w:next w:val="Normal"/>
    <w:link w:val="DateChar"/>
    <w:locked/>
    <w:pPr>
      <w:spacing w:before="120" w:after="200" w:line="240" w:lineRule="auto"/>
    </w:pPr>
    <w:rPr>
      <w:rFonts w:ascii="Rockwell" w:eastAsia="Rockwell" w:hAnsi="Rockwell"/>
      <w:sz w:val="22"/>
      <w:szCs w:val="22"/>
    </w:rPr>
  </w:style>
  <w:style w:type="character" w:customStyle="1" w:styleId="a18">
    <w:name w:val="תאריך תו"/>
    <w:rPr>
      <w:rFonts w:ascii="Rockwell" w:eastAsia="Rockwell" w:hAnsi="Rockwell" w:cs="David"/>
      <w:sz w:val="22"/>
      <w:szCs w:val="22"/>
    </w:rPr>
  </w:style>
  <w:style w:type="paragraph" w:styleId="Revision">
    <w:name w:val="Revision"/>
    <w:hidden/>
    <w:uiPriority w:val="99"/>
    <w:semiHidden/>
    <w:rPr>
      <w:rFonts w:ascii="Rockwell" w:eastAsia="Rockwell" w:hAnsi="Rockwell" w:cs="David"/>
      <w:sz w:val="22"/>
      <w:szCs w:val="22"/>
    </w:rPr>
  </w:style>
  <w:style w:type="paragraph" w:customStyle="1" w:styleId="tab-name">
    <w:name w:val="tab-name"/>
    <w:basedOn w:val="KOT5"/>
    <w:qFormat/>
    <w:pPr>
      <w:jc w:val="center"/>
      <w:outlineLvl w:val="9"/>
    </w:pPr>
  </w:style>
  <w:style w:type="character" w:customStyle="1" w:styleId="Heading1Char">
    <w:name w:val="Heading 1 Char"/>
    <w:link w:val="Heading1"/>
    <w:rsid w:val="009B5B44"/>
    <w:rPr>
      <w:rFonts w:cs="David"/>
      <w:b/>
      <w:bCs/>
      <w:sz w:val="56"/>
      <w:szCs w:val="56"/>
      <w:lang w:eastAsia="he-IL"/>
    </w:rPr>
  </w:style>
  <w:style w:type="character" w:customStyle="1" w:styleId="Heading2Char">
    <w:name w:val="Heading 2 Char"/>
    <w:link w:val="Heading2"/>
    <w:rsid w:val="009B5B44"/>
    <w:rPr>
      <w:rFonts w:cs="David"/>
      <w:sz w:val="32"/>
      <w:szCs w:val="32"/>
    </w:rPr>
  </w:style>
  <w:style w:type="character" w:customStyle="1" w:styleId="Heading3Char">
    <w:name w:val="Heading 3 Char"/>
    <w:link w:val="Heading3"/>
    <w:rsid w:val="009B5B44"/>
    <w:rPr>
      <w:rFonts w:cs="David"/>
      <w:b/>
      <w:bCs/>
      <w:sz w:val="38"/>
      <w:szCs w:val="36"/>
      <w:lang w:eastAsia="he-IL"/>
    </w:rPr>
  </w:style>
  <w:style w:type="character" w:customStyle="1" w:styleId="Heading4Char">
    <w:name w:val="Heading 4 Char"/>
    <w:link w:val="Heading4"/>
    <w:rsid w:val="009B5B44"/>
    <w:rPr>
      <w:rFonts w:cs="David"/>
      <w:b/>
      <w:bCs/>
      <w:sz w:val="22"/>
      <w:szCs w:val="26"/>
      <w:lang w:eastAsia="he-IL"/>
    </w:rPr>
  </w:style>
  <w:style w:type="character" w:customStyle="1" w:styleId="Heading5Char">
    <w:name w:val="Heading 5 Char"/>
    <w:link w:val="Heading5"/>
    <w:rsid w:val="009B5B44"/>
    <w:rPr>
      <w:rFonts w:cs="David"/>
      <w:b/>
      <w:bCs/>
      <w:sz w:val="32"/>
      <w:szCs w:val="32"/>
      <w:lang w:eastAsia="he-IL"/>
    </w:rPr>
  </w:style>
  <w:style w:type="character" w:customStyle="1" w:styleId="Heading6Char">
    <w:name w:val="Heading 6 Char"/>
    <w:link w:val="Heading6"/>
    <w:rsid w:val="009B5B44"/>
    <w:rPr>
      <w:rFonts w:cs="FrankRuehl"/>
      <w:b/>
      <w:bCs/>
      <w:sz w:val="22"/>
      <w:szCs w:val="22"/>
    </w:rPr>
  </w:style>
  <w:style w:type="character" w:customStyle="1" w:styleId="Heading7Char">
    <w:name w:val="Heading 7 Char"/>
    <w:link w:val="Heading7"/>
    <w:rsid w:val="009B5B44"/>
    <w:rPr>
      <w:rFonts w:cs="David"/>
      <w:sz w:val="36"/>
      <w:szCs w:val="36"/>
      <w:lang w:eastAsia="he-IL"/>
    </w:rPr>
  </w:style>
  <w:style w:type="character" w:customStyle="1" w:styleId="Heading8Char">
    <w:name w:val="Heading 8 Char"/>
    <w:link w:val="Heading8"/>
    <w:rsid w:val="009B5B44"/>
    <w:rPr>
      <w:rFonts w:cs="David"/>
      <w:b/>
      <w:bCs/>
      <w:sz w:val="36"/>
      <w:szCs w:val="36"/>
      <w:lang w:eastAsia="he-IL"/>
    </w:rPr>
  </w:style>
  <w:style w:type="character" w:customStyle="1" w:styleId="HeaderChar">
    <w:name w:val="Header Char"/>
    <w:link w:val="Header"/>
    <w:rsid w:val="009B5B44"/>
    <w:rPr>
      <w:rFonts w:cs="David"/>
      <w:sz w:val="24"/>
      <w:szCs w:val="24"/>
    </w:rPr>
  </w:style>
  <w:style w:type="character" w:customStyle="1" w:styleId="FooterChar">
    <w:name w:val="Footer Char"/>
    <w:link w:val="Footer"/>
    <w:rsid w:val="009B5B44"/>
    <w:rPr>
      <w:rFonts w:cs="David"/>
      <w:sz w:val="24"/>
      <w:szCs w:val="24"/>
    </w:rPr>
  </w:style>
  <w:style w:type="character" w:customStyle="1" w:styleId="DateChar">
    <w:name w:val="Date Char"/>
    <w:link w:val="Date"/>
    <w:rsid w:val="009B5B44"/>
    <w:rPr>
      <w:rFonts w:ascii="Rockwell" w:eastAsia="Rockwell" w:hAnsi="Rockwell" w:cs="David"/>
      <w:sz w:val="22"/>
      <w:szCs w:val="22"/>
    </w:rPr>
  </w:style>
  <w:style w:type="character" w:customStyle="1" w:styleId="FootnoteTextChar1">
    <w:name w:val="Footnote Text Char1"/>
    <w:link w:val="FootnoteText"/>
    <w:uiPriority w:val="99"/>
    <w:rsid w:val="009B5B44"/>
    <w:rPr>
      <w:rFonts w:cs="David"/>
    </w:rPr>
  </w:style>
  <w:style w:type="character" w:customStyle="1" w:styleId="BalloonTextChar">
    <w:name w:val="Balloon Text Char"/>
    <w:link w:val="BalloonText"/>
    <w:semiHidden/>
    <w:rsid w:val="009B5B44"/>
    <w:rPr>
      <w:rFonts w:ascii="Tahoma" w:hAnsi="Tahoma" w:cs="Tahoma"/>
      <w:sz w:val="16"/>
      <w:szCs w:val="16"/>
    </w:rPr>
  </w:style>
  <w:style w:type="table" w:styleId="TableGrid">
    <w:name w:val="Table Grid"/>
    <w:basedOn w:val="TableNormal"/>
    <w:uiPriority w:val="59"/>
    <w:rsid w:val="009B5B44"/>
    <w:pPr>
      <w:jc w:val="both"/>
    </w:pPr>
    <w:rPr>
      <w:rFonts w:eastAsia="Calibri"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ללא רשימה1"/>
    <w:next w:val="NoList"/>
    <w:uiPriority w:val="99"/>
    <w:semiHidden/>
    <w:unhideWhenUsed/>
    <w:rsid w:val="009B5B44"/>
  </w:style>
  <w:style w:type="character" w:customStyle="1" w:styleId="TitleChar">
    <w:name w:val="Title Char"/>
    <w:link w:val="Title"/>
    <w:rsid w:val="009B5B44"/>
    <w:rPr>
      <w:rFonts w:cs="David"/>
      <w:b/>
      <w:bCs/>
      <w:sz w:val="24"/>
      <w:szCs w:val="24"/>
      <w:u w:val="single"/>
    </w:rPr>
  </w:style>
  <w:style w:type="character" w:customStyle="1" w:styleId="a19">
    <w:name w:val="נבנצלים תו"/>
    <w:link w:val="a0"/>
    <w:rsid w:val="009B5B44"/>
    <w:rPr>
      <w:rFonts w:cs="David"/>
      <w:lang w:eastAsia="he-IL"/>
    </w:rPr>
  </w:style>
  <w:style w:type="table" w:customStyle="1" w:styleId="14">
    <w:name w:val="טבלת רשת1"/>
    <w:basedOn w:val="TableNormal"/>
    <w:next w:val="TableGrid"/>
    <w:rsid w:val="009B5B44"/>
    <w:pPr>
      <w:widowControl w:val="0"/>
      <w:bidi/>
      <w:spacing w:line="312"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9B5B44"/>
    <w:rPr>
      <w:rFonts w:cs="FrankRuehl"/>
      <w:sz w:val="22"/>
      <w:szCs w:val="22"/>
    </w:rPr>
  </w:style>
  <w:style w:type="character" w:customStyle="1" w:styleId="BodyText2Char">
    <w:name w:val="Body Text 2 Char"/>
    <w:link w:val="BodyText2"/>
    <w:rsid w:val="009B5B44"/>
    <w:rPr>
      <w:rFonts w:cs="FrankRuehl"/>
      <w:sz w:val="24"/>
      <w:szCs w:val="24"/>
      <w:lang w:eastAsia="he-IL"/>
    </w:rPr>
  </w:style>
  <w:style w:type="character" w:customStyle="1" w:styleId="EndnoteTextChar">
    <w:name w:val="Endnote Text Char"/>
    <w:link w:val="EndnoteText"/>
    <w:semiHidden/>
    <w:rsid w:val="009B5B44"/>
    <w:rPr>
      <w:rFonts w:cs="David"/>
      <w:sz w:val="24"/>
    </w:rPr>
  </w:style>
  <w:style w:type="character" w:customStyle="1" w:styleId="BodyText3Char">
    <w:name w:val="Body Text 3 Char"/>
    <w:link w:val="BodyText3"/>
    <w:rsid w:val="009B5B44"/>
    <w:rPr>
      <w:rFonts w:cs="David"/>
      <w:sz w:val="24"/>
      <w:szCs w:val="24"/>
    </w:rPr>
  </w:style>
  <w:style w:type="table" w:styleId="TableContemporary">
    <w:name w:val="Table Contemporary"/>
    <w:basedOn w:val="TableNormal"/>
    <w:rsid w:val="009B5B44"/>
    <w:pPr>
      <w:widowControl w:val="0"/>
      <w:bidi/>
      <w:spacing w:line="312" w:lineRule="auto"/>
      <w:jc w:val="both"/>
    </w:pPr>
    <w:tblPr>
      <w:tblStyleRowBandSize w:val="1"/>
      <w:tblBorders>
        <w:top w:val="nil"/>
        <w:left w:val="nil"/>
        <w:bottom w:val="nil"/>
        <w:right w:val="nil"/>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character" w:customStyle="1" w:styleId="311">
    <w:name w:val="כותרת 31 תו"/>
    <w:link w:val="310"/>
    <w:rsid w:val="009B5B44"/>
    <w:rPr>
      <w:rFonts w:cs="David"/>
      <w:b/>
      <w:bCs/>
      <w:sz w:val="24"/>
      <w:szCs w:val="28"/>
      <w:u w:val="single"/>
    </w:rPr>
  </w:style>
  <w:style w:type="character" w:customStyle="1" w:styleId="CommentTextChar">
    <w:name w:val="Comment Text Char"/>
    <w:link w:val="CommentText"/>
    <w:semiHidden/>
    <w:rsid w:val="009B5B44"/>
    <w:rPr>
      <w:rFonts w:cs="David"/>
    </w:rPr>
  </w:style>
  <w:style w:type="character" w:customStyle="1" w:styleId="CommentSubjectChar">
    <w:name w:val="Comment Subject Char"/>
    <w:link w:val="CommentSubject"/>
    <w:semiHidden/>
    <w:rsid w:val="009B5B44"/>
    <w:rPr>
      <w:rFonts w:cs="David"/>
      <w:b/>
      <w:bCs/>
    </w:rPr>
  </w:style>
  <w:style w:type="character" w:customStyle="1" w:styleId="33">
    <w:name w:val="תו תו3"/>
    <w:rsid w:val="009B5B44"/>
    <w:rPr>
      <w:rFonts w:cs="David"/>
      <w:lang w:val="en-US" w:eastAsia="he-IL" w:bidi="he-IL"/>
    </w:rPr>
  </w:style>
  <w:style w:type="character" w:customStyle="1" w:styleId="DocumentMapChar">
    <w:name w:val="Document Map Char"/>
    <w:link w:val="DocumentMap"/>
    <w:semiHidden/>
    <w:rsid w:val="009B5B44"/>
    <w:rPr>
      <w:rFonts w:ascii="Tahoma" w:hAnsi="Tahoma" w:cs="Tahoma"/>
      <w:shd w:val="clear" w:color="auto" w:fill="000080"/>
      <w:lang w:eastAsia="he-IL"/>
    </w:rPr>
  </w:style>
  <w:style w:type="character" w:customStyle="1" w:styleId="FootnoteTextChar">
    <w:name w:val="Footnote Text Char"/>
    <w:semiHidden/>
    <w:locked/>
    <w:rsid w:val="009B5B44"/>
    <w:rPr>
      <w:rFonts w:cs="David"/>
      <w:lang w:val="en-US" w:eastAsia="he-IL" w:bidi="he-IL"/>
    </w:rPr>
  </w:style>
  <w:style w:type="numbering" w:customStyle="1" w:styleId="110">
    <w:name w:val="ללא רשימה11"/>
    <w:next w:val="NoList"/>
    <w:uiPriority w:val="99"/>
    <w:semiHidden/>
    <w:unhideWhenUsed/>
    <w:rsid w:val="009B5B44"/>
  </w:style>
  <w:style w:type="character" w:customStyle="1" w:styleId="emailstyle31">
    <w:name w:val="emailstyle31"/>
    <w:semiHidden/>
    <w:rsid w:val="009B5B44"/>
    <w:rPr>
      <w:rFonts w:ascii="Arial" w:hAnsi="Arial" w:cs="Arial" w:hint="default"/>
      <w:color w:val="auto"/>
      <w:sz w:val="20"/>
      <w:szCs w:val="20"/>
    </w:rPr>
  </w:style>
  <w:style w:type="paragraph" w:customStyle="1" w:styleId="a20">
    <w:name w:val="תו תו תו"/>
    <w:basedOn w:val="Normal"/>
    <w:rsid w:val="009B5B44"/>
    <w:pPr>
      <w:bidi w:val="0"/>
      <w:spacing w:after="160"/>
    </w:pPr>
    <w:rPr>
      <w:rFonts w:ascii="Tahoma" w:eastAsia="Batang" w:hAnsi="Tahoma" w:cs="Tahoma"/>
      <w:sz w:val="20"/>
      <w:szCs w:val="20"/>
      <w:lang w:bidi="ar-SA"/>
    </w:rPr>
  </w:style>
  <w:style w:type="table" w:customStyle="1" w:styleId="111">
    <w:name w:val="טבלת רשת11"/>
    <w:basedOn w:val="TableNormal"/>
    <w:next w:val="TableGrid"/>
    <w:uiPriority w:val="59"/>
    <w:rsid w:val="009B5B44"/>
    <w:pPr>
      <w:jc w:val="both"/>
    </w:pPr>
    <w:rPr>
      <w:rFonts w:eastAsia="Calibri"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inTextChar">
    <w:name w:val="Plain Text Char"/>
    <w:link w:val="PlainText"/>
    <w:uiPriority w:val="99"/>
    <w:semiHidden/>
    <w:rsid w:val="009B5B44"/>
    <w:rPr>
      <w:rFonts w:ascii="Courier New" w:hAnsi="Courier New" w:cs="Courier New"/>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numbering" Target="numbering.xml"/><Relationship Id="rId8" Type="http://schemas.openxmlformats.org/officeDocument/2006/relationships/footer" Target="footer1.xml"/><Relationship Id="rId3" Type="http://schemas.openxmlformats.org/officeDocument/2006/relationships/webSettings" Target="webSettings.xml"/><Relationship Id="rId12" Type="http://schemas.openxmlformats.org/officeDocument/2006/relationships/theme" Target="theme/theme1.xml"/><Relationship Id="rId7" Type="http://schemas.openxmlformats.org/officeDocument/2006/relationships/header" Target="header2.xml"/><Relationship Id="rId17" Type="http://schemas.openxmlformats.org/officeDocument/2006/relationships/customXml" Target="../customXml/item4.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footnotes" Target="footnote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customXml" Target="../customXml/item1.xml"/><Relationship Id="rId15" Type="http://schemas.openxmlformats.org/officeDocument/2006/relationships/customXml" Target="../customXml/item2.xml"/><Relationship Id="rId10" Type="http://schemas.openxmlformats.org/officeDocument/2006/relationships/header" Target="header3.xml"/><Relationship Id="rId14" Type="http://schemas.openxmlformats.org/officeDocument/2006/relationships/styles" Target="styles.xml"/><Relationship Id="rId4" Type="http://schemas.openxmlformats.org/officeDocument/2006/relationships/fontTable" Target="fontTable.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Props1.xml><?xml version="1.0" encoding="utf-8"?>
<ds:datastoreItem xmlns:ds="http://schemas.openxmlformats.org/officeDocument/2006/customXml" ds:itemID="{CC377DAA-E896-4459-85D4-D07B8E49442C}">
  <ds:schemaRefs>
    <ds:schemaRef ds:uri="http://schemas.openxmlformats.org/officeDocument/2006/bibliography"/>
  </ds:schemaRefs>
</ds:datastoreItem>
</file>

<file path=customXml/itemProps2.xml><?xml version="1.0" encoding="utf-8"?>
<ds:datastoreItem xmlns:ds="http://schemas.openxmlformats.org/officeDocument/2006/customXml" ds:itemID="{12E829ED-9684-448C-9642-50E52AE77E95}"/>
</file>

<file path=customXml/itemProps3.xml><?xml version="1.0" encoding="utf-8"?>
<ds:datastoreItem xmlns:ds="http://schemas.openxmlformats.org/officeDocument/2006/customXml" ds:itemID="{CCB38F24-78B1-4DA2-9874-713045A878CE}"/>
</file>

<file path=customXml/itemProps4.xml><?xml version="1.0" encoding="utf-8"?>
<ds:datastoreItem xmlns:ds="http://schemas.openxmlformats.org/officeDocument/2006/customXml" ds:itemID="{62773DAE-13B4-44AF-879A-4197FFFCB779}"/>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