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1275A6" w:rsidRPr="00347AD3" w:rsidP="00040DAE">
      <w:pPr>
        <w:pStyle w:val="KOT1"/>
        <w:jc w:val="right"/>
        <w:rPr>
          <w:rtl/>
        </w:rPr>
      </w:pPr>
      <w:bookmarkStart w:id="0" w:name="_Toc349122061"/>
      <w:bookmarkStart w:id="1" w:name="_Toc349136480"/>
      <w:bookmarkStart w:id="2" w:name="_Toc352831083"/>
      <w:bookmarkStart w:id="3" w:name="_Toc354324568"/>
      <w:bookmarkStart w:id="4" w:name="_Toc354661923"/>
      <w:r w:rsidRPr="00347AD3">
        <w:rPr>
          <w:rFonts w:hint="cs"/>
          <w:rtl/>
        </w:rPr>
        <w:t>הנהלת בתי המשפט</w:t>
      </w:r>
    </w:p>
    <w:p w:rsidR="001275A6" w:rsidP="00040DAE">
      <w:pPr>
        <w:spacing w:after="120" w:line="230" w:lineRule="exact"/>
        <w:jc w:val="both"/>
        <w:rPr>
          <w:rFonts w:cs="FrankRuehl"/>
          <w:szCs w:val="22"/>
          <w:rtl/>
        </w:rPr>
      </w:pPr>
    </w:p>
    <w:p w:rsidR="001275A6" w:rsidP="00040DAE">
      <w:pPr>
        <w:pStyle w:val="KOT1"/>
        <w:rPr>
          <w:rtl/>
        </w:rPr>
      </w:pPr>
      <w:r w:rsidRPr="00347AD3">
        <w:rPr>
          <w:rtl/>
        </w:rPr>
        <w:t>היבטים בהפעלת בתי המשפט לעניינים מקומיים</w:t>
      </w:r>
    </w:p>
    <w:p w:rsidR="001275A6" w:rsidP="00040DAE">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040DAE">
            <w:pPr>
              <w:pStyle w:val="KOT4"/>
              <w:spacing w:before="120"/>
              <w:jc w:val="center"/>
              <w:rPr>
                <w:rtl/>
              </w:rPr>
            </w:pPr>
            <w:r>
              <w:rPr>
                <w:rFonts w:hint="cs"/>
                <w:rtl/>
              </w:rPr>
              <w:t>רקע כללי</w:t>
            </w:r>
          </w:p>
        </w:tc>
      </w:tr>
      <w:tr w:rsidTr="00E44678">
        <w:tblPrEx>
          <w:tblW w:w="6691" w:type="dxa"/>
          <w:jc w:val="center"/>
          <w:tblLook w:val="04A0"/>
        </w:tblPrEx>
        <w:trPr>
          <w:jc w:val="center"/>
        </w:trPr>
        <w:tc>
          <w:tcPr>
            <w:tcW w:w="7018" w:type="dxa"/>
          </w:tcPr>
          <w:p w:rsidR="00AD7C95" w:rsidRPr="00AD7C95" w:rsidP="00AD7C95">
            <w:pPr>
              <w:pStyle w:val="PATIAH"/>
              <w:spacing w:before="60"/>
              <w:rPr>
                <w:sz w:val="22"/>
                <w:szCs w:val="22"/>
                <w:rtl/>
              </w:rPr>
            </w:pPr>
            <w:r w:rsidRPr="00AD7C95">
              <w:rPr>
                <w:rFonts w:hint="cs"/>
                <w:sz w:val="22"/>
                <w:szCs w:val="22"/>
                <w:rtl/>
              </w:rPr>
              <w:t xml:space="preserve">בתי משפט לעניינים מקומיים בישראל (להלן </w:t>
            </w:r>
            <w:r w:rsidRPr="00AD7C95">
              <w:rPr>
                <w:sz w:val="22"/>
                <w:szCs w:val="22"/>
                <w:rtl/>
              </w:rPr>
              <w:t>-</w:t>
            </w:r>
            <w:r w:rsidRPr="00AD7C95">
              <w:rPr>
                <w:rFonts w:hint="cs"/>
                <w:sz w:val="22"/>
                <w:szCs w:val="22"/>
                <w:rtl/>
              </w:rPr>
              <w:t xml:space="preserve"> בתי משפט עמ"ק או במ"ש עמ"ק) הוקמו מכוח חוק בתי המשפט [נוסח משולב], התשמ"ד-1984 (להלן </w:t>
            </w:r>
            <w:r w:rsidRPr="00AD7C95">
              <w:rPr>
                <w:sz w:val="22"/>
                <w:szCs w:val="22"/>
                <w:rtl/>
              </w:rPr>
              <w:t>-</w:t>
            </w:r>
            <w:r w:rsidRPr="00AD7C95">
              <w:rPr>
                <w:rFonts w:hint="cs"/>
                <w:sz w:val="22"/>
                <w:szCs w:val="22"/>
                <w:rtl/>
              </w:rPr>
              <w:t xml:space="preserve"> החוק או חוק בתי המשפט), הקובע כי דין בית משפט עמ"ק הוא כדין בית משפט שלום, וכן את סמכותם העניינית לדון </w:t>
            </w:r>
            <w:r w:rsidRPr="00AD7C95">
              <w:rPr>
                <w:sz w:val="22"/>
                <w:szCs w:val="22"/>
                <w:rtl/>
              </w:rPr>
              <w:t>בעברות לפי פקודת העיריות, פקודת המועצות המקומיות וחוק התכנון והבני</w:t>
            </w:r>
            <w:r w:rsidRPr="00AD7C95">
              <w:rPr>
                <w:rFonts w:hint="cs"/>
                <w:sz w:val="22"/>
                <w:szCs w:val="22"/>
                <w:rtl/>
              </w:rPr>
              <w:t>י</w:t>
            </w:r>
            <w:r w:rsidRPr="00AD7C95">
              <w:rPr>
                <w:sz w:val="22"/>
                <w:szCs w:val="22"/>
                <w:rtl/>
              </w:rPr>
              <w:t xml:space="preserve">ה, </w:t>
            </w:r>
            <w:r w:rsidRPr="00AD7C95">
              <w:rPr>
                <w:rFonts w:hint="cs"/>
                <w:sz w:val="22"/>
                <w:szCs w:val="22"/>
                <w:rtl/>
              </w:rPr>
              <w:t>ה</w:t>
            </w:r>
            <w:r w:rsidRPr="00AD7C95">
              <w:rPr>
                <w:sz w:val="22"/>
                <w:szCs w:val="22"/>
                <w:rtl/>
              </w:rPr>
              <w:t>תשכ"ה-1965</w:t>
            </w:r>
            <w:r w:rsidRPr="00AD7C95">
              <w:rPr>
                <w:rFonts w:hint="cs"/>
                <w:sz w:val="22"/>
                <w:szCs w:val="22"/>
                <w:rtl/>
              </w:rPr>
              <w:t>,</w:t>
            </w:r>
            <w:r w:rsidRPr="00AD7C95">
              <w:rPr>
                <w:sz w:val="22"/>
                <w:szCs w:val="22"/>
                <w:rtl/>
              </w:rPr>
              <w:t xml:space="preserve"> ובעברות לפי החיקוקים המנויים בתוספת השלישית, לרבות תקנות, צווים וחוקי</w:t>
            </w:r>
            <w:r w:rsidRPr="00AD7C95">
              <w:rPr>
                <w:rFonts w:hint="cs"/>
                <w:sz w:val="22"/>
                <w:szCs w:val="22"/>
                <w:rtl/>
              </w:rPr>
              <w:t xml:space="preserve"> עזר על פיהם. </w:t>
            </w:r>
            <w:r w:rsidRPr="00AD7C95">
              <w:rPr>
                <w:sz w:val="22"/>
                <w:szCs w:val="22"/>
                <w:rtl/>
              </w:rPr>
              <w:t>צ</w:t>
            </w:r>
            <w:r w:rsidRPr="00AD7C95">
              <w:rPr>
                <w:rFonts w:hint="cs"/>
                <w:sz w:val="22"/>
                <w:szCs w:val="22"/>
                <w:rtl/>
              </w:rPr>
              <w:t xml:space="preserve">ו בתי המשפט (בתי משפט לעניינים מקומיים - הקמה והסמכה), תשמ"ג-1983 (להלן - הצו, או צו להקמת בתי משפט עמ"ק) הקים 15 במ"ש עמ"ק, הסמיך שלושה בתי משפט שלום </w:t>
            </w:r>
            <w:r w:rsidRPr="00AD7C95">
              <w:rPr>
                <w:sz w:val="22"/>
                <w:szCs w:val="22"/>
                <w:rtl/>
              </w:rPr>
              <w:t>ל</w:t>
            </w:r>
            <w:r w:rsidRPr="00AD7C95">
              <w:rPr>
                <w:rFonts w:hint="cs"/>
                <w:sz w:val="22"/>
                <w:szCs w:val="22"/>
                <w:rtl/>
              </w:rPr>
              <w:t>כהן כבמ"ש</w:t>
            </w:r>
            <w:r w:rsidRPr="00AD7C95">
              <w:rPr>
                <w:sz w:val="22"/>
                <w:szCs w:val="22"/>
                <w:rtl/>
              </w:rPr>
              <w:t xml:space="preserve"> </w:t>
            </w:r>
            <w:r w:rsidRPr="00AD7C95">
              <w:rPr>
                <w:rFonts w:hint="cs"/>
                <w:sz w:val="22"/>
                <w:szCs w:val="22"/>
                <w:rtl/>
              </w:rPr>
              <w:t>עמ"ק וקבע את מקום מושבם, דרכי הפעולה ואזורי השיפוט שלהם.</w:t>
            </w:r>
          </w:p>
          <w:p w:rsidR="00AD7C95" w:rsidRPr="00AD7C95" w:rsidP="00907008">
            <w:pPr>
              <w:pStyle w:val="PATIAH"/>
              <w:rPr>
                <w:sz w:val="22"/>
                <w:szCs w:val="22"/>
                <w:rtl/>
              </w:rPr>
            </w:pPr>
            <w:r w:rsidRPr="00AD7C95">
              <w:rPr>
                <w:rFonts w:hint="cs"/>
                <w:sz w:val="22"/>
                <w:szCs w:val="22"/>
                <w:rtl/>
              </w:rPr>
              <w:t xml:space="preserve">לאורך השנים נדונו </w:t>
            </w:r>
            <w:r w:rsidRPr="00AD7C95">
              <w:rPr>
                <w:sz w:val="22"/>
                <w:szCs w:val="22"/>
                <w:rtl/>
              </w:rPr>
              <w:t>שני מודלים עיקריים</w:t>
            </w:r>
            <w:r w:rsidRPr="00AD7C95">
              <w:rPr>
                <w:rFonts w:hint="cs"/>
                <w:sz w:val="22"/>
                <w:szCs w:val="22"/>
                <w:rtl/>
              </w:rPr>
              <w:t xml:space="preserve"> לפעילותם של במ"ש עמ"ק</w:t>
            </w:r>
            <w:r w:rsidRPr="00AD7C95">
              <w:rPr>
                <w:sz w:val="22"/>
                <w:szCs w:val="22"/>
                <w:rtl/>
              </w:rPr>
              <w:t>.</w:t>
            </w:r>
            <w:r w:rsidRPr="00AD7C95">
              <w:rPr>
                <w:rFonts w:hint="cs"/>
                <w:sz w:val="22"/>
                <w:szCs w:val="22"/>
                <w:rtl/>
              </w:rPr>
              <w:t xml:space="preserve"> לפי המודל </w:t>
            </w:r>
            <w:r w:rsidRPr="00AD7C95">
              <w:rPr>
                <w:sz w:val="22"/>
                <w:szCs w:val="22"/>
                <w:rtl/>
              </w:rPr>
              <w:t xml:space="preserve">הראשון </w:t>
            </w:r>
            <w:r w:rsidRPr="00AD7C95">
              <w:rPr>
                <w:rFonts w:hint="cs"/>
                <w:sz w:val="22"/>
                <w:szCs w:val="22"/>
                <w:rtl/>
              </w:rPr>
              <w:t xml:space="preserve">הקיים עד היום, בהתאם לצו, </w:t>
            </w:r>
            <w:r w:rsidRPr="00AD7C95">
              <w:rPr>
                <w:sz w:val="22"/>
                <w:szCs w:val="22"/>
                <w:rtl/>
              </w:rPr>
              <w:t xml:space="preserve">פעילות </w:t>
            </w:r>
            <w:r w:rsidRPr="00AD7C95">
              <w:rPr>
                <w:rFonts w:hint="cs"/>
                <w:sz w:val="22"/>
                <w:szCs w:val="22"/>
                <w:rtl/>
              </w:rPr>
              <w:t>במ</w:t>
            </w:r>
            <w:r w:rsidRPr="00AD7C95">
              <w:rPr>
                <w:sz w:val="22"/>
                <w:szCs w:val="22"/>
                <w:rtl/>
              </w:rPr>
              <w:t xml:space="preserve">"ש </w:t>
            </w:r>
            <w:r w:rsidRPr="00AD7C95">
              <w:rPr>
                <w:rFonts w:hint="cs"/>
                <w:sz w:val="22"/>
                <w:szCs w:val="22"/>
                <w:rtl/>
              </w:rPr>
              <w:t>עמ</w:t>
            </w:r>
            <w:r w:rsidRPr="00AD7C95">
              <w:rPr>
                <w:sz w:val="22"/>
                <w:szCs w:val="22"/>
                <w:rtl/>
              </w:rPr>
              <w:t xml:space="preserve">"ק </w:t>
            </w:r>
            <w:r w:rsidRPr="00AD7C95">
              <w:rPr>
                <w:rFonts w:hint="cs"/>
                <w:sz w:val="22"/>
                <w:szCs w:val="22"/>
                <w:rtl/>
              </w:rPr>
              <w:t xml:space="preserve">כפופה לשתי מערכות - לרשות המקומית ולרשות השופטת (להלן - המודל הראשון). המודל </w:t>
            </w:r>
            <w:r w:rsidRPr="00AD7C95">
              <w:rPr>
                <w:sz w:val="22"/>
                <w:szCs w:val="22"/>
                <w:rtl/>
              </w:rPr>
              <w:t>השני ת</w:t>
            </w:r>
            <w:r w:rsidRPr="00AD7C95">
              <w:rPr>
                <w:rFonts w:hint="cs"/>
                <w:sz w:val="22"/>
                <w:szCs w:val="22"/>
                <w:rtl/>
              </w:rPr>
              <w:t>ו</w:t>
            </w:r>
            <w:r w:rsidRPr="00AD7C95">
              <w:rPr>
                <w:sz w:val="22"/>
                <w:szCs w:val="22"/>
                <w:rtl/>
              </w:rPr>
              <w:t xml:space="preserve">מך </w:t>
            </w:r>
            <w:r w:rsidRPr="00AD7C95">
              <w:rPr>
                <w:rFonts w:hint="cs"/>
                <w:sz w:val="22"/>
                <w:szCs w:val="22"/>
                <w:rtl/>
              </w:rPr>
              <w:t>בביטול</w:t>
            </w:r>
            <w:r w:rsidRPr="00AD7C95">
              <w:rPr>
                <w:sz w:val="22"/>
                <w:szCs w:val="22"/>
                <w:rtl/>
              </w:rPr>
              <w:t xml:space="preserve"> </w:t>
            </w:r>
            <w:r w:rsidRPr="00AD7C95">
              <w:rPr>
                <w:rFonts w:hint="cs"/>
                <w:sz w:val="22"/>
                <w:szCs w:val="22"/>
                <w:rtl/>
              </w:rPr>
              <w:t>צווי</w:t>
            </w:r>
            <w:r w:rsidRPr="00AD7C95">
              <w:rPr>
                <w:sz w:val="22"/>
                <w:szCs w:val="22"/>
                <w:rtl/>
              </w:rPr>
              <w:t xml:space="preserve"> </w:t>
            </w:r>
            <w:r w:rsidRPr="00AD7C95">
              <w:rPr>
                <w:rFonts w:hint="cs"/>
                <w:sz w:val="22"/>
                <w:szCs w:val="22"/>
                <w:rtl/>
              </w:rPr>
              <w:t>ההקמה</w:t>
            </w:r>
            <w:r w:rsidRPr="00AD7C95">
              <w:rPr>
                <w:sz w:val="22"/>
                <w:szCs w:val="22"/>
                <w:rtl/>
              </w:rPr>
              <w:t xml:space="preserve"> </w:t>
            </w:r>
            <w:r w:rsidRPr="00AD7C95">
              <w:rPr>
                <w:rFonts w:hint="cs"/>
                <w:sz w:val="22"/>
                <w:szCs w:val="22"/>
                <w:rtl/>
              </w:rPr>
              <w:t>של</w:t>
            </w:r>
            <w:r w:rsidRPr="00AD7C95">
              <w:rPr>
                <w:sz w:val="22"/>
                <w:szCs w:val="22"/>
                <w:rtl/>
              </w:rPr>
              <w:t xml:space="preserve"> </w:t>
            </w:r>
            <w:r w:rsidRPr="00AD7C95">
              <w:rPr>
                <w:rFonts w:hint="cs"/>
                <w:sz w:val="22"/>
                <w:szCs w:val="22"/>
                <w:rtl/>
              </w:rPr>
              <w:t>בתי</w:t>
            </w:r>
            <w:r w:rsidRPr="00AD7C95">
              <w:rPr>
                <w:sz w:val="22"/>
                <w:szCs w:val="22"/>
                <w:rtl/>
              </w:rPr>
              <w:t xml:space="preserve"> </w:t>
            </w:r>
            <w:r w:rsidRPr="00AD7C95">
              <w:rPr>
                <w:rFonts w:hint="cs"/>
                <w:sz w:val="22"/>
                <w:szCs w:val="22"/>
                <w:rtl/>
              </w:rPr>
              <w:t>משפט</w:t>
            </w:r>
            <w:r w:rsidRPr="00AD7C95">
              <w:rPr>
                <w:sz w:val="22"/>
                <w:szCs w:val="22"/>
                <w:rtl/>
              </w:rPr>
              <w:t xml:space="preserve"> </w:t>
            </w:r>
            <w:r w:rsidRPr="00AD7C95">
              <w:rPr>
                <w:rFonts w:hint="cs"/>
                <w:sz w:val="22"/>
                <w:szCs w:val="22"/>
                <w:rtl/>
              </w:rPr>
              <w:t>עמ</w:t>
            </w:r>
            <w:r w:rsidRPr="00AD7C95">
              <w:rPr>
                <w:sz w:val="22"/>
                <w:szCs w:val="22"/>
                <w:rtl/>
              </w:rPr>
              <w:t xml:space="preserve">"ק </w:t>
            </w:r>
            <w:r w:rsidRPr="00AD7C95">
              <w:rPr>
                <w:rFonts w:hint="cs"/>
                <w:sz w:val="22"/>
                <w:szCs w:val="22"/>
                <w:rtl/>
              </w:rPr>
              <w:t>והטמעתם</w:t>
            </w:r>
            <w:r w:rsidRPr="00AD7C95">
              <w:rPr>
                <w:sz w:val="22"/>
                <w:szCs w:val="22"/>
                <w:rtl/>
              </w:rPr>
              <w:t xml:space="preserve"> </w:t>
            </w:r>
            <w:r w:rsidRPr="00AD7C95">
              <w:rPr>
                <w:rFonts w:hint="cs"/>
                <w:sz w:val="22"/>
                <w:szCs w:val="22"/>
                <w:rtl/>
              </w:rPr>
              <w:t>בבתי</w:t>
            </w:r>
            <w:r w:rsidRPr="00AD7C95">
              <w:rPr>
                <w:sz w:val="22"/>
                <w:szCs w:val="22"/>
                <w:rtl/>
              </w:rPr>
              <w:t xml:space="preserve"> </w:t>
            </w:r>
            <w:r w:rsidRPr="00AD7C95">
              <w:rPr>
                <w:rFonts w:hint="cs"/>
                <w:sz w:val="22"/>
                <w:szCs w:val="22"/>
                <w:rtl/>
              </w:rPr>
              <w:t>משפט</w:t>
            </w:r>
            <w:r w:rsidRPr="00AD7C95">
              <w:rPr>
                <w:sz w:val="22"/>
                <w:szCs w:val="22"/>
                <w:rtl/>
              </w:rPr>
              <w:t xml:space="preserve"> </w:t>
            </w:r>
            <w:r w:rsidRPr="00AD7C95">
              <w:rPr>
                <w:rFonts w:hint="cs"/>
                <w:sz w:val="22"/>
                <w:szCs w:val="22"/>
                <w:rtl/>
              </w:rPr>
              <w:t>השלום (להלן המודל השני)</w:t>
            </w:r>
            <w:r w:rsidRPr="00AD7C95">
              <w:rPr>
                <w:sz w:val="22"/>
                <w:szCs w:val="22"/>
                <w:rtl/>
              </w:rPr>
              <w:t>.</w:t>
            </w:r>
          </w:p>
          <w:p w:rsidR="001275A6" w:rsidP="00907008">
            <w:pPr>
              <w:pStyle w:val="PATIAH"/>
              <w:rPr>
                <w:sz w:val="22"/>
                <w:szCs w:val="22"/>
                <w:rtl/>
              </w:rPr>
            </w:pPr>
            <w:r w:rsidRPr="00AD7C95">
              <w:rPr>
                <w:rFonts w:hint="cs"/>
                <w:sz w:val="22"/>
                <w:szCs w:val="22"/>
                <w:rtl/>
              </w:rPr>
              <w:t>לפי מתכונת ההעסקה הייחודית של בתי המשפט עמ"ק, הרשויות המקומיות הן המעסיקות המשלמות את שכרם של עובדי המזכירויות והמזכיר הראשי, ואילו השופטים והקלדניות מועסקים על ידי הנהלת בתי המשפט (להלן - הב"ה) המשלמת כיום את שכרם. הכפילות באחריות לתפקוד בתי המשפט עמ"ק באמצעות שתי המערכות נידונה ב-1994 בדוח מבקר המדינה</w:t>
            </w:r>
            <w:r>
              <w:rPr>
                <w:sz w:val="22"/>
                <w:szCs w:val="22"/>
                <w:vertAlign w:val="superscript"/>
                <w:rtl/>
              </w:rPr>
              <w:footnoteReference w:id="2"/>
            </w:r>
            <w:r w:rsidRPr="00AD7C95">
              <w:rPr>
                <w:rFonts w:hint="cs"/>
                <w:sz w:val="22"/>
                <w:szCs w:val="22"/>
                <w:rtl/>
              </w:rPr>
              <w:t>, בדוח ה</w:t>
            </w:r>
            <w:r w:rsidRPr="00AD7C95">
              <w:rPr>
                <w:sz w:val="22"/>
                <w:szCs w:val="22"/>
                <w:rtl/>
              </w:rPr>
              <w:t>ו</w:t>
            </w:r>
            <w:r w:rsidRPr="00AD7C95">
              <w:rPr>
                <w:rFonts w:hint="cs"/>
                <w:sz w:val="22"/>
                <w:szCs w:val="22"/>
                <w:rtl/>
              </w:rPr>
              <w:t>ו</w:t>
            </w:r>
            <w:r w:rsidRPr="00AD7C95">
              <w:rPr>
                <w:sz w:val="22"/>
                <w:szCs w:val="22"/>
                <w:rtl/>
              </w:rPr>
              <w:t xml:space="preserve">עדה </w:t>
            </w:r>
            <w:r w:rsidRPr="00AD7C95">
              <w:rPr>
                <w:rFonts w:hint="cs"/>
                <w:sz w:val="22"/>
                <w:szCs w:val="22"/>
                <w:rtl/>
              </w:rPr>
              <w:t>ה</w:t>
            </w:r>
            <w:r w:rsidRPr="00AD7C95">
              <w:rPr>
                <w:sz w:val="22"/>
                <w:szCs w:val="22"/>
                <w:rtl/>
              </w:rPr>
              <w:t>ציבורית בראשות שופט בית המשפט העליון (דאז) פרופ' יצחק זמיר</w:t>
            </w:r>
            <w:r w:rsidRPr="00AD7C95">
              <w:rPr>
                <w:rFonts w:hint="cs"/>
                <w:sz w:val="22"/>
                <w:szCs w:val="22"/>
                <w:rtl/>
              </w:rPr>
              <w:t xml:space="preserve"> (להלן - דוח ועדת זמיר)</w:t>
            </w:r>
            <w:r w:rsidRPr="00AD7C95">
              <w:rPr>
                <w:sz w:val="22"/>
                <w:szCs w:val="22"/>
                <w:rtl/>
              </w:rPr>
              <w:t xml:space="preserve"> </w:t>
            </w:r>
            <w:r w:rsidRPr="00AD7C95">
              <w:rPr>
                <w:rFonts w:hint="cs"/>
                <w:sz w:val="22"/>
                <w:szCs w:val="22"/>
                <w:rtl/>
              </w:rPr>
              <w:t>וב-2005 ב</w:t>
            </w:r>
            <w:r w:rsidRPr="00AD7C95">
              <w:rPr>
                <w:sz w:val="22"/>
                <w:szCs w:val="22"/>
                <w:rtl/>
              </w:rPr>
              <w:t xml:space="preserve">עתירה </w:t>
            </w:r>
            <w:r w:rsidRPr="00AD7C95">
              <w:rPr>
                <w:rFonts w:hint="cs"/>
                <w:sz w:val="22"/>
                <w:szCs w:val="22"/>
                <w:rtl/>
              </w:rPr>
              <w:t xml:space="preserve">מינהלית בעניין </w:t>
            </w:r>
            <w:r w:rsidRPr="00AD7C95">
              <w:rPr>
                <w:sz w:val="22"/>
                <w:szCs w:val="22"/>
                <w:rtl/>
              </w:rPr>
              <w:t>מעמדו ודרך פעולתו של ב</w:t>
            </w:r>
            <w:r w:rsidRPr="00AD7C95">
              <w:rPr>
                <w:rFonts w:hint="cs"/>
                <w:sz w:val="22"/>
                <w:szCs w:val="22"/>
                <w:rtl/>
              </w:rPr>
              <w:t>ית</w:t>
            </w:r>
            <w:r w:rsidRPr="00AD7C95">
              <w:rPr>
                <w:sz w:val="22"/>
                <w:szCs w:val="22"/>
                <w:rtl/>
              </w:rPr>
              <w:t xml:space="preserve"> המשפט </w:t>
            </w:r>
            <w:r w:rsidRPr="00AD7C95">
              <w:rPr>
                <w:rFonts w:hint="cs"/>
                <w:sz w:val="22"/>
                <w:szCs w:val="22"/>
                <w:rtl/>
              </w:rPr>
              <w:t>עמ</w:t>
            </w:r>
            <w:r w:rsidRPr="00AD7C95">
              <w:rPr>
                <w:sz w:val="22"/>
                <w:szCs w:val="22"/>
                <w:rtl/>
              </w:rPr>
              <w:t>"ק בירושלים</w:t>
            </w:r>
            <w:r w:rsidRPr="00AD7C95">
              <w:rPr>
                <w:rFonts w:hint="cs"/>
                <w:sz w:val="22"/>
                <w:szCs w:val="22"/>
                <w:rtl/>
              </w:rPr>
              <w:t xml:space="preserve"> </w:t>
            </w:r>
            <w:r w:rsidRPr="00AD7C95">
              <w:rPr>
                <w:sz w:val="22"/>
                <w:szCs w:val="22"/>
                <w:rtl/>
              </w:rPr>
              <w:t>(</w:t>
            </w:r>
            <w:r w:rsidRPr="00AD7C95">
              <w:rPr>
                <w:rFonts w:hint="cs"/>
                <w:sz w:val="22"/>
                <w:szCs w:val="22"/>
                <w:rtl/>
              </w:rPr>
              <w:t xml:space="preserve">להלן </w:t>
            </w:r>
            <w:r w:rsidRPr="00AD7C95">
              <w:rPr>
                <w:sz w:val="22"/>
                <w:szCs w:val="22"/>
                <w:rtl/>
              </w:rPr>
              <w:t xml:space="preserve">- </w:t>
            </w:r>
            <w:r w:rsidRPr="00AD7C95">
              <w:rPr>
                <w:rFonts w:hint="cs"/>
                <w:sz w:val="22"/>
                <w:szCs w:val="22"/>
                <w:rtl/>
              </w:rPr>
              <w:t>בג</w:t>
            </w:r>
            <w:r w:rsidRPr="00AD7C95">
              <w:rPr>
                <w:sz w:val="22"/>
                <w:szCs w:val="22"/>
                <w:rtl/>
              </w:rPr>
              <w:t>"</w:t>
            </w:r>
            <w:r w:rsidRPr="00AD7C95">
              <w:rPr>
                <w:rFonts w:hint="cs"/>
                <w:sz w:val="22"/>
                <w:szCs w:val="22"/>
                <w:rtl/>
              </w:rPr>
              <w:t>ץ</w:t>
            </w:r>
            <w:r w:rsidRPr="00AD7C95">
              <w:rPr>
                <w:sz w:val="22"/>
                <w:szCs w:val="22"/>
                <w:rtl/>
              </w:rPr>
              <w:t xml:space="preserve"> </w:t>
            </w:r>
            <w:r w:rsidRPr="00AD7C95">
              <w:rPr>
                <w:rFonts w:hint="cs"/>
                <w:sz w:val="22"/>
                <w:szCs w:val="22"/>
                <w:rtl/>
              </w:rPr>
              <w:t>קארשי</w:t>
            </w:r>
            <w:r w:rsidRPr="00AD7C95">
              <w:rPr>
                <w:sz w:val="22"/>
                <w:szCs w:val="22"/>
                <w:rtl/>
              </w:rPr>
              <w:t>)</w:t>
            </w:r>
            <w:r w:rsidRPr="00AD7C95">
              <w:rPr>
                <w:rFonts w:hint="cs"/>
                <w:sz w:val="22"/>
                <w:szCs w:val="22"/>
                <w:rtl/>
              </w:rPr>
              <w:t>.</w:t>
            </w:r>
          </w:p>
        </w:tc>
      </w:tr>
    </w:tbl>
    <w:p w:rsidR="001275A6" w:rsidP="00040DAE">
      <w:pPr>
        <w:pStyle w:val="takzir"/>
        <w:jc w:val="cente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040DAE">
            <w:pPr>
              <w:pStyle w:val="KOT4"/>
              <w:spacing w:before="120"/>
              <w:jc w:val="center"/>
              <w:rPr>
                <w:rtl/>
              </w:rPr>
            </w:pPr>
            <w:r>
              <w:rPr>
                <w:rtl/>
              </w:rPr>
              <w:t>פעולות הביקורת</w:t>
            </w:r>
          </w:p>
        </w:tc>
      </w:tr>
      <w:tr w:rsidTr="00E44678">
        <w:tblPrEx>
          <w:tblW w:w="6691" w:type="dxa"/>
          <w:jc w:val="center"/>
          <w:tblLook w:val="04A0"/>
        </w:tblPrEx>
        <w:trPr>
          <w:jc w:val="center"/>
        </w:trPr>
        <w:tc>
          <w:tcPr>
            <w:tcW w:w="7018" w:type="dxa"/>
          </w:tcPr>
          <w:p w:rsidR="00AD7C95" w:rsidRPr="00AD7C95" w:rsidP="00AD7C95">
            <w:pPr>
              <w:pStyle w:val="takzir"/>
              <w:spacing w:before="60"/>
              <w:rPr>
                <w:b w:val="0"/>
                <w:bCs w:val="0"/>
                <w:noProof w:val="0"/>
                <w:rtl/>
              </w:rPr>
            </w:pPr>
            <w:r w:rsidRPr="00AD7C95">
              <w:rPr>
                <w:b w:val="0"/>
                <w:bCs w:val="0"/>
                <w:noProof w:val="0"/>
                <w:rtl/>
              </w:rPr>
              <w:t xml:space="preserve">בחודשים </w:t>
            </w:r>
            <w:r w:rsidRPr="00AD7C95">
              <w:rPr>
                <w:rFonts w:hint="eastAsia"/>
                <w:b w:val="0"/>
                <w:bCs w:val="0"/>
                <w:noProof w:val="0"/>
                <w:rtl/>
              </w:rPr>
              <w:t>מאי</w:t>
            </w:r>
            <w:r w:rsidRPr="00AD7C95">
              <w:rPr>
                <w:b w:val="0"/>
                <w:bCs w:val="0"/>
                <w:noProof w:val="0"/>
                <w:rtl/>
              </w:rPr>
              <w:t>-</w:t>
            </w:r>
            <w:r w:rsidRPr="00AD7C95">
              <w:rPr>
                <w:rFonts w:hint="eastAsia"/>
                <w:b w:val="0"/>
                <w:bCs w:val="0"/>
                <w:noProof w:val="0"/>
                <w:rtl/>
              </w:rPr>
              <w:t>אוקטובר</w:t>
            </w:r>
            <w:r w:rsidRPr="00AD7C95">
              <w:rPr>
                <w:b w:val="0"/>
                <w:bCs w:val="0"/>
                <w:noProof w:val="0"/>
                <w:rtl/>
              </w:rPr>
              <w:t xml:space="preserve"> 201</w:t>
            </w:r>
            <w:r w:rsidRPr="00AD7C95">
              <w:rPr>
                <w:rFonts w:hint="cs"/>
                <w:b w:val="0"/>
                <w:bCs w:val="0"/>
                <w:noProof w:val="0"/>
                <w:rtl/>
              </w:rPr>
              <w:t>5</w:t>
            </w:r>
            <w:r w:rsidRPr="00AD7C95">
              <w:rPr>
                <w:b w:val="0"/>
                <w:bCs w:val="0"/>
                <w:noProof w:val="0"/>
                <w:rtl/>
              </w:rPr>
              <w:t xml:space="preserve"> בדק משרד מבקר המדינה את </w:t>
            </w:r>
            <w:r w:rsidRPr="00AD7C95">
              <w:rPr>
                <w:rFonts w:hint="cs"/>
                <w:b w:val="0"/>
                <w:bCs w:val="0"/>
                <w:noProof w:val="0"/>
                <w:rtl/>
              </w:rPr>
              <w:t>סדרי המינהל של בתי המשפט עמ"ק, את זיקת בתי המשפט ועובדיהם לרשויות המקומיות,</w:t>
            </w:r>
            <w:r w:rsidRPr="00AD7C95">
              <w:rPr>
                <w:b w:val="0"/>
                <w:bCs w:val="0"/>
                <w:noProof w:val="0"/>
                <w:rtl/>
              </w:rPr>
              <w:t xml:space="preserve"> </w:t>
            </w:r>
            <w:r w:rsidRPr="00AD7C95">
              <w:rPr>
                <w:rFonts w:hint="cs"/>
                <w:b w:val="0"/>
                <w:bCs w:val="0"/>
                <w:noProof w:val="0"/>
                <w:rtl/>
              </w:rPr>
              <w:t>את האבטחה של בתי המשפט עמ"ק ונושאים כספיים הקשורים בהפעלתם</w:t>
            </w:r>
            <w:r w:rsidRPr="00AD7C95">
              <w:rPr>
                <w:b w:val="0"/>
                <w:bCs w:val="0"/>
                <w:noProof w:val="0"/>
                <w:rtl/>
              </w:rPr>
              <w:t>. הב</w:t>
            </w:r>
            <w:r w:rsidRPr="00AD7C95">
              <w:rPr>
                <w:rFonts w:hint="cs"/>
                <w:b w:val="0"/>
                <w:bCs w:val="0"/>
                <w:noProof w:val="0"/>
                <w:rtl/>
              </w:rPr>
              <w:t xml:space="preserve">יקורת </w:t>
            </w:r>
            <w:r w:rsidRPr="00AD7C95">
              <w:rPr>
                <w:b w:val="0"/>
                <w:bCs w:val="0"/>
                <w:noProof w:val="0"/>
                <w:rtl/>
              </w:rPr>
              <w:t>נעשתה ב</w:t>
            </w:r>
            <w:r w:rsidRPr="00AD7C95">
              <w:rPr>
                <w:rFonts w:hint="cs"/>
                <w:b w:val="0"/>
                <w:bCs w:val="0"/>
                <w:noProof w:val="0"/>
                <w:rtl/>
              </w:rPr>
              <w:t xml:space="preserve">כמה מזכירויות של בתי משפט עמ"ק (ירושלים, </w:t>
            </w:r>
            <w:r w:rsidRPr="00AD7C95">
              <w:rPr>
                <w:rFonts w:hint="eastAsia"/>
                <w:b w:val="0"/>
                <w:bCs w:val="0"/>
                <w:noProof w:val="0"/>
                <w:rtl/>
              </w:rPr>
              <w:t>תל</w:t>
            </w:r>
            <w:r w:rsidRPr="00AD7C95">
              <w:rPr>
                <w:rFonts w:hint="cs"/>
                <w:b w:val="0"/>
                <w:bCs w:val="0"/>
                <w:noProof w:val="0"/>
                <w:rtl/>
              </w:rPr>
              <w:t xml:space="preserve"> </w:t>
            </w:r>
            <w:r w:rsidRPr="00AD7C95">
              <w:rPr>
                <w:b w:val="0"/>
                <w:bCs w:val="0"/>
                <w:noProof w:val="0"/>
                <w:rtl/>
              </w:rPr>
              <w:t>אביב</w:t>
            </w:r>
            <w:r w:rsidRPr="00AD7C95">
              <w:rPr>
                <w:rFonts w:hint="cs"/>
                <w:b w:val="0"/>
                <w:bCs w:val="0"/>
                <w:noProof w:val="0"/>
                <w:rtl/>
              </w:rPr>
              <w:t>, חיפה, קריית ביאליק, חדרה, הרצליה, כפר סבא, רמת גן, גבעתיים ומעלה אדומים) ב</w:t>
            </w:r>
            <w:r w:rsidRPr="00AD7C95">
              <w:rPr>
                <w:b w:val="0"/>
                <w:bCs w:val="0"/>
                <w:noProof w:val="0"/>
                <w:rtl/>
              </w:rPr>
              <w:t xml:space="preserve">מטה </w:t>
            </w:r>
            <w:r w:rsidRPr="00AD7C95">
              <w:rPr>
                <w:rFonts w:hint="cs"/>
                <w:b w:val="0"/>
                <w:bCs w:val="0"/>
                <w:noProof w:val="0"/>
                <w:rtl/>
              </w:rPr>
              <w:t xml:space="preserve">וביחידות שונות בהנהלת בתי המשפט. </w:t>
            </w:r>
            <w:r w:rsidRPr="00AD7C95">
              <w:rPr>
                <w:b w:val="0"/>
                <w:bCs w:val="0"/>
                <w:noProof w:val="0"/>
                <w:rtl/>
              </w:rPr>
              <w:t xml:space="preserve">בדיקות השלמה נעשו </w:t>
            </w:r>
            <w:r w:rsidRPr="00AD7C95">
              <w:rPr>
                <w:rFonts w:hint="cs"/>
                <w:b w:val="0"/>
                <w:bCs w:val="0"/>
                <w:noProof w:val="0"/>
                <w:rtl/>
              </w:rPr>
              <w:t xml:space="preserve">בעיריות ירושלים, </w:t>
            </w:r>
            <w:r w:rsidRPr="00AD7C95">
              <w:rPr>
                <w:rFonts w:hint="eastAsia"/>
                <w:b w:val="0"/>
                <w:bCs w:val="0"/>
                <w:noProof w:val="0"/>
                <w:rtl/>
              </w:rPr>
              <w:t>תל</w:t>
            </w:r>
            <w:r w:rsidRPr="00AD7C95">
              <w:rPr>
                <w:b w:val="0"/>
                <w:bCs w:val="0"/>
                <w:noProof w:val="0"/>
                <w:rtl/>
              </w:rPr>
              <w:t xml:space="preserve"> </w:t>
            </w:r>
            <w:r w:rsidRPr="00AD7C95">
              <w:rPr>
                <w:rFonts w:hint="eastAsia"/>
                <w:b w:val="0"/>
                <w:bCs w:val="0"/>
                <w:noProof w:val="0"/>
                <w:rtl/>
              </w:rPr>
              <w:t>אביב</w:t>
            </w:r>
            <w:r w:rsidRPr="00AD7C95">
              <w:rPr>
                <w:rFonts w:hint="cs"/>
                <w:b w:val="0"/>
                <w:bCs w:val="0"/>
                <w:noProof w:val="0"/>
                <w:rtl/>
              </w:rPr>
              <w:t xml:space="preserve"> וחיפה, ב</w:t>
            </w:r>
            <w:r w:rsidRPr="00AD7C95">
              <w:rPr>
                <w:rFonts w:hint="eastAsia"/>
                <w:b w:val="0"/>
                <w:bCs w:val="0"/>
                <w:noProof w:val="0"/>
                <w:rtl/>
              </w:rPr>
              <w:t>מרכז</w:t>
            </w:r>
            <w:r w:rsidRPr="00AD7C95">
              <w:rPr>
                <w:b w:val="0"/>
                <w:bCs w:val="0"/>
                <w:noProof w:val="0"/>
                <w:rtl/>
              </w:rPr>
              <w:t xml:space="preserve"> </w:t>
            </w:r>
            <w:r w:rsidRPr="00AD7C95">
              <w:rPr>
                <w:rFonts w:hint="eastAsia"/>
                <w:b w:val="0"/>
                <w:bCs w:val="0"/>
                <w:noProof w:val="0"/>
                <w:rtl/>
              </w:rPr>
              <w:t>השלטון</w:t>
            </w:r>
            <w:r w:rsidRPr="00AD7C95">
              <w:rPr>
                <w:b w:val="0"/>
                <w:bCs w:val="0"/>
                <w:noProof w:val="0"/>
                <w:rtl/>
              </w:rPr>
              <w:t xml:space="preserve"> </w:t>
            </w:r>
            <w:r w:rsidRPr="00AD7C95">
              <w:rPr>
                <w:rFonts w:hint="eastAsia"/>
                <w:b w:val="0"/>
                <w:bCs w:val="0"/>
                <w:noProof w:val="0"/>
                <w:rtl/>
              </w:rPr>
              <w:t>המקומי</w:t>
            </w:r>
            <w:r w:rsidRPr="00AD7C95">
              <w:rPr>
                <w:rFonts w:hint="cs"/>
                <w:b w:val="0"/>
                <w:bCs w:val="0"/>
                <w:noProof w:val="0"/>
                <w:rtl/>
              </w:rPr>
              <w:t>, בצה"ל ובמשרד הפנים</w:t>
            </w:r>
            <w:r w:rsidRPr="00AD7C95">
              <w:rPr>
                <w:b w:val="0"/>
                <w:bCs w:val="0"/>
                <w:noProof w:val="0"/>
                <w:rtl/>
              </w:rPr>
              <w:t xml:space="preserve">. </w:t>
            </w:r>
          </w:p>
          <w:p w:rsidR="001275A6" w:rsidP="00907008">
            <w:pPr>
              <w:pStyle w:val="takzir"/>
              <w:rPr>
                <w:b w:val="0"/>
                <w:bCs w:val="0"/>
                <w:noProof w:val="0"/>
                <w:rtl/>
              </w:rPr>
            </w:pPr>
            <w:r w:rsidRPr="00AD7C95">
              <w:rPr>
                <w:rFonts w:hint="cs"/>
                <w:b w:val="0"/>
                <w:bCs w:val="0"/>
                <w:noProof w:val="0"/>
                <w:rtl/>
              </w:rPr>
              <w:t>משרד מבקר המדינה שלח שאלונים ל-18 בתי המשפט לעניינים מקומיים ולכל בתי משפט השלום. השאלונים כוללים שאלות בנושאים מגוונים ובהם: ניהול מזכירויות בתי המשפט, עלויות תפעול וגבייה, אבטחת בתי המשפט, שימוש במערכות מידע ממוחשבות ועוד. משרד מבקר המדינה קיבל תשובות לכל השאלונים שנשלחו (להלן - התשובות לשאלונים).</w:t>
            </w:r>
          </w:p>
        </w:tc>
      </w:tr>
    </w:tbl>
    <w:p w:rsidR="001275A6" w:rsidP="00040DAE">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1275A6" w:rsidP="00040DAE">
            <w:pPr>
              <w:pStyle w:val="KOT4"/>
              <w:spacing w:before="120"/>
              <w:jc w:val="center"/>
              <w:rPr>
                <w:rtl/>
              </w:rPr>
            </w:pPr>
            <w:r>
              <w:rPr>
                <w:rFonts w:hint="cs"/>
                <w:rtl/>
              </w:rPr>
              <w:t>הליקויים העיקריים</w:t>
            </w:r>
          </w:p>
        </w:tc>
      </w:tr>
    </w:tbl>
    <w:p w:rsidR="001275A6" w:rsidP="00040DAE">
      <w:pPr>
        <w:keepNext/>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1275A6" w:rsidP="00040DAE">
            <w:pPr>
              <w:pStyle w:val="KOT5"/>
              <w:spacing w:before="120"/>
              <w:jc w:val="center"/>
              <w:rPr>
                <w:sz w:val="24"/>
                <w:szCs w:val="24"/>
                <w:rtl/>
              </w:rPr>
            </w:pPr>
            <w:r w:rsidRPr="00AD7C95">
              <w:rPr>
                <w:rFonts w:hint="cs"/>
                <w:sz w:val="24"/>
                <w:szCs w:val="24"/>
                <w:rtl/>
              </w:rPr>
              <w:t>נוהלי עבודה והנחיה מקצועית לבמ"ש עמ"ק</w:t>
            </w:r>
          </w:p>
        </w:tc>
      </w:tr>
      <w:tr w:rsidTr="00E44678">
        <w:tblPrEx>
          <w:tblW w:w="6691" w:type="dxa"/>
          <w:jc w:val="center"/>
          <w:tblLook w:val="04A0"/>
        </w:tblPrEx>
        <w:trPr>
          <w:cantSplit/>
          <w:jc w:val="center"/>
        </w:trPr>
        <w:tc>
          <w:tcPr>
            <w:tcW w:w="6691" w:type="dxa"/>
          </w:tcPr>
          <w:p w:rsidR="00AD7C95" w:rsidRPr="00AD7C95" w:rsidP="00AD7C95">
            <w:pPr>
              <w:pStyle w:val="takzir"/>
              <w:spacing w:before="60"/>
              <w:rPr>
                <w:b w:val="0"/>
                <w:bCs w:val="0"/>
                <w:noProof w:val="0"/>
                <w:rtl/>
              </w:rPr>
            </w:pPr>
            <w:r w:rsidRPr="00AD7C95">
              <w:rPr>
                <w:rFonts w:hint="cs"/>
                <w:b w:val="0"/>
                <w:bCs w:val="0"/>
                <w:noProof w:val="0"/>
                <w:rtl/>
              </w:rPr>
              <w:t>בתשע מזכירויות שנבדקו אין אחידות בנוהלי העבודה שנמצאו בהם, ולאף אחת מהן אין את כל הנהלים המחייבים שהפיצה הב"ה. מזכירויות במ"ש עמ"ק קיבלו את נוהלי</w:t>
            </w:r>
            <w:r w:rsidRPr="00AD7C95">
              <w:rPr>
                <w:b w:val="0"/>
                <w:bCs w:val="0"/>
                <w:noProof w:val="0"/>
                <w:rtl/>
              </w:rPr>
              <w:t xml:space="preserve"> </w:t>
            </w:r>
            <w:r w:rsidRPr="00AD7C95">
              <w:rPr>
                <w:rFonts w:hint="cs"/>
                <w:b w:val="0"/>
                <w:bCs w:val="0"/>
                <w:noProof w:val="0"/>
                <w:rtl/>
              </w:rPr>
              <w:t>ה</w:t>
            </w:r>
            <w:r w:rsidRPr="00AD7C95">
              <w:rPr>
                <w:b w:val="0"/>
                <w:bCs w:val="0"/>
                <w:noProof w:val="0"/>
                <w:rtl/>
              </w:rPr>
              <w:t>עבודה</w:t>
            </w:r>
            <w:r w:rsidRPr="00AD7C95">
              <w:rPr>
                <w:rFonts w:hint="cs"/>
                <w:b w:val="0"/>
                <w:bCs w:val="0"/>
                <w:noProof w:val="0"/>
                <w:rtl/>
              </w:rPr>
              <w:t xml:space="preserve"> מכמה גורמים ללא תיאום ולא מתוך</w:t>
            </w:r>
            <w:r w:rsidRPr="00AD7C95">
              <w:rPr>
                <w:b w:val="0"/>
                <w:bCs w:val="0"/>
                <w:noProof w:val="0"/>
                <w:rtl/>
              </w:rPr>
              <w:t xml:space="preserve"> </w:t>
            </w:r>
            <w:r w:rsidRPr="00AD7C95">
              <w:rPr>
                <w:rFonts w:hint="cs"/>
                <w:b w:val="0"/>
                <w:bCs w:val="0"/>
                <w:noProof w:val="0"/>
                <w:rtl/>
              </w:rPr>
              <w:t>ראייה</w:t>
            </w:r>
            <w:r w:rsidRPr="00AD7C95">
              <w:rPr>
                <w:b w:val="0"/>
                <w:bCs w:val="0"/>
                <w:noProof w:val="0"/>
                <w:rtl/>
              </w:rPr>
              <w:t xml:space="preserve"> </w:t>
            </w:r>
            <w:r w:rsidRPr="00AD7C95">
              <w:rPr>
                <w:rFonts w:hint="cs"/>
                <w:b w:val="0"/>
                <w:bCs w:val="0"/>
                <w:noProof w:val="0"/>
                <w:rtl/>
              </w:rPr>
              <w:t>כוללת</w:t>
            </w:r>
            <w:r w:rsidRPr="00AD7C95">
              <w:rPr>
                <w:b w:val="0"/>
                <w:bCs w:val="0"/>
                <w:noProof w:val="0"/>
                <w:rtl/>
              </w:rPr>
              <w:t xml:space="preserve"> </w:t>
            </w:r>
            <w:r w:rsidRPr="00AD7C95">
              <w:rPr>
                <w:rFonts w:hint="cs"/>
                <w:b w:val="0"/>
                <w:bCs w:val="0"/>
                <w:noProof w:val="0"/>
                <w:rtl/>
              </w:rPr>
              <w:t>של</w:t>
            </w:r>
            <w:r w:rsidRPr="00AD7C95">
              <w:rPr>
                <w:b w:val="0"/>
                <w:bCs w:val="0"/>
                <w:noProof w:val="0"/>
                <w:rtl/>
              </w:rPr>
              <w:t xml:space="preserve"> </w:t>
            </w:r>
            <w:r w:rsidRPr="00AD7C95">
              <w:rPr>
                <w:rFonts w:hint="cs"/>
                <w:b w:val="0"/>
                <w:bCs w:val="0"/>
                <w:noProof w:val="0"/>
                <w:rtl/>
              </w:rPr>
              <w:t>חטיבת</w:t>
            </w:r>
            <w:r w:rsidRPr="00AD7C95">
              <w:rPr>
                <w:b w:val="0"/>
                <w:bCs w:val="0"/>
                <w:noProof w:val="0"/>
                <w:rtl/>
              </w:rPr>
              <w:t xml:space="preserve"> </w:t>
            </w:r>
            <w:r w:rsidRPr="00AD7C95">
              <w:rPr>
                <w:rFonts w:hint="cs"/>
                <w:b w:val="0"/>
                <w:bCs w:val="0"/>
                <w:noProof w:val="0"/>
                <w:rtl/>
              </w:rPr>
              <w:t>תפעול</w:t>
            </w:r>
            <w:r w:rsidRPr="00AD7C95">
              <w:rPr>
                <w:b w:val="0"/>
                <w:bCs w:val="0"/>
                <w:noProof w:val="0"/>
                <w:rtl/>
              </w:rPr>
              <w:t xml:space="preserve"> </w:t>
            </w:r>
            <w:r w:rsidRPr="00AD7C95">
              <w:rPr>
                <w:rFonts w:hint="cs"/>
                <w:b w:val="0"/>
                <w:bCs w:val="0"/>
                <w:noProof w:val="0"/>
                <w:rtl/>
              </w:rPr>
              <w:t xml:space="preserve">ומזכירויות. הן </w:t>
            </w:r>
            <w:r w:rsidRPr="00AD7C95">
              <w:rPr>
                <w:rFonts w:hint="eastAsia"/>
                <w:b w:val="0"/>
                <w:bCs w:val="0"/>
                <w:noProof w:val="0"/>
                <w:rtl/>
              </w:rPr>
              <w:t>הב</w:t>
            </w:r>
            <w:r w:rsidRPr="00AD7C95">
              <w:rPr>
                <w:b w:val="0"/>
                <w:bCs w:val="0"/>
                <w:noProof w:val="0"/>
                <w:rtl/>
              </w:rPr>
              <w:t xml:space="preserve">"ה </w:t>
            </w:r>
            <w:r w:rsidRPr="00AD7C95">
              <w:rPr>
                <w:rFonts w:hint="cs"/>
                <w:b w:val="0"/>
                <w:bCs w:val="0"/>
                <w:noProof w:val="0"/>
                <w:rtl/>
              </w:rPr>
              <w:t>והן רוב במ"ש עמ"ק אינם מוודאים ש</w:t>
            </w:r>
            <w:r w:rsidRPr="00AD7C95">
              <w:rPr>
                <w:b w:val="0"/>
                <w:bCs w:val="0"/>
                <w:noProof w:val="0"/>
                <w:rtl/>
              </w:rPr>
              <w:t xml:space="preserve">כל </w:t>
            </w:r>
            <w:r w:rsidRPr="00AD7C95">
              <w:rPr>
                <w:rFonts w:hint="cs"/>
                <w:b w:val="0"/>
                <w:bCs w:val="0"/>
                <w:noProof w:val="0"/>
                <w:rtl/>
              </w:rPr>
              <w:t xml:space="preserve">הנהלים </w:t>
            </w:r>
            <w:r w:rsidRPr="00AD7C95">
              <w:rPr>
                <w:b w:val="0"/>
                <w:bCs w:val="0"/>
                <w:noProof w:val="0"/>
                <w:rtl/>
              </w:rPr>
              <w:t xml:space="preserve">הרלבנטיים </w:t>
            </w:r>
            <w:r w:rsidRPr="00AD7C95">
              <w:rPr>
                <w:rFonts w:hint="cs"/>
                <w:b w:val="0"/>
                <w:bCs w:val="0"/>
                <w:noProof w:val="0"/>
                <w:rtl/>
              </w:rPr>
              <w:t>עומדים לרשות עובדי ה</w:t>
            </w:r>
            <w:r w:rsidRPr="00AD7C95">
              <w:rPr>
                <w:b w:val="0"/>
                <w:bCs w:val="0"/>
                <w:noProof w:val="0"/>
                <w:rtl/>
              </w:rPr>
              <w:t>מזכירויות</w:t>
            </w:r>
            <w:r w:rsidRPr="00AD7C95">
              <w:rPr>
                <w:rFonts w:hint="cs"/>
                <w:b w:val="0"/>
                <w:bCs w:val="0"/>
                <w:noProof w:val="0"/>
                <w:rtl/>
              </w:rPr>
              <w:t>.</w:t>
            </w:r>
          </w:p>
          <w:p w:rsidR="001275A6" w:rsidP="00907008">
            <w:pPr>
              <w:pStyle w:val="takzir"/>
              <w:rPr>
                <w:b w:val="0"/>
                <w:bCs w:val="0"/>
                <w:noProof w:val="0"/>
                <w:rtl/>
              </w:rPr>
            </w:pPr>
            <w:r w:rsidRPr="00AD7C95">
              <w:rPr>
                <w:rFonts w:hint="cs"/>
                <w:b w:val="0"/>
                <w:bCs w:val="0"/>
                <w:noProof w:val="0"/>
                <w:rtl/>
              </w:rPr>
              <w:t>חלק</w:t>
            </w:r>
            <w:r w:rsidRPr="00AD7C95">
              <w:rPr>
                <w:b w:val="0"/>
                <w:bCs w:val="0"/>
                <w:noProof w:val="0"/>
                <w:rtl/>
              </w:rPr>
              <w:t xml:space="preserve"> </w:t>
            </w:r>
            <w:r w:rsidRPr="00AD7C95">
              <w:rPr>
                <w:rFonts w:hint="cs"/>
                <w:b w:val="0"/>
                <w:bCs w:val="0"/>
                <w:noProof w:val="0"/>
                <w:rtl/>
              </w:rPr>
              <w:t>מ</w:t>
            </w:r>
            <w:r w:rsidRPr="00AD7C95">
              <w:rPr>
                <w:b w:val="0"/>
                <w:bCs w:val="0"/>
                <w:noProof w:val="0"/>
                <w:rtl/>
              </w:rPr>
              <w:t xml:space="preserve">מזכירי בתי משפט </w:t>
            </w:r>
            <w:r w:rsidRPr="00AD7C95">
              <w:rPr>
                <w:rFonts w:hint="cs"/>
                <w:b w:val="0"/>
                <w:bCs w:val="0"/>
                <w:noProof w:val="0"/>
                <w:rtl/>
              </w:rPr>
              <w:t>עמ</w:t>
            </w:r>
            <w:r w:rsidRPr="00AD7C95">
              <w:rPr>
                <w:b w:val="0"/>
                <w:bCs w:val="0"/>
                <w:noProof w:val="0"/>
                <w:rtl/>
              </w:rPr>
              <w:t xml:space="preserve">"ק </w:t>
            </w:r>
            <w:r w:rsidRPr="00AD7C95">
              <w:rPr>
                <w:rFonts w:hint="cs"/>
                <w:b w:val="0"/>
                <w:bCs w:val="0"/>
                <w:noProof w:val="0"/>
                <w:rtl/>
              </w:rPr>
              <w:t>נוהגים</w:t>
            </w:r>
            <w:r w:rsidRPr="00AD7C95">
              <w:rPr>
                <w:b w:val="0"/>
                <w:bCs w:val="0"/>
                <w:noProof w:val="0"/>
                <w:rtl/>
              </w:rPr>
              <w:t xml:space="preserve"> </w:t>
            </w:r>
            <w:r w:rsidRPr="00AD7C95">
              <w:rPr>
                <w:rFonts w:hint="cs"/>
                <w:b w:val="0"/>
                <w:bCs w:val="0"/>
                <w:noProof w:val="0"/>
                <w:rtl/>
              </w:rPr>
              <w:t>להתייעץ</w:t>
            </w:r>
            <w:r w:rsidRPr="00AD7C95">
              <w:rPr>
                <w:b w:val="0"/>
                <w:bCs w:val="0"/>
                <w:noProof w:val="0"/>
                <w:rtl/>
              </w:rPr>
              <w:t xml:space="preserve"> בנושאים מקצועיים </w:t>
            </w:r>
            <w:r w:rsidRPr="00AD7C95">
              <w:rPr>
                <w:rFonts w:hint="cs"/>
                <w:b w:val="0"/>
                <w:bCs w:val="0"/>
                <w:noProof w:val="0"/>
                <w:rtl/>
              </w:rPr>
              <w:t>עם</w:t>
            </w:r>
            <w:r w:rsidRPr="00AD7C95">
              <w:rPr>
                <w:b w:val="0"/>
                <w:bCs w:val="0"/>
                <w:noProof w:val="0"/>
                <w:rtl/>
              </w:rPr>
              <w:t xml:space="preserve"> גורמים </w:t>
            </w:r>
            <w:r w:rsidRPr="00AD7C95">
              <w:rPr>
                <w:rFonts w:hint="cs"/>
                <w:b w:val="0"/>
                <w:bCs w:val="0"/>
                <w:noProof w:val="0"/>
                <w:rtl/>
              </w:rPr>
              <w:t>שלא על פי נוהלי העבודה לרבות גורמים בייעוץ המשפטי או בתביעה העירוניים שהם</w:t>
            </w:r>
            <w:r w:rsidRPr="00AD7C95">
              <w:rPr>
                <w:b w:val="0"/>
                <w:bCs w:val="0"/>
                <w:noProof w:val="0"/>
                <w:rtl/>
              </w:rPr>
              <w:t xml:space="preserve"> בעלי </w:t>
            </w:r>
            <w:r w:rsidRPr="00AD7C95">
              <w:rPr>
                <w:rFonts w:hint="cs"/>
                <w:b w:val="0"/>
                <w:bCs w:val="0"/>
                <w:noProof w:val="0"/>
                <w:rtl/>
              </w:rPr>
              <w:t>דין</w:t>
            </w:r>
            <w:r w:rsidRPr="00AD7C95">
              <w:rPr>
                <w:b w:val="0"/>
                <w:bCs w:val="0"/>
                <w:noProof w:val="0"/>
                <w:rtl/>
              </w:rPr>
              <w:t xml:space="preserve"> בהליכים בבמ"ש עמ"ק</w:t>
            </w:r>
            <w:r w:rsidRPr="00AD7C95">
              <w:rPr>
                <w:rFonts w:hint="cs"/>
                <w:b w:val="0"/>
                <w:bCs w:val="0"/>
                <w:noProof w:val="0"/>
                <w:rtl/>
              </w:rPr>
              <w:t>.</w:t>
            </w:r>
            <w:r w:rsidRPr="00AD7C95">
              <w:rPr>
                <w:b w:val="0"/>
                <w:bCs w:val="0"/>
                <w:noProof w:val="0"/>
                <w:rtl/>
              </w:rPr>
              <w:t xml:space="preserve"> </w:t>
            </w:r>
            <w:r w:rsidRPr="00AD7C95">
              <w:rPr>
                <w:rFonts w:hint="eastAsia"/>
                <w:b w:val="0"/>
                <w:bCs w:val="0"/>
                <w:noProof w:val="0"/>
                <w:rtl/>
              </w:rPr>
              <w:t>הב</w:t>
            </w:r>
            <w:r w:rsidRPr="00AD7C95">
              <w:rPr>
                <w:b w:val="0"/>
                <w:bCs w:val="0"/>
                <w:noProof w:val="0"/>
                <w:rtl/>
              </w:rPr>
              <w:t xml:space="preserve">"ה </w:t>
            </w:r>
            <w:r w:rsidRPr="00AD7C95">
              <w:rPr>
                <w:rFonts w:hint="eastAsia"/>
                <w:b w:val="0"/>
                <w:bCs w:val="0"/>
                <w:noProof w:val="0"/>
                <w:rtl/>
              </w:rPr>
              <w:t>הטילה</w:t>
            </w:r>
            <w:r w:rsidRPr="00AD7C95">
              <w:rPr>
                <w:b w:val="0"/>
                <w:bCs w:val="0"/>
                <w:noProof w:val="0"/>
                <w:rtl/>
              </w:rPr>
              <w:t xml:space="preserve"> את </w:t>
            </w:r>
            <w:r w:rsidRPr="00AD7C95">
              <w:rPr>
                <w:rFonts w:hint="eastAsia"/>
                <w:b w:val="0"/>
                <w:bCs w:val="0"/>
                <w:noProof w:val="0"/>
                <w:rtl/>
              </w:rPr>
              <w:t>האחריות</w:t>
            </w:r>
            <w:r w:rsidRPr="00AD7C95">
              <w:rPr>
                <w:b w:val="0"/>
                <w:bCs w:val="0"/>
                <w:noProof w:val="0"/>
                <w:rtl/>
              </w:rPr>
              <w:t xml:space="preserve"> </w:t>
            </w:r>
            <w:r w:rsidRPr="00AD7C95">
              <w:rPr>
                <w:rFonts w:hint="cs"/>
                <w:b w:val="0"/>
                <w:bCs w:val="0"/>
                <w:noProof w:val="0"/>
                <w:rtl/>
              </w:rPr>
              <w:t xml:space="preserve">להנחיה </w:t>
            </w:r>
            <w:r w:rsidRPr="00AD7C95">
              <w:rPr>
                <w:b w:val="0"/>
                <w:bCs w:val="0"/>
                <w:noProof w:val="0"/>
                <w:rtl/>
              </w:rPr>
              <w:t xml:space="preserve">מקצועית </w:t>
            </w:r>
            <w:r w:rsidRPr="00AD7C95">
              <w:rPr>
                <w:rFonts w:hint="cs"/>
                <w:b w:val="0"/>
                <w:bCs w:val="0"/>
                <w:noProof w:val="0"/>
                <w:rtl/>
              </w:rPr>
              <w:t>ש</w:t>
            </w:r>
            <w:r w:rsidRPr="00AD7C95">
              <w:rPr>
                <w:rFonts w:hint="eastAsia"/>
                <w:b w:val="0"/>
                <w:bCs w:val="0"/>
                <w:noProof w:val="0"/>
                <w:rtl/>
              </w:rPr>
              <w:t>ל</w:t>
            </w:r>
            <w:r w:rsidRPr="00AD7C95">
              <w:rPr>
                <w:rFonts w:hint="cs"/>
                <w:b w:val="0"/>
                <w:bCs w:val="0"/>
                <w:noProof w:val="0"/>
                <w:rtl/>
              </w:rPr>
              <w:t xml:space="preserve"> </w:t>
            </w:r>
            <w:r w:rsidRPr="00AD7C95">
              <w:rPr>
                <w:rFonts w:hint="eastAsia"/>
                <w:b w:val="0"/>
                <w:bCs w:val="0"/>
                <w:noProof w:val="0"/>
                <w:rtl/>
              </w:rPr>
              <w:t>מזכירויות</w:t>
            </w:r>
            <w:r w:rsidRPr="00AD7C95">
              <w:rPr>
                <w:b w:val="0"/>
                <w:bCs w:val="0"/>
                <w:noProof w:val="0"/>
                <w:rtl/>
              </w:rPr>
              <w:t xml:space="preserve"> </w:t>
            </w:r>
            <w:r w:rsidRPr="00AD7C95">
              <w:rPr>
                <w:rFonts w:hint="eastAsia"/>
                <w:b w:val="0"/>
                <w:bCs w:val="0"/>
                <w:noProof w:val="0"/>
                <w:rtl/>
              </w:rPr>
              <w:t>ב</w:t>
            </w:r>
            <w:r w:rsidRPr="00AD7C95">
              <w:rPr>
                <w:rFonts w:hint="cs"/>
                <w:b w:val="0"/>
                <w:bCs w:val="0"/>
                <w:noProof w:val="0"/>
                <w:rtl/>
              </w:rPr>
              <w:t>מ"ש</w:t>
            </w:r>
            <w:r w:rsidRPr="00AD7C95">
              <w:rPr>
                <w:b w:val="0"/>
                <w:bCs w:val="0"/>
                <w:noProof w:val="0"/>
                <w:rtl/>
              </w:rPr>
              <w:t xml:space="preserve"> </w:t>
            </w:r>
            <w:r w:rsidRPr="00AD7C95">
              <w:rPr>
                <w:rFonts w:hint="eastAsia"/>
                <w:b w:val="0"/>
                <w:bCs w:val="0"/>
                <w:noProof w:val="0"/>
                <w:rtl/>
              </w:rPr>
              <w:t>עמ</w:t>
            </w:r>
            <w:r w:rsidRPr="00AD7C95">
              <w:rPr>
                <w:b w:val="0"/>
                <w:bCs w:val="0"/>
                <w:noProof w:val="0"/>
                <w:rtl/>
              </w:rPr>
              <w:t xml:space="preserve">"ק </w:t>
            </w:r>
            <w:r w:rsidRPr="00AD7C95">
              <w:rPr>
                <w:rFonts w:hint="eastAsia"/>
                <w:b w:val="0"/>
                <w:bCs w:val="0"/>
                <w:noProof w:val="0"/>
                <w:rtl/>
              </w:rPr>
              <w:t>על</w:t>
            </w:r>
            <w:r w:rsidRPr="00AD7C95">
              <w:rPr>
                <w:b w:val="0"/>
                <w:bCs w:val="0"/>
                <w:noProof w:val="0"/>
                <w:rtl/>
              </w:rPr>
              <w:t xml:space="preserve"> </w:t>
            </w:r>
            <w:r w:rsidRPr="00AD7C95">
              <w:rPr>
                <w:rFonts w:hint="cs"/>
                <w:b w:val="0"/>
                <w:bCs w:val="0"/>
                <w:noProof w:val="0"/>
                <w:rtl/>
              </w:rPr>
              <w:t>כמה</w:t>
            </w:r>
            <w:r w:rsidRPr="00AD7C95">
              <w:rPr>
                <w:b w:val="0"/>
                <w:bCs w:val="0"/>
                <w:noProof w:val="0"/>
                <w:rtl/>
              </w:rPr>
              <w:t xml:space="preserve"> גורמים </w:t>
            </w:r>
            <w:r w:rsidRPr="00AD7C95">
              <w:rPr>
                <w:rFonts w:hint="cs"/>
                <w:b w:val="0"/>
                <w:bCs w:val="0"/>
                <w:noProof w:val="0"/>
                <w:rtl/>
              </w:rPr>
              <w:t>באופן</w:t>
            </w:r>
            <w:r w:rsidRPr="00AD7C95">
              <w:rPr>
                <w:b w:val="0"/>
                <w:bCs w:val="0"/>
                <w:noProof w:val="0"/>
                <w:rtl/>
              </w:rPr>
              <w:t xml:space="preserve"> </w:t>
            </w:r>
            <w:r w:rsidRPr="00AD7C95">
              <w:rPr>
                <w:rFonts w:hint="cs"/>
                <w:b w:val="0"/>
                <w:bCs w:val="0"/>
                <w:noProof w:val="0"/>
                <w:rtl/>
              </w:rPr>
              <w:t>ש</w:t>
            </w:r>
            <w:r w:rsidRPr="00AD7C95">
              <w:rPr>
                <w:rFonts w:hint="eastAsia"/>
                <w:b w:val="0"/>
                <w:bCs w:val="0"/>
                <w:noProof w:val="0"/>
                <w:rtl/>
              </w:rPr>
              <w:t>עשוי</w:t>
            </w:r>
            <w:r w:rsidRPr="00AD7C95">
              <w:rPr>
                <w:b w:val="0"/>
                <w:bCs w:val="0"/>
                <w:noProof w:val="0"/>
                <w:rtl/>
              </w:rPr>
              <w:t xml:space="preserve"> </w:t>
            </w:r>
            <w:r w:rsidRPr="00AD7C95">
              <w:rPr>
                <w:rFonts w:hint="eastAsia"/>
                <w:b w:val="0"/>
                <w:bCs w:val="0"/>
                <w:noProof w:val="0"/>
                <w:rtl/>
              </w:rPr>
              <w:t>להביא</w:t>
            </w:r>
            <w:r w:rsidRPr="00AD7C95">
              <w:rPr>
                <w:b w:val="0"/>
                <w:bCs w:val="0"/>
                <w:noProof w:val="0"/>
                <w:rtl/>
              </w:rPr>
              <w:t xml:space="preserve"> </w:t>
            </w:r>
            <w:r w:rsidRPr="00AD7C95">
              <w:rPr>
                <w:rFonts w:hint="cs"/>
                <w:b w:val="0"/>
                <w:bCs w:val="0"/>
                <w:noProof w:val="0"/>
                <w:rtl/>
              </w:rPr>
              <w:t xml:space="preserve">לידי </w:t>
            </w:r>
            <w:r w:rsidRPr="00AD7C95">
              <w:rPr>
                <w:b w:val="0"/>
                <w:bCs w:val="0"/>
                <w:noProof w:val="0"/>
                <w:rtl/>
              </w:rPr>
              <w:t xml:space="preserve">כך </w:t>
            </w:r>
            <w:r w:rsidRPr="00AD7C95">
              <w:rPr>
                <w:rFonts w:hint="eastAsia"/>
                <w:b w:val="0"/>
                <w:bCs w:val="0"/>
                <w:noProof w:val="0"/>
                <w:rtl/>
              </w:rPr>
              <w:t>שהמענה</w:t>
            </w:r>
            <w:r w:rsidRPr="00AD7C95">
              <w:rPr>
                <w:b w:val="0"/>
                <w:bCs w:val="0"/>
                <w:noProof w:val="0"/>
                <w:rtl/>
              </w:rPr>
              <w:t xml:space="preserve"> המקצועי </w:t>
            </w:r>
            <w:r w:rsidRPr="00AD7C95">
              <w:rPr>
                <w:rFonts w:hint="cs"/>
                <w:b w:val="0"/>
                <w:bCs w:val="0"/>
                <w:noProof w:val="0"/>
                <w:rtl/>
              </w:rPr>
              <w:t xml:space="preserve">לא יהיה אחיד </w:t>
            </w:r>
            <w:r w:rsidRPr="00AD7C95">
              <w:rPr>
                <w:b w:val="0"/>
                <w:bCs w:val="0"/>
                <w:noProof w:val="0"/>
                <w:rtl/>
              </w:rPr>
              <w:t xml:space="preserve">או </w:t>
            </w:r>
            <w:r w:rsidRPr="00AD7C95">
              <w:rPr>
                <w:rFonts w:hint="cs"/>
                <w:b w:val="0"/>
                <w:bCs w:val="0"/>
                <w:noProof w:val="0"/>
                <w:rtl/>
              </w:rPr>
              <w:t>שלם.</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sz w:val="24"/>
                <w:szCs w:val="24"/>
                <w:rtl/>
              </w:rPr>
              <w:t>הטמעה חלקית של מערכת המחשוב נט המשפט בבימ"ש עמ"ק</w:t>
            </w:r>
          </w:p>
        </w:tc>
      </w:tr>
      <w:tr w:rsidTr="00AD7C95">
        <w:tblPrEx>
          <w:tblW w:w="6691" w:type="dxa"/>
          <w:jc w:val="center"/>
          <w:tblLook w:val="04A0"/>
        </w:tblPrEx>
        <w:trPr>
          <w:cantSplit/>
          <w:jc w:val="center"/>
        </w:trPr>
        <w:tc>
          <w:tcPr>
            <w:tcW w:w="6691" w:type="dxa"/>
          </w:tcPr>
          <w:p w:rsidR="00AD7C95" w:rsidP="00AD7C95">
            <w:pPr>
              <w:pStyle w:val="takzir"/>
              <w:spacing w:before="60"/>
              <w:rPr>
                <w:b w:val="0"/>
                <w:bCs w:val="0"/>
                <w:noProof w:val="0"/>
                <w:rtl/>
              </w:rPr>
            </w:pPr>
            <w:r w:rsidRPr="00AD7C95">
              <w:rPr>
                <w:rFonts w:hint="cs"/>
                <w:b w:val="0"/>
                <w:bCs w:val="0"/>
                <w:noProof w:val="0"/>
                <w:rtl/>
              </w:rPr>
              <w:t>על אף שהב"ה קיבלה החלטה לחייב את מזכירויות במ"ש עמ"ק להתקין את מערכת נט המשפט (מערכת המחשוב המרכזית לניהול תיקי בית המשפט) בבמ"ש עמ"ק, היא לא סיימה את הכנת תכנית העבודה להטמעתה, לא</w:t>
            </w:r>
            <w:r w:rsidRPr="00AD7C95">
              <w:rPr>
                <w:b w:val="0"/>
                <w:bCs w:val="0"/>
                <w:noProof w:val="0"/>
                <w:rtl/>
              </w:rPr>
              <w:t xml:space="preserve"> </w:t>
            </w:r>
            <w:r w:rsidRPr="00AD7C95">
              <w:rPr>
                <w:rFonts w:hint="cs"/>
                <w:b w:val="0"/>
                <w:bCs w:val="0"/>
                <w:noProof w:val="0"/>
                <w:rtl/>
              </w:rPr>
              <w:t>העבירה</w:t>
            </w:r>
            <w:r w:rsidRPr="00AD7C95">
              <w:rPr>
                <w:b w:val="0"/>
                <w:bCs w:val="0"/>
                <w:noProof w:val="0"/>
                <w:rtl/>
              </w:rPr>
              <w:t xml:space="preserve"> </w:t>
            </w:r>
            <w:r w:rsidRPr="00AD7C95">
              <w:rPr>
                <w:rFonts w:hint="cs"/>
                <w:b w:val="0"/>
                <w:bCs w:val="0"/>
                <w:noProof w:val="0"/>
                <w:rtl/>
              </w:rPr>
              <w:t>למזכירויות הנחיה</w:t>
            </w:r>
            <w:r w:rsidRPr="00AD7C95">
              <w:rPr>
                <w:b w:val="0"/>
                <w:bCs w:val="0"/>
                <w:noProof w:val="0"/>
                <w:rtl/>
              </w:rPr>
              <w:t xml:space="preserve"> </w:t>
            </w:r>
            <w:r w:rsidRPr="00AD7C95">
              <w:rPr>
                <w:rFonts w:hint="cs"/>
                <w:b w:val="0"/>
                <w:bCs w:val="0"/>
                <w:noProof w:val="0"/>
                <w:rtl/>
              </w:rPr>
              <w:t>מחייבת</w:t>
            </w:r>
            <w:r w:rsidRPr="00AD7C95">
              <w:rPr>
                <w:b w:val="0"/>
                <w:bCs w:val="0"/>
                <w:noProof w:val="0"/>
                <w:rtl/>
              </w:rPr>
              <w:t xml:space="preserve"> </w:t>
            </w:r>
            <w:r w:rsidRPr="00AD7C95">
              <w:rPr>
                <w:rFonts w:hint="cs"/>
                <w:b w:val="0"/>
                <w:bCs w:val="0"/>
                <w:noProof w:val="0"/>
                <w:rtl/>
              </w:rPr>
              <w:t>בנוגע</w:t>
            </w:r>
            <w:r w:rsidRPr="00AD7C95">
              <w:rPr>
                <w:b w:val="0"/>
                <w:bCs w:val="0"/>
                <w:noProof w:val="0"/>
                <w:rtl/>
              </w:rPr>
              <w:t xml:space="preserve"> </w:t>
            </w:r>
            <w:r w:rsidRPr="00AD7C95">
              <w:rPr>
                <w:rFonts w:hint="cs"/>
                <w:b w:val="0"/>
                <w:bCs w:val="0"/>
                <w:noProof w:val="0"/>
                <w:rtl/>
              </w:rPr>
              <w:t>להתקנתה</w:t>
            </w:r>
            <w:r w:rsidRPr="00AD7C95">
              <w:rPr>
                <w:b w:val="0"/>
                <w:bCs w:val="0"/>
                <w:noProof w:val="0"/>
                <w:rtl/>
              </w:rPr>
              <w:t xml:space="preserve"> </w:t>
            </w:r>
            <w:r w:rsidRPr="00AD7C95">
              <w:rPr>
                <w:rFonts w:hint="cs"/>
                <w:b w:val="0"/>
                <w:bCs w:val="0"/>
                <w:noProof w:val="0"/>
                <w:rtl/>
              </w:rPr>
              <w:t>בבתי</w:t>
            </w:r>
            <w:r w:rsidRPr="00AD7C95">
              <w:rPr>
                <w:b w:val="0"/>
                <w:bCs w:val="0"/>
                <w:noProof w:val="0"/>
                <w:rtl/>
              </w:rPr>
              <w:t xml:space="preserve"> </w:t>
            </w:r>
            <w:r w:rsidRPr="00AD7C95">
              <w:rPr>
                <w:rFonts w:hint="cs"/>
                <w:b w:val="0"/>
                <w:bCs w:val="0"/>
                <w:noProof w:val="0"/>
                <w:rtl/>
              </w:rPr>
              <w:t>משפט</w:t>
            </w:r>
            <w:r w:rsidRPr="00AD7C95">
              <w:rPr>
                <w:b w:val="0"/>
                <w:bCs w:val="0"/>
                <w:noProof w:val="0"/>
                <w:rtl/>
              </w:rPr>
              <w:t xml:space="preserve"> </w:t>
            </w:r>
            <w:r w:rsidRPr="00AD7C95">
              <w:rPr>
                <w:rFonts w:hint="cs"/>
                <w:b w:val="0"/>
                <w:bCs w:val="0"/>
                <w:noProof w:val="0"/>
                <w:rtl/>
              </w:rPr>
              <w:t>עמ</w:t>
            </w:r>
            <w:r w:rsidRPr="00AD7C95">
              <w:rPr>
                <w:b w:val="0"/>
                <w:bCs w:val="0"/>
                <w:noProof w:val="0"/>
                <w:rtl/>
              </w:rPr>
              <w:t xml:space="preserve">"ק </w:t>
            </w:r>
            <w:r w:rsidRPr="00AD7C95">
              <w:rPr>
                <w:rFonts w:hint="cs"/>
                <w:b w:val="0"/>
                <w:bCs w:val="0"/>
                <w:noProof w:val="0"/>
                <w:rtl/>
              </w:rPr>
              <w:t>שבתחומן, ולא התקינה את נט המשפט בבתי משפט נוספים. הב"ה אף לא</w:t>
            </w:r>
            <w:r w:rsidRPr="00AD7C95">
              <w:rPr>
                <w:b w:val="0"/>
                <w:bCs w:val="0"/>
                <w:noProof w:val="0"/>
                <w:rtl/>
              </w:rPr>
              <w:t xml:space="preserve"> </w:t>
            </w:r>
            <w:r w:rsidRPr="00AD7C95">
              <w:rPr>
                <w:rFonts w:hint="cs"/>
                <w:b w:val="0"/>
                <w:bCs w:val="0"/>
                <w:noProof w:val="0"/>
                <w:rtl/>
              </w:rPr>
              <w:t xml:space="preserve">ביצעה במערכת התאמות </w:t>
            </w:r>
            <w:r w:rsidRPr="00AD7C95">
              <w:rPr>
                <w:b w:val="0"/>
                <w:bCs w:val="0"/>
                <w:noProof w:val="0"/>
                <w:rtl/>
              </w:rPr>
              <w:t xml:space="preserve">לצרכים </w:t>
            </w:r>
            <w:r w:rsidRPr="00AD7C95">
              <w:rPr>
                <w:rFonts w:hint="cs"/>
                <w:b w:val="0"/>
                <w:bCs w:val="0"/>
                <w:noProof w:val="0"/>
                <w:rtl/>
              </w:rPr>
              <w:t>הייחודיים</w:t>
            </w:r>
            <w:r w:rsidRPr="00AD7C95">
              <w:rPr>
                <w:b w:val="0"/>
                <w:bCs w:val="0"/>
                <w:noProof w:val="0"/>
                <w:rtl/>
              </w:rPr>
              <w:t xml:space="preserve"> של </w:t>
            </w:r>
            <w:r w:rsidRPr="00AD7C95">
              <w:rPr>
                <w:rFonts w:hint="cs"/>
                <w:b w:val="0"/>
                <w:bCs w:val="0"/>
                <w:noProof w:val="0"/>
                <w:rtl/>
              </w:rPr>
              <w:t>הפעילות במזכירויות בתי משפט עמ"ק, ובהם יצירת ממשק של נט המשפט עם מערכת המחשוב של העירייה. כמו כן - החיוב של רשויות</w:t>
            </w:r>
            <w:r w:rsidRPr="00AD7C95">
              <w:rPr>
                <w:b w:val="0"/>
                <w:bCs w:val="0"/>
                <w:noProof w:val="0"/>
                <w:rtl/>
              </w:rPr>
              <w:t xml:space="preserve"> </w:t>
            </w:r>
            <w:r w:rsidRPr="00AD7C95">
              <w:rPr>
                <w:rFonts w:hint="cs"/>
                <w:b w:val="0"/>
                <w:bCs w:val="0"/>
                <w:noProof w:val="0"/>
                <w:rtl/>
              </w:rPr>
              <w:t>מקומיות</w:t>
            </w:r>
            <w:r w:rsidRPr="00AD7C95">
              <w:rPr>
                <w:b w:val="0"/>
                <w:bCs w:val="0"/>
                <w:noProof w:val="0"/>
                <w:rtl/>
              </w:rPr>
              <w:t xml:space="preserve"> </w:t>
            </w:r>
            <w:r w:rsidRPr="00AD7C95">
              <w:rPr>
                <w:rFonts w:hint="cs"/>
                <w:b w:val="0"/>
                <w:bCs w:val="0"/>
                <w:noProof w:val="0"/>
                <w:rtl/>
              </w:rPr>
              <w:t>בעלויות החיבור</w:t>
            </w:r>
            <w:r w:rsidRPr="00AD7C95">
              <w:rPr>
                <w:b w:val="0"/>
                <w:bCs w:val="0"/>
                <w:noProof w:val="0"/>
                <w:rtl/>
              </w:rPr>
              <w:t xml:space="preserve"> </w:t>
            </w:r>
            <w:r w:rsidRPr="00AD7C95">
              <w:rPr>
                <w:rFonts w:hint="cs"/>
                <w:b w:val="0"/>
                <w:bCs w:val="0"/>
                <w:noProof w:val="0"/>
                <w:rtl/>
              </w:rPr>
              <w:t>לנט</w:t>
            </w:r>
            <w:r w:rsidRPr="00AD7C95">
              <w:rPr>
                <w:b w:val="0"/>
                <w:bCs w:val="0"/>
                <w:noProof w:val="0"/>
                <w:rtl/>
              </w:rPr>
              <w:t xml:space="preserve"> </w:t>
            </w:r>
            <w:r w:rsidRPr="00AD7C95">
              <w:rPr>
                <w:rFonts w:hint="cs"/>
                <w:b w:val="0"/>
                <w:bCs w:val="0"/>
                <w:noProof w:val="0"/>
                <w:rtl/>
              </w:rPr>
              <w:t>המשפט לא נעשה באופן אחיד.</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מחסור בתכנון שנתי, בפיקוח, בבקרה ובתיחום אחריות מקצועית</w:t>
            </w:r>
          </w:p>
        </w:tc>
      </w:tr>
      <w:tr w:rsidTr="00AD7C95">
        <w:tblPrEx>
          <w:tblW w:w="6691" w:type="dxa"/>
          <w:jc w:val="center"/>
          <w:tblLook w:val="04A0"/>
        </w:tblPrEx>
        <w:trPr>
          <w:cantSplit/>
          <w:jc w:val="center"/>
        </w:trPr>
        <w:tc>
          <w:tcPr>
            <w:tcW w:w="6691" w:type="dxa"/>
          </w:tcPr>
          <w:p w:rsidR="00AD7C95" w:rsidRPr="00AD7C95" w:rsidP="00AD7C95">
            <w:pPr>
              <w:pStyle w:val="takzir"/>
              <w:spacing w:before="60"/>
              <w:rPr>
                <w:b w:val="0"/>
                <w:bCs w:val="0"/>
                <w:noProof w:val="0"/>
                <w:rtl/>
              </w:rPr>
            </w:pPr>
            <w:r w:rsidRPr="00AD7C95">
              <w:rPr>
                <w:rFonts w:hint="cs"/>
                <w:b w:val="0"/>
                <w:bCs w:val="0"/>
                <w:noProof w:val="0"/>
                <w:rtl/>
              </w:rPr>
              <w:t>הב"ה אינה עורכת תכניות עבודה שנתיות מובנות המקיפות את כל תחומי האחריות המקצועית שלה בנוגע לבמ"ש עמ"ק.</w:t>
            </w:r>
          </w:p>
          <w:p w:rsidR="00AD7C95" w:rsidRPr="00AD7C95" w:rsidP="00907008">
            <w:pPr>
              <w:pStyle w:val="takzir"/>
              <w:rPr>
                <w:b w:val="0"/>
                <w:bCs w:val="0"/>
                <w:noProof w:val="0"/>
                <w:rtl/>
              </w:rPr>
            </w:pPr>
            <w:r w:rsidRPr="00AD7C95">
              <w:rPr>
                <w:rFonts w:hint="cs"/>
                <w:b w:val="0"/>
                <w:bCs w:val="0"/>
                <w:noProof w:val="0"/>
                <w:rtl/>
              </w:rPr>
              <w:t>מנהל</w:t>
            </w:r>
            <w:r w:rsidRPr="00AD7C95">
              <w:rPr>
                <w:b w:val="0"/>
                <w:bCs w:val="0"/>
                <w:noProof w:val="0"/>
                <w:rtl/>
              </w:rPr>
              <w:t xml:space="preserve"> תחום</w:t>
            </w:r>
            <w:r w:rsidRPr="00AD7C95">
              <w:rPr>
                <w:rFonts w:hint="cs"/>
                <w:b w:val="0"/>
                <w:bCs w:val="0"/>
                <w:noProof w:val="0"/>
                <w:rtl/>
              </w:rPr>
              <w:t xml:space="preserve"> במ"ש עמ"ק בהב"ה</w:t>
            </w:r>
            <w:r w:rsidRPr="00AD7C95">
              <w:rPr>
                <w:b w:val="0"/>
                <w:bCs w:val="0"/>
                <w:noProof w:val="0"/>
                <w:rtl/>
              </w:rPr>
              <w:t xml:space="preserve"> לא הכין תכנית עבודה</w:t>
            </w:r>
            <w:r w:rsidRPr="00AD7C95">
              <w:rPr>
                <w:rFonts w:hint="cs"/>
                <w:b w:val="0"/>
                <w:bCs w:val="0"/>
                <w:noProof w:val="0"/>
                <w:rtl/>
              </w:rPr>
              <w:t xml:space="preserve"> </w:t>
            </w:r>
            <w:r w:rsidRPr="00AD7C95">
              <w:rPr>
                <w:b w:val="0"/>
                <w:bCs w:val="0"/>
                <w:noProof w:val="0"/>
                <w:rtl/>
              </w:rPr>
              <w:t>לפיקוח ולבקרה על</w:t>
            </w:r>
            <w:r w:rsidRPr="00AD7C95">
              <w:rPr>
                <w:rFonts w:hint="cs"/>
                <w:b w:val="0"/>
                <w:bCs w:val="0"/>
                <w:noProof w:val="0"/>
                <w:rtl/>
              </w:rPr>
              <w:t xml:space="preserve">יהם והב"ה </w:t>
            </w:r>
            <w:r w:rsidRPr="00AD7C95">
              <w:rPr>
                <w:b w:val="0"/>
                <w:bCs w:val="0"/>
                <w:noProof w:val="0"/>
                <w:rtl/>
              </w:rPr>
              <w:t>לא קבע</w:t>
            </w:r>
            <w:r w:rsidRPr="00AD7C95">
              <w:rPr>
                <w:rFonts w:hint="cs"/>
                <w:b w:val="0"/>
                <w:bCs w:val="0"/>
                <w:noProof w:val="0"/>
                <w:rtl/>
              </w:rPr>
              <w:t>ה</w:t>
            </w:r>
            <w:r w:rsidRPr="00AD7C95">
              <w:rPr>
                <w:b w:val="0"/>
                <w:bCs w:val="0"/>
                <w:noProof w:val="0"/>
                <w:rtl/>
              </w:rPr>
              <w:t xml:space="preserve"> חוב</w:t>
            </w:r>
            <w:r w:rsidRPr="00AD7C95">
              <w:rPr>
                <w:rFonts w:hint="cs"/>
                <w:b w:val="0"/>
                <w:bCs w:val="0"/>
                <w:noProof w:val="0"/>
                <w:rtl/>
              </w:rPr>
              <w:t>ת ביקור</w:t>
            </w:r>
            <w:r w:rsidRPr="00AD7C95">
              <w:rPr>
                <w:b w:val="0"/>
                <w:bCs w:val="0"/>
                <w:noProof w:val="0"/>
                <w:rtl/>
              </w:rPr>
              <w:t xml:space="preserve"> ויעדים לביקורי</w:t>
            </w:r>
            <w:r w:rsidRPr="00AD7C95">
              <w:rPr>
                <w:rFonts w:hint="cs"/>
                <w:b w:val="0"/>
                <w:bCs w:val="0"/>
                <w:noProof w:val="0"/>
                <w:rtl/>
              </w:rPr>
              <w:t>ו</w:t>
            </w:r>
            <w:r w:rsidRPr="00AD7C95">
              <w:rPr>
                <w:b w:val="0"/>
                <w:bCs w:val="0"/>
                <w:noProof w:val="0"/>
                <w:rtl/>
              </w:rPr>
              <w:t xml:space="preserve"> במזכירויות</w:t>
            </w:r>
            <w:r w:rsidRPr="00AD7C95">
              <w:rPr>
                <w:rFonts w:hint="cs"/>
                <w:b w:val="0"/>
                <w:bCs w:val="0"/>
                <w:noProof w:val="0"/>
                <w:rtl/>
              </w:rPr>
              <w:t>. בחלק מהמזכירויות לא קיים ביקורים כלל ובחלק הייתה תדירות הביקורים נמוכה ביותר ובעקבותיהם לא נכתבו דוחות ביקור כנדרש</w:t>
            </w:r>
            <w:r w:rsidRPr="00AD7C95">
              <w:rPr>
                <w:b w:val="0"/>
                <w:bCs w:val="0"/>
                <w:noProof w:val="0"/>
                <w:rtl/>
              </w:rPr>
              <w:t>.</w:t>
            </w:r>
          </w:p>
          <w:p w:rsidR="00AD7C95" w:rsidP="00907008">
            <w:pPr>
              <w:pStyle w:val="takzir"/>
              <w:rPr>
                <w:b w:val="0"/>
                <w:bCs w:val="0"/>
                <w:noProof w:val="0"/>
                <w:rtl/>
              </w:rPr>
            </w:pPr>
            <w:r w:rsidRPr="00AD7C95">
              <w:rPr>
                <w:rFonts w:hint="cs"/>
                <w:b w:val="0"/>
                <w:bCs w:val="0"/>
                <w:noProof w:val="0"/>
                <w:rtl/>
              </w:rPr>
              <w:t>תחומי האחריות המקצועית של הב"ה, בהם הדרכה, ביקורים של מנהל התחום בבתי המשפט עמ"ק, עבודה בנט המשפט, ואמצעים לאכיפת הנחיות של הב"ה אינם באים לידי ביטוי בנוהלי עבודה</w:t>
            </w:r>
            <w:r w:rsidRPr="00AD7C95">
              <w:rPr>
                <w:b w:val="0"/>
                <w:bCs w:val="0"/>
                <w:noProof w:val="0"/>
                <w:rtl/>
              </w:rPr>
              <w:t xml:space="preserve"> </w:t>
            </w:r>
            <w:r w:rsidRPr="00AD7C95">
              <w:rPr>
                <w:rFonts w:hint="cs"/>
                <w:b w:val="0"/>
                <w:bCs w:val="0"/>
                <w:noProof w:val="0"/>
                <w:rtl/>
              </w:rPr>
              <w:t>או במסמך דומה שיהיה מתוקף, גלוי ונגיש לעובדי במ"ש עמ"ק.</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חוסר התאמה בין הצו לפעילות של בתי המשפט עמ"ק</w:t>
            </w:r>
          </w:p>
        </w:tc>
      </w:tr>
      <w:tr w:rsidTr="00AD7C95">
        <w:tblPrEx>
          <w:tblW w:w="6691" w:type="dxa"/>
          <w:jc w:val="center"/>
          <w:tblLook w:val="04A0"/>
        </w:tblPrEx>
        <w:trPr>
          <w:cantSplit/>
          <w:jc w:val="center"/>
        </w:trPr>
        <w:tc>
          <w:tcPr>
            <w:tcW w:w="6691" w:type="dxa"/>
          </w:tcPr>
          <w:p w:rsidR="00AD7C95" w:rsidRPr="00AD7C95" w:rsidP="00AD7C95">
            <w:pPr>
              <w:pStyle w:val="takzir"/>
              <w:spacing w:before="60"/>
              <w:rPr>
                <w:b w:val="0"/>
                <w:bCs w:val="0"/>
                <w:noProof w:val="0"/>
                <w:rtl/>
              </w:rPr>
            </w:pPr>
            <w:r w:rsidRPr="00AD7C95">
              <w:rPr>
                <w:rFonts w:hint="cs"/>
                <w:b w:val="0"/>
                <w:bCs w:val="0"/>
                <w:noProof w:val="0"/>
                <w:rtl/>
              </w:rPr>
              <w:t xml:space="preserve">עד אוקטובר 2015 הב"ה לא בחנה אם </w:t>
            </w:r>
            <w:r w:rsidRPr="00AD7C95">
              <w:rPr>
                <w:b w:val="0"/>
                <w:bCs w:val="0"/>
                <w:noProof w:val="0"/>
                <w:rtl/>
              </w:rPr>
              <w:t>היק</w:t>
            </w:r>
            <w:r w:rsidRPr="00AD7C95">
              <w:rPr>
                <w:rFonts w:hint="cs"/>
                <w:b w:val="0"/>
                <w:bCs w:val="0"/>
                <w:noProof w:val="0"/>
                <w:rtl/>
              </w:rPr>
              <w:t>ף</w:t>
            </w:r>
            <w:r w:rsidRPr="00AD7C95">
              <w:rPr>
                <w:b w:val="0"/>
                <w:bCs w:val="0"/>
                <w:noProof w:val="0"/>
                <w:rtl/>
              </w:rPr>
              <w:t xml:space="preserve"> הפעילות הש</w:t>
            </w:r>
            <w:r w:rsidRPr="00AD7C95">
              <w:rPr>
                <w:rFonts w:hint="cs"/>
                <w:b w:val="0"/>
                <w:bCs w:val="0"/>
                <w:noProof w:val="0"/>
                <w:rtl/>
              </w:rPr>
              <w:t>יפוטית</w:t>
            </w:r>
            <w:r w:rsidRPr="00AD7C95">
              <w:rPr>
                <w:b w:val="0"/>
                <w:bCs w:val="0"/>
                <w:noProof w:val="0"/>
                <w:rtl/>
              </w:rPr>
              <w:t xml:space="preserve"> </w:t>
            </w:r>
            <w:r w:rsidRPr="00AD7C95">
              <w:rPr>
                <w:rFonts w:hint="cs"/>
                <w:b w:val="0"/>
                <w:bCs w:val="0"/>
                <w:noProof w:val="0"/>
                <w:rtl/>
              </w:rPr>
              <w:t xml:space="preserve">של כל אחד מבתי המשפט עמ"ק מצדיק את הקיום הנפרד מבית משפט השלום. </w:t>
            </w:r>
          </w:p>
          <w:p w:rsidR="00AD7C95" w:rsidRPr="00AD7C95" w:rsidP="00907008">
            <w:pPr>
              <w:pStyle w:val="takzir"/>
              <w:rPr>
                <w:b w:val="0"/>
                <w:bCs w:val="0"/>
                <w:noProof w:val="0"/>
                <w:rtl/>
              </w:rPr>
            </w:pPr>
            <w:r w:rsidRPr="00AD7C95">
              <w:rPr>
                <w:b w:val="0"/>
                <w:bCs w:val="0"/>
                <w:noProof w:val="0"/>
                <w:rtl/>
              </w:rPr>
              <w:t xml:space="preserve">נמצא חוסר התאמה בין פעילותם של שלושת בתי משפט </w:t>
            </w:r>
            <w:r w:rsidRPr="00AD7C95">
              <w:rPr>
                <w:rFonts w:hint="cs"/>
                <w:b w:val="0"/>
                <w:bCs w:val="0"/>
                <w:noProof w:val="0"/>
                <w:rtl/>
              </w:rPr>
              <w:t>שלום שהוסמכו בצו לשבת גם כבתי משפט עמ"ק ו</w:t>
            </w:r>
            <w:r w:rsidRPr="00AD7C95">
              <w:rPr>
                <w:rFonts w:hint="eastAsia"/>
                <w:b w:val="0"/>
                <w:bCs w:val="0"/>
                <w:noProof w:val="0"/>
                <w:rtl/>
              </w:rPr>
              <w:t>בין</w:t>
            </w:r>
            <w:r w:rsidRPr="00AD7C95">
              <w:rPr>
                <w:b w:val="0"/>
                <w:bCs w:val="0"/>
                <w:noProof w:val="0"/>
                <w:rtl/>
              </w:rPr>
              <w:t xml:space="preserve"> הנדרש </w:t>
            </w:r>
            <w:r w:rsidRPr="00AD7C95">
              <w:rPr>
                <w:rFonts w:hint="cs"/>
                <w:b w:val="0"/>
                <w:bCs w:val="0"/>
                <w:noProof w:val="0"/>
                <w:rtl/>
              </w:rPr>
              <w:t>ל</w:t>
            </w:r>
            <w:r w:rsidRPr="00AD7C95">
              <w:rPr>
                <w:b w:val="0"/>
                <w:bCs w:val="0"/>
                <w:noProof w:val="0"/>
                <w:rtl/>
              </w:rPr>
              <w:t>פי</w:t>
            </w:r>
            <w:r w:rsidRPr="00AD7C95">
              <w:rPr>
                <w:rFonts w:hint="cs"/>
                <w:b w:val="0"/>
                <w:bCs w:val="0"/>
                <w:noProof w:val="0"/>
                <w:rtl/>
              </w:rPr>
              <w:t xml:space="preserve"> הצו. </w:t>
            </w:r>
            <w:r w:rsidRPr="00AD7C95">
              <w:rPr>
                <w:b w:val="0"/>
                <w:bCs w:val="0"/>
                <w:noProof w:val="0"/>
                <w:rtl/>
              </w:rPr>
              <w:t>ב</w:t>
            </w:r>
            <w:r w:rsidRPr="00AD7C95">
              <w:rPr>
                <w:rFonts w:hint="cs"/>
                <w:b w:val="0"/>
                <w:bCs w:val="0"/>
                <w:noProof w:val="0"/>
                <w:rtl/>
              </w:rPr>
              <w:t xml:space="preserve">מ"ש השלום תל אביב </w:t>
            </w:r>
            <w:r w:rsidRPr="00AD7C95">
              <w:rPr>
                <w:b w:val="0"/>
                <w:bCs w:val="0"/>
                <w:noProof w:val="0"/>
                <w:rtl/>
              </w:rPr>
              <w:t xml:space="preserve">אינו מטפל בתיקי </w:t>
            </w:r>
            <w:r w:rsidRPr="00AD7C95">
              <w:rPr>
                <w:rFonts w:hint="cs"/>
                <w:b w:val="0"/>
                <w:bCs w:val="0"/>
                <w:noProof w:val="0"/>
                <w:rtl/>
              </w:rPr>
              <w:t>עמ</w:t>
            </w:r>
            <w:r w:rsidRPr="00AD7C95">
              <w:rPr>
                <w:b w:val="0"/>
                <w:bCs w:val="0"/>
                <w:noProof w:val="0"/>
                <w:rtl/>
              </w:rPr>
              <w:t xml:space="preserve">"ק של </w:t>
            </w:r>
            <w:r w:rsidRPr="00AD7C95">
              <w:rPr>
                <w:rFonts w:hint="cs"/>
                <w:b w:val="0"/>
                <w:bCs w:val="0"/>
                <w:noProof w:val="0"/>
                <w:rtl/>
              </w:rPr>
              <w:t xml:space="preserve">העיר </w:t>
            </w:r>
            <w:r w:rsidRPr="00AD7C95">
              <w:rPr>
                <w:b w:val="0"/>
                <w:bCs w:val="0"/>
                <w:noProof w:val="0"/>
                <w:rtl/>
              </w:rPr>
              <w:t>רמת גן</w:t>
            </w:r>
            <w:r w:rsidRPr="00AD7C95">
              <w:rPr>
                <w:rFonts w:hint="cs"/>
                <w:b w:val="0"/>
                <w:bCs w:val="0"/>
                <w:noProof w:val="0"/>
                <w:rtl/>
              </w:rPr>
              <w:t xml:space="preserve"> כפי שנקבע, והם מטופלים בבמ"ש עמ"ק נפרד. בבמ"ש השלום</w:t>
            </w:r>
            <w:r w:rsidRPr="00AD7C95">
              <w:rPr>
                <w:b w:val="0"/>
                <w:bCs w:val="0"/>
                <w:noProof w:val="0"/>
                <w:rtl/>
              </w:rPr>
              <w:t xml:space="preserve"> </w:t>
            </w:r>
            <w:r w:rsidRPr="00AD7C95">
              <w:rPr>
                <w:rFonts w:hint="cs"/>
                <w:b w:val="0"/>
                <w:bCs w:val="0"/>
                <w:noProof w:val="0"/>
                <w:rtl/>
              </w:rPr>
              <w:t>בכפר</w:t>
            </w:r>
            <w:r w:rsidRPr="00AD7C95">
              <w:rPr>
                <w:b w:val="0"/>
                <w:bCs w:val="0"/>
                <w:noProof w:val="0"/>
                <w:rtl/>
              </w:rPr>
              <w:t xml:space="preserve"> </w:t>
            </w:r>
            <w:r w:rsidRPr="00AD7C95">
              <w:rPr>
                <w:rFonts w:hint="cs"/>
                <w:b w:val="0"/>
                <w:bCs w:val="0"/>
                <w:noProof w:val="0"/>
                <w:rtl/>
              </w:rPr>
              <w:t>סבא</w:t>
            </w:r>
            <w:r w:rsidRPr="00AD7C95">
              <w:rPr>
                <w:b w:val="0"/>
                <w:bCs w:val="0"/>
                <w:noProof w:val="0"/>
                <w:rtl/>
              </w:rPr>
              <w:t xml:space="preserve"> </w:t>
            </w:r>
            <w:r w:rsidRPr="00AD7C95">
              <w:rPr>
                <w:rFonts w:hint="cs"/>
                <w:b w:val="0"/>
                <w:bCs w:val="0"/>
                <w:noProof w:val="0"/>
                <w:rtl/>
              </w:rPr>
              <w:t>המדור</w:t>
            </w:r>
            <w:r w:rsidRPr="00AD7C95">
              <w:rPr>
                <w:b w:val="0"/>
                <w:bCs w:val="0"/>
                <w:noProof w:val="0"/>
                <w:rtl/>
              </w:rPr>
              <w:t xml:space="preserve"> </w:t>
            </w:r>
            <w:r w:rsidRPr="00AD7C95">
              <w:rPr>
                <w:rFonts w:hint="cs"/>
                <w:b w:val="0"/>
                <w:bCs w:val="0"/>
                <w:noProof w:val="0"/>
                <w:rtl/>
              </w:rPr>
              <w:t>העוסק</w:t>
            </w:r>
            <w:r w:rsidRPr="00AD7C95">
              <w:rPr>
                <w:b w:val="0"/>
                <w:bCs w:val="0"/>
                <w:noProof w:val="0"/>
                <w:rtl/>
              </w:rPr>
              <w:t xml:space="preserve"> </w:t>
            </w:r>
            <w:r w:rsidRPr="00AD7C95">
              <w:rPr>
                <w:rFonts w:hint="cs"/>
                <w:b w:val="0"/>
                <w:bCs w:val="0"/>
                <w:noProof w:val="0"/>
                <w:rtl/>
              </w:rPr>
              <w:t>בתיקי עמ"ק מטפל גם</w:t>
            </w:r>
            <w:r w:rsidRPr="00AD7C95">
              <w:rPr>
                <w:b w:val="0"/>
                <w:bCs w:val="0"/>
                <w:noProof w:val="0"/>
                <w:rtl/>
              </w:rPr>
              <w:t xml:space="preserve"> </w:t>
            </w:r>
            <w:r w:rsidRPr="00AD7C95">
              <w:rPr>
                <w:rFonts w:hint="cs"/>
                <w:b w:val="0"/>
                <w:bCs w:val="0"/>
                <w:noProof w:val="0"/>
                <w:rtl/>
              </w:rPr>
              <w:t>בשתי</w:t>
            </w:r>
            <w:r w:rsidRPr="00AD7C95">
              <w:rPr>
                <w:b w:val="0"/>
                <w:bCs w:val="0"/>
                <w:noProof w:val="0"/>
                <w:rtl/>
              </w:rPr>
              <w:t xml:space="preserve"> </w:t>
            </w:r>
            <w:r w:rsidRPr="00AD7C95">
              <w:rPr>
                <w:rFonts w:hint="cs"/>
                <w:b w:val="0"/>
                <w:bCs w:val="0"/>
                <w:noProof w:val="0"/>
                <w:rtl/>
              </w:rPr>
              <w:t>רשויות</w:t>
            </w:r>
            <w:r w:rsidRPr="00AD7C95">
              <w:rPr>
                <w:b w:val="0"/>
                <w:bCs w:val="0"/>
                <w:noProof w:val="0"/>
                <w:rtl/>
              </w:rPr>
              <w:t xml:space="preserve"> </w:t>
            </w:r>
            <w:r w:rsidRPr="00AD7C95">
              <w:rPr>
                <w:rFonts w:hint="cs"/>
                <w:b w:val="0"/>
                <w:bCs w:val="0"/>
                <w:noProof w:val="0"/>
                <w:rtl/>
              </w:rPr>
              <w:t>שאינן</w:t>
            </w:r>
            <w:r w:rsidRPr="00AD7C95">
              <w:rPr>
                <w:b w:val="0"/>
                <w:bCs w:val="0"/>
                <w:noProof w:val="0"/>
                <w:rtl/>
              </w:rPr>
              <w:t xml:space="preserve"> </w:t>
            </w:r>
            <w:r w:rsidRPr="00AD7C95">
              <w:rPr>
                <w:rFonts w:hint="cs"/>
                <w:b w:val="0"/>
                <w:bCs w:val="0"/>
                <w:noProof w:val="0"/>
                <w:rtl/>
              </w:rPr>
              <w:t>מופיעות</w:t>
            </w:r>
            <w:r w:rsidRPr="00AD7C95">
              <w:rPr>
                <w:b w:val="0"/>
                <w:bCs w:val="0"/>
                <w:noProof w:val="0"/>
                <w:rtl/>
              </w:rPr>
              <w:t xml:space="preserve"> </w:t>
            </w:r>
            <w:r w:rsidRPr="00AD7C95">
              <w:rPr>
                <w:rFonts w:hint="cs"/>
                <w:b w:val="0"/>
                <w:bCs w:val="0"/>
                <w:noProof w:val="0"/>
                <w:rtl/>
              </w:rPr>
              <w:t>בצו</w:t>
            </w:r>
            <w:r w:rsidRPr="00AD7C95">
              <w:rPr>
                <w:b w:val="0"/>
                <w:bCs w:val="0"/>
                <w:noProof w:val="0"/>
                <w:rtl/>
              </w:rPr>
              <w:t>.</w:t>
            </w:r>
          </w:p>
          <w:p w:rsidR="00AD7C95" w:rsidP="00907008">
            <w:pPr>
              <w:pStyle w:val="takzir"/>
              <w:rPr>
                <w:b w:val="0"/>
                <w:bCs w:val="0"/>
                <w:noProof w:val="0"/>
                <w:rtl/>
              </w:rPr>
            </w:pPr>
            <w:r w:rsidRPr="00AD7C95">
              <w:rPr>
                <w:rFonts w:hint="cs"/>
                <w:b w:val="0"/>
                <w:bCs w:val="0"/>
                <w:noProof w:val="0"/>
                <w:rtl/>
              </w:rPr>
              <w:t>לבתי המשפט ביהודה ושומרון (להלן - האזור) יש סמכויות רחבות יותר מבתי משפט עמ"ק שכוללות גם סמכויות בתחומי המשפט האזרחי והפלילי. מנהל הב"ה לא קבע את סדרי העבודה של בתי משפט אלו על אף שמונה על ידי המפקד כרשות המוסמכת לכך מכוח תקנון המועצות המקומיות (יהודה ושומרון) התשמ"א-1981.</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אי-הסדרה של הכפיפות המינהלית והמשמעתית של עובדי המזכירויות</w:t>
            </w:r>
          </w:p>
        </w:tc>
      </w:tr>
      <w:tr w:rsidTr="00862DE8">
        <w:tblPrEx>
          <w:tblW w:w="6691" w:type="dxa"/>
          <w:jc w:val="center"/>
          <w:tblLook w:val="04A0"/>
        </w:tblPrEx>
        <w:trPr>
          <w:cantSplit/>
          <w:jc w:val="center"/>
        </w:trPr>
        <w:tc>
          <w:tcPr>
            <w:tcW w:w="6691" w:type="dxa"/>
          </w:tcPr>
          <w:p w:rsidR="00571FE0" w:rsidRPr="00AD7C95" w:rsidP="00862DE8">
            <w:pPr>
              <w:pStyle w:val="takzir"/>
              <w:spacing w:before="60"/>
              <w:rPr>
                <w:b w:val="0"/>
                <w:bCs w:val="0"/>
                <w:noProof w:val="0"/>
                <w:rtl/>
              </w:rPr>
            </w:pPr>
            <w:r w:rsidRPr="00AD7C95">
              <w:rPr>
                <w:rFonts w:hint="cs"/>
                <w:b w:val="0"/>
                <w:bCs w:val="0"/>
                <w:noProof w:val="0"/>
                <w:rtl/>
              </w:rPr>
              <w:t>הב"ה לא ריכזה נתונים עדכניים של העובדים ברשויות המקומיות שבהם מופיעים פרטים על כפיפותם המינהלית למנכ"ל הרשות המקומית כנדרש, ובמקרים מסוימים הם עדיין כפופים מינהלית לגורמים ברשויות. כך לדוגמה באחד מבמ</w:t>
            </w:r>
            <w:r w:rsidRPr="00AD7C95">
              <w:rPr>
                <w:b w:val="0"/>
                <w:bCs w:val="0"/>
                <w:noProof w:val="0"/>
                <w:rtl/>
              </w:rPr>
              <w:t xml:space="preserve">"ש עמ"ק </w:t>
            </w:r>
            <w:r w:rsidRPr="00AD7C95">
              <w:rPr>
                <w:rFonts w:hint="cs"/>
                <w:b w:val="0"/>
                <w:bCs w:val="0"/>
                <w:noProof w:val="0"/>
                <w:rtl/>
              </w:rPr>
              <w:t>נמצא, כי העובדים</w:t>
            </w:r>
            <w:r w:rsidRPr="00AD7C95">
              <w:rPr>
                <w:b w:val="0"/>
                <w:bCs w:val="0"/>
                <w:noProof w:val="0"/>
                <w:rtl/>
              </w:rPr>
              <w:t xml:space="preserve"> </w:t>
            </w:r>
            <w:r w:rsidRPr="00AD7C95">
              <w:rPr>
                <w:rFonts w:hint="cs"/>
                <w:b w:val="0"/>
                <w:bCs w:val="0"/>
                <w:noProof w:val="0"/>
                <w:rtl/>
              </w:rPr>
              <w:t>כפופים מינהלית ליועץ</w:t>
            </w:r>
            <w:r w:rsidRPr="00AD7C95">
              <w:rPr>
                <w:b w:val="0"/>
                <w:bCs w:val="0"/>
                <w:noProof w:val="0"/>
                <w:rtl/>
              </w:rPr>
              <w:t xml:space="preserve"> </w:t>
            </w:r>
            <w:r w:rsidRPr="00AD7C95">
              <w:rPr>
                <w:rFonts w:hint="cs"/>
                <w:b w:val="0"/>
                <w:bCs w:val="0"/>
                <w:noProof w:val="0"/>
                <w:rtl/>
              </w:rPr>
              <w:t>המשפטי</w:t>
            </w:r>
            <w:r w:rsidRPr="00AD7C95">
              <w:rPr>
                <w:b w:val="0"/>
                <w:bCs w:val="0"/>
                <w:noProof w:val="0"/>
                <w:rtl/>
              </w:rPr>
              <w:t xml:space="preserve"> </w:t>
            </w:r>
            <w:r w:rsidRPr="00AD7C95">
              <w:rPr>
                <w:rFonts w:hint="cs"/>
                <w:b w:val="0"/>
                <w:bCs w:val="0"/>
                <w:noProof w:val="0"/>
                <w:rtl/>
              </w:rPr>
              <w:t>של</w:t>
            </w:r>
            <w:r w:rsidRPr="00AD7C95">
              <w:rPr>
                <w:b w:val="0"/>
                <w:bCs w:val="0"/>
                <w:noProof w:val="0"/>
                <w:rtl/>
              </w:rPr>
              <w:t xml:space="preserve"> </w:t>
            </w:r>
            <w:r w:rsidRPr="00AD7C95">
              <w:rPr>
                <w:rFonts w:hint="cs"/>
                <w:b w:val="0"/>
                <w:bCs w:val="0"/>
                <w:noProof w:val="0"/>
                <w:rtl/>
              </w:rPr>
              <w:t>הרשות</w:t>
            </w:r>
            <w:r w:rsidRPr="00AD7C95">
              <w:rPr>
                <w:b w:val="0"/>
                <w:bCs w:val="0"/>
                <w:noProof w:val="0"/>
                <w:rtl/>
              </w:rPr>
              <w:t xml:space="preserve"> </w:t>
            </w:r>
            <w:r w:rsidRPr="00AD7C95">
              <w:rPr>
                <w:rFonts w:hint="cs"/>
                <w:b w:val="0"/>
                <w:bCs w:val="0"/>
                <w:noProof w:val="0"/>
                <w:rtl/>
              </w:rPr>
              <w:t>הפועל כצד מטעמה בתיקים הנידונים בבית המשפט.</w:t>
            </w:r>
          </w:p>
          <w:p w:rsidR="00571FE0" w:rsidRPr="00AD7C95" w:rsidP="00907008">
            <w:pPr>
              <w:pStyle w:val="takzir"/>
              <w:rPr>
                <w:b w:val="0"/>
                <w:bCs w:val="0"/>
                <w:noProof w:val="0"/>
                <w:rtl/>
              </w:rPr>
            </w:pPr>
            <w:r w:rsidRPr="00AD7C95">
              <w:rPr>
                <w:rFonts w:hint="cs"/>
                <w:b w:val="0"/>
                <w:bCs w:val="0"/>
                <w:noProof w:val="0"/>
                <w:rtl/>
              </w:rPr>
              <w:t>רק בשבעה מ-18 במ"ש עמ"ק (כ-38%) הוסמכו הגורמים הנדרשים כקובלים משמעתיים כדי שיוכלו לטפל באירועי משמעת של עובדי המזכירויות. יוצא אפוא, שאין הסדרה נאותה לגורמים הממונים לטפל באירועי משמעת של עובדי המזכירות בבתי המשפט.</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פעולות גבייה אסורות בבמ"ש עמ"ק</w:t>
            </w:r>
          </w:p>
        </w:tc>
      </w:tr>
      <w:tr w:rsidTr="00AD7C95">
        <w:tblPrEx>
          <w:tblW w:w="6691" w:type="dxa"/>
          <w:jc w:val="center"/>
          <w:tblLook w:val="04A0"/>
        </w:tblPrEx>
        <w:trPr>
          <w:cantSplit/>
          <w:jc w:val="center"/>
        </w:trPr>
        <w:tc>
          <w:tcPr>
            <w:tcW w:w="6691" w:type="dxa"/>
          </w:tcPr>
          <w:p w:rsidR="00571FE0" w:rsidRPr="00571FE0" w:rsidP="00571FE0">
            <w:pPr>
              <w:pStyle w:val="takzir"/>
              <w:spacing w:before="60"/>
              <w:rPr>
                <w:b w:val="0"/>
                <w:bCs w:val="0"/>
                <w:noProof w:val="0"/>
              </w:rPr>
            </w:pPr>
            <w:r w:rsidRPr="00571FE0">
              <w:rPr>
                <w:b w:val="0"/>
                <w:bCs w:val="0"/>
                <w:noProof w:val="0"/>
                <w:rtl/>
              </w:rPr>
              <w:t>מדורי גבייה של מספר רשויות מקומיות פועלים בתוך בתי המשפט עמ"ק. שילוב של מדורי גבייה עם פעילות בתי המשפט עמ"ק והצגתם כחלק בלתי נפרד מבתי המשפט חותר תחת עקרון הפרדת הרשויות ולעתים גם מנוגד להנחיה המפורשת של מנהל התחום האוסרת זאת.</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אי-זקיפת תשלום לאוצר המדינה</w:t>
            </w:r>
          </w:p>
        </w:tc>
      </w:tr>
      <w:tr w:rsidTr="00AD7C95">
        <w:tblPrEx>
          <w:tblW w:w="6691" w:type="dxa"/>
          <w:jc w:val="center"/>
          <w:tblLook w:val="04A0"/>
        </w:tblPrEx>
        <w:trPr>
          <w:cantSplit/>
          <w:jc w:val="center"/>
        </w:trPr>
        <w:tc>
          <w:tcPr>
            <w:tcW w:w="6691" w:type="dxa"/>
          </w:tcPr>
          <w:p w:rsidR="00AD7C95" w:rsidP="00AD7C95">
            <w:pPr>
              <w:pStyle w:val="takzir"/>
              <w:spacing w:before="60"/>
              <w:rPr>
                <w:b w:val="0"/>
                <w:bCs w:val="0"/>
                <w:noProof w:val="0"/>
                <w:rtl/>
              </w:rPr>
            </w:pPr>
            <w:r w:rsidRPr="00AD7C95">
              <w:rPr>
                <w:rFonts w:hint="cs"/>
                <w:b w:val="0"/>
                <w:bCs w:val="0"/>
                <w:noProof w:val="0"/>
                <w:rtl/>
              </w:rPr>
              <w:t>לא נקבעו הוראות המסדירות את זקיפת הקנסות המיועדים לאוצר המדינה</w:t>
            </w:r>
            <w:r w:rsidRPr="00AD7C95">
              <w:rPr>
                <w:rFonts w:hint="cs"/>
                <w:b w:val="0"/>
                <w:bCs w:val="0"/>
                <w:noProof w:val="0"/>
                <w:rtl/>
              </w:rPr>
              <w:t xml:space="preserve"> בדומה </w:t>
            </w:r>
            <w:r w:rsidRPr="00AD7C95">
              <w:rPr>
                <w:rFonts w:hint="cs"/>
                <w:b w:val="0"/>
                <w:bCs w:val="0"/>
                <w:noProof w:val="0"/>
                <w:rtl/>
              </w:rPr>
              <w:t xml:space="preserve">להנחיות הב"ה בעניין זקיפת הוצאות לטובת אוצר המדינה. </w:t>
            </w:r>
            <w:r w:rsidRPr="00AD7C95">
              <w:rPr>
                <w:rFonts w:hint="cs"/>
                <w:b w:val="0"/>
                <w:bCs w:val="0"/>
                <w:noProof w:val="0"/>
                <w:rtl/>
              </w:rPr>
              <w:t>נמצאו מקרים שבהם</w:t>
            </w:r>
            <w:r w:rsidRPr="00AD7C95">
              <w:rPr>
                <w:b w:val="0"/>
                <w:bCs w:val="0"/>
                <w:noProof w:val="0"/>
                <w:rtl/>
              </w:rPr>
              <w:t xml:space="preserve"> </w:t>
            </w:r>
            <w:r w:rsidRPr="00AD7C95">
              <w:rPr>
                <w:rFonts w:hint="cs"/>
                <w:b w:val="0"/>
                <w:bCs w:val="0"/>
                <w:noProof w:val="0"/>
                <w:rtl/>
              </w:rPr>
              <w:t>שולמו כספי</w:t>
            </w:r>
            <w:r w:rsidRPr="00AD7C95">
              <w:rPr>
                <w:b w:val="0"/>
                <w:bCs w:val="0"/>
                <w:noProof w:val="0"/>
                <w:rtl/>
              </w:rPr>
              <w:t xml:space="preserve"> </w:t>
            </w:r>
            <w:r w:rsidRPr="00AD7C95">
              <w:rPr>
                <w:rFonts w:hint="cs"/>
                <w:b w:val="0"/>
                <w:bCs w:val="0"/>
                <w:noProof w:val="0"/>
                <w:rtl/>
              </w:rPr>
              <w:t>קנסות</w:t>
            </w:r>
            <w:r w:rsidRPr="00AD7C95">
              <w:rPr>
                <w:b w:val="0"/>
                <w:bCs w:val="0"/>
                <w:noProof w:val="0"/>
                <w:rtl/>
              </w:rPr>
              <w:t xml:space="preserve"> </w:t>
            </w:r>
            <w:r w:rsidRPr="00AD7C95">
              <w:rPr>
                <w:rFonts w:hint="cs"/>
                <w:b w:val="0"/>
                <w:bCs w:val="0"/>
                <w:noProof w:val="0"/>
                <w:rtl/>
              </w:rPr>
              <w:t>המיועדים לאוצר המדינה לרשויות</w:t>
            </w:r>
            <w:r w:rsidRPr="00AD7C95">
              <w:rPr>
                <w:b w:val="0"/>
                <w:bCs w:val="0"/>
                <w:noProof w:val="0"/>
                <w:rtl/>
              </w:rPr>
              <w:t xml:space="preserve"> </w:t>
            </w:r>
            <w:r w:rsidRPr="00AD7C95">
              <w:rPr>
                <w:rFonts w:hint="cs"/>
                <w:b w:val="0"/>
                <w:bCs w:val="0"/>
                <w:noProof w:val="0"/>
                <w:rtl/>
              </w:rPr>
              <w:t>המקומיות.</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90700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היעדר ניתוק מלא בממשק</w:t>
            </w:r>
            <w:r w:rsidRPr="00AD7C95">
              <w:rPr>
                <w:sz w:val="24"/>
                <w:szCs w:val="24"/>
                <w:rtl/>
              </w:rPr>
              <w:t xml:space="preserve"> </w:t>
            </w:r>
            <w:r w:rsidRPr="00AD7C95">
              <w:rPr>
                <w:rFonts w:hint="cs"/>
                <w:sz w:val="24"/>
                <w:szCs w:val="24"/>
                <w:rtl/>
              </w:rPr>
              <w:t>הכספי</w:t>
            </w:r>
            <w:r w:rsidRPr="00AD7C95">
              <w:rPr>
                <w:sz w:val="24"/>
                <w:szCs w:val="24"/>
                <w:rtl/>
              </w:rPr>
              <w:t xml:space="preserve"> </w:t>
            </w:r>
            <w:r w:rsidRPr="00AD7C95">
              <w:rPr>
                <w:rFonts w:hint="cs"/>
                <w:sz w:val="24"/>
                <w:szCs w:val="24"/>
                <w:rtl/>
              </w:rPr>
              <w:t>בין</w:t>
            </w:r>
            <w:r w:rsidRPr="00AD7C95">
              <w:rPr>
                <w:sz w:val="24"/>
                <w:szCs w:val="24"/>
                <w:rtl/>
              </w:rPr>
              <w:t xml:space="preserve"> </w:t>
            </w:r>
            <w:r w:rsidRPr="00AD7C95">
              <w:rPr>
                <w:rFonts w:hint="cs"/>
                <w:sz w:val="24"/>
                <w:szCs w:val="24"/>
                <w:rtl/>
              </w:rPr>
              <w:t>הב</w:t>
            </w:r>
            <w:r w:rsidRPr="00AD7C95">
              <w:rPr>
                <w:sz w:val="24"/>
                <w:szCs w:val="24"/>
                <w:rtl/>
              </w:rPr>
              <w:t>"</w:t>
            </w:r>
            <w:r w:rsidRPr="00AD7C95">
              <w:rPr>
                <w:rFonts w:hint="cs"/>
                <w:sz w:val="24"/>
                <w:szCs w:val="24"/>
                <w:rtl/>
              </w:rPr>
              <w:t>ה</w:t>
            </w:r>
            <w:r w:rsidRPr="00AD7C95">
              <w:rPr>
                <w:sz w:val="24"/>
                <w:szCs w:val="24"/>
                <w:rtl/>
              </w:rPr>
              <w:t xml:space="preserve"> </w:t>
            </w:r>
            <w:r w:rsidRPr="00AD7C95">
              <w:rPr>
                <w:rFonts w:hint="cs"/>
                <w:sz w:val="24"/>
                <w:szCs w:val="24"/>
                <w:rtl/>
              </w:rPr>
              <w:t>לרשויות</w:t>
            </w:r>
            <w:r w:rsidRPr="00AD7C95">
              <w:rPr>
                <w:sz w:val="24"/>
                <w:szCs w:val="24"/>
                <w:rtl/>
              </w:rPr>
              <w:t xml:space="preserve"> </w:t>
            </w:r>
            <w:r w:rsidRPr="00AD7C95">
              <w:rPr>
                <w:rFonts w:hint="cs"/>
                <w:sz w:val="24"/>
                <w:szCs w:val="24"/>
                <w:rtl/>
              </w:rPr>
              <w:t>המקומיות</w:t>
            </w:r>
          </w:p>
        </w:tc>
      </w:tr>
      <w:tr w:rsidTr="00907008">
        <w:tblPrEx>
          <w:tblW w:w="6691" w:type="dxa"/>
          <w:jc w:val="center"/>
          <w:tblLook w:val="04A0"/>
        </w:tblPrEx>
        <w:trPr>
          <w:jc w:val="center"/>
        </w:trPr>
        <w:tc>
          <w:tcPr>
            <w:tcW w:w="6691" w:type="dxa"/>
          </w:tcPr>
          <w:p w:rsidR="00571FE0" w:rsidRPr="00907008" w:rsidP="00862DE8">
            <w:pPr>
              <w:pStyle w:val="takzir"/>
              <w:spacing w:before="60"/>
              <w:rPr>
                <w:b w:val="0"/>
                <w:bCs w:val="0"/>
                <w:noProof w:val="0"/>
                <w:spacing w:val="-2"/>
                <w:rtl/>
              </w:rPr>
            </w:pPr>
            <w:r w:rsidRPr="00907008">
              <w:rPr>
                <w:rFonts w:hint="cs"/>
                <w:b w:val="0"/>
                <w:bCs w:val="0"/>
                <w:noProof w:val="0"/>
                <w:spacing w:val="-2"/>
                <w:rtl/>
              </w:rPr>
              <w:t xml:space="preserve">המתכונת שלפיה </w:t>
            </w:r>
            <w:r w:rsidRPr="00907008">
              <w:rPr>
                <w:b w:val="0"/>
                <w:bCs w:val="0"/>
                <w:noProof w:val="0"/>
                <w:spacing w:val="-2"/>
                <w:rtl/>
              </w:rPr>
              <w:t>משרד הפנים משמש צינור להעברת כספים</w:t>
            </w:r>
            <w:r w:rsidRPr="00907008">
              <w:rPr>
                <w:rFonts w:hint="cs"/>
                <w:b w:val="0"/>
                <w:bCs w:val="0"/>
                <w:noProof w:val="0"/>
                <w:spacing w:val="-2"/>
                <w:rtl/>
              </w:rPr>
              <w:t xml:space="preserve"> עבור ימי שיפוט</w:t>
            </w:r>
            <w:r w:rsidRPr="00907008">
              <w:rPr>
                <w:b w:val="0"/>
                <w:bCs w:val="0"/>
                <w:noProof w:val="0"/>
                <w:spacing w:val="-2"/>
                <w:rtl/>
              </w:rPr>
              <w:t xml:space="preserve"> </w:t>
            </w:r>
            <w:r w:rsidRPr="00907008">
              <w:rPr>
                <w:rFonts w:hint="cs"/>
                <w:b w:val="0"/>
                <w:bCs w:val="0"/>
                <w:noProof w:val="0"/>
                <w:spacing w:val="-2"/>
                <w:rtl/>
              </w:rPr>
              <w:t>בין ה</w:t>
            </w:r>
            <w:r w:rsidRPr="00907008">
              <w:rPr>
                <w:b w:val="0"/>
                <w:bCs w:val="0"/>
                <w:noProof w:val="0"/>
                <w:spacing w:val="-2"/>
                <w:rtl/>
              </w:rPr>
              <w:t>רשו</w:t>
            </w:r>
            <w:r w:rsidRPr="00907008">
              <w:rPr>
                <w:rFonts w:hint="cs"/>
                <w:b w:val="0"/>
                <w:bCs w:val="0"/>
                <w:noProof w:val="0"/>
                <w:spacing w:val="-2"/>
                <w:rtl/>
              </w:rPr>
              <w:t>יו</w:t>
            </w:r>
            <w:r w:rsidRPr="00907008">
              <w:rPr>
                <w:b w:val="0"/>
                <w:bCs w:val="0"/>
                <w:noProof w:val="0"/>
                <w:spacing w:val="-2"/>
                <w:rtl/>
              </w:rPr>
              <w:t xml:space="preserve">ת </w:t>
            </w:r>
            <w:r w:rsidRPr="00907008">
              <w:rPr>
                <w:rFonts w:hint="cs"/>
                <w:b w:val="0"/>
                <w:bCs w:val="0"/>
                <w:noProof w:val="0"/>
                <w:spacing w:val="-2"/>
                <w:rtl/>
              </w:rPr>
              <w:t>ה</w:t>
            </w:r>
            <w:r w:rsidRPr="00907008">
              <w:rPr>
                <w:b w:val="0"/>
                <w:bCs w:val="0"/>
                <w:noProof w:val="0"/>
                <w:spacing w:val="-2"/>
                <w:rtl/>
              </w:rPr>
              <w:t>מקומי</w:t>
            </w:r>
            <w:r w:rsidRPr="00907008">
              <w:rPr>
                <w:rFonts w:hint="cs"/>
                <w:b w:val="0"/>
                <w:bCs w:val="0"/>
                <w:noProof w:val="0"/>
                <w:spacing w:val="-2"/>
                <w:rtl/>
              </w:rPr>
              <w:t>ו</w:t>
            </w:r>
            <w:r w:rsidRPr="00907008">
              <w:rPr>
                <w:b w:val="0"/>
                <w:bCs w:val="0"/>
                <w:noProof w:val="0"/>
                <w:spacing w:val="-2"/>
                <w:rtl/>
              </w:rPr>
              <w:t xml:space="preserve">ת </w:t>
            </w:r>
            <w:r w:rsidRPr="00907008">
              <w:rPr>
                <w:rFonts w:hint="cs"/>
                <w:b w:val="0"/>
                <w:bCs w:val="0"/>
                <w:noProof w:val="0"/>
                <w:spacing w:val="-2"/>
                <w:rtl/>
              </w:rPr>
              <w:t>להב</w:t>
            </w:r>
            <w:r w:rsidRPr="00907008">
              <w:rPr>
                <w:b w:val="0"/>
                <w:bCs w:val="0"/>
                <w:noProof w:val="0"/>
                <w:spacing w:val="-2"/>
                <w:rtl/>
              </w:rPr>
              <w:t xml:space="preserve">"ה </w:t>
            </w:r>
            <w:r w:rsidRPr="00907008">
              <w:rPr>
                <w:rFonts w:hint="cs"/>
                <w:b w:val="0"/>
                <w:bCs w:val="0"/>
                <w:noProof w:val="0"/>
                <w:spacing w:val="-2"/>
                <w:rtl/>
              </w:rPr>
              <w:t>אינו נותן מענה לחשש למראית עין של תלות בין המנגנון השיפוטי של בית משפט עמ"ק ובין הרשות המקומית המממנת את פעילותו. כך במקרים</w:t>
            </w:r>
            <w:r w:rsidRPr="00907008">
              <w:rPr>
                <w:b w:val="0"/>
                <w:bCs w:val="0"/>
                <w:noProof w:val="0"/>
                <w:spacing w:val="-2"/>
                <w:rtl/>
              </w:rPr>
              <w:t xml:space="preserve"> </w:t>
            </w:r>
            <w:r w:rsidRPr="00907008">
              <w:rPr>
                <w:rFonts w:hint="cs"/>
                <w:b w:val="0"/>
                <w:bCs w:val="0"/>
                <w:noProof w:val="0"/>
                <w:spacing w:val="-2"/>
                <w:rtl/>
              </w:rPr>
              <w:t>של</w:t>
            </w:r>
            <w:r w:rsidRPr="00907008">
              <w:rPr>
                <w:b w:val="0"/>
                <w:bCs w:val="0"/>
                <w:noProof w:val="0"/>
                <w:spacing w:val="-2"/>
                <w:rtl/>
              </w:rPr>
              <w:t xml:space="preserve"> </w:t>
            </w:r>
            <w:r w:rsidRPr="00907008">
              <w:rPr>
                <w:rFonts w:hint="cs"/>
                <w:b w:val="0"/>
                <w:bCs w:val="0"/>
                <w:noProof w:val="0"/>
                <w:spacing w:val="-2"/>
                <w:rtl/>
              </w:rPr>
              <w:t>אי</w:t>
            </w:r>
            <w:r w:rsidRPr="00907008">
              <w:rPr>
                <w:b w:val="0"/>
                <w:bCs w:val="0"/>
                <w:noProof w:val="0"/>
                <w:spacing w:val="-2"/>
                <w:rtl/>
              </w:rPr>
              <w:t>-</w:t>
            </w:r>
            <w:r w:rsidRPr="00907008">
              <w:rPr>
                <w:rFonts w:hint="cs"/>
                <w:b w:val="0"/>
                <w:bCs w:val="0"/>
                <w:noProof w:val="0"/>
                <w:spacing w:val="-2"/>
                <w:rtl/>
              </w:rPr>
              <w:t>הסכמה</w:t>
            </w:r>
            <w:r w:rsidRPr="00907008">
              <w:rPr>
                <w:b w:val="0"/>
                <w:bCs w:val="0"/>
                <w:noProof w:val="0"/>
                <w:spacing w:val="-2"/>
                <w:rtl/>
              </w:rPr>
              <w:t xml:space="preserve"> </w:t>
            </w:r>
            <w:r w:rsidRPr="00907008">
              <w:rPr>
                <w:rFonts w:hint="cs"/>
                <w:b w:val="0"/>
                <w:bCs w:val="0"/>
                <w:noProof w:val="0"/>
                <w:spacing w:val="-2"/>
                <w:rtl/>
              </w:rPr>
              <w:t>בעניין</w:t>
            </w:r>
            <w:r w:rsidRPr="00907008">
              <w:rPr>
                <w:b w:val="0"/>
                <w:bCs w:val="0"/>
                <w:noProof w:val="0"/>
                <w:spacing w:val="-2"/>
                <w:rtl/>
              </w:rPr>
              <w:t xml:space="preserve"> </w:t>
            </w:r>
            <w:r w:rsidRPr="00907008">
              <w:rPr>
                <w:rFonts w:hint="cs"/>
                <w:b w:val="0"/>
                <w:bCs w:val="0"/>
                <w:noProof w:val="0"/>
                <w:spacing w:val="-2"/>
                <w:rtl/>
              </w:rPr>
              <w:t>התשלומים בגין ימי שיפוט</w:t>
            </w:r>
            <w:r w:rsidRPr="00907008">
              <w:rPr>
                <w:b w:val="0"/>
                <w:bCs w:val="0"/>
                <w:noProof w:val="0"/>
                <w:spacing w:val="-2"/>
                <w:rtl/>
              </w:rPr>
              <w:t xml:space="preserve">, </w:t>
            </w:r>
            <w:r w:rsidRPr="00907008">
              <w:rPr>
                <w:rFonts w:hint="cs"/>
                <w:b w:val="0"/>
                <w:bCs w:val="0"/>
                <w:noProof w:val="0"/>
                <w:spacing w:val="-2"/>
                <w:rtl/>
              </w:rPr>
              <w:t>הב</w:t>
            </w:r>
            <w:r w:rsidRPr="00907008">
              <w:rPr>
                <w:b w:val="0"/>
                <w:bCs w:val="0"/>
                <w:noProof w:val="0"/>
                <w:spacing w:val="-2"/>
                <w:rtl/>
              </w:rPr>
              <w:t xml:space="preserve">"ה </w:t>
            </w:r>
            <w:r w:rsidRPr="00907008">
              <w:rPr>
                <w:rFonts w:hint="cs"/>
                <w:b w:val="0"/>
                <w:bCs w:val="0"/>
                <w:noProof w:val="0"/>
                <w:spacing w:val="-2"/>
                <w:rtl/>
              </w:rPr>
              <w:t>והרשות</w:t>
            </w:r>
            <w:r w:rsidRPr="00907008">
              <w:rPr>
                <w:b w:val="0"/>
                <w:bCs w:val="0"/>
                <w:noProof w:val="0"/>
                <w:spacing w:val="-2"/>
                <w:rtl/>
              </w:rPr>
              <w:t xml:space="preserve"> </w:t>
            </w:r>
            <w:r w:rsidRPr="00907008">
              <w:rPr>
                <w:rFonts w:hint="cs"/>
                <w:b w:val="0"/>
                <w:bCs w:val="0"/>
                <w:noProof w:val="0"/>
                <w:spacing w:val="-2"/>
                <w:rtl/>
              </w:rPr>
              <w:t>המקומית</w:t>
            </w:r>
            <w:r w:rsidRPr="00907008">
              <w:rPr>
                <w:b w:val="0"/>
                <w:bCs w:val="0"/>
                <w:noProof w:val="0"/>
                <w:spacing w:val="-2"/>
                <w:rtl/>
              </w:rPr>
              <w:t xml:space="preserve"> </w:t>
            </w:r>
            <w:r w:rsidRPr="00907008">
              <w:rPr>
                <w:rFonts w:hint="cs"/>
                <w:b w:val="0"/>
                <w:bCs w:val="0"/>
                <w:noProof w:val="0"/>
                <w:spacing w:val="-2"/>
                <w:rtl/>
              </w:rPr>
              <w:t>שבנידון</w:t>
            </w:r>
            <w:r w:rsidRPr="00907008">
              <w:rPr>
                <w:b w:val="0"/>
                <w:bCs w:val="0"/>
                <w:noProof w:val="0"/>
                <w:spacing w:val="-2"/>
                <w:rtl/>
              </w:rPr>
              <w:t xml:space="preserve"> </w:t>
            </w:r>
            <w:r w:rsidRPr="00907008">
              <w:rPr>
                <w:rFonts w:hint="cs"/>
                <w:b w:val="0"/>
                <w:bCs w:val="0"/>
                <w:noProof w:val="0"/>
                <w:spacing w:val="-2"/>
                <w:rtl/>
              </w:rPr>
              <w:t>באות בדברים</w:t>
            </w:r>
            <w:r w:rsidRPr="00907008">
              <w:rPr>
                <w:b w:val="0"/>
                <w:bCs w:val="0"/>
                <w:noProof w:val="0"/>
                <w:spacing w:val="-2"/>
                <w:rtl/>
              </w:rPr>
              <w:t xml:space="preserve"> </w:t>
            </w:r>
            <w:r w:rsidRPr="00907008">
              <w:rPr>
                <w:rFonts w:hint="cs"/>
                <w:b w:val="0"/>
                <w:bCs w:val="0"/>
                <w:noProof w:val="0"/>
                <w:spacing w:val="-2"/>
                <w:rtl/>
              </w:rPr>
              <w:t>ישירות</w:t>
            </w:r>
            <w:r w:rsidRPr="00907008">
              <w:rPr>
                <w:b w:val="0"/>
                <w:bCs w:val="0"/>
                <w:noProof w:val="0"/>
                <w:spacing w:val="-2"/>
                <w:rtl/>
              </w:rPr>
              <w:t xml:space="preserve"> </w:t>
            </w:r>
            <w:r w:rsidRPr="00907008">
              <w:rPr>
                <w:rFonts w:hint="cs"/>
                <w:b w:val="0"/>
                <w:bCs w:val="0"/>
                <w:noProof w:val="0"/>
                <w:spacing w:val="-2"/>
                <w:rtl/>
              </w:rPr>
              <w:t>ביניהן בלי</w:t>
            </w:r>
            <w:r w:rsidRPr="00907008">
              <w:rPr>
                <w:b w:val="0"/>
                <w:bCs w:val="0"/>
                <w:noProof w:val="0"/>
                <w:spacing w:val="-2"/>
                <w:rtl/>
              </w:rPr>
              <w:t xml:space="preserve"> </w:t>
            </w:r>
            <w:r w:rsidRPr="00907008">
              <w:rPr>
                <w:rFonts w:hint="cs"/>
                <w:b w:val="0"/>
                <w:bCs w:val="0"/>
                <w:noProof w:val="0"/>
                <w:spacing w:val="-2"/>
                <w:rtl/>
              </w:rPr>
              <w:t>מעורבות של משרד</w:t>
            </w:r>
            <w:r w:rsidRPr="00907008">
              <w:rPr>
                <w:b w:val="0"/>
                <w:bCs w:val="0"/>
                <w:noProof w:val="0"/>
                <w:spacing w:val="-2"/>
                <w:rtl/>
              </w:rPr>
              <w:t xml:space="preserve"> </w:t>
            </w:r>
            <w:r w:rsidRPr="00907008">
              <w:rPr>
                <w:rFonts w:hint="cs"/>
                <w:b w:val="0"/>
                <w:bCs w:val="0"/>
                <w:noProof w:val="0"/>
                <w:spacing w:val="-2"/>
                <w:rtl/>
              </w:rPr>
              <w:t xml:space="preserve">הפנים. </w:t>
            </w:r>
          </w:p>
          <w:p w:rsidR="00571FE0" w:rsidRPr="00AD7C95" w:rsidP="00907008">
            <w:pPr>
              <w:pStyle w:val="takzir"/>
              <w:rPr>
                <w:b w:val="0"/>
                <w:bCs w:val="0"/>
                <w:noProof w:val="0"/>
                <w:rtl/>
              </w:rPr>
            </w:pPr>
            <w:r w:rsidRPr="00AD7C95">
              <w:rPr>
                <w:rFonts w:hint="cs"/>
                <w:b w:val="0"/>
                <w:bCs w:val="0"/>
                <w:noProof w:val="0"/>
                <w:rtl/>
              </w:rPr>
              <w:t>על אף עמדתה של הב</w:t>
            </w:r>
            <w:r w:rsidRPr="00AD7C95">
              <w:rPr>
                <w:b w:val="0"/>
                <w:bCs w:val="0"/>
                <w:noProof w:val="0"/>
                <w:rtl/>
              </w:rPr>
              <w:t>"ה</w:t>
            </w:r>
            <w:r w:rsidRPr="00AD7C95">
              <w:rPr>
                <w:rFonts w:hint="cs"/>
                <w:b w:val="0"/>
                <w:bCs w:val="0"/>
                <w:noProof w:val="0"/>
                <w:rtl/>
              </w:rPr>
              <w:t xml:space="preserve"> שלפיה</w:t>
            </w:r>
            <w:r w:rsidRPr="00AD7C95">
              <w:rPr>
                <w:b w:val="0"/>
                <w:bCs w:val="0"/>
                <w:noProof w:val="0"/>
                <w:rtl/>
              </w:rPr>
              <w:t xml:space="preserve"> </w:t>
            </w:r>
            <w:r w:rsidRPr="00AD7C95">
              <w:rPr>
                <w:rFonts w:hint="cs"/>
                <w:b w:val="0"/>
                <w:bCs w:val="0"/>
                <w:noProof w:val="0"/>
                <w:rtl/>
              </w:rPr>
              <w:t>אין</w:t>
            </w:r>
            <w:r w:rsidRPr="00AD7C95">
              <w:rPr>
                <w:b w:val="0"/>
                <w:bCs w:val="0"/>
                <w:noProof w:val="0"/>
                <w:rtl/>
              </w:rPr>
              <w:t xml:space="preserve"> </w:t>
            </w:r>
            <w:r w:rsidRPr="00AD7C95">
              <w:rPr>
                <w:rFonts w:hint="cs"/>
                <w:b w:val="0"/>
                <w:bCs w:val="0"/>
                <w:noProof w:val="0"/>
                <w:rtl/>
              </w:rPr>
              <w:t>מקום</w:t>
            </w:r>
            <w:r w:rsidRPr="00AD7C95">
              <w:rPr>
                <w:b w:val="0"/>
                <w:bCs w:val="0"/>
                <w:noProof w:val="0"/>
                <w:rtl/>
              </w:rPr>
              <w:t xml:space="preserve"> </w:t>
            </w:r>
            <w:r w:rsidRPr="00AD7C95">
              <w:rPr>
                <w:rFonts w:hint="cs"/>
                <w:b w:val="0"/>
                <w:bCs w:val="0"/>
                <w:noProof w:val="0"/>
                <w:rtl/>
              </w:rPr>
              <w:t>ששירותי</w:t>
            </w:r>
            <w:r w:rsidRPr="00AD7C95">
              <w:rPr>
                <w:b w:val="0"/>
                <w:bCs w:val="0"/>
                <w:noProof w:val="0"/>
                <w:rtl/>
              </w:rPr>
              <w:t xml:space="preserve"> </w:t>
            </w:r>
            <w:r w:rsidRPr="00AD7C95">
              <w:rPr>
                <w:rFonts w:hint="cs"/>
                <w:b w:val="0"/>
                <w:bCs w:val="0"/>
                <w:noProof w:val="0"/>
                <w:rtl/>
              </w:rPr>
              <w:t>שפיטה</w:t>
            </w:r>
            <w:r w:rsidRPr="00AD7C95">
              <w:rPr>
                <w:b w:val="0"/>
                <w:bCs w:val="0"/>
                <w:noProof w:val="0"/>
                <w:rtl/>
              </w:rPr>
              <w:t xml:space="preserve"> </w:t>
            </w:r>
            <w:r w:rsidRPr="00AD7C95">
              <w:rPr>
                <w:rFonts w:hint="cs"/>
                <w:b w:val="0"/>
                <w:bCs w:val="0"/>
                <w:noProof w:val="0"/>
                <w:rtl/>
              </w:rPr>
              <w:t>יינתנו</w:t>
            </w:r>
            <w:r w:rsidRPr="00AD7C95">
              <w:rPr>
                <w:b w:val="0"/>
                <w:bCs w:val="0"/>
                <w:noProof w:val="0"/>
                <w:rtl/>
              </w:rPr>
              <w:t xml:space="preserve"> </w:t>
            </w:r>
            <w:r w:rsidRPr="00AD7C95">
              <w:rPr>
                <w:rFonts w:hint="cs"/>
                <w:b w:val="0"/>
                <w:bCs w:val="0"/>
                <w:noProof w:val="0"/>
                <w:rtl/>
              </w:rPr>
              <w:t>תמורת תשלום</w:t>
            </w:r>
            <w:r w:rsidRPr="00AD7C95">
              <w:rPr>
                <w:b w:val="0"/>
                <w:bCs w:val="0"/>
                <w:noProof w:val="0"/>
                <w:rtl/>
              </w:rPr>
              <w:t xml:space="preserve"> </w:t>
            </w:r>
            <w:r w:rsidRPr="00AD7C95">
              <w:rPr>
                <w:rFonts w:hint="cs"/>
                <w:b w:val="0"/>
                <w:bCs w:val="0"/>
                <w:noProof w:val="0"/>
                <w:rtl/>
              </w:rPr>
              <w:t>ויווסתו</w:t>
            </w:r>
            <w:r w:rsidRPr="00AD7C95">
              <w:rPr>
                <w:b w:val="0"/>
                <w:bCs w:val="0"/>
                <w:noProof w:val="0"/>
                <w:rtl/>
              </w:rPr>
              <w:t xml:space="preserve"> </w:t>
            </w:r>
            <w:r w:rsidRPr="00AD7C95">
              <w:rPr>
                <w:rFonts w:hint="cs"/>
                <w:b w:val="0"/>
                <w:bCs w:val="0"/>
                <w:noProof w:val="0"/>
                <w:rtl/>
              </w:rPr>
              <w:t>בהתאם</w:t>
            </w:r>
            <w:r w:rsidRPr="00AD7C95">
              <w:rPr>
                <w:b w:val="0"/>
                <w:bCs w:val="0"/>
                <w:noProof w:val="0"/>
                <w:rtl/>
              </w:rPr>
              <w:t xml:space="preserve"> </w:t>
            </w:r>
            <w:r w:rsidRPr="00AD7C95">
              <w:rPr>
                <w:rFonts w:hint="cs"/>
                <w:b w:val="0"/>
                <w:bCs w:val="0"/>
                <w:noProof w:val="0"/>
                <w:rtl/>
              </w:rPr>
              <w:t>לשיעורי</w:t>
            </w:r>
            <w:r w:rsidRPr="00AD7C95">
              <w:rPr>
                <w:b w:val="0"/>
                <w:bCs w:val="0"/>
                <w:noProof w:val="0"/>
                <w:rtl/>
              </w:rPr>
              <w:t xml:space="preserve"> </w:t>
            </w:r>
            <w:r w:rsidRPr="00AD7C95">
              <w:rPr>
                <w:rFonts w:hint="cs"/>
                <w:b w:val="0"/>
                <w:bCs w:val="0"/>
                <w:noProof w:val="0"/>
                <w:rtl/>
              </w:rPr>
              <w:t>היצע</w:t>
            </w:r>
            <w:r w:rsidRPr="00AD7C95">
              <w:rPr>
                <w:b w:val="0"/>
                <w:bCs w:val="0"/>
                <w:noProof w:val="0"/>
                <w:rtl/>
              </w:rPr>
              <w:t xml:space="preserve"> </w:t>
            </w:r>
            <w:r w:rsidRPr="00AD7C95">
              <w:rPr>
                <w:rFonts w:hint="cs"/>
                <w:b w:val="0"/>
                <w:bCs w:val="0"/>
                <w:noProof w:val="0"/>
                <w:rtl/>
              </w:rPr>
              <w:t>וביקוש, היא</w:t>
            </w:r>
            <w:r w:rsidRPr="00AD7C95">
              <w:rPr>
                <w:b w:val="0"/>
                <w:bCs w:val="0"/>
                <w:noProof w:val="0"/>
                <w:rtl/>
              </w:rPr>
              <w:t xml:space="preserve"> ממשיכה לגבות מהרשויות כספים </w:t>
            </w:r>
            <w:r w:rsidRPr="00AD7C95">
              <w:rPr>
                <w:rFonts w:hint="cs"/>
                <w:b w:val="0"/>
                <w:bCs w:val="0"/>
                <w:noProof w:val="0"/>
                <w:rtl/>
              </w:rPr>
              <w:t>המחושבים לפי</w:t>
            </w:r>
            <w:r w:rsidRPr="00AD7C95">
              <w:rPr>
                <w:b w:val="0"/>
                <w:bCs w:val="0"/>
                <w:noProof w:val="0"/>
                <w:rtl/>
              </w:rPr>
              <w:t xml:space="preserve"> </w:t>
            </w:r>
            <w:r w:rsidRPr="00AD7C95">
              <w:rPr>
                <w:rFonts w:hint="cs"/>
                <w:b w:val="0"/>
                <w:bCs w:val="0"/>
                <w:noProof w:val="0"/>
                <w:rtl/>
              </w:rPr>
              <w:t>מספר</w:t>
            </w:r>
            <w:r w:rsidRPr="00AD7C95">
              <w:rPr>
                <w:b w:val="0"/>
                <w:bCs w:val="0"/>
                <w:noProof w:val="0"/>
                <w:rtl/>
              </w:rPr>
              <w:t xml:space="preserve"> ימי שיפוט</w:t>
            </w:r>
            <w:r w:rsidRPr="00AD7C95">
              <w:rPr>
                <w:rFonts w:hint="cs"/>
                <w:b w:val="0"/>
                <w:bCs w:val="0"/>
                <w:noProof w:val="0"/>
                <w:rtl/>
              </w:rPr>
              <w:t xml:space="preserve">, ובמקרים שנתגלעו חילוקי דעות בנוגע לחיוב ימי שיפוט, הם גלשו גם לשאלת התמורה הראויה בעבורם. </w:t>
            </w:r>
          </w:p>
          <w:p w:rsidR="00571FE0" w:rsidRPr="00AD7C95" w:rsidP="00907008">
            <w:pPr>
              <w:pStyle w:val="takzir"/>
              <w:rPr>
                <w:b w:val="0"/>
                <w:bCs w:val="0"/>
                <w:noProof w:val="0"/>
                <w:rtl/>
              </w:rPr>
            </w:pPr>
            <w:r w:rsidRPr="00AD7C95">
              <w:rPr>
                <w:rFonts w:hint="cs"/>
                <w:b w:val="0"/>
                <w:bCs w:val="0"/>
                <w:noProof w:val="0"/>
                <w:rtl/>
              </w:rPr>
              <w:t>הב</w:t>
            </w:r>
            <w:r w:rsidRPr="00AD7C95">
              <w:rPr>
                <w:b w:val="0"/>
                <w:bCs w:val="0"/>
                <w:noProof w:val="0"/>
                <w:rtl/>
              </w:rPr>
              <w:t>"</w:t>
            </w:r>
            <w:r w:rsidRPr="00AD7C95">
              <w:rPr>
                <w:rFonts w:hint="cs"/>
                <w:b w:val="0"/>
                <w:bCs w:val="0"/>
                <w:noProof w:val="0"/>
                <w:rtl/>
              </w:rPr>
              <w:t>ה</w:t>
            </w:r>
            <w:r w:rsidRPr="00AD7C95">
              <w:rPr>
                <w:b w:val="0"/>
                <w:bCs w:val="0"/>
                <w:noProof w:val="0"/>
                <w:rtl/>
              </w:rPr>
              <w:t xml:space="preserve"> </w:t>
            </w:r>
            <w:r w:rsidRPr="00AD7C95">
              <w:rPr>
                <w:rFonts w:hint="cs"/>
                <w:b w:val="0"/>
                <w:bCs w:val="0"/>
                <w:noProof w:val="0"/>
                <w:rtl/>
              </w:rPr>
              <w:t>לא הסדירה הסדרה כוללת את הממשק הכספי שבינה ובין הרשויות ורק שש עיריות חתמו על הסכם שהסדיר רק חלקית ובאופן לא אחיד את הנושא</w:t>
            </w:r>
            <w:r w:rsidRPr="00AD7C95">
              <w:rPr>
                <w:b w:val="0"/>
                <w:bCs w:val="0"/>
                <w:noProof w:val="0"/>
                <w:rtl/>
              </w:rPr>
              <w:t>.</w:t>
            </w:r>
          </w:p>
        </w:tc>
      </w:tr>
      <w:tr w:rsidTr="00AD7C95">
        <w:tblPrEx>
          <w:tblW w:w="6691" w:type="dxa"/>
          <w:jc w:val="center"/>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אי-סדרים באבטחת בתי משפט עמ"ק</w:t>
            </w:r>
          </w:p>
        </w:tc>
      </w:tr>
      <w:tr w:rsidTr="00AD7C95">
        <w:tblPrEx>
          <w:tblW w:w="6691" w:type="dxa"/>
          <w:jc w:val="center"/>
          <w:tblLook w:val="04A0"/>
        </w:tblPrEx>
        <w:trPr>
          <w:cantSplit/>
          <w:jc w:val="center"/>
        </w:trPr>
        <w:tc>
          <w:tcPr>
            <w:tcW w:w="6691" w:type="dxa"/>
          </w:tcPr>
          <w:p w:rsidR="00571FE0" w:rsidRPr="00AD7C95" w:rsidP="00862DE8">
            <w:pPr>
              <w:pStyle w:val="takzir"/>
              <w:spacing w:before="60"/>
              <w:rPr>
                <w:b w:val="0"/>
                <w:bCs w:val="0"/>
                <w:noProof w:val="0"/>
                <w:rtl/>
              </w:rPr>
            </w:pPr>
            <w:r w:rsidRPr="00AD7C95">
              <w:rPr>
                <w:rFonts w:hint="cs"/>
                <w:b w:val="0"/>
                <w:bCs w:val="0"/>
                <w:noProof w:val="0"/>
                <w:rtl/>
              </w:rPr>
              <w:t>צוות העבודה המשותף של הב"ה ומרכז השלטון המקומי לא גיבש עמדה לפתרון בנוגע לחוסר האחידות בהעסקת מאבטחים בבתי המשפט שחלקם עובדי משמר בתי המשפט וחלקם מועסקים על ידי הרשות המקומית. בשישה בתי משפט עמ"ק אין תכניות עבודה ותיקי שטח.</w:t>
            </w:r>
          </w:p>
          <w:p w:rsidR="00571FE0" w:rsidRPr="00AD7C95" w:rsidP="00907008">
            <w:pPr>
              <w:pStyle w:val="takzir"/>
              <w:rPr>
                <w:b w:val="0"/>
                <w:bCs w:val="0"/>
                <w:noProof w:val="0"/>
                <w:rtl/>
              </w:rPr>
            </w:pPr>
            <w:r w:rsidRPr="00AD7C95">
              <w:rPr>
                <w:rFonts w:hint="cs"/>
                <w:b w:val="0"/>
                <w:bCs w:val="0"/>
                <w:noProof w:val="0"/>
                <w:rtl/>
              </w:rPr>
              <w:t>כ-44% מהרשויות המקומיות אינן משלמות להב"ה את התשלום שנקבע בעבור אבטחה, ובכך נוצר אי-שוויון בתשלומים בעבור האבטחה. גם התשלומים שרשויות מקומיות משלמות בעבור אבטחה אינם תואמים את העלויות שנקבעו.</w:t>
            </w:r>
          </w:p>
        </w:tc>
      </w:tr>
    </w:tbl>
    <w:p w:rsidR="00AD7C95" w:rsidP="00AD7C95">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D7C95">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AD7C95" w:rsidP="00AD7C95">
            <w:pPr>
              <w:pStyle w:val="KOT5"/>
              <w:spacing w:before="120"/>
              <w:jc w:val="center"/>
              <w:rPr>
                <w:sz w:val="24"/>
                <w:szCs w:val="24"/>
                <w:rtl/>
              </w:rPr>
            </w:pPr>
            <w:r w:rsidRPr="00AD7C95">
              <w:rPr>
                <w:rFonts w:hint="cs"/>
                <w:sz w:val="24"/>
                <w:szCs w:val="24"/>
                <w:rtl/>
              </w:rPr>
              <w:t>שינוי מודל ההפעלה של בתי משפט עמ"ק</w:t>
            </w:r>
          </w:p>
        </w:tc>
      </w:tr>
      <w:tr w:rsidTr="00AD7C95">
        <w:tblPrEx>
          <w:tblW w:w="6691" w:type="dxa"/>
          <w:jc w:val="center"/>
          <w:tblLook w:val="04A0"/>
        </w:tblPrEx>
        <w:trPr>
          <w:cantSplit/>
          <w:jc w:val="center"/>
        </w:trPr>
        <w:tc>
          <w:tcPr>
            <w:tcW w:w="6691" w:type="dxa"/>
          </w:tcPr>
          <w:p w:rsidR="00AD7C95" w:rsidP="00AD7C95">
            <w:pPr>
              <w:pStyle w:val="takzir"/>
              <w:spacing w:before="60"/>
              <w:rPr>
                <w:b w:val="0"/>
                <w:bCs w:val="0"/>
                <w:noProof w:val="0"/>
                <w:rtl/>
              </w:rPr>
            </w:pPr>
            <w:r w:rsidRPr="00AD7C95">
              <w:rPr>
                <w:rFonts w:hint="cs"/>
                <w:b w:val="0"/>
                <w:bCs w:val="0"/>
                <w:noProof w:val="0"/>
                <w:rtl/>
              </w:rPr>
              <w:t>על אף הצורך שעלה לא אחת לבחינה והחלטה בעניין המערך הארגוני שבמסגרתו פועלים כיום במ"ש עמ"ק, עד תום הביקורת, טרם הותנע מהלך בשיתוף כל הגורמים הרלוונטיים לבחינת העמדות השונות, והמצב נותר כשהיה. גם פעולה בתחום החקיקה לא קודמה, ולא</w:t>
            </w:r>
            <w:r w:rsidRPr="00AD7C95">
              <w:rPr>
                <w:b w:val="0"/>
                <w:bCs w:val="0"/>
                <w:noProof w:val="0"/>
                <w:rtl/>
              </w:rPr>
              <w:t xml:space="preserve"> הותקנו תקנות הנוגעות להסדרי </w:t>
            </w:r>
            <w:r w:rsidRPr="00AD7C95">
              <w:rPr>
                <w:rFonts w:hint="cs"/>
                <w:b w:val="0"/>
                <w:bCs w:val="0"/>
                <w:noProof w:val="0"/>
                <w:rtl/>
              </w:rPr>
              <w:t>המינהל</w:t>
            </w:r>
            <w:r w:rsidRPr="00AD7C95">
              <w:rPr>
                <w:b w:val="0"/>
                <w:bCs w:val="0"/>
                <w:noProof w:val="0"/>
                <w:rtl/>
              </w:rPr>
              <w:t xml:space="preserve"> העיקריים </w:t>
            </w:r>
            <w:r w:rsidRPr="00AD7C95">
              <w:rPr>
                <w:rFonts w:hint="cs"/>
                <w:b w:val="0"/>
                <w:bCs w:val="0"/>
                <w:noProof w:val="0"/>
                <w:rtl/>
              </w:rPr>
              <w:t>בבמ</w:t>
            </w:r>
            <w:r w:rsidRPr="00AD7C95">
              <w:rPr>
                <w:b w:val="0"/>
                <w:bCs w:val="0"/>
                <w:noProof w:val="0"/>
                <w:rtl/>
              </w:rPr>
              <w:t>"ש עמ"ק.</w:t>
            </w:r>
          </w:p>
        </w:tc>
      </w:tr>
    </w:tbl>
    <w:p w:rsidR="001275A6" w:rsidP="00040DAE">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71FE0">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25" w:color="00FF00" w:fill="auto"/>
          </w:tcPr>
          <w:p w:rsidR="001275A6" w:rsidP="00040DAE">
            <w:pPr>
              <w:pStyle w:val="KOT4"/>
              <w:spacing w:before="120"/>
              <w:jc w:val="center"/>
              <w:rPr>
                <w:rtl/>
              </w:rPr>
            </w:pPr>
            <w:r>
              <w:rPr>
                <w:rFonts w:hint="cs"/>
                <w:rtl/>
              </w:rPr>
              <w:t>ה</w:t>
            </w:r>
            <w:r>
              <w:rPr>
                <w:rtl/>
              </w:rPr>
              <w:t xml:space="preserve">המלצות </w:t>
            </w:r>
            <w:r>
              <w:rPr>
                <w:rFonts w:hint="cs"/>
                <w:rtl/>
              </w:rPr>
              <w:t>העיקריות</w:t>
            </w:r>
          </w:p>
        </w:tc>
      </w:tr>
      <w:tr w:rsidTr="00571FE0">
        <w:tblPrEx>
          <w:tblW w:w="6691" w:type="dxa"/>
          <w:jc w:val="center"/>
          <w:tblLook w:val="04A0"/>
        </w:tblPrEx>
        <w:trPr>
          <w:jc w:val="center"/>
        </w:trPr>
        <w:tc>
          <w:tcPr>
            <w:tcW w:w="6691" w:type="dxa"/>
          </w:tcPr>
          <w:p w:rsidR="00571FE0" w:rsidRPr="00571FE0" w:rsidP="00862DE8">
            <w:pPr>
              <w:pStyle w:val="takzir"/>
              <w:spacing w:before="60"/>
              <w:rPr>
                <w:b w:val="0"/>
                <w:bCs w:val="0"/>
                <w:noProof w:val="0"/>
                <w:rtl/>
              </w:rPr>
            </w:pPr>
            <w:r w:rsidRPr="00571FE0">
              <w:rPr>
                <w:rFonts w:hint="cs"/>
                <w:b w:val="0"/>
                <w:bCs w:val="0"/>
                <w:noProof w:val="0"/>
                <w:rtl/>
              </w:rPr>
              <w:t>עבודה מבוססת נהלים המשותפים לכל המזכירויות היא שלב הכרחי ליצירת אחידות, ולפיכך ראוי ש</w:t>
            </w:r>
            <w:r w:rsidRPr="00571FE0">
              <w:rPr>
                <w:rFonts w:hint="eastAsia"/>
                <w:b w:val="0"/>
                <w:bCs w:val="0"/>
                <w:noProof w:val="0"/>
                <w:rtl/>
              </w:rPr>
              <w:t>הב</w:t>
            </w:r>
            <w:r w:rsidRPr="00571FE0">
              <w:rPr>
                <w:b w:val="0"/>
                <w:bCs w:val="0"/>
                <w:noProof w:val="0"/>
                <w:rtl/>
              </w:rPr>
              <w:t xml:space="preserve">"ה </w:t>
            </w:r>
            <w:r w:rsidRPr="00571FE0">
              <w:rPr>
                <w:rFonts w:hint="cs"/>
                <w:b w:val="0"/>
                <w:bCs w:val="0"/>
                <w:noProof w:val="0"/>
                <w:rtl/>
              </w:rPr>
              <w:t>תשלים במהרה גם את ההכנה של</w:t>
            </w:r>
            <w:r w:rsidRPr="00571FE0">
              <w:rPr>
                <w:b w:val="0"/>
                <w:bCs w:val="0"/>
                <w:noProof w:val="0"/>
                <w:rtl/>
              </w:rPr>
              <w:t xml:space="preserve"> </w:t>
            </w:r>
            <w:r w:rsidRPr="00571FE0">
              <w:rPr>
                <w:rFonts w:hint="eastAsia"/>
                <w:b w:val="0"/>
                <w:bCs w:val="0"/>
                <w:noProof w:val="0"/>
                <w:rtl/>
              </w:rPr>
              <w:t>מאגר</w:t>
            </w:r>
            <w:r w:rsidRPr="00571FE0">
              <w:rPr>
                <w:b w:val="0"/>
                <w:bCs w:val="0"/>
                <w:noProof w:val="0"/>
                <w:rtl/>
              </w:rPr>
              <w:t xml:space="preserve"> </w:t>
            </w:r>
            <w:r w:rsidRPr="00571FE0">
              <w:rPr>
                <w:rFonts w:hint="cs"/>
                <w:b w:val="0"/>
                <w:bCs w:val="0"/>
                <w:noProof w:val="0"/>
                <w:rtl/>
              </w:rPr>
              <w:t xml:space="preserve">אחיד שיכלול </w:t>
            </w:r>
            <w:r w:rsidRPr="00571FE0">
              <w:rPr>
                <w:b w:val="0"/>
                <w:bCs w:val="0"/>
                <w:noProof w:val="0"/>
                <w:rtl/>
              </w:rPr>
              <w:t>נהלים</w:t>
            </w:r>
            <w:r w:rsidRPr="00571FE0">
              <w:rPr>
                <w:rFonts w:hint="cs"/>
                <w:b w:val="0"/>
                <w:bCs w:val="0"/>
                <w:noProof w:val="0"/>
                <w:rtl/>
              </w:rPr>
              <w:t xml:space="preserve"> ועליה להסמיך גורם מקצועי אחד שיהיה אחראי להפצה מסודרת של הנהלים למזכירויות ויוודא שכל נוהלי העבודה העדכניים יעמדו לרשותן.</w:t>
            </w:r>
          </w:p>
          <w:p w:rsidR="00571FE0" w:rsidRPr="00571FE0" w:rsidP="00907008">
            <w:pPr>
              <w:pStyle w:val="takzir"/>
              <w:rPr>
                <w:b w:val="0"/>
                <w:bCs w:val="0"/>
                <w:noProof w:val="0"/>
                <w:rtl/>
              </w:rPr>
            </w:pPr>
            <w:r w:rsidRPr="00571FE0">
              <w:rPr>
                <w:rFonts w:hint="cs"/>
                <w:b w:val="0"/>
                <w:bCs w:val="0"/>
                <w:noProof w:val="0"/>
                <w:rtl/>
              </w:rPr>
              <w:t>על הב"ה להשלים בהקדם את תכנית ההיערכות להטמעת נט המשפט בכל במ"ש עמ"ק. כמו כן עליה לקיים את ההליכים הנדרשים לאישור תכנית ההיערכות כדי להביא לידי מימושה ללא דיחוי. עליה להטמיע את נט המשפט במקומות שהרשויות המקומיות אינן מתנגדות לכך, ובמקרים בהם היא נתקלת בהתנגדות של רשויות מקומיות עליה לבוא</w:t>
            </w:r>
            <w:r w:rsidRPr="00571FE0">
              <w:rPr>
                <w:b w:val="0"/>
                <w:bCs w:val="0"/>
                <w:noProof w:val="0"/>
                <w:rtl/>
              </w:rPr>
              <w:t xml:space="preserve"> </w:t>
            </w:r>
            <w:r w:rsidRPr="00571FE0">
              <w:rPr>
                <w:rFonts w:hint="cs"/>
                <w:b w:val="0"/>
                <w:bCs w:val="0"/>
                <w:noProof w:val="0"/>
                <w:rtl/>
              </w:rPr>
              <w:t>עימן</w:t>
            </w:r>
            <w:r w:rsidRPr="00571FE0">
              <w:rPr>
                <w:b w:val="0"/>
                <w:bCs w:val="0"/>
                <w:noProof w:val="0"/>
                <w:rtl/>
              </w:rPr>
              <w:t xml:space="preserve"> בדברים, למצוא פתרונות, ובמידת הצורך </w:t>
            </w:r>
            <w:r w:rsidRPr="00571FE0">
              <w:rPr>
                <w:rFonts w:hint="cs"/>
                <w:b w:val="0"/>
                <w:bCs w:val="0"/>
                <w:noProof w:val="0"/>
                <w:rtl/>
              </w:rPr>
              <w:t>לבחון את הדרכים שבהן ניתן לחייב אותן להתקין אותה. עליה לבדוק את הפערים שנתגלו בנוגע לעלויות של התקנת המערכת ותחזוקתה בבתי משפט עמ"ק המחוברים אליה.</w:t>
            </w:r>
          </w:p>
          <w:p w:rsidR="00571FE0" w:rsidRPr="00571FE0" w:rsidP="00907008">
            <w:pPr>
              <w:pStyle w:val="takzir"/>
              <w:rPr>
                <w:b w:val="0"/>
                <w:bCs w:val="0"/>
                <w:noProof w:val="0"/>
                <w:rtl/>
              </w:rPr>
            </w:pPr>
            <w:r w:rsidRPr="00571FE0">
              <w:rPr>
                <w:rFonts w:hint="cs"/>
                <w:b w:val="0"/>
                <w:bCs w:val="0"/>
                <w:noProof w:val="0"/>
                <w:rtl/>
              </w:rPr>
              <w:t>ראוי</w:t>
            </w:r>
            <w:r w:rsidRPr="00571FE0">
              <w:rPr>
                <w:b w:val="0"/>
                <w:bCs w:val="0"/>
                <w:noProof w:val="0"/>
                <w:rtl/>
              </w:rPr>
              <w:t xml:space="preserve"> שתחומי </w:t>
            </w:r>
            <w:r w:rsidRPr="00571FE0">
              <w:rPr>
                <w:rFonts w:hint="cs"/>
                <w:b w:val="0"/>
                <w:bCs w:val="0"/>
                <w:noProof w:val="0"/>
                <w:rtl/>
              </w:rPr>
              <w:t>אחריותה</w:t>
            </w:r>
            <w:r w:rsidRPr="00571FE0">
              <w:rPr>
                <w:b w:val="0"/>
                <w:bCs w:val="0"/>
                <w:noProof w:val="0"/>
                <w:rtl/>
              </w:rPr>
              <w:t xml:space="preserve"> </w:t>
            </w:r>
            <w:r w:rsidRPr="00571FE0">
              <w:rPr>
                <w:rFonts w:hint="cs"/>
                <w:b w:val="0"/>
                <w:bCs w:val="0"/>
                <w:noProof w:val="0"/>
                <w:rtl/>
              </w:rPr>
              <w:t>המקצועית</w:t>
            </w:r>
            <w:r w:rsidRPr="00571FE0">
              <w:rPr>
                <w:b w:val="0"/>
                <w:bCs w:val="0"/>
                <w:noProof w:val="0"/>
                <w:rtl/>
              </w:rPr>
              <w:t xml:space="preserve"> </w:t>
            </w:r>
            <w:r w:rsidRPr="00571FE0">
              <w:rPr>
                <w:rFonts w:hint="cs"/>
                <w:b w:val="0"/>
                <w:bCs w:val="0"/>
                <w:noProof w:val="0"/>
                <w:rtl/>
              </w:rPr>
              <w:t>של</w:t>
            </w:r>
            <w:r w:rsidRPr="00571FE0">
              <w:rPr>
                <w:b w:val="0"/>
                <w:bCs w:val="0"/>
                <w:noProof w:val="0"/>
                <w:rtl/>
              </w:rPr>
              <w:t xml:space="preserve"> </w:t>
            </w:r>
            <w:r w:rsidRPr="00571FE0">
              <w:rPr>
                <w:rFonts w:hint="cs"/>
                <w:b w:val="0"/>
                <w:bCs w:val="0"/>
                <w:noProof w:val="0"/>
                <w:rtl/>
              </w:rPr>
              <w:t>הב</w:t>
            </w:r>
            <w:r w:rsidRPr="00571FE0">
              <w:rPr>
                <w:b w:val="0"/>
                <w:bCs w:val="0"/>
                <w:noProof w:val="0"/>
                <w:rtl/>
              </w:rPr>
              <w:t xml:space="preserve">"ה, </w:t>
            </w:r>
            <w:r w:rsidRPr="00571FE0">
              <w:rPr>
                <w:rFonts w:hint="cs"/>
                <w:b w:val="0"/>
                <w:bCs w:val="0"/>
                <w:noProof w:val="0"/>
                <w:rtl/>
              </w:rPr>
              <w:t>הכוללים</w:t>
            </w:r>
            <w:r w:rsidRPr="00571FE0">
              <w:rPr>
                <w:b w:val="0"/>
                <w:bCs w:val="0"/>
                <w:noProof w:val="0"/>
                <w:rtl/>
              </w:rPr>
              <w:t xml:space="preserve"> בין היתר הדרכות, התקנת נט המשפט, אבטחה, </w:t>
            </w:r>
            <w:r w:rsidRPr="00571FE0">
              <w:rPr>
                <w:rFonts w:hint="cs"/>
                <w:b w:val="0"/>
                <w:bCs w:val="0"/>
                <w:noProof w:val="0"/>
                <w:rtl/>
              </w:rPr>
              <w:t>תכנון</w:t>
            </w:r>
            <w:r w:rsidRPr="00571FE0">
              <w:rPr>
                <w:b w:val="0"/>
                <w:bCs w:val="0"/>
                <w:noProof w:val="0"/>
                <w:rtl/>
              </w:rPr>
              <w:t xml:space="preserve"> בקרה </w:t>
            </w:r>
            <w:r w:rsidRPr="00571FE0">
              <w:rPr>
                <w:rFonts w:hint="cs"/>
                <w:b w:val="0"/>
                <w:bCs w:val="0"/>
                <w:noProof w:val="0"/>
                <w:rtl/>
              </w:rPr>
              <w:t>ופיקוח</w:t>
            </w:r>
            <w:r w:rsidRPr="00571FE0">
              <w:rPr>
                <w:b w:val="0"/>
                <w:bCs w:val="0"/>
                <w:noProof w:val="0"/>
                <w:rtl/>
              </w:rPr>
              <w:t xml:space="preserve"> שוטף </w:t>
            </w:r>
            <w:r w:rsidRPr="00571FE0">
              <w:rPr>
                <w:rFonts w:hint="cs"/>
                <w:b w:val="0"/>
                <w:bCs w:val="0"/>
                <w:noProof w:val="0"/>
                <w:rtl/>
              </w:rPr>
              <w:t>ואקטיבי</w:t>
            </w:r>
            <w:r w:rsidRPr="00571FE0">
              <w:rPr>
                <w:b w:val="0"/>
                <w:bCs w:val="0"/>
                <w:noProof w:val="0"/>
                <w:rtl/>
              </w:rPr>
              <w:t xml:space="preserve"> </w:t>
            </w:r>
            <w:r w:rsidRPr="00571FE0">
              <w:rPr>
                <w:rFonts w:hint="cs"/>
                <w:b w:val="0"/>
                <w:bCs w:val="0"/>
                <w:noProof w:val="0"/>
                <w:rtl/>
              </w:rPr>
              <w:t>וקביעת</w:t>
            </w:r>
            <w:r w:rsidRPr="00571FE0">
              <w:rPr>
                <w:b w:val="0"/>
                <w:bCs w:val="0"/>
                <w:noProof w:val="0"/>
                <w:rtl/>
              </w:rPr>
              <w:t xml:space="preserve"> סנקציות </w:t>
            </w:r>
            <w:r w:rsidRPr="00571FE0">
              <w:rPr>
                <w:rFonts w:hint="cs"/>
                <w:b w:val="0"/>
                <w:bCs w:val="0"/>
                <w:noProof w:val="0"/>
                <w:rtl/>
              </w:rPr>
              <w:t>מינהליות</w:t>
            </w:r>
            <w:r w:rsidRPr="00571FE0">
              <w:rPr>
                <w:b w:val="0"/>
                <w:bCs w:val="0"/>
                <w:noProof w:val="0"/>
                <w:rtl/>
              </w:rPr>
              <w:t xml:space="preserve"> - </w:t>
            </w:r>
            <w:r w:rsidRPr="00571FE0">
              <w:rPr>
                <w:rFonts w:hint="cs"/>
                <w:b w:val="0"/>
                <w:bCs w:val="0"/>
                <w:noProof w:val="0"/>
                <w:rtl/>
              </w:rPr>
              <w:t>יבואו</w:t>
            </w:r>
            <w:r w:rsidRPr="00571FE0">
              <w:rPr>
                <w:b w:val="0"/>
                <w:bCs w:val="0"/>
                <w:noProof w:val="0"/>
                <w:rtl/>
              </w:rPr>
              <w:t xml:space="preserve"> </w:t>
            </w:r>
            <w:r w:rsidRPr="00571FE0">
              <w:rPr>
                <w:rFonts w:hint="cs"/>
                <w:b w:val="0"/>
                <w:bCs w:val="0"/>
                <w:noProof w:val="0"/>
                <w:rtl/>
              </w:rPr>
              <w:t>לידי</w:t>
            </w:r>
            <w:r w:rsidRPr="00571FE0">
              <w:rPr>
                <w:b w:val="0"/>
                <w:bCs w:val="0"/>
                <w:noProof w:val="0"/>
                <w:rtl/>
              </w:rPr>
              <w:t xml:space="preserve"> </w:t>
            </w:r>
            <w:r w:rsidRPr="00571FE0">
              <w:rPr>
                <w:rFonts w:hint="cs"/>
                <w:b w:val="0"/>
                <w:bCs w:val="0"/>
                <w:noProof w:val="0"/>
                <w:rtl/>
              </w:rPr>
              <w:t>ביטוי</w:t>
            </w:r>
            <w:r w:rsidRPr="00571FE0">
              <w:rPr>
                <w:b w:val="0"/>
                <w:bCs w:val="0"/>
                <w:noProof w:val="0"/>
                <w:rtl/>
              </w:rPr>
              <w:t xml:space="preserve"> בנוהל עבודה גלוי ונגיש לעובדי המזכירויות. </w:t>
            </w:r>
            <w:r w:rsidRPr="00571FE0">
              <w:rPr>
                <w:rFonts w:hint="cs"/>
                <w:b w:val="0"/>
                <w:bCs w:val="0"/>
                <w:noProof w:val="0"/>
                <w:rtl/>
              </w:rPr>
              <w:t>מהלך</w:t>
            </w:r>
            <w:r w:rsidRPr="00571FE0">
              <w:rPr>
                <w:b w:val="0"/>
                <w:bCs w:val="0"/>
                <w:noProof w:val="0"/>
                <w:rtl/>
              </w:rPr>
              <w:t xml:space="preserve"> כזה יבטא את חובותיה של הב"ה כלפי במ"ש עמ"ק, יגדיר בצורה ממצה ועקבית את מתחם האחריות המקצועית שלה כלפי עובדי מזכירויות במ"ש עמ"ק ואת גבולות האחריות </w:t>
            </w:r>
            <w:r w:rsidRPr="00571FE0">
              <w:rPr>
                <w:rFonts w:hint="cs"/>
                <w:b w:val="0"/>
                <w:bCs w:val="0"/>
                <w:noProof w:val="0"/>
                <w:rtl/>
              </w:rPr>
              <w:t>המינהלית</w:t>
            </w:r>
            <w:r w:rsidRPr="00571FE0">
              <w:rPr>
                <w:b w:val="0"/>
                <w:bCs w:val="0"/>
                <w:noProof w:val="0"/>
                <w:rtl/>
              </w:rPr>
              <w:t xml:space="preserve"> של הרשויות המקומיות. על הב"ה להקפיד שתכנית העבודה השנתית תקיף את כל תחומי אחריותה המקצועית. </w:t>
            </w:r>
          </w:p>
          <w:p w:rsidR="00571FE0" w:rsidRPr="00571FE0" w:rsidP="00907008">
            <w:pPr>
              <w:pStyle w:val="takzir"/>
              <w:rPr>
                <w:b w:val="0"/>
                <w:bCs w:val="0"/>
                <w:noProof w:val="0"/>
                <w:rtl/>
              </w:rPr>
            </w:pPr>
            <w:r w:rsidRPr="00571FE0">
              <w:rPr>
                <w:rFonts w:hint="cs"/>
                <w:b w:val="0"/>
                <w:bCs w:val="0"/>
                <w:noProof w:val="0"/>
                <w:rtl/>
              </w:rPr>
              <w:t>על הב"ה לבדוק את היקפי הפעילות המעודכנים של במ"ש עמ"ק, ולגבש עמדה בשאלת</w:t>
            </w:r>
            <w:r w:rsidRPr="00571FE0">
              <w:rPr>
                <w:b w:val="0"/>
                <w:bCs w:val="0"/>
                <w:noProof w:val="0"/>
                <w:rtl/>
              </w:rPr>
              <w:t xml:space="preserve"> </w:t>
            </w:r>
            <w:r w:rsidRPr="00571FE0">
              <w:rPr>
                <w:rFonts w:hint="cs"/>
                <w:b w:val="0"/>
                <w:bCs w:val="0"/>
                <w:noProof w:val="0"/>
                <w:rtl/>
              </w:rPr>
              <w:t xml:space="preserve">הצדקת </w:t>
            </w:r>
            <w:r w:rsidRPr="00571FE0">
              <w:rPr>
                <w:b w:val="0"/>
                <w:bCs w:val="0"/>
                <w:noProof w:val="0"/>
                <w:rtl/>
              </w:rPr>
              <w:t xml:space="preserve">קיומם הנפרד </w:t>
            </w:r>
            <w:r w:rsidRPr="00571FE0">
              <w:rPr>
                <w:rFonts w:hint="cs"/>
                <w:b w:val="0"/>
                <w:bCs w:val="0"/>
                <w:noProof w:val="0"/>
                <w:rtl/>
              </w:rPr>
              <w:t>מבית</w:t>
            </w:r>
            <w:r w:rsidRPr="00571FE0">
              <w:rPr>
                <w:b w:val="0"/>
                <w:bCs w:val="0"/>
                <w:noProof w:val="0"/>
                <w:rtl/>
              </w:rPr>
              <w:t xml:space="preserve"> משפט השלום</w:t>
            </w:r>
            <w:r w:rsidRPr="00571FE0">
              <w:rPr>
                <w:rFonts w:hint="cs"/>
                <w:b w:val="0"/>
                <w:bCs w:val="0"/>
                <w:noProof w:val="0"/>
                <w:rtl/>
              </w:rPr>
              <w:t xml:space="preserve"> או הצורך באיחוד של חלקם. הב"ה נדרשת גם לבחון את הפערים ש</w:t>
            </w:r>
            <w:r w:rsidRPr="00571FE0">
              <w:rPr>
                <w:b w:val="0"/>
                <w:bCs w:val="0"/>
                <w:noProof w:val="0"/>
                <w:rtl/>
              </w:rPr>
              <w:t xml:space="preserve">בין </w:t>
            </w:r>
            <w:r w:rsidRPr="00571FE0">
              <w:rPr>
                <w:rFonts w:hint="cs"/>
                <w:b w:val="0"/>
                <w:bCs w:val="0"/>
                <w:noProof w:val="0"/>
                <w:rtl/>
              </w:rPr>
              <w:t>אזורי השיפוט ו</w:t>
            </w:r>
            <w:r w:rsidRPr="00571FE0">
              <w:rPr>
                <w:b w:val="0"/>
                <w:bCs w:val="0"/>
                <w:noProof w:val="0"/>
                <w:rtl/>
              </w:rPr>
              <w:t xml:space="preserve">הסמכויות </w:t>
            </w:r>
            <w:r w:rsidRPr="00571FE0">
              <w:rPr>
                <w:rFonts w:hint="cs"/>
                <w:b w:val="0"/>
                <w:bCs w:val="0"/>
                <w:noProof w:val="0"/>
                <w:rtl/>
              </w:rPr>
              <w:t>שנקבעו בצו למצב בפועל, ולהחליט אם לתקן ולהתאים את הצו למצב הקיים, או לגבש דרכי פעולה להתאמת פעילות כל בתי המשפט לצו באופן שיקדם את האינטרס הציבורי.</w:t>
            </w:r>
          </w:p>
          <w:p w:rsidR="00571FE0" w:rsidRPr="00571FE0" w:rsidP="00907008">
            <w:pPr>
              <w:pStyle w:val="takzir"/>
              <w:rPr>
                <w:b w:val="0"/>
                <w:bCs w:val="0"/>
                <w:noProof w:val="0"/>
                <w:rtl/>
              </w:rPr>
            </w:pPr>
            <w:r w:rsidRPr="00571FE0">
              <w:rPr>
                <w:rFonts w:hint="cs"/>
                <w:b w:val="0"/>
                <w:bCs w:val="0"/>
                <w:noProof w:val="0"/>
                <w:rtl/>
              </w:rPr>
              <w:t>קיימת</w:t>
            </w:r>
            <w:r w:rsidRPr="00571FE0">
              <w:rPr>
                <w:b w:val="0"/>
                <w:bCs w:val="0"/>
                <w:noProof w:val="0"/>
                <w:rtl/>
              </w:rPr>
              <w:t xml:space="preserve"> </w:t>
            </w:r>
            <w:r w:rsidRPr="00571FE0">
              <w:rPr>
                <w:rFonts w:hint="cs"/>
                <w:b w:val="0"/>
                <w:bCs w:val="0"/>
                <w:noProof w:val="0"/>
                <w:rtl/>
              </w:rPr>
              <w:t>חשיבות</w:t>
            </w:r>
            <w:r w:rsidRPr="00571FE0">
              <w:rPr>
                <w:b w:val="0"/>
                <w:bCs w:val="0"/>
                <w:noProof w:val="0"/>
                <w:rtl/>
              </w:rPr>
              <w:t xml:space="preserve"> </w:t>
            </w:r>
            <w:r w:rsidRPr="00571FE0">
              <w:rPr>
                <w:rFonts w:hint="cs"/>
                <w:b w:val="0"/>
                <w:bCs w:val="0"/>
                <w:noProof w:val="0"/>
                <w:rtl/>
              </w:rPr>
              <w:t>רבה</w:t>
            </w:r>
            <w:r w:rsidRPr="00571FE0">
              <w:rPr>
                <w:b w:val="0"/>
                <w:bCs w:val="0"/>
                <w:noProof w:val="0"/>
                <w:rtl/>
              </w:rPr>
              <w:t xml:space="preserve"> </w:t>
            </w:r>
            <w:r w:rsidRPr="00571FE0">
              <w:rPr>
                <w:rFonts w:hint="cs"/>
                <w:b w:val="0"/>
                <w:bCs w:val="0"/>
                <w:noProof w:val="0"/>
                <w:rtl/>
              </w:rPr>
              <w:t>לקביעת</w:t>
            </w:r>
            <w:r w:rsidRPr="00571FE0">
              <w:rPr>
                <w:b w:val="0"/>
                <w:bCs w:val="0"/>
                <w:noProof w:val="0"/>
                <w:rtl/>
              </w:rPr>
              <w:t xml:space="preserve"> </w:t>
            </w:r>
            <w:r w:rsidRPr="00571FE0">
              <w:rPr>
                <w:rFonts w:hint="cs"/>
                <w:b w:val="0"/>
                <w:bCs w:val="0"/>
                <w:noProof w:val="0"/>
                <w:rtl/>
              </w:rPr>
              <w:t>סדרי</w:t>
            </w:r>
            <w:r w:rsidRPr="00571FE0">
              <w:rPr>
                <w:b w:val="0"/>
                <w:bCs w:val="0"/>
                <w:noProof w:val="0"/>
                <w:rtl/>
              </w:rPr>
              <w:t xml:space="preserve"> </w:t>
            </w:r>
            <w:r w:rsidRPr="00571FE0">
              <w:rPr>
                <w:rFonts w:hint="cs"/>
                <w:b w:val="0"/>
                <w:bCs w:val="0"/>
                <w:noProof w:val="0"/>
                <w:rtl/>
              </w:rPr>
              <w:t>העבודה</w:t>
            </w:r>
            <w:r w:rsidRPr="00571FE0">
              <w:rPr>
                <w:b w:val="0"/>
                <w:bCs w:val="0"/>
                <w:noProof w:val="0"/>
                <w:rtl/>
              </w:rPr>
              <w:t xml:space="preserve"> </w:t>
            </w:r>
            <w:r w:rsidRPr="00571FE0">
              <w:rPr>
                <w:rFonts w:hint="cs"/>
                <w:b w:val="0"/>
                <w:bCs w:val="0"/>
                <w:noProof w:val="0"/>
                <w:rtl/>
              </w:rPr>
              <w:t>בבתי המשפט באזור יהודה ושומרון כפי שנקבע בתקנון</w:t>
            </w:r>
            <w:r w:rsidRPr="00571FE0">
              <w:rPr>
                <w:b w:val="0"/>
                <w:bCs w:val="0"/>
                <w:noProof w:val="0"/>
                <w:rtl/>
              </w:rPr>
              <w:t xml:space="preserve">. </w:t>
            </w:r>
          </w:p>
          <w:p w:rsidR="00571FE0" w:rsidRPr="00571FE0" w:rsidP="00907008">
            <w:pPr>
              <w:pStyle w:val="takzir"/>
              <w:rPr>
                <w:b w:val="0"/>
                <w:bCs w:val="0"/>
                <w:noProof w:val="0"/>
                <w:rtl/>
              </w:rPr>
            </w:pPr>
            <w:r w:rsidRPr="00571FE0">
              <w:rPr>
                <w:rFonts w:hint="cs"/>
                <w:b w:val="0"/>
                <w:bCs w:val="0"/>
                <w:noProof w:val="0"/>
                <w:rtl/>
              </w:rPr>
              <w:t>על הב"ה לרכז נתונים עדכניים של העובדים ברשויות ובהם פרטים על כפיפותם המינהלית ועל הקובלים המשמעתיים. על הרשויות המקומיות להתאים את כפיפותם המינהלית של העובדים להנחיות הב"ה ולהעביר להב"ה כתבי מינוי של קובלים משמעתיים.</w:t>
            </w:r>
          </w:p>
          <w:p w:rsidR="00571FE0" w:rsidRPr="00571FE0" w:rsidP="00907008">
            <w:pPr>
              <w:pStyle w:val="takzir"/>
              <w:rPr>
                <w:b w:val="0"/>
                <w:bCs w:val="0"/>
                <w:noProof w:val="0"/>
                <w:rtl/>
              </w:rPr>
            </w:pPr>
            <w:r w:rsidRPr="00571FE0">
              <w:rPr>
                <w:rFonts w:hint="cs"/>
                <w:b w:val="0"/>
                <w:bCs w:val="0"/>
                <w:noProof w:val="0"/>
                <w:rtl/>
              </w:rPr>
              <w:t>על הב"ה להמשיך ולהתרות בפני הרשויות שלא לשלב מדורי גבייה עם במ"ש עמ"ק, ולשקול את הצעדים שעליה לנקוט כנגד רשויות שאינן מקיימות את הנחיותיה בעניין זה.</w:t>
            </w:r>
          </w:p>
          <w:p w:rsidR="00571FE0" w:rsidRPr="00571FE0" w:rsidP="00907008">
            <w:pPr>
              <w:pStyle w:val="takzir"/>
              <w:rPr>
                <w:b w:val="0"/>
                <w:bCs w:val="0"/>
                <w:noProof w:val="0"/>
                <w:rtl/>
              </w:rPr>
            </w:pPr>
            <w:r w:rsidRPr="00571FE0">
              <w:rPr>
                <w:rFonts w:hint="cs"/>
                <w:b w:val="0"/>
                <w:bCs w:val="0"/>
                <w:noProof w:val="0"/>
                <w:rtl/>
              </w:rPr>
              <w:t>מן הראוי שהב"ה, הרשויות המקומיות ומשרד הפנים יפעלו ביחד כדי להתאים ולעדכן את הגדרת תפקידם של מזכירי בתי המשפט עמ"ק באופן שיאפשר את ניתוק הזיקה בין בתי המשפט עמ"ק והרשויות המקומיות.</w:t>
            </w:r>
          </w:p>
          <w:p w:rsidR="00571FE0" w:rsidRPr="00571FE0" w:rsidP="00907008">
            <w:pPr>
              <w:pStyle w:val="takzir"/>
              <w:rPr>
                <w:b w:val="0"/>
                <w:bCs w:val="0"/>
                <w:noProof w:val="0"/>
                <w:rtl/>
              </w:rPr>
            </w:pPr>
            <w:r w:rsidRPr="00571FE0">
              <w:rPr>
                <w:rFonts w:hint="cs"/>
                <w:b w:val="0"/>
                <w:bCs w:val="0"/>
                <w:noProof w:val="0"/>
                <w:rtl/>
              </w:rPr>
              <w:t>על מזכירויות במ</w:t>
            </w:r>
            <w:r w:rsidRPr="00571FE0">
              <w:rPr>
                <w:b w:val="0"/>
                <w:bCs w:val="0"/>
                <w:noProof w:val="0"/>
                <w:rtl/>
              </w:rPr>
              <w:t>"</w:t>
            </w:r>
            <w:r w:rsidRPr="00571FE0">
              <w:rPr>
                <w:rFonts w:hint="cs"/>
                <w:b w:val="0"/>
                <w:bCs w:val="0"/>
                <w:noProof w:val="0"/>
                <w:rtl/>
              </w:rPr>
              <w:t>ש עמ"ק לוודא, כי כספי קנסות ייזקפו למוטבים בהתאם לחוק. על הב"ה ומשרד המשפטים לבחון בשיתוף את הדרכים שיש לנקוט כדי לוודא זאת.</w:t>
            </w:r>
          </w:p>
          <w:p w:rsidR="00571FE0" w:rsidRPr="00571FE0" w:rsidP="00907008">
            <w:pPr>
              <w:pStyle w:val="takzir"/>
              <w:rPr>
                <w:b w:val="0"/>
                <w:bCs w:val="0"/>
                <w:noProof w:val="0"/>
                <w:rtl/>
              </w:rPr>
            </w:pPr>
            <w:r w:rsidRPr="00571FE0">
              <w:rPr>
                <w:b w:val="0"/>
                <w:bCs w:val="0"/>
                <w:noProof w:val="0"/>
                <w:rtl/>
              </w:rPr>
              <w:t xml:space="preserve">יש להקפיד הקפדה יתרה על ניתוק הזיקה </w:t>
            </w:r>
            <w:r w:rsidRPr="00571FE0">
              <w:rPr>
                <w:rFonts w:hint="cs"/>
                <w:b w:val="0"/>
                <w:bCs w:val="0"/>
                <w:noProof w:val="0"/>
                <w:rtl/>
              </w:rPr>
              <w:t>ש</w:t>
            </w:r>
            <w:r w:rsidRPr="00571FE0">
              <w:rPr>
                <w:b w:val="0"/>
                <w:bCs w:val="0"/>
                <w:noProof w:val="0"/>
                <w:rtl/>
              </w:rPr>
              <w:t xml:space="preserve">בין הרשות המקומית </w:t>
            </w:r>
            <w:r w:rsidRPr="00571FE0">
              <w:rPr>
                <w:rFonts w:hint="cs"/>
                <w:b w:val="0"/>
                <w:bCs w:val="0"/>
                <w:noProof w:val="0"/>
                <w:rtl/>
              </w:rPr>
              <w:t>ו</w:t>
            </w:r>
            <w:r w:rsidRPr="00571FE0">
              <w:rPr>
                <w:b w:val="0"/>
                <w:bCs w:val="0"/>
                <w:noProof w:val="0"/>
                <w:rtl/>
              </w:rPr>
              <w:t>בין המנגנון השיפוטי של ב</w:t>
            </w:r>
            <w:r w:rsidRPr="00571FE0">
              <w:rPr>
                <w:rFonts w:hint="cs"/>
                <w:b w:val="0"/>
                <w:bCs w:val="0"/>
                <w:noProof w:val="0"/>
                <w:rtl/>
              </w:rPr>
              <w:t>מ"ש עמ"ק</w:t>
            </w:r>
            <w:r w:rsidRPr="00571FE0">
              <w:rPr>
                <w:b w:val="0"/>
                <w:bCs w:val="0"/>
                <w:noProof w:val="0"/>
                <w:rtl/>
              </w:rPr>
              <w:t xml:space="preserve">, </w:t>
            </w:r>
            <w:r w:rsidRPr="00571FE0">
              <w:rPr>
                <w:rFonts w:hint="cs"/>
                <w:b w:val="0"/>
                <w:bCs w:val="0"/>
                <w:noProof w:val="0"/>
                <w:rtl/>
              </w:rPr>
              <w:t>לרבות היעדר זיקה, תלות ו</w:t>
            </w:r>
            <w:r w:rsidRPr="00571FE0">
              <w:rPr>
                <w:b w:val="0"/>
                <w:bCs w:val="0"/>
                <w:noProof w:val="0"/>
                <w:rtl/>
              </w:rPr>
              <w:t xml:space="preserve">מניעת התדיינויות על </w:t>
            </w:r>
            <w:r w:rsidRPr="00571FE0">
              <w:rPr>
                <w:rFonts w:hint="cs"/>
                <w:b w:val="0"/>
                <w:bCs w:val="0"/>
                <w:noProof w:val="0"/>
                <w:rtl/>
              </w:rPr>
              <w:t>התשלום</w:t>
            </w:r>
            <w:r w:rsidRPr="00571FE0">
              <w:rPr>
                <w:b w:val="0"/>
                <w:bCs w:val="0"/>
                <w:noProof w:val="0"/>
                <w:rtl/>
              </w:rPr>
              <w:t xml:space="preserve"> </w:t>
            </w:r>
            <w:r w:rsidRPr="00571FE0">
              <w:rPr>
                <w:rFonts w:hint="cs"/>
                <w:b w:val="0"/>
                <w:bCs w:val="0"/>
                <w:noProof w:val="0"/>
                <w:rtl/>
              </w:rPr>
              <w:t>בעבור</w:t>
            </w:r>
            <w:r w:rsidRPr="00571FE0">
              <w:rPr>
                <w:b w:val="0"/>
                <w:bCs w:val="0"/>
                <w:noProof w:val="0"/>
                <w:rtl/>
              </w:rPr>
              <w:t xml:space="preserve"> </w:t>
            </w:r>
            <w:r w:rsidRPr="00571FE0">
              <w:rPr>
                <w:rFonts w:hint="cs"/>
                <w:b w:val="0"/>
                <w:bCs w:val="0"/>
                <w:noProof w:val="0"/>
                <w:rtl/>
              </w:rPr>
              <w:t>ימי</w:t>
            </w:r>
            <w:r w:rsidRPr="00571FE0">
              <w:rPr>
                <w:b w:val="0"/>
                <w:bCs w:val="0"/>
                <w:noProof w:val="0"/>
                <w:rtl/>
              </w:rPr>
              <w:t xml:space="preserve"> </w:t>
            </w:r>
            <w:r w:rsidRPr="00571FE0">
              <w:rPr>
                <w:rFonts w:hint="cs"/>
                <w:b w:val="0"/>
                <w:bCs w:val="0"/>
                <w:noProof w:val="0"/>
                <w:rtl/>
              </w:rPr>
              <w:t>שיפוט</w:t>
            </w:r>
            <w:r w:rsidRPr="00571FE0">
              <w:rPr>
                <w:b w:val="0"/>
                <w:bCs w:val="0"/>
                <w:noProof w:val="0"/>
                <w:rtl/>
              </w:rPr>
              <w:t xml:space="preserve"> בין </w:t>
            </w:r>
            <w:r w:rsidRPr="00571FE0">
              <w:rPr>
                <w:rFonts w:hint="cs"/>
                <w:b w:val="0"/>
                <w:bCs w:val="0"/>
                <w:noProof w:val="0"/>
                <w:rtl/>
              </w:rPr>
              <w:t>הב</w:t>
            </w:r>
            <w:r w:rsidRPr="00571FE0">
              <w:rPr>
                <w:b w:val="0"/>
                <w:bCs w:val="0"/>
                <w:noProof w:val="0"/>
                <w:rtl/>
              </w:rPr>
              <w:t xml:space="preserve">"ה לרשויות המקומיות. </w:t>
            </w:r>
            <w:r w:rsidRPr="00571FE0">
              <w:rPr>
                <w:rFonts w:hint="cs"/>
                <w:b w:val="0"/>
                <w:bCs w:val="0"/>
                <w:noProof w:val="0"/>
                <w:rtl/>
              </w:rPr>
              <w:t>ראוי שהב"ה בשיתוף משרד המשפטים, משרד האוצר ומשרד הפנים, יבחנו את הסדר התקצוב שהתקבע של קבלת תשלומים מהרשויות המקומיות עבור השירותים שמספקת הב"ה לבתי המשפט עמ"ק, ויירתמו לקביעת</w:t>
            </w:r>
            <w:r w:rsidRPr="00571FE0">
              <w:rPr>
                <w:b w:val="0"/>
                <w:bCs w:val="0"/>
                <w:noProof w:val="0"/>
                <w:rtl/>
              </w:rPr>
              <w:t xml:space="preserve"> </w:t>
            </w:r>
            <w:r w:rsidRPr="00571FE0">
              <w:rPr>
                <w:rFonts w:hint="cs"/>
                <w:b w:val="0"/>
                <w:bCs w:val="0"/>
                <w:noProof w:val="0"/>
                <w:rtl/>
              </w:rPr>
              <w:t>הסדרים שיבטיחו את עצמאותם של בתי המשפט עמ"ק.</w:t>
            </w:r>
          </w:p>
          <w:p w:rsidR="00571FE0" w:rsidRPr="00907008" w:rsidP="00907008">
            <w:pPr>
              <w:pStyle w:val="takzir"/>
              <w:rPr>
                <w:b w:val="0"/>
                <w:bCs w:val="0"/>
                <w:noProof w:val="0"/>
                <w:spacing w:val="-2"/>
                <w:rtl/>
              </w:rPr>
            </w:pPr>
            <w:r w:rsidRPr="00907008">
              <w:rPr>
                <w:rFonts w:hint="cs"/>
                <w:b w:val="0"/>
                <w:bCs w:val="0"/>
                <w:noProof w:val="0"/>
                <w:spacing w:val="-2"/>
                <w:rtl/>
              </w:rPr>
              <w:t>נושא האבטחה של בתי</w:t>
            </w:r>
            <w:r w:rsidRPr="00907008">
              <w:rPr>
                <w:b w:val="0"/>
                <w:bCs w:val="0"/>
                <w:noProof w:val="0"/>
                <w:spacing w:val="-2"/>
                <w:rtl/>
              </w:rPr>
              <w:t xml:space="preserve"> </w:t>
            </w:r>
            <w:r w:rsidRPr="00907008">
              <w:rPr>
                <w:rFonts w:hint="cs"/>
                <w:b w:val="0"/>
                <w:bCs w:val="0"/>
                <w:noProof w:val="0"/>
                <w:spacing w:val="-2"/>
                <w:rtl/>
              </w:rPr>
              <w:t>המשפט</w:t>
            </w:r>
            <w:r w:rsidRPr="00907008">
              <w:rPr>
                <w:b w:val="0"/>
                <w:bCs w:val="0"/>
                <w:noProof w:val="0"/>
                <w:spacing w:val="-2"/>
                <w:rtl/>
              </w:rPr>
              <w:t xml:space="preserve"> </w:t>
            </w:r>
            <w:r w:rsidRPr="00907008">
              <w:rPr>
                <w:rFonts w:hint="cs"/>
                <w:b w:val="0"/>
                <w:bCs w:val="0"/>
                <w:noProof w:val="0"/>
                <w:spacing w:val="-2"/>
                <w:rtl/>
              </w:rPr>
              <w:t>עמ</w:t>
            </w:r>
            <w:r w:rsidRPr="00907008">
              <w:rPr>
                <w:b w:val="0"/>
                <w:bCs w:val="0"/>
                <w:noProof w:val="0"/>
                <w:spacing w:val="-2"/>
                <w:rtl/>
              </w:rPr>
              <w:t xml:space="preserve">"ק </w:t>
            </w:r>
            <w:r w:rsidRPr="00907008">
              <w:rPr>
                <w:rFonts w:hint="cs"/>
                <w:b w:val="0"/>
                <w:bCs w:val="0"/>
                <w:noProof w:val="0"/>
                <w:spacing w:val="-2"/>
                <w:rtl/>
              </w:rPr>
              <w:t>הוא נקודת תורפה הדורשת טיפול: על המשמר להבטיח רמת אבטחה שמותאמת לסטנדרטים ולתבחינים הנהוגים בכלל בתי המשפט. על הב"ה לבחון דרכי פעולה משותפות נוספות עם הרשויות המקומיות ועם כל גורם שמייצג אותן בנושא הסדרת האבטחה בבתי המשפט עמ"ק.</w:t>
            </w:r>
          </w:p>
          <w:p w:rsidR="00571FE0" w:rsidRPr="00571FE0" w:rsidP="00907008">
            <w:pPr>
              <w:pStyle w:val="takzir"/>
              <w:rPr>
                <w:b w:val="0"/>
                <w:bCs w:val="0"/>
                <w:noProof w:val="0"/>
                <w:rtl/>
              </w:rPr>
            </w:pPr>
            <w:r w:rsidRPr="00571FE0">
              <w:rPr>
                <w:rFonts w:hint="cs"/>
                <w:b w:val="0"/>
                <w:bCs w:val="0"/>
                <w:noProof w:val="0"/>
                <w:rtl/>
              </w:rPr>
              <w:t>בעת גביית התשלומים בעבור פעולות האבטחה בבתי המשפט עמ"ק על הב"ה להיצמד לאמות המידה שקבעה כדי שלא ייווצר אי-שוויון בין הרשויות המקומיות.</w:t>
            </w:r>
          </w:p>
          <w:p w:rsidR="00571FE0" w:rsidRPr="00571FE0" w:rsidP="00907008">
            <w:pPr>
              <w:pStyle w:val="takzir"/>
              <w:rPr>
                <w:b w:val="0"/>
                <w:bCs w:val="0"/>
                <w:noProof w:val="0"/>
                <w:rtl/>
              </w:rPr>
            </w:pPr>
            <w:r w:rsidRPr="00571FE0">
              <w:rPr>
                <w:rFonts w:hint="cs"/>
                <w:b w:val="0"/>
                <w:bCs w:val="0"/>
                <w:noProof w:val="0"/>
                <w:rtl/>
              </w:rPr>
              <w:t xml:space="preserve">פעולת התיקון המתבקשת בנושא זה ראוי שתעשה בשני מישורים נפרדים שאינם חלופיים זה לזה: הראשון והיסודי מחייב את שרת המשפטים, שר הפנים ושר האוצר לבחון את המודל הרצוי להפעלת בתי המשפט המקומיים ולהכריע </w:t>
            </w:r>
            <w:r w:rsidRPr="00DC2796">
              <w:rPr>
                <w:rFonts w:hint="cs"/>
                <w:b w:val="0"/>
                <w:bCs w:val="0"/>
                <w:noProof w:val="0"/>
                <w:u w:val="single"/>
                <w:rtl/>
              </w:rPr>
              <w:t>לאלתר</w:t>
            </w:r>
            <w:r w:rsidRPr="00571FE0">
              <w:rPr>
                <w:rFonts w:hint="cs"/>
                <w:b w:val="0"/>
                <w:bCs w:val="0"/>
                <w:noProof w:val="0"/>
                <w:rtl/>
              </w:rPr>
              <w:t xml:space="preserve"> בסוגיה זו. והשני, עד להכרעה הנדרשת וליישום מודל ההפעלה, ראוי שהב"ה תקיים </w:t>
            </w:r>
            <w:r w:rsidRPr="00571FE0">
              <w:rPr>
                <w:b w:val="0"/>
                <w:bCs w:val="0"/>
                <w:noProof w:val="0"/>
                <w:rtl/>
              </w:rPr>
              <w:t xml:space="preserve">הערכה מקיפה של מכלול ההיבטים המצויים </w:t>
            </w:r>
            <w:r w:rsidRPr="00571FE0">
              <w:rPr>
                <w:rFonts w:hint="cs"/>
                <w:b w:val="0"/>
                <w:bCs w:val="0"/>
                <w:noProof w:val="0"/>
                <w:rtl/>
              </w:rPr>
              <w:t>ב</w:t>
            </w:r>
            <w:r w:rsidRPr="00571FE0">
              <w:rPr>
                <w:b w:val="0"/>
                <w:bCs w:val="0"/>
                <w:noProof w:val="0"/>
                <w:rtl/>
              </w:rPr>
              <w:t>אחריותה</w:t>
            </w:r>
            <w:r w:rsidRPr="00571FE0">
              <w:rPr>
                <w:rFonts w:hint="cs"/>
                <w:b w:val="0"/>
                <w:bCs w:val="0"/>
                <w:noProof w:val="0"/>
                <w:rtl/>
              </w:rPr>
              <w:t>. בהתאם לכך עליה להכין</w:t>
            </w:r>
            <w:r w:rsidRPr="00571FE0">
              <w:rPr>
                <w:b w:val="0"/>
                <w:bCs w:val="0"/>
                <w:noProof w:val="0"/>
                <w:rtl/>
              </w:rPr>
              <w:t xml:space="preserve"> תכנית </w:t>
            </w:r>
            <w:r w:rsidRPr="00571FE0">
              <w:rPr>
                <w:rFonts w:hint="cs"/>
                <w:b w:val="0"/>
                <w:bCs w:val="0"/>
                <w:noProof w:val="0"/>
                <w:rtl/>
              </w:rPr>
              <w:t xml:space="preserve">לשיפור המערך הקיים של תפעול בתי המשפט. </w:t>
            </w:r>
            <w:r w:rsidRPr="00571FE0">
              <w:rPr>
                <w:b w:val="0"/>
                <w:bCs w:val="0"/>
                <w:noProof w:val="0"/>
                <w:rtl/>
              </w:rPr>
              <w:t xml:space="preserve">הרשויות המקומיות והמזכירויות </w:t>
            </w:r>
            <w:r w:rsidRPr="00571FE0">
              <w:rPr>
                <w:rFonts w:hint="cs"/>
                <w:b w:val="0"/>
                <w:bCs w:val="0"/>
                <w:noProof w:val="0"/>
                <w:rtl/>
              </w:rPr>
              <w:t xml:space="preserve">נדרשות </w:t>
            </w:r>
            <w:r w:rsidRPr="00571FE0">
              <w:rPr>
                <w:b w:val="0"/>
                <w:bCs w:val="0"/>
                <w:noProof w:val="0"/>
                <w:rtl/>
              </w:rPr>
              <w:t xml:space="preserve">להירתם </w:t>
            </w:r>
            <w:r w:rsidRPr="00571FE0">
              <w:rPr>
                <w:rFonts w:hint="cs"/>
                <w:b w:val="0"/>
                <w:bCs w:val="0"/>
                <w:noProof w:val="0"/>
                <w:rtl/>
              </w:rPr>
              <w:t>למהלך שתוביל הב"ה ולשתף עמה פעולה באופן שיסייע ליישום אפקטיבי של התכנית</w:t>
            </w:r>
            <w:r w:rsidRPr="00571FE0">
              <w:rPr>
                <w:b w:val="0"/>
                <w:bCs w:val="0"/>
                <w:noProof w:val="0"/>
                <w:rtl/>
              </w:rPr>
              <w:t>.</w:t>
            </w:r>
          </w:p>
        </w:tc>
      </w:tr>
      <w:tr w:rsidTr="00571FE0">
        <w:tblPrEx>
          <w:tblW w:w="6691" w:type="dxa"/>
          <w:jc w:val="center"/>
          <w:tblLook w:val="04A0"/>
        </w:tblPrEx>
        <w:trPr>
          <w:jc w:val="center"/>
        </w:trPr>
        <w:tc>
          <w:tcPr>
            <w:tcW w:w="6691" w:type="dxa"/>
            <w:shd w:val="pct25" w:color="00FF00" w:fill="auto"/>
          </w:tcPr>
          <w:p w:rsidR="001275A6" w:rsidP="00040DAE">
            <w:pPr>
              <w:pStyle w:val="KOT4"/>
              <w:spacing w:before="120"/>
              <w:jc w:val="center"/>
              <w:rPr>
                <w:rtl/>
              </w:rPr>
            </w:pPr>
            <w:r>
              <w:rPr>
                <w:rtl/>
              </w:rPr>
              <w:t>סיכום</w:t>
            </w:r>
          </w:p>
        </w:tc>
      </w:tr>
      <w:tr w:rsidTr="00571FE0">
        <w:tblPrEx>
          <w:tblW w:w="6691" w:type="dxa"/>
          <w:jc w:val="center"/>
          <w:tblLook w:val="04A0"/>
        </w:tblPrEx>
        <w:trPr>
          <w:cantSplit/>
          <w:jc w:val="center"/>
        </w:trPr>
        <w:tc>
          <w:tcPr>
            <w:tcW w:w="6691" w:type="dxa"/>
          </w:tcPr>
          <w:p w:rsidR="00571FE0" w:rsidRPr="00571FE0" w:rsidP="00862DE8">
            <w:pPr>
              <w:spacing w:before="60" w:after="120"/>
              <w:jc w:val="both"/>
              <w:rPr>
                <w:b/>
                <w:bCs/>
                <w:sz w:val="22"/>
                <w:szCs w:val="22"/>
                <w:rtl/>
                <w:lang w:eastAsia="he-IL"/>
              </w:rPr>
            </w:pPr>
            <w:r w:rsidRPr="00571FE0">
              <w:rPr>
                <w:rFonts w:hint="cs"/>
                <w:b/>
                <w:bCs/>
                <w:sz w:val="22"/>
                <w:szCs w:val="22"/>
                <w:rtl/>
                <w:lang w:eastAsia="he-IL"/>
              </w:rPr>
              <w:t>בתי</w:t>
            </w:r>
            <w:r w:rsidRPr="00571FE0">
              <w:rPr>
                <w:b/>
                <w:bCs/>
                <w:sz w:val="22"/>
                <w:szCs w:val="22"/>
                <w:rtl/>
                <w:lang w:eastAsia="he-IL"/>
              </w:rPr>
              <w:t xml:space="preserve"> משפט לעניינים מקומיים בישראל דנים בעניינים הקשורים לתחום השלטון המקומי. </w:t>
            </w:r>
            <w:r w:rsidRPr="00571FE0">
              <w:rPr>
                <w:rFonts w:hint="eastAsia"/>
                <w:b/>
                <w:bCs/>
                <w:sz w:val="22"/>
                <w:szCs w:val="22"/>
                <w:rtl/>
                <w:lang w:eastAsia="he-IL"/>
              </w:rPr>
              <w:t>האחריות</w:t>
            </w:r>
            <w:r w:rsidRPr="00571FE0">
              <w:rPr>
                <w:b/>
                <w:bCs/>
                <w:sz w:val="22"/>
                <w:szCs w:val="22"/>
                <w:rtl/>
                <w:lang w:eastAsia="he-IL"/>
              </w:rPr>
              <w:t xml:space="preserve"> </w:t>
            </w:r>
            <w:r w:rsidRPr="00571FE0">
              <w:rPr>
                <w:rFonts w:hint="cs"/>
                <w:b/>
                <w:bCs/>
                <w:sz w:val="22"/>
                <w:szCs w:val="22"/>
                <w:rtl/>
                <w:lang w:eastAsia="he-IL"/>
              </w:rPr>
              <w:t>ל</w:t>
            </w:r>
            <w:r w:rsidRPr="00571FE0">
              <w:rPr>
                <w:rFonts w:hint="eastAsia"/>
                <w:b/>
                <w:bCs/>
                <w:sz w:val="22"/>
                <w:szCs w:val="22"/>
                <w:rtl/>
                <w:lang w:eastAsia="he-IL"/>
              </w:rPr>
              <w:t>עובדי</w:t>
            </w:r>
            <w:r w:rsidRPr="00571FE0">
              <w:rPr>
                <w:b/>
                <w:bCs/>
                <w:sz w:val="22"/>
                <w:szCs w:val="22"/>
                <w:rtl/>
                <w:lang w:eastAsia="he-IL"/>
              </w:rPr>
              <w:t xml:space="preserve"> </w:t>
            </w:r>
            <w:r w:rsidRPr="00571FE0">
              <w:rPr>
                <w:rFonts w:hint="eastAsia"/>
                <w:b/>
                <w:bCs/>
                <w:sz w:val="22"/>
                <w:szCs w:val="22"/>
                <w:rtl/>
                <w:lang w:eastAsia="he-IL"/>
              </w:rPr>
              <w:t>מזכירויות</w:t>
            </w:r>
            <w:r w:rsidRPr="00571FE0">
              <w:rPr>
                <w:b/>
                <w:bCs/>
                <w:sz w:val="22"/>
                <w:szCs w:val="22"/>
                <w:rtl/>
                <w:lang w:eastAsia="he-IL"/>
              </w:rPr>
              <w:t xml:space="preserve"> </w:t>
            </w:r>
            <w:r w:rsidRPr="00571FE0">
              <w:rPr>
                <w:rFonts w:hint="eastAsia"/>
                <w:b/>
                <w:bCs/>
                <w:sz w:val="22"/>
                <w:szCs w:val="22"/>
                <w:rtl/>
                <w:lang w:eastAsia="he-IL"/>
              </w:rPr>
              <w:t>בתי</w:t>
            </w:r>
            <w:r w:rsidRPr="00571FE0">
              <w:rPr>
                <w:b/>
                <w:bCs/>
                <w:sz w:val="22"/>
                <w:szCs w:val="22"/>
                <w:rtl/>
                <w:lang w:eastAsia="he-IL"/>
              </w:rPr>
              <w:t xml:space="preserve"> </w:t>
            </w:r>
            <w:r w:rsidRPr="00571FE0">
              <w:rPr>
                <w:rFonts w:hint="eastAsia"/>
                <w:b/>
                <w:bCs/>
                <w:sz w:val="22"/>
                <w:szCs w:val="22"/>
                <w:rtl/>
                <w:lang w:eastAsia="he-IL"/>
              </w:rPr>
              <w:t>המשפט</w:t>
            </w:r>
            <w:r w:rsidRPr="00571FE0">
              <w:rPr>
                <w:b/>
                <w:bCs/>
                <w:sz w:val="22"/>
                <w:szCs w:val="22"/>
                <w:rtl/>
                <w:lang w:eastAsia="he-IL"/>
              </w:rPr>
              <w:t xml:space="preserve"> </w:t>
            </w:r>
            <w:r w:rsidRPr="00571FE0">
              <w:rPr>
                <w:rFonts w:hint="cs"/>
                <w:b/>
                <w:bCs/>
                <w:sz w:val="22"/>
                <w:szCs w:val="22"/>
                <w:rtl/>
                <w:lang w:eastAsia="he-IL"/>
              </w:rPr>
              <w:t>מת</w:t>
            </w:r>
            <w:r w:rsidRPr="00571FE0">
              <w:rPr>
                <w:rFonts w:hint="eastAsia"/>
                <w:b/>
                <w:bCs/>
                <w:sz w:val="22"/>
                <w:szCs w:val="22"/>
                <w:rtl/>
                <w:lang w:eastAsia="he-IL"/>
              </w:rPr>
              <w:t>חלקת</w:t>
            </w:r>
            <w:r w:rsidRPr="00571FE0">
              <w:rPr>
                <w:b/>
                <w:bCs/>
                <w:sz w:val="22"/>
                <w:szCs w:val="22"/>
                <w:rtl/>
                <w:lang w:eastAsia="he-IL"/>
              </w:rPr>
              <w:t xml:space="preserve"> </w:t>
            </w:r>
            <w:r w:rsidRPr="00571FE0">
              <w:rPr>
                <w:rFonts w:hint="cs"/>
                <w:b/>
                <w:bCs/>
                <w:sz w:val="22"/>
                <w:szCs w:val="22"/>
                <w:rtl/>
                <w:lang w:eastAsia="he-IL"/>
              </w:rPr>
              <w:t xml:space="preserve">בין הנהלת בתי המשפט </w:t>
            </w:r>
            <w:r w:rsidRPr="00571FE0">
              <w:rPr>
                <w:rFonts w:hint="eastAsia"/>
                <w:b/>
                <w:bCs/>
                <w:sz w:val="22"/>
                <w:szCs w:val="22"/>
                <w:rtl/>
                <w:lang w:eastAsia="he-IL"/>
              </w:rPr>
              <w:t>בתחום</w:t>
            </w:r>
            <w:r w:rsidRPr="00571FE0">
              <w:rPr>
                <w:b/>
                <w:bCs/>
                <w:sz w:val="22"/>
                <w:szCs w:val="22"/>
                <w:rtl/>
                <w:lang w:eastAsia="he-IL"/>
              </w:rPr>
              <w:t xml:space="preserve"> </w:t>
            </w:r>
            <w:r w:rsidRPr="00571FE0">
              <w:rPr>
                <w:rFonts w:hint="eastAsia"/>
                <w:b/>
                <w:bCs/>
                <w:sz w:val="22"/>
                <w:szCs w:val="22"/>
                <w:rtl/>
                <w:lang w:eastAsia="he-IL"/>
              </w:rPr>
              <w:t>המקצועי</w:t>
            </w:r>
            <w:r w:rsidRPr="00571FE0">
              <w:rPr>
                <w:b/>
                <w:bCs/>
                <w:sz w:val="22"/>
                <w:szCs w:val="22"/>
                <w:rtl/>
                <w:lang w:eastAsia="he-IL"/>
              </w:rPr>
              <w:t xml:space="preserve"> והרשויות בתחום </w:t>
            </w:r>
            <w:r w:rsidRPr="00571FE0">
              <w:rPr>
                <w:rFonts w:hint="eastAsia"/>
                <w:b/>
                <w:bCs/>
                <w:sz w:val="22"/>
                <w:szCs w:val="22"/>
                <w:rtl/>
                <w:lang w:eastAsia="he-IL"/>
              </w:rPr>
              <w:t>המינהלי</w:t>
            </w:r>
            <w:r w:rsidRPr="00571FE0">
              <w:rPr>
                <w:b/>
                <w:bCs/>
                <w:sz w:val="22"/>
                <w:szCs w:val="22"/>
                <w:rtl/>
                <w:lang w:eastAsia="he-IL"/>
              </w:rPr>
              <w:t xml:space="preserve">. </w:t>
            </w:r>
            <w:r w:rsidRPr="00571FE0">
              <w:rPr>
                <w:rFonts w:hint="eastAsia"/>
                <w:b/>
                <w:bCs/>
                <w:sz w:val="22"/>
                <w:szCs w:val="22"/>
                <w:rtl/>
                <w:lang w:eastAsia="he-IL"/>
              </w:rPr>
              <w:t>מצב</w:t>
            </w:r>
            <w:r w:rsidRPr="00571FE0">
              <w:rPr>
                <w:b/>
                <w:bCs/>
                <w:sz w:val="22"/>
                <w:szCs w:val="22"/>
                <w:rtl/>
                <w:lang w:eastAsia="he-IL"/>
              </w:rPr>
              <w:t xml:space="preserve"> זה יוצר מתח בלתי נמנע ותלות </w:t>
            </w:r>
            <w:r w:rsidRPr="00571FE0">
              <w:rPr>
                <w:rFonts w:hint="cs"/>
                <w:b/>
                <w:bCs/>
                <w:sz w:val="22"/>
                <w:szCs w:val="22"/>
                <w:rtl/>
                <w:lang w:eastAsia="he-IL"/>
              </w:rPr>
              <w:t>בלתי רצויה של מערכת השיפוט ברשויות המקומיות</w:t>
            </w:r>
            <w:r w:rsidRPr="00571FE0">
              <w:rPr>
                <w:b/>
                <w:bCs/>
                <w:sz w:val="22"/>
                <w:szCs w:val="22"/>
                <w:rtl/>
                <w:lang w:eastAsia="he-IL"/>
              </w:rPr>
              <w:t xml:space="preserve"> </w:t>
            </w:r>
            <w:r w:rsidRPr="00571FE0">
              <w:rPr>
                <w:rFonts w:hint="cs"/>
                <w:b/>
                <w:bCs/>
                <w:sz w:val="22"/>
                <w:szCs w:val="22"/>
                <w:rtl/>
                <w:lang w:eastAsia="he-IL"/>
              </w:rPr>
              <w:t>ה</w:t>
            </w:r>
            <w:r w:rsidRPr="00571FE0">
              <w:rPr>
                <w:b/>
                <w:bCs/>
                <w:sz w:val="22"/>
                <w:szCs w:val="22"/>
                <w:rtl/>
                <w:lang w:eastAsia="he-IL"/>
              </w:rPr>
              <w:t>עלול</w:t>
            </w:r>
            <w:r w:rsidRPr="00571FE0">
              <w:rPr>
                <w:rFonts w:hint="cs"/>
                <w:b/>
                <w:bCs/>
                <w:sz w:val="22"/>
                <w:szCs w:val="22"/>
                <w:rtl/>
                <w:lang w:eastAsia="he-IL"/>
              </w:rPr>
              <w:t>ים</w:t>
            </w:r>
            <w:r w:rsidRPr="00571FE0">
              <w:rPr>
                <w:b/>
                <w:bCs/>
                <w:sz w:val="22"/>
                <w:szCs w:val="22"/>
                <w:rtl/>
                <w:lang w:eastAsia="he-IL"/>
              </w:rPr>
              <w:t xml:space="preserve"> לפגוע בעצמאות</w:t>
            </w:r>
            <w:r w:rsidRPr="00571FE0">
              <w:rPr>
                <w:rFonts w:hint="cs"/>
                <w:b/>
                <w:bCs/>
                <w:sz w:val="22"/>
                <w:szCs w:val="22"/>
                <w:rtl/>
                <w:lang w:eastAsia="he-IL"/>
              </w:rPr>
              <w:t>ה.</w:t>
            </w:r>
            <w:r w:rsidRPr="00571FE0">
              <w:rPr>
                <w:b/>
                <w:bCs/>
                <w:sz w:val="22"/>
                <w:szCs w:val="22"/>
                <w:rtl/>
                <w:lang w:eastAsia="he-IL"/>
              </w:rPr>
              <w:t xml:space="preserve"> </w:t>
            </w:r>
            <w:r w:rsidRPr="00571FE0">
              <w:rPr>
                <w:rFonts w:hint="cs"/>
                <w:b/>
                <w:bCs/>
                <w:sz w:val="22"/>
                <w:szCs w:val="22"/>
                <w:rtl/>
                <w:lang w:eastAsia="he-IL"/>
              </w:rPr>
              <w:t>במשך השנים הוצעו שלושה מודלים עיקריים להפעלת בתי משפט לעניינים מקומיים: השארת המודל הנוכחי על כנו; השארת המודל הנוכחי תוך ביסוס סדרי המינהל העיקריים בחקיקה; הטמעת בתי משפט לעניינים מקומיים במערכת בתי המשפט.</w:t>
            </w:r>
          </w:p>
          <w:p w:rsidR="00571FE0" w:rsidRPr="00571FE0" w:rsidP="00907008">
            <w:pPr>
              <w:spacing w:after="120"/>
              <w:jc w:val="both"/>
              <w:rPr>
                <w:b/>
                <w:bCs/>
                <w:sz w:val="22"/>
                <w:szCs w:val="22"/>
                <w:rtl/>
                <w:lang w:eastAsia="he-IL"/>
              </w:rPr>
            </w:pPr>
            <w:r w:rsidRPr="00571FE0">
              <w:rPr>
                <w:rFonts w:hint="cs"/>
                <w:b/>
                <w:bCs/>
                <w:sz w:val="22"/>
                <w:szCs w:val="22"/>
                <w:rtl/>
                <w:lang w:eastAsia="he-IL"/>
              </w:rPr>
              <w:t>ממצאי</w:t>
            </w:r>
            <w:r w:rsidRPr="00571FE0">
              <w:rPr>
                <w:b/>
                <w:bCs/>
                <w:sz w:val="22"/>
                <w:szCs w:val="22"/>
                <w:rtl/>
                <w:lang w:eastAsia="he-IL"/>
              </w:rPr>
              <w:t xml:space="preserve"> הדוח מצביעים </w:t>
            </w:r>
            <w:r w:rsidRPr="00571FE0">
              <w:rPr>
                <w:rFonts w:hint="cs"/>
                <w:b/>
                <w:bCs/>
                <w:sz w:val="22"/>
                <w:szCs w:val="22"/>
                <w:rtl/>
                <w:lang w:eastAsia="he-IL"/>
              </w:rPr>
              <w:t xml:space="preserve">על כך </w:t>
            </w:r>
            <w:r w:rsidRPr="00571FE0">
              <w:rPr>
                <w:b/>
                <w:bCs/>
                <w:sz w:val="22"/>
                <w:szCs w:val="22"/>
                <w:rtl/>
                <w:lang w:eastAsia="he-IL"/>
              </w:rPr>
              <w:t xml:space="preserve">שעדיין נותרו פערים באופן הפעלת מערכת בתי המשפט </w:t>
            </w:r>
            <w:r w:rsidRPr="00571FE0">
              <w:rPr>
                <w:rFonts w:hint="cs"/>
                <w:b/>
                <w:bCs/>
                <w:sz w:val="22"/>
                <w:szCs w:val="22"/>
                <w:rtl/>
                <w:lang w:eastAsia="he-IL"/>
              </w:rPr>
              <w:t>לעניינים מקומיים</w:t>
            </w:r>
            <w:r w:rsidRPr="00571FE0">
              <w:rPr>
                <w:b/>
                <w:bCs/>
                <w:sz w:val="22"/>
                <w:szCs w:val="22"/>
                <w:rtl/>
                <w:lang w:eastAsia="he-IL"/>
              </w:rPr>
              <w:t xml:space="preserve"> למול </w:t>
            </w:r>
            <w:r w:rsidRPr="00571FE0">
              <w:rPr>
                <w:rFonts w:hint="cs"/>
                <w:b/>
                <w:bCs/>
                <w:sz w:val="22"/>
                <w:szCs w:val="22"/>
                <w:rtl/>
                <w:lang w:eastAsia="he-IL"/>
              </w:rPr>
              <w:t>אותם עקרונות</w:t>
            </w:r>
            <w:r w:rsidRPr="00571FE0">
              <w:rPr>
                <w:b/>
                <w:bCs/>
                <w:sz w:val="22"/>
                <w:szCs w:val="22"/>
                <w:rtl/>
                <w:lang w:eastAsia="he-IL"/>
              </w:rPr>
              <w:t xml:space="preserve"> אשר נקבעו בדוח ועדת זמיר</w:t>
            </w:r>
            <w:r w:rsidRPr="00571FE0">
              <w:rPr>
                <w:rFonts w:hint="cs"/>
                <w:b/>
                <w:bCs/>
                <w:sz w:val="22"/>
                <w:szCs w:val="22"/>
                <w:rtl/>
                <w:lang w:eastAsia="he-IL"/>
              </w:rPr>
              <w:t>,</w:t>
            </w:r>
            <w:r w:rsidRPr="00571FE0">
              <w:rPr>
                <w:b/>
                <w:bCs/>
                <w:sz w:val="22"/>
                <w:szCs w:val="22"/>
                <w:rtl/>
                <w:lang w:eastAsia="he-IL"/>
              </w:rPr>
              <w:t xml:space="preserve"> </w:t>
            </w:r>
            <w:r w:rsidRPr="00571FE0">
              <w:rPr>
                <w:rFonts w:hint="cs"/>
                <w:b/>
                <w:bCs/>
                <w:sz w:val="22"/>
                <w:szCs w:val="22"/>
                <w:rtl/>
                <w:lang w:eastAsia="he-IL"/>
              </w:rPr>
              <w:t>ב</w:t>
            </w:r>
            <w:r w:rsidRPr="00571FE0">
              <w:rPr>
                <w:b/>
                <w:bCs/>
                <w:sz w:val="22"/>
                <w:szCs w:val="22"/>
                <w:rtl/>
                <w:lang w:eastAsia="he-IL"/>
              </w:rPr>
              <w:t xml:space="preserve">בג"ץ </w:t>
            </w:r>
            <w:r w:rsidRPr="00571FE0">
              <w:rPr>
                <w:rFonts w:hint="cs"/>
                <w:b/>
                <w:bCs/>
                <w:sz w:val="22"/>
                <w:szCs w:val="22"/>
                <w:rtl/>
                <w:lang w:eastAsia="he-IL"/>
              </w:rPr>
              <w:t>קארשי ובעמדת הנהלת בתי המשפט</w:t>
            </w:r>
            <w:r w:rsidRPr="00571FE0">
              <w:rPr>
                <w:b/>
                <w:bCs/>
                <w:sz w:val="22"/>
                <w:szCs w:val="22"/>
                <w:rtl/>
                <w:lang w:eastAsia="he-IL"/>
              </w:rPr>
              <w:t xml:space="preserve">. </w:t>
            </w:r>
            <w:r w:rsidRPr="00571FE0">
              <w:rPr>
                <w:rFonts w:hint="cs"/>
                <w:b/>
                <w:bCs/>
                <w:sz w:val="22"/>
                <w:szCs w:val="22"/>
                <w:rtl/>
                <w:lang w:eastAsia="he-IL"/>
              </w:rPr>
              <w:t>עוד</w:t>
            </w:r>
            <w:r w:rsidRPr="00571FE0">
              <w:rPr>
                <w:b/>
                <w:bCs/>
                <w:sz w:val="22"/>
                <w:szCs w:val="22"/>
                <w:rtl/>
                <w:lang w:eastAsia="he-IL"/>
              </w:rPr>
              <w:t xml:space="preserve"> </w:t>
            </w:r>
            <w:r w:rsidRPr="00571FE0">
              <w:rPr>
                <w:rFonts w:hint="cs"/>
                <w:b/>
                <w:bCs/>
                <w:sz w:val="22"/>
                <w:szCs w:val="22"/>
                <w:rtl/>
                <w:lang w:eastAsia="he-IL"/>
              </w:rPr>
              <w:t>עולה</w:t>
            </w:r>
            <w:r w:rsidRPr="00571FE0">
              <w:rPr>
                <w:b/>
                <w:bCs/>
                <w:sz w:val="22"/>
                <w:szCs w:val="22"/>
                <w:rtl/>
                <w:lang w:eastAsia="he-IL"/>
              </w:rPr>
              <w:t xml:space="preserve"> </w:t>
            </w:r>
            <w:r w:rsidRPr="00571FE0">
              <w:rPr>
                <w:rFonts w:hint="cs"/>
                <w:b/>
                <w:bCs/>
                <w:sz w:val="22"/>
                <w:szCs w:val="22"/>
                <w:rtl/>
                <w:lang w:eastAsia="he-IL"/>
              </w:rPr>
              <w:t>שלא</w:t>
            </w:r>
            <w:r w:rsidRPr="00571FE0">
              <w:rPr>
                <w:b/>
                <w:bCs/>
                <w:sz w:val="22"/>
                <w:szCs w:val="22"/>
                <w:rtl/>
                <w:lang w:eastAsia="he-IL"/>
              </w:rPr>
              <w:t xml:space="preserve"> בכל בתי המשפט </w:t>
            </w:r>
            <w:r w:rsidRPr="00571FE0">
              <w:rPr>
                <w:rFonts w:hint="cs"/>
                <w:b/>
                <w:bCs/>
                <w:sz w:val="22"/>
                <w:szCs w:val="22"/>
                <w:rtl/>
                <w:lang w:eastAsia="he-IL"/>
              </w:rPr>
              <w:t>לעניינים מקומיים</w:t>
            </w:r>
            <w:r w:rsidRPr="00571FE0">
              <w:rPr>
                <w:b/>
                <w:bCs/>
                <w:sz w:val="22"/>
                <w:szCs w:val="22"/>
                <w:rtl/>
                <w:lang w:eastAsia="he-IL"/>
              </w:rPr>
              <w:t xml:space="preserve"> מתקיים </w:t>
            </w:r>
            <w:r w:rsidRPr="00571FE0">
              <w:rPr>
                <w:rFonts w:hint="cs"/>
                <w:b/>
                <w:bCs/>
                <w:sz w:val="22"/>
                <w:szCs w:val="22"/>
                <w:rtl/>
                <w:lang w:eastAsia="he-IL"/>
              </w:rPr>
              <w:t>הלכה</w:t>
            </w:r>
            <w:r w:rsidRPr="00571FE0">
              <w:rPr>
                <w:b/>
                <w:bCs/>
                <w:sz w:val="22"/>
                <w:szCs w:val="22"/>
                <w:rtl/>
                <w:lang w:eastAsia="he-IL"/>
              </w:rPr>
              <w:t xml:space="preserve"> למעשה ניתוק הזיקות </w:t>
            </w:r>
            <w:r w:rsidRPr="00571FE0">
              <w:rPr>
                <w:rFonts w:hint="cs"/>
                <w:b/>
                <w:bCs/>
                <w:sz w:val="22"/>
                <w:szCs w:val="22"/>
                <w:rtl/>
                <w:lang w:eastAsia="he-IL"/>
              </w:rPr>
              <w:t>ל</w:t>
            </w:r>
            <w:r w:rsidRPr="00571FE0">
              <w:rPr>
                <w:b/>
                <w:bCs/>
                <w:sz w:val="22"/>
                <w:szCs w:val="22"/>
                <w:rtl/>
                <w:lang w:eastAsia="he-IL"/>
              </w:rPr>
              <w:t xml:space="preserve">רשויות המקומיות. הדוח הצביע </w:t>
            </w:r>
            <w:r w:rsidRPr="00571FE0">
              <w:rPr>
                <w:rFonts w:hint="cs"/>
                <w:b/>
                <w:bCs/>
                <w:sz w:val="22"/>
                <w:szCs w:val="22"/>
                <w:rtl/>
                <w:lang w:eastAsia="he-IL"/>
              </w:rPr>
              <w:t>גם על כך שבתי</w:t>
            </w:r>
            <w:r w:rsidRPr="00571FE0">
              <w:rPr>
                <w:b/>
                <w:bCs/>
                <w:sz w:val="22"/>
                <w:szCs w:val="22"/>
                <w:rtl/>
                <w:lang w:eastAsia="he-IL"/>
              </w:rPr>
              <w:t xml:space="preserve"> משפט </w:t>
            </w:r>
            <w:r w:rsidRPr="00571FE0">
              <w:rPr>
                <w:rFonts w:hint="cs"/>
                <w:b/>
                <w:bCs/>
                <w:sz w:val="22"/>
                <w:szCs w:val="22"/>
                <w:rtl/>
                <w:lang w:eastAsia="he-IL"/>
              </w:rPr>
              <w:t>לעניינים מקומיים</w:t>
            </w:r>
            <w:r w:rsidRPr="00571FE0">
              <w:rPr>
                <w:b/>
                <w:bCs/>
                <w:sz w:val="22"/>
                <w:szCs w:val="22"/>
                <w:rtl/>
                <w:lang w:eastAsia="he-IL"/>
              </w:rPr>
              <w:t xml:space="preserve"> בשטחי יהודה ושומרון הם </w:t>
            </w:r>
            <w:r w:rsidRPr="00571FE0">
              <w:rPr>
                <w:rFonts w:hint="cs"/>
                <w:b/>
                <w:bCs/>
                <w:sz w:val="22"/>
                <w:szCs w:val="22"/>
                <w:rtl/>
                <w:lang w:eastAsia="he-IL"/>
              </w:rPr>
              <w:t>גוף</w:t>
            </w:r>
            <w:r w:rsidRPr="00571FE0">
              <w:rPr>
                <w:b/>
                <w:bCs/>
                <w:sz w:val="22"/>
                <w:szCs w:val="22"/>
                <w:rtl/>
                <w:lang w:eastAsia="he-IL"/>
              </w:rPr>
              <w:t xml:space="preserve"> שונה ו</w:t>
            </w:r>
            <w:r w:rsidRPr="00571FE0">
              <w:rPr>
                <w:rFonts w:hint="cs"/>
                <w:b/>
                <w:bCs/>
                <w:sz w:val="22"/>
                <w:szCs w:val="22"/>
                <w:rtl/>
                <w:lang w:eastAsia="he-IL"/>
              </w:rPr>
              <w:t xml:space="preserve">יש </w:t>
            </w:r>
            <w:r w:rsidRPr="00571FE0">
              <w:rPr>
                <w:b/>
                <w:bCs/>
                <w:sz w:val="22"/>
                <w:szCs w:val="22"/>
                <w:rtl/>
                <w:lang w:eastAsia="he-IL"/>
              </w:rPr>
              <w:t>להם סמכות רחבה באופן משמעותי מבתי המשפט לעניינים מקומיים בישראל</w:t>
            </w:r>
            <w:r w:rsidRPr="00571FE0">
              <w:rPr>
                <w:rFonts w:hint="cs"/>
                <w:b/>
                <w:bCs/>
                <w:sz w:val="22"/>
                <w:szCs w:val="22"/>
                <w:rtl/>
                <w:lang w:eastAsia="he-IL"/>
              </w:rPr>
              <w:t>, אך</w:t>
            </w:r>
            <w:r w:rsidRPr="00571FE0">
              <w:rPr>
                <w:b/>
                <w:bCs/>
                <w:sz w:val="22"/>
                <w:szCs w:val="22"/>
                <w:rtl/>
                <w:lang w:eastAsia="he-IL"/>
              </w:rPr>
              <w:t xml:space="preserve"> לא נקבעו עבורם סדרי עבודה שיאפשרו להם להתנהל על בסיס אדנים יציבים.</w:t>
            </w:r>
          </w:p>
          <w:p w:rsidR="00571FE0" w:rsidRPr="00571FE0" w:rsidP="00907008">
            <w:pPr>
              <w:spacing w:after="120"/>
              <w:jc w:val="both"/>
              <w:rPr>
                <w:b/>
                <w:bCs/>
                <w:sz w:val="22"/>
                <w:szCs w:val="22"/>
                <w:rtl/>
                <w:lang w:eastAsia="he-IL"/>
              </w:rPr>
            </w:pPr>
            <w:r w:rsidRPr="00571FE0">
              <w:rPr>
                <w:rFonts w:hint="cs"/>
                <w:b/>
                <w:bCs/>
                <w:sz w:val="22"/>
                <w:szCs w:val="22"/>
                <w:rtl/>
                <w:lang w:eastAsia="he-IL"/>
              </w:rPr>
              <w:t>לדעת משרד מבקר המדינה על הנהלת בתי המשפט לפעול למימוש אחריותה המקצועית: בהתאם לכך עליה</w:t>
            </w:r>
            <w:r w:rsidRPr="00571FE0">
              <w:rPr>
                <w:b/>
                <w:bCs/>
                <w:sz w:val="22"/>
                <w:szCs w:val="22"/>
                <w:rtl/>
                <w:lang w:eastAsia="he-IL"/>
              </w:rPr>
              <w:t xml:space="preserve"> </w:t>
            </w:r>
            <w:r w:rsidRPr="00571FE0">
              <w:rPr>
                <w:rFonts w:hint="cs"/>
                <w:b/>
                <w:bCs/>
                <w:sz w:val="22"/>
                <w:szCs w:val="22"/>
                <w:rtl/>
                <w:lang w:eastAsia="he-IL"/>
              </w:rPr>
              <w:t>להכין</w:t>
            </w:r>
            <w:r w:rsidRPr="00571FE0">
              <w:rPr>
                <w:b/>
                <w:bCs/>
                <w:sz w:val="22"/>
                <w:szCs w:val="22"/>
                <w:rtl/>
                <w:lang w:eastAsia="he-IL"/>
              </w:rPr>
              <w:t xml:space="preserve"> תכנית </w:t>
            </w:r>
            <w:r w:rsidRPr="00571FE0">
              <w:rPr>
                <w:rFonts w:hint="cs"/>
                <w:b/>
                <w:bCs/>
                <w:sz w:val="22"/>
                <w:szCs w:val="22"/>
                <w:rtl/>
                <w:lang w:eastAsia="he-IL"/>
              </w:rPr>
              <w:t>לשיפור</w:t>
            </w:r>
            <w:r w:rsidRPr="00571FE0">
              <w:rPr>
                <w:b/>
                <w:bCs/>
                <w:sz w:val="22"/>
                <w:szCs w:val="22"/>
                <w:rtl/>
                <w:lang w:eastAsia="he-IL"/>
              </w:rPr>
              <w:t xml:space="preserve"> </w:t>
            </w:r>
            <w:r w:rsidRPr="00571FE0">
              <w:rPr>
                <w:rFonts w:hint="cs"/>
                <w:b/>
                <w:bCs/>
                <w:sz w:val="22"/>
                <w:szCs w:val="22"/>
                <w:rtl/>
                <w:lang w:eastAsia="he-IL"/>
              </w:rPr>
              <w:t>המערך</w:t>
            </w:r>
            <w:r w:rsidRPr="00571FE0">
              <w:rPr>
                <w:b/>
                <w:bCs/>
                <w:sz w:val="22"/>
                <w:szCs w:val="22"/>
                <w:rtl/>
                <w:lang w:eastAsia="he-IL"/>
              </w:rPr>
              <w:t xml:space="preserve"> </w:t>
            </w:r>
            <w:r w:rsidRPr="00571FE0">
              <w:rPr>
                <w:rFonts w:hint="cs"/>
                <w:b/>
                <w:bCs/>
                <w:sz w:val="22"/>
                <w:szCs w:val="22"/>
                <w:rtl/>
                <w:lang w:eastAsia="he-IL"/>
              </w:rPr>
              <w:t>הקיים</w:t>
            </w:r>
            <w:r w:rsidRPr="00571FE0">
              <w:rPr>
                <w:b/>
                <w:bCs/>
                <w:sz w:val="22"/>
                <w:szCs w:val="22"/>
                <w:rtl/>
                <w:lang w:eastAsia="he-IL"/>
              </w:rPr>
              <w:t xml:space="preserve"> </w:t>
            </w:r>
            <w:r w:rsidRPr="00571FE0">
              <w:rPr>
                <w:rFonts w:hint="cs"/>
                <w:b/>
                <w:bCs/>
                <w:sz w:val="22"/>
                <w:szCs w:val="22"/>
                <w:rtl/>
                <w:lang w:eastAsia="he-IL"/>
              </w:rPr>
              <w:t>של</w:t>
            </w:r>
            <w:r w:rsidRPr="00571FE0">
              <w:rPr>
                <w:b/>
                <w:bCs/>
                <w:sz w:val="22"/>
                <w:szCs w:val="22"/>
                <w:rtl/>
                <w:lang w:eastAsia="he-IL"/>
              </w:rPr>
              <w:t xml:space="preserve"> </w:t>
            </w:r>
            <w:r w:rsidRPr="00571FE0">
              <w:rPr>
                <w:rFonts w:hint="cs"/>
                <w:b/>
                <w:bCs/>
                <w:sz w:val="22"/>
                <w:szCs w:val="22"/>
                <w:rtl/>
                <w:lang w:eastAsia="he-IL"/>
              </w:rPr>
              <w:t>תפעול</w:t>
            </w:r>
            <w:r w:rsidRPr="00571FE0">
              <w:rPr>
                <w:b/>
                <w:bCs/>
                <w:sz w:val="22"/>
                <w:szCs w:val="22"/>
                <w:rtl/>
                <w:lang w:eastAsia="he-IL"/>
              </w:rPr>
              <w:t xml:space="preserve"> </w:t>
            </w:r>
            <w:r w:rsidRPr="00571FE0">
              <w:rPr>
                <w:rFonts w:hint="cs"/>
                <w:b/>
                <w:bCs/>
                <w:sz w:val="22"/>
                <w:szCs w:val="22"/>
                <w:rtl/>
                <w:lang w:eastAsia="he-IL"/>
              </w:rPr>
              <w:t>בתי</w:t>
            </w:r>
            <w:r w:rsidRPr="00571FE0">
              <w:rPr>
                <w:b/>
                <w:bCs/>
                <w:sz w:val="22"/>
                <w:szCs w:val="22"/>
                <w:rtl/>
                <w:lang w:eastAsia="he-IL"/>
              </w:rPr>
              <w:t xml:space="preserve"> </w:t>
            </w:r>
            <w:r w:rsidRPr="00571FE0">
              <w:rPr>
                <w:rFonts w:hint="cs"/>
                <w:b/>
                <w:bCs/>
                <w:sz w:val="22"/>
                <w:szCs w:val="22"/>
                <w:rtl/>
                <w:lang w:eastAsia="he-IL"/>
              </w:rPr>
              <w:t>המשפט</w:t>
            </w:r>
            <w:r w:rsidRPr="00571FE0">
              <w:rPr>
                <w:b/>
                <w:bCs/>
                <w:sz w:val="22"/>
                <w:szCs w:val="22"/>
                <w:rtl/>
                <w:lang w:eastAsia="he-IL"/>
              </w:rPr>
              <w:t xml:space="preserve"> </w:t>
            </w:r>
            <w:r w:rsidRPr="00571FE0">
              <w:rPr>
                <w:rFonts w:hint="cs"/>
                <w:b/>
                <w:bCs/>
                <w:sz w:val="22"/>
                <w:szCs w:val="22"/>
                <w:rtl/>
                <w:lang w:eastAsia="he-IL"/>
              </w:rPr>
              <w:t>שתכלול</w:t>
            </w:r>
            <w:r w:rsidRPr="00571FE0">
              <w:rPr>
                <w:b/>
                <w:bCs/>
                <w:sz w:val="22"/>
                <w:szCs w:val="22"/>
                <w:rtl/>
                <w:lang w:eastAsia="he-IL"/>
              </w:rPr>
              <w:t xml:space="preserve"> </w:t>
            </w:r>
            <w:r w:rsidRPr="00571FE0">
              <w:rPr>
                <w:rFonts w:hint="cs"/>
                <w:b/>
                <w:bCs/>
                <w:sz w:val="22"/>
                <w:szCs w:val="22"/>
                <w:rtl/>
                <w:lang w:eastAsia="he-IL"/>
              </w:rPr>
              <w:t>בין</w:t>
            </w:r>
            <w:r w:rsidRPr="00571FE0">
              <w:rPr>
                <w:b/>
                <w:bCs/>
                <w:sz w:val="22"/>
                <w:szCs w:val="22"/>
                <w:rtl/>
                <w:lang w:eastAsia="he-IL"/>
              </w:rPr>
              <w:t xml:space="preserve"> </w:t>
            </w:r>
            <w:r w:rsidRPr="00571FE0">
              <w:rPr>
                <w:rFonts w:hint="cs"/>
                <w:b/>
                <w:bCs/>
                <w:sz w:val="22"/>
                <w:szCs w:val="22"/>
                <w:rtl/>
                <w:lang w:eastAsia="he-IL"/>
              </w:rPr>
              <w:t>היתר</w:t>
            </w:r>
            <w:r w:rsidRPr="00571FE0">
              <w:rPr>
                <w:b/>
                <w:bCs/>
                <w:sz w:val="22"/>
                <w:szCs w:val="22"/>
                <w:rtl/>
                <w:lang w:eastAsia="he-IL"/>
              </w:rPr>
              <w:t xml:space="preserve"> </w:t>
            </w:r>
            <w:r w:rsidRPr="00571FE0">
              <w:rPr>
                <w:rFonts w:hint="cs"/>
                <w:b/>
                <w:bCs/>
                <w:sz w:val="22"/>
                <w:szCs w:val="22"/>
                <w:rtl/>
                <w:lang w:eastAsia="he-IL"/>
              </w:rPr>
              <w:t>את</w:t>
            </w:r>
            <w:r w:rsidRPr="00571FE0">
              <w:rPr>
                <w:b/>
                <w:bCs/>
                <w:sz w:val="22"/>
                <w:szCs w:val="22"/>
                <w:rtl/>
                <w:lang w:eastAsia="he-IL"/>
              </w:rPr>
              <w:t xml:space="preserve"> </w:t>
            </w:r>
            <w:r w:rsidRPr="00571FE0">
              <w:rPr>
                <w:rFonts w:hint="cs"/>
                <w:b/>
                <w:bCs/>
                <w:sz w:val="22"/>
                <w:szCs w:val="22"/>
                <w:rtl/>
                <w:lang w:eastAsia="he-IL"/>
              </w:rPr>
              <w:t>הגדרת</w:t>
            </w:r>
            <w:r w:rsidRPr="00571FE0">
              <w:rPr>
                <w:b/>
                <w:bCs/>
                <w:sz w:val="22"/>
                <w:szCs w:val="22"/>
                <w:rtl/>
                <w:lang w:eastAsia="he-IL"/>
              </w:rPr>
              <w:t xml:space="preserve"> </w:t>
            </w:r>
            <w:r w:rsidRPr="00571FE0">
              <w:rPr>
                <w:rFonts w:hint="cs"/>
                <w:b/>
                <w:bCs/>
                <w:sz w:val="22"/>
                <w:szCs w:val="22"/>
                <w:rtl/>
                <w:lang w:eastAsia="he-IL"/>
              </w:rPr>
              <w:t>תחומי</w:t>
            </w:r>
            <w:r w:rsidRPr="00571FE0">
              <w:rPr>
                <w:b/>
                <w:bCs/>
                <w:sz w:val="22"/>
                <w:szCs w:val="22"/>
                <w:rtl/>
                <w:lang w:eastAsia="he-IL"/>
              </w:rPr>
              <w:t xml:space="preserve"> </w:t>
            </w:r>
            <w:r w:rsidRPr="00571FE0">
              <w:rPr>
                <w:rFonts w:hint="cs"/>
                <w:b/>
                <w:bCs/>
                <w:sz w:val="22"/>
                <w:szCs w:val="22"/>
                <w:rtl/>
                <w:lang w:eastAsia="he-IL"/>
              </w:rPr>
              <w:t>אחריותה</w:t>
            </w:r>
            <w:r w:rsidRPr="00571FE0">
              <w:rPr>
                <w:b/>
                <w:bCs/>
                <w:sz w:val="22"/>
                <w:szCs w:val="22"/>
                <w:rtl/>
                <w:lang w:eastAsia="he-IL"/>
              </w:rPr>
              <w:t xml:space="preserve"> </w:t>
            </w:r>
            <w:r w:rsidRPr="00571FE0">
              <w:rPr>
                <w:rFonts w:hint="cs"/>
                <w:b/>
                <w:bCs/>
                <w:sz w:val="22"/>
                <w:szCs w:val="22"/>
                <w:rtl/>
                <w:lang w:eastAsia="he-IL"/>
              </w:rPr>
              <w:t>המקצועית</w:t>
            </w:r>
            <w:r w:rsidRPr="00571FE0">
              <w:rPr>
                <w:b/>
                <w:bCs/>
                <w:sz w:val="22"/>
                <w:szCs w:val="22"/>
                <w:rtl/>
                <w:lang w:eastAsia="he-IL"/>
              </w:rPr>
              <w:t xml:space="preserve"> </w:t>
            </w:r>
            <w:r w:rsidRPr="00571FE0">
              <w:rPr>
                <w:rFonts w:hint="cs"/>
                <w:b/>
                <w:bCs/>
                <w:sz w:val="22"/>
                <w:szCs w:val="22"/>
                <w:rtl/>
                <w:lang w:eastAsia="he-IL"/>
              </w:rPr>
              <w:t>ואבני</w:t>
            </w:r>
            <w:r w:rsidRPr="00571FE0">
              <w:rPr>
                <w:b/>
                <w:bCs/>
                <w:sz w:val="22"/>
                <w:szCs w:val="22"/>
                <w:rtl/>
                <w:lang w:eastAsia="he-IL"/>
              </w:rPr>
              <w:t xml:space="preserve"> דרך ליישומם. </w:t>
            </w:r>
            <w:r w:rsidRPr="00571FE0">
              <w:rPr>
                <w:rFonts w:hint="cs"/>
                <w:b/>
                <w:bCs/>
                <w:sz w:val="22"/>
                <w:szCs w:val="22"/>
                <w:rtl/>
                <w:lang w:eastAsia="he-IL"/>
              </w:rPr>
              <w:t>לעניין</w:t>
            </w:r>
            <w:r w:rsidRPr="00571FE0">
              <w:rPr>
                <w:b/>
                <w:bCs/>
                <w:sz w:val="22"/>
                <w:szCs w:val="22"/>
                <w:rtl/>
                <w:lang w:eastAsia="he-IL"/>
              </w:rPr>
              <w:t xml:space="preserve"> </w:t>
            </w:r>
            <w:r w:rsidRPr="00571FE0">
              <w:rPr>
                <w:rFonts w:hint="cs"/>
                <w:b/>
                <w:bCs/>
                <w:sz w:val="22"/>
                <w:szCs w:val="22"/>
                <w:rtl/>
                <w:lang w:eastAsia="he-IL"/>
              </w:rPr>
              <w:t>זה</w:t>
            </w:r>
            <w:r w:rsidRPr="00571FE0">
              <w:rPr>
                <w:b/>
                <w:bCs/>
                <w:sz w:val="22"/>
                <w:szCs w:val="22"/>
                <w:rtl/>
                <w:lang w:eastAsia="he-IL"/>
              </w:rPr>
              <w:t xml:space="preserve"> </w:t>
            </w:r>
            <w:r w:rsidRPr="00571FE0">
              <w:rPr>
                <w:rFonts w:hint="cs"/>
                <w:b/>
                <w:bCs/>
                <w:sz w:val="22"/>
                <w:szCs w:val="22"/>
                <w:rtl/>
                <w:lang w:eastAsia="he-IL"/>
              </w:rPr>
              <w:t>על</w:t>
            </w:r>
            <w:r w:rsidRPr="00571FE0">
              <w:rPr>
                <w:b/>
                <w:bCs/>
                <w:sz w:val="22"/>
                <w:szCs w:val="22"/>
                <w:rtl/>
                <w:lang w:eastAsia="he-IL"/>
              </w:rPr>
              <w:t xml:space="preserve"> הרשויות המקומיות והמזכירויות של בתי המשפט </w:t>
            </w:r>
            <w:r w:rsidRPr="00571FE0">
              <w:rPr>
                <w:rFonts w:hint="cs"/>
                <w:b/>
                <w:bCs/>
                <w:sz w:val="22"/>
                <w:szCs w:val="22"/>
                <w:rtl/>
                <w:lang w:eastAsia="he-IL"/>
              </w:rPr>
              <w:t>לעניינים מקומיים</w:t>
            </w:r>
            <w:r w:rsidRPr="00571FE0">
              <w:rPr>
                <w:b/>
                <w:bCs/>
                <w:sz w:val="22"/>
                <w:szCs w:val="22"/>
                <w:rtl/>
                <w:lang w:eastAsia="he-IL"/>
              </w:rPr>
              <w:t xml:space="preserve"> להירתם </w:t>
            </w:r>
            <w:r w:rsidRPr="00571FE0">
              <w:rPr>
                <w:rFonts w:hint="cs"/>
                <w:b/>
                <w:bCs/>
                <w:sz w:val="22"/>
                <w:szCs w:val="22"/>
                <w:rtl/>
                <w:lang w:eastAsia="he-IL"/>
              </w:rPr>
              <w:t>למהלך</w:t>
            </w:r>
            <w:r w:rsidRPr="00571FE0">
              <w:rPr>
                <w:b/>
                <w:bCs/>
                <w:sz w:val="22"/>
                <w:szCs w:val="22"/>
                <w:rtl/>
                <w:lang w:eastAsia="he-IL"/>
              </w:rPr>
              <w:t xml:space="preserve"> </w:t>
            </w:r>
            <w:r w:rsidRPr="00571FE0">
              <w:rPr>
                <w:rFonts w:hint="cs"/>
                <w:b/>
                <w:bCs/>
                <w:sz w:val="22"/>
                <w:szCs w:val="22"/>
                <w:rtl/>
                <w:lang w:eastAsia="he-IL"/>
              </w:rPr>
              <w:t>שתוביל</w:t>
            </w:r>
            <w:r w:rsidRPr="00571FE0">
              <w:rPr>
                <w:b/>
                <w:bCs/>
                <w:sz w:val="22"/>
                <w:szCs w:val="22"/>
                <w:rtl/>
                <w:lang w:eastAsia="he-IL"/>
              </w:rPr>
              <w:t xml:space="preserve"> </w:t>
            </w:r>
            <w:r w:rsidRPr="00571FE0">
              <w:rPr>
                <w:rFonts w:hint="cs"/>
                <w:b/>
                <w:bCs/>
                <w:sz w:val="22"/>
                <w:szCs w:val="22"/>
                <w:rtl/>
                <w:lang w:eastAsia="he-IL"/>
              </w:rPr>
              <w:t>הנהלת בתי המשפט</w:t>
            </w:r>
            <w:r w:rsidRPr="00571FE0">
              <w:rPr>
                <w:b/>
                <w:bCs/>
                <w:sz w:val="22"/>
                <w:szCs w:val="22"/>
                <w:rtl/>
                <w:lang w:eastAsia="he-IL"/>
              </w:rPr>
              <w:t xml:space="preserve"> </w:t>
            </w:r>
            <w:r w:rsidRPr="00571FE0">
              <w:rPr>
                <w:rFonts w:hint="cs"/>
                <w:b/>
                <w:bCs/>
                <w:sz w:val="22"/>
                <w:szCs w:val="22"/>
                <w:rtl/>
                <w:lang w:eastAsia="he-IL"/>
              </w:rPr>
              <w:t>ולשתף</w:t>
            </w:r>
            <w:r w:rsidRPr="00571FE0">
              <w:rPr>
                <w:b/>
                <w:bCs/>
                <w:sz w:val="22"/>
                <w:szCs w:val="22"/>
                <w:rtl/>
                <w:lang w:eastAsia="he-IL"/>
              </w:rPr>
              <w:t xml:space="preserve"> </w:t>
            </w:r>
            <w:r w:rsidRPr="00571FE0">
              <w:rPr>
                <w:rFonts w:hint="cs"/>
                <w:b/>
                <w:bCs/>
                <w:sz w:val="22"/>
                <w:szCs w:val="22"/>
                <w:rtl/>
                <w:lang w:eastAsia="he-IL"/>
              </w:rPr>
              <w:t>עמה</w:t>
            </w:r>
            <w:r w:rsidRPr="00571FE0">
              <w:rPr>
                <w:b/>
                <w:bCs/>
                <w:sz w:val="22"/>
                <w:szCs w:val="22"/>
                <w:rtl/>
                <w:lang w:eastAsia="he-IL"/>
              </w:rPr>
              <w:t xml:space="preserve"> </w:t>
            </w:r>
            <w:r w:rsidRPr="00571FE0">
              <w:rPr>
                <w:rFonts w:hint="cs"/>
                <w:b/>
                <w:bCs/>
                <w:sz w:val="22"/>
                <w:szCs w:val="22"/>
                <w:rtl/>
                <w:lang w:eastAsia="he-IL"/>
              </w:rPr>
              <w:t>פעולה</w:t>
            </w:r>
            <w:r w:rsidRPr="00571FE0">
              <w:rPr>
                <w:b/>
                <w:bCs/>
                <w:sz w:val="22"/>
                <w:szCs w:val="22"/>
                <w:rtl/>
                <w:lang w:eastAsia="he-IL"/>
              </w:rPr>
              <w:t xml:space="preserve"> </w:t>
            </w:r>
            <w:r w:rsidRPr="00571FE0">
              <w:rPr>
                <w:rFonts w:hint="cs"/>
                <w:b/>
                <w:bCs/>
                <w:sz w:val="22"/>
                <w:szCs w:val="22"/>
                <w:rtl/>
                <w:lang w:eastAsia="he-IL"/>
              </w:rPr>
              <w:t>באופן</w:t>
            </w:r>
            <w:r w:rsidRPr="00571FE0">
              <w:rPr>
                <w:b/>
                <w:bCs/>
                <w:sz w:val="22"/>
                <w:szCs w:val="22"/>
                <w:rtl/>
                <w:lang w:eastAsia="he-IL"/>
              </w:rPr>
              <w:t xml:space="preserve"> </w:t>
            </w:r>
            <w:r w:rsidRPr="00571FE0">
              <w:rPr>
                <w:rFonts w:hint="cs"/>
                <w:b/>
                <w:bCs/>
                <w:sz w:val="22"/>
                <w:szCs w:val="22"/>
                <w:rtl/>
                <w:lang w:eastAsia="he-IL"/>
              </w:rPr>
              <w:t>שיסייע</w:t>
            </w:r>
            <w:r w:rsidRPr="00571FE0">
              <w:rPr>
                <w:b/>
                <w:bCs/>
                <w:sz w:val="22"/>
                <w:szCs w:val="22"/>
                <w:rtl/>
                <w:lang w:eastAsia="he-IL"/>
              </w:rPr>
              <w:t xml:space="preserve"> </w:t>
            </w:r>
            <w:r w:rsidRPr="00571FE0">
              <w:rPr>
                <w:rFonts w:hint="cs"/>
                <w:b/>
                <w:bCs/>
                <w:sz w:val="22"/>
                <w:szCs w:val="22"/>
                <w:rtl/>
                <w:lang w:eastAsia="he-IL"/>
              </w:rPr>
              <w:t>ליישום</w:t>
            </w:r>
            <w:r w:rsidRPr="00571FE0">
              <w:rPr>
                <w:b/>
                <w:bCs/>
                <w:sz w:val="22"/>
                <w:szCs w:val="22"/>
                <w:rtl/>
                <w:lang w:eastAsia="he-IL"/>
              </w:rPr>
              <w:t xml:space="preserve"> </w:t>
            </w:r>
            <w:r w:rsidRPr="00571FE0">
              <w:rPr>
                <w:rFonts w:hint="cs"/>
                <w:b/>
                <w:bCs/>
                <w:sz w:val="22"/>
                <w:szCs w:val="22"/>
                <w:rtl/>
                <w:lang w:eastAsia="he-IL"/>
              </w:rPr>
              <w:t>אפקטיבי</w:t>
            </w:r>
            <w:r w:rsidRPr="00571FE0">
              <w:rPr>
                <w:b/>
                <w:bCs/>
                <w:sz w:val="22"/>
                <w:szCs w:val="22"/>
                <w:rtl/>
                <w:lang w:eastAsia="he-IL"/>
              </w:rPr>
              <w:t xml:space="preserve"> </w:t>
            </w:r>
            <w:r w:rsidRPr="00571FE0">
              <w:rPr>
                <w:rFonts w:hint="cs"/>
                <w:b/>
                <w:bCs/>
                <w:sz w:val="22"/>
                <w:szCs w:val="22"/>
                <w:rtl/>
                <w:lang w:eastAsia="he-IL"/>
              </w:rPr>
              <w:t>של</w:t>
            </w:r>
            <w:r w:rsidRPr="00571FE0">
              <w:rPr>
                <w:b/>
                <w:bCs/>
                <w:sz w:val="22"/>
                <w:szCs w:val="22"/>
                <w:rtl/>
                <w:lang w:eastAsia="he-IL"/>
              </w:rPr>
              <w:t xml:space="preserve"> </w:t>
            </w:r>
            <w:r w:rsidRPr="00571FE0">
              <w:rPr>
                <w:rFonts w:hint="cs"/>
                <w:b/>
                <w:bCs/>
                <w:sz w:val="22"/>
                <w:szCs w:val="22"/>
                <w:rtl/>
                <w:lang w:eastAsia="he-IL"/>
              </w:rPr>
              <w:t>התכנית</w:t>
            </w:r>
            <w:r w:rsidRPr="00571FE0">
              <w:rPr>
                <w:b/>
                <w:bCs/>
                <w:sz w:val="22"/>
                <w:szCs w:val="22"/>
                <w:rtl/>
                <w:lang w:eastAsia="he-IL"/>
              </w:rPr>
              <w:t xml:space="preserve">. </w:t>
            </w:r>
            <w:r w:rsidRPr="00571FE0">
              <w:rPr>
                <w:rFonts w:hint="cs"/>
                <w:b/>
                <w:bCs/>
                <w:sz w:val="22"/>
                <w:szCs w:val="22"/>
                <w:rtl/>
                <w:lang w:eastAsia="he-IL"/>
              </w:rPr>
              <w:t xml:space="preserve">בנוסף על הנהלת בתי המשפט לבחון בשיתוף משרדי המשפטים הפנים והאוצר את </w:t>
            </w:r>
            <w:r w:rsidRPr="00571FE0">
              <w:rPr>
                <w:b/>
                <w:bCs/>
                <w:sz w:val="22"/>
                <w:szCs w:val="22"/>
                <w:rtl/>
                <w:lang w:eastAsia="he-IL"/>
              </w:rPr>
              <w:t xml:space="preserve">הסדר תקצוב </w:t>
            </w:r>
            <w:r w:rsidRPr="00571FE0">
              <w:rPr>
                <w:rFonts w:hint="cs"/>
                <w:b/>
                <w:bCs/>
                <w:sz w:val="22"/>
                <w:szCs w:val="22"/>
                <w:rtl/>
                <w:lang w:eastAsia="he-IL"/>
              </w:rPr>
              <w:t>הפעלתם</w:t>
            </w:r>
            <w:r w:rsidRPr="00571FE0">
              <w:rPr>
                <w:b/>
                <w:bCs/>
                <w:sz w:val="22"/>
                <w:szCs w:val="22"/>
                <w:rtl/>
                <w:lang w:eastAsia="he-IL"/>
              </w:rPr>
              <w:t xml:space="preserve"> </w:t>
            </w:r>
            <w:r w:rsidRPr="00571FE0">
              <w:rPr>
                <w:rFonts w:hint="cs"/>
                <w:b/>
                <w:bCs/>
                <w:sz w:val="22"/>
                <w:szCs w:val="22"/>
                <w:rtl/>
                <w:lang w:eastAsia="he-IL"/>
              </w:rPr>
              <w:t>של</w:t>
            </w:r>
            <w:r w:rsidRPr="00571FE0">
              <w:rPr>
                <w:b/>
                <w:bCs/>
                <w:sz w:val="22"/>
                <w:szCs w:val="22"/>
                <w:rtl/>
                <w:lang w:eastAsia="he-IL"/>
              </w:rPr>
              <w:t xml:space="preserve"> </w:t>
            </w:r>
            <w:r w:rsidRPr="00571FE0">
              <w:rPr>
                <w:rFonts w:hint="cs"/>
                <w:b/>
                <w:bCs/>
                <w:sz w:val="22"/>
                <w:szCs w:val="22"/>
                <w:rtl/>
                <w:lang w:eastAsia="he-IL"/>
              </w:rPr>
              <w:t>בתי</w:t>
            </w:r>
            <w:r w:rsidRPr="00571FE0">
              <w:rPr>
                <w:b/>
                <w:bCs/>
                <w:sz w:val="22"/>
                <w:szCs w:val="22"/>
                <w:rtl/>
                <w:lang w:eastAsia="he-IL"/>
              </w:rPr>
              <w:t xml:space="preserve"> </w:t>
            </w:r>
            <w:r w:rsidRPr="00571FE0">
              <w:rPr>
                <w:rFonts w:hint="cs"/>
                <w:b/>
                <w:bCs/>
                <w:sz w:val="22"/>
                <w:szCs w:val="22"/>
                <w:rtl/>
                <w:lang w:eastAsia="he-IL"/>
              </w:rPr>
              <w:t>המשפט</w:t>
            </w:r>
            <w:r w:rsidRPr="00571FE0">
              <w:rPr>
                <w:b/>
                <w:bCs/>
                <w:sz w:val="22"/>
                <w:szCs w:val="22"/>
                <w:rtl/>
                <w:lang w:eastAsia="he-IL"/>
              </w:rPr>
              <w:t xml:space="preserve"> </w:t>
            </w:r>
            <w:r w:rsidRPr="00571FE0">
              <w:rPr>
                <w:rFonts w:hint="cs"/>
                <w:b/>
                <w:bCs/>
                <w:sz w:val="22"/>
                <w:szCs w:val="22"/>
                <w:rtl/>
                <w:lang w:eastAsia="he-IL"/>
              </w:rPr>
              <w:t>באופן שיבטיח</w:t>
            </w:r>
            <w:r w:rsidRPr="00571FE0">
              <w:rPr>
                <w:b/>
                <w:bCs/>
                <w:sz w:val="22"/>
                <w:szCs w:val="22"/>
                <w:rtl/>
                <w:lang w:eastAsia="he-IL"/>
              </w:rPr>
              <w:t xml:space="preserve"> </w:t>
            </w:r>
            <w:r w:rsidRPr="00571FE0">
              <w:rPr>
                <w:rFonts w:hint="cs"/>
                <w:b/>
                <w:bCs/>
                <w:sz w:val="22"/>
                <w:szCs w:val="22"/>
                <w:rtl/>
                <w:lang w:eastAsia="he-IL"/>
              </w:rPr>
              <w:t>את</w:t>
            </w:r>
            <w:r w:rsidRPr="00571FE0">
              <w:rPr>
                <w:b/>
                <w:bCs/>
                <w:sz w:val="22"/>
                <w:szCs w:val="22"/>
                <w:rtl/>
                <w:lang w:eastAsia="he-IL"/>
              </w:rPr>
              <w:t xml:space="preserve"> </w:t>
            </w:r>
            <w:r w:rsidRPr="00571FE0">
              <w:rPr>
                <w:rFonts w:hint="cs"/>
                <w:b/>
                <w:bCs/>
                <w:sz w:val="22"/>
                <w:szCs w:val="22"/>
                <w:rtl/>
                <w:lang w:eastAsia="he-IL"/>
              </w:rPr>
              <w:t>עצמאותם</w:t>
            </w:r>
            <w:r w:rsidRPr="00571FE0">
              <w:rPr>
                <w:b/>
                <w:bCs/>
                <w:sz w:val="22"/>
                <w:szCs w:val="22"/>
                <w:rtl/>
                <w:lang w:eastAsia="he-IL"/>
              </w:rPr>
              <w:t>.</w:t>
            </w:r>
            <w:r w:rsidRPr="00571FE0">
              <w:rPr>
                <w:rFonts w:hint="cs"/>
                <w:b/>
                <w:bCs/>
                <w:sz w:val="22"/>
                <w:szCs w:val="22"/>
                <w:rtl/>
                <w:lang w:eastAsia="he-IL"/>
              </w:rPr>
              <w:t xml:space="preserve"> </w:t>
            </w:r>
          </w:p>
          <w:p w:rsidR="00571FE0" w:rsidRPr="00571FE0" w:rsidP="00907008">
            <w:pPr>
              <w:tabs>
                <w:tab w:val="left" w:pos="424"/>
              </w:tabs>
              <w:spacing w:after="120"/>
              <w:jc w:val="both"/>
              <w:rPr>
                <w:b/>
                <w:bCs/>
                <w:sz w:val="22"/>
                <w:szCs w:val="22"/>
                <w:rtl/>
                <w:lang w:eastAsia="he-IL"/>
              </w:rPr>
            </w:pPr>
            <w:r w:rsidRPr="00571FE0">
              <w:rPr>
                <w:rFonts w:hint="cs"/>
                <w:b/>
                <w:bCs/>
                <w:sz w:val="22"/>
                <w:szCs w:val="22"/>
                <w:rtl/>
                <w:lang w:eastAsia="he-IL"/>
              </w:rPr>
              <w:t xml:space="preserve">קשיים ובעיות יסוד בקשר להפעלת המודל הדואלי שבמסגרתו פועלים בתי המשפט לעניינים מקומיים שבים ועולים מאז מיסודה של מערכת שפיטה זו בראשית שנות השמונים של המאה הקודמת. מציאות זו, המקבלת ביטוי גם בממצאיו של דוח זה, מחייבת הכרעה. אשר על כן שרת המשפטים, שר הפנים ושר האוצר נדרשים לבחון את המודל הרצוי להפעלת בתי המשפט המקומיים ולהכריע </w:t>
            </w:r>
            <w:r w:rsidRPr="00DC2796">
              <w:rPr>
                <w:rFonts w:hint="cs"/>
                <w:b/>
                <w:bCs/>
                <w:sz w:val="22"/>
                <w:szCs w:val="22"/>
                <w:u w:val="single"/>
                <w:rtl/>
                <w:lang w:eastAsia="he-IL"/>
              </w:rPr>
              <w:t>לאלתר</w:t>
            </w:r>
            <w:r w:rsidRPr="00571FE0">
              <w:rPr>
                <w:rFonts w:hint="cs"/>
                <w:b/>
                <w:bCs/>
                <w:sz w:val="22"/>
                <w:szCs w:val="22"/>
                <w:rtl/>
                <w:lang w:eastAsia="he-IL"/>
              </w:rPr>
              <w:t xml:space="preserve"> בסוגיה זו. לדעת משרד מבקר המדינה הצורך להבטיח את עצמאות מערכת המשפט ובתוך כך את עבודת בתי המשפט לעניינים מקומיים והפעלתם בהתאם לנורמות המקובלות במערכת בתי המשפט הוא זה אשר צריך לעמוד ביסוד הבחינה וההחלטה בתחום זה.</w:t>
            </w:r>
          </w:p>
        </w:tc>
      </w:tr>
    </w:tbl>
    <w:p w:rsidR="001275A6" w:rsidP="00040DAE">
      <w:pPr>
        <w:spacing w:after="120" w:line="230" w:lineRule="exact"/>
        <w:jc w:val="both"/>
        <w:rPr>
          <w:rFonts w:cs="FrankRuehl"/>
          <w:sz w:val="20"/>
          <w:szCs w:val="22"/>
          <w:rtl/>
        </w:rPr>
      </w:pPr>
    </w:p>
    <w:p w:rsidR="001275A6" w:rsidP="00040DAE">
      <w:pPr>
        <w:pStyle w:val="KOT1"/>
        <w:keepNext w:val="0"/>
        <w:spacing w:after="0" w:line="240" w:lineRule="atLeast"/>
        <w:rPr>
          <w:rFonts w:ascii="Arial" w:hAnsi="Arial" w:cs="Arial"/>
          <w:lang w:eastAsia="en-US"/>
        </w:rPr>
      </w:pPr>
      <w:r>
        <w:rPr>
          <w:rFonts w:ascii="Arial" w:hAnsi="Arial" w:cs="Arial"/>
          <w:lang w:eastAsia="en-US"/>
        </w:rPr>
        <w:t>♦</w:t>
      </w:r>
    </w:p>
    <w:p w:rsidR="001275A6" w:rsidP="00040DAE">
      <w:pPr>
        <w:spacing w:after="120" w:line="230" w:lineRule="exact"/>
        <w:jc w:val="both"/>
        <w:rPr>
          <w:rFonts w:cs="FrankRuehl"/>
          <w:sz w:val="20"/>
          <w:szCs w:val="22"/>
          <w:rtl/>
        </w:rPr>
      </w:pPr>
    </w:p>
    <w:p w:rsidR="001275A6" w:rsidP="00040DAE">
      <w:pPr>
        <w:pStyle w:val="KOT4"/>
        <w:rPr>
          <w:rtl/>
        </w:rPr>
      </w:pPr>
      <w:bookmarkEnd w:id="0"/>
      <w:bookmarkEnd w:id="1"/>
      <w:bookmarkEnd w:id="2"/>
      <w:bookmarkEnd w:id="3"/>
      <w:bookmarkEnd w:id="4"/>
      <w:r>
        <w:rPr>
          <w:rtl/>
        </w:rPr>
        <w:br w:type="page"/>
      </w:r>
      <w:r>
        <w:rPr>
          <w:rFonts w:hint="eastAsia"/>
          <w:rtl/>
        </w:rPr>
        <w:t>מבוא</w:t>
      </w:r>
    </w:p>
    <w:p w:rsidR="003037FB" w:rsidRPr="00247C05" w:rsidP="00040DAE">
      <w:pPr>
        <w:spacing w:after="120" w:line="230" w:lineRule="exact"/>
        <w:jc w:val="both"/>
        <w:rPr>
          <w:rFonts w:cs="FrankRuehl"/>
          <w:sz w:val="20"/>
          <w:szCs w:val="22"/>
          <w:rtl/>
        </w:rPr>
      </w:pPr>
      <w:r w:rsidRPr="00247C05">
        <w:rPr>
          <w:rFonts w:cs="FrankRuehl"/>
          <w:sz w:val="20"/>
          <w:szCs w:val="22"/>
          <w:rtl/>
        </w:rPr>
        <w:t>מערכת בתי המשפט של ישראל כוללת</w:t>
      </w:r>
      <w:r w:rsidRPr="00247C05">
        <w:rPr>
          <w:rFonts w:cs="FrankRuehl" w:hint="cs"/>
          <w:sz w:val="20"/>
          <w:szCs w:val="22"/>
          <w:rtl/>
        </w:rPr>
        <w:t>,</w:t>
      </w:r>
      <w:r w:rsidRPr="00247C05">
        <w:rPr>
          <w:rFonts w:cs="FrankRuehl"/>
          <w:sz w:val="20"/>
          <w:szCs w:val="22"/>
          <w:rtl/>
        </w:rPr>
        <w:t xml:space="preserve"> בין היתר</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 xml:space="preserve">את </w:t>
      </w:r>
      <w:r w:rsidRPr="00247C05">
        <w:rPr>
          <w:rFonts w:cs="FrankRuehl"/>
          <w:sz w:val="20"/>
          <w:szCs w:val="22"/>
          <w:rtl/>
        </w:rPr>
        <w:t xml:space="preserve">בית המשפט העליון, </w:t>
      </w:r>
      <w:r w:rsidRPr="00247C05">
        <w:rPr>
          <w:rFonts w:cs="FrankRuehl" w:hint="cs"/>
          <w:sz w:val="20"/>
          <w:szCs w:val="22"/>
          <w:rtl/>
        </w:rPr>
        <w:t xml:space="preserve">את בתי המשפט </w:t>
      </w:r>
      <w:r w:rsidRPr="00247C05">
        <w:rPr>
          <w:rFonts w:cs="FrankRuehl"/>
          <w:sz w:val="20"/>
          <w:szCs w:val="22"/>
          <w:rtl/>
        </w:rPr>
        <w:t>המחוזיים</w:t>
      </w:r>
      <w:r w:rsidRPr="00247C05">
        <w:rPr>
          <w:rFonts w:cs="FrankRuehl" w:hint="cs"/>
          <w:sz w:val="20"/>
          <w:szCs w:val="22"/>
          <w:rtl/>
        </w:rPr>
        <w:t xml:space="preserve"> ואת</w:t>
      </w:r>
      <w:r w:rsidRPr="00247C05">
        <w:rPr>
          <w:rFonts w:cs="FrankRuehl"/>
          <w:sz w:val="20"/>
          <w:szCs w:val="22"/>
          <w:rtl/>
        </w:rPr>
        <w:t xml:space="preserve"> בתי משפט </w:t>
      </w:r>
      <w:r w:rsidRPr="00247C05">
        <w:rPr>
          <w:rFonts w:cs="FrankRuehl" w:hint="cs"/>
          <w:sz w:val="20"/>
          <w:szCs w:val="22"/>
          <w:rtl/>
        </w:rPr>
        <w:t xml:space="preserve">השלום. לבתי המשפט ניתנו סמכויות </w:t>
      </w:r>
      <w:r w:rsidRPr="00247C05">
        <w:rPr>
          <w:rFonts w:cs="FrankRuehl"/>
          <w:sz w:val="20"/>
          <w:szCs w:val="22"/>
          <w:rtl/>
        </w:rPr>
        <w:t>שפיטה בעניינים פליליים, אזרחיים ומ</w:t>
      </w:r>
      <w:r w:rsidRPr="00247C05">
        <w:rPr>
          <w:rFonts w:cs="FrankRuehl" w:hint="cs"/>
          <w:sz w:val="20"/>
          <w:szCs w:val="22"/>
          <w:rtl/>
        </w:rPr>
        <w:t>י</w:t>
      </w:r>
      <w:r w:rsidRPr="00247C05">
        <w:rPr>
          <w:rFonts w:cs="FrankRuehl"/>
          <w:sz w:val="20"/>
          <w:szCs w:val="22"/>
          <w:rtl/>
        </w:rPr>
        <w:t>נהליים</w:t>
      </w:r>
      <w:r w:rsidRPr="00247C05">
        <w:rPr>
          <w:rFonts w:cs="FrankRuehl" w:hint="cs"/>
          <w:sz w:val="20"/>
          <w:szCs w:val="22"/>
          <w:rtl/>
        </w:rPr>
        <w:t xml:space="preserve"> </w:t>
      </w:r>
      <w:r w:rsidRPr="00247C05">
        <w:rPr>
          <w:rFonts w:cs="FrankRuehl"/>
          <w:sz w:val="20"/>
          <w:szCs w:val="22"/>
          <w:rtl/>
        </w:rPr>
        <w:t>(להלן - בתי המשפט</w:t>
      </w:r>
      <w:r w:rsidRPr="00247C05">
        <w:rPr>
          <w:rFonts w:cs="FrankRuehl" w:hint="cs"/>
          <w:sz w:val="20"/>
          <w:szCs w:val="22"/>
          <w:rtl/>
        </w:rPr>
        <w:t xml:space="preserve"> או מערכת בתי המשפט</w:t>
      </w:r>
      <w:r w:rsidRPr="00247C05">
        <w:rPr>
          <w:rFonts w:cs="FrankRuehl"/>
          <w:sz w:val="20"/>
          <w:szCs w:val="22"/>
          <w:rtl/>
        </w:rPr>
        <w:t>)</w:t>
      </w:r>
      <w:r>
        <w:rPr>
          <w:rStyle w:val="FootnoteReference"/>
          <w:rFonts w:cs="FrankRuehl"/>
          <w:sz w:val="20"/>
          <w:szCs w:val="22"/>
          <w:rtl/>
        </w:rPr>
        <w:footnoteReference w:id="3"/>
      </w:r>
      <w:r w:rsidRPr="00247C05">
        <w:rPr>
          <w:rFonts w:cs="FrankRuehl"/>
          <w:sz w:val="20"/>
          <w:szCs w:val="22"/>
          <w:rtl/>
        </w:rPr>
        <w:t>. בתי המשפט מאורגנים בשישה מחוזות</w:t>
      </w:r>
      <w:r w:rsidRPr="00247C05">
        <w:rPr>
          <w:rFonts w:cs="FrankRuehl" w:hint="cs"/>
          <w:sz w:val="20"/>
          <w:szCs w:val="22"/>
          <w:rtl/>
        </w:rPr>
        <w:t xml:space="preserve">, ובראש כל מחוז עומד מנהל (להלן - מנהל המחוז). </w:t>
      </w:r>
    </w:p>
    <w:p w:rsidR="003037FB" w:rsidRPr="00247C05" w:rsidP="00040DAE">
      <w:pPr>
        <w:spacing w:after="120" w:line="230" w:lineRule="exact"/>
        <w:jc w:val="both"/>
        <w:rPr>
          <w:rFonts w:cs="FrankRuehl"/>
          <w:sz w:val="20"/>
          <w:szCs w:val="22"/>
          <w:rtl/>
        </w:rPr>
      </w:pPr>
      <w:r w:rsidRPr="00247C05">
        <w:rPr>
          <w:rFonts w:cs="FrankRuehl"/>
          <w:sz w:val="20"/>
          <w:szCs w:val="22"/>
          <w:rtl/>
        </w:rPr>
        <w:t xml:space="preserve">הנהלת בתי המשפט </w:t>
      </w:r>
      <w:r w:rsidRPr="00247C05">
        <w:rPr>
          <w:rFonts w:cs="FrankRuehl" w:hint="cs"/>
          <w:sz w:val="20"/>
          <w:szCs w:val="22"/>
          <w:rtl/>
        </w:rPr>
        <w:t>ובראשה מנהל בתי המשפט</w:t>
      </w:r>
      <w:r w:rsidRPr="00247C05">
        <w:rPr>
          <w:rFonts w:cs="FrankRuehl"/>
          <w:sz w:val="20"/>
          <w:szCs w:val="22"/>
          <w:rtl/>
        </w:rPr>
        <w:t xml:space="preserve"> מרכזת את </w:t>
      </w:r>
      <w:r w:rsidRPr="00247C05">
        <w:rPr>
          <w:rFonts w:cs="FrankRuehl" w:hint="cs"/>
          <w:sz w:val="20"/>
          <w:szCs w:val="22"/>
          <w:rtl/>
        </w:rPr>
        <w:t>ה</w:t>
      </w:r>
      <w:r w:rsidRPr="00247C05">
        <w:rPr>
          <w:rFonts w:cs="FrankRuehl"/>
          <w:sz w:val="20"/>
          <w:szCs w:val="22"/>
          <w:rtl/>
        </w:rPr>
        <w:t>פעילות ה</w:t>
      </w:r>
      <w:r w:rsidRPr="00247C05">
        <w:rPr>
          <w:rFonts w:cs="FrankRuehl" w:hint="cs"/>
          <w:sz w:val="20"/>
          <w:szCs w:val="22"/>
          <w:rtl/>
        </w:rPr>
        <w:t xml:space="preserve">מינהלית </w:t>
      </w:r>
      <w:r w:rsidRPr="00247C05">
        <w:rPr>
          <w:rFonts w:cs="FrankRuehl"/>
          <w:sz w:val="20"/>
          <w:szCs w:val="22"/>
          <w:rtl/>
        </w:rPr>
        <w:t>של</w:t>
      </w:r>
      <w:r w:rsidRPr="00247C05">
        <w:rPr>
          <w:rFonts w:cs="FrankRuehl" w:hint="cs"/>
          <w:sz w:val="20"/>
          <w:szCs w:val="22"/>
          <w:rtl/>
        </w:rPr>
        <w:t xml:space="preserve"> </w:t>
      </w:r>
      <w:r w:rsidRPr="00247C05">
        <w:rPr>
          <w:rFonts w:cs="FrankRuehl"/>
          <w:sz w:val="20"/>
          <w:szCs w:val="22"/>
          <w:rtl/>
        </w:rPr>
        <w:t>מערכת בתי המשפט</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תומכת ב</w:t>
      </w:r>
      <w:r w:rsidRPr="00247C05">
        <w:rPr>
          <w:rFonts w:cs="FrankRuehl"/>
          <w:sz w:val="20"/>
          <w:szCs w:val="22"/>
          <w:rtl/>
        </w:rPr>
        <w:t xml:space="preserve">דרג השיפוטי </w:t>
      </w:r>
      <w:r w:rsidRPr="00247C05">
        <w:rPr>
          <w:rFonts w:cs="FrankRuehl" w:hint="cs"/>
          <w:sz w:val="20"/>
          <w:szCs w:val="22"/>
          <w:rtl/>
        </w:rPr>
        <w:t xml:space="preserve">ומסייעת לו בנושאים מינהליים </w:t>
      </w:r>
      <w:r w:rsidRPr="00247C05">
        <w:rPr>
          <w:rFonts w:cs="FrankRuehl"/>
          <w:sz w:val="20"/>
          <w:szCs w:val="22"/>
          <w:rtl/>
        </w:rPr>
        <w:t>ו</w:t>
      </w:r>
      <w:r w:rsidRPr="00247C05">
        <w:rPr>
          <w:rFonts w:cs="FrankRuehl" w:hint="cs"/>
          <w:sz w:val="20"/>
          <w:szCs w:val="22"/>
          <w:rtl/>
        </w:rPr>
        <w:t xml:space="preserve">מנחה מבחינה המקצועית את הדרג </w:t>
      </w:r>
      <w:r w:rsidRPr="00247C05">
        <w:rPr>
          <w:rFonts w:cs="FrankRuehl"/>
          <w:sz w:val="20"/>
          <w:szCs w:val="22"/>
          <w:rtl/>
        </w:rPr>
        <w:t>המ</w:t>
      </w:r>
      <w:r w:rsidRPr="00247C05">
        <w:rPr>
          <w:rFonts w:cs="FrankRuehl" w:hint="cs"/>
          <w:sz w:val="20"/>
          <w:szCs w:val="22"/>
          <w:rtl/>
        </w:rPr>
        <w:t>י</w:t>
      </w:r>
      <w:r w:rsidRPr="00247C05">
        <w:rPr>
          <w:rFonts w:cs="FrankRuehl"/>
          <w:sz w:val="20"/>
          <w:szCs w:val="22"/>
          <w:rtl/>
        </w:rPr>
        <w:t>נהלי</w:t>
      </w:r>
      <w:r w:rsidRPr="00247C05">
        <w:rPr>
          <w:rFonts w:cs="FrankRuehl" w:hint="cs"/>
          <w:sz w:val="20"/>
          <w:szCs w:val="22"/>
          <w:rtl/>
        </w:rPr>
        <w:t xml:space="preserve"> ש</w:t>
      </w:r>
      <w:r w:rsidRPr="00247C05">
        <w:rPr>
          <w:rFonts w:cs="FrankRuehl"/>
          <w:sz w:val="20"/>
          <w:szCs w:val="22"/>
          <w:rtl/>
        </w:rPr>
        <w:t>בבתי המשפט ברחבי הארץ</w:t>
      </w:r>
      <w:r w:rsidRPr="00247C05">
        <w:rPr>
          <w:rFonts w:cs="FrankRuehl" w:hint="cs"/>
          <w:sz w:val="20"/>
          <w:szCs w:val="22"/>
          <w:rtl/>
        </w:rPr>
        <w:t>.</w:t>
      </w:r>
      <w:r w:rsidRPr="00247C05">
        <w:rPr>
          <w:rFonts w:cs="FrankRuehl"/>
          <w:sz w:val="20"/>
          <w:szCs w:val="22"/>
          <w:rtl/>
        </w:rPr>
        <w:t xml:space="preserve"> בה</w:t>
      </w:r>
      <w:r w:rsidRPr="00247C05">
        <w:rPr>
          <w:rFonts w:cs="FrankRuehl" w:hint="cs"/>
          <w:sz w:val="20"/>
          <w:szCs w:val="22"/>
          <w:rtl/>
        </w:rPr>
        <w:t>ב"ה</w:t>
      </w:r>
      <w:r w:rsidRPr="00247C05">
        <w:rPr>
          <w:rFonts w:cs="FrankRuehl"/>
          <w:sz w:val="20"/>
          <w:szCs w:val="22"/>
          <w:rtl/>
        </w:rPr>
        <w:t xml:space="preserve"> פועלות יחידות </w:t>
      </w:r>
      <w:r w:rsidRPr="00247C05">
        <w:rPr>
          <w:rFonts w:cs="FrankRuehl" w:hint="cs"/>
          <w:sz w:val="20"/>
          <w:szCs w:val="22"/>
          <w:rtl/>
        </w:rPr>
        <w:t xml:space="preserve">שמטפלות </w:t>
      </w:r>
      <w:r w:rsidRPr="00247C05">
        <w:rPr>
          <w:rFonts w:cs="FrankRuehl"/>
          <w:sz w:val="20"/>
          <w:szCs w:val="22"/>
          <w:rtl/>
        </w:rPr>
        <w:t xml:space="preserve">במגוון התחומים הרלוונטיים </w:t>
      </w:r>
      <w:r w:rsidRPr="00247C05">
        <w:rPr>
          <w:rFonts w:cs="FrankRuehl" w:hint="cs"/>
          <w:sz w:val="20"/>
          <w:szCs w:val="22"/>
          <w:rtl/>
        </w:rPr>
        <w:t>ב</w:t>
      </w:r>
      <w:r w:rsidRPr="00247C05">
        <w:rPr>
          <w:rFonts w:cs="FrankRuehl"/>
          <w:sz w:val="20"/>
          <w:szCs w:val="22"/>
          <w:rtl/>
        </w:rPr>
        <w:t>מערכת בתי</w:t>
      </w:r>
      <w:r w:rsidRPr="00247C05">
        <w:rPr>
          <w:rFonts w:cs="FrankRuehl" w:hint="cs"/>
          <w:sz w:val="20"/>
          <w:szCs w:val="22"/>
          <w:rtl/>
        </w:rPr>
        <w:t xml:space="preserve"> </w:t>
      </w:r>
      <w:r w:rsidRPr="00247C05">
        <w:rPr>
          <w:rFonts w:cs="FrankRuehl"/>
          <w:sz w:val="20"/>
          <w:szCs w:val="22"/>
          <w:rtl/>
        </w:rPr>
        <w:t xml:space="preserve">המשפט, ובכלל זה </w:t>
      </w:r>
      <w:r w:rsidRPr="00247C05">
        <w:rPr>
          <w:rFonts w:cs="FrankRuehl" w:hint="cs"/>
          <w:sz w:val="20"/>
          <w:szCs w:val="22"/>
          <w:rtl/>
        </w:rPr>
        <w:t xml:space="preserve">יחידות של </w:t>
      </w:r>
      <w:r w:rsidRPr="00247C05">
        <w:rPr>
          <w:rFonts w:cs="FrankRuehl"/>
          <w:sz w:val="20"/>
          <w:szCs w:val="22"/>
          <w:rtl/>
        </w:rPr>
        <w:t>מזכירות, בינוי</w:t>
      </w:r>
      <w:r w:rsidRPr="00247C05">
        <w:rPr>
          <w:rFonts w:cs="FrankRuehl" w:hint="cs"/>
          <w:sz w:val="20"/>
          <w:szCs w:val="22"/>
          <w:rtl/>
        </w:rPr>
        <w:t>,</w:t>
      </w:r>
      <w:r w:rsidRPr="00247C05">
        <w:rPr>
          <w:rFonts w:cs="FrankRuehl"/>
          <w:sz w:val="20"/>
          <w:szCs w:val="22"/>
          <w:rtl/>
        </w:rPr>
        <w:t xml:space="preserve"> כוח אדם</w:t>
      </w:r>
      <w:r w:rsidRPr="00247C05">
        <w:rPr>
          <w:rFonts w:cs="FrankRuehl" w:hint="cs"/>
          <w:sz w:val="20"/>
          <w:szCs w:val="22"/>
          <w:rtl/>
        </w:rPr>
        <w:t>,</w:t>
      </w:r>
      <w:r w:rsidRPr="00247C05">
        <w:rPr>
          <w:rFonts w:cs="FrankRuehl"/>
          <w:sz w:val="20"/>
          <w:szCs w:val="22"/>
          <w:rtl/>
        </w:rPr>
        <w:t xml:space="preserve"> תקציבים</w:t>
      </w:r>
      <w:r w:rsidRPr="00247C05">
        <w:rPr>
          <w:rFonts w:cs="FrankRuehl" w:hint="cs"/>
          <w:sz w:val="20"/>
          <w:szCs w:val="22"/>
          <w:rtl/>
        </w:rPr>
        <w:t xml:space="preserve">, </w:t>
      </w:r>
      <w:r w:rsidRPr="00247C05">
        <w:rPr>
          <w:rFonts w:cs="FrankRuehl"/>
          <w:sz w:val="20"/>
          <w:szCs w:val="22"/>
          <w:rtl/>
        </w:rPr>
        <w:t xml:space="preserve">ביטחון, לשכה משפטית </w:t>
      </w:r>
      <w:r w:rsidRPr="00247C05">
        <w:rPr>
          <w:rFonts w:cs="FrankRuehl" w:hint="cs"/>
          <w:sz w:val="20"/>
          <w:szCs w:val="22"/>
          <w:rtl/>
        </w:rPr>
        <w:t>ו</w:t>
      </w:r>
      <w:r w:rsidRPr="00247C05">
        <w:rPr>
          <w:rFonts w:cs="FrankRuehl"/>
          <w:sz w:val="20"/>
          <w:szCs w:val="22"/>
          <w:rtl/>
        </w:rPr>
        <w:t>ביקורת פנים</w:t>
      </w:r>
      <w:r>
        <w:rPr>
          <w:rStyle w:val="FootnoteReference"/>
          <w:rFonts w:cs="FrankRuehl"/>
          <w:sz w:val="20"/>
          <w:szCs w:val="22"/>
          <w:rtl/>
        </w:rPr>
        <w:footnoteReference w:id="4"/>
      </w:r>
      <w:r w:rsidRPr="00247C05">
        <w:rPr>
          <w:rFonts w:cs="FrankRuehl"/>
          <w:sz w:val="20"/>
          <w:szCs w:val="22"/>
          <w:rtl/>
        </w:rPr>
        <w:t>.</w:t>
      </w:r>
    </w:p>
    <w:p w:rsidR="003037FB" w:rsidRPr="00247C05" w:rsidP="00040DAE">
      <w:pPr>
        <w:spacing w:after="120" w:line="230" w:lineRule="exact"/>
        <w:jc w:val="both"/>
        <w:rPr>
          <w:rFonts w:cs="FrankRuehl"/>
          <w:sz w:val="20"/>
          <w:szCs w:val="22"/>
          <w:rtl/>
        </w:rPr>
      </w:pPr>
      <w:r w:rsidRPr="00247C05">
        <w:rPr>
          <w:rFonts w:cs="FrankRuehl" w:hint="cs"/>
          <w:sz w:val="20"/>
          <w:szCs w:val="22"/>
          <w:rtl/>
        </w:rPr>
        <w:t>חטיבת</w:t>
      </w:r>
      <w:r w:rsidRPr="00247C05">
        <w:rPr>
          <w:rFonts w:cs="FrankRuehl"/>
          <w:sz w:val="20"/>
          <w:szCs w:val="22"/>
          <w:rtl/>
        </w:rPr>
        <w:t xml:space="preserve"> </w:t>
      </w:r>
      <w:r w:rsidRPr="00247C05">
        <w:rPr>
          <w:rFonts w:cs="FrankRuehl" w:hint="cs"/>
          <w:sz w:val="20"/>
          <w:szCs w:val="22"/>
          <w:rtl/>
        </w:rPr>
        <w:t>תפעול ו</w:t>
      </w:r>
      <w:r w:rsidRPr="00247C05">
        <w:rPr>
          <w:rFonts w:cs="FrankRuehl"/>
          <w:sz w:val="20"/>
          <w:szCs w:val="22"/>
          <w:rtl/>
        </w:rPr>
        <w:t xml:space="preserve">מזכירויות </w:t>
      </w:r>
      <w:r w:rsidRPr="00247C05">
        <w:rPr>
          <w:rFonts w:cs="FrankRuehl" w:hint="cs"/>
          <w:sz w:val="20"/>
          <w:szCs w:val="22"/>
          <w:rtl/>
        </w:rPr>
        <w:t xml:space="preserve">בהב"ה </w:t>
      </w:r>
      <w:r w:rsidRPr="00247C05">
        <w:rPr>
          <w:rFonts w:cs="FrankRuehl"/>
          <w:sz w:val="20"/>
          <w:szCs w:val="22"/>
          <w:rtl/>
        </w:rPr>
        <w:t>עוסקת בריכוז הפע</w:t>
      </w:r>
      <w:r w:rsidRPr="00247C05">
        <w:rPr>
          <w:rFonts w:cs="FrankRuehl" w:hint="cs"/>
          <w:sz w:val="20"/>
          <w:szCs w:val="22"/>
          <w:rtl/>
        </w:rPr>
        <w:t>ו</w:t>
      </w:r>
      <w:r w:rsidRPr="00247C05">
        <w:rPr>
          <w:rFonts w:cs="FrankRuehl"/>
          <w:sz w:val="20"/>
          <w:szCs w:val="22"/>
          <w:rtl/>
        </w:rPr>
        <w:t>לות של יחידות בתי המשפט ובתיאומן</w:t>
      </w:r>
      <w:r w:rsidRPr="00247C05">
        <w:rPr>
          <w:rFonts w:cs="FrankRuehl" w:hint="cs"/>
          <w:sz w:val="20"/>
          <w:szCs w:val="22"/>
          <w:rtl/>
        </w:rPr>
        <w:t>,</w:t>
      </w:r>
      <w:r w:rsidRPr="00247C05">
        <w:rPr>
          <w:rFonts w:cs="FrankRuehl"/>
          <w:sz w:val="20"/>
          <w:szCs w:val="22"/>
          <w:rtl/>
        </w:rPr>
        <w:t xml:space="preserve"> מב</w:t>
      </w:r>
      <w:r w:rsidRPr="00247C05">
        <w:rPr>
          <w:rFonts w:cs="FrankRuehl" w:hint="cs"/>
          <w:sz w:val="20"/>
          <w:szCs w:val="22"/>
          <w:rtl/>
        </w:rPr>
        <w:t>חינה</w:t>
      </w:r>
      <w:r w:rsidRPr="00247C05">
        <w:rPr>
          <w:rFonts w:cs="FrankRuehl"/>
          <w:sz w:val="20"/>
          <w:szCs w:val="22"/>
          <w:rtl/>
        </w:rPr>
        <w:t xml:space="preserve"> ניהולי</w:t>
      </w:r>
      <w:r w:rsidRPr="00247C05">
        <w:rPr>
          <w:rFonts w:cs="FrankRuehl" w:hint="cs"/>
          <w:sz w:val="20"/>
          <w:szCs w:val="22"/>
          <w:rtl/>
        </w:rPr>
        <w:t>ת</w:t>
      </w:r>
      <w:r w:rsidRPr="00247C05">
        <w:rPr>
          <w:rFonts w:cs="FrankRuehl"/>
          <w:sz w:val="20"/>
          <w:szCs w:val="22"/>
          <w:rtl/>
        </w:rPr>
        <w:t>, מקצועי</w:t>
      </w:r>
      <w:r w:rsidRPr="00247C05">
        <w:rPr>
          <w:rFonts w:cs="FrankRuehl" w:hint="cs"/>
          <w:sz w:val="20"/>
          <w:szCs w:val="22"/>
          <w:rtl/>
        </w:rPr>
        <w:t>ת</w:t>
      </w:r>
      <w:r w:rsidRPr="00247C05">
        <w:rPr>
          <w:rFonts w:cs="FrankRuehl"/>
          <w:sz w:val="20"/>
          <w:szCs w:val="22"/>
          <w:rtl/>
        </w:rPr>
        <w:t xml:space="preserve"> ולוגיסטי</w:t>
      </w:r>
      <w:r w:rsidRPr="00247C05">
        <w:rPr>
          <w:rFonts w:cs="FrankRuehl" w:hint="cs"/>
          <w:sz w:val="20"/>
          <w:szCs w:val="22"/>
          <w:rtl/>
        </w:rPr>
        <w:t>ת</w:t>
      </w:r>
      <w:r w:rsidRPr="00247C05">
        <w:rPr>
          <w:rFonts w:cs="FrankRuehl"/>
          <w:sz w:val="20"/>
          <w:szCs w:val="22"/>
          <w:rtl/>
        </w:rPr>
        <w:t xml:space="preserve"> בתחו</w:t>
      </w:r>
      <w:r w:rsidRPr="00247C05">
        <w:rPr>
          <w:rFonts w:cs="FrankRuehl" w:hint="cs"/>
          <w:sz w:val="20"/>
          <w:szCs w:val="22"/>
          <w:rtl/>
        </w:rPr>
        <w:t>מים</w:t>
      </w:r>
      <w:r w:rsidRPr="00247C05">
        <w:rPr>
          <w:rFonts w:cs="FrankRuehl"/>
          <w:sz w:val="20"/>
          <w:szCs w:val="22"/>
          <w:rtl/>
        </w:rPr>
        <w:t xml:space="preserve"> שונים</w:t>
      </w:r>
      <w:r w:rsidRPr="00247C05">
        <w:rPr>
          <w:rFonts w:cs="FrankRuehl" w:hint="cs"/>
          <w:sz w:val="20"/>
          <w:szCs w:val="22"/>
          <w:rtl/>
        </w:rPr>
        <w:t>.</w:t>
      </w:r>
      <w:r w:rsidRPr="00247C05">
        <w:rPr>
          <w:rFonts w:cs="FrankRuehl"/>
          <w:sz w:val="20"/>
          <w:szCs w:val="22"/>
          <w:rtl/>
        </w:rPr>
        <w:t xml:space="preserve"> בהם</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ה</w:t>
      </w:r>
      <w:r w:rsidRPr="00247C05">
        <w:rPr>
          <w:rFonts w:cs="FrankRuehl"/>
          <w:sz w:val="20"/>
          <w:szCs w:val="22"/>
          <w:rtl/>
        </w:rPr>
        <w:t>תחום הפלילי, תחום הנוער, תחום התעבורה וב</w:t>
      </w:r>
      <w:r w:rsidRPr="00247C05">
        <w:rPr>
          <w:rFonts w:cs="FrankRuehl" w:hint="cs"/>
          <w:sz w:val="20"/>
          <w:szCs w:val="22"/>
          <w:rtl/>
        </w:rPr>
        <w:t>מ"ש עמ"ק</w:t>
      </w:r>
      <w:r w:rsidRPr="00247C05">
        <w:rPr>
          <w:rFonts w:cs="FrankRuehl"/>
          <w:sz w:val="20"/>
          <w:szCs w:val="22"/>
          <w:rtl/>
        </w:rPr>
        <w:t xml:space="preserve">, התחום האזרחי ותחום המשפחה. </w:t>
      </w:r>
      <w:r w:rsidRPr="00247C05">
        <w:rPr>
          <w:rFonts w:cs="FrankRuehl" w:hint="cs"/>
          <w:sz w:val="20"/>
          <w:szCs w:val="22"/>
          <w:rtl/>
        </w:rPr>
        <w:t>חטיבת</w:t>
      </w:r>
      <w:r w:rsidRPr="00247C05">
        <w:rPr>
          <w:rFonts w:cs="FrankRuehl"/>
          <w:sz w:val="20"/>
          <w:szCs w:val="22"/>
          <w:rtl/>
        </w:rPr>
        <w:t xml:space="preserve"> </w:t>
      </w:r>
      <w:r w:rsidRPr="00247C05">
        <w:rPr>
          <w:rFonts w:cs="FrankRuehl" w:hint="cs"/>
          <w:sz w:val="20"/>
          <w:szCs w:val="22"/>
          <w:rtl/>
        </w:rPr>
        <w:t>תפעול ומזכירויות</w:t>
      </w:r>
      <w:r w:rsidRPr="00247C05">
        <w:rPr>
          <w:rFonts w:cs="FrankRuehl"/>
          <w:sz w:val="20"/>
          <w:szCs w:val="22"/>
          <w:rtl/>
        </w:rPr>
        <w:t xml:space="preserve"> </w:t>
      </w:r>
      <w:r w:rsidRPr="00247C05">
        <w:rPr>
          <w:rFonts w:cs="FrankRuehl" w:hint="cs"/>
          <w:sz w:val="20"/>
          <w:szCs w:val="22"/>
          <w:rtl/>
        </w:rPr>
        <w:t>ממנה</w:t>
      </w:r>
      <w:r w:rsidRPr="00247C05">
        <w:rPr>
          <w:rFonts w:cs="FrankRuehl"/>
          <w:sz w:val="20"/>
          <w:szCs w:val="22"/>
          <w:rtl/>
        </w:rPr>
        <w:t xml:space="preserve"> </w:t>
      </w:r>
      <w:r w:rsidRPr="00247C05">
        <w:rPr>
          <w:rFonts w:cs="FrankRuehl" w:hint="cs"/>
          <w:sz w:val="20"/>
          <w:szCs w:val="22"/>
          <w:rtl/>
        </w:rPr>
        <w:t>מנהל</w:t>
      </w:r>
      <w:r w:rsidRPr="00247C05">
        <w:rPr>
          <w:rFonts w:cs="FrankRuehl"/>
          <w:sz w:val="20"/>
          <w:szCs w:val="22"/>
          <w:rtl/>
        </w:rPr>
        <w:t xml:space="preserve"> </w:t>
      </w:r>
      <w:r w:rsidRPr="00247C05">
        <w:rPr>
          <w:rFonts w:cs="FrankRuehl" w:hint="cs"/>
          <w:sz w:val="20"/>
          <w:szCs w:val="22"/>
          <w:rtl/>
        </w:rPr>
        <w:t>לכל תחום הפועל</w:t>
      </w:r>
      <w:r w:rsidRPr="00247C05">
        <w:rPr>
          <w:rFonts w:cs="FrankRuehl"/>
          <w:sz w:val="20"/>
          <w:szCs w:val="22"/>
          <w:rtl/>
        </w:rPr>
        <w:t xml:space="preserve"> </w:t>
      </w:r>
      <w:r w:rsidRPr="00247C05">
        <w:rPr>
          <w:rFonts w:cs="FrankRuehl" w:hint="cs"/>
          <w:sz w:val="20"/>
          <w:szCs w:val="22"/>
          <w:rtl/>
        </w:rPr>
        <w:t>כלפי מזכירויות</w:t>
      </w:r>
      <w:r w:rsidRPr="00247C05">
        <w:rPr>
          <w:rFonts w:cs="FrankRuehl"/>
          <w:sz w:val="20"/>
          <w:szCs w:val="22"/>
          <w:rtl/>
        </w:rPr>
        <w:t xml:space="preserve"> </w:t>
      </w:r>
      <w:r w:rsidRPr="00247C05">
        <w:rPr>
          <w:rFonts w:cs="FrankRuehl" w:hint="cs"/>
          <w:sz w:val="20"/>
          <w:szCs w:val="22"/>
          <w:rtl/>
        </w:rPr>
        <w:t>בתי</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העוסקים</w:t>
      </w:r>
      <w:r w:rsidRPr="00247C05">
        <w:rPr>
          <w:rFonts w:cs="FrankRuehl"/>
          <w:sz w:val="20"/>
          <w:szCs w:val="22"/>
          <w:rtl/>
        </w:rPr>
        <w:t xml:space="preserve"> </w:t>
      </w:r>
      <w:r w:rsidRPr="00247C05">
        <w:rPr>
          <w:rFonts w:cs="FrankRuehl" w:hint="cs"/>
          <w:sz w:val="20"/>
          <w:szCs w:val="22"/>
          <w:rtl/>
        </w:rPr>
        <w:t>בתחומים</w:t>
      </w:r>
      <w:r w:rsidRPr="00247C05">
        <w:rPr>
          <w:rFonts w:cs="FrankRuehl"/>
          <w:sz w:val="20"/>
          <w:szCs w:val="22"/>
          <w:rtl/>
        </w:rPr>
        <w:t xml:space="preserve"> </w:t>
      </w:r>
      <w:r w:rsidRPr="00247C05">
        <w:rPr>
          <w:rFonts w:cs="FrankRuehl" w:hint="cs"/>
          <w:sz w:val="20"/>
          <w:szCs w:val="22"/>
          <w:rtl/>
        </w:rPr>
        <w:t>אלה</w:t>
      </w:r>
      <w:r w:rsidRPr="00247C05">
        <w:rPr>
          <w:rFonts w:cs="FrankRuehl"/>
          <w:sz w:val="20"/>
          <w:szCs w:val="22"/>
          <w:rtl/>
        </w:rPr>
        <w:t xml:space="preserve">. </w:t>
      </w:r>
      <w:r w:rsidRPr="00247C05">
        <w:rPr>
          <w:rFonts w:cs="FrankRuehl" w:hint="cs"/>
          <w:sz w:val="20"/>
          <w:szCs w:val="22"/>
          <w:rtl/>
        </w:rPr>
        <w:t>כך</w:t>
      </w:r>
      <w:r w:rsidRPr="00247C05">
        <w:rPr>
          <w:rFonts w:cs="FrankRuehl"/>
          <w:sz w:val="20"/>
          <w:szCs w:val="22"/>
          <w:rtl/>
        </w:rPr>
        <w:t xml:space="preserve"> </w:t>
      </w:r>
      <w:r w:rsidRPr="00247C05">
        <w:rPr>
          <w:rFonts w:cs="FrankRuehl" w:hint="cs"/>
          <w:sz w:val="20"/>
          <w:szCs w:val="22"/>
          <w:rtl/>
        </w:rPr>
        <w:t>לדוגמה</w:t>
      </w:r>
      <w:r w:rsidRPr="00247C05">
        <w:rPr>
          <w:rFonts w:cs="FrankRuehl"/>
          <w:sz w:val="20"/>
          <w:szCs w:val="22"/>
          <w:rtl/>
        </w:rPr>
        <w:t xml:space="preserve">, </w:t>
      </w:r>
      <w:r w:rsidRPr="00247C05">
        <w:rPr>
          <w:rFonts w:cs="FrankRuehl" w:hint="cs"/>
          <w:sz w:val="20"/>
          <w:szCs w:val="22"/>
          <w:rtl/>
        </w:rPr>
        <w:t>כלפי</w:t>
      </w:r>
      <w:r w:rsidRPr="00247C05">
        <w:rPr>
          <w:rFonts w:cs="FrankRuehl"/>
          <w:sz w:val="20"/>
          <w:szCs w:val="22"/>
          <w:rtl/>
        </w:rPr>
        <w:t xml:space="preserve"> </w:t>
      </w:r>
      <w:r w:rsidRPr="00247C05">
        <w:rPr>
          <w:rFonts w:cs="FrankRuehl" w:hint="cs"/>
          <w:sz w:val="20"/>
          <w:szCs w:val="22"/>
          <w:rtl/>
        </w:rPr>
        <w:t>בית</w:t>
      </w:r>
      <w:r w:rsidRPr="00247C05">
        <w:rPr>
          <w:rFonts w:cs="FrankRuehl"/>
          <w:sz w:val="20"/>
          <w:szCs w:val="22"/>
          <w:rtl/>
        </w:rPr>
        <w:t xml:space="preserve"> </w:t>
      </w:r>
      <w:r w:rsidRPr="00247C05">
        <w:rPr>
          <w:rFonts w:cs="FrankRuehl" w:hint="cs"/>
          <w:sz w:val="20"/>
          <w:szCs w:val="22"/>
          <w:rtl/>
        </w:rPr>
        <w:t>משפט</w:t>
      </w:r>
      <w:r w:rsidRPr="00247C05">
        <w:rPr>
          <w:rFonts w:cs="FrankRuehl"/>
          <w:sz w:val="20"/>
          <w:szCs w:val="22"/>
          <w:rtl/>
        </w:rPr>
        <w:t xml:space="preserve"> </w:t>
      </w:r>
      <w:r w:rsidRPr="00247C05">
        <w:rPr>
          <w:rFonts w:cs="FrankRuehl" w:hint="cs"/>
          <w:sz w:val="20"/>
          <w:szCs w:val="22"/>
          <w:rtl/>
        </w:rPr>
        <w:t>לנוער</w:t>
      </w:r>
      <w:r w:rsidRPr="00247C05">
        <w:rPr>
          <w:rFonts w:cs="FrankRuehl"/>
          <w:sz w:val="20"/>
          <w:szCs w:val="22"/>
          <w:rtl/>
        </w:rPr>
        <w:t xml:space="preserve"> </w:t>
      </w:r>
      <w:r w:rsidRPr="00247C05">
        <w:rPr>
          <w:rFonts w:cs="FrankRuehl" w:hint="cs"/>
          <w:sz w:val="20"/>
          <w:szCs w:val="22"/>
          <w:rtl/>
        </w:rPr>
        <w:t>פועל מנהל</w:t>
      </w:r>
      <w:r w:rsidRPr="00247C05">
        <w:rPr>
          <w:rFonts w:cs="FrankRuehl"/>
          <w:sz w:val="20"/>
          <w:szCs w:val="22"/>
          <w:rtl/>
        </w:rPr>
        <w:t xml:space="preserve"> </w:t>
      </w:r>
      <w:r w:rsidRPr="00247C05">
        <w:rPr>
          <w:rFonts w:cs="FrankRuehl" w:hint="cs"/>
          <w:sz w:val="20"/>
          <w:szCs w:val="22"/>
          <w:rtl/>
        </w:rPr>
        <w:t>תחום</w:t>
      </w:r>
      <w:r w:rsidRPr="00247C05">
        <w:rPr>
          <w:rFonts w:cs="FrankRuehl"/>
          <w:sz w:val="20"/>
          <w:szCs w:val="22"/>
          <w:rtl/>
        </w:rPr>
        <w:t xml:space="preserve"> </w:t>
      </w:r>
      <w:r w:rsidRPr="00247C05">
        <w:rPr>
          <w:rFonts w:cs="FrankRuehl" w:hint="cs"/>
          <w:sz w:val="20"/>
          <w:szCs w:val="22"/>
          <w:rtl/>
        </w:rPr>
        <w:t>פלילי</w:t>
      </w:r>
      <w:r w:rsidRPr="00247C05">
        <w:rPr>
          <w:rFonts w:cs="FrankRuehl"/>
          <w:sz w:val="20"/>
          <w:szCs w:val="22"/>
          <w:rtl/>
        </w:rPr>
        <w:t xml:space="preserve"> </w:t>
      </w:r>
      <w:r w:rsidRPr="00247C05">
        <w:rPr>
          <w:rFonts w:cs="FrankRuehl" w:hint="cs"/>
          <w:sz w:val="20"/>
          <w:szCs w:val="22"/>
          <w:rtl/>
        </w:rPr>
        <w:t>ונוער</w:t>
      </w:r>
      <w:r w:rsidRPr="00247C05">
        <w:rPr>
          <w:rFonts w:cs="FrankRuehl"/>
          <w:sz w:val="20"/>
          <w:szCs w:val="22"/>
          <w:rtl/>
        </w:rPr>
        <w:t xml:space="preserve"> </w:t>
      </w:r>
      <w:r w:rsidRPr="00247C05">
        <w:rPr>
          <w:rFonts w:cs="FrankRuehl" w:hint="cs"/>
          <w:sz w:val="20"/>
          <w:szCs w:val="22"/>
          <w:rtl/>
        </w:rPr>
        <w:t>וכלפי בתי</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לעניינים</w:t>
      </w:r>
      <w:r w:rsidRPr="00247C05">
        <w:rPr>
          <w:rFonts w:cs="FrankRuehl"/>
          <w:sz w:val="20"/>
          <w:szCs w:val="22"/>
          <w:rtl/>
        </w:rPr>
        <w:t xml:space="preserve"> </w:t>
      </w:r>
      <w:r w:rsidRPr="00247C05">
        <w:rPr>
          <w:rFonts w:cs="FrankRuehl" w:hint="cs"/>
          <w:sz w:val="20"/>
          <w:szCs w:val="22"/>
          <w:rtl/>
        </w:rPr>
        <w:t>מקומיים</w:t>
      </w:r>
      <w:r w:rsidRPr="00247C05">
        <w:rPr>
          <w:rFonts w:cs="FrankRuehl"/>
          <w:sz w:val="20"/>
          <w:szCs w:val="22"/>
          <w:rtl/>
        </w:rPr>
        <w:t xml:space="preserve"> </w:t>
      </w:r>
      <w:r w:rsidRPr="00247C05">
        <w:rPr>
          <w:rFonts w:cs="FrankRuehl" w:hint="cs"/>
          <w:sz w:val="20"/>
          <w:szCs w:val="22"/>
          <w:rtl/>
        </w:rPr>
        <w:t>- מנהל</w:t>
      </w:r>
      <w:r w:rsidRPr="00247C05">
        <w:rPr>
          <w:rFonts w:cs="FrankRuehl"/>
          <w:sz w:val="20"/>
          <w:szCs w:val="22"/>
          <w:rtl/>
        </w:rPr>
        <w:t xml:space="preserve"> </w:t>
      </w:r>
      <w:r w:rsidRPr="00247C05">
        <w:rPr>
          <w:rFonts w:cs="FrankRuehl" w:hint="cs"/>
          <w:sz w:val="20"/>
          <w:szCs w:val="22"/>
          <w:rtl/>
        </w:rPr>
        <w:t>תחום</w:t>
      </w:r>
      <w:r w:rsidRPr="00247C05">
        <w:rPr>
          <w:rFonts w:cs="FrankRuehl"/>
          <w:sz w:val="20"/>
          <w:szCs w:val="22"/>
          <w:rtl/>
        </w:rPr>
        <w:t xml:space="preserve"> </w:t>
      </w:r>
      <w:r w:rsidRPr="00247C05">
        <w:rPr>
          <w:rFonts w:cs="FrankRuehl" w:hint="cs"/>
          <w:sz w:val="20"/>
          <w:szCs w:val="22"/>
          <w:rtl/>
        </w:rPr>
        <w:t>תעבורה</w:t>
      </w:r>
      <w:r w:rsidRPr="00247C05">
        <w:rPr>
          <w:rFonts w:cs="FrankRuehl"/>
          <w:sz w:val="20"/>
          <w:szCs w:val="22"/>
          <w:rtl/>
        </w:rPr>
        <w:t xml:space="preserve"> </w:t>
      </w:r>
      <w:r w:rsidRPr="00247C05">
        <w:rPr>
          <w:rFonts w:cs="FrankRuehl" w:hint="cs"/>
          <w:sz w:val="20"/>
          <w:szCs w:val="22"/>
          <w:rtl/>
        </w:rPr>
        <w:t>ועניינים</w:t>
      </w:r>
      <w:r w:rsidRPr="00247C05">
        <w:rPr>
          <w:rFonts w:cs="FrankRuehl"/>
          <w:sz w:val="20"/>
          <w:szCs w:val="22"/>
          <w:rtl/>
        </w:rPr>
        <w:t xml:space="preserve"> </w:t>
      </w:r>
      <w:r w:rsidRPr="00247C05">
        <w:rPr>
          <w:rFonts w:cs="FrankRuehl" w:hint="cs"/>
          <w:sz w:val="20"/>
          <w:szCs w:val="22"/>
          <w:rtl/>
        </w:rPr>
        <w:t xml:space="preserve">מקומיים (להלן - מנהל התחום). </w:t>
      </w:r>
    </w:p>
    <w:p w:rsidR="003037FB" w:rsidRPr="00247C05" w:rsidP="00DC2796">
      <w:pPr>
        <w:spacing w:after="120" w:line="230" w:lineRule="exact"/>
        <w:jc w:val="both"/>
        <w:rPr>
          <w:rFonts w:cs="FrankRuehl"/>
          <w:sz w:val="20"/>
          <w:szCs w:val="22"/>
          <w:rtl/>
        </w:rPr>
      </w:pPr>
      <w:r w:rsidRPr="00247C05">
        <w:rPr>
          <w:rFonts w:cs="FrankRuehl" w:hint="cs"/>
          <w:sz w:val="20"/>
          <w:szCs w:val="22"/>
          <w:rtl/>
        </w:rPr>
        <w:t>בתי משפט עמ"ק בישראל דנים בעניינים הקשורים לתחום השלטון המקומי. הסדר השפיטה הייחודי בעניינים מקומיים החל עוד בתקופת המנדט הבריטי. מערכת בתי המשפט העירוניים</w:t>
      </w:r>
      <w:r w:rsidR="00DC2796">
        <w:rPr>
          <w:rFonts w:cs="FrankRuehl"/>
          <w:sz w:val="20"/>
          <w:szCs w:val="22"/>
          <w:rtl/>
        </w:rPr>
        <w:br/>
      </w:r>
      <w:r w:rsidRPr="00247C05">
        <w:rPr>
          <w:rFonts w:cs="FrankRuehl" w:hint="cs"/>
          <w:sz w:val="20"/>
          <w:szCs w:val="22"/>
          <w:rtl/>
        </w:rPr>
        <w:t>דאז הוקמה מכוח פקודת</w:t>
      </w:r>
      <w:r w:rsidRPr="00247C05">
        <w:rPr>
          <w:rFonts w:cs="FrankRuehl"/>
          <w:sz w:val="20"/>
          <w:szCs w:val="22"/>
          <w:rtl/>
        </w:rPr>
        <w:t xml:space="preserve"> </w:t>
      </w:r>
      <w:r w:rsidRPr="00247C05">
        <w:rPr>
          <w:rFonts w:cs="FrankRuehl" w:hint="cs"/>
          <w:sz w:val="20"/>
          <w:szCs w:val="22"/>
          <w:rtl/>
        </w:rPr>
        <w:t>בתי</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העירוניים</w:t>
      </w:r>
      <w:r w:rsidRPr="00247C05">
        <w:rPr>
          <w:rFonts w:cs="FrankRuehl"/>
          <w:sz w:val="20"/>
          <w:szCs w:val="22"/>
          <w:rtl/>
        </w:rPr>
        <w:t>, 1928</w:t>
      </w:r>
      <w:r w:rsidRPr="00247C05">
        <w:rPr>
          <w:rFonts w:cs="FrankRuehl" w:hint="cs"/>
          <w:sz w:val="20"/>
          <w:szCs w:val="22"/>
          <w:rtl/>
        </w:rPr>
        <w:t xml:space="preserve">, ושיקפה תפיסה שיפוטית שלפיה דיון בסכסוכים בעלי אופי מקומי צריך להתקיים בטריבונל עירוני שבו מכהנים גם אישי ציבור שאינם בהכרח שופטים, בנפרד ממערכת השיפוט הרגילה.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בתי משפט עמ"ק הוקמו מכוח חוק בתי המשפט שביטל את פקודת בתי המשפט העירוניים ואת בתי המשפט העירוניים. החוק קובע, כי שר המשפטים רשאי להוציא צו להקמת בתי משפט לעניינים מקומיים ולקבוע את מקום מושבו ואת אזור השיפוט שלו. כמו כן הוא רשאי להסמיך בית משפט שלום לשבת כבית משפט עמ"ק. החוק מוסיף וקובע, כי דין בית משפט עמ"ק הוא כדין בית משפט שלום ודין שופט בבית משפט עמ"ק כדין שופט בבית משפט שלום לכל דבר ועניין.</w:t>
      </w:r>
    </w:p>
    <w:p w:rsidR="003037FB" w:rsidRPr="00247C05" w:rsidP="00040DAE">
      <w:pPr>
        <w:spacing w:after="120" w:line="230" w:lineRule="exact"/>
        <w:jc w:val="both"/>
        <w:rPr>
          <w:rFonts w:cs="FrankRuehl"/>
          <w:sz w:val="20"/>
          <w:szCs w:val="22"/>
          <w:rtl/>
        </w:rPr>
      </w:pPr>
      <w:r w:rsidRPr="00247C05">
        <w:rPr>
          <w:rFonts w:cs="FrankRuehl" w:hint="cs"/>
          <w:sz w:val="20"/>
          <w:szCs w:val="22"/>
          <w:rtl/>
        </w:rPr>
        <w:t>על פי חוק בתי המשפט, סמכותם העניינית של בתי המשפט עמ"ק היא ל</w:t>
      </w:r>
      <w:r w:rsidRPr="00247C05">
        <w:rPr>
          <w:rFonts w:cs="FrankRuehl"/>
          <w:sz w:val="20"/>
          <w:szCs w:val="22"/>
          <w:rtl/>
        </w:rPr>
        <w:t>דון בעברות לפי פקודת העיריות, פקודת המועצות המקומיות וחוק התכנון והבני</w:t>
      </w:r>
      <w:r w:rsidRPr="00247C05">
        <w:rPr>
          <w:rFonts w:cs="FrankRuehl" w:hint="cs"/>
          <w:sz w:val="20"/>
          <w:szCs w:val="22"/>
          <w:rtl/>
        </w:rPr>
        <w:t>י</w:t>
      </w:r>
      <w:r w:rsidRPr="00247C05">
        <w:rPr>
          <w:rFonts w:cs="FrankRuehl"/>
          <w:sz w:val="20"/>
          <w:szCs w:val="22"/>
          <w:rtl/>
        </w:rPr>
        <w:t xml:space="preserve">ה, </w:t>
      </w:r>
      <w:r w:rsidRPr="00247C05">
        <w:rPr>
          <w:rFonts w:cs="FrankRuehl" w:hint="cs"/>
          <w:sz w:val="20"/>
          <w:szCs w:val="22"/>
          <w:rtl/>
        </w:rPr>
        <w:t>ה</w:t>
      </w:r>
      <w:r w:rsidRPr="00247C05">
        <w:rPr>
          <w:rFonts w:cs="FrankRuehl"/>
          <w:sz w:val="20"/>
          <w:szCs w:val="22"/>
          <w:rtl/>
        </w:rPr>
        <w:t>תשכ"ה-1965</w:t>
      </w:r>
      <w:r w:rsidRPr="00247C05">
        <w:rPr>
          <w:rFonts w:cs="FrankRuehl" w:hint="cs"/>
          <w:sz w:val="20"/>
          <w:szCs w:val="22"/>
          <w:rtl/>
        </w:rPr>
        <w:t>,</w:t>
      </w:r>
      <w:r w:rsidRPr="00247C05">
        <w:rPr>
          <w:rFonts w:cs="FrankRuehl"/>
          <w:sz w:val="20"/>
          <w:szCs w:val="22"/>
          <w:rtl/>
        </w:rPr>
        <w:t xml:space="preserve"> ו</w:t>
      </w:r>
      <w:r w:rsidRPr="00247C05">
        <w:rPr>
          <w:rFonts w:cs="FrankRuehl" w:hint="cs"/>
          <w:sz w:val="20"/>
          <w:szCs w:val="22"/>
          <w:rtl/>
        </w:rPr>
        <w:t xml:space="preserve">כן </w:t>
      </w:r>
      <w:r w:rsidRPr="00247C05">
        <w:rPr>
          <w:rFonts w:cs="FrankRuehl"/>
          <w:sz w:val="20"/>
          <w:szCs w:val="22"/>
          <w:rtl/>
        </w:rPr>
        <w:t xml:space="preserve">לפי תקנות, צווים וחוקי עזר </w:t>
      </w:r>
      <w:r w:rsidRPr="00247C05">
        <w:rPr>
          <w:rFonts w:cs="FrankRuehl" w:hint="cs"/>
          <w:sz w:val="20"/>
          <w:szCs w:val="22"/>
          <w:rtl/>
        </w:rPr>
        <w:t xml:space="preserve">שנקבעו </w:t>
      </w:r>
      <w:r w:rsidRPr="00247C05">
        <w:rPr>
          <w:rFonts w:cs="FrankRuehl"/>
          <w:sz w:val="20"/>
          <w:szCs w:val="22"/>
          <w:rtl/>
        </w:rPr>
        <w:t>על פיהם ובעברות לפי החיקוקים המנויים בתוספת השלישית</w:t>
      </w:r>
      <w:r>
        <w:rPr>
          <w:rStyle w:val="FootnoteReference"/>
          <w:rFonts w:cs="FrankRuehl"/>
          <w:sz w:val="20"/>
          <w:szCs w:val="22"/>
          <w:rtl/>
        </w:rPr>
        <w:footnoteReference w:id="5"/>
      </w:r>
      <w:r w:rsidRPr="00247C05">
        <w:rPr>
          <w:rFonts w:cs="FrankRuehl"/>
          <w:sz w:val="20"/>
          <w:szCs w:val="22"/>
          <w:rtl/>
        </w:rPr>
        <w:t>, לרבות תקנות, צווים וחוקי</w:t>
      </w:r>
      <w:r w:rsidRPr="00247C05">
        <w:rPr>
          <w:rFonts w:cs="FrankRuehl" w:hint="cs"/>
          <w:sz w:val="20"/>
          <w:szCs w:val="22"/>
          <w:rtl/>
        </w:rPr>
        <w:t xml:space="preserve"> עזר שעל פיהם</w:t>
      </w:r>
      <w:r w:rsidRPr="00247C05">
        <w:rPr>
          <w:rFonts w:cs="FrankRuehl"/>
          <w:sz w:val="20"/>
          <w:szCs w:val="22"/>
          <w:rtl/>
        </w:rPr>
        <w:t>.</w:t>
      </w:r>
      <w:r w:rsidRPr="00247C05">
        <w:rPr>
          <w:rFonts w:cs="FrankRuehl" w:hint="cs"/>
          <w:sz w:val="20"/>
          <w:szCs w:val="22"/>
          <w:rtl/>
        </w:rPr>
        <w:t xml:space="preserve"> בתי המשפט עמ"ק דנים בעיקר בנושאי תכנון ובנייה (ועדה מקומית לתכנון ובנייה), חניה, מבנים מסוכנים, רישוי עסקים ורוכלות.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בשנת 1983 פרסם שר המשפטים את </w:t>
      </w:r>
      <w:r w:rsidRPr="00247C05">
        <w:rPr>
          <w:rFonts w:cs="FrankRuehl"/>
          <w:sz w:val="20"/>
          <w:szCs w:val="22"/>
          <w:rtl/>
        </w:rPr>
        <w:t>צ</w:t>
      </w:r>
      <w:r w:rsidRPr="00247C05">
        <w:rPr>
          <w:rFonts w:cs="FrankRuehl" w:hint="cs"/>
          <w:sz w:val="20"/>
          <w:szCs w:val="22"/>
          <w:rtl/>
        </w:rPr>
        <w:t xml:space="preserve">ו בתי המשפט (בתי משפט לעניינים מקומיים - הקמה והסמכה), התשמ"ג-1983. הצו קבע את מקום מושבם של בתי המשפט עמ"ק, את אזורי השיפוט שלהם ואת דרכי פעולתם. בין השנים 1983-2005 תוקן הצו מפעם לפעם ונוספו לבתי המשפט עמ"ק אזורי שיפוט נוספים. הצו קבע את </w:t>
      </w:r>
      <w:r w:rsidRPr="00247C05">
        <w:rPr>
          <w:rFonts w:cs="FrankRuehl"/>
          <w:sz w:val="20"/>
          <w:szCs w:val="22"/>
          <w:rtl/>
        </w:rPr>
        <w:t xml:space="preserve">אזור שיפוטם </w:t>
      </w:r>
      <w:r w:rsidRPr="00247C05">
        <w:rPr>
          <w:rFonts w:cs="FrankRuehl" w:hint="cs"/>
          <w:sz w:val="20"/>
          <w:szCs w:val="22"/>
          <w:rtl/>
        </w:rPr>
        <w:t>של בתי המשפט עמ"ק ב</w:t>
      </w:r>
      <w:r w:rsidRPr="00247C05">
        <w:rPr>
          <w:rFonts w:cs="FrankRuehl"/>
          <w:sz w:val="20"/>
          <w:szCs w:val="22"/>
          <w:rtl/>
        </w:rPr>
        <w:t>תחומן של הרשויות המקומיות שפורטו לצדן</w:t>
      </w:r>
      <w:r w:rsidRPr="00247C05">
        <w:rPr>
          <w:rStyle w:val="CommentReference"/>
          <w:rFonts w:cs="FrankRuehl" w:hint="cs"/>
          <w:sz w:val="20"/>
          <w:szCs w:val="22"/>
          <w:rtl/>
        </w:rPr>
        <w:t>.</w:t>
      </w:r>
      <w:r w:rsidRPr="00247C05">
        <w:rPr>
          <w:rStyle w:val="CommentReference"/>
          <w:rFonts w:cs="FrankRuehl"/>
          <w:sz w:val="20"/>
          <w:szCs w:val="22"/>
          <w:rtl/>
        </w:rPr>
        <w:t xml:space="preserve"> </w:t>
      </w:r>
    </w:p>
    <w:p w:rsidR="003037FB" w:rsidRPr="00247C05" w:rsidP="00DC2796">
      <w:pPr>
        <w:spacing w:after="120" w:line="230" w:lineRule="exact"/>
        <w:jc w:val="both"/>
        <w:rPr>
          <w:rFonts w:cs="FrankRuehl"/>
          <w:sz w:val="20"/>
          <w:szCs w:val="22"/>
          <w:rtl/>
        </w:rPr>
      </w:pPr>
      <w:r w:rsidRPr="00247C05">
        <w:rPr>
          <w:rFonts w:cs="FrankRuehl" w:hint="cs"/>
          <w:sz w:val="20"/>
          <w:szCs w:val="22"/>
          <w:rtl/>
        </w:rPr>
        <w:t>חוק בתי המשפט והצו קובעים שלושה סוגי הסדרים המסמיכים את בתי המשפט לדון בעניינים מקומיים</w:t>
      </w:r>
      <w:r>
        <w:rPr>
          <w:rStyle w:val="FootnoteReference"/>
          <w:rFonts w:cs="FrankRuehl"/>
          <w:sz w:val="20"/>
          <w:szCs w:val="22"/>
          <w:rtl/>
        </w:rPr>
        <w:footnoteReference w:id="6"/>
      </w:r>
      <w:r w:rsidRPr="00247C05">
        <w:rPr>
          <w:rFonts w:cs="FrankRuehl" w:hint="cs"/>
          <w:sz w:val="20"/>
          <w:szCs w:val="22"/>
          <w:rtl/>
        </w:rPr>
        <w:t>: הראשון - צו להקמת בתי המשפט עמ"ק, ולפיו הוקמו 15 בתי משפט עמ"ק (בבאר שבע, בבני ברק, בבת ים, בגבעתיים, בחדרה, בחולון, בחיפה, בירושלים, בכרמיאל, בנתניה, בפתח תקוה, בקרית ביאליק, בראשון לציון, ברחובות ובתל אביב). ההסדר השני נכלל גם הוא בצו, ולפיו הוסמכו שלושה בתי משפט שלום בכפר סבא, בהרצליה, ובתל אביב</w:t>
      </w:r>
      <w:r>
        <w:rPr>
          <w:rStyle w:val="FootnoteReference"/>
          <w:rFonts w:cs="FrankRuehl"/>
          <w:sz w:val="20"/>
          <w:szCs w:val="22"/>
          <w:rtl/>
        </w:rPr>
        <w:footnoteReference w:id="7"/>
      </w:r>
      <w:r w:rsidRPr="00247C05">
        <w:rPr>
          <w:rFonts w:cs="FrankRuehl" w:hint="cs"/>
          <w:sz w:val="20"/>
          <w:szCs w:val="22"/>
          <w:rtl/>
        </w:rPr>
        <w:t xml:space="preserve">, </w:t>
      </w:r>
      <w:r w:rsidRPr="00247C05">
        <w:rPr>
          <w:rFonts w:cs="FrankRuehl"/>
          <w:sz w:val="20"/>
          <w:szCs w:val="22"/>
          <w:rtl/>
        </w:rPr>
        <w:t>ל</w:t>
      </w:r>
      <w:r w:rsidRPr="00247C05">
        <w:rPr>
          <w:rFonts w:cs="FrankRuehl" w:hint="cs"/>
          <w:sz w:val="20"/>
          <w:szCs w:val="22"/>
          <w:rtl/>
        </w:rPr>
        <w:t xml:space="preserve">כהן </w:t>
      </w:r>
      <w:r w:rsidRPr="00247C05">
        <w:rPr>
          <w:rFonts w:cs="FrankRuehl"/>
          <w:sz w:val="20"/>
          <w:szCs w:val="22"/>
          <w:rtl/>
        </w:rPr>
        <w:t>כבתי משפט לענ</w:t>
      </w:r>
      <w:r w:rsidRPr="00247C05">
        <w:rPr>
          <w:rFonts w:cs="FrankRuehl" w:hint="cs"/>
          <w:sz w:val="20"/>
          <w:szCs w:val="22"/>
          <w:rtl/>
        </w:rPr>
        <w:t>י</w:t>
      </w:r>
      <w:r w:rsidRPr="00247C05">
        <w:rPr>
          <w:rFonts w:cs="FrankRuehl"/>
          <w:sz w:val="20"/>
          <w:szCs w:val="22"/>
          <w:rtl/>
        </w:rPr>
        <w:t>ינים מקומיים</w:t>
      </w:r>
      <w:r w:rsidRPr="00247C05">
        <w:rPr>
          <w:rFonts w:cs="FrankRuehl" w:hint="cs"/>
          <w:sz w:val="20"/>
          <w:szCs w:val="22"/>
          <w:rtl/>
        </w:rPr>
        <w:t xml:space="preserve">. ההסדר השלישי תקף ביישובים שאינם מוזכרים בצו, ובהם מוסמכים בתי משפט שלום לדון בתיקי עמ"ק כבכל תיק פלילי אחר. </w:t>
      </w:r>
    </w:p>
    <w:p w:rsidR="003037FB" w:rsidP="00040DAE">
      <w:pPr>
        <w:spacing w:after="120" w:line="230" w:lineRule="exact"/>
        <w:jc w:val="both"/>
        <w:rPr>
          <w:rFonts w:cs="FrankRuehl"/>
          <w:sz w:val="20"/>
          <w:szCs w:val="22"/>
        </w:rPr>
      </w:pPr>
    </w:p>
    <w:p w:rsidR="00907008" w:rsidRPr="00247C05" w:rsidP="00040DAE">
      <w:pPr>
        <w:spacing w:after="120" w:line="230" w:lineRule="exact"/>
        <w:jc w:val="both"/>
        <w:rPr>
          <w:rFonts w:cs="FrankRuehl"/>
          <w:sz w:val="20"/>
          <w:szCs w:val="22"/>
          <w:rtl/>
        </w:rPr>
      </w:pPr>
    </w:p>
    <w:p w:rsidR="003037FB" w:rsidRPr="009360A7" w:rsidP="00040DAE">
      <w:pPr>
        <w:pStyle w:val="KOT4"/>
        <w:rPr>
          <w:rtl/>
        </w:rPr>
      </w:pPr>
      <w:r>
        <w:rPr>
          <w:rFonts w:hint="cs"/>
          <w:rtl/>
        </w:rPr>
        <w:t>פעולות הביקורת</w:t>
      </w:r>
    </w:p>
    <w:p w:rsidR="003037FB" w:rsidRPr="00247C05" w:rsidP="00040DAE">
      <w:pPr>
        <w:spacing w:after="120" w:line="230" w:lineRule="exact"/>
        <w:jc w:val="both"/>
        <w:rPr>
          <w:rFonts w:cs="FrankRuehl"/>
          <w:sz w:val="20"/>
          <w:szCs w:val="22"/>
          <w:rtl/>
        </w:rPr>
      </w:pPr>
      <w:r w:rsidRPr="00247C05">
        <w:rPr>
          <w:rFonts w:cs="FrankRuehl"/>
          <w:sz w:val="20"/>
          <w:szCs w:val="22"/>
          <w:rtl/>
        </w:rPr>
        <w:t xml:space="preserve">בחודשים </w:t>
      </w:r>
      <w:r w:rsidRPr="00247C05">
        <w:rPr>
          <w:rFonts w:cs="FrankRuehl" w:hint="eastAsia"/>
          <w:sz w:val="20"/>
          <w:szCs w:val="22"/>
          <w:rtl/>
        </w:rPr>
        <w:t>מאי</w:t>
      </w:r>
      <w:r w:rsidRPr="00247C05">
        <w:rPr>
          <w:rFonts w:cs="FrankRuehl"/>
          <w:sz w:val="20"/>
          <w:szCs w:val="22"/>
          <w:rtl/>
        </w:rPr>
        <w:t>-</w:t>
      </w:r>
      <w:r w:rsidRPr="00247C05">
        <w:rPr>
          <w:rFonts w:cs="FrankRuehl" w:hint="eastAsia"/>
          <w:sz w:val="20"/>
          <w:szCs w:val="22"/>
          <w:rtl/>
        </w:rPr>
        <w:t>אוקטובר</w:t>
      </w:r>
      <w:r w:rsidRPr="00247C05">
        <w:rPr>
          <w:rFonts w:cs="FrankRuehl"/>
          <w:sz w:val="20"/>
          <w:szCs w:val="22"/>
          <w:rtl/>
        </w:rPr>
        <w:t xml:space="preserve"> 201</w:t>
      </w:r>
      <w:r w:rsidRPr="00247C05">
        <w:rPr>
          <w:rFonts w:cs="FrankRuehl" w:hint="cs"/>
          <w:sz w:val="20"/>
          <w:szCs w:val="22"/>
          <w:rtl/>
        </w:rPr>
        <w:t>5</w:t>
      </w:r>
      <w:r w:rsidRPr="00247C05">
        <w:rPr>
          <w:rFonts w:cs="FrankRuehl"/>
          <w:sz w:val="20"/>
          <w:szCs w:val="22"/>
          <w:rtl/>
        </w:rPr>
        <w:t xml:space="preserve"> בדק משרד מבקר המדינה את </w:t>
      </w:r>
      <w:r w:rsidRPr="00247C05">
        <w:rPr>
          <w:rFonts w:cs="FrankRuehl" w:hint="cs"/>
          <w:sz w:val="20"/>
          <w:szCs w:val="22"/>
          <w:rtl/>
        </w:rPr>
        <w:t>סדרי המינהל של בתי המשפט עמ"ק, את זיקת בתי המשפט ועובדיהם לרשויות המקומיות,</w:t>
      </w:r>
      <w:r w:rsidRPr="00247C05">
        <w:rPr>
          <w:rFonts w:cs="FrankRuehl"/>
          <w:sz w:val="20"/>
          <w:szCs w:val="22"/>
          <w:rtl/>
        </w:rPr>
        <w:t xml:space="preserve"> </w:t>
      </w:r>
      <w:r w:rsidRPr="00247C05">
        <w:rPr>
          <w:rFonts w:cs="FrankRuehl" w:hint="cs"/>
          <w:sz w:val="20"/>
          <w:szCs w:val="22"/>
          <w:rtl/>
        </w:rPr>
        <w:t>את האבטחה של בתי המשפט עמ"ק ונושאים כספיים הקשורים בהפעלתם</w:t>
      </w:r>
      <w:r w:rsidRPr="00247C05">
        <w:rPr>
          <w:rFonts w:cs="FrankRuehl"/>
          <w:sz w:val="20"/>
          <w:szCs w:val="22"/>
          <w:rtl/>
        </w:rPr>
        <w:t>. הב</w:t>
      </w:r>
      <w:r w:rsidRPr="00247C05">
        <w:rPr>
          <w:rFonts w:cs="FrankRuehl" w:hint="cs"/>
          <w:sz w:val="20"/>
          <w:szCs w:val="22"/>
          <w:rtl/>
        </w:rPr>
        <w:t xml:space="preserve">יקורת </w:t>
      </w:r>
      <w:r w:rsidRPr="00247C05">
        <w:rPr>
          <w:rFonts w:cs="FrankRuehl"/>
          <w:sz w:val="20"/>
          <w:szCs w:val="22"/>
          <w:rtl/>
        </w:rPr>
        <w:t>נעשתה ב</w:t>
      </w:r>
      <w:r w:rsidRPr="00247C05">
        <w:rPr>
          <w:rFonts w:cs="FrankRuehl" w:hint="cs"/>
          <w:sz w:val="20"/>
          <w:szCs w:val="22"/>
          <w:rtl/>
        </w:rPr>
        <w:t xml:space="preserve">כמה מזכירויות של בתי משפט עמ"ק (ירושלים, </w:t>
      </w:r>
      <w:r w:rsidRPr="00247C05">
        <w:rPr>
          <w:rFonts w:cs="FrankRuehl" w:hint="eastAsia"/>
          <w:sz w:val="20"/>
          <w:szCs w:val="22"/>
          <w:rtl/>
        </w:rPr>
        <w:t>תל</w:t>
      </w:r>
      <w:r w:rsidRPr="00247C05">
        <w:rPr>
          <w:rFonts w:cs="FrankRuehl" w:hint="cs"/>
          <w:sz w:val="20"/>
          <w:szCs w:val="22"/>
          <w:rtl/>
        </w:rPr>
        <w:t xml:space="preserve"> </w:t>
      </w:r>
      <w:r w:rsidRPr="00247C05">
        <w:rPr>
          <w:rFonts w:cs="FrankRuehl"/>
          <w:sz w:val="20"/>
          <w:szCs w:val="22"/>
          <w:rtl/>
        </w:rPr>
        <w:t>אביב</w:t>
      </w:r>
      <w:r w:rsidRPr="00247C05">
        <w:rPr>
          <w:rFonts w:cs="FrankRuehl" w:hint="cs"/>
          <w:sz w:val="20"/>
          <w:szCs w:val="22"/>
          <w:rtl/>
        </w:rPr>
        <w:t>, חיפה, קריית ביאליק, חדרה, הרצליה, כפר סבא, רמת גן, גבעתיים ומעלה אדומים) ב</w:t>
      </w:r>
      <w:r w:rsidRPr="00247C05">
        <w:rPr>
          <w:rFonts w:cs="FrankRuehl"/>
          <w:sz w:val="20"/>
          <w:szCs w:val="22"/>
          <w:rtl/>
        </w:rPr>
        <w:t xml:space="preserve">מטה </w:t>
      </w:r>
      <w:r w:rsidRPr="00247C05">
        <w:rPr>
          <w:rFonts w:cs="FrankRuehl" w:hint="cs"/>
          <w:sz w:val="20"/>
          <w:szCs w:val="22"/>
          <w:rtl/>
        </w:rPr>
        <w:t xml:space="preserve">וביחידות שונות בהנהלת בתי המשפט. </w:t>
      </w:r>
      <w:r w:rsidRPr="00247C05">
        <w:rPr>
          <w:rFonts w:cs="FrankRuehl"/>
          <w:sz w:val="20"/>
          <w:szCs w:val="22"/>
          <w:rtl/>
        </w:rPr>
        <w:t xml:space="preserve">בדיקות השלמה נעשו </w:t>
      </w:r>
      <w:r w:rsidRPr="00247C05">
        <w:rPr>
          <w:rFonts w:cs="FrankRuehl" w:hint="cs"/>
          <w:sz w:val="20"/>
          <w:szCs w:val="22"/>
          <w:rtl/>
        </w:rPr>
        <w:t xml:space="preserve">בעיריות ירושלים, </w:t>
      </w:r>
      <w:r w:rsidRPr="00247C05">
        <w:rPr>
          <w:rFonts w:cs="FrankRuehl" w:hint="eastAsia"/>
          <w:sz w:val="20"/>
          <w:szCs w:val="22"/>
          <w:rtl/>
        </w:rPr>
        <w:t>תל</w:t>
      </w:r>
      <w:r w:rsidRPr="00247C05">
        <w:rPr>
          <w:rFonts w:cs="FrankRuehl"/>
          <w:sz w:val="20"/>
          <w:szCs w:val="22"/>
          <w:rtl/>
        </w:rPr>
        <w:t xml:space="preserve"> </w:t>
      </w:r>
      <w:r w:rsidRPr="00247C05">
        <w:rPr>
          <w:rFonts w:cs="FrankRuehl" w:hint="eastAsia"/>
          <w:sz w:val="20"/>
          <w:szCs w:val="22"/>
          <w:rtl/>
        </w:rPr>
        <w:t>אביב</w:t>
      </w:r>
      <w:r w:rsidRPr="00247C05">
        <w:rPr>
          <w:rFonts w:cs="FrankRuehl" w:hint="cs"/>
          <w:sz w:val="20"/>
          <w:szCs w:val="22"/>
          <w:rtl/>
        </w:rPr>
        <w:t xml:space="preserve"> וחיפה, ב</w:t>
      </w:r>
      <w:r w:rsidRPr="00247C05">
        <w:rPr>
          <w:rFonts w:cs="FrankRuehl" w:hint="eastAsia"/>
          <w:sz w:val="20"/>
          <w:szCs w:val="22"/>
          <w:rtl/>
        </w:rPr>
        <w:t>מרכז</w:t>
      </w:r>
      <w:r w:rsidRPr="00247C05">
        <w:rPr>
          <w:rFonts w:cs="FrankRuehl"/>
          <w:sz w:val="20"/>
          <w:szCs w:val="22"/>
          <w:rtl/>
        </w:rPr>
        <w:t xml:space="preserve"> </w:t>
      </w:r>
      <w:r w:rsidRPr="00247C05">
        <w:rPr>
          <w:rFonts w:cs="FrankRuehl" w:hint="eastAsia"/>
          <w:sz w:val="20"/>
          <w:szCs w:val="22"/>
          <w:rtl/>
        </w:rPr>
        <w:t>השלטון</w:t>
      </w:r>
      <w:r w:rsidRPr="00247C05">
        <w:rPr>
          <w:rFonts w:cs="FrankRuehl"/>
          <w:sz w:val="20"/>
          <w:szCs w:val="22"/>
          <w:rtl/>
        </w:rPr>
        <w:t xml:space="preserve"> </w:t>
      </w:r>
      <w:r w:rsidRPr="00247C05">
        <w:rPr>
          <w:rFonts w:cs="FrankRuehl" w:hint="eastAsia"/>
          <w:sz w:val="20"/>
          <w:szCs w:val="22"/>
          <w:rtl/>
        </w:rPr>
        <w:t>המקומי</w:t>
      </w:r>
      <w:r w:rsidRPr="00247C05">
        <w:rPr>
          <w:rFonts w:cs="FrankRuehl" w:hint="cs"/>
          <w:sz w:val="20"/>
          <w:szCs w:val="22"/>
          <w:rtl/>
        </w:rPr>
        <w:t>, בצה"ל ובמשרד הפנים</w:t>
      </w:r>
      <w:r w:rsidRPr="00247C05">
        <w:rPr>
          <w:rFonts w:cs="FrankRuehl"/>
          <w:sz w:val="20"/>
          <w:szCs w:val="22"/>
          <w:rtl/>
        </w:rPr>
        <w:t xml:space="preserve">. </w:t>
      </w:r>
      <w:r w:rsidRPr="00247C05">
        <w:rPr>
          <w:rFonts w:cs="FrankRuehl" w:hint="cs"/>
          <w:sz w:val="20"/>
          <w:szCs w:val="22"/>
          <w:rtl/>
        </w:rPr>
        <w:t>בעבר פרסם מבקר המדינה דוחות בנושא בתי המשפט לעניינים מקומיים בשנים 1984, 1986 ו-1994</w:t>
      </w:r>
      <w:r>
        <w:rPr>
          <w:rStyle w:val="FootnoteReference"/>
          <w:rFonts w:cs="FrankRuehl"/>
          <w:sz w:val="20"/>
          <w:szCs w:val="22"/>
          <w:rtl/>
        </w:rPr>
        <w:footnoteReference w:id="8"/>
      </w:r>
      <w:r w:rsidRPr="00247C05">
        <w:rPr>
          <w:rFonts w:cs="FrankRuehl" w:hint="cs"/>
          <w:sz w:val="20"/>
          <w:szCs w:val="22"/>
          <w:rtl/>
        </w:rPr>
        <w:t>.</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משרד מבקר המדינה שלח שאלונים ל-18 בתי המשפט לעניינים מקומיים ולכל בתי משפט השלום. השאלונים כוללים שאלות בנושאים מגוונים ובהם: ניהול מזכירויות בתי המשפט, עלויות תפעול וגבייה, אבטחת בתי המשפט, שימוש במערכות מידע ממוחשבות ועוד. משרד מבקר המדינה קיבל תשובות לכל השאלונים שנשלחו. </w:t>
      </w:r>
    </w:p>
    <w:p w:rsidR="003037FB" w:rsidRPr="00247C05" w:rsidP="00040DAE">
      <w:pPr>
        <w:spacing w:after="120" w:line="230" w:lineRule="exact"/>
        <w:jc w:val="both"/>
        <w:rPr>
          <w:rFonts w:cs="FrankRuehl"/>
          <w:sz w:val="20"/>
          <w:szCs w:val="22"/>
          <w:rtl/>
        </w:rPr>
      </w:pPr>
    </w:p>
    <w:p w:rsidR="003037FB" w:rsidRPr="00247C05" w:rsidP="00040DAE">
      <w:pPr>
        <w:spacing w:after="120" w:line="230" w:lineRule="exact"/>
        <w:jc w:val="both"/>
        <w:rPr>
          <w:rFonts w:cs="FrankRuehl"/>
          <w:sz w:val="20"/>
          <w:szCs w:val="22"/>
          <w:rtl/>
        </w:rPr>
      </w:pPr>
    </w:p>
    <w:p w:rsidR="003037FB" w:rsidRPr="00A45E9A" w:rsidP="00040DAE">
      <w:pPr>
        <w:pStyle w:val="KOT2"/>
        <w:rPr>
          <w:rtl/>
        </w:rPr>
      </w:pPr>
      <w:r w:rsidRPr="00A45E9A">
        <w:rPr>
          <w:rFonts w:hint="cs"/>
          <w:rtl/>
        </w:rPr>
        <w:t>בתי משפט עמ"ק - רקע</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מתכונת ההעסקה של בתי המשפט עמ"ק היא ייחודית במערכת בתי המשפט. הרשויות המקומיות הן המעסיקות המשלמות את שכרם של עובדי המזכירויות והמזכיר הראשי. השופטים והקלדניות בבתי משפט עמ"ק מועסקים על ידי הב"ה.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בשנת 1994 העירה מבקרת המדינה דאז, כי גבולות האחריות והסמכות שבין הב"ה ובין הרשויות המקומיות בתחום עבודת המזכירויות של בתי המשפט עמ"ק לא הוגדרו הלכה למעשה והצביעה על היעדר אחידות בסדרי המינהל וההפעלה של בתי המשפט עמ"ק</w:t>
      </w:r>
      <w:r>
        <w:rPr>
          <w:rStyle w:val="FootnoteReference"/>
          <w:rFonts w:cs="FrankRuehl"/>
          <w:sz w:val="20"/>
          <w:szCs w:val="22"/>
          <w:rtl/>
        </w:rPr>
        <w:footnoteReference w:id="9"/>
      </w:r>
      <w:r w:rsidRPr="00247C05">
        <w:rPr>
          <w:rFonts w:cs="FrankRuehl" w:hint="cs"/>
          <w:sz w:val="20"/>
          <w:szCs w:val="22"/>
          <w:rtl/>
        </w:rPr>
        <w:t xml:space="preserve">. </w:t>
      </w:r>
    </w:p>
    <w:p w:rsidR="003037FB" w:rsidRPr="00247C05" w:rsidP="00040DAE">
      <w:pPr>
        <w:pStyle w:val="ListParagraph"/>
        <w:numPr>
          <w:ilvl w:val="0"/>
          <w:numId w:val="2"/>
        </w:numPr>
        <w:spacing w:after="12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בעקבות</w:t>
      </w:r>
      <w:r w:rsidRPr="00247C05">
        <w:rPr>
          <w:rFonts w:ascii="Times New Roman" w:hAnsi="Times New Roman" w:cs="FrankRuehl"/>
          <w:sz w:val="20"/>
          <w:rtl/>
        </w:rPr>
        <w:t xml:space="preserve"> ממצאי הדוח</w:t>
      </w:r>
      <w:r w:rsidRPr="00247C05">
        <w:rPr>
          <w:rFonts w:ascii="Times New Roman" w:hAnsi="Times New Roman" w:cs="FrankRuehl" w:hint="cs"/>
          <w:sz w:val="20"/>
          <w:rtl/>
        </w:rPr>
        <w:t xml:space="preserve"> מינה שר המשפטים ביולי 1994 </w:t>
      </w:r>
      <w:r w:rsidRPr="00247C05">
        <w:rPr>
          <w:rFonts w:ascii="Times New Roman" w:hAnsi="Times New Roman" w:cs="FrankRuehl"/>
          <w:sz w:val="20"/>
          <w:rtl/>
        </w:rPr>
        <w:t xml:space="preserve">ועדה ציבורית בראשות שופט בית המשפט העליון (דאז) פרופ' יצחק זמיר. </w:t>
      </w:r>
      <w:r w:rsidRPr="00247C05">
        <w:rPr>
          <w:rFonts w:ascii="Times New Roman" w:hAnsi="Times New Roman" w:cs="FrankRuehl" w:hint="cs"/>
          <w:sz w:val="20"/>
          <w:rtl/>
        </w:rPr>
        <w:t xml:space="preserve">בספטמבר 1995 הגישה הוועדה את מסקנותיה </w:t>
      </w:r>
      <w:r w:rsidRPr="00247C05">
        <w:rPr>
          <w:rFonts w:ascii="Times New Roman" w:hAnsi="Times New Roman" w:cs="FrankRuehl" w:hint="cs"/>
          <w:sz w:val="20"/>
          <w:rtl/>
        </w:rPr>
        <w:t>והמלצותיה "לרפורמה הנדרשת במערך הארגוני של בתי המשפט לעניינים מקומיים וכיצד לתקן את כל הליקויים שחשפה מבקרת המדינה בדוח שלה בנושא זה". לצד היתרונות הגלומים בהפעלתם של בתי משפט עמ"ק שמנה הדוח ובהם: התמחות בחוקים בעלי אופי מקומי, הבטחת טיפול מהיר ויעיל, ביזור סמכויות שלטון ושיפור השירות לאזרח, הצביע ה</w:t>
      </w:r>
      <w:r w:rsidRPr="00247C05">
        <w:rPr>
          <w:rFonts w:ascii="Times New Roman" w:hAnsi="Times New Roman" w:cs="FrankRuehl"/>
          <w:sz w:val="20"/>
          <w:rtl/>
        </w:rPr>
        <w:t xml:space="preserve">דוח </w:t>
      </w:r>
      <w:r w:rsidRPr="00247C05">
        <w:rPr>
          <w:rFonts w:ascii="Times New Roman" w:hAnsi="Times New Roman" w:cs="FrankRuehl" w:hint="cs"/>
          <w:sz w:val="20"/>
          <w:rtl/>
        </w:rPr>
        <w:t>גם</w:t>
      </w:r>
      <w:r w:rsidRPr="00247C05">
        <w:rPr>
          <w:rFonts w:ascii="Times New Roman" w:hAnsi="Times New Roman" w:cs="FrankRuehl"/>
          <w:sz w:val="20"/>
          <w:rtl/>
        </w:rPr>
        <w:t xml:space="preserve"> על הבעיות </w:t>
      </w:r>
      <w:r w:rsidRPr="00247C05">
        <w:rPr>
          <w:rFonts w:ascii="Times New Roman" w:hAnsi="Times New Roman" w:cs="FrankRuehl" w:hint="cs"/>
          <w:sz w:val="20"/>
          <w:rtl/>
        </w:rPr>
        <w:t>הנובעות</w:t>
      </w:r>
      <w:r w:rsidRPr="00247C05">
        <w:rPr>
          <w:rFonts w:ascii="Times New Roman" w:hAnsi="Times New Roman" w:cs="FrankRuehl"/>
          <w:sz w:val="20"/>
          <w:rtl/>
        </w:rPr>
        <w:t xml:space="preserve"> </w:t>
      </w:r>
      <w:r w:rsidRPr="00247C05">
        <w:rPr>
          <w:rFonts w:ascii="Times New Roman" w:hAnsi="Times New Roman" w:cs="FrankRuehl" w:hint="cs"/>
          <w:sz w:val="20"/>
          <w:rtl/>
        </w:rPr>
        <w:t>מחלוקת</w:t>
      </w:r>
      <w:r w:rsidRPr="00247C05">
        <w:rPr>
          <w:rFonts w:ascii="Times New Roman" w:hAnsi="Times New Roman" w:cs="FrankRuehl"/>
          <w:sz w:val="20"/>
          <w:rtl/>
        </w:rPr>
        <w:t xml:space="preserve"> </w:t>
      </w:r>
      <w:r w:rsidRPr="00247C05">
        <w:rPr>
          <w:rFonts w:ascii="Times New Roman" w:hAnsi="Times New Roman" w:cs="FrankRuehl" w:hint="cs"/>
          <w:sz w:val="20"/>
          <w:rtl/>
        </w:rPr>
        <w:t>הסמכות</w:t>
      </w:r>
      <w:r w:rsidRPr="00247C05">
        <w:rPr>
          <w:rFonts w:ascii="Times New Roman" w:hAnsi="Times New Roman" w:cs="FrankRuehl"/>
          <w:sz w:val="20"/>
          <w:rtl/>
        </w:rPr>
        <w:t xml:space="preserve"> והאחריות בין </w:t>
      </w:r>
      <w:r w:rsidRPr="00247C05">
        <w:rPr>
          <w:rFonts w:ascii="Times New Roman" w:hAnsi="Times New Roman" w:cs="FrankRuehl" w:hint="cs"/>
          <w:sz w:val="20"/>
          <w:rtl/>
        </w:rPr>
        <w:t>המערכת</w:t>
      </w:r>
      <w:r w:rsidRPr="00247C05">
        <w:rPr>
          <w:rFonts w:ascii="Times New Roman" w:hAnsi="Times New Roman" w:cs="FrankRuehl"/>
          <w:sz w:val="20"/>
          <w:rtl/>
        </w:rPr>
        <w:t xml:space="preserve"> השיפוטית ו</w:t>
      </w:r>
      <w:r w:rsidRPr="00247C05">
        <w:rPr>
          <w:rFonts w:ascii="Times New Roman" w:hAnsi="Times New Roman" w:cs="FrankRuehl" w:hint="cs"/>
          <w:sz w:val="20"/>
          <w:rtl/>
        </w:rPr>
        <w:t xml:space="preserve">בין </w:t>
      </w:r>
      <w:r w:rsidRPr="00247C05">
        <w:rPr>
          <w:rFonts w:ascii="Times New Roman" w:hAnsi="Times New Roman" w:cs="FrankRuehl"/>
          <w:sz w:val="20"/>
          <w:rtl/>
        </w:rPr>
        <w:t>הרשות המקומית</w:t>
      </w:r>
      <w:r w:rsidRPr="00247C05">
        <w:rPr>
          <w:rFonts w:ascii="Times New Roman" w:hAnsi="Times New Roman" w:cs="FrankRuehl" w:hint="cs"/>
          <w:sz w:val="20"/>
          <w:rtl/>
        </w:rPr>
        <w:t>. הדוח ציין כי "בית משפט לעניינים מקומיים מעורר בעיות מיוחדות... הנובעות מעצם השתייכות של בית המשפט לשתי מערכות מנהליות: המערכת השיפוטית מזה, והרשות המקומית מזה". הדוח הצביע על כך שהכפילות באחריות לתפקוד בתי המשפט עמ"ק באמצעות שתי המערכות יוצרת מתח בלתי נמנע ומעוררת בעיות בחלוקת האחריות בין שתיהן, וזאת - כאשר הרשות השופטת חייבת להקפיד על עצמאות מוחלטת כלפי הרשות המבצעת והרשות המקומית בכלל זה.</w:t>
      </w:r>
    </w:p>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 xml:space="preserve">עם זאת, הוועדה סברה כי אין לבטל את בתי המשפט עמ"ק ולמזגם עם מערכת השפיטה הכללית, וכי המערך הארגוני של בתי המשפט, ובמיוחד הקשר עם הרשות המקומית יוצר בעיות של תפקוד ותדמית, וכי יש לפעול לפתרונן ולא לשנות באופן בסיסי את המערך הארגוני הקיים. הועדה הציעה מספר הצעות "לשיפור המצב במסגרת המבנה [המערך הארגוני] הקיים", וזאת לצד המשך פעילותם של בתי המשפט במתכונתם הקיימת, ובהם ייחוד האחריות בתחום המינהלי לרשויות המקומיות מחד, וייחוד האחריות בתחום המקצועי להב"ה מאידך, ולאפשר לשתי המערכות להתמודד עם המתח המובנה בהפעלת בתי המשפט. </w:t>
      </w:r>
    </w:p>
    <w:p w:rsidR="003037FB" w:rsidRPr="00247C05" w:rsidP="00040DAE">
      <w:pPr>
        <w:pStyle w:val="ListParagraph"/>
        <w:numPr>
          <w:ilvl w:val="0"/>
          <w:numId w:val="2"/>
        </w:numPr>
        <w:spacing w:after="12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 xml:space="preserve">שינוי מהותי החל רק בשנת 2005 לאחר שהוגשה </w:t>
      </w:r>
      <w:r w:rsidRPr="00247C05">
        <w:rPr>
          <w:rFonts w:ascii="Times New Roman" w:hAnsi="Times New Roman" w:cs="FrankRuehl"/>
          <w:sz w:val="20"/>
          <w:rtl/>
        </w:rPr>
        <w:t xml:space="preserve">עתירה </w:t>
      </w:r>
      <w:r w:rsidRPr="00247C05">
        <w:rPr>
          <w:rFonts w:ascii="Times New Roman" w:hAnsi="Times New Roman" w:cs="FrankRuehl" w:hint="cs"/>
          <w:sz w:val="20"/>
          <w:rtl/>
        </w:rPr>
        <w:t xml:space="preserve">לבית המשפט העליון נגד </w:t>
      </w:r>
      <w:r w:rsidRPr="00247C05">
        <w:rPr>
          <w:rFonts w:ascii="Times New Roman" w:hAnsi="Times New Roman" w:cs="FrankRuehl"/>
          <w:sz w:val="20"/>
          <w:rtl/>
        </w:rPr>
        <w:t>מעמדו ודרך פעולתו של ב</w:t>
      </w:r>
      <w:r w:rsidRPr="00247C05">
        <w:rPr>
          <w:rFonts w:ascii="Times New Roman" w:hAnsi="Times New Roman" w:cs="FrankRuehl" w:hint="cs"/>
          <w:sz w:val="20"/>
          <w:rtl/>
        </w:rPr>
        <w:t>ית</w:t>
      </w:r>
      <w:r w:rsidRPr="00247C05">
        <w:rPr>
          <w:rFonts w:ascii="Times New Roman" w:hAnsi="Times New Roman" w:cs="FrankRuehl"/>
          <w:sz w:val="20"/>
          <w:rtl/>
        </w:rPr>
        <w:t xml:space="preserve"> המשפט </w:t>
      </w:r>
      <w:r w:rsidRPr="00247C05">
        <w:rPr>
          <w:rFonts w:ascii="Times New Roman" w:hAnsi="Times New Roman" w:cs="FrankRuehl" w:hint="cs"/>
          <w:sz w:val="20"/>
          <w:rtl/>
        </w:rPr>
        <w:t>עמ</w:t>
      </w:r>
      <w:r w:rsidRPr="00247C05">
        <w:rPr>
          <w:rFonts w:ascii="Times New Roman" w:hAnsi="Times New Roman" w:cs="FrankRuehl"/>
          <w:sz w:val="20"/>
          <w:rtl/>
        </w:rPr>
        <w:t>"ק בירושלים</w:t>
      </w:r>
      <w:r w:rsidRPr="00247C05">
        <w:rPr>
          <w:rFonts w:ascii="Times New Roman" w:hAnsi="Times New Roman" w:cs="FrankRuehl" w:hint="cs"/>
          <w:sz w:val="20"/>
          <w:rtl/>
        </w:rPr>
        <w:t xml:space="preserve"> בבג"ץ קארשי</w:t>
      </w:r>
      <w:r>
        <w:rPr>
          <w:rStyle w:val="FootnoteReference"/>
          <w:rFonts w:ascii="Times New Roman" w:hAnsi="Times New Roman" w:cs="FrankRuehl"/>
          <w:sz w:val="20"/>
          <w:rtl/>
        </w:rPr>
        <w:footnoteReference w:id="10"/>
      </w:r>
      <w:r w:rsidRPr="00247C05">
        <w:rPr>
          <w:rFonts w:ascii="Times New Roman" w:hAnsi="Times New Roman" w:cs="FrankRuehl"/>
          <w:sz w:val="20"/>
          <w:rtl/>
        </w:rPr>
        <w:t xml:space="preserve">. </w:t>
      </w:r>
      <w:r w:rsidRPr="00247C05">
        <w:rPr>
          <w:rFonts w:ascii="Times New Roman" w:hAnsi="Times New Roman" w:cs="FrankRuehl" w:hint="cs"/>
          <w:sz w:val="20"/>
          <w:rtl/>
        </w:rPr>
        <w:t>ב</w:t>
      </w:r>
      <w:r w:rsidRPr="00247C05">
        <w:rPr>
          <w:rFonts w:ascii="Times New Roman" w:hAnsi="Times New Roman" w:cs="FrankRuehl"/>
          <w:sz w:val="20"/>
          <w:rtl/>
        </w:rPr>
        <w:t xml:space="preserve">אותה עת ישב בית המשפט </w:t>
      </w:r>
      <w:r w:rsidRPr="00247C05">
        <w:rPr>
          <w:rFonts w:ascii="Times New Roman" w:hAnsi="Times New Roman" w:cs="FrankRuehl" w:hint="cs"/>
          <w:sz w:val="20"/>
          <w:rtl/>
        </w:rPr>
        <w:t>עמ</w:t>
      </w:r>
      <w:r w:rsidRPr="00247C05">
        <w:rPr>
          <w:rFonts w:ascii="Times New Roman" w:hAnsi="Times New Roman" w:cs="FrankRuehl"/>
          <w:sz w:val="20"/>
          <w:rtl/>
        </w:rPr>
        <w:t>"ק בבניין העירייה</w:t>
      </w:r>
      <w:r w:rsidRPr="00247C05">
        <w:rPr>
          <w:rFonts w:ascii="Times New Roman" w:hAnsi="Times New Roman" w:cs="FrankRuehl" w:hint="cs"/>
          <w:sz w:val="20"/>
          <w:rtl/>
        </w:rPr>
        <w:t>,</w:t>
      </w:r>
      <w:r w:rsidRPr="00247C05">
        <w:rPr>
          <w:rFonts w:ascii="Times New Roman" w:hAnsi="Times New Roman" w:cs="FrankRuehl"/>
          <w:sz w:val="20"/>
          <w:rtl/>
        </w:rPr>
        <w:t xml:space="preserve"> וה</w:t>
      </w:r>
      <w:r w:rsidRPr="00247C05">
        <w:rPr>
          <w:rFonts w:ascii="Times New Roman" w:hAnsi="Times New Roman" w:cs="FrankRuehl" w:hint="cs"/>
          <w:sz w:val="20"/>
          <w:rtl/>
        </w:rPr>
        <w:t>יא</w:t>
      </w:r>
      <w:r w:rsidRPr="00247C05">
        <w:rPr>
          <w:rFonts w:ascii="Times New Roman" w:hAnsi="Times New Roman" w:cs="FrankRuehl"/>
          <w:sz w:val="20"/>
          <w:rtl/>
        </w:rPr>
        <w:t xml:space="preserve"> מימנה את שכרם של השופטים והקלדניות בבית המשפט</w:t>
      </w:r>
      <w:r w:rsidRPr="00247C05">
        <w:rPr>
          <w:rFonts w:ascii="Times New Roman" w:hAnsi="Times New Roman" w:cs="FrankRuehl" w:hint="cs"/>
          <w:sz w:val="20"/>
          <w:rtl/>
        </w:rPr>
        <w:t>.</w:t>
      </w:r>
      <w:r w:rsidRPr="00247C05">
        <w:rPr>
          <w:rFonts w:ascii="Times New Roman" w:hAnsi="Times New Roman" w:cs="FrankRuehl"/>
          <w:sz w:val="20"/>
          <w:rtl/>
        </w:rPr>
        <w:t xml:space="preserve"> </w:t>
      </w:r>
      <w:r w:rsidRPr="00247C05">
        <w:rPr>
          <w:rFonts w:ascii="Times New Roman" w:hAnsi="Times New Roman" w:cs="FrankRuehl" w:hint="cs"/>
          <w:sz w:val="20"/>
          <w:rtl/>
        </w:rPr>
        <w:t>בעתירה</w:t>
      </w:r>
      <w:r w:rsidRPr="00247C05">
        <w:rPr>
          <w:rFonts w:ascii="Times New Roman" w:hAnsi="Times New Roman" w:cs="FrankRuehl"/>
          <w:sz w:val="20"/>
          <w:rtl/>
        </w:rPr>
        <w:t xml:space="preserve"> נטען בין היתר</w:t>
      </w:r>
      <w:r w:rsidRPr="00247C05">
        <w:rPr>
          <w:rFonts w:ascii="Times New Roman" w:hAnsi="Times New Roman" w:cs="FrankRuehl" w:hint="cs"/>
          <w:sz w:val="20"/>
          <w:rtl/>
        </w:rPr>
        <w:t>,</w:t>
      </w:r>
      <w:r w:rsidRPr="00247C05">
        <w:rPr>
          <w:rFonts w:ascii="Times New Roman" w:hAnsi="Times New Roman" w:cs="FrankRuehl"/>
          <w:sz w:val="20"/>
          <w:rtl/>
        </w:rPr>
        <w:t xml:space="preserve"> כי </w:t>
      </w:r>
      <w:r w:rsidRPr="00247C05">
        <w:rPr>
          <w:rFonts w:ascii="Times New Roman" w:hAnsi="Times New Roman" w:cs="FrankRuehl" w:hint="cs"/>
          <w:sz w:val="20"/>
          <w:rtl/>
        </w:rPr>
        <w:t>אופן</w:t>
      </w:r>
      <w:r w:rsidRPr="00247C05">
        <w:rPr>
          <w:rFonts w:ascii="Times New Roman" w:hAnsi="Times New Roman" w:cs="FrankRuehl"/>
          <w:sz w:val="20"/>
          <w:rtl/>
        </w:rPr>
        <w:t xml:space="preserve"> </w:t>
      </w:r>
      <w:r w:rsidRPr="00247C05">
        <w:rPr>
          <w:rFonts w:ascii="Times New Roman" w:hAnsi="Times New Roman" w:cs="FrankRuehl" w:hint="cs"/>
          <w:sz w:val="20"/>
          <w:rtl/>
        </w:rPr>
        <w:t>הפעלתו</w:t>
      </w:r>
      <w:r w:rsidRPr="00247C05">
        <w:rPr>
          <w:rFonts w:ascii="Times New Roman" w:hAnsi="Times New Roman" w:cs="FrankRuehl"/>
          <w:sz w:val="20"/>
          <w:rtl/>
        </w:rPr>
        <w:t xml:space="preserve"> </w:t>
      </w:r>
      <w:r w:rsidRPr="00247C05">
        <w:rPr>
          <w:rFonts w:ascii="Times New Roman" w:hAnsi="Times New Roman" w:cs="FrankRuehl" w:hint="cs"/>
          <w:sz w:val="20"/>
          <w:rtl/>
        </w:rPr>
        <w:t>של</w:t>
      </w:r>
      <w:r w:rsidRPr="00247C05">
        <w:rPr>
          <w:rFonts w:ascii="Times New Roman" w:hAnsi="Times New Roman" w:cs="FrankRuehl"/>
          <w:sz w:val="20"/>
          <w:rtl/>
        </w:rPr>
        <w:t xml:space="preserve"> בית המשפט </w:t>
      </w:r>
      <w:r w:rsidRPr="00247C05">
        <w:rPr>
          <w:rFonts w:ascii="Times New Roman" w:hAnsi="Times New Roman" w:cs="FrankRuehl" w:hint="cs"/>
          <w:sz w:val="20"/>
          <w:rtl/>
        </w:rPr>
        <w:t>אינו</w:t>
      </w:r>
      <w:r w:rsidRPr="00247C05">
        <w:rPr>
          <w:rFonts w:ascii="Times New Roman" w:hAnsi="Times New Roman" w:cs="FrankRuehl"/>
          <w:sz w:val="20"/>
          <w:rtl/>
        </w:rPr>
        <w:t xml:space="preserve"> </w:t>
      </w:r>
      <w:r w:rsidRPr="00247C05">
        <w:rPr>
          <w:rFonts w:ascii="Times New Roman" w:hAnsi="Times New Roman" w:cs="FrankRuehl" w:hint="cs"/>
          <w:sz w:val="20"/>
          <w:rtl/>
        </w:rPr>
        <w:t>מתיישב</w:t>
      </w:r>
      <w:r w:rsidRPr="00247C05">
        <w:rPr>
          <w:rFonts w:ascii="Times New Roman" w:hAnsi="Times New Roman" w:cs="FrankRuehl"/>
          <w:sz w:val="20"/>
          <w:rtl/>
        </w:rPr>
        <w:t xml:space="preserve"> </w:t>
      </w:r>
      <w:r w:rsidRPr="00247C05">
        <w:rPr>
          <w:rFonts w:ascii="Times New Roman" w:hAnsi="Times New Roman" w:cs="FrankRuehl" w:hint="cs"/>
          <w:sz w:val="20"/>
          <w:rtl/>
        </w:rPr>
        <w:t>עם</w:t>
      </w:r>
      <w:r w:rsidRPr="00247C05">
        <w:rPr>
          <w:rFonts w:ascii="Times New Roman" w:hAnsi="Times New Roman" w:cs="FrankRuehl"/>
          <w:sz w:val="20"/>
          <w:rtl/>
        </w:rPr>
        <w:t xml:space="preserve"> </w:t>
      </w:r>
      <w:r w:rsidRPr="00247C05">
        <w:rPr>
          <w:rFonts w:ascii="Times New Roman" w:hAnsi="Times New Roman" w:cs="FrankRuehl" w:hint="cs"/>
          <w:sz w:val="20"/>
          <w:rtl/>
        </w:rPr>
        <w:t>עקרון</w:t>
      </w:r>
      <w:r w:rsidRPr="00247C05">
        <w:rPr>
          <w:rFonts w:ascii="Times New Roman" w:hAnsi="Times New Roman" w:cs="FrankRuehl"/>
          <w:sz w:val="20"/>
          <w:rtl/>
        </w:rPr>
        <w:t xml:space="preserve"> </w:t>
      </w:r>
      <w:r w:rsidRPr="00247C05">
        <w:rPr>
          <w:rFonts w:ascii="Times New Roman" w:hAnsi="Times New Roman" w:cs="FrankRuehl" w:hint="cs"/>
          <w:sz w:val="20"/>
          <w:rtl/>
        </w:rPr>
        <w:t>הפרדת</w:t>
      </w:r>
      <w:r w:rsidRPr="00247C05">
        <w:rPr>
          <w:rFonts w:ascii="Times New Roman" w:hAnsi="Times New Roman" w:cs="FrankRuehl"/>
          <w:sz w:val="20"/>
          <w:rtl/>
        </w:rPr>
        <w:t xml:space="preserve"> </w:t>
      </w:r>
      <w:r w:rsidRPr="00247C05">
        <w:rPr>
          <w:rFonts w:ascii="Times New Roman" w:hAnsi="Times New Roman" w:cs="FrankRuehl" w:hint="cs"/>
          <w:sz w:val="20"/>
          <w:rtl/>
        </w:rPr>
        <w:t>הרשויות</w:t>
      </w:r>
      <w:r w:rsidRPr="00247C05">
        <w:rPr>
          <w:rFonts w:ascii="Times New Roman" w:hAnsi="Times New Roman" w:cs="FrankRuehl"/>
          <w:sz w:val="20"/>
          <w:rtl/>
        </w:rPr>
        <w:t xml:space="preserve">. </w:t>
      </w:r>
      <w:r w:rsidRPr="00247C05">
        <w:rPr>
          <w:rFonts w:ascii="Times New Roman" w:hAnsi="Times New Roman" w:cs="FrankRuehl" w:hint="cs"/>
          <w:sz w:val="20"/>
          <w:rtl/>
        </w:rPr>
        <w:t>במסגרת</w:t>
      </w:r>
      <w:r w:rsidRPr="00247C05">
        <w:rPr>
          <w:rFonts w:ascii="Times New Roman" w:hAnsi="Times New Roman" w:cs="FrankRuehl"/>
          <w:sz w:val="20"/>
          <w:rtl/>
        </w:rPr>
        <w:t xml:space="preserve"> ההליכים בבג"ץ </w:t>
      </w:r>
      <w:r w:rsidRPr="00247C05">
        <w:rPr>
          <w:rFonts w:ascii="Times New Roman" w:hAnsi="Times New Roman" w:cs="FrankRuehl" w:hint="cs"/>
          <w:sz w:val="20"/>
          <w:rtl/>
        </w:rPr>
        <w:t>קארשי</w:t>
      </w:r>
      <w:r w:rsidRPr="00247C05">
        <w:rPr>
          <w:rFonts w:ascii="Times New Roman" w:hAnsi="Times New Roman" w:cs="FrankRuehl"/>
          <w:sz w:val="20"/>
          <w:rtl/>
        </w:rPr>
        <w:t xml:space="preserve"> הציגה המדינה את </w:t>
      </w:r>
      <w:r w:rsidRPr="00247C05">
        <w:rPr>
          <w:rFonts w:ascii="Times New Roman" w:hAnsi="Times New Roman" w:cs="FrankRuehl" w:hint="cs"/>
          <w:sz w:val="20"/>
          <w:rtl/>
        </w:rPr>
        <w:t>"</w:t>
      </w:r>
      <w:r w:rsidRPr="00247C05">
        <w:rPr>
          <w:rFonts w:ascii="Times New Roman" w:hAnsi="Times New Roman" w:cs="FrankRuehl"/>
          <w:sz w:val="20"/>
          <w:rtl/>
        </w:rPr>
        <w:t>הסכמתה למסקנות ועדת זמיר</w:t>
      </w:r>
      <w:r w:rsidRPr="00247C05">
        <w:rPr>
          <w:rFonts w:ascii="Times New Roman" w:hAnsi="Times New Roman" w:cs="FrankRuehl" w:hint="cs"/>
          <w:sz w:val="20"/>
          <w:rtl/>
        </w:rPr>
        <w:t>, לפיה</w:t>
      </w:r>
      <w:r w:rsidRPr="00247C05">
        <w:rPr>
          <w:rFonts w:ascii="Times New Roman" w:hAnsi="Times New Roman" w:cs="FrankRuehl"/>
          <w:sz w:val="20"/>
          <w:rtl/>
        </w:rPr>
        <w:t xml:space="preserve"> </w:t>
      </w:r>
      <w:r w:rsidRPr="00247C05">
        <w:rPr>
          <w:rFonts w:ascii="Times New Roman" w:hAnsi="Times New Roman" w:cs="FrankRuehl" w:hint="cs"/>
          <w:sz w:val="20"/>
          <w:rtl/>
        </w:rPr>
        <w:t>אין</w:t>
      </w:r>
      <w:r w:rsidRPr="00247C05">
        <w:rPr>
          <w:rFonts w:ascii="Times New Roman" w:hAnsi="Times New Roman" w:cs="FrankRuehl"/>
          <w:sz w:val="20"/>
          <w:rtl/>
        </w:rPr>
        <w:t xml:space="preserve"> </w:t>
      </w:r>
      <w:r w:rsidRPr="00247C05">
        <w:rPr>
          <w:rFonts w:ascii="Times New Roman" w:hAnsi="Times New Roman" w:cs="FrankRuehl" w:hint="cs"/>
          <w:sz w:val="20"/>
          <w:rtl/>
        </w:rPr>
        <w:t>לשנות</w:t>
      </w:r>
      <w:r w:rsidRPr="00247C05">
        <w:rPr>
          <w:rFonts w:ascii="Times New Roman" w:hAnsi="Times New Roman" w:cs="FrankRuehl"/>
          <w:sz w:val="20"/>
          <w:rtl/>
        </w:rPr>
        <w:t xml:space="preserve"> </w:t>
      </w:r>
      <w:r w:rsidRPr="00247C05">
        <w:rPr>
          <w:rFonts w:ascii="Times New Roman" w:hAnsi="Times New Roman" w:cs="FrankRuehl" w:hint="cs"/>
          <w:sz w:val="20"/>
          <w:rtl/>
        </w:rPr>
        <w:t>באופן</w:t>
      </w:r>
      <w:r w:rsidRPr="00247C05">
        <w:rPr>
          <w:rFonts w:ascii="Times New Roman" w:hAnsi="Times New Roman" w:cs="FrankRuehl"/>
          <w:sz w:val="20"/>
          <w:rtl/>
        </w:rPr>
        <w:t xml:space="preserve"> </w:t>
      </w:r>
      <w:r w:rsidRPr="00247C05">
        <w:rPr>
          <w:rFonts w:ascii="Times New Roman" w:hAnsi="Times New Roman" w:cs="FrankRuehl" w:hint="cs"/>
          <w:sz w:val="20"/>
          <w:rtl/>
        </w:rPr>
        <w:t>בסיסי את</w:t>
      </w:r>
      <w:r w:rsidRPr="00247C05">
        <w:rPr>
          <w:rFonts w:ascii="Times New Roman" w:hAnsi="Times New Roman" w:cs="FrankRuehl"/>
          <w:sz w:val="20"/>
          <w:rtl/>
        </w:rPr>
        <w:t xml:space="preserve"> </w:t>
      </w:r>
      <w:r w:rsidRPr="00247C05">
        <w:rPr>
          <w:rFonts w:ascii="Times New Roman" w:hAnsi="Times New Roman" w:cs="FrankRuehl" w:hint="cs"/>
          <w:sz w:val="20"/>
          <w:rtl/>
        </w:rPr>
        <w:t>התשתית</w:t>
      </w:r>
      <w:r w:rsidRPr="00247C05">
        <w:rPr>
          <w:rFonts w:ascii="Times New Roman" w:hAnsi="Times New Roman" w:cs="FrankRuehl"/>
          <w:sz w:val="20"/>
          <w:rtl/>
        </w:rPr>
        <w:t xml:space="preserve"> </w:t>
      </w:r>
      <w:r w:rsidRPr="00247C05">
        <w:rPr>
          <w:rFonts w:ascii="Times New Roman" w:hAnsi="Times New Roman" w:cs="FrankRuehl" w:hint="cs"/>
          <w:sz w:val="20"/>
          <w:rtl/>
        </w:rPr>
        <w:t>הארגונית</w:t>
      </w:r>
      <w:r w:rsidRPr="00247C05">
        <w:rPr>
          <w:rFonts w:ascii="Times New Roman" w:hAnsi="Times New Roman" w:cs="FrankRuehl"/>
          <w:sz w:val="20"/>
          <w:rtl/>
        </w:rPr>
        <w:t xml:space="preserve"> </w:t>
      </w:r>
      <w:r w:rsidRPr="00247C05">
        <w:rPr>
          <w:rFonts w:ascii="Times New Roman" w:hAnsi="Times New Roman" w:cs="FrankRuehl" w:hint="cs"/>
          <w:sz w:val="20"/>
          <w:rtl/>
        </w:rPr>
        <w:t>של</w:t>
      </w:r>
      <w:r w:rsidRPr="00247C05">
        <w:rPr>
          <w:rFonts w:ascii="Times New Roman" w:hAnsi="Times New Roman" w:cs="FrankRuehl"/>
          <w:sz w:val="20"/>
          <w:rtl/>
        </w:rPr>
        <w:t xml:space="preserve"> </w:t>
      </w:r>
      <w:r w:rsidRPr="00247C05">
        <w:rPr>
          <w:rFonts w:ascii="Times New Roman" w:hAnsi="Times New Roman" w:cs="FrankRuehl" w:hint="cs"/>
          <w:sz w:val="20"/>
          <w:rtl/>
        </w:rPr>
        <w:t>בתי</w:t>
      </w:r>
      <w:r w:rsidRPr="00247C05">
        <w:rPr>
          <w:rFonts w:ascii="Times New Roman" w:hAnsi="Times New Roman" w:cs="FrankRuehl"/>
          <w:sz w:val="20"/>
          <w:rtl/>
        </w:rPr>
        <w:t xml:space="preserve"> </w:t>
      </w:r>
      <w:r w:rsidRPr="00247C05">
        <w:rPr>
          <w:rFonts w:ascii="Times New Roman" w:hAnsi="Times New Roman" w:cs="FrankRuehl" w:hint="cs"/>
          <w:sz w:val="20"/>
          <w:rtl/>
        </w:rPr>
        <w:t>המשפט לעניינים מקומיים</w:t>
      </w:r>
      <w:r w:rsidRPr="00247C05">
        <w:rPr>
          <w:rFonts w:ascii="Times New Roman" w:hAnsi="Times New Roman" w:cs="FrankRuehl"/>
          <w:sz w:val="20"/>
          <w:rtl/>
        </w:rPr>
        <w:t xml:space="preserve"> </w:t>
      </w:r>
      <w:r w:rsidRPr="00247C05">
        <w:rPr>
          <w:rFonts w:ascii="Times New Roman" w:hAnsi="Times New Roman" w:cs="FrankRuehl" w:hint="cs"/>
          <w:sz w:val="20"/>
          <w:rtl/>
        </w:rPr>
        <w:t>כפי</w:t>
      </w:r>
      <w:r w:rsidRPr="00247C05">
        <w:rPr>
          <w:rFonts w:ascii="Times New Roman" w:hAnsi="Times New Roman" w:cs="FrankRuehl"/>
          <w:sz w:val="20"/>
          <w:rtl/>
        </w:rPr>
        <w:t xml:space="preserve"> </w:t>
      </w:r>
      <w:r w:rsidRPr="00247C05">
        <w:rPr>
          <w:rFonts w:ascii="Times New Roman" w:hAnsi="Times New Roman" w:cs="FrankRuehl" w:hint="cs"/>
          <w:sz w:val="20"/>
          <w:rtl/>
        </w:rPr>
        <w:t>פעילותם</w:t>
      </w:r>
      <w:r w:rsidRPr="00247C05">
        <w:rPr>
          <w:rFonts w:ascii="Times New Roman" w:hAnsi="Times New Roman" w:cs="FrankRuehl"/>
          <w:sz w:val="20"/>
          <w:rtl/>
        </w:rPr>
        <w:t xml:space="preserve"> </w:t>
      </w:r>
      <w:r w:rsidRPr="00247C05">
        <w:rPr>
          <w:rFonts w:ascii="Times New Roman" w:hAnsi="Times New Roman" w:cs="FrankRuehl" w:hint="cs"/>
          <w:sz w:val="20"/>
          <w:rtl/>
        </w:rPr>
        <w:t>כיום, ואין במערך</w:t>
      </w:r>
      <w:r w:rsidRPr="00247C05">
        <w:rPr>
          <w:rFonts w:ascii="Times New Roman" w:hAnsi="Times New Roman" w:cs="FrankRuehl"/>
          <w:sz w:val="20"/>
          <w:rtl/>
        </w:rPr>
        <w:t xml:space="preserve"> </w:t>
      </w:r>
      <w:r w:rsidRPr="00247C05">
        <w:rPr>
          <w:rFonts w:ascii="Times New Roman" w:hAnsi="Times New Roman" w:cs="FrankRuehl" w:hint="cs"/>
          <w:sz w:val="20"/>
          <w:rtl/>
        </w:rPr>
        <w:t>הקיים</w:t>
      </w:r>
      <w:r w:rsidRPr="00247C05">
        <w:rPr>
          <w:rFonts w:ascii="Times New Roman" w:hAnsi="Times New Roman" w:cs="FrankRuehl"/>
          <w:sz w:val="20"/>
          <w:rtl/>
        </w:rPr>
        <w:t xml:space="preserve"> </w:t>
      </w:r>
      <w:r w:rsidRPr="00247C05">
        <w:rPr>
          <w:rFonts w:ascii="Times New Roman" w:hAnsi="Times New Roman" w:cs="FrankRuehl" w:hint="cs"/>
          <w:sz w:val="20"/>
          <w:rtl/>
        </w:rPr>
        <w:t>כדי</w:t>
      </w:r>
      <w:r w:rsidRPr="00247C05">
        <w:rPr>
          <w:rFonts w:ascii="Times New Roman" w:hAnsi="Times New Roman" w:cs="FrankRuehl"/>
          <w:sz w:val="20"/>
          <w:rtl/>
        </w:rPr>
        <w:t xml:space="preserve"> </w:t>
      </w:r>
      <w:r w:rsidRPr="00247C05">
        <w:rPr>
          <w:rFonts w:ascii="Times New Roman" w:hAnsi="Times New Roman" w:cs="FrankRuehl" w:hint="cs"/>
          <w:sz w:val="20"/>
          <w:rtl/>
        </w:rPr>
        <w:t>לפגוע</w:t>
      </w:r>
      <w:r w:rsidRPr="00247C05">
        <w:rPr>
          <w:rFonts w:ascii="Times New Roman" w:hAnsi="Times New Roman" w:cs="FrankRuehl"/>
          <w:sz w:val="20"/>
          <w:rtl/>
        </w:rPr>
        <w:t xml:space="preserve"> </w:t>
      </w:r>
      <w:r w:rsidRPr="00247C05">
        <w:rPr>
          <w:rFonts w:ascii="Times New Roman" w:hAnsi="Times New Roman" w:cs="FrankRuehl" w:hint="cs"/>
          <w:sz w:val="20"/>
          <w:rtl/>
        </w:rPr>
        <w:t>בטוהר</w:t>
      </w:r>
      <w:r w:rsidRPr="00247C05">
        <w:rPr>
          <w:rFonts w:ascii="Times New Roman" w:hAnsi="Times New Roman" w:cs="FrankRuehl"/>
          <w:sz w:val="20"/>
          <w:rtl/>
        </w:rPr>
        <w:t xml:space="preserve"> </w:t>
      </w:r>
      <w:r w:rsidRPr="00247C05">
        <w:rPr>
          <w:rFonts w:ascii="Times New Roman" w:hAnsi="Times New Roman" w:cs="FrankRuehl" w:hint="cs"/>
          <w:sz w:val="20"/>
          <w:rtl/>
        </w:rPr>
        <w:t>ההליך</w:t>
      </w:r>
      <w:r w:rsidRPr="00247C05">
        <w:rPr>
          <w:rFonts w:ascii="Times New Roman" w:hAnsi="Times New Roman" w:cs="FrankRuehl"/>
          <w:sz w:val="20"/>
          <w:rtl/>
        </w:rPr>
        <w:t xml:space="preserve"> </w:t>
      </w:r>
      <w:r w:rsidRPr="00247C05">
        <w:rPr>
          <w:rFonts w:ascii="Times New Roman" w:hAnsi="Times New Roman" w:cs="FrankRuehl" w:hint="cs"/>
          <w:sz w:val="20"/>
          <w:rtl/>
        </w:rPr>
        <w:t>השיפוטי,</w:t>
      </w:r>
      <w:r w:rsidRPr="00247C05">
        <w:rPr>
          <w:rFonts w:ascii="Times New Roman" w:hAnsi="Times New Roman" w:cs="FrankRuehl"/>
          <w:sz w:val="20"/>
          <w:rtl/>
        </w:rPr>
        <w:t xml:space="preserve"> </w:t>
      </w:r>
      <w:r w:rsidRPr="00247C05">
        <w:rPr>
          <w:rFonts w:ascii="Times New Roman" w:hAnsi="Times New Roman" w:cs="FrankRuehl" w:hint="cs"/>
          <w:sz w:val="20"/>
          <w:rtl/>
        </w:rPr>
        <w:t>יש לדעתה</w:t>
      </w:r>
      <w:r w:rsidRPr="00247C05">
        <w:rPr>
          <w:rFonts w:ascii="Times New Roman" w:hAnsi="Times New Roman" w:cs="FrankRuehl"/>
          <w:sz w:val="20"/>
          <w:rtl/>
        </w:rPr>
        <w:t xml:space="preserve"> </w:t>
      </w:r>
      <w:r w:rsidRPr="00247C05">
        <w:rPr>
          <w:rFonts w:ascii="Times New Roman" w:hAnsi="Times New Roman" w:cs="FrankRuehl" w:hint="cs"/>
          <w:sz w:val="20"/>
          <w:rtl/>
        </w:rPr>
        <w:t>מקום</w:t>
      </w:r>
      <w:r w:rsidRPr="00247C05">
        <w:rPr>
          <w:rFonts w:ascii="Times New Roman" w:hAnsi="Times New Roman" w:cs="FrankRuehl"/>
          <w:sz w:val="20"/>
          <w:rtl/>
        </w:rPr>
        <w:t xml:space="preserve"> </w:t>
      </w:r>
      <w:r w:rsidRPr="00247C05">
        <w:rPr>
          <w:rFonts w:ascii="Times New Roman" w:hAnsi="Times New Roman" w:cs="FrankRuehl" w:hint="cs"/>
          <w:sz w:val="20"/>
          <w:rtl/>
        </w:rPr>
        <w:t>לשינויים</w:t>
      </w:r>
      <w:r w:rsidRPr="00247C05">
        <w:rPr>
          <w:rFonts w:ascii="Times New Roman" w:hAnsi="Times New Roman" w:cs="FrankRuehl"/>
          <w:sz w:val="20"/>
          <w:rtl/>
        </w:rPr>
        <w:t xml:space="preserve"> </w:t>
      </w:r>
      <w:r w:rsidRPr="00247C05">
        <w:rPr>
          <w:rFonts w:ascii="Times New Roman" w:hAnsi="Times New Roman" w:cs="FrankRuehl" w:hint="cs"/>
          <w:sz w:val="20"/>
          <w:rtl/>
        </w:rPr>
        <w:t>מסוימים שעניינם</w:t>
      </w:r>
      <w:r w:rsidRPr="00247C05">
        <w:rPr>
          <w:rFonts w:ascii="Times New Roman" w:hAnsi="Times New Roman" w:cs="FrankRuehl"/>
          <w:sz w:val="20"/>
          <w:rtl/>
        </w:rPr>
        <w:t xml:space="preserve"> </w:t>
      </w:r>
      <w:r w:rsidRPr="00247C05">
        <w:rPr>
          <w:rFonts w:ascii="Times New Roman" w:hAnsi="Times New Roman" w:cs="FrankRuehl" w:hint="cs"/>
          <w:sz w:val="20"/>
          <w:rtl/>
        </w:rPr>
        <w:t>בשיפור</w:t>
      </w:r>
      <w:r w:rsidRPr="00247C05">
        <w:rPr>
          <w:rFonts w:ascii="Times New Roman" w:hAnsi="Times New Roman" w:cs="FrankRuehl"/>
          <w:sz w:val="20"/>
          <w:rtl/>
        </w:rPr>
        <w:t xml:space="preserve"> </w:t>
      </w:r>
      <w:r w:rsidRPr="00247C05">
        <w:rPr>
          <w:rFonts w:ascii="Times New Roman" w:hAnsi="Times New Roman" w:cs="FrankRuehl" w:hint="cs"/>
          <w:sz w:val="20"/>
          <w:rtl/>
        </w:rPr>
        <w:t>היבט "מראית</w:t>
      </w:r>
      <w:r w:rsidRPr="00247C05">
        <w:rPr>
          <w:rFonts w:ascii="Times New Roman" w:hAnsi="Times New Roman" w:cs="FrankRuehl"/>
          <w:sz w:val="20"/>
          <w:rtl/>
        </w:rPr>
        <w:t xml:space="preserve"> </w:t>
      </w:r>
      <w:r w:rsidRPr="00247C05">
        <w:rPr>
          <w:rFonts w:ascii="Times New Roman" w:hAnsi="Times New Roman" w:cs="FrankRuehl" w:hint="cs"/>
          <w:sz w:val="20"/>
          <w:rtl/>
        </w:rPr>
        <w:t>פני</w:t>
      </w:r>
      <w:r w:rsidRPr="00247C05">
        <w:rPr>
          <w:rFonts w:ascii="Times New Roman" w:hAnsi="Times New Roman" w:cs="FrankRuehl"/>
          <w:sz w:val="20"/>
          <w:rtl/>
        </w:rPr>
        <w:t xml:space="preserve"> </w:t>
      </w:r>
      <w:r w:rsidRPr="00247C05">
        <w:rPr>
          <w:rFonts w:ascii="Times New Roman" w:hAnsi="Times New Roman" w:cs="FrankRuehl" w:hint="cs"/>
          <w:sz w:val="20"/>
          <w:rtl/>
        </w:rPr>
        <w:t>הצדק"</w:t>
      </w:r>
      <w:r w:rsidRPr="00247C05">
        <w:rPr>
          <w:rFonts w:ascii="Times New Roman" w:hAnsi="Times New Roman" w:cs="FrankRuehl"/>
          <w:sz w:val="20"/>
          <w:rtl/>
        </w:rPr>
        <w:t xml:space="preserve"> </w:t>
      </w:r>
      <w:r w:rsidRPr="00247C05">
        <w:rPr>
          <w:rFonts w:ascii="Times New Roman" w:hAnsi="Times New Roman" w:cs="FrankRuehl" w:hint="cs"/>
          <w:sz w:val="20"/>
          <w:rtl/>
        </w:rPr>
        <w:t>בערכאות שיפוט</w:t>
      </w:r>
      <w:r w:rsidRPr="00247C05">
        <w:rPr>
          <w:rFonts w:ascii="Times New Roman" w:hAnsi="Times New Roman" w:cs="FrankRuehl"/>
          <w:sz w:val="20"/>
          <w:rtl/>
        </w:rPr>
        <w:t xml:space="preserve"> </w:t>
      </w:r>
      <w:r w:rsidRPr="00247C05">
        <w:rPr>
          <w:rFonts w:ascii="Times New Roman" w:hAnsi="Times New Roman" w:cs="FrankRuehl" w:hint="cs"/>
          <w:sz w:val="20"/>
          <w:rtl/>
        </w:rPr>
        <w:t xml:space="preserve">אלה". </w:t>
      </w:r>
      <w:r w:rsidRPr="00247C05">
        <w:rPr>
          <w:rFonts w:ascii="Times New Roman" w:hAnsi="Times New Roman" w:cs="FrankRuehl"/>
          <w:sz w:val="20"/>
          <w:rtl/>
        </w:rPr>
        <w:t>בתשובתה לעתירה</w:t>
      </w:r>
      <w:r w:rsidRPr="00247C05">
        <w:rPr>
          <w:rFonts w:ascii="Times New Roman" w:hAnsi="Times New Roman" w:cs="FrankRuehl" w:hint="cs"/>
          <w:sz w:val="20"/>
          <w:rtl/>
        </w:rPr>
        <w:t xml:space="preserve"> הוצגה</w:t>
      </w:r>
      <w:r w:rsidRPr="00247C05">
        <w:rPr>
          <w:rFonts w:ascii="Times New Roman" w:hAnsi="Times New Roman" w:cs="FrankRuehl"/>
          <w:sz w:val="20"/>
          <w:rtl/>
        </w:rPr>
        <w:t xml:space="preserve"> </w:t>
      </w:r>
      <w:r w:rsidRPr="00247C05">
        <w:rPr>
          <w:rFonts w:ascii="Times New Roman" w:hAnsi="Times New Roman" w:cs="FrankRuehl" w:hint="cs"/>
          <w:sz w:val="20"/>
          <w:rtl/>
        </w:rPr>
        <w:t>העמדה</w:t>
      </w:r>
      <w:r w:rsidRPr="00247C05">
        <w:rPr>
          <w:rFonts w:ascii="Times New Roman" w:hAnsi="Times New Roman" w:cs="FrankRuehl"/>
          <w:sz w:val="20"/>
          <w:rtl/>
        </w:rPr>
        <w:t xml:space="preserve"> </w:t>
      </w:r>
      <w:r w:rsidRPr="00247C05">
        <w:rPr>
          <w:rFonts w:ascii="Times New Roman" w:hAnsi="Times New Roman" w:cs="FrankRuehl" w:hint="cs"/>
          <w:sz w:val="20"/>
          <w:rtl/>
        </w:rPr>
        <w:t>ש</w:t>
      </w:r>
      <w:r w:rsidRPr="00247C05">
        <w:rPr>
          <w:rFonts w:ascii="Times New Roman" w:hAnsi="Times New Roman" w:cs="FrankRuehl"/>
          <w:sz w:val="20"/>
          <w:rtl/>
        </w:rPr>
        <w:t xml:space="preserve">ביטול </w:t>
      </w:r>
      <w:r w:rsidRPr="00247C05">
        <w:rPr>
          <w:rFonts w:ascii="Times New Roman" w:hAnsi="Times New Roman" w:cs="FrankRuehl" w:hint="cs"/>
          <w:sz w:val="20"/>
          <w:rtl/>
        </w:rPr>
        <w:t>מעמדם</w:t>
      </w:r>
      <w:r w:rsidRPr="00247C05">
        <w:rPr>
          <w:rFonts w:ascii="Times New Roman" w:hAnsi="Times New Roman" w:cs="FrankRuehl"/>
          <w:sz w:val="20"/>
          <w:rtl/>
        </w:rPr>
        <w:t xml:space="preserve"> </w:t>
      </w:r>
      <w:r w:rsidRPr="00247C05">
        <w:rPr>
          <w:rFonts w:ascii="Times New Roman" w:hAnsi="Times New Roman" w:cs="FrankRuehl" w:hint="cs"/>
          <w:sz w:val="20"/>
          <w:rtl/>
        </w:rPr>
        <w:t>הנפרד</w:t>
      </w:r>
      <w:r w:rsidRPr="00247C05">
        <w:rPr>
          <w:rFonts w:ascii="Times New Roman" w:hAnsi="Times New Roman" w:cs="FrankRuehl"/>
          <w:sz w:val="20"/>
          <w:rtl/>
        </w:rPr>
        <w:t xml:space="preserve"> </w:t>
      </w:r>
      <w:r w:rsidRPr="00247C05">
        <w:rPr>
          <w:rFonts w:ascii="Times New Roman" w:hAnsi="Times New Roman" w:cs="FrankRuehl" w:hint="cs"/>
          <w:sz w:val="20"/>
          <w:rtl/>
        </w:rPr>
        <w:t>של</w:t>
      </w:r>
      <w:r w:rsidRPr="00247C05">
        <w:rPr>
          <w:rFonts w:ascii="Times New Roman" w:hAnsi="Times New Roman" w:cs="FrankRuehl"/>
          <w:sz w:val="20"/>
          <w:rtl/>
        </w:rPr>
        <w:t xml:space="preserve"> </w:t>
      </w:r>
      <w:r w:rsidRPr="00247C05">
        <w:rPr>
          <w:rFonts w:ascii="Times New Roman" w:hAnsi="Times New Roman" w:cs="FrankRuehl" w:hint="cs"/>
          <w:sz w:val="20"/>
          <w:rtl/>
        </w:rPr>
        <w:t>בתי</w:t>
      </w:r>
      <w:r w:rsidRPr="00247C05">
        <w:rPr>
          <w:rFonts w:ascii="Times New Roman" w:hAnsi="Times New Roman" w:cs="FrankRuehl"/>
          <w:sz w:val="20"/>
          <w:rtl/>
        </w:rPr>
        <w:t xml:space="preserve"> המשפט </w:t>
      </w:r>
      <w:r w:rsidRPr="00247C05">
        <w:rPr>
          <w:rFonts w:ascii="Times New Roman" w:hAnsi="Times New Roman" w:cs="FrankRuehl" w:hint="cs"/>
          <w:sz w:val="20"/>
          <w:rtl/>
        </w:rPr>
        <w:t>עמ</w:t>
      </w:r>
      <w:r w:rsidRPr="00247C05">
        <w:rPr>
          <w:rFonts w:ascii="Times New Roman" w:hAnsi="Times New Roman" w:cs="FrankRuehl"/>
          <w:sz w:val="20"/>
          <w:rtl/>
        </w:rPr>
        <w:t xml:space="preserve">"ק </w:t>
      </w:r>
      <w:r w:rsidRPr="00247C05">
        <w:rPr>
          <w:rFonts w:ascii="Times New Roman" w:hAnsi="Times New Roman" w:cs="FrankRuehl" w:hint="cs"/>
          <w:sz w:val="20"/>
          <w:rtl/>
        </w:rPr>
        <w:t>ומיזוגם</w:t>
      </w:r>
      <w:r w:rsidRPr="00247C05">
        <w:rPr>
          <w:rFonts w:ascii="Times New Roman" w:hAnsi="Times New Roman" w:cs="FrankRuehl"/>
          <w:sz w:val="20"/>
          <w:rtl/>
        </w:rPr>
        <w:t xml:space="preserve"> </w:t>
      </w:r>
      <w:r w:rsidRPr="00247C05">
        <w:rPr>
          <w:rFonts w:ascii="Times New Roman" w:hAnsi="Times New Roman" w:cs="FrankRuehl" w:hint="cs"/>
          <w:sz w:val="20"/>
          <w:rtl/>
        </w:rPr>
        <w:t>במערכת</w:t>
      </w:r>
      <w:r w:rsidRPr="00247C05">
        <w:rPr>
          <w:rFonts w:ascii="Times New Roman" w:hAnsi="Times New Roman" w:cs="FrankRuehl"/>
          <w:sz w:val="20"/>
          <w:rtl/>
        </w:rPr>
        <w:t xml:space="preserve"> </w:t>
      </w:r>
      <w:r w:rsidRPr="00247C05">
        <w:rPr>
          <w:rFonts w:ascii="Times New Roman" w:hAnsi="Times New Roman" w:cs="FrankRuehl" w:hint="cs"/>
          <w:sz w:val="20"/>
          <w:rtl/>
        </w:rPr>
        <w:t>בתי</w:t>
      </w:r>
      <w:r w:rsidRPr="00247C05">
        <w:rPr>
          <w:rFonts w:ascii="Times New Roman" w:hAnsi="Times New Roman" w:cs="FrankRuehl"/>
          <w:sz w:val="20"/>
          <w:rtl/>
        </w:rPr>
        <w:t xml:space="preserve"> </w:t>
      </w:r>
      <w:r w:rsidRPr="00247C05">
        <w:rPr>
          <w:rFonts w:ascii="Times New Roman" w:hAnsi="Times New Roman" w:cs="FrankRuehl" w:hint="cs"/>
          <w:sz w:val="20"/>
          <w:rtl/>
        </w:rPr>
        <w:t>המשפט</w:t>
      </w:r>
      <w:r w:rsidRPr="00247C05">
        <w:rPr>
          <w:rFonts w:ascii="Times New Roman" w:hAnsi="Times New Roman" w:cs="FrankRuehl"/>
          <w:sz w:val="20"/>
          <w:rtl/>
        </w:rPr>
        <w:t xml:space="preserve"> </w:t>
      </w:r>
      <w:r w:rsidRPr="00247C05">
        <w:rPr>
          <w:rFonts w:ascii="Times New Roman" w:hAnsi="Times New Roman" w:cs="FrankRuehl" w:hint="cs"/>
          <w:sz w:val="20"/>
          <w:rtl/>
        </w:rPr>
        <w:t>אינו</w:t>
      </w:r>
      <w:r w:rsidRPr="00247C05">
        <w:rPr>
          <w:rFonts w:ascii="Times New Roman" w:hAnsi="Times New Roman" w:cs="FrankRuehl"/>
          <w:sz w:val="20"/>
          <w:rtl/>
        </w:rPr>
        <w:t xml:space="preserve"> </w:t>
      </w:r>
      <w:r w:rsidRPr="00247C05">
        <w:rPr>
          <w:rFonts w:ascii="Times New Roman" w:hAnsi="Times New Roman" w:cs="FrankRuehl" w:hint="cs"/>
          <w:sz w:val="20"/>
          <w:rtl/>
        </w:rPr>
        <w:t>רצוי</w:t>
      </w:r>
      <w:r w:rsidRPr="00247C05">
        <w:rPr>
          <w:rFonts w:ascii="Times New Roman" w:hAnsi="Times New Roman" w:cs="FrankRuehl"/>
          <w:sz w:val="20"/>
          <w:rtl/>
        </w:rPr>
        <w:t xml:space="preserve">, </w:t>
      </w:r>
      <w:r w:rsidRPr="00247C05">
        <w:rPr>
          <w:rFonts w:ascii="Times New Roman" w:hAnsi="Times New Roman" w:cs="FrankRuehl" w:hint="cs"/>
          <w:sz w:val="20"/>
          <w:rtl/>
        </w:rPr>
        <w:t>שכן</w:t>
      </w:r>
      <w:r w:rsidRPr="00247C05">
        <w:rPr>
          <w:rFonts w:ascii="Times New Roman" w:hAnsi="Times New Roman" w:cs="FrankRuehl"/>
          <w:sz w:val="20"/>
          <w:rtl/>
        </w:rPr>
        <w:t xml:space="preserve"> </w:t>
      </w:r>
      <w:r w:rsidRPr="00247C05">
        <w:rPr>
          <w:rFonts w:ascii="Times New Roman" w:hAnsi="Times New Roman" w:cs="FrankRuehl" w:hint="cs"/>
          <w:sz w:val="20"/>
          <w:rtl/>
        </w:rPr>
        <w:t>היתרונות הגלומים</w:t>
      </w:r>
      <w:r w:rsidRPr="00247C05">
        <w:rPr>
          <w:rFonts w:ascii="Times New Roman" w:hAnsi="Times New Roman" w:cs="FrankRuehl"/>
          <w:sz w:val="20"/>
          <w:rtl/>
        </w:rPr>
        <w:t xml:space="preserve"> </w:t>
      </w:r>
      <w:r w:rsidRPr="00247C05">
        <w:rPr>
          <w:rFonts w:ascii="Times New Roman" w:hAnsi="Times New Roman" w:cs="FrankRuehl" w:hint="cs"/>
          <w:sz w:val="20"/>
          <w:rtl/>
        </w:rPr>
        <w:t>בהפעלת</w:t>
      </w:r>
      <w:r w:rsidRPr="00247C05">
        <w:rPr>
          <w:rFonts w:ascii="Times New Roman" w:hAnsi="Times New Roman" w:cs="FrankRuehl"/>
          <w:sz w:val="20"/>
          <w:rtl/>
        </w:rPr>
        <w:t xml:space="preserve"> </w:t>
      </w:r>
      <w:r w:rsidRPr="00247C05">
        <w:rPr>
          <w:rFonts w:ascii="Times New Roman" w:hAnsi="Times New Roman" w:cs="FrankRuehl" w:hint="cs"/>
          <w:sz w:val="20"/>
          <w:rtl/>
        </w:rPr>
        <w:t>מערכת</w:t>
      </w:r>
      <w:r w:rsidRPr="00247C05">
        <w:rPr>
          <w:rFonts w:ascii="Times New Roman" w:hAnsi="Times New Roman" w:cs="FrankRuehl"/>
          <w:sz w:val="20"/>
          <w:rtl/>
        </w:rPr>
        <w:t xml:space="preserve"> </w:t>
      </w:r>
      <w:r w:rsidRPr="00247C05">
        <w:rPr>
          <w:rFonts w:ascii="Times New Roman" w:hAnsi="Times New Roman" w:cs="FrankRuehl" w:hint="cs"/>
          <w:sz w:val="20"/>
          <w:rtl/>
        </w:rPr>
        <w:t>נפרדת</w:t>
      </w:r>
      <w:r w:rsidRPr="00247C05">
        <w:rPr>
          <w:rFonts w:ascii="Times New Roman" w:hAnsi="Times New Roman" w:cs="FrankRuehl"/>
          <w:sz w:val="20"/>
          <w:rtl/>
        </w:rPr>
        <w:t xml:space="preserve"> </w:t>
      </w:r>
      <w:r w:rsidRPr="00247C05">
        <w:rPr>
          <w:rFonts w:ascii="Times New Roman" w:hAnsi="Times New Roman" w:cs="FrankRuehl" w:hint="cs"/>
          <w:sz w:val="20"/>
          <w:rtl/>
        </w:rPr>
        <w:t>זו</w:t>
      </w:r>
      <w:r w:rsidRPr="00247C05">
        <w:rPr>
          <w:rFonts w:ascii="Times New Roman" w:hAnsi="Times New Roman" w:cs="FrankRuehl"/>
          <w:sz w:val="20"/>
          <w:rtl/>
        </w:rPr>
        <w:t xml:space="preserve"> </w:t>
      </w:r>
      <w:r w:rsidRPr="00247C05">
        <w:rPr>
          <w:rFonts w:ascii="Times New Roman" w:hAnsi="Times New Roman" w:cs="FrankRuehl" w:hint="cs"/>
          <w:sz w:val="20"/>
          <w:rtl/>
        </w:rPr>
        <w:t>תוך</w:t>
      </w:r>
      <w:r w:rsidRPr="00247C05">
        <w:rPr>
          <w:rFonts w:ascii="Times New Roman" w:hAnsi="Times New Roman" w:cs="FrankRuehl"/>
          <w:sz w:val="20"/>
          <w:rtl/>
        </w:rPr>
        <w:t xml:space="preserve"> </w:t>
      </w:r>
      <w:r w:rsidRPr="00247C05">
        <w:rPr>
          <w:rFonts w:ascii="Times New Roman" w:hAnsi="Times New Roman" w:cs="FrankRuehl" w:hint="cs"/>
          <w:sz w:val="20"/>
          <w:rtl/>
        </w:rPr>
        <w:t>הבטחת</w:t>
      </w:r>
      <w:r w:rsidRPr="00247C05">
        <w:rPr>
          <w:rFonts w:ascii="Times New Roman" w:hAnsi="Times New Roman" w:cs="FrankRuehl"/>
          <w:sz w:val="20"/>
          <w:rtl/>
        </w:rPr>
        <w:t xml:space="preserve"> </w:t>
      </w:r>
      <w:r w:rsidRPr="00247C05">
        <w:rPr>
          <w:rFonts w:ascii="Times New Roman" w:hAnsi="Times New Roman" w:cs="FrankRuehl" w:hint="cs"/>
          <w:sz w:val="20"/>
          <w:rtl/>
        </w:rPr>
        <w:t>עצמאות</w:t>
      </w:r>
      <w:r w:rsidRPr="00247C05">
        <w:rPr>
          <w:rFonts w:ascii="Times New Roman" w:hAnsi="Times New Roman" w:cs="FrankRuehl"/>
          <w:sz w:val="20"/>
          <w:rtl/>
        </w:rPr>
        <w:t xml:space="preserve"> </w:t>
      </w:r>
      <w:r w:rsidRPr="00247C05">
        <w:rPr>
          <w:rFonts w:ascii="Times New Roman" w:hAnsi="Times New Roman" w:cs="FrankRuehl" w:hint="cs"/>
          <w:sz w:val="20"/>
          <w:rtl/>
        </w:rPr>
        <w:t>השיפוט</w:t>
      </w:r>
      <w:r w:rsidRPr="00247C05">
        <w:rPr>
          <w:rFonts w:ascii="Times New Roman" w:hAnsi="Times New Roman" w:cs="FrankRuehl"/>
          <w:sz w:val="20"/>
          <w:rtl/>
        </w:rPr>
        <w:t xml:space="preserve"> </w:t>
      </w:r>
      <w:r w:rsidRPr="00247C05">
        <w:rPr>
          <w:rFonts w:ascii="Times New Roman" w:hAnsi="Times New Roman" w:cs="FrankRuehl" w:hint="cs"/>
          <w:sz w:val="20"/>
          <w:rtl/>
        </w:rPr>
        <w:t>במסגרתה</w:t>
      </w:r>
      <w:r w:rsidRPr="00247C05">
        <w:rPr>
          <w:rFonts w:ascii="Times New Roman" w:hAnsi="Times New Roman" w:cs="FrankRuehl"/>
          <w:sz w:val="20"/>
          <w:rtl/>
        </w:rPr>
        <w:t xml:space="preserve">, </w:t>
      </w:r>
      <w:r w:rsidRPr="00247C05">
        <w:rPr>
          <w:rFonts w:ascii="Times New Roman" w:hAnsi="Times New Roman" w:cs="FrankRuehl" w:hint="cs"/>
          <w:sz w:val="20"/>
          <w:rtl/>
        </w:rPr>
        <w:t>גוברים</w:t>
      </w:r>
      <w:r w:rsidRPr="00247C05">
        <w:rPr>
          <w:rFonts w:ascii="Times New Roman" w:hAnsi="Times New Roman" w:cs="FrankRuehl"/>
          <w:sz w:val="20"/>
          <w:rtl/>
        </w:rPr>
        <w:t xml:space="preserve"> </w:t>
      </w:r>
      <w:r w:rsidRPr="00247C05">
        <w:rPr>
          <w:rFonts w:ascii="Times New Roman" w:hAnsi="Times New Roman" w:cs="FrankRuehl" w:hint="cs"/>
          <w:sz w:val="20"/>
          <w:rtl/>
        </w:rPr>
        <w:t>על</w:t>
      </w:r>
      <w:r w:rsidRPr="00247C05">
        <w:rPr>
          <w:rFonts w:ascii="Times New Roman" w:hAnsi="Times New Roman" w:cs="FrankRuehl"/>
          <w:sz w:val="20"/>
          <w:rtl/>
        </w:rPr>
        <w:t xml:space="preserve"> </w:t>
      </w:r>
      <w:r w:rsidRPr="00247C05">
        <w:rPr>
          <w:rFonts w:ascii="Times New Roman" w:hAnsi="Times New Roman" w:cs="FrankRuehl" w:hint="cs"/>
          <w:sz w:val="20"/>
          <w:rtl/>
        </w:rPr>
        <w:t>החסרונות</w:t>
      </w:r>
      <w:r w:rsidRPr="00247C05">
        <w:rPr>
          <w:rFonts w:ascii="Times New Roman" w:hAnsi="Times New Roman" w:cs="FrankRuehl"/>
          <w:sz w:val="20"/>
          <w:rtl/>
        </w:rPr>
        <w:t xml:space="preserve"> </w:t>
      </w:r>
      <w:r w:rsidRPr="00247C05">
        <w:rPr>
          <w:rFonts w:ascii="Times New Roman" w:hAnsi="Times New Roman" w:cs="FrankRuehl" w:hint="cs"/>
          <w:sz w:val="20"/>
          <w:rtl/>
        </w:rPr>
        <w:t>הקיימים</w:t>
      </w:r>
      <w:r w:rsidRPr="00247C05">
        <w:rPr>
          <w:rFonts w:ascii="Times New Roman" w:hAnsi="Times New Roman" w:cs="FrankRuehl"/>
          <w:sz w:val="20"/>
          <w:rtl/>
        </w:rPr>
        <w:t xml:space="preserve"> </w:t>
      </w:r>
      <w:r w:rsidRPr="00247C05">
        <w:rPr>
          <w:rFonts w:ascii="Times New Roman" w:hAnsi="Times New Roman" w:cs="FrankRuehl" w:hint="cs"/>
          <w:sz w:val="20"/>
          <w:rtl/>
        </w:rPr>
        <w:t>בהפרדה</w:t>
      </w:r>
      <w:r w:rsidRPr="00247C05">
        <w:rPr>
          <w:rFonts w:ascii="Times New Roman" w:hAnsi="Times New Roman" w:cs="FrankRuehl"/>
          <w:sz w:val="20"/>
          <w:rtl/>
        </w:rPr>
        <w:t xml:space="preserve">. </w:t>
      </w:r>
    </w:p>
    <w:p w:rsidR="003037FB" w:rsidRPr="00247C05" w:rsidP="00040DAE">
      <w:pPr>
        <w:spacing w:after="120" w:line="230" w:lineRule="exact"/>
        <w:ind w:left="340"/>
        <w:jc w:val="both"/>
        <w:rPr>
          <w:rFonts w:cs="FrankRuehl"/>
          <w:sz w:val="20"/>
          <w:szCs w:val="22"/>
          <w:rtl/>
        </w:rPr>
      </w:pPr>
      <w:r w:rsidRPr="00247C05">
        <w:rPr>
          <w:rFonts w:cs="FrankRuehl"/>
          <w:sz w:val="20"/>
          <w:szCs w:val="22"/>
          <w:rtl/>
        </w:rPr>
        <w:t xml:space="preserve">עמדת המדינה </w:t>
      </w:r>
      <w:r w:rsidRPr="00247C05">
        <w:rPr>
          <w:rFonts w:cs="FrankRuehl" w:hint="cs"/>
          <w:sz w:val="20"/>
          <w:szCs w:val="22"/>
          <w:rtl/>
        </w:rPr>
        <w:t>בבג"ץ קארשי תמכה בביצוע שינויים</w:t>
      </w:r>
      <w:r w:rsidRPr="00247C05">
        <w:rPr>
          <w:rFonts w:cs="FrankRuehl"/>
          <w:sz w:val="20"/>
          <w:szCs w:val="22"/>
          <w:rtl/>
        </w:rPr>
        <w:t xml:space="preserve"> </w:t>
      </w:r>
      <w:r w:rsidRPr="00247C05">
        <w:rPr>
          <w:rFonts w:cs="FrankRuehl" w:hint="cs"/>
          <w:sz w:val="20"/>
          <w:szCs w:val="22"/>
          <w:rtl/>
        </w:rPr>
        <w:t xml:space="preserve">בבתי המשפט </w:t>
      </w:r>
      <w:r w:rsidRPr="00247C05">
        <w:rPr>
          <w:rFonts w:cs="FrankRuehl"/>
          <w:sz w:val="20"/>
          <w:szCs w:val="22"/>
          <w:rtl/>
        </w:rPr>
        <w:t xml:space="preserve">עמ"ק </w:t>
      </w:r>
      <w:r w:rsidRPr="00247C05">
        <w:rPr>
          <w:rFonts w:cs="FrankRuehl" w:hint="cs"/>
          <w:sz w:val="20"/>
          <w:szCs w:val="22"/>
          <w:rtl/>
        </w:rPr>
        <w:t>לשם</w:t>
      </w:r>
      <w:r w:rsidRPr="00247C05">
        <w:rPr>
          <w:rFonts w:cs="FrankRuehl"/>
          <w:sz w:val="20"/>
          <w:szCs w:val="22"/>
          <w:rtl/>
        </w:rPr>
        <w:t xml:space="preserve"> </w:t>
      </w:r>
      <w:r w:rsidRPr="00247C05">
        <w:rPr>
          <w:rFonts w:cs="FrankRuehl" w:hint="cs"/>
          <w:sz w:val="20"/>
          <w:szCs w:val="22"/>
          <w:rtl/>
        </w:rPr>
        <w:t xml:space="preserve">שיפור </w:t>
      </w:r>
      <w:r w:rsidRPr="00247C05">
        <w:rPr>
          <w:rFonts w:cs="FrankRuehl"/>
          <w:sz w:val="20"/>
          <w:szCs w:val="22"/>
          <w:rtl/>
        </w:rPr>
        <w:t xml:space="preserve">"מראית </w:t>
      </w:r>
      <w:r w:rsidRPr="00247C05">
        <w:rPr>
          <w:rFonts w:cs="FrankRuehl" w:hint="cs"/>
          <w:sz w:val="20"/>
          <w:szCs w:val="22"/>
          <w:rtl/>
        </w:rPr>
        <w:t>פני</w:t>
      </w:r>
      <w:r w:rsidRPr="00247C05">
        <w:rPr>
          <w:rFonts w:cs="FrankRuehl"/>
          <w:sz w:val="20"/>
          <w:szCs w:val="22"/>
          <w:rtl/>
        </w:rPr>
        <w:t xml:space="preserve"> </w:t>
      </w:r>
      <w:r w:rsidRPr="00247C05">
        <w:rPr>
          <w:rFonts w:cs="FrankRuehl" w:hint="cs"/>
          <w:sz w:val="20"/>
          <w:szCs w:val="22"/>
          <w:rtl/>
        </w:rPr>
        <w:t>הצדק</w:t>
      </w:r>
      <w:r w:rsidRPr="00247C05">
        <w:rPr>
          <w:rFonts w:cs="FrankRuehl"/>
          <w:sz w:val="20"/>
          <w:szCs w:val="22"/>
          <w:rtl/>
        </w:rPr>
        <w:t>"</w:t>
      </w:r>
      <w:r w:rsidRPr="00247C05">
        <w:rPr>
          <w:rFonts w:cs="FrankRuehl" w:hint="cs"/>
          <w:sz w:val="20"/>
          <w:szCs w:val="22"/>
          <w:rtl/>
        </w:rPr>
        <w:t xml:space="preserve"> בבתי המשפט. בהם: העברת בתי המשפט מבניין העירייה וממבנים אחרים שבהם מצויים משרדי התביעה העירונית; הסמכתם של בעלי תפקידים בהב"ה לתפקיד קובלים משמעתיים על עובדי בתי משפט עמ"ק המועסקים על ידי הרשויות המקומיות; איסור העסקת עובדי בתי המשפט בו-זמנית גם ביחידות אחרות של הרשות המקומית וכפיפותם המקצועית של העובדים להנחיות מקצועיות של המזכיר הראשי של בית משפט השלום שאליו מסונף בית המשפט עמ"ק; ההשתתפות התקציבית של העירייה במימון פעילות בהמ</w:t>
      </w:r>
      <w:r w:rsidRPr="00247C05">
        <w:rPr>
          <w:rFonts w:cs="FrankRuehl"/>
          <w:sz w:val="20"/>
          <w:szCs w:val="22"/>
          <w:rtl/>
        </w:rPr>
        <w:t>"ש</w:t>
      </w:r>
      <w:r w:rsidRPr="00247C05">
        <w:rPr>
          <w:rFonts w:cs="FrankRuehl" w:hint="cs"/>
          <w:sz w:val="20"/>
          <w:szCs w:val="22"/>
          <w:rtl/>
        </w:rPr>
        <w:t xml:space="preserve"> תיעשה בדרך של העברה כספית באמצעות משרד הפנים ולא ישירות להב"ה.</w:t>
      </w:r>
    </w:p>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 xml:space="preserve">בשלב ראשון הותיר בית המשפט את העתירה תלויה ועומדת כדי לאפשר את ביצוע השינויים שהציעה המדינה, תוך בחינת השתלשלות העניינים באמצעות הודעות משלימות שהגישו הצדדים לבית המשפט עד מתן פסק הדין. </w:t>
      </w:r>
    </w:p>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 xml:space="preserve">בהודעת המדינה לבית המשפט מ-16.1.08 מסרה המדינה כי רוב במ"ש עמ"ק עומדים בתנאי הרפורמה או ברובה. על בסיס הודעה זו קיבל בית המשפט באפריל 2010 את עמדת המדינה </w:t>
      </w:r>
      <w:r w:rsidRPr="00247C05">
        <w:rPr>
          <w:rFonts w:cs="FrankRuehl" w:hint="cs"/>
          <w:sz w:val="20"/>
          <w:szCs w:val="22"/>
          <w:rtl/>
        </w:rPr>
        <w:t>ודחה את העתירה תוך שהוא מציין, כי "הרפורמה המתבצעת בתחום בתי המשפט לעניינים מקומיים... השיגה</w:t>
      </w:r>
      <w:r w:rsidRPr="00247C05">
        <w:rPr>
          <w:rFonts w:cs="FrankRuehl"/>
          <w:sz w:val="20"/>
          <w:szCs w:val="22"/>
          <w:rtl/>
        </w:rPr>
        <w:t xml:space="preserve"> </w:t>
      </w:r>
      <w:r w:rsidRPr="00247C05">
        <w:rPr>
          <w:rFonts w:cs="FrankRuehl" w:hint="cs"/>
          <w:sz w:val="20"/>
          <w:szCs w:val="22"/>
          <w:rtl/>
        </w:rPr>
        <w:t>הישגים</w:t>
      </w:r>
      <w:r w:rsidRPr="00247C05">
        <w:rPr>
          <w:rFonts w:cs="FrankRuehl"/>
          <w:sz w:val="20"/>
          <w:szCs w:val="22"/>
          <w:rtl/>
        </w:rPr>
        <w:t xml:space="preserve"> </w:t>
      </w:r>
      <w:r w:rsidRPr="00247C05">
        <w:rPr>
          <w:rFonts w:cs="FrankRuehl" w:hint="cs"/>
          <w:sz w:val="20"/>
          <w:szCs w:val="22"/>
          <w:rtl/>
        </w:rPr>
        <w:t>חשובים", וכי העתירה קיבלה</w:t>
      </w:r>
      <w:r w:rsidRPr="00247C05">
        <w:rPr>
          <w:rFonts w:cs="FrankRuehl"/>
          <w:sz w:val="20"/>
          <w:szCs w:val="22"/>
          <w:rtl/>
        </w:rPr>
        <w:t xml:space="preserve"> </w:t>
      </w:r>
      <w:r w:rsidRPr="00247C05">
        <w:rPr>
          <w:rFonts w:cs="FrankRuehl" w:hint="cs"/>
          <w:sz w:val="20"/>
          <w:szCs w:val="22"/>
          <w:rtl/>
        </w:rPr>
        <w:t>מענה</w:t>
      </w:r>
      <w:r w:rsidRPr="00247C05">
        <w:rPr>
          <w:rFonts w:cs="FrankRuehl"/>
          <w:sz w:val="20"/>
          <w:szCs w:val="22"/>
          <w:rtl/>
        </w:rPr>
        <w:t xml:space="preserve"> </w:t>
      </w:r>
      <w:r w:rsidRPr="00247C05">
        <w:rPr>
          <w:rFonts w:cs="FrankRuehl" w:hint="cs"/>
          <w:sz w:val="20"/>
          <w:szCs w:val="22"/>
          <w:rtl/>
        </w:rPr>
        <w:t>מלא. בקשר לעניינים שטרם נפתרו ציין בית המשפט, כי "מדובר</w:t>
      </w:r>
      <w:r w:rsidRPr="00247C05">
        <w:rPr>
          <w:rFonts w:cs="FrankRuehl"/>
          <w:sz w:val="20"/>
          <w:szCs w:val="22"/>
          <w:rtl/>
        </w:rPr>
        <w:t xml:space="preserve"> </w:t>
      </w:r>
      <w:r w:rsidRPr="00247C05">
        <w:rPr>
          <w:rFonts w:cs="FrankRuehl" w:hint="cs"/>
          <w:sz w:val="20"/>
          <w:szCs w:val="22"/>
          <w:rtl/>
        </w:rPr>
        <w:t>בתהליך מתמשך</w:t>
      </w:r>
      <w:r w:rsidRPr="00247C05">
        <w:rPr>
          <w:rFonts w:cs="FrankRuehl"/>
          <w:sz w:val="20"/>
          <w:szCs w:val="22"/>
          <w:rtl/>
        </w:rPr>
        <w:t xml:space="preserve"> </w:t>
      </w:r>
      <w:r w:rsidRPr="00247C05">
        <w:rPr>
          <w:rFonts w:cs="FrankRuehl" w:hint="cs"/>
          <w:sz w:val="20"/>
          <w:szCs w:val="22"/>
          <w:rtl/>
        </w:rPr>
        <w:t>האורך</w:t>
      </w:r>
      <w:r w:rsidRPr="00247C05">
        <w:rPr>
          <w:rFonts w:cs="FrankRuehl"/>
          <w:sz w:val="20"/>
          <w:szCs w:val="22"/>
          <w:rtl/>
        </w:rPr>
        <w:t xml:space="preserve"> </w:t>
      </w:r>
      <w:r w:rsidRPr="00247C05">
        <w:rPr>
          <w:rFonts w:cs="FrankRuehl" w:hint="cs"/>
          <w:sz w:val="20"/>
          <w:szCs w:val="22"/>
          <w:rtl/>
        </w:rPr>
        <w:t>זמן, ויש לאפשר</w:t>
      </w:r>
      <w:r w:rsidRPr="00247C05">
        <w:rPr>
          <w:rFonts w:cs="FrankRuehl"/>
          <w:sz w:val="20"/>
          <w:szCs w:val="22"/>
          <w:rtl/>
        </w:rPr>
        <w:t xml:space="preserve"> </w:t>
      </w:r>
      <w:r w:rsidRPr="00247C05">
        <w:rPr>
          <w:rFonts w:cs="FrankRuehl" w:hint="cs"/>
          <w:sz w:val="20"/>
          <w:szCs w:val="22"/>
          <w:rtl/>
        </w:rPr>
        <w:t>לרשויות</w:t>
      </w:r>
      <w:r w:rsidRPr="00247C05">
        <w:rPr>
          <w:rFonts w:cs="FrankRuehl"/>
          <w:sz w:val="20"/>
          <w:szCs w:val="22"/>
          <w:rtl/>
        </w:rPr>
        <w:t xml:space="preserve"> </w:t>
      </w:r>
      <w:r w:rsidRPr="00247C05">
        <w:rPr>
          <w:rFonts w:cs="FrankRuehl" w:hint="cs"/>
          <w:sz w:val="20"/>
          <w:szCs w:val="22"/>
          <w:rtl/>
        </w:rPr>
        <w:t>המדינה</w:t>
      </w:r>
      <w:r w:rsidRPr="00247C05">
        <w:rPr>
          <w:rFonts w:cs="FrankRuehl"/>
          <w:sz w:val="20"/>
          <w:szCs w:val="22"/>
          <w:rtl/>
        </w:rPr>
        <w:t xml:space="preserve"> </w:t>
      </w:r>
      <w:r w:rsidRPr="00247C05">
        <w:rPr>
          <w:rFonts w:cs="FrankRuehl" w:hint="cs"/>
          <w:sz w:val="20"/>
          <w:szCs w:val="22"/>
          <w:rtl/>
        </w:rPr>
        <w:t>להתקדם</w:t>
      </w:r>
      <w:r w:rsidRPr="00247C05">
        <w:rPr>
          <w:rFonts w:cs="FrankRuehl"/>
          <w:sz w:val="20"/>
          <w:szCs w:val="22"/>
          <w:rtl/>
        </w:rPr>
        <w:t xml:space="preserve"> </w:t>
      </w:r>
      <w:r w:rsidRPr="00247C05">
        <w:rPr>
          <w:rFonts w:cs="FrankRuehl" w:hint="cs"/>
          <w:sz w:val="20"/>
          <w:szCs w:val="22"/>
          <w:rtl/>
        </w:rPr>
        <w:t>ביישום</w:t>
      </w:r>
      <w:r w:rsidRPr="00247C05">
        <w:rPr>
          <w:rFonts w:cs="FrankRuehl"/>
          <w:sz w:val="20"/>
          <w:szCs w:val="22"/>
          <w:rtl/>
        </w:rPr>
        <w:t xml:space="preserve"> </w:t>
      </w:r>
      <w:r w:rsidRPr="00247C05">
        <w:rPr>
          <w:rFonts w:cs="FrankRuehl" w:hint="cs"/>
          <w:sz w:val="20"/>
          <w:szCs w:val="22"/>
          <w:rtl/>
        </w:rPr>
        <w:t>מלא</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הרפורמה</w:t>
      </w:r>
      <w:r w:rsidRPr="00247C05">
        <w:rPr>
          <w:rFonts w:cs="FrankRuehl"/>
          <w:sz w:val="20"/>
          <w:szCs w:val="22"/>
          <w:rtl/>
        </w:rPr>
        <w:t xml:space="preserve"> </w:t>
      </w:r>
      <w:r w:rsidRPr="00247C05">
        <w:rPr>
          <w:rFonts w:cs="FrankRuehl" w:hint="cs"/>
          <w:sz w:val="20"/>
          <w:szCs w:val="22"/>
          <w:rtl/>
        </w:rPr>
        <w:t>עד להגשמתה</w:t>
      </w:r>
      <w:r w:rsidRPr="00247C05">
        <w:rPr>
          <w:rFonts w:cs="FrankRuehl"/>
          <w:sz w:val="20"/>
          <w:szCs w:val="22"/>
          <w:rtl/>
        </w:rPr>
        <w:t xml:space="preserve"> </w:t>
      </w:r>
      <w:r w:rsidRPr="00247C05">
        <w:rPr>
          <w:rFonts w:cs="FrankRuehl" w:hint="cs"/>
          <w:sz w:val="20"/>
          <w:szCs w:val="22"/>
          <w:rtl/>
        </w:rPr>
        <w:t>המלאה"</w:t>
      </w:r>
      <w:r w:rsidRPr="00247C05">
        <w:rPr>
          <w:rStyle w:val="CommentReference"/>
          <w:rFonts w:cs="FrankRuehl"/>
          <w:sz w:val="20"/>
          <w:szCs w:val="22"/>
          <w:rtl/>
        </w:rPr>
        <w:t>.</w:t>
      </w:r>
    </w:p>
    <w:p w:rsidR="003037FB" w:rsidRPr="00247C05" w:rsidP="00040DAE">
      <w:pPr>
        <w:pStyle w:val="ListParagraph"/>
        <w:numPr>
          <w:ilvl w:val="0"/>
          <w:numId w:val="2"/>
        </w:numPr>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 xml:space="preserve">ב-22.6.09 יזמה הנהלת בתי המשפט מפגש בהשתתפותם של מנהל הב"ה, המשנה ליועץ המשפטי לממשלה דאז, מנכ"לי הרשויות המקומיות, היועצים המשפטיים של הרשויות המקומיות ומנהלי יחידות בתי המשפט עמ"ק (להלן - מפגש עם המנכ"לים). מטרת המפגש הייתה לקבוע מדיניות ולשתף גורמים ברשויות המקומיות בשינויים המתהווים לאור מסקנות דוח ועדת זמיר ועמדת המדינה בבג"ץ קארשי, </w:t>
      </w:r>
      <w:r w:rsidRPr="00247C05">
        <w:rPr>
          <w:rFonts w:ascii="Times New Roman" w:hAnsi="Times New Roman" w:cs="FrankRuehl" w:hint="eastAsia"/>
          <w:sz w:val="20"/>
          <w:rtl/>
        </w:rPr>
        <w:t>כדי</w:t>
      </w:r>
      <w:r w:rsidRPr="00247C05">
        <w:rPr>
          <w:rFonts w:ascii="Times New Roman" w:hAnsi="Times New Roman" w:cs="FrankRuehl" w:hint="cs"/>
          <w:sz w:val="20"/>
          <w:rtl/>
        </w:rPr>
        <w:t xml:space="preserve"> לזכות בשיתוף פעולה מצדם ולרתום אותם לשינויים המתהווים לצורך קבלת האחריות המקצועית של הב"ה על בתי המשפט עמ"ק וההפרדה בין הרשות השופטת לרשות המבצעת. בעקבות המפגש עם המנכ"לים שלח מנהל בתי המשפט דאז למשתתפים סיכום של עיקרי הדברים שעלו בו וביניהם דוח ועדת זמיר, צווי ההקמה ובג"ץ קארשי (להלן - מסמך סיכום מפגש עם המנכ"לים). הוא הוסיף כי "הנהלת בתי המשפט רואה בנושאים שעלו ביום זה, כקביעת מדיניותה לתחום בתי המשפט לעניינים מקומיים".</w:t>
      </w:r>
    </w:p>
    <w:p w:rsidR="003037FB" w:rsidRPr="00247C05" w:rsidP="00DC2796">
      <w:pPr>
        <w:spacing w:after="120" w:line="230" w:lineRule="exact"/>
        <w:ind w:left="340"/>
        <w:jc w:val="both"/>
        <w:rPr>
          <w:rFonts w:cs="FrankRuehl"/>
          <w:sz w:val="20"/>
          <w:szCs w:val="22"/>
          <w:rtl/>
        </w:rPr>
      </w:pPr>
      <w:r w:rsidRPr="00247C05">
        <w:rPr>
          <w:rFonts w:cs="FrankRuehl" w:hint="cs"/>
          <w:sz w:val="20"/>
          <w:szCs w:val="22"/>
          <w:rtl/>
        </w:rPr>
        <w:t xml:space="preserve">יצוין כי במהלך השנים נידונו </w:t>
      </w:r>
      <w:r w:rsidRPr="00247C05">
        <w:rPr>
          <w:rFonts w:cs="FrankRuehl"/>
          <w:sz w:val="20"/>
          <w:szCs w:val="22"/>
          <w:rtl/>
        </w:rPr>
        <w:t>ש</w:t>
      </w:r>
      <w:r w:rsidR="00DC2796">
        <w:rPr>
          <w:rFonts w:cs="FrankRuehl" w:hint="cs"/>
          <w:sz w:val="20"/>
          <w:szCs w:val="22"/>
          <w:rtl/>
        </w:rPr>
        <w:t>לושה</w:t>
      </w:r>
      <w:r w:rsidRPr="00247C05">
        <w:rPr>
          <w:rFonts w:cs="FrankRuehl"/>
          <w:sz w:val="20"/>
          <w:szCs w:val="22"/>
          <w:rtl/>
        </w:rPr>
        <w:t xml:space="preserve"> מודלים עיקריים</w:t>
      </w:r>
      <w:r w:rsidRPr="00247C05">
        <w:rPr>
          <w:rFonts w:cs="FrankRuehl" w:hint="cs"/>
          <w:sz w:val="20"/>
          <w:szCs w:val="22"/>
          <w:rtl/>
        </w:rPr>
        <w:t xml:space="preserve"> לפעילותם של במ"ש עמ"ק</w:t>
      </w:r>
      <w:r w:rsidRPr="00247C05">
        <w:rPr>
          <w:rFonts w:cs="FrankRuehl"/>
          <w:sz w:val="20"/>
          <w:szCs w:val="22"/>
          <w:rtl/>
        </w:rPr>
        <w:t>.</w:t>
      </w:r>
      <w:r w:rsidRPr="00247C05">
        <w:rPr>
          <w:rFonts w:cs="FrankRuehl" w:hint="cs"/>
          <w:sz w:val="20"/>
          <w:szCs w:val="22"/>
          <w:rtl/>
        </w:rPr>
        <w:t xml:space="preserve"> המודל </w:t>
      </w:r>
      <w:r w:rsidRPr="00247C05">
        <w:rPr>
          <w:rFonts w:cs="FrankRuehl"/>
          <w:sz w:val="20"/>
          <w:szCs w:val="22"/>
          <w:rtl/>
        </w:rPr>
        <w:t xml:space="preserve">הראשון </w:t>
      </w:r>
      <w:r w:rsidRPr="00247C05">
        <w:rPr>
          <w:rFonts w:cs="FrankRuehl" w:hint="cs"/>
          <w:sz w:val="20"/>
          <w:szCs w:val="22"/>
          <w:rtl/>
        </w:rPr>
        <w:t xml:space="preserve">הקיים עד היום בהתאם לצו, ולפיו </w:t>
      </w:r>
      <w:r w:rsidRPr="00247C05">
        <w:rPr>
          <w:rFonts w:cs="FrankRuehl"/>
          <w:sz w:val="20"/>
          <w:szCs w:val="22"/>
          <w:rtl/>
        </w:rPr>
        <w:t xml:space="preserve">פעילות </w:t>
      </w:r>
      <w:r w:rsidRPr="00247C05">
        <w:rPr>
          <w:rFonts w:cs="FrankRuehl" w:hint="cs"/>
          <w:sz w:val="20"/>
          <w:szCs w:val="22"/>
          <w:rtl/>
        </w:rPr>
        <w:t>במ</w:t>
      </w:r>
      <w:r w:rsidRPr="00247C05">
        <w:rPr>
          <w:rFonts w:cs="FrankRuehl"/>
          <w:sz w:val="20"/>
          <w:szCs w:val="22"/>
          <w:rtl/>
        </w:rPr>
        <w:t xml:space="preserve">"ש </w:t>
      </w:r>
      <w:r w:rsidRPr="00247C05">
        <w:rPr>
          <w:rFonts w:cs="FrankRuehl" w:hint="cs"/>
          <w:sz w:val="20"/>
          <w:szCs w:val="22"/>
          <w:rtl/>
        </w:rPr>
        <w:t>עמ</w:t>
      </w:r>
      <w:r w:rsidRPr="00247C05">
        <w:rPr>
          <w:rFonts w:cs="FrankRuehl"/>
          <w:sz w:val="20"/>
          <w:szCs w:val="22"/>
          <w:rtl/>
        </w:rPr>
        <w:t xml:space="preserve">"ק </w:t>
      </w:r>
      <w:r w:rsidRPr="00247C05">
        <w:rPr>
          <w:rFonts w:cs="FrankRuehl" w:hint="cs"/>
          <w:sz w:val="20"/>
          <w:szCs w:val="22"/>
          <w:rtl/>
        </w:rPr>
        <w:t xml:space="preserve">כפופה לשתי מערכות - לרשות המקומית ולרשות השופטת. </w:t>
      </w:r>
      <w:r w:rsidR="00DC2796">
        <w:rPr>
          <w:rFonts w:cs="FrankRuehl" w:hint="cs"/>
          <w:sz w:val="20"/>
          <w:szCs w:val="22"/>
          <w:rtl/>
        </w:rPr>
        <w:t xml:space="preserve">המודל השני עוסק בהשארת המודל הנוכחי תוך ביסוס סדרי המינהל העקריים בחקיקה. </w:t>
      </w:r>
      <w:r w:rsidRPr="00247C05">
        <w:rPr>
          <w:rFonts w:cs="FrankRuehl" w:hint="cs"/>
          <w:sz w:val="20"/>
          <w:szCs w:val="22"/>
          <w:rtl/>
        </w:rPr>
        <w:t xml:space="preserve">המודל </w:t>
      </w:r>
      <w:r w:rsidRPr="00247C05">
        <w:rPr>
          <w:rFonts w:cs="FrankRuehl"/>
          <w:sz w:val="20"/>
          <w:szCs w:val="22"/>
          <w:rtl/>
        </w:rPr>
        <w:t>ה</w:t>
      </w:r>
      <w:r w:rsidR="00DC2796">
        <w:rPr>
          <w:rFonts w:cs="FrankRuehl" w:hint="cs"/>
          <w:sz w:val="20"/>
          <w:szCs w:val="22"/>
          <w:rtl/>
        </w:rPr>
        <w:t>שלישי</w:t>
      </w:r>
      <w:r w:rsidRPr="00247C05">
        <w:rPr>
          <w:rFonts w:cs="FrankRuehl"/>
          <w:sz w:val="20"/>
          <w:szCs w:val="22"/>
          <w:rtl/>
        </w:rPr>
        <w:t xml:space="preserve"> ת</w:t>
      </w:r>
      <w:r w:rsidRPr="00247C05">
        <w:rPr>
          <w:rFonts w:cs="FrankRuehl" w:hint="cs"/>
          <w:sz w:val="20"/>
          <w:szCs w:val="22"/>
          <w:rtl/>
        </w:rPr>
        <w:t>ו</w:t>
      </w:r>
      <w:r w:rsidRPr="00247C05">
        <w:rPr>
          <w:rFonts w:cs="FrankRuehl"/>
          <w:sz w:val="20"/>
          <w:szCs w:val="22"/>
          <w:rtl/>
        </w:rPr>
        <w:t xml:space="preserve">מך </w:t>
      </w:r>
      <w:r w:rsidRPr="00247C05">
        <w:rPr>
          <w:rFonts w:cs="FrankRuehl" w:hint="cs"/>
          <w:sz w:val="20"/>
          <w:szCs w:val="22"/>
          <w:rtl/>
        </w:rPr>
        <w:t>בביטול</w:t>
      </w:r>
      <w:r w:rsidRPr="00247C05">
        <w:rPr>
          <w:rFonts w:cs="FrankRuehl"/>
          <w:sz w:val="20"/>
          <w:szCs w:val="22"/>
          <w:rtl/>
        </w:rPr>
        <w:t xml:space="preserve"> </w:t>
      </w:r>
      <w:r w:rsidRPr="00247C05">
        <w:rPr>
          <w:rFonts w:cs="FrankRuehl" w:hint="cs"/>
          <w:sz w:val="20"/>
          <w:szCs w:val="22"/>
          <w:rtl/>
        </w:rPr>
        <w:t>צווי</w:t>
      </w:r>
      <w:r w:rsidRPr="00247C05">
        <w:rPr>
          <w:rFonts w:cs="FrankRuehl"/>
          <w:sz w:val="20"/>
          <w:szCs w:val="22"/>
          <w:rtl/>
        </w:rPr>
        <w:t xml:space="preserve"> </w:t>
      </w:r>
      <w:r w:rsidRPr="00247C05">
        <w:rPr>
          <w:rFonts w:cs="FrankRuehl" w:hint="cs"/>
          <w:sz w:val="20"/>
          <w:szCs w:val="22"/>
          <w:rtl/>
        </w:rPr>
        <w:t>ההקמה</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בתי</w:t>
      </w:r>
      <w:r w:rsidRPr="00247C05">
        <w:rPr>
          <w:rFonts w:cs="FrankRuehl"/>
          <w:sz w:val="20"/>
          <w:szCs w:val="22"/>
          <w:rtl/>
        </w:rPr>
        <w:t xml:space="preserve"> </w:t>
      </w:r>
      <w:r w:rsidRPr="00247C05">
        <w:rPr>
          <w:rFonts w:cs="FrankRuehl" w:hint="cs"/>
          <w:sz w:val="20"/>
          <w:szCs w:val="22"/>
          <w:rtl/>
        </w:rPr>
        <w:t>משפט</w:t>
      </w:r>
      <w:r w:rsidRPr="00247C05">
        <w:rPr>
          <w:rFonts w:cs="FrankRuehl"/>
          <w:sz w:val="20"/>
          <w:szCs w:val="22"/>
          <w:rtl/>
        </w:rPr>
        <w:t xml:space="preserve"> </w:t>
      </w:r>
      <w:r w:rsidRPr="00247C05">
        <w:rPr>
          <w:rFonts w:cs="FrankRuehl" w:hint="cs"/>
          <w:sz w:val="20"/>
          <w:szCs w:val="22"/>
          <w:rtl/>
        </w:rPr>
        <w:t>עמ</w:t>
      </w:r>
      <w:r w:rsidRPr="00247C05">
        <w:rPr>
          <w:rFonts w:cs="FrankRuehl"/>
          <w:sz w:val="20"/>
          <w:szCs w:val="22"/>
          <w:rtl/>
        </w:rPr>
        <w:t xml:space="preserve">"ק </w:t>
      </w:r>
      <w:r w:rsidRPr="00247C05">
        <w:rPr>
          <w:rFonts w:cs="FrankRuehl" w:hint="cs"/>
          <w:sz w:val="20"/>
          <w:szCs w:val="22"/>
          <w:rtl/>
        </w:rPr>
        <w:t>ובהטמעתם</w:t>
      </w:r>
      <w:r w:rsidRPr="00247C05">
        <w:rPr>
          <w:rFonts w:cs="FrankRuehl"/>
          <w:sz w:val="20"/>
          <w:szCs w:val="22"/>
          <w:rtl/>
        </w:rPr>
        <w:t xml:space="preserve"> </w:t>
      </w:r>
      <w:r w:rsidRPr="00247C05">
        <w:rPr>
          <w:rFonts w:cs="FrankRuehl" w:hint="cs"/>
          <w:sz w:val="20"/>
          <w:szCs w:val="22"/>
          <w:rtl/>
        </w:rPr>
        <w:t>בבתי</w:t>
      </w:r>
      <w:r w:rsidRPr="00247C05">
        <w:rPr>
          <w:rFonts w:cs="FrankRuehl"/>
          <w:sz w:val="20"/>
          <w:szCs w:val="22"/>
          <w:rtl/>
        </w:rPr>
        <w:t xml:space="preserve"> </w:t>
      </w:r>
      <w:r w:rsidRPr="00247C05">
        <w:rPr>
          <w:rFonts w:cs="FrankRuehl" w:hint="cs"/>
          <w:sz w:val="20"/>
          <w:szCs w:val="22"/>
          <w:rtl/>
        </w:rPr>
        <w:t>משפט</w:t>
      </w:r>
      <w:r w:rsidRPr="00247C05">
        <w:rPr>
          <w:rFonts w:cs="FrankRuehl"/>
          <w:sz w:val="20"/>
          <w:szCs w:val="22"/>
          <w:rtl/>
        </w:rPr>
        <w:t xml:space="preserve"> </w:t>
      </w:r>
      <w:r w:rsidRPr="00247C05">
        <w:rPr>
          <w:rFonts w:cs="FrankRuehl" w:hint="cs"/>
          <w:sz w:val="20"/>
          <w:szCs w:val="22"/>
          <w:rtl/>
        </w:rPr>
        <w:t>השלום</w:t>
      </w:r>
      <w:r w:rsidRPr="00247C05">
        <w:rPr>
          <w:rFonts w:cs="FrankRuehl"/>
          <w:sz w:val="20"/>
          <w:szCs w:val="22"/>
          <w:rtl/>
        </w:rPr>
        <w:t>.</w:t>
      </w:r>
    </w:p>
    <w:p w:rsidR="003037FB" w:rsidRPr="00247C05" w:rsidP="00040DAE">
      <w:pPr>
        <w:spacing w:after="120" w:line="230" w:lineRule="exact"/>
        <w:ind w:left="340"/>
        <w:jc w:val="both"/>
        <w:rPr>
          <w:rStyle w:val="Heading3Char"/>
          <w:rFonts w:cs="FrankRuehl"/>
          <w:bCs w:val="0"/>
          <w:sz w:val="20"/>
          <w:szCs w:val="22"/>
          <w:rtl/>
        </w:rPr>
      </w:pPr>
      <w:r w:rsidRPr="00247C05">
        <w:rPr>
          <w:rFonts w:cs="FrankRuehl" w:hint="cs"/>
          <w:sz w:val="20"/>
          <w:szCs w:val="22"/>
          <w:rtl/>
        </w:rPr>
        <w:t>ב</w:t>
      </w:r>
      <w:r w:rsidRPr="00247C05">
        <w:rPr>
          <w:rFonts w:cs="FrankRuehl"/>
          <w:sz w:val="20"/>
          <w:szCs w:val="22"/>
          <w:rtl/>
        </w:rPr>
        <w:t>שנת 2015 עדיין נותרו פערים ב</w:t>
      </w:r>
      <w:r w:rsidRPr="00247C05">
        <w:rPr>
          <w:rFonts w:cs="FrankRuehl" w:hint="cs"/>
          <w:sz w:val="20"/>
          <w:szCs w:val="22"/>
          <w:rtl/>
        </w:rPr>
        <w:t>נוגע ל</w:t>
      </w:r>
      <w:r w:rsidRPr="00247C05">
        <w:rPr>
          <w:rFonts w:cs="FrankRuehl"/>
          <w:sz w:val="20"/>
          <w:szCs w:val="22"/>
          <w:rtl/>
        </w:rPr>
        <w:t xml:space="preserve">אופן הפעלת מערכת בתי המשפט עמ"ק למול </w:t>
      </w:r>
      <w:r w:rsidRPr="00247C05">
        <w:rPr>
          <w:rFonts w:cs="FrankRuehl" w:hint="cs"/>
          <w:sz w:val="20"/>
          <w:szCs w:val="22"/>
          <w:rtl/>
        </w:rPr>
        <w:t>אותם עקרונות</w:t>
      </w:r>
      <w:r w:rsidRPr="00247C05">
        <w:rPr>
          <w:rFonts w:cs="FrankRuehl"/>
          <w:sz w:val="20"/>
          <w:szCs w:val="22"/>
          <w:rtl/>
        </w:rPr>
        <w:t xml:space="preserve"> </w:t>
      </w:r>
      <w:r w:rsidRPr="00247C05">
        <w:rPr>
          <w:rFonts w:cs="FrankRuehl" w:hint="cs"/>
          <w:sz w:val="20"/>
          <w:szCs w:val="22"/>
          <w:rtl/>
        </w:rPr>
        <w:t>ש</w:t>
      </w:r>
      <w:r w:rsidRPr="00247C05">
        <w:rPr>
          <w:rFonts w:cs="FrankRuehl"/>
          <w:sz w:val="20"/>
          <w:szCs w:val="22"/>
          <w:rtl/>
        </w:rPr>
        <w:t>נקבעו בדוח ועדת זמיר</w:t>
      </w:r>
      <w:r w:rsidRPr="00247C05">
        <w:rPr>
          <w:rFonts w:cs="FrankRuehl" w:hint="cs"/>
          <w:sz w:val="20"/>
          <w:szCs w:val="22"/>
          <w:rtl/>
        </w:rPr>
        <w:t xml:space="preserve">, </w:t>
      </w:r>
      <w:r w:rsidRPr="00247C05">
        <w:rPr>
          <w:rFonts w:cs="FrankRuehl"/>
          <w:sz w:val="20"/>
          <w:szCs w:val="22"/>
          <w:rtl/>
        </w:rPr>
        <w:t xml:space="preserve">בג"ץ </w:t>
      </w:r>
      <w:r w:rsidRPr="00247C05">
        <w:rPr>
          <w:rFonts w:cs="FrankRuehl" w:hint="cs"/>
          <w:sz w:val="20"/>
          <w:szCs w:val="22"/>
          <w:rtl/>
        </w:rPr>
        <w:t>קארשי</w:t>
      </w:r>
      <w:r w:rsidRPr="00247C05">
        <w:rPr>
          <w:rFonts w:cs="FrankRuehl"/>
          <w:sz w:val="20"/>
          <w:szCs w:val="22"/>
          <w:rtl/>
        </w:rPr>
        <w:t xml:space="preserve"> ו</w:t>
      </w:r>
      <w:r w:rsidRPr="00247C05">
        <w:rPr>
          <w:rFonts w:cs="FrankRuehl" w:hint="eastAsia"/>
          <w:sz w:val="20"/>
          <w:szCs w:val="22"/>
          <w:rtl/>
        </w:rPr>
        <w:t>במסמך</w:t>
      </w:r>
      <w:r w:rsidRPr="00247C05">
        <w:rPr>
          <w:rFonts w:cs="FrankRuehl"/>
          <w:sz w:val="20"/>
          <w:szCs w:val="22"/>
          <w:rtl/>
        </w:rPr>
        <w:t xml:space="preserve"> </w:t>
      </w:r>
      <w:r w:rsidRPr="00247C05">
        <w:rPr>
          <w:rFonts w:cs="FrankRuehl" w:hint="eastAsia"/>
          <w:sz w:val="20"/>
          <w:szCs w:val="22"/>
          <w:rtl/>
        </w:rPr>
        <w:t>סיכום</w:t>
      </w:r>
      <w:r w:rsidRPr="00247C05">
        <w:rPr>
          <w:rFonts w:cs="FrankRuehl"/>
          <w:sz w:val="20"/>
          <w:szCs w:val="22"/>
          <w:rtl/>
        </w:rPr>
        <w:t xml:space="preserve"> </w:t>
      </w:r>
      <w:r w:rsidRPr="00247C05">
        <w:rPr>
          <w:rFonts w:cs="FrankRuehl" w:hint="cs"/>
          <w:sz w:val="20"/>
          <w:szCs w:val="22"/>
          <w:rtl/>
        </w:rPr>
        <w:t>ה</w:t>
      </w:r>
      <w:r w:rsidRPr="00247C05">
        <w:rPr>
          <w:rFonts w:cs="FrankRuehl"/>
          <w:sz w:val="20"/>
          <w:szCs w:val="22"/>
          <w:rtl/>
        </w:rPr>
        <w:t xml:space="preserve">מפגש </w:t>
      </w:r>
      <w:r w:rsidRPr="00247C05">
        <w:rPr>
          <w:rFonts w:cs="FrankRuehl" w:hint="cs"/>
          <w:sz w:val="20"/>
          <w:szCs w:val="22"/>
          <w:rtl/>
        </w:rPr>
        <w:t>עם</w:t>
      </w:r>
      <w:r w:rsidRPr="00247C05">
        <w:rPr>
          <w:rFonts w:cs="FrankRuehl"/>
          <w:sz w:val="20"/>
          <w:szCs w:val="22"/>
          <w:rtl/>
        </w:rPr>
        <w:t xml:space="preserve"> </w:t>
      </w:r>
      <w:r w:rsidRPr="00247C05">
        <w:rPr>
          <w:rFonts w:cs="FrankRuehl" w:hint="cs"/>
          <w:sz w:val="20"/>
          <w:szCs w:val="22"/>
          <w:rtl/>
        </w:rPr>
        <w:t>ה</w:t>
      </w:r>
      <w:r w:rsidRPr="00247C05">
        <w:rPr>
          <w:rFonts w:cs="FrankRuehl"/>
          <w:sz w:val="20"/>
          <w:szCs w:val="22"/>
          <w:rtl/>
        </w:rPr>
        <w:t>מנכ"לים.</w:t>
      </w:r>
      <w:r w:rsidRPr="00247C05">
        <w:rPr>
          <w:rFonts w:cs="FrankRuehl" w:hint="cs"/>
          <w:sz w:val="20"/>
          <w:szCs w:val="22"/>
          <w:rtl/>
        </w:rPr>
        <w:t xml:space="preserve"> </w:t>
      </w:r>
    </w:p>
    <w:p w:rsidR="003037FB" w:rsidRPr="00247C05" w:rsidP="00040DAE">
      <w:pPr>
        <w:spacing w:after="120" w:line="230" w:lineRule="exact"/>
        <w:jc w:val="both"/>
        <w:rPr>
          <w:rStyle w:val="Heading3Char"/>
          <w:rFonts w:cs="FrankRuehl"/>
          <w:bCs w:val="0"/>
          <w:sz w:val="20"/>
          <w:szCs w:val="22"/>
          <w:rtl/>
        </w:rPr>
      </w:pPr>
    </w:p>
    <w:p w:rsidR="003037FB" w:rsidRPr="00247C05" w:rsidP="00040DAE">
      <w:pPr>
        <w:spacing w:after="120" w:line="230" w:lineRule="exact"/>
        <w:jc w:val="both"/>
        <w:rPr>
          <w:rStyle w:val="Heading3Char"/>
          <w:rFonts w:cs="FrankRuehl"/>
          <w:bCs w:val="0"/>
          <w:sz w:val="20"/>
          <w:szCs w:val="22"/>
          <w:rtl/>
        </w:rPr>
      </w:pPr>
    </w:p>
    <w:p w:rsidR="003037FB" w:rsidRPr="00907008" w:rsidP="00907008">
      <w:pPr>
        <w:pStyle w:val="KOT4"/>
        <w:rPr>
          <w:rStyle w:val="Heading3Char"/>
          <w:b/>
          <w:bCs/>
          <w:sz w:val="26"/>
          <w:szCs w:val="26"/>
          <w:rtl/>
          <w:lang w:eastAsia="en-US"/>
        </w:rPr>
      </w:pPr>
      <w:r w:rsidRPr="00907008">
        <w:rPr>
          <w:rStyle w:val="Heading3Char"/>
          <w:rFonts w:hint="eastAsia"/>
          <w:b/>
          <w:bCs/>
          <w:sz w:val="26"/>
          <w:szCs w:val="26"/>
          <w:rtl/>
          <w:lang w:eastAsia="en-US"/>
        </w:rPr>
        <w:t>האחריות</w:t>
      </w:r>
      <w:r w:rsidRPr="00907008">
        <w:rPr>
          <w:rStyle w:val="Heading3Char"/>
          <w:b/>
          <w:bCs/>
          <w:sz w:val="26"/>
          <w:szCs w:val="26"/>
          <w:rtl/>
          <w:lang w:eastAsia="en-US"/>
        </w:rPr>
        <w:t xml:space="preserve"> </w:t>
      </w:r>
      <w:r w:rsidRPr="00907008">
        <w:rPr>
          <w:rStyle w:val="Heading3Char"/>
          <w:rFonts w:hint="eastAsia"/>
          <w:b/>
          <w:bCs/>
          <w:sz w:val="26"/>
          <w:szCs w:val="26"/>
          <w:rtl/>
          <w:lang w:eastAsia="en-US"/>
        </w:rPr>
        <w:t>המקצועית</w:t>
      </w:r>
      <w:r w:rsidRPr="00907008">
        <w:rPr>
          <w:rStyle w:val="Heading3Char"/>
          <w:b/>
          <w:bCs/>
          <w:sz w:val="26"/>
          <w:szCs w:val="26"/>
          <w:rtl/>
          <w:lang w:eastAsia="en-US"/>
        </w:rPr>
        <w:t xml:space="preserve"> של </w:t>
      </w:r>
      <w:r w:rsidRPr="00907008">
        <w:rPr>
          <w:rStyle w:val="Heading3Char"/>
          <w:rFonts w:hint="eastAsia"/>
          <w:b/>
          <w:bCs/>
          <w:sz w:val="26"/>
          <w:szCs w:val="26"/>
          <w:rtl/>
          <w:lang w:eastAsia="en-US"/>
        </w:rPr>
        <w:t>הב</w:t>
      </w:r>
      <w:r w:rsidRPr="00907008">
        <w:rPr>
          <w:rStyle w:val="Heading3Char"/>
          <w:b/>
          <w:bCs/>
          <w:sz w:val="26"/>
          <w:szCs w:val="26"/>
          <w:rtl/>
          <w:lang w:eastAsia="en-US"/>
        </w:rPr>
        <w:t>"ה</w:t>
      </w:r>
      <w:r w:rsidRPr="00907008">
        <w:rPr>
          <w:rStyle w:val="Heading3Char"/>
          <w:rFonts w:hint="cs"/>
          <w:b/>
          <w:bCs/>
          <w:sz w:val="26"/>
          <w:szCs w:val="26"/>
          <w:rtl/>
          <w:lang w:eastAsia="en-US"/>
        </w:rPr>
        <w:t xml:space="preserve"> למזכירויות בתי משפט עמ"ק</w:t>
      </w:r>
    </w:p>
    <w:p w:rsidR="003037FB" w:rsidRPr="00247C05" w:rsidP="00040DAE">
      <w:pPr>
        <w:spacing w:after="120" w:line="230" w:lineRule="exact"/>
        <w:jc w:val="both"/>
        <w:rPr>
          <w:rFonts w:cs="FrankRuehl"/>
          <w:sz w:val="20"/>
          <w:szCs w:val="22"/>
          <w:rtl/>
        </w:rPr>
      </w:pPr>
      <w:r w:rsidRPr="00247C05">
        <w:rPr>
          <w:rFonts w:cs="FrankRuehl" w:hint="cs"/>
          <w:sz w:val="20"/>
          <w:szCs w:val="22"/>
          <w:rtl/>
        </w:rPr>
        <w:t>דוח ועדת זמיר ניתח היבטים בעבודתן של מזכירויות בתי משפט עמ"ק לרבות עניין הכפיפות המינהלית והמקצועית, והמליץ כי בעניינים "מקצועיים" יהיו עובדי המזכירות כפופים אך ורק לשופטים המכהנים בבית המשפט ולהב"ה. במסמך סיכום המפגש עם המנכ"לים, נקבע, בין היתר, כי "בכל העניינים המקצועיים, עובדי מזכירויות בתי המשפט לעניינים מקומיים, כפופים בצורה מוחלטת ובלעדית להנהלת בתי המשפט. הניהול המקצועי של בתי המשפט לעניינים מקומיים מתבצע בחטיבת תפעול ומזכירויות בהנהלת בתי המשפט, חרף היותם עובדי עירייה".</w:t>
      </w:r>
    </w:p>
    <w:p w:rsidR="003037FB" w:rsidRPr="00247C05" w:rsidP="00040DAE">
      <w:pPr>
        <w:spacing w:after="120" w:line="230" w:lineRule="exact"/>
        <w:jc w:val="both"/>
        <w:rPr>
          <w:rFonts w:cs="FrankRuehl"/>
          <w:sz w:val="20"/>
          <w:szCs w:val="22"/>
          <w:rtl/>
        </w:rPr>
      </w:pPr>
      <w:r w:rsidRPr="00247C05">
        <w:rPr>
          <w:rFonts w:cs="FrankRuehl" w:hint="cs"/>
          <w:sz w:val="20"/>
          <w:szCs w:val="22"/>
          <w:rtl/>
        </w:rPr>
        <w:t>דוח ועדת זמיר קבע, כי יש</w:t>
      </w:r>
      <w:r w:rsidRPr="00247C05">
        <w:rPr>
          <w:rFonts w:cs="FrankRuehl"/>
          <w:sz w:val="20"/>
          <w:szCs w:val="22"/>
          <w:rtl/>
        </w:rPr>
        <w:t xml:space="preserve"> </w:t>
      </w:r>
      <w:r w:rsidRPr="00247C05">
        <w:rPr>
          <w:rFonts w:cs="FrankRuehl" w:hint="cs"/>
          <w:sz w:val="20"/>
          <w:szCs w:val="22"/>
          <w:rtl/>
        </w:rPr>
        <w:t>צורך</w:t>
      </w:r>
      <w:r w:rsidRPr="00247C05">
        <w:rPr>
          <w:rFonts w:cs="FrankRuehl"/>
          <w:sz w:val="20"/>
          <w:szCs w:val="22"/>
          <w:rtl/>
        </w:rPr>
        <w:t xml:space="preserve"> </w:t>
      </w:r>
      <w:r w:rsidRPr="00247C05">
        <w:rPr>
          <w:rFonts w:cs="FrankRuehl" w:hint="cs"/>
          <w:sz w:val="20"/>
          <w:szCs w:val="22"/>
          <w:rtl/>
        </w:rPr>
        <w:t>בהדרכה</w:t>
      </w:r>
      <w:r w:rsidRPr="00247C05">
        <w:rPr>
          <w:rFonts w:cs="FrankRuehl"/>
          <w:sz w:val="20"/>
          <w:szCs w:val="22"/>
          <w:rtl/>
        </w:rPr>
        <w:t xml:space="preserve"> </w:t>
      </w:r>
      <w:r w:rsidRPr="00247C05">
        <w:rPr>
          <w:rFonts w:cs="FrankRuehl" w:hint="cs"/>
          <w:sz w:val="20"/>
          <w:szCs w:val="22"/>
          <w:rtl/>
        </w:rPr>
        <w:t>ובהכוונה</w:t>
      </w:r>
      <w:r w:rsidRPr="00247C05">
        <w:rPr>
          <w:rFonts w:cs="FrankRuehl"/>
          <w:sz w:val="20"/>
          <w:szCs w:val="22"/>
          <w:rtl/>
        </w:rPr>
        <w:t xml:space="preserve"> </w:t>
      </w:r>
      <w:r w:rsidRPr="00247C05">
        <w:rPr>
          <w:rFonts w:cs="FrankRuehl" w:hint="cs"/>
          <w:sz w:val="20"/>
          <w:szCs w:val="22"/>
          <w:rtl/>
        </w:rPr>
        <w:t>מרוכזת</w:t>
      </w:r>
      <w:r w:rsidRPr="00247C05">
        <w:rPr>
          <w:rFonts w:cs="FrankRuehl"/>
          <w:sz w:val="20"/>
          <w:szCs w:val="22"/>
          <w:rtl/>
        </w:rPr>
        <w:t xml:space="preserve"> </w:t>
      </w:r>
      <w:r w:rsidRPr="00247C05">
        <w:rPr>
          <w:rFonts w:cs="FrankRuehl" w:hint="cs"/>
          <w:sz w:val="20"/>
          <w:szCs w:val="22"/>
          <w:rtl/>
        </w:rPr>
        <w:t>ואחידה</w:t>
      </w:r>
      <w:r w:rsidRPr="00247C05">
        <w:rPr>
          <w:rFonts w:cs="FrankRuehl"/>
          <w:sz w:val="20"/>
          <w:szCs w:val="22"/>
          <w:rtl/>
        </w:rPr>
        <w:t xml:space="preserve"> </w:t>
      </w:r>
      <w:r w:rsidRPr="00247C05">
        <w:rPr>
          <w:rFonts w:cs="FrankRuehl" w:hint="cs"/>
          <w:sz w:val="20"/>
          <w:szCs w:val="22"/>
          <w:rtl/>
        </w:rPr>
        <w:t>של כל</w:t>
      </w:r>
      <w:r w:rsidRPr="00247C05">
        <w:rPr>
          <w:rFonts w:cs="FrankRuehl"/>
          <w:sz w:val="20"/>
          <w:szCs w:val="22"/>
          <w:rtl/>
        </w:rPr>
        <w:t xml:space="preserve"> </w:t>
      </w:r>
      <w:r w:rsidRPr="00247C05">
        <w:rPr>
          <w:rFonts w:cs="FrankRuehl" w:hint="cs"/>
          <w:sz w:val="20"/>
          <w:szCs w:val="22"/>
          <w:rtl/>
        </w:rPr>
        <w:t>מזכירויות</w:t>
      </w:r>
      <w:r w:rsidRPr="00247C05">
        <w:rPr>
          <w:rFonts w:cs="FrankRuehl"/>
          <w:sz w:val="20"/>
          <w:szCs w:val="22"/>
          <w:rtl/>
        </w:rPr>
        <w:t xml:space="preserve"> </w:t>
      </w:r>
      <w:r w:rsidRPr="00247C05">
        <w:rPr>
          <w:rFonts w:cs="FrankRuehl" w:hint="cs"/>
          <w:sz w:val="20"/>
          <w:szCs w:val="22"/>
          <w:rtl/>
        </w:rPr>
        <w:t>בתי משפט</w:t>
      </w:r>
      <w:r w:rsidRPr="00247C05">
        <w:rPr>
          <w:rFonts w:cs="FrankRuehl"/>
          <w:sz w:val="20"/>
          <w:szCs w:val="22"/>
          <w:rtl/>
        </w:rPr>
        <w:t xml:space="preserve"> </w:t>
      </w:r>
      <w:r w:rsidRPr="00247C05">
        <w:rPr>
          <w:rFonts w:cs="FrankRuehl" w:hint="cs"/>
          <w:sz w:val="20"/>
          <w:szCs w:val="22"/>
          <w:rtl/>
        </w:rPr>
        <w:t>עמ"ק והמליץ על מינוי ממונה</w:t>
      </w:r>
      <w:r w:rsidRPr="00247C05">
        <w:rPr>
          <w:rFonts w:cs="FrankRuehl"/>
          <w:sz w:val="20"/>
          <w:szCs w:val="22"/>
          <w:rtl/>
        </w:rPr>
        <w:t xml:space="preserve"> </w:t>
      </w:r>
      <w:r w:rsidRPr="00247C05">
        <w:rPr>
          <w:rFonts w:cs="FrankRuehl" w:hint="cs"/>
          <w:sz w:val="20"/>
          <w:szCs w:val="22"/>
          <w:rtl/>
        </w:rPr>
        <w:t>מרכזי (רפרנט) לנושא בהב</w:t>
      </w:r>
      <w:r w:rsidRPr="00247C05">
        <w:rPr>
          <w:rFonts w:cs="FrankRuehl"/>
          <w:sz w:val="20"/>
          <w:szCs w:val="22"/>
          <w:rtl/>
        </w:rPr>
        <w:t>"ה</w:t>
      </w:r>
      <w:r w:rsidRPr="00247C05">
        <w:rPr>
          <w:rFonts w:cs="FrankRuehl" w:hint="cs"/>
          <w:sz w:val="20"/>
          <w:szCs w:val="22"/>
          <w:rtl/>
        </w:rPr>
        <w:t>. בין היתר יקבע הממונה נוהלי עבודה אחידים; ייעץ וינחה את המזכירויות;</w:t>
      </w:r>
      <w:r w:rsidRPr="00247C05">
        <w:rPr>
          <w:rFonts w:cs="FrankRuehl" w:hint="cs"/>
          <w:sz w:val="20"/>
          <w:szCs w:val="22"/>
          <w:rtl/>
        </w:rPr>
        <w:t xml:space="preserve"> </w:t>
      </w:r>
      <w:r w:rsidRPr="00247C05">
        <w:rPr>
          <w:rFonts w:cs="FrankRuehl" w:hint="cs"/>
          <w:sz w:val="20"/>
          <w:szCs w:val="22"/>
          <w:rtl/>
        </w:rPr>
        <w:t>יהיה אחראי לקיום הדרכות והשתלמויות לעובדי המזכירויות ויקיים פיקוח, מעקב ובקרה על תפקודם המקצועי של בתי משפט עמ"ק.</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בשנת 2009 הגדירה הב"ה את התפקיד של מנהל התחום, הכולל את תחומי האחריות האלה: </w:t>
      </w:r>
      <w:r w:rsidR="00907008">
        <w:rPr>
          <w:rFonts w:cs="FrankRuehl"/>
          <w:sz w:val="20"/>
          <w:szCs w:val="22"/>
        </w:rPr>
        <w:br/>
      </w:r>
      <w:r w:rsidRPr="00247C05">
        <w:rPr>
          <w:rFonts w:cs="FrankRuehl" w:hint="cs"/>
          <w:sz w:val="20"/>
          <w:szCs w:val="22"/>
          <w:rtl/>
        </w:rPr>
        <w:t>(א)</w:t>
      </w:r>
      <w:r w:rsidR="004436F7">
        <w:rPr>
          <w:rFonts w:cs="FrankRuehl"/>
          <w:sz w:val="20"/>
          <w:szCs w:val="22"/>
        </w:rPr>
        <w:t xml:space="preserve"> </w:t>
      </w:r>
      <w:r w:rsidRPr="00247C05">
        <w:rPr>
          <w:rFonts w:cs="FrankRuehl" w:hint="cs"/>
          <w:sz w:val="20"/>
          <w:szCs w:val="22"/>
          <w:rtl/>
        </w:rPr>
        <w:t xml:space="preserve"> איסוף נתונים וסיוע בהתוויית מדיניות בתחום עמ"ק; </w:t>
      </w:r>
      <w:r w:rsidR="004436F7">
        <w:rPr>
          <w:rFonts w:cs="FrankRuehl"/>
          <w:sz w:val="20"/>
          <w:szCs w:val="22"/>
        </w:rPr>
        <w:t xml:space="preserve">  </w:t>
      </w:r>
      <w:r w:rsidRPr="00247C05">
        <w:rPr>
          <w:rFonts w:cs="FrankRuehl" w:hint="cs"/>
          <w:sz w:val="20"/>
          <w:szCs w:val="22"/>
          <w:rtl/>
        </w:rPr>
        <w:t xml:space="preserve">(ב) </w:t>
      </w:r>
      <w:r w:rsidR="004436F7">
        <w:rPr>
          <w:rFonts w:cs="FrankRuehl"/>
          <w:sz w:val="20"/>
          <w:szCs w:val="22"/>
        </w:rPr>
        <w:t xml:space="preserve"> </w:t>
      </w:r>
      <w:r w:rsidRPr="00247C05">
        <w:rPr>
          <w:rFonts w:cs="FrankRuehl" w:hint="cs"/>
          <w:sz w:val="20"/>
          <w:szCs w:val="22"/>
          <w:rtl/>
        </w:rPr>
        <w:t xml:space="preserve">קביעת יעדים ומעקב אחר ביצועם; (ג) </w:t>
      </w:r>
      <w:r w:rsidR="004436F7">
        <w:rPr>
          <w:rFonts w:cs="FrankRuehl"/>
          <w:sz w:val="20"/>
          <w:szCs w:val="22"/>
        </w:rPr>
        <w:t xml:space="preserve"> </w:t>
      </w:r>
      <w:r w:rsidRPr="00247C05">
        <w:rPr>
          <w:rFonts w:cs="FrankRuehl" w:hint="cs"/>
          <w:sz w:val="20"/>
          <w:szCs w:val="22"/>
          <w:rtl/>
        </w:rPr>
        <w:t xml:space="preserve">תכנון, בקרה והנחיה של עבודת היחידות וסיוע להן בפתרון בעיות; </w:t>
      </w:r>
      <w:r w:rsidR="004436F7">
        <w:rPr>
          <w:rFonts w:cs="FrankRuehl"/>
          <w:sz w:val="20"/>
          <w:szCs w:val="22"/>
        </w:rPr>
        <w:t xml:space="preserve">  </w:t>
      </w:r>
      <w:r w:rsidRPr="00247C05">
        <w:rPr>
          <w:rFonts w:cs="FrankRuehl" w:hint="cs"/>
          <w:sz w:val="20"/>
          <w:szCs w:val="22"/>
          <w:rtl/>
        </w:rPr>
        <w:t>(ד)</w:t>
      </w:r>
      <w:r w:rsidR="004436F7">
        <w:rPr>
          <w:rFonts w:cs="FrankRuehl"/>
          <w:sz w:val="20"/>
          <w:szCs w:val="22"/>
        </w:rPr>
        <w:t xml:space="preserve"> </w:t>
      </w:r>
      <w:r w:rsidRPr="00247C05">
        <w:rPr>
          <w:rFonts w:cs="FrankRuehl" w:hint="cs"/>
          <w:sz w:val="20"/>
          <w:szCs w:val="22"/>
          <w:rtl/>
        </w:rPr>
        <w:t xml:space="preserve"> הדרכת העובדים ומעקב אחר הטמעת נוהלי עבודה; </w:t>
      </w:r>
      <w:r w:rsidR="004436F7">
        <w:rPr>
          <w:rFonts w:cs="FrankRuehl"/>
          <w:sz w:val="20"/>
          <w:szCs w:val="22"/>
        </w:rPr>
        <w:t xml:space="preserve">  </w:t>
      </w:r>
      <w:r w:rsidRPr="00247C05">
        <w:rPr>
          <w:rFonts w:cs="FrankRuehl" w:hint="cs"/>
          <w:sz w:val="20"/>
          <w:szCs w:val="22"/>
          <w:rtl/>
        </w:rPr>
        <w:t>(ה)</w:t>
      </w:r>
      <w:r w:rsidR="004436F7">
        <w:rPr>
          <w:rFonts w:cs="FrankRuehl"/>
          <w:sz w:val="20"/>
          <w:szCs w:val="22"/>
        </w:rPr>
        <w:t xml:space="preserve"> </w:t>
      </w:r>
      <w:r w:rsidRPr="00247C05">
        <w:rPr>
          <w:rFonts w:cs="FrankRuehl" w:hint="cs"/>
          <w:sz w:val="20"/>
          <w:szCs w:val="22"/>
          <w:rtl/>
        </w:rPr>
        <w:t xml:space="preserve"> קישור ותיאום בין עובדי המזכירויות ובין גורמים אחרים </w:t>
      </w:r>
      <w:r w:rsidRPr="00247C05">
        <w:rPr>
          <w:rFonts w:cs="FrankRuehl" w:hint="cs"/>
          <w:sz w:val="20"/>
          <w:szCs w:val="22"/>
          <w:rtl/>
        </w:rPr>
        <w:t xml:space="preserve">בתוך הב"ה; </w:t>
      </w:r>
      <w:r w:rsidR="004436F7">
        <w:rPr>
          <w:rFonts w:cs="FrankRuehl"/>
          <w:sz w:val="20"/>
          <w:szCs w:val="22"/>
        </w:rPr>
        <w:t xml:space="preserve">  </w:t>
      </w:r>
      <w:r w:rsidRPr="00247C05">
        <w:rPr>
          <w:rFonts w:cs="FrankRuehl" w:hint="cs"/>
          <w:sz w:val="20"/>
          <w:szCs w:val="22"/>
          <w:rtl/>
        </w:rPr>
        <w:t xml:space="preserve">(ו) </w:t>
      </w:r>
      <w:r w:rsidR="004436F7">
        <w:rPr>
          <w:rFonts w:cs="FrankRuehl"/>
          <w:sz w:val="20"/>
          <w:szCs w:val="22"/>
        </w:rPr>
        <w:t xml:space="preserve"> </w:t>
      </w:r>
      <w:r w:rsidRPr="00247C05">
        <w:rPr>
          <w:rFonts w:cs="FrankRuehl" w:hint="cs"/>
          <w:sz w:val="20"/>
          <w:szCs w:val="22"/>
          <w:rtl/>
        </w:rPr>
        <w:t>מתן מענה לפניות של עובדי המזכירויות;</w:t>
      </w:r>
      <w:r w:rsidR="004436F7">
        <w:rPr>
          <w:rFonts w:cs="FrankRuehl"/>
          <w:sz w:val="20"/>
          <w:szCs w:val="22"/>
        </w:rPr>
        <w:t xml:space="preserve">  </w:t>
      </w:r>
      <w:r w:rsidRPr="00247C05">
        <w:rPr>
          <w:rFonts w:cs="FrankRuehl" w:hint="cs"/>
          <w:sz w:val="20"/>
          <w:szCs w:val="22"/>
          <w:rtl/>
        </w:rPr>
        <w:t xml:space="preserve"> (ז) </w:t>
      </w:r>
      <w:r w:rsidR="004436F7">
        <w:rPr>
          <w:rFonts w:cs="FrankRuehl"/>
          <w:sz w:val="20"/>
          <w:szCs w:val="22"/>
        </w:rPr>
        <w:t xml:space="preserve"> </w:t>
      </w:r>
      <w:r w:rsidRPr="00247C05">
        <w:rPr>
          <w:rFonts w:cs="FrankRuehl" w:hint="cs"/>
          <w:sz w:val="20"/>
          <w:szCs w:val="22"/>
          <w:rtl/>
        </w:rPr>
        <w:t>ביקור</w:t>
      </w:r>
      <w:r w:rsidRPr="00247C05">
        <w:rPr>
          <w:rFonts w:cs="FrankRuehl"/>
          <w:sz w:val="20"/>
          <w:szCs w:val="22"/>
          <w:rtl/>
        </w:rPr>
        <w:t xml:space="preserve"> ביחידות בתי המשפט ש</w:t>
      </w:r>
      <w:r w:rsidRPr="00247C05">
        <w:rPr>
          <w:rFonts w:cs="FrankRuehl" w:hint="cs"/>
          <w:sz w:val="20"/>
          <w:szCs w:val="22"/>
          <w:rtl/>
        </w:rPr>
        <w:t>ב</w:t>
      </w:r>
      <w:r w:rsidRPr="00247C05">
        <w:rPr>
          <w:rFonts w:cs="FrankRuehl"/>
          <w:sz w:val="20"/>
          <w:szCs w:val="22"/>
          <w:rtl/>
        </w:rPr>
        <w:t xml:space="preserve">אחריותו, </w:t>
      </w:r>
      <w:r w:rsidRPr="00247C05">
        <w:rPr>
          <w:rFonts w:cs="FrankRuehl" w:hint="cs"/>
          <w:sz w:val="20"/>
          <w:szCs w:val="22"/>
          <w:rtl/>
        </w:rPr>
        <w:t>ומתן פתרון לבעיות</w:t>
      </w:r>
      <w:r w:rsidRPr="00247C05">
        <w:rPr>
          <w:rFonts w:cs="FrankRuehl"/>
          <w:sz w:val="20"/>
          <w:szCs w:val="22"/>
          <w:rtl/>
        </w:rPr>
        <w:t xml:space="preserve"> </w:t>
      </w:r>
      <w:r w:rsidRPr="00247C05">
        <w:rPr>
          <w:rFonts w:cs="FrankRuehl" w:hint="cs"/>
          <w:sz w:val="20"/>
          <w:szCs w:val="22"/>
          <w:rtl/>
        </w:rPr>
        <w:t>שבתחומי</w:t>
      </w:r>
      <w:r w:rsidRPr="00247C05">
        <w:rPr>
          <w:rFonts w:cs="FrankRuehl"/>
          <w:sz w:val="20"/>
          <w:szCs w:val="22"/>
          <w:rtl/>
        </w:rPr>
        <w:t xml:space="preserve"> </w:t>
      </w:r>
      <w:r w:rsidRPr="00247C05">
        <w:rPr>
          <w:rFonts w:cs="FrankRuehl" w:hint="cs"/>
          <w:sz w:val="20"/>
          <w:szCs w:val="22"/>
          <w:rtl/>
        </w:rPr>
        <w:t>אחריותו</w:t>
      </w:r>
      <w:r>
        <w:rPr>
          <w:rStyle w:val="FootnoteReference"/>
          <w:rFonts w:cs="FrankRuehl"/>
          <w:sz w:val="20"/>
          <w:szCs w:val="22"/>
          <w:rtl/>
        </w:rPr>
        <w:footnoteReference w:id="11"/>
      </w:r>
      <w:r w:rsidRPr="00247C05">
        <w:rPr>
          <w:rFonts w:cs="FrankRuehl"/>
          <w:sz w:val="20"/>
          <w:szCs w:val="22"/>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בספטמבר 2009 מונה לראשונה בהב"ה מנהל תחום והוא שימש בתפקיד עד יוני 2014 (להלן - מנהל התחום לשעבר), ולאחר מכן, מונה מנהל תחום חדש. במסמך סיכום המפגש עם המנכ"לים הבהירה הב"ה לרשויות את כפיפותם המקצועית של עובדי המזכירויות למנהל התחום.</w:t>
      </w:r>
    </w:p>
    <w:p w:rsidR="003037FB" w:rsidRPr="00247C05" w:rsidP="00040DAE">
      <w:pPr>
        <w:spacing w:after="120" w:line="230" w:lineRule="exact"/>
        <w:jc w:val="both"/>
        <w:rPr>
          <w:rFonts w:cs="FrankRuehl"/>
          <w:sz w:val="20"/>
          <w:szCs w:val="22"/>
          <w:rtl/>
        </w:rPr>
      </w:pPr>
      <w:r w:rsidRPr="00247C05">
        <w:rPr>
          <w:rFonts w:cs="FrankRuehl" w:hint="cs"/>
          <w:sz w:val="20"/>
          <w:szCs w:val="22"/>
          <w:rtl/>
        </w:rPr>
        <w:t>משרד מבקר המדינה בדק היבטים הנוגעים לאופן מימוש האחריות המקצועית של הב"ה על מזכירויות בתי המשפט עמ"ק ולהלן הממצאים:</w:t>
      </w:r>
    </w:p>
    <w:p w:rsidR="003037FB" w:rsidP="00040DAE">
      <w:pPr>
        <w:spacing w:after="120" w:line="230" w:lineRule="exact"/>
        <w:jc w:val="both"/>
        <w:rPr>
          <w:rFonts w:cs="FrankRuehl"/>
          <w:sz w:val="20"/>
          <w:szCs w:val="22"/>
        </w:rPr>
      </w:pPr>
    </w:p>
    <w:p w:rsidR="004436F7" w:rsidRPr="00247C05" w:rsidP="00040DAE">
      <w:pPr>
        <w:spacing w:after="120" w:line="230" w:lineRule="exact"/>
        <w:jc w:val="both"/>
        <w:rPr>
          <w:rFonts w:cs="FrankRuehl"/>
          <w:sz w:val="20"/>
          <w:szCs w:val="22"/>
          <w:rtl/>
        </w:rPr>
      </w:pPr>
    </w:p>
    <w:p w:rsidR="003037FB" w:rsidRPr="00A45E9A" w:rsidP="00040DAE">
      <w:pPr>
        <w:pStyle w:val="KOT4"/>
        <w:rPr>
          <w:rtl/>
        </w:rPr>
      </w:pPr>
      <w:r w:rsidRPr="00A45E9A">
        <w:rPr>
          <w:rFonts w:hint="cs"/>
          <w:rtl/>
        </w:rPr>
        <w:t xml:space="preserve">נוהלי עבודה אחידים בבתי המשפט עמ"ק </w:t>
      </w:r>
    </w:p>
    <w:p w:rsidR="003037FB" w:rsidRPr="00247C05" w:rsidP="00040DAE">
      <w:pPr>
        <w:spacing w:after="120" w:line="230" w:lineRule="exact"/>
        <w:jc w:val="both"/>
        <w:rPr>
          <w:rFonts w:cs="FrankRuehl"/>
          <w:sz w:val="20"/>
          <w:szCs w:val="22"/>
          <w:rtl/>
        </w:rPr>
      </w:pPr>
      <w:r w:rsidRPr="00247C05">
        <w:rPr>
          <w:rFonts w:cs="FrankRuehl" w:hint="cs"/>
          <w:sz w:val="20"/>
          <w:szCs w:val="22"/>
          <w:rtl/>
        </w:rPr>
        <w:t>כבר בשנת 1994 הצביע מבקר המדינה על אחריותה של הב"ה להגדיר את גבולות האחריות והסמכות שבינה ובין הרשויות המקומיות בנושא עבודת המזכירויות של במ"ש עמ"ק. זאת כדי לגבש נוהלי עבודה מחייבים שייתנו מענה לבעיות ייחודיות למזכירות במ"ש עמ"ק, ולהסיר חשש למעורבות של הרשות המקומית בעבודתה. המלצות ברוח זו עלו גם בדוח ועדת זמיר.</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מחלקת נהלים בחטיבת תפעול ומזכירויות מרכזת את כתיבת נוהלי העבודה של הב"ה בתיאום עם הגורמים המקצועיים המעורבים בתהליך, ובהם צוותי עבודה המורכבים ממומחים לתחום שבו עוסק הנוהל (ראו להלן). לאחר עריכת הנוהל ותיקופו הוא מתווסף או מתעדכן במאגר נהלים מקוון של הב"ה המכיל את כל נוהלי העבודה של הארגון, ומופץ במקביל לכל הגורמים הרלוונטיים שהנוהל נוגע לעבודתם.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נוהלי העבודה המקצועיים שקבעה הב"ה והחילה על במ"ש עמ"ק נחלקים לשני סוגים עיקריים: הסוג הראשון כולל נהלים ייחודיים לבמ"ש עמ"ק ולתיקי עמ"ק (להלן - נהלים ייעודיים). הבולט שבהם הוא נוהל</w:t>
      </w:r>
      <w:r w:rsidRPr="00247C05">
        <w:rPr>
          <w:rFonts w:cs="FrankRuehl"/>
          <w:sz w:val="20"/>
          <w:szCs w:val="22"/>
          <w:rtl/>
        </w:rPr>
        <w:t xml:space="preserve"> "הסדרת ממשקי </w:t>
      </w:r>
      <w:r w:rsidRPr="00247C05">
        <w:rPr>
          <w:rFonts w:cs="FrankRuehl" w:hint="eastAsia"/>
          <w:sz w:val="20"/>
          <w:szCs w:val="22"/>
          <w:rtl/>
        </w:rPr>
        <w:t>העבודה</w:t>
      </w:r>
      <w:r w:rsidRPr="00247C05">
        <w:rPr>
          <w:rFonts w:cs="FrankRuehl"/>
          <w:sz w:val="20"/>
          <w:szCs w:val="22"/>
          <w:rtl/>
        </w:rPr>
        <w:t xml:space="preserve"> המקצועיים בין בתי המשפט לעניינים מקומיים ומערכת בתי המשפט" מס' 03/23, מיום 1.3.12 (להלן </w:t>
      </w:r>
      <w:r w:rsidRPr="00247C05">
        <w:rPr>
          <w:rFonts w:cs="FrankRuehl" w:hint="cs"/>
          <w:sz w:val="20"/>
          <w:szCs w:val="22"/>
          <w:rtl/>
        </w:rPr>
        <w:t>-</w:t>
      </w:r>
      <w:r w:rsidRPr="00247C05">
        <w:rPr>
          <w:rFonts w:cs="FrankRuehl"/>
          <w:sz w:val="20"/>
          <w:szCs w:val="22"/>
          <w:rtl/>
        </w:rPr>
        <w:t xml:space="preserve"> נוהל ממשקי עבודה) </w:t>
      </w:r>
      <w:r w:rsidRPr="00247C05">
        <w:rPr>
          <w:rFonts w:cs="FrankRuehl" w:hint="cs"/>
          <w:sz w:val="20"/>
          <w:szCs w:val="22"/>
          <w:rtl/>
        </w:rPr>
        <w:t>שתכליתו ליצור אחידות בתהליכי העבודה במזכירויות במ</w:t>
      </w:r>
      <w:r w:rsidRPr="00247C05">
        <w:rPr>
          <w:rFonts w:cs="FrankRuehl"/>
          <w:sz w:val="20"/>
          <w:szCs w:val="22"/>
          <w:rtl/>
        </w:rPr>
        <w:t>"</w:t>
      </w:r>
      <w:r w:rsidRPr="00247C05">
        <w:rPr>
          <w:rFonts w:cs="FrankRuehl" w:hint="cs"/>
          <w:sz w:val="20"/>
          <w:szCs w:val="22"/>
          <w:rtl/>
        </w:rPr>
        <w:t xml:space="preserve">ש עמ"ק השונים ושיתוף פעולה מקצועי בין מזכירויות במ"ש עמ"ק למנהלי המחוזות בהב"ה. הסוג השני כולל "נוהלי רוחב" שהם נוהלי עבודה של הב"ה החלים על כלל המזכירויות לעניינים פליליים של בתי המשפט שהוחלו גם על מזכירויות במ"ש עמ"ק בהיותם בתי משפט שדנים בעניינים פליליים (להלן - נוהלי רוחב). </w:t>
      </w:r>
    </w:p>
    <w:p w:rsidR="003037FB" w:rsidRPr="00247C05" w:rsidP="004436F7">
      <w:pPr>
        <w:pStyle w:val="ListParagraph"/>
        <w:numPr>
          <w:ilvl w:val="0"/>
          <w:numId w:val="5"/>
        </w:numPr>
        <w:spacing w:after="240" w:line="230" w:lineRule="exact"/>
        <w:contextualSpacing w:val="0"/>
        <w:jc w:val="both"/>
        <w:rPr>
          <w:rFonts w:ascii="Times New Roman" w:hAnsi="Times New Roman" w:cs="FrankRuehl"/>
          <w:sz w:val="20"/>
        </w:rPr>
      </w:pPr>
      <w:r w:rsidRPr="00247C05">
        <w:rPr>
          <w:rFonts w:ascii="Times New Roman" w:hAnsi="Times New Roman" w:cs="FrankRuehl" w:hint="cs"/>
          <w:sz w:val="20"/>
          <w:rtl/>
        </w:rPr>
        <w:t xml:space="preserve">בכתב המינוי של מנהל התחום נקבע שבאחריותו להנחות ולהדריך את עבודת המזכירויות בבתי משפט עמ"ק, ואולם נוהל ממשקי עבודה שדן, בין היתר, בדרכי הפצת הנהלים, קובע כי נוהלי עבודה מקצועיים יועברו למזכירויות על ידי מנהל המחוז. </w:t>
      </w:r>
    </w:p>
    <w:p w:rsidR="003037FB" w:rsidRPr="00247C05" w:rsidP="004436F7">
      <w:pPr>
        <w:pStyle w:val="RESHET"/>
        <w:keepLines/>
        <w:ind w:left="567"/>
        <w:rPr>
          <w:rtl/>
        </w:rPr>
      </w:pPr>
      <w:r w:rsidRPr="00247C05">
        <w:rPr>
          <w:rFonts w:hint="cs"/>
          <w:rtl/>
        </w:rPr>
        <w:t>משרד</w:t>
      </w:r>
      <w:r w:rsidRPr="00247C05">
        <w:rPr>
          <w:rtl/>
        </w:rPr>
        <w:t xml:space="preserve"> מבקר המדינה העלה</w:t>
      </w:r>
      <w:r w:rsidRPr="00247C05">
        <w:rPr>
          <w:rFonts w:hint="cs"/>
          <w:rtl/>
        </w:rPr>
        <w:t>,</w:t>
      </w:r>
      <w:r w:rsidRPr="00247C05">
        <w:rPr>
          <w:rtl/>
        </w:rPr>
        <w:t xml:space="preserve"> כי </w:t>
      </w:r>
      <w:r w:rsidRPr="00247C05">
        <w:rPr>
          <w:rFonts w:hint="cs"/>
          <w:rtl/>
        </w:rPr>
        <w:t>בפועל</w:t>
      </w:r>
      <w:r w:rsidRPr="00247C05">
        <w:rPr>
          <w:rtl/>
        </w:rPr>
        <w:t xml:space="preserve"> </w:t>
      </w:r>
      <w:r w:rsidRPr="00247C05">
        <w:rPr>
          <w:rFonts w:hint="cs"/>
          <w:rtl/>
        </w:rPr>
        <w:t>קיבלו מזכירויות</w:t>
      </w:r>
      <w:r w:rsidRPr="00247C05">
        <w:rPr>
          <w:rtl/>
        </w:rPr>
        <w:t xml:space="preserve"> </w:t>
      </w:r>
      <w:r w:rsidRPr="00247C05">
        <w:rPr>
          <w:rFonts w:hint="eastAsia"/>
          <w:rtl/>
        </w:rPr>
        <w:t>ב</w:t>
      </w:r>
      <w:r w:rsidRPr="00247C05">
        <w:rPr>
          <w:rFonts w:hint="cs"/>
          <w:rtl/>
        </w:rPr>
        <w:t>תי משפט</w:t>
      </w:r>
      <w:r w:rsidRPr="00247C05">
        <w:rPr>
          <w:rtl/>
        </w:rPr>
        <w:t xml:space="preserve"> עמ"ק את </w:t>
      </w:r>
      <w:r w:rsidRPr="00247C05">
        <w:rPr>
          <w:rFonts w:hint="cs"/>
          <w:rtl/>
        </w:rPr>
        <w:t>נוהלי</w:t>
      </w:r>
      <w:r w:rsidRPr="00247C05">
        <w:rPr>
          <w:rtl/>
        </w:rPr>
        <w:t xml:space="preserve"> </w:t>
      </w:r>
      <w:r w:rsidRPr="00247C05">
        <w:rPr>
          <w:rFonts w:hint="cs"/>
          <w:rtl/>
        </w:rPr>
        <w:t>ה</w:t>
      </w:r>
      <w:r w:rsidRPr="00247C05">
        <w:rPr>
          <w:rtl/>
        </w:rPr>
        <w:t xml:space="preserve">עבודה </w:t>
      </w:r>
      <w:r w:rsidRPr="00247C05">
        <w:rPr>
          <w:rFonts w:hint="cs"/>
          <w:rtl/>
        </w:rPr>
        <w:t>מגורמים</w:t>
      </w:r>
      <w:r w:rsidRPr="00247C05">
        <w:rPr>
          <w:rtl/>
        </w:rPr>
        <w:t xml:space="preserve"> </w:t>
      </w:r>
      <w:r w:rsidRPr="00247C05">
        <w:rPr>
          <w:rFonts w:hint="cs"/>
          <w:rtl/>
        </w:rPr>
        <w:t xml:space="preserve">שונים בלא שהדבר נעשה בתיאום עם חטיבת תפעול ומזכירויות או בראייה כוללת </w:t>
      </w:r>
      <w:r w:rsidRPr="00247C05">
        <w:rPr>
          <w:rtl/>
        </w:rPr>
        <w:t xml:space="preserve">- </w:t>
      </w:r>
      <w:r w:rsidRPr="00247C05">
        <w:rPr>
          <w:rFonts w:hint="cs"/>
          <w:rtl/>
        </w:rPr>
        <w:t>לעתים</w:t>
      </w:r>
      <w:r w:rsidRPr="00247C05">
        <w:rPr>
          <w:rtl/>
        </w:rPr>
        <w:t xml:space="preserve"> </w:t>
      </w:r>
      <w:r w:rsidRPr="00247C05">
        <w:rPr>
          <w:rFonts w:hint="cs"/>
          <w:rtl/>
        </w:rPr>
        <w:t>הופצו הנהלים על</w:t>
      </w:r>
      <w:r w:rsidRPr="00247C05">
        <w:rPr>
          <w:rtl/>
        </w:rPr>
        <w:t xml:space="preserve"> </w:t>
      </w:r>
      <w:r w:rsidRPr="00247C05">
        <w:rPr>
          <w:rFonts w:hint="cs"/>
          <w:rtl/>
        </w:rPr>
        <w:t>ידי</w:t>
      </w:r>
      <w:r w:rsidRPr="00247C05">
        <w:rPr>
          <w:rtl/>
        </w:rPr>
        <w:t xml:space="preserve"> </w:t>
      </w:r>
      <w:r w:rsidRPr="00247C05">
        <w:rPr>
          <w:rFonts w:hint="cs"/>
          <w:rtl/>
        </w:rPr>
        <w:t>מנהל</w:t>
      </w:r>
      <w:r w:rsidRPr="00247C05">
        <w:rPr>
          <w:rtl/>
        </w:rPr>
        <w:t xml:space="preserve"> </w:t>
      </w:r>
      <w:r w:rsidRPr="00247C05">
        <w:rPr>
          <w:rFonts w:hint="cs"/>
          <w:rtl/>
        </w:rPr>
        <w:t>התחום</w:t>
      </w:r>
      <w:r w:rsidRPr="00247C05">
        <w:rPr>
          <w:rtl/>
        </w:rPr>
        <w:t xml:space="preserve">, </w:t>
      </w:r>
      <w:r w:rsidRPr="00247C05">
        <w:rPr>
          <w:rFonts w:hint="cs"/>
          <w:rtl/>
        </w:rPr>
        <w:t>לעתים</w:t>
      </w:r>
      <w:r w:rsidRPr="00247C05">
        <w:rPr>
          <w:rtl/>
        </w:rPr>
        <w:t xml:space="preserve"> </w:t>
      </w:r>
      <w:r w:rsidRPr="00247C05">
        <w:rPr>
          <w:rFonts w:hint="cs"/>
          <w:rtl/>
        </w:rPr>
        <w:t>על</w:t>
      </w:r>
      <w:r w:rsidRPr="00247C05">
        <w:rPr>
          <w:rtl/>
        </w:rPr>
        <w:t xml:space="preserve"> </w:t>
      </w:r>
      <w:r w:rsidRPr="00247C05">
        <w:rPr>
          <w:rFonts w:hint="cs"/>
          <w:rtl/>
        </w:rPr>
        <w:t>ידי</w:t>
      </w:r>
      <w:r w:rsidRPr="00247C05">
        <w:rPr>
          <w:rtl/>
        </w:rPr>
        <w:t xml:space="preserve"> מנהל</w:t>
      </w:r>
      <w:r w:rsidRPr="00247C05">
        <w:rPr>
          <w:rFonts w:hint="cs"/>
          <w:rtl/>
        </w:rPr>
        <w:t>י</w:t>
      </w:r>
      <w:r w:rsidRPr="00247C05">
        <w:rPr>
          <w:rtl/>
        </w:rPr>
        <w:t xml:space="preserve"> המחוז</w:t>
      </w:r>
      <w:r w:rsidRPr="00247C05">
        <w:rPr>
          <w:rFonts w:hint="cs"/>
          <w:rtl/>
        </w:rPr>
        <w:t>ות לפי שיקול דעתם</w:t>
      </w:r>
      <w:r w:rsidRPr="00247C05">
        <w:rPr>
          <w:rtl/>
        </w:rPr>
        <w:t xml:space="preserve">, </w:t>
      </w:r>
      <w:r w:rsidRPr="00247C05">
        <w:rPr>
          <w:rFonts w:hint="cs"/>
          <w:rtl/>
        </w:rPr>
        <w:t>לעתים</w:t>
      </w:r>
      <w:r w:rsidRPr="00247C05">
        <w:rPr>
          <w:rtl/>
        </w:rPr>
        <w:t xml:space="preserve"> </w:t>
      </w:r>
      <w:r w:rsidRPr="00247C05">
        <w:rPr>
          <w:rFonts w:hint="cs"/>
          <w:rtl/>
        </w:rPr>
        <w:t>על</w:t>
      </w:r>
      <w:r w:rsidRPr="00247C05">
        <w:rPr>
          <w:rtl/>
        </w:rPr>
        <w:t xml:space="preserve"> </w:t>
      </w:r>
      <w:r w:rsidRPr="00247C05">
        <w:rPr>
          <w:rFonts w:hint="cs"/>
          <w:rtl/>
        </w:rPr>
        <w:t>ידי</w:t>
      </w:r>
      <w:r w:rsidRPr="00247C05">
        <w:rPr>
          <w:rtl/>
        </w:rPr>
        <w:t xml:space="preserve"> </w:t>
      </w:r>
      <w:r w:rsidRPr="00247C05">
        <w:rPr>
          <w:rFonts w:hint="cs"/>
          <w:rtl/>
        </w:rPr>
        <w:t>מזכירות</w:t>
      </w:r>
      <w:r w:rsidRPr="00247C05">
        <w:rPr>
          <w:rtl/>
        </w:rPr>
        <w:t xml:space="preserve"> </w:t>
      </w:r>
      <w:r w:rsidRPr="00247C05">
        <w:rPr>
          <w:rFonts w:hint="cs"/>
          <w:rtl/>
        </w:rPr>
        <w:t>בית</w:t>
      </w:r>
      <w:r w:rsidRPr="00247C05">
        <w:rPr>
          <w:rtl/>
        </w:rPr>
        <w:t xml:space="preserve"> </w:t>
      </w:r>
      <w:r w:rsidRPr="00247C05">
        <w:rPr>
          <w:rFonts w:hint="cs"/>
          <w:rtl/>
        </w:rPr>
        <w:t>משפט</w:t>
      </w:r>
      <w:r w:rsidRPr="00247C05">
        <w:rPr>
          <w:rtl/>
        </w:rPr>
        <w:t xml:space="preserve"> </w:t>
      </w:r>
      <w:r w:rsidRPr="00247C05">
        <w:rPr>
          <w:rFonts w:hint="cs"/>
          <w:rtl/>
        </w:rPr>
        <w:t>השלום</w:t>
      </w:r>
      <w:r w:rsidRPr="00247C05">
        <w:rPr>
          <w:rtl/>
        </w:rPr>
        <w:t xml:space="preserve"> </w:t>
      </w:r>
      <w:r w:rsidRPr="00247C05">
        <w:rPr>
          <w:rFonts w:hint="cs"/>
          <w:rtl/>
        </w:rPr>
        <w:t>ש</w:t>
      </w:r>
      <w:r w:rsidRPr="00247C05">
        <w:rPr>
          <w:rtl/>
        </w:rPr>
        <w:t xml:space="preserve">בו </w:t>
      </w:r>
      <w:r w:rsidRPr="00247C05">
        <w:rPr>
          <w:rFonts w:hint="cs"/>
          <w:rtl/>
        </w:rPr>
        <w:t>נמצאת</w:t>
      </w:r>
      <w:r w:rsidRPr="00247C05">
        <w:rPr>
          <w:rtl/>
        </w:rPr>
        <w:t xml:space="preserve"> גם מזכירות </w:t>
      </w:r>
      <w:r w:rsidRPr="00247C05">
        <w:rPr>
          <w:rFonts w:hint="cs"/>
          <w:rtl/>
        </w:rPr>
        <w:t xml:space="preserve">במ"ש </w:t>
      </w:r>
      <w:r w:rsidRPr="00247C05">
        <w:rPr>
          <w:rtl/>
        </w:rPr>
        <w:t xml:space="preserve">עמ"ק </w:t>
      </w:r>
      <w:r w:rsidRPr="00247C05">
        <w:rPr>
          <w:rFonts w:hint="cs"/>
          <w:rtl/>
        </w:rPr>
        <w:t>ולעתים</w:t>
      </w:r>
      <w:r w:rsidRPr="00247C05">
        <w:rPr>
          <w:rtl/>
        </w:rPr>
        <w:t xml:space="preserve"> </w:t>
      </w:r>
      <w:r w:rsidRPr="00247C05">
        <w:rPr>
          <w:rFonts w:hint="cs"/>
          <w:rtl/>
        </w:rPr>
        <w:t>נשלחו אותם</w:t>
      </w:r>
      <w:r w:rsidRPr="00247C05">
        <w:rPr>
          <w:rtl/>
        </w:rPr>
        <w:t xml:space="preserve"> </w:t>
      </w:r>
      <w:r w:rsidRPr="00247C05">
        <w:rPr>
          <w:rFonts w:hint="cs"/>
          <w:rtl/>
        </w:rPr>
        <w:t>נהלים</w:t>
      </w:r>
      <w:r w:rsidRPr="00247C05">
        <w:rPr>
          <w:rtl/>
        </w:rPr>
        <w:t xml:space="preserve"> </w:t>
      </w:r>
      <w:r w:rsidRPr="00247C05">
        <w:rPr>
          <w:rFonts w:hint="cs"/>
          <w:rtl/>
        </w:rPr>
        <w:t>בכמה</w:t>
      </w:r>
      <w:r w:rsidRPr="00247C05">
        <w:rPr>
          <w:rtl/>
        </w:rPr>
        <w:t xml:space="preserve"> </w:t>
      </w:r>
      <w:r w:rsidRPr="00247C05">
        <w:rPr>
          <w:rFonts w:hint="cs"/>
          <w:rtl/>
        </w:rPr>
        <w:t>ערוצים - דבר שהביא למקבץ</w:t>
      </w:r>
      <w:r w:rsidRPr="00247C05">
        <w:rPr>
          <w:rtl/>
        </w:rPr>
        <w:t xml:space="preserve"> נהלים לא אחיד במזכירויות בתי המשפט</w:t>
      </w:r>
      <w:r w:rsidRPr="00247C05">
        <w:rPr>
          <w:rFonts w:hint="cs"/>
          <w:rtl/>
        </w:rPr>
        <w:t xml:space="preserve"> (ראו להלן)</w:t>
      </w:r>
      <w:r w:rsidRPr="00247C05">
        <w:rPr>
          <w:rtl/>
        </w:rPr>
        <w:t xml:space="preserve">. </w:t>
      </w:r>
    </w:p>
    <w:p w:rsidR="003037FB" w:rsidRPr="00247C05" w:rsidP="004436F7">
      <w:pPr>
        <w:spacing w:before="180" w:after="120" w:line="230" w:lineRule="exact"/>
        <w:ind w:left="340"/>
        <w:jc w:val="both"/>
        <w:rPr>
          <w:rFonts w:cs="FrankRuehl"/>
          <w:sz w:val="20"/>
          <w:szCs w:val="22"/>
          <w:rtl/>
        </w:rPr>
      </w:pPr>
      <w:r w:rsidRPr="00247C05">
        <w:rPr>
          <w:rFonts w:cs="FrankRuehl" w:hint="cs"/>
          <w:sz w:val="20"/>
          <w:szCs w:val="22"/>
          <w:rtl/>
        </w:rPr>
        <w:t>בתשובותיה של הב"ה למשרד מבקר המדינה מינואר ומפברואר 2016 (להלן - תשובת הב"ה) נכתב כי היא אינה רואה סתירה בין הוראות נוהל ממשקי עבודה ובין כתב המינוי של מנהל התחום, ואין היא רואה פגם בכך שהנהלים מגיעים לבמ"ש עמ"ק במגוון דרכים.</w:t>
      </w:r>
    </w:p>
    <w:p w:rsidR="003037FB" w:rsidRPr="00247C05" w:rsidP="004436F7">
      <w:pPr>
        <w:spacing w:after="240" w:line="230" w:lineRule="exact"/>
        <w:ind w:left="340"/>
        <w:jc w:val="both"/>
        <w:rPr>
          <w:rFonts w:cs="FrankRuehl"/>
          <w:sz w:val="20"/>
          <w:szCs w:val="22"/>
          <w:rtl/>
        </w:rPr>
      </w:pPr>
      <w:r w:rsidRPr="00247C05">
        <w:rPr>
          <w:rFonts w:cs="FrankRuehl" w:hint="cs"/>
          <w:sz w:val="20"/>
          <w:szCs w:val="22"/>
          <w:rtl/>
        </w:rPr>
        <w:t>על הבעייתיות</w:t>
      </w:r>
      <w:r w:rsidRPr="00247C05">
        <w:rPr>
          <w:rFonts w:cs="FrankRuehl"/>
          <w:sz w:val="20"/>
          <w:szCs w:val="22"/>
          <w:rtl/>
        </w:rPr>
        <w:t xml:space="preserve"> שבהפצה זו </w:t>
      </w:r>
      <w:r w:rsidRPr="00247C05">
        <w:rPr>
          <w:rFonts w:cs="FrankRuehl" w:hint="cs"/>
          <w:sz w:val="20"/>
          <w:szCs w:val="22"/>
          <w:rtl/>
        </w:rPr>
        <w:t xml:space="preserve">ניתן ללמוד </w:t>
      </w:r>
      <w:r w:rsidRPr="00247C05">
        <w:rPr>
          <w:rFonts w:cs="FrankRuehl"/>
          <w:sz w:val="20"/>
          <w:szCs w:val="22"/>
          <w:rtl/>
        </w:rPr>
        <w:t xml:space="preserve">ממקרה שאירע </w:t>
      </w:r>
      <w:r w:rsidRPr="00247C05">
        <w:rPr>
          <w:rFonts w:cs="FrankRuehl" w:hint="cs"/>
          <w:sz w:val="20"/>
          <w:szCs w:val="22"/>
          <w:rtl/>
        </w:rPr>
        <w:t>בבמ</w:t>
      </w:r>
      <w:r w:rsidRPr="00247C05">
        <w:rPr>
          <w:rFonts w:cs="FrankRuehl"/>
          <w:sz w:val="20"/>
          <w:szCs w:val="22"/>
          <w:rtl/>
        </w:rPr>
        <w:t xml:space="preserve">"ש </w:t>
      </w:r>
      <w:r w:rsidRPr="00247C05">
        <w:rPr>
          <w:rFonts w:cs="FrankRuehl" w:hint="cs"/>
          <w:sz w:val="20"/>
          <w:szCs w:val="22"/>
          <w:rtl/>
        </w:rPr>
        <w:t>עמ</w:t>
      </w:r>
      <w:r w:rsidRPr="00247C05">
        <w:rPr>
          <w:rFonts w:cs="FrankRuehl"/>
          <w:sz w:val="20"/>
          <w:szCs w:val="22"/>
          <w:rtl/>
        </w:rPr>
        <w:t>"ק בירושלים</w:t>
      </w:r>
      <w:r w:rsidRPr="00247C05">
        <w:rPr>
          <w:rFonts w:cs="FrankRuehl" w:hint="cs"/>
          <w:sz w:val="20"/>
          <w:szCs w:val="22"/>
          <w:rtl/>
        </w:rPr>
        <w:t>.</w:t>
      </w:r>
      <w:r w:rsidRPr="00247C05">
        <w:rPr>
          <w:rFonts w:cs="FrankRuehl"/>
          <w:sz w:val="20"/>
          <w:szCs w:val="22"/>
          <w:rtl/>
        </w:rPr>
        <w:t xml:space="preserve"> במרץ 2012 </w:t>
      </w:r>
      <w:r w:rsidRPr="00247C05">
        <w:rPr>
          <w:rFonts w:cs="FrankRuehl" w:hint="cs"/>
          <w:sz w:val="20"/>
          <w:szCs w:val="22"/>
          <w:rtl/>
        </w:rPr>
        <w:t>עם כניסתו</w:t>
      </w:r>
      <w:r w:rsidRPr="00247C05">
        <w:rPr>
          <w:rFonts w:cs="FrankRuehl"/>
          <w:sz w:val="20"/>
          <w:szCs w:val="22"/>
          <w:rtl/>
        </w:rPr>
        <w:t xml:space="preserve"> לתוקף של נוהל ממשקי עבודה</w:t>
      </w:r>
      <w:r w:rsidRPr="00247C05">
        <w:rPr>
          <w:rFonts w:cs="FrankRuehl" w:hint="cs"/>
          <w:sz w:val="20"/>
          <w:szCs w:val="22"/>
          <w:rtl/>
        </w:rPr>
        <w:t>,</w:t>
      </w:r>
      <w:r w:rsidRPr="00247C05">
        <w:rPr>
          <w:rFonts w:cs="FrankRuehl"/>
          <w:sz w:val="20"/>
          <w:szCs w:val="22"/>
          <w:rtl/>
        </w:rPr>
        <w:t xml:space="preserve"> ביקש הממונה על </w:t>
      </w:r>
      <w:r w:rsidRPr="00247C05">
        <w:rPr>
          <w:rFonts w:cs="FrankRuehl" w:hint="cs"/>
          <w:sz w:val="20"/>
          <w:szCs w:val="22"/>
          <w:rtl/>
        </w:rPr>
        <w:t>במ</w:t>
      </w:r>
      <w:r w:rsidRPr="00247C05">
        <w:rPr>
          <w:rFonts w:cs="FrankRuehl"/>
          <w:sz w:val="20"/>
          <w:szCs w:val="22"/>
          <w:rtl/>
        </w:rPr>
        <w:t xml:space="preserve">"ש </w:t>
      </w:r>
      <w:r w:rsidRPr="00247C05">
        <w:rPr>
          <w:rFonts w:cs="FrankRuehl" w:hint="cs"/>
          <w:sz w:val="20"/>
          <w:szCs w:val="22"/>
          <w:rtl/>
        </w:rPr>
        <w:t>עמ</w:t>
      </w:r>
      <w:r w:rsidRPr="00247C05">
        <w:rPr>
          <w:rFonts w:cs="FrankRuehl"/>
          <w:sz w:val="20"/>
          <w:szCs w:val="22"/>
          <w:rtl/>
        </w:rPr>
        <w:t xml:space="preserve">"ק ירושלים ממנהל התחום לשעבר </w:t>
      </w:r>
      <w:r w:rsidRPr="00247C05">
        <w:rPr>
          <w:rFonts w:cs="FrankRuehl" w:hint="cs"/>
          <w:sz w:val="20"/>
          <w:szCs w:val="22"/>
          <w:rtl/>
        </w:rPr>
        <w:t>להעביר</w:t>
      </w:r>
      <w:r w:rsidRPr="00247C05">
        <w:rPr>
          <w:rFonts w:cs="FrankRuehl"/>
          <w:sz w:val="20"/>
          <w:szCs w:val="22"/>
          <w:rtl/>
        </w:rPr>
        <w:t xml:space="preserve"> אליו "את כל הנהלים הרלוונטיים" לבית משפט </w:t>
      </w:r>
      <w:r w:rsidRPr="00247C05">
        <w:rPr>
          <w:rFonts w:cs="FrankRuehl" w:hint="cs"/>
          <w:sz w:val="20"/>
          <w:szCs w:val="22"/>
          <w:rtl/>
        </w:rPr>
        <w:t>עמ</w:t>
      </w:r>
      <w:r w:rsidRPr="00247C05">
        <w:rPr>
          <w:rFonts w:cs="FrankRuehl"/>
          <w:sz w:val="20"/>
          <w:szCs w:val="22"/>
          <w:rtl/>
        </w:rPr>
        <w:t xml:space="preserve">"ק. מנהל התחום לשעבר </w:t>
      </w:r>
      <w:r w:rsidRPr="00247C05">
        <w:rPr>
          <w:rFonts w:cs="FrankRuehl" w:hint="cs"/>
          <w:sz w:val="20"/>
          <w:szCs w:val="22"/>
          <w:rtl/>
        </w:rPr>
        <w:t>השיב,</w:t>
      </w:r>
      <w:r w:rsidRPr="00247C05">
        <w:rPr>
          <w:rFonts w:cs="FrankRuehl"/>
          <w:sz w:val="20"/>
          <w:szCs w:val="22"/>
          <w:rtl/>
        </w:rPr>
        <w:t xml:space="preserve"> כי נהלים והוראות עבודה נשלחים </w:t>
      </w:r>
      <w:r w:rsidRPr="00247C05">
        <w:rPr>
          <w:rFonts w:cs="FrankRuehl" w:hint="cs"/>
          <w:sz w:val="20"/>
          <w:szCs w:val="22"/>
          <w:rtl/>
        </w:rPr>
        <w:t>אליו</w:t>
      </w:r>
      <w:r w:rsidRPr="00247C05">
        <w:rPr>
          <w:rFonts w:cs="FrankRuehl"/>
          <w:sz w:val="20"/>
          <w:szCs w:val="22"/>
          <w:rtl/>
        </w:rPr>
        <w:t xml:space="preserve"> באופן שוטף על ידי מנהל המחוז</w:t>
      </w:r>
      <w:r w:rsidRPr="00247C05">
        <w:rPr>
          <w:rFonts w:cs="FrankRuehl" w:hint="cs"/>
          <w:sz w:val="20"/>
          <w:szCs w:val="22"/>
          <w:rtl/>
        </w:rPr>
        <w:t>. לבסוף</w:t>
      </w:r>
      <w:r w:rsidRPr="00247C05">
        <w:rPr>
          <w:rFonts w:cs="FrankRuehl"/>
          <w:sz w:val="20"/>
          <w:szCs w:val="22"/>
          <w:rtl/>
        </w:rPr>
        <w:t xml:space="preserve"> פנה</w:t>
      </w:r>
      <w:r w:rsidRPr="00247C05">
        <w:rPr>
          <w:rFonts w:cs="FrankRuehl" w:hint="cs"/>
          <w:sz w:val="20"/>
          <w:szCs w:val="22"/>
          <w:rtl/>
        </w:rPr>
        <w:t xml:space="preserve"> המזכיר</w:t>
      </w:r>
      <w:r w:rsidRPr="00247C05">
        <w:rPr>
          <w:rFonts w:cs="FrankRuehl"/>
          <w:sz w:val="20"/>
          <w:szCs w:val="22"/>
          <w:rtl/>
        </w:rPr>
        <w:t xml:space="preserve"> למנהל </w:t>
      </w:r>
      <w:r w:rsidRPr="00247C05">
        <w:rPr>
          <w:rFonts w:cs="FrankRuehl" w:hint="cs"/>
          <w:sz w:val="20"/>
          <w:szCs w:val="22"/>
          <w:rtl/>
        </w:rPr>
        <w:t>ה</w:t>
      </w:r>
      <w:r w:rsidRPr="00247C05">
        <w:rPr>
          <w:rFonts w:cs="FrankRuehl"/>
          <w:sz w:val="20"/>
          <w:szCs w:val="22"/>
          <w:rtl/>
        </w:rPr>
        <w:t>מחוז ב</w:t>
      </w:r>
      <w:r w:rsidRPr="00247C05">
        <w:rPr>
          <w:rFonts w:cs="FrankRuehl" w:hint="cs"/>
          <w:sz w:val="20"/>
          <w:szCs w:val="22"/>
          <w:rtl/>
        </w:rPr>
        <w:t xml:space="preserve">אותה </w:t>
      </w:r>
      <w:r w:rsidRPr="00247C05">
        <w:rPr>
          <w:rFonts w:cs="FrankRuehl"/>
          <w:sz w:val="20"/>
          <w:szCs w:val="22"/>
          <w:rtl/>
        </w:rPr>
        <w:t xml:space="preserve">בקשה </w:t>
      </w:r>
      <w:r w:rsidRPr="00247C05">
        <w:rPr>
          <w:rFonts w:cs="FrankRuehl" w:hint="cs"/>
          <w:sz w:val="20"/>
          <w:szCs w:val="22"/>
          <w:rtl/>
        </w:rPr>
        <w:t>כדי</w:t>
      </w:r>
      <w:r w:rsidRPr="00247C05">
        <w:rPr>
          <w:rFonts w:cs="FrankRuehl"/>
          <w:sz w:val="20"/>
          <w:szCs w:val="22"/>
          <w:rtl/>
        </w:rPr>
        <w:t xml:space="preserve"> </w:t>
      </w:r>
      <w:r w:rsidRPr="00247C05">
        <w:rPr>
          <w:rFonts w:cs="FrankRuehl" w:hint="cs"/>
          <w:sz w:val="20"/>
          <w:szCs w:val="22"/>
          <w:rtl/>
        </w:rPr>
        <w:t xml:space="preserve">שיוכל </w:t>
      </w:r>
      <w:r w:rsidRPr="00247C05">
        <w:rPr>
          <w:rFonts w:cs="FrankRuehl"/>
          <w:sz w:val="20"/>
          <w:szCs w:val="22"/>
          <w:rtl/>
        </w:rPr>
        <w:t>"לעבוד באופן מסודר... [כיוון ש]</w:t>
      </w:r>
      <w:r w:rsidRPr="00247C05">
        <w:rPr>
          <w:rFonts w:cs="FrankRuehl" w:hint="cs"/>
          <w:sz w:val="20"/>
          <w:szCs w:val="22"/>
          <w:rtl/>
        </w:rPr>
        <w:t xml:space="preserve"> </w:t>
      </w:r>
      <w:r w:rsidRPr="00247C05">
        <w:rPr>
          <w:rFonts w:cs="FrankRuehl"/>
          <w:sz w:val="20"/>
          <w:szCs w:val="22"/>
          <w:rtl/>
        </w:rPr>
        <w:t xml:space="preserve">אין ברשותי נהלים מהשנים האחרונות". </w:t>
      </w:r>
      <w:r w:rsidRPr="00247C05">
        <w:rPr>
          <w:rFonts w:cs="FrankRuehl" w:hint="cs"/>
          <w:sz w:val="20"/>
          <w:szCs w:val="22"/>
          <w:rtl/>
        </w:rPr>
        <w:t>מנהל</w:t>
      </w:r>
      <w:r w:rsidRPr="00247C05">
        <w:rPr>
          <w:rFonts w:cs="FrankRuehl"/>
          <w:sz w:val="20"/>
          <w:szCs w:val="22"/>
          <w:rtl/>
        </w:rPr>
        <w:t xml:space="preserve"> המחוז </w:t>
      </w:r>
      <w:r w:rsidRPr="00247C05">
        <w:rPr>
          <w:rFonts w:cs="FrankRuehl" w:hint="cs"/>
          <w:sz w:val="20"/>
          <w:szCs w:val="22"/>
          <w:rtl/>
        </w:rPr>
        <w:t>השיב,</w:t>
      </w:r>
      <w:r w:rsidRPr="00247C05">
        <w:rPr>
          <w:rFonts w:cs="FrankRuehl"/>
          <w:sz w:val="20"/>
          <w:szCs w:val="22"/>
          <w:rtl/>
        </w:rPr>
        <w:t xml:space="preserve"> כי בשנים האחרונות העב</w:t>
      </w:r>
      <w:r w:rsidRPr="00247C05">
        <w:rPr>
          <w:rFonts w:cs="FrankRuehl" w:hint="cs"/>
          <w:sz w:val="20"/>
          <w:szCs w:val="22"/>
          <w:rtl/>
        </w:rPr>
        <w:t>י</w:t>
      </w:r>
      <w:r w:rsidRPr="00247C05">
        <w:rPr>
          <w:rFonts w:cs="FrankRuehl"/>
          <w:sz w:val="20"/>
          <w:szCs w:val="22"/>
          <w:rtl/>
        </w:rPr>
        <w:t>ר ל</w:t>
      </w:r>
      <w:r w:rsidRPr="00247C05">
        <w:rPr>
          <w:rFonts w:cs="FrankRuehl" w:hint="cs"/>
          <w:sz w:val="20"/>
          <w:szCs w:val="22"/>
          <w:rtl/>
        </w:rPr>
        <w:t>מזכיר</w:t>
      </w:r>
      <w:r w:rsidRPr="00247C05">
        <w:rPr>
          <w:rFonts w:cs="FrankRuehl"/>
          <w:sz w:val="20"/>
          <w:szCs w:val="22"/>
          <w:rtl/>
        </w:rPr>
        <w:t xml:space="preserve"> גם נהלים שלא נוגעים או נוגעים חלקית לבית משפט עמ"ק. </w:t>
      </w:r>
      <w:r w:rsidRPr="00247C05">
        <w:rPr>
          <w:rFonts w:cs="FrankRuehl" w:hint="cs"/>
          <w:sz w:val="20"/>
          <w:szCs w:val="22"/>
          <w:rtl/>
        </w:rPr>
        <w:t>כעבור</w:t>
      </w:r>
      <w:r w:rsidRPr="00247C05">
        <w:rPr>
          <w:rFonts w:cs="FrankRuehl"/>
          <w:sz w:val="20"/>
          <w:szCs w:val="22"/>
          <w:rtl/>
        </w:rPr>
        <w:t xml:space="preserve"> </w:t>
      </w:r>
      <w:r w:rsidRPr="00247C05">
        <w:rPr>
          <w:rFonts w:cs="FrankRuehl" w:hint="cs"/>
          <w:sz w:val="20"/>
          <w:szCs w:val="22"/>
          <w:rtl/>
        </w:rPr>
        <w:t>מספר</w:t>
      </w:r>
      <w:r w:rsidRPr="00247C05">
        <w:rPr>
          <w:rFonts w:cs="FrankRuehl"/>
          <w:sz w:val="20"/>
          <w:szCs w:val="22"/>
          <w:rtl/>
        </w:rPr>
        <w:t xml:space="preserve"> ימים </w:t>
      </w:r>
      <w:r w:rsidRPr="00247C05">
        <w:rPr>
          <w:rFonts w:cs="FrankRuehl" w:hint="cs"/>
          <w:sz w:val="20"/>
          <w:szCs w:val="22"/>
          <w:rtl/>
        </w:rPr>
        <w:t>העביר</w:t>
      </w:r>
      <w:r w:rsidRPr="00247C05">
        <w:rPr>
          <w:rFonts w:cs="FrankRuehl"/>
          <w:sz w:val="20"/>
          <w:szCs w:val="22"/>
          <w:rtl/>
        </w:rPr>
        <w:t xml:space="preserve"> מנהל המחוז למזכיר מקבץ אלקטרוני של </w:t>
      </w:r>
      <w:r w:rsidRPr="00247C05">
        <w:rPr>
          <w:rFonts w:cs="FrankRuehl" w:hint="cs"/>
          <w:sz w:val="20"/>
          <w:szCs w:val="22"/>
          <w:rtl/>
        </w:rPr>
        <w:t>יותר מ-</w:t>
      </w:r>
      <w:r w:rsidRPr="00247C05">
        <w:rPr>
          <w:rFonts w:cs="FrankRuehl"/>
          <w:sz w:val="20"/>
          <w:szCs w:val="22"/>
          <w:rtl/>
        </w:rPr>
        <w:t xml:space="preserve"> 50 הנחיות, נהלים והוראות עבודה </w:t>
      </w:r>
      <w:r w:rsidRPr="00247C05">
        <w:rPr>
          <w:rFonts w:cs="FrankRuehl" w:hint="cs"/>
          <w:sz w:val="20"/>
          <w:szCs w:val="22"/>
          <w:rtl/>
        </w:rPr>
        <w:t>שלדעתו</w:t>
      </w:r>
      <w:r w:rsidRPr="00247C05">
        <w:rPr>
          <w:rFonts w:cs="FrankRuehl"/>
          <w:sz w:val="20"/>
          <w:szCs w:val="22"/>
          <w:rtl/>
        </w:rPr>
        <w:t xml:space="preserve"> </w:t>
      </w:r>
      <w:r w:rsidRPr="00247C05">
        <w:rPr>
          <w:rFonts w:cs="FrankRuehl" w:hint="cs"/>
          <w:sz w:val="20"/>
          <w:szCs w:val="22"/>
          <w:rtl/>
        </w:rPr>
        <w:t xml:space="preserve">לבמ"ש עמ"ק </w:t>
      </w:r>
      <w:r w:rsidRPr="00247C05">
        <w:rPr>
          <w:rFonts w:cs="FrankRuehl"/>
          <w:sz w:val="20"/>
          <w:szCs w:val="22"/>
          <w:rtl/>
        </w:rPr>
        <w:t xml:space="preserve">"יש </w:t>
      </w:r>
      <w:r w:rsidRPr="00247C05">
        <w:rPr>
          <w:rFonts w:cs="FrankRuehl" w:hint="cs"/>
          <w:sz w:val="20"/>
          <w:szCs w:val="22"/>
          <w:rtl/>
        </w:rPr>
        <w:t xml:space="preserve">[בהם] </w:t>
      </w:r>
      <w:r w:rsidRPr="00247C05">
        <w:rPr>
          <w:rFonts w:cs="FrankRuehl"/>
          <w:sz w:val="20"/>
          <w:szCs w:val="22"/>
          <w:rtl/>
        </w:rPr>
        <w:t xml:space="preserve">עניין, קשר, צורך". </w:t>
      </w:r>
      <w:r w:rsidRPr="00247C05">
        <w:rPr>
          <w:rFonts w:cs="FrankRuehl" w:hint="cs"/>
          <w:sz w:val="20"/>
          <w:szCs w:val="22"/>
          <w:rtl/>
        </w:rPr>
        <w:t xml:space="preserve">ואולם משרד מבקר המדינה העלה, כי </w:t>
      </w:r>
      <w:r w:rsidRPr="00247C05">
        <w:rPr>
          <w:rFonts w:cs="FrankRuehl"/>
          <w:sz w:val="20"/>
          <w:szCs w:val="22"/>
          <w:rtl/>
        </w:rPr>
        <w:t>בפועל רבים מ</w:t>
      </w:r>
      <w:r w:rsidRPr="00247C05">
        <w:rPr>
          <w:rFonts w:cs="FrankRuehl" w:hint="cs"/>
          <w:sz w:val="20"/>
          <w:szCs w:val="22"/>
          <w:rtl/>
        </w:rPr>
        <w:t>ה</w:t>
      </w:r>
      <w:r w:rsidRPr="00247C05">
        <w:rPr>
          <w:rFonts w:cs="FrankRuehl"/>
          <w:sz w:val="20"/>
          <w:szCs w:val="22"/>
          <w:rtl/>
        </w:rPr>
        <w:t>נהלים ו</w:t>
      </w:r>
      <w:r w:rsidRPr="00247C05">
        <w:rPr>
          <w:rFonts w:cs="FrankRuehl" w:hint="cs"/>
          <w:sz w:val="20"/>
          <w:szCs w:val="22"/>
          <w:rtl/>
        </w:rPr>
        <w:t>ה</w:t>
      </w:r>
      <w:r w:rsidRPr="00247C05">
        <w:rPr>
          <w:rFonts w:cs="FrankRuehl"/>
          <w:sz w:val="20"/>
          <w:szCs w:val="22"/>
          <w:rtl/>
        </w:rPr>
        <w:t xml:space="preserve">הוראות </w:t>
      </w:r>
      <w:r w:rsidRPr="00247C05">
        <w:rPr>
          <w:rFonts w:cs="FrankRuehl" w:hint="cs"/>
          <w:sz w:val="20"/>
          <w:szCs w:val="22"/>
          <w:rtl/>
        </w:rPr>
        <w:t>שהעביר</w:t>
      </w:r>
      <w:r w:rsidRPr="00247C05">
        <w:rPr>
          <w:rFonts w:cs="FrankRuehl"/>
          <w:sz w:val="20"/>
          <w:szCs w:val="22"/>
          <w:rtl/>
        </w:rPr>
        <w:t xml:space="preserve"> לא נמצאו </w:t>
      </w:r>
      <w:r w:rsidRPr="00247C05">
        <w:rPr>
          <w:rFonts w:cs="FrankRuehl" w:hint="cs"/>
          <w:sz w:val="20"/>
          <w:szCs w:val="22"/>
          <w:rtl/>
        </w:rPr>
        <w:t>במזכירויות</w:t>
      </w:r>
      <w:r w:rsidRPr="00247C05">
        <w:rPr>
          <w:rFonts w:cs="FrankRuehl"/>
          <w:sz w:val="20"/>
          <w:szCs w:val="22"/>
          <w:rtl/>
        </w:rPr>
        <w:t xml:space="preserve"> האחרות של </w:t>
      </w:r>
      <w:r w:rsidRPr="00247C05">
        <w:rPr>
          <w:rFonts w:cs="FrankRuehl" w:hint="cs"/>
          <w:sz w:val="20"/>
          <w:szCs w:val="22"/>
          <w:rtl/>
        </w:rPr>
        <w:t>במ</w:t>
      </w:r>
      <w:r w:rsidRPr="00247C05">
        <w:rPr>
          <w:rFonts w:cs="FrankRuehl"/>
          <w:sz w:val="20"/>
          <w:szCs w:val="22"/>
          <w:rtl/>
        </w:rPr>
        <w:t>"ש עמ"ק.</w:t>
      </w:r>
    </w:p>
    <w:p w:rsidR="003037FB" w:rsidRPr="00247C05" w:rsidP="004436F7">
      <w:pPr>
        <w:pStyle w:val="RESHET"/>
        <w:keepLines/>
        <w:ind w:left="567"/>
        <w:rPr>
          <w:rtl/>
        </w:rPr>
      </w:pPr>
      <w:r w:rsidRPr="00247C05">
        <w:rPr>
          <w:rFonts w:hint="cs"/>
          <w:rtl/>
        </w:rPr>
        <w:t>לדעת</w:t>
      </w:r>
      <w:r w:rsidRPr="00247C05">
        <w:rPr>
          <w:rtl/>
        </w:rPr>
        <w:t xml:space="preserve"> </w:t>
      </w:r>
      <w:r w:rsidRPr="00247C05">
        <w:rPr>
          <w:rFonts w:hint="cs"/>
          <w:rtl/>
        </w:rPr>
        <w:t>משרד מבקר</w:t>
      </w:r>
      <w:r w:rsidRPr="00247C05">
        <w:rPr>
          <w:rtl/>
        </w:rPr>
        <w:t xml:space="preserve"> </w:t>
      </w:r>
      <w:r w:rsidRPr="00247C05">
        <w:rPr>
          <w:rFonts w:hint="cs"/>
          <w:rtl/>
        </w:rPr>
        <w:t>המדינה</w:t>
      </w:r>
      <w:r w:rsidRPr="00247C05">
        <w:rPr>
          <w:rtl/>
        </w:rPr>
        <w:t xml:space="preserve">, </w:t>
      </w:r>
      <w:r w:rsidRPr="00247C05">
        <w:rPr>
          <w:rFonts w:hint="cs"/>
          <w:rtl/>
        </w:rPr>
        <w:t>הפצה</w:t>
      </w:r>
      <w:r w:rsidRPr="00247C05">
        <w:rPr>
          <w:rtl/>
        </w:rPr>
        <w:t xml:space="preserve"> </w:t>
      </w:r>
      <w:r w:rsidRPr="00247C05">
        <w:rPr>
          <w:rFonts w:hint="cs"/>
          <w:rtl/>
        </w:rPr>
        <w:t>לא</w:t>
      </w:r>
      <w:r w:rsidRPr="00247C05">
        <w:rPr>
          <w:rtl/>
        </w:rPr>
        <w:t xml:space="preserve"> </w:t>
      </w:r>
      <w:r w:rsidRPr="00247C05">
        <w:rPr>
          <w:rFonts w:hint="cs"/>
          <w:rtl/>
        </w:rPr>
        <w:t>אחידה</w:t>
      </w:r>
      <w:r w:rsidRPr="00247C05">
        <w:rPr>
          <w:rtl/>
        </w:rPr>
        <w:t xml:space="preserve"> </w:t>
      </w:r>
      <w:r w:rsidRPr="00247C05">
        <w:rPr>
          <w:rFonts w:hint="cs"/>
          <w:rtl/>
        </w:rPr>
        <w:t>של</w:t>
      </w:r>
      <w:r w:rsidRPr="00247C05">
        <w:rPr>
          <w:rtl/>
        </w:rPr>
        <w:t xml:space="preserve"> </w:t>
      </w:r>
      <w:r w:rsidRPr="00247C05">
        <w:rPr>
          <w:rFonts w:hint="cs"/>
          <w:rtl/>
        </w:rPr>
        <w:t>נוהלי</w:t>
      </w:r>
      <w:r w:rsidRPr="00247C05">
        <w:rPr>
          <w:rtl/>
        </w:rPr>
        <w:t xml:space="preserve"> </w:t>
      </w:r>
      <w:r w:rsidRPr="00247C05">
        <w:rPr>
          <w:rFonts w:hint="cs"/>
          <w:rtl/>
        </w:rPr>
        <w:t>העבודה</w:t>
      </w:r>
      <w:r w:rsidRPr="00247C05">
        <w:rPr>
          <w:rtl/>
        </w:rPr>
        <w:t xml:space="preserve"> </w:t>
      </w:r>
      <w:r w:rsidRPr="00247C05">
        <w:rPr>
          <w:rFonts w:hint="cs"/>
          <w:rtl/>
        </w:rPr>
        <w:t>שאינה</w:t>
      </w:r>
      <w:r w:rsidRPr="00247C05">
        <w:rPr>
          <w:rtl/>
        </w:rPr>
        <w:t xml:space="preserve"> </w:t>
      </w:r>
      <w:r w:rsidRPr="00247C05">
        <w:rPr>
          <w:rFonts w:hint="cs"/>
          <w:rtl/>
        </w:rPr>
        <w:t>מנוהלת</w:t>
      </w:r>
      <w:r w:rsidRPr="00247C05">
        <w:rPr>
          <w:rtl/>
        </w:rPr>
        <w:t xml:space="preserve"> </w:t>
      </w:r>
      <w:r w:rsidRPr="00247C05">
        <w:rPr>
          <w:rFonts w:hint="cs"/>
          <w:rtl/>
        </w:rPr>
        <w:t>בידי</w:t>
      </w:r>
      <w:r w:rsidRPr="00247C05">
        <w:rPr>
          <w:rtl/>
        </w:rPr>
        <w:t xml:space="preserve"> </w:t>
      </w:r>
      <w:r w:rsidRPr="00247C05">
        <w:rPr>
          <w:rFonts w:hint="cs"/>
          <w:rtl/>
        </w:rPr>
        <w:t>גורם</w:t>
      </w:r>
      <w:r w:rsidRPr="00247C05">
        <w:rPr>
          <w:rtl/>
        </w:rPr>
        <w:t xml:space="preserve"> </w:t>
      </w:r>
      <w:r w:rsidRPr="00247C05">
        <w:rPr>
          <w:rFonts w:hint="cs"/>
          <w:rtl/>
        </w:rPr>
        <w:t>מטה</w:t>
      </w:r>
      <w:r w:rsidRPr="00247C05">
        <w:rPr>
          <w:rtl/>
        </w:rPr>
        <w:t xml:space="preserve"> </w:t>
      </w:r>
      <w:r w:rsidRPr="00247C05">
        <w:rPr>
          <w:rFonts w:hint="cs"/>
          <w:rtl/>
        </w:rPr>
        <w:t>מוסמך</w:t>
      </w:r>
      <w:r w:rsidRPr="00247C05">
        <w:rPr>
          <w:rtl/>
        </w:rPr>
        <w:t xml:space="preserve"> </w:t>
      </w:r>
      <w:r w:rsidRPr="00247C05">
        <w:rPr>
          <w:rFonts w:hint="cs"/>
          <w:rtl/>
        </w:rPr>
        <w:t>אחד המנהל מאגר מחייב של נהלים,</w:t>
      </w:r>
      <w:r w:rsidRPr="00247C05">
        <w:rPr>
          <w:rtl/>
        </w:rPr>
        <w:t xml:space="preserve"> </w:t>
      </w:r>
      <w:r w:rsidRPr="00247C05">
        <w:rPr>
          <w:rFonts w:hint="cs"/>
          <w:rtl/>
        </w:rPr>
        <w:t>עלולה</w:t>
      </w:r>
      <w:r w:rsidRPr="00247C05">
        <w:rPr>
          <w:rtl/>
        </w:rPr>
        <w:t xml:space="preserve"> </w:t>
      </w:r>
      <w:r w:rsidRPr="00247C05">
        <w:rPr>
          <w:rFonts w:hint="cs"/>
          <w:rtl/>
        </w:rPr>
        <w:t>להביא</w:t>
      </w:r>
      <w:r w:rsidRPr="00247C05">
        <w:rPr>
          <w:rtl/>
        </w:rPr>
        <w:t xml:space="preserve"> </w:t>
      </w:r>
      <w:r w:rsidRPr="00247C05">
        <w:rPr>
          <w:rFonts w:hint="cs"/>
          <w:rtl/>
        </w:rPr>
        <w:t>לידי פערי</w:t>
      </w:r>
      <w:r w:rsidRPr="00247C05">
        <w:rPr>
          <w:rtl/>
        </w:rPr>
        <w:t xml:space="preserve"> </w:t>
      </w:r>
      <w:r w:rsidRPr="00247C05">
        <w:rPr>
          <w:rFonts w:hint="cs"/>
          <w:rtl/>
        </w:rPr>
        <w:t>מידע,</w:t>
      </w:r>
      <w:r w:rsidRPr="00247C05">
        <w:rPr>
          <w:rtl/>
        </w:rPr>
        <w:t xml:space="preserve"> </w:t>
      </w:r>
      <w:r w:rsidRPr="00247C05">
        <w:rPr>
          <w:rFonts w:hint="cs"/>
          <w:rtl/>
        </w:rPr>
        <w:t>חוסר</w:t>
      </w:r>
      <w:r w:rsidRPr="00247C05">
        <w:rPr>
          <w:rtl/>
        </w:rPr>
        <w:t xml:space="preserve"> </w:t>
      </w:r>
      <w:r w:rsidRPr="00247C05">
        <w:rPr>
          <w:rFonts w:hint="cs"/>
          <w:rtl/>
        </w:rPr>
        <w:t>אחידות וסתירות פנימיות</w:t>
      </w:r>
      <w:r w:rsidRPr="00247C05">
        <w:rPr>
          <w:rtl/>
        </w:rPr>
        <w:t xml:space="preserve"> </w:t>
      </w:r>
      <w:r w:rsidRPr="00247C05">
        <w:rPr>
          <w:rFonts w:hint="cs"/>
          <w:rtl/>
        </w:rPr>
        <w:t>שימנעו קיום סדרי</w:t>
      </w:r>
      <w:r w:rsidRPr="00247C05">
        <w:rPr>
          <w:rtl/>
        </w:rPr>
        <w:t xml:space="preserve"> עבוד</w:t>
      </w:r>
      <w:r w:rsidRPr="00247C05">
        <w:rPr>
          <w:rFonts w:hint="cs"/>
          <w:rtl/>
        </w:rPr>
        <w:t>ה אחידים</w:t>
      </w:r>
      <w:r w:rsidRPr="00247C05">
        <w:rPr>
          <w:rtl/>
        </w:rPr>
        <w:t xml:space="preserve"> </w:t>
      </w:r>
      <w:r w:rsidRPr="00247C05">
        <w:rPr>
          <w:rFonts w:hint="cs"/>
          <w:rtl/>
        </w:rPr>
        <w:t xml:space="preserve">בפעילות </w:t>
      </w:r>
      <w:r w:rsidRPr="00247C05">
        <w:rPr>
          <w:rtl/>
        </w:rPr>
        <w:t xml:space="preserve">המזכירויות. </w:t>
      </w:r>
      <w:r w:rsidRPr="00247C05">
        <w:rPr>
          <w:rFonts w:hint="cs"/>
          <w:rtl/>
        </w:rPr>
        <w:t>המצב הקיים אף עשוי</w:t>
      </w:r>
      <w:r w:rsidRPr="00247C05">
        <w:rPr>
          <w:rtl/>
        </w:rPr>
        <w:t xml:space="preserve"> להביא </w:t>
      </w:r>
      <w:r w:rsidRPr="00247C05">
        <w:rPr>
          <w:rFonts w:hint="cs"/>
          <w:rtl/>
        </w:rPr>
        <w:t>לידי עמימות</w:t>
      </w:r>
      <w:r w:rsidRPr="00247C05">
        <w:rPr>
          <w:rtl/>
        </w:rPr>
        <w:t xml:space="preserve"> </w:t>
      </w:r>
      <w:r w:rsidRPr="00247C05">
        <w:rPr>
          <w:rFonts w:hint="cs"/>
          <w:rtl/>
        </w:rPr>
        <w:t>בשאלה</w:t>
      </w:r>
      <w:r w:rsidRPr="00247C05">
        <w:rPr>
          <w:rtl/>
        </w:rPr>
        <w:t xml:space="preserve"> מי הגורם המנחה והאחראי </w:t>
      </w:r>
      <w:r w:rsidRPr="00247C05">
        <w:rPr>
          <w:rFonts w:hint="cs"/>
          <w:rtl/>
        </w:rPr>
        <w:t>בהב</w:t>
      </w:r>
      <w:r w:rsidRPr="00247C05">
        <w:rPr>
          <w:rtl/>
        </w:rPr>
        <w:t>"ה</w:t>
      </w:r>
      <w:r w:rsidRPr="00247C05">
        <w:rPr>
          <w:rFonts w:hint="cs"/>
          <w:rtl/>
        </w:rPr>
        <w:t xml:space="preserve"> לעבודת המזכירויות. </w:t>
      </w:r>
    </w:p>
    <w:p w:rsidR="003037FB" w:rsidP="004436F7">
      <w:pPr>
        <w:pStyle w:val="ListParagraph"/>
        <w:numPr>
          <w:ilvl w:val="0"/>
          <w:numId w:val="5"/>
        </w:numPr>
        <w:spacing w:before="180"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סדרי מינהל תקין מחייבים כי בכל מזכירויות בתי משפט עמ"ק יימצאו כל הנהלים ובהם גם הנהלים המעודכנים שהפיצה הב"ה בנוגע להוראות המחייבות אותם. כמו כן קובע נוהל ממשקי עבודה, כי על מזכיר במ"ש עמ"ק לתייק את נוהלי העבודה המעודכנים בקלסר ייעודי שיהיה נגיש לכלל העובדים.</w:t>
      </w:r>
    </w:p>
    <w:tbl>
      <w:tblPr>
        <w:bidiVisual/>
        <w:tblW w:w="7031" w:type="dxa"/>
        <w:tblLook w:val="04A0"/>
      </w:tblPr>
      <w:tblGrid>
        <w:gridCol w:w="340"/>
        <w:gridCol w:w="369"/>
        <w:gridCol w:w="6322"/>
      </w:tblGrid>
      <w:tr w:rsidTr="00862DE8">
        <w:tblPrEx>
          <w:tblW w:w="7031" w:type="dxa"/>
          <w:tblLook w:val="04A0"/>
        </w:tblPrEx>
        <w:tc>
          <w:tcPr>
            <w:tcW w:w="340" w:type="dxa"/>
          </w:tcPr>
          <w:p w:rsidR="00D107CE" w:rsidRPr="0001521E" w:rsidP="00862DE8">
            <w:pPr>
              <w:spacing w:before="100" w:after="240" w:line="230" w:lineRule="exact"/>
              <w:rPr>
                <w:rFonts w:cs="FrankRuehl"/>
                <w:sz w:val="20"/>
                <w:szCs w:val="22"/>
                <w:rtl/>
              </w:rPr>
            </w:pPr>
          </w:p>
        </w:tc>
        <w:tc>
          <w:tcPr>
            <w:tcW w:w="369" w:type="dxa"/>
            <w:shd w:val="clear" w:color="auto" w:fill="auto"/>
          </w:tcPr>
          <w:p w:rsidR="00D107CE" w:rsidRPr="00EA2B00" w:rsidP="00862DE8">
            <w:pPr>
              <w:spacing w:before="100" w:line="230" w:lineRule="exact"/>
              <w:rPr>
                <w:rFonts w:cs="FrankRuehl"/>
                <w:sz w:val="20"/>
                <w:szCs w:val="22"/>
                <w:highlight w:val="green"/>
                <w:rtl/>
              </w:rPr>
            </w:pPr>
            <w:r w:rsidRPr="00BC31A8">
              <w:rPr>
                <w:rFonts w:cs="FrankRuehl" w:hint="cs"/>
                <w:sz w:val="20"/>
                <w:szCs w:val="22"/>
                <w:rtl/>
              </w:rPr>
              <w:t>א.</w:t>
            </w:r>
          </w:p>
        </w:tc>
        <w:tc>
          <w:tcPr>
            <w:tcW w:w="0" w:type="auto"/>
            <w:shd w:val="clear" w:color="auto" w:fill="auto"/>
          </w:tcPr>
          <w:p w:rsidR="00D107CE" w:rsidP="00862DE8">
            <w:pPr>
              <w:pStyle w:val="RESHET"/>
              <w:rPr>
                <w:rtl/>
              </w:rPr>
            </w:pPr>
            <w:r w:rsidRPr="00D107CE">
              <w:rPr>
                <w:rFonts w:eastAsia="Calibri" w:hint="cs"/>
                <w:rtl/>
              </w:rPr>
              <w:t>בדיקת משרד מבקר המדינה העלתה, כי להב"ה אין רשימת נהלים המחייבים את מזכירויות בתי המשפט עמ"ק. בדיקה בתשע מזכירויות של בתי משפט העלתה שאין אחידות בין המזכירויות בנוגע להימצאותם של נוהלי העבודה, ובאף אחת מהן לא נמצאו כל הנהלים המחייבים שהפיצה הב"ה</w:t>
            </w:r>
            <w:r w:rsidRPr="00D107CE">
              <w:rPr>
                <w:rFonts w:eastAsia="Calibri"/>
                <w:rtl/>
              </w:rPr>
              <w:t>.</w:t>
            </w:r>
          </w:p>
        </w:tc>
      </w:tr>
    </w:tbl>
    <w:p w:rsidR="003037FB" w:rsidRPr="00247C05" w:rsidP="00056D5E">
      <w:pPr>
        <w:pStyle w:val="ListParagraph"/>
        <w:numPr>
          <w:ilvl w:val="2"/>
          <w:numId w:val="19"/>
        </w:numPr>
        <w:tabs>
          <w:tab w:val="left" w:pos="1077"/>
        </w:tabs>
        <w:spacing w:after="12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בשלוש מזכירויות של בתי המשפט שנבדקו נמצאו שישה נהלים ייעודיים, בשתיים נמצאו חמישה, בשלושה בתי משפט שניים ובבית משפט אחד נמצא רק נוהל אחד. כך למשל נמצא נוהל בדבר התחייבות להימנע מעברה בתיקי עמ"ק</w:t>
      </w:r>
      <w:r w:rsidRPr="00247C05">
        <w:rPr>
          <w:rFonts w:ascii="Times New Roman" w:hAnsi="Times New Roman" w:cs="FrankRuehl"/>
          <w:sz w:val="20"/>
          <w:rtl/>
        </w:rPr>
        <w:t xml:space="preserve"> </w:t>
      </w:r>
      <w:r w:rsidRPr="00247C05">
        <w:rPr>
          <w:rFonts w:ascii="Times New Roman" w:hAnsi="Times New Roman" w:cs="FrankRuehl" w:hint="cs"/>
          <w:sz w:val="20"/>
          <w:rtl/>
        </w:rPr>
        <w:t xml:space="preserve">רק בארבעה מבתי המשפט שנבדקו. </w:t>
      </w:r>
    </w:p>
    <w:p w:rsidR="003037FB" w:rsidRPr="00247C05" w:rsidP="00056D5E">
      <w:pPr>
        <w:pStyle w:val="ListParagraph"/>
        <w:numPr>
          <w:ilvl w:val="2"/>
          <w:numId w:val="19"/>
        </w:numPr>
        <w:tabs>
          <w:tab w:val="left" w:pos="1077"/>
        </w:tabs>
        <w:spacing w:after="12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בבדיקה בתשע מזכירויות של בתי משפט עמ"ק נספרו 29 נוהלי רוחב. ואולם באף אחד מהם לא נמצאו כל 29 נוהלי הרוחב. בבית משפט אחד נמצאו רק ארבעה נוהלי רוחב (כ-14%). כך למשל, נמצאו הנהלים בדבר בקשות לשינוי מועד דיון ובקשות לדחיית דיון בשל קיום דיון אחר בבית משפט רק בארבעה מתשעת בתי המשפט שנבדקו. הנהלים בנוגע להפקת צווי הבאה</w:t>
      </w:r>
      <w:r>
        <w:rPr>
          <w:rStyle w:val="FootnoteReference"/>
          <w:rFonts w:ascii="Times New Roman" w:hAnsi="Times New Roman" w:cs="FrankRuehl"/>
          <w:sz w:val="20"/>
          <w:rtl/>
        </w:rPr>
        <w:footnoteReference w:id="12"/>
      </w:r>
      <w:r w:rsidRPr="00247C05">
        <w:rPr>
          <w:rFonts w:ascii="Times New Roman" w:hAnsi="Times New Roman" w:cs="FrankRuehl" w:hint="cs"/>
          <w:sz w:val="20"/>
          <w:rtl/>
        </w:rPr>
        <w:t xml:space="preserve"> ולטיפול בתיק שיש לעובד בית המשפט זיקה אליו נמצאו רק בשלושה בתי משפט עמ"ק. חמישה נהלים אחרים של הב"ה נמצאו רק בבית משפט עמ"ק אחד. בבית משפט עמ"ק ירושלים נמצאו 15 נהלים שלא נמצאו באף אחד מבמ"ש עמ"ק האחרים שנבדקו. </w:t>
      </w:r>
    </w:p>
    <w:tbl>
      <w:tblPr>
        <w:bidiVisual/>
        <w:tblW w:w="7031" w:type="dxa"/>
        <w:tblLook w:val="04A0"/>
      </w:tblPr>
      <w:tblGrid>
        <w:gridCol w:w="340"/>
        <w:gridCol w:w="369"/>
        <w:gridCol w:w="6322"/>
      </w:tblGrid>
      <w:tr w:rsidTr="00862DE8">
        <w:tblPrEx>
          <w:tblW w:w="7031" w:type="dxa"/>
          <w:tblLook w:val="04A0"/>
        </w:tblPrEx>
        <w:tc>
          <w:tcPr>
            <w:tcW w:w="340" w:type="dxa"/>
          </w:tcPr>
          <w:p w:rsidR="00056D5E" w:rsidRPr="0001521E" w:rsidP="00862DE8">
            <w:pPr>
              <w:spacing w:before="100" w:after="240" w:line="230" w:lineRule="exact"/>
              <w:rPr>
                <w:rFonts w:cs="FrankRuehl"/>
                <w:sz w:val="20"/>
                <w:szCs w:val="22"/>
                <w:rtl/>
              </w:rPr>
            </w:pPr>
          </w:p>
        </w:tc>
        <w:tc>
          <w:tcPr>
            <w:tcW w:w="369" w:type="dxa"/>
            <w:shd w:val="clear" w:color="auto" w:fill="auto"/>
          </w:tcPr>
          <w:p w:rsidR="00056D5E" w:rsidRPr="00EA2B00" w:rsidP="00056D5E">
            <w:pPr>
              <w:spacing w:before="100" w:line="230" w:lineRule="exact"/>
              <w:rPr>
                <w:rFonts w:cs="FrankRuehl"/>
                <w:sz w:val="20"/>
                <w:szCs w:val="22"/>
                <w:highlight w:val="green"/>
                <w:rtl/>
              </w:rPr>
            </w:pPr>
            <w:r>
              <w:rPr>
                <w:rFonts w:cs="FrankRuehl" w:hint="cs"/>
                <w:sz w:val="20"/>
                <w:szCs w:val="22"/>
                <w:rtl/>
              </w:rPr>
              <w:t>ב</w:t>
            </w:r>
            <w:r w:rsidRPr="00BC31A8">
              <w:rPr>
                <w:rFonts w:cs="FrankRuehl" w:hint="cs"/>
                <w:sz w:val="20"/>
                <w:szCs w:val="22"/>
                <w:rtl/>
              </w:rPr>
              <w:t>.</w:t>
            </w:r>
          </w:p>
        </w:tc>
        <w:tc>
          <w:tcPr>
            <w:tcW w:w="0" w:type="auto"/>
            <w:shd w:val="clear" w:color="auto" w:fill="auto"/>
          </w:tcPr>
          <w:p w:rsidR="00056D5E" w:rsidRPr="00056D5E" w:rsidP="00056D5E">
            <w:pPr>
              <w:pStyle w:val="RESHET"/>
              <w:rPr>
                <w:rFonts w:eastAsia="Calibri"/>
                <w:rtl/>
              </w:rPr>
            </w:pPr>
            <w:r w:rsidRPr="00056D5E">
              <w:rPr>
                <w:rFonts w:eastAsia="Calibri" w:hint="cs"/>
                <w:rtl/>
              </w:rPr>
              <w:t>נמצא כי חלק מהנהלים עודכנו כמה פעמים במהלך השנים, ואולם הנהלים המעודכנים והמחייבים נמצאו רק בחלק מתשעת בתי המשפט עמ"ק שנבדקו. כך לדוגמה, המהדורה הרביעית של נוהל בדבר טיפול בגזרי דין בתיקי עניינים מקומיים שעונשם קנס שניתן להמירו בימי מאסר - נמצאה רק בארבעה במ"ש עמ"ק שנבדקו.</w:t>
            </w:r>
          </w:p>
        </w:tc>
      </w:tr>
      <w:tr w:rsidTr="00862DE8">
        <w:tblPrEx>
          <w:tblW w:w="7031" w:type="dxa"/>
          <w:tblLook w:val="04A0"/>
        </w:tblPrEx>
        <w:tc>
          <w:tcPr>
            <w:tcW w:w="340" w:type="dxa"/>
          </w:tcPr>
          <w:p w:rsidR="00056D5E" w:rsidRPr="0001521E" w:rsidP="00862DE8">
            <w:pPr>
              <w:spacing w:before="100" w:after="240" w:line="230" w:lineRule="exact"/>
              <w:rPr>
                <w:rFonts w:cs="FrankRuehl"/>
                <w:sz w:val="20"/>
                <w:szCs w:val="22"/>
                <w:rtl/>
              </w:rPr>
            </w:pPr>
          </w:p>
        </w:tc>
        <w:tc>
          <w:tcPr>
            <w:tcW w:w="369" w:type="dxa"/>
            <w:shd w:val="clear" w:color="auto" w:fill="auto"/>
          </w:tcPr>
          <w:p w:rsidR="00056D5E" w:rsidRPr="00BC31A8" w:rsidP="00862DE8">
            <w:pPr>
              <w:spacing w:before="100" w:line="230" w:lineRule="exact"/>
              <w:rPr>
                <w:rFonts w:cs="FrankRuehl"/>
                <w:sz w:val="20"/>
                <w:szCs w:val="22"/>
                <w:rtl/>
              </w:rPr>
            </w:pPr>
            <w:r>
              <w:rPr>
                <w:rFonts w:cs="FrankRuehl" w:hint="cs"/>
                <w:sz w:val="20"/>
                <w:szCs w:val="22"/>
                <w:rtl/>
              </w:rPr>
              <w:t>ג.</w:t>
            </w:r>
          </w:p>
        </w:tc>
        <w:tc>
          <w:tcPr>
            <w:tcW w:w="0" w:type="auto"/>
            <w:shd w:val="clear" w:color="auto" w:fill="auto"/>
          </w:tcPr>
          <w:p w:rsidR="00056D5E" w:rsidRPr="00D107CE" w:rsidP="00862DE8">
            <w:pPr>
              <w:pStyle w:val="RESHET"/>
              <w:rPr>
                <w:rFonts w:eastAsia="Calibri"/>
                <w:rtl/>
              </w:rPr>
            </w:pPr>
            <w:r w:rsidRPr="00056D5E">
              <w:rPr>
                <w:rFonts w:eastAsia="Calibri" w:hint="cs"/>
                <w:rtl/>
              </w:rPr>
              <w:t>למרות</w:t>
            </w:r>
            <w:r w:rsidRPr="00056D5E">
              <w:rPr>
                <w:rFonts w:eastAsia="Calibri"/>
                <w:rtl/>
              </w:rPr>
              <w:t xml:space="preserve"> </w:t>
            </w:r>
            <w:r w:rsidRPr="00056D5E">
              <w:rPr>
                <w:rFonts w:eastAsia="Calibri" w:hint="cs"/>
                <w:rtl/>
              </w:rPr>
              <w:t>ש</w:t>
            </w:r>
            <w:r w:rsidRPr="00056D5E">
              <w:rPr>
                <w:rFonts w:eastAsia="Calibri"/>
                <w:rtl/>
              </w:rPr>
              <w:t xml:space="preserve">בכמה מקרים הועלה במזכירויות של במ"ש </w:t>
            </w:r>
            <w:r w:rsidRPr="00056D5E">
              <w:rPr>
                <w:rFonts w:eastAsia="Calibri" w:hint="cs"/>
                <w:rtl/>
              </w:rPr>
              <w:t>עמ</w:t>
            </w:r>
            <w:r w:rsidRPr="00056D5E">
              <w:rPr>
                <w:rFonts w:eastAsia="Calibri"/>
                <w:rtl/>
              </w:rPr>
              <w:t xml:space="preserve">"ק הצורך בקביעת מקבץ אחיד, מסודר ומחייב </w:t>
            </w:r>
            <w:r w:rsidRPr="00056D5E">
              <w:rPr>
                <w:rFonts w:eastAsia="Calibri" w:hint="cs"/>
                <w:rtl/>
              </w:rPr>
              <w:t>של נוהלי העבודה למזכירויות, הועלה בבדיקה של</w:t>
            </w:r>
            <w:r w:rsidRPr="00056D5E">
              <w:rPr>
                <w:rFonts w:eastAsia="Calibri"/>
                <w:rtl/>
              </w:rPr>
              <w:t xml:space="preserve"> תשעת בתי המשפט</w:t>
            </w:r>
            <w:r w:rsidRPr="00056D5E">
              <w:rPr>
                <w:rFonts w:eastAsia="Calibri" w:hint="cs"/>
                <w:rtl/>
              </w:rPr>
              <w:t>,</w:t>
            </w:r>
            <w:r w:rsidRPr="00056D5E">
              <w:rPr>
                <w:rFonts w:eastAsia="Calibri"/>
                <w:rtl/>
              </w:rPr>
              <w:t xml:space="preserve"> </w:t>
            </w:r>
            <w:r w:rsidRPr="00056D5E">
              <w:rPr>
                <w:rFonts w:eastAsia="Calibri" w:hint="cs"/>
                <w:rtl/>
              </w:rPr>
              <w:t>שבאף אחת מ</w:t>
            </w:r>
            <w:r w:rsidRPr="00056D5E">
              <w:rPr>
                <w:rFonts w:eastAsia="Calibri"/>
                <w:rtl/>
              </w:rPr>
              <w:t xml:space="preserve">המזכירויות </w:t>
            </w:r>
            <w:r w:rsidRPr="00056D5E">
              <w:rPr>
                <w:rFonts w:eastAsia="Calibri" w:hint="cs"/>
                <w:rtl/>
              </w:rPr>
              <w:t xml:space="preserve">שלהם לא נמצאו בקלסרים ואף לא </w:t>
            </w:r>
            <w:r w:rsidRPr="00056D5E">
              <w:rPr>
                <w:rFonts w:eastAsia="Calibri"/>
                <w:rtl/>
              </w:rPr>
              <w:t xml:space="preserve">במערכת </w:t>
            </w:r>
            <w:r w:rsidRPr="00056D5E">
              <w:rPr>
                <w:rFonts w:eastAsia="Calibri" w:hint="cs"/>
                <w:rtl/>
              </w:rPr>
              <w:t>הממוחשבת כל</w:t>
            </w:r>
            <w:r w:rsidRPr="00056D5E">
              <w:rPr>
                <w:rFonts w:eastAsia="Calibri"/>
                <w:rtl/>
              </w:rPr>
              <w:t xml:space="preserve"> </w:t>
            </w:r>
            <w:r w:rsidRPr="00056D5E">
              <w:rPr>
                <w:rFonts w:eastAsia="Calibri" w:hint="eastAsia"/>
                <w:rtl/>
              </w:rPr>
              <w:t>נ</w:t>
            </w:r>
            <w:r w:rsidRPr="00056D5E">
              <w:rPr>
                <w:rFonts w:eastAsia="Calibri" w:hint="cs"/>
                <w:rtl/>
              </w:rPr>
              <w:t>ו</w:t>
            </w:r>
            <w:r w:rsidRPr="00056D5E">
              <w:rPr>
                <w:rFonts w:eastAsia="Calibri" w:hint="eastAsia"/>
                <w:rtl/>
              </w:rPr>
              <w:t>הלי</w:t>
            </w:r>
            <w:r w:rsidRPr="00056D5E">
              <w:rPr>
                <w:rFonts w:eastAsia="Calibri"/>
                <w:rtl/>
              </w:rPr>
              <w:t xml:space="preserve"> העבודה </w:t>
            </w:r>
            <w:r w:rsidRPr="00056D5E">
              <w:rPr>
                <w:rFonts w:eastAsia="Calibri" w:hint="cs"/>
                <w:rtl/>
              </w:rPr>
              <w:t>המעודכנים</w:t>
            </w:r>
            <w:r w:rsidRPr="00056D5E">
              <w:rPr>
                <w:rFonts w:eastAsia="Calibri"/>
                <w:rtl/>
              </w:rPr>
              <w:t xml:space="preserve"> </w:t>
            </w:r>
            <w:r w:rsidRPr="00056D5E">
              <w:rPr>
                <w:rFonts w:eastAsia="Calibri" w:hint="cs"/>
                <w:rtl/>
              </w:rPr>
              <w:t>והרלוונטיים</w:t>
            </w:r>
            <w:r w:rsidRPr="00056D5E">
              <w:rPr>
                <w:rFonts w:eastAsia="Calibri"/>
                <w:rtl/>
              </w:rPr>
              <w:t xml:space="preserve"> </w:t>
            </w:r>
            <w:r w:rsidRPr="00056D5E">
              <w:rPr>
                <w:rFonts w:eastAsia="Calibri" w:hint="cs"/>
                <w:rtl/>
              </w:rPr>
              <w:t>לבמ</w:t>
            </w:r>
            <w:r w:rsidRPr="00056D5E">
              <w:rPr>
                <w:rFonts w:eastAsia="Calibri"/>
                <w:rtl/>
              </w:rPr>
              <w:t xml:space="preserve">"ש </w:t>
            </w:r>
            <w:r w:rsidRPr="00056D5E">
              <w:rPr>
                <w:rFonts w:eastAsia="Calibri" w:hint="cs"/>
                <w:rtl/>
              </w:rPr>
              <w:t>עמ</w:t>
            </w:r>
            <w:r w:rsidRPr="00056D5E">
              <w:rPr>
                <w:rFonts w:eastAsia="Calibri"/>
                <w:rtl/>
              </w:rPr>
              <w:t>"ק כ</w:t>
            </w:r>
            <w:r w:rsidRPr="00056D5E">
              <w:rPr>
                <w:rFonts w:eastAsia="Calibri" w:hint="cs"/>
                <w:rtl/>
              </w:rPr>
              <w:t>נ</w:t>
            </w:r>
            <w:r w:rsidRPr="00056D5E">
              <w:rPr>
                <w:rFonts w:eastAsia="Calibri"/>
                <w:rtl/>
              </w:rPr>
              <w:t>דרש בנוהל ממשקי עבודה</w:t>
            </w:r>
            <w:r w:rsidRPr="00056D5E">
              <w:rPr>
                <w:rFonts w:eastAsia="Calibri" w:hint="cs"/>
                <w:rtl/>
              </w:rPr>
              <w:t>.</w:t>
            </w:r>
            <w:r w:rsidRPr="00056D5E">
              <w:rPr>
                <w:rFonts w:eastAsia="Calibri"/>
                <w:rtl/>
              </w:rPr>
              <w:t xml:space="preserve"> </w:t>
            </w:r>
            <w:r w:rsidRPr="00056D5E">
              <w:rPr>
                <w:rFonts w:eastAsia="Calibri" w:hint="cs"/>
                <w:rtl/>
              </w:rPr>
              <w:t>במזכירויות האמורות הנהלים</w:t>
            </w:r>
            <w:r w:rsidRPr="00056D5E">
              <w:rPr>
                <w:rFonts w:eastAsia="Calibri"/>
                <w:rtl/>
              </w:rPr>
              <w:t xml:space="preserve"> </w:t>
            </w:r>
            <w:r w:rsidRPr="00056D5E">
              <w:rPr>
                <w:rFonts w:eastAsia="Calibri" w:hint="cs"/>
                <w:rtl/>
              </w:rPr>
              <w:t>אינם</w:t>
            </w:r>
            <w:r w:rsidRPr="00056D5E">
              <w:rPr>
                <w:rFonts w:eastAsia="Calibri"/>
                <w:rtl/>
              </w:rPr>
              <w:t xml:space="preserve"> </w:t>
            </w:r>
            <w:r w:rsidRPr="00056D5E">
              <w:rPr>
                <w:rFonts w:eastAsia="Calibri" w:hint="cs"/>
                <w:rtl/>
              </w:rPr>
              <w:t>מאורגנים</w:t>
            </w:r>
            <w:r w:rsidRPr="00056D5E">
              <w:rPr>
                <w:rFonts w:eastAsia="Calibri"/>
                <w:rtl/>
              </w:rPr>
              <w:t xml:space="preserve"> באופן סדור (לפי נושא ומהדורה עדכנית) ו</w:t>
            </w:r>
            <w:r w:rsidRPr="00056D5E">
              <w:rPr>
                <w:rFonts w:eastAsia="Calibri" w:hint="cs"/>
                <w:rtl/>
              </w:rPr>
              <w:t>אינם</w:t>
            </w:r>
            <w:r w:rsidRPr="00056D5E">
              <w:rPr>
                <w:rFonts w:eastAsia="Calibri"/>
                <w:rtl/>
              </w:rPr>
              <w:t xml:space="preserve"> </w:t>
            </w:r>
            <w:r w:rsidRPr="00056D5E">
              <w:rPr>
                <w:rFonts w:eastAsia="Calibri" w:hint="cs"/>
                <w:rtl/>
              </w:rPr>
              <w:t>נגישים</w:t>
            </w:r>
            <w:r w:rsidRPr="00056D5E">
              <w:rPr>
                <w:rFonts w:eastAsia="Calibri"/>
                <w:rtl/>
              </w:rPr>
              <w:t xml:space="preserve"> לכלל העובדים. חלק מהנהלים הודפסו</w:t>
            </w:r>
            <w:r w:rsidRPr="00056D5E">
              <w:rPr>
                <w:rFonts w:eastAsia="Calibri" w:hint="cs"/>
                <w:rtl/>
              </w:rPr>
              <w:t>,</w:t>
            </w:r>
            <w:r w:rsidRPr="00056D5E">
              <w:rPr>
                <w:rFonts w:eastAsia="Calibri"/>
                <w:rtl/>
              </w:rPr>
              <w:t xml:space="preserve"> וחלק נותרו במערכת הממוחשבת כקבצים אלקטרוניים שהתקבלו מגורמים שונים.</w:t>
            </w:r>
          </w:p>
        </w:tc>
      </w:tr>
    </w:tbl>
    <w:p w:rsidR="003037FB" w:rsidP="00040DAE">
      <w:pPr>
        <w:pStyle w:val="ListParagraph"/>
        <w:tabs>
          <w:tab w:val="left" w:pos="0"/>
        </w:tabs>
        <w:spacing w:after="120" w:line="230" w:lineRule="exact"/>
        <w:ind w:left="680"/>
        <w:contextualSpacing w:val="0"/>
        <w:jc w:val="both"/>
        <w:rPr>
          <w:rFonts w:ascii="Times New Roman" w:hAnsi="Times New Roman" w:cs="FrankRuehl"/>
          <w:sz w:val="20"/>
          <w:rtl/>
        </w:rPr>
      </w:pPr>
      <w:r w:rsidRPr="00247C05">
        <w:rPr>
          <w:rFonts w:ascii="Times New Roman" w:hAnsi="Times New Roman" w:cs="FrankRuehl" w:hint="cs"/>
          <w:sz w:val="20"/>
          <w:rtl/>
        </w:rPr>
        <w:t>יצוין כי בשנת 2012 במועד הכניסה לתוקף של נוהל ממשקי עבודה שתכליתו לאחד את הנהלים וסדרי העבודה של המזכירויות של במ"ש עמ"ק,</w:t>
      </w:r>
      <w:r w:rsidRPr="00247C05">
        <w:rPr>
          <w:rFonts w:ascii="Times New Roman" w:hAnsi="Times New Roman" w:cs="FrankRuehl" w:hint="eastAsia"/>
          <w:sz w:val="20"/>
          <w:rtl/>
        </w:rPr>
        <w:t xml:space="preserve"> </w:t>
      </w:r>
      <w:r w:rsidRPr="00247C05">
        <w:rPr>
          <w:rFonts w:ascii="Times New Roman" w:hAnsi="Times New Roman" w:cs="FrankRuehl" w:hint="cs"/>
          <w:sz w:val="20"/>
          <w:rtl/>
        </w:rPr>
        <w:t xml:space="preserve">הב"ה לא יזמה "יישור קו" של הנהלים הרלוונטיים לעבודת המזכירויות שיבטיח כי החל במועד זה יהיה ברשות המזכירויות מאגר אחיד של נהלים והנחיות. </w:t>
      </w:r>
    </w:p>
    <w:tbl>
      <w:tblPr>
        <w:bidiVisual/>
        <w:tblW w:w="7031" w:type="dxa"/>
        <w:tblLook w:val="04A0"/>
      </w:tblPr>
      <w:tblGrid>
        <w:gridCol w:w="340"/>
        <w:gridCol w:w="369"/>
        <w:gridCol w:w="6322"/>
      </w:tblGrid>
      <w:tr w:rsidTr="00862DE8">
        <w:tblPrEx>
          <w:tblW w:w="7031" w:type="dxa"/>
          <w:tblLook w:val="04A0"/>
        </w:tblPrEx>
        <w:tc>
          <w:tcPr>
            <w:tcW w:w="340" w:type="dxa"/>
          </w:tcPr>
          <w:p w:rsidR="00056D5E" w:rsidRPr="0001521E" w:rsidP="00862DE8">
            <w:pPr>
              <w:spacing w:before="100" w:after="240" w:line="230" w:lineRule="exact"/>
              <w:rPr>
                <w:rFonts w:cs="FrankRuehl"/>
                <w:sz w:val="20"/>
                <w:szCs w:val="22"/>
                <w:rtl/>
              </w:rPr>
            </w:pPr>
          </w:p>
        </w:tc>
        <w:tc>
          <w:tcPr>
            <w:tcW w:w="369" w:type="dxa"/>
            <w:shd w:val="clear" w:color="auto" w:fill="auto"/>
          </w:tcPr>
          <w:p w:rsidR="00056D5E" w:rsidRPr="00BC31A8" w:rsidP="00862DE8">
            <w:pPr>
              <w:spacing w:before="100" w:line="230" w:lineRule="exact"/>
              <w:rPr>
                <w:rFonts w:cs="FrankRuehl"/>
                <w:sz w:val="20"/>
                <w:szCs w:val="22"/>
                <w:rtl/>
              </w:rPr>
            </w:pPr>
            <w:r>
              <w:rPr>
                <w:rFonts w:cs="FrankRuehl" w:hint="cs"/>
                <w:sz w:val="20"/>
                <w:szCs w:val="22"/>
                <w:rtl/>
              </w:rPr>
              <w:t>ד.</w:t>
            </w:r>
          </w:p>
        </w:tc>
        <w:tc>
          <w:tcPr>
            <w:tcW w:w="0" w:type="auto"/>
            <w:shd w:val="clear" w:color="auto" w:fill="auto"/>
          </w:tcPr>
          <w:p w:rsidR="00056D5E" w:rsidRPr="00D107CE" w:rsidP="00862DE8">
            <w:pPr>
              <w:pStyle w:val="RESHET"/>
              <w:rPr>
                <w:rFonts w:eastAsia="Calibri"/>
                <w:rtl/>
              </w:rPr>
            </w:pPr>
            <w:r w:rsidRPr="00056D5E">
              <w:rPr>
                <w:rFonts w:eastAsia="Calibri" w:hint="cs"/>
                <w:rtl/>
              </w:rPr>
              <w:t>הב</w:t>
            </w:r>
            <w:r w:rsidRPr="00056D5E">
              <w:rPr>
                <w:rFonts w:eastAsia="Calibri"/>
                <w:rtl/>
              </w:rPr>
              <w:t>"ה מנהלת מאגר נהלים מקוון הפתוח לעיו</w:t>
            </w:r>
            <w:r w:rsidRPr="00056D5E">
              <w:rPr>
                <w:rFonts w:eastAsia="Calibri" w:hint="cs"/>
                <w:rtl/>
              </w:rPr>
              <w:t>נ</w:t>
            </w:r>
            <w:r w:rsidRPr="00056D5E">
              <w:rPr>
                <w:rFonts w:eastAsia="Calibri"/>
                <w:rtl/>
              </w:rPr>
              <w:t xml:space="preserve">ן </w:t>
            </w:r>
            <w:r w:rsidRPr="00056D5E">
              <w:rPr>
                <w:rFonts w:eastAsia="Calibri" w:hint="cs"/>
                <w:rtl/>
              </w:rPr>
              <w:t>ש</w:t>
            </w:r>
            <w:r w:rsidRPr="00056D5E">
              <w:rPr>
                <w:rFonts w:eastAsia="Calibri"/>
                <w:rtl/>
              </w:rPr>
              <w:t>ל</w:t>
            </w:r>
            <w:r w:rsidRPr="00056D5E">
              <w:rPr>
                <w:rFonts w:eastAsia="Calibri" w:hint="cs"/>
                <w:rtl/>
              </w:rPr>
              <w:t xml:space="preserve"> </w:t>
            </w:r>
            <w:r w:rsidRPr="00056D5E">
              <w:rPr>
                <w:rFonts w:eastAsia="Calibri"/>
                <w:rtl/>
              </w:rPr>
              <w:t xml:space="preserve">כל מזכירויות </w:t>
            </w:r>
            <w:r w:rsidRPr="00056D5E">
              <w:rPr>
                <w:rFonts w:eastAsia="Calibri" w:hint="cs"/>
                <w:rtl/>
              </w:rPr>
              <w:t xml:space="preserve">מערכת </w:t>
            </w:r>
            <w:r w:rsidRPr="00056D5E">
              <w:rPr>
                <w:rFonts w:eastAsia="Calibri"/>
                <w:rtl/>
              </w:rPr>
              <w:t>בתי המשפט. מאגר זה מעודכן באופן שוטף</w:t>
            </w:r>
            <w:r w:rsidRPr="00056D5E">
              <w:rPr>
                <w:rFonts w:eastAsia="Calibri" w:hint="cs"/>
                <w:rtl/>
              </w:rPr>
              <w:t>,</w:t>
            </w:r>
            <w:r w:rsidRPr="00056D5E">
              <w:rPr>
                <w:rFonts w:eastAsia="Calibri"/>
                <w:rtl/>
              </w:rPr>
              <w:t xml:space="preserve"> ו</w:t>
            </w:r>
            <w:r w:rsidRPr="00056D5E">
              <w:rPr>
                <w:rFonts w:eastAsia="Calibri" w:hint="cs"/>
                <w:rtl/>
              </w:rPr>
              <w:t xml:space="preserve">הוא </w:t>
            </w:r>
            <w:r w:rsidRPr="00056D5E">
              <w:rPr>
                <w:rFonts w:eastAsia="Calibri"/>
                <w:rtl/>
              </w:rPr>
              <w:t xml:space="preserve">כולל את הנוסחים המחייבים. </w:t>
            </w:r>
            <w:r w:rsidRPr="00056D5E">
              <w:rPr>
                <w:rFonts w:eastAsia="Calibri" w:hint="cs"/>
                <w:rtl/>
              </w:rPr>
              <w:t>ואולם, משרד מבקר המדינה מצא, כי לרוב</w:t>
            </w:r>
            <w:r w:rsidRPr="00056D5E">
              <w:rPr>
                <w:rFonts w:eastAsia="Calibri"/>
                <w:rtl/>
              </w:rPr>
              <w:t xml:space="preserve"> </w:t>
            </w:r>
            <w:r w:rsidRPr="00056D5E">
              <w:rPr>
                <w:rFonts w:eastAsia="Calibri" w:hint="eastAsia"/>
                <w:rtl/>
              </w:rPr>
              <w:t>מזכירויות</w:t>
            </w:r>
            <w:r w:rsidRPr="00056D5E">
              <w:rPr>
                <w:rFonts w:eastAsia="Calibri"/>
                <w:rtl/>
              </w:rPr>
              <w:t xml:space="preserve"> </w:t>
            </w:r>
            <w:r w:rsidRPr="00056D5E">
              <w:rPr>
                <w:rFonts w:eastAsia="Calibri" w:hint="eastAsia"/>
                <w:rtl/>
              </w:rPr>
              <w:t>בתי</w:t>
            </w:r>
            <w:r w:rsidRPr="00056D5E">
              <w:rPr>
                <w:rFonts w:eastAsia="Calibri"/>
                <w:rtl/>
              </w:rPr>
              <w:t xml:space="preserve"> </w:t>
            </w:r>
            <w:r w:rsidRPr="00056D5E">
              <w:rPr>
                <w:rFonts w:eastAsia="Calibri" w:hint="eastAsia"/>
                <w:rtl/>
              </w:rPr>
              <w:t>משפט</w:t>
            </w:r>
            <w:r w:rsidRPr="00056D5E">
              <w:rPr>
                <w:rFonts w:eastAsia="Calibri"/>
                <w:rtl/>
              </w:rPr>
              <w:t xml:space="preserve"> </w:t>
            </w:r>
            <w:r w:rsidRPr="00056D5E">
              <w:rPr>
                <w:rFonts w:eastAsia="Calibri" w:hint="eastAsia"/>
                <w:rtl/>
              </w:rPr>
              <w:t>עמ</w:t>
            </w:r>
            <w:r w:rsidRPr="00056D5E">
              <w:rPr>
                <w:rFonts w:eastAsia="Calibri"/>
                <w:rtl/>
              </w:rPr>
              <w:t>"ק אין גישה למאגר זה.</w:t>
            </w:r>
          </w:p>
        </w:tc>
      </w:tr>
    </w:tbl>
    <w:p w:rsidR="003037FB" w:rsidRPr="00247C05" w:rsidP="00056D5E">
      <w:pPr>
        <w:spacing w:after="240" w:line="230" w:lineRule="exact"/>
        <w:jc w:val="both"/>
        <w:rPr>
          <w:rFonts w:cs="FrankRuehl"/>
          <w:sz w:val="20"/>
          <w:szCs w:val="22"/>
          <w:rtl/>
        </w:rPr>
      </w:pPr>
      <w:r w:rsidRPr="00247C05">
        <w:rPr>
          <w:rFonts w:cs="FrankRuehl" w:hint="cs"/>
          <w:sz w:val="20"/>
          <w:szCs w:val="22"/>
          <w:rtl/>
        </w:rPr>
        <w:t>בתשובת הב"ה נכתב, כי לא קיימת אחידות בין בתי המשפט עמ"ק השונים כך שגם אם נכתב נוהל הוא אינו מתאים בהכרח לכל בתי המשפט עמ"ק. לבמ"ש עמ"ק אין נגישות למאגר הנהלים הממוחשב מאחר שאינם כפופים להב"ה. משכך, מופצים הנהלים לכל עובדי המזכירויות במ"ש עמ"ק, ואין באפשרותה של הב"ה לבדוק את אופן שמירת הנהלים בכל אחת מהמזכירויות. הב"ה הוסיפה כי "בימים אלו קיימת תכנית עבודה במסגרתה פועלת הנהלת בתי המשפט לקבץ את נהלי העבודה".</w:t>
      </w:r>
    </w:p>
    <w:p w:rsidR="003037FB" w:rsidRPr="00247C05" w:rsidP="00056D5E">
      <w:pPr>
        <w:pStyle w:val="RESHET"/>
        <w:keepLines/>
        <w:rPr>
          <w:rtl/>
        </w:rPr>
      </w:pPr>
      <w:r w:rsidRPr="00247C05">
        <w:rPr>
          <w:rFonts w:hint="cs"/>
          <w:rtl/>
        </w:rPr>
        <w:t xml:space="preserve">מציאות שבה הטיפול בנושא הנהלים לא הובל ולא נוהל על ידי </w:t>
      </w:r>
      <w:r w:rsidRPr="00247C05">
        <w:rPr>
          <w:rtl/>
        </w:rPr>
        <w:t>גורם</w:t>
      </w:r>
      <w:r w:rsidRPr="00247C05">
        <w:rPr>
          <w:rFonts w:hint="cs"/>
          <w:rtl/>
        </w:rPr>
        <w:t xml:space="preserve"> מטה מתאם שבין תפקידיו להנחות, לפקח, לבקר ולהטמיע את הנהלים, עשויה להסביר את החסרים וחוסר האחידות שעלו בעניין זה בבתי המשפט עמ"ק. הן </w:t>
      </w:r>
      <w:r w:rsidRPr="00247C05">
        <w:rPr>
          <w:rFonts w:hint="eastAsia"/>
          <w:rtl/>
        </w:rPr>
        <w:t>הב</w:t>
      </w:r>
      <w:r w:rsidRPr="00247C05">
        <w:rPr>
          <w:rtl/>
        </w:rPr>
        <w:t xml:space="preserve">"ה </w:t>
      </w:r>
      <w:r w:rsidRPr="00247C05">
        <w:rPr>
          <w:rFonts w:hint="cs"/>
          <w:rtl/>
        </w:rPr>
        <w:t>והן רוב מזכירי בתי משפט עמ"ק אינם מוודאים ש</w:t>
      </w:r>
      <w:r w:rsidRPr="00247C05">
        <w:rPr>
          <w:rtl/>
        </w:rPr>
        <w:t>כל נ</w:t>
      </w:r>
      <w:r w:rsidRPr="00247C05">
        <w:rPr>
          <w:rFonts w:hint="cs"/>
          <w:rtl/>
        </w:rPr>
        <w:t>ו</w:t>
      </w:r>
      <w:r w:rsidRPr="00247C05">
        <w:rPr>
          <w:rtl/>
        </w:rPr>
        <w:t xml:space="preserve">הלי הרוחב והנהלים הייעודיים העדכניים הרלבנטיים </w:t>
      </w:r>
      <w:r w:rsidRPr="00247C05">
        <w:rPr>
          <w:rFonts w:hint="cs"/>
          <w:rtl/>
        </w:rPr>
        <w:t>עומדים לרשות עובדי ה</w:t>
      </w:r>
      <w:r w:rsidRPr="00247C05">
        <w:rPr>
          <w:rtl/>
        </w:rPr>
        <w:t xml:space="preserve">מזכירויות </w:t>
      </w:r>
      <w:r w:rsidRPr="00247C05">
        <w:rPr>
          <w:rFonts w:hint="cs"/>
          <w:rtl/>
        </w:rPr>
        <w:t xml:space="preserve">של </w:t>
      </w:r>
      <w:r w:rsidRPr="00247C05">
        <w:rPr>
          <w:rtl/>
        </w:rPr>
        <w:t>ב</w:t>
      </w:r>
      <w:r w:rsidRPr="00247C05">
        <w:rPr>
          <w:rFonts w:hint="cs"/>
          <w:rtl/>
        </w:rPr>
        <w:t>תי המשפט.</w:t>
      </w:r>
      <w:r w:rsidRPr="00247C05">
        <w:rPr>
          <w:rtl/>
        </w:rPr>
        <w:t xml:space="preserve"> </w:t>
      </w:r>
      <w:r w:rsidRPr="00247C05">
        <w:rPr>
          <w:rFonts w:hint="cs"/>
          <w:rtl/>
        </w:rPr>
        <w:t xml:space="preserve">לדעת משרד מבקר המדינה, </w:t>
      </w:r>
      <w:r w:rsidRPr="00247C05">
        <w:rPr>
          <w:rtl/>
        </w:rPr>
        <w:t xml:space="preserve">על הב"ה </w:t>
      </w:r>
      <w:r w:rsidRPr="00247C05">
        <w:rPr>
          <w:rFonts w:hint="cs"/>
          <w:rtl/>
        </w:rPr>
        <w:t xml:space="preserve">להסמיך גורם מקצועי אחד שיהיה אמון </w:t>
      </w:r>
      <w:r w:rsidRPr="00247C05">
        <w:rPr>
          <w:rtl/>
        </w:rPr>
        <w:t xml:space="preserve">על </w:t>
      </w:r>
      <w:r w:rsidRPr="00247C05">
        <w:rPr>
          <w:rFonts w:hint="cs"/>
          <w:rtl/>
        </w:rPr>
        <w:t>הטיפול בנושא</w:t>
      </w:r>
      <w:r w:rsidRPr="00247C05">
        <w:rPr>
          <w:rFonts w:hint="cs"/>
          <w:rtl/>
        </w:rPr>
        <w:t>.</w:t>
      </w:r>
      <w:r w:rsidRPr="00247C05">
        <w:rPr>
          <w:rFonts w:hint="cs"/>
          <w:rtl/>
        </w:rPr>
        <w:t xml:space="preserve"> על מזכירי במ"ש עמ"ק </w:t>
      </w:r>
      <w:r w:rsidRPr="00247C05">
        <w:rPr>
          <w:rtl/>
        </w:rPr>
        <w:t>לוודא כי כל נ</w:t>
      </w:r>
      <w:r w:rsidRPr="00247C05">
        <w:rPr>
          <w:rFonts w:hint="cs"/>
          <w:rtl/>
        </w:rPr>
        <w:t>ו</w:t>
      </w:r>
      <w:r w:rsidRPr="00247C05">
        <w:rPr>
          <w:rtl/>
        </w:rPr>
        <w:t xml:space="preserve">הלי </w:t>
      </w:r>
      <w:r w:rsidRPr="00247C05">
        <w:rPr>
          <w:rFonts w:hint="cs"/>
          <w:rtl/>
        </w:rPr>
        <w:t>העבודה</w:t>
      </w:r>
      <w:r w:rsidRPr="00247C05">
        <w:rPr>
          <w:rtl/>
        </w:rPr>
        <w:t xml:space="preserve"> העדכניים הרלבנטיים לעבודת </w:t>
      </w:r>
      <w:r w:rsidRPr="00247C05">
        <w:rPr>
          <w:rFonts w:hint="cs"/>
          <w:rtl/>
        </w:rPr>
        <w:t>ה</w:t>
      </w:r>
      <w:r w:rsidRPr="00247C05">
        <w:rPr>
          <w:rtl/>
        </w:rPr>
        <w:t>מזכירויות יעמדו לרשות</w:t>
      </w:r>
      <w:r w:rsidRPr="00247C05">
        <w:rPr>
          <w:rFonts w:hint="cs"/>
          <w:rtl/>
        </w:rPr>
        <w:t>ם</w:t>
      </w:r>
      <w:r w:rsidRPr="00247C05">
        <w:rPr>
          <w:rtl/>
        </w:rPr>
        <w:t xml:space="preserve">. </w:t>
      </w:r>
    </w:p>
    <w:p w:rsidR="003037FB" w:rsidRPr="00247C05" w:rsidP="00056D5E">
      <w:pPr>
        <w:pStyle w:val="RESHET"/>
        <w:keepLines/>
        <w:rPr>
          <w:rtl/>
        </w:rPr>
      </w:pPr>
      <w:r w:rsidRPr="00247C05">
        <w:rPr>
          <w:rFonts w:hint="cs"/>
          <w:rtl/>
        </w:rPr>
        <w:t xml:space="preserve">לדעת משרד מבקר המדינה, </w:t>
      </w:r>
      <w:r w:rsidRPr="00247C05">
        <w:rPr>
          <w:rFonts w:hint="cs"/>
          <w:rtl/>
        </w:rPr>
        <w:t>עבודה מבוססת נהלים המשותפים לכל המזכירויות היא שלב הכרחי ליצירת אחידות, ולפיכך ראוי ש</w:t>
      </w:r>
      <w:r w:rsidRPr="00247C05">
        <w:rPr>
          <w:rFonts w:hint="eastAsia"/>
          <w:rtl/>
        </w:rPr>
        <w:t>הב</w:t>
      </w:r>
      <w:r w:rsidRPr="00247C05">
        <w:rPr>
          <w:rtl/>
        </w:rPr>
        <w:t xml:space="preserve">"ה </w:t>
      </w:r>
      <w:r w:rsidRPr="00247C05">
        <w:rPr>
          <w:rFonts w:hint="cs"/>
          <w:rtl/>
        </w:rPr>
        <w:t>תשלים במהרה גם את ההכנה של</w:t>
      </w:r>
      <w:r w:rsidRPr="00247C05">
        <w:rPr>
          <w:rtl/>
        </w:rPr>
        <w:t xml:space="preserve"> </w:t>
      </w:r>
      <w:r w:rsidRPr="00247C05">
        <w:rPr>
          <w:rFonts w:hint="eastAsia"/>
          <w:rtl/>
        </w:rPr>
        <w:t>מאגר</w:t>
      </w:r>
      <w:r w:rsidRPr="00247C05">
        <w:rPr>
          <w:rtl/>
        </w:rPr>
        <w:t xml:space="preserve"> </w:t>
      </w:r>
      <w:r w:rsidRPr="00247C05">
        <w:rPr>
          <w:rFonts w:hint="cs"/>
          <w:rtl/>
        </w:rPr>
        <w:t xml:space="preserve">אחיד שיכלול </w:t>
      </w:r>
      <w:r w:rsidRPr="00247C05">
        <w:rPr>
          <w:rtl/>
        </w:rPr>
        <w:t>נהלים, הנחיות והוראות</w:t>
      </w:r>
      <w:r w:rsidRPr="00247C05">
        <w:rPr>
          <w:rFonts w:hint="cs"/>
          <w:rtl/>
        </w:rPr>
        <w:t xml:space="preserve"> </w:t>
      </w:r>
      <w:r w:rsidRPr="00247C05">
        <w:rPr>
          <w:rFonts w:hint="eastAsia"/>
          <w:rtl/>
        </w:rPr>
        <w:t>מקצוע</w:t>
      </w:r>
      <w:r w:rsidRPr="00247C05">
        <w:rPr>
          <w:rFonts w:hint="cs"/>
          <w:rtl/>
        </w:rPr>
        <w:t>י</w:t>
      </w:r>
      <w:r w:rsidRPr="00247C05">
        <w:rPr>
          <w:rFonts w:hint="cs"/>
          <w:rtl/>
        </w:rPr>
        <w:t>ות</w:t>
      </w:r>
      <w:r w:rsidRPr="00247C05">
        <w:rPr>
          <w:rtl/>
        </w:rPr>
        <w:t xml:space="preserve"> </w:t>
      </w:r>
      <w:r w:rsidRPr="00247C05">
        <w:rPr>
          <w:rFonts w:hint="cs"/>
          <w:rtl/>
        </w:rPr>
        <w:t xml:space="preserve">ומעודכנות שקובעת הב"ה </w:t>
      </w:r>
      <w:r w:rsidRPr="00247C05">
        <w:rPr>
          <w:rFonts w:hint="eastAsia"/>
          <w:rtl/>
        </w:rPr>
        <w:t>שיאפשר</w:t>
      </w:r>
      <w:r w:rsidRPr="00247C05">
        <w:rPr>
          <w:rFonts w:hint="cs"/>
          <w:rtl/>
        </w:rPr>
        <w:t>ו</w:t>
      </w:r>
      <w:r w:rsidRPr="00247C05">
        <w:rPr>
          <w:rtl/>
        </w:rPr>
        <w:t xml:space="preserve"> </w:t>
      </w:r>
      <w:r w:rsidRPr="00247C05">
        <w:rPr>
          <w:rFonts w:hint="eastAsia"/>
          <w:rtl/>
        </w:rPr>
        <w:t>התמצאות</w:t>
      </w:r>
      <w:r w:rsidRPr="00247C05">
        <w:rPr>
          <w:rtl/>
        </w:rPr>
        <w:t xml:space="preserve"> מהירה ונגישות גבוהה ל</w:t>
      </w:r>
      <w:r w:rsidRPr="00247C05">
        <w:rPr>
          <w:rFonts w:hint="cs"/>
          <w:rtl/>
        </w:rPr>
        <w:t>מלוא ה</w:t>
      </w:r>
      <w:r w:rsidRPr="00247C05">
        <w:rPr>
          <w:rtl/>
        </w:rPr>
        <w:t>מידע</w:t>
      </w:r>
      <w:r w:rsidRPr="00247C05">
        <w:rPr>
          <w:rFonts w:hint="cs"/>
          <w:rtl/>
        </w:rPr>
        <w:t xml:space="preserve"> המעודכן. </w:t>
      </w:r>
      <w:r w:rsidRPr="00247C05">
        <w:rPr>
          <w:rFonts w:hint="eastAsia"/>
          <w:rtl/>
        </w:rPr>
        <w:t>מזכירויות</w:t>
      </w:r>
      <w:r w:rsidRPr="00247C05">
        <w:rPr>
          <w:rtl/>
        </w:rPr>
        <w:t xml:space="preserve"> </w:t>
      </w:r>
      <w:r w:rsidRPr="00247C05">
        <w:rPr>
          <w:rFonts w:hint="eastAsia"/>
          <w:rtl/>
        </w:rPr>
        <w:t>ב</w:t>
      </w:r>
      <w:r w:rsidRPr="00247C05">
        <w:rPr>
          <w:rFonts w:hint="cs"/>
          <w:rtl/>
        </w:rPr>
        <w:t>תי משפט</w:t>
      </w:r>
      <w:r w:rsidRPr="00247C05">
        <w:rPr>
          <w:rtl/>
        </w:rPr>
        <w:t xml:space="preserve"> </w:t>
      </w:r>
      <w:r w:rsidRPr="00247C05">
        <w:rPr>
          <w:rFonts w:hint="eastAsia"/>
          <w:rtl/>
        </w:rPr>
        <w:t>עמ</w:t>
      </w:r>
      <w:r w:rsidRPr="00247C05">
        <w:rPr>
          <w:rtl/>
        </w:rPr>
        <w:t xml:space="preserve">"ק </w:t>
      </w:r>
      <w:r w:rsidRPr="00247C05">
        <w:rPr>
          <w:rFonts w:hint="cs"/>
          <w:rtl/>
        </w:rPr>
        <w:t xml:space="preserve">נדרשות </w:t>
      </w:r>
      <w:r w:rsidRPr="00247C05">
        <w:rPr>
          <w:rFonts w:hint="eastAsia"/>
          <w:rtl/>
        </w:rPr>
        <w:t>להקפיד</w:t>
      </w:r>
      <w:r w:rsidRPr="00247C05">
        <w:rPr>
          <w:rtl/>
        </w:rPr>
        <w:t xml:space="preserve"> </w:t>
      </w:r>
      <w:r w:rsidRPr="00247C05">
        <w:rPr>
          <w:rFonts w:hint="eastAsia"/>
          <w:rtl/>
        </w:rPr>
        <w:t>על</w:t>
      </w:r>
      <w:r w:rsidRPr="00247C05">
        <w:rPr>
          <w:rtl/>
        </w:rPr>
        <w:t xml:space="preserve"> </w:t>
      </w:r>
      <w:r w:rsidRPr="00247C05">
        <w:rPr>
          <w:rFonts w:hint="eastAsia"/>
          <w:rtl/>
        </w:rPr>
        <w:t>שמירת</w:t>
      </w:r>
      <w:r w:rsidRPr="00247C05">
        <w:rPr>
          <w:rtl/>
        </w:rPr>
        <w:t xml:space="preserve"> </w:t>
      </w:r>
      <w:r w:rsidRPr="00247C05">
        <w:rPr>
          <w:rFonts w:hint="cs"/>
          <w:rtl/>
        </w:rPr>
        <w:t>הנהלים המחייבים</w:t>
      </w:r>
      <w:r w:rsidRPr="00247C05">
        <w:rPr>
          <w:rFonts w:hint="cs"/>
          <w:rtl/>
        </w:rPr>
        <w:t xml:space="preserve"> כנדרש, משום שהיעדרם פוגע ביכולת של עובדי המזכירויות להכיר את ההוראות והנהלים וביכולתן לנהוג לפיהם.</w:t>
      </w:r>
    </w:p>
    <w:p w:rsidR="003037FB" w:rsidP="00040DAE">
      <w:pPr>
        <w:spacing w:after="120" w:line="230" w:lineRule="exact"/>
        <w:jc w:val="both"/>
        <w:rPr>
          <w:rFonts w:cs="FrankRuehl"/>
          <w:sz w:val="20"/>
          <w:szCs w:val="22"/>
          <w:rtl/>
        </w:rPr>
      </w:pPr>
    </w:p>
    <w:p w:rsidR="00056D5E" w:rsidRPr="00247C05" w:rsidP="00040DAE">
      <w:pPr>
        <w:spacing w:after="120" w:line="230" w:lineRule="exact"/>
        <w:jc w:val="both"/>
        <w:rPr>
          <w:rFonts w:cs="FrankRuehl"/>
          <w:sz w:val="20"/>
          <w:szCs w:val="22"/>
          <w:rtl/>
        </w:rPr>
      </w:pPr>
    </w:p>
    <w:p w:rsidR="003037FB" w:rsidRPr="00A45E9A" w:rsidP="00040DAE">
      <w:pPr>
        <w:pStyle w:val="KOT4"/>
        <w:rPr>
          <w:rtl/>
        </w:rPr>
      </w:pPr>
      <w:r w:rsidRPr="00A45E9A">
        <w:rPr>
          <w:rFonts w:hint="cs"/>
          <w:rtl/>
        </w:rPr>
        <w:t xml:space="preserve">מענה מקצועי, הדרכות והכשרות מקצועיות </w:t>
      </w:r>
    </w:p>
    <w:p w:rsidR="003037FB" w:rsidRPr="00247C05" w:rsidP="00040DAE">
      <w:pPr>
        <w:spacing w:after="120" w:line="230" w:lineRule="exact"/>
        <w:jc w:val="both"/>
        <w:rPr>
          <w:rFonts w:cs="FrankRuehl"/>
          <w:sz w:val="20"/>
          <w:szCs w:val="22"/>
          <w:rtl/>
        </w:rPr>
      </w:pPr>
      <w:r w:rsidRPr="00247C05">
        <w:rPr>
          <w:rFonts w:cs="FrankRuehl" w:hint="cs"/>
          <w:sz w:val="20"/>
          <w:szCs w:val="22"/>
          <w:rtl/>
        </w:rPr>
        <w:t>כאמור</w:t>
      </w:r>
      <w:r w:rsidRPr="00247C05">
        <w:rPr>
          <w:rFonts w:cs="FrankRuehl"/>
          <w:sz w:val="20"/>
          <w:szCs w:val="22"/>
          <w:rtl/>
        </w:rPr>
        <w:t xml:space="preserve"> </w:t>
      </w:r>
      <w:r w:rsidRPr="00247C05">
        <w:rPr>
          <w:rFonts w:cs="FrankRuehl" w:hint="cs"/>
          <w:sz w:val="20"/>
          <w:szCs w:val="22"/>
          <w:rtl/>
        </w:rPr>
        <w:t>המליץ</w:t>
      </w:r>
      <w:r w:rsidRPr="00247C05">
        <w:rPr>
          <w:rFonts w:cs="FrankRuehl"/>
          <w:sz w:val="20"/>
          <w:szCs w:val="22"/>
          <w:rtl/>
        </w:rPr>
        <w:t xml:space="preserve"> </w:t>
      </w:r>
      <w:r w:rsidRPr="00247C05">
        <w:rPr>
          <w:rFonts w:cs="FrankRuehl" w:hint="cs"/>
          <w:sz w:val="20"/>
          <w:szCs w:val="22"/>
          <w:rtl/>
        </w:rPr>
        <w:t>דוח</w:t>
      </w:r>
      <w:r w:rsidRPr="00247C05">
        <w:rPr>
          <w:rFonts w:cs="FrankRuehl"/>
          <w:sz w:val="20"/>
          <w:szCs w:val="22"/>
          <w:rtl/>
        </w:rPr>
        <w:t xml:space="preserve"> ועדת זמיר </w:t>
      </w:r>
      <w:r w:rsidRPr="00247C05">
        <w:rPr>
          <w:rFonts w:cs="FrankRuehl" w:hint="cs"/>
          <w:sz w:val="20"/>
          <w:szCs w:val="22"/>
          <w:rtl/>
        </w:rPr>
        <w:t>כי</w:t>
      </w:r>
      <w:r w:rsidRPr="00247C05">
        <w:rPr>
          <w:rFonts w:cs="FrankRuehl"/>
          <w:sz w:val="20"/>
          <w:szCs w:val="22"/>
          <w:rtl/>
        </w:rPr>
        <w:t xml:space="preserve"> בין יתר תפקידיו של מנהל התחום </w:t>
      </w:r>
      <w:r w:rsidRPr="00247C05">
        <w:rPr>
          <w:rFonts w:cs="FrankRuehl" w:hint="eastAsia"/>
          <w:sz w:val="20"/>
          <w:szCs w:val="22"/>
          <w:rtl/>
        </w:rPr>
        <w:t>הוא</w:t>
      </w:r>
      <w:r w:rsidRPr="00247C05">
        <w:rPr>
          <w:rFonts w:cs="FrankRuehl"/>
          <w:sz w:val="20"/>
          <w:szCs w:val="22"/>
          <w:rtl/>
        </w:rPr>
        <w:t xml:space="preserve"> </w:t>
      </w:r>
      <w:r w:rsidRPr="00247C05">
        <w:rPr>
          <w:rFonts w:cs="FrankRuehl" w:hint="eastAsia"/>
          <w:sz w:val="20"/>
          <w:szCs w:val="22"/>
          <w:rtl/>
        </w:rPr>
        <w:t>יהיה</w:t>
      </w:r>
      <w:r w:rsidRPr="00247C05">
        <w:rPr>
          <w:rFonts w:cs="FrankRuehl"/>
          <w:sz w:val="20"/>
          <w:szCs w:val="22"/>
          <w:rtl/>
        </w:rPr>
        <w:t xml:space="preserve"> </w:t>
      </w:r>
      <w:r w:rsidRPr="00247C05">
        <w:rPr>
          <w:rFonts w:cs="FrankRuehl" w:hint="eastAsia"/>
          <w:sz w:val="20"/>
          <w:szCs w:val="22"/>
          <w:rtl/>
        </w:rPr>
        <w:t>אחראי</w:t>
      </w:r>
      <w:r w:rsidRPr="00247C05">
        <w:rPr>
          <w:rFonts w:cs="FrankRuehl"/>
          <w:sz w:val="20"/>
          <w:szCs w:val="22"/>
          <w:rtl/>
        </w:rPr>
        <w:t xml:space="preserve"> </w:t>
      </w:r>
      <w:r w:rsidRPr="00247C05">
        <w:rPr>
          <w:rFonts w:cs="FrankRuehl" w:hint="eastAsia"/>
          <w:sz w:val="20"/>
          <w:szCs w:val="22"/>
          <w:rtl/>
        </w:rPr>
        <w:t>על</w:t>
      </w:r>
      <w:r w:rsidRPr="00247C05">
        <w:rPr>
          <w:rFonts w:cs="FrankRuehl"/>
          <w:sz w:val="20"/>
          <w:szCs w:val="22"/>
          <w:rtl/>
        </w:rPr>
        <w:t xml:space="preserve"> </w:t>
      </w:r>
      <w:r w:rsidRPr="00247C05">
        <w:rPr>
          <w:rFonts w:cs="FrankRuehl" w:hint="eastAsia"/>
          <w:sz w:val="20"/>
          <w:szCs w:val="22"/>
          <w:rtl/>
        </w:rPr>
        <w:t>מתן</w:t>
      </w:r>
      <w:r w:rsidRPr="00247C05">
        <w:rPr>
          <w:rFonts w:cs="FrankRuehl"/>
          <w:sz w:val="20"/>
          <w:szCs w:val="22"/>
          <w:rtl/>
        </w:rPr>
        <w:t xml:space="preserve"> </w:t>
      </w:r>
      <w:r w:rsidRPr="00247C05">
        <w:rPr>
          <w:rFonts w:cs="FrankRuehl" w:hint="eastAsia"/>
          <w:sz w:val="20"/>
          <w:szCs w:val="22"/>
          <w:rtl/>
        </w:rPr>
        <w:t>מענה</w:t>
      </w:r>
      <w:r w:rsidRPr="00247C05">
        <w:rPr>
          <w:rFonts w:cs="FrankRuehl"/>
          <w:sz w:val="20"/>
          <w:szCs w:val="22"/>
          <w:rtl/>
        </w:rPr>
        <w:t xml:space="preserve"> </w:t>
      </w:r>
      <w:r w:rsidRPr="00247C05">
        <w:rPr>
          <w:rFonts w:cs="FrankRuehl" w:hint="eastAsia"/>
          <w:sz w:val="20"/>
          <w:szCs w:val="22"/>
          <w:rtl/>
        </w:rPr>
        <w:t>לפניות</w:t>
      </w:r>
      <w:r w:rsidRPr="00247C05">
        <w:rPr>
          <w:rFonts w:cs="FrankRuehl"/>
          <w:sz w:val="20"/>
          <w:szCs w:val="22"/>
          <w:rtl/>
        </w:rPr>
        <w:t xml:space="preserve"> </w:t>
      </w:r>
      <w:r w:rsidRPr="00247C05">
        <w:rPr>
          <w:rFonts w:cs="FrankRuehl" w:hint="eastAsia"/>
          <w:sz w:val="20"/>
          <w:szCs w:val="22"/>
          <w:rtl/>
        </w:rPr>
        <w:t>עובדי</w:t>
      </w:r>
      <w:r w:rsidRPr="00247C05">
        <w:rPr>
          <w:rFonts w:cs="FrankRuehl"/>
          <w:sz w:val="20"/>
          <w:szCs w:val="22"/>
          <w:rtl/>
        </w:rPr>
        <w:t xml:space="preserve"> </w:t>
      </w:r>
      <w:r w:rsidRPr="00247C05">
        <w:rPr>
          <w:rFonts w:cs="FrankRuehl" w:hint="eastAsia"/>
          <w:sz w:val="20"/>
          <w:szCs w:val="22"/>
          <w:rtl/>
        </w:rPr>
        <w:t>המזכירויות</w:t>
      </w:r>
      <w:r w:rsidRPr="00247C05">
        <w:rPr>
          <w:rFonts w:cs="FrankRuehl"/>
          <w:sz w:val="20"/>
          <w:szCs w:val="22"/>
          <w:rtl/>
        </w:rPr>
        <w:t xml:space="preserve"> </w:t>
      </w:r>
      <w:r w:rsidRPr="00247C05">
        <w:rPr>
          <w:rFonts w:cs="FrankRuehl" w:hint="eastAsia"/>
          <w:sz w:val="20"/>
          <w:szCs w:val="22"/>
          <w:rtl/>
        </w:rPr>
        <w:t>ולקיום</w:t>
      </w:r>
      <w:r w:rsidRPr="00247C05">
        <w:rPr>
          <w:rFonts w:cs="FrankRuehl"/>
          <w:sz w:val="20"/>
          <w:szCs w:val="22"/>
          <w:rtl/>
        </w:rPr>
        <w:t xml:space="preserve"> </w:t>
      </w:r>
      <w:r w:rsidRPr="00247C05">
        <w:rPr>
          <w:rFonts w:cs="FrankRuehl" w:hint="eastAsia"/>
          <w:sz w:val="20"/>
          <w:szCs w:val="22"/>
          <w:rtl/>
        </w:rPr>
        <w:t>הדרכות</w:t>
      </w:r>
      <w:r w:rsidRPr="00247C05">
        <w:rPr>
          <w:rFonts w:cs="FrankRuehl"/>
          <w:sz w:val="20"/>
          <w:szCs w:val="22"/>
          <w:rtl/>
        </w:rPr>
        <w:t xml:space="preserve"> </w:t>
      </w:r>
      <w:r w:rsidRPr="00247C05">
        <w:rPr>
          <w:rFonts w:cs="FrankRuehl" w:hint="eastAsia"/>
          <w:sz w:val="20"/>
          <w:szCs w:val="22"/>
          <w:rtl/>
        </w:rPr>
        <w:t>עובדים</w:t>
      </w:r>
      <w:r w:rsidRPr="00247C05">
        <w:rPr>
          <w:rFonts w:cs="FrankRuehl"/>
          <w:sz w:val="20"/>
          <w:szCs w:val="22"/>
          <w:rtl/>
        </w:rPr>
        <w:t xml:space="preserve">. גם בהגדרת התפקיד של מנהל התחום </w:t>
      </w:r>
      <w:r w:rsidRPr="00247C05">
        <w:rPr>
          <w:rFonts w:cs="FrankRuehl" w:hint="eastAsia"/>
          <w:sz w:val="20"/>
          <w:szCs w:val="22"/>
          <w:rtl/>
        </w:rPr>
        <w:t>נכללו</w:t>
      </w:r>
      <w:r w:rsidRPr="00247C05">
        <w:rPr>
          <w:rFonts w:cs="FrankRuehl"/>
          <w:sz w:val="20"/>
          <w:szCs w:val="22"/>
          <w:rtl/>
        </w:rPr>
        <w:t xml:space="preserve"> </w:t>
      </w:r>
      <w:r w:rsidRPr="00247C05">
        <w:rPr>
          <w:rFonts w:cs="FrankRuehl" w:hint="eastAsia"/>
          <w:sz w:val="20"/>
          <w:szCs w:val="22"/>
          <w:rtl/>
        </w:rPr>
        <w:t>בין</w:t>
      </w:r>
      <w:r w:rsidRPr="00247C05">
        <w:rPr>
          <w:rFonts w:cs="FrankRuehl"/>
          <w:sz w:val="20"/>
          <w:szCs w:val="22"/>
          <w:rtl/>
        </w:rPr>
        <w:t xml:space="preserve"> </w:t>
      </w:r>
      <w:r w:rsidRPr="00247C05">
        <w:rPr>
          <w:rFonts w:cs="FrankRuehl" w:hint="eastAsia"/>
          <w:sz w:val="20"/>
          <w:szCs w:val="22"/>
          <w:rtl/>
        </w:rPr>
        <w:t>היתר</w:t>
      </w:r>
      <w:r w:rsidRPr="00247C05">
        <w:rPr>
          <w:rFonts w:cs="FrankRuehl"/>
          <w:sz w:val="20"/>
          <w:szCs w:val="22"/>
          <w:rtl/>
        </w:rPr>
        <w:t xml:space="preserve"> </w:t>
      </w:r>
      <w:r w:rsidRPr="00247C05">
        <w:rPr>
          <w:rFonts w:cs="FrankRuehl" w:hint="eastAsia"/>
          <w:sz w:val="20"/>
          <w:szCs w:val="22"/>
          <w:rtl/>
        </w:rPr>
        <w:t>התפקידים</w:t>
      </w:r>
      <w:r w:rsidRPr="00247C05">
        <w:rPr>
          <w:rFonts w:cs="FrankRuehl"/>
          <w:sz w:val="20"/>
          <w:szCs w:val="22"/>
          <w:rtl/>
        </w:rPr>
        <w:t xml:space="preserve"> </w:t>
      </w:r>
      <w:r w:rsidRPr="00247C05">
        <w:rPr>
          <w:rFonts w:cs="FrankRuehl" w:hint="eastAsia"/>
          <w:sz w:val="20"/>
          <w:szCs w:val="22"/>
          <w:rtl/>
        </w:rPr>
        <w:t>של</w:t>
      </w:r>
      <w:r w:rsidRPr="00247C05">
        <w:rPr>
          <w:rFonts w:cs="FrankRuehl"/>
          <w:sz w:val="20"/>
          <w:szCs w:val="22"/>
          <w:rtl/>
        </w:rPr>
        <w:t xml:space="preserve"> </w:t>
      </w:r>
      <w:r w:rsidRPr="00247C05">
        <w:rPr>
          <w:rFonts w:cs="FrankRuehl" w:hint="eastAsia"/>
          <w:sz w:val="20"/>
          <w:szCs w:val="22"/>
          <w:rtl/>
        </w:rPr>
        <w:t>מתן</w:t>
      </w:r>
      <w:r w:rsidRPr="00247C05">
        <w:rPr>
          <w:rFonts w:cs="FrankRuehl"/>
          <w:sz w:val="20"/>
          <w:szCs w:val="22"/>
          <w:rtl/>
        </w:rPr>
        <w:t xml:space="preserve"> </w:t>
      </w:r>
      <w:r w:rsidRPr="00247C05">
        <w:rPr>
          <w:rFonts w:cs="FrankRuehl" w:hint="eastAsia"/>
          <w:sz w:val="20"/>
          <w:szCs w:val="22"/>
          <w:rtl/>
        </w:rPr>
        <w:t>מענה</w:t>
      </w:r>
      <w:r w:rsidRPr="00247C05">
        <w:rPr>
          <w:rFonts w:cs="FrankRuehl"/>
          <w:sz w:val="20"/>
          <w:szCs w:val="22"/>
          <w:rtl/>
        </w:rPr>
        <w:t xml:space="preserve"> </w:t>
      </w:r>
      <w:r w:rsidRPr="00247C05">
        <w:rPr>
          <w:rFonts w:cs="FrankRuehl" w:hint="eastAsia"/>
          <w:sz w:val="20"/>
          <w:szCs w:val="22"/>
          <w:rtl/>
        </w:rPr>
        <w:t>לפניות</w:t>
      </w:r>
      <w:r w:rsidRPr="00247C05">
        <w:rPr>
          <w:rFonts w:cs="FrankRuehl"/>
          <w:sz w:val="20"/>
          <w:szCs w:val="22"/>
          <w:rtl/>
        </w:rPr>
        <w:t xml:space="preserve"> </w:t>
      </w:r>
      <w:r w:rsidRPr="00247C05">
        <w:rPr>
          <w:rFonts w:cs="FrankRuehl" w:hint="eastAsia"/>
          <w:sz w:val="20"/>
          <w:szCs w:val="22"/>
          <w:rtl/>
        </w:rPr>
        <w:t>עובדי</w:t>
      </w:r>
      <w:r w:rsidRPr="00247C05">
        <w:rPr>
          <w:rFonts w:cs="FrankRuehl"/>
          <w:sz w:val="20"/>
          <w:szCs w:val="22"/>
          <w:rtl/>
        </w:rPr>
        <w:t xml:space="preserve"> </w:t>
      </w:r>
      <w:r w:rsidRPr="00247C05">
        <w:rPr>
          <w:rFonts w:cs="FrankRuehl" w:hint="eastAsia"/>
          <w:sz w:val="20"/>
          <w:szCs w:val="22"/>
          <w:rtl/>
        </w:rPr>
        <w:t>המזכירויות</w:t>
      </w:r>
      <w:r w:rsidRPr="00247C05">
        <w:rPr>
          <w:rFonts w:cs="FrankRuehl"/>
          <w:sz w:val="20"/>
          <w:szCs w:val="22"/>
          <w:rtl/>
        </w:rPr>
        <w:t xml:space="preserve"> </w:t>
      </w:r>
      <w:r w:rsidRPr="00247C05">
        <w:rPr>
          <w:rFonts w:cs="FrankRuehl" w:hint="eastAsia"/>
          <w:sz w:val="20"/>
          <w:szCs w:val="22"/>
          <w:rtl/>
        </w:rPr>
        <w:t>והדרכת</w:t>
      </w:r>
      <w:r w:rsidRPr="00247C05">
        <w:rPr>
          <w:rFonts w:cs="FrankRuehl"/>
          <w:sz w:val="20"/>
          <w:szCs w:val="22"/>
          <w:rtl/>
        </w:rPr>
        <w:t xml:space="preserve"> </w:t>
      </w:r>
      <w:r w:rsidRPr="00247C05">
        <w:rPr>
          <w:rFonts w:cs="FrankRuehl" w:hint="eastAsia"/>
          <w:sz w:val="20"/>
          <w:szCs w:val="22"/>
          <w:rtl/>
        </w:rPr>
        <w:t>עובדים</w:t>
      </w:r>
      <w:r w:rsidRPr="00247C05">
        <w:rPr>
          <w:rFonts w:cs="FrankRuehl" w:hint="cs"/>
          <w:sz w:val="20"/>
          <w:szCs w:val="22"/>
          <w:rtl/>
        </w:rPr>
        <w:t xml:space="preserve">. </w:t>
      </w:r>
    </w:p>
    <w:p w:rsidR="003037FB" w:rsidRPr="00247C05" w:rsidP="00040DAE">
      <w:pPr>
        <w:spacing w:after="120" w:line="230" w:lineRule="exact"/>
        <w:jc w:val="both"/>
        <w:rPr>
          <w:rFonts w:cs="FrankRuehl"/>
          <w:sz w:val="20"/>
          <w:szCs w:val="22"/>
          <w:rtl/>
        </w:rPr>
      </w:pPr>
    </w:p>
    <w:p w:rsidR="003037FB" w:rsidRPr="00A45E9A" w:rsidP="00040DAE">
      <w:pPr>
        <w:pStyle w:val="KOT5"/>
        <w:rPr>
          <w:rtl/>
        </w:rPr>
      </w:pPr>
      <w:r w:rsidRPr="00A45E9A">
        <w:rPr>
          <w:rFonts w:hint="cs"/>
          <w:rtl/>
        </w:rPr>
        <w:t>מענה מקצועי</w:t>
      </w:r>
    </w:p>
    <w:p w:rsidR="003037FB" w:rsidRPr="00247C05" w:rsidP="00040DAE">
      <w:pPr>
        <w:spacing w:after="120" w:line="230" w:lineRule="exact"/>
        <w:jc w:val="both"/>
        <w:rPr>
          <w:rFonts w:cs="FrankRuehl"/>
          <w:sz w:val="20"/>
          <w:szCs w:val="22"/>
          <w:rtl/>
        </w:rPr>
      </w:pPr>
      <w:r w:rsidRPr="00247C05">
        <w:rPr>
          <w:rFonts w:cs="FrankRuehl" w:hint="cs"/>
          <w:sz w:val="20"/>
          <w:szCs w:val="22"/>
          <w:rtl/>
        </w:rPr>
        <w:t>נוהל</w:t>
      </w:r>
      <w:r w:rsidRPr="00247C05">
        <w:rPr>
          <w:rFonts w:cs="FrankRuehl"/>
          <w:sz w:val="20"/>
          <w:szCs w:val="22"/>
          <w:rtl/>
        </w:rPr>
        <w:t xml:space="preserve"> ממשקי עבודה </w:t>
      </w:r>
      <w:r w:rsidRPr="00247C05">
        <w:rPr>
          <w:rFonts w:cs="FrankRuehl" w:hint="cs"/>
          <w:sz w:val="20"/>
          <w:szCs w:val="22"/>
          <w:rtl/>
        </w:rPr>
        <w:t>מגדיר</w:t>
      </w:r>
      <w:r w:rsidRPr="00247C05">
        <w:rPr>
          <w:rFonts w:cs="FrankRuehl"/>
          <w:sz w:val="20"/>
          <w:szCs w:val="22"/>
          <w:rtl/>
        </w:rPr>
        <w:t xml:space="preserve"> </w:t>
      </w:r>
      <w:r w:rsidRPr="00247C05">
        <w:rPr>
          <w:rFonts w:cs="FrankRuehl" w:hint="cs"/>
          <w:sz w:val="20"/>
          <w:szCs w:val="22"/>
          <w:rtl/>
        </w:rPr>
        <w:t>חלק</w:t>
      </w:r>
      <w:r w:rsidRPr="00247C05">
        <w:rPr>
          <w:rFonts w:cs="FrankRuehl"/>
          <w:sz w:val="20"/>
          <w:szCs w:val="22"/>
          <w:rtl/>
        </w:rPr>
        <w:t xml:space="preserve"> </w:t>
      </w:r>
      <w:r w:rsidRPr="00247C05">
        <w:rPr>
          <w:rFonts w:cs="FrankRuehl" w:hint="cs"/>
          <w:sz w:val="20"/>
          <w:szCs w:val="22"/>
          <w:rtl/>
        </w:rPr>
        <w:t>מתחומי</w:t>
      </w:r>
      <w:r w:rsidRPr="00247C05">
        <w:rPr>
          <w:rFonts w:cs="FrankRuehl"/>
          <w:sz w:val="20"/>
          <w:szCs w:val="22"/>
          <w:rtl/>
        </w:rPr>
        <w:t xml:space="preserve"> האחריות </w:t>
      </w:r>
      <w:r w:rsidRPr="00247C05">
        <w:rPr>
          <w:rFonts w:cs="FrankRuehl" w:hint="cs"/>
          <w:sz w:val="20"/>
          <w:szCs w:val="22"/>
          <w:rtl/>
        </w:rPr>
        <w:t>ה</w:t>
      </w:r>
      <w:r w:rsidRPr="00247C05">
        <w:rPr>
          <w:rFonts w:cs="FrankRuehl"/>
          <w:sz w:val="20"/>
          <w:szCs w:val="22"/>
          <w:rtl/>
        </w:rPr>
        <w:t xml:space="preserve">מקצועית של </w:t>
      </w:r>
      <w:r w:rsidRPr="00247C05">
        <w:rPr>
          <w:rFonts w:cs="FrankRuehl" w:hint="cs"/>
          <w:sz w:val="20"/>
          <w:szCs w:val="22"/>
          <w:rtl/>
        </w:rPr>
        <w:t>הב</w:t>
      </w:r>
      <w:r w:rsidRPr="00247C05">
        <w:rPr>
          <w:rFonts w:cs="FrankRuehl"/>
          <w:sz w:val="20"/>
          <w:szCs w:val="22"/>
          <w:rtl/>
        </w:rPr>
        <w:t xml:space="preserve">"ה </w:t>
      </w:r>
      <w:r w:rsidRPr="00247C05">
        <w:rPr>
          <w:rFonts w:cs="FrankRuehl" w:hint="cs"/>
          <w:sz w:val="20"/>
          <w:szCs w:val="22"/>
          <w:rtl/>
        </w:rPr>
        <w:t>ל</w:t>
      </w:r>
      <w:r w:rsidRPr="00247C05">
        <w:rPr>
          <w:rFonts w:cs="FrankRuehl"/>
          <w:sz w:val="20"/>
          <w:szCs w:val="22"/>
          <w:rtl/>
        </w:rPr>
        <w:t xml:space="preserve">עובדי הרשויות המקומית </w:t>
      </w:r>
      <w:r w:rsidRPr="00247C05">
        <w:rPr>
          <w:rFonts w:cs="FrankRuehl" w:hint="cs"/>
          <w:sz w:val="20"/>
          <w:szCs w:val="22"/>
          <w:rtl/>
        </w:rPr>
        <w:t>ש</w:t>
      </w:r>
      <w:r w:rsidRPr="00247C05">
        <w:rPr>
          <w:rFonts w:cs="FrankRuehl"/>
          <w:sz w:val="20"/>
          <w:szCs w:val="22"/>
          <w:rtl/>
        </w:rPr>
        <w:t>במזכירויות ב</w:t>
      </w:r>
      <w:r w:rsidRPr="00247C05">
        <w:rPr>
          <w:rFonts w:cs="FrankRuehl" w:hint="cs"/>
          <w:sz w:val="20"/>
          <w:szCs w:val="22"/>
          <w:rtl/>
        </w:rPr>
        <w:t>תי</w:t>
      </w:r>
      <w:r w:rsidRPr="00247C05">
        <w:rPr>
          <w:rFonts w:cs="FrankRuehl"/>
          <w:sz w:val="20"/>
          <w:szCs w:val="22"/>
          <w:rtl/>
        </w:rPr>
        <w:t xml:space="preserve"> </w:t>
      </w:r>
      <w:r w:rsidRPr="00247C05">
        <w:rPr>
          <w:rFonts w:cs="FrankRuehl" w:hint="cs"/>
          <w:sz w:val="20"/>
          <w:szCs w:val="22"/>
          <w:rtl/>
        </w:rPr>
        <w:t>משפט</w:t>
      </w:r>
      <w:r w:rsidRPr="00247C05">
        <w:rPr>
          <w:rFonts w:cs="FrankRuehl"/>
          <w:sz w:val="20"/>
          <w:szCs w:val="22"/>
          <w:rtl/>
        </w:rPr>
        <w:t xml:space="preserve"> </w:t>
      </w:r>
      <w:r w:rsidRPr="00247C05">
        <w:rPr>
          <w:rFonts w:cs="FrankRuehl" w:hint="cs"/>
          <w:sz w:val="20"/>
          <w:szCs w:val="22"/>
          <w:rtl/>
        </w:rPr>
        <w:t>עמ</w:t>
      </w:r>
      <w:r w:rsidRPr="00247C05">
        <w:rPr>
          <w:rFonts w:cs="FrankRuehl"/>
          <w:sz w:val="20"/>
          <w:szCs w:val="22"/>
          <w:rtl/>
        </w:rPr>
        <w:t>"ק</w:t>
      </w:r>
      <w:r w:rsidRPr="00247C05">
        <w:rPr>
          <w:rFonts w:cs="FrankRuehl" w:hint="cs"/>
          <w:sz w:val="20"/>
          <w:szCs w:val="22"/>
          <w:rtl/>
        </w:rPr>
        <w:t>, ובנושא המענה המקצועי הוא קובע</w:t>
      </w:r>
      <w:r w:rsidRPr="00247C05">
        <w:rPr>
          <w:rFonts w:cs="FrankRuehl"/>
          <w:sz w:val="20"/>
          <w:szCs w:val="22"/>
          <w:rtl/>
        </w:rPr>
        <w:t xml:space="preserve"> אחריות </w:t>
      </w:r>
      <w:r w:rsidRPr="00247C05">
        <w:rPr>
          <w:rFonts w:cs="FrankRuehl" w:hint="eastAsia"/>
          <w:sz w:val="20"/>
          <w:szCs w:val="22"/>
          <w:rtl/>
        </w:rPr>
        <w:t>כפולה</w:t>
      </w:r>
      <w:r w:rsidRPr="00247C05">
        <w:rPr>
          <w:rFonts w:cs="FrankRuehl" w:hint="cs"/>
          <w:sz w:val="20"/>
          <w:szCs w:val="22"/>
          <w:rtl/>
        </w:rPr>
        <w:t xml:space="preserve"> </w:t>
      </w:r>
      <w:r w:rsidRPr="00247C05">
        <w:rPr>
          <w:rFonts w:cs="FrankRuehl" w:hint="eastAsia"/>
          <w:sz w:val="20"/>
          <w:szCs w:val="22"/>
          <w:rtl/>
        </w:rPr>
        <w:t>הן</w:t>
      </w:r>
      <w:r w:rsidRPr="00247C05">
        <w:rPr>
          <w:rFonts w:cs="FrankRuehl"/>
          <w:sz w:val="20"/>
          <w:szCs w:val="22"/>
          <w:rtl/>
        </w:rPr>
        <w:t xml:space="preserve"> </w:t>
      </w:r>
      <w:r w:rsidRPr="00247C05">
        <w:rPr>
          <w:rFonts w:cs="FrankRuehl" w:hint="eastAsia"/>
          <w:sz w:val="20"/>
          <w:szCs w:val="22"/>
          <w:rtl/>
        </w:rPr>
        <w:t>של</w:t>
      </w:r>
      <w:r w:rsidRPr="00247C05">
        <w:rPr>
          <w:rFonts w:cs="FrankRuehl"/>
          <w:sz w:val="20"/>
          <w:szCs w:val="22"/>
          <w:rtl/>
        </w:rPr>
        <w:t xml:space="preserve"> </w:t>
      </w:r>
      <w:r w:rsidRPr="00247C05">
        <w:rPr>
          <w:rFonts w:cs="FrankRuehl" w:hint="eastAsia"/>
          <w:sz w:val="20"/>
          <w:szCs w:val="22"/>
          <w:rtl/>
        </w:rPr>
        <w:t>מנהלי</w:t>
      </w:r>
      <w:r w:rsidRPr="00247C05">
        <w:rPr>
          <w:rFonts w:cs="FrankRuehl"/>
          <w:sz w:val="20"/>
          <w:szCs w:val="22"/>
          <w:rtl/>
        </w:rPr>
        <w:t xml:space="preserve"> </w:t>
      </w:r>
      <w:r w:rsidRPr="00247C05">
        <w:rPr>
          <w:rFonts w:cs="FrankRuehl" w:hint="eastAsia"/>
          <w:sz w:val="20"/>
          <w:szCs w:val="22"/>
          <w:rtl/>
        </w:rPr>
        <w:t>המחוזות</w:t>
      </w:r>
      <w:r w:rsidRPr="00247C05">
        <w:rPr>
          <w:rFonts w:cs="FrankRuehl"/>
          <w:sz w:val="20"/>
          <w:szCs w:val="22"/>
          <w:rtl/>
        </w:rPr>
        <w:t xml:space="preserve"> </w:t>
      </w:r>
      <w:r w:rsidRPr="00247C05">
        <w:rPr>
          <w:rFonts w:cs="FrankRuehl" w:hint="eastAsia"/>
          <w:sz w:val="20"/>
          <w:szCs w:val="22"/>
          <w:rtl/>
        </w:rPr>
        <w:t>והן</w:t>
      </w:r>
      <w:r w:rsidRPr="00247C05">
        <w:rPr>
          <w:rFonts w:cs="FrankRuehl"/>
          <w:sz w:val="20"/>
          <w:szCs w:val="22"/>
          <w:rtl/>
        </w:rPr>
        <w:t xml:space="preserve"> </w:t>
      </w:r>
      <w:r w:rsidRPr="00247C05">
        <w:rPr>
          <w:rFonts w:cs="FrankRuehl" w:hint="eastAsia"/>
          <w:sz w:val="20"/>
          <w:szCs w:val="22"/>
          <w:rtl/>
        </w:rPr>
        <w:t>של</w:t>
      </w:r>
      <w:r w:rsidRPr="00247C05">
        <w:rPr>
          <w:rFonts w:cs="FrankRuehl"/>
          <w:sz w:val="20"/>
          <w:szCs w:val="22"/>
          <w:rtl/>
        </w:rPr>
        <w:t xml:space="preserve"> </w:t>
      </w:r>
      <w:r w:rsidRPr="00247C05">
        <w:rPr>
          <w:rFonts w:cs="FrankRuehl" w:hint="eastAsia"/>
          <w:sz w:val="20"/>
          <w:szCs w:val="22"/>
          <w:rtl/>
        </w:rPr>
        <w:t>מנהל</w:t>
      </w:r>
      <w:r w:rsidRPr="00247C05">
        <w:rPr>
          <w:rFonts w:cs="FrankRuehl"/>
          <w:sz w:val="20"/>
          <w:szCs w:val="22"/>
          <w:rtl/>
        </w:rPr>
        <w:t xml:space="preserve"> </w:t>
      </w:r>
      <w:r w:rsidRPr="00247C05">
        <w:rPr>
          <w:rFonts w:cs="FrankRuehl" w:hint="eastAsia"/>
          <w:sz w:val="20"/>
          <w:szCs w:val="22"/>
          <w:rtl/>
        </w:rPr>
        <w:t>התחום</w:t>
      </w:r>
      <w:r w:rsidRPr="00247C05">
        <w:rPr>
          <w:rFonts w:cs="FrankRuehl" w:hint="cs"/>
          <w:sz w:val="20"/>
          <w:szCs w:val="22"/>
          <w:rtl/>
        </w:rPr>
        <w:t xml:space="preserve">. הנוהל קובע, בין היתר, את האחריות של מנהל המחוז לזמן לישיבה אחת לרבעון את מזכירי במ"ש עמ"ק הפועלים במחוז שלו שתכליתה לקבוע שיתוף פעולה עמם, למסור עדכונים ולתאם ציפיות. יש לתעד כל מפגש בפרוטוקול לשם הפצתו למשתתפים ולמעקב אחר הביצוע.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בנוסף על כך - נוהל ממשקי עבודה קובע, כי אם נדרש המזכיר של במ"ש עמ"ק לברר סוגיה משפטית בנושא עבודת המזכירות, הוא יפנה אותה למחלקה המשפטית של הב"ה באמצעות מנהל המחוז או מנהל התחום. כמו כן נקבע בנוהל כי אם נדרש המזכיר לשאלות הנוגעות לעבודה המקצועית של המזכירות בעת טיפול בתיקים, הוא יפנה למנהל המחוז או למנהל התחום. </w:t>
      </w:r>
    </w:p>
    <w:p w:rsidR="003037FB" w:rsidP="00040DAE">
      <w:pPr>
        <w:spacing w:after="120" w:line="230" w:lineRule="exact"/>
        <w:jc w:val="both"/>
        <w:rPr>
          <w:rFonts w:cs="FrankRuehl"/>
          <w:sz w:val="20"/>
          <w:szCs w:val="22"/>
          <w:rtl/>
        </w:rPr>
      </w:pPr>
      <w:r w:rsidRPr="00247C05">
        <w:rPr>
          <w:rFonts w:cs="FrankRuehl" w:hint="cs"/>
          <w:sz w:val="20"/>
          <w:szCs w:val="22"/>
          <w:rtl/>
        </w:rPr>
        <w:t>כמו כן הבהירה הב"ה לרשויות המקומיות את כפיפותם המקצועית של עובדי מזכירויות במ"ש עמ"ק למנהל התחום בחטיבת תפעול ומזכירויות בהב"ה והורתה להן לקיים עמו שיתוף פעולה מלא. הב"ה קבעה, כי "עובדי</w:t>
      </w:r>
      <w:r w:rsidRPr="00247C05">
        <w:rPr>
          <w:rFonts w:cs="FrankRuehl"/>
          <w:sz w:val="20"/>
          <w:szCs w:val="22"/>
          <w:rtl/>
        </w:rPr>
        <w:t xml:space="preserve"> </w:t>
      </w:r>
      <w:r w:rsidRPr="00247C05">
        <w:rPr>
          <w:rFonts w:cs="FrankRuehl" w:hint="cs"/>
          <w:sz w:val="20"/>
          <w:szCs w:val="22"/>
          <w:rtl/>
        </w:rPr>
        <w:t>המזכירות</w:t>
      </w:r>
      <w:r w:rsidRPr="00247C05">
        <w:rPr>
          <w:rFonts w:cs="FrankRuehl"/>
          <w:sz w:val="20"/>
          <w:szCs w:val="22"/>
          <w:rtl/>
        </w:rPr>
        <w:t xml:space="preserve"> </w:t>
      </w:r>
      <w:r w:rsidRPr="00247C05">
        <w:rPr>
          <w:rFonts w:cs="FrankRuehl" w:hint="cs"/>
          <w:sz w:val="20"/>
          <w:szCs w:val="22"/>
          <w:rtl/>
        </w:rPr>
        <w:t>יפנו</w:t>
      </w:r>
      <w:r w:rsidRPr="00247C05">
        <w:rPr>
          <w:rFonts w:cs="FrankRuehl"/>
          <w:sz w:val="20"/>
          <w:szCs w:val="22"/>
          <w:rtl/>
        </w:rPr>
        <w:t xml:space="preserve"> </w:t>
      </w:r>
      <w:r w:rsidRPr="00247C05">
        <w:rPr>
          <w:rFonts w:cs="FrankRuehl" w:hint="cs"/>
          <w:sz w:val="20"/>
          <w:szCs w:val="22"/>
          <w:rtl/>
        </w:rPr>
        <w:t>שאלות</w:t>
      </w:r>
      <w:r w:rsidRPr="00247C05">
        <w:rPr>
          <w:rFonts w:cs="FrankRuehl"/>
          <w:sz w:val="20"/>
          <w:szCs w:val="22"/>
          <w:rtl/>
        </w:rPr>
        <w:t xml:space="preserve"> </w:t>
      </w:r>
      <w:r w:rsidRPr="00247C05">
        <w:rPr>
          <w:rFonts w:cs="FrankRuehl" w:hint="cs"/>
          <w:sz w:val="20"/>
          <w:szCs w:val="22"/>
          <w:rtl/>
        </w:rPr>
        <w:t>מקצועיות</w:t>
      </w:r>
      <w:r w:rsidRPr="00247C05">
        <w:rPr>
          <w:rFonts w:cs="FrankRuehl"/>
          <w:sz w:val="20"/>
          <w:szCs w:val="22"/>
          <w:rtl/>
        </w:rPr>
        <w:t xml:space="preserve"> </w:t>
      </w:r>
      <w:r w:rsidRPr="00247C05">
        <w:rPr>
          <w:rFonts w:cs="FrankRuehl" w:hint="cs"/>
          <w:sz w:val="20"/>
          <w:szCs w:val="22"/>
          <w:rtl/>
        </w:rPr>
        <w:t>לחטיבת</w:t>
      </w:r>
      <w:r w:rsidRPr="00247C05">
        <w:rPr>
          <w:rFonts w:cs="FrankRuehl"/>
          <w:sz w:val="20"/>
          <w:szCs w:val="22"/>
          <w:rtl/>
        </w:rPr>
        <w:t xml:space="preserve"> </w:t>
      </w:r>
      <w:r w:rsidRPr="00247C05">
        <w:rPr>
          <w:rFonts w:cs="FrankRuehl" w:hint="cs"/>
          <w:sz w:val="20"/>
          <w:szCs w:val="22"/>
          <w:rtl/>
        </w:rPr>
        <w:t>תפעול</w:t>
      </w:r>
      <w:r w:rsidRPr="00247C05">
        <w:rPr>
          <w:rFonts w:cs="FrankRuehl"/>
          <w:sz w:val="20"/>
          <w:szCs w:val="22"/>
          <w:rtl/>
        </w:rPr>
        <w:t xml:space="preserve"> </w:t>
      </w:r>
      <w:r w:rsidRPr="00247C05">
        <w:rPr>
          <w:rFonts w:cs="FrankRuehl" w:hint="cs"/>
          <w:sz w:val="20"/>
          <w:szCs w:val="22"/>
          <w:rtl/>
        </w:rPr>
        <w:t>ומזכירויות</w:t>
      </w:r>
      <w:r w:rsidRPr="00247C05">
        <w:rPr>
          <w:rFonts w:cs="FrankRuehl"/>
          <w:sz w:val="20"/>
          <w:szCs w:val="22"/>
          <w:rtl/>
        </w:rPr>
        <w:t xml:space="preserve"> </w:t>
      </w:r>
      <w:r w:rsidRPr="00247C05">
        <w:rPr>
          <w:rFonts w:cs="FrankRuehl" w:hint="cs"/>
          <w:sz w:val="20"/>
          <w:szCs w:val="22"/>
          <w:rtl/>
        </w:rPr>
        <w:t>בהנהלת</w:t>
      </w:r>
      <w:r w:rsidRPr="00247C05">
        <w:rPr>
          <w:rFonts w:cs="FrankRuehl"/>
          <w:sz w:val="20"/>
          <w:szCs w:val="22"/>
          <w:rtl/>
        </w:rPr>
        <w:t xml:space="preserve"> </w:t>
      </w:r>
      <w:r w:rsidRPr="00247C05">
        <w:rPr>
          <w:rFonts w:cs="FrankRuehl" w:hint="cs"/>
          <w:sz w:val="20"/>
          <w:szCs w:val="22"/>
          <w:rtl/>
        </w:rPr>
        <w:t>בתי</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ולא</w:t>
      </w:r>
      <w:r w:rsidRPr="00247C05">
        <w:rPr>
          <w:rFonts w:cs="FrankRuehl"/>
          <w:sz w:val="20"/>
          <w:szCs w:val="22"/>
          <w:rtl/>
        </w:rPr>
        <w:t xml:space="preserve"> </w:t>
      </w:r>
      <w:r w:rsidRPr="00247C05">
        <w:rPr>
          <w:rFonts w:cs="FrankRuehl" w:hint="cs"/>
          <w:sz w:val="20"/>
          <w:szCs w:val="22"/>
          <w:rtl/>
        </w:rPr>
        <w:t>ליועצים</w:t>
      </w:r>
      <w:r w:rsidRPr="00247C05">
        <w:rPr>
          <w:rFonts w:cs="FrankRuehl"/>
          <w:sz w:val="20"/>
          <w:szCs w:val="22"/>
          <w:rtl/>
        </w:rPr>
        <w:t xml:space="preserve"> </w:t>
      </w:r>
      <w:r w:rsidRPr="00247C05">
        <w:rPr>
          <w:rFonts w:cs="FrankRuehl" w:hint="cs"/>
          <w:sz w:val="20"/>
          <w:szCs w:val="22"/>
          <w:rtl/>
        </w:rPr>
        <w:t>המשפטיים</w:t>
      </w:r>
      <w:r w:rsidRPr="00247C05">
        <w:rPr>
          <w:rFonts w:cs="FrankRuehl"/>
          <w:sz w:val="20"/>
          <w:szCs w:val="22"/>
          <w:rtl/>
        </w:rPr>
        <w:t xml:space="preserve"> </w:t>
      </w:r>
      <w:r w:rsidRPr="00247C05">
        <w:rPr>
          <w:rFonts w:cs="FrankRuehl" w:hint="cs"/>
          <w:sz w:val="20"/>
          <w:szCs w:val="22"/>
          <w:rtl/>
        </w:rPr>
        <w:t>בעיריות</w:t>
      </w:r>
      <w:r w:rsidRPr="00247C05">
        <w:rPr>
          <w:rFonts w:cs="FrankRuehl"/>
          <w:sz w:val="20"/>
          <w:szCs w:val="22"/>
          <w:rtl/>
        </w:rPr>
        <w:t xml:space="preserve"> </w:t>
      </w:r>
      <w:r w:rsidRPr="00247C05">
        <w:rPr>
          <w:rFonts w:cs="FrankRuehl" w:hint="cs"/>
          <w:sz w:val="20"/>
          <w:szCs w:val="22"/>
          <w:rtl/>
        </w:rPr>
        <w:t>או</w:t>
      </w:r>
      <w:r w:rsidRPr="00247C05">
        <w:rPr>
          <w:rFonts w:cs="FrankRuehl"/>
          <w:sz w:val="20"/>
          <w:szCs w:val="22"/>
          <w:rtl/>
        </w:rPr>
        <w:t xml:space="preserve"> </w:t>
      </w:r>
      <w:r w:rsidRPr="00247C05">
        <w:rPr>
          <w:rFonts w:cs="FrankRuehl" w:hint="cs"/>
          <w:sz w:val="20"/>
          <w:szCs w:val="22"/>
          <w:rtl/>
        </w:rPr>
        <w:t>לשופטים"</w:t>
      </w:r>
      <w:r>
        <w:rPr>
          <w:rStyle w:val="FootnoteReference"/>
          <w:rFonts w:cs="FrankRuehl"/>
          <w:sz w:val="20"/>
          <w:szCs w:val="22"/>
          <w:rtl/>
        </w:rPr>
        <w:footnoteReference w:id="13"/>
      </w:r>
      <w:r w:rsidRPr="00247C05">
        <w:rPr>
          <w:rFonts w:cs="FrankRuehl" w:hint="cs"/>
          <w:sz w:val="20"/>
          <w:szCs w:val="22"/>
          <w:rtl/>
        </w:rPr>
        <w:t>.</w:t>
      </w: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EB5220" w:rsidRPr="0001521E" w:rsidP="00862DE8">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EB5220" w:rsidP="00862DE8">
            <w:pPr>
              <w:pStyle w:val="RESHET"/>
              <w:keepNext/>
              <w:keepLines/>
              <w:rPr>
                <w:rtl/>
              </w:rPr>
            </w:pPr>
            <w:r w:rsidRPr="00EB5220">
              <w:rPr>
                <w:rFonts w:hint="eastAsia"/>
                <w:rtl/>
              </w:rPr>
              <w:t>נמצא</w:t>
            </w:r>
            <w:r w:rsidRPr="00EB5220">
              <w:rPr>
                <w:rtl/>
              </w:rPr>
              <w:t xml:space="preserve"> כי </w:t>
            </w:r>
            <w:r w:rsidRPr="00EB5220">
              <w:rPr>
                <w:rFonts w:hint="cs"/>
                <w:rtl/>
              </w:rPr>
              <w:t xml:space="preserve">על </w:t>
            </w:r>
            <w:r w:rsidRPr="00EB5220">
              <w:rPr>
                <w:rFonts w:hint="eastAsia"/>
                <w:rtl/>
              </w:rPr>
              <w:t>אף</w:t>
            </w:r>
            <w:r w:rsidRPr="00EB5220">
              <w:rPr>
                <w:rtl/>
              </w:rPr>
              <w:t xml:space="preserve"> </w:t>
            </w:r>
            <w:r w:rsidRPr="00EB5220">
              <w:rPr>
                <w:rFonts w:hint="eastAsia"/>
                <w:rtl/>
              </w:rPr>
              <w:t>ש</w:t>
            </w:r>
            <w:r w:rsidRPr="00EB5220">
              <w:rPr>
                <w:rtl/>
              </w:rPr>
              <w:t xml:space="preserve">תיאור </w:t>
            </w:r>
            <w:r w:rsidRPr="00EB5220">
              <w:rPr>
                <w:rFonts w:hint="eastAsia"/>
                <w:rtl/>
              </w:rPr>
              <w:t>התפקיד</w:t>
            </w:r>
            <w:r w:rsidRPr="00EB5220">
              <w:rPr>
                <w:rtl/>
              </w:rPr>
              <w:t xml:space="preserve"> </w:t>
            </w:r>
            <w:r w:rsidRPr="00EB5220">
              <w:rPr>
                <w:rFonts w:hint="eastAsia"/>
                <w:rtl/>
              </w:rPr>
              <w:t>של</w:t>
            </w:r>
            <w:r w:rsidRPr="00EB5220">
              <w:rPr>
                <w:rtl/>
              </w:rPr>
              <w:t xml:space="preserve"> </w:t>
            </w:r>
            <w:r w:rsidRPr="00EB5220">
              <w:rPr>
                <w:rFonts w:hint="eastAsia"/>
                <w:rtl/>
              </w:rPr>
              <w:t>מנהל</w:t>
            </w:r>
            <w:r w:rsidRPr="00EB5220">
              <w:rPr>
                <w:rtl/>
              </w:rPr>
              <w:t xml:space="preserve"> </w:t>
            </w:r>
            <w:r w:rsidRPr="00EB5220">
              <w:rPr>
                <w:rFonts w:hint="eastAsia"/>
                <w:rtl/>
              </w:rPr>
              <w:t>התחום</w:t>
            </w:r>
            <w:r w:rsidRPr="00EB5220">
              <w:rPr>
                <w:rtl/>
              </w:rPr>
              <w:t xml:space="preserve"> </w:t>
            </w:r>
            <w:r w:rsidRPr="00EB5220">
              <w:rPr>
                <w:rFonts w:hint="eastAsia"/>
                <w:rtl/>
              </w:rPr>
              <w:t>מציג</w:t>
            </w:r>
            <w:r w:rsidRPr="00EB5220">
              <w:rPr>
                <w:rtl/>
              </w:rPr>
              <w:t xml:space="preserve"> </w:t>
            </w:r>
            <w:r w:rsidRPr="00EB5220">
              <w:rPr>
                <w:rFonts w:hint="eastAsia"/>
                <w:rtl/>
              </w:rPr>
              <w:t>אותו</w:t>
            </w:r>
            <w:r w:rsidRPr="00EB5220">
              <w:rPr>
                <w:rtl/>
              </w:rPr>
              <w:t xml:space="preserve"> </w:t>
            </w:r>
            <w:r w:rsidRPr="00EB5220">
              <w:rPr>
                <w:rFonts w:hint="eastAsia"/>
                <w:rtl/>
              </w:rPr>
              <w:t>כגורם</w:t>
            </w:r>
            <w:r w:rsidRPr="00EB5220">
              <w:rPr>
                <w:rtl/>
              </w:rPr>
              <w:t xml:space="preserve"> </w:t>
            </w:r>
            <w:r w:rsidRPr="00EB5220">
              <w:rPr>
                <w:rFonts w:hint="eastAsia"/>
                <w:rtl/>
              </w:rPr>
              <w:t>המוסמך</w:t>
            </w:r>
            <w:r w:rsidRPr="00EB5220">
              <w:rPr>
                <w:rtl/>
              </w:rPr>
              <w:t xml:space="preserve"> </w:t>
            </w:r>
            <w:r w:rsidRPr="00EB5220">
              <w:rPr>
                <w:rFonts w:hint="eastAsia"/>
                <w:rtl/>
              </w:rPr>
              <w:t>להנחיה</w:t>
            </w:r>
            <w:r w:rsidRPr="00EB5220">
              <w:rPr>
                <w:rtl/>
              </w:rPr>
              <w:t xml:space="preserve"> </w:t>
            </w:r>
            <w:r w:rsidRPr="00EB5220">
              <w:rPr>
                <w:rFonts w:hint="eastAsia"/>
                <w:rtl/>
              </w:rPr>
              <w:t>מקצועית</w:t>
            </w:r>
            <w:r w:rsidRPr="00EB5220">
              <w:rPr>
                <w:rtl/>
              </w:rPr>
              <w:t xml:space="preserve"> - </w:t>
            </w:r>
            <w:r w:rsidRPr="00EB5220">
              <w:rPr>
                <w:rFonts w:hint="eastAsia"/>
                <w:rtl/>
              </w:rPr>
              <w:t>בפועל</w:t>
            </w:r>
            <w:r w:rsidRPr="00EB5220">
              <w:rPr>
                <w:rtl/>
              </w:rPr>
              <w:t xml:space="preserve"> </w:t>
            </w:r>
            <w:r w:rsidRPr="00EB5220">
              <w:rPr>
                <w:rFonts w:hint="eastAsia"/>
                <w:rtl/>
              </w:rPr>
              <w:t>הטילה</w:t>
            </w:r>
            <w:r w:rsidRPr="00EB5220">
              <w:rPr>
                <w:rtl/>
              </w:rPr>
              <w:t xml:space="preserve"> </w:t>
            </w:r>
            <w:r w:rsidRPr="00EB5220">
              <w:rPr>
                <w:rFonts w:hint="eastAsia"/>
                <w:rtl/>
              </w:rPr>
              <w:t>הב</w:t>
            </w:r>
            <w:r w:rsidRPr="00EB5220">
              <w:rPr>
                <w:rtl/>
              </w:rPr>
              <w:t xml:space="preserve">"ה את </w:t>
            </w:r>
            <w:r w:rsidRPr="00EB5220">
              <w:rPr>
                <w:rFonts w:hint="eastAsia"/>
                <w:rtl/>
              </w:rPr>
              <w:t>האחריות</w:t>
            </w:r>
            <w:r w:rsidRPr="00EB5220">
              <w:rPr>
                <w:rtl/>
              </w:rPr>
              <w:t xml:space="preserve"> </w:t>
            </w:r>
            <w:r w:rsidRPr="00EB5220">
              <w:rPr>
                <w:rFonts w:hint="eastAsia"/>
                <w:rtl/>
              </w:rPr>
              <w:t>להנחיה</w:t>
            </w:r>
            <w:r w:rsidRPr="00EB5220">
              <w:rPr>
                <w:rtl/>
              </w:rPr>
              <w:t xml:space="preserve"> מקצועית </w:t>
            </w:r>
            <w:r w:rsidRPr="00EB5220">
              <w:rPr>
                <w:rFonts w:hint="eastAsia"/>
                <w:rtl/>
              </w:rPr>
              <w:t>על</w:t>
            </w:r>
            <w:r w:rsidRPr="00EB5220">
              <w:rPr>
                <w:rtl/>
              </w:rPr>
              <w:t xml:space="preserve"> </w:t>
            </w:r>
            <w:r w:rsidRPr="00EB5220">
              <w:rPr>
                <w:rFonts w:hint="eastAsia"/>
                <w:rtl/>
              </w:rPr>
              <w:t>כמה</w:t>
            </w:r>
            <w:r w:rsidRPr="00EB5220">
              <w:rPr>
                <w:rtl/>
              </w:rPr>
              <w:t xml:space="preserve"> גורמים - מנהל התחום, מנהל המחוז הרלוונטי והלשכה המשפטית של </w:t>
            </w:r>
            <w:r w:rsidRPr="00EB5220">
              <w:rPr>
                <w:rFonts w:hint="eastAsia"/>
                <w:rtl/>
              </w:rPr>
              <w:t>הב</w:t>
            </w:r>
            <w:r w:rsidRPr="00EB5220">
              <w:rPr>
                <w:rtl/>
              </w:rPr>
              <w:t>"</w:t>
            </w:r>
            <w:r w:rsidRPr="00EB5220">
              <w:rPr>
                <w:rFonts w:hint="cs"/>
                <w:rtl/>
              </w:rPr>
              <w:t>ה</w:t>
            </w:r>
            <w:r w:rsidRPr="00EB5220">
              <w:rPr>
                <w:rtl/>
              </w:rPr>
              <w:t>.</w:t>
            </w:r>
          </w:p>
        </w:tc>
      </w:tr>
    </w:tbl>
    <w:p w:rsidR="003037FB" w:rsidRPr="00247C05" w:rsidP="00EB5220">
      <w:pPr>
        <w:spacing w:after="240" w:line="230" w:lineRule="exact"/>
        <w:ind w:left="340"/>
        <w:jc w:val="both"/>
        <w:rPr>
          <w:rFonts w:cs="FrankRuehl"/>
          <w:sz w:val="20"/>
          <w:szCs w:val="22"/>
          <w:rtl/>
        </w:rPr>
      </w:pPr>
      <w:r w:rsidRPr="00247C05">
        <w:rPr>
          <w:rFonts w:cs="FrankRuehl" w:hint="cs"/>
          <w:sz w:val="20"/>
          <w:szCs w:val="22"/>
          <w:rtl/>
        </w:rPr>
        <w:t>בתשובת הב"ה נכתב, כי אין להב"ה תהליך המאפשר לאכוף את הטמעת הנהלים וכי חוסר אחידות והיעדר ניהול אחד מוגדר מקשה על תהליך ההנחיה המקצועית של מזכירויות בתי המשפט עמ"ק. הב"ה הוסיפה כי "הבעיה אינה במנגנון של הב"ה, כי אם בעובדה שלא ברורה כפיפות מזכירויות עמ"ק [להנהלת בתי המשפט]... לא מעטים המקרים בהם הב"ה מנחה... אולם המזכירות מקבלת הנחיות מגורמים אחרים ברשות".</w:t>
      </w:r>
    </w:p>
    <w:p w:rsidR="003037FB" w:rsidP="00EB5220">
      <w:pPr>
        <w:pStyle w:val="RESHET"/>
        <w:keepLines/>
        <w:ind w:left="567"/>
        <w:rPr>
          <w:rtl/>
        </w:rPr>
      </w:pPr>
      <w:r w:rsidRPr="00247C05">
        <w:rPr>
          <w:rFonts w:hint="cs"/>
          <w:rtl/>
        </w:rPr>
        <w:t xml:space="preserve">לדעת משרד מבקר המדינה קביעותיהם של ועדת זמיר ובג"ץ קארשי אינן מותיר ספק בדבר כפיפותן המקצועית של המזכירויות </w:t>
      </w:r>
      <w:r w:rsidRPr="00247C05">
        <w:rPr>
          <w:rtl/>
        </w:rPr>
        <w:t xml:space="preserve">בבתי משפט </w:t>
      </w:r>
      <w:r w:rsidRPr="00247C05">
        <w:rPr>
          <w:rFonts w:hint="eastAsia"/>
          <w:rtl/>
        </w:rPr>
        <w:t>עמ</w:t>
      </w:r>
      <w:r w:rsidRPr="00247C05">
        <w:rPr>
          <w:rtl/>
        </w:rPr>
        <w:t>"</w:t>
      </w:r>
      <w:r w:rsidRPr="00247C05">
        <w:rPr>
          <w:rFonts w:hint="cs"/>
          <w:rtl/>
        </w:rPr>
        <w:t>ק להב"ה. יוער כי חלק מאחריותה של הב"ה הוא לוודא כי כפיפות זו מוטמעת בקרב הרשויות המקומיות, ולכן עליה בשלב הראשון למנות</w:t>
      </w:r>
      <w:r w:rsidRPr="00247C05">
        <w:rPr>
          <w:rtl/>
        </w:rPr>
        <w:t xml:space="preserve"> גורם אחד שמטפל </w:t>
      </w:r>
      <w:r w:rsidRPr="00247C05">
        <w:rPr>
          <w:rFonts w:hint="cs"/>
          <w:rtl/>
        </w:rPr>
        <w:t>במזכירויות</w:t>
      </w:r>
      <w:r w:rsidRPr="00247C05">
        <w:rPr>
          <w:rtl/>
        </w:rPr>
        <w:t xml:space="preserve"> </w:t>
      </w:r>
      <w:r w:rsidRPr="00247C05">
        <w:rPr>
          <w:rFonts w:hint="cs"/>
          <w:rtl/>
        </w:rPr>
        <w:t>שיתרום</w:t>
      </w:r>
      <w:r w:rsidRPr="00247C05">
        <w:rPr>
          <w:rtl/>
        </w:rPr>
        <w:t xml:space="preserve"> </w:t>
      </w:r>
      <w:r w:rsidRPr="00247C05">
        <w:rPr>
          <w:rFonts w:hint="cs"/>
          <w:rtl/>
        </w:rPr>
        <w:t xml:space="preserve">לכך </w:t>
      </w:r>
      <w:r w:rsidRPr="00247C05">
        <w:rPr>
          <w:rFonts w:hint="eastAsia"/>
          <w:rtl/>
        </w:rPr>
        <w:t>שהמענה</w:t>
      </w:r>
      <w:r w:rsidRPr="00247C05">
        <w:rPr>
          <w:rtl/>
        </w:rPr>
        <w:t xml:space="preserve"> המקצועי </w:t>
      </w:r>
      <w:r w:rsidRPr="00247C05">
        <w:rPr>
          <w:rFonts w:hint="eastAsia"/>
          <w:rtl/>
        </w:rPr>
        <w:t>שיינתן</w:t>
      </w:r>
      <w:r w:rsidRPr="00247C05">
        <w:rPr>
          <w:rtl/>
        </w:rPr>
        <w:t xml:space="preserve"> </w:t>
      </w:r>
      <w:r w:rsidRPr="00247C05">
        <w:rPr>
          <w:rFonts w:hint="eastAsia"/>
          <w:rtl/>
        </w:rPr>
        <w:t>למזכירויות</w:t>
      </w:r>
      <w:r w:rsidRPr="00247C05">
        <w:rPr>
          <w:rtl/>
        </w:rPr>
        <w:t xml:space="preserve"> יהיה אחיד </w:t>
      </w:r>
      <w:r w:rsidRPr="00247C05">
        <w:rPr>
          <w:rFonts w:hint="cs"/>
          <w:rtl/>
        </w:rPr>
        <w:t>ו</w:t>
      </w:r>
      <w:r w:rsidRPr="00247C05">
        <w:rPr>
          <w:rFonts w:hint="eastAsia"/>
          <w:rtl/>
        </w:rPr>
        <w:t>שלם</w:t>
      </w:r>
      <w:r w:rsidRPr="00247C05">
        <w:rPr>
          <w:rtl/>
        </w:rPr>
        <w:t>.</w:t>
      </w: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EB5220" w:rsidRPr="0001521E" w:rsidP="00862DE8">
            <w:pPr>
              <w:keepNext/>
              <w:keepLines/>
              <w:spacing w:before="100" w:after="240" w:line="230" w:lineRule="exact"/>
              <w:rPr>
                <w:rFonts w:cs="FrankRuehl"/>
                <w:sz w:val="20"/>
                <w:szCs w:val="22"/>
                <w:rtl/>
              </w:rPr>
            </w:pPr>
            <w:r>
              <w:rPr>
                <w:rFonts w:cs="FrankRuehl" w:hint="cs"/>
                <w:sz w:val="20"/>
                <w:szCs w:val="22"/>
                <w:rtl/>
              </w:rPr>
              <w:t>2</w:t>
            </w:r>
            <w:r w:rsidRPr="0001521E">
              <w:rPr>
                <w:rFonts w:cs="FrankRuehl" w:hint="cs"/>
                <w:sz w:val="20"/>
                <w:szCs w:val="22"/>
                <w:rtl/>
              </w:rPr>
              <w:t>.</w:t>
            </w:r>
          </w:p>
        </w:tc>
        <w:tc>
          <w:tcPr>
            <w:tcW w:w="0" w:type="auto"/>
            <w:shd w:val="clear" w:color="auto" w:fill="auto"/>
          </w:tcPr>
          <w:p w:rsidR="00EB5220" w:rsidP="00862DE8">
            <w:pPr>
              <w:pStyle w:val="RESHET"/>
              <w:keepNext/>
              <w:keepLines/>
              <w:rPr>
                <w:rtl/>
              </w:rPr>
            </w:pPr>
            <w:r w:rsidRPr="00EB5220">
              <w:rPr>
                <w:rFonts w:hint="cs"/>
                <w:rtl/>
              </w:rPr>
              <w:t>הועלה, כי חלוקת</w:t>
            </w:r>
            <w:r w:rsidRPr="00EB5220">
              <w:rPr>
                <w:rtl/>
              </w:rPr>
              <w:t xml:space="preserve"> התפקידים בין הגורמים השונים </w:t>
            </w:r>
            <w:r w:rsidRPr="00EB5220">
              <w:rPr>
                <w:rFonts w:hint="cs"/>
                <w:rtl/>
              </w:rPr>
              <w:t xml:space="preserve">בנושא ההנחיה המקצועית של מזכירויות במ"ש עמ"ק </w:t>
            </w:r>
            <w:r w:rsidRPr="00EB5220">
              <w:rPr>
                <w:rtl/>
              </w:rPr>
              <w:t xml:space="preserve">אינה מעוגנת באופן ברור וממצה במסמך רשמי הגלוי לכל מזכירויות במ"ש עמ"ק. </w:t>
            </w:r>
            <w:r w:rsidRPr="00EB5220">
              <w:rPr>
                <w:rFonts w:hint="cs"/>
                <w:rtl/>
              </w:rPr>
              <w:t>כך למשל, מעגן נוהל</w:t>
            </w:r>
            <w:r w:rsidRPr="00EB5220">
              <w:rPr>
                <w:rtl/>
              </w:rPr>
              <w:t xml:space="preserve"> ממשקי עבודה אחריות </w:t>
            </w:r>
            <w:r w:rsidRPr="00EB5220">
              <w:rPr>
                <w:rFonts w:hint="cs"/>
                <w:rtl/>
              </w:rPr>
              <w:t>למתן מענה לשאלות מקצועיות של מזכירים, גם ע</w:t>
            </w:r>
            <w:r w:rsidRPr="00EB5220">
              <w:rPr>
                <w:rFonts w:hint="eastAsia"/>
                <w:rtl/>
              </w:rPr>
              <w:t>ל</w:t>
            </w:r>
            <w:r w:rsidRPr="00EB5220">
              <w:rPr>
                <w:rtl/>
              </w:rPr>
              <w:t xml:space="preserve"> </w:t>
            </w:r>
            <w:r w:rsidRPr="00EB5220">
              <w:rPr>
                <w:rFonts w:hint="eastAsia"/>
                <w:rtl/>
              </w:rPr>
              <w:t>מנהלי</w:t>
            </w:r>
            <w:r w:rsidRPr="00EB5220">
              <w:rPr>
                <w:rtl/>
              </w:rPr>
              <w:t xml:space="preserve"> </w:t>
            </w:r>
            <w:r w:rsidRPr="00EB5220">
              <w:rPr>
                <w:rFonts w:hint="eastAsia"/>
                <w:rtl/>
              </w:rPr>
              <w:t>המחוזות</w:t>
            </w:r>
            <w:r w:rsidRPr="00EB5220">
              <w:rPr>
                <w:rtl/>
              </w:rPr>
              <w:t xml:space="preserve"> </w:t>
            </w:r>
            <w:r w:rsidRPr="00EB5220">
              <w:rPr>
                <w:rFonts w:hint="eastAsia"/>
                <w:rtl/>
              </w:rPr>
              <w:t>ו</w:t>
            </w:r>
            <w:r w:rsidRPr="00EB5220">
              <w:rPr>
                <w:rFonts w:hint="cs"/>
                <w:rtl/>
              </w:rPr>
              <w:t>גם ע</w:t>
            </w:r>
            <w:r w:rsidRPr="00EB5220">
              <w:rPr>
                <w:rFonts w:hint="eastAsia"/>
                <w:rtl/>
              </w:rPr>
              <w:t>ל</w:t>
            </w:r>
            <w:r w:rsidRPr="00EB5220">
              <w:rPr>
                <w:rtl/>
              </w:rPr>
              <w:t xml:space="preserve"> </w:t>
            </w:r>
            <w:r w:rsidRPr="00EB5220">
              <w:rPr>
                <w:rFonts w:hint="eastAsia"/>
                <w:rtl/>
              </w:rPr>
              <w:t>מנהל</w:t>
            </w:r>
            <w:r w:rsidRPr="00EB5220">
              <w:rPr>
                <w:rtl/>
              </w:rPr>
              <w:t xml:space="preserve"> </w:t>
            </w:r>
            <w:r w:rsidRPr="00EB5220">
              <w:rPr>
                <w:rFonts w:hint="eastAsia"/>
                <w:rtl/>
              </w:rPr>
              <w:t>התחום</w:t>
            </w:r>
            <w:r w:rsidRPr="00EB5220">
              <w:rPr>
                <w:rFonts w:hint="cs"/>
                <w:rtl/>
              </w:rPr>
              <w:t xml:space="preserve">, </w:t>
            </w:r>
            <w:r w:rsidRPr="00EB5220">
              <w:rPr>
                <w:rFonts w:hint="eastAsia"/>
                <w:rtl/>
              </w:rPr>
              <w:t>ולא</w:t>
            </w:r>
            <w:r w:rsidRPr="00EB5220">
              <w:rPr>
                <w:rtl/>
              </w:rPr>
              <w:t xml:space="preserve"> </w:t>
            </w:r>
            <w:r w:rsidRPr="00EB5220">
              <w:rPr>
                <w:rFonts w:hint="eastAsia"/>
                <w:rtl/>
              </w:rPr>
              <w:t>נקבעה</w:t>
            </w:r>
            <w:r w:rsidRPr="00EB5220">
              <w:rPr>
                <w:rtl/>
              </w:rPr>
              <w:t xml:space="preserve"> </w:t>
            </w:r>
            <w:r w:rsidRPr="00EB5220">
              <w:rPr>
                <w:rFonts w:hint="eastAsia"/>
                <w:rtl/>
              </w:rPr>
              <w:t>בו</w:t>
            </w:r>
            <w:r w:rsidRPr="00EB5220">
              <w:rPr>
                <w:rtl/>
              </w:rPr>
              <w:t xml:space="preserve"> חלוקת </w:t>
            </w:r>
            <w:r w:rsidRPr="00EB5220">
              <w:rPr>
                <w:rFonts w:hint="cs"/>
                <w:rtl/>
              </w:rPr>
              <w:t>ה</w:t>
            </w:r>
            <w:r w:rsidRPr="00EB5220">
              <w:rPr>
                <w:rtl/>
              </w:rPr>
              <w:t>אחריות ביניהם.</w:t>
            </w:r>
          </w:p>
        </w:tc>
      </w:tr>
      <w:tr w:rsidTr="00862DE8">
        <w:tblPrEx>
          <w:tblW w:w="7031" w:type="dxa"/>
          <w:jc w:val="center"/>
          <w:tblLook w:val="04A0"/>
        </w:tblPrEx>
        <w:trPr>
          <w:jc w:val="center"/>
        </w:trPr>
        <w:tc>
          <w:tcPr>
            <w:tcW w:w="356" w:type="dxa"/>
            <w:shd w:val="clear" w:color="auto" w:fill="auto"/>
          </w:tcPr>
          <w:p w:rsidR="00EB5220" w:rsidP="00862DE8">
            <w:pPr>
              <w:keepNext/>
              <w:keepLines/>
              <w:spacing w:before="100" w:after="240" w:line="230" w:lineRule="exact"/>
              <w:rPr>
                <w:rFonts w:cs="FrankRuehl"/>
                <w:sz w:val="20"/>
                <w:szCs w:val="22"/>
                <w:rtl/>
              </w:rPr>
            </w:pPr>
            <w:r>
              <w:rPr>
                <w:rFonts w:cs="FrankRuehl" w:hint="cs"/>
                <w:sz w:val="20"/>
                <w:szCs w:val="22"/>
                <w:rtl/>
              </w:rPr>
              <w:t>3.</w:t>
            </w:r>
          </w:p>
        </w:tc>
        <w:tc>
          <w:tcPr>
            <w:tcW w:w="0" w:type="auto"/>
            <w:shd w:val="clear" w:color="auto" w:fill="auto"/>
          </w:tcPr>
          <w:p w:rsidR="00EB5220" w:rsidRPr="00EB5220" w:rsidP="00862DE8">
            <w:pPr>
              <w:pStyle w:val="RESHET"/>
              <w:keepNext/>
              <w:keepLines/>
              <w:rPr>
                <w:rtl/>
              </w:rPr>
            </w:pPr>
            <w:r w:rsidRPr="00EB5220">
              <w:rPr>
                <w:rFonts w:hint="eastAsia"/>
                <w:rtl/>
              </w:rPr>
              <w:t>מן</w:t>
            </w:r>
            <w:r w:rsidRPr="00EB5220">
              <w:rPr>
                <w:rtl/>
              </w:rPr>
              <w:t xml:space="preserve"> </w:t>
            </w:r>
            <w:r w:rsidRPr="00EB5220">
              <w:rPr>
                <w:rFonts w:hint="eastAsia"/>
                <w:rtl/>
              </w:rPr>
              <w:t>התשובות</w:t>
            </w:r>
            <w:r w:rsidRPr="00EB5220">
              <w:rPr>
                <w:rtl/>
              </w:rPr>
              <w:t xml:space="preserve"> </w:t>
            </w:r>
            <w:r w:rsidRPr="00EB5220">
              <w:rPr>
                <w:rFonts w:hint="eastAsia"/>
                <w:rtl/>
              </w:rPr>
              <w:t>לשאלונים</w:t>
            </w:r>
            <w:r w:rsidRPr="00EB5220">
              <w:rPr>
                <w:rtl/>
              </w:rPr>
              <w:t xml:space="preserve"> עולה, כי </w:t>
            </w:r>
            <w:r w:rsidRPr="00EB5220">
              <w:rPr>
                <w:rFonts w:hint="eastAsia"/>
                <w:rtl/>
              </w:rPr>
              <w:t>חלק</w:t>
            </w:r>
            <w:r w:rsidRPr="00EB5220">
              <w:rPr>
                <w:rtl/>
              </w:rPr>
              <w:t xml:space="preserve"> </w:t>
            </w:r>
            <w:r w:rsidRPr="00EB5220">
              <w:rPr>
                <w:rFonts w:hint="eastAsia"/>
                <w:rtl/>
              </w:rPr>
              <w:t>מ</w:t>
            </w:r>
            <w:r w:rsidRPr="00EB5220">
              <w:rPr>
                <w:rtl/>
              </w:rPr>
              <w:t xml:space="preserve">מזכירי בתי משפט </w:t>
            </w:r>
            <w:r w:rsidRPr="00EB5220">
              <w:rPr>
                <w:rFonts w:hint="eastAsia"/>
                <w:rtl/>
              </w:rPr>
              <w:t>עמ</w:t>
            </w:r>
            <w:r w:rsidRPr="00EB5220">
              <w:rPr>
                <w:rtl/>
              </w:rPr>
              <w:t xml:space="preserve">"ק </w:t>
            </w:r>
            <w:r w:rsidRPr="00EB5220">
              <w:rPr>
                <w:rFonts w:hint="eastAsia"/>
                <w:rtl/>
              </w:rPr>
              <w:t>נוהגים</w:t>
            </w:r>
            <w:r w:rsidRPr="00EB5220">
              <w:rPr>
                <w:rtl/>
              </w:rPr>
              <w:t xml:space="preserve"> </w:t>
            </w:r>
            <w:r w:rsidRPr="00EB5220">
              <w:rPr>
                <w:rFonts w:hint="eastAsia"/>
                <w:rtl/>
              </w:rPr>
              <w:t>להתייעץ</w:t>
            </w:r>
            <w:r w:rsidRPr="00EB5220">
              <w:rPr>
                <w:rtl/>
              </w:rPr>
              <w:t xml:space="preserve"> בנושאים מקצועיים </w:t>
            </w:r>
            <w:r w:rsidRPr="00EB5220">
              <w:rPr>
                <w:rFonts w:hint="eastAsia"/>
                <w:rtl/>
              </w:rPr>
              <w:t>עם</w:t>
            </w:r>
            <w:r w:rsidRPr="00EB5220">
              <w:rPr>
                <w:rtl/>
              </w:rPr>
              <w:t xml:space="preserve"> גורמים שאינם </w:t>
            </w:r>
            <w:r w:rsidRPr="00EB5220">
              <w:rPr>
                <w:rFonts w:hint="eastAsia"/>
                <w:rtl/>
              </w:rPr>
              <w:t>מנהל</w:t>
            </w:r>
            <w:r w:rsidRPr="00EB5220">
              <w:rPr>
                <w:rtl/>
              </w:rPr>
              <w:t xml:space="preserve"> </w:t>
            </w:r>
            <w:r w:rsidRPr="00EB5220">
              <w:rPr>
                <w:rFonts w:hint="eastAsia"/>
                <w:rtl/>
              </w:rPr>
              <w:t>התחום</w:t>
            </w:r>
            <w:r w:rsidRPr="00EB5220">
              <w:rPr>
                <w:rtl/>
              </w:rPr>
              <w:t xml:space="preserve"> </w:t>
            </w:r>
            <w:r w:rsidRPr="00EB5220">
              <w:rPr>
                <w:rFonts w:hint="eastAsia"/>
                <w:rtl/>
              </w:rPr>
              <w:t>או</w:t>
            </w:r>
            <w:r w:rsidRPr="00EB5220">
              <w:rPr>
                <w:rtl/>
              </w:rPr>
              <w:t xml:space="preserve"> </w:t>
            </w:r>
            <w:r w:rsidRPr="00EB5220">
              <w:rPr>
                <w:rFonts w:hint="eastAsia"/>
                <w:rtl/>
              </w:rPr>
              <w:t>מנהל</w:t>
            </w:r>
            <w:r w:rsidRPr="00EB5220">
              <w:rPr>
                <w:rtl/>
              </w:rPr>
              <w:t xml:space="preserve"> </w:t>
            </w:r>
            <w:r w:rsidRPr="00EB5220">
              <w:rPr>
                <w:rFonts w:hint="eastAsia"/>
                <w:rtl/>
              </w:rPr>
              <w:t>המחוז</w:t>
            </w:r>
            <w:r w:rsidRPr="00EB5220">
              <w:rPr>
                <w:rtl/>
              </w:rPr>
              <w:t xml:space="preserve"> </w:t>
            </w:r>
            <w:r w:rsidRPr="00EB5220">
              <w:rPr>
                <w:rFonts w:hint="eastAsia"/>
                <w:rtl/>
              </w:rPr>
              <w:t>כנדרש</w:t>
            </w:r>
            <w:r w:rsidRPr="00EB5220">
              <w:rPr>
                <w:rtl/>
              </w:rPr>
              <w:t xml:space="preserve"> </w:t>
            </w:r>
            <w:r w:rsidRPr="00EB5220">
              <w:rPr>
                <w:rFonts w:hint="eastAsia"/>
                <w:rtl/>
              </w:rPr>
              <w:t>בנוהל</w:t>
            </w:r>
            <w:r w:rsidRPr="00EB5220">
              <w:rPr>
                <w:rtl/>
              </w:rPr>
              <w:t xml:space="preserve"> </w:t>
            </w:r>
            <w:r w:rsidRPr="00EB5220">
              <w:rPr>
                <w:rFonts w:hint="eastAsia"/>
                <w:rtl/>
              </w:rPr>
              <w:t>ממשקי</w:t>
            </w:r>
            <w:r w:rsidRPr="00EB5220">
              <w:rPr>
                <w:rtl/>
              </w:rPr>
              <w:t xml:space="preserve"> </w:t>
            </w:r>
            <w:r w:rsidRPr="00EB5220">
              <w:rPr>
                <w:rFonts w:hint="eastAsia"/>
                <w:rtl/>
              </w:rPr>
              <w:t>עבודה</w:t>
            </w:r>
            <w:r w:rsidRPr="00EB5220">
              <w:rPr>
                <w:rFonts w:hint="cs"/>
                <w:rtl/>
              </w:rPr>
              <w:t>,</w:t>
            </w:r>
            <w:r w:rsidRPr="00EB5220">
              <w:rPr>
                <w:rtl/>
              </w:rPr>
              <w:t xml:space="preserve"> וב</w:t>
            </w:r>
            <w:r w:rsidRPr="00EB5220">
              <w:rPr>
                <w:rFonts w:hint="cs"/>
                <w:rtl/>
              </w:rPr>
              <w:t>יני</w:t>
            </w:r>
            <w:r w:rsidRPr="00EB5220">
              <w:rPr>
                <w:rtl/>
              </w:rPr>
              <w:t xml:space="preserve">הם גם גורמים </w:t>
            </w:r>
            <w:r w:rsidRPr="00EB5220">
              <w:rPr>
                <w:rFonts w:hint="eastAsia"/>
                <w:rtl/>
              </w:rPr>
              <w:t>בייעוץ</w:t>
            </w:r>
            <w:r w:rsidRPr="00247C05">
              <w:rPr>
                <w:rtl/>
              </w:rPr>
              <w:t xml:space="preserve"> </w:t>
            </w:r>
            <w:r w:rsidRPr="00EB5220">
              <w:rPr>
                <w:rFonts w:hint="eastAsia"/>
                <w:rtl/>
              </w:rPr>
              <w:t>המשפטי</w:t>
            </w:r>
            <w:r w:rsidRPr="00EB5220">
              <w:rPr>
                <w:rtl/>
              </w:rPr>
              <w:t xml:space="preserve"> </w:t>
            </w:r>
            <w:r w:rsidRPr="00EB5220">
              <w:rPr>
                <w:rFonts w:hint="eastAsia"/>
                <w:rtl/>
              </w:rPr>
              <w:t>של</w:t>
            </w:r>
            <w:r w:rsidRPr="00EB5220">
              <w:rPr>
                <w:rtl/>
              </w:rPr>
              <w:t xml:space="preserve"> </w:t>
            </w:r>
            <w:r w:rsidRPr="00EB5220">
              <w:rPr>
                <w:rFonts w:hint="eastAsia"/>
                <w:rtl/>
              </w:rPr>
              <w:t>הרשות</w:t>
            </w:r>
            <w:r w:rsidRPr="00EB5220">
              <w:rPr>
                <w:rtl/>
              </w:rPr>
              <w:t xml:space="preserve"> </w:t>
            </w:r>
            <w:r w:rsidRPr="00EB5220">
              <w:rPr>
                <w:rFonts w:hint="eastAsia"/>
                <w:rtl/>
              </w:rPr>
              <w:t>המקומית</w:t>
            </w:r>
            <w:r w:rsidRPr="00EB5220">
              <w:rPr>
                <w:rtl/>
              </w:rPr>
              <w:t xml:space="preserve"> </w:t>
            </w:r>
            <w:r w:rsidRPr="00EB5220">
              <w:rPr>
                <w:rFonts w:hint="eastAsia"/>
                <w:rtl/>
              </w:rPr>
              <w:t>או</w:t>
            </w:r>
            <w:r w:rsidRPr="00EB5220">
              <w:rPr>
                <w:rtl/>
              </w:rPr>
              <w:t xml:space="preserve"> </w:t>
            </w:r>
            <w:r w:rsidRPr="00EB5220">
              <w:rPr>
                <w:rFonts w:hint="eastAsia"/>
                <w:rtl/>
              </w:rPr>
              <w:t>גורמים</w:t>
            </w:r>
            <w:r w:rsidRPr="00EB5220">
              <w:rPr>
                <w:rtl/>
              </w:rPr>
              <w:t xml:space="preserve"> </w:t>
            </w:r>
            <w:r w:rsidRPr="00EB5220">
              <w:rPr>
                <w:rFonts w:hint="eastAsia"/>
                <w:rtl/>
              </w:rPr>
              <w:t>בתביעה</w:t>
            </w:r>
            <w:r w:rsidRPr="00EB5220">
              <w:rPr>
                <w:rtl/>
              </w:rPr>
              <w:t xml:space="preserve"> </w:t>
            </w:r>
            <w:r w:rsidRPr="00EB5220">
              <w:rPr>
                <w:rFonts w:hint="eastAsia"/>
                <w:rtl/>
              </w:rPr>
              <w:t>העירונית</w:t>
            </w:r>
            <w:r w:rsidRPr="00EB5220">
              <w:rPr>
                <w:rtl/>
              </w:rPr>
              <w:t>,</w:t>
            </w:r>
            <w:r w:rsidRPr="00EB5220">
              <w:rPr>
                <w:rFonts w:hint="cs"/>
                <w:rtl/>
              </w:rPr>
              <w:t xml:space="preserve"> שהם</w:t>
            </w:r>
            <w:r w:rsidRPr="00EB5220">
              <w:rPr>
                <w:rtl/>
              </w:rPr>
              <w:t xml:space="preserve"> בעלי </w:t>
            </w:r>
            <w:r w:rsidRPr="00EB5220">
              <w:rPr>
                <w:rFonts w:hint="cs"/>
                <w:rtl/>
              </w:rPr>
              <w:t>דין</w:t>
            </w:r>
            <w:r w:rsidRPr="00EB5220">
              <w:rPr>
                <w:rtl/>
              </w:rPr>
              <w:t xml:space="preserve"> בהליכים בבמ"ש עמ"ק</w:t>
            </w:r>
            <w:r w:rsidRPr="00EB5220">
              <w:rPr>
                <w:rFonts w:hint="cs"/>
                <w:rtl/>
              </w:rPr>
              <w:t>.</w:t>
            </w:r>
            <w:r w:rsidRPr="00EB5220">
              <w:rPr>
                <w:rtl/>
              </w:rPr>
              <w:t xml:space="preserve"> </w:t>
            </w:r>
            <w:r w:rsidRPr="00EB5220">
              <w:rPr>
                <w:rFonts w:hint="cs"/>
                <w:rtl/>
              </w:rPr>
              <w:t>וזאת - בניגוד</w:t>
            </w:r>
            <w:r w:rsidRPr="00EB5220">
              <w:rPr>
                <w:rtl/>
              </w:rPr>
              <w:t xml:space="preserve"> </w:t>
            </w:r>
            <w:r w:rsidRPr="00EB5220">
              <w:rPr>
                <w:rFonts w:hint="eastAsia"/>
                <w:rtl/>
              </w:rPr>
              <w:t>לנדרש</w:t>
            </w:r>
            <w:r w:rsidRPr="00EB5220">
              <w:rPr>
                <w:rtl/>
              </w:rPr>
              <w:t xml:space="preserve"> </w:t>
            </w:r>
            <w:r w:rsidRPr="00EB5220">
              <w:rPr>
                <w:rFonts w:hint="eastAsia"/>
                <w:rtl/>
              </w:rPr>
              <w:t>בנוהל</w:t>
            </w:r>
            <w:r w:rsidRPr="00EB5220">
              <w:rPr>
                <w:rtl/>
              </w:rPr>
              <w:t xml:space="preserve"> </w:t>
            </w:r>
            <w:r w:rsidRPr="00EB5220">
              <w:rPr>
                <w:rFonts w:hint="eastAsia"/>
                <w:rtl/>
              </w:rPr>
              <w:t>ממשקי</w:t>
            </w:r>
            <w:r w:rsidRPr="00EB5220">
              <w:rPr>
                <w:rtl/>
              </w:rPr>
              <w:t xml:space="preserve"> </w:t>
            </w:r>
            <w:r w:rsidRPr="00EB5220">
              <w:rPr>
                <w:rFonts w:hint="eastAsia"/>
                <w:rtl/>
              </w:rPr>
              <w:t>עבודה</w:t>
            </w:r>
            <w:r w:rsidRPr="00EB5220">
              <w:rPr>
                <w:rtl/>
              </w:rPr>
              <w:t xml:space="preserve"> </w:t>
            </w:r>
            <w:r w:rsidRPr="00EB5220">
              <w:rPr>
                <w:rFonts w:hint="cs"/>
                <w:rtl/>
              </w:rPr>
              <w:t>ו</w:t>
            </w:r>
            <w:r w:rsidRPr="00EB5220">
              <w:rPr>
                <w:rFonts w:hint="eastAsia"/>
                <w:rtl/>
              </w:rPr>
              <w:t>לעקרון</w:t>
            </w:r>
            <w:r w:rsidRPr="00EB5220">
              <w:rPr>
                <w:rtl/>
              </w:rPr>
              <w:t xml:space="preserve"> </w:t>
            </w:r>
            <w:r w:rsidRPr="00EB5220">
              <w:rPr>
                <w:rFonts w:hint="cs"/>
                <w:rtl/>
              </w:rPr>
              <w:t>הפרדת הרשויות</w:t>
            </w:r>
            <w:r w:rsidRPr="00EB5220">
              <w:rPr>
                <w:rtl/>
              </w:rPr>
              <w:t xml:space="preserve">. </w:t>
            </w:r>
            <w:r w:rsidRPr="00EB5220">
              <w:rPr>
                <w:rFonts w:hint="cs"/>
                <w:rtl/>
              </w:rPr>
              <w:t xml:space="preserve">לדעת משרד מבקר המדינה, </w:t>
            </w:r>
            <w:r w:rsidRPr="00EB5220">
              <w:rPr>
                <w:rFonts w:hint="eastAsia"/>
                <w:rtl/>
              </w:rPr>
              <w:t>על</w:t>
            </w:r>
            <w:r w:rsidRPr="00EB5220">
              <w:rPr>
                <w:rtl/>
              </w:rPr>
              <w:t xml:space="preserve"> מזכירויות בתי משפט </w:t>
            </w:r>
            <w:r w:rsidRPr="00EB5220">
              <w:rPr>
                <w:rFonts w:hint="eastAsia"/>
                <w:rtl/>
              </w:rPr>
              <w:t>עמ</w:t>
            </w:r>
            <w:r w:rsidRPr="00EB5220">
              <w:rPr>
                <w:rtl/>
              </w:rPr>
              <w:t xml:space="preserve">"ק </w:t>
            </w:r>
            <w:r w:rsidRPr="00EB5220">
              <w:rPr>
                <w:rFonts w:hint="eastAsia"/>
                <w:rtl/>
              </w:rPr>
              <w:t>לפעול</w:t>
            </w:r>
            <w:r w:rsidRPr="00EB5220">
              <w:rPr>
                <w:rtl/>
              </w:rPr>
              <w:t xml:space="preserve"> </w:t>
            </w:r>
            <w:r w:rsidRPr="00EB5220">
              <w:rPr>
                <w:rFonts w:hint="eastAsia"/>
                <w:rtl/>
              </w:rPr>
              <w:t>בהתאם</w:t>
            </w:r>
            <w:r w:rsidRPr="00EB5220">
              <w:rPr>
                <w:rtl/>
              </w:rPr>
              <w:t xml:space="preserve"> </w:t>
            </w:r>
            <w:r w:rsidRPr="00EB5220">
              <w:rPr>
                <w:rFonts w:hint="eastAsia"/>
                <w:rtl/>
              </w:rPr>
              <w:t>להוראות</w:t>
            </w:r>
            <w:r w:rsidRPr="00EB5220">
              <w:rPr>
                <w:rtl/>
              </w:rPr>
              <w:t xml:space="preserve"> </w:t>
            </w:r>
            <w:r w:rsidRPr="00EB5220">
              <w:rPr>
                <w:rFonts w:hint="eastAsia"/>
                <w:rtl/>
              </w:rPr>
              <w:t>של</w:t>
            </w:r>
            <w:r w:rsidRPr="00EB5220">
              <w:rPr>
                <w:rtl/>
              </w:rPr>
              <w:t xml:space="preserve"> </w:t>
            </w:r>
            <w:r w:rsidRPr="00EB5220">
              <w:rPr>
                <w:rFonts w:hint="eastAsia"/>
                <w:rtl/>
              </w:rPr>
              <w:t>נוהל</w:t>
            </w:r>
            <w:r w:rsidRPr="00EB5220">
              <w:rPr>
                <w:rtl/>
              </w:rPr>
              <w:t xml:space="preserve"> </w:t>
            </w:r>
            <w:r w:rsidRPr="00EB5220">
              <w:rPr>
                <w:rFonts w:hint="eastAsia"/>
                <w:rtl/>
              </w:rPr>
              <w:t>ממשקי</w:t>
            </w:r>
            <w:r w:rsidRPr="00EB5220">
              <w:rPr>
                <w:rtl/>
              </w:rPr>
              <w:t xml:space="preserve"> </w:t>
            </w:r>
            <w:r w:rsidRPr="00EB5220">
              <w:rPr>
                <w:rFonts w:hint="eastAsia"/>
                <w:rtl/>
              </w:rPr>
              <w:t>עבודה</w:t>
            </w:r>
            <w:r w:rsidRPr="00EB5220">
              <w:rPr>
                <w:rtl/>
              </w:rPr>
              <w:t>.</w:t>
            </w:r>
          </w:p>
        </w:tc>
      </w:tr>
    </w:tbl>
    <w:p w:rsidR="003037FB" w:rsidRPr="00247C05" w:rsidP="00EB5220">
      <w:pPr>
        <w:spacing w:after="240" w:line="230" w:lineRule="exact"/>
        <w:ind w:left="340"/>
        <w:jc w:val="both"/>
        <w:rPr>
          <w:rFonts w:cs="FrankRuehl"/>
          <w:sz w:val="20"/>
          <w:szCs w:val="22"/>
          <w:rtl/>
        </w:rPr>
      </w:pPr>
      <w:r w:rsidRPr="00247C05">
        <w:rPr>
          <w:rFonts w:cs="FrankRuehl" w:hint="cs"/>
          <w:sz w:val="20"/>
          <w:szCs w:val="22"/>
          <w:rtl/>
        </w:rPr>
        <w:t xml:space="preserve">בתשובת הב"ה נכתב, כי "דעת מערכת בתי המשפט היא כדעת המבקר ואכן בשל הכפיפות המנהלית, עובדי בית המשפט מבולבלים ונוטים לעיתים להתייעץ עם גורמים בלשכה המשפטית של הרשות או אצל התובע העירוני. הדבר מדגיש את הבעייתיות שבכפיפות הכפולה". </w:t>
      </w:r>
    </w:p>
    <w:p w:rsidR="003037FB" w:rsidRPr="00247C05" w:rsidP="00EB5220">
      <w:pPr>
        <w:pStyle w:val="RESHET"/>
        <w:keepLines/>
        <w:ind w:left="567"/>
        <w:rPr>
          <w:rtl/>
        </w:rPr>
      </w:pPr>
      <w:r w:rsidRPr="00247C05">
        <w:rPr>
          <w:rFonts w:hint="cs"/>
          <w:rtl/>
        </w:rPr>
        <w:t>משרד מבקר המדינה מעיר למזכירויות במ</w:t>
      </w:r>
      <w:r w:rsidRPr="00247C05">
        <w:rPr>
          <w:rtl/>
        </w:rPr>
        <w:t>"</w:t>
      </w:r>
      <w:r w:rsidRPr="00247C05">
        <w:rPr>
          <w:rFonts w:hint="cs"/>
          <w:rtl/>
        </w:rPr>
        <w:t>ש עמ"ק, כי מעמדה של התביעה בבתי המשפט הוא מעמד של בעל דין, ופנייה בשאלות מקצועיות ליועצים המשפטיים ברשויות המקומיות או לתובעים העירוניים</w:t>
      </w:r>
      <w:r>
        <w:rPr>
          <w:rStyle w:val="FootnoteReference"/>
          <w:rFonts w:cs="FrankRuehl"/>
          <w:b w:val="0"/>
          <w:bCs w:val="0"/>
          <w:rtl/>
        </w:rPr>
        <w:footnoteReference w:id="14"/>
      </w:r>
      <w:r w:rsidRPr="00247C05">
        <w:rPr>
          <w:rFonts w:hint="cs"/>
          <w:rtl/>
        </w:rPr>
        <w:t xml:space="preserve"> עלולה להעמיד את העובדים במצב של ניגוד עניינים, ואינה עולה בקנה אחד עם ההנחיות של נוהל ממשקי עבודה</w:t>
      </w:r>
      <w:r w:rsidRPr="00247C05">
        <w:rPr>
          <w:rtl/>
        </w:rPr>
        <w:t>.</w:t>
      </w:r>
      <w:r w:rsidRPr="00247C05">
        <w:rPr>
          <w:rFonts w:hint="cs"/>
          <w:rtl/>
        </w:rPr>
        <w:t xml:space="preserve"> על </w:t>
      </w:r>
      <w:r w:rsidRPr="00247C05">
        <w:rPr>
          <w:rFonts w:hint="eastAsia"/>
          <w:rtl/>
        </w:rPr>
        <w:t>הב</w:t>
      </w:r>
      <w:r w:rsidRPr="00247C05">
        <w:rPr>
          <w:rtl/>
        </w:rPr>
        <w:t xml:space="preserve">"ה </w:t>
      </w:r>
      <w:r w:rsidRPr="00247C05">
        <w:rPr>
          <w:rFonts w:hint="eastAsia"/>
          <w:rtl/>
        </w:rPr>
        <w:t>לשוב</w:t>
      </w:r>
      <w:r w:rsidRPr="00247C05">
        <w:rPr>
          <w:rtl/>
        </w:rPr>
        <w:t xml:space="preserve"> ולהדגיש </w:t>
      </w:r>
      <w:r w:rsidRPr="00247C05">
        <w:rPr>
          <w:rFonts w:hint="cs"/>
          <w:rtl/>
        </w:rPr>
        <w:t>ל</w:t>
      </w:r>
      <w:r w:rsidRPr="00247C05">
        <w:rPr>
          <w:rtl/>
        </w:rPr>
        <w:t xml:space="preserve">פני מזכירויות בתי משפט </w:t>
      </w:r>
      <w:r w:rsidRPr="00247C05">
        <w:rPr>
          <w:rFonts w:hint="eastAsia"/>
          <w:rtl/>
        </w:rPr>
        <w:t>עמ</w:t>
      </w:r>
      <w:r w:rsidRPr="00247C05">
        <w:rPr>
          <w:rtl/>
        </w:rPr>
        <w:t>"ק את חשיבות</w:t>
      </w:r>
      <w:r w:rsidRPr="00247C05">
        <w:rPr>
          <w:rFonts w:hint="cs"/>
          <w:rtl/>
        </w:rPr>
        <w:t>ה</w:t>
      </w:r>
      <w:r w:rsidRPr="00247C05">
        <w:rPr>
          <w:rtl/>
        </w:rPr>
        <w:t xml:space="preserve"> </w:t>
      </w:r>
      <w:r w:rsidRPr="00247C05">
        <w:rPr>
          <w:rFonts w:hint="cs"/>
          <w:rtl/>
        </w:rPr>
        <w:t>של ה</w:t>
      </w:r>
      <w:r w:rsidRPr="00247C05">
        <w:rPr>
          <w:rtl/>
        </w:rPr>
        <w:t xml:space="preserve">שמירה על עקרון </w:t>
      </w:r>
      <w:r w:rsidRPr="00247C05">
        <w:rPr>
          <w:rFonts w:hint="cs"/>
          <w:rtl/>
        </w:rPr>
        <w:t>הפרדת הרשויות.</w:t>
      </w:r>
      <w:r w:rsidRPr="00247C05">
        <w:rPr>
          <w:rtl/>
        </w:rPr>
        <w:t xml:space="preserve"> </w:t>
      </w:r>
    </w:p>
    <w:p w:rsidR="003037FB" w:rsidP="00EB5220">
      <w:pPr>
        <w:spacing w:after="120" w:line="230" w:lineRule="exact"/>
        <w:jc w:val="both"/>
        <w:rPr>
          <w:rFonts w:cs="FrankRuehl"/>
          <w:sz w:val="20"/>
          <w:szCs w:val="22"/>
          <w:rtl/>
        </w:rPr>
      </w:pPr>
    </w:p>
    <w:p w:rsidR="00EB5220" w:rsidRPr="00EB5220" w:rsidP="00EB5220">
      <w:pPr>
        <w:spacing w:after="120" w:line="230" w:lineRule="exact"/>
        <w:jc w:val="both"/>
        <w:rPr>
          <w:rFonts w:cs="FrankRuehl"/>
          <w:sz w:val="20"/>
          <w:szCs w:val="22"/>
          <w:rtl/>
        </w:rPr>
      </w:pPr>
    </w:p>
    <w:p w:rsidR="003037FB" w:rsidRPr="00A45E9A" w:rsidP="00040DAE">
      <w:pPr>
        <w:pStyle w:val="KOT5"/>
        <w:rPr>
          <w:rtl/>
        </w:rPr>
      </w:pPr>
      <w:r w:rsidRPr="00A45E9A">
        <w:rPr>
          <w:rFonts w:hint="cs"/>
          <w:rtl/>
        </w:rPr>
        <w:t xml:space="preserve">הדרכות והכשרות מקצועיות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בהתאם להמלצות דוח ועדת זמיר על הב"ה להדריך מבחינה מקצועית את מזכירי בתי משפט עמ"ק ועובדי המזכירויות ולקיים להם השתלמויות. ואכן, הב"ה הנחתה את הרשויות המקומיות, כי חובתם של המזכירים ושל עובדי המזכירויות לצאת להדרכות, לימי עיון ולהכשרות.</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בשנת 2010 הוקם בהב"ה מרכז להכשרה ופיתוח עובדים בשם "מעוף" (להלן - מרכז מעוף) שבאחריותה של חטיבת תפעול ומזכירויות. המרכז מאגד</w:t>
      </w:r>
      <w:r w:rsidRPr="00247C05">
        <w:rPr>
          <w:rFonts w:cs="FrankRuehl"/>
          <w:sz w:val="20"/>
          <w:szCs w:val="22"/>
          <w:rtl/>
        </w:rPr>
        <w:t xml:space="preserve"> </w:t>
      </w:r>
      <w:r w:rsidRPr="00247C05">
        <w:rPr>
          <w:rFonts w:cs="FrankRuehl" w:hint="cs"/>
          <w:sz w:val="20"/>
          <w:szCs w:val="22"/>
          <w:rtl/>
        </w:rPr>
        <w:t>בתוכו</w:t>
      </w:r>
      <w:r w:rsidRPr="00247C05">
        <w:rPr>
          <w:rFonts w:cs="FrankRuehl"/>
          <w:sz w:val="20"/>
          <w:szCs w:val="22"/>
          <w:rtl/>
        </w:rPr>
        <w:t xml:space="preserve"> </w:t>
      </w:r>
      <w:r w:rsidRPr="00247C05">
        <w:rPr>
          <w:rFonts w:cs="FrankRuehl" w:hint="cs"/>
          <w:sz w:val="20"/>
          <w:szCs w:val="22"/>
          <w:rtl/>
        </w:rPr>
        <w:t>את</w:t>
      </w:r>
      <w:r w:rsidRPr="00247C05">
        <w:rPr>
          <w:rFonts w:cs="FrankRuehl"/>
          <w:sz w:val="20"/>
          <w:szCs w:val="22"/>
          <w:rtl/>
        </w:rPr>
        <w:t xml:space="preserve"> </w:t>
      </w:r>
      <w:r w:rsidRPr="00247C05">
        <w:rPr>
          <w:rFonts w:cs="FrankRuehl" w:hint="cs"/>
          <w:sz w:val="20"/>
          <w:szCs w:val="22"/>
          <w:rtl/>
        </w:rPr>
        <w:t>כלל</w:t>
      </w:r>
      <w:r w:rsidRPr="00247C05">
        <w:rPr>
          <w:rFonts w:cs="FrankRuehl"/>
          <w:sz w:val="20"/>
          <w:szCs w:val="22"/>
          <w:rtl/>
        </w:rPr>
        <w:t xml:space="preserve"> </w:t>
      </w:r>
      <w:r w:rsidRPr="00247C05">
        <w:rPr>
          <w:rFonts w:cs="FrankRuehl" w:hint="cs"/>
          <w:sz w:val="20"/>
          <w:szCs w:val="22"/>
          <w:rtl/>
        </w:rPr>
        <w:t>ההכשרות</w:t>
      </w:r>
      <w:r w:rsidRPr="00247C05">
        <w:rPr>
          <w:rFonts w:cs="FrankRuehl"/>
          <w:sz w:val="20"/>
          <w:szCs w:val="22"/>
          <w:rtl/>
        </w:rPr>
        <w:t xml:space="preserve"> </w:t>
      </w:r>
      <w:r w:rsidRPr="00247C05">
        <w:rPr>
          <w:rFonts w:cs="FrankRuehl" w:hint="cs"/>
          <w:sz w:val="20"/>
          <w:szCs w:val="22"/>
          <w:rtl/>
        </w:rPr>
        <w:t xml:space="preserve">ההשתלמויות </w:t>
      </w:r>
      <w:r w:rsidRPr="00247C05">
        <w:rPr>
          <w:rFonts w:cs="FrankRuehl" w:hint="cs"/>
          <w:sz w:val="20"/>
          <w:szCs w:val="22"/>
          <w:rtl/>
        </w:rPr>
        <w:t>לעובדי המינהל של הב"ה. מרכז מעוף אחראי, בין היתר, למגוון</w:t>
      </w:r>
      <w:r w:rsidRPr="00247C05">
        <w:rPr>
          <w:rFonts w:cs="FrankRuehl"/>
          <w:sz w:val="20"/>
          <w:szCs w:val="22"/>
          <w:rtl/>
        </w:rPr>
        <w:t xml:space="preserve"> </w:t>
      </w:r>
      <w:r w:rsidRPr="00247C05">
        <w:rPr>
          <w:rFonts w:cs="FrankRuehl" w:hint="cs"/>
          <w:sz w:val="20"/>
          <w:szCs w:val="22"/>
          <w:rtl/>
        </w:rPr>
        <w:t xml:space="preserve">פעילויות הפרוסות על פני מאות ימי הדרכה בכל שנה. הוא מקיים גם שורה של כנסים וסדנאות לעובדים ברמות שונות, כדי להעמיק את הידע המקצועי של עובדי בתי המשפט. כך למשל, </w:t>
      </w:r>
      <w:r w:rsidRPr="00247C05">
        <w:rPr>
          <w:rFonts w:cs="FrankRuehl"/>
          <w:sz w:val="20"/>
          <w:szCs w:val="22"/>
          <w:rtl/>
        </w:rPr>
        <w:t>עובד</w:t>
      </w:r>
      <w:r w:rsidRPr="00247C05">
        <w:rPr>
          <w:rFonts w:cs="FrankRuehl" w:hint="cs"/>
          <w:sz w:val="20"/>
          <w:szCs w:val="22"/>
          <w:rtl/>
        </w:rPr>
        <w:t>י המדור הפלילי עוברים</w:t>
      </w:r>
      <w:r w:rsidRPr="00247C05">
        <w:rPr>
          <w:rFonts w:cs="FrankRuehl"/>
          <w:sz w:val="20"/>
          <w:szCs w:val="22"/>
          <w:rtl/>
        </w:rPr>
        <w:t xml:space="preserve"> קורס מקצועי </w:t>
      </w:r>
      <w:r w:rsidRPr="00247C05">
        <w:rPr>
          <w:rFonts w:cs="FrankRuehl" w:hint="cs"/>
          <w:sz w:val="20"/>
          <w:szCs w:val="22"/>
          <w:rtl/>
        </w:rPr>
        <w:t xml:space="preserve">בסיסי וקורס </w:t>
      </w:r>
      <w:r w:rsidRPr="00247C05">
        <w:rPr>
          <w:rFonts w:cs="FrankRuehl"/>
          <w:sz w:val="20"/>
          <w:szCs w:val="22"/>
          <w:rtl/>
        </w:rPr>
        <w:t>מתקדם</w:t>
      </w:r>
      <w:r w:rsidRPr="00247C05">
        <w:rPr>
          <w:rFonts w:cs="FrankRuehl" w:hint="cs"/>
          <w:sz w:val="20"/>
          <w:szCs w:val="22"/>
          <w:rtl/>
        </w:rPr>
        <w:t>, ימי עיון שנתיים והכשרות מחוזיות אחת לארבעה חודשים (בהשתתפות מנהל המחוז, מנהל התחום וגורמים בהב"ה כמו הייעוץ המשפטי והביקורת).</w:t>
      </w:r>
    </w:p>
    <w:p w:rsidR="003037FB" w:rsidRPr="00247C05" w:rsidP="00040DAE">
      <w:pPr>
        <w:pStyle w:val="ListParagraph"/>
        <w:numPr>
          <w:ilvl w:val="0"/>
          <w:numId w:val="4"/>
        </w:numPr>
        <w:spacing w:after="120" w:line="230" w:lineRule="exact"/>
        <w:contextualSpacing w:val="0"/>
        <w:jc w:val="both"/>
        <w:rPr>
          <w:rFonts w:ascii="Times New Roman" w:hAnsi="Times New Roman" w:cs="FrankRuehl"/>
          <w:sz w:val="20"/>
        </w:rPr>
      </w:pPr>
      <w:r w:rsidRPr="00CB5658">
        <w:rPr>
          <w:rStyle w:val="Heading5Char"/>
          <w:rFonts w:ascii="Times New Roman Bold" w:hAnsi="Times New Roman Bold" w:cs="FrankRuehl" w:hint="cs"/>
          <w:spacing w:val="40"/>
          <w:sz w:val="20"/>
          <w:szCs w:val="22"/>
          <w:rtl/>
        </w:rPr>
        <w:t>היקף ההכשרות</w:t>
      </w:r>
      <w:r w:rsidRPr="00CB5658">
        <w:rPr>
          <w:rStyle w:val="Heading7Char"/>
          <w:rFonts w:ascii="Times New Roman Bold" w:hAnsi="Times New Roman Bold" w:cs="FrankRuehl"/>
          <w:b/>
          <w:bCs/>
          <w:spacing w:val="40"/>
          <w:sz w:val="20"/>
          <w:szCs w:val="22"/>
          <w:rtl/>
        </w:rPr>
        <w:t>:</w:t>
      </w:r>
      <w:r w:rsidRPr="00247C05">
        <w:rPr>
          <w:rStyle w:val="Heading7Char"/>
          <w:rFonts w:ascii="Times New Roman" w:hAnsi="Times New Roman" w:cs="FrankRuehl"/>
          <w:b/>
          <w:bCs/>
          <w:spacing w:val="40"/>
          <w:sz w:val="20"/>
          <w:szCs w:val="22"/>
          <w:rtl/>
        </w:rPr>
        <w:t xml:space="preserve"> </w:t>
      </w:r>
      <w:r w:rsidRPr="00247C05">
        <w:rPr>
          <w:rFonts w:ascii="Times New Roman" w:hAnsi="Times New Roman" w:cs="FrankRuehl" w:hint="cs"/>
          <w:sz w:val="20"/>
          <w:rtl/>
        </w:rPr>
        <w:t>בלוח שלהלן נתונים על הדרכות והכשרות מקצועיות לעובדי מזכירויות בתי משפט עמ"ק מינואר 2010 - אוגוסט 2015.</w:t>
      </w:r>
    </w:p>
    <w:p w:rsidR="003037FB" w:rsidRPr="00247C05" w:rsidP="00EB5220">
      <w:pPr>
        <w:pStyle w:val="tab-name"/>
      </w:pPr>
      <w:r w:rsidRPr="00EB5220">
        <w:rPr>
          <w:rFonts w:hint="cs"/>
          <w:b w:val="0"/>
          <w:bCs w:val="0"/>
          <w:sz w:val="20"/>
          <w:szCs w:val="20"/>
          <w:rtl/>
        </w:rPr>
        <w:t>לוח 1</w:t>
      </w:r>
      <w:r w:rsidRPr="00EB5220">
        <w:rPr>
          <w:b w:val="0"/>
          <w:bCs w:val="0"/>
          <w:sz w:val="20"/>
          <w:szCs w:val="20"/>
          <w:rtl/>
        </w:rPr>
        <w:br/>
      </w:r>
      <w:r w:rsidRPr="00247C05">
        <w:rPr>
          <w:rFonts w:hint="cs"/>
          <w:rtl/>
        </w:rPr>
        <w:t>הדרכות והכשרות מקצועיות ינואר 2010 - אוגוסט 2015</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316"/>
        <w:gridCol w:w="1184"/>
        <w:gridCol w:w="1162"/>
        <w:gridCol w:w="1030"/>
        <w:gridCol w:w="713"/>
        <w:gridCol w:w="1277"/>
        <w:gridCol w:w="1009"/>
      </w:tblGrid>
      <w:tr w:rsidTr="00EB5220">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Ex>
        <w:trPr>
          <w:jc w:val="center"/>
        </w:trPr>
        <w:tc>
          <w:tcPr>
            <w:tcW w:w="316"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Pr>
            </w:pPr>
          </w:p>
        </w:tc>
        <w:tc>
          <w:tcPr>
            <w:tcW w:w="1527"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Pr>
            </w:pPr>
            <w:r w:rsidRPr="00EB5220">
              <w:rPr>
                <w:rFonts w:eastAsia="Calibri" w:cs="FrankRuehl" w:hint="cs"/>
                <w:b/>
                <w:bCs/>
                <w:rtl/>
              </w:rPr>
              <w:t>ההכשרה</w:t>
            </w:r>
          </w:p>
        </w:tc>
        <w:tc>
          <w:tcPr>
            <w:tcW w:w="1560"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tl/>
              </w:rPr>
            </w:pPr>
            <w:r w:rsidRPr="00EB5220">
              <w:rPr>
                <w:rFonts w:eastAsia="Calibri" w:cs="FrankRuehl" w:hint="cs"/>
                <w:b/>
                <w:bCs/>
                <w:rtl/>
              </w:rPr>
              <w:t>מספר מחזורים</w:t>
            </w:r>
          </w:p>
        </w:tc>
        <w:tc>
          <w:tcPr>
            <w:tcW w:w="1275"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tl/>
              </w:rPr>
            </w:pPr>
            <w:r w:rsidRPr="00EB5220">
              <w:rPr>
                <w:rFonts w:eastAsia="Calibri" w:cs="FrankRuehl" w:hint="cs"/>
                <w:b/>
                <w:bCs/>
                <w:rtl/>
              </w:rPr>
              <w:t>המועד</w:t>
            </w:r>
          </w:p>
        </w:tc>
        <w:tc>
          <w:tcPr>
            <w:tcW w:w="850"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tl/>
              </w:rPr>
            </w:pPr>
            <w:r w:rsidRPr="00EB5220">
              <w:rPr>
                <w:rFonts w:eastAsia="Calibri" w:cs="FrankRuehl" w:hint="cs"/>
                <w:b/>
                <w:bCs/>
                <w:rtl/>
              </w:rPr>
              <w:t>היקף</w:t>
            </w:r>
          </w:p>
        </w:tc>
        <w:tc>
          <w:tcPr>
            <w:tcW w:w="1701"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tl/>
              </w:rPr>
            </w:pPr>
            <w:r w:rsidRPr="00EB5220">
              <w:rPr>
                <w:rFonts w:eastAsia="Calibri" w:cs="FrankRuehl" w:hint="cs"/>
                <w:b/>
                <w:bCs/>
                <w:rtl/>
              </w:rPr>
              <w:t>קהל היעד</w:t>
            </w:r>
          </w:p>
        </w:tc>
        <w:tc>
          <w:tcPr>
            <w:tcW w:w="1276" w:type="dxa"/>
            <w:tcBorders>
              <w:top w:val="single" w:sz="12" w:space="0" w:color="auto"/>
              <w:bottom w:val="single" w:sz="12" w:space="0" w:color="auto"/>
            </w:tcBorders>
            <w:shd w:val="pct10" w:color="auto" w:fill="auto"/>
            <w:vAlign w:val="bottom"/>
          </w:tcPr>
          <w:p w:rsidR="003037FB" w:rsidRPr="00EB5220" w:rsidP="00EB5220">
            <w:pPr>
              <w:pStyle w:val="FootnoteText"/>
              <w:spacing w:before="40" w:after="40" w:line="220" w:lineRule="exact"/>
              <w:jc w:val="center"/>
              <w:rPr>
                <w:rFonts w:eastAsia="Calibri" w:cs="FrankRuehl"/>
                <w:b/>
                <w:bCs/>
                <w:rtl/>
              </w:rPr>
            </w:pPr>
            <w:r w:rsidRPr="00EB5220">
              <w:rPr>
                <w:rFonts w:eastAsia="Calibri" w:cs="FrankRuehl" w:hint="cs"/>
                <w:b/>
                <w:bCs/>
                <w:rtl/>
              </w:rPr>
              <w:t>יוזם</w:t>
            </w:r>
          </w:p>
        </w:tc>
      </w:tr>
      <w:tr w:rsidTr="00EB5220">
        <w:tblPrEx>
          <w:tblW w:w="6691" w:type="dxa"/>
          <w:jc w:val="center"/>
          <w:tblLook w:val="04A0"/>
        </w:tblPrEx>
        <w:trPr>
          <w:jc w:val="center"/>
        </w:trPr>
        <w:tc>
          <w:tcPr>
            <w:tcW w:w="316"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b/>
                <w:bCs/>
                <w:rtl/>
              </w:rPr>
            </w:pPr>
            <w:r w:rsidRPr="00EB5220">
              <w:rPr>
                <w:rFonts w:eastAsia="Calibri" w:cs="FrankRuehl"/>
                <w:b/>
                <w:bCs/>
              </w:rPr>
              <w:t>1</w:t>
            </w:r>
          </w:p>
        </w:tc>
        <w:tc>
          <w:tcPr>
            <w:tcW w:w="1527"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 xml:space="preserve">קורס "עניינים מקומיים" </w:t>
            </w:r>
          </w:p>
        </w:tc>
        <w:tc>
          <w:tcPr>
            <w:tcW w:w="1560"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 xml:space="preserve">שניים </w:t>
            </w:r>
          </w:p>
        </w:tc>
        <w:tc>
          <w:tcPr>
            <w:tcW w:w="1275"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דצמבר 2010 -</w:t>
            </w:r>
            <w:r w:rsidR="00EB5220">
              <w:rPr>
                <w:rFonts w:eastAsia="Calibri" w:cs="FrankRuehl" w:hint="cs"/>
                <w:rtl/>
              </w:rPr>
              <w:t xml:space="preserve"> </w:t>
            </w:r>
            <w:r w:rsidRPr="00EB5220">
              <w:rPr>
                <w:rFonts w:eastAsia="Calibri" w:cs="FrankRuehl" w:hint="cs"/>
                <w:rtl/>
              </w:rPr>
              <w:t>אפריל 2011</w:t>
            </w:r>
          </w:p>
        </w:tc>
        <w:tc>
          <w:tcPr>
            <w:tcW w:w="850"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3 ימים</w:t>
            </w:r>
          </w:p>
        </w:tc>
        <w:tc>
          <w:tcPr>
            <w:tcW w:w="1701"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כלל עובדי מזכירויות במ"ש עמ"ק</w:t>
            </w:r>
          </w:p>
        </w:tc>
        <w:tc>
          <w:tcPr>
            <w:tcW w:w="1276" w:type="dxa"/>
            <w:tcBorders>
              <w:top w:val="single" w:sz="12" w:space="0" w:color="auto"/>
            </w:tcBorders>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הב"ה</w:t>
            </w:r>
          </w:p>
        </w:tc>
      </w:tr>
      <w:tr w:rsidTr="00EB5220">
        <w:tblPrEx>
          <w:tblW w:w="6691" w:type="dxa"/>
          <w:jc w:val="center"/>
          <w:tblLook w:val="04A0"/>
        </w:tblPrEx>
        <w:trPr>
          <w:jc w:val="center"/>
        </w:trPr>
        <w:tc>
          <w:tcPr>
            <w:tcW w:w="316" w:type="dxa"/>
            <w:shd w:val="clear" w:color="auto" w:fill="auto"/>
          </w:tcPr>
          <w:p w:rsidR="003037FB" w:rsidRPr="00EB5220" w:rsidP="00EB5220">
            <w:pPr>
              <w:pStyle w:val="FootnoteText"/>
              <w:spacing w:before="40" w:after="40" w:line="220" w:lineRule="exact"/>
              <w:rPr>
                <w:rFonts w:eastAsia="Calibri" w:cs="FrankRuehl"/>
                <w:b/>
                <w:bCs/>
                <w:rtl/>
              </w:rPr>
            </w:pPr>
            <w:r w:rsidRPr="00EB5220">
              <w:rPr>
                <w:rFonts w:eastAsia="Calibri" w:cs="FrankRuehl"/>
                <w:b/>
                <w:bCs/>
              </w:rPr>
              <w:t>2</w:t>
            </w:r>
          </w:p>
        </w:tc>
        <w:tc>
          <w:tcPr>
            <w:tcW w:w="1527"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 xml:space="preserve">יום עיון </w:t>
            </w:r>
          </w:p>
        </w:tc>
        <w:tc>
          <w:tcPr>
            <w:tcW w:w="1560"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 xml:space="preserve">שניים </w:t>
            </w:r>
          </w:p>
        </w:tc>
        <w:tc>
          <w:tcPr>
            <w:tcW w:w="1275" w:type="dxa"/>
            <w:shd w:val="clear" w:color="auto" w:fill="auto"/>
          </w:tcPr>
          <w:p w:rsidR="003037FB" w:rsidRPr="00EB5220" w:rsidP="00474C71">
            <w:pPr>
              <w:pStyle w:val="FootnoteText"/>
              <w:spacing w:before="40" w:after="40" w:line="220" w:lineRule="exact"/>
              <w:rPr>
                <w:rFonts w:eastAsia="Calibri" w:cs="FrankRuehl"/>
                <w:rtl/>
              </w:rPr>
            </w:pPr>
            <w:r w:rsidRPr="00EB5220">
              <w:rPr>
                <w:rFonts w:eastAsia="Calibri" w:cs="FrankRuehl" w:hint="cs"/>
                <w:rtl/>
              </w:rPr>
              <w:t xml:space="preserve">אוקטובר 2011 </w:t>
            </w:r>
          </w:p>
        </w:tc>
        <w:tc>
          <w:tcPr>
            <w:tcW w:w="850"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יום</w:t>
            </w:r>
          </w:p>
        </w:tc>
        <w:tc>
          <w:tcPr>
            <w:tcW w:w="1701"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כלל עובדי מזכירויות במ"ש עמ"ק</w:t>
            </w:r>
          </w:p>
        </w:tc>
        <w:tc>
          <w:tcPr>
            <w:tcW w:w="1276"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הב"ה</w:t>
            </w:r>
          </w:p>
        </w:tc>
      </w:tr>
      <w:tr w:rsidTr="00EB5220">
        <w:tblPrEx>
          <w:tblW w:w="6691" w:type="dxa"/>
          <w:jc w:val="center"/>
          <w:tblLook w:val="04A0"/>
        </w:tblPrEx>
        <w:trPr>
          <w:jc w:val="center"/>
        </w:trPr>
        <w:tc>
          <w:tcPr>
            <w:tcW w:w="316" w:type="dxa"/>
            <w:shd w:val="clear" w:color="auto" w:fill="auto"/>
          </w:tcPr>
          <w:p w:rsidR="003037FB" w:rsidRPr="00EB5220" w:rsidP="00EB5220">
            <w:pPr>
              <w:pStyle w:val="FootnoteText"/>
              <w:spacing w:before="40" w:after="40" w:line="220" w:lineRule="exact"/>
              <w:rPr>
                <w:rFonts w:eastAsia="Calibri" w:cs="FrankRuehl"/>
                <w:b/>
                <w:bCs/>
                <w:rtl/>
              </w:rPr>
            </w:pPr>
            <w:r w:rsidRPr="00EB5220">
              <w:rPr>
                <w:rFonts w:eastAsia="Calibri" w:cs="FrankRuehl"/>
                <w:b/>
                <w:bCs/>
              </w:rPr>
              <w:t>3</w:t>
            </w:r>
          </w:p>
        </w:tc>
        <w:tc>
          <w:tcPr>
            <w:tcW w:w="1527"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יום עיון</w:t>
            </w:r>
          </w:p>
        </w:tc>
        <w:tc>
          <w:tcPr>
            <w:tcW w:w="1560"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 xml:space="preserve">שניים </w:t>
            </w:r>
          </w:p>
        </w:tc>
        <w:tc>
          <w:tcPr>
            <w:tcW w:w="1275"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נובמבר 2012</w:t>
            </w:r>
          </w:p>
        </w:tc>
        <w:tc>
          <w:tcPr>
            <w:tcW w:w="850"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יום</w:t>
            </w:r>
          </w:p>
        </w:tc>
        <w:tc>
          <w:tcPr>
            <w:tcW w:w="1701"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כלל עובדי מזכירויות במ"ש עמ"ק</w:t>
            </w:r>
          </w:p>
        </w:tc>
        <w:tc>
          <w:tcPr>
            <w:tcW w:w="1276"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הב"ה</w:t>
            </w:r>
          </w:p>
        </w:tc>
      </w:tr>
      <w:tr w:rsidTr="00EB5220">
        <w:tblPrEx>
          <w:tblW w:w="6691" w:type="dxa"/>
          <w:jc w:val="center"/>
          <w:tblLook w:val="04A0"/>
        </w:tblPrEx>
        <w:trPr>
          <w:jc w:val="center"/>
        </w:trPr>
        <w:tc>
          <w:tcPr>
            <w:tcW w:w="316" w:type="dxa"/>
            <w:shd w:val="clear" w:color="auto" w:fill="auto"/>
          </w:tcPr>
          <w:p w:rsidR="003037FB" w:rsidRPr="00EB5220" w:rsidP="00EB5220">
            <w:pPr>
              <w:pStyle w:val="FootnoteText"/>
              <w:spacing w:before="40" w:after="40" w:line="220" w:lineRule="exact"/>
              <w:rPr>
                <w:rFonts w:eastAsia="Calibri" w:cs="FrankRuehl"/>
                <w:b/>
                <w:bCs/>
                <w:rtl/>
              </w:rPr>
            </w:pPr>
            <w:r w:rsidRPr="00EB5220">
              <w:rPr>
                <w:rFonts w:eastAsia="Calibri" w:cs="FrankRuehl"/>
                <w:b/>
                <w:bCs/>
              </w:rPr>
              <w:t>4</w:t>
            </w:r>
          </w:p>
        </w:tc>
        <w:tc>
          <w:tcPr>
            <w:tcW w:w="1527"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הדרכה - קורס עמ"ק מחוז ת"א</w:t>
            </w:r>
          </w:p>
        </w:tc>
        <w:tc>
          <w:tcPr>
            <w:tcW w:w="1560"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אין נתונים</w:t>
            </w:r>
          </w:p>
        </w:tc>
        <w:tc>
          <w:tcPr>
            <w:tcW w:w="1275"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ינואר-מרץ 2015</w:t>
            </w:r>
          </w:p>
        </w:tc>
        <w:tc>
          <w:tcPr>
            <w:tcW w:w="850"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 xml:space="preserve">12 שעות </w:t>
            </w:r>
          </w:p>
        </w:tc>
        <w:tc>
          <w:tcPr>
            <w:tcW w:w="1701"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עובדי מזכירויות במ"ש עמ"ק מחוז תל אביב</w:t>
            </w:r>
          </w:p>
        </w:tc>
        <w:tc>
          <w:tcPr>
            <w:tcW w:w="1276" w:type="dxa"/>
            <w:shd w:val="clear" w:color="auto" w:fill="auto"/>
          </w:tcPr>
          <w:p w:rsidR="003037FB" w:rsidRPr="00EB5220" w:rsidP="00EB5220">
            <w:pPr>
              <w:pStyle w:val="FootnoteText"/>
              <w:spacing w:before="40" w:after="40" w:line="220" w:lineRule="exact"/>
              <w:rPr>
                <w:rFonts w:eastAsia="Calibri" w:cs="FrankRuehl"/>
                <w:rtl/>
              </w:rPr>
            </w:pPr>
            <w:r w:rsidRPr="00EB5220">
              <w:rPr>
                <w:rFonts w:eastAsia="Calibri" w:cs="FrankRuehl" w:hint="cs"/>
                <w:rtl/>
              </w:rPr>
              <w:t>מזכירות במ"ש עמ"ק בת"א</w:t>
            </w:r>
          </w:p>
        </w:tc>
      </w:tr>
    </w:tbl>
    <w:p w:rsidR="003037FB" w:rsidRPr="00EB5220" w:rsidP="00EB5220">
      <w:pPr>
        <w:pStyle w:val="PlainText"/>
        <w:widowControl/>
        <w:spacing w:before="120" w:after="240" w:line="200" w:lineRule="exact"/>
        <w:rPr>
          <w:rFonts w:ascii="Times New Roman" w:hAnsi="Times New Roman" w:cs="FrankRuehl"/>
          <w:sz w:val="18"/>
          <w:rtl/>
          <w:lang w:eastAsia="en-US"/>
        </w:rPr>
      </w:pPr>
      <w:r w:rsidRPr="00EB5220">
        <w:rPr>
          <w:rFonts w:ascii="Times New Roman" w:hAnsi="Times New Roman" w:cs="FrankRuehl" w:hint="cs"/>
          <w:sz w:val="18"/>
          <w:rtl/>
          <w:lang w:eastAsia="en-US"/>
        </w:rPr>
        <w:t>על פי נתוני הנהלת בתי המשפט ומזכירות במ"ש עמ"ק תל אביב.</w:t>
      </w:r>
    </w:p>
    <w:p w:rsidR="003037FB" w:rsidRPr="00247C05" w:rsidP="0003542F">
      <w:pPr>
        <w:pStyle w:val="RESHET"/>
        <w:keepLines/>
        <w:ind w:left="567"/>
        <w:rPr>
          <w:rtl/>
        </w:rPr>
      </w:pPr>
      <w:r w:rsidRPr="00247C05">
        <w:rPr>
          <w:rFonts w:hint="eastAsia"/>
          <w:rtl/>
        </w:rPr>
        <w:t>מן</w:t>
      </w:r>
      <w:r w:rsidRPr="00247C05">
        <w:rPr>
          <w:rtl/>
        </w:rPr>
        <w:t xml:space="preserve"> </w:t>
      </w:r>
      <w:r w:rsidRPr="00247C05">
        <w:rPr>
          <w:rFonts w:hint="cs"/>
          <w:rtl/>
        </w:rPr>
        <w:t>הטבלה עולה שמנובמבר 2012 - אוגוסט 2015 לא ארגנה הב"ה קורסים והשתלמויות לעובדי בתי משפט עמ"ק (ההדרכה בשנת 2015 אורגנה ביזמת מזכירות במ"ש עמ"ק תל אביב ויועדה רק לעובדי בתי המשפט עמ"ק שבמחוז תל אביב).</w:t>
      </w:r>
      <w:r w:rsidRPr="00247C05">
        <w:rPr>
          <w:rtl/>
        </w:rPr>
        <w:t xml:space="preserve"> </w:t>
      </w:r>
      <w:r w:rsidRPr="00247C05">
        <w:rPr>
          <w:rFonts w:hint="cs"/>
          <w:rtl/>
        </w:rPr>
        <w:t>יוצא אפוא ש</w:t>
      </w:r>
      <w:r w:rsidRPr="00247C05">
        <w:rPr>
          <w:rFonts w:hint="eastAsia"/>
          <w:rtl/>
        </w:rPr>
        <w:t>מ</w:t>
      </w:r>
      <w:r w:rsidRPr="00247C05">
        <w:rPr>
          <w:rFonts w:hint="cs"/>
          <w:rtl/>
        </w:rPr>
        <w:t>ספר</w:t>
      </w:r>
      <w:r w:rsidRPr="00247C05">
        <w:rPr>
          <w:rtl/>
        </w:rPr>
        <w:t xml:space="preserve"> </w:t>
      </w:r>
      <w:r w:rsidRPr="00247C05">
        <w:rPr>
          <w:rFonts w:hint="eastAsia"/>
          <w:rtl/>
        </w:rPr>
        <w:t>ההדרכות</w:t>
      </w:r>
      <w:r w:rsidRPr="00247C05">
        <w:rPr>
          <w:rtl/>
        </w:rPr>
        <w:t xml:space="preserve"> </w:t>
      </w:r>
      <w:r w:rsidRPr="00247C05">
        <w:rPr>
          <w:rFonts w:hint="eastAsia"/>
          <w:rtl/>
        </w:rPr>
        <w:t>וההכשרות</w:t>
      </w:r>
      <w:r w:rsidRPr="00247C05">
        <w:rPr>
          <w:rtl/>
        </w:rPr>
        <w:t xml:space="preserve"> </w:t>
      </w:r>
      <w:r w:rsidRPr="00247C05">
        <w:rPr>
          <w:rFonts w:hint="eastAsia"/>
          <w:rtl/>
        </w:rPr>
        <w:t>שקיימה</w:t>
      </w:r>
      <w:r w:rsidRPr="00247C05">
        <w:rPr>
          <w:rtl/>
        </w:rPr>
        <w:t xml:space="preserve"> הב"ה </w:t>
      </w:r>
      <w:r w:rsidRPr="00247C05">
        <w:rPr>
          <w:rFonts w:hint="eastAsia"/>
          <w:rtl/>
        </w:rPr>
        <w:t>לעובדי</w:t>
      </w:r>
      <w:r w:rsidRPr="00247C05">
        <w:rPr>
          <w:rtl/>
        </w:rPr>
        <w:t xml:space="preserve"> מזכירויות במ"ש עמ"ק </w:t>
      </w:r>
      <w:r w:rsidRPr="00247C05">
        <w:rPr>
          <w:rFonts w:hint="cs"/>
          <w:rtl/>
        </w:rPr>
        <w:t xml:space="preserve">היה </w:t>
      </w:r>
      <w:r w:rsidRPr="00247C05">
        <w:rPr>
          <w:rFonts w:hint="eastAsia"/>
          <w:rtl/>
        </w:rPr>
        <w:t>מצומצם</w:t>
      </w:r>
      <w:r w:rsidRPr="00247C05">
        <w:rPr>
          <w:rFonts w:hint="cs"/>
          <w:rtl/>
        </w:rPr>
        <w:t>.</w:t>
      </w:r>
      <w:r w:rsidRPr="00247C05">
        <w:rPr>
          <w:rtl/>
        </w:rPr>
        <w:t xml:space="preserve"> </w:t>
      </w:r>
      <w:r w:rsidRPr="00247C05">
        <w:rPr>
          <w:rFonts w:hint="cs"/>
          <w:rtl/>
        </w:rPr>
        <w:t>יצוין לשם השוואה, כי</w:t>
      </w:r>
      <w:r w:rsidRPr="00247C05">
        <w:rPr>
          <w:rtl/>
        </w:rPr>
        <w:t xml:space="preserve"> עובדי המדורים הפליליים בבתי המשפט משתתפים בימי עיון </w:t>
      </w:r>
      <w:r w:rsidRPr="00247C05">
        <w:rPr>
          <w:rFonts w:hint="cs"/>
          <w:rtl/>
        </w:rPr>
        <w:t>והכשרות</w:t>
      </w:r>
      <w:r w:rsidRPr="00247C05">
        <w:rPr>
          <w:rtl/>
        </w:rPr>
        <w:t xml:space="preserve"> כל שנה</w:t>
      </w:r>
      <w:r w:rsidRPr="00247C05">
        <w:rPr>
          <w:rFonts w:hint="cs"/>
          <w:rtl/>
        </w:rPr>
        <w:t>.</w:t>
      </w:r>
      <w:r w:rsidRPr="00247C05">
        <w:rPr>
          <w:rtl/>
        </w:rPr>
        <w:t xml:space="preserve"> </w:t>
      </w:r>
    </w:p>
    <w:p w:rsidR="003037FB" w:rsidRPr="00247C05" w:rsidP="00DC2796">
      <w:pPr>
        <w:spacing w:before="180" w:after="240" w:line="230" w:lineRule="exact"/>
        <w:ind w:left="340"/>
        <w:jc w:val="both"/>
        <w:rPr>
          <w:rFonts w:cs="FrankRuehl"/>
          <w:sz w:val="20"/>
          <w:szCs w:val="22"/>
          <w:rtl/>
        </w:rPr>
      </w:pPr>
      <w:r w:rsidRPr="00247C05">
        <w:rPr>
          <w:rFonts w:cs="FrankRuehl" w:hint="cs"/>
          <w:sz w:val="20"/>
          <w:szCs w:val="22"/>
          <w:rtl/>
        </w:rPr>
        <w:t>בתשובת הב"ה נכתב, כי לגבי שנת 2013 לא קיימים נתונים, בשנת 2014 לא התקיימו ימי עיון ובשנת 2015 התקיימו שני ימי עיון</w:t>
      </w:r>
      <w:r>
        <w:rPr>
          <w:rStyle w:val="FootnoteReference"/>
          <w:rFonts w:cs="FrankRuehl"/>
          <w:sz w:val="20"/>
          <w:szCs w:val="22"/>
          <w:rtl/>
        </w:rPr>
        <w:footnoteReference w:id="15"/>
      </w:r>
      <w:r w:rsidRPr="00247C05">
        <w:rPr>
          <w:rFonts w:cs="FrankRuehl" w:hint="cs"/>
          <w:sz w:val="20"/>
          <w:szCs w:val="22"/>
          <w:rtl/>
        </w:rPr>
        <w:t xml:space="preserve">. לשנת 2016 מתוכננים הכשרות וימי עיון נוספים וכן מספר סבבים של מפגשים מחוזיים שיוזמנו אליהם מזכירי בתי המשפט עמ"ק של אותו מחוז. </w:t>
      </w:r>
    </w:p>
    <w:p w:rsidR="003037FB" w:rsidP="0003542F">
      <w:pPr>
        <w:pStyle w:val="RESHET"/>
        <w:keepLines/>
        <w:ind w:left="567"/>
      </w:pPr>
      <w:r w:rsidRPr="00247C05">
        <w:rPr>
          <w:rFonts w:hint="cs"/>
          <w:rtl/>
        </w:rPr>
        <w:t>לדעת</w:t>
      </w:r>
      <w:r w:rsidRPr="00247C05">
        <w:rPr>
          <w:rtl/>
        </w:rPr>
        <w:t xml:space="preserve"> משרד מבקר המדינה</w:t>
      </w:r>
      <w:r w:rsidRPr="00247C05">
        <w:rPr>
          <w:rFonts w:hint="cs"/>
          <w:rtl/>
        </w:rPr>
        <w:t>, על</w:t>
      </w:r>
      <w:r w:rsidRPr="00247C05">
        <w:rPr>
          <w:rtl/>
        </w:rPr>
        <w:t xml:space="preserve"> </w:t>
      </w:r>
      <w:r w:rsidRPr="00247C05">
        <w:rPr>
          <w:rFonts w:hint="cs"/>
          <w:rtl/>
        </w:rPr>
        <w:t>הב</w:t>
      </w:r>
      <w:r w:rsidRPr="00247C05">
        <w:rPr>
          <w:rtl/>
        </w:rPr>
        <w:t xml:space="preserve">"ה </w:t>
      </w:r>
      <w:r w:rsidRPr="00247C05">
        <w:rPr>
          <w:rFonts w:hint="cs"/>
          <w:rtl/>
        </w:rPr>
        <w:t>להבטיח</w:t>
      </w:r>
      <w:r w:rsidRPr="00247C05">
        <w:rPr>
          <w:rtl/>
        </w:rPr>
        <w:t xml:space="preserve"> </w:t>
      </w:r>
      <w:r w:rsidRPr="00247C05">
        <w:rPr>
          <w:rFonts w:hint="cs"/>
          <w:rtl/>
        </w:rPr>
        <w:t>ש</w:t>
      </w:r>
      <w:r w:rsidRPr="00247C05">
        <w:rPr>
          <w:rtl/>
        </w:rPr>
        <w:t xml:space="preserve">היקף </w:t>
      </w:r>
      <w:r w:rsidRPr="00247C05">
        <w:rPr>
          <w:rFonts w:hint="cs"/>
          <w:rtl/>
        </w:rPr>
        <w:t>ה</w:t>
      </w:r>
      <w:r w:rsidRPr="00247C05">
        <w:rPr>
          <w:rtl/>
        </w:rPr>
        <w:t xml:space="preserve">פעילות </w:t>
      </w:r>
      <w:r w:rsidRPr="00247C05">
        <w:rPr>
          <w:rFonts w:hint="cs"/>
          <w:rtl/>
        </w:rPr>
        <w:t xml:space="preserve">של </w:t>
      </w:r>
      <w:r w:rsidRPr="00247C05">
        <w:rPr>
          <w:rtl/>
        </w:rPr>
        <w:t xml:space="preserve">ההדרכה וההכשרה </w:t>
      </w:r>
      <w:r w:rsidRPr="00247C05">
        <w:rPr>
          <w:rFonts w:hint="cs"/>
          <w:rtl/>
        </w:rPr>
        <w:t>ייתן מענה מקצועי למזכירויות במ"ש עמ"ק ועובדיו,</w:t>
      </w:r>
      <w:r w:rsidRPr="00247C05">
        <w:rPr>
          <w:rtl/>
        </w:rPr>
        <w:t xml:space="preserve"> </w:t>
      </w:r>
      <w:r w:rsidRPr="00247C05">
        <w:rPr>
          <w:rFonts w:hint="cs"/>
          <w:rtl/>
        </w:rPr>
        <w:t>הן מבחינת תדירותן</w:t>
      </w:r>
      <w:r w:rsidRPr="00247C05">
        <w:rPr>
          <w:rtl/>
        </w:rPr>
        <w:t xml:space="preserve"> </w:t>
      </w:r>
      <w:r w:rsidRPr="00247C05">
        <w:rPr>
          <w:rFonts w:hint="cs"/>
          <w:rtl/>
        </w:rPr>
        <w:t>של ההכשרות והיקפן, והן</w:t>
      </w:r>
      <w:r w:rsidRPr="00247C05">
        <w:rPr>
          <w:rtl/>
        </w:rPr>
        <w:t xml:space="preserve"> </w:t>
      </w:r>
      <w:r w:rsidRPr="00247C05">
        <w:rPr>
          <w:rFonts w:hint="cs"/>
          <w:rtl/>
        </w:rPr>
        <w:t>מבחינת המגוון</w:t>
      </w:r>
      <w:r w:rsidRPr="00247C05">
        <w:rPr>
          <w:rtl/>
        </w:rPr>
        <w:t xml:space="preserve"> </w:t>
      </w:r>
      <w:r w:rsidRPr="00247C05">
        <w:rPr>
          <w:rFonts w:hint="cs"/>
          <w:rtl/>
        </w:rPr>
        <w:t>של סוגי</w:t>
      </w:r>
      <w:r w:rsidRPr="00247C05">
        <w:rPr>
          <w:rtl/>
        </w:rPr>
        <w:t xml:space="preserve"> </w:t>
      </w:r>
      <w:r w:rsidRPr="00247C05">
        <w:rPr>
          <w:rFonts w:hint="cs"/>
          <w:rtl/>
        </w:rPr>
        <w:t>המפגשים</w:t>
      </w:r>
      <w:r w:rsidRPr="00247C05">
        <w:rPr>
          <w:rtl/>
        </w:rPr>
        <w:t xml:space="preserve"> ואנשי המקצוע המשתתפים בהם.</w:t>
      </w:r>
    </w:p>
    <w:tbl>
      <w:tblPr>
        <w:bidiVisual/>
        <w:tblW w:w="7031" w:type="dxa"/>
        <w:jc w:val="center"/>
        <w:tblLook w:val="04A0"/>
      </w:tblPr>
      <w:tblGrid>
        <w:gridCol w:w="365"/>
        <w:gridCol w:w="6666"/>
      </w:tblGrid>
      <w:tr w:rsidTr="00862DE8">
        <w:tblPrEx>
          <w:tblW w:w="7031" w:type="dxa"/>
          <w:jc w:val="center"/>
          <w:tblLook w:val="04A0"/>
        </w:tblPrEx>
        <w:trPr>
          <w:jc w:val="center"/>
        </w:trPr>
        <w:tc>
          <w:tcPr>
            <w:tcW w:w="356" w:type="dxa"/>
            <w:shd w:val="clear" w:color="auto" w:fill="auto"/>
          </w:tcPr>
          <w:p w:rsidR="0003542F" w:rsidRPr="0001521E" w:rsidP="00862DE8">
            <w:pPr>
              <w:keepNext/>
              <w:keepLines/>
              <w:spacing w:before="100" w:after="240" w:line="230" w:lineRule="exact"/>
              <w:rPr>
                <w:rFonts w:cs="FrankRuehl"/>
                <w:sz w:val="20"/>
                <w:szCs w:val="22"/>
                <w:rtl/>
              </w:rPr>
            </w:pPr>
            <w:r>
              <w:rPr>
                <w:rFonts w:cs="FrankRuehl"/>
                <w:sz w:val="20"/>
                <w:szCs w:val="22"/>
              </w:rPr>
              <w:t>2</w:t>
            </w:r>
            <w:r w:rsidRPr="0001521E">
              <w:rPr>
                <w:rFonts w:cs="FrankRuehl" w:hint="cs"/>
                <w:sz w:val="20"/>
                <w:szCs w:val="22"/>
                <w:rtl/>
              </w:rPr>
              <w:t>.</w:t>
            </w:r>
          </w:p>
        </w:tc>
        <w:tc>
          <w:tcPr>
            <w:tcW w:w="0" w:type="auto"/>
            <w:shd w:val="clear" w:color="auto" w:fill="auto"/>
          </w:tcPr>
          <w:p w:rsidR="0003542F" w:rsidP="00862DE8">
            <w:pPr>
              <w:pStyle w:val="RESHET"/>
              <w:keepNext/>
              <w:keepLines/>
              <w:rPr>
                <w:rtl/>
              </w:rPr>
            </w:pPr>
            <w:r w:rsidRPr="0003542F">
              <w:rPr>
                <w:rStyle w:val="Heading5Char"/>
                <w:rFonts w:cs="FrankRuehl" w:hint="cs"/>
                <w:b/>
                <w:bCs/>
                <w:spacing w:val="40"/>
                <w:sz w:val="20"/>
                <w:szCs w:val="22"/>
                <w:rtl/>
              </w:rPr>
              <w:t>השתתפות בהכשרות</w:t>
            </w:r>
            <w:r w:rsidRPr="0003542F">
              <w:rPr>
                <w:rStyle w:val="Heading7Char"/>
                <w:rFonts w:cs="FrankRuehl"/>
                <w:b w:val="0"/>
                <w:bCs w:val="0"/>
                <w:spacing w:val="40"/>
                <w:sz w:val="20"/>
                <w:szCs w:val="22"/>
                <w:rtl/>
              </w:rPr>
              <w:t>:</w:t>
            </w:r>
            <w:r w:rsidRPr="00247C05">
              <w:rPr>
                <w:rStyle w:val="Heading7Char"/>
                <w:rFonts w:cs="FrankRuehl"/>
                <w:spacing w:val="40"/>
                <w:sz w:val="20"/>
                <w:szCs w:val="22"/>
                <w:rtl/>
              </w:rPr>
              <w:t xml:space="preserve"> </w:t>
            </w:r>
            <w:r w:rsidRPr="00247C05">
              <w:rPr>
                <w:rFonts w:hint="cs"/>
                <w:rtl/>
              </w:rPr>
              <w:t xml:space="preserve">בהנחיות שקבעה הב"ה לרשויות המקומיות במסמך סיכום המפגש עם המנכ"לים, נדרשה מחויבות מלאה של עובדי בית משפט עמ"ק והרשויות לכל פעילות מקצועית המתקיימת במערכת בתי המשפט. אולם במקרים בהם </w:t>
            </w:r>
            <w:r w:rsidRPr="00247C05">
              <w:rPr>
                <w:rtl/>
              </w:rPr>
              <w:t xml:space="preserve">עובדי המזכירויות </w:t>
            </w:r>
            <w:r w:rsidRPr="00247C05">
              <w:rPr>
                <w:rFonts w:hint="cs"/>
                <w:rtl/>
              </w:rPr>
              <w:t xml:space="preserve">לא </w:t>
            </w:r>
            <w:r w:rsidRPr="00247C05">
              <w:rPr>
                <w:rtl/>
              </w:rPr>
              <w:t xml:space="preserve">השתתפו בהכשרות שקיימה הב"ה </w:t>
            </w:r>
            <w:r w:rsidRPr="00247C05">
              <w:rPr>
                <w:rFonts w:hint="cs"/>
                <w:rtl/>
              </w:rPr>
              <w:t>ב</w:t>
            </w:r>
            <w:r w:rsidRPr="00247C05">
              <w:rPr>
                <w:rtl/>
              </w:rPr>
              <w:t>עבורם</w:t>
            </w:r>
            <w:r w:rsidRPr="00247C05">
              <w:rPr>
                <w:rFonts w:hint="cs"/>
                <w:rtl/>
              </w:rPr>
              <w:t>, היא לא התרתה בפניהם על כך</w:t>
            </w:r>
            <w:r w:rsidRPr="00247C05">
              <w:rPr>
                <w:rtl/>
              </w:rPr>
              <w:t>.</w:t>
            </w:r>
          </w:p>
        </w:tc>
      </w:tr>
    </w:tbl>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 xml:space="preserve">בתשובת הב"ה נכתב, כי פניותיה לרשויות להזמין את עובדי המזכירויות להכשרות אינן נענות בחיוב ועובדים מעטים משתתפים בהם, ומכל מקום אין בידיה כלים לחייב את העובדים להשתתף בהכשרות. </w:t>
      </w:r>
    </w:p>
    <w:p w:rsidR="003037FB" w:rsidRPr="00247C05" w:rsidP="0003542F">
      <w:pPr>
        <w:spacing w:after="240" w:line="230" w:lineRule="exact"/>
        <w:ind w:left="340"/>
        <w:jc w:val="both"/>
        <w:rPr>
          <w:rFonts w:cs="FrankRuehl"/>
          <w:sz w:val="20"/>
          <w:szCs w:val="22"/>
          <w:rtl/>
        </w:rPr>
      </w:pPr>
      <w:r w:rsidRPr="00247C05">
        <w:rPr>
          <w:rFonts w:cs="FrankRuehl" w:hint="cs"/>
          <w:sz w:val="20"/>
          <w:szCs w:val="22"/>
          <w:rtl/>
        </w:rPr>
        <w:t xml:space="preserve">בתשובת עיריית ראשון לציון למשרד מבקר המדינה מפברואר 2016 היא כתבה כי השיתוף של מזכירות בית המשפט לוקה בחסר, בין היתר, בנוגע לפעילויות כגון הדרכות, ימי עיון, סדנאות וכנסים עם שופטים ומנהלי מדורים. </w:t>
      </w:r>
    </w:p>
    <w:p w:rsidR="003037FB" w:rsidRPr="00247C05" w:rsidP="0003542F">
      <w:pPr>
        <w:pStyle w:val="RESHET"/>
        <w:keepLines/>
        <w:ind w:left="567"/>
        <w:rPr>
          <w:rtl/>
        </w:rPr>
      </w:pPr>
      <w:r w:rsidRPr="00247C05">
        <w:rPr>
          <w:rFonts w:hint="cs"/>
          <w:rtl/>
        </w:rPr>
        <w:t>לדעת משרד מבקר המדינה - חובת ההשתתפות של עובדי המזכירויות בפעולות ההדרכה שמקיימת עבורם הב"ה נובעת מתוקף האחריות המקצועית של הב"ה להדריך ולהכשיר את עובדי המזכירויות בתחומי פעילותם המקצועית, ומתוקף כפיפותם של עובדי המזכירויות לסמכותה בתחום זה. לפיכך על חטיבת תפעול ומזכירויות להתרות ולפעול</w:t>
      </w:r>
      <w:r w:rsidRPr="00247C05">
        <w:rPr>
          <w:rtl/>
        </w:rPr>
        <w:t xml:space="preserve"> </w:t>
      </w:r>
      <w:r w:rsidRPr="00247C05">
        <w:rPr>
          <w:rFonts w:hint="cs"/>
          <w:rtl/>
        </w:rPr>
        <w:t xml:space="preserve">אל </w:t>
      </w:r>
      <w:r w:rsidRPr="00247C05">
        <w:rPr>
          <w:rtl/>
        </w:rPr>
        <w:t>מול מזכירות במ"ש עמ"ק במקרה של היעדרויות עובד</w:t>
      </w:r>
      <w:r w:rsidRPr="00247C05">
        <w:rPr>
          <w:rFonts w:hint="cs"/>
          <w:rtl/>
        </w:rPr>
        <w:t>ים</w:t>
      </w:r>
      <w:r w:rsidRPr="00247C05">
        <w:rPr>
          <w:rtl/>
        </w:rPr>
        <w:t xml:space="preserve"> מ</w:t>
      </w:r>
      <w:r w:rsidRPr="00247C05">
        <w:rPr>
          <w:rFonts w:hint="cs"/>
          <w:rtl/>
        </w:rPr>
        <w:t>ה</w:t>
      </w:r>
      <w:r w:rsidRPr="00247C05">
        <w:rPr>
          <w:rtl/>
        </w:rPr>
        <w:t>הכשר</w:t>
      </w:r>
      <w:r w:rsidRPr="00247C05">
        <w:rPr>
          <w:rFonts w:hint="cs"/>
          <w:rtl/>
        </w:rPr>
        <w:t>ות</w:t>
      </w:r>
      <w:r w:rsidRPr="00247C05">
        <w:rPr>
          <w:rtl/>
        </w:rPr>
        <w:t xml:space="preserve">. </w:t>
      </w:r>
    </w:p>
    <w:p w:rsidR="003037FB" w:rsidRPr="00247C05" w:rsidP="0003542F">
      <w:pPr>
        <w:pStyle w:val="ListParagraph"/>
        <w:numPr>
          <w:ilvl w:val="0"/>
          <w:numId w:val="20"/>
        </w:numPr>
        <w:spacing w:before="180" w:after="120" w:line="230" w:lineRule="exact"/>
        <w:contextualSpacing w:val="0"/>
        <w:jc w:val="both"/>
        <w:rPr>
          <w:rFonts w:ascii="Times New Roman" w:hAnsi="Times New Roman" w:cs="FrankRuehl"/>
          <w:sz w:val="20"/>
          <w:rtl/>
        </w:rPr>
      </w:pPr>
      <w:r w:rsidRPr="0003542F">
        <w:rPr>
          <w:rStyle w:val="Heading5Char"/>
          <w:rFonts w:ascii="Times New Roman" w:hAnsi="Times New Roman" w:cs="FrankRuehl" w:hint="cs"/>
          <w:spacing w:val="40"/>
          <w:sz w:val="20"/>
          <w:szCs w:val="22"/>
          <w:rtl/>
        </w:rPr>
        <w:t>הכשרת עובדים חדשים</w:t>
      </w:r>
      <w:r w:rsidRPr="0003542F">
        <w:rPr>
          <w:rStyle w:val="Heading7Char"/>
          <w:rFonts w:ascii="Times New Roman" w:hAnsi="Times New Roman" w:cs="FrankRuehl"/>
          <w:b/>
          <w:bCs/>
          <w:spacing w:val="40"/>
          <w:sz w:val="20"/>
          <w:szCs w:val="22"/>
          <w:rtl/>
        </w:rPr>
        <w:t>:</w:t>
      </w:r>
      <w:r w:rsidRPr="00247C05">
        <w:rPr>
          <w:rStyle w:val="Heading7Char"/>
          <w:rFonts w:ascii="Times New Roman" w:hAnsi="Times New Roman" w:cs="FrankRuehl"/>
          <w:b/>
          <w:bCs/>
          <w:spacing w:val="40"/>
          <w:sz w:val="20"/>
          <w:szCs w:val="22"/>
          <w:rtl/>
        </w:rPr>
        <w:t xml:space="preserve"> </w:t>
      </w:r>
      <w:r w:rsidRPr="00247C05">
        <w:rPr>
          <w:rFonts w:ascii="Times New Roman" w:hAnsi="Times New Roman" w:cs="FrankRuehl" w:hint="cs"/>
          <w:sz w:val="20"/>
          <w:rtl/>
        </w:rPr>
        <w:t>תקנון שירות המדינה קובע, כי "</w:t>
      </w:r>
      <w:r w:rsidRPr="00247C05">
        <w:rPr>
          <w:rFonts w:ascii="Times New Roman" w:hAnsi="Times New Roman" w:cs="FrankRuehl"/>
          <w:sz w:val="20"/>
          <w:rtl/>
        </w:rPr>
        <w:t>הממונה על ההדרכה ינהל רישום של העובדים החדשים, יקיים אתם שיחות ויקבע מה הן פעולות ההדרכה שיש לתכנן בשבילם לשם קליטתם הטובה, הסתגלותם לעבודה וקידומם</w:t>
      </w:r>
      <w:r w:rsidRPr="00247C05">
        <w:rPr>
          <w:rFonts w:ascii="Times New Roman" w:hAnsi="Times New Roman" w:cs="FrankRuehl" w:hint="cs"/>
          <w:sz w:val="20"/>
          <w:rtl/>
        </w:rPr>
        <w:t xml:space="preserve">. בנוסף, </w:t>
      </w:r>
      <w:r w:rsidRPr="00247C05">
        <w:rPr>
          <w:rFonts w:ascii="Times New Roman" w:hAnsi="Times New Roman" w:cs="FrankRuehl"/>
          <w:sz w:val="20"/>
          <w:rtl/>
        </w:rPr>
        <w:t>הממונה על ההדרכה יארגן קורסים או השתלמויות קצרות</w:t>
      </w:r>
      <w:r w:rsidRPr="00247C05">
        <w:rPr>
          <w:rFonts w:ascii="Times New Roman" w:hAnsi="Times New Roman" w:cs="FrankRuehl" w:hint="cs"/>
          <w:sz w:val="20"/>
          <w:rtl/>
        </w:rPr>
        <w:t>...</w:t>
      </w:r>
      <w:r w:rsidRPr="00247C05">
        <w:rPr>
          <w:rFonts w:ascii="Times New Roman" w:hAnsi="Times New Roman" w:cs="FrankRuehl"/>
          <w:sz w:val="20"/>
          <w:rtl/>
        </w:rPr>
        <w:t xml:space="preserve"> שבהם ישתתפו כל העובדים החדשים לפני תום ששת החודשים הראשונים לעבודתם</w:t>
      </w:r>
      <w:r w:rsidRPr="00247C05">
        <w:rPr>
          <w:rFonts w:ascii="Times New Roman" w:hAnsi="Times New Roman" w:cs="FrankRuehl" w:hint="cs"/>
          <w:sz w:val="20"/>
          <w:rtl/>
        </w:rPr>
        <w:t>".</w:t>
      </w:r>
    </w:p>
    <w:p w:rsidR="003037FB" w:rsidRPr="00247C05" w:rsidP="0003542F">
      <w:pPr>
        <w:spacing w:after="240" w:line="230" w:lineRule="exact"/>
        <w:ind w:left="340"/>
        <w:jc w:val="both"/>
        <w:rPr>
          <w:rFonts w:cs="FrankRuehl"/>
          <w:sz w:val="20"/>
          <w:szCs w:val="22"/>
          <w:rtl/>
        </w:rPr>
      </w:pPr>
      <w:r w:rsidRPr="00247C05">
        <w:rPr>
          <w:rFonts w:cs="FrankRuehl" w:hint="cs"/>
          <w:sz w:val="20"/>
          <w:szCs w:val="22"/>
          <w:rtl/>
        </w:rPr>
        <w:t xml:space="preserve">מרכז מעוף מקיים הכשרות לעובדים חדשים בכל המזכירויות של מערכת בתי המשפט, לרבות בתי משפט השלום. עובד חדש מקבל הדרכה צמודה במזכירות, ומשובץ </w:t>
      </w:r>
      <w:r w:rsidRPr="00247C05">
        <w:rPr>
          <w:rFonts w:cs="FrankRuehl"/>
          <w:sz w:val="20"/>
          <w:szCs w:val="22"/>
          <w:rtl/>
        </w:rPr>
        <w:t xml:space="preserve">לקורס מקצועי בסיסי </w:t>
      </w:r>
      <w:r w:rsidRPr="00247C05">
        <w:rPr>
          <w:rFonts w:cs="FrankRuehl" w:hint="cs"/>
          <w:sz w:val="20"/>
          <w:szCs w:val="22"/>
          <w:rtl/>
        </w:rPr>
        <w:t>ל</w:t>
      </w:r>
      <w:r w:rsidRPr="00247C05">
        <w:rPr>
          <w:rFonts w:cs="FrankRuehl"/>
          <w:sz w:val="20"/>
          <w:szCs w:val="22"/>
          <w:rtl/>
        </w:rPr>
        <w:t>הכרת מערכת בתי המשפט</w:t>
      </w:r>
      <w:r w:rsidRPr="00247C05">
        <w:rPr>
          <w:rFonts w:cs="FrankRuehl" w:hint="cs"/>
          <w:sz w:val="20"/>
          <w:szCs w:val="22"/>
          <w:rtl/>
        </w:rPr>
        <w:t xml:space="preserve"> בכלל,</w:t>
      </w:r>
      <w:r w:rsidRPr="00247C05">
        <w:rPr>
          <w:rFonts w:cs="FrankRuehl"/>
          <w:sz w:val="20"/>
          <w:szCs w:val="22"/>
          <w:rtl/>
        </w:rPr>
        <w:t xml:space="preserve"> </w:t>
      </w:r>
      <w:r w:rsidRPr="00247C05">
        <w:rPr>
          <w:rFonts w:cs="FrankRuehl" w:hint="cs"/>
          <w:sz w:val="20"/>
          <w:szCs w:val="22"/>
          <w:rtl/>
        </w:rPr>
        <w:t>ו</w:t>
      </w:r>
      <w:r w:rsidRPr="00247C05">
        <w:rPr>
          <w:rFonts w:cs="FrankRuehl"/>
          <w:sz w:val="20"/>
          <w:szCs w:val="22"/>
          <w:rtl/>
        </w:rPr>
        <w:t xml:space="preserve">תהליכי העבודה בתחום הספציפי בפרט. </w:t>
      </w:r>
      <w:r w:rsidRPr="00247C05">
        <w:rPr>
          <w:rFonts w:cs="FrankRuehl" w:hint="cs"/>
          <w:sz w:val="20"/>
          <w:szCs w:val="22"/>
          <w:rtl/>
        </w:rPr>
        <w:t xml:space="preserve">קורסים אלו מתקיימים ברמה הארצית מספר פעמים בשנה. </w:t>
      </w:r>
    </w:p>
    <w:p w:rsidR="003037FB" w:rsidRPr="00247C05" w:rsidP="0003542F">
      <w:pPr>
        <w:pStyle w:val="RESHET"/>
        <w:keepLines/>
        <w:ind w:left="567"/>
        <w:rPr>
          <w:rtl/>
        </w:rPr>
      </w:pPr>
      <w:r w:rsidRPr="00247C05">
        <w:rPr>
          <w:rFonts w:hint="cs"/>
          <w:rtl/>
        </w:rPr>
        <w:t>נמצא</w:t>
      </w:r>
      <w:r w:rsidRPr="00247C05">
        <w:rPr>
          <w:rtl/>
        </w:rPr>
        <w:t xml:space="preserve"> </w:t>
      </w:r>
      <w:r w:rsidRPr="00247C05">
        <w:rPr>
          <w:rFonts w:hint="eastAsia"/>
          <w:rtl/>
        </w:rPr>
        <w:t>כי</w:t>
      </w:r>
      <w:r w:rsidRPr="00247C05">
        <w:rPr>
          <w:rtl/>
        </w:rPr>
        <w:t xml:space="preserve"> </w:t>
      </w:r>
      <w:r w:rsidRPr="00247C05">
        <w:rPr>
          <w:rFonts w:hint="eastAsia"/>
          <w:rtl/>
        </w:rPr>
        <w:t>חטיבת</w:t>
      </w:r>
      <w:r w:rsidRPr="00247C05">
        <w:rPr>
          <w:rtl/>
        </w:rPr>
        <w:t xml:space="preserve"> </w:t>
      </w:r>
      <w:r w:rsidRPr="00247C05">
        <w:rPr>
          <w:rFonts w:hint="cs"/>
          <w:rtl/>
        </w:rPr>
        <w:t>תפעול ו</w:t>
      </w:r>
      <w:r w:rsidRPr="00247C05">
        <w:rPr>
          <w:rFonts w:hint="eastAsia"/>
          <w:rtl/>
        </w:rPr>
        <w:t>מזכירויות</w:t>
      </w:r>
      <w:r w:rsidRPr="00247C05">
        <w:rPr>
          <w:rtl/>
        </w:rPr>
        <w:t xml:space="preserve"> אינה מכשירה מזכירים ועובדים חדשים של </w:t>
      </w:r>
      <w:r w:rsidRPr="00247C05">
        <w:rPr>
          <w:rFonts w:hint="cs"/>
          <w:rtl/>
        </w:rPr>
        <w:t>בתי משפט</w:t>
      </w:r>
      <w:r w:rsidRPr="00247C05">
        <w:rPr>
          <w:rtl/>
        </w:rPr>
        <w:t xml:space="preserve"> עמ"ק עם כניסתם ל</w:t>
      </w:r>
      <w:r w:rsidRPr="00247C05">
        <w:rPr>
          <w:rFonts w:hint="eastAsia"/>
          <w:rtl/>
        </w:rPr>
        <w:t>תפקיד</w:t>
      </w:r>
      <w:r w:rsidRPr="00247C05">
        <w:rPr>
          <w:rtl/>
        </w:rPr>
        <w:t xml:space="preserve">, </w:t>
      </w:r>
      <w:r w:rsidRPr="00247C05">
        <w:rPr>
          <w:rFonts w:hint="eastAsia"/>
          <w:rtl/>
        </w:rPr>
        <w:t>בין</w:t>
      </w:r>
      <w:r w:rsidRPr="00247C05">
        <w:rPr>
          <w:rtl/>
        </w:rPr>
        <w:t xml:space="preserve"> </w:t>
      </w:r>
      <w:r w:rsidRPr="00247C05">
        <w:rPr>
          <w:rFonts w:hint="eastAsia"/>
          <w:rtl/>
        </w:rPr>
        <w:t>בקורס</w:t>
      </w:r>
      <w:r w:rsidRPr="00247C05">
        <w:rPr>
          <w:rtl/>
        </w:rPr>
        <w:t xml:space="preserve"> </w:t>
      </w:r>
      <w:r w:rsidRPr="00247C05">
        <w:rPr>
          <w:rFonts w:hint="eastAsia"/>
          <w:rtl/>
        </w:rPr>
        <w:t>ובין</w:t>
      </w:r>
      <w:r w:rsidRPr="00247C05">
        <w:rPr>
          <w:rtl/>
        </w:rPr>
        <w:t xml:space="preserve"> </w:t>
      </w:r>
      <w:r w:rsidRPr="00247C05">
        <w:rPr>
          <w:rFonts w:hint="eastAsia"/>
          <w:rtl/>
        </w:rPr>
        <w:t>בהדרכה</w:t>
      </w:r>
      <w:r w:rsidRPr="00247C05">
        <w:rPr>
          <w:rtl/>
        </w:rPr>
        <w:t xml:space="preserve"> </w:t>
      </w:r>
      <w:r w:rsidRPr="00247C05">
        <w:rPr>
          <w:rFonts w:hint="eastAsia"/>
          <w:rtl/>
        </w:rPr>
        <w:t>צמודה</w:t>
      </w:r>
      <w:r w:rsidRPr="00247C05">
        <w:rPr>
          <w:rtl/>
        </w:rPr>
        <w:t xml:space="preserve"> </w:t>
      </w:r>
      <w:r w:rsidRPr="00247C05">
        <w:rPr>
          <w:rFonts w:hint="eastAsia"/>
          <w:rtl/>
        </w:rPr>
        <w:t>במזכירויות</w:t>
      </w:r>
      <w:r w:rsidRPr="00247C05">
        <w:rPr>
          <w:rtl/>
        </w:rPr>
        <w:t>.</w:t>
      </w:r>
      <w:r w:rsidRPr="00247C05">
        <w:rPr>
          <w:rFonts w:hint="cs"/>
          <w:rtl/>
        </w:rPr>
        <w:t xml:space="preserve"> </w:t>
      </w:r>
      <w:r w:rsidRPr="00247C05">
        <w:rPr>
          <w:rFonts w:hint="eastAsia"/>
          <w:rtl/>
        </w:rPr>
        <w:t>חטיבת</w:t>
      </w:r>
      <w:r w:rsidRPr="00247C05">
        <w:rPr>
          <w:rtl/>
        </w:rPr>
        <w:t xml:space="preserve"> </w:t>
      </w:r>
      <w:r w:rsidRPr="00247C05">
        <w:rPr>
          <w:rFonts w:hint="cs"/>
          <w:rtl/>
        </w:rPr>
        <w:t>תפעול ו</w:t>
      </w:r>
      <w:r w:rsidRPr="00247C05">
        <w:rPr>
          <w:rtl/>
        </w:rPr>
        <w:t xml:space="preserve">מזכירויות </w:t>
      </w:r>
      <w:r w:rsidRPr="00247C05">
        <w:rPr>
          <w:rFonts w:hint="cs"/>
          <w:rtl/>
        </w:rPr>
        <w:t xml:space="preserve">גם אינה </w:t>
      </w:r>
      <w:r w:rsidRPr="00247C05">
        <w:rPr>
          <w:rtl/>
        </w:rPr>
        <w:t xml:space="preserve">מנחה את מזכירויות במ"ש עמ"ק </w:t>
      </w:r>
      <w:r w:rsidRPr="00247C05">
        <w:rPr>
          <w:rFonts w:hint="cs"/>
          <w:rtl/>
        </w:rPr>
        <w:t xml:space="preserve">בנוגע לאופן </w:t>
      </w:r>
      <w:r w:rsidRPr="00247C05">
        <w:rPr>
          <w:rFonts w:hint="eastAsia"/>
          <w:rtl/>
        </w:rPr>
        <w:t>הכשר</w:t>
      </w:r>
      <w:r w:rsidRPr="00247C05">
        <w:rPr>
          <w:rFonts w:hint="cs"/>
          <w:rtl/>
        </w:rPr>
        <w:t>תם</w:t>
      </w:r>
      <w:r w:rsidRPr="00247C05">
        <w:rPr>
          <w:rtl/>
        </w:rPr>
        <w:t xml:space="preserve"> </w:t>
      </w:r>
      <w:r w:rsidRPr="00247C05">
        <w:rPr>
          <w:rFonts w:hint="cs"/>
          <w:rtl/>
        </w:rPr>
        <w:t xml:space="preserve">של </w:t>
      </w:r>
      <w:r w:rsidRPr="00247C05">
        <w:rPr>
          <w:rtl/>
        </w:rPr>
        <w:t xml:space="preserve">עובדים חדשים </w:t>
      </w:r>
      <w:r w:rsidRPr="00247C05">
        <w:rPr>
          <w:rFonts w:hint="cs"/>
          <w:rtl/>
        </w:rPr>
        <w:t>וב</w:t>
      </w:r>
      <w:r w:rsidRPr="00247C05">
        <w:rPr>
          <w:rtl/>
        </w:rPr>
        <w:t xml:space="preserve">תכנים </w:t>
      </w:r>
      <w:r w:rsidRPr="00247C05">
        <w:rPr>
          <w:rFonts w:hint="cs"/>
          <w:rtl/>
        </w:rPr>
        <w:t>ש</w:t>
      </w:r>
      <w:r w:rsidRPr="00247C05">
        <w:rPr>
          <w:rtl/>
        </w:rPr>
        <w:t xml:space="preserve">עליהן להעביר </w:t>
      </w:r>
      <w:r w:rsidRPr="00247C05">
        <w:rPr>
          <w:rFonts w:hint="eastAsia"/>
          <w:rtl/>
        </w:rPr>
        <w:t>בהדרכה</w:t>
      </w:r>
      <w:r w:rsidRPr="00247C05">
        <w:rPr>
          <w:rtl/>
        </w:rPr>
        <w:t xml:space="preserve"> </w:t>
      </w:r>
      <w:r w:rsidRPr="00247C05">
        <w:rPr>
          <w:rFonts w:hint="cs"/>
          <w:rtl/>
        </w:rPr>
        <w:t>זו,</w:t>
      </w:r>
      <w:r w:rsidRPr="00247C05">
        <w:rPr>
          <w:rtl/>
        </w:rPr>
        <w:t xml:space="preserve"> </w:t>
      </w:r>
      <w:r w:rsidRPr="00247C05">
        <w:rPr>
          <w:rFonts w:hint="cs"/>
          <w:rtl/>
        </w:rPr>
        <w:t>ו</w:t>
      </w:r>
      <w:r w:rsidRPr="00247C05">
        <w:rPr>
          <w:rFonts w:hint="eastAsia"/>
          <w:rtl/>
        </w:rPr>
        <w:t>בפועל</w:t>
      </w:r>
      <w:r w:rsidRPr="00247C05">
        <w:rPr>
          <w:rtl/>
        </w:rPr>
        <w:t xml:space="preserve">, כל מזכירות מקיימת הליך הכשרה או חפיפה לפי שיקול דעתה. </w:t>
      </w:r>
    </w:p>
    <w:p w:rsidR="003037FB" w:rsidRPr="00247C05" w:rsidP="0003542F">
      <w:pPr>
        <w:spacing w:before="180" w:after="120" w:line="230" w:lineRule="exact"/>
        <w:ind w:left="340"/>
        <w:jc w:val="both"/>
        <w:rPr>
          <w:rFonts w:cs="FrankRuehl"/>
          <w:sz w:val="20"/>
          <w:szCs w:val="22"/>
          <w:rtl/>
        </w:rPr>
      </w:pPr>
      <w:r w:rsidRPr="00247C05">
        <w:rPr>
          <w:rFonts w:cs="FrankRuehl" w:hint="cs"/>
          <w:sz w:val="20"/>
          <w:szCs w:val="22"/>
          <w:rtl/>
        </w:rPr>
        <w:t xml:space="preserve">על החשיבות של מתן הדרכה לעובדים חדשים ניתן ללמוד מהמקרה הבא. מזכיר במ"ש עמ"ק </w:t>
      </w:r>
      <w:r w:rsidRPr="00247C05">
        <w:rPr>
          <w:rFonts w:cs="FrankRuehl"/>
          <w:sz w:val="20"/>
          <w:szCs w:val="22"/>
          <w:rtl/>
        </w:rPr>
        <w:t xml:space="preserve">חדש </w:t>
      </w:r>
      <w:r w:rsidRPr="00247C05">
        <w:rPr>
          <w:rFonts w:cs="FrankRuehl" w:hint="cs"/>
          <w:sz w:val="20"/>
          <w:szCs w:val="22"/>
          <w:rtl/>
        </w:rPr>
        <w:t>ש</w:t>
      </w:r>
      <w:r w:rsidRPr="00247C05">
        <w:rPr>
          <w:rFonts w:cs="FrankRuehl"/>
          <w:sz w:val="20"/>
          <w:szCs w:val="22"/>
          <w:rtl/>
        </w:rPr>
        <w:t>נכנס לתפקיד</w:t>
      </w:r>
      <w:r w:rsidRPr="00247C05">
        <w:rPr>
          <w:rFonts w:cs="FrankRuehl" w:hint="cs"/>
          <w:sz w:val="20"/>
          <w:szCs w:val="22"/>
          <w:rtl/>
        </w:rPr>
        <w:t>ו</w:t>
      </w:r>
      <w:r w:rsidRPr="00247C05">
        <w:rPr>
          <w:rFonts w:cs="FrankRuehl"/>
          <w:sz w:val="20"/>
          <w:szCs w:val="22"/>
          <w:rtl/>
        </w:rPr>
        <w:t xml:space="preserve"> בשנת 2014, </w:t>
      </w:r>
      <w:r w:rsidRPr="00247C05">
        <w:rPr>
          <w:rFonts w:cs="FrankRuehl" w:hint="cs"/>
          <w:sz w:val="20"/>
          <w:szCs w:val="22"/>
          <w:rtl/>
        </w:rPr>
        <w:t xml:space="preserve">התלונן שנכנס לתפקיד ללא חפיפה ולא קיבל קובץ הוראות מסודר, וכתוצאה מזה </w:t>
      </w:r>
      <w:r w:rsidRPr="00247C05">
        <w:rPr>
          <w:rFonts w:cs="FrankRuehl"/>
          <w:sz w:val="20"/>
          <w:szCs w:val="22"/>
          <w:rtl/>
        </w:rPr>
        <w:t>אפשר לתובע עירוני ל</w:t>
      </w:r>
      <w:r w:rsidRPr="00247C05">
        <w:rPr>
          <w:rFonts w:cs="FrankRuehl" w:hint="cs"/>
          <w:sz w:val="20"/>
          <w:szCs w:val="22"/>
          <w:rtl/>
        </w:rPr>
        <w:t>היות</w:t>
      </w:r>
      <w:r w:rsidRPr="00247C05">
        <w:rPr>
          <w:rFonts w:cs="FrankRuehl"/>
          <w:sz w:val="20"/>
          <w:szCs w:val="22"/>
          <w:rtl/>
        </w:rPr>
        <w:t xml:space="preserve"> </w:t>
      </w:r>
      <w:r w:rsidRPr="00247C05">
        <w:rPr>
          <w:rFonts w:cs="FrankRuehl" w:hint="cs"/>
          <w:sz w:val="20"/>
          <w:szCs w:val="22"/>
          <w:rtl/>
        </w:rPr>
        <w:t>נוכח</w:t>
      </w:r>
      <w:r w:rsidRPr="00247C05">
        <w:rPr>
          <w:rFonts w:cs="FrankRuehl"/>
          <w:sz w:val="20"/>
          <w:szCs w:val="22"/>
          <w:rtl/>
        </w:rPr>
        <w:t xml:space="preserve"> במשרדי המזכירות בניגוד להנחיות המקצועיות של הב"ה</w:t>
      </w:r>
      <w:r w:rsidRPr="00247C05">
        <w:rPr>
          <w:rFonts w:cs="FrankRuehl" w:hint="cs"/>
          <w:sz w:val="20"/>
          <w:szCs w:val="22"/>
          <w:rtl/>
        </w:rPr>
        <w:t>.</w:t>
      </w:r>
    </w:p>
    <w:p w:rsidR="003037FB" w:rsidRPr="00247C05" w:rsidP="0003542F">
      <w:pPr>
        <w:spacing w:after="240" w:line="230" w:lineRule="exact"/>
        <w:ind w:left="340"/>
        <w:jc w:val="both"/>
        <w:rPr>
          <w:rFonts w:cs="FrankRuehl"/>
          <w:sz w:val="20"/>
          <w:szCs w:val="22"/>
          <w:rtl/>
        </w:rPr>
      </w:pPr>
      <w:r w:rsidRPr="00247C05">
        <w:rPr>
          <w:rFonts w:cs="FrankRuehl" w:hint="cs"/>
          <w:sz w:val="20"/>
          <w:szCs w:val="22"/>
          <w:rtl/>
        </w:rPr>
        <w:t xml:space="preserve">הב"ה הסבירה בתשובתה, כי מעשית היא מתקשה לעקוב אחר הכשרת העובדים החדשים בבמ"ש עמ"ק מאחר שאין לה אינדיקציה על אודות קליטתם במזכירות במ"ש עמ"ק, וספק אם יש בידיה לחייב את הרשות המקומית לקיים הכשרה מסוימת לעובד חדש. </w:t>
      </w:r>
      <w:r w:rsidRPr="00247C05">
        <w:rPr>
          <w:rFonts w:cs="FrankRuehl" w:hint="eastAsia"/>
          <w:sz w:val="20"/>
          <w:szCs w:val="22"/>
          <w:rtl/>
        </w:rPr>
        <w:t>עיריית</w:t>
      </w:r>
      <w:r w:rsidRPr="00247C05">
        <w:rPr>
          <w:rFonts w:cs="FrankRuehl"/>
          <w:sz w:val="20"/>
          <w:szCs w:val="22"/>
          <w:rtl/>
        </w:rPr>
        <w:t xml:space="preserve"> חולון </w:t>
      </w:r>
      <w:r w:rsidRPr="00247C05">
        <w:rPr>
          <w:rFonts w:cs="FrankRuehl" w:hint="cs"/>
          <w:sz w:val="20"/>
          <w:szCs w:val="22"/>
          <w:rtl/>
        </w:rPr>
        <w:t xml:space="preserve">כתבה </w:t>
      </w:r>
      <w:r w:rsidRPr="00247C05">
        <w:rPr>
          <w:rFonts w:cs="FrankRuehl" w:hint="cs"/>
          <w:sz w:val="20"/>
          <w:szCs w:val="22"/>
          <w:rtl/>
        </w:rPr>
        <w:t xml:space="preserve">בתשובתה מדצמבר 2015, </w:t>
      </w:r>
      <w:r w:rsidRPr="00247C05">
        <w:rPr>
          <w:rFonts w:cs="FrankRuehl"/>
          <w:sz w:val="20"/>
          <w:szCs w:val="22"/>
          <w:rtl/>
        </w:rPr>
        <w:t xml:space="preserve">כי עובד חדש </w:t>
      </w:r>
      <w:r w:rsidRPr="00247C05">
        <w:rPr>
          <w:rFonts w:cs="FrankRuehl" w:hint="cs"/>
          <w:sz w:val="20"/>
          <w:szCs w:val="22"/>
          <w:rtl/>
        </w:rPr>
        <w:t>ש</w:t>
      </w:r>
      <w:r w:rsidRPr="00247C05">
        <w:rPr>
          <w:rFonts w:cs="FrankRuehl"/>
          <w:sz w:val="20"/>
          <w:szCs w:val="22"/>
          <w:rtl/>
        </w:rPr>
        <w:t>נקלט ב</w:t>
      </w:r>
      <w:r w:rsidRPr="00247C05">
        <w:rPr>
          <w:rFonts w:cs="FrankRuehl" w:hint="eastAsia"/>
          <w:sz w:val="20"/>
          <w:szCs w:val="22"/>
          <w:rtl/>
        </w:rPr>
        <w:t>בית</w:t>
      </w:r>
      <w:r w:rsidRPr="00247C05">
        <w:rPr>
          <w:rFonts w:cs="FrankRuehl"/>
          <w:sz w:val="20"/>
          <w:szCs w:val="22"/>
          <w:rtl/>
        </w:rPr>
        <w:t xml:space="preserve"> </w:t>
      </w:r>
      <w:r w:rsidRPr="00247C05">
        <w:rPr>
          <w:rFonts w:cs="FrankRuehl" w:hint="eastAsia"/>
          <w:sz w:val="20"/>
          <w:szCs w:val="22"/>
          <w:rtl/>
        </w:rPr>
        <w:t>המשפט</w:t>
      </w:r>
      <w:r w:rsidRPr="00247C05">
        <w:rPr>
          <w:rFonts w:cs="FrankRuehl" w:hint="cs"/>
          <w:sz w:val="20"/>
          <w:szCs w:val="22"/>
          <w:rtl/>
        </w:rPr>
        <w:t xml:space="preserve"> עמ"ק בחולון</w:t>
      </w:r>
      <w:r w:rsidRPr="00247C05">
        <w:rPr>
          <w:rFonts w:cs="FrankRuehl"/>
          <w:sz w:val="20"/>
          <w:szCs w:val="22"/>
          <w:rtl/>
        </w:rPr>
        <w:t xml:space="preserve"> עובר הדרכה </w:t>
      </w:r>
      <w:r w:rsidRPr="00247C05">
        <w:rPr>
          <w:rFonts w:cs="FrankRuehl" w:hint="cs"/>
          <w:sz w:val="20"/>
          <w:szCs w:val="22"/>
          <w:rtl/>
        </w:rPr>
        <w:t xml:space="preserve">שניתנת לו </w:t>
      </w:r>
      <w:r w:rsidRPr="00247C05">
        <w:rPr>
          <w:rFonts w:cs="FrankRuehl"/>
          <w:sz w:val="20"/>
          <w:szCs w:val="22"/>
          <w:rtl/>
        </w:rPr>
        <w:t xml:space="preserve">על ידי </w:t>
      </w:r>
      <w:r w:rsidRPr="00247C05">
        <w:rPr>
          <w:rFonts w:cs="FrankRuehl" w:hint="eastAsia"/>
          <w:sz w:val="20"/>
          <w:szCs w:val="22"/>
          <w:rtl/>
        </w:rPr>
        <w:t>המזכיר</w:t>
      </w:r>
      <w:r w:rsidRPr="00247C05">
        <w:rPr>
          <w:rFonts w:cs="FrankRuehl" w:hint="cs"/>
          <w:sz w:val="20"/>
          <w:szCs w:val="22"/>
          <w:rtl/>
        </w:rPr>
        <w:t>.</w:t>
      </w:r>
    </w:p>
    <w:p w:rsidR="003037FB" w:rsidRPr="00247C05" w:rsidP="0003542F">
      <w:pPr>
        <w:pStyle w:val="RESHET"/>
        <w:keepLines/>
        <w:ind w:left="567"/>
        <w:rPr>
          <w:rtl/>
        </w:rPr>
      </w:pPr>
      <w:r w:rsidRPr="00247C05">
        <w:rPr>
          <w:rFonts w:hint="cs"/>
          <w:rtl/>
        </w:rPr>
        <w:t>משרד</w:t>
      </w:r>
      <w:r w:rsidRPr="00247C05">
        <w:rPr>
          <w:rtl/>
        </w:rPr>
        <w:t xml:space="preserve"> מבקר המדינה מעיר </w:t>
      </w:r>
      <w:r w:rsidRPr="00247C05">
        <w:rPr>
          <w:rFonts w:hint="eastAsia"/>
          <w:rtl/>
        </w:rPr>
        <w:t>להב</w:t>
      </w:r>
      <w:r w:rsidRPr="00247C05">
        <w:rPr>
          <w:rtl/>
        </w:rPr>
        <w:t>"ה</w:t>
      </w:r>
      <w:r w:rsidRPr="00247C05">
        <w:rPr>
          <w:rFonts w:hint="cs"/>
          <w:rtl/>
        </w:rPr>
        <w:t>,</w:t>
      </w:r>
      <w:r w:rsidRPr="00247C05">
        <w:rPr>
          <w:rtl/>
        </w:rPr>
        <w:t xml:space="preserve"> </w:t>
      </w:r>
      <w:r w:rsidRPr="00247C05">
        <w:rPr>
          <w:rFonts w:hint="cs"/>
          <w:rtl/>
        </w:rPr>
        <w:t>כי</w:t>
      </w:r>
      <w:r w:rsidRPr="00247C05">
        <w:rPr>
          <w:rtl/>
        </w:rPr>
        <w:t xml:space="preserve"> </w:t>
      </w:r>
      <w:r w:rsidRPr="00247C05">
        <w:rPr>
          <w:rFonts w:hint="cs"/>
          <w:rtl/>
        </w:rPr>
        <w:t xml:space="preserve">היא האחראית המקצועית למזכירויות, והכשרת כלל עובדי מזכירויות במ"ש עמ"ק נכללת בתפקידה. לפיכך עליה לפעול ללא דיחוי להכנת תכנית </w:t>
      </w:r>
      <w:r w:rsidRPr="00247C05">
        <w:rPr>
          <w:rFonts w:hint="eastAsia"/>
          <w:rtl/>
        </w:rPr>
        <w:t>רוחבית</w:t>
      </w:r>
      <w:r w:rsidRPr="00247C05">
        <w:rPr>
          <w:rFonts w:hint="cs"/>
          <w:rtl/>
        </w:rPr>
        <w:t>, מפורטת וסדורה להכשרת עובדים חדשים בכל מזכירויות במ</w:t>
      </w:r>
      <w:r w:rsidRPr="00247C05">
        <w:rPr>
          <w:rtl/>
        </w:rPr>
        <w:t>"</w:t>
      </w:r>
      <w:r w:rsidRPr="00247C05">
        <w:rPr>
          <w:rFonts w:hint="cs"/>
          <w:rtl/>
        </w:rPr>
        <w:t>ש עמ"ק, ולהנחות את המזכירויות בנוגע לביצועה. בהיעדר</w:t>
      </w:r>
      <w:r w:rsidRPr="00247C05">
        <w:rPr>
          <w:rtl/>
        </w:rPr>
        <w:t xml:space="preserve"> תכנית </w:t>
      </w:r>
      <w:r w:rsidRPr="00247C05">
        <w:rPr>
          <w:rFonts w:hint="cs"/>
          <w:rtl/>
        </w:rPr>
        <w:t>כזו נפגעים</w:t>
      </w:r>
      <w:r w:rsidRPr="00247C05">
        <w:rPr>
          <w:rtl/>
        </w:rPr>
        <w:t xml:space="preserve"> </w:t>
      </w:r>
      <w:r w:rsidRPr="00247C05">
        <w:rPr>
          <w:rFonts w:hint="cs"/>
          <w:rtl/>
        </w:rPr>
        <w:t>בהכרח מקצועיותם</w:t>
      </w:r>
      <w:r w:rsidRPr="00247C05">
        <w:rPr>
          <w:rtl/>
        </w:rPr>
        <w:t xml:space="preserve"> </w:t>
      </w:r>
      <w:r w:rsidRPr="00247C05">
        <w:rPr>
          <w:rFonts w:hint="cs"/>
          <w:rtl/>
        </w:rPr>
        <w:t>של עובדי המזכירות</w:t>
      </w:r>
      <w:r w:rsidRPr="00247C05">
        <w:rPr>
          <w:rtl/>
        </w:rPr>
        <w:t xml:space="preserve"> </w:t>
      </w:r>
      <w:r w:rsidRPr="00247C05">
        <w:rPr>
          <w:rFonts w:hint="cs"/>
          <w:rtl/>
        </w:rPr>
        <w:t>והשירות</w:t>
      </w:r>
      <w:r w:rsidRPr="00247C05">
        <w:rPr>
          <w:rtl/>
        </w:rPr>
        <w:t xml:space="preserve"> </w:t>
      </w:r>
      <w:r w:rsidRPr="00247C05">
        <w:rPr>
          <w:rFonts w:hint="cs"/>
          <w:rtl/>
        </w:rPr>
        <w:t>הניתן לבאי</w:t>
      </w:r>
      <w:r w:rsidRPr="00247C05">
        <w:rPr>
          <w:rtl/>
        </w:rPr>
        <w:t xml:space="preserve"> </w:t>
      </w:r>
      <w:r w:rsidRPr="00247C05">
        <w:rPr>
          <w:rFonts w:hint="cs"/>
          <w:rtl/>
        </w:rPr>
        <w:t>במ</w:t>
      </w:r>
      <w:r w:rsidRPr="00247C05">
        <w:rPr>
          <w:rtl/>
        </w:rPr>
        <w:t xml:space="preserve">"ש </w:t>
      </w:r>
      <w:r w:rsidRPr="00247C05">
        <w:rPr>
          <w:rFonts w:hint="cs"/>
          <w:rtl/>
        </w:rPr>
        <w:t>עמ</w:t>
      </w:r>
      <w:r w:rsidRPr="00247C05">
        <w:rPr>
          <w:rtl/>
        </w:rPr>
        <w:t xml:space="preserve">"ק. </w:t>
      </w:r>
    </w:p>
    <w:p w:rsidR="003037FB" w:rsidP="00EC77C1">
      <w:pPr>
        <w:spacing w:after="120" w:line="230" w:lineRule="exact"/>
        <w:jc w:val="both"/>
        <w:rPr>
          <w:rFonts w:cs="FrankRuehl"/>
          <w:sz w:val="20"/>
          <w:szCs w:val="22"/>
        </w:rPr>
      </w:pPr>
    </w:p>
    <w:p w:rsidR="00EC77C1" w:rsidRPr="00EC77C1" w:rsidP="00EC77C1">
      <w:pPr>
        <w:spacing w:after="120" w:line="230" w:lineRule="exact"/>
        <w:jc w:val="both"/>
        <w:rPr>
          <w:rFonts w:cs="FrankRuehl"/>
          <w:sz w:val="20"/>
          <w:szCs w:val="22"/>
          <w:rtl/>
        </w:rPr>
      </w:pPr>
    </w:p>
    <w:p w:rsidR="003037FB" w:rsidRPr="00A45E9A" w:rsidP="00040DAE">
      <w:pPr>
        <w:pStyle w:val="KOT4"/>
        <w:rPr>
          <w:rtl/>
        </w:rPr>
      </w:pPr>
      <w:r w:rsidRPr="00A45E9A">
        <w:rPr>
          <w:rFonts w:hint="cs"/>
          <w:rtl/>
        </w:rPr>
        <w:t>בקרה ופיקוח על עבודת המזכירויות של בתי משפט עמ"ק</w:t>
      </w:r>
    </w:p>
    <w:p w:rsidR="003037FB" w:rsidRPr="00247C05" w:rsidP="00EC77C1">
      <w:pPr>
        <w:spacing w:after="240" w:line="230" w:lineRule="exact"/>
        <w:jc w:val="both"/>
        <w:rPr>
          <w:rFonts w:cs="FrankRuehl"/>
          <w:sz w:val="20"/>
          <w:szCs w:val="22"/>
          <w:rtl/>
        </w:rPr>
      </w:pPr>
      <w:r w:rsidRPr="00247C05">
        <w:rPr>
          <w:rFonts w:cs="FrankRuehl" w:hint="cs"/>
          <w:sz w:val="20"/>
          <w:szCs w:val="22"/>
          <w:rtl/>
        </w:rPr>
        <w:t xml:space="preserve">דוח ועדת זמיר קבע, כי ראוי שהב"ה תקיים בקרה בבמ"ש עמ"ק במתכונת הבקרה הנערכת בבתי משפט אחרים. הוא המליץ כי מנהל התחום יהיה בעל הסמכות לדווח ולערוך מעקב ובקרה על תפקודן המקצועי של מזכירויות במ"ש עמ"ק. ואמנם, הגדרות התפקיד של מנהל התחום כוללת, בין היתר, אחריות לתכנן, לבקר ולהנחות את העובדים במזכירויות, לאסוף נתונים, לקבוע יעדים ולעקוב אחר ביצועם. כמו כן קובע נוהל ממשקי עבודה תפקידים נוספים הנוגעים לבקרה ולפיקוח, כגון חובת הגשת דוחות סטטיסטיים להב"ה או דיווח על היעדרויות וחופשות מרוכזות. </w:t>
      </w:r>
    </w:p>
    <w:p w:rsidR="003037FB" w:rsidRPr="00247C05" w:rsidP="00EC77C1">
      <w:pPr>
        <w:pStyle w:val="RESHET"/>
        <w:keepLines/>
      </w:pPr>
      <w:r w:rsidRPr="00247C05">
        <w:rPr>
          <w:rFonts w:hint="cs"/>
          <w:rtl/>
        </w:rPr>
        <w:t>נמצא כי מנהל</w:t>
      </w:r>
      <w:r w:rsidRPr="00247C05">
        <w:rPr>
          <w:rtl/>
        </w:rPr>
        <w:t xml:space="preserve"> התחום לא הכין תכנית עבודה לפיקוח ולבקרה על בתי המשפט </w:t>
      </w:r>
      <w:r w:rsidRPr="00247C05">
        <w:rPr>
          <w:rFonts w:hint="cs"/>
          <w:rtl/>
        </w:rPr>
        <w:t>עמ</w:t>
      </w:r>
      <w:r w:rsidRPr="00247C05">
        <w:rPr>
          <w:rtl/>
        </w:rPr>
        <w:t xml:space="preserve">"ק. </w:t>
      </w:r>
      <w:r w:rsidRPr="00247C05">
        <w:rPr>
          <w:rFonts w:hint="cs"/>
          <w:rtl/>
        </w:rPr>
        <w:t>לתכנית</w:t>
      </w:r>
      <w:r w:rsidRPr="00247C05">
        <w:rPr>
          <w:rtl/>
        </w:rPr>
        <w:t xml:space="preserve"> כזו </w:t>
      </w:r>
      <w:r w:rsidRPr="00247C05">
        <w:rPr>
          <w:rFonts w:hint="cs"/>
          <w:rtl/>
        </w:rPr>
        <w:t>יש חשיבות</w:t>
      </w:r>
      <w:r w:rsidRPr="00247C05">
        <w:rPr>
          <w:rtl/>
        </w:rPr>
        <w:t xml:space="preserve"> רבה </w:t>
      </w:r>
      <w:r w:rsidRPr="00247C05">
        <w:rPr>
          <w:rFonts w:hint="cs"/>
          <w:rtl/>
        </w:rPr>
        <w:t>בשל</w:t>
      </w:r>
      <w:r w:rsidRPr="00247C05">
        <w:rPr>
          <w:rtl/>
        </w:rPr>
        <w:t xml:space="preserve"> ייחודם של בתי משפט אלו</w:t>
      </w:r>
      <w:r w:rsidRPr="00247C05">
        <w:rPr>
          <w:rFonts w:hint="cs"/>
          <w:rtl/>
        </w:rPr>
        <w:t>,</w:t>
      </w:r>
      <w:r w:rsidRPr="00247C05">
        <w:rPr>
          <w:rtl/>
        </w:rPr>
        <w:t xml:space="preserve"> </w:t>
      </w:r>
      <w:r w:rsidRPr="00247C05">
        <w:rPr>
          <w:rFonts w:hint="cs"/>
          <w:rtl/>
        </w:rPr>
        <w:t>כפי שעלה</w:t>
      </w:r>
      <w:r w:rsidRPr="00247C05">
        <w:rPr>
          <w:rtl/>
        </w:rPr>
        <w:t xml:space="preserve"> </w:t>
      </w:r>
      <w:r w:rsidRPr="00247C05">
        <w:rPr>
          <w:rFonts w:hint="cs"/>
          <w:rtl/>
        </w:rPr>
        <w:t>בדוח ועדת</w:t>
      </w:r>
      <w:r w:rsidRPr="00247C05">
        <w:rPr>
          <w:rtl/>
        </w:rPr>
        <w:t xml:space="preserve"> </w:t>
      </w:r>
      <w:r w:rsidRPr="00247C05">
        <w:rPr>
          <w:rFonts w:hint="cs"/>
          <w:rtl/>
        </w:rPr>
        <w:t>זמיר</w:t>
      </w:r>
      <w:r w:rsidRPr="00247C05">
        <w:rPr>
          <w:rtl/>
        </w:rPr>
        <w:t xml:space="preserve"> </w:t>
      </w:r>
      <w:r w:rsidRPr="00247C05">
        <w:rPr>
          <w:rFonts w:hint="cs"/>
          <w:rtl/>
        </w:rPr>
        <w:t>ובבג</w:t>
      </w:r>
      <w:r w:rsidRPr="00247C05">
        <w:rPr>
          <w:rtl/>
        </w:rPr>
        <w:t xml:space="preserve">"ץ </w:t>
      </w:r>
      <w:r w:rsidRPr="00247C05">
        <w:rPr>
          <w:rFonts w:hint="cs"/>
          <w:rtl/>
        </w:rPr>
        <w:t>קארשי</w:t>
      </w:r>
      <w:r w:rsidRPr="00247C05">
        <w:rPr>
          <w:rtl/>
        </w:rPr>
        <w:t>.</w:t>
      </w:r>
      <w:r w:rsidRPr="00247C05">
        <w:rPr>
          <w:rFonts w:hint="cs"/>
          <w:rtl/>
        </w:rPr>
        <w:t xml:space="preserve"> להלן הפרטים:</w:t>
      </w:r>
    </w:p>
    <w:p w:rsidR="003037FB" w:rsidRPr="00247C05" w:rsidP="00EC77C1">
      <w:pPr>
        <w:pStyle w:val="ListParagraph"/>
        <w:numPr>
          <w:ilvl w:val="0"/>
          <w:numId w:val="3"/>
        </w:numPr>
        <w:spacing w:before="180" w:after="240" w:line="230" w:lineRule="exact"/>
        <w:contextualSpacing w:val="0"/>
        <w:jc w:val="both"/>
        <w:rPr>
          <w:rFonts w:ascii="Times New Roman" w:hAnsi="Times New Roman" w:cs="FrankRuehl"/>
          <w:sz w:val="20"/>
        </w:rPr>
      </w:pPr>
      <w:r w:rsidRPr="00EC77C1">
        <w:rPr>
          <w:rStyle w:val="Heading5Char"/>
          <w:rFonts w:ascii="Times New Roman" w:hAnsi="Times New Roman" w:cs="FrankRuehl" w:hint="cs"/>
          <w:spacing w:val="40"/>
          <w:sz w:val="20"/>
          <w:szCs w:val="22"/>
          <w:rtl/>
        </w:rPr>
        <w:t>מתן דיווחים סטטיסטיים</w:t>
      </w:r>
      <w:r w:rsidRPr="00247C05">
        <w:rPr>
          <w:rStyle w:val="Heading7Char"/>
          <w:rFonts w:ascii="Times New Roman" w:hAnsi="Times New Roman" w:cs="FrankRuehl"/>
          <w:b/>
          <w:bCs/>
          <w:spacing w:val="40"/>
          <w:sz w:val="20"/>
          <w:szCs w:val="22"/>
          <w:rtl/>
        </w:rPr>
        <w:t xml:space="preserve">: </w:t>
      </w:r>
      <w:r w:rsidRPr="00247C05">
        <w:rPr>
          <w:rFonts w:ascii="Times New Roman" w:hAnsi="Times New Roman" w:cs="FrankRuehl" w:hint="cs"/>
          <w:sz w:val="20"/>
          <w:rtl/>
        </w:rPr>
        <w:t xml:space="preserve">נוהל ממשקי עבודה קובע חובת דיווח של המזכירויות ומסדיר את אופן הגשתם של דוחות סטטיסטיים לידי הב"ה. לפי הנוהל, על כל מזכיר לרכז נתונים סטטיסטיים בנוגע לתיקים המתנהלים בבית המשפט כשהם ערוכים בפורמט אחיד, ועליו להעבירם לנשיא המחוז, למנהל המחוז ולמנהל התחום לפחות אחת לרבעון. </w:t>
      </w:r>
    </w:p>
    <w:p w:rsidR="003037FB" w:rsidRPr="00247C05" w:rsidP="00EC77C1">
      <w:pPr>
        <w:pStyle w:val="RESHET"/>
        <w:keepLines/>
        <w:ind w:left="567"/>
        <w:rPr>
          <w:rtl/>
        </w:rPr>
      </w:pPr>
      <w:r w:rsidRPr="00247C05">
        <w:rPr>
          <w:rFonts w:hint="eastAsia"/>
          <w:rtl/>
        </w:rPr>
        <w:t>נמצא</w:t>
      </w:r>
      <w:r w:rsidRPr="00247C05">
        <w:rPr>
          <w:rFonts w:hint="cs"/>
          <w:rtl/>
        </w:rPr>
        <w:t>,</w:t>
      </w:r>
      <w:r w:rsidRPr="00247C05">
        <w:rPr>
          <w:rtl/>
        </w:rPr>
        <w:t xml:space="preserve"> כי בפועל </w:t>
      </w:r>
      <w:r w:rsidRPr="00247C05">
        <w:rPr>
          <w:rFonts w:hint="eastAsia"/>
          <w:rtl/>
        </w:rPr>
        <w:t>לא</w:t>
      </w:r>
      <w:r w:rsidRPr="00247C05">
        <w:rPr>
          <w:rtl/>
        </w:rPr>
        <w:t xml:space="preserve"> </w:t>
      </w:r>
      <w:r w:rsidRPr="00247C05">
        <w:rPr>
          <w:rFonts w:hint="eastAsia"/>
          <w:rtl/>
        </w:rPr>
        <w:t>כל</w:t>
      </w:r>
      <w:r w:rsidRPr="00247C05">
        <w:rPr>
          <w:rtl/>
        </w:rPr>
        <w:t xml:space="preserve"> </w:t>
      </w:r>
      <w:r w:rsidRPr="00247C05">
        <w:rPr>
          <w:rFonts w:hint="eastAsia"/>
          <w:rtl/>
        </w:rPr>
        <w:t>בתי</w:t>
      </w:r>
      <w:r w:rsidRPr="00247C05">
        <w:rPr>
          <w:rtl/>
        </w:rPr>
        <w:t xml:space="preserve"> </w:t>
      </w:r>
      <w:r w:rsidRPr="00247C05">
        <w:rPr>
          <w:rFonts w:hint="eastAsia"/>
          <w:rtl/>
        </w:rPr>
        <w:t>המשפט</w:t>
      </w:r>
      <w:r w:rsidRPr="00247C05">
        <w:rPr>
          <w:rFonts w:hint="cs"/>
          <w:rtl/>
        </w:rPr>
        <w:t xml:space="preserve"> מגישים </w:t>
      </w:r>
      <w:r w:rsidRPr="00247C05">
        <w:rPr>
          <w:rtl/>
        </w:rPr>
        <w:t>דוחות סטטיסטי</w:t>
      </w:r>
      <w:r w:rsidRPr="00247C05">
        <w:rPr>
          <w:rFonts w:hint="eastAsia"/>
          <w:rtl/>
        </w:rPr>
        <w:t>י</w:t>
      </w:r>
      <w:r w:rsidRPr="00247C05">
        <w:rPr>
          <w:rtl/>
        </w:rPr>
        <w:t>ם</w:t>
      </w:r>
      <w:r w:rsidRPr="00247C05">
        <w:rPr>
          <w:rFonts w:hint="cs"/>
          <w:rtl/>
        </w:rPr>
        <w:t xml:space="preserve"> </w:t>
      </w:r>
      <w:r w:rsidRPr="00247C05">
        <w:rPr>
          <w:rtl/>
        </w:rPr>
        <w:t xml:space="preserve">בהתאם לנוהל ממשקי עבודה. </w:t>
      </w:r>
      <w:r w:rsidRPr="00247C05">
        <w:rPr>
          <w:rFonts w:hint="cs"/>
          <w:rtl/>
        </w:rPr>
        <w:t>ישנם מקרים ש</w:t>
      </w:r>
      <w:r w:rsidRPr="00247C05">
        <w:rPr>
          <w:rtl/>
        </w:rPr>
        <w:t>ה</w:t>
      </w:r>
      <w:r w:rsidRPr="00247C05">
        <w:rPr>
          <w:rFonts w:hint="cs"/>
          <w:rtl/>
        </w:rPr>
        <w:t>דוחות הוגשו שלא</w:t>
      </w:r>
      <w:r w:rsidRPr="00247C05">
        <w:rPr>
          <w:rtl/>
        </w:rPr>
        <w:t xml:space="preserve"> </w:t>
      </w:r>
      <w:r w:rsidRPr="00247C05">
        <w:rPr>
          <w:rFonts w:hint="eastAsia"/>
          <w:rtl/>
        </w:rPr>
        <w:t>בפורמט</w:t>
      </w:r>
      <w:r w:rsidRPr="00247C05">
        <w:rPr>
          <w:rtl/>
        </w:rPr>
        <w:t xml:space="preserve"> </w:t>
      </w:r>
      <w:r w:rsidRPr="00247C05">
        <w:rPr>
          <w:rFonts w:hint="eastAsia"/>
          <w:rtl/>
        </w:rPr>
        <w:t>הנדרש</w:t>
      </w:r>
      <w:r w:rsidRPr="00247C05">
        <w:rPr>
          <w:rFonts w:hint="cs"/>
          <w:rtl/>
        </w:rPr>
        <w:t xml:space="preserve"> והמידע שבהם לא היה מלא ונדרשו בו השלמות.</w:t>
      </w:r>
      <w:r w:rsidRPr="00247C05">
        <w:rPr>
          <w:rtl/>
        </w:rPr>
        <w:t xml:space="preserve"> חלקם </w:t>
      </w:r>
      <w:r w:rsidRPr="00247C05">
        <w:rPr>
          <w:rFonts w:hint="cs"/>
          <w:rtl/>
        </w:rPr>
        <w:t>הוגשו</w:t>
      </w:r>
      <w:r w:rsidRPr="00247C05">
        <w:rPr>
          <w:rtl/>
        </w:rPr>
        <w:t xml:space="preserve"> באיחור לאחר תזכורות חוזרות </w:t>
      </w:r>
      <w:r w:rsidRPr="00247C05">
        <w:rPr>
          <w:rFonts w:hint="eastAsia"/>
          <w:rtl/>
        </w:rPr>
        <w:t>ונשנות</w:t>
      </w:r>
      <w:r w:rsidRPr="00247C05">
        <w:rPr>
          <w:rtl/>
        </w:rPr>
        <w:t xml:space="preserve"> של מנהל התחום. </w:t>
      </w:r>
      <w:r w:rsidRPr="00247C05">
        <w:rPr>
          <w:rFonts w:hint="eastAsia"/>
          <w:rtl/>
        </w:rPr>
        <w:t>לדעת</w:t>
      </w:r>
      <w:r w:rsidRPr="00247C05">
        <w:rPr>
          <w:rtl/>
        </w:rPr>
        <w:t xml:space="preserve"> </w:t>
      </w:r>
      <w:r w:rsidRPr="00247C05">
        <w:rPr>
          <w:rFonts w:hint="eastAsia"/>
          <w:rtl/>
        </w:rPr>
        <w:t>משרד</w:t>
      </w:r>
      <w:r w:rsidRPr="00247C05">
        <w:rPr>
          <w:rtl/>
        </w:rPr>
        <w:t xml:space="preserve"> </w:t>
      </w:r>
      <w:r w:rsidRPr="00247C05">
        <w:rPr>
          <w:rFonts w:hint="eastAsia"/>
          <w:rtl/>
        </w:rPr>
        <w:t>מבקר</w:t>
      </w:r>
      <w:r w:rsidRPr="00247C05">
        <w:rPr>
          <w:rtl/>
        </w:rPr>
        <w:t xml:space="preserve"> </w:t>
      </w:r>
      <w:r w:rsidRPr="00247C05">
        <w:rPr>
          <w:rFonts w:hint="eastAsia"/>
          <w:rtl/>
        </w:rPr>
        <w:t>המדינה</w:t>
      </w:r>
      <w:r w:rsidRPr="00247C05">
        <w:rPr>
          <w:rFonts w:hint="cs"/>
          <w:rtl/>
        </w:rPr>
        <w:t xml:space="preserve"> -</w:t>
      </w:r>
      <w:r w:rsidRPr="00247C05">
        <w:rPr>
          <w:rtl/>
        </w:rPr>
        <w:t xml:space="preserve"> על מזכירויות בתי משפט </w:t>
      </w:r>
      <w:r w:rsidRPr="00247C05">
        <w:rPr>
          <w:rFonts w:hint="eastAsia"/>
          <w:rtl/>
        </w:rPr>
        <w:t>עמ</w:t>
      </w:r>
      <w:r w:rsidRPr="00247C05">
        <w:rPr>
          <w:rtl/>
        </w:rPr>
        <w:t xml:space="preserve">"ק </w:t>
      </w:r>
      <w:r w:rsidRPr="00247C05">
        <w:rPr>
          <w:rFonts w:hint="eastAsia"/>
          <w:rtl/>
        </w:rPr>
        <w:t>להגיש</w:t>
      </w:r>
      <w:r w:rsidRPr="00247C05">
        <w:rPr>
          <w:rtl/>
        </w:rPr>
        <w:t xml:space="preserve"> את דוחותיהם בהתאם להוראות נוהל ממשקי עבודה, </w:t>
      </w:r>
      <w:r w:rsidRPr="00247C05">
        <w:rPr>
          <w:rFonts w:hint="eastAsia"/>
          <w:rtl/>
        </w:rPr>
        <w:t>כדי</w:t>
      </w:r>
      <w:r w:rsidRPr="00247C05">
        <w:rPr>
          <w:rtl/>
        </w:rPr>
        <w:t xml:space="preserve"> </w:t>
      </w:r>
      <w:r w:rsidRPr="00247C05">
        <w:rPr>
          <w:rFonts w:hint="eastAsia"/>
          <w:rtl/>
        </w:rPr>
        <w:t>שהדוחות</w:t>
      </w:r>
      <w:r w:rsidRPr="00247C05">
        <w:rPr>
          <w:rtl/>
        </w:rPr>
        <w:t xml:space="preserve"> </w:t>
      </w:r>
      <w:r w:rsidRPr="00247C05">
        <w:rPr>
          <w:rFonts w:hint="eastAsia"/>
          <w:rtl/>
        </w:rPr>
        <w:t>יוכלו</w:t>
      </w:r>
      <w:r w:rsidRPr="00247C05">
        <w:rPr>
          <w:rtl/>
        </w:rPr>
        <w:t xml:space="preserve"> </w:t>
      </w:r>
      <w:r w:rsidRPr="00247C05">
        <w:rPr>
          <w:rFonts w:hint="eastAsia"/>
          <w:rtl/>
        </w:rPr>
        <w:t>לסייע</w:t>
      </w:r>
      <w:r w:rsidRPr="00247C05">
        <w:rPr>
          <w:rtl/>
        </w:rPr>
        <w:t xml:space="preserve"> </w:t>
      </w:r>
      <w:r w:rsidRPr="00247C05">
        <w:rPr>
          <w:rFonts w:hint="eastAsia"/>
          <w:rtl/>
        </w:rPr>
        <w:t>ביד</w:t>
      </w:r>
      <w:r w:rsidRPr="00247C05">
        <w:rPr>
          <w:rFonts w:hint="cs"/>
          <w:rtl/>
        </w:rPr>
        <w:t>י מנהל התחום</w:t>
      </w:r>
      <w:r w:rsidRPr="00247C05">
        <w:rPr>
          <w:rtl/>
        </w:rPr>
        <w:t xml:space="preserve"> </w:t>
      </w:r>
      <w:r w:rsidRPr="00247C05">
        <w:rPr>
          <w:rFonts w:hint="eastAsia"/>
          <w:rtl/>
        </w:rPr>
        <w:t>בבקרה</w:t>
      </w:r>
      <w:r w:rsidRPr="00247C05">
        <w:rPr>
          <w:rtl/>
        </w:rPr>
        <w:t xml:space="preserve"> </w:t>
      </w:r>
      <w:r w:rsidRPr="00247C05">
        <w:rPr>
          <w:rFonts w:hint="eastAsia"/>
          <w:rtl/>
        </w:rPr>
        <w:t>ובפיקוח</w:t>
      </w:r>
      <w:r w:rsidRPr="00247C05">
        <w:rPr>
          <w:rtl/>
        </w:rPr>
        <w:t xml:space="preserve"> </w:t>
      </w:r>
      <w:r w:rsidRPr="00247C05">
        <w:rPr>
          <w:rFonts w:hint="eastAsia"/>
          <w:rtl/>
        </w:rPr>
        <w:t>על</w:t>
      </w:r>
      <w:r w:rsidRPr="00247C05">
        <w:rPr>
          <w:rtl/>
        </w:rPr>
        <w:t xml:space="preserve"> </w:t>
      </w:r>
      <w:r w:rsidRPr="00247C05">
        <w:rPr>
          <w:rFonts w:hint="eastAsia"/>
          <w:rtl/>
        </w:rPr>
        <w:t>בתי</w:t>
      </w:r>
      <w:r w:rsidRPr="00247C05">
        <w:rPr>
          <w:rtl/>
        </w:rPr>
        <w:t xml:space="preserve"> </w:t>
      </w:r>
      <w:r w:rsidRPr="00247C05">
        <w:rPr>
          <w:rFonts w:hint="eastAsia"/>
          <w:rtl/>
        </w:rPr>
        <w:t>המשפט</w:t>
      </w:r>
      <w:r w:rsidRPr="00247C05">
        <w:rPr>
          <w:rtl/>
        </w:rPr>
        <w:t>.</w:t>
      </w:r>
      <w:r w:rsidRPr="00247C05">
        <w:rPr>
          <w:rFonts w:hint="cs"/>
          <w:rtl/>
        </w:rPr>
        <w:t xml:space="preserve"> </w:t>
      </w:r>
    </w:p>
    <w:p w:rsidR="003037FB" w:rsidP="00EC77C1">
      <w:pPr>
        <w:spacing w:before="180" w:after="120" w:line="230" w:lineRule="exact"/>
        <w:ind w:left="284"/>
        <w:jc w:val="both"/>
        <w:rPr>
          <w:rFonts w:cs="FrankRuehl"/>
          <w:sz w:val="20"/>
          <w:szCs w:val="22"/>
        </w:rPr>
      </w:pPr>
      <w:r w:rsidRPr="00247C05">
        <w:rPr>
          <w:rFonts w:cs="FrankRuehl" w:hint="cs"/>
          <w:sz w:val="20"/>
          <w:szCs w:val="22"/>
          <w:rtl/>
        </w:rPr>
        <w:t xml:space="preserve">מתשובת הב"ה עולה, כי בכל הנוגע לתשעת במ"ש עמ"ק שאינם פועלים במערכת ניהול המידע "נט-המשפט" (להלן - נט המשפט או המערכת), אכן לוקים הדיווחים הסטטיסטיים בחסר, והמזכירויות מתקשות או אינן מעוניינות להעביר את הדוחות בזמן והב"ה יכולה רק לבקשם ובקשותיה לא נענות תמיד. </w:t>
      </w:r>
    </w:p>
    <w:p w:rsidR="00EC77C1" w:rsidP="00EC77C1">
      <w:pPr>
        <w:spacing w:before="180" w:after="120" w:line="230" w:lineRule="exact"/>
        <w:ind w:left="284"/>
        <w:jc w:val="both"/>
        <w:rPr>
          <w:rFonts w:cs="FrankRuehl"/>
          <w:sz w:val="20"/>
          <w:szCs w:val="22"/>
        </w:rPr>
      </w:pP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EC77C1" w:rsidRPr="00EC77C1" w:rsidP="00EC77C1">
            <w:pPr>
              <w:pStyle w:val="Date"/>
              <w:keepNext/>
              <w:keepLines/>
              <w:spacing w:before="100" w:after="240" w:line="230" w:lineRule="exact"/>
              <w:rPr>
                <w:rFonts w:ascii="Times New Roman" w:eastAsia="Times New Roman" w:hAnsi="Times New Roman" w:cs="FrankRuehl"/>
                <w:sz w:val="20"/>
                <w:rtl/>
              </w:rPr>
            </w:pPr>
            <w:r w:rsidRPr="00EC77C1">
              <w:rPr>
                <w:rFonts w:ascii="Times New Roman" w:eastAsia="Times New Roman" w:hAnsi="Times New Roman" w:cs="FrankRuehl" w:hint="cs"/>
                <w:sz w:val="20"/>
                <w:rtl/>
              </w:rPr>
              <w:t>2.</w:t>
            </w:r>
          </w:p>
        </w:tc>
        <w:tc>
          <w:tcPr>
            <w:tcW w:w="0" w:type="auto"/>
            <w:shd w:val="clear" w:color="auto" w:fill="auto"/>
          </w:tcPr>
          <w:p w:rsidR="00EC77C1" w:rsidP="00862DE8">
            <w:pPr>
              <w:pStyle w:val="RESHET"/>
              <w:keepNext/>
              <w:keepLines/>
              <w:rPr>
                <w:rtl/>
              </w:rPr>
            </w:pPr>
            <w:r w:rsidRPr="00EC77C1">
              <w:rPr>
                <w:rStyle w:val="Heading5Char"/>
                <w:rFonts w:cs="FrankRuehl" w:hint="cs"/>
                <w:b/>
                <w:bCs/>
                <w:spacing w:val="40"/>
                <w:sz w:val="20"/>
                <w:szCs w:val="22"/>
                <w:rtl/>
              </w:rPr>
              <w:t xml:space="preserve">ביקורים במזכירויות </w:t>
            </w:r>
            <w:r w:rsidRPr="00EC77C1">
              <w:rPr>
                <w:rStyle w:val="Heading5Char"/>
                <w:rFonts w:cs="FrankRuehl" w:hint="eastAsia"/>
                <w:b/>
                <w:bCs/>
                <w:spacing w:val="40"/>
                <w:sz w:val="20"/>
                <w:szCs w:val="22"/>
                <w:rtl/>
              </w:rPr>
              <w:t>עמ</w:t>
            </w:r>
            <w:r w:rsidRPr="00EC77C1">
              <w:rPr>
                <w:rStyle w:val="Heading5Char"/>
                <w:rFonts w:cs="FrankRuehl"/>
                <w:b/>
                <w:bCs/>
                <w:spacing w:val="40"/>
                <w:sz w:val="20"/>
                <w:szCs w:val="22"/>
                <w:rtl/>
              </w:rPr>
              <w:t>"ק</w:t>
            </w:r>
            <w:r w:rsidRPr="00EC77C1">
              <w:rPr>
                <w:rStyle w:val="Heading7Char"/>
                <w:rFonts w:cs="FrankRuehl"/>
                <w:b w:val="0"/>
                <w:bCs w:val="0"/>
                <w:spacing w:val="40"/>
                <w:sz w:val="20"/>
                <w:szCs w:val="22"/>
                <w:rtl/>
              </w:rPr>
              <w:t>:</w:t>
            </w:r>
            <w:r w:rsidRPr="00247C05">
              <w:rPr>
                <w:rStyle w:val="Heading7Char"/>
                <w:rFonts w:cs="FrankRuehl"/>
                <w:spacing w:val="40"/>
                <w:sz w:val="20"/>
                <w:szCs w:val="22"/>
                <w:rtl/>
              </w:rPr>
              <w:t xml:space="preserve"> </w:t>
            </w:r>
            <w:r w:rsidRPr="00247C05">
              <w:rPr>
                <w:rFonts w:hint="cs"/>
                <w:rtl/>
              </w:rPr>
              <w:t>הב</w:t>
            </w:r>
            <w:r w:rsidRPr="00247C05">
              <w:rPr>
                <w:rtl/>
              </w:rPr>
              <w:t xml:space="preserve">"ה לא קבעה חובה ויעדים לביקורים </w:t>
            </w:r>
            <w:r w:rsidRPr="00247C05">
              <w:rPr>
                <w:rFonts w:hint="cs"/>
                <w:rtl/>
              </w:rPr>
              <w:t>של</w:t>
            </w:r>
            <w:r w:rsidRPr="00247C05">
              <w:rPr>
                <w:rtl/>
              </w:rPr>
              <w:t xml:space="preserve"> </w:t>
            </w:r>
            <w:r w:rsidRPr="00247C05">
              <w:rPr>
                <w:rFonts w:hint="cs"/>
                <w:rtl/>
              </w:rPr>
              <w:t>מנהל</w:t>
            </w:r>
            <w:r w:rsidRPr="00247C05">
              <w:rPr>
                <w:rtl/>
              </w:rPr>
              <w:t xml:space="preserve"> התחום במזכירויות של בתי משפט </w:t>
            </w:r>
            <w:r w:rsidRPr="00247C05">
              <w:rPr>
                <w:rFonts w:hint="cs"/>
                <w:rtl/>
              </w:rPr>
              <w:t>עמ</w:t>
            </w:r>
            <w:r w:rsidRPr="00247C05">
              <w:rPr>
                <w:rtl/>
              </w:rPr>
              <w:t xml:space="preserve">"ק, </w:t>
            </w:r>
            <w:r w:rsidRPr="00247C05">
              <w:rPr>
                <w:rFonts w:hint="cs"/>
                <w:rtl/>
              </w:rPr>
              <w:t>על אף שלנוכחותו</w:t>
            </w:r>
            <w:r w:rsidRPr="00247C05">
              <w:rPr>
                <w:rtl/>
              </w:rPr>
              <w:t xml:space="preserve"> ו</w:t>
            </w:r>
            <w:r w:rsidRPr="00247C05">
              <w:rPr>
                <w:rFonts w:hint="cs"/>
                <w:rtl/>
              </w:rPr>
              <w:t>לביקוריו</w:t>
            </w:r>
            <w:r w:rsidRPr="00247C05">
              <w:rPr>
                <w:rtl/>
              </w:rPr>
              <w:t xml:space="preserve"> </w:t>
            </w:r>
            <w:r w:rsidRPr="00247C05">
              <w:rPr>
                <w:rFonts w:hint="cs"/>
                <w:rtl/>
              </w:rPr>
              <w:t>יש</w:t>
            </w:r>
            <w:r w:rsidRPr="00247C05">
              <w:rPr>
                <w:rtl/>
              </w:rPr>
              <w:t xml:space="preserve"> חש</w:t>
            </w:r>
            <w:r w:rsidRPr="00247C05">
              <w:rPr>
                <w:rFonts w:hint="cs"/>
                <w:rtl/>
              </w:rPr>
              <w:t>יבות</w:t>
            </w:r>
            <w:r w:rsidRPr="00247C05">
              <w:rPr>
                <w:rtl/>
              </w:rPr>
              <w:t xml:space="preserve"> כחלק </w:t>
            </w:r>
            <w:r w:rsidRPr="00247C05">
              <w:rPr>
                <w:rFonts w:hint="cs"/>
                <w:rtl/>
              </w:rPr>
              <w:t>מפעילות</w:t>
            </w:r>
            <w:r w:rsidRPr="00247C05">
              <w:rPr>
                <w:rtl/>
              </w:rPr>
              <w:t xml:space="preserve"> </w:t>
            </w:r>
            <w:r w:rsidRPr="00247C05">
              <w:rPr>
                <w:rFonts w:hint="cs"/>
                <w:rtl/>
              </w:rPr>
              <w:t>סדירה</w:t>
            </w:r>
            <w:r w:rsidRPr="00247C05">
              <w:rPr>
                <w:rtl/>
              </w:rPr>
              <w:t xml:space="preserve"> </w:t>
            </w:r>
            <w:r w:rsidRPr="00247C05">
              <w:rPr>
                <w:rFonts w:hint="cs"/>
                <w:rtl/>
              </w:rPr>
              <w:t>של</w:t>
            </w:r>
            <w:r w:rsidRPr="00247C05">
              <w:rPr>
                <w:rtl/>
              </w:rPr>
              <w:t xml:space="preserve"> </w:t>
            </w:r>
            <w:r w:rsidRPr="00247C05">
              <w:rPr>
                <w:rFonts w:hint="cs"/>
                <w:rtl/>
              </w:rPr>
              <w:t>ניהול</w:t>
            </w:r>
            <w:r w:rsidRPr="00247C05">
              <w:rPr>
                <w:rtl/>
              </w:rPr>
              <w:t xml:space="preserve">, </w:t>
            </w:r>
            <w:r w:rsidRPr="00247C05">
              <w:rPr>
                <w:rFonts w:hint="cs"/>
                <w:rtl/>
              </w:rPr>
              <w:t>פיקוח</w:t>
            </w:r>
            <w:r w:rsidRPr="00247C05">
              <w:rPr>
                <w:rtl/>
              </w:rPr>
              <w:t xml:space="preserve"> ובקרה על בתי משפט אלה.</w:t>
            </w:r>
          </w:p>
        </w:tc>
      </w:tr>
    </w:tbl>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בין השנים 2012-2010 קיים מנהל התחום לשעבר עשרה ביקורים בבתי משפט עמ"ק ו-43 ביקורים בבתי משפט אחרים שבתחום אחריותו. מנהל</w:t>
      </w:r>
      <w:r w:rsidRPr="00247C05">
        <w:rPr>
          <w:rFonts w:cs="FrankRuehl"/>
          <w:sz w:val="20"/>
          <w:szCs w:val="22"/>
          <w:rtl/>
        </w:rPr>
        <w:t xml:space="preserve"> התחום </w:t>
      </w:r>
      <w:r w:rsidRPr="00247C05">
        <w:rPr>
          <w:rFonts w:cs="FrankRuehl" w:hint="cs"/>
          <w:sz w:val="20"/>
          <w:szCs w:val="22"/>
          <w:rtl/>
        </w:rPr>
        <w:t xml:space="preserve">לשעבר </w:t>
      </w:r>
      <w:r w:rsidRPr="00247C05">
        <w:rPr>
          <w:rFonts w:cs="FrankRuehl"/>
          <w:sz w:val="20"/>
          <w:szCs w:val="22"/>
          <w:rtl/>
        </w:rPr>
        <w:t>מסר למשרד מבקר המדינה</w:t>
      </w:r>
      <w:r w:rsidRPr="00247C05">
        <w:rPr>
          <w:rFonts w:cs="FrankRuehl" w:hint="cs"/>
          <w:sz w:val="20"/>
          <w:szCs w:val="22"/>
          <w:rtl/>
        </w:rPr>
        <w:t>,</w:t>
      </w:r>
      <w:r w:rsidRPr="00247C05">
        <w:rPr>
          <w:rFonts w:cs="FrankRuehl"/>
          <w:sz w:val="20"/>
          <w:szCs w:val="22"/>
          <w:rtl/>
        </w:rPr>
        <w:t xml:space="preserve"> כי ער</w:t>
      </w:r>
      <w:r w:rsidRPr="00247C05">
        <w:rPr>
          <w:rFonts w:cs="FrankRuehl" w:hint="cs"/>
          <w:sz w:val="20"/>
          <w:szCs w:val="22"/>
          <w:rtl/>
        </w:rPr>
        <w:t>ך</w:t>
      </w:r>
      <w:r w:rsidRPr="00247C05">
        <w:rPr>
          <w:rFonts w:cs="FrankRuehl"/>
          <w:sz w:val="20"/>
          <w:szCs w:val="22"/>
          <w:rtl/>
        </w:rPr>
        <w:t xml:space="preserve"> מ</w:t>
      </w:r>
      <w:r w:rsidRPr="00247C05">
        <w:rPr>
          <w:rFonts w:cs="FrankRuehl" w:hint="cs"/>
          <w:sz w:val="20"/>
          <w:szCs w:val="22"/>
          <w:rtl/>
        </w:rPr>
        <w:t xml:space="preserve">פעם לפעם </w:t>
      </w:r>
      <w:r w:rsidRPr="00247C05">
        <w:rPr>
          <w:rFonts w:cs="FrankRuehl"/>
          <w:sz w:val="20"/>
          <w:szCs w:val="22"/>
          <w:rtl/>
        </w:rPr>
        <w:t xml:space="preserve">ביקורים </w:t>
      </w:r>
      <w:r w:rsidRPr="00247C05">
        <w:rPr>
          <w:rFonts w:cs="FrankRuehl" w:hint="cs"/>
          <w:sz w:val="20"/>
          <w:szCs w:val="22"/>
          <w:rtl/>
        </w:rPr>
        <w:t>נוספים בבתי משפט</w:t>
      </w:r>
      <w:r w:rsidRPr="00247C05">
        <w:rPr>
          <w:rFonts w:cs="FrankRuehl"/>
          <w:sz w:val="20"/>
          <w:szCs w:val="22"/>
          <w:rtl/>
        </w:rPr>
        <w:t xml:space="preserve"> עמ"ק, א</w:t>
      </w:r>
      <w:r w:rsidRPr="00247C05">
        <w:rPr>
          <w:rFonts w:cs="FrankRuehl" w:hint="cs"/>
          <w:sz w:val="20"/>
          <w:szCs w:val="22"/>
          <w:rtl/>
        </w:rPr>
        <w:t>ך</w:t>
      </w:r>
      <w:r w:rsidRPr="00247C05">
        <w:rPr>
          <w:rFonts w:cs="FrankRuehl"/>
          <w:sz w:val="20"/>
          <w:szCs w:val="22"/>
          <w:rtl/>
        </w:rPr>
        <w:t xml:space="preserve"> </w:t>
      </w:r>
      <w:r w:rsidRPr="00247C05">
        <w:rPr>
          <w:rFonts w:cs="FrankRuehl" w:hint="cs"/>
          <w:sz w:val="20"/>
          <w:szCs w:val="22"/>
          <w:rtl/>
        </w:rPr>
        <w:t xml:space="preserve">לא פירט היכן התקיימו ובאיזו תדירות ולא צירף דוח או סיכום הכולל גם פירוט של ממצאים ופעולות תיקון דרושות. </w:t>
      </w:r>
    </w:p>
    <w:p w:rsidR="003037FB" w:rsidRPr="00247C05" w:rsidP="00040DAE">
      <w:pPr>
        <w:pStyle w:val="ListParagraph"/>
        <w:spacing w:after="120" w:line="230" w:lineRule="exact"/>
        <w:ind w:left="340"/>
        <w:contextualSpacing w:val="0"/>
        <w:jc w:val="both"/>
        <w:rPr>
          <w:rFonts w:ascii="Times New Roman" w:hAnsi="Times New Roman" w:cs="FrankRuehl"/>
          <w:sz w:val="20"/>
        </w:rPr>
      </w:pPr>
      <w:r w:rsidRPr="00247C05">
        <w:rPr>
          <w:rFonts w:ascii="Times New Roman" w:hAnsi="Times New Roman" w:cs="FrankRuehl" w:hint="cs"/>
          <w:sz w:val="20"/>
          <w:rtl/>
        </w:rPr>
        <w:t>מאז מינויו של מנהל תחום חדש בשנת 2014 ועד מועד תום עריכת הביקורת הוא קיים בבמ"ש עמ"ק ביקור מתועד אחד ב-2.10.14. חטיבת תפעול ומזכירויות מסרה למשרד מבקר המדינה, כי בין נובמבר 2014 - ינואר 2015 הוא קיים ביקורים נוספים בארבע רשויות מקומיות וביקור אחד ברשות מקומית נוספת במועד לא ידוע. לא נמצאו מסמכים שמתעדים אף אחד מביקורים אלו או ביקורים אחרים, ולא הוצאו דוחות סיכום הכוללים גם פירוט של ממצאים ופעולות תיקון נדרשות.</w:t>
      </w:r>
    </w:p>
    <w:p w:rsidR="003037FB" w:rsidRPr="00247C05" w:rsidP="00040DAE">
      <w:pPr>
        <w:pStyle w:val="ListParagraph"/>
        <w:spacing w:after="12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 xml:space="preserve">מהתשובות לשאלונים עולה, כי במקרים מסוימים כמעט שאין ביקורים של מנהל התחום בבמ"ש עמ"ק. כך למשל, מזכירת במ"ש עמ"ק אחד ציינה, כי יש מעט מאוד ביקורים; מזכירת במ"ש עמ"ק נוספת ציינה, כי הביקור האחרון היה לפני חמש שנים; ומזכיר במ"ש עמ"ק אחר ציין, כי מנהל התחום מעולם לא ביקר אצלם. בתשובה של במ"ש עמ"ק נוסף מינואר 2016 למשרד מבקר המדינה נכתב, כי מנהל התחום מעולם לא ביקר אצלם. </w:t>
      </w:r>
    </w:p>
    <w:p w:rsidR="003037FB" w:rsidRPr="00247C05" w:rsidP="00EC77C1">
      <w:pPr>
        <w:pStyle w:val="ListParagraph"/>
        <w:spacing w:after="24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 xml:space="preserve">הב"ה כתבה בתשובתה, כי מנהל התחום עורך ביקורות לפי הצורך ולפי שיקול דעתו וכי תיעוד לכך נעשה בשעת הצורך. </w:t>
      </w:r>
    </w:p>
    <w:p w:rsidR="003037FB" w:rsidP="00EC77C1">
      <w:pPr>
        <w:pStyle w:val="RESHET"/>
        <w:keepLines/>
        <w:ind w:left="567"/>
        <w:rPr>
          <w:rtl/>
        </w:rPr>
      </w:pPr>
      <w:r w:rsidRPr="00247C05">
        <w:rPr>
          <w:rFonts w:hint="cs"/>
          <w:rtl/>
        </w:rPr>
        <w:t>מהאמור</w:t>
      </w:r>
      <w:r w:rsidRPr="00247C05">
        <w:rPr>
          <w:rtl/>
        </w:rPr>
        <w:t xml:space="preserve"> לעיל </w:t>
      </w:r>
      <w:r w:rsidRPr="00247C05">
        <w:rPr>
          <w:rFonts w:hint="cs"/>
          <w:rtl/>
        </w:rPr>
        <w:t>יוצא</w:t>
      </w:r>
      <w:r w:rsidRPr="00247C05">
        <w:rPr>
          <w:rtl/>
        </w:rPr>
        <w:t xml:space="preserve"> שבחלק ממזכירויות בתי משפט </w:t>
      </w:r>
      <w:r w:rsidRPr="00247C05">
        <w:rPr>
          <w:rFonts w:hint="cs"/>
          <w:rtl/>
        </w:rPr>
        <w:t>עמ</w:t>
      </w:r>
      <w:r w:rsidRPr="00247C05">
        <w:rPr>
          <w:rtl/>
        </w:rPr>
        <w:t xml:space="preserve">"ק </w:t>
      </w:r>
      <w:r w:rsidRPr="00247C05">
        <w:rPr>
          <w:rFonts w:hint="cs"/>
          <w:rtl/>
        </w:rPr>
        <w:t>לא</w:t>
      </w:r>
      <w:r w:rsidRPr="00247C05">
        <w:rPr>
          <w:rtl/>
        </w:rPr>
        <w:t xml:space="preserve"> היו </w:t>
      </w:r>
      <w:r w:rsidRPr="00247C05">
        <w:rPr>
          <w:rFonts w:hint="cs"/>
          <w:rtl/>
        </w:rPr>
        <w:t xml:space="preserve">כל </w:t>
      </w:r>
      <w:r w:rsidRPr="00247C05">
        <w:rPr>
          <w:rtl/>
        </w:rPr>
        <w:t xml:space="preserve">ביקורים </w:t>
      </w:r>
      <w:r w:rsidRPr="00247C05">
        <w:rPr>
          <w:rFonts w:hint="cs"/>
          <w:rtl/>
        </w:rPr>
        <w:t>של מנהל התחום, ובחלקם</w:t>
      </w:r>
      <w:r w:rsidRPr="00247C05">
        <w:rPr>
          <w:rtl/>
        </w:rPr>
        <w:t xml:space="preserve"> </w:t>
      </w:r>
      <w:r w:rsidRPr="00247C05">
        <w:rPr>
          <w:rFonts w:hint="cs"/>
          <w:rtl/>
        </w:rPr>
        <w:t>הייתה</w:t>
      </w:r>
      <w:r w:rsidRPr="00247C05">
        <w:rPr>
          <w:rtl/>
        </w:rPr>
        <w:t xml:space="preserve"> </w:t>
      </w:r>
      <w:r w:rsidRPr="00247C05">
        <w:rPr>
          <w:rFonts w:hint="cs"/>
          <w:rtl/>
        </w:rPr>
        <w:t>תדירות</w:t>
      </w:r>
      <w:r w:rsidRPr="00247C05">
        <w:rPr>
          <w:rtl/>
        </w:rPr>
        <w:t xml:space="preserve"> הביקורים </w:t>
      </w:r>
      <w:r w:rsidRPr="00247C05">
        <w:rPr>
          <w:rFonts w:hint="cs"/>
          <w:rtl/>
        </w:rPr>
        <w:t>נמוכה</w:t>
      </w:r>
      <w:r w:rsidRPr="00247C05">
        <w:rPr>
          <w:rtl/>
        </w:rPr>
        <w:t xml:space="preserve"> </w:t>
      </w:r>
      <w:r w:rsidRPr="00247C05">
        <w:rPr>
          <w:rFonts w:hint="cs"/>
          <w:rtl/>
        </w:rPr>
        <w:t>ביותר. בהתחשב</w:t>
      </w:r>
      <w:r w:rsidRPr="00247C05">
        <w:rPr>
          <w:rtl/>
        </w:rPr>
        <w:t xml:space="preserve"> </w:t>
      </w:r>
      <w:r w:rsidRPr="00247C05">
        <w:rPr>
          <w:rFonts w:hint="cs"/>
          <w:rtl/>
        </w:rPr>
        <w:t>בכך</w:t>
      </w:r>
      <w:r w:rsidRPr="00247C05">
        <w:rPr>
          <w:rtl/>
        </w:rPr>
        <w:t xml:space="preserve"> שחוק בתי המשפט מעניק </w:t>
      </w:r>
      <w:r w:rsidRPr="00247C05">
        <w:rPr>
          <w:rFonts w:hint="cs"/>
          <w:rtl/>
        </w:rPr>
        <w:t>לבתי</w:t>
      </w:r>
      <w:r w:rsidRPr="00247C05">
        <w:rPr>
          <w:rtl/>
        </w:rPr>
        <w:t xml:space="preserve"> משפט עמ"ק </w:t>
      </w:r>
      <w:r w:rsidRPr="00247C05">
        <w:rPr>
          <w:rFonts w:hint="cs"/>
          <w:rtl/>
        </w:rPr>
        <w:t>מעמד כשל בתי</w:t>
      </w:r>
      <w:r w:rsidRPr="00247C05">
        <w:rPr>
          <w:rtl/>
        </w:rPr>
        <w:t xml:space="preserve"> </w:t>
      </w:r>
      <w:r w:rsidRPr="00247C05">
        <w:rPr>
          <w:rFonts w:hint="cs"/>
          <w:rtl/>
        </w:rPr>
        <w:t>משפט</w:t>
      </w:r>
      <w:r w:rsidRPr="00247C05">
        <w:rPr>
          <w:rtl/>
        </w:rPr>
        <w:t xml:space="preserve"> </w:t>
      </w:r>
      <w:r w:rsidRPr="00247C05">
        <w:rPr>
          <w:rFonts w:hint="cs"/>
          <w:rtl/>
        </w:rPr>
        <w:t>השלום</w:t>
      </w:r>
      <w:r w:rsidRPr="00247C05">
        <w:rPr>
          <w:rtl/>
        </w:rPr>
        <w:t xml:space="preserve"> </w:t>
      </w:r>
      <w:r w:rsidRPr="00247C05">
        <w:rPr>
          <w:rFonts w:hint="cs"/>
          <w:rtl/>
        </w:rPr>
        <w:t>ובשל אחריותה של הב"ה להם - על חטיבת תפעול ומזכירויות להכין</w:t>
      </w:r>
      <w:r w:rsidRPr="00247C05">
        <w:rPr>
          <w:rtl/>
        </w:rPr>
        <w:t xml:space="preserve"> </w:t>
      </w:r>
      <w:r w:rsidRPr="00247C05">
        <w:rPr>
          <w:rFonts w:hint="cs"/>
          <w:rtl/>
        </w:rPr>
        <w:t>תכנית</w:t>
      </w:r>
      <w:r w:rsidRPr="00247C05">
        <w:rPr>
          <w:rtl/>
        </w:rPr>
        <w:t xml:space="preserve"> </w:t>
      </w:r>
      <w:r w:rsidRPr="00247C05">
        <w:rPr>
          <w:rFonts w:hint="cs"/>
          <w:rtl/>
        </w:rPr>
        <w:t>ביקורים</w:t>
      </w:r>
      <w:r w:rsidRPr="00247C05">
        <w:rPr>
          <w:rtl/>
        </w:rPr>
        <w:t xml:space="preserve"> </w:t>
      </w:r>
      <w:r w:rsidRPr="00247C05">
        <w:rPr>
          <w:rFonts w:hint="cs"/>
          <w:rtl/>
        </w:rPr>
        <w:t>שנתית ייעודית</w:t>
      </w:r>
      <w:r w:rsidRPr="00247C05">
        <w:rPr>
          <w:rtl/>
        </w:rPr>
        <w:t xml:space="preserve"> לבתי משפט </w:t>
      </w:r>
      <w:r w:rsidRPr="00247C05">
        <w:rPr>
          <w:rFonts w:hint="cs"/>
          <w:rtl/>
        </w:rPr>
        <w:t>עמ</w:t>
      </w:r>
      <w:r w:rsidRPr="00247C05">
        <w:rPr>
          <w:rtl/>
        </w:rPr>
        <w:t>"ק</w:t>
      </w:r>
      <w:r w:rsidRPr="00247C05">
        <w:rPr>
          <w:rFonts w:hint="cs"/>
          <w:rtl/>
        </w:rPr>
        <w:t xml:space="preserve"> שתיתן מענה לרמת הפיקוח והבקרה הנדרשות.</w:t>
      </w:r>
      <w:r w:rsidRPr="00247C05">
        <w:rPr>
          <w:rtl/>
        </w:rPr>
        <w:t xml:space="preserve"> </w:t>
      </w:r>
      <w:r w:rsidRPr="00247C05">
        <w:rPr>
          <w:rFonts w:hint="cs"/>
          <w:rtl/>
        </w:rPr>
        <w:t>בתכנית זאת יש לקבוע את תדירות הביקורים ו</w:t>
      </w:r>
      <w:r w:rsidRPr="00247C05">
        <w:rPr>
          <w:rtl/>
        </w:rPr>
        <w:t xml:space="preserve">את </w:t>
      </w:r>
      <w:r w:rsidRPr="00247C05">
        <w:rPr>
          <w:rFonts w:hint="cs"/>
          <w:rtl/>
        </w:rPr>
        <w:t xml:space="preserve">רשימת </w:t>
      </w:r>
      <w:r w:rsidRPr="00247C05">
        <w:rPr>
          <w:rtl/>
        </w:rPr>
        <w:t xml:space="preserve">הנושאים </w:t>
      </w:r>
      <w:r w:rsidRPr="00247C05">
        <w:rPr>
          <w:rFonts w:hint="cs"/>
          <w:rtl/>
        </w:rPr>
        <w:t>הטעונים בדיקה בכל</w:t>
      </w:r>
      <w:r w:rsidRPr="00247C05">
        <w:rPr>
          <w:rtl/>
        </w:rPr>
        <w:t xml:space="preserve"> </w:t>
      </w:r>
      <w:r w:rsidRPr="00247C05">
        <w:rPr>
          <w:rFonts w:hint="cs"/>
          <w:rtl/>
        </w:rPr>
        <w:t>ביקור.</w:t>
      </w: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EC77C1" w:rsidRPr="00EC77C1" w:rsidP="00862DE8">
            <w:pPr>
              <w:pStyle w:val="Date"/>
              <w:keepNext/>
              <w:keepLines/>
              <w:spacing w:before="100" w:after="240" w:line="230" w:lineRule="exact"/>
              <w:rPr>
                <w:rFonts w:ascii="Times New Roman" w:eastAsia="Times New Roman" w:hAnsi="Times New Roman" w:cs="FrankRuehl"/>
                <w:sz w:val="20"/>
                <w:rtl/>
              </w:rPr>
            </w:pPr>
            <w:r>
              <w:rPr>
                <w:rFonts w:ascii="Times New Roman" w:eastAsia="Times New Roman" w:hAnsi="Times New Roman" w:cs="FrankRuehl" w:hint="cs"/>
                <w:sz w:val="20"/>
                <w:rtl/>
              </w:rPr>
              <w:t>3</w:t>
            </w:r>
            <w:r w:rsidRPr="00EC77C1">
              <w:rPr>
                <w:rFonts w:ascii="Times New Roman" w:eastAsia="Times New Roman" w:hAnsi="Times New Roman" w:cs="FrankRuehl" w:hint="cs"/>
                <w:sz w:val="20"/>
                <w:rtl/>
              </w:rPr>
              <w:t>.</w:t>
            </w:r>
          </w:p>
        </w:tc>
        <w:tc>
          <w:tcPr>
            <w:tcW w:w="0" w:type="auto"/>
            <w:shd w:val="clear" w:color="auto" w:fill="auto"/>
          </w:tcPr>
          <w:p w:rsidR="00EC77C1" w:rsidRPr="00EC77C1" w:rsidP="00862DE8">
            <w:pPr>
              <w:pStyle w:val="RESHET"/>
              <w:keepNext/>
              <w:keepLines/>
              <w:rPr>
                <w:rtl/>
              </w:rPr>
            </w:pPr>
            <w:r w:rsidRPr="00EC77C1">
              <w:rPr>
                <w:rFonts w:hint="cs"/>
                <w:rtl/>
              </w:rPr>
              <w:t>משרד מבקר המדינה העלה, כי מנהלי התחום לא ערכו דוחות ביקור, פרוטוקולים או סיכום מפגשים מביקוריהם בבתי המשפט עמ"ק. מבדיקת</w:t>
            </w:r>
            <w:r w:rsidRPr="00EC77C1">
              <w:rPr>
                <w:rtl/>
              </w:rPr>
              <w:t xml:space="preserve"> </w:t>
            </w:r>
            <w:r w:rsidRPr="00EC77C1">
              <w:rPr>
                <w:rFonts w:hint="cs"/>
                <w:rtl/>
              </w:rPr>
              <w:t>משרד</w:t>
            </w:r>
            <w:r w:rsidRPr="00EC77C1">
              <w:rPr>
                <w:rtl/>
              </w:rPr>
              <w:t xml:space="preserve"> </w:t>
            </w:r>
            <w:r w:rsidRPr="00EC77C1">
              <w:rPr>
                <w:rFonts w:hint="cs"/>
                <w:rtl/>
              </w:rPr>
              <w:t>מבקר</w:t>
            </w:r>
            <w:r w:rsidRPr="00EC77C1">
              <w:rPr>
                <w:rtl/>
              </w:rPr>
              <w:t xml:space="preserve"> </w:t>
            </w:r>
            <w:r w:rsidRPr="00EC77C1">
              <w:rPr>
                <w:rFonts w:hint="cs"/>
                <w:rtl/>
              </w:rPr>
              <w:t>המדינה</w:t>
            </w:r>
            <w:r w:rsidRPr="00EC77C1">
              <w:rPr>
                <w:rtl/>
              </w:rPr>
              <w:t xml:space="preserve"> </w:t>
            </w:r>
            <w:r w:rsidRPr="00EC77C1">
              <w:rPr>
                <w:rFonts w:hint="cs"/>
                <w:rtl/>
              </w:rPr>
              <w:t>עלה,</w:t>
            </w:r>
            <w:r w:rsidRPr="00EC77C1">
              <w:rPr>
                <w:rtl/>
              </w:rPr>
              <w:t xml:space="preserve"> כי </w:t>
            </w:r>
            <w:r w:rsidRPr="00EC77C1">
              <w:rPr>
                <w:rFonts w:hint="cs"/>
                <w:rtl/>
              </w:rPr>
              <w:t>רק</w:t>
            </w:r>
            <w:r w:rsidRPr="00EC77C1">
              <w:rPr>
                <w:rtl/>
              </w:rPr>
              <w:t xml:space="preserve"> ביקור </w:t>
            </w:r>
            <w:r w:rsidRPr="00EC77C1">
              <w:rPr>
                <w:rFonts w:hint="cs"/>
                <w:rtl/>
              </w:rPr>
              <w:t>אחד</w:t>
            </w:r>
            <w:r w:rsidRPr="00EC77C1">
              <w:rPr>
                <w:rtl/>
              </w:rPr>
              <w:t xml:space="preserve"> </w:t>
            </w:r>
            <w:r w:rsidRPr="00EC77C1">
              <w:rPr>
                <w:rFonts w:hint="cs"/>
                <w:rtl/>
              </w:rPr>
              <w:t>ש</w:t>
            </w:r>
            <w:r w:rsidRPr="00EC77C1">
              <w:rPr>
                <w:rtl/>
              </w:rPr>
              <w:t xml:space="preserve">נערך בחיפה </w:t>
            </w:r>
            <w:r w:rsidRPr="00EC77C1">
              <w:rPr>
                <w:rFonts w:hint="eastAsia"/>
                <w:rtl/>
              </w:rPr>
              <w:t>ב</w:t>
            </w:r>
            <w:r w:rsidRPr="00EC77C1">
              <w:rPr>
                <w:rFonts w:hint="cs"/>
                <w:rtl/>
              </w:rPr>
              <w:t>-2.10.14</w:t>
            </w:r>
            <w:r w:rsidRPr="00EC77C1">
              <w:rPr>
                <w:rtl/>
              </w:rPr>
              <w:t xml:space="preserve"> </w:t>
            </w:r>
            <w:r w:rsidRPr="00EC77C1">
              <w:rPr>
                <w:rFonts w:hint="cs"/>
                <w:rtl/>
              </w:rPr>
              <w:t>תועד</w:t>
            </w:r>
            <w:r w:rsidRPr="00EC77C1">
              <w:rPr>
                <w:rtl/>
              </w:rPr>
              <w:t xml:space="preserve"> </w:t>
            </w:r>
            <w:r w:rsidRPr="00EC77C1">
              <w:rPr>
                <w:rFonts w:hint="cs"/>
                <w:rtl/>
              </w:rPr>
              <w:t>בידי</w:t>
            </w:r>
            <w:r w:rsidRPr="00EC77C1">
              <w:rPr>
                <w:rtl/>
              </w:rPr>
              <w:t xml:space="preserve"> </w:t>
            </w:r>
            <w:r w:rsidRPr="00EC77C1">
              <w:rPr>
                <w:rFonts w:hint="cs"/>
                <w:rtl/>
              </w:rPr>
              <w:t>מנהל</w:t>
            </w:r>
            <w:r w:rsidRPr="00EC77C1">
              <w:rPr>
                <w:rtl/>
              </w:rPr>
              <w:t xml:space="preserve"> </w:t>
            </w:r>
            <w:r w:rsidRPr="00EC77C1">
              <w:rPr>
                <w:rFonts w:hint="cs"/>
                <w:rtl/>
              </w:rPr>
              <w:t>התחום</w:t>
            </w:r>
            <w:r w:rsidRPr="00EC77C1">
              <w:rPr>
                <w:rtl/>
              </w:rPr>
              <w:t>.</w:t>
            </w:r>
          </w:p>
        </w:tc>
      </w:tr>
    </w:tbl>
    <w:p w:rsidR="003037FB" w:rsidRPr="00EC77C1" w:rsidP="00EC77C1">
      <w:pPr>
        <w:pStyle w:val="RESHET"/>
        <w:keepLines/>
        <w:ind w:left="567"/>
        <w:rPr>
          <w:rtl/>
        </w:rPr>
      </w:pPr>
      <w:r w:rsidRPr="00247C05">
        <w:rPr>
          <w:rFonts w:hint="cs"/>
          <w:rtl/>
        </w:rPr>
        <w:t>לדעת</w:t>
      </w:r>
      <w:r w:rsidRPr="00247C05">
        <w:rPr>
          <w:rtl/>
        </w:rPr>
        <w:t xml:space="preserve"> משרד מבקר המדינה</w:t>
      </w:r>
      <w:r w:rsidRPr="00247C05">
        <w:rPr>
          <w:rFonts w:hint="cs"/>
          <w:rtl/>
        </w:rPr>
        <w:t>,</w:t>
      </w:r>
      <w:r w:rsidRPr="00247C05">
        <w:rPr>
          <w:rtl/>
        </w:rPr>
        <w:t xml:space="preserve"> היעדר תיעוד </w:t>
      </w:r>
      <w:r w:rsidRPr="00247C05">
        <w:rPr>
          <w:rFonts w:hint="cs"/>
          <w:rtl/>
        </w:rPr>
        <w:t>ל</w:t>
      </w:r>
      <w:r w:rsidRPr="00247C05">
        <w:rPr>
          <w:rtl/>
        </w:rPr>
        <w:t xml:space="preserve">ביקורים </w:t>
      </w:r>
      <w:r w:rsidRPr="00247C05">
        <w:rPr>
          <w:rFonts w:hint="cs"/>
          <w:rtl/>
        </w:rPr>
        <w:t>בבתי משפט</w:t>
      </w:r>
      <w:r w:rsidRPr="00247C05">
        <w:rPr>
          <w:rtl/>
        </w:rPr>
        <w:t xml:space="preserve"> </w:t>
      </w:r>
      <w:r w:rsidRPr="00247C05">
        <w:rPr>
          <w:rFonts w:hint="cs"/>
          <w:rtl/>
        </w:rPr>
        <w:t>עמ</w:t>
      </w:r>
      <w:r w:rsidRPr="00247C05">
        <w:rPr>
          <w:rtl/>
        </w:rPr>
        <w:t xml:space="preserve">"ק </w:t>
      </w:r>
      <w:r w:rsidRPr="00247C05">
        <w:rPr>
          <w:rFonts w:hint="cs"/>
          <w:rtl/>
        </w:rPr>
        <w:t>משבש</w:t>
      </w:r>
      <w:r w:rsidRPr="00247C05">
        <w:rPr>
          <w:rtl/>
        </w:rPr>
        <w:t xml:space="preserve"> </w:t>
      </w:r>
      <w:r w:rsidRPr="00247C05">
        <w:rPr>
          <w:rFonts w:hint="cs"/>
          <w:rtl/>
        </w:rPr>
        <w:t xml:space="preserve">את </w:t>
      </w:r>
      <w:r w:rsidRPr="00247C05">
        <w:rPr>
          <w:rtl/>
        </w:rPr>
        <w:t xml:space="preserve">יכולתו של מנהל התחום לאסוף נתונים, לעקוב אחר ביצוע יעדים </w:t>
      </w:r>
      <w:r w:rsidRPr="00247C05">
        <w:rPr>
          <w:rFonts w:hint="cs"/>
          <w:rtl/>
        </w:rPr>
        <w:t>ו</w:t>
      </w:r>
      <w:r w:rsidRPr="00247C05">
        <w:rPr>
          <w:rtl/>
        </w:rPr>
        <w:t xml:space="preserve">לבקר את עבודת </w:t>
      </w:r>
      <w:r w:rsidRPr="00247C05">
        <w:rPr>
          <w:rFonts w:hint="cs"/>
          <w:rtl/>
        </w:rPr>
        <w:t>ה</w:t>
      </w:r>
      <w:r w:rsidRPr="00247C05">
        <w:rPr>
          <w:rtl/>
        </w:rPr>
        <w:t>מזכירויות ואת הטמעת נ</w:t>
      </w:r>
      <w:r w:rsidRPr="00247C05">
        <w:rPr>
          <w:rFonts w:hint="cs"/>
          <w:rtl/>
        </w:rPr>
        <w:t>ו</w:t>
      </w:r>
      <w:r w:rsidRPr="00247C05">
        <w:rPr>
          <w:rtl/>
        </w:rPr>
        <w:t>הלי העבודה בהן</w:t>
      </w:r>
      <w:r w:rsidRPr="00247C05">
        <w:rPr>
          <w:rFonts w:hint="cs"/>
          <w:rtl/>
        </w:rPr>
        <w:t>. על מנהל התחום להכין</w:t>
      </w:r>
      <w:r w:rsidRPr="00247C05">
        <w:rPr>
          <w:rtl/>
        </w:rPr>
        <w:t xml:space="preserve"> </w:t>
      </w:r>
      <w:r w:rsidRPr="00247C05">
        <w:rPr>
          <w:rFonts w:hint="cs"/>
          <w:rtl/>
        </w:rPr>
        <w:t xml:space="preserve">דוחות ביקור כדי להעלות את הליקויים בפעילות המזכירות שנמצאו על ידו, ולכלול בהם פעולות שיש לבצעם לצורך תיקונם, כדי שאלו ישמשו בסיס למעקב ובקרה על יישומם. </w:t>
      </w:r>
    </w:p>
    <w:p w:rsidR="003037FB" w:rsidRPr="00247C05" w:rsidP="00EC77C1">
      <w:pPr>
        <w:pStyle w:val="RESHET"/>
        <w:keepLines/>
        <w:ind w:left="567"/>
        <w:rPr>
          <w:b w:val="0"/>
          <w:bCs w:val="0"/>
          <w:rtl/>
        </w:rPr>
      </w:pPr>
      <w:r w:rsidRPr="00247C05">
        <w:rPr>
          <w:rFonts w:hint="cs"/>
          <w:rtl/>
        </w:rPr>
        <w:t xml:space="preserve">משרד מבקר המדינה מעיר, כי יש </w:t>
      </w:r>
      <w:r w:rsidRPr="00247C05">
        <w:rPr>
          <w:rtl/>
        </w:rPr>
        <w:t xml:space="preserve">חשיבות רבה לעריכת </w:t>
      </w:r>
      <w:r w:rsidRPr="00247C05">
        <w:rPr>
          <w:rFonts w:hint="cs"/>
          <w:rtl/>
        </w:rPr>
        <w:t>ביקורים</w:t>
      </w:r>
      <w:r w:rsidRPr="00247C05">
        <w:rPr>
          <w:rtl/>
        </w:rPr>
        <w:t xml:space="preserve"> </w:t>
      </w:r>
      <w:r w:rsidRPr="00247C05">
        <w:rPr>
          <w:rFonts w:hint="cs"/>
          <w:rtl/>
        </w:rPr>
        <w:t>מתוכננים</w:t>
      </w:r>
      <w:r w:rsidRPr="00247C05">
        <w:rPr>
          <w:rtl/>
        </w:rPr>
        <w:t>, סד</w:t>
      </w:r>
      <w:r w:rsidRPr="00247C05">
        <w:rPr>
          <w:rFonts w:hint="cs"/>
          <w:rtl/>
        </w:rPr>
        <w:t>ו</w:t>
      </w:r>
      <w:r w:rsidRPr="00247C05">
        <w:rPr>
          <w:rtl/>
        </w:rPr>
        <w:t xml:space="preserve">רים ומקיפים </w:t>
      </w:r>
      <w:r w:rsidRPr="00247C05">
        <w:rPr>
          <w:rFonts w:hint="cs"/>
          <w:rtl/>
        </w:rPr>
        <w:t>בבתי משפט</w:t>
      </w:r>
      <w:r w:rsidRPr="00247C05">
        <w:rPr>
          <w:rtl/>
        </w:rPr>
        <w:t xml:space="preserve"> </w:t>
      </w:r>
      <w:r w:rsidRPr="00247C05">
        <w:rPr>
          <w:rFonts w:hint="cs"/>
          <w:rtl/>
        </w:rPr>
        <w:t>עמ</w:t>
      </w:r>
      <w:r w:rsidRPr="00247C05">
        <w:rPr>
          <w:rtl/>
        </w:rPr>
        <w:t xml:space="preserve">"ק </w:t>
      </w:r>
      <w:r w:rsidRPr="00247C05">
        <w:rPr>
          <w:rFonts w:hint="cs"/>
          <w:rtl/>
        </w:rPr>
        <w:t>ברחבי</w:t>
      </w:r>
      <w:r w:rsidRPr="00247C05">
        <w:rPr>
          <w:rtl/>
        </w:rPr>
        <w:t xml:space="preserve"> הארץ. </w:t>
      </w:r>
      <w:r w:rsidRPr="00247C05">
        <w:rPr>
          <w:rFonts w:hint="cs"/>
          <w:rtl/>
        </w:rPr>
        <w:t>ביקורים</w:t>
      </w:r>
      <w:r w:rsidRPr="00247C05">
        <w:rPr>
          <w:rtl/>
        </w:rPr>
        <w:t xml:space="preserve"> </w:t>
      </w:r>
      <w:r w:rsidRPr="00247C05">
        <w:rPr>
          <w:rFonts w:hint="cs"/>
          <w:rtl/>
        </w:rPr>
        <w:t>אלו</w:t>
      </w:r>
      <w:r w:rsidRPr="00247C05">
        <w:rPr>
          <w:rtl/>
        </w:rPr>
        <w:t xml:space="preserve"> </w:t>
      </w:r>
      <w:r w:rsidRPr="00247C05">
        <w:rPr>
          <w:rFonts w:hint="cs"/>
          <w:rtl/>
        </w:rPr>
        <w:t>צריכים</w:t>
      </w:r>
      <w:r w:rsidRPr="00247C05">
        <w:rPr>
          <w:rtl/>
        </w:rPr>
        <w:t xml:space="preserve"> </w:t>
      </w:r>
      <w:r w:rsidRPr="00247C05">
        <w:rPr>
          <w:rFonts w:hint="cs"/>
          <w:rtl/>
        </w:rPr>
        <w:t>להתבצע</w:t>
      </w:r>
      <w:r w:rsidRPr="00247C05">
        <w:rPr>
          <w:rtl/>
        </w:rPr>
        <w:t xml:space="preserve"> </w:t>
      </w:r>
      <w:r w:rsidRPr="00247C05">
        <w:rPr>
          <w:rFonts w:hint="cs"/>
          <w:rtl/>
        </w:rPr>
        <w:t>כחלק</w:t>
      </w:r>
      <w:r w:rsidRPr="00247C05">
        <w:rPr>
          <w:rtl/>
        </w:rPr>
        <w:t xml:space="preserve"> </w:t>
      </w:r>
      <w:r w:rsidRPr="00247C05">
        <w:rPr>
          <w:rFonts w:hint="cs"/>
          <w:rtl/>
        </w:rPr>
        <w:t>מתכנית</w:t>
      </w:r>
      <w:r w:rsidRPr="00247C05">
        <w:rPr>
          <w:rtl/>
        </w:rPr>
        <w:t xml:space="preserve"> </w:t>
      </w:r>
      <w:r w:rsidRPr="00247C05">
        <w:rPr>
          <w:rFonts w:hint="cs"/>
          <w:rtl/>
        </w:rPr>
        <w:t>סדירה המביאה</w:t>
      </w:r>
      <w:r w:rsidRPr="00247C05">
        <w:rPr>
          <w:rtl/>
        </w:rPr>
        <w:t xml:space="preserve"> </w:t>
      </w:r>
      <w:r w:rsidRPr="00247C05">
        <w:rPr>
          <w:rFonts w:hint="cs"/>
          <w:rtl/>
        </w:rPr>
        <w:t>בחשבון</w:t>
      </w:r>
      <w:r w:rsidRPr="00247C05">
        <w:rPr>
          <w:rtl/>
        </w:rPr>
        <w:t xml:space="preserve"> </w:t>
      </w:r>
      <w:r w:rsidRPr="00247C05">
        <w:rPr>
          <w:rFonts w:hint="cs"/>
          <w:rtl/>
        </w:rPr>
        <w:t>את</w:t>
      </w:r>
      <w:r w:rsidRPr="00247C05">
        <w:rPr>
          <w:rtl/>
        </w:rPr>
        <w:t xml:space="preserve"> </w:t>
      </w:r>
      <w:r w:rsidRPr="00247C05">
        <w:rPr>
          <w:rFonts w:hint="cs"/>
          <w:rtl/>
        </w:rPr>
        <w:t>הצורך</w:t>
      </w:r>
      <w:r w:rsidRPr="00247C05">
        <w:rPr>
          <w:rtl/>
        </w:rPr>
        <w:t xml:space="preserve"> </w:t>
      </w:r>
      <w:r w:rsidRPr="00247C05">
        <w:rPr>
          <w:rFonts w:hint="cs"/>
          <w:rtl/>
        </w:rPr>
        <w:t>לבקר</w:t>
      </w:r>
      <w:r w:rsidRPr="00247C05">
        <w:rPr>
          <w:rtl/>
        </w:rPr>
        <w:t xml:space="preserve"> </w:t>
      </w:r>
      <w:r w:rsidRPr="00247C05">
        <w:rPr>
          <w:rFonts w:hint="cs"/>
          <w:rtl/>
        </w:rPr>
        <w:t>בכל</w:t>
      </w:r>
      <w:r w:rsidRPr="00247C05">
        <w:rPr>
          <w:rtl/>
        </w:rPr>
        <w:t xml:space="preserve"> </w:t>
      </w:r>
      <w:r w:rsidRPr="00247C05">
        <w:rPr>
          <w:rFonts w:hint="cs"/>
          <w:rtl/>
        </w:rPr>
        <w:t>המזכירויות</w:t>
      </w:r>
      <w:r w:rsidRPr="00247C05">
        <w:rPr>
          <w:rtl/>
        </w:rPr>
        <w:t xml:space="preserve"> בתדירות מקובלת</w:t>
      </w:r>
      <w:r w:rsidRPr="00247C05">
        <w:rPr>
          <w:rFonts w:hint="cs"/>
          <w:rtl/>
        </w:rPr>
        <w:t>, תוך מתן דגש</w:t>
      </w:r>
      <w:r w:rsidRPr="00247C05">
        <w:rPr>
          <w:rtl/>
        </w:rPr>
        <w:t xml:space="preserve"> </w:t>
      </w:r>
      <w:r w:rsidRPr="00247C05">
        <w:rPr>
          <w:rFonts w:hint="cs"/>
          <w:rtl/>
        </w:rPr>
        <w:t>ל</w:t>
      </w:r>
      <w:r w:rsidRPr="00247C05">
        <w:rPr>
          <w:rtl/>
        </w:rPr>
        <w:t>סוגיות שיש לה</w:t>
      </w:r>
      <w:r w:rsidRPr="00247C05">
        <w:rPr>
          <w:rFonts w:hint="cs"/>
          <w:rtl/>
        </w:rPr>
        <w:t>עלות,</w:t>
      </w:r>
      <w:r w:rsidRPr="00247C05">
        <w:rPr>
          <w:rtl/>
        </w:rPr>
        <w:t xml:space="preserve"> </w:t>
      </w:r>
      <w:r w:rsidRPr="00247C05">
        <w:rPr>
          <w:rFonts w:hint="cs"/>
          <w:rtl/>
        </w:rPr>
        <w:t>לבדוק ולתעד לצורכי</w:t>
      </w:r>
      <w:r w:rsidRPr="00247C05">
        <w:rPr>
          <w:rtl/>
        </w:rPr>
        <w:t xml:space="preserve"> מעקב ופיקוח. </w:t>
      </w:r>
      <w:r w:rsidRPr="00247C05">
        <w:rPr>
          <w:rFonts w:hint="cs"/>
          <w:rtl/>
        </w:rPr>
        <w:t>לתכנית כזו יש חשיבות יתרה בשל אופייה המבוזר של מערכת בתי המשפט ומיקומם הפיזי של במ"ש עמ"ק בשטח הרשויות המקומיות שבינן ובין המזכירויות קיימת זיקה מתמשכת</w:t>
      </w:r>
      <w:r w:rsidRPr="00247C05">
        <w:rPr>
          <w:rtl/>
        </w:rPr>
        <w:t>.</w:t>
      </w:r>
      <w:r w:rsidRPr="00247C05">
        <w:rPr>
          <w:rFonts w:hint="cs"/>
          <w:rtl/>
        </w:rPr>
        <w:t xml:space="preserve"> </w:t>
      </w:r>
    </w:p>
    <w:p w:rsidR="003037FB" w:rsidRPr="00247C05" w:rsidP="00EC77C1">
      <w:pPr>
        <w:pStyle w:val="ListParagraph"/>
        <w:numPr>
          <w:ilvl w:val="0"/>
          <w:numId w:val="3"/>
        </w:numPr>
        <w:spacing w:before="180" w:after="120" w:line="230" w:lineRule="exact"/>
        <w:contextualSpacing w:val="0"/>
        <w:jc w:val="both"/>
        <w:rPr>
          <w:rFonts w:ascii="Times New Roman" w:hAnsi="Times New Roman" w:cs="FrankRuehl"/>
          <w:sz w:val="20"/>
          <w:rtl/>
        </w:rPr>
      </w:pPr>
      <w:r w:rsidRPr="00EC77C1">
        <w:rPr>
          <w:rStyle w:val="Heading5Char"/>
          <w:rFonts w:ascii="Times New Roman" w:hAnsi="Times New Roman" w:cs="FrankRuehl" w:hint="cs"/>
          <w:spacing w:val="40"/>
          <w:sz w:val="20"/>
          <w:szCs w:val="22"/>
          <w:rtl/>
        </w:rPr>
        <w:t>צוותי עבודה:</w:t>
      </w:r>
      <w:r w:rsidRPr="00247C05">
        <w:rPr>
          <w:rFonts w:ascii="Times New Roman" w:hAnsi="Times New Roman" w:cs="FrankRuehl" w:hint="cs"/>
          <w:sz w:val="20"/>
          <w:rtl/>
        </w:rPr>
        <w:t xml:space="preserve"> הב"ה פועלת באמצעות </w:t>
      </w:r>
      <w:r w:rsidRPr="00247C05">
        <w:rPr>
          <w:rFonts w:ascii="Times New Roman" w:hAnsi="Times New Roman" w:cs="FrankRuehl"/>
          <w:sz w:val="20"/>
          <w:rtl/>
        </w:rPr>
        <w:t xml:space="preserve">צוותי </w:t>
      </w:r>
      <w:r w:rsidRPr="00247C05">
        <w:rPr>
          <w:rFonts w:ascii="Times New Roman" w:hAnsi="Times New Roman" w:cs="FrankRuehl" w:hint="cs"/>
          <w:sz w:val="20"/>
          <w:rtl/>
        </w:rPr>
        <w:t xml:space="preserve">עבודה מקצועיים </w:t>
      </w:r>
      <w:r w:rsidRPr="00247C05">
        <w:rPr>
          <w:rFonts w:ascii="Times New Roman" w:hAnsi="Times New Roman" w:cs="FrankRuehl"/>
          <w:sz w:val="20"/>
          <w:rtl/>
        </w:rPr>
        <w:t xml:space="preserve">ארציים </w:t>
      </w:r>
      <w:r w:rsidRPr="00247C05">
        <w:rPr>
          <w:rFonts w:ascii="Times New Roman" w:hAnsi="Times New Roman" w:cs="FrankRuehl" w:hint="cs"/>
          <w:sz w:val="20"/>
          <w:rtl/>
        </w:rPr>
        <w:t>ב</w:t>
      </w:r>
      <w:r w:rsidRPr="00247C05">
        <w:rPr>
          <w:rFonts w:ascii="Times New Roman" w:hAnsi="Times New Roman" w:cs="FrankRuehl"/>
          <w:sz w:val="20"/>
          <w:rtl/>
        </w:rPr>
        <w:t>תחומים</w:t>
      </w:r>
      <w:r w:rsidRPr="00247C05">
        <w:rPr>
          <w:rFonts w:ascii="Times New Roman" w:hAnsi="Times New Roman" w:cs="FrankRuehl" w:hint="cs"/>
          <w:sz w:val="20"/>
          <w:rtl/>
        </w:rPr>
        <w:t xml:space="preserve"> שונים (כגון בתחום הפלילי ובתחום דיני התעבורה) הכוללים</w:t>
      </w:r>
      <w:r w:rsidRPr="00247C05">
        <w:rPr>
          <w:rFonts w:ascii="Times New Roman" w:hAnsi="Times New Roman" w:cs="FrankRuehl"/>
          <w:sz w:val="20"/>
          <w:rtl/>
        </w:rPr>
        <w:t xml:space="preserve"> מנהלי מדורים </w:t>
      </w:r>
      <w:r w:rsidRPr="00247C05">
        <w:rPr>
          <w:rFonts w:ascii="Times New Roman" w:hAnsi="Times New Roman" w:cs="FrankRuehl" w:hint="cs"/>
          <w:sz w:val="20"/>
          <w:rtl/>
        </w:rPr>
        <w:t xml:space="preserve">ומנהלי </w:t>
      </w:r>
      <w:r w:rsidRPr="00247C05">
        <w:rPr>
          <w:rFonts w:ascii="Times New Roman" w:hAnsi="Times New Roman" w:cs="FrankRuehl"/>
          <w:sz w:val="20"/>
          <w:rtl/>
        </w:rPr>
        <w:t>המחוזות</w:t>
      </w:r>
      <w:r w:rsidRPr="00247C05">
        <w:rPr>
          <w:rFonts w:ascii="Times New Roman" w:hAnsi="Times New Roman" w:cs="FrankRuehl" w:hint="cs"/>
          <w:sz w:val="20"/>
          <w:rtl/>
        </w:rPr>
        <w:t xml:space="preserve"> שתכליתם לקיים </w:t>
      </w:r>
      <w:r w:rsidRPr="00247C05">
        <w:rPr>
          <w:rFonts w:ascii="Times New Roman" w:hAnsi="Times New Roman" w:cs="FrankRuehl"/>
          <w:sz w:val="20"/>
          <w:rtl/>
        </w:rPr>
        <w:t>חשיבה מערכתית</w:t>
      </w:r>
      <w:r w:rsidRPr="00247C05">
        <w:rPr>
          <w:rFonts w:ascii="Times New Roman" w:hAnsi="Times New Roman" w:cs="FrankRuehl" w:hint="cs"/>
          <w:sz w:val="20"/>
          <w:rtl/>
        </w:rPr>
        <w:t xml:space="preserve">. </w:t>
      </w:r>
      <w:r w:rsidRPr="00247C05">
        <w:rPr>
          <w:rFonts w:ascii="Times New Roman" w:hAnsi="Times New Roman" w:cs="FrankRuehl"/>
          <w:sz w:val="20"/>
          <w:rtl/>
        </w:rPr>
        <w:t xml:space="preserve">צוותי העבודה </w:t>
      </w:r>
      <w:r w:rsidRPr="00247C05">
        <w:rPr>
          <w:rFonts w:ascii="Times New Roman" w:hAnsi="Times New Roman" w:cs="FrankRuehl" w:hint="cs"/>
          <w:sz w:val="20"/>
          <w:rtl/>
        </w:rPr>
        <w:t>מקיימים מפגשים</w:t>
      </w:r>
      <w:r w:rsidRPr="00247C05">
        <w:rPr>
          <w:rFonts w:ascii="Times New Roman" w:hAnsi="Times New Roman" w:cs="FrankRuehl"/>
          <w:sz w:val="20"/>
          <w:rtl/>
        </w:rPr>
        <w:t xml:space="preserve"> תקופתי</w:t>
      </w:r>
      <w:r w:rsidRPr="00247C05">
        <w:rPr>
          <w:rFonts w:ascii="Times New Roman" w:hAnsi="Times New Roman" w:cs="FrankRuehl" w:hint="cs"/>
          <w:sz w:val="20"/>
          <w:rtl/>
        </w:rPr>
        <w:t>ים ודנים,</w:t>
      </w:r>
      <w:r w:rsidRPr="00247C05">
        <w:rPr>
          <w:rFonts w:ascii="Times New Roman" w:hAnsi="Times New Roman" w:cs="FrankRuehl"/>
          <w:sz w:val="20"/>
          <w:rtl/>
        </w:rPr>
        <w:t xml:space="preserve"> </w:t>
      </w:r>
      <w:r w:rsidRPr="00247C05">
        <w:rPr>
          <w:rFonts w:ascii="Times New Roman" w:hAnsi="Times New Roman" w:cs="FrankRuehl" w:hint="cs"/>
          <w:sz w:val="20"/>
          <w:rtl/>
        </w:rPr>
        <w:t xml:space="preserve">בין היתר, בנושאים של </w:t>
      </w:r>
      <w:r w:rsidRPr="00247C05">
        <w:rPr>
          <w:rFonts w:ascii="Times New Roman" w:hAnsi="Times New Roman" w:cs="FrankRuehl"/>
          <w:sz w:val="20"/>
          <w:rtl/>
        </w:rPr>
        <w:t>תהליכי עבודה, נהלים</w:t>
      </w:r>
      <w:r w:rsidRPr="00247C05">
        <w:rPr>
          <w:rFonts w:ascii="Times New Roman" w:hAnsi="Times New Roman" w:cs="FrankRuehl" w:hint="cs"/>
          <w:sz w:val="20"/>
          <w:rtl/>
        </w:rPr>
        <w:t xml:space="preserve"> ו</w:t>
      </w:r>
      <w:r w:rsidRPr="00247C05">
        <w:rPr>
          <w:rFonts w:ascii="Times New Roman" w:hAnsi="Times New Roman" w:cs="FrankRuehl"/>
          <w:sz w:val="20"/>
          <w:rtl/>
        </w:rPr>
        <w:t>הדרכה</w:t>
      </w:r>
      <w:r w:rsidRPr="00247C05">
        <w:rPr>
          <w:rFonts w:ascii="Times New Roman" w:hAnsi="Times New Roman" w:cs="FrankRuehl" w:hint="cs"/>
          <w:sz w:val="20"/>
          <w:rtl/>
        </w:rPr>
        <w:t>,</w:t>
      </w:r>
      <w:r w:rsidRPr="00247C05">
        <w:rPr>
          <w:rFonts w:ascii="Times New Roman" w:hAnsi="Times New Roman" w:cs="FrankRuehl"/>
          <w:sz w:val="20"/>
          <w:rtl/>
        </w:rPr>
        <w:t xml:space="preserve"> </w:t>
      </w:r>
      <w:r w:rsidRPr="00247C05">
        <w:rPr>
          <w:rFonts w:ascii="Times New Roman" w:hAnsi="Times New Roman" w:cs="FrankRuehl" w:hint="cs"/>
          <w:sz w:val="20"/>
          <w:rtl/>
        </w:rPr>
        <w:t>ב</w:t>
      </w:r>
      <w:r w:rsidRPr="00247C05">
        <w:rPr>
          <w:rFonts w:ascii="Times New Roman" w:hAnsi="Times New Roman" w:cs="FrankRuehl"/>
          <w:sz w:val="20"/>
          <w:rtl/>
        </w:rPr>
        <w:t>מטרה ליצור אחידות וייעול</w:t>
      </w:r>
      <w:r w:rsidRPr="00247C05">
        <w:rPr>
          <w:rFonts w:ascii="Times New Roman" w:hAnsi="Times New Roman" w:cs="FrankRuehl" w:hint="cs"/>
          <w:sz w:val="20"/>
          <w:rtl/>
        </w:rPr>
        <w:t xml:space="preserve"> בהליכי העבודה בתחום שבו הם עוסקים</w:t>
      </w:r>
      <w:r w:rsidRPr="00247C05">
        <w:rPr>
          <w:rFonts w:ascii="Times New Roman" w:hAnsi="Times New Roman" w:cs="FrankRuehl"/>
          <w:sz w:val="20"/>
          <w:rtl/>
        </w:rPr>
        <w:t xml:space="preserve">. צוותי העבודה </w:t>
      </w:r>
      <w:r w:rsidRPr="00247C05">
        <w:rPr>
          <w:rFonts w:ascii="Times New Roman" w:hAnsi="Times New Roman" w:cs="FrankRuehl" w:hint="cs"/>
          <w:sz w:val="20"/>
          <w:rtl/>
        </w:rPr>
        <w:t>מקיימים מפגשים</w:t>
      </w:r>
      <w:r w:rsidRPr="00247C05">
        <w:rPr>
          <w:rFonts w:ascii="Times New Roman" w:hAnsi="Times New Roman" w:cs="FrankRuehl"/>
          <w:sz w:val="20"/>
          <w:rtl/>
        </w:rPr>
        <w:t xml:space="preserve"> תקופתי</w:t>
      </w:r>
      <w:r w:rsidRPr="00247C05">
        <w:rPr>
          <w:rFonts w:ascii="Times New Roman" w:hAnsi="Times New Roman" w:cs="FrankRuehl" w:hint="cs"/>
          <w:sz w:val="20"/>
          <w:rtl/>
        </w:rPr>
        <w:t>ים</w:t>
      </w:r>
      <w:r w:rsidRPr="00247C05">
        <w:rPr>
          <w:rFonts w:ascii="Times New Roman" w:hAnsi="Times New Roman" w:cs="FrankRuehl"/>
          <w:sz w:val="20"/>
          <w:rtl/>
        </w:rPr>
        <w:t xml:space="preserve"> </w:t>
      </w:r>
      <w:r w:rsidRPr="00247C05">
        <w:rPr>
          <w:rFonts w:ascii="Times New Roman" w:hAnsi="Times New Roman" w:cs="FrankRuehl" w:hint="cs"/>
          <w:sz w:val="20"/>
          <w:rtl/>
        </w:rPr>
        <w:t>ב</w:t>
      </w:r>
      <w:r w:rsidRPr="00247C05">
        <w:rPr>
          <w:rFonts w:ascii="Times New Roman" w:hAnsi="Times New Roman" w:cs="FrankRuehl"/>
          <w:sz w:val="20"/>
          <w:rtl/>
        </w:rPr>
        <w:t xml:space="preserve">תדירות </w:t>
      </w:r>
      <w:r w:rsidRPr="00247C05">
        <w:rPr>
          <w:rFonts w:ascii="Times New Roman" w:hAnsi="Times New Roman" w:cs="FrankRuehl" w:hint="cs"/>
          <w:sz w:val="20"/>
          <w:rtl/>
        </w:rPr>
        <w:t>הנדרשת בהתאם ל</w:t>
      </w:r>
      <w:r w:rsidRPr="00247C05">
        <w:rPr>
          <w:rFonts w:ascii="Times New Roman" w:hAnsi="Times New Roman" w:cs="FrankRuehl"/>
          <w:sz w:val="20"/>
          <w:rtl/>
        </w:rPr>
        <w:t>נושא ה</w:t>
      </w:r>
      <w:r w:rsidRPr="00247C05">
        <w:rPr>
          <w:rFonts w:ascii="Times New Roman" w:hAnsi="Times New Roman" w:cs="FrankRuehl" w:hint="cs"/>
          <w:sz w:val="20"/>
          <w:rtl/>
        </w:rPr>
        <w:t xml:space="preserve">נידון, וכן </w:t>
      </w:r>
      <w:r w:rsidRPr="00247C05">
        <w:rPr>
          <w:rFonts w:ascii="Times New Roman" w:hAnsi="Times New Roman" w:cs="FrankRuehl"/>
          <w:sz w:val="20"/>
          <w:rtl/>
        </w:rPr>
        <w:t xml:space="preserve">קשר שוטף </w:t>
      </w:r>
      <w:r w:rsidRPr="00247C05">
        <w:rPr>
          <w:rFonts w:ascii="Times New Roman" w:hAnsi="Times New Roman" w:cs="FrankRuehl" w:hint="cs"/>
          <w:sz w:val="20"/>
          <w:rtl/>
        </w:rPr>
        <w:t>בטלפון ובדואר אלקטרוני</w:t>
      </w:r>
      <w:r w:rsidRPr="00247C05">
        <w:rPr>
          <w:rFonts w:ascii="Times New Roman" w:hAnsi="Times New Roman" w:cs="FrankRuehl"/>
          <w:sz w:val="20"/>
          <w:rtl/>
        </w:rPr>
        <w:t xml:space="preserve">. </w:t>
      </w:r>
      <w:r w:rsidRPr="00247C05">
        <w:rPr>
          <w:rFonts w:ascii="Times New Roman" w:hAnsi="Times New Roman" w:cs="FrankRuehl" w:hint="cs"/>
          <w:sz w:val="20"/>
          <w:rtl/>
        </w:rPr>
        <w:t>מנהל תחום מסוים שמתכנן מהלכים ל</w:t>
      </w:r>
      <w:r w:rsidRPr="00247C05">
        <w:rPr>
          <w:rFonts w:ascii="Times New Roman" w:hAnsi="Times New Roman" w:cs="FrankRuehl"/>
          <w:sz w:val="20"/>
          <w:rtl/>
        </w:rPr>
        <w:t>תיקו</w:t>
      </w:r>
      <w:r w:rsidRPr="00247C05">
        <w:rPr>
          <w:rFonts w:ascii="Times New Roman" w:hAnsi="Times New Roman" w:cs="FrankRuehl" w:hint="cs"/>
          <w:sz w:val="20"/>
          <w:rtl/>
        </w:rPr>
        <w:t>ן</w:t>
      </w:r>
      <w:r w:rsidRPr="00247C05">
        <w:rPr>
          <w:rFonts w:ascii="Times New Roman" w:hAnsi="Times New Roman" w:cs="FrankRuehl"/>
          <w:sz w:val="20"/>
          <w:rtl/>
        </w:rPr>
        <w:t xml:space="preserve"> חקיקה, </w:t>
      </w:r>
      <w:r w:rsidRPr="00247C05">
        <w:rPr>
          <w:rFonts w:ascii="Times New Roman" w:hAnsi="Times New Roman" w:cs="FrankRuehl" w:hint="cs"/>
          <w:sz w:val="20"/>
          <w:rtl/>
        </w:rPr>
        <w:t xml:space="preserve">נוהל, או הוראת עבודה </w:t>
      </w:r>
      <w:r w:rsidRPr="00247C05">
        <w:rPr>
          <w:rFonts w:ascii="Times New Roman" w:hAnsi="Times New Roman" w:cs="FrankRuehl"/>
          <w:sz w:val="20"/>
          <w:rtl/>
        </w:rPr>
        <w:t xml:space="preserve">מקצועית </w:t>
      </w:r>
      <w:r w:rsidRPr="00247C05">
        <w:rPr>
          <w:rFonts w:ascii="Times New Roman" w:hAnsi="Times New Roman" w:cs="FrankRuehl" w:hint="cs"/>
          <w:sz w:val="20"/>
          <w:rtl/>
        </w:rPr>
        <w:t xml:space="preserve">ייוועץ בחברי צוות העבודה הרלוונטי לפני הנעת המהלך. </w:t>
      </w:r>
    </w:p>
    <w:p w:rsidR="003037FB" w:rsidRPr="00247C05" w:rsidP="00EC77C1">
      <w:pPr>
        <w:spacing w:after="240" w:line="230" w:lineRule="exact"/>
        <w:ind w:left="340"/>
        <w:jc w:val="both"/>
        <w:rPr>
          <w:rFonts w:cs="FrankRuehl"/>
          <w:sz w:val="20"/>
          <w:szCs w:val="22"/>
          <w:rtl/>
        </w:rPr>
      </w:pPr>
      <w:r w:rsidRPr="00247C05">
        <w:rPr>
          <w:rFonts w:cs="FrankRuehl" w:hint="cs"/>
          <w:sz w:val="20"/>
          <w:szCs w:val="22"/>
          <w:rtl/>
        </w:rPr>
        <w:t xml:space="preserve">עם כניסתו לתפקידו בשנת 2009, הקים מנהל התחום לשעבר צוות עבודה ארצי בראשותו בתחום העניינים המקומיים, והוא כלל נציגים ממזכירויות בתי משפט עמ"ק (להלן - צוות עמ"ק). הוא הנחה את הצוות להיפגש בתדירות של פעם בחודש וחצי, והנציגים נדרשו להעביר את תכני המפגשים לכל יתר המזכירים והעובדים של בתי משפט עמ"ק. כן הנחה מנהל התחום לשעבר, כי ישיבות העדכון במזכירויות יתועדו בפרוטוקולים, והנציגים נדרשו להמציא לו את הפרוטוקולים לצורך פיקוח על הטמעת סדרי העבודה בכל המזכירויות. </w:t>
      </w:r>
    </w:p>
    <w:p w:rsidR="003037FB" w:rsidRPr="00247C05" w:rsidP="000E20E3">
      <w:pPr>
        <w:pStyle w:val="RESHET"/>
        <w:keepLines/>
        <w:ind w:left="567"/>
        <w:rPr>
          <w:rtl/>
        </w:rPr>
      </w:pPr>
      <w:r w:rsidRPr="00247C05">
        <w:rPr>
          <w:rFonts w:hint="cs"/>
          <w:rtl/>
        </w:rPr>
        <w:t>משרד</w:t>
      </w:r>
      <w:r w:rsidRPr="00247C05">
        <w:rPr>
          <w:rtl/>
        </w:rPr>
        <w:t xml:space="preserve"> מבקר המדינה העלה</w:t>
      </w:r>
      <w:r w:rsidRPr="00247C05">
        <w:rPr>
          <w:rFonts w:hint="cs"/>
          <w:rtl/>
        </w:rPr>
        <w:t>,</w:t>
      </w:r>
      <w:r w:rsidRPr="00247C05">
        <w:rPr>
          <w:rtl/>
        </w:rPr>
        <w:t xml:space="preserve"> כי </w:t>
      </w:r>
      <w:r w:rsidRPr="00247C05">
        <w:rPr>
          <w:rFonts w:hint="cs"/>
          <w:rtl/>
        </w:rPr>
        <w:t xml:space="preserve">ההוראות החוזרות של מנהל התחום לשעבר בעניין לא מולאו. </w:t>
      </w:r>
      <w:r w:rsidRPr="00247C05">
        <w:rPr>
          <w:rtl/>
        </w:rPr>
        <w:t xml:space="preserve">המידע מהמפגשים לא </w:t>
      </w:r>
      <w:r w:rsidRPr="00247C05">
        <w:rPr>
          <w:rFonts w:hint="cs"/>
          <w:rtl/>
        </w:rPr>
        <w:t>הועבר</w:t>
      </w:r>
      <w:r w:rsidRPr="00247C05">
        <w:rPr>
          <w:rtl/>
        </w:rPr>
        <w:t xml:space="preserve"> לכל עובדי ב</w:t>
      </w:r>
      <w:r w:rsidRPr="00247C05">
        <w:rPr>
          <w:rFonts w:hint="cs"/>
          <w:rtl/>
        </w:rPr>
        <w:t>תי</w:t>
      </w:r>
      <w:r w:rsidRPr="00247C05">
        <w:rPr>
          <w:rtl/>
        </w:rPr>
        <w:t xml:space="preserve"> משפט </w:t>
      </w:r>
      <w:r w:rsidRPr="00247C05">
        <w:rPr>
          <w:rFonts w:hint="cs"/>
          <w:rtl/>
        </w:rPr>
        <w:t>עמ</w:t>
      </w:r>
      <w:r w:rsidRPr="00247C05">
        <w:rPr>
          <w:rtl/>
        </w:rPr>
        <w:t>"ק</w:t>
      </w:r>
      <w:r w:rsidRPr="00247C05">
        <w:rPr>
          <w:rFonts w:hint="cs"/>
          <w:rtl/>
        </w:rPr>
        <w:t xml:space="preserve"> כנדרש. כתוצאה מזה לא הועברו כל הפרוטוקולים למנהל התחום לשעבר,</w:t>
      </w:r>
      <w:r w:rsidRPr="00247C05">
        <w:rPr>
          <w:rtl/>
        </w:rPr>
        <w:t xml:space="preserve"> </w:t>
      </w:r>
      <w:r w:rsidRPr="00247C05">
        <w:rPr>
          <w:rFonts w:hint="cs"/>
          <w:rtl/>
        </w:rPr>
        <w:t>בשנת</w:t>
      </w:r>
      <w:r w:rsidRPr="00247C05">
        <w:rPr>
          <w:rtl/>
        </w:rPr>
        <w:t xml:space="preserve"> 2009 התכנס צוות </w:t>
      </w:r>
      <w:r w:rsidRPr="00247C05">
        <w:rPr>
          <w:rFonts w:hint="cs"/>
          <w:rtl/>
        </w:rPr>
        <w:t>עמ</w:t>
      </w:r>
      <w:r w:rsidRPr="00247C05">
        <w:rPr>
          <w:rtl/>
        </w:rPr>
        <w:t xml:space="preserve">"ק </w:t>
      </w:r>
      <w:r w:rsidRPr="00247C05">
        <w:rPr>
          <w:rFonts w:hint="cs"/>
          <w:rtl/>
        </w:rPr>
        <w:t>לארבעה</w:t>
      </w:r>
      <w:r w:rsidRPr="00247C05">
        <w:rPr>
          <w:rtl/>
        </w:rPr>
        <w:t xml:space="preserve"> מפגשים </w:t>
      </w:r>
      <w:r w:rsidRPr="00247C05">
        <w:rPr>
          <w:rFonts w:hint="cs"/>
          <w:rtl/>
        </w:rPr>
        <w:t>בלבד, ומאותה</w:t>
      </w:r>
      <w:r w:rsidRPr="00247C05">
        <w:rPr>
          <w:rtl/>
        </w:rPr>
        <w:t xml:space="preserve"> </w:t>
      </w:r>
      <w:r w:rsidRPr="00247C05">
        <w:rPr>
          <w:rFonts w:hint="cs"/>
          <w:rtl/>
        </w:rPr>
        <w:t>שנה ואילך</w:t>
      </w:r>
      <w:r w:rsidRPr="00247C05">
        <w:rPr>
          <w:rtl/>
        </w:rPr>
        <w:t xml:space="preserve"> </w:t>
      </w:r>
      <w:r w:rsidRPr="00247C05">
        <w:rPr>
          <w:rFonts w:hint="cs"/>
          <w:rtl/>
        </w:rPr>
        <w:t>לא</w:t>
      </w:r>
      <w:r w:rsidRPr="00247C05">
        <w:rPr>
          <w:rtl/>
        </w:rPr>
        <w:t xml:space="preserve"> </w:t>
      </w:r>
      <w:r w:rsidRPr="00247C05">
        <w:rPr>
          <w:rFonts w:hint="cs"/>
          <w:rtl/>
        </w:rPr>
        <w:t>התקיימו</w:t>
      </w:r>
      <w:r w:rsidRPr="00247C05">
        <w:rPr>
          <w:rtl/>
        </w:rPr>
        <w:t xml:space="preserve"> </w:t>
      </w:r>
      <w:r w:rsidRPr="00247C05">
        <w:rPr>
          <w:rFonts w:hint="cs"/>
          <w:rtl/>
        </w:rPr>
        <w:t>מפגשים</w:t>
      </w:r>
      <w:r w:rsidRPr="00247C05">
        <w:rPr>
          <w:rtl/>
        </w:rPr>
        <w:t xml:space="preserve"> </w:t>
      </w:r>
      <w:r w:rsidRPr="00247C05">
        <w:rPr>
          <w:rFonts w:hint="cs"/>
          <w:rtl/>
        </w:rPr>
        <w:t>נוספים</w:t>
      </w:r>
      <w:r w:rsidRPr="00247C05">
        <w:rPr>
          <w:rtl/>
        </w:rPr>
        <w:t>.</w:t>
      </w:r>
    </w:p>
    <w:p w:rsidR="003037FB" w:rsidRPr="00247C05" w:rsidP="00EC77C1">
      <w:pPr>
        <w:spacing w:before="180" w:after="120" w:line="230" w:lineRule="exact"/>
        <w:ind w:left="340"/>
        <w:jc w:val="both"/>
        <w:rPr>
          <w:rFonts w:cs="FrankRuehl"/>
          <w:sz w:val="20"/>
          <w:szCs w:val="22"/>
          <w:rtl/>
        </w:rPr>
      </w:pPr>
      <w:r w:rsidRPr="00247C05">
        <w:rPr>
          <w:rFonts w:cs="FrankRuehl" w:hint="cs"/>
          <w:sz w:val="20"/>
          <w:szCs w:val="22"/>
          <w:rtl/>
        </w:rPr>
        <w:t>רק במאי 2015, בפגישה שקיים מנהל התחום עם אחד-עשר מזכירים של בתי משפט עמ"ק, נידון הצורך בהקמה מחודשת של צוות העבודה, ונבחרו שבעה נציגים מקרב המזכירים. ואולם מאז לא התקיים כל מפגש של הצוות החדש.</w:t>
      </w:r>
    </w:p>
    <w:p w:rsidR="003037FB" w:rsidRPr="00247C05" w:rsidP="00EC77C1">
      <w:pPr>
        <w:spacing w:after="240" w:line="230" w:lineRule="exact"/>
        <w:ind w:left="340"/>
        <w:jc w:val="both"/>
        <w:rPr>
          <w:rFonts w:cs="FrankRuehl"/>
          <w:sz w:val="20"/>
          <w:szCs w:val="22"/>
          <w:rtl/>
        </w:rPr>
      </w:pPr>
      <w:r w:rsidRPr="00247C05">
        <w:rPr>
          <w:rFonts w:cs="FrankRuehl" w:hint="cs"/>
          <w:sz w:val="20"/>
          <w:szCs w:val="22"/>
          <w:rtl/>
        </w:rPr>
        <w:t>בתשובתה של הב"ה נכתב, כי במפגשים עלה שהאחדה מלאה של העבודה אינה אפשרית ללא מערכת מחשובית אחת. לכן אין צורך במפגשים תכופים של צוות העבודה ותדירות המפגשים הותאמה לנדרש.</w:t>
      </w:r>
    </w:p>
    <w:p w:rsidR="003037FB" w:rsidRPr="00247C05" w:rsidP="00EC77C1">
      <w:pPr>
        <w:pStyle w:val="RESHET"/>
        <w:keepLines/>
        <w:ind w:left="567"/>
        <w:rPr>
          <w:rtl/>
        </w:rPr>
      </w:pPr>
      <w:r w:rsidRPr="00247C05">
        <w:rPr>
          <w:rFonts w:hint="cs"/>
          <w:rtl/>
        </w:rPr>
        <w:t>לדעת</w:t>
      </w:r>
      <w:r w:rsidRPr="00247C05">
        <w:rPr>
          <w:rtl/>
        </w:rPr>
        <w:t xml:space="preserve"> </w:t>
      </w:r>
      <w:r w:rsidRPr="00247C05">
        <w:rPr>
          <w:rFonts w:hint="cs"/>
          <w:rtl/>
        </w:rPr>
        <w:t>משרד</w:t>
      </w:r>
      <w:r w:rsidRPr="00247C05">
        <w:rPr>
          <w:rtl/>
        </w:rPr>
        <w:t xml:space="preserve"> מבקר המדינה</w:t>
      </w:r>
      <w:r w:rsidRPr="00247C05">
        <w:rPr>
          <w:rFonts w:hint="cs"/>
          <w:rtl/>
        </w:rPr>
        <w:t>,</w:t>
      </w:r>
      <w:r w:rsidRPr="00247C05">
        <w:rPr>
          <w:rtl/>
        </w:rPr>
        <w:t xml:space="preserve"> </w:t>
      </w:r>
      <w:r w:rsidRPr="00247C05">
        <w:rPr>
          <w:rFonts w:hint="cs"/>
          <w:rtl/>
        </w:rPr>
        <w:t xml:space="preserve">גם בהיעדרה של מערכת ממוחשבת אחת ניתן להפיק </w:t>
      </w:r>
      <w:r w:rsidRPr="00247C05">
        <w:rPr>
          <w:rtl/>
        </w:rPr>
        <w:t xml:space="preserve">תועלת רבה </w:t>
      </w:r>
      <w:r w:rsidRPr="00247C05">
        <w:rPr>
          <w:rFonts w:hint="cs"/>
          <w:rtl/>
        </w:rPr>
        <w:t>מ</w:t>
      </w:r>
      <w:r w:rsidRPr="00247C05">
        <w:rPr>
          <w:rtl/>
        </w:rPr>
        <w:t>קיו</w:t>
      </w:r>
      <w:r w:rsidRPr="00247C05">
        <w:rPr>
          <w:rFonts w:hint="cs"/>
          <w:rtl/>
        </w:rPr>
        <w:t>ם</w:t>
      </w:r>
      <w:r w:rsidRPr="00247C05">
        <w:rPr>
          <w:rtl/>
        </w:rPr>
        <w:t xml:space="preserve"> סדיר של מפגשי </w:t>
      </w:r>
      <w:r w:rsidRPr="00247C05">
        <w:rPr>
          <w:rFonts w:hint="cs"/>
          <w:rtl/>
        </w:rPr>
        <w:t>עבודה</w:t>
      </w:r>
      <w:r w:rsidRPr="00247C05">
        <w:rPr>
          <w:rtl/>
        </w:rPr>
        <w:t xml:space="preserve"> </w:t>
      </w:r>
      <w:r w:rsidRPr="00247C05">
        <w:rPr>
          <w:rFonts w:hint="cs"/>
          <w:rtl/>
        </w:rPr>
        <w:t>של מנהל התחום עם מזכירי בתי המשפט וצוות עמ"ק. כך למשל</w:t>
      </w:r>
      <w:r w:rsidRPr="00247C05">
        <w:rPr>
          <w:rtl/>
        </w:rPr>
        <w:t xml:space="preserve">, </w:t>
      </w:r>
      <w:r w:rsidRPr="00247C05">
        <w:rPr>
          <w:rFonts w:hint="cs"/>
          <w:rtl/>
        </w:rPr>
        <w:t>ניתן</w:t>
      </w:r>
      <w:r w:rsidRPr="00247C05">
        <w:rPr>
          <w:rtl/>
        </w:rPr>
        <w:t xml:space="preserve"> </w:t>
      </w:r>
      <w:r w:rsidRPr="00247C05">
        <w:rPr>
          <w:rFonts w:hint="cs"/>
          <w:rtl/>
        </w:rPr>
        <w:t>להעלות</w:t>
      </w:r>
      <w:r w:rsidRPr="00247C05">
        <w:rPr>
          <w:rtl/>
        </w:rPr>
        <w:t xml:space="preserve"> במפגשים אלו סוגיות רוחב </w:t>
      </w:r>
      <w:r w:rsidRPr="00247C05">
        <w:rPr>
          <w:rFonts w:hint="cs"/>
          <w:rtl/>
        </w:rPr>
        <w:t>ייחודיות</w:t>
      </w:r>
      <w:r w:rsidRPr="00247C05">
        <w:rPr>
          <w:rtl/>
        </w:rPr>
        <w:t xml:space="preserve"> </w:t>
      </w:r>
      <w:r w:rsidRPr="00247C05">
        <w:rPr>
          <w:rFonts w:hint="cs"/>
          <w:rtl/>
        </w:rPr>
        <w:t>לבמ</w:t>
      </w:r>
      <w:r w:rsidRPr="00247C05">
        <w:rPr>
          <w:rtl/>
        </w:rPr>
        <w:t xml:space="preserve">"ש עמ"ק או </w:t>
      </w:r>
      <w:r w:rsidRPr="00247C05">
        <w:rPr>
          <w:rFonts w:hint="cs"/>
          <w:rtl/>
        </w:rPr>
        <w:t>לדון</w:t>
      </w:r>
      <w:r w:rsidRPr="00247C05">
        <w:rPr>
          <w:rtl/>
        </w:rPr>
        <w:t xml:space="preserve"> </w:t>
      </w:r>
      <w:r w:rsidRPr="00247C05">
        <w:rPr>
          <w:rFonts w:hint="cs"/>
          <w:rtl/>
        </w:rPr>
        <w:t>בפתרונות</w:t>
      </w:r>
      <w:r w:rsidRPr="00247C05">
        <w:rPr>
          <w:rtl/>
        </w:rPr>
        <w:t xml:space="preserve"> </w:t>
      </w:r>
      <w:r w:rsidRPr="00247C05">
        <w:rPr>
          <w:rFonts w:hint="cs"/>
          <w:rtl/>
        </w:rPr>
        <w:t>חלופיים</w:t>
      </w:r>
      <w:r w:rsidRPr="00247C05">
        <w:rPr>
          <w:rtl/>
        </w:rPr>
        <w:t xml:space="preserve"> </w:t>
      </w:r>
      <w:r w:rsidRPr="00247C05">
        <w:rPr>
          <w:rFonts w:hint="cs"/>
          <w:rtl/>
        </w:rPr>
        <w:t>לבתי</w:t>
      </w:r>
      <w:r w:rsidRPr="00247C05">
        <w:rPr>
          <w:rtl/>
        </w:rPr>
        <w:t xml:space="preserve"> משפט </w:t>
      </w:r>
      <w:r w:rsidRPr="00247C05">
        <w:rPr>
          <w:rFonts w:hint="cs"/>
          <w:rtl/>
        </w:rPr>
        <w:t>עמ"ק שאינם</w:t>
      </w:r>
      <w:r w:rsidRPr="00247C05">
        <w:rPr>
          <w:rtl/>
        </w:rPr>
        <w:t xml:space="preserve"> </w:t>
      </w:r>
      <w:r w:rsidRPr="00247C05">
        <w:rPr>
          <w:rFonts w:hint="cs"/>
          <w:rtl/>
        </w:rPr>
        <w:t>עובדים</w:t>
      </w:r>
      <w:r w:rsidRPr="00247C05">
        <w:rPr>
          <w:rtl/>
        </w:rPr>
        <w:t xml:space="preserve"> </w:t>
      </w:r>
      <w:r w:rsidRPr="00247C05">
        <w:rPr>
          <w:rFonts w:hint="cs"/>
          <w:rtl/>
        </w:rPr>
        <w:t>עם</w:t>
      </w:r>
      <w:r w:rsidRPr="00247C05">
        <w:rPr>
          <w:rtl/>
        </w:rPr>
        <w:t xml:space="preserve"> </w:t>
      </w:r>
      <w:r w:rsidRPr="00247C05">
        <w:rPr>
          <w:rFonts w:hint="cs"/>
          <w:rtl/>
        </w:rPr>
        <w:t>מערכת נט</w:t>
      </w:r>
      <w:r w:rsidRPr="00247C05">
        <w:rPr>
          <w:rtl/>
        </w:rPr>
        <w:t xml:space="preserve"> </w:t>
      </w:r>
      <w:r w:rsidRPr="00247C05">
        <w:rPr>
          <w:rFonts w:hint="cs"/>
          <w:rtl/>
        </w:rPr>
        <w:t>המשפט</w:t>
      </w:r>
      <w:r w:rsidRPr="00247C05">
        <w:rPr>
          <w:rtl/>
        </w:rPr>
        <w:t>.</w:t>
      </w:r>
      <w:r w:rsidRPr="00247C05">
        <w:rPr>
          <w:rFonts w:hint="cs"/>
          <w:rtl/>
        </w:rPr>
        <w:t xml:space="preserve"> לפיכך ראוי שהב"ה תפעל ל</w:t>
      </w:r>
      <w:r w:rsidRPr="00247C05">
        <w:rPr>
          <w:rFonts w:hint="cs"/>
          <w:rtl/>
        </w:rPr>
        <w:t xml:space="preserve">כינוס </w:t>
      </w:r>
      <w:r w:rsidRPr="00247C05">
        <w:rPr>
          <w:rtl/>
        </w:rPr>
        <w:t xml:space="preserve">צוות </w:t>
      </w:r>
      <w:r w:rsidRPr="00247C05">
        <w:rPr>
          <w:rFonts w:hint="cs"/>
          <w:rtl/>
        </w:rPr>
        <w:t>עמ"ק</w:t>
      </w:r>
      <w:r w:rsidRPr="00247C05">
        <w:rPr>
          <w:rtl/>
        </w:rPr>
        <w:t xml:space="preserve"> </w:t>
      </w:r>
      <w:r w:rsidRPr="00247C05">
        <w:rPr>
          <w:rFonts w:hint="cs"/>
          <w:rtl/>
        </w:rPr>
        <w:t xml:space="preserve">על בסיס קבוע. המפגשים </w:t>
      </w:r>
      <w:r w:rsidRPr="00247C05">
        <w:rPr>
          <w:rFonts w:hint="cs"/>
          <w:rtl/>
        </w:rPr>
        <w:t>חיוני</w:t>
      </w:r>
      <w:r w:rsidRPr="00247C05">
        <w:rPr>
          <w:rFonts w:hint="cs"/>
          <w:rtl/>
        </w:rPr>
        <w:t>ים</w:t>
      </w:r>
      <w:r w:rsidRPr="00247C05">
        <w:rPr>
          <w:rtl/>
        </w:rPr>
        <w:t xml:space="preserve"> </w:t>
      </w:r>
      <w:r w:rsidRPr="00247C05">
        <w:rPr>
          <w:rFonts w:hint="cs"/>
          <w:rtl/>
        </w:rPr>
        <w:t>לפיתוח</w:t>
      </w:r>
      <w:r w:rsidRPr="00247C05">
        <w:rPr>
          <w:rtl/>
        </w:rPr>
        <w:t xml:space="preserve"> </w:t>
      </w:r>
      <w:r w:rsidRPr="00247C05">
        <w:rPr>
          <w:rtl/>
        </w:rPr>
        <w:t>חשיבה מערכתית</w:t>
      </w:r>
      <w:r w:rsidRPr="00247C05">
        <w:rPr>
          <w:rFonts w:hint="cs"/>
          <w:rtl/>
        </w:rPr>
        <w:t xml:space="preserve"> ו</w:t>
      </w:r>
      <w:r w:rsidRPr="00247C05">
        <w:rPr>
          <w:rFonts w:hint="cs"/>
          <w:rtl/>
        </w:rPr>
        <w:t>ממשקי</w:t>
      </w:r>
      <w:r w:rsidRPr="00247C05">
        <w:rPr>
          <w:rtl/>
        </w:rPr>
        <w:t xml:space="preserve"> עבודה</w:t>
      </w:r>
      <w:bookmarkStart w:id="5" w:name="OLE_LINK1"/>
      <w:r w:rsidRPr="00247C05">
        <w:rPr>
          <w:rFonts w:hint="cs"/>
          <w:rtl/>
        </w:rPr>
        <w:t xml:space="preserve"> בנושאי עמ"ק</w:t>
      </w:r>
      <w:bookmarkEnd w:id="5"/>
      <w:r w:rsidRPr="00247C05">
        <w:rPr>
          <w:rtl/>
        </w:rPr>
        <w:t xml:space="preserve"> </w:t>
      </w:r>
      <w:r w:rsidRPr="00247C05">
        <w:rPr>
          <w:rFonts w:hint="cs"/>
          <w:rtl/>
        </w:rPr>
        <w:t>בין</w:t>
      </w:r>
      <w:r w:rsidRPr="00247C05">
        <w:rPr>
          <w:rtl/>
        </w:rPr>
        <w:t xml:space="preserve"> הב"ה ובין </w:t>
      </w:r>
      <w:r w:rsidRPr="00247C05">
        <w:rPr>
          <w:rFonts w:hint="cs"/>
          <w:rtl/>
        </w:rPr>
        <w:t>ה</w:t>
      </w:r>
      <w:r w:rsidRPr="00247C05">
        <w:rPr>
          <w:rtl/>
        </w:rPr>
        <w:t>מזכירויות</w:t>
      </w:r>
      <w:r w:rsidRPr="00247C05">
        <w:rPr>
          <w:rFonts w:hint="cs"/>
          <w:rtl/>
        </w:rPr>
        <w:t>.</w:t>
      </w:r>
      <w:r w:rsidRPr="00247C05">
        <w:rPr>
          <w:rtl/>
        </w:rPr>
        <w:t xml:space="preserve"> </w:t>
      </w:r>
      <w:r w:rsidRPr="00247C05">
        <w:rPr>
          <w:rFonts w:hint="cs"/>
          <w:rtl/>
        </w:rPr>
        <w:t>לקיום המפגשים יש גם "ערך מוסף" בתרומתם להאחדת</w:t>
      </w:r>
      <w:r w:rsidRPr="00247C05">
        <w:rPr>
          <w:rtl/>
        </w:rPr>
        <w:t xml:space="preserve"> </w:t>
      </w:r>
      <w:r w:rsidRPr="00247C05">
        <w:rPr>
          <w:rFonts w:hint="cs"/>
          <w:rtl/>
        </w:rPr>
        <w:t>דפוסי</w:t>
      </w:r>
      <w:r w:rsidRPr="00247C05">
        <w:rPr>
          <w:rtl/>
        </w:rPr>
        <w:t xml:space="preserve"> </w:t>
      </w:r>
      <w:r w:rsidRPr="00247C05">
        <w:rPr>
          <w:rFonts w:hint="cs"/>
          <w:rtl/>
        </w:rPr>
        <w:t>העבודה</w:t>
      </w:r>
      <w:r w:rsidRPr="00247C05">
        <w:rPr>
          <w:rtl/>
        </w:rPr>
        <w:t xml:space="preserve"> </w:t>
      </w:r>
      <w:r w:rsidRPr="00247C05">
        <w:rPr>
          <w:rFonts w:hint="cs"/>
          <w:rtl/>
        </w:rPr>
        <w:t>שלהן,</w:t>
      </w:r>
      <w:r w:rsidRPr="00247C05">
        <w:rPr>
          <w:rtl/>
        </w:rPr>
        <w:t xml:space="preserve"> </w:t>
      </w:r>
      <w:r w:rsidRPr="00247C05">
        <w:rPr>
          <w:rFonts w:hint="cs"/>
          <w:rtl/>
        </w:rPr>
        <w:t>למקצועיות</w:t>
      </w:r>
      <w:r w:rsidRPr="00247C05">
        <w:rPr>
          <w:rtl/>
        </w:rPr>
        <w:t xml:space="preserve"> </w:t>
      </w:r>
      <w:r w:rsidRPr="00247C05">
        <w:rPr>
          <w:rFonts w:hint="cs"/>
          <w:rtl/>
        </w:rPr>
        <w:t>העובדים ו</w:t>
      </w:r>
      <w:r w:rsidRPr="00247C05">
        <w:rPr>
          <w:rFonts w:hint="cs"/>
          <w:rtl/>
        </w:rPr>
        <w:t>לאמצעי הפיקוח ש</w:t>
      </w:r>
      <w:r w:rsidRPr="00247C05">
        <w:rPr>
          <w:rFonts w:hint="cs"/>
          <w:rtl/>
        </w:rPr>
        <w:t>ל</w:t>
      </w:r>
      <w:r w:rsidRPr="00247C05">
        <w:rPr>
          <w:rFonts w:hint="cs"/>
          <w:rtl/>
        </w:rPr>
        <w:t xml:space="preserve"> מנהל התחום</w:t>
      </w:r>
      <w:r w:rsidRPr="00247C05">
        <w:rPr>
          <w:rtl/>
        </w:rPr>
        <w:t>.</w:t>
      </w:r>
      <w:r w:rsidRPr="00247C05">
        <w:rPr>
          <w:rFonts w:hint="cs"/>
          <w:rtl/>
        </w:rPr>
        <w:t xml:space="preserve"> </w:t>
      </w:r>
    </w:p>
    <w:p w:rsidR="003037FB" w:rsidRPr="00247C05" w:rsidP="00EC77C1">
      <w:pPr>
        <w:pStyle w:val="ListParagraph"/>
        <w:numPr>
          <w:ilvl w:val="0"/>
          <w:numId w:val="3"/>
        </w:numPr>
        <w:spacing w:before="180" w:after="240" w:line="230" w:lineRule="exact"/>
        <w:contextualSpacing w:val="0"/>
        <w:jc w:val="both"/>
        <w:rPr>
          <w:rFonts w:ascii="Times New Roman" w:hAnsi="Times New Roman" w:cs="FrankRuehl"/>
          <w:sz w:val="20"/>
          <w:rtl/>
        </w:rPr>
      </w:pPr>
      <w:r w:rsidRPr="00EC77C1">
        <w:rPr>
          <w:rStyle w:val="Heading5Char"/>
          <w:rFonts w:ascii="Times New Roman" w:hAnsi="Times New Roman" w:cs="FrankRuehl" w:hint="cs"/>
          <w:spacing w:val="40"/>
          <w:sz w:val="20"/>
          <w:szCs w:val="22"/>
          <w:rtl/>
        </w:rPr>
        <w:t>פגישות</w:t>
      </w:r>
      <w:r w:rsidRPr="00EC77C1">
        <w:rPr>
          <w:rStyle w:val="Heading5Char"/>
          <w:rFonts w:ascii="Times New Roman" w:hAnsi="Times New Roman" w:cs="FrankRuehl"/>
          <w:spacing w:val="40"/>
          <w:sz w:val="20"/>
          <w:szCs w:val="22"/>
          <w:rtl/>
        </w:rPr>
        <w:t xml:space="preserve"> </w:t>
      </w:r>
      <w:r w:rsidRPr="00EC77C1">
        <w:rPr>
          <w:rStyle w:val="Heading5Char"/>
          <w:rFonts w:ascii="Times New Roman" w:hAnsi="Times New Roman" w:cs="FrankRuehl" w:hint="cs"/>
          <w:spacing w:val="40"/>
          <w:sz w:val="20"/>
          <w:szCs w:val="22"/>
          <w:rtl/>
        </w:rPr>
        <w:t>עבודה</w:t>
      </w:r>
      <w:r w:rsidRPr="00EC77C1">
        <w:rPr>
          <w:rStyle w:val="Heading5Char"/>
          <w:rFonts w:ascii="Times New Roman" w:hAnsi="Times New Roman" w:cs="FrankRuehl"/>
          <w:spacing w:val="40"/>
          <w:sz w:val="20"/>
          <w:szCs w:val="22"/>
          <w:rtl/>
        </w:rPr>
        <w:t xml:space="preserve"> </w:t>
      </w:r>
      <w:r w:rsidRPr="00EC77C1">
        <w:rPr>
          <w:rStyle w:val="Heading5Char"/>
          <w:rFonts w:ascii="Times New Roman" w:hAnsi="Times New Roman" w:cs="FrankRuehl" w:hint="cs"/>
          <w:spacing w:val="40"/>
          <w:sz w:val="20"/>
          <w:szCs w:val="22"/>
          <w:rtl/>
        </w:rPr>
        <w:t>של</w:t>
      </w:r>
      <w:r w:rsidRPr="00EC77C1">
        <w:rPr>
          <w:rStyle w:val="Heading5Char"/>
          <w:rFonts w:ascii="Times New Roman" w:hAnsi="Times New Roman" w:cs="FrankRuehl"/>
          <w:spacing w:val="40"/>
          <w:sz w:val="20"/>
          <w:szCs w:val="22"/>
          <w:rtl/>
        </w:rPr>
        <w:t xml:space="preserve"> </w:t>
      </w:r>
      <w:r w:rsidRPr="00EC77C1">
        <w:rPr>
          <w:rStyle w:val="Heading5Char"/>
          <w:rFonts w:ascii="Times New Roman" w:hAnsi="Times New Roman" w:cs="FrankRuehl" w:hint="cs"/>
          <w:spacing w:val="40"/>
          <w:sz w:val="20"/>
          <w:szCs w:val="22"/>
          <w:rtl/>
        </w:rPr>
        <w:t>מנהל</w:t>
      </w:r>
      <w:r w:rsidRPr="00EC77C1">
        <w:rPr>
          <w:rStyle w:val="Heading5Char"/>
          <w:rFonts w:ascii="Times New Roman" w:hAnsi="Times New Roman" w:cs="FrankRuehl"/>
          <w:spacing w:val="40"/>
          <w:sz w:val="20"/>
          <w:szCs w:val="22"/>
          <w:rtl/>
        </w:rPr>
        <w:t xml:space="preserve"> </w:t>
      </w:r>
      <w:r w:rsidRPr="00EC77C1">
        <w:rPr>
          <w:rStyle w:val="Heading5Char"/>
          <w:rFonts w:ascii="Times New Roman" w:hAnsi="Times New Roman" w:cs="FrankRuehl" w:hint="cs"/>
          <w:spacing w:val="40"/>
          <w:sz w:val="20"/>
          <w:szCs w:val="22"/>
          <w:rtl/>
        </w:rPr>
        <w:t>המחוז</w:t>
      </w:r>
      <w:r w:rsidRPr="00EC77C1">
        <w:rPr>
          <w:rStyle w:val="Heading5Char"/>
          <w:rFonts w:ascii="Times New Roman" w:hAnsi="Times New Roman" w:cs="FrankRuehl"/>
          <w:spacing w:val="40"/>
          <w:sz w:val="20"/>
          <w:szCs w:val="22"/>
          <w:rtl/>
        </w:rPr>
        <w:t xml:space="preserve"> </w:t>
      </w:r>
      <w:r w:rsidRPr="00EC77C1">
        <w:rPr>
          <w:rStyle w:val="Heading5Char"/>
          <w:rFonts w:ascii="Times New Roman" w:hAnsi="Times New Roman" w:cs="FrankRuehl" w:hint="cs"/>
          <w:spacing w:val="40"/>
          <w:sz w:val="20"/>
          <w:szCs w:val="22"/>
          <w:rtl/>
        </w:rPr>
        <w:t>והמזכירים</w:t>
      </w:r>
      <w:r w:rsidRPr="00247C05">
        <w:rPr>
          <w:rStyle w:val="Heading7Char"/>
          <w:rFonts w:ascii="Times New Roman" w:hAnsi="Times New Roman" w:cs="FrankRuehl"/>
          <w:b/>
          <w:bCs/>
          <w:spacing w:val="40"/>
          <w:sz w:val="20"/>
          <w:szCs w:val="22"/>
          <w:rtl/>
        </w:rPr>
        <w:t xml:space="preserve">: </w:t>
      </w:r>
      <w:r w:rsidRPr="00247C05">
        <w:rPr>
          <w:rFonts w:ascii="Times New Roman" w:hAnsi="Times New Roman" w:cs="FrankRuehl" w:hint="cs"/>
          <w:sz w:val="20"/>
          <w:rtl/>
        </w:rPr>
        <w:t>נוהל</w:t>
      </w:r>
      <w:r w:rsidRPr="00247C05">
        <w:rPr>
          <w:rFonts w:ascii="Times New Roman" w:hAnsi="Times New Roman" w:cs="FrankRuehl"/>
          <w:sz w:val="20"/>
          <w:rtl/>
        </w:rPr>
        <w:t xml:space="preserve"> ממשקי עבודה קובע</w:t>
      </w:r>
      <w:r w:rsidRPr="00247C05">
        <w:rPr>
          <w:rFonts w:ascii="Times New Roman" w:hAnsi="Times New Roman" w:cs="FrankRuehl" w:hint="cs"/>
          <w:sz w:val="20"/>
          <w:rtl/>
        </w:rPr>
        <w:t>,</w:t>
      </w:r>
      <w:r w:rsidRPr="00247C05">
        <w:rPr>
          <w:rFonts w:ascii="Times New Roman" w:hAnsi="Times New Roman" w:cs="FrankRuehl"/>
          <w:sz w:val="20"/>
          <w:rtl/>
        </w:rPr>
        <w:t xml:space="preserve"> כי </w:t>
      </w:r>
      <w:r w:rsidRPr="00247C05">
        <w:rPr>
          <w:rFonts w:ascii="Times New Roman" w:hAnsi="Times New Roman" w:cs="FrankRuehl" w:hint="cs"/>
          <w:sz w:val="20"/>
          <w:rtl/>
        </w:rPr>
        <w:t>על</w:t>
      </w:r>
      <w:r w:rsidRPr="00247C05">
        <w:rPr>
          <w:rFonts w:ascii="Times New Roman" w:hAnsi="Times New Roman" w:cs="FrankRuehl"/>
          <w:sz w:val="20"/>
          <w:rtl/>
        </w:rPr>
        <w:t xml:space="preserve"> </w:t>
      </w:r>
      <w:r w:rsidRPr="00247C05">
        <w:rPr>
          <w:rFonts w:ascii="Times New Roman" w:hAnsi="Times New Roman" w:cs="FrankRuehl" w:hint="cs"/>
          <w:sz w:val="20"/>
          <w:rtl/>
        </w:rPr>
        <w:t>כל מנהל</w:t>
      </w:r>
      <w:r w:rsidRPr="00247C05">
        <w:rPr>
          <w:rFonts w:ascii="Times New Roman" w:hAnsi="Times New Roman" w:cs="FrankRuehl"/>
          <w:sz w:val="20"/>
          <w:rtl/>
        </w:rPr>
        <w:t xml:space="preserve"> מחוז לזמן לישיבה </w:t>
      </w:r>
      <w:r w:rsidRPr="00247C05">
        <w:rPr>
          <w:rFonts w:ascii="Times New Roman" w:hAnsi="Times New Roman" w:cs="FrankRuehl" w:hint="cs"/>
          <w:sz w:val="20"/>
          <w:rtl/>
        </w:rPr>
        <w:t>אחת ל</w:t>
      </w:r>
      <w:r w:rsidRPr="00247C05">
        <w:rPr>
          <w:rFonts w:ascii="Times New Roman" w:hAnsi="Times New Roman" w:cs="FrankRuehl"/>
          <w:sz w:val="20"/>
          <w:rtl/>
        </w:rPr>
        <w:t>רבעו</w:t>
      </w:r>
      <w:r w:rsidRPr="00247C05">
        <w:rPr>
          <w:rFonts w:ascii="Times New Roman" w:hAnsi="Times New Roman" w:cs="FrankRuehl" w:hint="cs"/>
          <w:sz w:val="20"/>
          <w:rtl/>
        </w:rPr>
        <w:t>ן</w:t>
      </w:r>
      <w:r w:rsidRPr="00247C05">
        <w:rPr>
          <w:rFonts w:ascii="Times New Roman" w:hAnsi="Times New Roman" w:cs="FrankRuehl"/>
          <w:sz w:val="20"/>
          <w:rtl/>
        </w:rPr>
        <w:t xml:space="preserve"> את מזכירי </w:t>
      </w:r>
      <w:r w:rsidRPr="00247C05">
        <w:rPr>
          <w:rFonts w:ascii="Times New Roman" w:hAnsi="Times New Roman" w:cs="FrankRuehl" w:hint="cs"/>
          <w:sz w:val="20"/>
          <w:rtl/>
        </w:rPr>
        <w:t>בתי משפט</w:t>
      </w:r>
      <w:r w:rsidRPr="00247C05">
        <w:rPr>
          <w:rFonts w:ascii="Times New Roman" w:hAnsi="Times New Roman" w:cs="FrankRuehl"/>
          <w:sz w:val="20"/>
          <w:rtl/>
        </w:rPr>
        <w:t xml:space="preserve"> </w:t>
      </w:r>
      <w:r w:rsidRPr="00247C05">
        <w:rPr>
          <w:rFonts w:ascii="Times New Roman" w:hAnsi="Times New Roman" w:cs="FrankRuehl" w:hint="cs"/>
          <w:sz w:val="20"/>
          <w:rtl/>
        </w:rPr>
        <w:t>עמ</w:t>
      </w:r>
      <w:r w:rsidRPr="00247C05">
        <w:rPr>
          <w:rFonts w:ascii="Times New Roman" w:hAnsi="Times New Roman" w:cs="FrankRuehl"/>
          <w:sz w:val="20"/>
          <w:rtl/>
        </w:rPr>
        <w:t>"ק הפועלים במחוזו במטרה ל</w:t>
      </w:r>
      <w:r w:rsidRPr="00247C05">
        <w:rPr>
          <w:rFonts w:ascii="Times New Roman" w:hAnsi="Times New Roman" w:cs="FrankRuehl" w:hint="cs"/>
          <w:sz w:val="20"/>
          <w:rtl/>
        </w:rPr>
        <w:t>יצור</w:t>
      </w:r>
      <w:r w:rsidRPr="00247C05">
        <w:rPr>
          <w:rFonts w:ascii="Times New Roman" w:hAnsi="Times New Roman" w:cs="FrankRuehl"/>
          <w:sz w:val="20"/>
          <w:rtl/>
        </w:rPr>
        <w:t xml:space="preserve"> שיתו</w:t>
      </w:r>
      <w:r w:rsidRPr="00247C05">
        <w:rPr>
          <w:rFonts w:ascii="Times New Roman" w:hAnsi="Times New Roman" w:cs="FrankRuehl" w:hint="cs"/>
          <w:sz w:val="20"/>
          <w:rtl/>
        </w:rPr>
        <w:t>ף</w:t>
      </w:r>
      <w:r w:rsidRPr="00247C05">
        <w:rPr>
          <w:rFonts w:ascii="Times New Roman" w:hAnsi="Times New Roman" w:cs="FrankRuehl"/>
          <w:sz w:val="20"/>
          <w:rtl/>
        </w:rPr>
        <w:t xml:space="preserve"> פעולה בנקודות הממשק בעבודתם המשותפת, לעדכן בנושאים מקצועיים ולתאם ציפיות. על מפגשים אלו להיות מתועדים בפרוטוקול לצורך מעקב אחר ביצוע</w:t>
      </w:r>
      <w:r w:rsidRPr="00247C05">
        <w:rPr>
          <w:rFonts w:ascii="Times New Roman" w:hAnsi="Times New Roman" w:cs="FrankRuehl" w:hint="cs"/>
          <w:sz w:val="20"/>
          <w:rtl/>
        </w:rPr>
        <w:t>ם</w:t>
      </w:r>
      <w:r w:rsidRPr="00247C05">
        <w:rPr>
          <w:rFonts w:ascii="Times New Roman" w:hAnsi="Times New Roman" w:cs="FrankRuehl"/>
          <w:sz w:val="20"/>
          <w:rtl/>
        </w:rPr>
        <w:t xml:space="preserve">. </w:t>
      </w:r>
    </w:p>
    <w:p w:rsidR="003037FB" w:rsidRPr="00EC77C1" w:rsidP="00EC77C1">
      <w:pPr>
        <w:pStyle w:val="RESHET"/>
        <w:keepLines/>
        <w:ind w:left="567"/>
        <w:rPr>
          <w:rtl/>
        </w:rPr>
      </w:pPr>
      <w:r w:rsidRPr="00247C05">
        <w:rPr>
          <w:rFonts w:hint="cs"/>
          <w:rtl/>
        </w:rPr>
        <w:t xml:space="preserve">בבדיקת משרד מבקר המדינה לא נמצאו מסמכים ופרוטוקולים המתעדים את קיומם של מפגשים אלו. </w:t>
      </w:r>
    </w:p>
    <w:p w:rsidR="003037FB" w:rsidRPr="00247C05" w:rsidP="00EC77C1">
      <w:pPr>
        <w:spacing w:before="180" w:after="120" w:line="230" w:lineRule="exact"/>
        <w:ind w:left="340"/>
        <w:jc w:val="both"/>
        <w:rPr>
          <w:rFonts w:cs="FrankRuehl"/>
          <w:sz w:val="20"/>
          <w:szCs w:val="22"/>
          <w:rtl/>
        </w:rPr>
      </w:pPr>
      <w:r w:rsidRPr="00247C05">
        <w:rPr>
          <w:rFonts w:cs="FrankRuehl" w:hint="cs"/>
          <w:sz w:val="20"/>
          <w:szCs w:val="22"/>
          <w:rtl/>
        </w:rPr>
        <w:t>יצוין כי במפגשים של מזכירי בית משפט עמ"ק במחוז תל אביב עם נשיא המחוז, המזכיר הראשי של המחוז או סגניתו ומנהל התחום תעדו את המפגשים ובעקבותם הופץ סיכום מפגש בין כל העובדים.</w:t>
      </w:r>
    </w:p>
    <w:p w:rsidR="003037FB" w:rsidRPr="00247C05" w:rsidP="00EC77C1">
      <w:pPr>
        <w:spacing w:after="240" w:line="230" w:lineRule="exact"/>
        <w:ind w:left="340"/>
        <w:jc w:val="both"/>
        <w:rPr>
          <w:rFonts w:cs="FrankRuehl"/>
          <w:sz w:val="20"/>
          <w:szCs w:val="22"/>
          <w:rtl/>
        </w:rPr>
      </w:pPr>
      <w:r w:rsidRPr="00247C05">
        <w:rPr>
          <w:rFonts w:cs="FrankRuehl" w:hint="cs"/>
          <w:sz w:val="20"/>
          <w:szCs w:val="22"/>
          <w:rtl/>
        </w:rPr>
        <w:t xml:space="preserve">בתשובתה ציינה הב"ה כי מנהלי מחוזות אמונים על עריכת ביקורות לפי הצורך ולפי שיקול דעתם וכי פרוטוקולים או סיכומים של ביקורים ופגישות אלו נעשים כשהם נחוצים לתיעוד שינוי או לשם מעקב. </w:t>
      </w:r>
    </w:p>
    <w:p w:rsidR="003037FB" w:rsidRPr="00EC77C1" w:rsidP="00EC77C1">
      <w:pPr>
        <w:pStyle w:val="RESHET"/>
        <w:keepLines/>
        <w:ind w:left="567"/>
        <w:rPr>
          <w:rtl/>
        </w:rPr>
      </w:pPr>
      <w:r w:rsidRPr="00247C05">
        <w:rPr>
          <w:rFonts w:hint="cs"/>
          <w:rtl/>
        </w:rPr>
        <w:t>משרד</w:t>
      </w:r>
      <w:r w:rsidRPr="00247C05">
        <w:rPr>
          <w:rtl/>
        </w:rPr>
        <w:t xml:space="preserve"> מבקר </w:t>
      </w:r>
      <w:r w:rsidRPr="00247C05">
        <w:rPr>
          <w:rFonts w:hint="cs"/>
          <w:rtl/>
        </w:rPr>
        <w:t>המדינה מעיר להב"ה, כי היא ראתה חשיבות בקיום מפגשים רבעוניים מתועדים בין מנהלי</w:t>
      </w:r>
      <w:r w:rsidRPr="00247C05">
        <w:rPr>
          <w:rtl/>
        </w:rPr>
        <w:t xml:space="preserve"> </w:t>
      </w:r>
      <w:r w:rsidRPr="00247C05">
        <w:rPr>
          <w:rFonts w:hint="cs"/>
          <w:rtl/>
        </w:rPr>
        <w:t>ה</w:t>
      </w:r>
      <w:r w:rsidRPr="00247C05">
        <w:rPr>
          <w:rtl/>
        </w:rPr>
        <w:t>מחוז</w:t>
      </w:r>
      <w:r w:rsidRPr="00247C05">
        <w:rPr>
          <w:rFonts w:hint="cs"/>
          <w:rtl/>
        </w:rPr>
        <w:t>ות ל</w:t>
      </w:r>
      <w:r w:rsidRPr="00247C05">
        <w:rPr>
          <w:rtl/>
        </w:rPr>
        <w:t xml:space="preserve">מזכירי </w:t>
      </w:r>
      <w:r w:rsidRPr="00247C05">
        <w:rPr>
          <w:rFonts w:hint="cs"/>
          <w:rtl/>
        </w:rPr>
        <w:t>בתי משפט</w:t>
      </w:r>
      <w:r w:rsidRPr="00247C05">
        <w:rPr>
          <w:rtl/>
        </w:rPr>
        <w:t xml:space="preserve"> </w:t>
      </w:r>
      <w:r w:rsidRPr="00247C05">
        <w:rPr>
          <w:rFonts w:hint="cs"/>
          <w:rtl/>
        </w:rPr>
        <w:t>עמ</w:t>
      </w:r>
      <w:r w:rsidRPr="00247C05">
        <w:rPr>
          <w:rtl/>
        </w:rPr>
        <w:t>"ק הפועלים במחוז</w:t>
      </w:r>
      <w:r w:rsidRPr="00247C05">
        <w:rPr>
          <w:rFonts w:hint="cs"/>
          <w:rtl/>
        </w:rPr>
        <w:t>ם</w:t>
      </w:r>
      <w:r w:rsidRPr="00247C05">
        <w:rPr>
          <w:rtl/>
        </w:rPr>
        <w:t xml:space="preserve"> </w:t>
      </w:r>
      <w:r w:rsidRPr="00247C05">
        <w:rPr>
          <w:rFonts w:hint="cs"/>
          <w:rtl/>
        </w:rPr>
        <w:t>ואף עיגנה זאת בנוהל ממשקי עבודה. לפיכך עליה לוודא שיתקיימו</w:t>
      </w:r>
      <w:r w:rsidRPr="00247C05">
        <w:rPr>
          <w:rtl/>
        </w:rPr>
        <w:t xml:space="preserve"> </w:t>
      </w:r>
      <w:r w:rsidRPr="00247C05">
        <w:rPr>
          <w:rFonts w:hint="cs"/>
          <w:rtl/>
        </w:rPr>
        <w:t>מפגשים קבועים, סדירים ומתועדים בין מנהלי המחוזות ובין מזכירי במ"ש עמ"ק. מפגשים אלו הם הכלים שבעזרתם תוכל ליישם את אחריותה המקצועית ולקיים בקרה על עבודת המזכירויות.</w:t>
      </w:r>
      <w:r w:rsidRPr="00247C05">
        <w:rPr>
          <w:rtl/>
        </w:rPr>
        <w:t xml:space="preserve"> </w:t>
      </w:r>
    </w:p>
    <w:p w:rsidR="003037FB" w:rsidP="00040DAE">
      <w:pPr>
        <w:spacing w:after="120" w:line="230" w:lineRule="exact"/>
        <w:ind w:left="340"/>
        <w:jc w:val="both"/>
        <w:rPr>
          <w:rFonts w:cs="FrankRuehl"/>
          <w:bCs/>
          <w:sz w:val="20"/>
          <w:szCs w:val="22"/>
          <w:rtl/>
        </w:rPr>
      </w:pPr>
    </w:p>
    <w:p w:rsidR="00EC77C1" w:rsidRPr="00247C05" w:rsidP="00040DAE">
      <w:pPr>
        <w:spacing w:after="120" w:line="230" w:lineRule="exact"/>
        <w:ind w:left="340"/>
        <w:jc w:val="both"/>
        <w:rPr>
          <w:rFonts w:cs="FrankRuehl"/>
          <w:bCs/>
          <w:sz w:val="20"/>
          <w:szCs w:val="22"/>
        </w:rPr>
      </w:pPr>
    </w:p>
    <w:p w:rsidR="003037FB" w:rsidRPr="00A45E9A" w:rsidP="00040DAE">
      <w:pPr>
        <w:pStyle w:val="KOT4"/>
        <w:rPr>
          <w:rtl/>
        </w:rPr>
      </w:pPr>
      <w:r w:rsidRPr="00A45E9A">
        <w:rPr>
          <w:rFonts w:hint="cs"/>
          <w:rtl/>
        </w:rPr>
        <w:t xml:space="preserve">מערכת נט המשפט </w:t>
      </w:r>
    </w:p>
    <w:p w:rsidR="003037FB" w:rsidRPr="00247C05" w:rsidP="00040DAE">
      <w:pPr>
        <w:spacing w:after="120" w:line="230" w:lineRule="exact"/>
        <w:jc w:val="both"/>
        <w:rPr>
          <w:rFonts w:cs="FrankRuehl"/>
          <w:sz w:val="20"/>
          <w:szCs w:val="22"/>
          <w:u w:val="single"/>
          <w:rtl/>
        </w:rPr>
      </w:pPr>
      <w:r w:rsidRPr="00247C05">
        <w:rPr>
          <w:rFonts w:cs="FrankRuehl" w:hint="cs"/>
          <w:sz w:val="20"/>
          <w:szCs w:val="22"/>
          <w:rtl/>
        </w:rPr>
        <w:t>פיתוחה של נט המשפט החל בשנת 2003, והיא הוטמעה ביותר מ-40 אתרים במערכת בתי המשפט. כיום נט המשפט היא מערכת הליבה</w:t>
      </w:r>
      <w:r w:rsidRPr="00247C05">
        <w:rPr>
          <w:rFonts w:cs="FrankRuehl"/>
          <w:sz w:val="20"/>
          <w:szCs w:val="22"/>
          <w:rtl/>
        </w:rPr>
        <w:t xml:space="preserve"> </w:t>
      </w:r>
      <w:r w:rsidRPr="00247C05">
        <w:rPr>
          <w:rFonts w:cs="FrankRuehl" w:hint="cs"/>
          <w:sz w:val="20"/>
          <w:szCs w:val="22"/>
          <w:rtl/>
        </w:rPr>
        <w:t>העיקרית</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הרשות השופטת שנועדה לתמוך</w:t>
      </w:r>
      <w:r w:rsidRPr="00247C05">
        <w:rPr>
          <w:rFonts w:cs="FrankRuehl"/>
          <w:sz w:val="20"/>
          <w:szCs w:val="22"/>
          <w:rtl/>
        </w:rPr>
        <w:t xml:space="preserve"> </w:t>
      </w:r>
      <w:r w:rsidRPr="00247C05">
        <w:rPr>
          <w:rFonts w:cs="FrankRuehl" w:hint="cs"/>
          <w:sz w:val="20"/>
          <w:szCs w:val="22"/>
          <w:rtl/>
        </w:rPr>
        <w:t>בהליכים משפטיים ומינהליים אחידים</w:t>
      </w:r>
      <w:r w:rsidRPr="00247C05">
        <w:rPr>
          <w:rFonts w:cs="FrankRuehl"/>
          <w:sz w:val="20"/>
          <w:szCs w:val="22"/>
          <w:rtl/>
        </w:rPr>
        <w:t xml:space="preserve"> </w:t>
      </w:r>
      <w:r w:rsidRPr="00247C05">
        <w:rPr>
          <w:rFonts w:cs="FrankRuehl" w:hint="cs"/>
          <w:sz w:val="20"/>
          <w:szCs w:val="22"/>
          <w:rtl/>
        </w:rPr>
        <w:t>ולאפשר ניהול תיקים אלקטרוניים. המערכת משמשת שופטים, עוזרים משפטיים, קלדניות, עובדי מזכירות</w:t>
      </w:r>
      <w:r w:rsidRPr="00247C05">
        <w:rPr>
          <w:rFonts w:cs="FrankRuehl"/>
          <w:sz w:val="20"/>
          <w:szCs w:val="22"/>
          <w:rtl/>
        </w:rPr>
        <w:t xml:space="preserve"> </w:t>
      </w:r>
      <w:r w:rsidRPr="00247C05">
        <w:rPr>
          <w:rFonts w:cs="FrankRuehl" w:hint="cs"/>
          <w:sz w:val="20"/>
          <w:szCs w:val="22"/>
          <w:rtl/>
        </w:rPr>
        <w:t>בתי המשפט ואנשי</w:t>
      </w:r>
      <w:r w:rsidRPr="00247C05">
        <w:rPr>
          <w:rFonts w:cs="FrankRuehl"/>
          <w:sz w:val="20"/>
          <w:szCs w:val="22"/>
          <w:rtl/>
        </w:rPr>
        <w:t xml:space="preserve"> </w:t>
      </w:r>
      <w:r w:rsidRPr="00247C05">
        <w:rPr>
          <w:rFonts w:cs="FrankRuehl" w:hint="cs"/>
          <w:sz w:val="20"/>
          <w:szCs w:val="22"/>
          <w:rtl/>
        </w:rPr>
        <w:t>מטה בהב"ה. המערכת מנגישה מידע לציבור באמצעות</w:t>
      </w:r>
      <w:r w:rsidRPr="00247C05">
        <w:rPr>
          <w:rFonts w:cs="FrankRuehl"/>
          <w:sz w:val="20"/>
          <w:szCs w:val="22"/>
          <w:rtl/>
        </w:rPr>
        <w:t xml:space="preserve"> </w:t>
      </w:r>
      <w:r w:rsidRPr="00247C05">
        <w:rPr>
          <w:rFonts w:cs="FrankRuehl" w:hint="cs"/>
          <w:sz w:val="20"/>
          <w:szCs w:val="22"/>
          <w:rtl/>
        </w:rPr>
        <w:t>המרשתת (אינטרנט) כדי שבעלי עניין בתיק יוכלו להתעדכן במצב ההליך המשפטי ולעיין בהחלטות שניתנו בו, ומאפשרת לבאי כוחם של הצדדים להליך המשפטי לבצע פעולות שונות הקשורות לתיק שבטיפולם. אגף מערכות מידע ומחשוב בהב"ה אחראי לתחזוקה ולזמינות של המערכת.</w:t>
      </w:r>
      <w:r w:rsidRPr="00247C05">
        <w:rPr>
          <w:rFonts w:cs="FrankRuehl" w:hint="cs"/>
          <w:sz w:val="20"/>
          <w:szCs w:val="22"/>
          <w:u w:val="single"/>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נט המשפט </w:t>
      </w:r>
      <w:r w:rsidRPr="00247C05">
        <w:rPr>
          <w:rFonts w:cs="FrankRuehl"/>
          <w:sz w:val="20"/>
          <w:szCs w:val="22"/>
          <w:rtl/>
        </w:rPr>
        <w:t xml:space="preserve">מבוססת על </w:t>
      </w:r>
      <w:r w:rsidRPr="00247C05">
        <w:rPr>
          <w:rFonts w:cs="FrankRuehl" w:hint="cs"/>
          <w:sz w:val="20"/>
          <w:szCs w:val="22"/>
          <w:rtl/>
        </w:rPr>
        <w:t>ההנחיות ונוהלי העבודה של הב"ה, והעבודה באמצעותה מחייבת את מזכירויות בתי המשפט. תהליכי</w:t>
      </w:r>
      <w:r w:rsidRPr="00247C05">
        <w:rPr>
          <w:rFonts w:cs="FrankRuehl"/>
          <w:sz w:val="20"/>
          <w:szCs w:val="22"/>
          <w:rtl/>
        </w:rPr>
        <w:t xml:space="preserve"> העבודה </w:t>
      </w:r>
      <w:r w:rsidRPr="00247C05">
        <w:rPr>
          <w:rFonts w:cs="FrankRuehl" w:hint="cs"/>
          <w:sz w:val="20"/>
          <w:szCs w:val="22"/>
          <w:rtl/>
        </w:rPr>
        <w:t xml:space="preserve">במערכת מלווים כל </w:t>
      </w:r>
      <w:r w:rsidRPr="00247C05">
        <w:rPr>
          <w:rFonts w:cs="FrankRuehl"/>
          <w:sz w:val="20"/>
          <w:szCs w:val="22"/>
          <w:rtl/>
        </w:rPr>
        <w:t xml:space="preserve">תיק מעת </w:t>
      </w:r>
      <w:r w:rsidRPr="00247C05">
        <w:rPr>
          <w:rFonts w:cs="FrankRuehl" w:hint="cs"/>
          <w:sz w:val="20"/>
          <w:szCs w:val="22"/>
          <w:rtl/>
        </w:rPr>
        <w:t>פתיחת</w:t>
      </w:r>
      <w:r w:rsidRPr="00247C05">
        <w:rPr>
          <w:rFonts w:cs="FrankRuehl"/>
          <w:sz w:val="20"/>
          <w:szCs w:val="22"/>
          <w:rtl/>
        </w:rPr>
        <w:t xml:space="preserve">ו ועד מתן פסק דין. </w:t>
      </w:r>
      <w:r w:rsidRPr="00247C05">
        <w:rPr>
          <w:rFonts w:cs="FrankRuehl" w:hint="cs"/>
          <w:sz w:val="20"/>
          <w:szCs w:val="22"/>
          <w:rtl/>
        </w:rPr>
        <w:t>ב</w:t>
      </w:r>
      <w:r w:rsidRPr="00247C05">
        <w:rPr>
          <w:rFonts w:cs="FrankRuehl"/>
          <w:sz w:val="20"/>
          <w:szCs w:val="22"/>
          <w:rtl/>
        </w:rPr>
        <w:t xml:space="preserve">מערכת </w:t>
      </w:r>
      <w:r w:rsidRPr="00247C05">
        <w:rPr>
          <w:rFonts w:cs="FrankRuehl" w:hint="cs"/>
          <w:sz w:val="20"/>
          <w:szCs w:val="22"/>
          <w:rtl/>
        </w:rPr>
        <w:t>ניתן לאתר</w:t>
      </w:r>
      <w:r w:rsidRPr="00247C05">
        <w:rPr>
          <w:rFonts w:cs="FrankRuehl"/>
          <w:sz w:val="20"/>
          <w:szCs w:val="22"/>
          <w:rtl/>
        </w:rPr>
        <w:t xml:space="preserve"> תהליכים וחוקים המתאי</w:t>
      </w:r>
      <w:r w:rsidRPr="00247C05">
        <w:rPr>
          <w:rFonts w:cs="FrankRuehl" w:hint="cs"/>
          <w:sz w:val="20"/>
          <w:szCs w:val="22"/>
          <w:rtl/>
        </w:rPr>
        <w:t>מי</w:t>
      </w:r>
      <w:r w:rsidRPr="00247C05">
        <w:rPr>
          <w:rFonts w:cs="FrankRuehl"/>
          <w:sz w:val="20"/>
          <w:szCs w:val="22"/>
          <w:rtl/>
        </w:rPr>
        <w:t xml:space="preserve">ם </w:t>
      </w:r>
      <w:r w:rsidRPr="00247C05">
        <w:rPr>
          <w:rFonts w:cs="FrankRuehl" w:hint="cs"/>
          <w:sz w:val="20"/>
          <w:szCs w:val="22"/>
          <w:rtl/>
        </w:rPr>
        <w:t>למ</w:t>
      </w:r>
      <w:r w:rsidRPr="00247C05">
        <w:rPr>
          <w:rFonts w:cs="FrankRuehl"/>
          <w:sz w:val="20"/>
          <w:szCs w:val="22"/>
          <w:rtl/>
        </w:rPr>
        <w:t xml:space="preserve">שימות </w:t>
      </w:r>
      <w:r w:rsidRPr="00247C05">
        <w:rPr>
          <w:rFonts w:cs="FrankRuehl" w:hint="cs"/>
          <w:sz w:val="20"/>
          <w:szCs w:val="22"/>
          <w:rtl/>
        </w:rPr>
        <w:t>ולהליכים המשפטיים מכל</w:t>
      </w:r>
      <w:r w:rsidRPr="00247C05">
        <w:rPr>
          <w:rFonts w:cs="FrankRuehl"/>
          <w:sz w:val="20"/>
          <w:szCs w:val="22"/>
          <w:rtl/>
        </w:rPr>
        <w:t xml:space="preserve"> סוג</w:t>
      </w:r>
      <w:r w:rsidRPr="00247C05">
        <w:rPr>
          <w:rFonts w:cs="FrankRuehl" w:hint="cs"/>
          <w:sz w:val="20"/>
          <w:szCs w:val="22"/>
          <w:rtl/>
        </w:rPr>
        <w:t>, לרבות תיקים המצויים בסמכות במ"ש עמ"ק</w:t>
      </w:r>
      <w:r w:rsidRPr="00247C05">
        <w:rPr>
          <w:rFonts w:cs="FrankRuehl"/>
          <w:sz w:val="20"/>
          <w:szCs w:val="22"/>
          <w:rtl/>
        </w:rPr>
        <w:t>.</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במהלך הטמעת נט המשפט במערכת בתי המשפט בין השנים 2010-2008, היא הותקנה גם בתשעה בתי משפט עמ"ק, בעיקר באלו השוכנים בתוך מבנים של בית משפט שלום. בשנת 2008 הותקנה המערכת בשלושה בתי משפט (בחדרה, בפתח תקווה ובקריית ביאליק), בשנת 2009 בחמישה (בנתניה, בכפר סבא, בראשון לציון, ברחובות וברמת גן)</w:t>
      </w:r>
      <w:r w:rsidRPr="00247C05">
        <w:rPr>
          <w:rFonts w:cs="FrankRuehl" w:hint="cs"/>
          <w:sz w:val="20"/>
          <w:szCs w:val="22"/>
          <w:rtl/>
        </w:rPr>
        <w:t xml:space="preserve"> </w:t>
      </w:r>
      <w:r w:rsidRPr="00247C05">
        <w:rPr>
          <w:rFonts w:cs="FrankRuehl" w:hint="cs"/>
          <w:sz w:val="20"/>
          <w:szCs w:val="22"/>
          <w:rtl/>
        </w:rPr>
        <w:t xml:space="preserve">ובשנת 2010 בבאר שבע.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ביוני 2011 הציג מנהל התחום לשעבר את עמדתה של חטיבת תפעול ומזכירויות לפיה "עבודה עם תכנת נט המשפט תאפשר שקיפות הנתונים כלפי הנהלת בתי המשפט, תאפשר האחדת תהליכי עבודה אשר מובנים בתוכנה". ביולי 2013 כתב מנהל הב"ה כי "התוכנה [נט המשפט] מתווה למעשה את תהליכי העבודה ובהיעדרה, לא ניתן לבצע את נהלי העבודה כנדרש". באוקטובר ובנובמבר 2013 נכתבו דברים דומים על ידי היועץ המשפטי של הב"ה. חשיבות המערכת בעבודת בתי המשפט הביאה לידי כך שבשנת 2014 החליטה הב"ה, כי יש לחייב את הרשויות המקומיות להתקין את המערכת בכל בית משפט עמ"ק </w:t>
      </w:r>
      <w:r w:rsidRPr="00247C05">
        <w:rPr>
          <w:rFonts w:cs="FrankRuehl" w:hint="eastAsia"/>
          <w:sz w:val="20"/>
          <w:szCs w:val="22"/>
          <w:rtl/>
        </w:rPr>
        <w:t>והחלה</w:t>
      </w:r>
      <w:r w:rsidRPr="00247C05">
        <w:rPr>
          <w:rFonts w:cs="FrankRuehl"/>
          <w:sz w:val="20"/>
          <w:szCs w:val="22"/>
          <w:rtl/>
        </w:rPr>
        <w:t xml:space="preserve"> </w:t>
      </w:r>
      <w:r w:rsidRPr="00247C05">
        <w:rPr>
          <w:rFonts w:cs="FrankRuehl" w:hint="cs"/>
          <w:sz w:val="20"/>
          <w:szCs w:val="22"/>
          <w:rtl/>
        </w:rPr>
        <w:t xml:space="preserve">לפעול </w:t>
      </w:r>
      <w:r w:rsidRPr="00247C05">
        <w:rPr>
          <w:rFonts w:cs="FrankRuehl" w:hint="eastAsia"/>
          <w:sz w:val="20"/>
          <w:szCs w:val="22"/>
          <w:rtl/>
        </w:rPr>
        <w:t>להכנת</w:t>
      </w:r>
      <w:r w:rsidRPr="00247C05">
        <w:rPr>
          <w:rFonts w:cs="FrankRuehl"/>
          <w:sz w:val="20"/>
          <w:szCs w:val="22"/>
          <w:rtl/>
        </w:rPr>
        <w:t xml:space="preserve"> </w:t>
      </w:r>
      <w:r w:rsidRPr="00247C05">
        <w:rPr>
          <w:rFonts w:cs="FrankRuehl" w:hint="eastAsia"/>
          <w:sz w:val="20"/>
          <w:szCs w:val="22"/>
          <w:rtl/>
        </w:rPr>
        <w:t>תכנית</w:t>
      </w:r>
      <w:r w:rsidRPr="00247C05">
        <w:rPr>
          <w:rFonts w:cs="FrankRuehl"/>
          <w:sz w:val="20"/>
          <w:szCs w:val="22"/>
          <w:rtl/>
        </w:rPr>
        <w:t xml:space="preserve"> </w:t>
      </w:r>
      <w:r w:rsidRPr="00247C05">
        <w:rPr>
          <w:rFonts w:cs="FrankRuehl" w:hint="eastAsia"/>
          <w:sz w:val="20"/>
          <w:szCs w:val="22"/>
          <w:rtl/>
        </w:rPr>
        <w:t>להטמעת</w:t>
      </w:r>
      <w:r w:rsidRPr="00247C05">
        <w:rPr>
          <w:rFonts w:cs="FrankRuehl"/>
          <w:sz w:val="20"/>
          <w:szCs w:val="22"/>
          <w:rtl/>
        </w:rPr>
        <w:t xml:space="preserve"> </w:t>
      </w:r>
      <w:r w:rsidRPr="00247C05">
        <w:rPr>
          <w:rFonts w:cs="FrankRuehl" w:hint="eastAsia"/>
          <w:sz w:val="20"/>
          <w:szCs w:val="22"/>
          <w:rtl/>
        </w:rPr>
        <w:t>נט</w:t>
      </w:r>
      <w:r w:rsidRPr="00247C05">
        <w:rPr>
          <w:rFonts w:cs="FrankRuehl"/>
          <w:sz w:val="20"/>
          <w:szCs w:val="22"/>
          <w:rtl/>
        </w:rPr>
        <w:t xml:space="preserve"> </w:t>
      </w:r>
      <w:r w:rsidRPr="00247C05">
        <w:rPr>
          <w:rFonts w:cs="FrankRuehl" w:hint="eastAsia"/>
          <w:sz w:val="20"/>
          <w:szCs w:val="22"/>
          <w:rtl/>
        </w:rPr>
        <w:t>המשפט</w:t>
      </w:r>
      <w:r w:rsidRPr="00247C05">
        <w:rPr>
          <w:rFonts w:cs="FrankRuehl"/>
          <w:sz w:val="20"/>
          <w:szCs w:val="22"/>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ממסמכים</w:t>
      </w:r>
      <w:r w:rsidRPr="00247C05">
        <w:rPr>
          <w:rFonts w:cs="FrankRuehl"/>
          <w:sz w:val="20"/>
          <w:szCs w:val="22"/>
          <w:rtl/>
        </w:rPr>
        <w:t xml:space="preserve"> של הב"ה עולה</w:t>
      </w:r>
      <w:r w:rsidRPr="00247C05">
        <w:rPr>
          <w:rFonts w:cs="FrankRuehl" w:hint="cs"/>
          <w:sz w:val="20"/>
          <w:szCs w:val="22"/>
          <w:rtl/>
        </w:rPr>
        <w:t>,</w:t>
      </w:r>
      <w:r w:rsidRPr="00247C05">
        <w:rPr>
          <w:rFonts w:cs="FrankRuehl"/>
          <w:sz w:val="20"/>
          <w:szCs w:val="22"/>
          <w:rtl/>
        </w:rPr>
        <w:t xml:space="preserve"> כי היעדרה של </w:t>
      </w:r>
      <w:r w:rsidRPr="00247C05">
        <w:rPr>
          <w:rFonts w:cs="FrankRuehl" w:hint="cs"/>
          <w:sz w:val="20"/>
          <w:szCs w:val="22"/>
          <w:rtl/>
        </w:rPr>
        <w:t>מערכת</w:t>
      </w:r>
      <w:r w:rsidRPr="00247C05">
        <w:rPr>
          <w:rFonts w:cs="FrankRuehl"/>
          <w:sz w:val="20"/>
          <w:szCs w:val="22"/>
          <w:rtl/>
        </w:rPr>
        <w:t xml:space="preserve"> </w:t>
      </w:r>
      <w:r w:rsidRPr="00247C05">
        <w:rPr>
          <w:rFonts w:cs="FrankRuehl" w:hint="cs"/>
          <w:sz w:val="20"/>
          <w:szCs w:val="22"/>
          <w:rtl/>
        </w:rPr>
        <w:t>נט</w:t>
      </w:r>
      <w:r w:rsidRPr="00247C05">
        <w:rPr>
          <w:rFonts w:cs="FrankRuehl"/>
          <w:sz w:val="20"/>
          <w:szCs w:val="22"/>
          <w:rtl/>
        </w:rPr>
        <w:t xml:space="preserve"> המשפט בחלק ממזכירויות בתי המשפט עמ"ק </w:t>
      </w:r>
      <w:r w:rsidRPr="00247C05">
        <w:rPr>
          <w:rFonts w:cs="FrankRuehl" w:hint="cs"/>
          <w:sz w:val="20"/>
          <w:szCs w:val="22"/>
          <w:rtl/>
        </w:rPr>
        <w:t>משפיעה</w:t>
      </w:r>
      <w:r w:rsidRPr="00247C05">
        <w:rPr>
          <w:rFonts w:cs="FrankRuehl"/>
          <w:sz w:val="20"/>
          <w:szCs w:val="22"/>
          <w:rtl/>
        </w:rPr>
        <w:t xml:space="preserve"> </w:t>
      </w:r>
      <w:r w:rsidRPr="00247C05">
        <w:rPr>
          <w:rFonts w:cs="FrankRuehl" w:hint="cs"/>
          <w:sz w:val="20"/>
          <w:szCs w:val="22"/>
          <w:rtl/>
        </w:rPr>
        <w:t>על</w:t>
      </w:r>
      <w:r w:rsidRPr="00247C05">
        <w:rPr>
          <w:rFonts w:cs="FrankRuehl"/>
          <w:sz w:val="20"/>
          <w:szCs w:val="22"/>
          <w:rtl/>
        </w:rPr>
        <w:t xml:space="preserve"> היבטים </w:t>
      </w:r>
      <w:r w:rsidRPr="00247C05">
        <w:rPr>
          <w:rFonts w:cs="FrankRuehl" w:hint="cs"/>
          <w:sz w:val="20"/>
          <w:szCs w:val="22"/>
          <w:rtl/>
        </w:rPr>
        <w:t>מקצועיים</w:t>
      </w:r>
      <w:r w:rsidRPr="00247C05">
        <w:rPr>
          <w:rFonts w:cs="FrankRuehl"/>
          <w:sz w:val="20"/>
          <w:szCs w:val="22"/>
          <w:rtl/>
        </w:rPr>
        <w:t xml:space="preserve"> </w:t>
      </w:r>
      <w:r w:rsidRPr="00247C05">
        <w:rPr>
          <w:rFonts w:cs="FrankRuehl" w:hint="cs"/>
          <w:sz w:val="20"/>
          <w:szCs w:val="22"/>
          <w:rtl/>
        </w:rPr>
        <w:t>שונים</w:t>
      </w:r>
      <w:r w:rsidRPr="00247C05">
        <w:rPr>
          <w:rFonts w:cs="FrankRuehl"/>
          <w:sz w:val="20"/>
          <w:szCs w:val="22"/>
          <w:rtl/>
        </w:rPr>
        <w:t xml:space="preserve"> של עבודת</w:t>
      </w:r>
      <w:r w:rsidRPr="00247C05">
        <w:rPr>
          <w:rFonts w:cs="FrankRuehl" w:hint="cs"/>
          <w:sz w:val="20"/>
          <w:szCs w:val="22"/>
          <w:rtl/>
        </w:rPr>
        <w:t>ם,</w:t>
      </w:r>
      <w:r w:rsidRPr="00247C05">
        <w:rPr>
          <w:rFonts w:cs="FrankRuehl"/>
          <w:sz w:val="20"/>
          <w:szCs w:val="22"/>
          <w:rtl/>
        </w:rPr>
        <w:t xml:space="preserve"> </w:t>
      </w:r>
      <w:r w:rsidRPr="00247C05">
        <w:rPr>
          <w:rFonts w:cs="FrankRuehl" w:hint="cs"/>
          <w:sz w:val="20"/>
          <w:szCs w:val="22"/>
          <w:rtl/>
        </w:rPr>
        <w:t>ובכלל</w:t>
      </w:r>
      <w:r w:rsidRPr="00247C05">
        <w:rPr>
          <w:rFonts w:cs="FrankRuehl"/>
          <w:sz w:val="20"/>
          <w:szCs w:val="22"/>
          <w:rtl/>
        </w:rPr>
        <w:t xml:space="preserve"> זה </w:t>
      </w:r>
      <w:r w:rsidRPr="00247C05">
        <w:rPr>
          <w:rFonts w:cs="FrankRuehl" w:hint="cs"/>
          <w:sz w:val="20"/>
          <w:szCs w:val="22"/>
          <w:rtl/>
        </w:rPr>
        <w:t>היותה</w:t>
      </w:r>
      <w:r w:rsidRPr="00247C05">
        <w:rPr>
          <w:rFonts w:cs="FrankRuehl"/>
          <w:sz w:val="20"/>
          <w:szCs w:val="22"/>
          <w:rtl/>
        </w:rPr>
        <w:t xml:space="preserve"> </w:t>
      </w:r>
      <w:r w:rsidRPr="00247C05">
        <w:rPr>
          <w:rFonts w:cs="FrankRuehl" w:hint="cs"/>
          <w:sz w:val="20"/>
          <w:szCs w:val="22"/>
          <w:rtl/>
        </w:rPr>
        <w:t>מערכת</w:t>
      </w:r>
      <w:r w:rsidRPr="00247C05">
        <w:rPr>
          <w:rFonts w:cs="FrankRuehl"/>
          <w:sz w:val="20"/>
          <w:szCs w:val="22"/>
          <w:rtl/>
        </w:rPr>
        <w:t xml:space="preserve"> </w:t>
      </w:r>
      <w:r w:rsidRPr="00247C05">
        <w:rPr>
          <w:rFonts w:cs="FrankRuehl" w:hint="cs"/>
          <w:sz w:val="20"/>
          <w:szCs w:val="22"/>
          <w:rtl/>
        </w:rPr>
        <w:t>ניהול</w:t>
      </w:r>
      <w:r w:rsidRPr="00247C05">
        <w:rPr>
          <w:rFonts w:cs="FrankRuehl"/>
          <w:sz w:val="20"/>
          <w:szCs w:val="22"/>
          <w:rtl/>
        </w:rPr>
        <w:t xml:space="preserve"> </w:t>
      </w:r>
      <w:r w:rsidRPr="00247C05">
        <w:rPr>
          <w:rFonts w:cs="FrankRuehl" w:hint="cs"/>
          <w:sz w:val="20"/>
          <w:szCs w:val="22"/>
          <w:rtl/>
        </w:rPr>
        <w:t>המאפשרת</w:t>
      </w:r>
      <w:r w:rsidRPr="00247C05">
        <w:rPr>
          <w:rFonts w:cs="FrankRuehl"/>
          <w:sz w:val="20"/>
          <w:szCs w:val="22"/>
          <w:rtl/>
        </w:rPr>
        <w:t xml:space="preserve"> </w:t>
      </w:r>
      <w:r w:rsidRPr="00247C05">
        <w:rPr>
          <w:rFonts w:cs="FrankRuehl" w:hint="cs"/>
          <w:sz w:val="20"/>
          <w:szCs w:val="22"/>
          <w:rtl/>
        </w:rPr>
        <w:t>הטמעה</w:t>
      </w:r>
      <w:r w:rsidRPr="00247C05">
        <w:rPr>
          <w:rFonts w:cs="FrankRuehl"/>
          <w:sz w:val="20"/>
          <w:szCs w:val="22"/>
          <w:rtl/>
        </w:rPr>
        <w:t xml:space="preserve"> </w:t>
      </w:r>
      <w:r w:rsidRPr="00247C05">
        <w:rPr>
          <w:rFonts w:cs="FrankRuehl" w:hint="cs"/>
          <w:sz w:val="20"/>
          <w:szCs w:val="22"/>
          <w:rtl/>
        </w:rPr>
        <w:t>אחידה</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ההנחיות</w:t>
      </w:r>
      <w:r w:rsidRPr="00247C05">
        <w:rPr>
          <w:rFonts w:cs="FrankRuehl"/>
          <w:sz w:val="20"/>
          <w:szCs w:val="22"/>
          <w:rtl/>
        </w:rPr>
        <w:t xml:space="preserve"> </w:t>
      </w:r>
      <w:r w:rsidRPr="00247C05">
        <w:rPr>
          <w:rFonts w:cs="FrankRuehl" w:hint="cs"/>
          <w:sz w:val="20"/>
          <w:szCs w:val="22"/>
          <w:rtl/>
        </w:rPr>
        <w:t>והנהלים</w:t>
      </w:r>
      <w:r w:rsidRPr="00247C05">
        <w:rPr>
          <w:rFonts w:cs="FrankRuehl"/>
          <w:sz w:val="20"/>
          <w:szCs w:val="22"/>
          <w:rtl/>
        </w:rPr>
        <w:t xml:space="preserve">. </w:t>
      </w:r>
      <w:r w:rsidRPr="00247C05">
        <w:rPr>
          <w:rFonts w:cs="FrankRuehl" w:hint="cs"/>
          <w:sz w:val="20"/>
          <w:szCs w:val="22"/>
          <w:rtl/>
        </w:rPr>
        <w:t>כמו</w:t>
      </w:r>
      <w:r w:rsidRPr="00247C05">
        <w:rPr>
          <w:rFonts w:cs="FrankRuehl"/>
          <w:sz w:val="20"/>
          <w:szCs w:val="22"/>
          <w:rtl/>
        </w:rPr>
        <w:t xml:space="preserve"> </w:t>
      </w:r>
      <w:r w:rsidRPr="00247C05">
        <w:rPr>
          <w:rFonts w:cs="FrankRuehl" w:hint="cs"/>
          <w:sz w:val="20"/>
          <w:szCs w:val="22"/>
          <w:rtl/>
        </w:rPr>
        <w:t>כן</w:t>
      </w:r>
      <w:r w:rsidRPr="00247C05">
        <w:rPr>
          <w:rFonts w:cs="FrankRuehl"/>
          <w:sz w:val="20"/>
          <w:szCs w:val="22"/>
          <w:rtl/>
        </w:rPr>
        <w:t xml:space="preserve"> נפגעת יכולת</w:t>
      </w:r>
      <w:r w:rsidRPr="00247C05">
        <w:rPr>
          <w:rFonts w:cs="FrankRuehl" w:hint="cs"/>
          <w:sz w:val="20"/>
          <w:szCs w:val="22"/>
          <w:rtl/>
        </w:rPr>
        <w:t>ה</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הב"ה לקיים </w:t>
      </w:r>
      <w:r w:rsidRPr="00247C05">
        <w:rPr>
          <w:rFonts w:cs="FrankRuehl" w:hint="cs"/>
          <w:sz w:val="20"/>
          <w:szCs w:val="22"/>
          <w:rtl/>
        </w:rPr>
        <w:t>פיקוח</w:t>
      </w:r>
      <w:r w:rsidRPr="00247C05">
        <w:rPr>
          <w:rFonts w:cs="FrankRuehl"/>
          <w:sz w:val="20"/>
          <w:szCs w:val="22"/>
          <w:rtl/>
        </w:rPr>
        <w:t xml:space="preserve"> </w:t>
      </w:r>
      <w:r w:rsidRPr="00247C05">
        <w:rPr>
          <w:rFonts w:cs="FrankRuehl" w:hint="cs"/>
          <w:sz w:val="20"/>
          <w:szCs w:val="22"/>
          <w:rtl/>
        </w:rPr>
        <w:t>ובקרה</w:t>
      </w:r>
      <w:r w:rsidRPr="00247C05">
        <w:rPr>
          <w:rFonts w:cs="FrankRuehl"/>
          <w:sz w:val="20"/>
          <w:szCs w:val="22"/>
          <w:rtl/>
        </w:rPr>
        <w:t xml:space="preserve"> ו</w:t>
      </w:r>
      <w:r w:rsidRPr="00247C05">
        <w:rPr>
          <w:rFonts w:cs="FrankRuehl" w:hint="cs"/>
          <w:sz w:val="20"/>
          <w:szCs w:val="22"/>
          <w:rtl/>
        </w:rPr>
        <w:t>לנתח את</w:t>
      </w:r>
      <w:r w:rsidRPr="00247C05">
        <w:rPr>
          <w:rFonts w:cs="FrankRuehl"/>
          <w:sz w:val="20"/>
          <w:szCs w:val="22"/>
          <w:rtl/>
        </w:rPr>
        <w:t xml:space="preserve"> נתוני </w:t>
      </w:r>
      <w:r w:rsidRPr="00247C05">
        <w:rPr>
          <w:rFonts w:cs="FrankRuehl" w:hint="cs"/>
          <w:sz w:val="20"/>
          <w:szCs w:val="22"/>
          <w:rtl/>
        </w:rPr>
        <w:t>הפעילות</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המזכירות </w:t>
      </w:r>
      <w:r w:rsidRPr="00247C05">
        <w:rPr>
          <w:rFonts w:cs="FrankRuehl" w:hint="cs"/>
          <w:sz w:val="20"/>
          <w:szCs w:val="22"/>
          <w:rtl/>
        </w:rPr>
        <w:t>מרחוק</w:t>
      </w:r>
      <w:r w:rsidRPr="00247C05">
        <w:rPr>
          <w:rFonts w:cs="FrankRuehl"/>
          <w:sz w:val="20"/>
          <w:szCs w:val="22"/>
          <w:rtl/>
        </w:rPr>
        <w:t xml:space="preserve">. </w:t>
      </w:r>
      <w:r w:rsidRPr="00247C05">
        <w:rPr>
          <w:rFonts w:cs="FrankRuehl" w:hint="cs"/>
          <w:sz w:val="20"/>
          <w:szCs w:val="22"/>
          <w:rtl/>
        </w:rPr>
        <w:t>נפגעת</w:t>
      </w:r>
      <w:r w:rsidRPr="00247C05">
        <w:rPr>
          <w:rFonts w:cs="FrankRuehl"/>
          <w:sz w:val="20"/>
          <w:szCs w:val="22"/>
          <w:rtl/>
        </w:rPr>
        <w:t xml:space="preserve"> </w:t>
      </w:r>
      <w:r w:rsidRPr="00247C05">
        <w:rPr>
          <w:rFonts w:cs="FrankRuehl" w:hint="cs"/>
          <w:sz w:val="20"/>
          <w:szCs w:val="22"/>
          <w:rtl/>
        </w:rPr>
        <w:t>גם</w:t>
      </w:r>
      <w:r w:rsidRPr="00247C05">
        <w:rPr>
          <w:rFonts w:cs="FrankRuehl"/>
          <w:sz w:val="20"/>
          <w:szCs w:val="22"/>
          <w:rtl/>
        </w:rPr>
        <w:t xml:space="preserve"> </w:t>
      </w:r>
      <w:r w:rsidRPr="00247C05">
        <w:rPr>
          <w:rFonts w:cs="FrankRuehl" w:hint="eastAsia"/>
          <w:sz w:val="20"/>
          <w:szCs w:val="22"/>
          <w:rtl/>
        </w:rPr>
        <w:t>האפשרות</w:t>
      </w:r>
      <w:r w:rsidRPr="00247C05">
        <w:rPr>
          <w:rFonts w:cs="FrankRuehl"/>
          <w:sz w:val="20"/>
          <w:szCs w:val="22"/>
          <w:rtl/>
        </w:rPr>
        <w:t xml:space="preserve"> להנפיק שוברי תשלום לזכות המדינה </w:t>
      </w:r>
      <w:r w:rsidRPr="00247C05">
        <w:rPr>
          <w:rFonts w:cs="FrankRuehl" w:hint="eastAsia"/>
          <w:sz w:val="20"/>
          <w:szCs w:val="22"/>
          <w:rtl/>
        </w:rPr>
        <w:t>כך</w:t>
      </w:r>
      <w:r w:rsidRPr="00247C05">
        <w:rPr>
          <w:rFonts w:cs="FrankRuehl"/>
          <w:sz w:val="20"/>
          <w:szCs w:val="22"/>
          <w:rtl/>
        </w:rPr>
        <w:t xml:space="preserve"> </w:t>
      </w:r>
      <w:r w:rsidRPr="00247C05">
        <w:rPr>
          <w:rFonts w:cs="FrankRuehl" w:hint="cs"/>
          <w:sz w:val="20"/>
          <w:szCs w:val="22"/>
          <w:rtl/>
        </w:rPr>
        <w:t>שנוצרים</w:t>
      </w:r>
      <w:r w:rsidRPr="00247C05">
        <w:rPr>
          <w:rFonts w:cs="FrankRuehl"/>
          <w:sz w:val="20"/>
          <w:szCs w:val="22"/>
          <w:rtl/>
        </w:rPr>
        <w:t xml:space="preserve"> </w:t>
      </w:r>
      <w:r w:rsidRPr="00247C05">
        <w:rPr>
          <w:rFonts w:cs="FrankRuehl" w:hint="cs"/>
          <w:sz w:val="20"/>
          <w:szCs w:val="22"/>
          <w:rtl/>
        </w:rPr>
        <w:t>קשיים</w:t>
      </w:r>
      <w:r w:rsidRPr="00247C05">
        <w:rPr>
          <w:rFonts w:cs="FrankRuehl"/>
          <w:sz w:val="20"/>
          <w:szCs w:val="22"/>
          <w:rtl/>
        </w:rPr>
        <w:t xml:space="preserve"> </w:t>
      </w:r>
      <w:r w:rsidRPr="00247C05">
        <w:rPr>
          <w:rFonts w:cs="FrankRuehl" w:hint="eastAsia"/>
          <w:sz w:val="20"/>
          <w:szCs w:val="22"/>
          <w:rtl/>
        </w:rPr>
        <w:t>בהעברת</w:t>
      </w:r>
      <w:r w:rsidRPr="00247C05">
        <w:rPr>
          <w:rFonts w:cs="FrankRuehl"/>
          <w:sz w:val="20"/>
          <w:szCs w:val="22"/>
          <w:rtl/>
        </w:rPr>
        <w:t xml:space="preserve"> </w:t>
      </w:r>
      <w:r w:rsidRPr="00247C05">
        <w:rPr>
          <w:rFonts w:cs="FrankRuehl" w:hint="eastAsia"/>
          <w:sz w:val="20"/>
          <w:szCs w:val="22"/>
          <w:rtl/>
        </w:rPr>
        <w:t>כספים</w:t>
      </w:r>
      <w:r w:rsidRPr="00247C05">
        <w:rPr>
          <w:rFonts w:cs="FrankRuehl"/>
          <w:sz w:val="20"/>
          <w:szCs w:val="22"/>
          <w:rtl/>
        </w:rPr>
        <w:t xml:space="preserve"> המגיעים לאוצר המדינה.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יתרה</w:t>
      </w:r>
      <w:r w:rsidRPr="00247C05">
        <w:rPr>
          <w:rFonts w:cs="FrankRuehl"/>
          <w:sz w:val="20"/>
          <w:szCs w:val="22"/>
          <w:rtl/>
        </w:rPr>
        <w:t xml:space="preserve"> </w:t>
      </w:r>
      <w:r w:rsidRPr="00247C05">
        <w:rPr>
          <w:rFonts w:cs="FrankRuehl" w:hint="cs"/>
          <w:sz w:val="20"/>
          <w:szCs w:val="22"/>
          <w:rtl/>
        </w:rPr>
        <w:t>מכך</w:t>
      </w:r>
      <w:r w:rsidRPr="00247C05">
        <w:rPr>
          <w:rFonts w:cs="FrankRuehl"/>
          <w:sz w:val="20"/>
          <w:szCs w:val="22"/>
          <w:rtl/>
        </w:rPr>
        <w:t xml:space="preserve">, </w:t>
      </w:r>
      <w:r w:rsidRPr="00247C05">
        <w:rPr>
          <w:rFonts w:cs="FrankRuehl" w:hint="cs"/>
          <w:sz w:val="20"/>
          <w:szCs w:val="22"/>
          <w:rtl/>
        </w:rPr>
        <w:t>לדעת</w:t>
      </w:r>
      <w:r w:rsidRPr="00247C05">
        <w:rPr>
          <w:rFonts w:cs="FrankRuehl"/>
          <w:sz w:val="20"/>
          <w:szCs w:val="22"/>
          <w:rtl/>
        </w:rPr>
        <w:t xml:space="preserve"> </w:t>
      </w:r>
      <w:r w:rsidRPr="00247C05">
        <w:rPr>
          <w:rFonts w:cs="FrankRuehl" w:hint="cs"/>
          <w:sz w:val="20"/>
          <w:szCs w:val="22"/>
          <w:rtl/>
        </w:rPr>
        <w:t>הב</w:t>
      </w:r>
      <w:r w:rsidRPr="00247C05">
        <w:rPr>
          <w:rFonts w:cs="FrankRuehl"/>
          <w:sz w:val="20"/>
          <w:szCs w:val="22"/>
          <w:rtl/>
        </w:rPr>
        <w:t>"ה</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היעדרה</w:t>
      </w:r>
      <w:r w:rsidRPr="00247C05">
        <w:rPr>
          <w:rFonts w:cs="FrankRuehl"/>
          <w:sz w:val="20"/>
          <w:szCs w:val="22"/>
          <w:rtl/>
        </w:rPr>
        <w:t xml:space="preserve"> של </w:t>
      </w:r>
      <w:r w:rsidRPr="00247C05">
        <w:rPr>
          <w:rFonts w:cs="FrankRuehl" w:hint="cs"/>
          <w:sz w:val="20"/>
          <w:szCs w:val="22"/>
          <w:rtl/>
        </w:rPr>
        <w:t>מערכת</w:t>
      </w:r>
      <w:r w:rsidRPr="00247C05">
        <w:rPr>
          <w:rFonts w:cs="FrankRuehl"/>
          <w:sz w:val="20"/>
          <w:szCs w:val="22"/>
          <w:rtl/>
        </w:rPr>
        <w:t xml:space="preserve"> נט המשפט בחלק מהמזכירויות </w:t>
      </w:r>
      <w:r w:rsidRPr="00247C05">
        <w:rPr>
          <w:rFonts w:cs="FrankRuehl" w:hint="cs"/>
          <w:sz w:val="20"/>
          <w:szCs w:val="22"/>
          <w:rtl/>
        </w:rPr>
        <w:t>משפיעה</w:t>
      </w:r>
      <w:r w:rsidRPr="00247C05">
        <w:rPr>
          <w:rFonts w:cs="FrankRuehl"/>
          <w:sz w:val="20"/>
          <w:szCs w:val="22"/>
          <w:rtl/>
        </w:rPr>
        <w:t xml:space="preserve"> </w:t>
      </w:r>
      <w:r w:rsidRPr="00247C05">
        <w:rPr>
          <w:rFonts w:cs="FrankRuehl" w:hint="cs"/>
          <w:sz w:val="20"/>
          <w:szCs w:val="22"/>
          <w:rtl/>
        </w:rPr>
        <w:t>על</w:t>
      </w:r>
      <w:r w:rsidRPr="00247C05">
        <w:rPr>
          <w:rFonts w:cs="FrankRuehl"/>
          <w:sz w:val="20"/>
          <w:szCs w:val="22"/>
          <w:rtl/>
        </w:rPr>
        <w:t xml:space="preserve"> </w:t>
      </w:r>
      <w:r w:rsidRPr="00247C05">
        <w:rPr>
          <w:rFonts w:cs="FrankRuehl" w:hint="cs"/>
          <w:sz w:val="20"/>
          <w:szCs w:val="22"/>
          <w:rtl/>
        </w:rPr>
        <w:t>השירות</w:t>
      </w:r>
      <w:r w:rsidRPr="00247C05">
        <w:rPr>
          <w:rFonts w:cs="FrankRuehl"/>
          <w:sz w:val="20"/>
          <w:szCs w:val="22"/>
          <w:rtl/>
        </w:rPr>
        <w:t xml:space="preserve"> </w:t>
      </w:r>
      <w:r w:rsidRPr="00247C05">
        <w:rPr>
          <w:rFonts w:cs="FrankRuehl" w:hint="cs"/>
          <w:sz w:val="20"/>
          <w:szCs w:val="22"/>
          <w:rtl/>
        </w:rPr>
        <w:t>הניתן</w:t>
      </w:r>
      <w:r w:rsidRPr="00247C05">
        <w:rPr>
          <w:rFonts w:cs="FrankRuehl"/>
          <w:sz w:val="20"/>
          <w:szCs w:val="22"/>
          <w:rtl/>
        </w:rPr>
        <w:t xml:space="preserve"> </w:t>
      </w:r>
      <w:r w:rsidRPr="00247C05">
        <w:rPr>
          <w:rFonts w:cs="FrankRuehl" w:hint="cs"/>
          <w:sz w:val="20"/>
          <w:szCs w:val="22"/>
          <w:rtl/>
        </w:rPr>
        <w:t>לבאי</w:t>
      </w:r>
      <w:r w:rsidRPr="00247C05">
        <w:rPr>
          <w:rFonts w:cs="FrankRuehl"/>
          <w:sz w:val="20"/>
          <w:szCs w:val="22"/>
          <w:rtl/>
        </w:rPr>
        <w:t xml:space="preserve"> </w:t>
      </w:r>
      <w:r w:rsidRPr="00247C05">
        <w:rPr>
          <w:rFonts w:cs="FrankRuehl" w:hint="cs"/>
          <w:sz w:val="20"/>
          <w:szCs w:val="22"/>
          <w:rtl/>
        </w:rPr>
        <w:t>בית</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כמו</w:t>
      </w:r>
      <w:r w:rsidRPr="00247C05">
        <w:rPr>
          <w:rFonts w:cs="FrankRuehl"/>
          <w:sz w:val="20"/>
          <w:szCs w:val="22"/>
          <w:rtl/>
        </w:rPr>
        <w:t xml:space="preserve"> </w:t>
      </w:r>
      <w:r w:rsidRPr="00247C05">
        <w:rPr>
          <w:rFonts w:cs="FrankRuehl" w:hint="cs"/>
          <w:sz w:val="20"/>
          <w:szCs w:val="22"/>
          <w:rtl/>
        </w:rPr>
        <w:t>חוסר</w:t>
      </w:r>
      <w:r w:rsidRPr="00247C05">
        <w:rPr>
          <w:rFonts w:cs="FrankRuehl"/>
          <w:sz w:val="20"/>
          <w:szCs w:val="22"/>
          <w:rtl/>
        </w:rPr>
        <w:t xml:space="preserve"> </w:t>
      </w:r>
      <w:r w:rsidRPr="00247C05">
        <w:rPr>
          <w:rFonts w:cs="FrankRuehl" w:hint="cs"/>
          <w:sz w:val="20"/>
          <w:szCs w:val="22"/>
          <w:rtl/>
        </w:rPr>
        <w:t>אחידות</w:t>
      </w:r>
      <w:r w:rsidRPr="00247C05">
        <w:rPr>
          <w:rFonts w:cs="FrankRuehl"/>
          <w:sz w:val="20"/>
          <w:szCs w:val="22"/>
          <w:rtl/>
        </w:rPr>
        <w:t xml:space="preserve"> </w:t>
      </w:r>
      <w:r w:rsidRPr="00247C05">
        <w:rPr>
          <w:rFonts w:cs="FrankRuehl" w:hint="cs"/>
          <w:sz w:val="20"/>
          <w:szCs w:val="22"/>
          <w:rtl/>
        </w:rPr>
        <w:t>במתן</w:t>
      </w:r>
      <w:r w:rsidRPr="00247C05">
        <w:rPr>
          <w:rFonts w:cs="FrankRuehl"/>
          <w:sz w:val="20"/>
          <w:szCs w:val="22"/>
          <w:rtl/>
        </w:rPr>
        <w:t xml:space="preserve"> </w:t>
      </w:r>
      <w:r w:rsidRPr="00247C05">
        <w:rPr>
          <w:rFonts w:cs="FrankRuehl" w:hint="cs"/>
          <w:sz w:val="20"/>
          <w:szCs w:val="22"/>
          <w:rtl/>
        </w:rPr>
        <w:t>השירות</w:t>
      </w:r>
      <w:r w:rsidRPr="00247C05">
        <w:rPr>
          <w:rFonts w:cs="FrankRuehl"/>
          <w:sz w:val="20"/>
          <w:szCs w:val="22"/>
          <w:rtl/>
        </w:rPr>
        <w:t xml:space="preserve"> </w:t>
      </w:r>
      <w:r w:rsidRPr="00247C05">
        <w:rPr>
          <w:rFonts w:cs="FrankRuehl" w:hint="cs"/>
          <w:sz w:val="20"/>
          <w:szCs w:val="22"/>
          <w:rtl/>
        </w:rPr>
        <w:t>לאזרח</w:t>
      </w:r>
      <w:r w:rsidRPr="00247C05">
        <w:rPr>
          <w:rFonts w:cs="FrankRuehl"/>
          <w:sz w:val="20"/>
          <w:szCs w:val="22"/>
          <w:rtl/>
        </w:rPr>
        <w:t xml:space="preserve"> </w:t>
      </w:r>
      <w:r w:rsidRPr="00247C05">
        <w:rPr>
          <w:rFonts w:cs="FrankRuehl" w:hint="cs"/>
          <w:sz w:val="20"/>
          <w:szCs w:val="22"/>
          <w:rtl/>
        </w:rPr>
        <w:t>בבמ</w:t>
      </w:r>
      <w:r w:rsidRPr="00247C05">
        <w:rPr>
          <w:rFonts w:cs="FrankRuehl"/>
          <w:sz w:val="20"/>
          <w:szCs w:val="22"/>
          <w:rtl/>
        </w:rPr>
        <w:t xml:space="preserve">"ש </w:t>
      </w:r>
      <w:r w:rsidRPr="00247C05">
        <w:rPr>
          <w:rFonts w:cs="FrankRuehl" w:hint="cs"/>
          <w:sz w:val="20"/>
          <w:szCs w:val="22"/>
          <w:rtl/>
        </w:rPr>
        <w:t>עמ</w:t>
      </w:r>
      <w:r w:rsidRPr="00247C05">
        <w:rPr>
          <w:rFonts w:cs="FrankRuehl"/>
          <w:sz w:val="20"/>
          <w:szCs w:val="22"/>
          <w:rtl/>
        </w:rPr>
        <w:t xml:space="preserve">"ק </w:t>
      </w:r>
      <w:r w:rsidRPr="00247C05">
        <w:rPr>
          <w:rFonts w:cs="FrankRuehl" w:hint="cs"/>
          <w:sz w:val="20"/>
          <w:szCs w:val="22"/>
          <w:rtl/>
        </w:rPr>
        <w:t>השונים</w:t>
      </w:r>
      <w:r w:rsidRPr="00247C05">
        <w:rPr>
          <w:rFonts w:cs="FrankRuehl"/>
          <w:sz w:val="20"/>
          <w:szCs w:val="22"/>
          <w:rtl/>
        </w:rPr>
        <w:t>, ו</w:t>
      </w:r>
      <w:r w:rsidRPr="00247C05">
        <w:rPr>
          <w:rFonts w:cs="FrankRuehl" w:hint="cs"/>
          <w:sz w:val="20"/>
          <w:szCs w:val="22"/>
          <w:rtl/>
        </w:rPr>
        <w:t>כן</w:t>
      </w:r>
      <w:r w:rsidRPr="00247C05">
        <w:rPr>
          <w:rFonts w:cs="FrankRuehl"/>
          <w:sz w:val="20"/>
          <w:szCs w:val="22"/>
          <w:rtl/>
        </w:rPr>
        <w:t xml:space="preserve"> </w:t>
      </w:r>
      <w:r w:rsidRPr="00247C05">
        <w:rPr>
          <w:rFonts w:cs="FrankRuehl" w:hint="cs"/>
          <w:sz w:val="20"/>
          <w:szCs w:val="22"/>
          <w:rtl/>
        </w:rPr>
        <w:t>בינם</w:t>
      </w:r>
      <w:r w:rsidRPr="00247C05">
        <w:rPr>
          <w:rFonts w:cs="FrankRuehl"/>
          <w:sz w:val="20"/>
          <w:szCs w:val="22"/>
          <w:rtl/>
        </w:rPr>
        <w:t xml:space="preserve"> </w:t>
      </w:r>
      <w:r w:rsidRPr="00247C05">
        <w:rPr>
          <w:rFonts w:cs="FrankRuehl" w:hint="cs"/>
          <w:sz w:val="20"/>
          <w:szCs w:val="22"/>
          <w:rtl/>
        </w:rPr>
        <w:t>ובין</w:t>
      </w:r>
      <w:r w:rsidRPr="00247C05">
        <w:rPr>
          <w:rFonts w:cs="FrankRuehl"/>
          <w:sz w:val="20"/>
          <w:szCs w:val="22"/>
          <w:rtl/>
        </w:rPr>
        <w:t xml:space="preserve"> </w:t>
      </w:r>
      <w:r w:rsidRPr="00247C05">
        <w:rPr>
          <w:rFonts w:cs="FrankRuehl" w:hint="cs"/>
          <w:sz w:val="20"/>
          <w:szCs w:val="22"/>
          <w:rtl/>
        </w:rPr>
        <w:t>בתי</w:t>
      </w:r>
      <w:r w:rsidRPr="00247C05">
        <w:rPr>
          <w:rFonts w:cs="FrankRuehl"/>
          <w:sz w:val="20"/>
          <w:szCs w:val="22"/>
          <w:rtl/>
        </w:rPr>
        <w:t xml:space="preserve"> </w:t>
      </w:r>
      <w:r w:rsidRPr="00247C05">
        <w:rPr>
          <w:rFonts w:cs="FrankRuehl" w:hint="cs"/>
          <w:sz w:val="20"/>
          <w:szCs w:val="22"/>
          <w:rtl/>
        </w:rPr>
        <w:t>משפט</w:t>
      </w:r>
      <w:r w:rsidRPr="00247C05">
        <w:rPr>
          <w:rFonts w:cs="FrankRuehl"/>
          <w:sz w:val="20"/>
          <w:szCs w:val="22"/>
          <w:rtl/>
        </w:rPr>
        <w:t xml:space="preserve"> </w:t>
      </w:r>
      <w:r w:rsidRPr="00247C05">
        <w:rPr>
          <w:rFonts w:cs="FrankRuehl" w:hint="cs"/>
          <w:sz w:val="20"/>
          <w:szCs w:val="22"/>
          <w:rtl/>
        </w:rPr>
        <w:t>השלום</w:t>
      </w:r>
      <w:r w:rsidRPr="00247C05">
        <w:rPr>
          <w:rFonts w:cs="FrankRuehl"/>
          <w:sz w:val="20"/>
          <w:szCs w:val="22"/>
          <w:rtl/>
        </w:rPr>
        <w:t xml:space="preserve">, </w:t>
      </w:r>
      <w:r w:rsidRPr="00247C05">
        <w:rPr>
          <w:rFonts w:cs="FrankRuehl" w:hint="cs"/>
          <w:sz w:val="20"/>
          <w:szCs w:val="22"/>
          <w:rtl/>
        </w:rPr>
        <w:t>פגיעה</w:t>
      </w:r>
      <w:r w:rsidRPr="00247C05">
        <w:rPr>
          <w:rFonts w:cs="FrankRuehl"/>
          <w:sz w:val="20"/>
          <w:szCs w:val="22"/>
          <w:rtl/>
        </w:rPr>
        <w:t xml:space="preserve"> </w:t>
      </w:r>
      <w:r w:rsidRPr="00247C05">
        <w:rPr>
          <w:rFonts w:cs="FrankRuehl" w:hint="cs"/>
          <w:sz w:val="20"/>
          <w:szCs w:val="22"/>
          <w:rtl/>
        </w:rPr>
        <w:t>בעקרון</w:t>
      </w:r>
      <w:r w:rsidRPr="00247C05">
        <w:rPr>
          <w:rFonts w:cs="FrankRuehl"/>
          <w:sz w:val="20"/>
          <w:szCs w:val="22"/>
          <w:rtl/>
        </w:rPr>
        <w:t xml:space="preserve"> </w:t>
      </w:r>
      <w:r w:rsidRPr="00247C05">
        <w:rPr>
          <w:rFonts w:cs="FrankRuehl" w:hint="cs"/>
          <w:sz w:val="20"/>
          <w:szCs w:val="22"/>
          <w:rtl/>
        </w:rPr>
        <w:t>חופש</w:t>
      </w:r>
      <w:r w:rsidRPr="00247C05">
        <w:rPr>
          <w:rFonts w:cs="FrankRuehl"/>
          <w:sz w:val="20"/>
          <w:szCs w:val="22"/>
          <w:rtl/>
        </w:rPr>
        <w:t xml:space="preserve"> </w:t>
      </w:r>
      <w:r w:rsidRPr="00247C05">
        <w:rPr>
          <w:rFonts w:cs="FrankRuehl" w:hint="cs"/>
          <w:sz w:val="20"/>
          <w:szCs w:val="22"/>
          <w:rtl/>
        </w:rPr>
        <w:t>המידע</w:t>
      </w:r>
      <w:r w:rsidRPr="00247C05">
        <w:rPr>
          <w:rFonts w:cs="FrankRuehl"/>
          <w:sz w:val="20"/>
          <w:szCs w:val="22"/>
          <w:rtl/>
        </w:rPr>
        <w:t xml:space="preserve"> </w:t>
      </w:r>
      <w:r w:rsidRPr="00247C05">
        <w:rPr>
          <w:rFonts w:cs="FrankRuehl" w:hint="cs"/>
          <w:sz w:val="20"/>
          <w:szCs w:val="22"/>
          <w:rtl/>
        </w:rPr>
        <w:t>בהיעדר</w:t>
      </w:r>
      <w:r w:rsidRPr="00247C05">
        <w:rPr>
          <w:rFonts w:cs="FrankRuehl"/>
          <w:sz w:val="20"/>
          <w:szCs w:val="22"/>
          <w:rtl/>
        </w:rPr>
        <w:t xml:space="preserve"> יכולת </w:t>
      </w:r>
      <w:r w:rsidRPr="00247C05">
        <w:rPr>
          <w:rFonts w:cs="FrankRuehl" w:hint="cs"/>
          <w:sz w:val="20"/>
          <w:szCs w:val="22"/>
          <w:rtl/>
        </w:rPr>
        <w:t>לעיין</w:t>
      </w:r>
      <w:r w:rsidRPr="00247C05">
        <w:rPr>
          <w:rFonts w:cs="FrankRuehl"/>
          <w:sz w:val="20"/>
          <w:szCs w:val="22"/>
          <w:rtl/>
        </w:rPr>
        <w:t xml:space="preserve"> </w:t>
      </w:r>
      <w:r w:rsidRPr="00247C05">
        <w:rPr>
          <w:rFonts w:cs="FrankRuehl" w:hint="cs"/>
          <w:sz w:val="20"/>
          <w:szCs w:val="22"/>
          <w:rtl/>
        </w:rPr>
        <w:t>בתיק</w:t>
      </w:r>
      <w:r w:rsidRPr="00247C05">
        <w:rPr>
          <w:rFonts w:cs="FrankRuehl"/>
          <w:sz w:val="20"/>
          <w:szCs w:val="22"/>
          <w:rtl/>
        </w:rPr>
        <w:t xml:space="preserve"> </w:t>
      </w:r>
      <w:r w:rsidRPr="00247C05">
        <w:rPr>
          <w:rFonts w:cs="FrankRuehl" w:hint="cs"/>
          <w:sz w:val="20"/>
          <w:szCs w:val="22"/>
          <w:rtl/>
        </w:rPr>
        <w:t>המשפטי</w:t>
      </w:r>
      <w:r w:rsidRPr="00247C05">
        <w:rPr>
          <w:rFonts w:cs="FrankRuehl"/>
          <w:sz w:val="20"/>
          <w:szCs w:val="22"/>
          <w:rtl/>
        </w:rPr>
        <w:t xml:space="preserve"> </w:t>
      </w:r>
      <w:r w:rsidRPr="00247C05">
        <w:rPr>
          <w:rFonts w:cs="FrankRuehl" w:hint="cs"/>
          <w:sz w:val="20"/>
          <w:szCs w:val="22"/>
          <w:rtl/>
        </w:rPr>
        <w:t>באמצעות</w:t>
      </w:r>
      <w:r w:rsidRPr="00247C05">
        <w:rPr>
          <w:rFonts w:cs="FrankRuehl"/>
          <w:sz w:val="20"/>
          <w:szCs w:val="22"/>
          <w:rtl/>
        </w:rPr>
        <w:t xml:space="preserve"> </w:t>
      </w:r>
      <w:r w:rsidRPr="00247C05">
        <w:rPr>
          <w:rFonts w:cs="FrankRuehl" w:hint="cs"/>
          <w:sz w:val="20"/>
          <w:szCs w:val="22"/>
          <w:rtl/>
        </w:rPr>
        <w:t>המרשתת</w:t>
      </w:r>
      <w:r w:rsidRPr="00247C05">
        <w:rPr>
          <w:rFonts w:cs="FrankRuehl"/>
          <w:sz w:val="20"/>
          <w:szCs w:val="22"/>
          <w:rtl/>
        </w:rPr>
        <w:t xml:space="preserve"> (אינטרנט) </w:t>
      </w:r>
      <w:r w:rsidRPr="00247C05">
        <w:rPr>
          <w:rFonts w:cs="FrankRuehl" w:hint="cs"/>
          <w:sz w:val="20"/>
          <w:szCs w:val="22"/>
          <w:rtl/>
        </w:rPr>
        <w:t>וכן</w:t>
      </w:r>
      <w:r w:rsidRPr="00247C05">
        <w:rPr>
          <w:rFonts w:cs="FrankRuehl"/>
          <w:sz w:val="20"/>
          <w:szCs w:val="22"/>
          <w:rtl/>
        </w:rPr>
        <w:t xml:space="preserve"> </w:t>
      </w:r>
      <w:r w:rsidRPr="00247C05">
        <w:rPr>
          <w:rFonts w:cs="FrankRuehl" w:hint="cs"/>
          <w:sz w:val="20"/>
          <w:szCs w:val="22"/>
          <w:rtl/>
        </w:rPr>
        <w:t>פגיעה</w:t>
      </w:r>
      <w:r w:rsidRPr="00247C05">
        <w:rPr>
          <w:rFonts w:cs="FrankRuehl"/>
          <w:sz w:val="20"/>
          <w:szCs w:val="22"/>
          <w:rtl/>
        </w:rPr>
        <w:t xml:space="preserve"> בעקרון </w:t>
      </w:r>
      <w:r w:rsidRPr="00247C05">
        <w:rPr>
          <w:rFonts w:cs="FrankRuehl" w:hint="cs"/>
          <w:sz w:val="20"/>
          <w:szCs w:val="22"/>
          <w:rtl/>
        </w:rPr>
        <w:t>הפומביות</w:t>
      </w:r>
      <w:r w:rsidRPr="00247C05">
        <w:rPr>
          <w:rFonts w:cs="FrankRuehl"/>
          <w:sz w:val="20"/>
          <w:szCs w:val="22"/>
          <w:rtl/>
        </w:rPr>
        <w:t xml:space="preserve"> בהיעדר פרסום של פסקי דין של במ"ש </w:t>
      </w:r>
      <w:r w:rsidRPr="00247C05">
        <w:rPr>
          <w:rFonts w:cs="FrankRuehl" w:hint="cs"/>
          <w:sz w:val="20"/>
          <w:szCs w:val="22"/>
          <w:rtl/>
        </w:rPr>
        <w:t>עמ</w:t>
      </w:r>
      <w:r w:rsidRPr="00247C05">
        <w:rPr>
          <w:rFonts w:cs="FrankRuehl"/>
          <w:sz w:val="20"/>
          <w:szCs w:val="22"/>
          <w:rtl/>
        </w:rPr>
        <w:t>"ק.</w:t>
      </w:r>
    </w:p>
    <w:p w:rsidR="003037FB" w:rsidP="00040DAE">
      <w:pPr>
        <w:spacing w:after="120" w:line="230" w:lineRule="exact"/>
        <w:jc w:val="both"/>
        <w:rPr>
          <w:rFonts w:cs="FrankRuehl"/>
          <w:sz w:val="20"/>
          <w:szCs w:val="22"/>
          <w:rtl/>
        </w:rPr>
      </w:pPr>
      <w:r w:rsidRPr="00247C05">
        <w:rPr>
          <w:rFonts w:cs="FrankRuehl" w:hint="cs"/>
          <w:sz w:val="20"/>
          <w:szCs w:val="22"/>
          <w:rtl/>
        </w:rPr>
        <w:t>משרד מבקר המדינה בדק היבטים הקשורים להטמעת המערכת בבתי משפט עמ"ק ולהלן הממצאים:</w:t>
      </w: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862DE8" w:rsidRPr="0001521E" w:rsidP="00862DE8">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862DE8" w:rsidP="00862DE8">
            <w:pPr>
              <w:pStyle w:val="RESHET"/>
              <w:keepNext/>
              <w:keepLines/>
              <w:rPr>
                <w:rtl/>
              </w:rPr>
            </w:pPr>
            <w:r w:rsidRPr="00247C05">
              <w:rPr>
                <w:rFonts w:hint="cs"/>
                <w:rtl/>
              </w:rPr>
              <w:t>נמצא כי עד מועד תום הביקורת באוקטובר 2015 לא סיימה הב"ה את הכנת תכנית העבודה להטמעת נט המשפט, לא העבירה למזכירויות הנחיה מחייבת בנוגע להתקנתה בבתי משפט עמ"ק ולא התקינה אותה, הלכה למעשה, בבתי משפט עמ"ק נוספים. לפיכך תשעה בתי המשפט עמ"ק</w:t>
            </w:r>
            <w:r>
              <w:rPr>
                <w:rStyle w:val="FootnoteReference"/>
                <w:rFonts w:cs="FrankRuehl"/>
                <w:rtl/>
              </w:rPr>
              <w:footnoteReference w:id="16"/>
            </w:r>
            <w:r w:rsidRPr="00247C05">
              <w:rPr>
                <w:rFonts w:hint="cs"/>
                <w:rtl/>
              </w:rPr>
              <w:t xml:space="preserve"> אינם מחוברים כיום למערכת, ובהם שלושת בתי המשפט שבהם היקף הפעילות הגדול ביותר (ירושלים, תל אביב וחיפה).</w:t>
            </w:r>
          </w:p>
        </w:tc>
      </w:tr>
    </w:tbl>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בתשובתה ציינה הב"ה, כי נט</w:t>
      </w:r>
      <w:r w:rsidRPr="00247C05">
        <w:rPr>
          <w:rFonts w:cs="FrankRuehl"/>
          <w:sz w:val="20"/>
          <w:szCs w:val="22"/>
          <w:rtl/>
        </w:rPr>
        <w:t xml:space="preserve"> המשפט היא כלי העבודה הבלעדי על פי הנהלים</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והחלטתה לחייב את התקנת נט המשפט שרירה וקיימת</w:t>
      </w:r>
      <w:r w:rsidRPr="00247C05">
        <w:rPr>
          <w:rFonts w:cs="FrankRuehl"/>
          <w:sz w:val="20"/>
          <w:szCs w:val="22"/>
          <w:rtl/>
        </w:rPr>
        <w:t xml:space="preserve">. </w:t>
      </w:r>
      <w:r w:rsidRPr="00247C05">
        <w:rPr>
          <w:rFonts w:cs="FrankRuehl" w:hint="cs"/>
          <w:sz w:val="20"/>
          <w:szCs w:val="22"/>
          <w:rtl/>
        </w:rPr>
        <w:t>ואולם קיימת בעיה לפיה מספר</w:t>
      </w:r>
      <w:r w:rsidRPr="00247C05">
        <w:rPr>
          <w:rFonts w:cs="FrankRuehl"/>
          <w:sz w:val="20"/>
          <w:szCs w:val="22"/>
          <w:rtl/>
        </w:rPr>
        <w:t xml:space="preserve"> לא קטן של רשויות לא מוכנות לקבל עליהן לעבוד עם נט המשפט </w:t>
      </w:r>
      <w:r w:rsidRPr="00247C05">
        <w:rPr>
          <w:rFonts w:cs="FrankRuehl" w:hint="cs"/>
          <w:sz w:val="20"/>
          <w:szCs w:val="22"/>
          <w:rtl/>
        </w:rPr>
        <w:t>ונוצר</w:t>
      </w:r>
      <w:r w:rsidRPr="00247C05">
        <w:rPr>
          <w:rFonts w:cs="FrankRuehl"/>
          <w:sz w:val="20"/>
          <w:szCs w:val="22"/>
          <w:rtl/>
        </w:rPr>
        <w:t xml:space="preserve"> מצב שהנהלים המקצועיים אינם מיושמים במלואם ולמערכת בתי המשפט אין אפשרות לפקח על יישום הנהלים</w:t>
      </w:r>
      <w:r w:rsidRPr="00247C05">
        <w:rPr>
          <w:rFonts w:cs="FrankRuehl" w:hint="cs"/>
          <w:sz w:val="20"/>
          <w:szCs w:val="22"/>
          <w:rtl/>
        </w:rPr>
        <w:t xml:space="preserve">. </w:t>
      </w:r>
    </w:p>
    <w:p w:rsidR="003037FB" w:rsidRPr="000953B5" w:rsidP="00862DE8">
      <w:pPr>
        <w:spacing w:after="240" w:line="230" w:lineRule="exact"/>
        <w:ind w:left="340"/>
        <w:jc w:val="both"/>
        <w:rPr>
          <w:rFonts w:cs="FrankRuehl"/>
          <w:sz w:val="20"/>
          <w:szCs w:val="22"/>
          <w:rtl/>
        </w:rPr>
      </w:pPr>
      <w:r w:rsidRPr="000953B5">
        <w:rPr>
          <w:rFonts w:cs="FrankRuehl" w:hint="cs"/>
          <w:sz w:val="20"/>
          <w:szCs w:val="22"/>
          <w:rtl/>
        </w:rPr>
        <w:t>יצוין כי בתוך כך ב-2012 החלו בעיריית חיפה בגיבוש מערכת חדשה ל</w:t>
      </w:r>
      <w:r w:rsidRPr="000953B5">
        <w:rPr>
          <w:rFonts w:cs="FrankRuehl"/>
          <w:sz w:val="20"/>
          <w:szCs w:val="22"/>
          <w:rtl/>
        </w:rPr>
        <w:t xml:space="preserve">ניהול בית משפט שנבנתה ע"י </w:t>
      </w:r>
      <w:r w:rsidRPr="000953B5">
        <w:rPr>
          <w:rFonts w:cs="FrankRuehl" w:hint="cs"/>
          <w:sz w:val="20"/>
          <w:szCs w:val="22"/>
          <w:rtl/>
        </w:rPr>
        <w:t xml:space="preserve">חברת מחשוב שהעירייה עובדת אתה. את </w:t>
      </w:r>
      <w:r w:rsidRPr="000953B5">
        <w:rPr>
          <w:rFonts w:cs="FrankRuehl"/>
          <w:sz w:val="20"/>
          <w:szCs w:val="22"/>
          <w:rtl/>
        </w:rPr>
        <w:t xml:space="preserve">המערכת </w:t>
      </w:r>
      <w:r w:rsidRPr="000953B5">
        <w:rPr>
          <w:rFonts w:cs="FrankRuehl" w:hint="cs"/>
          <w:sz w:val="20"/>
          <w:szCs w:val="22"/>
          <w:rtl/>
        </w:rPr>
        <w:t xml:space="preserve">אמורים להתקין </w:t>
      </w:r>
      <w:r w:rsidRPr="000953B5">
        <w:rPr>
          <w:rFonts w:cs="FrankRuehl"/>
          <w:sz w:val="20"/>
          <w:szCs w:val="22"/>
          <w:rtl/>
        </w:rPr>
        <w:t>בבית משפט</w:t>
      </w:r>
      <w:r w:rsidRPr="000953B5">
        <w:rPr>
          <w:rFonts w:cs="FrankRuehl" w:hint="cs"/>
          <w:sz w:val="20"/>
          <w:szCs w:val="22"/>
          <w:rtl/>
        </w:rPr>
        <w:t xml:space="preserve"> עמ"ק בחיפה</w:t>
      </w:r>
      <w:r w:rsidRPr="000953B5">
        <w:rPr>
          <w:rFonts w:cs="FrankRuehl"/>
          <w:sz w:val="20"/>
          <w:szCs w:val="22"/>
          <w:rtl/>
        </w:rPr>
        <w:t xml:space="preserve"> </w:t>
      </w:r>
      <w:r w:rsidRPr="000953B5">
        <w:rPr>
          <w:rFonts w:cs="FrankRuehl" w:hint="cs"/>
          <w:sz w:val="20"/>
          <w:szCs w:val="22"/>
          <w:rtl/>
        </w:rPr>
        <w:t>במהלך הרבעון האחרון של שנת 2015</w:t>
      </w:r>
      <w:r w:rsidRPr="000953B5">
        <w:rPr>
          <w:rFonts w:cs="FrankRuehl"/>
          <w:sz w:val="20"/>
          <w:szCs w:val="22"/>
          <w:rtl/>
        </w:rPr>
        <w:t>.</w:t>
      </w:r>
    </w:p>
    <w:p w:rsidR="003037FB" w:rsidP="00862DE8">
      <w:pPr>
        <w:pStyle w:val="RESHET"/>
        <w:keepLines/>
        <w:ind w:left="567"/>
        <w:rPr>
          <w:rtl/>
        </w:rPr>
      </w:pPr>
      <w:r w:rsidRPr="00247C05">
        <w:rPr>
          <w:rFonts w:hint="cs"/>
          <w:rtl/>
        </w:rPr>
        <w:t>משרד מבקר המדינה מעיר להב"ה, כי לאחר שהחליטה שיש לחייב את הרשויות המקומיות להתקין את מערכת נט המשפט בכל בית משפט עמ"ק, וכדי להימנע מכך שרשויות נוספות יחליטו להשקיע בפיתוח מערכות חלופיות - ע</w:t>
      </w:r>
      <w:r w:rsidRPr="00247C05">
        <w:rPr>
          <w:rFonts w:hint="eastAsia"/>
          <w:rtl/>
        </w:rPr>
        <w:t>ליה</w:t>
      </w:r>
      <w:r w:rsidRPr="00247C05">
        <w:rPr>
          <w:rtl/>
        </w:rPr>
        <w:t xml:space="preserve"> </w:t>
      </w:r>
      <w:r w:rsidRPr="00247C05">
        <w:rPr>
          <w:rFonts w:hint="eastAsia"/>
          <w:rtl/>
        </w:rPr>
        <w:t>לבחון</w:t>
      </w:r>
      <w:r w:rsidRPr="00247C05">
        <w:rPr>
          <w:rtl/>
        </w:rPr>
        <w:t xml:space="preserve"> </w:t>
      </w:r>
      <w:r w:rsidRPr="00247C05">
        <w:rPr>
          <w:rFonts w:hint="eastAsia"/>
          <w:rtl/>
        </w:rPr>
        <w:t>את</w:t>
      </w:r>
      <w:r w:rsidRPr="00247C05">
        <w:rPr>
          <w:rtl/>
        </w:rPr>
        <w:t xml:space="preserve"> </w:t>
      </w:r>
      <w:r w:rsidRPr="00247C05">
        <w:rPr>
          <w:rFonts w:hint="eastAsia"/>
          <w:rtl/>
        </w:rPr>
        <w:t>הדרכים</w:t>
      </w:r>
      <w:r w:rsidRPr="00247C05">
        <w:rPr>
          <w:rtl/>
        </w:rPr>
        <w:t xml:space="preserve"> </w:t>
      </w:r>
      <w:r w:rsidRPr="00247C05">
        <w:rPr>
          <w:rFonts w:hint="cs"/>
          <w:rtl/>
        </w:rPr>
        <w:t>ש</w:t>
      </w:r>
      <w:r w:rsidRPr="00247C05">
        <w:rPr>
          <w:rFonts w:hint="eastAsia"/>
          <w:rtl/>
        </w:rPr>
        <w:t>בהן</w:t>
      </w:r>
      <w:r w:rsidRPr="00247C05">
        <w:rPr>
          <w:rtl/>
        </w:rPr>
        <w:t xml:space="preserve"> </w:t>
      </w:r>
      <w:r w:rsidRPr="00247C05">
        <w:rPr>
          <w:rFonts w:hint="eastAsia"/>
          <w:rtl/>
        </w:rPr>
        <w:t>ניתן</w:t>
      </w:r>
      <w:r w:rsidRPr="00247C05">
        <w:rPr>
          <w:rtl/>
        </w:rPr>
        <w:t xml:space="preserve"> </w:t>
      </w:r>
      <w:r w:rsidRPr="00247C05">
        <w:rPr>
          <w:rFonts w:hint="eastAsia"/>
          <w:rtl/>
        </w:rPr>
        <w:t>ל</w:t>
      </w:r>
      <w:r w:rsidRPr="00247C05">
        <w:rPr>
          <w:rFonts w:hint="cs"/>
          <w:rtl/>
        </w:rPr>
        <w:t>אכוף על</w:t>
      </w:r>
      <w:r w:rsidRPr="00247C05">
        <w:rPr>
          <w:rtl/>
        </w:rPr>
        <w:t xml:space="preserve"> </w:t>
      </w:r>
      <w:r w:rsidRPr="00247C05">
        <w:rPr>
          <w:rFonts w:hint="eastAsia"/>
          <w:rtl/>
        </w:rPr>
        <w:t>בתי</w:t>
      </w:r>
      <w:r w:rsidRPr="00247C05">
        <w:rPr>
          <w:rtl/>
        </w:rPr>
        <w:t xml:space="preserve"> </w:t>
      </w:r>
      <w:r w:rsidRPr="00247C05">
        <w:rPr>
          <w:rFonts w:hint="eastAsia"/>
          <w:rtl/>
        </w:rPr>
        <w:t>משפט</w:t>
      </w:r>
      <w:r w:rsidRPr="00247C05">
        <w:rPr>
          <w:rtl/>
        </w:rPr>
        <w:t xml:space="preserve"> </w:t>
      </w:r>
      <w:r w:rsidRPr="00247C05">
        <w:rPr>
          <w:rFonts w:hint="eastAsia"/>
          <w:rtl/>
        </w:rPr>
        <w:t>עמ</w:t>
      </w:r>
      <w:r w:rsidRPr="00247C05">
        <w:rPr>
          <w:rtl/>
        </w:rPr>
        <w:t>"ק</w:t>
      </w:r>
      <w:r w:rsidRPr="00247C05">
        <w:rPr>
          <w:rFonts w:hint="cs"/>
          <w:rtl/>
        </w:rPr>
        <w:t xml:space="preserve"> למלא אחר הנחייתה המקצועית לעבוד עם</w:t>
      </w:r>
      <w:r w:rsidRPr="00247C05">
        <w:rPr>
          <w:rtl/>
        </w:rPr>
        <w:t xml:space="preserve"> </w:t>
      </w:r>
      <w:r w:rsidRPr="00247C05">
        <w:rPr>
          <w:rFonts w:hint="eastAsia"/>
          <w:rtl/>
        </w:rPr>
        <w:t>נט</w:t>
      </w:r>
      <w:r w:rsidRPr="00247C05">
        <w:rPr>
          <w:rtl/>
        </w:rPr>
        <w:t xml:space="preserve"> </w:t>
      </w:r>
      <w:r w:rsidRPr="00247C05">
        <w:rPr>
          <w:rFonts w:hint="eastAsia"/>
          <w:rtl/>
        </w:rPr>
        <w:t>המשפט</w:t>
      </w:r>
      <w:r w:rsidRPr="00247C05">
        <w:rPr>
          <w:rFonts w:hint="cs"/>
          <w:rtl/>
        </w:rPr>
        <w:t>.</w:t>
      </w:r>
      <w:r w:rsidRPr="00247C05">
        <w:rPr>
          <w:rtl/>
        </w:rPr>
        <w:t xml:space="preserve"> </w:t>
      </w: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862DE8" w:rsidRPr="0001521E" w:rsidP="00862DE8">
            <w:pPr>
              <w:keepNext/>
              <w:keepLines/>
              <w:spacing w:before="100" w:after="240" w:line="230" w:lineRule="exact"/>
              <w:rPr>
                <w:rFonts w:cs="FrankRuehl"/>
                <w:sz w:val="20"/>
                <w:szCs w:val="22"/>
                <w:rtl/>
              </w:rPr>
            </w:pPr>
            <w:r>
              <w:rPr>
                <w:rFonts w:cs="FrankRuehl" w:hint="cs"/>
                <w:sz w:val="20"/>
                <w:szCs w:val="22"/>
                <w:rtl/>
              </w:rPr>
              <w:t>2</w:t>
            </w:r>
            <w:r w:rsidRPr="0001521E">
              <w:rPr>
                <w:rFonts w:cs="FrankRuehl" w:hint="cs"/>
                <w:sz w:val="20"/>
                <w:szCs w:val="22"/>
                <w:rtl/>
              </w:rPr>
              <w:t>.</w:t>
            </w:r>
          </w:p>
        </w:tc>
        <w:tc>
          <w:tcPr>
            <w:tcW w:w="0" w:type="auto"/>
            <w:shd w:val="clear" w:color="auto" w:fill="auto"/>
          </w:tcPr>
          <w:p w:rsidR="00862DE8" w:rsidP="00862DE8">
            <w:pPr>
              <w:pStyle w:val="RESHET"/>
              <w:keepNext/>
              <w:keepLines/>
              <w:rPr>
                <w:rtl/>
              </w:rPr>
            </w:pPr>
            <w:r w:rsidRPr="00247C05">
              <w:rPr>
                <w:rFonts w:hint="cs"/>
                <w:rtl/>
              </w:rPr>
              <w:t>בדיקת</w:t>
            </w:r>
            <w:r w:rsidRPr="00247C05">
              <w:rPr>
                <w:rtl/>
              </w:rPr>
              <w:t xml:space="preserve"> </w:t>
            </w:r>
            <w:r w:rsidRPr="00247C05">
              <w:rPr>
                <w:rFonts w:hint="cs"/>
                <w:rtl/>
              </w:rPr>
              <w:t>משרד</w:t>
            </w:r>
            <w:r w:rsidRPr="00247C05">
              <w:rPr>
                <w:rtl/>
              </w:rPr>
              <w:t xml:space="preserve"> </w:t>
            </w:r>
            <w:r w:rsidRPr="00247C05">
              <w:rPr>
                <w:rFonts w:hint="cs"/>
                <w:rtl/>
              </w:rPr>
              <w:t>מבקר</w:t>
            </w:r>
            <w:r w:rsidRPr="00247C05">
              <w:rPr>
                <w:rtl/>
              </w:rPr>
              <w:t xml:space="preserve"> </w:t>
            </w:r>
            <w:r w:rsidRPr="00247C05">
              <w:rPr>
                <w:rFonts w:hint="cs"/>
                <w:rtl/>
              </w:rPr>
              <w:t>המדינה</w:t>
            </w:r>
            <w:r w:rsidRPr="00247C05">
              <w:rPr>
                <w:rtl/>
              </w:rPr>
              <w:t xml:space="preserve"> </w:t>
            </w:r>
            <w:r w:rsidRPr="00247C05">
              <w:rPr>
                <w:rFonts w:hint="cs"/>
                <w:rtl/>
              </w:rPr>
              <w:t>העלתה</w:t>
            </w:r>
            <w:r w:rsidRPr="00247C05">
              <w:rPr>
                <w:rtl/>
              </w:rPr>
              <w:t xml:space="preserve"> </w:t>
            </w:r>
            <w:r w:rsidRPr="00247C05">
              <w:rPr>
                <w:rFonts w:hint="cs"/>
                <w:rtl/>
              </w:rPr>
              <w:t>עוד,</w:t>
            </w:r>
            <w:r w:rsidRPr="00247C05">
              <w:rPr>
                <w:rtl/>
              </w:rPr>
              <w:t xml:space="preserve"> </w:t>
            </w:r>
            <w:r w:rsidRPr="00247C05">
              <w:rPr>
                <w:rFonts w:hint="cs"/>
                <w:rtl/>
              </w:rPr>
              <w:t>כי</w:t>
            </w:r>
            <w:r w:rsidRPr="00247C05">
              <w:rPr>
                <w:rtl/>
              </w:rPr>
              <w:t xml:space="preserve"> </w:t>
            </w:r>
            <w:r w:rsidRPr="00247C05">
              <w:rPr>
                <w:rFonts w:hint="cs"/>
                <w:rtl/>
              </w:rPr>
              <w:t>בתי</w:t>
            </w:r>
            <w:r w:rsidRPr="00247C05">
              <w:rPr>
                <w:rtl/>
              </w:rPr>
              <w:t xml:space="preserve"> </w:t>
            </w:r>
            <w:r w:rsidRPr="00247C05">
              <w:rPr>
                <w:rFonts w:hint="cs"/>
                <w:rtl/>
              </w:rPr>
              <w:t>משפט</w:t>
            </w:r>
            <w:r w:rsidRPr="00247C05">
              <w:rPr>
                <w:rtl/>
              </w:rPr>
              <w:t xml:space="preserve"> </w:t>
            </w:r>
            <w:r w:rsidRPr="00247C05">
              <w:rPr>
                <w:rFonts w:hint="cs"/>
                <w:rtl/>
              </w:rPr>
              <w:t>עמ</w:t>
            </w:r>
            <w:r w:rsidRPr="00247C05">
              <w:rPr>
                <w:rtl/>
              </w:rPr>
              <w:t xml:space="preserve">"ק </w:t>
            </w:r>
            <w:r w:rsidRPr="00247C05">
              <w:rPr>
                <w:rFonts w:hint="cs"/>
                <w:rtl/>
              </w:rPr>
              <w:t>שונים</w:t>
            </w:r>
            <w:r w:rsidRPr="00247C05">
              <w:rPr>
                <w:rtl/>
              </w:rPr>
              <w:t xml:space="preserve"> </w:t>
            </w:r>
            <w:r w:rsidRPr="00247C05">
              <w:rPr>
                <w:rFonts w:hint="cs"/>
                <w:rtl/>
              </w:rPr>
              <w:t>פנו להב"ה וביקשו</w:t>
            </w:r>
            <w:r w:rsidRPr="00247C05">
              <w:rPr>
                <w:rtl/>
              </w:rPr>
              <w:t xml:space="preserve"> </w:t>
            </w:r>
            <w:r w:rsidRPr="00247C05">
              <w:rPr>
                <w:rFonts w:hint="cs"/>
                <w:rtl/>
              </w:rPr>
              <w:t>להתחבר</w:t>
            </w:r>
            <w:r w:rsidRPr="00247C05">
              <w:rPr>
                <w:rtl/>
              </w:rPr>
              <w:t xml:space="preserve"> </w:t>
            </w:r>
            <w:r w:rsidRPr="00247C05">
              <w:rPr>
                <w:rFonts w:hint="cs"/>
                <w:rtl/>
              </w:rPr>
              <w:t>לנט</w:t>
            </w:r>
            <w:r w:rsidRPr="00247C05">
              <w:rPr>
                <w:rtl/>
              </w:rPr>
              <w:t xml:space="preserve"> </w:t>
            </w:r>
            <w:r w:rsidRPr="00247C05">
              <w:rPr>
                <w:rFonts w:hint="cs"/>
                <w:rtl/>
              </w:rPr>
              <w:t>המשפט</w:t>
            </w:r>
            <w:r w:rsidRPr="00247C05">
              <w:rPr>
                <w:rtl/>
              </w:rPr>
              <w:t xml:space="preserve">, </w:t>
            </w:r>
            <w:r w:rsidRPr="00247C05">
              <w:rPr>
                <w:rFonts w:hint="cs"/>
                <w:rtl/>
              </w:rPr>
              <w:t>ואולם</w:t>
            </w:r>
            <w:r w:rsidRPr="00247C05">
              <w:rPr>
                <w:rtl/>
              </w:rPr>
              <w:t xml:space="preserve"> </w:t>
            </w:r>
            <w:r w:rsidRPr="00247C05">
              <w:rPr>
                <w:rFonts w:hint="cs"/>
                <w:rtl/>
              </w:rPr>
              <w:t>עד</w:t>
            </w:r>
            <w:r w:rsidRPr="00247C05">
              <w:rPr>
                <w:rtl/>
              </w:rPr>
              <w:t xml:space="preserve"> </w:t>
            </w:r>
            <w:r w:rsidRPr="00247C05">
              <w:rPr>
                <w:rFonts w:hint="cs"/>
                <w:rtl/>
              </w:rPr>
              <w:t>מועד</w:t>
            </w:r>
            <w:r w:rsidRPr="00247C05">
              <w:rPr>
                <w:rtl/>
              </w:rPr>
              <w:t xml:space="preserve"> </w:t>
            </w:r>
            <w:r w:rsidRPr="00247C05">
              <w:rPr>
                <w:rFonts w:hint="cs"/>
                <w:rtl/>
              </w:rPr>
              <w:t>תום</w:t>
            </w:r>
            <w:r w:rsidRPr="00247C05">
              <w:rPr>
                <w:rtl/>
              </w:rPr>
              <w:t xml:space="preserve"> </w:t>
            </w:r>
            <w:r w:rsidRPr="00247C05">
              <w:rPr>
                <w:rFonts w:hint="cs"/>
                <w:rtl/>
              </w:rPr>
              <w:t>הביקורת</w:t>
            </w:r>
            <w:r w:rsidRPr="00247C05">
              <w:rPr>
                <w:rtl/>
              </w:rPr>
              <w:t xml:space="preserve"> </w:t>
            </w:r>
            <w:r w:rsidRPr="00247C05">
              <w:rPr>
                <w:rFonts w:hint="cs"/>
                <w:rtl/>
              </w:rPr>
              <w:t>הם טרם</w:t>
            </w:r>
            <w:r w:rsidRPr="00247C05">
              <w:rPr>
                <w:rtl/>
              </w:rPr>
              <w:t xml:space="preserve"> </w:t>
            </w:r>
            <w:r w:rsidRPr="00247C05">
              <w:rPr>
                <w:rFonts w:hint="cs"/>
                <w:rtl/>
              </w:rPr>
              <w:t>חוברו</w:t>
            </w:r>
            <w:r w:rsidRPr="00247C05">
              <w:rPr>
                <w:rtl/>
              </w:rPr>
              <w:t xml:space="preserve"> </w:t>
            </w:r>
            <w:r w:rsidRPr="00247C05">
              <w:rPr>
                <w:rFonts w:hint="cs"/>
                <w:rtl/>
              </w:rPr>
              <w:t>למערכת.</w:t>
            </w:r>
          </w:p>
        </w:tc>
      </w:tr>
    </w:tbl>
    <w:p w:rsidR="003037FB" w:rsidP="00040DAE">
      <w:pPr>
        <w:tabs>
          <w:tab w:val="left" w:pos="0"/>
        </w:tabs>
        <w:spacing w:after="120" w:line="230" w:lineRule="exact"/>
        <w:ind w:left="340"/>
        <w:jc w:val="both"/>
        <w:rPr>
          <w:rFonts w:cs="FrankRuehl"/>
          <w:sz w:val="20"/>
          <w:szCs w:val="22"/>
          <w:rtl/>
        </w:rPr>
      </w:pPr>
      <w:r w:rsidRPr="00247C05">
        <w:rPr>
          <w:rFonts w:cs="FrankRuehl" w:hint="cs"/>
          <w:sz w:val="20"/>
          <w:szCs w:val="22"/>
          <w:rtl/>
        </w:rPr>
        <w:t xml:space="preserve">כך למשל, במאי 2011 פנתה מזכירת בית משפט עמ"ק בכרמיאל להב"ה בבקשה שיתקינו אצלה את המערכת, אך עד מועד סיום הביקורת, על אף שחלפו כחמש שנים, לא נעשה הדבר בגלל אי-הסכמות בנושאים כספיים ותפעוליים שהתגלעו בין הב"ה לרשות המקומית. כמו כן - עבודת ההכנה להתקנת נט המשפט בבמ"ש עמ"ק בבני ברק שהחלה באוקטובר 2013 טרם הושלמה. </w:t>
      </w:r>
    </w:p>
    <w:tbl>
      <w:tblPr>
        <w:bidiVisual/>
        <w:tblW w:w="7031" w:type="dxa"/>
        <w:jc w:val="center"/>
        <w:tblLook w:val="04A0"/>
      </w:tblPr>
      <w:tblGrid>
        <w:gridCol w:w="356"/>
        <w:gridCol w:w="6675"/>
      </w:tblGrid>
      <w:tr w:rsidTr="00862DE8">
        <w:tblPrEx>
          <w:tblW w:w="7031" w:type="dxa"/>
          <w:jc w:val="center"/>
          <w:tblLook w:val="04A0"/>
        </w:tblPrEx>
        <w:trPr>
          <w:jc w:val="center"/>
        </w:trPr>
        <w:tc>
          <w:tcPr>
            <w:tcW w:w="356" w:type="dxa"/>
            <w:shd w:val="clear" w:color="auto" w:fill="auto"/>
          </w:tcPr>
          <w:p w:rsidR="00862DE8" w:rsidRPr="0001521E" w:rsidP="00862DE8">
            <w:pPr>
              <w:keepNext/>
              <w:keepLines/>
              <w:spacing w:before="100" w:after="240" w:line="230" w:lineRule="exact"/>
              <w:rPr>
                <w:rFonts w:cs="FrankRuehl"/>
                <w:sz w:val="20"/>
                <w:szCs w:val="22"/>
                <w:rtl/>
              </w:rPr>
            </w:pPr>
            <w:r>
              <w:rPr>
                <w:rFonts w:cs="FrankRuehl" w:hint="cs"/>
                <w:sz w:val="20"/>
                <w:szCs w:val="22"/>
                <w:rtl/>
              </w:rPr>
              <w:t>3</w:t>
            </w:r>
            <w:r w:rsidRPr="0001521E">
              <w:rPr>
                <w:rFonts w:cs="FrankRuehl" w:hint="cs"/>
                <w:sz w:val="20"/>
                <w:szCs w:val="22"/>
                <w:rtl/>
              </w:rPr>
              <w:t>.</w:t>
            </w:r>
          </w:p>
        </w:tc>
        <w:tc>
          <w:tcPr>
            <w:tcW w:w="0" w:type="auto"/>
            <w:shd w:val="clear" w:color="auto" w:fill="auto"/>
          </w:tcPr>
          <w:p w:rsidR="00862DE8" w:rsidP="00862DE8">
            <w:pPr>
              <w:pStyle w:val="RESHET"/>
              <w:keepNext/>
              <w:keepLines/>
              <w:rPr>
                <w:rtl/>
              </w:rPr>
            </w:pPr>
            <w:r w:rsidRPr="00247C05">
              <w:rPr>
                <w:rFonts w:hint="cs"/>
                <w:rtl/>
              </w:rPr>
              <w:t>נמצא כי הב"ה לא</w:t>
            </w:r>
            <w:r w:rsidRPr="00247C05">
              <w:rPr>
                <w:rtl/>
              </w:rPr>
              <w:t xml:space="preserve"> </w:t>
            </w:r>
            <w:r w:rsidRPr="00247C05">
              <w:rPr>
                <w:rFonts w:hint="cs"/>
                <w:rtl/>
              </w:rPr>
              <w:t xml:space="preserve">ביצעה במערכת את ההתאמות </w:t>
            </w:r>
            <w:r w:rsidRPr="00247C05">
              <w:rPr>
                <w:rtl/>
              </w:rPr>
              <w:t xml:space="preserve">לצרכים </w:t>
            </w:r>
            <w:r w:rsidRPr="00247C05">
              <w:rPr>
                <w:rFonts w:hint="cs"/>
                <w:rtl/>
              </w:rPr>
              <w:t>הייחודיים</w:t>
            </w:r>
            <w:r w:rsidRPr="00247C05">
              <w:rPr>
                <w:rtl/>
              </w:rPr>
              <w:t xml:space="preserve"> של </w:t>
            </w:r>
            <w:r w:rsidRPr="00247C05">
              <w:rPr>
                <w:rFonts w:hint="cs"/>
                <w:rtl/>
              </w:rPr>
              <w:t>הפעילות בבתי משפט עמ"ק ובמזכירויותיהם.</w:t>
            </w:r>
          </w:p>
        </w:tc>
      </w:tr>
    </w:tbl>
    <w:p w:rsidR="003037FB" w:rsidRPr="00247C05" w:rsidP="00040DAE">
      <w:pPr>
        <w:pStyle w:val="ListParagraph"/>
        <w:numPr>
          <w:ilvl w:val="1"/>
          <w:numId w:val="6"/>
        </w:numPr>
        <w:tabs>
          <w:tab w:val="left" w:pos="0"/>
        </w:tabs>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בתי משפט</w:t>
      </w:r>
      <w:r w:rsidRPr="00247C05">
        <w:rPr>
          <w:rFonts w:ascii="Times New Roman" w:hAnsi="Times New Roman" w:cs="FrankRuehl"/>
          <w:sz w:val="20"/>
          <w:rtl/>
        </w:rPr>
        <w:t xml:space="preserve"> </w:t>
      </w:r>
      <w:r w:rsidRPr="00247C05">
        <w:rPr>
          <w:rFonts w:ascii="Times New Roman" w:hAnsi="Times New Roman" w:cs="FrankRuehl" w:hint="cs"/>
          <w:sz w:val="20"/>
          <w:rtl/>
        </w:rPr>
        <w:t>עמ</w:t>
      </w:r>
      <w:r w:rsidRPr="00247C05">
        <w:rPr>
          <w:rFonts w:ascii="Times New Roman" w:hAnsi="Times New Roman" w:cs="FrankRuehl"/>
          <w:sz w:val="20"/>
          <w:rtl/>
        </w:rPr>
        <w:t xml:space="preserve">"ק </w:t>
      </w:r>
      <w:r w:rsidRPr="00247C05">
        <w:rPr>
          <w:rFonts w:ascii="Times New Roman" w:hAnsi="Times New Roman" w:cs="FrankRuehl" w:hint="cs"/>
          <w:sz w:val="20"/>
          <w:rtl/>
        </w:rPr>
        <w:t>מתקשים</w:t>
      </w:r>
      <w:r w:rsidRPr="00247C05">
        <w:rPr>
          <w:rFonts w:ascii="Times New Roman" w:hAnsi="Times New Roman" w:cs="FrankRuehl"/>
          <w:sz w:val="20"/>
          <w:rtl/>
        </w:rPr>
        <w:t xml:space="preserve"> בהגדרת</w:t>
      </w:r>
      <w:r w:rsidRPr="00247C05">
        <w:rPr>
          <w:rFonts w:ascii="Times New Roman" w:hAnsi="Times New Roman" w:cs="FrankRuehl" w:hint="cs"/>
          <w:sz w:val="20"/>
          <w:rtl/>
        </w:rPr>
        <w:t>ן של</w:t>
      </w:r>
      <w:r w:rsidRPr="00247C05">
        <w:rPr>
          <w:rFonts w:ascii="Times New Roman" w:hAnsi="Times New Roman" w:cs="FrankRuehl"/>
          <w:sz w:val="20"/>
          <w:rtl/>
        </w:rPr>
        <w:t xml:space="preserve"> </w:t>
      </w:r>
      <w:r w:rsidRPr="00247C05">
        <w:rPr>
          <w:rFonts w:ascii="Times New Roman" w:hAnsi="Times New Roman" w:cs="FrankRuehl" w:hint="cs"/>
          <w:sz w:val="20"/>
          <w:rtl/>
        </w:rPr>
        <w:t>חלק</w:t>
      </w:r>
      <w:r w:rsidRPr="00247C05">
        <w:rPr>
          <w:rFonts w:ascii="Times New Roman" w:hAnsi="Times New Roman" w:cs="FrankRuehl"/>
          <w:sz w:val="20"/>
          <w:rtl/>
        </w:rPr>
        <w:t xml:space="preserve"> </w:t>
      </w:r>
      <w:r w:rsidRPr="00247C05">
        <w:rPr>
          <w:rFonts w:ascii="Times New Roman" w:hAnsi="Times New Roman" w:cs="FrankRuehl" w:hint="cs"/>
          <w:sz w:val="20"/>
          <w:rtl/>
        </w:rPr>
        <w:t>מהעברות</w:t>
      </w:r>
      <w:r w:rsidRPr="00247C05">
        <w:rPr>
          <w:rFonts w:ascii="Times New Roman" w:hAnsi="Times New Roman" w:cs="FrankRuehl"/>
          <w:sz w:val="20"/>
          <w:rtl/>
        </w:rPr>
        <w:t xml:space="preserve"> </w:t>
      </w:r>
      <w:r w:rsidRPr="00247C05">
        <w:rPr>
          <w:rFonts w:ascii="Times New Roman" w:hAnsi="Times New Roman" w:cs="FrankRuehl" w:hint="cs"/>
          <w:sz w:val="20"/>
          <w:rtl/>
        </w:rPr>
        <w:t>הרלוונטיות</w:t>
      </w:r>
      <w:r w:rsidRPr="00247C05">
        <w:rPr>
          <w:rFonts w:ascii="Times New Roman" w:hAnsi="Times New Roman" w:cs="FrankRuehl"/>
          <w:sz w:val="20"/>
          <w:rtl/>
        </w:rPr>
        <w:t xml:space="preserve"> </w:t>
      </w:r>
      <w:r w:rsidRPr="00247C05">
        <w:rPr>
          <w:rFonts w:ascii="Times New Roman" w:hAnsi="Times New Roman" w:cs="FrankRuehl" w:hint="cs"/>
          <w:sz w:val="20"/>
          <w:rtl/>
        </w:rPr>
        <w:t>לתיקים</w:t>
      </w:r>
      <w:r w:rsidRPr="00247C05">
        <w:rPr>
          <w:rFonts w:ascii="Times New Roman" w:hAnsi="Times New Roman" w:cs="FrankRuehl"/>
          <w:sz w:val="20"/>
          <w:rtl/>
        </w:rPr>
        <w:t xml:space="preserve"> </w:t>
      </w:r>
      <w:r w:rsidRPr="00247C05">
        <w:rPr>
          <w:rFonts w:ascii="Times New Roman" w:hAnsi="Times New Roman" w:cs="FrankRuehl" w:hint="cs"/>
          <w:sz w:val="20"/>
          <w:rtl/>
        </w:rPr>
        <w:t>המתנהלים</w:t>
      </w:r>
      <w:r w:rsidRPr="00247C05">
        <w:rPr>
          <w:rFonts w:ascii="Times New Roman" w:hAnsi="Times New Roman" w:cs="FrankRuehl"/>
          <w:sz w:val="20"/>
          <w:rtl/>
        </w:rPr>
        <w:t xml:space="preserve"> </w:t>
      </w:r>
      <w:r w:rsidRPr="00247C05">
        <w:rPr>
          <w:rFonts w:ascii="Times New Roman" w:hAnsi="Times New Roman" w:cs="FrankRuehl" w:hint="cs"/>
          <w:sz w:val="20"/>
          <w:rtl/>
        </w:rPr>
        <w:t>אצלם</w:t>
      </w:r>
      <w:r w:rsidRPr="00247C05">
        <w:rPr>
          <w:rFonts w:ascii="Times New Roman" w:hAnsi="Times New Roman" w:cs="FrankRuehl"/>
          <w:sz w:val="20"/>
          <w:rtl/>
        </w:rPr>
        <w:t xml:space="preserve"> </w:t>
      </w:r>
      <w:r w:rsidRPr="00247C05">
        <w:rPr>
          <w:rFonts w:ascii="Times New Roman" w:hAnsi="Times New Roman" w:cs="FrankRuehl" w:hint="cs"/>
          <w:sz w:val="20"/>
          <w:rtl/>
        </w:rPr>
        <w:t>או</w:t>
      </w:r>
      <w:r w:rsidRPr="00247C05">
        <w:rPr>
          <w:rFonts w:ascii="Times New Roman" w:hAnsi="Times New Roman" w:cs="FrankRuehl"/>
          <w:sz w:val="20"/>
          <w:rtl/>
        </w:rPr>
        <w:t xml:space="preserve"> בבת</w:t>
      </w:r>
      <w:r w:rsidRPr="00247C05">
        <w:rPr>
          <w:rFonts w:ascii="Times New Roman" w:hAnsi="Times New Roman" w:cs="FrankRuehl" w:hint="cs"/>
          <w:sz w:val="20"/>
          <w:rtl/>
        </w:rPr>
        <w:t>י</w:t>
      </w:r>
      <w:r w:rsidRPr="00247C05">
        <w:rPr>
          <w:rFonts w:ascii="Times New Roman" w:hAnsi="Times New Roman" w:cs="FrankRuehl"/>
          <w:sz w:val="20"/>
          <w:rtl/>
        </w:rPr>
        <w:t xml:space="preserve"> משפט </w:t>
      </w:r>
      <w:r w:rsidRPr="00247C05">
        <w:rPr>
          <w:rFonts w:ascii="Times New Roman" w:hAnsi="Times New Roman" w:cs="FrankRuehl" w:hint="cs"/>
          <w:sz w:val="20"/>
          <w:rtl/>
        </w:rPr>
        <w:t>ה</w:t>
      </w:r>
      <w:r w:rsidRPr="00247C05">
        <w:rPr>
          <w:rFonts w:ascii="Times New Roman" w:hAnsi="Times New Roman" w:cs="FrankRuehl"/>
          <w:sz w:val="20"/>
          <w:rtl/>
        </w:rPr>
        <w:t>שלום</w:t>
      </w:r>
      <w:r w:rsidRPr="00247C05">
        <w:rPr>
          <w:rFonts w:ascii="Times New Roman" w:hAnsi="Times New Roman" w:cs="FrankRuehl" w:hint="cs"/>
          <w:sz w:val="20"/>
          <w:rtl/>
        </w:rPr>
        <w:t>.</w:t>
      </w:r>
      <w:r w:rsidRPr="00247C05">
        <w:rPr>
          <w:rFonts w:ascii="Times New Roman" w:hAnsi="Times New Roman" w:cs="FrankRuehl"/>
          <w:sz w:val="20"/>
          <w:rtl/>
        </w:rPr>
        <w:t xml:space="preserve"> </w:t>
      </w:r>
      <w:r w:rsidRPr="00247C05">
        <w:rPr>
          <w:rFonts w:ascii="Times New Roman" w:hAnsi="Times New Roman" w:cs="FrankRuehl" w:hint="cs"/>
          <w:sz w:val="20"/>
          <w:rtl/>
        </w:rPr>
        <w:t>זאת</w:t>
      </w:r>
      <w:r w:rsidRPr="00247C05">
        <w:rPr>
          <w:rFonts w:ascii="Times New Roman" w:hAnsi="Times New Roman" w:cs="FrankRuehl"/>
          <w:sz w:val="20"/>
          <w:rtl/>
        </w:rPr>
        <w:t xml:space="preserve"> בשל אפיון </w:t>
      </w:r>
      <w:r w:rsidRPr="00247C05">
        <w:rPr>
          <w:rFonts w:ascii="Times New Roman" w:hAnsi="Times New Roman" w:cs="FrankRuehl" w:hint="cs"/>
          <w:sz w:val="20"/>
          <w:rtl/>
        </w:rPr>
        <w:t>חסר</w:t>
      </w:r>
      <w:r w:rsidRPr="00247C05">
        <w:rPr>
          <w:rFonts w:ascii="Times New Roman" w:hAnsi="Times New Roman" w:cs="FrankRuehl"/>
          <w:sz w:val="20"/>
          <w:rtl/>
        </w:rPr>
        <w:t xml:space="preserve"> </w:t>
      </w:r>
      <w:r w:rsidRPr="00247C05">
        <w:rPr>
          <w:rFonts w:ascii="Times New Roman" w:hAnsi="Times New Roman" w:cs="FrankRuehl" w:hint="cs"/>
          <w:sz w:val="20"/>
          <w:rtl/>
        </w:rPr>
        <w:t>של</w:t>
      </w:r>
      <w:r w:rsidRPr="00247C05">
        <w:rPr>
          <w:rFonts w:ascii="Times New Roman" w:hAnsi="Times New Roman" w:cs="FrankRuehl"/>
          <w:sz w:val="20"/>
          <w:rtl/>
        </w:rPr>
        <w:t xml:space="preserve"> </w:t>
      </w:r>
      <w:r w:rsidRPr="00247C05">
        <w:rPr>
          <w:rFonts w:ascii="Times New Roman" w:hAnsi="Times New Roman" w:cs="FrankRuehl" w:hint="cs"/>
          <w:sz w:val="20"/>
          <w:rtl/>
        </w:rPr>
        <w:t>עברות</w:t>
      </w:r>
      <w:r w:rsidRPr="00247C05">
        <w:rPr>
          <w:rFonts w:ascii="Times New Roman" w:hAnsi="Times New Roman" w:cs="FrankRuehl"/>
          <w:sz w:val="20"/>
          <w:rtl/>
        </w:rPr>
        <w:t xml:space="preserve"> </w:t>
      </w:r>
      <w:r w:rsidRPr="00247C05">
        <w:rPr>
          <w:rFonts w:ascii="Times New Roman" w:hAnsi="Times New Roman" w:cs="FrankRuehl" w:hint="cs"/>
          <w:sz w:val="20"/>
          <w:rtl/>
        </w:rPr>
        <w:t>עמ</w:t>
      </w:r>
      <w:r w:rsidRPr="00247C05">
        <w:rPr>
          <w:rFonts w:ascii="Times New Roman" w:hAnsi="Times New Roman" w:cs="FrankRuehl"/>
          <w:sz w:val="20"/>
          <w:rtl/>
        </w:rPr>
        <w:t xml:space="preserve">"ק בנט המשפט, </w:t>
      </w:r>
      <w:r w:rsidRPr="00247C05">
        <w:rPr>
          <w:rFonts w:ascii="Times New Roman" w:hAnsi="Times New Roman" w:cs="FrankRuehl" w:hint="cs"/>
          <w:sz w:val="20"/>
          <w:rtl/>
        </w:rPr>
        <w:t>ובהן</w:t>
      </w:r>
      <w:r w:rsidRPr="00247C05">
        <w:rPr>
          <w:rFonts w:ascii="Times New Roman" w:hAnsi="Times New Roman" w:cs="FrankRuehl"/>
          <w:sz w:val="20"/>
          <w:rtl/>
        </w:rPr>
        <w:t xml:space="preserve"> היעדרם </w:t>
      </w:r>
      <w:r w:rsidRPr="00247C05">
        <w:rPr>
          <w:rFonts w:ascii="Times New Roman" w:hAnsi="Times New Roman" w:cs="FrankRuehl" w:hint="cs"/>
          <w:sz w:val="20"/>
          <w:rtl/>
        </w:rPr>
        <w:t xml:space="preserve">של רוב </w:t>
      </w:r>
      <w:r w:rsidRPr="00247C05">
        <w:rPr>
          <w:rFonts w:ascii="Times New Roman" w:hAnsi="Times New Roman" w:cs="FrankRuehl"/>
          <w:sz w:val="20"/>
          <w:rtl/>
        </w:rPr>
        <w:t xml:space="preserve">חוקי </w:t>
      </w:r>
      <w:r w:rsidRPr="00247C05">
        <w:rPr>
          <w:rFonts w:ascii="Times New Roman" w:hAnsi="Times New Roman" w:cs="FrankRuehl" w:hint="cs"/>
          <w:sz w:val="20"/>
          <w:rtl/>
        </w:rPr>
        <w:t>ה</w:t>
      </w:r>
      <w:r w:rsidRPr="00247C05">
        <w:rPr>
          <w:rFonts w:ascii="Times New Roman" w:hAnsi="Times New Roman" w:cs="FrankRuehl"/>
          <w:sz w:val="20"/>
          <w:rtl/>
        </w:rPr>
        <w:t>עזר</w:t>
      </w:r>
      <w:r w:rsidRPr="00247C05">
        <w:rPr>
          <w:rFonts w:ascii="Times New Roman" w:hAnsi="Times New Roman" w:cs="FrankRuehl" w:hint="cs"/>
          <w:sz w:val="20"/>
          <w:rtl/>
        </w:rPr>
        <w:t>.</w:t>
      </w:r>
      <w:r w:rsidRPr="00247C05">
        <w:rPr>
          <w:rFonts w:ascii="Times New Roman" w:hAnsi="Times New Roman" w:cs="FrankRuehl"/>
          <w:sz w:val="20"/>
          <w:rtl/>
        </w:rPr>
        <w:t xml:space="preserve"> </w:t>
      </w:r>
    </w:p>
    <w:p w:rsidR="003037FB" w:rsidRPr="00DC2796" w:rsidP="00DC2796">
      <w:pPr>
        <w:pStyle w:val="ListParagraph"/>
        <w:tabs>
          <w:tab w:val="left" w:pos="0"/>
        </w:tabs>
        <w:spacing w:after="120" w:line="230" w:lineRule="exact"/>
        <w:ind w:left="680"/>
        <w:contextualSpacing w:val="0"/>
        <w:jc w:val="both"/>
        <w:rPr>
          <w:rFonts w:ascii="Times New Roman" w:hAnsi="Times New Roman" w:cs="FrankRuehl"/>
          <w:sz w:val="20"/>
        </w:rPr>
      </w:pPr>
      <w:r w:rsidRPr="00DC2796">
        <w:rPr>
          <w:rFonts w:ascii="Times New Roman" w:hAnsi="Times New Roman" w:cs="FrankRuehl" w:hint="cs"/>
          <w:sz w:val="20"/>
          <w:rtl/>
        </w:rPr>
        <w:t xml:space="preserve">לפי </w:t>
      </w:r>
      <w:r w:rsidRPr="00DC2796">
        <w:rPr>
          <w:rFonts w:ascii="Times New Roman" w:hAnsi="Times New Roman" w:cs="FrankRuehl"/>
          <w:sz w:val="20"/>
          <w:rtl/>
        </w:rPr>
        <w:t xml:space="preserve">אגף מערכות מידע ומחשוב </w:t>
      </w:r>
      <w:r w:rsidRPr="00DC2796">
        <w:rPr>
          <w:rFonts w:ascii="Times New Roman" w:hAnsi="Times New Roman" w:cs="FrankRuehl" w:hint="eastAsia"/>
          <w:sz w:val="20"/>
          <w:rtl/>
        </w:rPr>
        <w:t>בהב</w:t>
      </w:r>
      <w:r w:rsidRPr="00DC2796">
        <w:rPr>
          <w:rFonts w:ascii="Times New Roman" w:hAnsi="Times New Roman" w:cs="FrankRuehl"/>
          <w:sz w:val="20"/>
          <w:rtl/>
        </w:rPr>
        <w:t xml:space="preserve">"ה "היות ולכל רשות יש חוקי עזר עצמאיים משלה, לא קיים כלל מאגר חקיקות שכזה [בנט המשפט]. יתרה מכך, אין לנו צורך במידע מובנה זה במערכת היות ועל כתב האישום מופיעים סעיפי האישום". </w:t>
      </w:r>
    </w:p>
    <w:p w:rsidR="003037FB" w:rsidRPr="00247C05" w:rsidP="00040DAE">
      <w:pPr>
        <w:pStyle w:val="ListParagraph"/>
        <w:numPr>
          <w:ilvl w:val="1"/>
          <w:numId w:val="6"/>
        </w:numPr>
        <w:tabs>
          <w:tab w:val="left" w:pos="0"/>
        </w:tabs>
        <w:spacing w:after="120" w:line="230" w:lineRule="exact"/>
        <w:contextualSpacing w:val="0"/>
        <w:jc w:val="both"/>
        <w:rPr>
          <w:rFonts w:ascii="Times New Roman" w:hAnsi="Times New Roman" w:cs="FrankRuehl"/>
          <w:b/>
          <w:bCs/>
          <w:i/>
          <w:iCs/>
          <w:sz w:val="20"/>
        </w:rPr>
      </w:pPr>
      <w:r w:rsidRPr="00247C05">
        <w:rPr>
          <w:rFonts w:ascii="Times New Roman" w:hAnsi="Times New Roman" w:cs="FrankRuehl" w:hint="cs"/>
          <w:sz w:val="20"/>
          <w:rtl/>
        </w:rPr>
        <w:t xml:space="preserve">נט המשפט אינה מותאמת לצורכי הרשויות המקומיות בהיבט של הטיפול בתיק לאחר תום ההליך המשפטי. נט המשפט אינה מאפשרת הנפקת שוברי תשלום שהמוטבים בהן הן הרשויות המקומיות. </w:t>
      </w:r>
    </w:p>
    <w:p w:rsidR="003037FB" w:rsidRPr="007A506B" w:rsidP="00DC2796">
      <w:pPr>
        <w:pStyle w:val="ListParagraph"/>
        <w:numPr>
          <w:ilvl w:val="1"/>
          <w:numId w:val="6"/>
        </w:numPr>
        <w:tabs>
          <w:tab w:val="left" w:pos="0"/>
        </w:tabs>
        <w:spacing w:after="120" w:line="230" w:lineRule="exact"/>
        <w:contextualSpacing w:val="0"/>
        <w:jc w:val="both"/>
        <w:rPr>
          <w:rFonts w:ascii="Times New Roman" w:hAnsi="Times New Roman" w:cs="FrankRuehl"/>
          <w:b/>
          <w:bCs/>
          <w:i/>
          <w:iCs/>
          <w:sz w:val="20"/>
        </w:rPr>
      </w:pPr>
      <w:r w:rsidRPr="00247C05">
        <w:rPr>
          <w:rFonts w:ascii="Times New Roman" w:hAnsi="Times New Roman" w:cs="FrankRuehl" w:hint="cs"/>
          <w:sz w:val="20"/>
          <w:rtl/>
        </w:rPr>
        <w:t xml:space="preserve">לא מתקיים ממשק של נט המשפט עם מערכות המידע המותקנות ברשויות המקומיות. הדבר נדרש כדי לאפשר העברת נתונים אוטומטית לרשות המקומית ואת המשך טיפולה בתיק שניתנה לגביו החלטה שיפוטית. </w:t>
      </w:r>
    </w:p>
    <w:tbl>
      <w:tblPr>
        <w:bidiVisual/>
        <w:tblW w:w="7031" w:type="dxa"/>
        <w:tblLook w:val="04A0"/>
      </w:tblPr>
      <w:tblGrid>
        <w:gridCol w:w="340"/>
        <w:gridCol w:w="369"/>
        <w:gridCol w:w="6322"/>
      </w:tblGrid>
      <w:tr w:rsidTr="00AC4B89">
        <w:tblPrEx>
          <w:tblW w:w="7031" w:type="dxa"/>
          <w:tblLook w:val="04A0"/>
        </w:tblPrEx>
        <w:tc>
          <w:tcPr>
            <w:tcW w:w="340" w:type="dxa"/>
          </w:tcPr>
          <w:p w:rsidR="007A506B" w:rsidRPr="0001521E" w:rsidP="00AC4B89">
            <w:pPr>
              <w:spacing w:before="100" w:after="240" w:line="230" w:lineRule="exact"/>
              <w:rPr>
                <w:rFonts w:cs="FrankRuehl"/>
                <w:sz w:val="20"/>
                <w:szCs w:val="22"/>
                <w:rtl/>
              </w:rPr>
            </w:pPr>
          </w:p>
        </w:tc>
        <w:tc>
          <w:tcPr>
            <w:tcW w:w="369" w:type="dxa"/>
            <w:shd w:val="clear" w:color="auto" w:fill="auto"/>
          </w:tcPr>
          <w:p w:rsidR="007A506B" w:rsidRPr="00EA2B00" w:rsidP="00AC4B89">
            <w:pPr>
              <w:spacing w:before="100" w:line="230" w:lineRule="exact"/>
              <w:rPr>
                <w:rFonts w:cs="FrankRuehl"/>
                <w:sz w:val="20"/>
                <w:szCs w:val="22"/>
                <w:highlight w:val="green"/>
                <w:rtl/>
              </w:rPr>
            </w:pPr>
            <w:r>
              <w:rPr>
                <w:rFonts w:cs="FrankRuehl" w:hint="cs"/>
                <w:sz w:val="20"/>
                <w:szCs w:val="22"/>
                <w:rtl/>
              </w:rPr>
              <w:t>ד</w:t>
            </w:r>
            <w:r w:rsidRPr="00BC31A8">
              <w:rPr>
                <w:rFonts w:cs="FrankRuehl" w:hint="cs"/>
                <w:sz w:val="20"/>
                <w:szCs w:val="22"/>
                <w:rtl/>
              </w:rPr>
              <w:t>.</w:t>
            </w:r>
          </w:p>
        </w:tc>
        <w:tc>
          <w:tcPr>
            <w:tcW w:w="0" w:type="auto"/>
            <w:shd w:val="clear" w:color="auto" w:fill="auto"/>
          </w:tcPr>
          <w:p w:rsidR="007A506B" w:rsidP="00AC4B89">
            <w:pPr>
              <w:pStyle w:val="RESHET"/>
              <w:rPr>
                <w:rtl/>
              </w:rPr>
            </w:pPr>
            <w:r w:rsidRPr="007A506B">
              <w:rPr>
                <w:rFonts w:eastAsia="Calibri" w:hint="cs"/>
                <w:rtl/>
              </w:rPr>
              <w:t>הבדיקה העלתה, כי ערים מרכזיות כמו תל אביב, חיפה וירושלים נמנעו</w:t>
            </w:r>
            <w:r w:rsidRPr="007A506B">
              <w:rPr>
                <w:rFonts w:eastAsia="Calibri"/>
                <w:rtl/>
              </w:rPr>
              <w:t xml:space="preserve"> </w:t>
            </w:r>
            <w:r w:rsidRPr="007A506B">
              <w:rPr>
                <w:rFonts w:eastAsia="Calibri" w:hint="cs"/>
                <w:rtl/>
              </w:rPr>
              <w:t>מלהתקין</w:t>
            </w:r>
            <w:r w:rsidRPr="007A506B">
              <w:rPr>
                <w:rFonts w:eastAsia="Calibri"/>
                <w:rtl/>
              </w:rPr>
              <w:t xml:space="preserve"> </w:t>
            </w:r>
            <w:r w:rsidRPr="007A506B">
              <w:rPr>
                <w:rFonts w:eastAsia="Calibri" w:hint="cs"/>
                <w:rtl/>
              </w:rPr>
              <w:t>את</w:t>
            </w:r>
            <w:r w:rsidRPr="007A506B">
              <w:rPr>
                <w:rFonts w:eastAsia="Calibri"/>
                <w:rtl/>
              </w:rPr>
              <w:t xml:space="preserve"> </w:t>
            </w:r>
            <w:r w:rsidRPr="007A506B">
              <w:rPr>
                <w:rFonts w:eastAsia="Calibri" w:hint="cs"/>
                <w:rtl/>
              </w:rPr>
              <w:t>מערכת</w:t>
            </w:r>
            <w:r w:rsidRPr="007A506B">
              <w:rPr>
                <w:rFonts w:eastAsia="Calibri"/>
                <w:rtl/>
              </w:rPr>
              <w:t xml:space="preserve"> </w:t>
            </w:r>
            <w:r w:rsidRPr="007A506B">
              <w:rPr>
                <w:rFonts w:eastAsia="Calibri" w:hint="cs"/>
                <w:rtl/>
              </w:rPr>
              <w:t>נט</w:t>
            </w:r>
            <w:r w:rsidRPr="007A506B">
              <w:rPr>
                <w:rFonts w:eastAsia="Calibri"/>
                <w:rtl/>
              </w:rPr>
              <w:t xml:space="preserve"> </w:t>
            </w:r>
            <w:r w:rsidRPr="007A506B">
              <w:rPr>
                <w:rFonts w:eastAsia="Calibri" w:hint="cs"/>
                <w:rtl/>
              </w:rPr>
              <w:t>המשפט</w:t>
            </w:r>
            <w:r w:rsidRPr="007A506B">
              <w:rPr>
                <w:rFonts w:eastAsia="Calibri"/>
                <w:rtl/>
              </w:rPr>
              <w:t xml:space="preserve"> </w:t>
            </w:r>
            <w:r w:rsidRPr="007A506B">
              <w:rPr>
                <w:rFonts w:eastAsia="Calibri" w:hint="cs"/>
                <w:rtl/>
              </w:rPr>
              <w:t>בהיעדר</w:t>
            </w:r>
            <w:r w:rsidRPr="007A506B">
              <w:rPr>
                <w:rFonts w:eastAsia="Calibri"/>
                <w:rtl/>
              </w:rPr>
              <w:t xml:space="preserve"> ממשק עם מערכת </w:t>
            </w:r>
            <w:r w:rsidRPr="007A506B">
              <w:rPr>
                <w:rFonts w:eastAsia="Calibri" w:hint="cs"/>
                <w:rtl/>
              </w:rPr>
              <w:t xml:space="preserve">המחשוב והגבייה של </w:t>
            </w:r>
            <w:r w:rsidRPr="007A506B">
              <w:rPr>
                <w:rFonts w:eastAsia="Calibri"/>
                <w:rtl/>
              </w:rPr>
              <w:t>העירייה</w:t>
            </w:r>
            <w:r w:rsidRPr="007A506B">
              <w:rPr>
                <w:rFonts w:eastAsia="Calibri" w:hint="cs"/>
                <w:rtl/>
              </w:rPr>
              <w:t>.</w:t>
            </w:r>
          </w:p>
        </w:tc>
      </w:tr>
    </w:tbl>
    <w:p w:rsidR="003037FB" w:rsidRPr="00247C05" w:rsidP="00040DAE">
      <w:pPr>
        <w:pStyle w:val="ListParagraph"/>
        <w:tabs>
          <w:tab w:val="left" w:pos="0"/>
        </w:tabs>
        <w:spacing w:after="120" w:line="230" w:lineRule="exact"/>
        <w:ind w:left="680"/>
        <w:contextualSpacing w:val="0"/>
        <w:jc w:val="both"/>
        <w:rPr>
          <w:rFonts w:ascii="Times New Roman" w:hAnsi="Times New Roman" w:cs="FrankRuehl"/>
          <w:sz w:val="20"/>
          <w:rtl/>
        </w:rPr>
      </w:pPr>
      <w:r w:rsidRPr="00247C05">
        <w:rPr>
          <w:rFonts w:ascii="Times New Roman" w:hAnsi="Times New Roman" w:cs="FrankRuehl" w:hint="cs"/>
          <w:sz w:val="20"/>
          <w:rtl/>
        </w:rPr>
        <w:t xml:space="preserve">בתשובתה ציינה הב"ה, כי מערכת הגבייה של הרשות המקומית אמורה להתאים את עצמה למערכת נט המשפט ולא להיפך. </w:t>
      </w:r>
    </w:p>
    <w:p w:rsidR="003037FB" w:rsidRPr="00247C05" w:rsidP="007A506B">
      <w:pPr>
        <w:pStyle w:val="ListParagraph"/>
        <w:tabs>
          <w:tab w:val="left" w:pos="0"/>
        </w:tabs>
        <w:spacing w:after="240" w:line="230" w:lineRule="exact"/>
        <w:ind w:left="680"/>
        <w:contextualSpacing w:val="0"/>
        <w:jc w:val="both"/>
        <w:rPr>
          <w:rFonts w:ascii="Times New Roman" w:hAnsi="Times New Roman" w:cs="FrankRuehl"/>
          <w:sz w:val="20"/>
          <w:rtl/>
        </w:rPr>
      </w:pPr>
      <w:r w:rsidRPr="00247C05">
        <w:rPr>
          <w:rFonts w:ascii="Times New Roman" w:hAnsi="Times New Roman" w:cs="FrankRuehl" w:hint="cs"/>
          <w:sz w:val="20"/>
          <w:rtl/>
        </w:rPr>
        <w:t xml:space="preserve">בתשובתה עיריית תל אביב כתבה, כי היא מעולם לא התנגדה להתקין את נט המשפט בבית המשפט עמ"ק, "ההיפך הוא הנכון - פניות העירייה להתקין את המערכת נדחו בשל חוסר היענות של הנהלת בתי המשפט להיערך לכך... הטמעת מערכת נט המשפט מחייבת פיתוח ממשק עם מערכות מחשוב עירוניות... במטרה לאפשר אכיפה או הקפאת הליכי אכיפה בזמן אמת והמשך הגביה של הקנסות שהוטלו על ידי בית המשפט". עיריית </w:t>
      </w:r>
      <w:r w:rsidRPr="00247C05">
        <w:rPr>
          <w:rFonts w:ascii="Times New Roman" w:hAnsi="Times New Roman" w:cs="FrankRuehl" w:hint="cs"/>
          <w:sz w:val="20"/>
          <w:rtl/>
        </w:rPr>
        <w:t xml:space="preserve">ירושלים כתבה בתשובתה כי היא לא סירבה להתחבר לנט המשפט במהלך החודשים האחרונים, ואף פנתה להב"ה על מנת לבחון זאת. </w:t>
      </w:r>
    </w:p>
    <w:p w:rsidR="003037FB" w:rsidP="007A506B">
      <w:pPr>
        <w:pStyle w:val="RESHET"/>
        <w:keepLines/>
        <w:ind w:left="567"/>
        <w:rPr>
          <w:rtl/>
        </w:rPr>
      </w:pPr>
      <w:r w:rsidRPr="00247C05">
        <w:rPr>
          <w:rFonts w:hint="cs"/>
          <w:rtl/>
        </w:rPr>
        <w:t xml:space="preserve">משרד מבקר המדינה מעיר לרשויות המקומיות בהן לא הותקנה נט המשפט, כי עליהן לדון עם הב"ה בדרכים לפתרון בעיות ממשק של המערכות הקיימות ברשויות לנט המשפט לשם התקנתה בבתי המשפט עמ"ק. </w:t>
      </w:r>
    </w:p>
    <w:tbl>
      <w:tblPr>
        <w:bidiVisual/>
        <w:tblW w:w="7031" w:type="dxa"/>
        <w:jc w:val="center"/>
        <w:tblLook w:val="04A0"/>
      </w:tblPr>
      <w:tblGrid>
        <w:gridCol w:w="356"/>
        <w:gridCol w:w="6675"/>
      </w:tblGrid>
      <w:tr w:rsidTr="00AC4B89">
        <w:tblPrEx>
          <w:tblW w:w="7031" w:type="dxa"/>
          <w:jc w:val="center"/>
          <w:tblLook w:val="04A0"/>
        </w:tblPrEx>
        <w:trPr>
          <w:jc w:val="center"/>
        </w:trPr>
        <w:tc>
          <w:tcPr>
            <w:tcW w:w="356" w:type="dxa"/>
            <w:shd w:val="clear" w:color="auto" w:fill="auto"/>
          </w:tcPr>
          <w:p w:rsidR="007A506B" w:rsidRPr="0001521E" w:rsidP="00AC4B89">
            <w:pPr>
              <w:keepNext/>
              <w:keepLines/>
              <w:spacing w:before="100" w:after="240" w:line="230" w:lineRule="exact"/>
              <w:rPr>
                <w:rFonts w:cs="FrankRuehl"/>
                <w:sz w:val="20"/>
                <w:szCs w:val="22"/>
                <w:rtl/>
              </w:rPr>
            </w:pPr>
            <w:r>
              <w:rPr>
                <w:rFonts w:cs="FrankRuehl" w:hint="cs"/>
                <w:sz w:val="20"/>
                <w:szCs w:val="22"/>
                <w:rtl/>
              </w:rPr>
              <w:t>4</w:t>
            </w:r>
            <w:r w:rsidRPr="0001521E">
              <w:rPr>
                <w:rFonts w:cs="FrankRuehl" w:hint="cs"/>
                <w:sz w:val="20"/>
                <w:szCs w:val="22"/>
                <w:rtl/>
              </w:rPr>
              <w:t>.</w:t>
            </w:r>
          </w:p>
        </w:tc>
        <w:tc>
          <w:tcPr>
            <w:tcW w:w="0" w:type="auto"/>
            <w:shd w:val="clear" w:color="auto" w:fill="auto"/>
          </w:tcPr>
          <w:p w:rsidR="007A506B" w:rsidRPr="007A506B" w:rsidP="00AC4B89">
            <w:pPr>
              <w:pStyle w:val="RESHET"/>
              <w:keepNext/>
              <w:keepLines/>
              <w:rPr>
                <w:rtl/>
              </w:rPr>
            </w:pPr>
            <w:r w:rsidRPr="007A506B">
              <w:rPr>
                <w:rFonts w:hint="cs"/>
                <w:rtl/>
              </w:rPr>
              <w:t>נמצא כי הב"ה לא חייבה</w:t>
            </w:r>
            <w:r w:rsidRPr="007A506B">
              <w:rPr>
                <w:rtl/>
              </w:rPr>
              <w:t xml:space="preserve"> </w:t>
            </w:r>
            <w:r w:rsidRPr="007A506B">
              <w:rPr>
                <w:rFonts w:hint="cs"/>
                <w:rtl/>
              </w:rPr>
              <w:t>את</w:t>
            </w:r>
            <w:r w:rsidRPr="007A506B">
              <w:rPr>
                <w:rtl/>
              </w:rPr>
              <w:t xml:space="preserve"> </w:t>
            </w:r>
            <w:r w:rsidRPr="007A506B">
              <w:rPr>
                <w:rFonts w:hint="cs"/>
                <w:rtl/>
              </w:rPr>
              <w:t>הרשויות</w:t>
            </w:r>
            <w:r w:rsidRPr="007A506B">
              <w:rPr>
                <w:rtl/>
              </w:rPr>
              <w:t xml:space="preserve"> </w:t>
            </w:r>
            <w:r w:rsidRPr="007A506B">
              <w:rPr>
                <w:rFonts w:hint="cs"/>
                <w:rtl/>
              </w:rPr>
              <w:t>המקומיות</w:t>
            </w:r>
            <w:r w:rsidRPr="007A506B">
              <w:rPr>
                <w:rtl/>
              </w:rPr>
              <w:t xml:space="preserve"> </w:t>
            </w:r>
            <w:r w:rsidRPr="007A506B">
              <w:rPr>
                <w:rFonts w:hint="cs"/>
                <w:rtl/>
              </w:rPr>
              <w:t>בעלויות החיבור</w:t>
            </w:r>
            <w:r w:rsidRPr="007A506B">
              <w:rPr>
                <w:rtl/>
              </w:rPr>
              <w:t xml:space="preserve"> </w:t>
            </w:r>
            <w:r w:rsidRPr="007A506B">
              <w:rPr>
                <w:rFonts w:hint="cs"/>
                <w:rtl/>
              </w:rPr>
              <w:t>למערכת</w:t>
            </w:r>
            <w:r w:rsidRPr="007A506B">
              <w:rPr>
                <w:rtl/>
              </w:rPr>
              <w:t xml:space="preserve"> </w:t>
            </w:r>
            <w:r w:rsidRPr="007A506B">
              <w:rPr>
                <w:rFonts w:hint="cs"/>
                <w:rtl/>
              </w:rPr>
              <w:t>נט</w:t>
            </w:r>
            <w:r w:rsidRPr="007A506B">
              <w:rPr>
                <w:rtl/>
              </w:rPr>
              <w:t xml:space="preserve"> </w:t>
            </w:r>
            <w:r w:rsidRPr="007A506B">
              <w:rPr>
                <w:rFonts w:hint="cs"/>
                <w:rtl/>
              </w:rPr>
              <w:t>המשפט באופן</w:t>
            </w:r>
            <w:r w:rsidRPr="007A506B">
              <w:rPr>
                <w:rtl/>
              </w:rPr>
              <w:t xml:space="preserve"> </w:t>
            </w:r>
            <w:r w:rsidRPr="007A506B">
              <w:rPr>
                <w:rFonts w:hint="cs"/>
                <w:rtl/>
              </w:rPr>
              <w:t>אחיד.</w:t>
            </w:r>
          </w:p>
        </w:tc>
      </w:tr>
    </w:tbl>
    <w:p w:rsidR="003037FB" w:rsidRPr="00247C05" w:rsidP="007A506B">
      <w:pPr>
        <w:pStyle w:val="ListParagraph"/>
        <w:tabs>
          <w:tab w:val="left" w:pos="0"/>
        </w:tabs>
        <w:spacing w:after="24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יצוין</w:t>
      </w:r>
      <w:r w:rsidRPr="00247C05">
        <w:rPr>
          <w:rFonts w:ascii="Times New Roman" w:hAnsi="Times New Roman" w:cs="FrankRuehl"/>
          <w:sz w:val="20"/>
          <w:rtl/>
        </w:rPr>
        <w:t xml:space="preserve"> כי על אף קביעתה של הב"ה, כי מערכת נט המשפט היא כלי מקצועי והעבודה בה היא בתחום אחריותה המקצועית, בחלק מהמקרים היא משיתה את עלויות התקנתה ותחזוקתה של המערכת על הרשויות המקומיות. כך נוהגת הב"ה גם בבואה להיערך להטמעה עתידית של נט המשפט </w:t>
      </w:r>
      <w:r w:rsidRPr="00247C05">
        <w:rPr>
          <w:rFonts w:ascii="Times New Roman" w:hAnsi="Times New Roman" w:cs="FrankRuehl" w:hint="cs"/>
          <w:sz w:val="20"/>
          <w:rtl/>
        </w:rPr>
        <w:t>בבמ</w:t>
      </w:r>
      <w:r w:rsidRPr="00247C05">
        <w:rPr>
          <w:rFonts w:ascii="Times New Roman" w:hAnsi="Times New Roman" w:cs="FrankRuehl"/>
          <w:sz w:val="20"/>
          <w:rtl/>
        </w:rPr>
        <w:t xml:space="preserve">"ש עמ"ק. ואכן, </w:t>
      </w:r>
      <w:r w:rsidRPr="00247C05">
        <w:rPr>
          <w:rFonts w:ascii="Times New Roman" w:hAnsi="Times New Roman" w:cs="FrankRuehl" w:hint="cs"/>
          <w:sz w:val="20"/>
          <w:rtl/>
        </w:rPr>
        <w:t xml:space="preserve">כמה </w:t>
      </w:r>
      <w:r w:rsidRPr="00247C05">
        <w:rPr>
          <w:rFonts w:ascii="Times New Roman" w:hAnsi="Times New Roman" w:cs="FrankRuehl"/>
          <w:sz w:val="20"/>
          <w:rtl/>
        </w:rPr>
        <w:t>ה</w:t>
      </w:r>
      <w:r w:rsidRPr="00247C05">
        <w:rPr>
          <w:rFonts w:ascii="Times New Roman" w:hAnsi="Times New Roman" w:cs="FrankRuehl" w:hint="cs"/>
          <w:sz w:val="20"/>
          <w:rtl/>
        </w:rPr>
        <w:t>רשויות</w:t>
      </w:r>
      <w:r w:rsidRPr="00247C05">
        <w:rPr>
          <w:rFonts w:ascii="Times New Roman" w:hAnsi="Times New Roman" w:cs="FrankRuehl"/>
          <w:sz w:val="20"/>
          <w:rtl/>
        </w:rPr>
        <w:t xml:space="preserve"> </w:t>
      </w:r>
      <w:r w:rsidRPr="00247C05">
        <w:rPr>
          <w:rFonts w:ascii="Times New Roman" w:hAnsi="Times New Roman" w:cs="FrankRuehl" w:hint="cs"/>
          <w:sz w:val="20"/>
          <w:rtl/>
        </w:rPr>
        <w:t>המקומיות</w:t>
      </w:r>
      <w:r w:rsidRPr="00247C05">
        <w:rPr>
          <w:rFonts w:ascii="Times New Roman" w:hAnsi="Times New Roman" w:cs="FrankRuehl"/>
          <w:sz w:val="20"/>
          <w:rtl/>
        </w:rPr>
        <w:t xml:space="preserve"> </w:t>
      </w:r>
      <w:r w:rsidRPr="00247C05">
        <w:rPr>
          <w:rFonts w:ascii="Times New Roman" w:hAnsi="Times New Roman" w:cs="FrankRuehl" w:hint="cs"/>
          <w:sz w:val="20"/>
          <w:rtl/>
        </w:rPr>
        <w:t>נמנעו</w:t>
      </w:r>
      <w:r w:rsidRPr="00247C05">
        <w:rPr>
          <w:rFonts w:ascii="Times New Roman" w:hAnsi="Times New Roman" w:cs="FrankRuehl"/>
          <w:sz w:val="20"/>
          <w:rtl/>
        </w:rPr>
        <w:t xml:space="preserve"> </w:t>
      </w:r>
      <w:r w:rsidRPr="00247C05">
        <w:rPr>
          <w:rFonts w:ascii="Times New Roman" w:hAnsi="Times New Roman" w:cs="FrankRuehl" w:hint="cs"/>
          <w:sz w:val="20"/>
          <w:rtl/>
        </w:rPr>
        <w:t>מהתקנתה של</w:t>
      </w:r>
      <w:r w:rsidRPr="00247C05">
        <w:rPr>
          <w:rFonts w:ascii="Times New Roman" w:hAnsi="Times New Roman" w:cs="FrankRuehl"/>
          <w:sz w:val="20"/>
          <w:rtl/>
        </w:rPr>
        <w:t xml:space="preserve"> </w:t>
      </w:r>
      <w:r w:rsidRPr="00247C05">
        <w:rPr>
          <w:rFonts w:ascii="Times New Roman" w:hAnsi="Times New Roman" w:cs="FrankRuehl" w:hint="cs"/>
          <w:sz w:val="20"/>
          <w:rtl/>
        </w:rPr>
        <w:t>המערכת</w:t>
      </w:r>
      <w:r w:rsidRPr="00247C05">
        <w:rPr>
          <w:rFonts w:ascii="Times New Roman" w:hAnsi="Times New Roman" w:cs="FrankRuehl"/>
          <w:sz w:val="20"/>
          <w:rtl/>
        </w:rPr>
        <w:t xml:space="preserve"> </w:t>
      </w:r>
      <w:r w:rsidRPr="00247C05">
        <w:rPr>
          <w:rFonts w:ascii="Times New Roman" w:hAnsi="Times New Roman" w:cs="FrankRuehl" w:hint="cs"/>
          <w:sz w:val="20"/>
          <w:rtl/>
        </w:rPr>
        <w:t>בשל</w:t>
      </w:r>
      <w:r w:rsidRPr="00247C05">
        <w:rPr>
          <w:rFonts w:ascii="Times New Roman" w:hAnsi="Times New Roman" w:cs="FrankRuehl"/>
          <w:sz w:val="20"/>
          <w:rtl/>
        </w:rPr>
        <w:t xml:space="preserve"> </w:t>
      </w:r>
      <w:r w:rsidRPr="00247C05">
        <w:rPr>
          <w:rFonts w:ascii="Times New Roman" w:hAnsi="Times New Roman" w:cs="FrankRuehl" w:hint="cs"/>
          <w:sz w:val="20"/>
          <w:rtl/>
        </w:rPr>
        <w:t>העלויות</w:t>
      </w:r>
      <w:r w:rsidRPr="00247C05">
        <w:rPr>
          <w:rFonts w:ascii="Times New Roman" w:hAnsi="Times New Roman" w:cs="FrankRuehl"/>
          <w:sz w:val="20"/>
          <w:rtl/>
        </w:rPr>
        <w:t xml:space="preserve"> </w:t>
      </w:r>
      <w:r w:rsidRPr="00247C05">
        <w:rPr>
          <w:rFonts w:ascii="Times New Roman" w:hAnsi="Times New Roman" w:cs="FrankRuehl" w:hint="cs"/>
          <w:sz w:val="20"/>
          <w:rtl/>
        </w:rPr>
        <w:t>הגבוהות</w:t>
      </w:r>
      <w:r w:rsidRPr="00247C05">
        <w:rPr>
          <w:rFonts w:ascii="Times New Roman" w:hAnsi="Times New Roman" w:cs="FrankRuehl"/>
          <w:sz w:val="20"/>
          <w:rtl/>
        </w:rPr>
        <w:t xml:space="preserve"> </w:t>
      </w:r>
      <w:r w:rsidRPr="00247C05">
        <w:rPr>
          <w:rFonts w:ascii="Times New Roman" w:hAnsi="Times New Roman" w:cs="FrankRuehl" w:hint="cs"/>
          <w:sz w:val="20"/>
          <w:rtl/>
        </w:rPr>
        <w:t>יחסית</w:t>
      </w:r>
      <w:r w:rsidRPr="00247C05">
        <w:rPr>
          <w:rFonts w:ascii="Times New Roman" w:hAnsi="Times New Roman" w:cs="FrankRuehl"/>
          <w:sz w:val="20"/>
          <w:rtl/>
        </w:rPr>
        <w:t xml:space="preserve"> </w:t>
      </w:r>
      <w:r w:rsidRPr="00247C05">
        <w:rPr>
          <w:rFonts w:ascii="Times New Roman" w:hAnsi="Times New Roman" w:cs="FrankRuehl" w:hint="cs"/>
          <w:sz w:val="20"/>
          <w:rtl/>
        </w:rPr>
        <w:t>להכנסות</w:t>
      </w:r>
      <w:r w:rsidRPr="00247C05">
        <w:rPr>
          <w:rFonts w:ascii="Times New Roman" w:hAnsi="Times New Roman" w:cs="FrankRuehl"/>
          <w:sz w:val="20"/>
          <w:rtl/>
        </w:rPr>
        <w:t xml:space="preserve"> </w:t>
      </w:r>
      <w:r w:rsidRPr="00247C05">
        <w:rPr>
          <w:rFonts w:ascii="Times New Roman" w:hAnsi="Times New Roman" w:cs="FrankRuehl" w:hint="cs"/>
          <w:sz w:val="20"/>
          <w:rtl/>
        </w:rPr>
        <w:t>של</w:t>
      </w:r>
      <w:r w:rsidRPr="00247C05">
        <w:rPr>
          <w:rFonts w:ascii="Times New Roman" w:hAnsi="Times New Roman" w:cs="FrankRuehl"/>
          <w:sz w:val="20"/>
          <w:rtl/>
        </w:rPr>
        <w:t xml:space="preserve"> </w:t>
      </w:r>
      <w:r w:rsidRPr="00247C05">
        <w:rPr>
          <w:rFonts w:ascii="Times New Roman" w:hAnsi="Times New Roman" w:cs="FrankRuehl" w:hint="cs"/>
          <w:sz w:val="20"/>
          <w:rtl/>
        </w:rPr>
        <w:t>בהמ</w:t>
      </w:r>
      <w:r w:rsidRPr="00247C05">
        <w:rPr>
          <w:rFonts w:ascii="Times New Roman" w:hAnsi="Times New Roman" w:cs="FrankRuehl"/>
          <w:sz w:val="20"/>
          <w:rtl/>
        </w:rPr>
        <w:t xml:space="preserve">"ש </w:t>
      </w:r>
      <w:r w:rsidRPr="00247C05">
        <w:rPr>
          <w:rFonts w:ascii="Times New Roman" w:hAnsi="Times New Roman" w:cs="FrankRuehl" w:hint="cs"/>
          <w:sz w:val="20"/>
          <w:rtl/>
        </w:rPr>
        <w:t>עמ</w:t>
      </w:r>
      <w:r w:rsidRPr="00247C05">
        <w:rPr>
          <w:rFonts w:ascii="Times New Roman" w:hAnsi="Times New Roman" w:cs="FrankRuehl"/>
          <w:sz w:val="20"/>
          <w:rtl/>
        </w:rPr>
        <w:t>"ק. כך למשל, החליטו</w:t>
      </w:r>
      <w:r w:rsidRPr="00247C05">
        <w:rPr>
          <w:rFonts w:ascii="Times New Roman" w:hAnsi="Times New Roman" w:cs="FrankRuehl" w:hint="cs"/>
          <w:sz w:val="20"/>
          <w:rtl/>
        </w:rPr>
        <w:t xml:space="preserve"> ה</w:t>
      </w:r>
      <w:r w:rsidRPr="00247C05">
        <w:rPr>
          <w:rFonts w:ascii="Times New Roman" w:hAnsi="Times New Roman" w:cs="FrankRuehl"/>
          <w:sz w:val="20"/>
          <w:rtl/>
        </w:rPr>
        <w:t xml:space="preserve">עיריות </w:t>
      </w:r>
      <w:r w:rsidRPr="00247C05">
        <w:rPr>
          <w:rFonts w:ascii="Times New Roman" w:hAnsi="Times New Roman" w:cs="FrankRuehl" w:hint="cs"/>
          <w:sz w:val="20"/>
          <w:rtl/>
        </w:rPr>
        <w:t>של</w:t>
      </w:r>
      <w:r w:rsidRPr="00247C05">
        <w:rPr>
          <w:rFonts w:ascii="Times New Roman" w:hAnsi="Times New Roman" w:cs="FrankRuehl"/>
          <w:sz w:val="20"/>
          <w:rtl/>
        </w:rPr>
        <w:t xml:space="preserve"> חיפה, חולון ו</w:t>
      </w:r>
      <w:r w:rsidRPr="00247C05">
        <w:rPr>
          <w:rFonts w:ascii="Times New Roman" w:hAnsi="Times New Roman" w:cs="FrankRuehl" w:hint="cs"/>
          <w:sz w:val="20"/>
          <w:rtl/>
        </w:rPr>
        <w:t>בת ים</w:t>
      </w:r>
      <w:r w:rsidRPr="00247C05">
        <w:rPr>
          <w:rFonts w:ascii="Times New Roman" w:hAnsi="Times New Roman" w:cs="FrankRuehl"/>
          <w:sz w:val="20"/>
          <w:rtl/>
        </w:rPr>
        <w:t xml:space="preserve"> שלא להתחבר לנט המשפט בשל העלויות ה</w:t>
      </w:r>
      <w:r w:rsidRPr="00247C05">
        <w:rPr>
          <w:rFonts w:ascii="Times New Roman" w:hAnsi="Times New Roman" w:cs="FrankRuehl" w:hint="cs"/>
          <w:sz w:val="20"/>
          <w:rtl/>
        </w:rPr>
        <w:t>כרוכות</w:t>
      </w:r>
      <w:r w:rsidRPr="00247C05">
        <w:rPr>
          <w:rFonts w:ascii="Times New Roman" w:hAnsi="Times New Roman" w:cs="FrankRuehl"/>
          <w:sz w:val="20"/>
          <w:rtl/>
        </w:rPr>
        <w:t xml:space="preserve"> בכך.</w:t>
      </w:r>
      <w:r w:rsidRPr="00247C05">
        <w:rPr>
          <w:rFonts w:ascii="Times New Roman" w:hAnsi="Times New Roman" w:cs="FrankRuehl" w:hint="cs"/>
          <w:sz w:val="20"/>
          <w:rtl/>
        </w:rPr>
        <w:t xml:space="preserve"> </w:t>
      </w:r>
    </w:p>
    <w:p w:rsidR="003037FB" w:rsidRPr="00247C05" w:rsidP="007A506B">
      <w:pPr>
        <w:pStyle w:val="RESHET"/>
        <w:keepLines/>
        <w:ind w:left="567"/>
        <w:rPr>
          <w:rtl/>
        </w:rPr>
      </w:pPr>
      <w:r w:rsidRPr="00247C05">
        <w:rPr>
          <w:rFonts w:hint="eastAsia"/>
          <w:rtl/>
        </w:rPr>
        <w:t>הבדיקה</w:t>
      </w:r>
      <w:r w:rsidRPr="00247C05">
        <w:rPr>
          <w:rtl/>
        </w:rPr>
        <w:t xml:space="preserve"> העלתה, כי בחלק </w:t>
      </w:r>
      <w:r w:rsidRPr="00247C05">
        <w:rPr>
          <w:rFonts w:hint="eastAsia"/>
          <w:rtl/>
        </w:rPr>
        <w:t>מבמ</w:t>
      </w:r>
      <w:r w:rsidRPr="00247C05">
        <w:rPr>
          <w:rtl/>
        </w:rPr>
        <w:t>"ש עמ"ק השוכנים בתוך בתי משפט השלום, לא נשאו הרשויות בעלויות ההתחברות לנט המשפט</w:t>
      </w:r>
      <w:r w:rsidRPr="00247C05">
        <w:rPr>
          <w:rFonts w:hint="cs"/>
          <w:rtl/>
        </w:rPr>
        <w:t xml:space="preserve"> </w:t>
      </w:r>
      <w:r w:rsidRPr="00247C05">
        <w:rPr>
          <w:rtl/>
        </w:rPr>
        <w:t xml:space="preserve">כלל. כך למשל, בשנת 2008 התחבר במ"ש עמ"ק בקריית ביאליק השוכן בבית משפט </w:t>
      </w:r>
      <w:r w:rsidRPr="00247C05">
        <w:rPr>
          <w:rFonts w:hint="cs"/>
          <w:rtl/>
        </w:rPr>
        <w:t>ה</w:t>
      </w:r>
      <w:r w:rsidRPr="00247C05">
        <w:rPr>
          <w:rtl/>
        </w:rPr>
        <w:t>שלום בעיר, ללא חיוב בעלויות כלשהן</w:t>
      </w:r>
      <w:r w:rsidRPr="00247C05">
        <w:rPr>
          <w:rFonts w:hint="cs"/>
          <w:rtl/>
        </w:rPr>
        <w:t>,</w:t>
      </w:r>
      <w:r w:rsidRPr="00247C05">
        <w:rPr>
          <w:rtl/>
        </w:rPr>
        <w:t xml:space="preserve"> לא על ההתקנה ולא על התחזוקה השנתית, </w:t>
      </w:r>
      <w:r w:rsidRPr="00247C05">
        <w:rPr>
          <w:rFonts w:hint="eastAsia"/>
          <w:rtl/>
        </w:rPr>
        <w:t>בעוד</w:t>
      </w:r>
      <w:r w:rsidRPr="00247C05">
        <w:rPr>
          <w:rtl/>
        </w:rPr>
        <w:t xml:space="preserve"> </w:t>
      </w:r>
      <w:r w:rsidRPr="00247C05">
        <w:rPr>
          <w:rFonts w:hint="eastAsia"/>
          <w:rtl/>
        </w:rPr>
        <w:t>שבתשובות</w:t>
      </w:r>
      <w:r w:rsidRPr="00247C05">
        <w:rPr>
          <w:rtl/>
        </w:rPr>
        <w:t xml:space="preserve"> </w:t>
      </w:r>
      <w:r w:rsidRPr="00247C05">
        <w:rPr>
          <w:rFonts w:hint="eastAsia"/>
          <w:rtl/>
        </w:rPr>
        <w:t>לשאלונים</w:t>
      </w:r>
      <w:r w:rsidRPr="00247C05">
        <w:rPr>
          <w:rtl/>
        </w:rPr>
        <w:t xml:space="preserve"> </w:t>
      </w:r>
      <w:r w:rsidRPr="00247C05">
        <w:rPr>
          <w:rFonts w:hint="eastAsia"/>
          <w:rtl/>
        </w:rPr>
        <w:t>כתבה</w:t>
      </w:r>
      <w:r w:rsidRPr="00247C05">
        <w:rPr>
          <w:rtl/>
        </w:rPr>
        <w:t xml:space="preserve"> </w:t>
      </w:r>
      <w:r w:rsidRPr="00247C05">
        <w:rPr>
          <w:rFonts w:hint="eastAsia"/>
          <w:rtl/>
        </w:rPr>
        <w:t>עיריית</w:t>
      </w:r>
      <w:r w:rsidRPr="00247C05">
        <w:rPr>
          <w:rtl/>
        </w:rPr>
        <w:t xml:space="preserve"> </w:t>
      </w:r>
      <w:r w:rsidRPr="00247C05">
        <w:rPr>
          <w:rFonts w:hint="eastAsia"/>
          <w:rtl/>
        </w:rPr>
        <w:t>ראשון</w:t>
      </w:r>
      <w:r w:rsidRPr="00247C05">
        <w:rPr>
          <w:rFonts w:hint="cs"/>
          <w:rtl/>
        </w:rPr>
        <w:t xml:space="preserve"> </w:t>
      </w:r>
      <w:r w:rsidRPr="00247C05">
        <w:rPr>
          <w:rtl/>
        </w:rPr>
        <w:t xml:space="preserve">לציון </w:t>
      </w:r>
      <w:r w:rsidRPr="00247C05">
        <w:rPr>
          <w:rFonts w:hint="eastAsia"/>
          <w:rtl/>
        </w:rPr>
        <w:t>כי</w:t>
      </w:r>
      <w:r w:rsidRPr="00247C05">
        <w:rPr>
          <w:rtl/>
        </w:rPr>
        <w:t xml:space="preserve"> </w:t>
      </w:r>
      <w:r w:rsidRPr="00247C05">
        <w:rPr>
          <w:rFonts w:hint="eastAsia"/>
          <w:rtl/>
        </w:rPr>
        <w:t>היא</w:t>
      </w:r>
      <w:r w:rsidRPr="00247C05">
        <w:rPr>
          <w:rtl/>
        </w:rPr>
        <w:t xml:space="preserve"> </w:t>
      </w:r>
      <w:r w:rsidRPr="00247C05">
        <w:rPr>
          <w:rFonts w:hint="eastAsia"/>
          <w:rtl/>
        </w:rPr>
        <w:t>נשאה</w:t>
      </w:r>
      <w:r w:rsidRPr="00247C05">
        <w:rPr>
          <w:rtl/>
        </w:rPr>
        <w:t xml:space="preserve"> </w:t>
      </w:r>
      <w:r w:rsidRPr="00247C05">
        <w:rPr>
          <w:rFonts w:hint="eastAsia"/>
          <w:rtl/>
        </w:rPr>
        <w:t>בעלויות</w:t>
      </w:r>
      <w:r w:rsidRPr="00247C05">
        <w:rPr>
          <w:rtl/>
        </w:rPr>
        <w:t xml:space="preserve"> </w:t>
      </w:r>
      <w:r w:rsidRPr="00247C05">
        <w:rPr>
          <w:rFonts w:hint="eastAsia"/>
          <w:rtl/>
        </w:rPr>
        <w:t>ההתקנה</w:t>
      </w:r>
      <w:r w:rsidRPr="00247C05">
        <w:rPr>
          <w:rtl/>
        </w:rPr>
        <w:t xml:space="preserve"> </w:t>
      </w:r>
      <w:r w:rsidRPr="00247C05">
        <w:rPr>
          <w:rFonts w:hint="eastAsia"/>
          <w:rtl/>
        </w:rPr>
        <w:t>והתחזוקה</w:t>
      </w:r>
      <w:r w:rsidRPr="00247C05">
        <w:rPr>
          <w:rtl/>
        </w:rPr>
        <w:t xml:space="preserve"> </w:t>
      </w:r>
      <w:r w:rsidRPr="00247C05">
        <w:rPr>
          <w:rFonts w:hint="eastAsia"/>
          <w:rtl/>
        </w:rPr>
        <w:t>של</w:t>
      </w:r>
      <w:r w:rsidRPr="00247C05">
        <w:rPr>
          <w:rtl/>
        </w:rPr>
        <w:t xml:space="preserve"> </w:t>
      </w:r>
      <w:r w:rsidRPr="00247C05">
        <w:rPr>
          <w:rFonts w:hint="eastAsia"/>
          <w:rtl/>
        </w:rPr>
        <w:t>נט</w:t>
      </w:r>
      <w:r w:rsidRPr="00247C05">
        <w:rPr>
          <w:rtl/>
        </w:rPr>
        <w:t xml:space="preserve"> </w:t>
      </w:r>
      <w:r w:rsidRPr="00247C05">
        <w:rPr>
          <w:rFonts w:hint="eastAsia"/>
          <w:rtl/>
        </w:rPr>
        <w:t>המשפט</w:t>
      </w:r>
      <w:r w:rsidRPr="00247C05">
        <w:rPr>
          <w:rtl/>
        </w:rPr>
        <w:t xml:space="preserve">, </w:t>
      </w:r>
      <w:r w:rsidRPr="00247C05">
        <w:rPr>
          <w:rFonts w:hint="cs"/>
          <w:rtl/>
        </w:rPr>
        <w:t>ו</w:t>
      </w:r>
      <w:r w:rsidRPr="00247C05">
        <w:rPr>
          <w:rFonts w:hint="eastAsia"/>
          <w:rtl/>
        </w:rPr>
        <w:t>היא</w:t>
      </w:r>
      <w:r w:rsidRPr="00247C05">
        <w:rPr>
          <w:rtl/>
        </w:rPr>
        <w:t xml:space="preserve"> </w:t>
      </w:r>
      <w:r w:rsidRPr="00247C05">
        <w:rPr>
          <w:rFonts w:hint="eastAsia"/>
          <w:rtl/>
        </w:rPr>
        <w:t>נושאת</w:t>
      </w:r>
      <w:r w:rsidRPr="00247C05">
        <w:rPr>
          <w:rtl/>
        </w:rPr>
        <w:t xml:space="preserve"> </w:t>
      </w:r>
      <w:r w:rsidRPr="00247C05">
        <w:rPr>
          <w:rFonts w:hint="eastAsia"/>
          <w:rtl/>
        </w:rPr>
        <w:t>בעלויות</w:t>
      </w:r>
      <w:r w:rsidRPr="00247C05">
        <w:rPr>
          <w:rtl/>
        </w:rPr>
        <w:t xml:space="preserve"> </w:t>
      </w:r>
      <w:r w:rsidRPr="00247C05">
        <w:rPr>
          <w:rFonts w:hint="cs"/>
          <w:rtl/>
        </w:rPr>
        <w:t>ה</w:t>
      </w:r>
      <w:r w:rsidRPr="00247C05">
        <w:rPr>
          <w:rFonts w:hint="eastAsia"/>
          <w:rtl/>
        </w:rPr>
        <w:t>תחזוקה</w:t>
      </w:r>
      <w:r w:rsidRPr="00247C05">
        <w:rPr>
          <w:rtl/>
        </w:rPr>
        <w:t xml:space="preserve"> </w:t>
      </w:r>
      <w:r w:rsidRPr="00247C05">
        <w:rPr>
          <w:rFonts w:hint="cs"/>
          <w:rtl/>
        </w:rPr>
        <w:t>ה</w:t>
      </w:r>
      <w:r w:rsidRPr="00247C05">
        <w:rPr>
          <w:rFonts w:hint="eastAsia"/>
          <w:rtl/>
        </w:rPr>
        <w:t>שנתיות</w:t>
      </w:r>
      <w:r w:rsidRPr="00247C05">
        <w:rPr>
          <w:rFonts w:hint="cs"/>
          <w:rtl/>
        </w:rPr>
        <w:t xml:space="preserve">. </w:t>
      </w:r>
    </w:p>
    <w:p w:rsidR="003037FB" w:rsidRPr="00247C05" w:rsidP="007A506B">
      <w:pPr>
        <w:pStyle w:val="ListParagraph"/>
        <w:tabs>
          <w:tab w:val="left" w:pos="0"/>
        </w:tabs>
        <w:spacing w:before="180" w:after="24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בתשובתה ציינה הב"ה, כי בימים אלו נערכת עבודת מטה באגף המחשוב של הב"ה בנוגע למשמעויות הכלכליות של התקנת נט המשפט בבמ"ש עמ"ק. עיריית חולון כתבה בתשובתה, כי החליטה שלא להתקין את נט המשפט לא רק בשל עלויות כספיות של התקנת נט המשפט אלא משום שלפני מספר שנים השקיעה העירייה בפיתוח של מערכת מחשוב ייעודית לבית המשפט ולניהולו.</w:t>
      </w:r>
    </w:p>
    <w:p w:rsidR="003037FB" w:rsidRPr="007A506B" w:rsidP="007A506B">
      <w:pPr>
        <w:pStyle w:val="RESHET"/>
        <w:keepLines/>
        <w:ind w:left="567"/>
        <w:rPr>
          <w:rtl/>
        </w:rPr>
      </w:pPr>
      <w:r w:rsidRPr="007A506B">
        <w:rPr>
          <w:rFonts w:hint="cs"/>
          <w:rtl/>
        </w:rPr>
        <w:t xml:space="preserve">סוגיית עלויות התקנת נט המשפט והחזקתה מקשה יותר על רשויות מקומיות בהן פועל במ"ש עמ"ק שבו פעילות מצומצמת. על הב"ה לבדוק את הפערים שנמצאו בהשתת העלויות הכרוכות בהתקנת נט המשפט ותחזוקתה בבתי משפט עמ"ק שחוברו אליה עד כה, ולוודא כי פעולותיה בעניין זה יתבססו על קריטריונים שוויוניים. </w:t>
      </w:r>
    </w:p>
    <w:p w:rsidR="003037FB" w:rsidRPr="00247C05" w:rsidP="007A506B">
      <w:pPr>
        <w:spacing w:before="180" w:after="240" w:line="230" w:lineRule="exact"/>
        <w:jc w:val="both"/>
        <w:rPr>
          <w:rFonts w:cs="FrankRuehl"/>
          <w:sz w:val="20"/>
          <w:szCs w:val="22"/>
          <w:rtl/>
        </w:rPr>
      </w:pPr>
      <w:r w:rsidRPr="00247C05">
        <w:rPr>
          <w:rFonts w:cs="FrankRuehl" w:hint="cs"/>
          <w:sz w:val="20"/>
          <w:szCs w:val="22"/>
          <w:rtl/>
        </w:rPr>
        <w:t>מתשובת הב"ה עולה, כי מספר</w:t>
      </w:r>
      <w:r w:rsidRPr="00247C05">
        <w:rPr>
          <w:rFonts w:cs="FrankRuehl"/>
          <w:sz w:val="20"/>
          <w:szCs w:val="22"/>
          <w:rtl/>
        </w:rPr>
        <w:t xml:space="preserve"> לא קטן של רשויות א</w:t>
      </w:r>
      <w:r w:rsidRPr="00247C05">
        <w:rPr>
          <w:rFonts w:cs="FrankRuehl" w:hint="cs"/>
          <w:sz w:val="20"/>
          <w:szCs w:val="22"/>
          <w:rtl/>
        </w:rPr>
        <w:t>ינן</w:t>
      </w:r>
      <w:r w:rsidRPr="00247C05">
        <w:rPr>
          <w:rFonts w:cs="FrankRuehl"/>
          <w:sz w:val="20"/>
          <w:szCs w:val="22"/>
          <w:rtl/>
        </w:rPr>
        <w:t xml:space="preserve"> מוכנות לקבל עליהן לעבוד עם נט המשפט </w:t>
      </w:r>
      <w:r w:rsidRPr="00247C05">
        <w:rPr>
          <w:rFonts w:cs="FrankRuehl" w:hint="cs"/>
          <w:sz w:val="20"/>
          <w:szCs w:val="22"/>
          <w:rtl/>
        </w:rPr>
        <w:t>אולם מתשובותיהם של מרבית הרשויות המקומיות שבתי המשפט שבתחומן אינם מחוברים לנט המשפט עולה, כי קיימת נכונות עקרונית להתחבר למערכת. כך למשל, בתשובתה עיריית תל אביב כתבה כי תשמח לקדם את הטמעת נט המשפט ותסייע להב"ה בכל הנדרש לכך.</w:t>
      </w:r>
    </w:p>
    <w:p w:rsidR="00AC37C9" w:rsidP="00AC37C9">
      <w:pPr>
        <w:pStyle w:val="RESHET"/>
        <w:keepNext/>
        <w:keepLines/>
      </w:pPr>
      <w:r w:rsidRPr="00247C05">
        <w:rPr>
          <w:rFonts w:hint="cs"/>
          <w:rtl/>
        </w:rPr>
        <w:t xml:space="preserve">משרד מבקר המדינה מעיר להב"ה שעליה להשלים בהקדם את תכנית ההיערכות להטמעת נט המשפט בכל במ"ש עמ"ק. כמו כן עליה לקיים את ההליכים הנדרשים לאישור תכנית ההיערכות כדי להביא לידי מימושה ללא דיחוי, ליידע את כל הרשויות המקומיות בקשר להחלטתה </w:t>
      </w:r>
      <w:r w:rsidRPr="00247C05">
        <w:rPr>
          <w:rFonts w:hint="eastAsia"/>
          <w:rtl/>
        </w:rPr>
        <w:t>המקצועית</w:t>
      </w:r>
      <w:r w:rsidRPr="00247C05">
        <w:rPr>
          <w:rFonts w:hint="cs"/>
          <w:rtl/>
        </w:rPr>
        <w:t xml:space="preserve"> ולחייב את מזכירויות במ"ש עמ"ק לפעול בנט המשפט</w:t>
      </w:r>
      <w:r w:rsidRPr="00247C05">
        <w:rPr>
          <w:rtl/>
        </w:rPr>
        <w:t xml:space="preserve">. </w:t>
      </w:r>
    </w:p>
    <w:p w:rsidR="003037FB" w:rsidRPr="00247C05" w:rsidP="00AC37C9">
      <w:pPr>
        <w:pStyle w:val="RESHET"/>
        <w:keepLines/>
        <w:rPr>
          <w:u w:val="single"/>
          <w:rtl/>
        </w:rPr>
      </w:pPr>
      <w:r w:rsidRPr="00247C05">
        <w:rPr>
          <w:rFonts w:hint="cs"/>
          <w:rtl/>
        </w:rPr>
        <w:t>לדעת משרד מבקר המדינה, על הב"ה להטמיע בהקדם את מערכת נט המשפט בכל המזכירויות של במ"ש עמ"ק ברשויות המקומיות שאינן מתנגדות לכך. ובכל אותם מקרים</w:t>
      </w:r>
      <w:r w:rsidRPr="00247C05">
        <w:rPr>
          <w:rtl/>
        </w:rPr>
        <w:t xml:space="preserve"> בהם היא נתקלת </w:t>
      </w:r>
      <w:r w:rsidRPr="00247C05">
        <w:rPr>
          <w:rFonts w:hint="cs"/>
          <w:rtl/>
        </w:rPr>
        <w:t>בהתנגדות</w:t>
      </w:r>
      <w:r w:rsidRPr="00247C05">
        <w:rPr>
          <w:rtl/>
        </w:rPr>
        <w:t xml:space="preserve"> </w:t>
      </w:r>
      <w:r w:rsidRPr="00247C05">
        <w:rPr>
          <w:rFonts w:hint="cs"/>
          <w:rtl/>
        </w:rPr>
        <w:t>של</w:t>
      </w:r>
      <w:r w:rsidRPr="00247C05">
        <w:rPr>
          <w:rtl/>
        </w:rPr>
        <w:t xml:space="preserve"> </w:t>
      </w:r>
      <w:r w:rsidRPr="00247C05">
        <w:rPr>
          <w:rFonts w:hint="cs"/>
          <w:rtl/>
        </w:rPr>
        <w:t>רשויות</w:t>
      </w:r>
      <w:r w:rsidRPr="00247C05">
        <w:rPr>
          <w:rtl/>
        </w:rPr>
        <w:t xml:space="preserve"> </w:t>
      </w:r>
      <w:r w:rsidRPr="00247C05">
        <w:rPr>
          <w:rFonts w:hint="cs"/>
          <w:rtl/>
        </w:rPr>
        <w:t>מקומיות</w:t>
      </w:r>
      <w:r w:rsidRPr="00247C05">
        <w:rPr>
          <w:rtl/>
        </w:rPr>
        <w:t xml:space="preserve"> </w:t>
      </w:r>
      <w:r w:rsidRPr="00247C05">
        <w:rPr>
          <w:rFonts w:hint="eastAsia"/>
          <w:rtl/>
        </w:rPr>
        <w:t>עליה</w:t>
      </w:r>
      <w:r w:rsidRPr="00247C05">
        <w:rPr>
          <w:rtl/>
        </w:rPr>
        <w:t xml:space="preserve"> </w:t>
      </w:r>
      <w:r w:rsidRPr="00247C05">
        <w:rPr>
          <w:rFonts w:hint="cs"/>
          <w:rtl/>
        </w:rPr>
        <w:t xml:space="preserve">לבוא עימן בדברים, למצוא פתרונות, ובמידת הצורך </w:t>
      </w:r>
      <w:r w:rsidRPr="00247C05">
        <w:rPr>
          <w:rFonts w:hint="eastAsia"/>
          <w:rtl/>
        </w:rPr>
        <w:t>לבחון</w:t>
      </w:r>
      <w:r w:rsidRPr="00247C05">
        <w:rPr>
          <w:rtl/>
        </w:rPr>
        <w:t xml:space="preserve"> </w:t>
      </w:r>
      <w:r w:rsidRPr="00247C05">
        <w:rPr>
          <w:rFonts w:hint="eastAsia"/>
          <w:rtl/>
        </w:rPr>
        <w:t>את</w:t>
      </w:r>
      <w:r w:rsidRPr="00247C05">
        <w:rPr>
          <w:rtl/>
        </w:rPr>
        <w:t xml:space="preserve"> </w:t>
      </w:r>
      <w:r w:rsidRPr="00247C05">
        <w:rPr>
          <w:rFonts w:hint="eastAsia"/>
          <w:rtl/>
        </w:rPr>
        <w:t>הדרכים</w:t>
      </w:r>
      <w:r w:rsidRPr="00247C05">
        <w:rPr>
          <w:rtl/>
        </w:rPr>
        <w:t xml:space="preserve"> </w:t>
      </w:r>
      <w:r w:rsidRPr="00247C05">
        <w:rPr>
          <w:rFonts w:hint="eastAsia"/>
          <w:rtl/>
        </w:rPr>
        <w:t>בהן</w:t>
      </w:r>
      <w:r w:rsidRPr="00247C05">
        <w:rPr>
          <w:rtl/>
        </w:rPr>
        <w:t xml:space="preserve"> </w:t>
      </w:r>
      <w:r w:rsidRPr="00247C05">
        <w:rPr>
          <w:rFonts w:hint="eastAsia"/>
          <w:rtl/>
        </w:rPr>
        <w:t>ניתן</w:t>
      </w:r>
      <w:r w:rsidRPr="00247C05">
        <w:rPr>
          <w:rtl/>
        </w:rPr>
        <w:t xml:space="preserve"> </w:t>
      </w:r>
      <w:r w:rsidRPr="00247C05">
        <w:rPr>
          <w:rFonts w:hint="eastAsia"/>
          <w:rtl/>
        </w:rPr>
        <w:t>יהיה</w:t>
      </w:r>
      <w:r w:rsidRPr="00247C05">
        <w:rPr>
          <w:rtl/>
        </w:rPr>
        <w:t xml:space="preserve"> </w:t>
      </w:r>
      <w:r w:rsidRPr="00247C05">
        <w:rPr>
          <w:rFonts w:hint="eastAsia"/>
          <w:rtl/>
        </w:rPr>
        <w:t>לחייב</w:t>
      </w:r>
      <w:r w:rsidRPr="00247C05">
        <w:rPr>
          <w:rtl/>
        </w:rPr>
        <w:t xml:space="preserve"> </w:t>
      </w:r>
      <w:r w:rsidRPr="00247C05">
        <w:rPr>
          <w:rFonts w:hint="eastAsia"/>
          <w:rtl/>
        </w:rPr>
        <w:t>א</w:t>
      </w:r>
      <w:r w:rsidRPr="00247C05">
        <w:rPr>
          <w:rFonts w:hint="cs"/>
          <w:rtl/>
        </w:rPr>
        <w:t>ו</w:t>
      </w:r>
      <w:r w:rsidRPr="00247C05">
        <w:rPr>
          <w:rFonts w:hint="eastAsia"/>
          <w:rtl/>
        </w:rPr>
        <w:t>ת</w:t>
      </w:r>
      <w:r w:rsidRPr="00247C05">
        <w:rPr>
          <w:rFonts w:hint="cs"/>
          <w:rtl/>
        </w:rPr>
        <w:t>ן</w:t>
      </w:r>
      <w:r w:rsidRPr="00247C05">
        <w:rPr>
          <w:rtl/>
        </w:rPr>
        <w:t xml:space="preserve"> </w:t>
      </w:r>
      <w:r w:rsidRPr="00247C05">
        <w:rPr>
          <w:rFonts w:hint="eastAsia"/>
          <w:rtl/>
        </w:rPr>
        <w:t>להתקין</w:t>
      </w:r>
      <w:r w:rsidRPr="00247C05">
        <w:rPr>
          <w:rtl/>
        </w:rPr>
        <w:t xml:space="preserve"> </w:t>
      </w:r>
      <w:r w:rsidRPr="00247C05">
        <w:rPr>
          <w:rFonts w:hint="eastAsia"/>
          <w:rtl/>
        </w:rPr>
        <w:t>את</w:t>
      </w:r>
      <w:r w:rsidRPr="00247C05">
        <w:rPr>
          <w:rtl/>
        </w:rPr>
        <w:t xml:space="preserve"> </w:t>
      </w:r>
      <w:r w:rsidRPr="00247C05">
        <w:rPr>
          <w:rFonts w:hint="eastAsia"/>
          <w:rtl/>
        </w:rPr>
        <w:t>נט</w:t>
      </w:r>
      <w:r w:rsidRPr="00247C05">
        <w:rPr>
          <w:rtl/>
        </w:rPr>
        <w:t xml:space="preserve"> </w:t>
      </w:r>
      <w:r w:rsidRPr="00247C05">
        <w:rPr>
          <w:rFonts w:hint="eastAsia"/>
          <w:rtl/>
        </w:rPr>
        <w:t>המשפ</w:t>
      </w:r>
      <w:r w:rsidRPr="00247C05">
        <w:rPr>
          <w:rFonts w:hint="cs"/>
          <w:rtl/>
        </w:rPr>
        <w:t xml:space="preserve">ט. </w:t>
      </w:r>
    </w:p>
    <w:p w:rsidR="003037FB" w:rsidP="00040DAE">
      <w:pPr>
        <w:spacing w:after="120" w:line="230" w:lineRule="exact"/>
        <w:jc w:val="both"/>
        <w:rPr>
          <w:rFonts w:cs="FrankRuehl"/>
          <w:b/>
          <w:bCs/>
          <w:sz w:val="20"/>
          <w:szCs w:val="22"/>
          <w:u w:val="single"/>
        </w:rPr>
      </w:pPr>
    </w:p>
    <w:p w:rsidR="00254F5E" w:rsidP="00040DAE">
      <w:pPr>
        <w:spacing w:after="120" w:line="230" w:lineRule="exact"/>
        <w:jc w:val="both"/>
        <w:rPr>
          <w:rFonts w:cs="FrankRuehl"/>
          <w:b/>
          <w:bCs/>
          <w:sz w:val="20"/>
          <w:szCs w:val="22"/>
          <w:u w:val="single"/>
          <w:rtl/>
        </w:rPr>
      </w:pPr>
    </w:p>
    <w:p w:rsidR="003037FB" w:rsidRPr="00A45E9A" w:rsidP="00040DAE">
      <w:pPr>
        <w:pStyle w:val="KOT4"/>
        <w:rPr>
          <w:rtl/>
        </w:rPr>
      </w:pPr>
      <w:r w:rsidRPr="00A45E9A">
        <w:rPr>
          <w:rFonts w:hint="cs"/>
          <w:rtl/>
        </w:rPr>
        <w:t>תכנונם ויישומם של הנושאים שבאחריותה המקצועית של הב"ה</w:t>
      </w:r>
    </w:p>
    <w:p w:rsidR="003037FB" w:rsidP="00040DAE">
      <w:pPr>
        <w:tabs>
          <w:tab w:val="left" w:pos="424"/>
        </w:tabs>
        <w:spacing w:after="120" w:line="230" w:lineRule="exact"/>
        <w:jc w:val="both"/>
        <w:rPr>
          <w:rFonts w:cs="FrankRuehl"/>
          <w:sz w:val="20"/>
          <w:szCs w:val="22"/>
          <w:rtl/>
        </w:rPr>
      </w:pPr>
      <w:r w:rsidRPr="00EC77C1">
        <w:rPr>
          <w:rStyle w:val="Heading5Char"/>
          <w:rFonts w:cs="FrankRuehl" w:hint="cs"/>
          <w:spacing w:val="40"/>
          <w:sz w:val="20"/>
          <w:szCs w:val="22"/>
          <w:rtl/>
        </w:rPr>
        <w:t>מתחם האחריות</w:t>
      </w:r>
      <w:r w:rsidRPr="00247C05">
        <w:rPr>
          <w:rFonts w:cs="FrankRuehl" w:hint="cs"/>
          <w:sz w:val="20"/>
          <w:szCs w:val="22"/>
          <w:rtl/>
        </w:rPr>
        <w:t xml:space="preserve"> </w:t>
      </w:r>
      <w:r w:rsidRPr="00EC77C1">
        <w:rPr>
          <w:rStyle w:val="Heading5Char"/>
          <w:rFonts w:cs="FrankRuehl" w:hint="cs"/>
          <w:spacing w:val="40"/>
          <w:sz w:val="20"/>
          <w:szCs w:val="22"/>
          <w:rtl/>
        </w:rPr>
        <w:t>של הב"ה</w:t>
      </w:r>
      <w:r w:rsidRPr="00247C05">
        <w:rPr>
          <w:rFonts w:cs="FrankRuehl" w:hint="cs"/>
          <w:sz w:val="20"/>
          <w:szCs w:val="22"/>
          <w:rtl/>
        </w:rPr>
        <w:t>: האחריות המקצועית של הב"ה, כפי שעלה בדוח ועדת זמיר, כוללות היבטים שונים ובהם: בין היתר, נהלי עבודה, מתן הנחיות מקצועיות, הדרכת עובדי מזכירות והכשרתם וכן בקרה ופיקוח על עבודתן המקצועית של המזכירויות.</w:t>
      </w:r>
    </w:p>
    <w:tbl>
      <w:tblPr>
        <w:bidiVisual/>
        <w:tblW w:w="7031" w:type="dxa"/>
        <w:jc w:val="center"/>
        <w:tblLook w:val="04A0"/>
      </w:tblPr>
      <w:tblGrid>
        <w:gridCol w:w="356"/>
        <w:gridCol w:w="6675"/>
      </w:tblGrid>
      <w:tr w:rsidTr="00AC4B89">
        <w:tblPrEx>
          <w:tblW w:w="7031" w:type="dxa"/>
          <w:jc w:val="center"/>
          <w:tblLook w:val="04A0"/>
        </w:tblPrEx>
        <w:trPr>
          <w:jc w:val="center"/>
        </w:trPr>
        <w:tc>
          <w:tcPr>
            <w:tcW w:w="356" w:type="dxa"/>
            <w:shd w:val="clear" w:color="auto" w:fill="auto"/>
          </w:tcPr>
          <w:p w:rsidR="00FC0BA8" w:rsidRPr="0001521E" w:rsidP="00AC4B89">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FC0BA8" w:rsidP="00AC4B89">
            <w:pPr>
              <w:pStyle w:val="RESHET"/>
              <w:keepNext/>
              <w:keepLines/>
              <w:rPr>
                <w:rtl/>
              </w:rPr>
            </w:pPr>
            <w:r w:rsidRPr="00247C05">
              <w:rPr>
                <w:rFonts w:hint="cs"/>
                <w:rtl/>
              </w:rPr>
              <w:t>יוער כי תחומי האחריות</w:t>
            </w:r>
            <w:r w:rsidRPr="00247C05">
              <w:rPr>
                <w:rtl/>
              </w:rPr>
              <w:t xml:space="preserve"> </w:t>
            </w:r>
            <w:r w:rsidRPr="00247C05">
              <w:rPr>
                <w:rFonts w:hint="cs"/>
                <w:rtl/>
              </w:rPr>
              <w:t>המקצועית של הב"ה המפורטים לעיל</w:t>
            </w:r>
            <w:r w:rsidRPr="00247C05">
              <w:rPr>
                <w:rtl/>
              </w:rPr>
              <w:t>, אינ</w:t>
            </w:r>
            <w:r w:rsidRPr="00247C05">
              <w:rPr>
                <w:rFonts w:hint="cs"/>
                <w:rtl/>
              </w:rPr>
              <w:t>ם</w:t>
            </w:r>
            <w:r w:rsidRPr="00247C05">
              <w:rPr>
                <w:rtl/>
              </w:rPr>
              <w:t xml:space="preserve"> מוגדר</w:t>
            </w:r>
            <w:r w:rsidRPr="00247C05">
              <w:rPr>
                <w:rFonts w:hint="cs"/>
                <w:rtl/>
              </w:rPr>
              <w:t>ים</w:t>
            </w:r>
            <w:r w:rsidRPr="00247C05">
              <w:rPr>
                <w:rtl/>
              </w:rPr>
              <w:t xml:space="preserve"> </w:t>
            </w:r>
            <w:r w:rsidRPr="00247C05">
              <w:rPr>
                <w:rFonts w:hint="cs"/>
                <w:rtl/>
              </w:rPr>
              <w:t>כיום</w:t>
            </w:r>
            <w:r w:rsidRPr="00247C05">
              <w:rPr>
                <w:rtl/>
              </w:rPr>
              <w:t xml:space="preserve"> תחת אחריות מנהל המחוז ומנהל התחום</w:t>
            </w:r>
            <w:r w:rsidRPr="00247C05">
              <w:rPr>
                <w:rFonts w:hint="cs"/>
                <w:rtl/>
              </w:rPr>
              <w:t>. עוד יוער שגם האמצעים לאכיפת ה</w:t>
            </w:r>
            <w:r w:rsidRPr="00247C05">
              <w:rPr>
                <w:rtl/>
              </w:rPr>
              <w:t>הנחיות המקצועיות</w:t>
            </w:r>
            <w:r w:rsidRPr="00247C05">
              <w:rPr>
                <w:rFonts w:hint="cs"/>
                <w:rtl/>
              </w:rPr>
              <w:t xml:space="preserve"> של הב"ה אינם מוגדרים</w:t>
            </w:r>
            <w:r w:rsidRPr="00247C05">
              <w:rPr>
                <w:rtl/>
              </w:rPr>
              <w:t>.</w:t>
            </w:r>
          </w:p>
        </w:tc>
      </w:tr>
    </w:tbl>
    <w:p w:rsidR="003037FB" w:rsidRPr="00247C05" w:rsidP="00FC0BA8">
      <w:pPr>
        <w:pStyle w:val="RESHET"/>
        <w:keepLines/>
        <w:ind w:left="567"/>
        <w:rPr>
          <w:rtl/>
        </w:rPr>
      </w:pPr>
      <w:r w:rsidRPr="00247C05">
        <w:rPr>
          <w:rFonts w:hint="cs"/>
          <w:rtl/>
        </w:rPr>
        <w:t>לדעת משרד מבקר המדינה ראוי שתחומים אלה</w:t>
      </w:r>
      <w:r w:rsidRPr="00247C05">
        <w:rPr>
          <w:rtl/>
        </w:rPr>
        <w:t xml:space="preserve"> י</w:t>
      </w:r>
      <w:r w:rsidRPr="00247C05">
        <w:rPr>
          <w:rFonts w:hint="cs"/>
          <w:rtl/>
        </w:rPr>
        <w:t>בואו</w:t>
      </w:r>
      <w:r w:rsidRPr="00247C05">
        <w:rPr>
          <w:rtl/>
        </w:rPr>
        <w:t xml:space="preserve"> לידי ביטוי </w:t>
      </w:r>
      <w:r w:rsidRPr="00247C05">
        <w:rPr>
          <w:rFonts w:hint="cs"/>
          <w:rtl/>
        </w:rPr>
        <w:t>בנוהל</w:t>
      </w:r>
      <w:r w:rsidRPr="00247C05">
        <w:rPr>
          <w:rtl/>
        </w:rPr>
        <w:t xml:space="preserve"> </w:t>
      </w:r>
      <w:r w:rsidRPr="00247C05">
        <w:rPr>
          <w:rFonts w:hint="cs"/>
          <w:rtl/>
        </w:rPr>
        <w:t>ממשקי עבודה או במסמך דומה שיהיה מתוקף, גלוי ונגיש לכל המזכירים ועובדי במ"ש עמ"ק. מהלך כזה יבטא את חובותיה של הב"ה כלפי במ"ש עמ"ק, יגדיר בצורה ממצה ועקבית את מתחם האחריות המקצועית שלה כלפי עובדי מזכירויות במ"ש עמ"ק ואת גבולות האחריות המינהלית של הרשויות המקומיות. בין הנושאים שראוי להסדירם: הדרכות, חובת העבודה במערכת נט המשפט, אבטחה, מינוי קובל משמעתי, סוגיית הנשיאה בעלויות של כל תחומי האחריות המקצועית. כמו</w:t>
      </w:r>
      <w:r w:rsidRPr="00247C05">
        <w:rPr>
          <w:rtl/>
        </w:rPr>
        <w:t xml:space="preserve"> כן עליה </w:t>
      </w:r>
      <w:r w:rsidRPr="00247C05">
        <w:rPr>
          <w:rFonts w:hint="cs"/>
          <w:rtl/>
        </w:rPr>
        <w:t>לבחון</w:t>
      </w:r>
      <w:r w:rsidRPr="00247C05">
        <w:rPr>
          <w:rtl/>
        </w:rPr>
        <w:t xml:space="preserve"> </w:t>
      </w:r>
      <w:r w:rsidRPr="00247C05">
        <w:rPr>
          <w:rFonts w:hint="cs"/>
          <w:rtl/>
        </w:rPr>
        <w:t>את</w:t>
      </w:r>
      <w:r w:rsidRPr="00247C05">
        <w:rPr>
          <w:rtl/>
        </w:rPr>
        <w:t xml:space="preserve"> </w:t>
      </w:r>
      <w:r w:rsidRPr="00247C05">
        <w:rPr>
          <w:rFonts w:hint="cs"/>
          <w:rtl/>
        </w:rPr>
        <w:t>האמצעים</w:t>
      </w:r>
      <w:r w:rsidRPr="00247C05">
        <w:rPr>
          <w:rtl/>
        </w:rPr>
        <w:t xml:space="preserve"> </w:t>
      </w:r>
      <w:r w:rsidRPr="00247C05">
        <w:rPr>
          <w:rFonts w:hint="cs"/>
          <w:rtl/>
        </w:rPr>
        <w:t>העומדים</w:t>
      </w:r>
      <w:r w:rsidRPr="00247C05">
        <w:rPr>
          <w:rtl/>
        </w:rPr>
        <w:t xml:space="preserve"> </w:t>
      </w:r>
      <w:r w:rsidRPr="00247C05">
        <w:rPr>
          <w:rFonts w:hint="cs"/>
          <w:rtl/>
        </w:rPr>
        <w:t>לרשותה</w:t>
      </w:r>
      <w:r w:rsidRPr="00247C05">
        <w:rPr>
          <w:rtl/>
        </w:rPr>
        <w:t xml:space="preserve"> </w:t>
      </w:r>
      <w:r w:rsidRPr="00247C05">
        <w:rPr>
          <w:rFonts w:hint="cs"/>
          <w:rtl/>
        </w:rPr>
        <w:t>ושעליה</w:t>
      </w:r>
      <w:r w:rsidRPr="00247C05">
        <w:rPr>
          <w:rtl/>
        </w:rPr>
        <w:t xml:space="preserve"> </w:t>
      </w:r>
      <w:r w:rsidRPr="00247C05">
        <w:rPr>
          <w:rFonts w:hint="cs"/>
          <w:rtl/>
        </w:rPr>
        <w:t>לנקוט כדי לאכוף את</w:t>
      </w:r>
      <w:r w:rsidRPr="00247C05">
        <w:rPr>
          <w:rtl/>
        </w:rPr>
        <w:t xml:space="preserve"> הנחיותיה המקצועיות. </w:t>
      </w:r>
    </w:p>
    <w:p w:rsidR="003037FB" w:rsidRPr="00247C05" w:rsidP="00FC0BA8">
      <w:pPr>
        <w:pStyle w:val="ListParagraph"/>
        <w:numPr>
          <w:ilvl w:val="0"/>
          <w:numId w:val="17"/>
        </w:numPr>
        <w:tabs>
          <w:tab w:val="left" w:pos="424"/>
        </w:tabs>
        <w:spacing w:before="180" w:after="24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כאמור הב"ה הטילה את יישום האחריות המקצועית על בעלי תפקידים שונים מאנשיה.</w:t>
      </w:r>
    </w:p>
    <w:p w:rsidR="003037FB" w:rsidRPr="00247C05" w:rsidP="00FC0BA8">
      <w:pPr>
        <w:pStyle w:val="RESHET"/>
        <w:keepLines/>
        <w:ind w:left="567"/>
        <w:rPr>
          <w:rtl/>
        </w:rPr>
      </w:pPr>
      <w:r w:rsidRPr="00247C05">
        <w:rPr>
          <w:rFonts w:hint="cs"/>
          <w:rtl/>
        </w:rPr>
        <w:t>נמצא,</w:t>
      </w:r>
      <w:r w:rsidRPr="00247C05">
        <w:rPr>
          <w:rtl/>
        </w:rPr>
        <w:t xml:space="preserve"> כי </w:t>
      </w:r>
      <w:r w:rsidRPr="00247C05">
        <w:rPr>
          <w:rFonts w:hint="cs"/>
          <w:rtl/>
        </w:rPr>
        <w:t>חלוקת</w:t>
      </w:r>
      <w:r w:rsidRPr="00247C05">
        <w:rPr>
          <w:rtl/>
        </w:rPr>
        <w:t xml:space="preserve"> התפקידים בין מנהל המחוז </w:t>
      </w:r>
      <w:r w:rsidRPr="00247C05">
        <w:rPr>
          <w:rFonts w:hint="cs"/>
          <w:rtl/>
        </w:rPr>
        <w:t>ל</w:t>
      </w:r>
      <w:r w:rsidRPr="00247C05">
        <w:rPr>
          <w:rtl/>
        </w:rPr>
        <w:t xml:space="preserve">מנהל התחום בכל הקשור לאחריות המקצועית כלפי במ"ש עמ"ק </w:t>
      </w:r>
      <w:r w:rsidRPr="00247C05">
        <w:rPr>
          <w:rFonts w:hint="cs"/>
          <w:rtl/>
        </w:rPr>
        <w:t xml:space="preserve">אינה </w:t>
      </w:r>
      <w:r w:rsidRPr="00247C05">
        <w:rPr>
          <w:rtl/>
        </w:rPr>
        <w:t xml:space="preserve">ברורה וממצה: </w:t>
      </w:r>
      <w:r w:rsidRPr="00247C05">
        <w:rPr>
          <w:rFonts w:hint="cs"/>
          <w:rtl/>
        </w:rPr>
        <w:t>תחומי</w:t>
      </w:r>
      <w:r w:rsidRPr="00247C05">
        <w:rPr>
          <w:rtl/>
        </w:rPr>
        <w:t xml:space="preserve"> </w:t>
      </w:r>
      <w:r w:rsidRPr="00247C05">
        <w:rPr>
          <w:rFonts w:hint="cs"/>
          <w:rtl/>
        </w:rPr>
        <w:t>האחריות</w:t>
      </w:r>
      <w:r w:rsidRPr="00247C05">
        <w:rPr>
          <w:rtl/>
        </w:rPr>
        <w:t xml:space="preserve"> </w:t>
      </w:r>
      <w:r w:rsidRPr="00247C05">
        <w:rPr>
          <w:rFonts w:hint="cs"/>
          <w:rtl/>
        </w:rPr>
        <w:t>הרבים</w:t>
      </w:r>
      <w:r w:rsidRPr="00247C05">
        <w:rPr>
          <w:rtl/>
        </w:rPr>
        <w:t xml:space="preserve"> </w:t>
      </w:r>
      <w:r w:rsidRPr="00247C05">
        <w:rPr>
          <w:rFonts w:hint="cs"/>
          <w:rtl/>
        </w:rPr>
        <w:t>המתוארים</w:t>
      </w:r>
      <w:r w:rsidRPr="00247C05">
        <w:rPr>
          <w:rtl/>
        </w:rPr>
        <w:t xml:space="preserve"> </w:t>
      </w:r>
      <w:r w:rsidRPr="00247C05">
        <w:rPr>
          <w:rFonts w:hint="cs"/>
          <w:rtl/>
        </w:rPr>
        <w:t>בתיאור</w:t>
      </w:r>
      <w:r w:rsidRPr="00247C05">
        <w:rPr>
          <w:rtl/>
        </w:rPr>
        <w:t xml:space="preserve"> </w:t>
      </w:r>
      <w:r w:rsidRPr="00247C05">
        <w:rPr>
          <w:rFonts w:hint="cs"/>
          <w:rtl/>
        </w:rPr>
        <w:t>התפקיד</w:t>
      </w:r>
      <w:r w:rsidRPr="00247C05">
        <w:rPr>
          <w:rtl/>
        </w:rPr>
        <w:t xml:space="preserve"> </w:t>
      </w:r>
      <w:r w:rsidRPr="00247C05">
        <w:rPr>
          <w:rFonts w:hint="cs"/>
          <w:rtl/>
        </w:rPr>
        <w:t>של</w:t>
      </w:r>
      <w:r w:rsidRPr="00247C05">
        <w:rPr>
          <w:rtl/>
        </w:rPr>
        <w:t xml:space="preserve"> </w:t>
      </w:r>
      <w:r w:rsidRPr="00247C05">
        <w:rPr>
          <w:rFonts w:hint="cs"/>
          <w:rtl/>
        </w:rPr>
        <w:t>מנהל</w:t>
      </w:r>
      <w:r w:rsidRPr="00247C05">
        <w:rPr>
          <w:rtl/>
        </w:rPr>
        <w:t xml:space="preserve"> </w:t>
      </w:r>
      <w:r w:rsidRPr="00247C05">
        <w:rPr>
          <w:rFonts w:hint="cs"/>
          <w:rtl/>
        </w:rPr>
        <w:t>התחום</w:t>
      </w:r>
      <w:r w:rsidRPr="00247C05">
        <w:rPr>
          <w:rtl/>
        </w:rPr>
        <w:t xml:space="preserve"> </w:t>
      </w:r>
      <w:r w:rsidRPr="00247C05">
        <w:rPr>
          <w:rFonts w:hint="cs"/>
          <w:rtl/>
        </w:rPr>
        <w:t>אינם</w:t>
      </w:r>
      <w:r w:rsidRPr="00247C05">
        <w:rPr>
          <w:rtl/>
        </w:rPr>
        <w:t xml:space="preserve"> </w:t>
      </w:r>
      <w:r w:rsidRPr="00247C05">
        <w:rPr>
          <w:rFonts w:hint="cs"/>
          <w:rtl/>
        </w:rPr>
        <w:t>משתקפים</w:t>
      </w:r>
      <w:r w:rsidRPr="00247C05">
        <w:rPr>
          <w:rtl/>
        </w:rPr>
        <w:t xml:space="preserve"> </w:t>
      </w:r>
      <w:r w:rsidRPr="00247C05">
        <w:rPr>
          <w:rFonts w:hint="cs"/>
          <w:rtl/>
        </w:rPr>
        <w:t>בנוהל</w:t>
      </w:r>
      <w:r w:rsidRPr="00247C05">
        <w:rPr>
          <w:rtl/>
        </w:rPr>
        <w:t xml:space="preserve"> </w:t>
      </w:r>
      <w:r w:rsidRPr="00247C05">
        <w:rPr>
          <w:rFonts w:hint="cs"/>
          <w:rtl/>
        </w:rPr>
        <w:t>ממשקי</w:t>
      </w:r>
      <w:r w:rsidRPr="00247C05">
        <w:rPr>
          <w:rtl/>
        </w:rPr>
        <w:t xml:space="preserve"> </w:t>
      </w:r>
      <w:r w:rsidRPr="00247C05">
        <w:rPr>
          <w:rFonts w:hint="cs"/>
          <w:rtl/>
        </w:rPr>
        <w:t>עבודה,</w:t>
      </w:r>
      <w:r w:rsidRPr="00247C05">
        <w:rPr>
          <w:rtl/>
        </w:rPr>
        <w:t xml:space="preserve"> </w:t>
      </w:r>
      <w:r w:rsidRPr="00247C05">
        <w:rPr>
          <w:rFonts w:hint="cs"/>
          <w:rtl/>
        </w:rPr>
        <w:t>וחלק מהתפקידים</w:t>
      </w:r>
      <w:r w:rsidRPr="00247C05">
        <w:rPr>
          <w:rtl/>
        </w:rPr>
        <w:t xml:space="preserve"> </w:t>
      </w:r>
      <w:r w:rsidRPr="00247C05">
        <w:rPr>
          <w:rFonts w:hint="cs"/>
          <w:rtl/>
        </w:rPr>
        <w:t>מיוחסים</w:t>
      </w:r>
      <w:r w:rsidRPr="00247C05">
        <w:rPr>
          <w:rtl/>
        </w:rPr>
        <w:t xml:space="preserve"> </w:t>
      </w:r>
      <w:r w:rsidRPr="00247C05">
        <w:rPr>
          <w:rFonts w:hint="cs"/>
          <w:rtl/>
        </w:rPr>
        <w:t>בנוהל</w:t>
      </w:r>
      <w:r w:rsidRPr="00247C05">
        <w:rPr>
          <w:rtl/>
        </w:rPr>
        <w:t xml:space="preserve"> </w:t>
      </w:r>
      <w:r w:rsidRPr="00247C05">
        <w:rPr>
          <w:rFonts w:hint="cs"/>
          <w:rtl/>
        </w:rPr>
        <w:t>ממשקי</w:t>
      </w:r>
      <w:r w:rsidRPr="00247C05">
        <w:rPr>
          <w:rtl/>
        </w:rPr>
        <w:t xml:space="preserve"> </w:t>
      </w:r>
      <w:r w:rsidRPr="00247C05">
        <w:rPr>
          <w:rFonts w:hint="cs"/>
          <w:rtl/>
        </w:rPr>
        <w:t>עבודה</w:t>
      </w:r>
      <w:r w:rsidRPr="00247C05">
        <w:rPr>
          <w:rtl/>
        </w:rPr>
        <w:t xml:space="preserve"> </w:t>
      </w:r>
      <w:r w:rsidRPr="00247C05">
        <w:rPr>
          <w:rFonts w:hint="cs"/>
          <w:rtl/>
        </w:rPr>
        <w:t>דווקא</w:t>
      </w:r>
      <w:r w:rsidRPr="00247C05">
        <w:rPr>
          <w:rtl/>
        </w:rPr>
        <w:t xml:space="preserve"> </w:t>
      </w:r>
      <w:r w:rsidRPr="00247C05">
        <w:rPr>
          <w:rFonts w:hint="cs"/>
          <w:rtl/>
        </w:rPr>
        <w:t>לתחום</w:t>
      </w:r>
      <w:r w:rsidRPr="00247C05">
        <w:rPr>
          <w:rtl/>
        </w:rPr>
        <w:t xml:space="preserve"> </w:t>
      </w:r>
      <w:r w:rsidRPr="00247C05">
        <w:rPr>
          <w:rFonts w:hint="cs"/>
          <w:rtl/>
        </w:rPr>
        <w:t>האחריות</w:t>
      </w:r>
      <w:r w:rsidRPr="00247C05">
        <w:rPr>
          <w:rtl/>
        </w:rPr>
        <w:t xml:space="preserve"> </w:t>
      </w:r>
      <w:r w:rsidRPr="00247C05">
        <w:rPr>
          <w:rFonts w:hint="cs"/>
          <w:rtl/>
        </w:rPr>
        <w:t>של</w:t>
      </w:r>
      <w:r w:rsidRPr="00247C05">
        <w:rPr>
          <w:rtl/>
        </w:rPr>
        <w:t xml:space="preserve"> </w:t>
      </w:r>
      <w:r w:rsidRPr="00247C05">
        <w:rPr>
          <w:rFonts w:hint="cs"/>
          <w:rtl/>
        </w:rPr>
        <w:t>מנהל</w:t>
      </w:r>
      <w:r w:rsidRPr="00247C05">
        <w:rPr>
          <w:rtl/>
        </w:rPr>
        <w:t xml:space="preserve"> </w:t>
      </w:r>
      <w:r w:rsidRPr="00247C05">
        <w:rPr>
          <w:rFonts w:hint="cs"/>
          <w:rtl/>
        </w:rPr>
        <w:t>המחוז</w:t>
      </w:r>
      <w:r w:rsidRPr="00247C05">
        <w:rPr>
          <w:rtl/>
        </w:rPr>
        <w:t xml:space="preserve">. </w:t>
      </w:r>
      <w:r w:rsidRPr="00247C05">
        <w:rPr>
          <w:rFonts w:hint="cs"/>
          <w:rtl/>
        </w:rPr>
        <w:t>יוצא אפוא,</w:t>
      </w:r>
      <w:r w:rsidRPr="00247C05">
        <w:rPr>
          <w:rtl/>
        </w:rPr>
        <w:t xml:space="preserve"> </w:t>
      </w:r>
      <w:r w:rsidRPr="00247C05">
        <w:rPr>
          <w:rFonts w:hint="cs"/>
          <w:rtl/>
        </w:rPr>
        <w:t>ש</w:t>
      </w:r>
      <w:r w:rsidRPr="00247C05">
        <w:rPr>
          <w:rtl/>
        </w:rPr>
        <w:t>קיי</w:t>
      </w:r>
      <w:r w:rsidRPr="00247C05">
        <w:rPr>
          <w:rFonts w:hint="cs"/>
          <w:rtl/>
        </w:rPr>
        <w:t>ם</w:t>
      </w:r>
      <w:r w:rsidRPr="00247C05">
        <w:rPr>
          <w:rtl/>
        </w:rPr>
        <w:t xml:space="preserve"> חשש </w:t>
      </w:r>
      <w:r w:rsidRPr="00247C05">
        <w:rPr>
          <w:rFonts w:hint="cs"/>
          <w:rtl/>
        </w:rPr>
        <w:t>ל</w:t>
      </w:r>
      <w:r w:rsidRPr="00247C05">
        <w:rPr>
          <w:rtl/>
        </w:rPr>
        <w:t xml:space="preserve">אי-בהירות בחלוקת האחריות ביניהם </w:t>
      </w:r>
      <w:r w:rsidRPr="00247C05">
        <w:rPr>
          <w:rFonts w:hint="cs"/>
          <w:rtl/>
        </w:rPr>
        <w:t>(ראו</w:t>
      </w:r>
      <w:r w:rsidRPr="00247C05">
        <w:rPr>
          <w:rtl/>
        </w:rPr>
        <w:t xml:space="preserve"> לעיל</w:t>
      </w:r>
      <w:r w:rsidRPr="00247C05">
        <w:rPr>
          <w:rFonts w:hint="cs"/>
          <w:rtl/>
        </w:rPr>
        <w:t>)</w:t>
      </w:r>
      <w:r w:rsidRPr="00247C05">
        <w:rPr>
          <w:rtl/>
        </w:rPr>
        <w:t>.</w:t>
      </w:r>
    </w:p>
    <w:p w:rsidR="003037FB" w:rsidRPr="00247C05" w:rsidP="00FC0BA8">
      <w:pPr>
        <w:spacing w:before="180" w:after="240" w:line="230" w:lineRule="exact"/>
        <w:ind w:left="340"/>
        <w:jc w:val="both"/>
        <w:rPr>
          <w:rFonts w:cs="FrankRuehl"/>
          <w:b/>
          <w:bCs/>
          <w:sz w:val="20"/>
          <w:szCs w:val="22"/>
          <w:rtl/>
        </w:rPr>
      </w:pPr>
      <w:r w:rsidRPr="00247C05">
        <w:rPr>
          <w:rFonts w:cs="FrankRuehl" w:hint="cs"/>
          <w:sz w:val="20"/>
          <w:szCs w:val="22"/>
          <w:rtl/>
        </w:rPr>
        <w:t>בתשובתה</w:t>
      </w:r>
      <w:r w:rsidRPr="00247C05">
        <w:rPr>
          <w:rFonts w:cs="FrankRuehl"/>
          <w:sz w:val="20"/>
          <w:szCs w:val="22"/>
          <w:rtl/>
        </w:rPr>
        <w:t xml:space="preserve"> </w:t>
      </w:r>
      <w:r w:rsidRPr="00247C05">
        <w:rPr>
          <w:rFonts w:cs="FrankRuehl" w:hint="cs"/>
          <w:sz w:val="20"/>
          <w:szCs w:val="22"/>
          <w:rtl/>
        </w:rPr>
        <w:t>ציינה</w:t>
      </w:r>
      <w:r w:rsidRPr="00247C05">
        <w:rPr>
          <w:rFonts w:cs="FrankRuehl"/>
          <w:sz w:val="20"/>
          <w:szCs w:val="22"/>
          <w:rtl/>
        </w:rPr>
        <w:t xml:space="preserve"> </w:t>
      </w:r>
      <w:r w:rsidRPr="00247C05">
        <w:rPr>
          <w:rFonts w:cs="FrankRuehl" w:hint="cs"/>
          <w:sz w:val="20"/>
          <w:szCs w:val="22"/>
          <w:rtl/>
        </w:rPr>
        <w:t>הב</w:t>
      </w:r>
      <w:r w:rsidRPr="00247C05">
        <w:rPr>
          <w:rFonts w:cs="FrankRuehl"/>
          <w:sz w:val="20"/>
          <w:szCs w:val="22"/>
          <w:rtl/>
        </w:rPr>
        <w:t>"ה</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כי</w:t>
      </w:r>
      <w:r w:rsidRPr="00247C05">
        <w:rPr>
          <w:rFonts w:cs="FrankRuehl"/>
          <w:sz w:val="20"/>
          <w:szCs w:val="22"/>
          <w:rtl/>
        </w:rPr>
        <w:t xml:space="preserve"> </w:t>
      </w:r>
      <w:r w:rsidRPr="00247C05">
        <w:rPr>
          <w:rFonts w:cs="FrankRuehl" w:hint="cs"/>
          <w:sz w:val="20"/>
          <w:szCs w:val="22"/>
          <w:rtl/>
        </w:rPr>
        <w:t>האחריות</w:t>
      </w:r>
      <w:r w:rsidRPr="00247C05">
        <w:rPr>
          <w:rFonts w:cs="FrankRuehl"/>
          <w:sz w:val="20"/>
          <w:szCs w:val="22"/>
          <w:rtl/>
        </w:rPr>
        <w:t xml:space="preserve"> </w:t>
      </w:r>
      <w:r w:rsidRPr="00247C05">
        <w:rPr>
          <w:rFonts w:cs="FrankRuehl" w:hint="cs"/>
          <w:sz w:val="20"/>
          <w:szCs w:val="22"/>
          <w:rtl/>
        </w:rPr>
        <w:t>המקצועית</w:t>
      </w:r>
      <w:r w:rsidRPr="00247C05">
        <w:rPr>
          <w:rFonts w:cs="FrankRuehl"/>
          <w:sz w:val="20"/>
          <w:szCs w:val="22"/>
          <w:rtl/>
        </w:rPr>
        <w:t xml:space="preserve"> </w:t>
      </w:r>
      <w:r w:rsidRPr="00247C05">
        <w:rPr>
          <w:rFonts w:cs="FrankRuehl" w:hint="cs"/>
          <w:sz w:val="20"/>
          <w:szCs w:val="22"/>
          <w:rtl/>
        </w:rPr>
        <w:t>היא</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מנהל</w:t>
      </w:r>
      <w:r w:rsidRPr="00247C05">
        <w:rPr>
          <w:rFonts w:cs="FrankRuehl"/>
          <w:sz w:val="20"/>
          <w:szCs w:val="22"/>
          <w:rtl/>
        </w:rPr>
        <w:t xml:space="preserve"> </w:t>
      </w:r>
      <w:r w:rsidRPr="00247C05">
        <w:rPr>
          <w:rFonts w:cs="FrankRuehl" w:hint="cs"/>
          <w:sz w:val="20"/>
          <w:szCs w:val="22"/>
          <w:rtl/>
        </w:rPr>
        <w:t>התחום,</w:t>
      </w:r>
      <w:r w:rsidRPr="00247C05">
        <w:rPr>
          <w:rFonts w:cs="FrankRuehl"/>
          <w:sz w:val="20"/>
          <w:szCs w:val="22"/>
          <w:rtl/>
        </w:rPr>
        <w:t xml:space="preserve"> </w:t>
      </w:r>
      <w:r w:rsidRPr="00247C05">
        <w:rPr>
          <w:rFonts w:cs="FrankRuehl" w:hint="cs"/>
          <w:sz w:val="20"/>
          <w:szCs w:val="22"/>
          <w:rtl/>
        </w:rPr>
        <w:t>ואולם</w:t>
      </w:r>
      <w:r w:rsidRPr="00247C05">
        <w:rPr>
          <w:rFonts w:cs="FrankRuehl"/>
          <w:sz w:val="20"/>
          <w:szCs w:val="22"/>
          <w:rtl/>
        </w:rPr>
        <w:t xml:space="preserve"> </w:t>
      </w:r>
      <w:r w:rsidRPr="00247C05">
        <w:rPr>
          <w:rFonts w:cs="FrankRuehl" w:hint="cs"/>
          <w:sz w:val="20"/>
          <w:szCs w:val="22"/>
          <w:rtl/>
        </w:rPr>
        <w:t>ישנם</w:t>
      </w:r>
      <w:r w:rsidRPr="00247C05">
        <w:rPr>
          <w:rFonts w:cs="FrankRuehl"/>
          <w:sz w:val="20"/>
          <w:szCs w:val="22"/>
          <w:rtl/>
        </w:rPr>
        <w:t xml:space="preserve"> </w:t>
      </w:r>
      <w:r w:rsidRPr="00247C05">
        <w:rPr>
          <w:rFonts w:cs="FrankRuehl" w:hint="cs"/>
          <w:sz w:val="20"/>
          <w:szCs w:val="22"/>
          <w:rtl/>
        </w:rPr>
        <w:t>מקרים</w:t>
      </w:r>
      <w:r w:rsidRPr="00247C05">
        <w:rPr>
          <w:rFonts w:cs="FrankRuehl"/>
          <w:sz w:val="20"/>
          <w:szCs w:val="22"/>
          <w:rtl/>
        </w:rPr>
        <w:t xml:space="preserve"> </w:t>
      </w:r>
      <w:r w:rsidRPr="00247C05">
        <w:rPr>
          <w:rFonts w:cs="FrankRuehl" w:hint="cs"/>
          <w:sz w:val="20"/>
          <w:szCs w:val="22"/>
          <w:rtl/>
        </w:rPr>
        <w:t>נקודתיים</w:t>
      </w:r>
      <w:r w:rsidRPr="00247C05">
        <w:rPr>
          <w:rFonts w:cs="FrankRuehl"/>
          <w:sz w:val="20"/>
          <w:szCs w:val="22"/>
          <w:rtl/>
        </w:rPr>
        <w:t xml:space="preserve"> </w:t>
      </w:r>
      <w:r w:rsidRPr="00247C05">
        <w:rPr>
          <w:rFonts w:cs="FrankRuehl" w:hint="cs"/>
          <w:sz w:val="20"/>
          <w:szCs w:val="22"/>
          <w:rtl/>
        </w:rPr>
        <w:t>שבהם</w:t>
      </w:r>
      <w:r w:rsidRPr="00247C05">
        <w:rPr>
          <w:rFonts w:cs="FrankRuehl"/>
          <w:sz w:val="20"/>
          <w:szCs w:val="22"/>
          <w:rtl/>
        </w:rPr>
        <w:t xml:space="preserve"> </w:t>
      </w:r>
      <w:r w:rsidRPr="00247C05">
        <w:rPr>
          <w:rFonts w:cs="FrankRuehl" w:hint="cs"/>
          <w:sz w:val="20"/>
          <w:szCs w:val="22"/>
          <w:rtl/>
        </w:rPr>
        <w:t>שופט</w:t>
      </w:r>
      <w:r w:rsidRPr="00247C05">
        <w:rPr>
          <w:rFonts w:cs="FrankRuehl"/>
          <w:sz w:val="20"/>
          <w:szCs w:val="22"/>
          <w:rtl/>
        </w:rPr>
        <w:t xml:space="preserve">, </w:t>
      </w:r>
      <w:r w:rsidRPr="00247C05">
        <w:rPr>
          <w:rFonts w:cs="FrankRuehl" w:hint="cs"/>
          <w:sz w:val="20"/>
          <w:szCs w:val="22"/>
          <w:rtl/>
        </w:rPr>
        <w:t>נשיא</w:t>
      </w:r>
      <w:r w:rsidRPr="00247C05">
        <w:rPr>
          <w:rFonts w:cs="FrankRuehl"/>
          <w:sz w:val="20"/>
          <w:szCs w:val="22"/>
          <w:rtl/>
        </w:rPr>
        <w:t xml:space="preserve"> </w:t>
      </w:r>
      <w:r w:rsidRPr="00247C05">
        <w:rPr>
          <w:rFonts w:cs="FrankRuehl" w:hint="cs"/>
          <w:sz w:val="20"/>
          <w:szCs w:val="22"/>
          <w:rtl/>
        </w:rPr>
        <w:t>או</w:t>
      </w:r>
      <w:r w:rsidRPr="00247C05">
        <w:rPr>
          <w:rFonts w:cs="FrankRuehl"/>
          <w:sz w:val="20"/>
          <w:szCs w:val="22"/>
          <w:rtl/>
        </w:rPr>
        <w:t xml:space="preserve"> </w:t>
      </w:r>
      <w:r w:rsidRPr="00247C05">
        <w:rPr>
          <w:rFonts w:cs="FrankRuehl" w:hint="cs"/>
          <w:sz w:val="20"/>
          <w:szCs w:val="22"/>
          <w:rtl/>
        </w:rPr>
        <w:t>סגן</w:t>
      </w:r>
      <w:r w:rsidRPr="00247C05">
        <w:rPr>
          <w:rFonts w:cs="FrankRuehl"/>
          <w:sz w:val="20"/>
          <w:szCs w:val="22"/>
          <w:rtl/>
        </w:rPr>
        <w:t xml:space="preserve"> </w:t>
      </w:r>
      <w:r w:rsidRPr="00247C05">
        <w:rPr>
          <w:rFonts w:cs="FrankRuehl" w:hint="cs"/>
          <w:sz w:val="20"/>
          <w:szCs w:val="22"/>
          <w:rtl/>
        </w:rPr>
        <w:t>נשיא</w:t>
      </w:r>
      <w:r w:rsidRPr="00247C05">
        <w:rPr>
          <w:rFonts w:cs="FrankRuehl"/>
          <w:sz w:val="20"/>
          <w:szCs w:val="22"/>
          <w:rtl/>
        </w:rPr>
        <w:t xml:space="preserve"> </w:t>
      </w:r>
      <w:r w:rsidRPr="00247C05">
        <w:rPr>
          <w:rFonts w:cs="FrankRuehl" w:hint="cs"/>
          <w:sz w:val="20"/>
          <w:szCs w:val="22"/>
          <w:rtl/>
        </w:rPr>
        <w:t>מוציאים</w:t>
      </w:r>
      <w:r w:rsidRPr="00247C05">
        <w:rPr>
          <w:rFonts w:cs="FrankRuehl"/>
          <w:sz w:val="20"/>
          <w:szCs w:val="22"/>
          <w:rtl/>
        </w:rPr>
        <w:t xml:space="preserve"> </w:t>
      </w:r>
      <w:r w:rsidRPr="00247C05">
        <w:rPr>
          <w:rFonts w:cs="FrankRuehl" w:hint="cs"/>
          <w:sz w:val="20"/>
          <w:szCs w:val="22"/>
          <w:rtl/>
        </w:rPr>
        <w:t>הנחייה</w:t>
      </w:r>
      <w:r w:rsidRPr="00247C05">
        <w:rPr>
          <w:rFonts w:cs="FrankRuehl"/>
          <w:sz w:val="20"/>
          <w:szCs w:val="22"/>
          <w:rtl/>
        </w:rPr>
        <w:t xml:space="preserve"> </w:t>
      </w:r>
      <w:r w:rsidRPr="00247C05">
        <w:rPr>
          <w:rFonts w:cs="FrankRuehl" w:hint="cs"/>
          <w:sz w:val="20"/>
          <w:szCs w:val="22"/>
          <w:rtl/>
        </w:rPr>
        <w:t>שונה</w:t>
      </w:r>
      <w:r w:rsidRPr="00247C05">
        <w:rPr>
          <w:rFonts w:cs="FrankRuehl"/>
          <w:sz w:val="20"/>
          <w:szCs w:val="22"/>
          <w:rtl/>
        </w:rPr>
        <w:t xml:space="preserve">, </w:t>
      </w:r>
      <w:r w:rsidRPr="00247C05">
        <w:rPr>
          <w:rFonts w:cs="FrankRuehl" w:hint="cs"/>
          <w:sz w:val="20"/>
          <w:szCs w:val="22"/>
          <w:rtl/>
        </w:rPr>
        <w:t>שאז</w:t>
      </w:r>
      <w:r w:rsidRPr="00247C05">
        <w:rPr>
          <w:rFonts w:cs="FrankRuehl"/>
          <w:sz w:val="20"/>
          <w:szCs w:val="22"/>
          <w:rtl/>
        </w:rPr>
        <w:t xml:space="preserve"> </w:t>
      </w:r>
      <w:r w:rsidRPr="00247C05">
        <w:rPr>
          <w:rFonts w:cs="FrankRuehl" w:hint="cs"/>
          <w:sz w:val="20"/>
          <w:szCs w:val="22"/>
          <w:rtl/>
        </w:rPr>
        <w:t>בית</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הרלוונטי</w:t>
      </w:r>
      <w:r w:rsidRPr="00247C05">
        <w:rPr>
          <w:rFonts w:cs="FrankRuehl"/>
          <w:sz w:val="20"/>
          <w:szCs w:val="22"/>
          <w:rtl/>
        </w:rPr>
        <w:t xml:space="preserve"> </w:t>
      </w:r>
      <w:r w:rsidRPr="00247C05">
        <w:rPr>
          <w:rFonts w:cs="FrankRuehl" w:hint="cs"/>
          <w:sz w:val="20"/>
          <w:szCs w:val="22"/>
          <w:rtl/>
        </w:rPr>
        <w:t>יהיה</w:t>
      </w:r>
      <w:r w:rsidRPr="00247C05">
        <w:rPr>
          <w:rFonts w:cs="FrankRuehl"/>
          <w:sz w:val="20"/>
          <w:szCs w:val="22"/>
          <w:rtl/>
        </w:rPr>
        <w:t xml:space="preserve"> </w:t>
      </w:r>
      <w:r w:rsidRPr="00247C05">
        <w:rPr>
          <w:rFonts w:cs="FrankRuehl" w:hint="cs"/>
          <w:sz w:val="20"/>
          <w:szCs w:val="22"/>
          <w:rtl/>
        </w:rPr>
        <w:t>מחויב</w:t>
      </w:r>
      <w:r w:rsidRPr="00247C05">
        <w:rPr>
          <w:rFonts w:cs="FrankRuehl"/>
          <w:sz w:val="20"/>
          <w:szCs w:val="22"/>
          <w:rtl/>
        </w:rPr>
        <w:t xml:space="preserve"> </w:t>
      </w:r>
      <w:r w:rsidRPr="00247C05">
        <w:rPr>
          <w:rFonts w:cs="FrankRuehl" w:hint="cs"/>
          <w:sz w:val="20"/>
          <w:szCs w:val="22"/>
          <w:rtl/>
        </w:rPr>
        <w:t>להנחיה</w:t>
      </w:r>
      <w:r w:rsidRPr="00247C05">
        <w:rPr>
          <w:rFonts w:cs="FrankRuehl"/>
          <w:sz w:val="20"/>
          <w:szCs w:val="22"/>
          <w:rtl/>
        </w:rPr>
        <w:t xml:space="preserve"> </w:t>
      </w:r>
      <w:r w:rsidRPr="00247C05">
        <w:rPr>
          <w:rFonts w:cs="FrankRuehl" w:hint="cs"/>
          <w:sz w:val="20"/>
          <w:szCs w:val="22"/>
          <w:rtl/>
        </w:rPr>
        <w:t xml:space="preserve">זו. </w:t>
      </w:r>
    </w:p>
    <w:p w:rsidR="003037FB" w:rsidRPr="00247C05" w:rsidP="00FC0BA8">
      <w:pPr>
        <w:pStyle w:val="RESHET"/>
        <w:keepLines/>
        <w:ind w:left="567"/>
        <w:rPr>
          <w:rtl/>
        </w:rPr>
      </w:pPr>
      <w:r w:rsidRPr="00247C05">
        <w:rPr>
          <w:rFonts w:hint="eastAsia"/>
          <w:rtl/>
        </w:rPr>
        <w:t>לדעת</w:t>
      </w:r>
      <w:r w:rsidRPr="00247C05">
        <w:rPr>
          <w:rtl/>
        </w:rPr>
        <w:t xml:space="preserve"> משרד מבקר המדינה</w:t>
      </w:r>
      <w:r w:rsidRPr="00247C05">
        <w:rPr>
          <w:rFonts w:hint="cs"/>
          <w:rtl/>
        </w:rPr>
        <w:t>,</w:t>
      </w:r>
      <w:r w:rsidRPr="00247C05">
        <w:rPr>
          <w:rtl/>
        </w:rPr>
        <w:t xml:space="preserve"> ככל </w:t>
      </w:r>
      <w:r w:rsidRPr="00247C05">
        <w:rPr>
          <w:rFonts w:hint="eastAsia"/>
          <w:rtl/>
        </w:rPr>
        <w:t>שהב</w:t>
      </w:r>
      <w:r w:rsidRPr="00247C05">
        <w:rPr>
          <w:rtl/>
        </w:rPr>
        <w:t>"ה מ</w:t>
      </w:r>
      <w:r w:rsidRPr="00247C05">
        <w:rPr>
          <w:rFonts w:hint="cs"/>
          <w:rtl/>
        </w:rPr>
        <w:t>בקשת ל</w:t>
      </w:r>
      <w:r w:rsidRPr="00247C05">
        <w:rPr>
          <w:rtl/>
        </w:rPr>
        <w:t>קיי</w:t>
      </w:r>
      <w:r w:rsidRPr="00247C05">
        <w:rPr>
          <w:rFonts w:hint="cs"/>
          <w:rtl/>
        </w:rPr>
        <w:t>ם</w:t>
      </w:r>
      <w:r w:rsidRPr="00247C05">
        <w:rPr>
          <w:rtl/>
        </w:rPr>
        <w:t xml:space="preserve"> הפרדה </w:t>
      </w:r>
      <w:r w:rsidRPr="00247C05">
        <w:rPr>
          <w:rFonts w:hint="cs"/>
          <w:rtl/>
        </w:rPr>
        <w:t xml:space="preserve">ולמנות </w:t>
      </w:r>
      <w:r w:rsidRPr="00247C05">
        <w:rPr>
          <w:rtl/>
        </w:rPr>
        <w:t>גורמי</w:t>
      </w:r>
      <w:r w:rsidRPr="00247C05">
        <w:rPr>
          <w:rFonts w:hint="cs"/>
          <w:rtl/>
        </w:rPr>
        <w:t>ם</w:t>
      </w:r>
      <w:r w:rsidRPr="00247C05">
        <w:rPr>
          <w:rtl/>
        </w:rPr>
        <w:t xml:space="preserve"> שונים בתוכה</w:t>
      </w:r>
      <w:r w:rsidRPr="00247C05">
        <w:rPr>
          <w:rFonts w:hint="cs"/>
          <w:rtl/>
        </w:rPr>
        <w:t xml:space="preserve"> שיהיו אחראים ליישום אחריותה המקצועית -</w:t>
      </w:r>
      <w:r w:rsidRPr="00247C05">
        <w:rPr>
          <w:rtl/>
        </w:rPr>
        <w:t xml:space="preserve"> עליה לתת </w:t>
      </w:r>
      <w:r w:rsidRPr="00247C05">
        <w:rPr>
          <w:rFonts w:hint="cs"/>
          <w:rtl/>
        </w:rPr>
        <w:t xml:space="preserve">לכך </w:t>
      </w:r>
      <w:r w:rsidRPr="00247C05">
        <w:rPr>
          <w:rtl/>
        </w:rPr>
        <w:t>ביטוי בנוהל ממשקי עבודה או במסמך מוסדר אחר</w:t>
      </w:r>
      <w:r w:rsidRPr="00247C05">
        <w:rPr>
          <w:rFonts w:hint="cs"/>
          <w:rtl/>
        </w:rPr>
        <w:t>,</w:t>
      </w:r>
      <w:r w:rsidRPr="00247C05">
        <w:rPr>
          <w:rtl/>
        </w:rPr>
        <w:t xml:space="preserve"> </w:t>
      </w:r>
      <w:r w:rsidRPr="00247C05">
        <w:rPr>
          <w:rFonts w:hint="cs"/>
          <w:rtl/>
        </w:rPr>
        <w:t>ו</w:t>
      </w:r>
      <w:r w:rsidRPr="00247C05">
        <w:rPr>
          <w:rtl/>
        </w:rPr>
        <w:t xml:space="preserve">לפרט </w:t>
      </w:r>
      <w:r w:rsidRPr="00247C05">
        <w:rPr>
          <w:rFonts w:hint="cs"/>
          <w:rtl/>
        </w:rPr>
        <w:t xml:space="preserve">בהם את חלוקת התפקידים ביניהם, את תחומי האחריות שלהם ואת </w:t>
      </w:r>
      <w:r w:rsidRPr="00247C05">
        <w:rPr>
          <w:rtl/>
        </w:rPr>
        <w:t>סמכויותיהם. על המסמך להיות גלוי ונגיש לכל המזכירים ועובדי במ"ש עמ"ק.</w:t>
      </w:r>
    </w:p>
    <w:p w:rsidR="003037FB" w:rsidRPr="00247C05" w:rsidP="00FC0BA8">
      <w:pPr>
        <w:pStyle w:val="RESHET"/>
        <w:keepLines/>
      </w:pPr>
      <w:r w:rsidRPr="00FC0BA8">
        <w:rPr>
          <w:rStyle w:val="Heading5Char"/>
          <w:rFonts w:cs="FrankRuehl" w:hint="eastAsia"/>
          <w:b/>
          <w:bCs/>
          <w:spacing w:val="40"/>
          <w:sz w:val="20"/>
          <w:szCs w:val="22"/>
          <w:rtl/>
        </w:rPr>
        <w:t>תכניות</w:t>
      </w:r>
      <w:r w:rsidRPr="00FC0BA8">
        <w:rPr>
          <w:rStyle w:val="Heading5Char"/>
          <w:rFonts w:cs="FrankRuehl"/>
          <w:b/>
          <w:bCs/>
          <w:spacing w:val="40"/>
          <w:sz w:val="20"/>
          <w:szCs w:val="22"/>
          <w:rtl/>
        </w:rPr>
        <w:t xml:space="preserve"> </w:t>
      </w:r>
      <w:r w:rsidRPr="00FC0BA8">
        <w:rPr>
          <w:rStyle w:val="Heading5Char"/>
          <w:rFonts w:cs="FrankRuehl" w:hint="eastAsia"/>
          <w:b/>
          <w:bCs/>
          <w:spacing w:val="40"/>
          <w:sz w:val="20"/>
          <w:szCs w:val="22"/>
          <w:rtl/>
        </w:rPr>
        <w:t>עבודה</w:t>
      </w:r>
      <w:r w:rsidRPr="00FC0BA8">
        <w:rPr>
          <w:rStyle w:val="Heading5Char"/>
          <w:rFonts w:cs="FrankRuehl"/>
          <w:b/>
          <w:bCs/>
          <w:spacing w:val="40"/>
          <w:sz w:val="20"/>
          <w:szCs w:val="22"/>
          <w:rtl/>
        </w:rPr>
        <w:t xml:space="preserve"> </w:t>
      </w:r>
      <w:r w:rsidRPr="00FC0BA8">
        <w:rPr>
          <w:rStyle w:val="Heading5Char"/>
          <w:rFonts w:cs="FrankRuehl" w:hint="eastAsia"/>
          <w:b/>
          <w:bCs/>
          <w:spacing w:val="40"/>
          <w:sz w:val="20"/>
          <w:szCs w:val="22"/>
          <w:rtl/>
        </w:rPr>
        <w:t>שנתיות</w:t>
      </w:r>
      <w:r w:rsidRPr="00FC0BA8">
        <w:rPr>
          <w:rStyle w:val="Heading5Char"/>
          <w:rFonts w:cs="FrankRuehl" w:hint="cs"/>
          <w:b/>
          <w:bCs/>
          <w:spacing w:val="40"/>
          <w:sz w:val="20"/>
          <w:szCs w:val="22"/>
          <w:rtl/>
        </w:rPr>
        <w:t>:</w:t>
      </w:r>
      <w:r w:rsidRPr="00EC77C1">
        <w:rPr>
          <w:rStyle w:val="Heading5Char"/>
          <w:rFonts w:cs="FrankRuehl" w:hint="cs"/>
          <w:spacing w:val="40"/>
          <w:sz w:val="20"/>
          <w:szCs w:val="22"/>
          <w:rtl/>
        </w:rPr>
        <w:t xml:space="preserve"> </w:t>
      </w:r>
      <w:r w:rsidRPr="00247C05">
        <w:rPr>
          <w:rFonts w:hint="eastAsia"/>
          <w:rtl/>
        </w:rPr>
        <w:t>נמצא</w:t>
      </w:r>
      <w:r w:rsidRPr="00247C05">
        <w:rPr>
          <w:rFonts w:hint="cs"/>
          <w:rtl/>
        </w:rPr>
        <w:t>,</w:t>
      </w:r>
      <w:r w:rsidRPr="00247C05">
        <w:rPr>
          <w:rtl/>
        </w:rPr>
        <w:t xml:space="preserve"> </w:t>
      </w:r>
      <w:r w:rsidRPr="00247C05">
        <w:rPr>
          <w:rFonts w:hint="eastAsia"/>
          <w:rtl/>
        </w:rPr>
        <w:t>כי</w:t>
      </w:r>
      <w:r w:rsidRPr="00247C05">
        <w:rPr>
          <w:rtl/>
        </w:rPr>
        <w:t xml:space="preserve"> </w:t>
      </w:r>
      <w:r w:rsidRPr="00247C05">
        <w:rPr>
          <w:rFonts w:hint="eastAsia"/>
          <w:rtl/>
        </w:rPr>
        <w:t>הב</w:t>
      </w:r>
      <w:r w:rsidRPr="00247C05">
        <w:rPr>
          <w:rtl/>
        </w:rPr>
        <w:t xml:space="preserve">"ה </w:t>
      </w:r>
      <w:r w:rsidRPr="00247C05">
        <w:rPr>
          <w:rFonts w:hint="eastAsia"/>
          <w:rtl/>
        </w:rPr>
        <w:t>אינה</w:t>
      </w:r>
      <w:r w:rsidRPr="00247C05">
        <w:rPr>
          <w:rtl/>
        </w:rPr>
        <w:t xml:space="preserve"> </w:t>
      </w:r>
      <w:r w:rsidRPr="00247C05">
        <w:rPr>
          <w:rFonts w:hint="eastAsia"/>
          <w:rtl/>
        </w:rPr>
        <w:t>עורכת</w:t>
      </w:r>
      <w:r w:rsidRPr="00247C05">
        <w:rPr>
          <w:rtl/>
        </w:rPr>
        <w:t xml:space="preserve"> </w:t>
      </w:r>
      <w:r w:rsidRPr="00247C05">
        <w:rPr>
          <w:rFonts w:hint="eastAsia"/>
          <w:rtl/>
        </w:rPr>
        <w:t>תכניות</w:t>
      </w:r>
      <w:r w:rsidRPr="00247C05">
        <w:rPr>
          <w:rtl/>
        </w:rPr>
        <w:t xml:space="preserve"> </w:t>
      </w:r>
      <w:r w:rsidRPr="00247C05">
        <w:rPr>
          <w:rFonts w:hint="eastAsia"/>
          <w:rtl/>
        </w:rPr>
        <w:t>עבודה</w:t>
      </w:r>
      <w:r w:rsidRPr="00247C05">
        <w:rPr>
          <w:rtl/>
        </w:rPr>
        <w:t xml:space="preserve"> </w:t>
      </w:r>
      <w:r w:rsidRPr="00247C05">
        <w:rPr>
          <w:rFonts w:hint="eastAsia"/>
          <w:rtl/>
        </w:rPr>
        <w:t>שנתיות</w:t>
      </w:r>
      <w:r w:rsidRPr="00247C05">
        <w:rPr>
          <w:rtl/>
        </w:rPr>
        <w:t xml:space="preserve"> </w:t>
      </w:r>
      <w:r w:rsidRPr="00247C05">
        <w:rPr>
          <w:rFonts w:hint="eastAsia"/>
          <w:rtl/>
        </w:rPr>
        <w:t>מובנות</w:t>
      </w:r>
      <w:r w:rsidRPr="00247C05">
        <w:rPr>
          <w:rtl/>
        </w:rPr>
        <w:t xml:space="preserve"> </w:t>
      </w:r>
      <w:r w:rsidRPr="00247C05">
        <w:rPr>
          <w:rFonts w:hint="eastAsia"/>
          <w:rtl/>
        </w:rPr>
        <w:t>המקיפות</w:t>
      </w:r>
      <w:r w:rsidRPr="00247C05">
        <w:rPr>
          <w:rtl/>
        </w:rPr>
        <w:t xml:space="preserve"> </w:t>
      </w:r>
      <w:r w:rsidRPr="00247C05">
        <w:rPr>
          <w:rFonts w:hint="eastAsia"/>
          <w:rtl/>
        </w:rPr>
        <w:t>את</w:t>
      </w:r>
      <w:r w:rsidRPr="00247C05">
        <w:rPr>
          <w:rtl/>
        </w:rPr>
        <w:t xml:space="preserve"> </w:t>
      </w:r>
      <w:r w:rsidRPr="00247C05">
        <w:rPr>
          <w:rFonts w:hint="eastAsia"/>
          <w:rtl/>
        </w:rPr>
        <w:t>הנושאים</w:t>
      </w:r>
      <w:r w:rsidRPr="00247C05">
        <w:rPr>
          <w:rtl/>
        </w:rPr>
        <w:t xml:space="preserve"> </w:t>
      </w:r>
      <w:r w:rsidRPr="00247C05">
        <w:rPr>
          <w:rFonts w:hint="eastAsia"/>
          <w:rtl/>
        </w:rPr>
        <w:t>שבתחומי</w:t>
      </w:r>
      <w:r w:rsidRPr="00247C05">
        <w:rPr>
          <w:rtl/>
        </w:rPr>
        <w:t xml:space="preserve"> </w:t>
      </w:r>
      <w:r w:rsidRPr="00247C05">
        <w:rPr>
          <w:rFonts w:hint="eastAsia"/>
          <w:rtl/>
        </w:rPr>
        <w:t>האחריות</w:t>
      </w:r>
      <w:r w:rsidRPr="00247C05">
        <w:rPr>
          <w:rtl/>
        </w:rPr>
        <w:t xml:space="preserve"> </w:t>
      </w:r>
      <w:r w:rsidRPr="00247C05">
        <w:rPr>
          <w:rFonts w:hint="eastAsia"/>
          <w:rtl/>
        </w:rPr>
        <w:t>המקצועית</w:t>
      </w:r>
      <w:r w:rsidRPr="00247C05">
        <w:rPr>
          <w:rtl/>
        </w:rPr>
        <w:t xml:space="preserve"> </w:t>
      </w:r>
      <w:r w:rsidRPr="00247C05">
        <w:rPr>
          <w:rFonts w:hint="eastAsia"/>
          <w:rtl/>
        </w:rPr>
        <w:t>שלה</w:t>
      </w:r>
      <w:r w:rsidRPr="00247C05">
        <w:rPr>
          <w:rtl/>
        </w:rPr>
        <w:t xml:space="preserve"> </w:t>
      </w:r>
      <w:r w:rsidRPr="00247C05">
        <w:rPr>
          <w:rFonts w:hint="eastAsia"/>
          <w:rtl/>
        </w:rPr>
        <w:t>בנוגע</w:t>
      </w:r>
      <w:r w:rsidRPr="00247C05">
        <w:rPr>
          <w:rtl/>
        </w:rPr>
        <w:t xml:space="preserve"> </w:t>
      </w:r>
      <w:r w:rsidRPr="00247C05">
        <w:rPr>
          <w:rFonts w:hint="eastAsia"/>
          <w:rtl/>
        </w:rPr>
        <w:t>לבמ</w:t>
      </w:r>
      <w:r w:rsidRPr="00247C05">
        <w:rPr>
          <w:rtl/>
        </w:rPr>
        <w:t>"ש עמ"ק. יצוין</w:t>
      </w:r>
      <w:r w:rsidRPr="00247C05">
        <w:rPr>
          <w:rFonts w:hint="cs"/>
          <w:rtl/>
        </w:rPr>
        <w:t>,</w:t>
      </w:r>
      <w:r w:rsidRPr="00247C05">
        <w:rPr>
          <w:rtl/>
        </w:rPr>
        <w:t xml:space="preserve"> כי מנהל התחום </w:t>
      </w:r>
      <w:r w:rsidRPr="00247C05">
        <w:rPr>
          <w:rFonts w:hint="eastAsia"/>
          <w:rtl/>
        </w:rPr>
        <w:t>לשעבר</w:t>
      </w:r>
      <w:r w:rsidRPr="00247C05">
        <w:rPr>
          <w:rtl/>
        </w:rPr>
        <w:t xml:space="preserve"> ערך בשנים 2012-2009 סיכומי פעילות שנתיים של עבודתו, </w:t>
      </w:r>
      <w:r w:rsidRPr="00247C05">
        <w:rPr>
          <w:rFonts w:hint="eastAsia"/>
          <w:rtl/>
        </w:rPr>
        <w:t>והיא</w:t>
      </w:r>
      <w:r w:rsidRPr="00247C05">
        <w:rPr>
          <w:rtl/>
        </w:rPr>
        <w:t xml:space="preserve"> </w:t>
      </w:r>
      <w:r w:rsidRPr="00247C05">
        <w:rPr>
          <w:rFonts w:hint="eastAsia"/>
          <w:rtl/>
        </w:rPr>
        <w:t>כללה</w:t>
      </w:r>
      <w:r w:rsidRPr="00247C05">
        <w:rPr>
          <w:rtl/>
        </w:rPr>
        <w:t xml:space="preserve"> גם </w:t>
      </w:r>
      <w:r w:rsidRPr="00247C05">
        <w:rPr>
          <w:rFonts w:hint="eastAsia"/>
          <w:rtl/>
        </w:rPr>
        <w:t>את</w:t>
      </w:r>
      <w:r w:rsidRPr="00247C05">
        <w:rPr>
          <w:rtl/>
        </w:rPr>
        <w:t xml:space="preserve"> </w:t>
      </w:r>
      <w:r w:rsidRPr="00247C05">
        <w:rPr>
          <w:rFonts w:hint="eastAsia"/>
          <w:rtl/>
        </w:rPr>
        <w:t>במ</w:t>
      </w:r>
      <w:r w:rsidRPr="00247C05">
        <w:rPr>
          <w:rtl/>
        </w:rPr>
        <w:t xml:space="preserve">"ש </w:t>
      </w:r>
      <w:r w:rsidRPr="00247C05">
        <w:rPr>
          <w:rFonts w:hint="eastAsia"/>
          <w:rtl/>
        </w:rPr>
        <w:t>עמ</w:t>
      </w:r>
      <w:r w:rsidRPr="00247C05">
        <w:rPr>
          <w:rtl/>
        </w:rPr>
        <w:t>"ק</w:t>
      </w:r>
      <w:r w:rsidRPr="00247C05">
        <w:rPr>
          <w:rFonts w:hint="cs"/>
          <w:rtl/>
        </w:rPr>
        <w:t>.</w:t>
      </w:r>
    </w:p>
    <w:p w:rsidR="003037FB" w:rsidRPr="00247C05" w:rsidP="00FC0BA8">
      <w:pPr>
        <w:pStyle w:val="ListParagraph"/>
        <w:spacing w:before="180" w:after="240" w:line="230" w:lineRule="exact"/>
        <w:ind w:left="0"/>
        <w:contextualSpacing w:val="0"/>
        <w:jc w:val="both"/>
        <w:rPr>
          <w:rFonts w:ascii="Times New Roman" w:hAnsi="Times New Roman" w:cs="FrankRuehl"/>
          <w:sz w:val="20"/>
          <w:rtl/>
        </w:rPr>
      </w:pPr>
      <w:r w:rsidRPr="00247C05">
        <w:rPr>
          <w:rFonts w:ascii="Times New Roman" w:hAnsi="Times New Roman" w:cs="FrankRuehl" w:hint="cs"/>
          <w:sz w:val="20"/>
          <w:rtl/>
        </w:rPr>
        <w:t>בתשובתה מסרה הב"ה, כי "באשר לתכנית העבודה בהיבט ההנחיה המקצועית לשנת 2016 התכנית הוכנה וסוכמה ותוצא לפועל".</w:t>
      </w:r>
    </w:p>
    <w:p w:rsidR="003037FB" w:rsidRPr="00247C05" w:rsidP="00FC0BA8">
      <w:pPr>
        <w:pStyle w:val="RESHET"/>
        <w:keepLines/>
        <w:rPr>
          <w:rtl/>
        </w:rPr>
      </w:pPr>
      <w:r w:rsidRPr="00247C05">
        <w:rPr>
          <w:rFonts w:hint="cs"/>
          <w:rtl/>
        </w:rPr>
        <w:t>לדעת משרד מבקר המדינה, טוב שהב"ה החלה בהכנת תכנית עבודה שנתית לבמ"ש עמ"ק. ואולם, בשים לב לעובדה</w:t>
      </w:r>
      <w:r w:rsidRPr="00247C05">
        <w:rPr>
          <w:rtl/>
        </w:rPr>
        <w:t xml:space="preserve"> </w:t>
      </w:r>
      <w:r w:rsidRPr="00247C05">
        <w:rPr>
          <w:rFonts w:hint="cs"/>
          <w:rtl/>
        </w:rPr>
        <w:t xml:space="preserve">שחוק בתי המשפט לא הבחין בין במ"ש עמ"ק ובין בתי משפט שלום אחרים, על הב"ה להקפיד שתכניות העבודה השנתיות יקיפו את כלל תחומי אחריותה המקצועית. ראוי שהתכנית תכלול היבטים מקצועיים כגון פעולות הדרכה לאותה שנה, השלבים המתוכננים ליישום הטמעת נט המשפט באותה שנה, תכנון ביקורים של מנהל התחום בבמ"ש עמ"ק, תכנון בקרה יזומה ורציפה, פיקוח אקטיבי הכולל אמצעי אכיפה אפקטיביים, תכנון פגישות עבודה לרבות אלו של מנהל מחוז עם מזכירים, ושל מנהל התחום עם צוות העבודה בנושא עמ"ק. </w:t>
      </w:r>
    </w:p>
    <w:p w:rsidR="00FC0BA8" w:rsidP="00FC0BA8">
      <w:pPr>
        <w:spacing w:after="120" w:line="230" w:lineRule="exact"/>
        <w:jc w:val="both"/>
        <w:rPr>
          <w:rFonts w:cs="FrankRuehl"/>
          <w:sz w:val="22"/>
          <w:szCs w:val="22"/>
          <w:rtl/>
        </w:rPr>
      </w:pPr>
    </w:p>
    <w:p w:rsidR="00FC0BA8" w:rsidP="00FC0BA8">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FC0BA8" w:rsidP="00FC0BA8">
      <w:pPr>
        <w:spacing w:after="120" w:line="230" w:lineRule="exact"/>
        <w:jc w:val="both"/>
        <w:rPr>
          <w:rFonts w:cs="FrankRuehl"/>
          <w:sz w:val="22"/>
          <w:szCs w:val="22"/>
          <w:rtl/>
        </w:rPr>
      </w:pPr>
    </w:p>
    <w:p w:rsidR="003037FB" w:rsidRPr="00247C05" w:rsidP="00FC0BA8">
      <w:pPr>
        <w:pStyle w:val="RESHET"/>
        <w:keepLines/>
        <w:rPr>
          <w:rtl/>
        </w:rPr>
      </w:pPr>
      <w:r w:rsidRPr="00247C05">
        <w:rPr>
          <w:rFonts w:hint="cs"/>
          <w:rtl/>
        </w:rPr>
        <w:t>ממצאיו</w:t>
      </w:r>
      <w:r w:rsidRPr="00247C05">
        <w:rPr>
          <w:rtl/>
        </w:rPr>
        <w:t xml:space="preserve"> </w:t>
      </w:r>
      <w:r w:rsidRPr="00247C05">
        <w:rPr>
          <w:rFonts w:hint="cs"/>
          <w:rtl/>
        </w:rPr>
        <w:t>של</w:t>
      </w:r>
      <w:r w:rsidRPr="00247C05">
        <w:rPr>
          <w:rtl/>
        </w:rPr>
        <w:t xml:space="preserve"> </w:t>
      </w:r>
      <w:r w:rsidRPr="00247C05">
        <w:rPr>
          <w:rFonts w:hint="cs"/>
          <w:rtl/>
        </w:rPr>
        <w:t>פרק</w:t>
      </w:r>
      <w:r w:rsidRPr="00247C05">
        <w:rPr>
          <w:rtl/>
        </w:rPr>
        <w:t xml:space="preserve"> </w:t>
      </w:r>
      <w:r w:rsidRPr="00247C05">
        <w:rPr>
          <w:rFonts w:hint="cs"/>
          <w:rtl/>
        </w:rPr>
        <w:t>זה</w:t>
      </w:r>
      <w:r w:rsidRPr="00247C05">
        <w:rPr>
          <w:rtl/>
        </w:rPr>
        <w:t xml:space="preserve"> </w:t>
      </w:r>
      <w:r w:rsidRPr="00247C05">
        <w:rPr>
          <w:rFonts w:hint="cs"/>
          <w:rtl/>
        </w:rPr>
        <w:t xml:space="preserve">מלמדים </w:t>
      </w:r>
      <w:r w:rsidRPr="00247C05">
        <w:rPr>
          <w:rtl/>
        </w:rPr>
        <w:t xml:space="preserve">על </w:t>
      </w:r>
      <w:r w:rsidRPr="00247C05">
        <w:rPr>
          <w:rFonts w:hint="cs"/>
          <w:rtl/>
        </w:rPr>
        <w:t>הצורך</w:t>
      </w:r>
      <w:r w:rsidRPr="00247C05">
        <w:rPr>
          <w:rtl/>
        </w:rPr>
        <w:t xml:space="preserve"> בנקיטת פעולות </w:t>
      </w:r>
      <w:r w:rsidRPr="00247C05">
        <w:rPr>
          <w:rFonts w:hint="cs"/>
          <w:rtl/>
        </w:rPr>
        <w:t>של</w:t>
      </w:r>
      <w:r w:rsidRPr="00247C05">
        <w:rPr>
          <w:rtl/>
        </w:rPr>
        <w:t xml:space="preserve"> </w:t>
      </w:r>
      <w:r w:rsidRPr="00247C05">
        <w:rPr>
          <w:rFonts w:hint="cs"/>
          <w:rtl/>
        </w:rPr>
        <w:t>הב</w:t>
      </w:r>
      <w:r w:rsidRPr="00247C05">
        <w:rPr>
          <w:rtl/>
        </w:rPr>
        <w:t>"ה</w:t>
      </w:r>
      <w:r w:rsidRPr="00247C05">
        <w:rPr>
          <w:rFonts w:hint="cs"/>
          <w:rtl/>
        </w:rPr>
        <w:t xml:space="preserve"> כדי להבטיח את</w:t>
      </w:r>
      <w:r w:rsidRPr="00247C05">
        <w:rPr>
          <w:rtl/>
        </w:rPr>
        <w:t xml:space="preserve"> מימוש אחריותה המקצועית </w:t>
      </w:r>
      <w:r w:rsidRPr="00247C05">
        <w:rPr>
          <w:rFonts w:hint="cs"/>
          <w:rtl/>
        </w:rPr>
        <w:t>בבתי</w:t>
      </w:r>
      <w:r w:rsidRPr="00247C05">
        <w:rPr>
          <w:rtl/>
        </w:rPr>
        <w:t xml:space="preserve"> </w:t>
      </w:r>
      <w:r w:rsidRPr="00247C05">
        <w:rPr>
          <w:rFonts w:hint="cs"/>
          <w:rtl/>
        </w:rPr>
        <w:t>המשפט</w:t>
      </w:r>
      <w:r w:rsidRPr="00247C05">
        <w:rPr>
          <w:rtl/>
        </w:rPr>
        <w:t xml:space="preserve"> </w:t>
      </w:r>
      <w:r w:rsidRPr="00247C05">
        <w:rPr>
          <w:rFonts w:hint="cs"/>
          <w:rtl/>
        </w:rPr>
        <w:t>לעניינים מקומיים</w:t>
      </w:r>
      <w:r w:rsidRPr="00247C05">
        <w:rPr>
          <w:rtl/>
        </w:rPr>
        <w:t xml:space="preserve">. </w:t>
      </w:r>
      <w:r w:rsidRPr="00247C05">
        <w:rPr>
          <w:rFonts w:hint="cs"/>
          <w:rtl/>
        </w:rPr>
        <w:t>בין</w:t>
      </w:r>
      <w:r w:rsidRPr="00247C05">
        <w:rPr>
          <w:rtl/>
        </w:rPr>
        <w:t xml:space="preserve"> </w:t>
      </w:r>
      <w:r w:rsidRPr="00247C05">
        <w:rPr>
          <w:rFonts w:hint="cs"/>
          <w:rtl/>
        </w:rPr>
        <w:t>היתר</w:t>
      </w:r>
      <w:r w:rsidRPr="00247C05">
        <w:rPr>
          <w:rtl/>
        </w:rPr>
        <w:t>: לקב</w:t>
      </w:r>
      <w:r w:rsidRPr="00247C05">
        <w:rPr>
          <w:rFonts w:hint="cs"/>
          <w:rtl/>
        </w:rPr>
        <w:t>וע</w:t>
      </w:r>
      <w:r w:rsidRPr="00247C05">
        <w:rPr>
          <w:rtl/>
        </w:rPr>
        <w:t xml:space="preserve"> נ</w:t>
      </w:r>
      <w:r w:rsidRPr="00247C05">
        <w:rPr>
          <w:rFonts w:hint="cs"/>
          <w:rtl/>
        </w:rPr>
        <w:t>והלי</w:t>
      </w:r>
      <w:r w:rsidRPr="00247C05">
        <w:rPr>
          <w:rtl/>
        </w:rPr>
        <w:t xml:space="preserve"> עבודה אחידים </w:t>
      </w:r>
      <w:r w:rsidRPr="00247C05">
        <w:rPr>
          <w:rFonts w:hint="cs"/>
          <w:rtl/>
        </w:rPr>
        <w:t>בעבור</w:t>
      </w:r>
      <w:r w:rsidRPr="00247C05">
        <w:rPr>
          <w:rtl/>
        </w:rPr>
        <w:t xml:space="preserve"> </w:t>
      </w:r>
      <w:r w:rsidRPr="00247C05">
        <w:rPr>
          <w:rFonts w:hint="cs"/>
          <w:rtl/>
        </w:rPr>
        <w:t>בתי</w:t>
      </w:r>
      <w:r w:rsidRPr="00247C05">
        <w:rPr>
          <w:rtl/>
        </w:rPr>
        <w:t xml:space="preserve"> </w:t>
      </w:r>
      <w:r w:rsidRPr="00247C05">
        <w:rPr>
          <w:rFonts w:hint="cs"/>
          <w:rtl/>
        </w:rPr>
        <w:t>המשפט</w:t>
      </w:r>
      <w:r w:rsidRPr="00247C05">
        <w:rPr>
          <w:rtl/>
        </w:rPr>
        <w:t xml:space="preserve"> </w:t>
      </w:r>
      <w:r w:rsidRPr="00247C05">
        <w:rPr>
          <w:rFonts w:hint="cs"/>
          <w:rtl/>
        </w:rPr>
        <w:t>המקומיים</w:t>
      </w:r>
      <w:r w:rsidRPr="00247C05">
        <w:rPr>
          <w:rtl/>
        </w:rPr>
        <w:t xml:space="preserve">; </w:t>
      </w:r>
      <w:r w:rsidRPr="00247C05">
        <w:rPr>
          <w:rFonts w:hint="cs"/>
          <w:rtl/>
        </w:rPr>
        <w:t>למנות</w:t>
      </w:r>
      <w:r w:rsidRPr="00247C05">
        <w:rPr>
          <w:rtl/>
        </w:rPr>
        <w:t xml:space="preserve"> גורם </w:t>
      </w:r>
      <w:r w:rsidRPr="00247C05">
        <w:rPr>
          <w:rFonts w:hint="cs"/>
          <w:rtl/>
        </w:rPr>
        <w:t>מרכזי</w:t>
      </w:r>
      <w:r w:rsidRPr="00247C05">
        <w:rPr>
          <w:rtl/>
        </w:rPr>
        <w:t xml:space="preserve"> </w:t>
      </w:r>
      <w:r w:rsidRPr="00247C05">
        <w:rPr>
          <w:rFonts w:hint="cs"/>
          <w:rtl/>
        </w:rPr>
        <w:t>שיוביל</w:t>
      </w:r>
      <w:r w:rsidRPr="00247C05">
        <w:rPr>
          <w:rtl/>
        </w:rPr>
        <w:t xml:space="preserve"> </w:t>
      </w:r>
      <w:r w:rsidRPr="00247C05">
        <w:rPr>
          <w:rFonts w:hint="cs"/>
          <w:rtl/>
        </w:rPr>
        <w:t>את</w:t>
      </w:r>
      <w:r w:rsidRPr="00247C05">
        <w:rPr>
          <w:rtl/>
        </w:rPr>
        <w:t xml:space="preserve"> </w:t>
      </w:r>
      <w:r w:rsidRPr="00247C05">
        <w:rPr>
          <w:rFonts w:hint="cs"/>
          <w:rtl/>
        </w:rPr>
        <w:t>ההנחייה</w:t>
      </w:r>
      <w:r w:rsidRPr="00247C05">
        <w:rPr>
          <w:rtl/>
        </w:rPr>
        <w:t xml:space="preserve"> בתחום המקצועי; להטמ</w:t>
      </w:r>
      <w:r w:rsidRPr="00247C05">
        <w:rPr>
          <w:rFonts w:hint="cs"/>
          <w:rtl/>
        </w:rPr>
        <w:t>יע</w:t>
      </w:r>
      <w:r w:rsidRPr="00247C05">
        <w:rPr>
          <w:rtl/>
        </w:rPr>
        <w:t xml:space="preserve"> א</w:t>
      </w:r>
      <w:r w:rsidRPr="00247C05">
        <w:rPr>
          <w:rFonts w:hint="cs"/>
          <w:rtl/>
        </w:rPr>
        <w:t>ת</w:t>
      </w:r>
      <w:r w:rsidRPr="00247C05">
        <w:rPr>
          <w:rtl/>
        </w:rPr>
        <w:t xml:space="preserve"> </w:t>
      </w:r>
      <w:r w:rsidRPr="00247C05">
        <w:rPr>
          <w:rFonts w:hint="cs"/>
          <w:rtl/>
        </w:rPr>
        <w:t>מערכת</w:t>
      </w:r>
      <w:r w:rsidRPr="00247C05">
        <w:rPr>
          <w:rtl/>
        </w:rPr>
        <w:t xml:space="preserve"> </w:t>
      </w:r>
      <w:r w:rsidRPr="00247C05">
        <w:rPr>
          <w:rFonts w:hint="cs"/>
          <w:rtl/>
        </w:rPr>
        <w:t>המחשוב</w:t>
      </w:r>
      <w:r w:rsidRPr="00247C05">
        <w:rPr>
          <w:rtl/>
        </w:rPr>
        <w:t xml:space="preserve"> </w:t>
      </w:r>
      <w:r w:rsidRPr="00247C05">
        <w:rPr>
          <w:rFonts w:hint="cs"/>
          <w:rtl/>
        </w:rPr>
        <w:t>נט</w:t>
      </w:r>
      <w:r w:rsidRPr="00247C05">
        <w:rPr>
          <w:rtl/>
        </w:rPr>
        <w:t xml:space="preserve"> </w:t>
      </w:r>
      <w:r w:rsidRPr="00247C05">
        <w:rPr>
          <w:rFonts w:hint="cs"/>
          <w:rtl/>
        </w:rPr>
        <w:t>המשפט</w:t>
      </w:r>
      <w:r w:rsidRPr="00247C05">
        <w:rPr>
          <w:rtl/>
        </w:rPr>
        <w:t xml:space="preserve">; </w:t>
      </w:r>
      <w:r w:rsidRPr="00247C05">
        <w:rPr>
          <w:rFonts w:hint="cs"/>
          <w:rtl/>
        </w:rPr>
        <w:t>לגבש</w:t>
      </w:r>
      <w:r w:rsidRPr="00247C05">
        <w:rPr>
          <w:rtl/>
        </w:rPr>
        <w:t xml:space="preserve"> ולייש</w:t>
      </w:r>
      <w:r w:rsidRPr="00247C05">
        <w:rPr>
          <w:rFonts w:hint="cs"/>
          <w:rtl/>
        </w:rPr>
        <w:t>ם</w:t>
      </w:r>
      <w:r w:rsidRPr="00247C05">
        <w:rPr>
          <w:rtl/>
        </w:rPr>
        <w:t xml:space="preserve"> </w:t>
      </w:r>
      <w:r w:rsidRPr="00247C05">
        <w:rPr>
          <w:rFonts w:hint="cs"/>
          <w:rtl/>
        </w:rPr>
        <w:t>תכנית</w:t>
      </w:r>
      <w:r w:rsidRPr="00247C05">
        <w:rPr>
          <w:rtl/>
        </w:rPr>
        <w:t xml:space="preserve"> </w:t>
      </w:r>
      <w:r w:rsidRPr="00247C05">
        <w:rPr>
          <w:rFonts w:hint="cs"/>
          <w:rtl/>
        </w:rPr>
        <w:t>עבודה</w:t>
      </w:r>
      <w:r w:rsidRPr="00247C05">
        <w:rPr>
          <w:rtl/>
        </w:rPr>
        <w:t xml:space="preserve"> </w:t>
      </w:r>
      <w:r w:rsidRPr="00247C05">
        <w:rPr>
          <w:rFonts w:hint="cs"/>
          <w:rtl/>
        </w:rPr>
        <w:t>מפורטת</w:t>
      </w:r>
      <w:r w:rsidRPr="00247C05">
        <w:rPr>
          <w:rtl/>
        </w:rPr>
        <w:t xml:space="preserve"> </w:t>
      </w:r>
      <w:r w:rsidRPr="00247C05">
        <w:rPr>
          <w:rFonts w:hint="cs"/>
          <w:rtl/>
        </w:rPr>
        <w:t>של</w:t>
      </w:r>
      <w:r w:rsidRPr="00247C05">
        <w:rPr>
          <w:rtl/>
        </w:rPr>
        <w:t xml:space="preserve"> </w:t>
      </w:r>
      <w:r w:rsidRPr="00247C05">
        <w:rPr>
          <w:rFonts w:hint="cs"/>
          <w:rtl/>
        </w:rPr>
        <w:t>הב</w:t>
      </w:r>
      <w:r w:rsidRPr="00247C05">
        <w:rPr>
          <w:rtl/>
        </w:rPr>
        <w:t xml:space="preserve">"ה </w:t>
      </w:r>
      <w:r w:rsidRPr="00247C05">
        <w:rPr>
          <w:rFonts w:hint="cs"/>
          <w:rtl/>
        </w:rPr>
        <w:t>בבתי</w:t>
      </w:r>
      <w:r w:rsidRPr="00247C05">
        <w:rPr>
          <w:rtl/>
        </w:rPr>
        <w:t xml:space="preserve"> </w:t>
      </w:r>
      <w:r w:rsidRPr="00247C05">
        <w:rPr>
          <w:rFonts w:hint="cs"/>
          <w:rtl/>
        </w:rPr>
        <w:t>משפט</w:t>
      </w:r>
      <w:r w:rsidRPr="00247C05">
        <w:rPr>
          <w:rtl/>
        </w:rPr>
        <w:t xml:space="preserve"> </w:t>
      </w:r>
      <w:r w:rsidRPr="00247C05">
        <w:rPr>
          <w:rFonts w:hint="cs"/>
          <w:rtl/>
        </w:rPr>
        <w:t>עמ</w:t>
      </w:r>
      <w:r w:rsidRPr="00247C05">
        <w:rPr>
          <w:rtl/>
        </w:rPr>
        <w:t xml:space="preserve">"ק; </w:t>
      </w:r>
      <w:r w:rsidRPr="00247C05">
        <w:rPr>
          <w:rFonts w:hint="cs"/>
          <w:rtl/>
        </w:rPr>
        <w:t>ולקיים</w:t>
      </w:r>
      <w:r w:rsidRPr="00247C05">
        <w:rPr>
          <w:rtl/>
        </w:rPr>
        <w:t xml:space="preserve"> פיקוח ובקרה שוטפים בבתי המשפט המקומיים. </w:t>
      </w:r>
    </w:p>
    <w:p w:rsidR="003037FB" w:rsidRPr="00247C05" w:rsidP="00AC4B89">
      <w:pPr>
        <w:pStyle w:val="RESHET"/>
        <w:keepLines/>
        <w:spacing w:line="224" w:lineRule="exact"/>
        <w:rPr>
          <w:rtl/>
        </w:rPr>
      </w:pPr>
      <w:r w:rsidRPr="00247C05">
        <w:rPr>
          <w:rFonts w:hint="cs"/>
          <w:rtl/>
        </w:rPr>
        <w:t>בתגובתה</w:t>
      </w:r>
      <w:r w:rsidRPr="00247C05">
        <w:rPr>
          <w:rtl/>
        </w:rPr>
        <w:t xml:space="preserve"> </w:t>
      </w:r>
      <w:r w:rsidRPr="00247C05">
        <w:rPr>
          <w:rFonts w:hint="cs"/>
          <w:rtl/>
        </w:rPr>
        <w:t>על</w:t>
      </w:r>
      <w:r w:rsidRPr="00247C05">
        <w:rPr>
          <w:rtl/>
        </w:rPr>
        <w:t xml:space="preserve"> </w:t>
      </w:r>
      <w:r w:rsidRPr="00247C05">
        <w:rPr>
          <w:rFonts w:hint="cs"/>
          <w:rtl/>
        </w:rPr>
        <w:t>דוח</w:t>
      </w:r>
      <w:r w:rsidRPr="00247C05">
        <w:rPr>
          <w:rtl/>
        </w:rPr>
        <w:t xml:space="preserve"> </w:t>
      </w:r>
      <w:r w:rsidRPr="00247C05">
        <w:rPr>
          <w:rFonts w:hint="cs"/>
          <w:rtl/>
        </w:rPr>
        <w:t>זה</w:t>
      </w:r>
      <w:r w:rsidRPr="00247C05">
        <w:rPr>
          <w:rtl/>
        </w:rPr>
        <w:t xml:space="preserve"> </w:t>
      </w:r>
      <w:r w:rsidRPr="00247C05">
        <w:rPr>
          <w:rFonts w:hint="cs"/>
          <w:rtl/>
        </w:rPr>
        <w:t>שבה</w:t>
      </w:r>
      <w:r w:rsidRPr="00247C05">
        <w:rPr>
          <w:rtl/>
        </w:rPr>
        <w:t xml:space="preserve"> </w:t>
      </w:r>
      <w:r w:rsidRPr="00247C05">
        <w:rPr>
          <w:rFonts w:hint="cs"/>
          <w:rtl/>
        </w:rPr>
        <w:t>והעלתה</w:t>
      </w:r>
      <w:r w:rsidRPr="00247C05">
        <w:rPr>
          <w:rtl/>
        </w:rPr>
        <w:t xml:space="preserve"> </w:t>
      </w:r>
      <w:r w:rsidRPr="00247C05">
        <w:rPr>
          <w:rFonts w:hint="cs"/>
          <w:rtl/>
        </w:rPr>
        <w:t>הב</w:t>
      </w:r>
      <w:r w:rsidRPr="00247C05">
        <w:rPr>
          <w:rtl/>
        </w:rPr>
        <w:t xml:space="preserve">"ה את </w:t>
      </w:r>
      <w:r w:rsidRPr="00247C05">
        <w:rPr>
          <w:rFonts w:hint="cs"/>
          <w:rtl/>
        </w:rPr>
        <w:t>הטענה</w:t>
      </w:r>
      <w:r w:rsidRPr="00247C05">
        <w:rPr>
          <w:rtl/>
        </w:rPr>
        <w:t xml:space="preserve"> </w:t>
      </w:r>
      <w:r w:rsidRPr="00247C05">
        <w:rPr>
          <w:rFonts w:hint="cs"/>
          <w:rtl/>
        </w:rPr>
        <w:t>שיכולתה</w:t>
      </w:r>
      <w:r w:rsidRPr="00247C05">
        <w:rPr>
          <w:rtl/>
        </w:rPr>
        <w:t xml:space="preserve"> </w:t>
      </w:r>
      <w:r w:rsidRPr="00247C05">
        <w:rPr>
          <w:rFonts w:hint="cs"/>
          <w:rtl/>
        </w:rPr>
        <w:t>לחייב</w:t>
      </w:r>
      <w:r w:rsidRPr="00247C05">
        <w:rPr>
          <w:rtl/>
        </w:rPr>
        <w:t xml:space="preserve"> </w:t>
      </w:r>
      <w:r w:rsidRPr="00247C05">
        <w:rPr>
          <w:rFonts w:hint="cs"/>
          <w:rtl/>
        </w:rPr>
        <w:t>את</w:t>
      </w:r>
      <w:r w:rsidRPr="00247C05">
        <w:rPr>
          <w:rtl/>
        </w:rPr>
        <w:t xml:space="preserve"> </w:t>
      </w:r>
      <w:r w:rsidRPr="00247C05">
        <w:rPr>
          <w:rFonts w:hint="cs"/>
          <w:rtl/>
        </w:rPr>
        <w:t>בתי</w:t>
      </w:r>
      <w:r w:rsidRPr="00247C05">
        <w:rPr>
          <w:rtl/>
        </w:rPr>
        <w:t xml:space="preserve"> </w:t>
      </w:r>
      <w:r w:rsidRPr="00247C05">
        <w:rPr>
          <w:rFonts w:hint="cs"/>
          <w:rtl/>
        </w:rPr>
        <w:t>המשפט</w:t>
      </w:r>
      <w:r w:rsidRPr="00247C05">
        <w:rPr>
          <w:rtl/>
        </w:rPr>
        <w:t xml:space="preserve"> </w:t>
      </w:r>
      <w:r w:rsidRPr="00247C05">
        <w:rPr>
          <w:rFonts w:hint="cs"/>
          <w:rtl/>
        </w:rPr>
        <w:t>לפעול</w:t>
      </w:r>
      <w:r w:rsidRPr="00247C05">
        <w:rPr>
          <w:rtl/>
        </w:rPr>
        <w:t xml:space="preserve"> </w:t>
      </w:r>
      <w:r w:rsidRPr="00247C05">
        <w:rPr>
          <w:rFonts w:hint="cs"/>
          <w:rtl/>
        </w:rPr>
        <w:t>בתחומים</w:t>
      </w:r>
      <w:r w:rsidRPr="00247C05">
        <w:rPr>
          <w:rtl/>
        </w:rPr>
        <w:t xml:space="preserve"> </w:t>
      </w:r>
      <w:r w:rsidRPr="00247C05">
        <w:rPr>
          <w:rFonts w:hint="cs"/>
          <w:rtl/>
        </w:rPr>
        <w:t>מקצועיים</w:t>
      </w:r>
      <w:r w:rsidRPr="00247C05">
        <w:rPr>
          <w:rtl/>
        </w:rPr>
        <w:t xml:space="preserve"> </w:t>
      </w:r>
      <w:r w:rsidRPr="00247C05">
        <w:rPr>
          <w:rFonts w:hint="cs"/>
          <w:rtl/>
        </w:rPr>
        <w:t>בהתאם</w:t>
      </w:r>
      <w:r w:rsidRPr="00247C05">
        <w:rPr>
          <w:rtl/>
        </w:rPr>
        <w:t xml:space="preserve"> </w:t>
      </w:r>
      <w:r w:rsidRPr="00247C05">
        <w:rPr>
          <w:rFonts w:hint="cs"/>
          <w:rtl/>
        </w:rPr>
        <w:t>להנחיותיה</w:t>
      </w:r>
      <w:r w:rsidRPr="00247C05">
        <w:rPr>
          <w:rtl/>
        </w:rPr>
        <w:t xml:space="preserve"> </w:t>
      </w:r>
      <w:r w:rsidRPr="00247C05">
        <w:rPr>
          <w:rFonts w:hint="cs"/>
          <w:rtl/>
        </w:rPr>
        <w:t>ולדרישותיה</w:t>
      </w:r>
      <w:r w:rsidRPr="00247C05">
        <w:rPr>
          <w:rtl/>
        </w:rPr>
        <w:t xml:space="preserve"> היא מוגבלת. טענה זו </w:t>
      </w:r>
      <w:r w:rsidRPr="00247C05">
        <w:rPr>
          <w:rFonts w:hint="cs"/>
          <w:rtl/>
        </w:rPr>
        <w:t>עשויה</w:t>
      </w:r>
      <w:r w:rsidRPr="00247C05">
        <w:rPr>
          <w:rtl/>
        </w:rPr>
        <w:t xml:space="preserve"> </w:t>
      </w:r>
      <w:r w:rsidRPr="00247C05">
        <w:rPr>
          <w:rFonts w:hint="cs"/>
          <w:rtl/>
        </w:rPr>
        <w:t>לשקף</w:t>
      </w:r>
      <w:r w:rsidRPr="00247C05">
        <w:rPr>
          <w:rtl/>
        </w:rPr>
        <w:t xml:space="preserve"> בעיה </w:t>
      </w:r>
      <w:r w:rsidRPr="00247C05">
        <w:rPr>
          <w:rFonts w:hint="cs"/>
          <w:rtl/>
        </w:rPr>
        <w:t>עקרונית</w:t>
      </w:r>
      <w:r w:rsidRPr="00247C05">
        <w:rPr>
          <w:rtl/>
        </w:rPr>
        <w:t xml:space="preserve"> של </w:t>
      </w:r>
      <w:r w:rsidRPr="00247C05">
        <w:rPr>
          <w:rFonts w:hint="cs"/>
          <w:rtl/>
        </w:rPr>
        <w:t>הפער</w:t>
      </w:r>
      <w:r w:rsidRPr="00247C05">
        <w:rPr>
          <w:rtl/>
        </w:rPr>
        <w:t xml:space="preserve"> </w:t>
      </w:r>
      <w:r w:rsidRPr="00247C05">
        <w:rPr>
          <w:rFonts w:hint="cs"/>
          <w:rtl/>
        </w:rPr>
        <w:t>שבין</w:t>
      </w:r>
      <w:r w:rsidRPr="00247C05">
        <w:rPr>
          <w:rtl/>
        </w:rPr>
        <w:t xml:space="preserve"> סמכות </w:t>
      </w:r>
      <w:r w:rsidRPr="00247C05">
        <w:rPr>
          <w:rFonts w:hint="cs"/>
          <w:rtl/>
        </w:rPr>
        <w:t>לאחריות</w:t>
      </w:r>
      <w:r w:rsidRPr="00247C05">
        <w:rPr>
          <w:rtl/>
        </w:rPr>
        <w:t xml:space="preserve">. על הב"ה לפעול בשיתוף פעולה עם בתי המשפט, </w:t>
      </w:r>
      <w:r w:rsidRPr="00247C05">
        <w:rPr>
          <w:rFonts w:hint="cs"/>
          <w:rtl/>
        </w:rPr>
        <w:t>ובין</w:t>
      </w:r>
      <w:r w:rsidRPr="00247C05">
        <w:rPr>
          <w:rtl/>
        </w:rPr>
        <w:t xml:space="preserve"> היתר </w:t>
      </w:r>
      <w:r w:rsidRPr="00247C05">
        <w:rPr>
          <w:rFonts w:hint="cs"/>
          <w:rtl/>
        </w:rPr>
        <w:t>לקיים</w:t>
      </w:r>
      <w:r w:rsidRPr="00247C05">
        <w:rPr>
          <w:rtl/>
        </w:rPr>
        <w:t xml:space="preserve"> הדרכות ופגישות מקצועיות </w:t>
      </w:r>
      <w:r w:rsidRPr="00247C05">
        <w:rPr>
          <w:rFonts w:hint="cs"/>
          <w:rtl/>
        </w:rPr>
        <w:t>להטמעת</w:t>
      </w:r>
      <w:r w:rsidRPr="00247C05">
        <w:rPr>
          <w:rtl/>
        </w:rPr>
        <w:t xml:space="preserve"> הנחיותיה המקצועיות. יתר על כן, על הב"ה להבטיח כי </w:t>
      </w:r>
      <w:r w:rsidRPr="00247C05">
        <w:rPr>
          <w:rFonts w:hint="cs"/>
          <w:rtl/>
        </w:rPr>
        <w:t>ננקטות</w:t>
      </w:r>
      <w:r w:rsidRPr="00247C05">
        <w:rPr>
          <w:rtl/>
        </w:rPr>
        <w:t xml:space="preserve"> </w:t>
      </w:r>
      <w:r w:rsidRPr="00247C05">
        <w:rPr>
          <w:rFonts w:hint="cs"/>
          <w:rtl/>
        </w:rPr>
        <w:t>על</w:t>
      </w:r>
      <w:r w:rsidRPr="00247C05">
        <w:rPr>
          <w:rtl/>
        </w:rPr>
        <w:t xml:space="preserve"> </w:t>
      </w:r>
      <w:r w:rsidRPr="00247C05">
        <w:rPr>
          <w:rFonts w:hint="cs"/>
          <w:rtl/>
        </w:rPr>
        <w:t>ידה</w:t>
      </w:r>
      <w:r w:rsidRPr="00247C05">
        <w:rPr>
          <w:rtl/>
        </w:rPr>
        <w:t xml:space="preserve">, הלכה למעשה, </w:t>
      </w:r>
      <w:r w:rsidRPr="00247C05">
        <w:rPr>
          <w:rFonts w:hint="cs"/>
          <w:rtl/>
        </w:rPr>
        <w:t>הפעולות</w:t>
      </w:r>
      <w:r w:rsidRPr="00247C05">
        <w:rPr>
          <w:rtl/>
        </w:rPr>
        <w:t xml:space="preserve"> </w:t>
      </w:r>
      <w:r w:rsidRPr="00247C05">
        <w:rPr>
          <w:rFonts w:hint="cs"/>
          <w:rtl/>
        </w:rPr>
        <w:t>הדרושות</w:t>
      </w:r>
      <w:r w:rsidRPr="00247C05">
        <w:rPr>
          <w:rtl/>
        </w:rPr>
        <w:t xml:space="preserve"> לאכיפת הנחיותיה </w:t>
      </w:r>
      <w:r w:rsidRPr="00247C05">
        <w:rPr>
          <w:rFonts w:hint="cs"/>
          <w:rtl/>
        </w:rPr>
        <w:t>למול</w:t>
      </w:r>
      <w:r w:rsidRPr="00247C05">
        <w:rPr>
          <w:rtl/>
        </w:rPr>
        <w:t xml:space="preserve"> </w:t>
      </w:r>
      <w:r w:rsidRPr="00247C05">
        <w:rPr>
          <w:rFonts w:hint="cs"/>
          <w:rtl/>
        </w:rPr>
        <w:t>רשויות</w:t>
      </w:r>
      <w:r w:rsidRPr="00247C05">
        <w:rPr>
          <w:rtl/>
        </w:rPr>
        <w:t xml:space="preserve"> </w:t>
      </w:r>
      <w:r w:rsidRPr="00247C05">
        <w:rPr>
          <w:rFonts w:hint="cs"/>
          <w:rtl/>
        </w:rPr>
        <w:t>מקומיות</w:t>
      </w:r>
      <w:r w:rsidRPr="00247C05">
        <w:rPr>
          <w:rtl/>
        </w:rPr>
        <w:t xml:space="preserve">, </w:t>
      </w:r>
      <w:r w:rsidRPr="00247C05">
        <w:rPr>
          <w:rFonts w:hint="cs"/>
          <w:rtl/>
        </w:rPr>
        <w:t>ובהן</w:t>
      </w:r>
      <w:r w:rsidRPr="00247C05">
        <w:rPr>
          <w:rtl/>
        </w:rPr>
        <w:t>: משלוח מכתבי התראה; פנייה במישרין לראשי רשויות מקומיות; קיום פעולות פיקוח שוט</w:t>
      </w:r>
      <w:r w:rsidRPr="00247C05">
        <w:rPr>
          <w:rFonts w:hint="cs"/>
          <w:rtl/>
        </w:rPr>
        <w:t>פות</w:t>
      </w:r>
      <w:r w:rsidRPr="00247C05">
        <w:rPr>
          <w:rtl/>
        </w:rPr>
        <w:t xml:space="preserve"> וקביעת סנקציות </w:t>
      </w:r>
      <w:r w:rsidRPr="00247C05">
        <w:rPr>
          <w:rFonts w:hint="cs"/>
          <w:rtl/>
        </w:rPr>
        <w:t>מינהליות</w:t>
      </w:r>
      <w:r w:rsidRPr="00247C05">
        <w:rPr>
          <w:rtl/>
        </w:rPr>
        <w:t xml:space="preserve"> שיוטלו ב</w:t>
      </w:r>
      <w:r w:rsidRPr="00247C05">
        <w:rPr>
          <w:rFonts w:hint="cs"/>
          <w:rtl/>
        </w:rPr>
        <w:t>עת</w:t>
      </w:r>
      <w:r w:rsidRPr="00247C05">
        <w:rPr>
          <w:rtl/>
        </w:rPr>
        <w:t xml:space="preserve"> </w:t>
      </w:r>
      <w:r w:rsidRPr="00247C05">
        <w:rPr>
          <w:rFonts w:hint="cs"/>
          <w:rtl/>
        </w:rPr>
        <w:t>הצורך</w:t>
      </w:r>
      <w:r w:rsidRPr="00247C05">
        <w:rPr>
          <w:rtl/>
        </w:rPr>
        <w:t xml:space="preserve">. </w:t>
      </w:r>
      <w:r w:rsidRPr="00247C05">
        <w:rPr>
          <w:rFonts w:hint="cs"/>
          <w:rtl/>
        </w:rPr>
        <w:t>אם</w:t>
      </w:r>
      <w:r w:rsidRPr="00247C05">
        <w:rPr>
          <w:rtl/>
        </w:rPr>
        <w:t xml:space="preserve"> </w:t>
      </w:r>
      <w:r w:rsidRPr="00247C05">
        <w:rPr>
          <w:rFonts w:hint="cs"/>
          <w:rtl/>
        </w:rPr>
        <w:t>גם</w:t>
      </w:r>
      <w:r w:rsidRPr="00247C05">
        <w:rPr>
          <w:rtl/>
        </w:rPr>
        <w:t xml:space="preserve"> לאחר </w:t>
      </w:r>
      <w:r w:rsidRPr="00247C05">
        <w:rPr>
          <w:rFonts w:hint="cs"/>
          <w:rtl/>
        </w:rPr>
        <w:t>נקיטת</w:t>
      </w:r>
      <w:r w:rsidRPr="00247C05">
        <w:rPr>
          <w:rtl/>
        </w:rPr>
        <w:t xml:space="preserve"> </w:t>
      </w:r>
      <w:r w:rsidRPr="00247C05">
        <w:rPr>
          <w:rFonts w:hint="cs"/>
          <w:rtl/>
        </w:rPr>
        <w:t>כל</w:t>
      </w:r>
      <w:r w:rsidRPr="00247C05">
        <w:rPr>
          <w:rtl/>
        </w:rPr>
        <w:t xml:space="preserve"> </w:t>
      </w:r>
      <w:r w:rsidRPr="00247C05">
        <w:rPr>
          <w:rFonts w:hint="cs"/>
          <w:rtl/>
        </w:rPr>
        <w:t>הפעולות</w:t>
      </w:r>
      <w:r w:rsidRPr="00247C05">
        <w:rPr>
          <w:rtl/>
        </w:rPr>
        <w:t xml:space="preserve"> האמורות </w:t>
      </w:r>
      <w:r w:rsidRPr="00247C05">
        <w:rPr>
          <w:rFonts w:hint="cs"/>
          <w:rtl/>
        </w:rPr>
        <w:t>היא</w:t>
      </w:r>
      <w:r w:rsidRPr="00247C05">
        <w:rPr>
          <w:rtl/>
        </w:rPr>
        <w:t xml:space="preserve"> </w:t>
      </w:r>
      <w:r w:rsidRPr="00247C05">
        <w:rPr>
          <w:rFonts w:hint="cs"/>
          <w:rtl/>
        </w:rPr>
        <w:t>נתקלת</w:t>
      </w:r>
      <w:r w:rsidRPr="00247C05">
        <w:rPr>
          <w:rtl/>
        </w:rPr>
        <w:t xml:space="preserve"> </w:t>
      </w:r>
      <w:r w:rsidRPr="00247C05">
        <w:rPr>
          <w:rFonts w:hint="cs"/>
          <w:rtl/>
        </w:rPr>
        <w:t>בקושי</w:t>
      </w:r>
      <w:r w:rsidRPr="00247C05">
        <w:rPr>
          <w:rtl/>
        </w:rPr>
        <w:t xml:space="preserve"> </w:t>
      </w:r>
      <w:r w:rsidRPr="00247C05">
        <w:rPr>
          <w:rFonts w:hint="cs"/>
          <w:rtl/>
        </w:rPr>
        <w:t>באכיפת</w:t>
      </w:r>
      <w:r w:rsidRPr="00247C05">
        <w:rPr>
          <w:rtl/>
        </w:rPr>
        <w:t xml:space="preserve"> </w:t>
      </w:r>
      <w:r w:rsidRPr="00247C05">
        <w:rPr>
          <w:rFonts w:hint="cs"/>
          <w:rtl/>
        </w:rPr>
        <w:t>הנחיותיה</w:t>
      </w:r>
      <w:r w:rsidRPr="00247C05">
        <w:rPr>
          <w:rtl/>
        </w:rPr>
        <w:t xml:space="preserve"> </w:t>
      </w:r>
      <w:r w:rsidRPr="00247C05">
        <w:rPr>
          <w:rFonts w:hint="cs"/>
          <w:rtl/>
        </w:rPr>
        <w:t>בתחום</w:t>
      </w:r>
      <w:r w:rsidRPr="00247C05">
        <w:rPr>
          <w:rtl/>
        </w:rPr>
        <w:t xml:space="preserve"> </w:t>
      </w:r>
      <w:r w:rsidRPr="00247C05">
        <w:rPr>
          <w:rFonts w:hint="cs"/>
          <w:rtl/>
        </w:rPr>
        <w:t>המקצועי</w:t>
      </w:r>
      <w:r w:rsidRPr="00247C05">
        <w:rPr>
          <w:rtl/>
        </w:rPr>
        <w:t xml:space="preserve"> - </w:t>
      </w:r>
      <w:r w:rsidRPr="00247C05">
        <w:rPr>
          <w:rFonts w:hint="cs"/>
          <w:rtl/>
        </w:rPr>
        <w:t>יהיה</w:t>
      </w:r>
      <w:r w:rsidRPr="00247C05">
        <w:rPr>
          <w:rtl/>
        </w:rPr>
        <w:t xml:space="preserve"> עליה להעלות את הנושא לטיפול ולהסדרה </w:t>
      </w:r>
      <w:r w:rsidRPr="00247C05">
        <w:rPr>
          <w:rFonts w:hint="cs"/>
          <w:rtl/>
        </w:rPr>
        <w:t>במשרד</w:t>
      </w:r>
      <w:r w:rsidRPr="00247C05">
        <w:rPr>
          <w:rtl/>
        </w:rPr>
        <w:t xml:space="preserve"> </w:t>
      </w:r>
      <w:r w:rsidRPr="00247C05">
        <w:rPr>
          <w:rFonts w:hint="cs"/>
          <w:rtl/>
        </w:rPr>
        <w:t>המשפטים</w:t>
      </w:r>
      <w:r w:rsidRPr="00247C05">
        <w:rPr>
          <w:rtl/>
        </w:rPr>
        <w:t xml:space="preserve"> </w:t>
      </w:r>
      <w:r w:rsidRPr="00247C05">
        <w:rPr>
          <w:rFonts w:hint="cs"/>
          <w:rtl/>
        </w:rPr>
        <w:t>ובמשרד</w:t>
      </w:r>
      <w:r w:rsidRPr="00247C05">
        <w:rPr>
          <w:rtl/>
        </w:rPr>
        <w:t xml:space="preserve"> </w:t>
      </w:r>
      <w:r w:rsidRPr="00247C05">
        <w:rPr>
          <w:rFonts w:hint="cs"/>
          <w:rtl/>
        </w:rPr>
        <w:t>הפנים</w:t>
      </w:r>
      <w:r w:rsidRPr="00247C05">
        <w:rPr>
          <w:rtl/>
        </w:rPr>
        <w:t>.</w:t>
      </w:r>
    </w:p>
    <w:p w:rsidR="003037FB" w:rsidRPr="00247C05" w:rsidP="00AC4B89">
      <w:pPr>
        <w:spacing w:after="360" w:line="230" w:lineRule="exact"/>
        <w:jc w:val="both"/>
        <w:rPr>
          <w:rFonts w:cs="FrankRuehl"/>
          <w:bCs/>
          <w:sz w:val="20"/>
          <w:szCs w:val="22"/>
          <w:rtl/>
        </w:rPr>
      </w:pPr>
    </w:p>
    <w:p w:rsidR="003037FB" w:rsidRPr="00A45E9A" w:rsidP="00040DAE">
      <w:pPr>
        <w:pStyle w:val="KOT2"/>
        <w:rPr>
          <w:rtl/>
        </w:rPr>
      </w:pPr>
      <w:r w:rsidRPr="00A45E9A">
        <w:rPr>
          <w:rFonts w:hint="cs"/>
          <w:rtl/>
        </w:rPr>
        <w:t>פריסת בתי המשפט לעניינים מקומיים</w:t>
      </w:r>
    </w:p>
    <w:p w:rsidR="003037FB" w:rsidRPr="00247C05" w:rsidP="00AC4B89">
      <w:pPr>
        <w:spacing w:after="120" w:line="224" w:lineRule="exact"/>
        <w:jc w:val="both"/>
        <w:rPr>
          <w:rFonts w:cs="FrankRuehl"/>
          <w:b/>
          <w:sz w:val="20"/>
          <w:szCs w:val="22"/>
        </w:rPr>
      </w:pPr>
      <w:r w:rsidRPr="00247C05">
        <w:rPr>
          <w:rFonts w:cs="FrankRuehl" w:hint="cs"/>
          <w:b/>
          <w:sz w:val="20"/>
          <w:szCs w:val="22"/>
          <w:rtl/>
        </w:rPr>
        <w:t>כדי</w:t>
      </w:r>
      <w:r w:rsidRPr="00247C05">
        <w:rPr>
          <w:rFonts w:cs="FrankRuehl"/>
          <w:b/>
          <w:sz w:val="20"/>
          <w:szCs w:val="22"/>
          <w:rtl/>
        </w:rPr>
        <w:t xml:space="preserve"> </w:t>
      </w:r>
      <w:r w:rsidRPr="00247C05">
        <w:rPr>
          <w:rFonts w:cs="FrankRuehl" w:hint="cs"/>
          <w:b/>
          <w:sz w:val="20"/>
          <w:szCs w:val="22"/>
          <w:rtl/>
        </w:rPr>
        <w:t>לשפר</w:t>
      </w:r>
      <w:r w:rsidRPr="00247C05">
        <w:rPr>
          <w:rFonts w:cs="FrankRuehl"/>
          <w:b/>
          <w:sz w:val="20"/>
          <w:szCs w:val="22"/>
          <w:rtl/>
        </w:rPr>
        <w:t xml:space="preserve"> </w:t>
      </w:r>
      <w:r w:rsidRPr="00247C05">
        <w:rPr>
          <w:rFonts w:cs="FrankRuehl" w:hint="cs"/>
          <w:b/>
          <w:sz w:val="20"/>
          <w:szCs w:val="22"/>
          <w:rtl/>
        </w:rPr>
        <w:t>את</w:t>
      </w:r>
      <w:r w:rsidRPr="00247C05">
        <w:rPr>
          <w:rFonts w:cs="FrankRuehl"/>
          <w:b/>
          <w:sz w:val="20"/>
          <w:szCs w:val="22"/>
          <w:rtl/>
        </w:rPr>
        <w:t xml:space="preserve"> תפקודם של בתי משפט </w:t>
      </w:r>
      <w:r w:rsidRPr="00247C05">
        <w:rPr>
          <w:rFonts w:cs="FrankRuehl" w:hint="cs"/>
          <w:b/>
          <w:sz w:val="20"/>
          <w:szCs w:val="22"/>
          <w:rtl/>
        </w:rPr>
        <w:t>עמ</w:t>
      </w:r>
      <w:r w:rsidRPr="00247C05">
        <w:rPr>
          <w:rFonts w:cs="FrankRuehl"/>
          <w:b/>
          <w:sz w:val="20"/>
          <w:szCs w:val="22"/>
          <w:rtl/>
        </w:rPr>
        <w:t xml:space="preserve">"ק </w:t>
      </w:r>
      <w:r w:rsidRPr="00247C05">
        <w:rPr>
          <w:rFonts w:cs="FrankRuehl" w:hint="cs"/>
          <w:b/>
          <w:sz w:val="20"/>
          <w:szCs w:val="22"/>
          <w:rtl/>
        </w:rPr>
        <w:t>המליצה ועדת זמיר לפעול בשלושה</w:t>
      </w:r>
      <w:r w:rsidRPr="00247C05">
        <w:rPr>
          <w:rFonts w:cs="FrankRuehl"/>
          <w:b/>
          <w:sz w:val="20"/>
          <w:szCs w:val="22"/>
          <w:rtl/>
        </w:rPr>
        <w:t xml:space="preserve"> </w:t>
      </w:r>
      <w:r w:rsidRPr="00247C05">
        <w:rPr>
          <w:rFonts w:cs="FrankRuehl" w:hint="cs"/>
          <w:b/>
          <w:sz w:val="20"/>
          <w:szCs w:val="22"/>
          <w:rtl/>
        </w:rPr>
        <w:t>מישורים עיקריים:</w:t>
      </w:r>
      <w:r w:rsidRPr="00247C05">
        <w:rPr>
          <w:rFonts w:cs="FrankRuehl" w:hint="cs"/>
          <w:sz w:val="20"/>
          <w:szCs w:val="22"/>
          <w:rtl/>
        </w:rPr>
        <w:t xml:space="preserve"> </w:t>
      </w:r>
      <w:r w:rsidR="00AC4B89">
        <w:rPr>
          <w:rFonts w:cs="FrankRuehl" w:hint="cs"/>
          <w:sz w:val="20"/>
          <w:szCs w:val="22"/>
          <w:rtl/>
        </w:rPr>
        <w:t xml:space="preserve">  </w:t>
      </w:r>
      <w:r w:rsidRPr="00247C05">
        <w:rPr>
          <w:rFonts w:cs="FrankRuehl" w:hint="cs"/>
          <w:sz w:val="20"/>
          <w:szCs w:val="22"/>
          <w:rtl/>
        </w:rPr>
        <w:t>(א)</w:t>
      </w:r>
      <w:r w:rsidR="00AC4B89">
        <w:rPr>
          <w:rFonts w:cs="FrankRuehl" w:hint="cs"/>
          <w:sz w:val="20"/>
          <w:szCs w:val="22"/>
          <w:rtl/>
        </w:rPr>
        <w:t xml:space="preserve"> </w:t>
      </w:r>
      <w:r w:rsidRPr="00247C05">
        <w:rPr>
          <w:rFonts w:cs="FrankRuehl" w:hint="cs"/>
          <w:sz w:val="20"/>
          <w:szCs w:val="22"/>
          <w:rtl/>
        </w:rPr>
        <w:t xml:space="preserve"> </w:t>
      </w:r>
      <w:r w:rsidRPr="00247C05">
        <w:rPr>
          <w:rFonts w:cs="FrankRuehl" w:hint="cs"/>
          <w:b/>
          <w:sz w:val="20"/>
          <w:szCs w:val="22"/>
          <w:rtl/>
        </w:rPr>
        <w:t xml:space="preserve">הקמת </w:t>
      </w:r>
      <w:r w:rsidRPr="00247C05">
        <w:rPr>
          <w:rFonts w:cs="FrankRuehl"/>
          <w:b/>
          <w:sz w:val="20"/>
          <w:szCs w:val="22"/>
          <w:rtl/>
        </w:rPr>
        <w:t xml:space="preserve">בתי משפט </w:t>
      </w:r>
      <w:r w:rsidRPr="00247C05">
        <w:rPr>
          <w:rFonts w:cs="FrankRuehl" w:hint="cs"/>
          <w:b/>
          <w:sz w:val="20"/>
          <w:szCs w:val="22"/>
          <w:rtl/>
        </w:rPr>
        <w:t>עמ</w:t>
      </w:r>
      <w:r w:rsidRPr="00247C05">
        <w:rPr>
          <w:rFonts w:cs="FrankRuehl"/>
          <w:b/>
          <w:sz w:val="20"/>
          <w:szCs w:val="22"/>
          <w:rtl/>
        </w:rPr>
        <w:t>"ק נוספים</w:t>
      </w:r>
      <w:r w:rsidRPr="00247C05">
        <w:rPr>
          <w:rFonts w:cs="FrankRuehl" w:hint="cs"/>
          <w:b/>
          <w:sz w:val="20"/>
          <w:szCs w:val="22"/>
          <w:rtl/>
        </w:rPr>
        <w:t xml:space="preserve"> כדי </w:t>
      </w:r>
      <w:r w:rsidRPr="00247C05">
        <w:rPr>
          <w:rFonts w:cs="FrankRuehl"/>
          <w:b/>
          <w:sz w:val="20"/>
          <w:szCs w:val="22"/>
          <w:rtl/>
        </w:rPr>
        <w:t xml:space="preserve">לשפר את השירות לתושבים </w:t>
      </w:r>
      <w:r w:rsidRPr="00247C05">
        <w:rPr>
          <w:rFonts w:cs="FrankRuehl" w:hint="cs"/>
          <w:b/>
          <w:sz w:val="20"/>
          <w:szCs w:val="22"/>
          <w:rtl/>
        </w:rPr>
        <w:t>שיישפטו</w:t>
      </w:r>
      <w:r w:rsidRPr="00247C05">
        <w:rPr>
          <w:rFonts w:cs="FrankRuehl"/>
          <w:b/>
          <w:sz w:val="20"/>
          <w:szCs w:val="22"/>
          <w:rtl/>
        </w:rPr>
        <w:t xml:space="preserve"> בתחומי יישובם; לייעל את אכיפת החוק בתחום היישוב ולשמש גרעין שיוכל להצמיח במשך הזמן בית משפט שלום</w:t>
      </w:r>
      <w:r w:rsidRPr="00247C05">
        <w:rPr>
          <w:rFonts w:cs="FrankRuehl" w:hint="cs"/>
          <w:b/>
          <w:sz w:val="20"/>
          <w:szCs w:val="22"/>
          <w:rtl/>
        </w:rPr>
        <w:t xml:space="preserve"> -</w:t>
      </w:r>
      <w:r w:rsidRPr="00247C05">
        <w:rPr>
          <w:rFonts w:cs="FrankRuehl"/>
          <w:b/>
          <w:sz w:val="20"/>
          <w:szCs w:val="22"/>
          <w:rtl/>
        </w:rPr>
        <w:t xml:space="preserve"> כל זאת תוך שימת לב לתנאים שיצדיקו את השקעת המשאבים הכרוכים</w:t>
      </w:r>
      <w:r w:rsidRPr="00247C05">
        <w:rPr>
          <w:rFonts w:cs="FrankRuehl" w:hint="cs"/>
          <w:b/>
          <w:sz w:val="20"/>
          <w:szCs w:val="22"/>
          <w:rtl/>
        </w:rPr>
        <w:t xml:space="preserve"> בכך</w:t>
      </w:r>
      <w:r w:rsidRPr="00247C05">
        <w:rPr>
          <w:rFonts w:cs="FrankRuehl"/>
          <w:b/>
          <w:sz w:val="20"/>
          <w:szCs w:val="22"/>
          <w:rtl/>
        </w:rPr>
        <w:t>, ו</w:t>
      </w:r>
      <w:r w:rsidRPr="00247C05">
        <w:rPr>
          <w:rFonts w:cs="FrankRuehl" w:hint="cs"/>
          <w:b/>
          <w:sz w:val="20"/>
          <w:szCs w:val="22"/>
          <w:rtl/>
        </w:rPr>
        <w:t>ל</w:t>
      </w:r>
      <w:r w:rsidRPr="00247C05">
        <w:rPr>
          <w:rFonts w:cs="FrankRuehl"/>
          <w:b/>
          <w:sz w:val="20"/>
          <w:szCs w:val="22"/>
          <w:rtl/>
        </w:rPr>
        <w:t xml:space="preserve">אפשרות לצרף לאזורי </w:t>
      </w:r>
      <w:r w:rsidRPr="00247C05">
        <w:rPr>
          <w:rFonts w:cs="FrankRuehl" w:hint="cs"/>
          <w:b/>
          <w:sz w:val="20"/>
          <w:szCs w:val="22"/>
          <w:rtl/>
        </w:rPr>
        <w:t>ה</w:t>
      </w:r>
      <w:r w:rsidRPr="00247C05">
        <w:rPr>
          <w:rFonts w:cs="FrankRuehl"/>
          <w:b/>
          <w:sz w:val="20"/>
          <w:szCs w:val="22"/>
          <w:rtl/>
        </w:rPr>
        <w:t>שיפוט של בתי המשפט רשויות מקומיות נוספות</w:t>
      </w:r>
      <w:r w:rsidRPr="00247C05">
        <w:rPr>
          <w:rFonts w:cs="FrankRuehl" w:hint="cs"/>
          <w:b/>
          <w:sz w:val="20"/>
          <w:szCs w:val="22"/>
          <w:rtl/>
        </w:rPr>
        <w:t xml:space="preserve">; </w:t>
      </w:r>
      <w:r w:rsidR="00AC4B89">
        <w:rPr>
          <w:rFonts w:cs="FrankRuehl" w:hint="cs"/>
          <w:b/>
          <w:sz w:val="20"/>
          <w:szCs w:val="22"/>
          <w:rtl/>
        </w:rPr>
        <w:t xml:space="preserve">  </w:t>
      </w:r>
      <w:r w:rsidRPr="00247C05">
        <w:rPr>
          <w:rFonts w:cs="FrankRuehl" w:hint="cs"/>
          <w:b/>
          <w:sz w:val="20"/>
          <w:szCs w:val="22"/>
          <w:rtl/>
        </w:rPr>
        <w:t xml:space="preserve">(ב) </w:t>
      </w:r>
      <w:r w:rsidR="00AC4B89">
        <w:rPr>
          <w:rFonts w:cs="FrankRuehl" w:hint="cs"/>
          <w:b/>
          <w:sz w:val="20"/>
          <w:szCs w:val="22"/>
          <w:rtl/>
        </w:rPr>
        <w:t xml:space="preserve"> </w:t>
      </w:r>
      <w:r w:rsidRPr="00247C05">
        <w:rPr>
          <w:rFonts w:cs="FrankRuehl"/>
          <w:b/>
          <w:sz w:val="20"/>
          <w:szCs w:val="22"/>
          <w:rtl/>
        </w:rPr>
        <w:t>הרחב</w:t>
      </w:r>
      <w:r w:rsidRPr="00247C05">
        <w:rPr>
          <w:rFonts w:cs="FrankRuehl" w:hint="cs"/>
          <w:b/>
          <w:sz w:val="20"/>
          <w:szCs w:val="22"/>
          <w:rtl/>
        </w:rPr>
        <w:t>ת</w:t>
      </w:r>
      <w:r w:rsidRPr="00247C05">
        <w:rPr>
          <w:rFonts w:cs="FrankRuehl"/>
          <w:b/>
          <w:sz w:val="20"/>
          <w:szCs w:val="22"/>
          <w:rtl/>
        </w:rPr>
        <w:t xml:space="preserve"> אזור השיפוט של בתי המשפט </w:t>
      </w:r>
      <w:r w:rsidRPr="00247C05">
        <w:rPr>
          <w:rFonts w:cs="FrankRuehl" w:hint="cs"/>
          <w:b/>
          <w:sz w:val="20"/>
          <w:szCs w:val="22"/>
          <w:rtl/>
        </w:rPr>
        <w:t>עמ</w:t>
      </w:r>
      <w:r w:rsidRPr="00247C05">
        <w:rPr>
          <w:rFonts w:cs="FrankRuehl"/>
          <w:b/>
          <w:sz w:val="20"/>
          <w:szCs w:val="22"/>
          <w:rtl/>
        </w:rPr>
        <w:t>"ק כך שיכללו</w:t>
      </w:r>
      <w:r w:rsidRPr="00247C05">
        <w:rPr>
          <w:rFonts w:cs="FrankRuehl" w:hint="cs"/>
          <w:b/>
          <w:sz w:val="20"/>
          <w:szCs w:val="22"/>
          <w:rtl/>
        </w:rPr>
        <w:t xml:space="preserve"> גם</w:t>
      </w:r>
      <w:r w:rsidRPr="00247C05">
        <w:rPr>
          <w:rFonts w:cs="FrankRuehl"/>
          <w:b/>
          <w:sz w:val="20"/>
          <w:szCs w:val="22"/>
          <w:rtl/>
        </w:rPr>
        <w:t xml:space="preserve"> רשויות מקומיות סמוכות</w:t>
      </w:r>
      <w:r w:rsidRPr="00247C05">
        <w:rPr>
          <w:rFonts w:cs="FrankRuehl" w:hint="cs"/>
          <w:b/>
          <w:sz w:val="20"/>
          <w:szCs w:val="22"/>
          <w:rtl/>
        </w:rPr>
        <w:t xml:space="preserve"> -</w:t>
      </w:r>
      <w:r w:rsidRPr="00247C05">
        <w:rPr>
          <w:rFonts w:cs="FrankRuehl"/>
          <w:b/>
          <w:sz w:val="20"/>
          <w:szCs w:val="22"/>
          <w:rtl/>
        </w:rPr>
        <w:t xml:space="preserve"> </w:t>
      </w:r>
      <w:r w:rsidRPr="00247C05">
        <w:rPr>
          <w:rFonts w:cs="FrankRuehl" w:hint="cs"/>
          <w:b/>
          <w:sz w:val="20"/>
          <w:szCs w:val="22"/>
          <w:rtl/>
        </w:rPr>
        <w:t xml:space="preserve">הרחבת אזור השיפוט נועדה ליעל </w:t>
      </w:r>
      <w:r w:rsidRPr="00247C05">
        <w:rPr>
          <w:rFonts w:cs="FrankRuehl"/>
          <w:b/>
          <w:sz w:val="20"/>
          <w:szCs w:val="22"/>
          <w:rtl/>
        </w:rPr>
        <w:t xml:space="preserve">ולהקל על תושבים שעניינם </w:t>
      </w:r>
      <w:r w:rsidRPr="00247C05">
        <w:rPr>
          <w:rFonts w:cs="FrankRuehl" w:hint="cs"/>
          <w:b/>
          <w:sz w:val="20"/>
          <w:szCs w:val="22"/>
          <w:rtl/>
        </w:rPr>
        <w:t>יידון</w:t>
      </w:r>
      <w:r w:rsidRPr="00247C05">
        <w:rPr>
          <w:rFonts w:cs="FrankRuehl"/>
          <w:b/>
          <w:sz w:val="20"/>
          <w:szCs w:val="22"/>
          <w:rtl/>
        </w:rPr>
        <w:t xml:space="preserve"> </w:t>
      </w:r>
      <w:r w:rsidRPr="00247C05">
        <w:rPr>
          <w:rFonts w:cs="FrankRuehl" w:hint="cs"/>
          <w:b/>
          <w:sz w:val="20"/>
          <w:szCs w:val="22"/>
          <w:rtl/>
        </w:rPr>
        <w:t>בבתי</w:t>
      </w:r>
      <w:r w:rsidRPr="00247C05">
        <w:rPr>
          <w:rFonts w:cs="FrankRuehl"/>
          <w:b/>
          <w:sz w:val="20"/>
          <w:szCs w:val="22"/>
          <w:rtl/>
        </w:rPr>
        <w:t xml:space="preserve"> </w:t>
      </w:r>
      <w:r w:rsidRPr="00247C05">
        <w:rPr>
          <w:rFonts w:cs="FrankRuehl" w:hint="cs"/>
          <w:b/>
          <w:sz w:val="20"/>
          <w:szCs w:val="22"/>
          <w:rtl/>
        </w:rPr>
        <w:t>משפט</w:t>
      </w:r>
      <w:r w:rsidRPr="00247C05">
        <w:rPr>
          <w:rFonts w:cs="FrankRuehl"/>
          <w:b/>
          <w:sz w:val="20"/>
          <w:szCs w:val="22"/>
          <w:rtl/>
        </w:rPr>
        <w:t xml:space="preserve"> </w:t>
      </w:r>
      <w:r w:rsidRPr="00247C05">
        <w:rPr>
          <w:rFonts w:cs="FrankRuehl" w:hint="cs"/>
          <w:b/>
          <w:sz w:val="20"/>
          <w:szCs w:val="22"/>
          <w:rtl/>
        </w:rPr>
        <w:t>עמ</w:t>
      </w:r>
      <w:r w:rsidRPr="00247C05">
        <w:rPr>
          <w:rFonts w:cs="FrankRuehl"/>
          <w:b/>
          <w:sz w:val="20"/>
          <w:szCs w:val="22"/>
          <w:rtl/>
        </w:rPr>
        <w:t>"ק</w:t>
      </w:r>
      <w:r w:rsidRPr="00247C05">
        <w:rPr>
          <w:rFonts w:cs="FrankRuehl" w:hint="cs"/>
          <w:b/>
          <w:sz w:val="20"/>
          <w:szCs w:val="22"/>
          <w:rtl/>
        </w:rPr>
        <w:t>,</w:t>
      </w:r>
      <w:r w:rsidRPr="00247C05">
        <w:rPr>
          <w:rFonts w:cs="FrankRuehl"/>
          <w:b/>
          <w:sz w:val="20"/>
          <w:szCs w:val="22"/>
          <w:rtl/>
        </w:rPr>
        <w:t xml:space="preserve"> לסייע לרשות המקומית לפתח את בית המשפט ולהקל על העומס המוטל על בתי משפט השלום</w:t>
      </w:r>
      <w:r w:rsidRPr="00247C05">
        <w:rPr>
          <w:rFonts w:cs="FrankRuehl" w:hint="cs"/>
          <w:b/>
          <w:sz w:val="20"/>
          <w:szCs w:val="22"/>
          <w:rtl/>
        </w:rPr>
        <w:t xml:space="preserve">; </w:t>
      </w:r>
      <w:r w:rsidR="00AC4B89">
        <w:rPr>
          <w:rFonts w:cs="FrankRuehl" w:hint="cs"/>
          <w:b/>
          <w:sz w:val="20"/>
          <w:szCs w:val="22"/>
          <w:rtl/>
        </w:rPr>
        <w:t xml:space="preserve">  </w:t>
      </w:r>
      <w:r w:rsidRPr="00247C05">
        <w:rPr>
          <w:rFonts w:cs="FrankRuehl" w:hint="cs"/>
          <w:b/>
          <w:sz w:val="20"/>
          <w:szCs w:val="22"/>
          <w:rtl/>
        </w:rPr>
        <w:t>(ג)</w:t>
      </w:r>
      <w:r w:rsidR="00AC4B89">
        <w:rPr>
          <w:rFonts w:cs="FrankRuehl" w:hint="cs"/>
          <w:b/>
          <w:sz w:val="20"/>
          <w:szCs w:val="22"/>
          <w:rtl/>
        </w:rPr>
        <w:t xml:space="preserve"> </w:t>
      </w:r>
      <w:r w:rsidRPr="00247C05">
        <w:rPr>
          <w:rFonts w:cs="FrankRuehl" w:hint="cs"/>
          <w:b/>
          <w:sz w:val="20"/>
          <w:szCs w:val="22"/>
          <w:rtl/>
        </w:rPr>
        <w:t xml:space="preserve"> לבחון אם היקף הפעילות של כל אחד מבתי המשפט עמ"ק מצדיק את קיומם הנפרד מבתי משפט השלום. </w:t>
      </w:r>
    </w:p>
    <w:p w:rsidR="003037FB" w:rsidRPr="00247C05" w:rsidP="00AC4B89">
      <w:pPr>
        <w:spacing w:after="120" w:line="224" w:lineRule="exact"/>
        <w:jc w:val="both"/>
        <w:rPr>
          <w:rFonts w:cs="FrankRuehl"/>
          <w:b/>
          <w:sz w:val="20"/>
          <w:szCs w:val="22"/>
          <w:rtl/>
        </w:rPr>
      </w:pPr>
      <w:r w:rsidRPr="00247C05">
        <w:rPr>
          <w:rFonts w:cs="FrankRuehl" w:hint="cs"/>
          <w:b/>
          <w:sz w:val="20"/>
          <w:szCs w:val="22"/>
          <w:rtl/>
        </w:rPr>
        <w:t xml:space="preserve">במישור </w:t>
      </w:r>
      <w:r w:rsidRPr="00247C05">
        <w:rPr>
          <w:rFonts w:cs="FrankRuehl"/>
          <w:b/>
          <w:sz w:val="20"/>
          <w:szCs w:val="22"/>
          <w:rtl/>
        </w:rPr>
        <w:t>הראשו</w:t>
      </w:r>
      <w:r w:rsidRPr="00247C05">
        <w:rPr>
          <w:rFonts w:cs="FrankRuehl" w:hint="cs"/>
          <w:b/>
          <w:sz w:val="20"/>
          <w:szCs w:val="22"/>
          <w:rtl/>
        </w:rPr>
        <w:t>ן -</w:t>
      </w:r>
      <w:r w:rsidRPr="00247C05">
        <w:rPr>
          <w:rFonts w:cs="FrankRuehl"/>
          <w:b/>
          <w:sz w:val="20"/>
          <w:szCs w:val="22"/>
          <w:rtl/>
        </w:rPr>
        <w:t xml:space="preserve"> </w:t>
      </w:r>
      <w:r w:rsidRPr="00247C05">
        <w:rPr>
          <w:rFonts w:cs="FrankRuehl" w:hint="cs"/>
          <w:b/>
          <w:sz w:val="20"/>
          <w:szCs w:val="22"/>
          <w:rtl/>
        </w:rPr>
        <w:t>מאז שהוגש דוח ועדת זמיר בספטמבר 1995 ועד</w:t>
      </w:r>
      <w:r w:rsidRPr="00247C05">
        <w:rPr>
          <w:rFonts w:cs="FrankRuehl"/>
          <w:b/>
          <w:sz w:val="20"/>
          <w:szCs w:val="22"/>
          <w:rtl/>
        </w:rPr>
        <w:t xml:space="preserve"> אוקטובר 2015 לא נוספו </w:t>
      </w:r>
      <w:r w:rsidRPr="00247C05">
        <w:rPr>
          <w:rFonts w:cs="FrankRuehl" w:hint="cs"/>
          <w:b/>
          <w:sz w:val="20"/>
          <w:szCs w:val="22"/>
          <w:rtl/>
        </w:rPr>
        <w:t>בתי</w:t>
      </w:r>
      <w:r w:rsidRPr="00247C05">
        <w:rPr>
          <w:rFonts w:cs="FrankRuehl"/>
          <w:b/>
          <w:sz w:val="20"/>
          <w:szCs w:val="22"/>
          <w:rtl/>
        </w:rPr>
        <w:t xml:space="preserve"> משפט עמ"ק </w:t>
      </w:r>
      <w:r w:rsidRPr="00247C05">
        <w:rPr>
          <w:rFonts w:cs="FrankRuehl" w:hint="cs"/>
          <w:b/>
          <w:sz w:val="20"/>
          <w:szCs w:val="22"/>
          <w:rtl/>
        </w:rPr>
        <w:t>לצו</w:t>
      </w:r>
      <w:r w:rsidRPr="00247C05">
        <w:rPr>
          <w:rFonts w:cs="FrankRuehl"/>
          <w:b/>
          <w:sz w:val="20"/>
          <w:szCs w:val="22"/>
          <w:rtl/>
        </w:rPr>
        <w:t xml:space="preserve"> </w:t>
      </w:r>
      <w:r w:rsidRPr="00247C05">
        <w:rPr>
          <w:rFonts w:cs="FrankRuehl" w:hint="cs"/>
          <w:b/>
          <w:sz w:val="20"/>
          <w:szCs w:val="22"/>
          <w:rtl/>
        </w:rPr>
        <w:t>להקמת</w:t>
      </w:r>
      <w:r w:rsidRPr="00247C05">
        <w:rPr>
          <w:rFonts w:cs="FrankRuehl"/>
          <w:b/>
          <w:sz w:val="20"/>
          <w:szCs w:val="22"/>
          <w:rtl/>
        </w:rPr>
        <w:t xml:space="preserve"> </w:t>
      </w:r>
      <w:r w:rsidRPr="00247C05">
        <w:rPr>
          <w:rFonts w:cs="FrankRuehl" w:hint="cs"/>
          <w:b/>
          <w:sz w:val="20"/>
          <w:szCs w:val="22"/>
          <w:rtl/>
        </w:rPr>
        <w:t>בתי</w:t>
      </w:r>
      <w:r w:rsidRPr="00247C05">
        <w:rPr>
          <w:rFonts w:cs="FrankRuehl"/>
          <w:b/>
          <w:sz w:val="20"/>
          <w:szCs w:val="22"/>
          <w:rtl/>
        </w:rPr>
        <w:t xml:space="preserve"> </w:t>
      </w:r>
      <w:r w:rsidRPr="00247C05">
        <w:rPr>
          <w:rFonts w:cs="FrankRuehl" w:hint="cs"/>
          <w:b/>
          <w:sz w:val="20"/>
          <w:szCs w:val="22"/>
          <w:rtl/>
        </w:rPr>
        <w:t>משפט</w:t>
      </w:r>
      <w:r w:rsidRPr="00247C05">
        <w:rPr>
          <w:rFonts w:cs="FrankRuehl"/>
          <w:b/>
          <w:sz w:val="20"/>
          <w:szCs w:val="22"/>
          <w:rtl/>
        </w:rPr>
        <w:t xml:space="preserve"> </w:t>
      </w:r>
      <w:r w:rsidRPr="00247C05">
        <w:rPr>
          <w:rFonts w:cs="FrankRuehl" w:hint="cs"/>
          <w:b/>
          <w:sz w:val="20"/>
          <w:szCs w:val="22"/>
          <w:rtl/>
        </w:rPr>
        <w:t>עמ</w:t>
      </w:r>
      <w:r w:rsidRPr="00247C05">
        <w:rPr>
          <w:rFonts w:cs="FrankRuehl"/>
          <w:b/>
          <w:sz w:val="20"/>
          <w:szCs w:val="22"/>
          <w:rtl/>
        </w:rPr>
        <w:t xml:space="preserve">"ק. </w:t>
      </w:r>
    </w:p>
    <w:p w:rsidR="003037FB" w:rsidRPr="00247C05" w:rsidP="00AC4B89">
      <w:pPr>
        <w:spacing w:after="240" w:line="224" w:lineRule="exact"/>
        <w:jc w:val="both"/>
        <w:rPr>
          <w:rFonts w:cs="FrankRuehl"/>
          <w:b/>
          <w:sz w:val="20"/>
          <w:szCs w:val="22"/>
          <w:rtl/>
        </w:rPr>
      </w:pPr>
      <w:r w:rsidRPr="00247C05">
        <w:rPr>
          <w:rFonts w:cs="FrankRuehl" w:hint="cs"/>
          <w:b/>
          <w:sz w:val="20"/>
          <w:szCs w:val="22"/>
          <w:rtl/>
        </w:rPr>
        <w:t>במישור השני - בצו הורחבו אזורי השיפוט של כמה בתי משפט עמ"ק ובהם: בתי המשפט בקריית ביאליק; בראשון לציון; בכרמיאל ובחדרה: אזור</w:t>
      </w:r>
      <w:r w:rsidRPr="00247C05">
        <w:rPr>
          <w:rFonts w:cs="FrankRuehl"/>
          <w:b/>
          <w:sz w:val="20"/>
          <w:szCs w:val="22"/>
          <w:rtl/>
        </w:rPr>
        <w:t xml:space="preserve"> השיפוט של </w:t>
      </w:r>
      <w:r w:rsidRPr="00247C05">
        <w:rPr>
          <w:rFonts w:cs="FrankRuehl" w:hint="cs"/>
          <w:b/>
          <w:sz w:val="20"/>
          <w:szCs w:val="22"/>
          <w:rtl/>
        </w:rPr>
        <w:t>במ</w:t>
      </w:r>
      <w:r w:rsidRPr="00247C05">
        <w:rPr>
          <w:rFonts w:cs="FrankRuehl"/>
          <w:b/>
          <w:sz w:val="20"/>
          <w:szCs w:val="22"/>
          <w:rtl/>
        </w:rPr>
        <w:t xml:space="preserve">"ש </w:t>
      </w:r>
      <w:r w:rsidRPr="00247C05">
        <w:rPr>
          <w:rFonts w:cs="FrankRuehl" w:hint="cs"/>
          <w:b/>
          <w:sz w:val="20"/>
          <w:szCs w:val="22"/>
          <w:rtl/>
        </w:rPr>
        <w:t>עמ</w:t>
      </w:r>
      <w:r w:rsidRPr="00247C05">
        <w:rPr>
          <w:rFonts w:cs="FrankRuehl"/>
          <w:b/>
          <w:sz w:val="20"/>
          <w:szCs w:val="22"/>
          <w:rtl/>
        </w:rPr>
        <w:t xml:space="preserve">"ק </w:t>
      </w:r>
      <w:r w:rsidRPr="00247C05">
        <w:rPr>
          <w:rFonts w:cs="FrankRuehl" w:hint="cs"/>
          <w:b/>
          <w:sz w:val="20"/>
          <w:szCs w:val="22"/>
          <w:rtl/>
        </w:rPr>
        <w:t>ב</w:t>
      </w:r>
      <w:r w:rsidRPr="00247C05">
        <w:rPr>
          <w:rFonts w:cs="FrankRuehl"/>
          <w:b/>
          <w:sz w:val="20"/>
          <w:szCs w:val="22"/>
          <w:rtl/>
        </w:rPr>
        <w:t xml:space="preserve">קריית ביאליק כולל </w:t>
      </w:r>
      <w:r w:rsidRPr="00247C05">
        <w:rPr>
          <w:rFonts w:cs="FrankRuehl" w:hint="cs"/>
          <w:b/>
          <w:sz w:val="20"/>
          <w:szCs w:val="22"/>
          <w:rtl/>
        </w:rPr>
        <w:t xml:space="preserve">את </w:t>
      </w:r>
      <w:r w:rsidRPr="00247C05">
        <w:rPr>
          <w:rFonts w:cs="FrankRuehl"/>
          <w:b/>
          <w:sz w:val="20"/>
          <w:szCs w:val="22"/>
          <w:rtl/>
        </w:rPr>
        <w:t xml:space="preserve">תחומי </w:t>
      </w:r>
      <w:r w:rsidRPr="00247C05">
        <w:rPr>
          <w:rFonts w:cs="FrankRuehl" w:hint="cs"/>
          <w:b/>
          <w:sz w:val="20"/>
          <w:szCs w:val="22"/>
          <w:rtl/>
        </w:rPr>
        <w:t>ה</w:t>
      </w:r>
      <w:r w:rsidRPr="00247C05">
        <w:rPr>
          <w:rFonts w:cs="FrankRuehl"/>
          <w:b/>
          <w:sz w:val="20"/>
          <w:szCs w:val="22"/>
          <w:rtl/>
        </w:rPr>
        <w:t xml:space="preserve">שיפוט של עשר רשויות מקומיות; אזורי השיפוט של בתי המשפט </w:t>
      </w:r>
      <w:r w:rsidRPr="00247C05">
        <w:rPr>
          <w:rFonts w:cs="FrankRuehl" w:hint="cs"/>
          <w:b/>
          <w:sz w:val="20"/>
          <w:szCs w:val="22"/>
          <w:rtl/>
        </w:rPr>
        <w:t>עמ</w:t>
      </w:r>
      <w:r w:rsidRPr="00247C05">
        <w:rPr>
          <w:rFonts w:cs="FrankRuehl"/>
          <w:b/>
          <w:sz w:val="20"/>
          <w:szCs w:val="22"/>
          <w:rtl/>
        </w:rPr>
        <w:t>"ק בראשון לציון ובכרמיאל כוללים תחומי שיפוט של שתי רשויות מקומיות</w:t>
      </w:r>
      <w:r>
        <w:rPr>
          <w:rStyle w:val="FootnoteReference"/>
          <w:rFonts w:cs="FrankRuehl"/>
          <w:b/>
          <w:sz w:val="20"/>
          <w:szCs w:val="22"/>
          <w:rtl/>
        </w:rPr>
        <w:footnoteReference w:id="17"/>
      </w:r>
      <w:r w:rsidRPr="00247C05">
        <w:rPr>
          <w:rFonts w:cs="FrankRuehl"/>
          <w:b/>
          <w:sz w:val="20"/>
          <w:szCs w:val="22"/>
          <w:rtl/>
        </w:rPr>
        <w:t xml:space="preserve"> ואזורי השיפוט של </w:t>
      </w:r>
      <w:r w:rsidRPr="00247C05">
        <w:rPr>
          <w:rFonts w:cs="FrankRuehl" w:hint="cs"/>
          <w:b/>
          <w:sz w:val="20"/>
          <w:szCs w:val="22"/>
          <w:rtl/>
        </w:rPr>
        <w:t>במ</w:t>
      </w:r>
      <w:r w:rsidRPr="00247C05">
        <w:rPr>
          <w:rFonts w:cs="FrankRuehl"/>
          <w:b/>
          <w:sz w:val="20"/>
          <w:szCs w:val="22"/>
          <w:rtl/>
        </w:rPr>
        <w:t xml:space="preserve">"ש </w:t>
      </w:r>
      <w:r w:rsidRPr="00247C05">
        <w:rPr>
          <w:rFonts w:cs="FrankRuehl" w:hint="cs"/>
          <w:b/>
          <w:sz w:val="20"/>
          <w:szCs w:val="22"/>
          <w:rtl/>
        </w:rPr>
        <w:t>עמ</w:t>
      </w:r>
      <w:r w:rsidRPr="00247C05">
        <w:rPr>
          <w:rFonts w:cs="FrankRuehl"/>
          <w:b/>
          <w:sz w:val="20"/>
          <w:szCs w:val="22"/>
          <w:rtl/>
        </w:rPr>
        <w:t>"ק חדרה כולל תחומי שיפוט של תשע רשויות מקומיות.</w:t>
      </w:r>
    </w:p>
    <w:p w:rsidR="003037FB" w:rsidRPr="00247C05" w:rsidP="00AC4B89">
      <w:pPr>
        <w:pStyle w:val="RESHET"/>
        <w:keepLines/>
        <w:spacing w:line="224" w:lineRule="exact"/>
        <w:rPr>
          <w:rtl/>
        </w:rPr>
      </w:pPr>
      <w:r w:rsidRPr="00247C05">
        <w:rPr>
          <w:rFonts w:hint="cs"/>
          <w:rtl/>
        </w:rPr>
        <w:t>במישור</w:t>
      </w:r>
      <w:r w:rsidRPr="00247C05">
        <w:rPr>
          <w:rtl/>
        </w:rPr>
        <w:t xml:space="preserve"> השלישי</w:t>
      </w:r>
      <w:r w:rsidRPr="00247C05">
        <w:rPr>
          <w:rFonts w:hint="cs"/>
          <w:rtl/>
        </w:rPr>
        <w:t xml:space="preserve"> - עולה </w:t>
      </w:r>
      <w:r w:rsidRPr="00247C05">
        <w:rPr>
          <w:rtl/>
        </w:rPr>
        <w:t>שהמלצת ועדת זמיר ל</w:t>
      </w:r>
      <w:r w:rsidRPr="00247C05">
        <w:rPr>
          <w:rFonts w:hint="cs"/>
          <w:rtl/>
        </w:rPr>
        <w:t xml:space="preserve">בחון אם </w:t>
      </w:r>
      <w:r w:rsidRPr="00247C05">
        <w:rPr>
          <w:rtl/>
        </w:rPr>
        <w:t>היק</w:t>
      </w:r>
      <w:r w:rsidRPr="00247C05">
        <w:rPr>
          <w:rFonts w:hint="cs"/>
          <w:rtl/>
        </w:rPr>
        <w:t>ף</w:t>
      </w:r>
      <w:r w:rsidRPr="00247C05">
        <w:rPr>
          <w:rtl/>
        </w:rPr>
        <w:t xml:space="preserve"> הפעילות הש</w:t>
      </w:r>
      <w:r w:rsidRPr="00247C05">
        <w:rPr>
          <w:rFonts w:hint="cs"/>
          <w:rtl/>
        </w:rPr>
        <w:t>יפוטית</w:t>
      </w:r>
      <w:r w:rsidRPr="00247C05">
        <w:rPr>
          <w:rtl/>
        </w:rPr>
        <w:t xml:space="preserve"> </w:t>
      </w:r>
      <w:r w:rsidRPr="00247C05">
        <w:rPr>
          <w:rFonts w:hint="cs"/>
          <w:rtl/>
        </w:rPr>
        <w:t xml:space="preserve">של כל אחד מבתי המשפט עמ"ק אכן מצדיק את הקיום הנפרד שלהם מבית משפט השלום, לא בוצעה עד אוקטובר 2015. </w:t>
      </w:r>
    </w:p>
    <w:p w:rsidR="003037FB" w:rsidRPr="00247C05" w:rsidP="00AC4B89">
      <w:pPr>
        <w:spacing w:before="180" w:after="120" w:line="224" w:lineRule="exact"/>
        <w:jc w:val="both"/>
        <w:rPr>
          <w:rFonts w:cs="FrankRuehl"/>
          <w:b/>
          <w:sz w:val="20"/>
          <w:szCs w:val="22"/>
          <w:rtl/>
        </w:rPr>
      </w:pPr>
      <w:r w:rsidRPr="00247C05">
        <w:rPr>
          <w:rFonts w:cs="FrankRuehl" w:hint="cs"/>
          <w:b/>
          <w:sz w:val="20"/>
          <w:szCs w:val="22"/>
          <w:rtl/>
        </w:rPr>
        <w:t>בתשובת הב"ה נכתב כי אף שהנושא מצוי בידה, הוא אינו קשור לחטיבת תפעול ומזכירויות וכי השיקולים הנבחנים בעת הקמת בתי משפט עמ"ק אינם כוללים התייחסות להיקף פעילותם.</w:t>
      </w:r>
    </w:p>
    <w:p w:rsidR="003037FB" w:rsidRPr="00247C05" w:rsidP="00AC4B89">
      <w:pPr>
        <w:spacing w:line="224" w:lineRule="exact"/>
        <w:jc w:val="both"/>
        <w:rPr>
          <w:rFonts w:cs="FrankRuehl"/>
          <w:b/>
          <w:sz w:val="20"/>
          <w:szCs w:val="22"/>
          <w:rtl/>
        </w:rPr>
      </w:pPr>
      <w:r w:rsidRPr="00247C05">
        <w:rPr>
          <w:rFonts w:cs="FrankRuehl" w:hint="cs"/>
          <w:b/>
          <w:sz w:val="20"/>
          <w:szCs w:val="22"/>
          <w:rtl/>
        </w:rPr>
        <w:t>בתרשימים שלהלן הובאו נתונים על מספר ימי שיפוט בממוצע לשנה שנקבעו בהתאם לצורכי בתי המשפט ומספר התיקים הממוצע לשנה</w:t>
      </w:r>
      <w:r>
        <w:rPr>
          <w:rStyle w:val="FootnoteReference"/>
          <w:rFonts w:cs="FrankRuehl"/>
          <w:b/>
          <w:sz w:val="20"/>
          <w:szCs w:val="22"/>
          <w:rtl/>
        </w:rPr>
        <w:footnoteReference w:id="18"/>
      </w:r>
      <w:r w:rsidRPr="00247C05">
        <w:rPr>
          <w:rFonts w:cs="FrankRuehl" w:hint="cs"/>
          <w:b/>
          <w:sz w:val="20"/>
          <w:szCs w:val="22"/>
          <w:rtl/>
        </w:rPr>
        <w:t>.</w:t>
      </w:r>
    </w:p>
    <w:p w:rsidR="003037FB" w:rsidRPr="00247C05" w:rsidP="00AC4B89">
      <w:pPr>
        <w:pStyle w:val="tab-name"/>
        <w:rPr>
          <w:rtl/>
        </w:rPr>
      </w:pPr>
      <w:r w:rsidRPr="00AC4B89">
        <w:rPr>
          <w:rFonts w:hint="cs"/>
          <w:b w:val="0"/>
          <w:bCs w:val="0"/>
          <w:sz w:val="20"/>
          <w:szCs w:val="20"/>
          <w:rtl/>
        </w:rPr>
        <w:t>תרשים 1</w:t>
      </w:r>
      <w:r w:rsidRPr="00AC4B89">
        <w:rPr>
          <w:b w:val="0"/>
          <w:bCs w:val="0"/>
          <w:sz w:val="20"/>
          <w:szCs w:val="20"/>
          <w:rtl/>
        </w:rPr>
        <w:br/>
      </w:r>
      <w:r w:rsidRPr="00247C05">
        <w:rPr>
          <w:rFonts w:hint="cs"/>
          <w:rtl/>
        </w:rPr>
        <w:t>מספר ימי השיפוט בשנה (בממוצע), לפי במ"ש עמ"ק, 2014-2010</w:t>
      </w:r>
    </w:p>
    <w:p w:rsidR="00AC4B89" w:rsidRPr="00247C05" w:rsidP="00040DAE">
      <w:pPr>
        <w:spacing w:after="120" w:line="240" w:lineRule="atLeast"/>
        <w:jc w:val="center"/>
        <w:rPr>
          <w:rFonts w:cs="FrankRuehl"/>
          <w:sz w:val="20"/>
          <w:szCs w:val="22"/>
          <w:rtl/>
        </w:rPr>
      </w:pPr>
      <w:r>
        <w:rPr>
          <w:rFonts w:cs="FrankRuehl"/>
          <w:noProof/>
          <w:sz w:val="20"/>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pt;height:195.5pt">
            <v:imagedata r:id="rId6" o:title="g-226-1"/>
          </v:shape>
        </w:pict>
      </w:r>
    </w:p>
    <w:p w:rsidR="003037FB" w:rsidRPr="00AC4B89" w:rsidP="00AC4B89">
      <w:pPr>
        <w:pStyle w:val="PlainText"/>
        <w:widowControl/>
        <w:spacing w:after="240" w:line="220" w:lineRule="exact"/>
        <w:rPr>
          <w:rFonts w:ascii="Times New Roman" w:hAnsi="Times New Roman" w:cs="FrankRuehl"/>
          <w:noProof/>
          <w:sz w:val="18"/>
          <w:lang w:eastAsia="en-US"/>
        </w:rPr>
      </w:pPr>
      <w:r w:rsidRPr="00AC4B89">
        <w:rPr>
          <w:rFonts w:ascii="Times New Roman" w:hAnsi="Times New Roman" w:cs="FrankRuehl" w:hint="cs"/>
          <w:sz w:val="18"/>
          <w:rtl/>
          <w:lang w:eastAsia="en-US"/>
        </w:rPr>
        <w:t>על פי נתונים שנמסרו בשאלונים של מזכירויות בתי המשפט עמ"ק שבתרשים.</w:t>
      </w:r>
    </w:p>
    <w:p w:rsidR="003037FB" w:rsidRPr="00247C05" w:rsidP="00AC4B89">
      <w:pPr>
        <w:pStyle w:val="tab-name"/>
        <w:rPr>
          <w:rtl/>
        </w:rPr>
      </w:pPr>
      <w:r w:rsidRPr="00AC4B89">
        <w:rPr>
          <w:rFonts w:hint="cs"/>
          <w:b w:val="0"/>
          <w:bCs w:val="0"/>
          <w:sz w:val="20"/>
          <w:szCs w:val="20"/>
          <w:rtl/>
        </w:rPr>
        <w:t>תרשים 2</w:t>
      </w:r>
      <w:r w:rsidRPr="00AC4B89">
        <w:rPr>
          <w:b w:val="0"/>
          <w:bCs w:val="0"/>
          <w:sz w:val="20"/>
          <w:szCs w:val="20"/>
          <w:rtl/>
        </w:rPr>
        <w:br/>
      </w:r>
      <w:r w:rsidRPr="00247C05">
        <w:rPr>
          <w:rFonts w:hint="cs"/>
          <w:rtl/>
        </w:rPr>
        <w:t xml:space="preserve">מספר התיקים שנפתחו </w:t>
      </w:r>
      <w:r w:rsidR="00DC2796">
        <w:rPr>
          <w:rFonts w:hint="cs"/>
          <w:rtl/>
        </w:rPr>
        <w:t>(</w:t>
      </w:r>
      <w:r w:rsidRPr="00247C05">
        <w:rPr>
          <w:rFonts w:hint="cs"/>
          <w:rtl/>
        </w:rPr>
        <w:t>בממוצע</w:t>
      </w:r>
      <w:r w:rsidR="00DC2796">
        <w:rPr>
          <w:rFonts w:hint="cs"/>
          <w:rtl/>
        </w:rPr>
        <w:t>)</w:t>
      </w:r>
      <w:r w:rsidRPr="00247C05">
        <w:rPr>
          <w:rFonts w:hint="cs"/>
          <w:rtl/>
        </w:rPr>
        <w:t xml:space="preserve"> לשנה, 2014-2010</w:t>
      </w:r>
    </w:p>
    <w:p w:rsidR="00AC4B89" w:rsidRPr="00247C05" w:rsidP="00040DAE">
      <w:pPr>
        <w:spacing w:after="120" w:line="240" w:lineRule="atLeast"/>
        <w:jc w:val="center"/>
        <w:rPr>
          <w:rFonts w:cs="FrankRuehl"/>
          <w:b/>
          <w:bCs/>
          <w:sz w:val="20"/>
          <w:szCs w:val="22"/>
          <w:rtl/>
        </w:rPr>
      </w:pPr>
      <w:r>
        <w:rPr>
          <w:rFonts w:cs="FrankRuehl"/>
          <w:noProof/>
          <w:sz w:val="20"/>
          <w:szCs w:val="22"/>
        </w:rPr>
        <w:pict>
          <v:shape id="_x0000_i1026" type="#_x0000_t75" style="width:340pt;height:195.5pt">
            <v:imagedata r:id="rId7" o:title="g-226-2"/>
          </v:shape>
        </w:pict>
      </w:r>
    </w:p>
    <w:p w:rsidR="003037FB" w:rsidRPr="00AC4B89" w:rsidP="00AC4B89">
      <w:pPr>
        <w:pStyle w:val="PlainText"/>
        <w:widowControl/>
        <w:spacing w:after="240" w:line="230" w:lineRule="exact"/>
        <w:rPr>
          <w:rFonts w:ascii="Times New Roman" w:hAnsi="Times New Roman" w:cs="FrankRuehl"/>
          <w:b/>
          <w:sz w:val="18"/>
          <w:rtl/>
          <w:lang w:eastAsia="en-US"/>
        </w:rPr>
      </w:pPr>
      <w:r w:rsidRPr="00AC4B89">
        <w:rPr>
          <w:rFonts w:ascii="Times New Roman" w:hAnsi="Times New Roman" w:cs="FrankRuehl" w:hint="cs"/>
          <w:sz w:val="18"/>
          <w:rtl/>
          <w:lang w:eastAsia="en-US"/>
        </w:rPr>
        <w:t>על פי נתונים שנמסרו בשאלונים של מזכירויות בתי המשפט עמ"ק שבתרשים.</w:t>
      </w:r>
    </w:p>
    <w:p w:rsidR="003037FB" w:rsidRPr="00247C05" w:rsidP="00AC4B89">
      <w:pPr>
        <w:pStyle w:val="RESHET"/>
        <w:keepLines/>
        <w:rPr>
          <w:rtl/>
        </w:rPr>
      </w:pPr>
      <w:r w:rsidRPr="00247C05">
        <w:rPr>
          <w:rFonts w:hint="cs"/>
          <w:rtl/>
        </w:rPr>
        <w:t>מהתרשימים עולה כי יש הבדלים גדולים בהיקפי הפעילות של בתי משפט עמ"ק. להלן דוגמאות.</w:t>
      </w:r>
    </w:p>
    <w:p w:rsidR="003037FB" w:rsidRPr="00247C05" w:rsidP="00AC4B89">
      <w:pPr>
        <w:pStyle w:val="ListParagraph"/>
        <w:numPr>
          <w:ilvl w:val="0"/>
          <w:numId w:val="7"/>
        </w:numPr>
        <w:spacing w:before="180" w:after="120" w:line="230" w:lineRule="exact"/>
        <w:contextualSpacing w:val="0"/>
        <w:jc w:val="both"/>
        <w:rPr>
          <w:rFonts w:ascii="Times New Roman" w:hAnsi="Times New Roman" w:cs="FrankRuehl"/>
          <w:b/>
          <w:sz w:val="20"/>
          <w:rtl/>
        </w:rPr>
      </w:pPr>
      <w:r w:rsidRPr="00247C05">
        <w:rPr>
          <w:rFonts w:ascii="Times New Roman" w:hAnsi="Times New Roman" w:cs="FrankRuehl" w:hint="cs"/>
          <w:b/>
          <w:sz w:val="20"/>
          <w:rtl/>
        </w:rPr>
        <w:t>בתי</w:t>
      </w:r>
      <w:r w:rsidRPr="00247C05">
        <w:rPr>
          <w:rFonts w:ascii="Times New Roman" w:hAnsi="Times New Roman" w:cs="FrankRuehl"/>
          <w:b/>
          <w:sz w:val="20"/>
          <w:rtl/>
        </w:rPr>
        <w:t xml:space="preserve"> המשפט </w:t>
      </w:r>
      <w:r w:rsidRPr="00247C05">
        <w:rPr>
          <w:rFonts w:ascii="Times New Roman" w:hAnsi="Times New Roman" w:cs="FrankRuehl" w:hint="cs"/>
          <w:b/>
          <w:sz w:val="20"/>
          <w:rtl/>
        </w:rPr>
        <w:t>שבהם</w:t>
      </w:r>
      <w:r w:rsidRPr="00247C05">
        <w:rPr>
          <w:rFonts w:ascii="Times New Roman" w:hAnsi="Times New Roman" w:cs="FrankRuehl"/>
          <w:b/>
          <w:sz w:val="20"/>
          <w:rtl/>
        </w:rPr>
        <w:t xml:space="preserve"> נפתח בממוצע </w:t>
      </w:r>
      <w:r w:rsidRPr="00247C05">
        <w:rPr>
          <w:rFonts w:ascii="Times New Roman" w:hAnsi="Times New Roman" w:cs="FrankRuehl" w:hint="cs"/>
          <w:b/>
          <w:sz w:val="20"/>
          <w:rtl/>
        </w:rPr>
        <w:t>מספר</w:t>
      </w:r>
      <w:r w:rsidRPr="00247C05">
        <w:rPr>
          <w:rFonts w:ascii="Times New Roman" w:hAnsi="Times New Roman" w:cs="FrankRuehl"/>
          <w:b/>
          <w:sz w:val="20"/>
          <w:rtl/>
        </w:rPr>
        <w:t xml:space="preserve"> התיקים הגדול ביותר </w:t>
      </w:r>
      <w:r w:rsidRPr="00247C05">
        <w:rPr>
          <w:rFonts w:ascii="Times New Roman" w:hAnsi="Times New Roman" w:cs="FrankRuehl" w:hint="cs"/>
          <w:b/>
          <w:sz w:val="20"/>
          <w:rtl/>
        </w:rPr>
        <w:t xml:space="preserve">לשנה </w:t>
      </w:r>
      <w:r w:rsidRPr="00247C05">
        <w:rPr>
          <w:rFonts w:ascii="Times New Roman" w:hAnsi="Times New Roman" w:cs="FrankRuehl"/>
          <w:b/>
          <w:sz w:val="20"/>
          <w:rtl/>
        </w:rPr>
        <w:t xml:space="preserve">(למעלה מ-11,000 תיקים) </w:t>
      </w:r>
      <w:r w:rsidRPr="00247C05">
        <w:rPr>
          <w:rFonts w:ascii="Times New Roman" w:hAnsi="Times New Roman" w:cs="FrankRuehl" w:hint="cs"/>
          <w:b/>
          <w:sz w:val="20"/>
          <w:rtl/>
        </w:rPr>
        <w:t>הם</w:t>
      </w:r>
      <w:r w:rsidRPr="00247C05">
        <w:rPr>
          <w:rFonts w:ascii="Times New Roman" w:hAnsi="Times New Roman" w:cs="FrankRuehl"/>
          <w:b/>
          <w:sz w:val="20"/>
          <w:rtl/>
        </w:rPr>
        <w:t xml:space="preserve"> </w:t>
      </w:r>
      <w:r w:rsidRPr="00247C05">
        <w:rPr>
          <w:rFonts w:ascii="Times New Roman" w:hAnsi="Times New Roman" w:cs="FrankRuehl" w:hint="cs"/>
          <w:b/>
          <w:sz w:val="20"/>
          <w:rtl/>
        </w:rPr>
        <w:t>בתי</w:t>
      </w:r>
      <w:r w:rsidRPr="00247C05">
        <w:rPr>
          <w:rFonts w:ascii="Times New Roman" w:hAnsi="Times New Roman" w:cs="FrankRuehl"/>
          <w:b/>
          <w:sz w:val="20"/>
          <w:rtl/>
        </w:rPr>
        <w:t xml:space="preserve"> </w:t>
      </w:r>
      <w:r w:rsidRPr="00247C05">
        <w:rPr>
          <w:rFonts w:ascii="Times New Roman" w:hAnsi="Times New Roman" w:cs="FrankRuehl" w:hint="cs"/>
          <w:b/>
          <w:sz w:val="20"/>
          <w:rtl/>
        </w:rPr>
        <w:t>המשפט</w:t>
      </w:r>
      <w:r w:rsidRPr="00247C05">
        <w:rPr>
          <w:rFonts w:ascii="Times New Roman" w:hAnsi="Times New Roman" w:cs="FrankRuehl"/>
          <w:b/>
          <w:sz w:val="20"/>
          <w:rtl/>
        </w:rPr>
        <w:t xml:space="preserve"> ב</w:t>
      </w:r>
      <w:r w:rsidRPr="00247C05">
        <w:rPr>
          <w:rFonts w:ascii="Times New Roman" w:hAnsi="Times New Roman" w:cs="FrankRuehl" w:hint="cs"/>
          <w:b/>
          <w:sz w:val="20"/>
          <w:rtl/>
        </w:rPr>
        <w:t>ירושלים</w:t>
      </w:r>
      <w:r w:rsidRPr="00247C05">
        <w:rPr>
          <w:rFonts w:ascii="Times New Roman" w:hAnsi="Times New Roman" w:cs="FrankRuehl"/>
          <w:b/>
          <w:sz w:val="20"/>
          <w:rtl/>
        </w:rPr>
        <w:t xml:space="preserve">, </w:t>
      </w:r>
      <w:r w:rsidRPr="00247C05">
        <w:rPr>
          <w:rFonts w:ascii="Times New Roman" w:hAnsi="Times New Roman" w:cs="FrankRuehl" w:hint="cs"/>
          <w:b/>
          <w:sz w:val="20"/>
          <w:rtl/>
        </w:rPr>
        <w:t>בתל</w:t>
      </w:r>
      <w:r w:rsidRPr="00247C05">
        <w:rPr>
          <w:rFonts w:ascii="Times New Roman" w:hAnsi="Times New Roman" w:cs="FrankRuehl"/>
          <w:b/>
          <w:sz w:val="20"/>
          <w:rtl/>
        </w:rPr>
        <w:t xml:space="preserve"> </w:t>
      </w:r>
      <w:r w:rsidRPr="00247C05">
        <w:rPr>
          <w:rFonts w:ascii="Times New Roman" w:hAnsi="Times New Roman" w:cs="FrankRuehl" w:hint="cs"/>
          <w:b/>
          <w:sz w:val="20"/>
          <w:rtl/>
        </w:rPr>
        <w:t>אביב</w:t>
      </w:r>
      <w:r w:rsidRPr="00247C05">
        <w:rPr>
          <w:rFonts w:ascii="Times New Roman" w:hAnsi="Times New Roman" w:cs="FrankRuehl"/>
          <w:b/>
          <w:sz w:val="20"/>
          <w:rtl/>
        </w:rPr>
        <w:t xml:space="preserve"> </w:t>
      </w:r>
      <w:r w:rsidRPr="00247C05">
        <w:rPr>
          <w:rFonts w:ascii="Times New Roman" w:hAnsi="Times New Roman" w:cs="FrankRuehl" w:hint="cs"/>
          <w:b/>
          <w:sz w:val="20"/>
          <w:rtl/>
        </w:rPr>
        <w:t>ובחיפה</w:t>
      </w:r>
      <w:r w:rsidRPr="00247C05">
        <w:rPr>
          <w:rFonts w:ascii="Times New Roman" w:hAnsi="Times New Roman" w:cs="FrankRuehl"/>
          <w:b/>
          <w:sz w:val="20"/>
          <w:rtl/>
        </w:rPr>
        <w:t xml:space="preserve">. </w:t>
      </w:r>
      <w:r w:rsidRPr="00247C05">
        <w:rPr>
          <w:rFonts w:ascii="Times New Roman" w:hAnsi="Times New Roman" w:cs="FrankRuehl" w:hint="cs"/>
          <w:b/>
          <w:sz w:val="20"/>
          <w:rtl/>
        </w:rPr>
        <w:t>מספר</w:t>
      </w:r>
      <w:r w:rsidRPr="00247C05">
        <w:rPr>
          <w:rFonts w:ascii="Times New Roman" w:hAnsi="Times New Roman" w:cs="FrankRuehl"/>
          <w:b/>
          <w:sz w:val="20"/>
          <w:rtl/>
        </w:rPr>
        <w:t xml:space="preserve"> ימי השיפוט שהוקצו </w:t>
      </w:r>
      <w:r w:rsidRPr="00247C05">
        <w:rPr>
          <w:rFonts w:ascii="Times New Roman" w:hAnsi="Times New Roman" w:cs="FrankRuehl" w:hint="cs"/>
          <w:b/>
          <w:sz w:val="20"/>
          <w:rtl/>
        </w:rPr>
        <w:t>לבתי</w:t>
      </w:r>
      <w:r w:rsidRPr="00247C05">
        <w:rPr>
          <w:rFonts w:ascii="Times New Roman" w:hAnsi="Times New Roman" w:cs="FrankRuehl"/>
          <w:b/>
          <w:sz w:val="20"/>
          <w:rtl/>
        </w:rPr>
        <w:t xml:space="preserve"> משפט אלה </w:t>
      </w:r>
      <w:r w:rsidRPr="00247C05">
        <w:rPr>
          <w:rFonts w:ascii="Times New Roman" w:hAnsi="Times New Roman" w:cs="FrankRuehl" w:hint="cs"/>
          <w:b/>
          <w:sz w:val="20"/>
          <w:rtl/>
        </w:rPr>
        <w:t>היה</w:t>
      </w:r>
      <w:r w:rsidRPr="00247C05">
        <w:rPr>
          <w:rFonts w:ascii="Times New Roman" w:hAnsi="Times New Roman" w:cs="FrankRuehl"/>
          <w:b/>
          <w:sz w:val="20"/>
          <w:rtl/>
        </w:rPr>
        <w:t xml:space="preserve"> </w:t>
      </w:r>
      <w:r w:rsidRPr="00247C05">
        <w:rPr>
          <w:rFonts w:ascii="Times New Roman" w:hAnsi="Times New Roman" w:cs="FrankRuehl" w:hint="cs"/>
          <w:b/>
          <w:sz w:val="20"/>
          <w:rtl/>
        </w:rPr>
        <w:t>בין</w:t>
      </w:r>
      <w:r w:rsidRPr="00247C05">
        <w:rPr>
          <w:rFonts w:ascii="Times New Roman" w:hAnsi="Times New Roman" w:cs="FrankRuehl"/>
          <w:b/>
          <w:sz w:val="20"/>
          <w:rtl/>
        </w:rPr>
        <w:t xml:space="preserve"> </w:t>
      </w:r>
      <w:r w:rsidRPr="00247C05">
        <w:rPr>
          <w:rFonts w:ascii="Times New Roman" w:hAnsi="Times New Roman" w:cs="FrankRuehl" w:hint="cs"/>
          <w:b/>
          <w:sz w:val="20"/>
          <w:rtl/>
        </w:rPr>
        <w:t>כ-220</w:t>
      </w:r>
      <w:r w:rsidRPr="00247C05">
        <w:rPr>
          <w:rFonts w:ascii="Times New Roman" w:hAnsi="Times New Roman" w:cs="FrankRuehl"/>
          <w:b/>
          <w:sz w:val="20"/>
          <w:rtl/>
        </w:rPr>
        <w:t xml:space="preserve"> </w:t>
      </w:r>
      <w:r w:rsidRPr="00247C05">
        <w:rPr>
          <w:rFonts w:ascii="Times New Roman" w:hAnsi="Times New Roman" w:cs="FrankRuehl" w:hint="cs"/>
          <w:b/>
          <w:sz w:val="20"/>
          <w:rtl/>
        </w:rPr>
        <w:t>ימים</w:t>
      </w:r>
      <w:r w:rsidRPr="00247C05">
        <w:rPr>
          <w:rFonts w:ascii="Times New Roman" w:hAnsi="Times New Roman" w:cs="FrankRuehl"/>
          <w:b/>
          <w:sz w:val="20"/>
          <w:rtl/>
        </w:rPr>
        <w:t xml:space="preserve"> </w:t>
      </w:r>
      <w:r w:rsidRPr="00247C05">
        <w:rPr>
          <w:rFonts w:ascii="Times New Roman" w:hAnsi="Times New Roman" w:cs="FrankRuehl" w:hint="cs"/>
          <w:b/>
          <w:sz w:val="20"/>
          <w:rtl/>
        </w:rPr>
        <w:t>לכ-</w:t>
      </w:r>
      <w:r w:rsidRPr="00247C05">
        <w:rPr>
          <w:rFonts w:ascii="Times New Roman" w:hAnsi="Times New Roman" w:cs="FrankRuehl"/>
          <w:b/>
          <w:sz w:val="20"/>
          <w:rtl/>
        </w:rPr>
        <w:t>6</w:t>
      </w:r>
      <w:r w:rsidRPr="00247C05">
        <w:rPr>
          <w:rFonts w:ascii="Times New Roman" w:hAnsi="Times New Roman" w:cs="FrankRuehl" w:hint="cs"/>
          <w:b/>
          <w:sz w:val="20"/>
          <w:rtl/>
        </w:rPr>
        <w:t>5</w:t>
      </w:r>
      <w:r w:rsidRPr="00247C05">
        <w:rPr>
          <w:rFonts w:ascii="Times New Roman" w:hAnsi="Times New Roman" w:cs="FrankRuehl"/>
          <w:b/>
          <w:sz w:val="20"/>
          <w:rtl/>
        </w:rPr>
        <w:t xml:space="preserve">0 </w:t>
      </w:r>
      <w:r w:rsidRPr="00247C05">
        <w:rPr>
          <w:rFonts w:ascii="Times New Roman" w:hAnsi="Times New Roman" w:cs="FrankRuehl" w:hint="cs"/>
          <w:b/>
          <w:sz w:val="20"/>
          <w:rtl/>
        </w:rPr>
        <w:t>ימים בממוצע</w:t>
      </w:r>
      <w:r w:rsidRPr="00247C05">
        <w:rPr>
          <w:rFonts w:ascii="Times New Roman" w:hAnsi="Times New Roman" w:cs="FrankRuehl"/>
          <w:b/>
          <w:sz w:val="20"/>
          <w:rtl/>
        </w:rPr>
        <w:t>.</w:t>
      </w:r>
      <w:r w:rsidRPr="00247C05">
        <w:rPr>
          <w:rFonts w:ascii="Times New Roman" w:hAnsi="Times New Roman" w:cs="FrankRuehl" w:hint="cs"/>
          <w:b/>
          <w:sz w:val="20"/>
          <w:rtl/>
        </w:rPr>
        <w:t xml:space="preserve"> </w:t>
      </w:r>
    </w:p>
    <w:p w:rsidR="003037FB" w:rsidRPr="00DC2796" w:rsidP="00AC4B89">
      <w:pPr>
        <w:pStyle w:val="ListParagraph"/>
        <w:numPr>
          <w:ilvl w:val="0"/>
          <w:numId w:val="7"/>
        </w:numPr>
        <w:spacing w:after="240" w:line="230" w:lineRule="exact"/>
        <w:contextualSpacing w:val="0"/>
        <w:jc w:val="both"/>
        <w:rPr>
          <w:rFonts w:ascii="Times New Roman" w:hAnsi="Times New Roman" w:cs="FrankRuehl"/>
          <w:b/>
          <w:spacing w:val="-2"/>
          <w:sz w:val="20"/>
        </w:rPr>
      </w:pPr>
      <w:r w:rsidRPr="00DC2796">
        <w:rPr>
          <w:rFonts w:ascii="Times New Roman" w:hAnsi="Times New Roman" w:cs="FrankRuehl" w:hint="cs"/>
          <w:b/>
          <w:spacing w:val="-2"/>
          <w:sz w:val="20"/>
          <w:rtl/>
        </w:rPr>
        <w:t>בשלושה בתי</w:t>
      </w:r>
      <w:r w:rsidRPr="00DC2796">
        <w:rPr>
          <w:rFonts w:ascii="Times New Roman" w:hAnsi="Times New Roman" w:cs="FrankRuehl"/>
          <w:b/>
          <w:spacing w:val="-2"/>
          <w:sz w:val="20"/>
          <w:rtl/>
        </w:rPr>
        <w:t xml:space="preserve"> משפט נפתח מספר </w:t>
      </w:r>
      <w:r w:rsidRPr="00DC2796">
        <w:rPr>
          <w:rFonts w:ascii="Times New Roman" w:hAnsi="Times New Roman" w:cs="FrankRuehl" w:hint="cs"/>
          <w:b/>
          <w:spacing w:val="-2"/>
          <w:sz w:val="20"/>
          <w:rtl/>
        </w:rPr>
        <w:t>ה</w:t>
      </w:r>
      <w:r w:rsidRPr="00DC2796">
        <w:rPr>
          <w:rFonts w:ascii="Times New Roman" w:hAnsi="Times New Roman" w:cs="FrankRuehl"/>
          <w:b/>
          <w:spacing w:val="-2"/>
          <w:sz w:val="20"/>
          <w:rtl/>
        </w:rPr>
        <w:t>תיקים הקטן ביותר בממוצע בשנה (</w:t>
      </w:r>
      <w:r w:rsidRPr="00DC2796">
        <w:rPr>
          <w:rFonts w:ascii="Times New Roman" w:hAnsi="Times New Roman" w:cs="FrankRuehl" w:hint="cs"/>
          <w:b/>
          <w:spacing w:val="-2"/>
          <w:sz w:val="20"/>
          <w:rtl/>
        </w:rPr>
        <w:t>פחות</w:t>
      </w:r>
      <w:r w:rsidRPr="00DC2796">
        <w:rPr>
          <w:rFonts w:ascii="Times New Roman" w:hAnsi="Times New Roman" w:cs="FrankRuehl"/>
          <w:b/>
          <w:spacing w:val="-2"/>
          <w:sz w:val="20"/>
          <w:rtl/>
        </w:rPr>
        <w:t xml:space="preserve"> מ-1,000 תיקים)</w:t>
      </w:r>
      <w:r w:rsidRPr="00DC2796">
        <w:rPr>
          <w:rFonts w:ascii="Times New Roman" w:hAnsi="Times New Roman" w:cs="FrankRuehl" w:hint="cs"/>
          <w:b/>
          <w:spacing w:val="-2"/>
          <w:sz w:val="20"/>
          <w:rtl/>
        </w:rPr>
        <w:t>.</w:t>
      </w:r>
      <w:r w:rsidRPr="00DC2796">
        <w:rPr>
          <w:rFonts w:ascii="Times New Roman" w:hAnsi="Times New Roman" w:cs="FrankRuehl"/>
          <w:b/>
          <w:spacing w:val="-2"/>
          <w:sz w:val="20"/>
          <w:rtl/>
        </w:rPr>
        <w:t xml:space="preserve"> </w:t>
      </w:r>
      <w:r w:rsidRPr="00DC2796">
        <w:rPr>
          <w:rFonts w:ascii="Times New Roman" w:hAnsi="Times New Roman" w:cs="FrankRuehl" w:hint="cs"/>
          <w:b/>
          <w:spacing w:val="-2"/>
          <w:sz w:val="20"/>
          <w:rtl/>
        </w:rPr>
        <w:t xml:space="preserve">מספר ימי השיפוט שהוקצו לשלושת בתי משפט אלה היה בין כ-10 ימים לכ-24 ימים בממוצע. </w:t>
      </w:r>
    </w:p>
    <w:p w:rsidR="003037FB" w:rsidRPr="00247C05" w:rsidP="00AC4B89">
      <w:pPr>
        <w:pStyle w:val="RESHET"/>
        <w:keepLines/>
        <w:rPr>
          <w:rtl/>
        </w:rPr>
      </w:pPr>
      <w:r w:rsidRPr="00247C05">
        <w:rPr>
          <w:rFonts w:hint="cs"/>
          <w:rtl/>
        </w:rPr>
        <w:t xml:space="preserve">משרד מבקר המדינה מעיר, כי בשל </w:t>
      </w:r>
      <w:r w:rsidRPr="00247C05">
        <w:rPr>
          <w:rtl/>
        </w:rPr>
        <w:t xml:space="preserve">ההבדלים המובנים </w:t>
      </w:r>
      <w:r w:rsidRPr="00247C05">
        <w:rPr>
          <w:rFonts w:hint="cs"/>
          <w:rtl/>
        </w:rPr>
        <w:t>ש</w:t>
      </w:r>
      <w:r w:rsidRPr="00247C05">
        <w:rPr>
          <w:rtl/>
        </w:rPr>
        <w:t>בין גודלן של הרשויות</w:t>
      </w:r>
      <w:r w:rsidRPr="00247C05">
        <w:rPr>
          <w:rFonts w:hint="cs"/>
          <w:rtl/>
        </w:rPr>
        <w:t>,</w:t>
      </w:r>
      <w:r w:rsidRPr="00247C05">
        <w:rPr>
          <w:rtl/>
        </w:rPr>
        <w:t xml:space="preserve"> היק</w:t>
      </w:r>
      <w:r w:rsidRPr="00247C05">
        <w:rPr>
          <w:rFonts w:hint="cs"/>
          <w:rtl/>
        </w:rPr>
        <w:t>ף</w:t>
      </w:r>
      <w:r w:rsidRPr="00247C05">
        <w:rPr>
          <w:rtl/>
        </w:rPr>
        <w:t xml:space="preserve"> הפעילות הש</w:t>
      </w:r>
      <w:r w:rsidRPr="00247C05">
        <w:rPr>
          <w:rFonts w:hint="cs"/>
          <w:rtl/>
        </w:rPr>
        <w:t>יפוטית</w:t>
      </w:r>
      <w:r w:rsidRPr="00247C05">
        <w:rPr>
          <w:rtl/>
        </w:rPr>
        <w:t xml:space="preserve"> </w:t>
      </w:r>
      <w:r w:rsidRPr="00247C05">
        <w:rPr>
          <w:rFonts w:hint="cs"/>
          <w:rtl/>
        </w:rPr>
        <w:t>ש</w:t>
      </w:r>
      <w:r w:rsidRPr="00247C05">
        <w:rPr>
          <w:rtl/>
        </w:rPr>
        <w:t xml:space="preserve">בהן </w:t>
      </w:r>
      <w:r w:rsidRPr="00247C05">
        <w:rPr>
          <w:rFonts w:hint="cs"/>
          <w:rtl/>
        </w:rPr>
        <w:t>וההבדלים הגדולים</w:t>
      </w:r>
      <w:r w:rsidRPr="00247C05">
        <w:rPr>
          <w:rtl/>
        </w:rPr>
        <w:t xml:space="preserve"> </w:t>
      </w:r>
      <w:r w:rsidRPr="00247C05">
        <w:rPr>
          <w:rFonts w:hint="cs"/>
          <w:rtl/>
        </w:rPr>
        <w:t>בנתוני</w:t>
      </w:r>
      <w:r w:rsidRPr="00247C05">
        <w:rPr>
          <w:rtl/>
        </w:rPr>
        <w:t xml:space="preserve"> הפעילות</w:t>
      </w:r>
      <w:r w:rsidRPr="00247C05">
        <w:rPr>
          <w:rFonts w:hint="cs"/>
          <w:rtl/>
        </w:rPr>
        <w:t xml:space="preserve"> שלהם - ראוי שהנהלת בתי המשפט תבדוק את היקפי הפעילות המעודכנים של בתי המשפט עמ"ק, ותגבש מסקנות בשאלה</w:t>
      </w:r>
      <w:r w:rsidRPr="00247C05">
        <w:rPr>
          <w:rtl/>
        </w:rPr>
        <w:t xml:space="preserve"> </w:t>
      </w:r>
      <w:r w:rsidRPr="00247C05">
        <w:rPr>
          <w:rFonts w:hint="cs"/>
          <w:rtl/>
        </w:rPr>
        <w:t xml:space="preserve">של הצדקת </w:t>
      </w:r>
      <w:r w:rsidRPr="00247C05">
        <w:rPr>
          <w:rtl/>
        </w:rPr>
        <w:t xml:space="preserve">קיומם הנפרד </w:t>
      </w:r>
      <w:r w:rsidRPr="00247C05">
        <w:rPr>
          <w:rFonts w:hint="cs"/>
          <w:rtl/>
        </w:rPr>
        <w:t>מבתי</w:t>
      </w:r>
      <w:r w:rsidRPr="00247C05">
        <w:rPr>
          <w:rtl/>
        </w:rPr>
        <w:t xml:space="preserve"> משפט השלום</w:t>
      </w:r>
      <w:r w:rsidRPr="00247C05">
        <w:rPr>
          <w:rFonts w:hint="cs"/>
          <w:rtl/>
        </w:rPr>
        <w:t xml:space="preserve"> או הצורך באיחוד של חלקם. </w:t>
      </w:r>
    </w:p>
    <w:p w:rsidR="003037FB" w:rsidP="00040DAE">
      <w:pPr>
        <w:spacing w:after="120" w:line="230" w:lineRule="exact"/>
        <w:jc w:val="both"/>
        <w:rPr>
          <w:rFonts w:cs="FrankRuehl"/>
          <w:bCs/>
          <w:sz w:val="20"/>
          <w:szCs w:val="22"/>
          <w:rtl/>
        </w:rPr>
      </w:pPr>
    </w:p>
    <w:p w:rsidR="00AC4B89" w:rsidRPr="00247C05" w:rsidP="00040DAE">
      <w:pPr>
        <w:spacing w:after="120" w:line="230" w:lineRule="exact"/>
        <w:jc w:val="both"/>
        <w:rPr>
          <w:rFonts w:cs="FrankRuehl"/>
          <w:bCs/>
          <w:sz w:val="20"/>
          <w:szCs w:val="22"/>
          <w:rtl/>
        </w:rPr>
      </w:pPr>
    </w:p>
    <w:p w:rsidR="003037FB" w:rsidRPr="00A45E9A" w:rsidP="00040DAE">
      <w:pPr>
        <w:pStyle w:val="KOT4"/>
        <w:rPr>
          <w:rtl/>
        </w:rPr>
      </w:pPr>
      <w:r w:rsidRPr="00A45E9A">
        <w:rPr>
          <w:rFonts w:hint="cs"/>
          <w:rtl/>
        </w:rPr>
        <w:t xml:space="preserve">התאמת פעילותם של בתי המשפט עמ"ק לצו </w:t>
      </w:r>
    </w:p>
    <w:p w:rsidR="003037FB" w:rsidRPr="00247C05" w:rsidP="00AC4B89">
      <w:pPr>
        <w:spacing w:after="240" w:line="230" w:lineRule="exact"/>
        <w:jc w:val="both"/>
        <w:rPr>
          <w:rFonts w:cs="FrankRuehl"/>
          <w:sz w:val="20"/>
          <w:szCs w:val="22"/>
          <w:rtl/>
        </w:rPr>
      </w:pPr>
      <w:r w:rsidRPr="00247C05">
        <w:rPr>
          <w:rFonts w:cs="FrankRuehl" w:hint="cs"/>
          <w:b/>
          <w:sz w:val="20"/>
          <w:szCs w:val="22"/>
          <w:rtl/>
        </w:rPr>
        <w:t xml:space="preserve">צו בתי המשפט קובע שני הסדרים המסמיכים את בתי המשפט לדון בעניינים מקומיים: </w:t>
      </w:r>
      <w:r w:rsidRPr="00247C05">
        <w:rPr>
          <w:rFonts w:cs="FrankRuehl" w:hint="cs"/>
          <w:sz w:val="20"/>
          <w:szCs w:val="22"/>
          <w:rtl/>
        </w:rPr>
        <w:t>ההסדר</w:t>
      </w:r>
      <w:r w:rsidRPr="00247C05">
        <w:rPr>
          <w:rFonts w:cs="FrankRuehl"/>
          <w:sz w:val="20"/>
          <w:szCs w:val="22"/>
          <w:rtl/>
        </w:rPr>
        <w:t xml:space="preserve"> </w:t>
      </w:r>
      <w:r w:rsidRPr="00247C05">
        <w:rPr>
          <w:rFonts w:cs="FrankRuehl" w:hint="cs"/>
          <w:sz w:val="20"/>
          <w:szCs w:val="22"/>
          <w:rtl/>
        </w:rPr>
        <w:t>הראשון בצו הקים כאמור 15 בתי משפט עמ"ק שפעילותם נעשית באופן אוטונומי. ההסדר</w:t>
      </w:r>
      <w:r w:rsidRPr="00247C05">
        <w:rPr>
          <w:rFonts w:cs="FrankRuehl"/>
          <w:sz w:val="20"/>
          <w:szCs w:val="22"/>
          <w:rtl/>
        </w:rPr>
        <w:t xml:space="preserve"> </w:t>
      </w:r>
      <w:r w:rsidRPr="00247C05">
        <w:rPr>
          <w:rFonts w:cs="FrankRuehl" w:hint="cs"/>
          <w:sz w:val="20"/>
          <w:szCs w:val="22"/>
          <w:rtl/>
        </w:rPr>
        <w:t xml:space="preserve">השני בצו הסמיך שלושה בתי משפט שלום </w:t>
      </w:r>
      <w:r w:rsidRPr="00247C05">
        <w:rPr>
          <w:rFonts w:cs="FrankRuehl"/>
          <w:sz w:val="20"/>
          <w:szCs w:val="22"/>
          <w:rtl/>
        </w:rPr>
        <w:t>ל</w:t>
      </w:r>
      <w:r w:rsidRPr="00247C05">
        <w:rPr>
          <w:rFonts w:cs="FrankRuehl" w:hint="cs"/>
          <w:sz w:val="20"/>
          <w:szCs w:val="22"/>
          <w:rtl/>
        </w:rPr>
        <w:t xml:space="preserve">שבת </w:t>
      </w:r>
      <w:r w:rsidRPr="00247C05">
        <w:rPr>
          <w:rFonts w:cs="FrankRuehl"/>
          <w:sz w:val="20"/>
          <w:szCs w:val="22"/>
          <w:rtl/>
        </w:rPr>
        <w:t>כבתי משפט לענ</w:t>
      </w:r>
      <w:r w:rsidRPr="00247C05">
        <w:rPr>
          <w:rFonts w:cs="FrankRuehl" w:hint="cs"/>
          <w:sz w:val="20"/>
          <w:szCs w:val="22"/>
          <w:rtl/>
        </w:rPr>
        <w:t>י</w:t>
      </w:r>
      <w:r w:rsidRPr="00247C05">
        <w:rPr>
          <w:rFonts w:cs="FrankRuehl"/>
          <w:sz w:val="20"/>
          <w:szCs w:val="22"/>
          <w:rtl/>
        </w:rPr>
        <w:t>ינים מקומיים</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לגבי שני ההסדרים, נקבעו בצו אזורי השיפוט של בתי המשפט.</w:t>
      </w:r>
    </w:p>
    <w:p w:rsidR="003037FB" w:rsidRPr="00247C05" w:rsidP="00AC4B89">
      <w:pPr>
        <w:pStyle w:val="RESHET"/>
        <w:keepLines/>
      </w:pPr>
      <w:r w:rsidRPr="00247C05">
        <w:rPr>
          <w:rFonts w:hint="cs"/>
          <w:rtl/>
        </w:rPr>
        <w:t>משרד</w:t>
      </w:r>
      <w:r w:rsidRPr="00247C05">
        <w:rPr>
          <w:rtl/>
        </w:rPr>
        <w:t xml:space="preserve"> מבקר המדינה בדק אם בתי המשפט פועלים בהתאם ל</w:t>
      </w:r>
      <w:r w:rsidRPr="00247C05">
        <w:rPr>
          <w:rFonts w:hint="cs"/>
          <w:rtl/>
        </w:rPr>
        <w:t>הסמכה</w:t>
      </w:r>
      <w:r w:rsidRPr="00247C05">
        <w:rPr>
          <w:rtl/>
        </w:rPr>
        <w:t xml:space="preserve"> שנקבעה בצו </w:t>
      </w:r>
      <w:r w:rsidRPr="00247C05">
        <w:rPr>
          <w:rFonts w:hint="cs"/>
          <w:rtl/>
        </w:rPr>
        <w:t xml:space="preserve">להקמת בתי משפט עמ"ק. </w:t>
      </w:r>
      <w:r w:rsidRPr="00247C05">
        <w:rPr>
          <w:rtl/>
        </w:rPr>
        <w:t xml:space="preserve">נמצא חוסר התאמה בין פעילותם של שלושת בתי משפט </w:t>
      </w:r>
      <w:r w:rsidRPr="00247C05">
        <w:rPr>
          <w:rFonts w:hint="cs"/>
          <w:rtl/>
        </w:rPr>
        <w:t>שלום שהוסמכו בצו לשבת גם כבתי משפט עמ"ק ו</w:t>
      </w:r>
      <w:r w:rsidRPr="00247C05">
        <w:rPr>
          <w:rFonts w:hint="eastAsia"/>
          <w:rtl/>
        </w:rPr>
        <w:t>בין</w:t>
      </w:r>
      <w:r w:rsidRPr="00247C05">
        <w:rPr>
          <w:rtl/>
        </w:rPr>
        <w:t xml:space="preserve"> הנדרש </w:t>
      </w:r>
      <w:r w:rsidRPr="00247C05">
        <w:rPr>
          <w:rFonts w:hint="cs"/>
          <w:rtl/>
        </w:rPr>
        <w:t>ל</w:t>
      </w:r>
      <w:r w:rsidRPr="00247C05">
        <w:rPr>
          <w:rtl/>
        </w:rPr>
        <w:t>פי</w:t>
      </w:r>
      <w:r w:rsidRPr="00247C05">
        <w:rPr>
          <w:rFonts w:hint="cs"/>
          <w:rtl/>
        </w:rPr>
        <w:t>ו</w:t>
      </w:r>
      <w:r w:rsidRPr="00247C05">
        <w:rPr>
          <w:rtl/>
        </w:rPr>
        <w:t xml:space="preserve"> כמפורט להלן: </w:t>
      </w:r>
    </w:p>
    <w:p w:rsidR="003037FB" w:rsidRPr="00247C05" w:rsidP="00AC4B89">
      <w:pPr>
        <w:pStyle w:val="ListParagraph"/>
        <w:numPr>
          <w:ilvl w:val="0"/>
          <w:numId w:val="14"/>
        </w:numPr>
        <w:spacing w:before="180" w:after="240" w:line="230" w:lineRule="exact"/>
        <w:contextualSpacing w:val="0"/>
        <w:jc w:val="both"/>
        <w:rPr>
          <w:rFonts w:ascii="Times New Roman" w:hAnsi="Times New Roman" w:cs="FrankRuehl"/>
          <w:b/>
          <w:sz w:val="20"/>
        </w:rPr>
      </w:pPr>
      <w:r w:rsidRPr="00EC77C1">
        <w:rPr>
          <w:rStyle w:val="Heading5Char"/>
          <w:rFonts w:ascii="Times New Roman" w:hAnsi="Times New Roman" w:cs="FrankRuehl" w:hint="cs"/>
          <w:spacing w:val="40"/>
          <w:sz w:val="20"/>
          <w:szCs w:val="22"/>
          <w:rtl/>
        </w:rPr>
        <w:t>בית המשפט עמ"ק ברמת גן:</w:t>
      </w:r>
      <w:r w:rsidRPr="00247C05">
        <w:rPr>
          <w:rFonts w:ascii="Times New Roman" w:hAnsi="Times New Roman" w:cs="FrankRuehl" w:hint="cs"/>
          <w:b/>
          <w:sz w:val="20"/>
          <w:rtl/>
        </w:rPr>
        <w:t xml:space="preserve"> הצו קובע כי בית משפט השלום בתל אביב מוסמך לשבת כבית משפט עמ"ק, ואזור השיפוט שנקבע לו הוא של רמת גן. </w:t>
      </w:r>
    </w:p>
    <w:p w:rsidR="003037FB" w:rsidRPr="000E20E3" w:rsidP="000E20E3">
      <w:pPr>
        <w:pStyle w:val="RESHET"/>
        <w:keepLines/>
        <w:ind w:left="567"/>
        <w:rPr>
          <w:rtl/>
        </w:rPr>
      </w:pPr>
      <w:r w:rsidRPr="00247C05">
        <w:rPr>
          <w:rFonts w:hint="cs"/>
          <w:rtl/>
        </w:rPr>
        <w:t>נמצא</w:t>
      </w:r>
      <w:r w:rsidRPr="00247C05">
        <w:rPr>
          <w:rtl/>
        </w:rPr>
        <w:t xml:space="preserve">, </w:t>
      </w:r>
      <w:r w:rsidRPr="00247C05">
        <w:rPr>
          <w:rFonts w:hint="cs"/>
          <w:rtl/>
        </w:rPr>
        <w:t>כי</w:t>
      </w:r>
      <w:r w:rsidRPr="00247C05">
        <w:rPr>
          <w:rtl/>
        </w:rPr>
        <w:t xml:space="preserve"> בית משפט השלום בתל אביב אינו מטפל בתיקי </w:t>
      </w:r>
      <w:r w:rsidRPr="00247C05">
        <w:rPr>
          <w:rFonts w:hint="cs"/>
          <w:rtl/>
        </w:rPr>
        <w:t>עמ</w:t>
      </w:r>
      <w:r w:rsidRPr="00247C05">
        <w:rPr>
          <w:rtl/>
        </w:rPr>
        <w:t>"ק של רמת גן</w:t>
      </w:r>
      <w:r w:rsidRPr="00247C05">
        <w:rPr>
          <w:rFonts w:hint="cs"/>
          <w:rtl/>
        </w:rPr>
        <w:t xml:space="preserve"> כלל, ותיקים אלו מטופלים בבמ"ש עמ"ק נפרד השוכן בעיר רמת גן</w:t>
      </w:r>
      <w:r w:rsidRPr="00247C05">
        <w:rPr>
          <w:rtl/>
        </w:rPr>
        <w:t xml:space="preserve">. </w:t>
      </w:r>
      <w:r w:rsidRPr="00247C05">
        <w:rPr>
          <w:rFonts w:hint="cs"/>
          <w:rtl/>
        </w:rPr>
        <w:t>בית משפט זה מוצג</w:t>
      </w:r>
      <w:r w:rsidRPr="00247C05">
        <w:rPr>
          <w:rtl/>
        </w:rPr>
        <w:t xml:space="preserve"> ומסווג במסמכי המזכירות, בחטיבת </w:t>
      </w:r>
      <w:r w:rsidRPr="00247C05">
        <w:rPr>
          <w:rFonts w:hint="cs"/>
          <w:rtl/>
        </w:rPr>
        <w:t>תפעול</w:t>
      </w:r>
      <w:r w:rsidRPr="00247C05">
        <w:rPr>
          <w:rtl/>
        </w:rPr>
        <w:t xml:space="preserve"> </w:t>
      </w:r>
      <w:r w:rsidRPr="00247C05">
        <w:rPr>
          <w:rFonts w:hint="cs"/>
          <w:rtl/>
        </w:rPr>
        <w:t>ומזכירויות</w:t>
      </w:r>
      <w:r w:rsidRPr="00247C05">
        <w:rPr>
          <w:rtl/>
        </w:rPr>
        <w:t xml:space="preserve"> ובאתר האינטרנט של הנהלת בתי המשפט, כבית משפט </w:t>
      </w:r>
      <w:r w:rsidRPr="00247C05">
        <w:rPr>
          <w:rFonts w:hint="cs"/>
          <w:rtl/>
        </w:rPr>
        <w:t>עמ</w:t>
      </w:r>
      <w:r w:rsidRPr="00247C05">
        <w:rPr>
          <w:rtl/>
        </w:rPr>
        <w:t xml:space="preserve">"ק </w:t>
      </w:r>
      <w:r w:rsidRPr="00247C05">
        <w:rPr>
          <w:rFonts w:hint="cs"/>
          <w:rtl/>
        </w:rPr>
        <w:t>שפועל</w:t>
      </w:r>
      <w:r w:rsidRPr="00247C05">
        <w:rPr>
          <w:rtl/>
        </w:rPr>
        <w:t xml:space="preserve"> באופן </w:t>
      </w:r>
      <w:r w:rsidRPr="00247C05">
        <w:rPr>
          <w:rFonts w:hint="cs"/>
          <w:rtl/>
        </w:rPr>
        <w:t>אוטונומי</w:t>
      </w:r>
      <w:r w:rsidRPr="00247C05">
        <w:rPr>
          <w:rtl/>
        </w:rPr>
        <w:t xml:space="preserve"> </w:t>
      </w:r>
      <w:r w:rsidRPr="00247C05">
        <w:rPr>
          <w:rFonts w:hint="cs"/>
          <w:rtl/>
        </w:rPr>
        <w:t>ונפרד</w:t>
      </w:r>
      <w:r w:rsidRPr="00247C05">
        <w:rPr>
          <w:rtl/>
        </w:rPr>
        <w:t xml:space="preserve"> מבית משפט השלום. </w:t>
      </w:r>
    </w:p>
    <w:p w:rsidR="003037FB" w:rsidRPr="00247C05" w:rsidP="000E20E3">
      <w:pPr>
        <w:pStyle w:val="ListParagraph"/>
        <w:numPr>
          <w:ilvl w:val="0"/>
          <w:numId w:val="14"/>
        </w:numPr>
        <w:spacing w:before="180" w:after="240" w:line="230" w:lineRule="exact"/>
        <w:contextualSpacing w:val="0"/>
        <w:jc w:val="both"/>
        <w:rPr>
          <w:rFonts w:ascii="Times New Roman" w:hAnsi="Times New Roman" w:cs="FrankRuehl"/>
          <w:b/>
          <w:sz w:val="20"/>
        </w:rPr>
      </w:pPr>
      <w:r w:rsidRPr="00EC77C1">
        <w:rPr>
          <w:rStyle w:val="Heading5Char"/>
          <w:rFonts w:ascii="Times New Roman" w:hAnsi="Times New Roman" w:cs="FrankRuehl" w:hint="cs"/>
          <w:spacing w:val="40"/>
          <w:sz w:val="20"/>
          <w:szCs w:val="22"/>
          <w:rtl/>
        </w:rPr>
        <w:t>בית משפט עמ"ק כפר סבא:</w:t>
      </w:r>
      <w:r w:rsidRPr="00247C05">
        <w:rPr>
          <w:rFonts w:ascii="Times New Roman" w:hAnsi="Times New Roman" w:cs="FrankRuehl" w:hint="cs"/>
          <w:b/>
          <w:sz w:val="20"/>
          <w:rtl/>
        </w:rPr>
        <w:t xml:space="preserve"> הצו קובע, כי בית משפט השלום בכפר סבא מוסמך לשבת כבית משפט עמ"ק, ואזורי השיפוט שנקבעו לו הם תחומי הרשויות המקומיות כפר סבא, רעננה והוד השרון. </w:t>
      </w:r>
    </w:p>
    <w:p w:rsidR="003037FB" w:rsidRPr="00247C05" w:rsidP="004C5AC7">
      <w:pPr>
        <w:pStyle w:val="RESHET"/>
        <w:keepLines/>
        <w:ind w:left="567"/>
        <w:rPr>
          <w:rtl/>
        </w:rPr>
      </w:pPr>
      <w:r w:rsidRPr="00247C05">
        <w:rPr>
          <w:rFonts w:hint="cs"/>
          <w:rtl/>
        </w:rPr>
        <w:t>נמצא,</w:t>
      </w:r>
      <w:r w:rsidRPr="00247C05">
        <w:rPr>
          <w:rtl/>
        </w:rPr>
        <w:t xml:space="preserve"> </w:t>
      </w:r>
      <w:r w:rsidRPr="00247C05">
        <w:rPr>
          <w:rFonts w:hint="cs"/>
          <w:rtl/>
        </w:rPr>
        <w:t>כי</w:t>
      </w:r>
      <w:r w:rsidRPr="00247C05">
        <w:rPr>
          <w:rtl/>
        </w:rPr>
        <w:t xml:space="preserve"> </w:t>
      </w:r>
      <w:r w:rsidRPr="00247C05">
        <w:rPr>
          <w:rFonts w:hint="cs"/>
          <w:rtl/>
        </w:rPr>
        <w:t>בבית</w:t>
      </w:r>
      <w:r w:rsidRPr="00247C05">
        <w:rPr>
          <w:rtl/>
        </w:rPr>
        <w:t xml:space="preserve"> </w:t>
      </w:r>
      <w:r w:rsidRPr="00247C05">
        <w:rPr>
          <w:rFonts w:hint="cs"/>
          <w:rtl/>
        </w:rPr>
        <w:t>משפט</w:t>
      </w:r>
      <w:r w:rsidRPr="00247C05">
        <w:rPr>
          <w:rtl/>
        </w:rPr>
        <w:t xml:space="preserve"> </w:t>
      </w:r>
      <w:r w:rsidRPr="00247C05">
        <w:rPr>
          <w:rFonts w:hint="cs"/>
          <w:rtl/>
        </w:rPr>
        <w:t>השלום</w:t>
      </w:r>
      <w:r w:rsidRPr="00247C05">
        <w:rPr>
          <w:rtl/>
        </w:rPr>
        <w:t xml:space="preserve"> </w:t>
      </w:r>
      <w:r w:rsidRPr="00247C05">
        <w:rPr>
          <w:rFonts w:hint="cs"/>
          <w:rtl/>
        </w:rPr>
        <w:t>בכפר</w:t>
      </w:r>
      <w:r w:rsidRPr="00247C05">
        <w:rPr>
          <w:rtl/>
        </w:rPr>
        <w:t xml:space="preserve"> </w:t>
      </w:r>
      <w:r w:rsidRPr="00247C05">
        <w:rPr>
          <w:rFonts w:hint="cs"/>
          <w:rtl/>
        </w:rPr>
        <w:t>סבא</w:t>
      </w:r>
      <w:r w:rsidRPr="00247C05">
        <w:rPr>
          <w:rtl/>
        </w:rPr>
        <w:t xml:space="preserve"> </w:t>
      </w:r>
      <w:r w:rsidRPr="00247C05">
        <w:rPr>
          <w:rFonts w:hint="cs"/>
          <w:rtl/>
        </w:rPr>
        <w:t>פועל</w:t>
      </w:r>
      <w:r w:rsidRPr="00247C05">
        <w:rPr>
          <w:rtl/>
        </w:rPr>
        <w:t xml:space="preserve"> </w:t>
      </w:r>
      <w:r w:rsidRPr="00247C05">
        <w:rPr>
          <w:rFonts w:hint="cs"/>
          <w:rtl/>
        </w:rPr>
        <w:t>מדור</w:t>
      </w:r>
      <w:r w:rsidRPr="00247C05">
        <w:rPr>
          <w:rtl/>
        </w:rPr>
        <w:t xml:space="preserve"> </w:t>
      </w:r>
      <w:r w:rsidRPr="00247C05">
        <w:rPr>
          <w:rFonts w:hint="cs"/>
          <w:rtl/>
        </w:rPr>
        <w:t>העוסק</w:t>
      </w:r>
      <w:r w:rsidRPr="00247C05">
        <w:rPr>
          <w:rtl/>
        </w:rPr>
        <w:t xml:space="preserve"> </w:t>
      </w:r>
      <w:r w:rsidRPr="00247C05">
        <w:rPr>
          <w:rFonts w:hint="cs"/>
          <w:rtl/>
        </w:rPr>
        <w:t>בעניינים</w:t>
      </w:r>
      <w:r w:rsidRPr="00247C05">
        <w:rPr>
          <w:rtl/>
        </w:rPr>
        <w:t xml:space="preserve"> </w:t>
      </w:r>
      <w:r w:rsidRPr="00247C05">
        <w:rPr>
          <w:rFonts w:hint="cs"/>
          <w:rtl/>
        </w:rPr>
        <w:t>מקומיים, ואולם,</w:t>
      </w:r>
      <w:r w:rsidRPr="00247C05">
        <w:rPr>
          <w:rtl/>
        </w:rPr>
        <w:t xml:space="preserve"> </w:t>
      </w:r>
      <w:r w:rsidRPr="00247C05">
        <w:rPr>
          <w:rFonts w:hint="cs"/>
          <w:rtl/>
        </w:rPr>
        <w:t xml:space="preserve">בניגוד לצו </w:t>
      </w:r>
      <w:r w:rsidRPr="00247C05">
        <w:rPr>
          <w:rtl/>
        </w:rPr>
        <w:t xml:space="preserve">המדור מטפל </w:t>
      </w:r>
      <w:r w:rsidRPr="00247C05">
        <w:rPr>
          <w:rFonts w:hint="cs"/>
          <w:rtl/>
        </w:rPr>
        <w:t>גם</w:t>
      </w:r>
      <w:r w:rsidRPr="00247C05">
        <w:rPr>
          <w:rtl/>
        </w:rPr>
        <w:t xml:space="preserve"> </w:t>
      </w:r>
      <w:r w:rsidRPr="00247C05">
        <w:rPr>
          <w:rFonts w:hint="cs"/>
          <w:rtl/>
        </w:rPr>
        <w:t>בשתי</w:t>
      </w:r>
      <w:r w:rsidRPr="00247C05">
        <w:rPr>
          <w:rtl/>
        </w:rPr>
        <w:t xml:space="preserve"> </w:t>
      </w:r>
      <w:r w:rsidRPr="00247C05">
        <w:rPr>
          <w:rFonts w:hint="cs"/>
          <w:rtl/>
        </w:rPr>
        <w:t>רשויות</w:t>
      </w:r>
      <w:r w:rsidRPr="00247C05">
        <w:rPr>
          <w:rtl/>
        </w:rPr>
        <w:t xml:space="preserve"> </w:t>
      </w:r>
      <w:r w:rsidRPr="00247C05">
        <w:rPr>
          <w:rFonts w:hint="cs"/>
          <w:rtl/>
        </w:rPr>
        <w:t>מקומיות</w:t>
      </w:r>
      <w:r w:rsidRPr="00247C05">
        <w:rPr>
          <w:rtl/>
        </w:rPr>
        <w:t xml:space="preserve"> </w:t>
      </w:r>
      <w:r w:rsidRPr="00247C05">
        <w:rPr>
          <w:rFonts w:hint="cs"/>
          <w:rtl/>
        </w:rPr>
        <w:t>שאינן</w:t>
      </w:r>
      <w:r w:rsidRPr="00247C05">
        <w:rPr>
          <w:rtl/>
        </w:rPr>
        <w:t xml:space="preserve"> </w:t>
      </w:r>
      <w:r w:rsidRPr="00247C05">
        <w:rPr>
          <w:rFonts w:hint="cs"/>
          <w:rtl/>
        </w:rPr>
        <w:t>מופיעות</w:t>
      </w:r>
      <w:r w:rsidRPr="00247C05">
        <w:rPr>
          <w:rtl/>
        </w:rPr>
        <w:t xml:space="preserve"> </w:t>
      </w:r>
      <w:r w:rsidRPr="00247C05">
        <w:rPr>
          <w:rFonts w:hint="cs"/>
          <w:rtl/>
        </w:rPr>
        <w:t>בצו</w:t>
      </w:r>
      <w:r w:rsidRPr="00247C05">
        <w:rPr>
          <w:rtl/>
        </w:rPr>
        <w:t xml:space="preserve"> - טירה ודרום השרון. </w:t>
      </w:r>
    </w:p>
    <w:p w:rsidR="003037FB" w:rsidRPr="00247C05" w:rsidP="004C5AC7">
      <w:pPr>
        <w:pStyle w:val="ListParagraph"/>
        <w:numPr>
          <w:ilvl w:val="0"/>
          <w:numId w:val="14"/>
        </w:numPr>
        <w:spacing w:before="180" w:after="240" w:line="230" w:lineRule="exact"/>
        <w:contextualSpacing w:val="0"/>
        <w:jc w:val="both"/>
        <w:rPr>
          <w:rFonts w:ascii="Times New Roman" w:hAnsi="Times New Roman" w:cs="FrankRuehl"/>
          <w:b/>
          <w:sz w:val="20"/>
        </w:rPr>
      </w:pPr>
      <w:r w:rsidRPr="00EC77C1">
        <w:rPr>
          <w:rStyle w:val="Heading5Char"/>
          <w:rFonts w:ascii="Times New Roman" w:hAnsi="Times New Roman" w:cs="FrankRuehl" w:hint="cs"/>
          <w:spacing w:val="40"/>
          <w:sz w:val="20"/>
          <w:szCs w:val="22"/>
          <w:rtl/>
        </w:rPr>
        <w:t>בית משפט עמ"ק הרצליה:</w:t>
      </w:r>
      <w:r w:rsidRPr="00247C05">
        <w:rPr>
          <w:rFonts w:ascii="Times New Roman" w:hAnsi="Times New Roman" w:cs="FrankRuehl" w:hint="cs"/>
          <w:b/>
          <w:sz w:val="20"/>
          <w:rtl/>
        </w:rPr>
        <w:t xml:space="preserve"> הצו קובע כי בית משפט השלום בהרצליה מוסמך לשבת כבית משפט עמ"ק ואזורי השיפוט שנקבעו לו הם תחומי הרשויות המקומיות הרצליה, רמת השרון וכפר שמריהו. </w:t>
      </w:r>
    </w:p>
    <w:p w:rsidR="003037FB" w:rsidRPr="00247C05" w:rsidP="004C5AC7">
      <w:pPr>
        <w:pStyle w:val="RESHET"/>
        <w:keepLines/>
        <w:ind w:left="567"/>
        <w:rPr>
          <w:rtl/>
        </w:rPr>
      </w:pPr>
      <w:r w:rsidRPr="00247C05">
        <w:rPr>
          <w:rFonts w:hint="cs"/>
          <w:rtl/>
        </w:rPr>
        <w:t>נמצא,</w:t>
      </w:r>
      <w:r w:rsidRPr="00247C05">
        <w:rPr>
          <w:rtl/>
        </w:rPr>
        <w:t xml:space="preserve"> כי </w:t>
      </w:r>
      <w:r w:rsidRPr="00247C05">
        <w:rPr>
          <w:rFonts w:hint="cs"/>
          <w:rtl/>
        </w:rPr>
        <w:t>בבית</w:t>
      </w:r>
      <w:r w:rsidRPr="00247C05">
        <w:rPr>
          <w:rtl/>
        </w:rPr>
        <w:t xml:space="preserve"> </w:t>
      </w:r>
      <w:r w:rsidRPr="00247C05">
        <w:rPr>
          <w:rFonts w:hint="cs"/>
          <w:rtl/>
        </w:rPr>
        <w:t>משפט</w:t>
      </w:r>
      <w:r w:rsidRPr="00247C05">
        <w:rPr>
          <w:rtl/>
        </w:rPr>
        <w:t xml:space="preserve"> </w:t>
      </w:r>
      <w:r w:rsidRPr="00247C05">
        <w:rPr>
          <w:rFonts w:hint="cs"/>
          <w:rtl/>
        </w:rPr>
        <w:t>השלום</w:t>
      </w:r>
      <w:r w:rsidRPr="00247C05">
        <w:rPr>
          <w:rtl/>
        </w:rPr>
        <w:t xml:space="preserve"> </w:t>
      </w:r>
      <w:r w:rsidRPr="00247C05">
        <w:rPr>
          <w:rFonts w:hint="cs"/>
          <w:rtl/>
        </w:rPr>
        <w:t>בהרצליה</w:t>
      </w:r>
      <w:r w:rsidRPr="00247C05">
        <w:rPr>
          <w:rtl/>
        </w:rPr>
        <w:t xml:space="preserve"> </w:t>
      </w:r>
      <w:r w:rsidRPr="00247C05">
        <w:rPr>
          <w:rFonts w:hint="cs"/>
          <w:rtl/>
        </w:rPr>
        <w:t>פועלת</w:t>
      </w:r>
      <w:r w:rsidRPr="00247C05">
        <w:rPr>
          <w:rtl/>
        </w:rPr>
        <w:t xml:space="preserve"> </w:t>
      </w:r>
      <w:r w:rsidRPr="00247C05">
        <w:rPr>
          <w:rFonts w:hint="cs"/>
          <w:rtl/>
        </w:rPr>
        <w:t>מזכירות</w:t>
      </w:r>
      <w:r w:rsidRPr="00247C05">
        <w:rPr>
          <w:rtl/>
        </w:rPr>
        <w:t xml:space="preserve"> </w:t>
      </w:r>
      <w:r w:rsidRPr="00247C05">
        <w:rPr>
          <w:rFonts w:hint="cs"/>
          <w:rtl/>
        </w:rPr>
        <w:t>העוסקת</w:t>
      </w:r>
      <w:r w:rsidRPr="00247C05">
        <w:rPr>
          <w:rtl/>
        </w:rPr>
        <w:t xml:space="preserve"> </w:t>
      </w:r>
      <w:r w:rsidRPr="00247C05">
        <w:rPr>
          <w:rFonts w:hint="cs"/>
          <w:rtl/>
        </w:rPr>
        <w:t>בעניינים</w:t>
      </w:r>
      <w:r w:rsidRPr="00247C05">
        <w:rPr>
          <w:rtl/>
        </w:rPr>
        <w:t xml:space="preserve"> </w:t>
      </w:r>
      <w:r w:rsidRPr="00247C05">
        <w:rPr>
          <w:rFonts w:hint="cs"/>
          <w:rtl/>
        </w:rPr>
        <w:t>מקומיים,</w:t>
      </w:r>
      <w:r w:rsidRPr="00247C05">
        <w:rPr>
          <w:rtl/>
        </w:rPr>
        <w:t xml:space="preserve"> </w:t>
      </w:r>
      <w:r w:rsidRPr="00247C05">
        <w:rPr>
          <w:rFonts w:hint="cs"/>
          <w:rtl/>
        </w:rPr>
        <w:t>והיא</w:t>
      </w:r>
      <w:r w:rsidRPr="00247C05">
        <w:rPr>
          <w:rtl/>
        </w:rPr>
        <w:t xml:space="preserve"> </w:t>
      </w:r>
      <w:r w:rsidRPr="00247C05">
        <w:rPr>
          <w:rFonts w:hint="cs"/>
          <w:rtl/>
        </w:rPr>
        <w:t>מפוצלת</w:t>
      </w:r>
      <w:r w:rsidRPr="00247C05">
        <w:rPr>
          <w:rtl/>
        </w:rPr>
        <w:t xml:space="preserve"> </w:t>
      </w:r>
      <w:r w:rsidRPr="00247C05">
        <w:rPr>
          <w:rFonts w:hint="cs"/>
          <w:rtl/>
        </w:rPr>
        <w:t>לשניים</w:t>
      </w:r>
      <w:r w:rsidRPr="00247C05">
        <w:rPr>
          <w:rtl/>
        </w:rPr>
        <w:t xml:space="preserve">: </w:t>
      </w:r>
      <w:r w:rsidRPr="00247C05">
        <w:rPr>
          <w:rFonts w:hint="cs"/>
          <w:rtl/>
        </w:rPr>
        <w:t>האחת</w:t>
      </w:r>
      <w:r w:rsidRPr="00247C05">
        <w:rPr>
          <w:rtl/>
        </w:rPr>
        <w:t xml:space="preserve"> </w:t>
      </w:r>
      <w:r w:rsidRPr="00247C05">
        <w:rPr>
          <w:rFonts w:hint="cs"/>
          <w:rtl/>
        </w:rPr>
        <w:t>מטפלת</w:t>
      </w:r>
      <w:r w:rsidRPr="00247C05">
        <w:rPr>
          <w:rtl/>
        </w:rPr>
        <w:t xml:space="preserve"> </w:t>
      </w:r>
      <w:r w:rsidRPr="00247C05">
        <w:rPr>
          <w:rFonts w:hint="cs"/>
          <w:rtl/>
        </w:rPr>
        <w:t>בתיקי</w:t>
      </w:r>
      <w:r w:rsidRPr="00247C05">
        <w:rPr>
          <w:rtl/>
        </w:rPr>
        <w:t xml:space="preserve"> </w:t>
      </w:r>
      <w:r w:rsidRPr="00247C05">
        <w:rPr>
          <w:rFonts w:hint="cs"/>
          <w:rtl/>
        </w:rPr>
        <w:t>עמ</w:t>
      </w:r>
      <w:r w:rsidRPr="00247C05">
        <w:rPr>
          <w:rtl/>
        </w:rPr>
        <w:t xml:space="preserve">"ק של </w:t>
      </w:r>
      <w:r w:rsidRPr="00247C05">
        <w:rPr>
          <w:rFonts w:hint="cs"/>
          <w:rtl/>
        </w:rPr>
        <w:t>הרצליה</w:t>
      </w:r>
      <w:r w:rsidRPr="00247C05">
        <w:rPr>
          <w:rtl/>
        </w:rPr>
        <w:t xml:space="preserve"> </w:t>
      </w:r>
      <w:r w:rsidRPr="00247C05">
        <w:rPr>
          <w:rFonts w:hint="cs"/>
          <w:rtl/>
        </w:rPr>
        <w:t>והשנייה</w:t>
      </w:r>
      <w:r w:rsidRPr="00247C05">
        <w:rPr>
          <w:rtl/>
        </w:rPr>
        <w:t xml:space="preserve"> </w:t>
      </w:r>
      <w:r w:rsidRPr="00247C05">
        <w:rPr>
          <w:rFonts w:hint="cs"/>
          <w:rtl/>
        </w:rPr>
        <w:t>מטפלת</w:t>
      </w:r>
      <w:r w:rsidRPr="00247C05">
        <w:rPr>
          <w:rtl/>
        </w:rPr>
        <w:t xml:space="preserve"> </w:t>
      </w:r>
      <w:r w:rsidRPr="00247C05">
        <w:rPr>
          <w:rFonts w:hint="cs"/>
          <w:rtl/>
        </w:rPr>
        <w:t>בתיקי</w:t>
      </w:r>
      <w:r w:rsidRPr="00247C05">
        <w:rPr>
          <w:rtl/>
        </w:rPr>
        <w:t xml:space="preserve"> </w:t>
      </w:r>
      <w:r w:rsidRPr="00247C05">
        <w:rPr>
          <w:rFonts w:hint="cs"/>
          <w:rtl/>
        </w:rPr>
        <w:t>עמ</w:t>
      </w:r>
      <w:r w:rsidRPr="00247C05">
        <w:rPr>
          <w:rtl/>
        </w:rPr>
        <w:t xml:space="preserve">"ק של </w:t>
      </w:r>
      <w:r w:rsidRPr="00247C05">
        <w:rPr>
          <w:rFonts w:hint="cs"/>
          <w:rtl/>
        </w:rPr>
        <w:t>רמת</w:t>
      </w:r>
      <w:r w:rsidRPr="00247C05">
        <w:rPr>
          <w:rtl/>
        </w:rPr>
        <w:t xml:space="preserve"> השרון.</w:t>
      </w:r>
      <w:r w:rsidRPr="00247C05">
        <w:rPr>
          <w:rFonts w:hint="cs"/>
          <w:rtl/>
        </w:rPr>
        <w:t xml:space="preserve"> באתר</w:t>
      </w:r>
      <w:r w:rsidRPr="00247C05">
        <w:rPr>
          <w:rtl/>
        </w:rPr>
        <w:t xml:space="preserve"> האינטרנט של </w:t>
      </w:r>
      <w:r w:rsidRPr="00247C05">
        <w:rPr>
          <w:rFonts w:hint="cs"/>
          <w:rtl/>
        </w:rPr>
        <w:t>הב</w:t>
      </w:r>
      <w:r w:rsidRPr="00247C05">
        <w:rPr>
          <w:rtl/>
        </w:rPr>
        <w:t xml:space="preserve">"ה </w:t>
      </w:r>
      <w:r w:rsidRPr="00247C05">
        <w:rPr>
          <w:rFonts w:hint="cs"/>
          <w:rtl/>
        </w:rPr>
        <w:t>ובחטיבת</w:t>
      </w:r>
      <w:r w:rsidRPr="00247C05">
        <w:rPr>
          <w:rtl/>
        </w:rPr>
        <w:t xml:space="preserve"> </w:t>
      </w:r>
      <w:r w:rsidRPr="00247C05">
        <w:rPr>
          <w:rFonts w:hint="cs"/>
          <w:rtl/>
        </w:rPr>
        <w:t>תפעול ו</w:t>
      </w:r>
      <w:r w:rsidRPr="00247C05">
        <w:rPr>
          <w:rtl/>
        </w:rPr>
        <w:t xml:space="preserve">מזכירויות </w:t>
      </w:r>
      <w:r w:rsidRPr="00247C05">
        <w:rPr>
          <w:rFonts w:hint="cs"/>
          <w:rtl/>
        </w:rPr>
        <w:t>- כל</w:t>
      </w:r>
      <w:r w:rsidRPr="00247C05">
        <w:rPr>
          <w:rtl/>
        </w:rPr>
        <w:t xml:space="preserve"> </w:t>
      </w:r>
      <w:r w:rsidRPr="00247C05">
        <w:rPr>
          <w:rFonts w:hint="cs"/>
          <w:rtl/>
        </w:rPr>
        <w:t>אחת</w:t>
      </w:r>
      <w:r w:rsidRPr="00247C05">
        <w:rPr>
          <w:rtl/>
        </w:rPr>
        <w:t xml:space="preserve"> </w:t>
      </w:r>
      <w:r w:rsidRPr="00247C05">
        <w:rPr>
          <w:rFonts w:hint="cs"/>
          <w:rtl/>
        </w:rPr>
        <w:t>מהן</w:t>
      </w:r>
      <w:r w:rsidRPr="00247C05">
        <w:rPr>
          <w:rtl/>
        </w:rPr>
        <w:t xml:space="preserve"> </w:t>
      </w:r>
      <w:r w:rsidRPr="00247C05">
        <w:rPr>
          <w:rFonts w:hint="cs"/>
          <w:rtl/>
        </w:rPr>
        <w:t>מוצגת</w:t>
      </w:r>
      <w:r w:rsidRPr="00247C05">
        <w:rPr>
          <w:rtl/>
        </w:rPr>
        <w:t xml:space="preserve"> </w:t>
      </w:r>
      <w:r w:rsidRPr="00247C05">
        <w:rPr>
          <w:rFonts w:hint="cs"/>
          <w:rtl/>
        </w:rPr>
        <w:t>ומסווגת</w:t>
      </w:r>
      <w:r w:rsidRPr="00247C05">
        <w:rPr>
          <w:rtl/>
        </w:rPr>
        <w:t xml:space="preserve"> </w:t>
      </w:r>
      <w:r w:rsidRPr="00247C05">
        <w:rPr>
          <w:rFonts w:hint="cs"/>
          <w:rtl/>
        </w:rPr>
        <w:t>כבית</w:t>
      </w:r>
      <w:r w:rsidRPr="00247C05">
        <w:rPr>
          <w:rtl/>
        </w:rPr>
        <w:t xml:space="preserve"> משפט </w:t>
      </w:r>
      <w:r w:rsidRPr="00247C05">
        <w:rPr>
          <w:rFonts w:hint="cs"/>
          <w:rtl/>
        </w:rPr>
        <w:t>עמ</w:t>
      </w:r>
      <w:r w:rsidRPr="00247C05">
        <w:rPr>
          <w:rtl/>
        </w:rPr>
        <w:t xml:space="preserve">"ק </w:t>
      </w:r>
      <w:r w:rsidRPr="00247C05">
        <w:rPr>
          <w:rFonts w:hint="cs"/>
          <w:rtl/>
        </w:rPr>
        <w:t>אוטונומי על אף שב</w:t>
      </w:r>
      <w:r w:rsidRPr="00247C05">
        <w:rPr>
          <w:rtl/>
        </w:rPr>
        <w:t xml:space="preserve">צו </w:t>
      </w:r>
      <w:r w:rsidRPr="00247C05">
        <w:rPr>
          <w:rFonts w:hint="cs"/>
          <w:rtl/>
        </w:rPr>
        <w:t xml:space="preserve">נקבע כי </w:t>
      </w:r>
      <w:r w:rsidRPr="00247C05">
        <w:rPr>
          <w:rtl/>
        </w:rPr>
        <w:t>מי ש</w:t>
      </w:r>
      <w:r w:rsidRPr="00247C05">
        <w:rPr>
          <w:rFonts w:hint="cs"/>
          <w:rtl/>
        </w:rPr>
        <w:t>מוסמך</w:t>
      </w:r>
      <w:r w:rsidRPr="00247C05">
        <w:rPr>
          <w:rtl/>
        </w:rPr>
        <w:t xml:space="preserve"> </w:t>
      </w:r>
      <w:r w:rsidRPr="00247C05">
        <w:rPr>
          <w:rFonts w:hint="cs"/>
          <w:rtl/>
        </w:rPr>
        <w:t>לטפל</w:t>
      </w:r>
      <w:r w:rsidRPr="00247C05">
        <w:rPr>
          <w:rtl/>
        </w:rPr>
        <w:t xml:space="preserve"> בעניינים מקומיים הוא </w:t>
      </w:r>
      <w:r w:rsidRPr="00247C05">
        <w:rPr>
          <w:rFonts w:hint="cs"/>
          <w:rtl/>
        </w:rPr>
        <w:t>בית</w:t>
      </w:r>
      <w:r w:rsidRPr="00247C05">
        <w:rPr>
          <w:rtl/>
        </w:rPr>
        <w:t xml:space="preserve"> </w:t>
      </w:r>
      <w:r w:rsidRPr="00247C05">
        <w:rPr>
          <w:rFonts w:hint="cs"/>
          <w:rtl/>
        </w:rPr>
        <w:t>משפט</w:t>
      </w:r>
      <w:r w:rsidRPr="00247C05">
        <w:rPr>
          <w:rtl/>
        </w:rPr>
        <w:t xml:space="preserve"> </w:t>
      </w:r>
      <w:r w:rsidRPr="00247C05">
        <w:rPr>
          <w:rFonts w:hint="cs"/>
          <w:rtl/>
        </w:rPr>
        <w:t>השלום</w:t>
      </w:r>
      <w:r w:rsidRPr="00247C05">
        <w:rPr>
          <w:rtl/>
        </w:rPr>
        <w:t xml:space="preserve"> בהרצליה. </w:t>
      </w:r>
      <w:r w:rsidRPr="00247C05">
        <w:rPr>
          <w:rFonts w:hint="cs"/>
          <w:rtl/>
        </w:rPr>
        <w:t>תיקי כפר שמריהו נפתחים במזכירות בית משפט השלום בהרצליה.</w:t>
      </w:r>
    </w:p>
    <w:p w:rsidR="003037FB" w:rsidRPr="00247C05" w:rsidP="004C5AC7">
      <w:pPr>
        <w:spacing w:before="180" w:after="240" w:line="230" w:lineRule="exact"/>
        <w:ind w:left="340"/>
        <w:jc w:val="both"/>
        <w:rPr>
          <w:rFonts w:cs="FrankRuehl"/>
          <w:sz w:val="20"/>
          <w:szCs w:val="22"/>
          <w:rtl/>
        </w:rPr>
      </w:pPr>
      <w:r w:rsidRPr="00247C05">
        <w:rPr>
          <w:rFonts w:cs="FrankRuehl" w:hint="cs"/>
          <w:sz w:val="20"/>
          <w:szCs w:val="22"/>
          <w:rtl/>
        </w:rPr>
        <w:t xml:space="preserve">עיריית הרצליה כתבה בינואר 2016 למשרד מבקר המדינה, כי במ"ש עמ"ק הרצליה רמת השרון וכפר שמריהו מנוהלים בנפרד ואין לה הנחיה לעבוד אחרת. </w:t>
      </w:r>
    </w:p>
    <w:p w:rsidR="003037FB" w:rsidRPr="00247C05" w:rsidP="004C5AC7">
      <w:pPr>
        <w:pStyle w:val="RESHET"/>
        <w:keepLines/>
        <w:rPr>
          <w:rtl/>
        </w:rPr>
      </w:pPr>
      <w:r w:rsidRPr="00247C05">
        <w:rPr>
          <w:rFonts w:hint="cs"/>
          <w:rtl/>
        </w:rPr>
        <w:t>הנתונים</w:t>
      </w:r>
      <w:r w:rsidRPr="00247C05">
        <w:rPr>
          <w:rtl/>
        </w:rPr>
        <w:t xml:space="preserve"> דלעיל מעידים על פערים בין </w:t>
      </w:r>
      <w:r w:rsidRPr="00247C05">
        <w:rPr>
          <w:rFonts w:hint="cs"/>
          <w:rtl/>
        </w:rPr>
        <w:t>אזורי השיפוט ו</w:t>
      </w:r>
      <w:r w:rsidRPr="00247C05">
        <w:rPr>
          <w:rtl/>
        </w:rPr>
        <w:t xml:space="preserve">הסמכויות </w:t>
      </w:r>
      <w:r w:rsidRPr="00247C05">
        <w:rPr>
          <w:rFonts w:hint="cs"/>
          <w:rtl/>
        </w:rPr>
        <w:t>שנקבעו בצו למצב בפועל. לדעת משרד מבקר המדינה, במסגרת בחינה כוללת שיש לקיים בנושא, צריכה הנהלת בתי המשפט לבחון גם את הפערים ואת המשתמע מהם ולהחליט אם לתקן ולהתאים את הצו למצב הקיים, או לגבש דרכי פעולה להתאמת הפעילות של כל בתי המשפט עמ"ק ובתי משפט השלום לצו, או ליזום תיקון אחר לצו שיקדם את האינטרס הציבורי כאמור לעיל.</w:t>
      </w:r>
    </w:p>
    <w:p w:rsidR="003037FB" w:rsidP="00040DAE">
      <w:pPr>
        <w:spacing w:after="120" w:line="230" w:lineRule="exact"/>
        <w:jc w:val="both"/>
        <w:rPr>
          <w:rFonts w:cs="FrankRuehl"/>
          <w:sz w:val="20"/>
          <w:szCs w:val="22"/>
          <w:rtl/>
        </w:rPr>
      </w:pPr>
    </w:p>
    <w:p w:rsidR="004C5AC7" w:rsidRPr="00247C05" w:rsidP="00040DAE">
      <w:pPr>
        <w:spacing w:after="120" w:line="230" w:lineRule="exact"/>
        <w:jc w:val="both"/>
        <w:rPr>
          <w:rFonts w:cs="FrankRuehl"/>
          <w:sz w:val="20"/>
          <w:szCs w:val="22"/>
          <w:rtl/>
        </w:rPr>
      </w:pPr>
    </w:p>
    <w:p w:rsidR="003037FB" w:rsidRPr="00A45E9A" w:rsidP="00040DAE">
      <w:pPr>
        <w:pStyle w:val="KOT4"/>
        <w:rPr>
          <w:rtl/>
        </w:rPr>
      </w:pPr>
      <w:r w:rsidRPr="00A45E9A">
        <w:rPr>
          <w:rFonts w:hint="cs"/>
          <w:rtl/>
        </w:rPr>
        <w:t>הקמתם של בתי משפט ביהודה ושומרון</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באזור שטחי יהודה ושומרון נתונות סמכויות החקיקה והמינהל למפקד כוחות צה"ל באזור</w:t>
      </w:r>
      <w:r w:rsidRPr="00247C05">
        <w:rPr>
          <w:rFonts w:cs="FrankRuehl"/>
          <w:sz w:val="20"/>
          <w:szCs w:val="22"/>
          <w:rtl/>
        </w:rPr>
        <w:t xml:space="preserve"> (להלן - </w:t>
      </w:r>
      <w:r w:rsidRPr="00247C05">
        <w:rPr>
          <w:rFonts w:cs="FrankRuehl" w:hint="cs"/>
          <w:sz w:val="20"/>
          <w:szCs w:val="22"/>
          <w:rtl/>
        </w:rPr>
        <w:t>המפקד</w:t>
      </w:r>
      <w:r w:rsidRPr="00247C05">
        <w:rPr>
          <w:rFonts w:cs="FrankRuehl"/>
          <w:sz w:val="20"/>
          <w:szCs w:val="22"/>
          <w:rtl/>
        </w:rPr>
        <w:t>).</w:t>
      </w:r>
      <w:r w:rsidRPr="00247C05">
        <w:rPr>
          <w:rFonts w:cs="FrankRuehl" w:hint="cs"/>
          <w:sz w:val="20"/>
          <w:szCs w:val="22"/>
          <w:rtl/>
        </w:rPr>
        <w:t xml:space="preserve"> על פי הסמכויות שקבע המפקד בצו בדבר ניהול מועצות מקומיות (יהודה ושומרון), התשמ"א-1981 ובצו בדבר ניהול מועצות אזוריות (יהודה ושומרון), התשל"ט-1979, שעניינם הסדרת התיישבות ישראלים באזור והיבטי המינהל הנוגעים לכך, התקין המפקד את תקנון המועצות המקומיות (יהודה ושומרון), התשמ"א - 1981 (להלן - התקנון). בין היתר נקבעה בפרק ט"ז לתקנון סמכותו</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המפקד </w:t>
      </w:r>
      <w:r w:rsidRPr="00247C05">
        <w:rPr>
          <w:rFonts w:cs="FrankRuehl" w:hint="cs"/>
          <w:sz w:val="20"/>
          <w:szCs w:val="22"/>
          <w:rtl/>
        </w:rPr>
        <w:t xml:space="preserve">להקים באזור בתי משפט לעניינים מקומיים.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המפקד השתמש בסמכויותיו והקים שלושה בתי משפט לעניינים מקומיים - באריאל, במעלה אדומים ובקריית ארבע. עובדי</w:t>
      </w:r>
      <w:r w:rsidRPr="00247C05">
        <w:rPr>
          <w:rFonts w:cs="FrankRuehl"/>
          <w:sz w:val="20"/>
          <w:szCs w:val="22"/>
          <w:rtl/>
        </w:rPr>
        <w:t xml:space="preserve"> המזכירות </w:t>
      </w:r>
      <w:r w:rsidRPr="00247C05">
        <w:rPr>
          <w:rFonts w:cs="FrankRuehl" w:hint="cs"/>
          <w:sz w:val="20"/>
          <w:szCs w:val="22"/>
          <w:rtl/>
        </w:rPr>
        <w:t>בבתי</w:t>
      </w:r>
      <w:r w:rsidRPr="00247C05">
        <w:rPr>
          <w:rFonts w:cs="FrankRuehl"/>
          <w:sz w:val="20"/>
          <w:szCs w:val="22"/>
          <w:rtl/>
        </w:rPr>
        <w:t xml:space="preserve"> </w:t>
      </w:r>
      <w:r w:rsidRPr="00247C05">
        <w:rPr>
          <w:rFonts w:cs="FrankRuehl" w:hint="cs"/>
          <w:sz w:val="20"/>
          <w:szCs w:val="22"/>
          <w:rtl/>
        </w:rPr>
        <w:t>משפט</w:t>
      </w:r>
      <w:r w:rsidRPr="00247C05">
        <w:rPr>
          <w:rFonts w:cs="FrankRuehl"/>
          <w:sz w:val="20"/>
          <w:szCs w:val="22"/>
          <w:rtl/>
        </w:rPr>
        <w:t xml:space="preserve"> </w:t>
      </w:r>
      <w:r w:rsidRPr="00247C05">
        <w:rPr>
          <w:rFonts w:cs="FrankRuehl" w:hint="cs"/>
          <w:sz w:val="20"/>
          <w:szCs w:val="22"/>
          <w:rtl/>
        </w:rPr>
        <w:t>אלו מועסקים</w:t>
      </w:r>
      <w:r w:rsidRPr="00247C05">
        <w:rPr>
          <w:rFonts w:cs="FrankRuehl"/>
          <w:sz w:val="20"/>
          <w:szCs w:val="22"/>
          <w:rtl/>
        </w:rPr>
        <w:t xml:space="preserve"> על ידי </w:t>
      </w:r>
      <w:r w:rsidRPr="00247C05">
        <w:rPr>
          <w:rFonts w:cs="FrankRuehl" w:hint="cs"/>
          <w:sz w:val="20"/>
          <w:szCs w:val="22"/>
          <w:rtl/>
        </w:rPr>
        <w:t>הרשויות</w:t>
      </w:r>
      <w:r w:rsidRPr="00247C05">
        <w:rPr>
          <w:rFonts w:cs="FrankRuehl"/>
          <w:sz w:val="20"/>
          <w:szCs w:val="22"/>
          <w:rtl/>
        </w:rPr>
        <w:t xml:space="preserve"> </w:t>
      </w:r>
      <w:r w:rsidRPr="00247C05">
        <w:rPr>
          <w:rFonts w:cs="FrankRuehl" w:hint="cs"/>
          <w:sz w:val="20"/>
          <w:szCs w:val="22"/>
          <w:rtl/>
        </w:rPr>
        <w:t>המקומיות,</w:t>
      </w:r>
      <w:r w:rsidRPr="00247C05">
        <w:rPr>
          <w:rFonts w:cs="FrankRuehl"/>
          <w:sz w:val="20"/>
          <w:szCs w:val="22"/>
          <w:rtl/>
        </w:rPr>
        <w:t xml:space="preserve"> </w:t>
      </w:r>
      <w:r w:rsidRPr="00247C05">
        <w:rPr>
          <w:rFonts w:cs="FrankRuehl" w:hint="cs"/>
          <w:sz w:val="20"/>
          <w:szCs w:val="22"/>
          <w:rtl/>
        </w:rPr>
        <w:t xml:space="preserve">ובין השנים 2014-2013 נפתחו בהם כ-1,700 תיקים בנושאים מוניציפליים.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ב-2002 קבע המפקד צו למינוי שופטים ונשיא בית משפט לעניינים מקומיים של ערכאת ערעור. בצו קבע המפקד, כי שופטי בית המשפט המחוזי בירושלים ישמשו שופטים בערכאת הערעור על פסיקות בתי המשפט לעניינים מקומיים של האזור.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בשונה מסמכויות במ"ש עמ"ק בישראל, הכיר התקנון בסמכותם של בתי המשפט באזור לעסוק לא רק בעבירות בעלות אופי מוניציפלי, אלא גם בעבירות פליליות נוספות ובהליכים אזרחיים שונים. נוסף על כך קבע המפקד צווים ספציפיים שנוספו לתקנון והסמיכו את בתי המשפט באזור לדון בנושאי תעבורה, אבטחת מוסדות חינוך והעסקת עובדים; וכן בדיני משפחה, דיני חינוך, דיני בריאות ועבודה. כמו כן ניתנה להם סמכות ייחודית לכהן כבתי משפט לנוער</w:t>
      </w:r>
      <w:r>
        <w:rPr>
          <w:rStyle w:val="FootnoteReference"/>
          <w:rFonts w:cs="FrankRuehl"/>
          <w:sz w:val="20"/>
          <w:szCs w:val="22"/>
          <w:rtl/>
        </w:rPr>
        <w:footnoteReference w:id="19"/>
      </w:r>
      <w:r w:rsidRPr="00247C05">
        <w:rPr>
          <w:rFonts w:cs="FrankRuehl" w:hint="cs"/>
          <w:sz w:val="20"/>
          <w:szCs w:val="22"/>
          <w:rtl/>
        </w:rPr>
        <w:t xml:space="preserve">. יצוין כי מהתגובה על דוח הביקורת הפנימית שפרסמה הב"ה ב-2011 (להלן - דוח הביקורת הפנימית) עולה, כי שלושת בתי המשפט באזור, להבדיל מבמ"ש עמ"ק בשטח מדינת ישראל, מתפקדים כבתי משפט שלום ודנים בתיקים אזרחיים רגילים.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ביוני 2003, בדיון שנערך בלשכת היועץ המשפטי לממשלה בנושא בית המשפט באריאל, נדון גם נושא תקצובם של שלושת בתי המשפט באזור. בסיכום הדיון נקבע, כי סמכויות בתי המשפט באזור רחבות יותר מסמכויות בתי המשפט עמ"ק במדינת ישראל ובכך ייחודם.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פרק ט"ז לתקנון קובע, כי נשיא בית המשפט לעניינים מקומיים או ממלא מקומו יקבעו את כל סדרי העבודה של בית המשפט לעניינים מקומיים, לרבות חלוקת התיקים בין השופטים. במקרה ולא התמנה נשיא לבית המשפט, תקבע "הרשות המוסמכת" את ימי הדיון ואת כל סדרי העבודה של בית המשפט לעניינים מקומיים לרבות חלוקת התיקים בין השופטים. עוד נקבע, כי המפקד יתייעץ עם הרשות המוסמכת בנוגע למינוי שופטים, קביעת ערכאת ערעור וקביעת שטחי השיפוט של בתי המשפט. התקנון מגדיר "רשות מוסמכת": אדם הכשיר להתמנות לשופט בית משפט מחוזי שמפקד האזור מינה אותו להיות רשות מוסמכת.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בפועל - מאז הקמתם ועד מועד סיום הביקורת לא מונה נשיא לבתי המשפט באזור. בשנת 1985 מינה המפקד את מנהל בתי המשפט לשמש רשות מוסמכת.</w:t>
      </w:r>
    </w:p>
    <w:p w:rsidR="003037FB" w:rsidRPr="00247C05" w:rsidP="004C5AC7">
      <w:pPr>
        <w:spacing w:after="240" w:line="230" w:lineRule="exact"/>
        <w:jc w:val="both"/>
        <w:rPr>
          <w:rFonts w:cs="FrankRuehl"/>
          <w:sz w:val="20"/>
          <w:szCs w:val="22"/>
          <w:rtl/>
        </w:rPr>
      </w:pPr>
      <w:r w:rsidRPr="00247C05">
        <w:rPr>
          <w:rFonts w:cs="FrankRuehl" w:hint="cs"/>
          <w:sz w:val="20"/>
          <w:szCs w:val="22"/>
          <w:rtl/>
        </w:rPr>
        <w:t>בדיון שנערך בשנת 2003 אצל היועץ המשפטי לממשלה נקבע גם הצורך לעצב "הסדר מנהלי תקין יותר" לבתי משפט אלה. על החשיבות של הסדרת הסמכויות המינהליות של פעילות בתי המשפט באזור ניתן ללמוד מדיונים שקיימו בעלי תפקידים בהב"ה: בדיון בנושא תשלום לגופים חיצוניים בעבור שירותים משפטיים מ-3.3.13 הובהר, כי בבתי המשפט המקומיים באזור "נשמעים סוגי הליכים מעבר לעניינים מקומיים" ופעילותם מצריכה הסדרה. בדיון מ-28.7.13 בנושא בתי המשפט הפועלים באזור הובהר, כי "המצב המשפטי בבתי משפט אלה מורכב... ונדרשת הסדרת הנושא המשפטי ולאחר מכן המנהלי...".</w:t>
      </w:r>
    </w:p>
    <w:p w:rsidR="003037FB" w:rsidRPr="00247C05" w:rsidP="004C5AC7">
      <w:pPr>
        <w:pStyle w:val="RESHET"/>
        <w:keepLines/>
        <w:rPr>
          <w:rtl/>
        </w:rPr>
      </w:pPr>
      <w:r w:rsidRPr="00247C05">
        <w:rPr>
          <w:rFonts w:hint="cs"/>
          <w:rtl/>
        </w:rPr>
        <w:t>נמצא, כי למרות הצורך לקבוע את סדרי העבודה בבתי משפט באזור כאמור בפרק ט"ז לתקנון ובסיכום הדיון האמור מיוני 2003 בעניין הצורך לעצב</w:t>
      </w:r>
      <w:r w:rsidRPr="00247C05">
        <w:rPr>
          <w:rtl/>
        </w:rPr>
        <w:t xml:space="preserve"> "הסדר מנהלי תקין </w:t>
      </w:r>
      <w:r w:rsidRPr="00247C05">
        <w:rPr>
          <w:rFonts w:hint="cs"/>
          <w:rtl/>
        </w:rPr>
        <w:t>יותר</w:t>
      </w:r>
      <w:r w:rsidRPr="00247C05">
        <w:rPr>
          <w:rtl/>
        </w:rPr>
        <w:t>"</w:t>
      </w:r>
      <w:r w:rsidRPr="00247C05">
        <w:rPr>
          <w:rFonts w:hint="cs"/>
          <w:rtl/>
        </w:rPr>
        <w:t>, לא קבע מנהל בתי המשפט (שמונה בידי המפקד לשמש כרשות המוסמכת לקביעת סדרי העבודה) את סדרי העבודה של בתי המשפט מכוח התקנון. עוד נמצא</w:t>
      </w:r>
      <w:r w:rsidRPr="00247C05">
        <w:rPr>
          <w:rtl/>
        </w:rPr>
        <w:t xml:space="preserve"> </w:t>
      </w:r>
      <w:r w:rsidRPr="00247C05">
        <w:rPr>
          <w:rFonts w:hint="cs"/>
          <w:rtl/>
        </w:rPr>
        <w:t>שבפועל חטיבת</w:t>
      </w:r>
      <w:r w:rsidRPr="00247C05">
        <w:rPr>
          <w:rtl/>
        </w:rPr>
        <w:t xml:space="preserve"> </w:t>
      </w:r>
      <w:r w:rsidRPr="00247C05">
        <w:rPr>
          <w:rFonts w:hint="cs"/>
          <w:rtl/>
        </w:rPr>
        <w:t>תפעול ו</w:t>
      </w:r>
      <w:r w:rsidRPr="00247C05">
        <w:rPr>
          <w:rtl/>
        </w:rPr>
        <w:t xml:space="preserve">מזכירויות מנחה את מזכירי בתי המשפט </w:t>
      </w:r>
      <w:r w:rsidRPr="00247C05">
        <w:rPr>
          <w:rFonts w:hint="cs"/>
          <w:rtl/>
        </w:rPr>
        <w:t>האמורים בנוגע לסדרי העבודה.</w:t>
      </w:r>
    </w:p>
    <w:p w:rsidR="003037FB" w:rsidRPr="00247C05" w:rsidP="004C5AC7">
      <w:pPr>
        <w:spacing w:before="180" w:after="120" w:line="230" w:lineRule="exact"/>
        <w:jc w:val="both"/>
        <w:rPr>
          <w:rFonts w:cs="FrankRuehl"/>
          <w:sz w:val="20"/>
          <w:szCs w:val="22"/>
          <w:rtl/>
        </w:rPr>
      </w:pPr>
      <w:r w:rsidRPr="00247C05">
        <w:rPr>
          <w:rFonts w:cs="FrankRuehl" w:hint="cs"/>
          <w:sz w:val="20"/>
          <w:szCs w:val="22"/>
          <w:rtl/>
        </w:rPr>
        <w:t>יצוין כי בפברואר</w:t>
      </w:r>
      <w:r w:rsidRPr="00247C05">
        <w:rPr>
          <w:rFonts w:cs="FrankRuehl"/>
          <w:sz w:val="20"/>
          <w:szCs w:val="22"/>
          <w:rtl/>
        </w:rPr>
        <w:t xml:space="preserve"> </w:t>
      </w:r>
      <w:r w:rsidRPr="00247C05">
        <w:rPr>
          <w:rFonts w:cs="FrankRuehl" w:hint="cs"/>
          <w:sz w:val="20"/>
          <w:szCs w:val="22"/>
          <w:rtl/>
        </w:rPr>
        <w:t>ובמרץ</w:t>
      </w:r>
      <w:r w:rsidRPr="00247C05">
        <w:rPr>
          <w:rFonts w:cs="FrankRuehl"/>
          <w:sz w:val="20"/>
          <w:szCs w:val="22"/>
          <w:rtl/>
        </w:rPr>
        <w:t xml:space="preserve"> 2014</w:t>
      </w:r>
      <w:r w:rsidRPr="00247C05">
        <w:rPr>
          <w:rFonts w:cs="FrankRuehl" w:hint="cs"/>
          <w:sz w:val="20"/>
          <w:szCs w:val="22"/>
          <w:rtl/>
        </w:rPr>
        <w:t>,</w:t>
      </w:r>
      <w:r w:rsidRPr="00247C05">
        <w:rPr>
          <w:rFonts w:cs="FrankRuehl"/>
          <w:sz w:val="20"/>
          <w:szCs w:val="22"/>
          <w:rtl/>
        </w:rPr>
        <w:t xml:space="preserve"> פנה היועץ המשפטי </w:t>
      </w:r>
      <w:r w:rsidRPr="00247C05">
        <w:rPr>
          <w:rFonts w:cs="FrankRuehl" w:hint="cs"/>
          <w:sz w:val="20"/>
          <w:szCs w:val="22"/>
          <w:rtl/>
        </w:rPr>
        <w:t>ש</w:t>
      </w:r>
      <w:r w:rsidRPr="00247C05">
        <w:rPr>
          <w:rFonts w:cs="FrankRuehl"/>
          <w:sz w:val="20"/>
          <w:szCs w:val="22"/>
          <w:rtl/>
        </w:rPr>
        <w:t>ל</w:t>
      </w:r>
      <w:r w:rsidRPr="00247C05">
        <w:rPr>
          <w:rFonts w:cs="FrankRuehl" w:hint="cs"/>
          <w:sz w:val="20"/>
          <w:szCs w:val="22"/>
          <w:rtl/>
        </w:rPr>
        <w:t xml:space="preserve"> </w:t>
      </w:r>
      <w:r w:rsidRPr="00247C05">
        <w:rPr>
          <w:rFonts w:cs="FrankRuehl"/>
          <w:sz w:val="20"/>
          <w:szCs w:val="22"/>
          <w:rtl/>
        </w:rPr>
        <w:t xml:space="preserve">הב"ה ליועמ"ש </w:t>
      </w:r>
      <w:r w:rsidRPr="00247C05">
        <w:rPr>
          <w:rFonts w:cs="FrankRuehl" w:hint="cs"/>
          <w:sz w:val="20"/>
          <w:szCs w:val="22"/>
          <w:rtl/>
        </w:rPr>
        <w:t>של האזור</w:t>
      </w:r>
      <w:r w:rsidRPr="00247C05">
        <w:rPr>
          <w:rFonts w:cs="FrankRuehl"/>
          <w:sz w:val="20"/>
          <w:szCs w:val="22"/>
          <w:rtl/>
        </w:rPr>
        <w:t xml:space="preserve"> </w:t>
      </w:r>
      <w:r w:rsidRPr="00247C05">
        <w:rPr>
          <w:rFonts w:cs="FrankRuehl" w:hint="cs"/>
          <w:sz w:val="20"/>
          <w:szCs w:val="22"/>
          <w:rtl/>
        </w:rPr>
        <w:t>בבקשה</w:t>
      </w:r>
      <w:r w:rsidRPr="00247C05">
        <w:rPr>
          <w:rFonts w:cs="FrankRuehl"/>
          <w:sz w:val="20"/>
          <w:szCs w:val="22"/>
          <w:rtl/>
        </w:rPr>
        <w:t xml:space="preserve"> </w:t>
      </w:r>
      <w:r w:rsidRPr="00247C05">
        <w:rPr>
          <w:rFonts w:cs="FrankRuehl" w:hint="cs"/>
          <w:sz w:val="20"/>
          <w:szCs w:val="22"/>
          <w:rtl/>
        </w:rPr>
        <w:t>לקבל</w:t>
      </w:r>
      <w:r w:rsidRPr="00247C05">
        <w:rPr>
          <w:rFonts w:cs="FrankRuehl"/>
          <w:sz w:val="20"/>
          <w:szCs w:val="22"/>
          <w:rtl/>
        </w:rPr>
        <w:t xml:space="preserve"> </w:t>
      </w:r>
      <w:r w:rsidRPr="00247C05">
        <w:rPr>
          <w:rFonts w:cs="FrankRuehl" w:hint="cs"/>
          <w:sz w:val="20"/>
          <w:szCs w:val="22"/>
          <w:rtl/>
        </w:rPr>
        <w:t>את כתב</w:t>
      </w:r>
      <w:r w:rsidRPr="00247C05">
        <w:rPr>
          <w:rFonts w:cs="FrankRuehl"/>
          <w:sz w:val="20"/>
          <w:szCs w:val="22"/>
          <w:rtl/>
        </w:rPr>
        <w:t xml:space="preserve"> </w:t>
      </w:r>
      <w:r w:rsidRPr="00247C05">
        <w:rPr>
          <w:rFonts w:cs="FrankRuehl" w:hint="cs"/>
          <w:sz w:val="20"/>
          <w:szCs w:val="22"/>
          <w:rtl/>
        </w:rPr>
        <w:t>ההסמכה</w:t>
      </w:r>
      <w:r w:rsidRPr="00247C05">
        <w:rPr>
          <w:rFonts w:cs="FrankRuehl"/>
          <w:sz w:val="20"/>
          <w:szCs w:val="22"/>
          <w:rtl/>
        </w:rPr>
        <w:t xml:space="preserve"> </w:t>
      </w:r>
      <w:r w:rsidRPr="00247C05">
        <w:rPr>
          <w:rFonts w:cs="FrankRuehl" w:hint="cs"/>
          <w:sz w:val="20"/>
          <w:szCs w:val="22"/>
          <w:rtl/>
        </w:rPr>
        <w:t>מטעם</w:t>
      </w:r>
      <w:r w:rsidRPr="00247C05">
        <w:rPr>
          <w:rFonts w:cs="FrankRuehl"/>
          <w:sz w:val="20"/>
          <w:szCs w:val="22"/>
          <w:rtl/>
        </w:rPr>
        <w:t xml:space="preserve"> </w:t>
      </w:r>
      <w:r w:rsidRPr="00247C05">
        <w:rPr>
          <w:rFonts w:cs="FrankRuehl" w:hint="cs"/>
          <w:sz w:val="20"/>
          <w:szCs w:val="22"/>
          <w:rtl/>
        </w:rPr>
        <w:t>מפקד</w:t>
      </w:r>
      <w:r w:rsidRPr="00247C05">
        <w:rPr>
          <w:rFonts w:cs="FrankRuehl"/>
          <w:sz w:val="20"/>
          <w:szCs w:val="22"/>
          <w:rtl/>
        </w:rPr>
        <w:t xml:space="preserve"> </w:t>
      </w:r>
      <w:r w:rsidRPr="00247C05">
        <w:rPr>
          <w:rFonts w:cs="FrankRuehl" w:hint="cs"/>
          <w:sz w:val="20"/>
          <w:szCs w:val="22"/>
          <w:rtl/>
        </w:rPr>
        <w:t>כוחות</w:t>
      </w:r>
      <w:r w:rsidRPr="00247C05">
        <w:rPr>
          <w:rFonts w:cs="FrankRuehl"/>
          <w:sz w:val="20"/>
          <w:szCs w:val="22"/>
          <w:rtl/>
        </w:rPr>
        <w:t xml:space="preserve"> </w:t>
      </w:r>
      <w:r w:rsidRPr="00247C05">
        <w:rPr>
          <w:rFonts w:cs="FrankRuehl" w:hint="cs"/>
          <w:sz w:val="20"/>
          <w:szCs w:val="22"/>
          <w:rtl/>
        </w:rPr>
        <w:t>צה</w:t>
      </w:r>
      <w:r w:rsidRPr="00247C05">
        <w:rPr>
          <w:rFonts w:cs="FrankRuehl"/>
          <w:sz w:val="20"/>
          <w:szCs w:val="22"/>
          <w:rtl/>
        </w:rPr>
        <w:t>"ל באזור</w:t>
      </w:r>
      <w:r w:rsidRPr="00247C05">
        <w:rPr>
          <w:rFonts w:cs="FrankRuehl" w:hint="cs"/>
          <w:sz w:val="20"/>
          <w:szCs w:val="22"/>
          <w:rtl/>
        </w:rPr>
        <w:t xml:space="preserve"> או כתב הסמכה חדש</w:t>
      </w:r>
      <w:r w:rsidRPr="00247C05">
        <w:rPr>
          <w:rFonts w:cs="FrankRuehl"/>
          <w:sz w:val="20"/>
          <w:szCs w:val="22"/>
          <w:rtl/>
        </w:rPr>
        <w:t xml:space="preserve"> כקבוע בתקנון</w:t>
      </w:r>
      <w:r w:rsidRPr="00247C05">
        <w:rPr>
          <w:rFonts w:cs="FrankRuehl" w:hint="cs"/>
          <w:sz w:val="20"/>
          <w:szCs w:val="22"/>
          <w:rtl/>
        </w:rPr>
        <w:t>,</w:t>
      </w:r>
      <w:r w:rsidRPr="00247C05">
        <w:rPr>
          <w:rFonts w:cs="FrankRuehl"/>
          <w:sz w:val="20"/>
          <w:szCs w:val="22"/>
          <w:rtl/>
        </w:rPr>
        <w:t xml:space="preserve"> נוכח היעדר כתב המסמיך את מנהל בתי המשפט לשמש "רשות </w:t>
      </w:r>
      <w:r w:rsidRPr="00247C05">
        <w:rPr>
          <w:rFonts w:cs="FrankRuehl" w:hint="cs"/>
          <w:sz w:val="20"/>
          <w:szCs w:val="22"/>
          <w:rtl/>
        </w:rPr>
        <w:t>מוסמכת</w:t>
      </w:r>
      <w:r w:rsidRPr="00247C05">
        <w:rPr>
          <w:rFonts w:cs="FrankRuehl"/>
          <w:sz w:val="20"/>
          <w:szCs w:val="22"/>
          <w:rtl/>
        </w:rPr>
        <w:t>".</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בתשובתה</w:t>
      </w:r>
      <w:r w:rsidRPr="00247C05">
        <w:rPr>
          <w:rFonts w:cs="FrankRuehl"/>
          <w:sz w:val="20"/>
          <w:szCs w:val="22"/>
          <w:rtl/>
        </w:rPr>
        <w:t xml:space="preserve"> של ה</w:t>
      </w:r>
      <w:r w:rsidRPr="00247C05">
        <w:rPr>
          <w:rFonts w:cs="FrankRuehl" w:hint="cs"/>
          <w:sz w:val="20"/>
          <w:szCs w:val="22"/>
          <w:rtl/>
        </w:rPr>
        <w:t>ב"ה</w:t>
      </w:r>
      <w:r w:rsidRPr="00247C05">
        <w:rPr>
          <w:rFonts w:cs="FrankRuehl"/>
          <w:sz w:val="20"/>
          <w:szCs w:val="22"/>
          <w:rtl/>
        </w:rPr>
        <w:t xml:space="preserve"> נכתב כי </w:t>
      </w:r>
      <w:r w:rsidRPr="00247C05">
        <w:rPr>
          <w:rFonts w:cs="FrankRuehl" w:hint="cs"/>
          <w:sz w:val="20"/>
          <w:szCs w:val="22"/>
          <w:rtl/>
        </w:rPr>
        <w:t>"</w:t>
      </w:r>
      <w:r w:rsidRPr="00247C05">
        <w:rPr>
          <w:rFonts w:cs="FrankRuehl"/>
          <w:sz w:val="20"/>
          <w:szCs w:val="22"/>
          <w:rtl/>
        </w:rPr>
        <w:t xml:space="preserve">האחריות לניהול בתי המשפט </w:t>
      </w:r>
      <w:r w:rsidRPr="00247C05">
        <w:rPr>
          <w:rFonts w:cs="FrankRuehl" w:hint="cs"/>
          <w:sz w:val="20"/>
          <w:szCs w:val="22"/>
          <w:rtl/>
        </w:rPr>
        <w:t>באיו"ש</w:t>
      </w:r>
      <w:r w:rsidRPr="00247C05">
        <w:rPr>
          <w:rFonts w:cs="FrankRuehl"/>
          <w:sz w:val="20"/>
          <w:szCs w:val="22"/>
          <w:rtl/>
        </w:rPr>
        <w:t xml:space="preserve"> היא של הצבא ולא של </w:t>
      </w:r>
      <w:r w:rsidRPr="00247C05">
        <w:rPr>
          <w:rFonts w:cs="FrankRuehl" w:hint="cs"/>
          <w:sz w:val="20"/>
          <w:szCs w:val="22"/>
          <w:rtl/>
        </w:rPr>
        <w:t xml:space="preserve">הב"ה. מינוי שופטים לבית משפט לעניינים מקומיים באיו"ש, נעשה על ידי המושל הצבאי (מפקד האזור)... זאת לאחר היוועצות עם מנהל בתי המשפט. בכך מתמצה האחריות של מנהל בתי המשפט ביחס לבתי משפט אלה". </w:t>
      </w:r>
    </w:p>
    <w:p w:rsidR="003037FB" w:rsidRPr="00247C05" w:rsidP="004C5AC7">
      <w:pPr>
        <w:spacing w:after="240" w:line="230" w:lineRule="exact"/>
        <w:jc w:val="both"/>
        <w:rPr>
          <w:rFonts w:cs="FrankRuehl"/>
          <w:sz w:val="20"/>
          <w:szCs w:val="22"/>
          <w:rtl/>
        </w:rPr>
      </w:pPr>
      <w:r w:rsidRPr="00247C05">
        <w:rPr>
          <w:rFonts w:cs="FrankRuehl" w:hint="cs"/>
          <w:sz w:val="20"/>
          <w:szCs w:val="22"/>
          <w:rtl/>
        </w:rPr>
        <w:t xml:space="preserve">בתשובת צה"ל מפברואר 2016 נכתב כי "מנהל בתי המשפט בישראל מונה בשנת 1985 לשמש כ'רשות המוסמכת' על פי התקנון... מקום שלא מונה נשיא לבית משפט לעניינים מקומיים, הסמכות הבלעדית לקביעת סדרי העבודה של בית המשפט לעניינים מקומיים, נתונה לרשות המוסמכת, קרי למנהל בתי המשפט. המינוי לרשות מוסמכת כאמור נעשה בהסכמת הנהלת בתי המשפט. משכך, על פי דין, סמכות ואחריות מנהל בתי המשפט משתרעת לא רק על היוועצות בקשר למינוי שופטים, אלא גם על קביעת סדרי עבודה כאמור לעיל". </w:t>
      </w:r>
    </w:p>
    <w:p w:rsidR="003037FB" w:rsidRPr="00247C05" w:rsidP="004C5AC7">
      <w:pPr>
        <w:pStyle w:val="RESHET"/>
        <w:keepLines/>
      </w:pPr>
      <w:r w:rsidRPr="00247C05">
        <w:rPr>
          <w:rFonts w:hint="cs"/>
          <w:rtl/>
        </w:rPr>
        <w:t>לדעת</w:t>
      </w:r>
      <w:r w:rsidRPr="00247C05">
        <w:rPr>
          <w:rtl/>
        </w:rPr>
        <w:t xml:space="preserve"> </w:t>
      </w:r>
      <w:r w:rsidRPr="00247C05">
        <w:rPr>
          <w:rFonts w:hint="cs"/>
          <w:rtl/>
        </w:rPr>
        <w:t>משרד</w:t>
      </w:r>
      <w:r w:rsidRPr="00247C05">
        <w:rPr>
          <w:rtl/>
        </w:rPr>
        <w:t xml:space="preserve"> </w:t>
      </w:r>
      <w:r w:rsidRPr="00247C05">
        <w:rPr>
          <w:rFonts w:hint="cs"/>
          <w:rtl/>
        </w:rPr>
        <w:t>מבקר</w:t>
      </w:r>
      <w:r w:rsidRPr="00247C05">
        <w:rPr>
          <w:rtl/>
        </w:rPr>
        <w:t xml:space="preserve"> </w:t>
      </w:r>
      <w:r w:rsidRPr="00247C05">
        <w:rPr>
          <w:rFonts w:hint="cs"/>
          <w:rtl/>
        </w:rPr>
        <w:t>המדינה</w:t>
      </w:r>
      <w:r w:rsidRPr="00247C05">
        <w:rPr>
          <w:rtl/>
        </w:rPr>
        <w:t xml:space="preserve"> </w:t>
      </w:r>
      <w:r w:rsidRPr="00247C05">
        <w:rPr>
          <w:rFonts w:hint="cs"/>
          <w:rtl/>
        </w:rPr>
        <w:t>נודעת</w:t>
      </w:r>
      <w:r w:rsidRPr="00247C05">
        <w:rPr>
          <w:rtl/>
        </w:rPr>
        <w:t xml:space="preserve"> </w:t>
      </w:r>
      <w:r w:rsidRPr="00247C05">
        <w:rPr>
          <w:rFonts w:hint="cs"/>
          <w:rtl/>
        </w:rPr>
        <w:t>חשיבות</w:t>
      </w:r>
      <w:r w:rsidRPr="00247C05">
        <w:rPr>
          <w:rtl/>
        </w:rPr>
        <w:t xml:space="preserve"> </w:t>
      </w:r>
      <w:r w:rsidRPr="00247C05">
        <w:rPr>
          <w:rFonts w:hint="cs"/>
          <w:rtl/>
        </w:rPr>
        <w:t>רבה</w:t>
      </w:r>
      <w:r w:rsidRPr="00247C05">
        <w:rPr>
          <w:rtl/>
        </w:rPr>
        <w:t xml:space="preserve"> </w:t>
      </w:r>
      <w:r w:rsidRPr="00247C05">
        <w:rPr>
          <w:rFonts w:hint="cs"/>
          <w:rtl/>
        </w:rPr>
        <w:t>לקביעת</w:t>
      </w:r>
      <w:r w:rsidRPr="00247C05">
        <w:rPr>
          <w:rtl/>
        </w:rPr>
        <w:t xml:space="preserve"> </w:t>
      </w:r>
      <w:r w:rsidRPr="00247C05">
        <w:rPr>
          <w:rFonts w:hint="cs"/>
          <w:rtl/>
        </w:rPr>
        <w:t>סדרי</w:t>
      </w:r>
      <w:r w:rsidRPr="00247C05">
        <w:rPr>
          <w:rtl/>
        </w:rPr>
        <w:t xml:space="preserve"> </w:t>
      </w:r>
      <w:r w:rsidRPr="00247C05">
        <w:rPr>
          <w:rFonts w:hint="cs"/>
          <w:rtl/>
        </w:rPr>
        <w:t>העבודה</w:t>
      </w:r>
      <w:r w:rsidRPr="00247C05">
        <w:rPr>
          <w:rtl/>
        </w:rPr>
        <w:t xml:space="preserve"> </w:t>
      </w:r>
      <w:r w:rsidRPr="00247C05">
        <w:rPr>
          <w:rFonts w:hint="cs"/>
          <w:rtl/>
        </w:rPr>
        <w:t>בבתי</w:t>
      </w:r>
      <w:r w:rsidRPr="00247C05">
        <w:rPr>
          <w:rtl/>
        </w:rPr>
        <w:t xml:space="preserve"> </w:t>
      </w:r>
      <w:r w:rsidRPr="00247C05">
        <w:rPr>
          <w:rFonts w:hint="cs"/>
          <w:rtl/>
        </w:rPr>
        <w:t>המשפט</w:t>
      </w:r>
      <w:r w:rsidRPr="00247C05">
        <w:rPr>
          <w:rtl/>
        </w:rPr>
        <w:t xml:space="preserve"> </w:t>
      </w:r>
      <w:r w:rsidRPr="00247C05">
        <w:rPr>
          <w:rFonts w:hint="cs"/>
          <w:rtl/>
        </w:rPr>
        <w:t>לעניינים</w:t>
      </w:r>
      <w:r w:rsidRPr="00247C05">
        <w:rPr>
          <w:rtl/>
        </w:rPr>
        <w:t xml:space="preserve"> </w:t>
      </w:r>
      <w:r w:rsidRPr="00247C05">
        <w:rPr>
          <w:rFonts w:hint="cs"/>
          <w:rtl/>
        </w:rPr>
        <w:t>מקומיים כפי שנקבע בתקנון</w:t>
      </w:r>
      <w:r w:rsidRPr="00247C05">
        <w:rPr>
          <w:rtl/>
        </w:rPr>
        <w:t xml:space="preserve">. </w:t>
      </w:r>
      <w:r w:rsidRPr="00247C05">
        <w:rPr>
          <w:rFonts w:hint="cs"/>
          <w:rtl/>
        </w:rPr>
        <w:t>קביעת</w:t>
      </w:r>
      <w:r w:rsidRPr="00247C05">
        <w:rPr>
          <w:rtl/>
        </w:rPr>
        <w:t xml:space="preserve"> </w:t>
      </w:r>
      <w:r w:rsidRPr="00247C05">
        <w:rPr>
          <w:rFonts w:hint="cs"/>
          <w:rtl/>
        </w:rPr>
        <w:t>סדרי</w:t>
      </w:r>
      <w:r w:rsidRPr="00247C05">
        <w:rPr>
          <w:rtl/>
        </w:rPr>
        <w:t xml:space="preserve"> </w:t>
      </w:r>
      <w:r w:rsidRPr="00247C05">
        <w:rPr>
          <w:rFonts w:hint="cs"/>
          <w:rtl/>
        </w:rPr>
        <w:t>העבודה</w:t>
      </w:r>
      <w:r w:rsidRPr="00247C05">
        <w:rPr>
          <w:rtl/>
        </w:rPr>
        <w:t xml:space="preserve"> </w:t>
      </w:r>
      <w:r w:rsidRPr="00247C05">
        <w:rPr>
          <w:rFonts w:hint="cs"/>
          <w:rtl/>
        </w:rPr>
        <w:t>נחוצה</w:t>
      </w:r>
      <w:r w:rsidRPr="00247C05">
        <w:rPr>
          <w:rtl/>
        </w:rPr>
        <w:t xml:space="preserve"> </w:t>
      </w:r>
      <w:r w:rsidRPr="00247C05">
        <w:rPr>
          <w:rFonts w:hint="cs"/>
          <w:rtl/>
        </w:rPr>
        <w:t>במיוחד</w:t>
      </w:r>
      <w:r w:rsidRPr="00247C05">
        <w:rPr>
          <w:rtl/>
        </w:rPr>
        <w:t xml:space="preserve">, </w:t>
      </w:r>
      <w:r w:rsidRPr="00247C05">
        <w:rPr>
          <w:rFonts w:hint="cs"/>
          <w:rtl/>
        </w:rPr>
        <w:t>נוכח</w:t>
      </w:r>
      <w:r w:rsidRPr="00247C05">
        <w:rPr>
          <w:rtl/>
        </w:rPr>
        <w:t xml:space="preserve"> </w:t>
      </w:r>
      <w:r w:rsidRPr="00247C05">
        <w:rPr>
          <w:rFonts w:hint="cs"/>
          <w:rtl/>
        </w:rPr>
        <w:t>ריבוי</w:t>
      </w:r>
      <w:r w:rsidRPr="00247C05">
        <w:rPr>
          <w:rtl/>
        </w:rPr>
        <w:t xml:space="preserve"> </w:t>
      </w:r>
      <w:r w:rsidRPr="00247C05">
        <w:rPr>
          <w:rFonts w:hint="cs"/>
          <w:rtl/>
        </w:rPr>
        <w:t>סמכויותיהם</w:t>
      </w:r>
      <w:r w:rsidRPr="00247C05">
        <w:rPr>
          <w:rtl/>
        </w:rPr>
        <w:t xml:space="preserve"> </w:t>
      </w:r>
      <w:r w:rsidRPr="00247C05">
        <w:rPr>
          <w:rFonts w:hint="cs"/>
          <w:rtl/>
        </w:rPr>
        <w:t>ומורכבות</w:t>
      </w:r>
      <w:r w:rsidRPr="00247C05">
        <w:rPr>
          <w:rtl/>
        </w:rPr>
        <w:t xml:space="preserve"> </w:t>
      </w:r>
      <w:r w:rsidRPr="00247C05">
        <w:rPr>
          <w:rFonts w:hint="cs"/>
          <w:rtl/>
        </w:rPr>
        <w:t>פעילותם</w:t>
      </w:r>
      <w:r w:rsidRPr="00247C05">
        <w:rPr>
          <w:rtl/>
        </w:rPr>
        <w:t xml:space="preserve"> </w:t>
      </w:r>
      <w:r w:rsidRPr="00247C05">
        <w:rPr>
          <w:rFonts w:hint="cs"/>
          <w:rtl/>
        </w:rPr>
        <w:t>של</w:t>
      </w:r>
      <w:r w:rsidRPr="00247C05">
        <w:rPr>
          <w:rtl/>
        </w:rPr>
        <w:t xml:space="preserve"> </w:t>
      </w:r>
      <w:r w:rsidRPr="00247C05">
        <w:rPr>
          <w:rFonts w:hint="cs"/>
          <w:rtl/>
        </w:rPr>
        <w:t>בתי</w:t>
      </w:r>
      <w:r w:rsidRPr="00247C05">
        <w:rPr>
          <w:rtl/>
        </w:rPr>
        <w:t xml:space="preserve"> </w:t>
      </w:r>
      <w:r w:rsidRPr="00247C05">
        <w:rPr>
          <w:rFonts w:hint="cs"/>
          <w:rtl/>
        </w:rPr>
        <w:t>המשפט</w:t>
      </w:r>
      <w:r w:rsidRPr="00247C05">
        <w:rPr>
          <w:rtl/>
        </w:rPr>
        <w:t xml:space="preserve"> </w:t>
      </w:r>
      <w:r w:rsidRPr="00247C05">
        <w:rPr>
          <w:rFonts w:hint="cs"/>
          <w:rtl/>
        </w:rPr>
        <w:t>באזור</w:t>
      </w:r>
      <w:r w:rsidRPr="00247C05">
        <w:rPr>
          <w:rtl/>
        </w:rPr>
        <w:t xml:space="preserve"> </w:t>
      </w:r>
      <w:r w:rsidRPr="00247C05">
        <w:rPr>
          <w:rFonts w:hint="cs"/>
          <w:rtl/>
        </w:rPr>
        <w:t xml:space="preserve">לעומת </w:t>
      </w:r>
      <w:r w:rsidRPr="00247C05">
        <w:rPr>
          <w:rtl/>
        </w:rPr>
        <w:t xml:space="preserve">יתר בתי המשפט </w:t>
      </w:r>
      <w:r w:rsidRPr="00247C05">
        <w:rPr>
          <w:rFonts w:hint="cs"/>
          <w:rtl/>
        </w:rPr>
        <w:t>עמ"ק</w:t>
      </w:r>
      <w:r w:rsidRPr="00247C05">
        <w:rPr>
          <w:rtl/>
        </w:rPr>
        <w:t xml:space="preserve">. </w:t>
      </w:r>
      <w:r w:rsidRPr="00247C05">
        <w:rPr>
          <w:rFonts w:hint="cs"/>
          <w:rtl/>
        </w:rPr>
        <w:t xml:space="preserve">ככל שתישקל </w:t>
      </w:r>
      <w:r w:rsidRPr="00247C05">
        <w:rPr>
          <w:rtl/>
        </w:rPr>
        <w:t>אצילת סמכות</w:t>
      </w:r>
      <w:r>
        <w:rPr>
          <w:rStyle w:val="FootnoteReference"/>
          <w:rFonts w:cs="FrankRuehl"/>
          <w:b w:val="0"/>
          <w:bCs w:val="0"/>
          <w:rtl/>
        </w:rPr>
        <w:footnoteReference w:id="20"/>
      </w:r>
      <w:r w:rsidRPr="00247C05">
        <w:rPr>
          <w:rtl/>
        </w:rPr>
        <w:t xml:space="preserve"> זו </w:t>
      </w:r>
      <w:r w:rsidRPr="00247C05">
        <w:rPr>
          <w:rFonts w:hint="cs"/>
          <w:rtl/>
        </w:rPr>
        <w:t>לחטיבת תפעול ומזכירויות המנחה כיום את בתי המשפט, או לכל גורם אחר, ויימצא שיש סמכות לבצעה,</w:t>
      </w:r>
      <w:r w:rsidRPr="00247C05">
        <w:rPr>
          <w:rtl/>
        </w:rPr>
        <w:t xml:space="preserve"> </w:t>
      </w:r>
      <w:r w:rsidRPr="00247C05">
        <w:rPr>
          <w:rFonts w:hint="cs"/>
          <w:rtl/>
        </w:rPr>
        <w:t>ניתן לעשות זאת</w:t>
      </w:r>
      <w:r w:rsidRPr="00247C05">
        <w:rPr>
          <w:rtl/>
        </w:rPr>
        <w:t xml:space="preserve"> בתיאום עם המפקד</w:t>
      </w:r>
      <w:r w:rsidRPr="00247C05">
        <w:rPr>
          <w:rFonts w:hint="cs"/>
          <w:rtl/>
        </w:rPr>
        <w:t>.</w:t>
      </w:r>
      <w:r w:rsidRPr="00247C05">
        <w:rPr>
          <w:rtl/>
        </w:rPr>
        <w:t xml:space="preserve"> </w:t>
      </w:r>
    </w:p>
    <w:p w:rsidR="003037FB" w:rsidRPr="00247C05" w:rsidP="00040DAE">
      <w:pPr>
        <w:spacing w:after="120" w:line="230" w:lineRule="exact"/>
        <w:jc w:val="both"/>
        <w:rPr>
          <w:rFonts w:cs="FrankRuehl"/>
          <w:sz w:val="20"/>
          <w:szCs w:val="22"/>
          <w:rtl/>
        </w:rPr>
      </w:pPr>
    </w:p>
    <w:p w:rsidR="003037FB" w:rsidRPr="00247C05" w:rsidP="00040DAE">
      <w:pPr>
        <w:spacing w:after="120" w:line="230" w:lineRule="exact"/>
        <w:jc w:val="both"/>
        <w:rPr>
          <w:rFonts w:cs="FrankRuehl"/>
          <w:sz w:val="20"/>
          <w:szCs w:val="22"/>
          <w:rtl/>
        </w:rPr>
      </w:pPr>
    </w:p>
    <w:p w:rsidR="003037FB" w:rsidRPr="00A45E9A" w:rsidP="00040DAE">
      <w:pPr>
        <w:pStyle w:val="KOT2"/>
        <w:rPr>
          <w:rtl/>
        </w:rPr>
      </w:pPr>
      <w:r w:rsidRPr="00A45E9A">
        <w:rPr>
          <w:rFonts w:hint="cs"/>
          <w:rtl/>
        </w:rPr>
        <w:t>הזיקה של עובדי בתי משפט עמ"ק לרשויות המקומיות</w:t>
      </w:r>
    </w:p>
    <w:p w:rsidR="003037FB" w:rsidRPr="00247C05" w:rsidP="00040DAE">
      <w:pPr>
        <w:spacing w:after="120" w:line="230" w:lineRule="exact"/>
        <w:jc w:val="both"/>
        <w:rPr>
          <w:rFonts w:cs="FrankRuehl"/>
          <w:sz w:val="20"/>
          <w:szCs w:val="22"/>
          <w:rtl/>
        </w:rPr>
      </w:pPr>
      <w:r w:rsidRPr="00247C05">
        <w:rPr>
          <w:rFonts w:cs="FrankRuehl" w:hint="cs"/>
          <w:sz w:val="20"/>
          <w:szCs w:val="22"/>
          <w:rtl/>
        </w:rPr>
        <w:t>לבתי המשפט לעניינים מקומיים יש מעמד מיוחד המשייך אותם לשתי מערכות מינהליות - להב"ה ולרשויות המקומיות. העובדים של מזכירויות בתי המשפט עמ"ק כפופים מבחינה מינהלית לבעלי תפקידים שונים ברשויות ומבחינה מקצועית להב"ה. ברשויות המקומיות מורכב מערך התביעה, בין היתר, מתובעים עירוניים הכפופים לראש הרשות המקומית.</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מצב זה יוצר מתח בין שתי המערכות שעליו עמדה גם ועדת זמיר. כך למשל, קיים חשש שבעת ניהול הליכים משפטיים, יושפעו עובדי המזכירויות של בתי המשפט עמ"ק ממערך התביעה, בעת שעליהם לפעול בהתאם להנחיות המקצועיות של הב"ה. כמו כן קשה להב"ה לחייב את עובדי המזכירויות השייכים למערכת מינהלית נפרדת, לפעול על פי הנחיותיה המקצועיות (ראו בדוגמה לעיל בעניין ההדרכות). </w:t>
      </w:r>
    </w:p>
    <w:p w:rsidR="003037FB" w:rsidRPr="00247C05" w:rsidP="00DC2796">
      <w:pPr>
        <w:spacing w:after="120" w:line="230" w:lineRule="exact"/>
        <w:jc w:val="both"/>
        <w:rPr>
          <w:rFonts w:cs="FrankRuehl"/>
          <w:sz w:val="20"/>
          <w:szCs w:val="22"/>
          <w:rtl/>
        </w:rPr>
      </w:pPr>
      <w:r w:rsidRPr="00247C05">
        <w:rPr>
          <w:rFonts w:cs="FrankRuehl" w:hint="cs"/>
          <w:sz w:val="20"/>
          <w:szCs w:val="22"/>
          <w:rtl/>
        </w:rPr>
        <w:t>ועדת זמיר הציעה לפתור את הכפילות המינהלית בין היתר באופן הבא: למנוע</w:t>
      </w:r>
      <w:r w:rsidRPr="00247C05">
        <w:rPr>
          <w:rFonts w:cs="FrankRuehl"/>
          <w:sz w:val="20"/>
          <w:szCs w:val="22"/>
          <w:rtl/>
        </w:rPr>
        <w:t xml:space="preserve"> </w:t>
      </w:r>
      <w:r w:rsidRPr="00247C05">
        <w:rPr>
          <w:rFonts w:cs="FrankRuehl" w:hint="cs"/>
          <w:sz w:val="20"/>
          <w:szCs w:val="22"/>
          <w:rtl/>
        </w:rPr>
        <w:t>את הכפפתם</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עובדי</w:t>
      </w:r>
      <w:r w:rsidRPr="00247C05">
        <w:rPr>
          <w:rFonts w:cs="FrankRuehl"/>
          <w:sz w:val="20"/>
          <w:szCs w:val="22"/>
          <w:rtl/>
        </w:rPr>
        <w:t xml:space="preserve"> </w:t>
      </w:r>
      <w:r w:rsidRPr="00247C05">
        <w:rPr>
          <w:rFonts w:cs="FrankRuehl" w:hint="cs"/>
          <w:sz w:val="20"/>
          <w:szCs w:val="22"/>
          <w:rtl/>
        </w:rPr>
        <w:t>המזכירות</w:t>
      </w:r>
      <w:r w:rsidRPr="00247C05">
        <w:rPr>
          <w:rFonts w:cs="FrankRuehl"/>
          <w:sz w:val="20"/>
          <w:szCs w:val="22"/>
          <w:rtl/>
        </w:rPr>
        <w:t xml:space="preserve"> </w:t>
      </w:r>
      <w:r w:rsidRPr="00247C05">
        <w:rPr>
          <w:rFonts w:cs="FrankRuehl" w:hint="cs"/>
          <w:sz w:val="20"/>
          <w:szCs w:val="22"/>
          <w:rtl/>
        </w:rPr>
        <w:t>ליועץ</w:t>
      </w:r>
      <w:r w:rsidRPr="00247C05">
        <w:rPr>
          <w:rFonts w:cs="FrankRuehl"/>
          <w:sz w:val="20"/>
          <w:szCs w:val="22"/>
          <w:rtl/>
        </w:rPr>
        <w:t xml:space="preserve"> </w:t>
      </w:r>
      <w:r w:rsidRPr="00247C05">
        <w:rPr>
          <w:rFonts w:cs="FrankRuehl" w:hint="cs"/>
          <w:sz w:val="20"/>
          <w:szCs w:val="22"/>
          <w:rtl/>
        </w:rPr>
        <w:t>המשפטי</w:t>
      </w:r>
      <w:r w:rsidRPr="00247C05">
        <w:rPr>
          <w:rFonts w:cs="FrankRuehl"/>
          <w:sz w:val="20"/>
          <w:szCs w:val="22"/>
          <w:rtl/>
        </w:rPr>
        <w:t xml:space="preserve"> </w:t>
      </w:r>
      <w:r w:rsidRPr="00247C05">
        <w:rPr>
          <w:rFonts w:cs="FrankRuehl" w:hint="cs"/>
          <w:sz w:val="20"/>
          <w:szCs w:val="22"/>
          <w:rtl/>
        </w:rPr>
        <w:t xml:space="preserve">של הרשות המקומית </w:t>
      </w:r>
      <w:r w:rsidRPr="00247C05">
        <w:rPr>
          <w:rFonts w:cs="FrankRuehl"/>
          <w:sz w:val="20"/>
          <w:szCs w:val="22"/>
          <w:rtl/>
        </w:rPr>
        <w:t xml:space="preserve">או </w:t>
      </w:r>
      <w:r w:rsidRPr="00247C05">
        <w:rPr>
          <w:rFonts w:cs="FrankRuehl" w:hint="cs"/>
          <w:sz w:val="20"/>
          <w:szCs w:val="22"/>
          <w:rtl/>
        </w:rPr>
        <w:t>לראש</w:t>
      </w:r>
      <w:r w:rsidRPr="00247C05">
        <w:rPr>
          <w:rFonts w:cs="FrankRuehl"/>
          <w:sz w:val="20"/>
          <w:szCs w:val="22"/>
          <w:rtl/>
        </w:rPr>
        <w:t xml:space="preserve"> העיר </w:t>
      </w:r>
      <w:r w:rsidRPr="00247C05">
        <w:rPr>
          <w:rFonts w:cs="FrankRuehl" w:hint="cs"/>
          <w:sz w:val="20"/>
          <w:szCs w:val="22"/>
          <w:rtl/>
        </w:rPr>
        <w:t>או</w:t>
      </w:r>
      <w:r w:rsidRPr="00247C05">
        <w:rPr>
          <w:rFonts w:cs="FrankRuehl"/>
          <w:sz w:val="20"/>
          <w:szCs w:val="22"/>
          <w:rtl/>
        </w:rPr>
        <w:t xml:space="preserve"> </w:t>
      </w:r>
      <w:r w:rsidRPr="00247C05">
        <w:rPr>
          <w:rFonts w:cs="FrankRuehl" w:hint="cs"/>
          <w:sz w:val="20"/>
          <w:szCs w:val="22"/>
          <w:rtl/>
        </w:rPr>
        <w:t>לנבחר</w:t>
      </w:r>
      <w:r w:rsidRPr="00247C05">
        <w:rPr>
          <w:rFonts w:cs="FrankRuehl"/>
          <w:sz w:val="20"/>
          <w:szCs w:val="22"/>
          <w:rtl/>
        </w:rPr>
        <w:t xml:space="preserve"> </w:t>
      </w:r>
      <w:r w:rsidRPr="00247C05">
        <w:rPr>
          <w:rFonts w:cs="FrankRuehl" w:hint="cs"/>
          <w:sz w:val="20"/>
          <w:szCs w:val="22"/>
          <w:rtl/>
        </w:rPr>
        <w:t>ציבור</w:t>
      </w:r>
      <w:r w:rsidRPr="00247C05">
        <w:rPr>
          <w:rFonts w:cs="FrankRuehl"/>
          <w:sz w:val="20"/>
          <w:szCs w:val="22"/>
          <w:rtl/>
        </w:rPr>
        <w:t xml:space="preserve"> </w:t>
      </w:r>
      <w:r w:rsidRPr="00247C05">
        <w:rPr>
          <w:rFonts w:cs="FrankRuehl" w:hint="cs"/>
          <w:sz w:val="20"/>
          <w:szCs w:val="22"/>
          <w:rtl/>
        </w:rPr>
        <w:t>אחר</w:t>
      </w:r>
      <w:r>
        <w:rPr>
          <w:rStyle w:val="FootnoteReference"/>
          <w:rFonts w:cs="FrankRuehl"/>
          <w:sz w:val="20"/>
          <w:szCs w:val="22"/>
          <w:rtl/>
        </w:rPr>
        <w:footnoteReference w:id="21"/>
      </w:r>
      <w:r w:rsidRPr="00247C05" w:rsidR="00DC2796">
        <w:rPr>
          <w:rFonts w:cs="FrankRuehl" w:hint="cs"/>
          <w:sz w:val="20"/>
          <w:szCs w:val="22"/>
          <w:rtl/>
        </w:rPr>
        <w:t>,</w:t>
      </w:r>
      <w:r w:rsidRPr="00247C05">
        <w:rPr>
          <w:rFonts w:cs="FrankRuehl"/>
          <w:sz w:val="20"/>
          <w:szCs w:val="22"/>
          <w:rtl/>
        </w:rPr>
        <w:t xml:space="preserve"> </w:t>
      </w:r>
      <w:r w:rsidRPr="00247C05">
        <w:rPr>
          <w:rFonts w:cs="FrankRuehl" w:hint="cs"/>
          <w:sz w:val="20"/>
          <w:szCs w:val="22"/>
          <w:rtl/>
        </w:rPr>
        <w:t>ולהכפיפם</w:t>
      </w:r>
      <w:r w:rsidRPr="00247C05">
        <w:rPr>
          <w:rFonts w:cs="FrankRuehl"/>
          <w:sz w:val="20"/>
          <w:szCs w:val="22"/>
          <w:rtl/>
        </w:rPr>
        <w:t xml:space="preserve"> </w:t>
      </w:r>
      <w:r w:rsidRPr="00247C05">
        <w:rPr>
          <w:rFonts w:cs="FrankRuehl" w:hint="cs"/>
          <w:sz w:val="20"/>
          <w:szCs w:val="22"/>
          <w:rtl/>
        </w:rPr>
        <w:t>מינהלית</w:t>
      </w:r>
      <w:r w:rsidRPr="00247C05">
        <w:rPr>
          <w:rFonts w:cs="FrankRuehl"/>
          <w:sz w:val="20"/>
          <w:szCs w:val="22"/>
          <w:rtl/>
        </w:rPr>
        <w:t xml:space="preserve"> </w:t>
      </w:r>
      <w:r w:rsidRPr="00247C05">
        <w:rPr>
          <w:rFonts w:cs="FrankRuehl" w:hint="cs"/>
          <w:sz w:val="20"/>
          <w:szCs w:val="22"/>
          <w:rtl/>
        </w:rPr>
        <w:t>למזכיר</w:t>
      </w:r>
      <w:r w:rsidRPr="00247C05">
        <w:rPr>
          <w:rFonts w:cs="FrankRuehl"/>
          <w:sz w:val="20"/>
          <w:szCs w:val="22"/>
          <w:rtl/>
        </w:rPr>
        <w:t xml:space="preserve"> </w:t>
      </w:r>
      <w:r w:rsidRPr="00247C05">
        <w:rPr>
          <w:rFonts w:cs="FrankRuehl" w:hint="cs"/>
          <w:sz w:val="20"/>
          <w:szCs w:val="22"/>
          <w:rtl/>
        </w:rPr>
        <w:t>או</w:t>
      </w:r>
      <w:r w:rsidRPr="00247C05">
        <w:rPr>
          <w:rFonts w:cs="FrankRuehl"/>
          <w:sz w:val="20"/>
          <w:szCs w:val="22"/>
          <w:rtl/>
        </w:rPr>
        <w:t xml:space="preserve"> </w:t>
      </w:r>
      <w:r w:rsidRPr="00247C05">
        <w:rPr>
          <w:rFonts w:cs="FrankRuehl" w:hint="cs"/>
          <w:sz w:val="20"/>
          <w:szCs w:val="22"/>
          <w:rtl/>
        </w:rPr>
        <w:t>למנכ</w:t>
      </w:r>
      <w:r w:rsidRPr="00247C05">
        <w:rPr>
          <w:rFonts w:cs="FrankRuehl"/>
          <w:sz w:val="20"/>
          <w:szCs w:val="22"/>
          <w:rtl/>
        </w:rPr>
        <w:t xml:space="preserve">"ל </w:t>
      </w:r>
      <w:r w:rsidRPr="00247C05">
        <w:rPr>
          <w:rFonts w:cs="FrankRuehl" w:hint="cs"/>
          <w:sz w:val="20"/>
          <w:szCs w:val="22"/>
          <w:rtl/>
        </w:rPr>
        <w:t xml:space="preserve">הרשות; לקבוע הסדרים בתחום המשמעת שיבטיחו ציות של עובדי המזכירות להוראות של השופטים או הנהלת בתי המשפט; להקצות מבנה נפרד לבית המשפט עמ"ק במבנה שבו שוכן בית המשפט הכללי או לשכנו במבנה שאינו מזוהה עם הרשות המקומית בנפרד ממשרדי התביעה העירונית.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ב-2008 חיוותה היועצת המשפטית של הב"ה את דעתה בנוגע לפעולות שיש לבצע לניתוק הזיקה שבין עובדי המזכירות לרשות המקומית ובהם - ביטול כפיפותם של עובדי מזכירות בית המשפט לעורכי הדין שבלשכה המשפטית בעירייה.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בבג"ץ קארשי ציין בית המשפט, כי במישור המינהלי נותרה זיקה מוגבלת בין בתי המשפט עמ"ק ובין הרשויות המקומיות. מעמדת המדינה בבג"ץ קארשי עולה, שהיא קיבלה על עצמה לקיים מספר תנאים שישפרו את מראית פני הצדק בבתי משפט עמ"ק, ונתנה לרשויות המקומיות שהות של שנתיים להיערך לביצוע התנאים בתנאי שאם</w:t>
      </w:r>
      <w:r w:rsidRPr="00247C05">
        <w:rPr>
          <w:rFonts w:cs="FrankRuehl"/>
          <w:sz w:val="20"/>
          <w:szCs w:val="22"/>
          <w:rtl/>
        </w:rPr>
        <w:t xml:space="preserve"> </w:t>
      </w:r>
      <w:r w:rsidRPr="00247C05">
        <w:rPr>
          <w:rFonts w:cs="FrankRuehl" w:hint="cs"/>
          <w:sz w:val="20"/>
          <w:szCs w:val="22"/>
          <w:rtl/>
        </w:rPr>
        <w:t>לא</w:t>
      </w:r>
      <w:r w:rsidRPr="00247C05">
        <w:rPr>
          <w:rFonts w:cs="FrankRuehl"/>
          <w:sz w:val="20"/>
          <w:szCs w:val="22"/>
          <w:rtl/>
        </w:rPr>
        <w:t xml:space="preserve"> </w:t>
      </w:r>
      <w:r w:rsidRPr="00247C05">
        <w:rPr>
          <w:rFonts w:cs="FrankRuehl" w:hint="cs"/>
          <w:sz w:val="20"/>
          <w:szCs w:val="22"/>
          <w:rtl/>
        </w:rPr>
        <w:t>יעשו כן תבטל את צווי ההקמה של בתי המשפט. להלן עיקרי התנאים שנקבעו:</w:t>
      </w:r>
      <w:r w:rsidR="004C5AC7">
        <w:rPr>
          <w:rFonts w:cs="FrankRuehl" w:hint="cs"/>
          <w:sz w:val="20"/>
          <w:szCs w:val="22"/>
          <w:rtl/>
        </w:rPr>
        <w:t xml:space="preserve">  </w:t>
      </w:r>
      <w:r w:rsidRPr="00247C05">
        <w:rPr>
          <w:rFonts w:cs="FrankRuehl" w:hint="cs"/>
          <w:sz w:val="20"/>
          <w:szCs w:val="22"/>
          <w:rtl/>
        </w:rPr>
        <w:t xml:space="preserve"> (1)</w:t>
      </w:r>
      <w:r w:rsidR="004C5AC7">
        <w:rPr>
          <w:rFonts w:cs="FrankRuehl" w:hint="cs"/>
          <w:sz w:val="20"/>
          <w:szCs w:val="22"/>
          <w:rtl/>
        </w:rPr>
        <w:t xml:space="preserve"> </w:t>
      </w:r>
      <w:r w:rsidRPr="00247C05">
        <w:rPr>
          <w:rFonts w:cs="FrankRuehl" w:hint="cs"/>
          <w:sz w:val="20"/>
          <w:szCs w:val="22"/>
          <w:rtl/>
        </w:rPr>
        <w:t xml:space="preserve"> בית המשפט עמ"ק לא ישוכן בבית העירייה ולא במבנה אחר שבו מצויים משרד התביעה העירונית;</w:t>
      </w:r>
      <w:r w:rsidR="004C5AC7">
        <w:rPr>
          <w:rFonts w:cs="FrankRuehl" w:hint="cs"/>
          <w:sz w:val="20"/>
          <w:szCs w:val="22"/>
          <w:rtl/>
        </w:rPr>
        <w:t xml:space="preserve">  </w:t>
      </w:r>
      <w:r w:rsidRPr="00247C05">
        <w:rPr>
          <w:rFonts w:cs="FrankRuehl" w:hint="cs"/>
          <w:sz w:val="20"/>
          <w:szCs w:val="22"/>
          <w:rtl/>
        </w:rPr>
        <w:t xml:space="preserve"> (2)</w:t>
      </w:r>
      <w:r w:rsidR="004C5AC7">
        <w:rPr>
          <w:rFonts w:cs="FrankRuehl" w:hint="cs"/>
          <w:sz w:val="20"/>
          <w:szCs w:val="22"/>
          <w:rtl/>
        </w:rPr>
        <w:t xml:space="preserve"> </w:t>
      </w:r>
      <w:r w:rsidRPr="00247C05">
        <w:rPr>
          <w:rFonts w:cs="FrankRuehl" w:hint="cs"/>
          <w:sz w:val="20"/>
          <w:szCs w:val="22"/>
          <w:rtl/>
        </w:rPr>
        <w:t xml:space="preserve"> עובד עירייה המועסק בבית המשפט לא יעבוד בתקופת העסקתו ביחידה אחרת של העירייה;</w:t>
      </w:r>
      <w:r w:rsidR="004C5AC7">
        <w:rPr>
          <w:rFonts w:cs="FrankRuehl" w:hint="cs"/>
          <w:sz w:val="20"/>
          <w:szCs w:val="22"/>
          <w:rtl/>
        </w:rPr>
        <w:t xml:space="preserve">  </w:t>
      </w:r>
      <w:r w:rsidRPr="00247C05">
        <w:rPr>
          <w:rFonts w:cs="FrankRuehl" w:hint="cs"/>
          <w:sz w:val="20"/>
          <w:szCs w:val="22"/>
          <w:rtl/>
        </w:rPr>
        <w:t xml:space="preserve"> (3)</w:t>
      </w:r>
      <w:r w:rsidR="004C5AC7">
        <w:rPr>
          <w:rFonts w:cs="FrankRuehl" w:hint="cs"/>
          <w:sz w:val="20"/>
          <w:szCs w:val="22"/>
          <w:rtl/>
        </w:rPr>
        <w:t xml:space="preserve"> </w:t>
      </w:r>
      <w:r w:rsidRPr="00247C05">
        <w:rPr>
          <w:rFonts w:cs="FrankRuehl" w:hint="cs"/>
          <w:sz w:val="20"/>
          <w:szCs w:val="22"/>
          <w:rtl/>
        </w:rPr>
        <w:t xml:space="preserve"> עובד עירייה המועסק בבית משפט עמ"ק יהיה כפוף להנחיות המקצועיות של המזכיר הראשי של בית משפט השלום שאליו מסונף בית המשפט; </w:t>
      </w:r>
      <w:r w:rsidR="004C5AC7">
        <w:rPr>
          <w:rFonts w:cs="FrankRuehl"/>
          <w:sz w:val="20"/>
          <w:szCs w:val="22"/>
          <w:rtl/>
        </w:rPr>
        <w:br/>
      </w:r>
      <w:r w:rsidRPr="00247C05">
        <w:rPr>
          <w:rFonts w:cs="FrankRuehl" w:hint="cs"/>
          <w:sz w:val="20"/>
          <w:szCs w:val="22"/>
          <w:rtl/>
        </w:rPr>
        <w:t xml:space="preserve">(4) </w:t>
      </w:r>
      <w:r w:rsidR="004C5AC7">
        <w:rPr>
          <w:rFonts w:cs="FrankRuehl" w:hint="cs"/>
          <w:sz w:val="20"/>
          <w:szCs w:val="22"/>
          <w:rtl/>
        </w:rPr>
        <w:t xml:space="preserve"> </w:t>
      </w:r>
      <w:r w:rsidRPr="00247C05">
        <w:rPr>
          <w:rFonts w:cs="FrankRuehl" w:hint="cs"/>
          <w:sz w:val="20"/>
          <w:szCs w:val="22"/>
          <w:rtl/>
        </w:rPr>
        <w:t xml:space="preserve">ראש העירייה יסמיך את המזכיר הראשי של בית משפט השלום שאליו מסונף בית המשפט עמ"'ק, להיות קובל משמעתי מטעמו, וסמכות דומה תינתן ליועץ המשפטי של הב"ה; </w:t>
      </w:r>
      <w:r w:rsidR="000E20E3">
        <w:rPr>
          <w:rFonts w:cs="FrankRuehl" w:hint="cs"/>
          <w:sz w:val="20"/>
          <w:szCs w:val="22"/>
          <w:rtl/>
        </w:rPr>
        <w:t xml:space="preserve">  </w:t>
      </w:r>
      <w:r w:rsidR="000E20E3">
        <w:rPr>
          <w:rFonts w:cs="FrankRuehl"/>
          <w:sz w:val="20"/>
          <w:szCs w:val="22"/>
          <w:rtl/>
        </w:rPr>
        <w:br/>
      </w:r>
      <w:r w:rsidRPr="00247C05">
        <w:rPr>
          <w:rFonts w:cs="FrankRuehl" w:hint="cs"/>
          <w:sz w:val="20"/>
          <w:szCs w:val="22"/>
          <w:rtl/>
        </w:rPr>
        <w:t>(5)</w:t>
      </w:r>
      <w:r w:rsidR="000E20E3">
        <w:rPr>
          <w:rFonts w:cs="FrankRuehl" w:hint="cs"/>
          <w:sz w:val="20"/>
          <w:szCs w:val="22"/>
          <w:rtl/>
        </w:rPr>
        <w:t xml:space="preserve"> </w:t>
      </w:r>
      <w:r w:rsidRPr="00247C05">
        <w:rPr>
          <w:rFonts w:cs="FrankRuehl" w:hint="cs"/>
          <w:sz w:val="20"/>
          <w:szCs w:val="22"/>
          <w:rtl/>
        </w:rPr>
        <w:t xml:space="preserve"> ההשתתפות התקציבית בשכר השופטים תיעשה בדרך של העברה כספית לממשלה ולא להב"ה, וייקבע מנגנון להעברה כספית מהרשויות המקומיות אל משרד הפנים וממנו אל הב"ה.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משרד מבקר המדינה בדק את ניתוק הזיקה שבין עובדי מזכירויות בתי משפט עמ"ק לרשויות המקומיות. להלן הממצאים:</w:t>
      </w:r>
    </w:p>
    <w:p w:rsidR="003037FB" w:rsidRPr="00247C05" w:rsidP="00040DAE">
      <w:pPr>
        <w:spacing w:after="120" w:line="230" w:lineRule="exact"/>
        <w:jc w:val="both"/>
        <w:rPr>
          <w:rFonts w:cs="FrankRuehl"/>
          <w:sz w:val="20"/>
          <w:szCs w:val="22"/>
          <w:rtl/>
        </w:rPr>
      </w:pPr>
    </w:p>
    <w:p w:rsidR="003037FB" w:rsidRPr="00247C05" w:rsidP="00040DAE">
      <w:pPr>
        <w:spacing w:after="120" w:line="230" w:lineRule="exact"/>
        <w:jc w:val="both"/>
        <w:rPr>
          <w:rFonts w:cs="FrankRuehl"/>
          <w:bCs/>
          <w:sz w:val="20"/>
          <w:szCs w:val="22"/>
          <w:u w:val="single"/>
          <w:rtl/>
        </w:rPr>
      </w:pPr>
    </w:p>
    <w:p w:rsidR="003037FB" w:rsidRPr="00A45E9A" w:rsidP="00040DAE">
      <w:pPr>
        <w:pStyle w:val="KOT4"/>
        <w:rPr>
          <w:rtl/>
        </w:rPr>
      </w:pPr>
      <w:r w:rsidRPr="00A45E9A">
        <w:rPr>
          <w:rFonts w:hint="cs"/>
          <w:rtl/>
        </w:rPr>
        <w:t xml:space="preserve">הכפיפות המינהלית של עובדי בתי המשפט </w:t>
      </w:r>
    </w:p>
    <w:p w:rsidR="003037FB" w:rsidRPr="00247C05" w:rsidP="00040DAE">
      <w:pPr>
        <w:spacing w:after="120" w:line="230" w:lineRule="exact"/>
        <w:jc w:val="both"/>
        <w:rPr>
          <w:rFonts w:cs="FrankRuehl"/>
          <w:sz w:val="20"/>
          <w:szCs w:val="22"/>
          <w:lang w:eastAsia="he-IL"/>
        </w:rPr>
      </w:pPr>
      <w:r w:rsidRPr="00247C05">
        <w:rPr>
          <w:rFonts w:cs="FrankRuehl" w:hint="cs"/>
          <w:sz w:val="20"/>
          <w:szCs w:val="22"/>
          <w:rtl/>
        </w:rPr>
        <w:t xml:space="preserve">לפי עמדת הב"ה יש להכפיף את עובדי מזכירות בתי המשפט עמ"ק למזכיר או למנכ"ל הרשות. בדוח הביקורת הפנימית שעסק בעיקר בכפיפות המינהלית והמקצועית של עובדי בית המשפט עמ"ק ובציוד והמבנה הפיזי של בתי המשפט </w:t>
      </w:r>
      <w:r w:rsidRPr="00247C05">
        <w:rPr>
          <w:rFonts w:cs="FrankRuehl" w:hint="cs"/>
          <w:sz w:val="20"/>
          <w:szCs w:val="22"/>
          <w:rtl/>
          <w:lang w:eastAsia="he-IL"/>
        </w:rPr>
        <w:t>נקבע, כי רק 13 בתי משפט עמ"ק מ-22 בתי המשפט שנבדקו</w:t>
      </w:r>
      <w:r>
        <w:rPr>
          <w:rStyle w:val="FootnoteReference"/>
          <w:rFonts w:cs="FrankRuehl"/>
          <w:sz w:val="20"/>
          <w:szCs w:val="22"/>
          <w:rtl/>
          <w:lang w:eastAsia="he-IL"/>
        </w:rPr>
        <w:footnoteReference w:id="22"/>
      </w:r>
      <w:r w:rsidRPr="00247C05">
        <w:rPr>
          <w:rFonts w:cs="FrankRuehl" w:hint="cs"/>
          <w:sz w:val="20"/>
          <w:szCs w:val="22"/>
          <w:rtl/>
          <w:lang w:eastAsia="he-IL"/>
        </w:rPr>
        <w:t xml:space="preserve"> כפופים מינהלית לגורם המומלץ על ידי ועדת זמיר. יתר בתי המשפט פועלים בניגוד להמלצות הוועדה, והעובדים שלהם כפופים לגורמים שונים ברשות המקומית ובהם: היועץ המשפטי, ראש העיר, התובע העירוני, גזבר העירייה, מנהל הגבייה או נושא משרה אחר.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בתגובה לדוח הביקורת הפנימית פורטו הפעולות שביצעה הלשכה המשפטית ליישום הדוח, וצוין בה כי בנושא זה עודכנו הגורמים הרלוונטיים בערים שבהן לא מיושמת המלצת דוח ועדת זמיר. </w:t>
      </w:r>
    </w:p>
    <w:p w:rsidR="003037FB" w:rsidRPr="00247C05" w:rsidP="004C5AC7">
      <w:pPr>
        <w:spacing w:after="240" w:line="230" w:lineRule="exact"/>
        <w:jc w:val="both"/>
        <w:rPr>
          <w:rFonts w:cs="FrankRuehl"/>
          <w:sz w:val="20"/>
          <w:szCs w:val="22"/>
          <w:rtl/>
        </w:rPr>
      </w:pPr>
      <w:r w:rsidRPr="00247C05">
        <w:rPr>
          <w:rFonts w:cs="FrankRuehl" w:hint="cs"/>
          <w:sz w:val="20"/>
          <w:szCs w:val="22"/>
          <w:rtl/>
        </w:rPr>
        <w:t xml:space="preserve">במסמך מסכם לנשיא בית המשפט מאוקטובר 2013 כתב היועץ המשפטי של הב"ה, כי הב"ה הסדירה עם הרשויות המקומיות את כפיפותם של העובדים למנכ"ל העירייה בהתאם להמלצות ועדת זמיר. </w:t>
      </w:r>
    </w:p>
    <w:p w:rsidR="003037FB" w:rsidP="004C5AC7">
      <w:pPr>
        <w:pStyle w:val="RESHET"/>
        <w:keepLines/>
        <w:rPr>
          <w:rtl/>
        </w:rPr>
      </w:pPr>
      <w:r w:rsidRPr="00247C05">
        <w:rPr>
          <w:rFonts w:hint="cs"/>
          <w:rtl/>
        </w:rPr>
        <w:t xml:space="preserve">ואולם נמצא שהנהלת בתי המשפט לא ריכזה נתונים עדכניים של העובדים ברשויות המקומיות שבהם מופיעים פרטים על כפיפותם המינהלית כך שאפשר יהיה להעריך את התאמתם לדרישות הב"ה, ולבדוק אם קיימים מקרים שעובדי בתי המשפט עדיין כפופים מבחינה מינהלית לגורמים ברשויות המקומיות. </w:t>
      </w:r>
    </w:p>
    <w:tbl>
      <w:tblPr>
        <w:bidiVisual/>
        <w:tblW w:w="7031" w:type="dxa"/>
        <w:jc w:val="center"/>
        <w:tblLook w:val="04A0"/>
      </w:tblPr>
      <w:tblGrid>
        <w:gridCol w:w="356"/>
        <w:gridCol w:w="6675"/>
      </w:tblGrid>
      <w:tr w:rsidTr="00010DC5">
        <w:tblPrEx>
          <w:tblW w:w="7031" w:type="dxa"/>
          <w:jc w:val="center"/>
          <w:tblLook w:val="04A0"/>
        </w:tblPrEx>
        <w:trPr>
          <w:jc w:val="center"/>
        </w:trPr>
        <w:tc>
          <w:tcPr>
            <w:tcW w:w="356" w:type="dxa"/>
            <w:shd w:val="clear" w:color="auto" w:fill="auto"/>
          </w:tcPr>
          <w:p w:rsidR="004C5AC7" w:rsidRPr="0001521E" w:rsidP="004C5AC7">
            <w:pPr>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4C5AC7" w:rsidP="004C5AC7">
            <w:pPr>
              <w:pStyle w:val="RESHET"/>
              <w:rPr>
                <w:rtl/>
              </w:rPr>
            </w:pPr>
            <w:r w:rsidRPr="004C5AC7">
              <w:rPr>
                <w:rFonts w:hint="cs"/>
                <w:rtl/>
              </w:rPr>
              <w:t>מהתשובות</w:t>
            </w:r>
            <w:r w:rsidRPr="004C5AC7">
              <w:rPr>
                <w:rtl/>
              </w:rPr>
              <w:t xml:space="preserve"> לשאלונים התברר</w:t>
            </w:r>
            <w:r w:rsidRPr="004C5AC7">
              <w:rPr>
                <w:rFonts w:hint="cs"/>
                <w:rtl/>
              </w:rPr>
              <w:t>,</w:t>
            </w:r>
            <w:r w:rsidRPr="004C5AC7">
              <w:rPr>
                <w:rtl/>
              </w:rPr>
              <w:t xml:space="preserve"> כי </w:t>
            </w:r>
            <w:r w:rsidRPr="004C5AC7">
              <w:rPr>
                <w:rFonts w:hint="cs"/>
                <w:rtl/>
              </w:rPr>
              <w:t>בבמ</w:t>
            </w:r>
            <w:r w:rsidRPr="004C5AC7">
              <w:rPr>
                <w:rtl/>
              </w:rPr>
              <w:t xml:space="preserve">"ש עמ"ק </w:t>
            </w:r>
            <w:r w:rsidRPr="004C5AC7">
              <w:rPr>
                <w:rFonts w:hint="cs"/>
                <w:rtl/>
              </w:rPr>
              <w:t>בפתח</w:t>
            </w:r>
            <w:r w:rsidRPr="004C5AC7">
              <w:rPr>
                <w:rtl/>
              </w:rPr>
              <w:t xml:space="preserve"> </w:t>
            </w:r>
            <w:r w:rsidRPr="004C5AC7">
              <w:rPr>
                <w:rFonts w:hint="cs"/>
                <w:rtl/>
              </w:rPr>
              <w:t>תקווה</w:t>
            </w:r>
            <w:r w:rsidRPr="004C5AC7">
              <w:rPr>
                <w:rtl/>
              </w:rPr>
              <w:t xml:space="preserve"> </w:t>
            </w:r>
            <w:r w:rsidRPr="004C5AC7">
              <w:rPr>
                <w:rFonts w:hint="cs"/>
                <w:rtl/>
              </w:rPr>
              <w:t>עובדי</w:t>
            </w:r>
            <w:r w:rsidRPr="004C5AC7">
              <w:rPr>
                <w:rtl/>
              </w:rPr>
              <w:t xml:space="preserve"> </w:t>
            </w:r>
            <w:r w:rsidRPr="004C5AC7">
              <w:rPr>
                <w:rFonts w:hint="cs"/>
                <w:rtl/>
              </w:rPr>
              <w:t>בית</w:t>
            </w:r>
            <w:r w:rsidRPr="004C5AC7">
              <w:rPr>
                <w:rtl/>
              </w:rPr>
              <w:t xml:space="preserve"> </w:t>
            </w:r>
            <w:r w:rsidRPr="004C5AC7">
              <w:rPr>
                <w:rFonts w:hint="cs"/>
                <w:rtl/>
              </w:rPr>
              <w:t>המשפט כפופים מינהלית ליועץ</w:t>
            </w:r>
            <w:r w:rsidRPr="004C5AC7">
              <w:rPr>
                <w:rtl/>
              </w:rPr>
              <w:t xml:space="preserve"> </w:t>
            </w:r>
            <w:r w:rsidRPr="004C5AC7">
              <w:rPr>
                <w:rFonts w:hint="cs"/>
                <w:rtl/>
              </w:rPr>
              <w:t>המשפטי</w:t>
            </w:r>
            <w:r w:rsidRPr="004C5AC7">
              <w:rPr>
                <w:rtl/>
              </w:rPr>
              <w:t xml:space="preserve"> </w:t>
            </w:r>
            <w:r w:rsidRPr="004C5AC7">
              <w:rPr>
                <w:rFonts w:hint="cs"/>
                <w:rtl/>
              </w:rPr>
              <w:t>של</w:t>
            </w:r>
            <w:r w:rsidRPr="004C5AC7">
              <w:rPr>
                <w:rtl/>
              </w:rPr>
              <w:t xml:space="preserve"> </w:t>
            </w:r>
            <w:r w:rsidRPr="004C5AC7">
              <w:rPr>
                <w:rFonts w:hint="cs"/>
                <w:rtl/>
              </w:rPr>
              <w:t>הרשות</w:t>
            </w:r>
            <w:r w:rsidRPr="004C5AC7">
              <w:rPr>
                <w:rtl/>
              </w:rPr>
              <w:t xml:space="preserve"> </w:t>
            </w:r>
            <w:r w:rsidRPr="004C5AC7">
              <w:rPr>
                <w:rFonts w:hint="cs"/>
                <w:rtl/>
              </w:rPr>
              <w:t>המקומית</w:t>
            </w:r>
            <w:r w:rsidRPr="004C5AC7">
              <w:rPr>
                <w:rtl/>
              </w:rPr>
              <w:t xml:space="preserve"> </w:t>
            </w:r>
            <w:r w:rsidRPr="004C5AC7">
              <w:rPr>
                <w:rFonts w:hint="cs"/>
                <w:rtl/>
              </w:rPr>
              <w:t xml:space="preserve">הפועל מטעמה כצד בתיקים הנדונים בבית המשפט עמ"ק, </w:t>
            </w:r>
            <w:r w:rsidRPr="004C5AC7">
              <w:rPr>
                <w:rFonts w:hint="eastAsia"/>
                <w:rtl/>
              </w:rPr>
              <w:t>ולא</w:t>
            </w:r>
            <w:r w:rsidRPr="004C5AC7">
              <w:rPr>
                <w:rtl/>
              </w:rPr>
              <w:t xml:space="preserve"> </w:t>
            </w:r>
            <w:r w:rsidRPr="004C5AC7">
              <w:rPr>
                <w:rFonts w:hint="cs"/>
                <w:rtl/>
              </w:rPr>
              <w:t>ל</w:t>
            </w:r>
            <w:r w:rsidRPr="004C5AC7">
              <w:rPr>
                <w:rFonts w:hint="eastAsia"/>
                <w:rtl/>
              </w:rPr>
              <w:t>מזכיר</w:t>
            </w:r>
            <w:r w:rsidRPr="004C5AC7">
              <w:rPr>
                <w:rtl/>
              </w:rPr>
              <w:t xml:space="preserve"> </w:t>
            </w:r>
            <w:r w:rsidRPr="004C5AC7">
              <w:rPr>
                <w:rFonts w:hint="eastAsia"/>
                <w:rtl/>
              </w:rPr>
              <w:t>או</w:t>
            </w:r>
            <w:r w:rsidRPr="004C5AC7">
              <w:rPr>
                <w:rtl/>
              </w:rPr>
              <w:t xml:space="preserve"> </w:t>
            </w:r>
            <w:r w:rsidRPr="004C5AC7">
              <w:rPr>
                <w:rFonts w:hint="cs"/>
                <w:rtl/>
              </w:rPr>
              <w:t>ל</w:t>
            </w:r>
            <w:r w:rsidRPr="004C5AC7">
              <w:rPr>
                <w:rFonts w:hint="eastAsia"/>
                <w:rtl/>
              </w:rPr>
              <w:t>מנכ</w:t>
            </w:r>
            <w:r w:rsidRPr="004C5AC7">
              <w:rPr>
                <w:rtl/>
              </w:rPr>
              <w:t xml:space="preserve">"ל </w:t>
            </w:r>
            <w:r w:rsidRPr="004C5AC7">
              <w:rPr>
                <w:rFonts w:hint="eastAsia"/>
                <w:rtl/>
              </w:rPr>
              <w:t>הרשות</w:t>
            </w:r>
            <w:r w:rsidRPr="004C5AC7">
              <w:rPr>
                <w:rtl/>
              </w:rPr>
              <w:t xml:space="preserve"> כפי שהמליצה ועדת זמיר</w:t>
            </w:r>
            <w:r w:rsidRPr="004C5AC7">
              <w:rPr>
                <w:rFonts w:hint="cs"/>
                <w:rtl/>
              </w:rPr>
              <w:t>, וכפי שעלה במסמך המסכם שהכין היועץ המשפטי של הב"ה</w:t>
            </w:r>
            <w:r w:rsidRPr="004C5AC7">
              <w:rPr>
                <w:rtl/>
              </w:rPr>
              <w:t xml:space="preserve">. </w:t>
            </w:r>
          </w:p>
        </w:tc>
      </w:tr>
      <w:tr w:rsidTr="00010DC5">
        <w:tblPrEx>
          <w:tblW w:w="7031" w:type="dxa"/>
          <w:jc w:val="center"/>
          <w:tblLook w:val="04A0"/>
        </w:tblPrEx>
        <w:trPr>
          <w:jc w:val="center"/>
        </w:trPr>
        <w:tc>
          <w:tcPr>
            <w:tcW w:w="356" w:type="dxa"/>
            <w:shd w:val="clear" w:color="auto" w:fill="auto"/>
          </w:tcPr>
          <w:p w:rsidR="004C5AC7" w:rsidP="00010DC5">
            <w:pPr>
              <w:keepNext/>
              <w:keepLines/>
              <w:spacing w:before="100" w:after="240" w:line="230" w:lineRule="exact"/>
              <w:rPr>
                <w:rFonts w:cs="FrankRuehl"/>
                <w:sz w:val="20"/>
                <w:szCs w:val="22"/>
                <w:rtl/>
              </w:rPr>
            </w:pPr>
            <w:r>
              <w:rPr>
                <w:rFonts w:cs="FrankRuehl" w:hint="cs"/>
                <w:sz w:val="20"/>
                <w:szCs w:val="22"/>
                <w:rtl/>
              </w:rPr>
              <w:t>2.</w:t>
            </w:r>
          </w:p>
        </w:tc>
        <w:tc>
          <w:tcPr>
            <w:tcW w:w="0" w:type="auto"/>
            <w:shd w:val="clear" w:color="auto" w:fill="auto"/>
          </w:tcPr>
          <w:p w:rsidR="004C5AC7" w:rsidRPr="005677F7" w:rsidP="00010DC5">
            <w:pPr>
              <w:pStyle w:val="RESHET"/>
              <w:keepNext/>
              <w:keepLines/>
              <w:rPr>
                <w:rtl/>
              </w:rPr>
            </w:pPr>
            <w:r w:rsidRPr="004C5AC7">
              <w:rPr>
                <w:rFonts w:hint="cs"/>
                <w:rtl/>
              </w:rPr>
              <w:t>בבית</w:t>
            </w:r>
            <w:r w:rsidRPr="004C5AC7">
              <w:rPr>
                <w:rtl/>
              </w:rPr>
              <w:t xml:space="preserve"> </w:t>
            </w:r>
            <w:r w:rsidRPr="004C5AC7">
              <w:rPr>
                <w:rFonts w:hint="cs"/>
                <w:rtl/>
              </w:rPr>
              <w:t>משפט</w:t>
            </w:r>
            <w:r w:rsidRPr="004C5AC7">
              <w:rPr>
                <w:rtl/>
              </w:rPr>
              <w:t xml:space="preserve"> </w:t>
            </w:r>
            <w:r w:rsidRPr="004C5AC7">
              <w:rPr>
                <w:rFonts w:hint="cs"/>
                <w:rtl/>
              </w:rPr>
              <w:t>עמ"ק</w:t>
            </w:r>
            <w:r w:rsidRPr="004C5AC7">
              <w:rPr>
                <w:rtl/>
              </w:rPr>
              <w:t xml:space="preserve"> </w:t>
            </w:r>
            <w:r w:rsidRPr="004C5AC7">
              <w:rPr>
                <w:rFonts w:hint="cs"/>
                <w:rtl/>
              </w:rPr>
              <w:t>בכפר</w:t>
            </w:r>
            <w:r w:rsidRPr="004C5AC7">
              <w:rPr>
                <w:rtl/>
              </w:rPr>
              <w:t xml:space="preserve"> </w:t>
            </w:r>
            <w:r w:rsidRPr="004C5AC7">
              <w:rPr>
                <w:rFonts w:hint="cs"/>
                <w:rtl/>
              </w:rPr>
              <w:t>סבא יש</w:t>
            </w:r>
            <w:r w:rsidRPr="004C5AC7">
              <w:rPr>
                <w:rtl/>
              </w:rPr>
              <w:t xml:space="preserve"> </w:t>
            </w:r>
            <w:r w:rsidRPr="004C5AC7">
              <w:rPr>
                <w:rFonts w:hint="cs"/>
                <w:rtl/>
              </w:rPr>
              <w:t>עובדת</w:t>
            </w:r>
            <w:r w:rsidRPr="004C5AC7">
              <w:rPr>
                <w:rtl/>
              </w:rPr>
              <w:t xml:space="preserve"> </w:t>
            </w:r>
            <w:r w:rsidRPr="004C5AC7">
              <w:rPr>
                <w:rFonts w:hint="cs"/>
                <w:rtl/>
              </w:rPr>
              <w:t>אחת</w:t>
            </w:r>
            <w:r w:rsidRPr="004C5AC7">
              <w:rPr>
                <w:rtl/>
              </w:rPr>
              <w:t xml:space="preserve"> </w:t>
            </w:r>
            <w:r w:rsidRPr="004C5AC7">
              <w:rPr>
                <w:rFonts w:hint="cs"/>
                <w:rtl/>
              </w:rPr>
              <w:t>הכפופה</w:t>
            </w:r>
            <w:r w:rsidRPr="004C5AC7">
              <w:rPr>
                <w:rtl/>
              </w:rPr>
              <w:t xml:space="preserve"> </w:t>
            </w:r>
            <w:r w:rsidRPr="004C5AC7">
              <w:rPr>
                <w:rFonts w:hint="cs"/>
                <w:rtl/>
              </w:rPr>
              <w:t xml:space="preserve">מינהלית </w:t>
            </w:r>
            <w:r w:rsidRPr="004C5AC7">
              <w:rPr>
                <w:rtl/>
              </w:rPr>
              <w:t xml:space="preserve">לוועדה </w:t>
            </w:r>
            <w:r w:rsidRPr="004C5AC7">
              <w:rPr>
                <w:rFonts w:hint="cs"/>
                <w:rtl/>
              </w:rPr>
              <w:t>המקומית</w:t>
            </w:r>
            <w:r w:rsidRPr="004C5AC7">
              <w:rPr>
                <w:rtl/>
              </w:rPr>
              <w:t xml:space="preserve"> </w:t>
            </w:r>
            <w:r w:rsidRPr="004C5AC7">
              <w:rPr>
                <w:rFonts w:hint="cs"/>
                <w:rtl/>
              </w:rPr>
              <w:t>לתכנון</w:t>
            </w:r>
            <w:r w:rsidRPr="004C5AC7">
              <w:rPr>
                <w:rtl/>
              </w:rPr>
              <w:t xml:space="preserve"> </w:t>
            </w:r>
            <w:r w:rsidRPr="004C5AC7">
              <w:rPr>
                <w:rFonts w:hint="cs"/>
                <w:rtl/>
              </w:rPr>
              <w:t>ובנייה</w:t>
            </w:r>
            <w:r w:rsidRPr="004C5AC7">
              <w:rPr>
                <w:rtl/>
              </w:rPr>
              <w:t xml:space="preserve"> </w:t>
            </w:r>
            <w:r w:rsidRPr="004C5AC7">
              <w:rPr>
                <w:rFonts w:hint="cs"/>
                <w:rtl/>
              </w:rPr>
              <w:t>של דרום השרון, שהיא</w:t>
            </w:r>
            <w:r w:rsidRPr="004C5AC7">
              <w:rPr>
                <w:rtl/>
              </w:rPr>
              <w:t xml:space="preserve"> צד העוסק בנושאים </w:t>
            </w:r>
            <w:r w:rsidRPr="004C5AC7">
              <w:rPr>
                <w:rFonts w:hint="cs"/>
                <w:rtl/>
              </w:rPr>
              <w:t>הנדונים</w:t>
            </w:r>
            <w:r w:rsidRPr="004C5AC7">
              <w:rPr>
                <w:rtl/>
              </w:rPr>
              <w:t xml:space="preserve"> </w:t>
            </w:r>
            <w:r w:rsidRPr="004C5AC7">
              <w:rPr>
                <w:rFonts w:hint="cs"/>
                <w:rtl/>
              </w:rPr>
              <w:t>לעתים</w:t>
            </w:r>
            <w:r w:rsidRPr="004C5AC7">
              <w:rPr>
                <w:rtl/>
              </w:rPr>
              <w:t xml:space="preserve"> </w:t>
            </w:r>
            <w:r w:rsidRPr="004C5AC7">
              <w:rPr>
                <w:rFonts w:hint="cs"/>
                <w:rtl/>
              </w:rPr>
              <w:t>בבתי</w:t>
            </w:r>
            <w:r w:rsidRPr="004C5AC7">
              <w:rPr>
                <w:rtl/>
              </w:rPr>
              <w:t xml:space="preserve"> </w:t>
            </w:r>
            <w:r w:rsidRPr="004C5AC7">
              <w:rPr>
                <w:rFonts w:hint="cs"/>
                <w:rtl/>
              </w:rPr>
              <w:t>המשפט</w:t>
            </w:r>
            <w:r w:rsidRPr="004C5AC7">
              <w:rPr>
                <w:rtl/>
              </w:rPr>
              <w:t xml:space="preserve"> </w:t>
            </w:r>
            <w:r w:rsidRPr="004C5AC7">
              <w:rPr>
                <w:rFonts w:hint="cs"/>
                <w:rtl/>
              </w:rPr>
              <w:t>עמ</w:t>
            </w:r>
            <w:r w:rsidRPr="004C5AC7">
              <w:rPr>
                <w:rtl/>
              </w:rPr>
              <w:t>"ק.</w:t>
            </w:r>
          </w:p>
        </w:tc>
      </w:tr>
    </w:tbl>
    <w:p w:rsidR="003037FB" w:rsidRPr="00247C05" w:rsidP="004C5AC7">
      <w:pPr>
        <w:pStyle w:val="ListParagraph"/>
        <w:spacing w:after="24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בתשובתה</w:t>
      </w:r>
      <w:r w:rsidRPr="00247C05">
        <w:rPr>
          <w:rFonts w:ascii="Times New Roman" w:hAnsi="Times New Roman" w:cs="FrankRuehl"/>
          <w:sz w:val="20"/>
          <w:rtl/>
        </w:rPr>
        <w:t xml:space="preserve"> </w:t>
      </w:r>
      <w:r w:rsidRPr="00247C05">
        <w:rPr>
          <w:rFonts w:ascii="Times New Roman" w:hAnsi="Times New Roman" w:cs="FrankRuehl" w:hint="cs"/>
          <w:sz w:val="20"/>
          <w:rtl/>
        </w:rPr>
        <w:t xml:space="preserve">כתבה הב"ה, כי "העובדה שעובדים מבית המשפט לעניינים מקומיים עדיין סבורים שיש להם כפיפות מקצועית לגורמי התביעה או לבעלי תפקידים אחרים ברשות מצביעה על הבעייתיות בעובדה שהכפיפות המנהלית של עובדי בתי המשפט היא לרשות המקומית". </w:t>
      </w:r>
    </w:p>
    <w:p w:rsidR="003037FB" w:rsidRPr="00247C05" w:rsidP="004C5AC7">
      <w:pPr>
        <w:pStyle w:val="RESHET"/>
        <w:keepLines/>
        <w:rPr>
          <w:rtl/>
        </w:rPr>
      </w:pPr>
      <w:r w:rsidRPr="00247C05">
        <w:rPr>
          <w:rFonts w:hint="cs"/>
          <w:rtl/>
        </w:rPr>
        <w:t xml:space="preserve">משרד מבקר המדינה מעיר לרשויות המקומיות דלעיל שעליהן להתאים את כפיפותם המינהלית של העובדים להנחיות הב"ה. להב"ה יוער שעליה לרכז נתונים עדכניים של העובדים ברשויות המקומיות ובהם פרטים על כפיפותם המינהלית. כמו כן עליה לעקוב מדי פעם ולוודא את תקינות כפיפותם המינהלית של עובדי מזכירות בתי המשפט עמ"ק. חשיבותה של ההקפדה על הכפיפות המינהלית לנושא המשרה ברשות המקומית שאינו שותף להליכים משפטיים נעוצה בחובה להימנע ממצב של חשש לניגוד עניינים. </w:t>
      </w:r>
    </w:p>
    <w:p w:rsidR="003037FB" w:rsidP="00040DAE">
      <w:pPr>
        <w:spacing w:after="120" w:line="230" w:lineRule="exact"/>
        <w:jc w:val="both"/>
        <w:rPr>
          <w:rFonts w:cs="FrankRuehl"/>
          <w:sz w:val="20"/>
          <w:szCs w:val="22"/>
          <w:rtl/>
        </w:rPr>
      </w:pPr>
    </w:p>
    <w:p w:rsidR="004C5AC7" w:rsidRPr="00247C05" w:rsidP="00040DAE">
      <w:pPr>
        <w:spacing w:after="120" w:line="230" w:lineRule="exact"/>
        <w:jc w:val="both"/>
        <w:rPr>
          <w:rFonts w:cs="FrankRuehl"/>
          <w:sz w:val="20"/>
          <w:szCs w:val="22"/>
          <w:rtl/>
        </w:rPr>
      </w:pPr>
    </w:p>
    <w:p w:rsidR="003037FB" w:rsidRPr="00A45E9A" w:rsidP="00040DAE">
      <w:pPr>
        <w:pStyle w:val="KOT4"/>
        <w:rPr>
          <w:rtl/>
        </w:rPr>
      </w:pPr>
      <w:r w:rsidRPr="00A45E9A">
        <w:rPr>
          <w:rFonts w:hint="cs"/>
          <w:rtl/>
        </w:rPr>
        <w:t xml:space="preserve">מינוי </w:t>
      </w:r>
      <w:r w:rsidRPr="00A45E9A">
        <w:rPr>
          <w:rFonts w:hint="eastAsia"/>
          <w:rtl/>
        </w:rPr>
        <w:t>קובלים</w:t>
      </w:r>
      <w:r w:rsidRPr="00A45E9A">
        <w:rPr>
          <w:rtl/>
        </w:rPr>
        <w:t xml:space="preserve"> </w:t>
      </w:r>
      <w:r w:rsidRPr="00A45E9A">
        <w:rPr>
          <w:rFonts w:hint="eastAsia"/>
          <w:rtl/>
        </w:rPr>
        <w:t>משמעתיים</w:t>
      </w:r>
      <w:r w:rsidRPr="00A45E9A">
        <w:rPr>
          <w:rtl/>
        </w:rPr>
        <w:t xml:space="preserve"> </w:t>
      </w:r>
      <w:r w:rsidRPr="00A45E9A">
        <w:rPr>
          <w:rFonts w:hint="eastAsia"/>
          <w:rtl/>
        </w:rPr>
        <w:t>על</w:t>
      </w:r>
      <w:r w:rsidRPr="00A45E9A">
        <w:rPr>
          <w:rtl/>
        </w:rPr>
        <w:t xml:space="preserve"> </w:t>
      </w:r>
      <w:r w:rsidRPr="00A45E9A">
        <w:rPr>
          <w:rFonts w:hint="eastAsia"/>
          <w:rtl/>
        </w:rPr>
        <w:t>עובדי</w:t>
      </w:r>
      <w:r w:rsidRPr="00A45E9A">
        <w:rPr>
          <w:rtl/>
        </w:rPr>
        <w:t xml:space="preserve"> </w:t>
      </w:r>
      <w:r w:rsidRPr="00A45E9A">
        <w:rPr>
          <w:rFonts w:hint="cs"/>
          <w:rtl/>
        </w:rPr>
        <w:t>מזכירויות במ"ש עמ"ק</w:t>
      </w:r>
    </w:p>
    <w:p w:rsidR="003037FB" w:rsidRPr="004C5AC7" w:rsidP="004C5AC7">
      <w:pPr>
        <w:spacing w:after="120" w:line="230" w:lineRule="exact"/>
        <w:jc w:val="both"/>
        <w:rPr>
          <w:rFonts w:cs="FrankRuehl"/>
          <w:sz w:val="20"/>
          <w:szCs w:val="22"/>
          <w:rtl/>
        </w:rPr>
      </w:pPr>
      <w:r w:rsidRPr="004C5AC7">
        <w:rPr>
          <w:rFonts w:cs="FrankRuehl" w:hint="cs"/>
          <w:sz w:val="20"/>
          <w:szCs w:val="22"/>
          <w:rtl/>
        </w:rPr>
        <w:t>חוק</w:t>
      </w:r>
      <w:r w:rsidRPr="004C5AC7">
        <w:rPr>
          <w:rFonts w:cs="FrankRuehl"/>
          <w:sz w:val="20"/>
          <w:szCs w:val="22"/>
          <w:rtl/>
        </w:rPr>
        <w:t xml:space="preserve"> </w:t>
      </w:r>
      <w:r w:rsidRPr="004C5AC7">
        <w:rPr>
          <w:rFonts w:cs="FrankRuehl" w:hint="cs"/>
          <w:sz w:val="20"/>
          <w:szCs w:val="22"/>
          <w:rtl/>
        </w:rPr>
        <w:t>הרשויות</w:t>
      </w:r>
      <w:r w:rsidRPr="004C5AC7">
        <w:rPr>
          <w:rFonts w:cs="FrankRuehl"/>
          <w:sz w:val="20"/>
          <w:szCs w:val="22"/>
          <w:rtl/>
        </w:rPr>
        <w:t xml:space="preserve"> </w:t>
      </w:r>
      <w:r w:rsidRPr="004C5AC7">
        <w:rPr>
          <w:rFonts w:cs="FrankRuehl" w:hint="cs"/>
          <w:sz w:val="20"/>
          <w:szCs w:val="22"/>
          <w:rtl/>
        </w:rPr>
        <w:t>המקומיות</w:t>
      </w:r>
      <w:r w:rsidRPr="004C5AC7">
        <w:rPr>
          <w:rFonts w:cs="FrankRuehl"/>
          <w:sz w:val="20"/>
          <w:szCs w:val="22"/>
          <w:rtl/>
        </w:rPr>
        <w:t xml:space="preserve"> (משמעת), </w:t>
      </w:r>
      <w:r w:rsidRPr="004C5AC7">
        <w:rPr>
          <w:rFonts w:cs="FrankRuehl" w:hint="cs"/>
          <w:sz w:val="20"/>
          <w:szCs w:val="22"/>
          <w:rtl/>
        </w:rPr>
        <w:t>התשל</w:t>
      </w:r>
      <w:r w:rsidRPr="004C5AC7">
        <w:rPr>
          <w:rFonts w:cs="FrankRuehl"/>
          <w:sz w:val="20"/>
          <w:szCs w:val="22"/>
          <w:rtl/>
        </w:rPr>
        <w:t xml:space="preserve">"ח - 1978 </w:t>
      </w:r>
      <w:r w:rsidRPr="004C5AC7">
        <w:rPr>
          <w:rFonts w:cs="FrankRuehl" w:hint="cs"/>
          <w:sz w:val="20"/>
          <w:szCs w:val="22"/>
          <w:rtl/>
        </w:rPr>
        <w:t>קובע כי</w:t>
      </w:r>
      <w:r w:rsidRPr="004C5AC7">
        <w:rPr>
          <w:rFonts w:cs="FrankRuehl"/>
          <w:sz w:val="20"/>
          <w:szCs w:val="22"/>
          <w:rtl/>
        </w:rPr>
        <w:t xml:space="preserve"> "ראש רשות מקומית או מי שהוא הסמיך לכך או היועץ המשפטי לממשלה רשאים להגיש לתובע קובלנה על עבירת משמעת שעבר עובד הרשות המקומית".</w:t>
      </w:r>
    </w:p>
    <w:p w:rsidR="003037FB" w:rsidRPr="004C5AC7" w:rsidP="004C5AC7">
      <w:pPr>
        <w:spacing w:after="120" w:line="230" w:lineRule="exact"/>
        <w:jc w:val="both"/>
        <w:rPr>
          <w:rFonts w:cs="FrankRuehl"/>
          <w:sz w:val="20"/>
          <w:szCs w:val="22"/>
          <w:rtl/>
        </w:rPr>
      </w:pPr>
      <w:r w:rsidRPr="004C5AC7">
        <w:rPr>
          <w:rFonts w:cs="FrankRuehl" w:hint="cs"/>
          <w:sz w:val="20"/>
          <w:szCs w:val="22"/>
          <w:rtl/>
        </w:rPr>
        <w:t>בשנת</w:t>
      </w:r>
      <w:r w:rsidRPr="004C5AC7">
        <w:rPr>
          <w:rFonts w:cs="FrankRuehl"/>
          <w:sz w:val="20"/>
          <w:szCs w:val="22"/>
          <w:rtl/>
        </w:rPr>
        <w:t xml:space="preserve"> 2008 </w:t>
      </w:r>
      <w:r w:rsidRPr="004C5AC7">
        <w:rPr>
          <w:rFonts w:cs="FrankRuehl" w:hint="cs"/>
          <w:sz w:val="20"/>
          <w:szCs w:val="22"/>
          <w:rtl/>
        </w:rPr>
        <w:t>הוגשו</w:t>
      </w:r>
      <w:r w:rsidRPr="004C5AC7">
        <w:rPr>
          <w:rFonts w:cs="FrankRuehl"/>
          <w:sz w:val="20"/>
          <w:szCs w:val="22"/>
          <w:rtl/>
        </w:rPr>
        <w:t xml:space="preserve"> </w:t>
      </w:r>
      <w:r w:rsidRPr="004C5AC7">
        <w:rPr>
          <w:rFonts w:cs="FrankRuehl" w:hint="cs"/>
          <w:sz w:val="20"/>
          <w:szCs w:val="22"/>
          <w:rtl/>
        </w:rPr>
        <w:t>המלצות</w:t>
      </w:r>
      <w:r w:rsidRPr="004C5AC7">
        <w:rPr>
          <w:rFonts w:cs="FrankRuehl"/>
          <w:sz w:val="20"/>
          <w:szCs w:val="22"/>
          <w:rtl/>
        </w:rPr>
        <w:t xml:space="preserve"> </w:t>
      </w:r>
      <w:r w:rsidRPr="004C5AC7">
        <w:rPr>
          <w:rFonts w:cs="FrankRuehl" w:hint="cs"/>
          <w:sz w:val="20"/>
          <w:szCs w:val="22"/>
          <w:rtl/>
        </w:rPr>
        <w:t>של</w:t>
      </w:r>
      <w:r w:rsidRPr="004C5AC7">
        <w:rPr>
          <w:rFonts w:cs="FrankRuehl"/>
          <w:sz w:val="20"/>
          <w:szCs w:val="22"/>
          <w:rtl/>
        </w:rPr>
        <w:t xml:space="preserve"> </w:t>
      </w:r>
      <w:r w:rsidRPr="004C5AC7">
        <w:rPr>
          <w:rFonts w:cs="FrankRuehl" w:hint="cs"/>
          <w:sz w:val="20"/>
          <w:szCs w:val="22"/>
          <w:rtl/>
        </w:rPr>
        <w:t>דוח</w:t>
      </w:r>
      <w:r w:rsidRPr="004C5AC7">
        <w:rPr>
          <w:rFonts w:cs="FrankRuehl"/>
          <w:sz w:val="20"/>
          <w:szCs w:val="22"/>
          <w:rtl/>
        </w:rPr>
        <w:t xml:space="preserve"> </w:t>
      </w:r>
      <w:r w:rsidRPr="004C5AC7">
        <w:rPr>
          <w:rFonts w:cs="FrankRuehl" w:hint="cs"/>
          <w:sz w:val="20"/>
          <w:szCs w:val="22"/>
          <w:rtl/>
        </w:rPr>
        <w:t>שהכין</w:t>
      </w:r>
      <w:r w:rsidRPr="004C5AC7">
        <w:rPr>
          <w:rFonts w:cs="FrankRuehl"/>
          <w:sz w:val="20"/>
          <w:szCs w:val="22"/>
          <w:rtl/>
        </w:rPr>
        <w:t xml:space="preserve"> </w:t>
      </w:r>
      <w:r w:rsidRPr="004C5AC7">
        <w:rPr>
          <w:rFonts w:cs="FrankRuehl" w:hint="cs"/>
          <w:sz w:val="20"/>
          <w:szCs w:val="22"/>
          <w:rtl/>
        </w:rPr>
        <w:t>צוות</w:t>
      </w:r>
      <w:r w:rsidRPr="004C5AC7">
        <w:rPr>
          <w:rFonts w:cs="FrankRuehl"/>
          <w:sz w:val="20"/>
          <w:szCs w:val="22"/>
          <w:rtl/>
        </w:rPr>
        <w:t xml:space="preserve"> </w:t>
      </w:r>
      <w:r w:rsidRPr="004C5AC7">
        <w:rPr>
          <w:rFonts w:cs="FrankRuehl" w:hint="cs"/>
          <w:sz w:val="20"/>
          <w:szCs w:val="22"/>
          <w:rtl/>
        </w:rPr>
        <w:t>שמינה</w:t>
      </w:r>
      <w:r w:rsidRPr="004C5AC7">
        <w:rPr>
          <w:rFonts w:cs="FrankRuehl"/>
          <w:sz w:val="20"/>
          <w:szCs w:val="22"/>
          <w:rtl/>
        </w:rPr>
        <w:t xml:space="preserve"> </w:t>
      </w:r>
      <w:r w:rsidRPr="004C5AC7">
        <w:rPr>
          <w:rFonts w:cs="FrankRuehl" w:hint="cs"/>
          <w:sz w:val="20"/>
          <w:szCs w:val="22"/>
          <w:rtl/>
        </w:rPr>
        <w:t>מנהל</w:t>
      </w:r>
      <w:r w:rsidRPr="004C5AC7">
        <w:rPr>
          <w:rFonts w:cs="FrankRuehl"/>
          <w:sz w:val="20"/>
          <w:szCs w:val="22"/>
          <w:rtl/>
        </w:rPr>
        <w:t xml:space="preserve"> </w:t>
      </w:r>
      <w:r w:rsidRPr="004C5AC7">
        <w:rPr>
          <w:rFonts w:cs="FrankRuehl" w:hint="cs"/>
          <w:sz w:val="20"/>
          <w:szCs w:val="22"/>
          <w:rtl/>
        </w:rPr>
        <w:t>הב</w:t>
      </w:r>
      <w:r w:rsidRPr="004C5AC7">
        <w:rPr>
          <w:rFonts w:cs="FrankRuehl"/>
          <w:sz w:val="20"/>
          <w:szCs w:val="22"/>
          <w:rtl/>
        </w:rPr>
        <w:t xml:space="preserve">"ה </w:t>
      </w:r>
      <w:r w:rsidRPr="004C5AC7">
        <w:rPr>
          <w:rFonts w:cs="FrankRuehl" w:hint="cs"/>
          <w:sz w:val="20"/>
          <w:szCs w:val="22"/>
          <w:rtl/>
        </w:rPr>
        <w:t>לבחינת</w:t>
      </w:r>
      <w:r w:rsidRPr="004C5AC7">
        <w:rPr>
          <w:rFonts w:cs="FrankRuehl"/>
          <w:sz w:val="20"/>
          <w:szCs w:val="22"/>
          <w:rtl/>
        </w:rPr>
        <w:t xml:space="preserve"> </w:t>
      </w:r>
      <w:r w:rsidRPr="004C5AC7">
        <w:rPr>
          <w:rFonts w:cs="FrankRuehl" w:hint="cs"/>
          <w:sz w:val="20"/>
          <w:szCs w:val="22"/>
          <w:rtl/>
        </w:rPr>
        <w:t>שילובם</w:t>
      </w:r>
      <w:r w:rsidRPr="004C5AC7">
        <w:rPr>
          <w:rFonts w:cs="FrankRuehl"/>
          <w:sz w:val="20"/>
          <w:szCs w:val="22"/>
          <w:rtl/>
        </w:rPr>
        <w:t xml:space="preserve"> </w:t>
      </w:r>
      <w:r w:rsidRPr="004C5AC7">
        <w:rPr>
          <w:rFonts w:cs="FrankRuehl" w:hint="cs"/>
          <w:sz w:val="20"/>
          <w:szCs w:val="22"/>
          <w:rtl/>
        </w:rPr>
        <w:t>של</w:t>
      </w:r>
      <w:r w:rsidRPr="004C5AC7">
        <w:rPr>
          <w:rFonts w:cs="FrankRuehl"/>
          <w:sz w:val="20"/>
          <w:szCs w:val="22"/>
          <w:rtl/>
        </w:rPr>
        <w:t xml:space="preserve"> </w:t>
      </w:r>
      <w:r w:rsidRPr="004C5AC7">
        <w:rPr>
          <w:rFonts w:cs="FrankRuehl" w:hint="cs"/>
          <w:sz w:val="20"/>
          <w:szCs w:val="22"/>
          <w:rtl/>
        </w:rPr>
        <w:t>בתי</w:t>
      </w:r>
      <w:r w:rsidRPr="004C5AC7">
        <w:rPr>
          <w:rFonts w:cs="FrankRuehl"/>
          <w:sz w:val="20"/>
          <w:szCs w:val="22"/>
          <w:rtl/>
        </w:rPr>
        <w:t xml:space="preserve"> </w:t>
      </w:r>
      <w:r w:rsidRPr="004C5AC7">
        <w:rPr>
          <w:rFonts w:cs="FrankRuehl" w:hint="cs"/>
          <w:sz w:val="20"/>
          <w:szCs w:val="22"/>
          <w:rtl/>
        </w:rPr>
        <w:t>המשפט</w:t>
      </w:r>
      <w:r w:rsidRPr="004C5AC7">
        <w:rPr>
          <w:rFonts w:cs="FrankRuehl"/>
          <w:sz w:val="20"/>
          <w:szCs w:val="22"/>
          <w:rtl/>
        </w:rPr>
        <w:t xml:space="preserve"> </w:t>
      </w:r>
      <w:r w:rsidRPr="004C5AC7">
        <w:rPr>
          <w:rFonts w:cs="FrankRuehl" w:hint="cs"/>
          <w:sz w:val="20"/>
          <w:szCs w:val="22"/>
          <w:rtl/>
        </w:rPr>
        <w:t>עמ</w:t>
      </w:r>
      <w:r w:rsidRPr="004C5AC7">
        <w:rPr>
          <w:rFonts w:cs="FrankRuehl"/>
          <w:sz w:val="20"/>
          <w:szCs w:val="22"/>
          <w:rtl/>
        </w:rPr>
        <w:t xml:space="preserve">"ק </w:t>
      </w:r>
      <w:r w:rsidRPr="004C5AC7">
        <w:rPr>
          <w:rFonts w:cs="FrankRuehl" w:hint="cs"/>
          <w:sz w:val="20"/>
          <w:szCs w:val="22"/>
          <w:rtl/>
        </w:rPr>
        <w:t>בבתי</w:t>
      </w:r>
      <w:r w:rsidRPr="004C5AC7">
        <w:rPr>
          <w:rFonts w:cs="FrankRuehl"/>
          <w:sz w:val="20"/>
          <w:szCs w:val="22"/>
          <w:rtl/>
        </w:rPr>
        <w:t xml:space="preserve"> </w:t>
      </w:r>
      <w:r w:rsidRPr="004C5AC7">
        <w:rPr>
          <w:rFonts w:cs="FrankRuehl" w:hint="cs"/>
          <w:sz w:val="20"/>
          <w:szCs w:val="22"/>
          <w:rtl/>
        </w:rPr>
        <w:t>משפט</w:t>
      </w:r>
      <w:r w:rsidRPr="004C5AC7">
        <w:rPr>
          <w:rFonts w:cs="FrankRuehl"/>
          <w:sz w:val="20"/>
          <w:szCs w:val="22"/>
          <w:rtl/>
        </w:rPr>
        <w:t xml:space="preserve"> </w:t>
      </w:r>
      <w:r w:rsidRPr="004C5AC7">
        <w:rPr>
          <w:rFonts w:cs="FrankRuehl" w:hint="cs"/>
          <w:sz w:val="20"/>
          <w:szCs w:val="22"/>
          <w:rtl/>
        </w:rPr>
        <w:t>השלום</w:t>
      </w:r>
      <w:r w:rsidRPr="004C5AC7">
        <w:rPr>
          <w:rFonts w:cs="FrankRuehl"/>
          <w:sz w:val="20"/>
          <w:szCs w:val="22"/>
          <w:rtl/>
        </w:rPr>
        <w:t xml:space="preserve"> (להלן</w:t>
      </w:r>
      <w:r w:rsidRPr="004C5AC7">
        <w:rPr>
          <w:rFonts w:cs="FrankRuehl" w:hint="cs"/>
          <w:sz w:val="20"/>
          <w:szCs w:val="22"/>
          <w:rtl/>
        </w:rPr>
        <w:t xml:space="preserve"> </w:t>
      </w:r>
      <w:r w:rsidRPr="004C5AC7">
        <w:rPr>
          <w:rFonts w:cs="FrankRuehl"/>
          <w:sz w:val="20"/>
          <w:szCs w:val="22"/>
          <w:rtl/>
        </w:rPr>
        <w:t xml:space="preserve">- דוח </w:t>
      </w:r>
      <w:r w:rsidRPr="004C5AC7">
        <w:rPr>
          <w:rFonts w:cs="FrankRuehl" w:hint="cs"/>
          <w:sz w:val="20"/>
          <w:szCs w:val="22"/>
          <w:rtl/>
        </w:rPr>
        <w:t>בושארי</w:t>
      </w:r>
      <w:r w:rsidRPr="004C5AC7">
        <w:rPr>
          <w:rFonts w:cs="FrankRuehl"/>
          <w:sz w:val="20"/>
          <w:szCs w:val="22"/>
          <w:rtl/>
        </w:rPr>
        <w:t xml:space="preserve">). </w:t>
      </w:r>
      <w:r w:rsidRPr="004C5AC7">
        <w:rPr>
          <w:rFonts w:cs="FrankRuehl" w:hint="cs"/>
          <w:sz w:val="20"/>
          <w:szCs w:val="22"/>
          <w:rtl/>
        </w:rPr>
        <w:t xml:space="preserve">בדוח הועלה, כי עובדי בתי המשפט עמ"ק הם עובדי הרשות המקומית ואין בסמכותה של הב"ה לטפל בבעיות משמעת ובתפקוד לקוי המתגלים אצל עובדים אלה. עמדתה של המדינה בנוגע לנושא מופיעה בבג"ץ קארשי. העמדה גובשה לאחר דיון של היועץ המשפטי לממשלה ועם הגורמים הרלוונטיים לכך ובהם משרד הפנים, ולפיה על ראש עירייה להסמיך את המזכיר הראשי של בית משפט השלום שאליו מסונף בית המשפט עמ"ק להיות קובל משמעתי מטעמו, וסמכות דומה צריכה להינתן ליועץ המשפטי של הב"ה.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דוח הביקורת הפנימית בהב"ה מ-2011 בדק גם מי הם הגורמים המטפלים באירועי משמעת ובתלונות, ונמצא כי רוב מזכירי בית המשפט עמ"ק אינם יודעים מיהו הגורם המטפל באירועי משמעת ותלונות על עובדים ומהו אופן הטיפול בהם.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התגובה של הלשכה המשפטית בהב"ה לדוח הביקורת הפנימית</w:t>
      </w:r>
      <w:r w:rsidRPr="00247C05">
        <w:rPr>
          <w:rFonts w:cs="FrankRuehl" w:hint="cs"/>
          <w:sz w:val="20"/>
          <w:szCs w:val="22"/>
          <w:rtl/>
        </w:rPr>
        <w:t xml:space="preserve"> </w:t>
      </w:r>
      <w:r w:rsidRPr="00247C05">
        <w:rPr>
          <w:rFonts w:cs="FrankRuehl" w:hint="cs"/>
          <w:sz w:val="20"/>
          <w:szCs w:val="22"/>
          <w:rtl/>
        </w:rPr>
        <w:t xml:space="preserve">עסקה גם בנושא המשמעת ונכתב בה, כי הגורם שנדרש לטפל בעברות משמעת בהתאם לסעיף 11 לחוק הרשויות המקומיות (משמעת), התשל"ח-1978, הוא מנהל המחוז בהב"ה, ועליו לקבל מינוי מטעם ראש העירייה כדי לשמש קובל משמעתי. כמו כן נכתב, כי "הגורמים הרלוונטיים" ברשויות המקומיות עודכנו בכך והתבקשו להעביר להב"ה עותק מכתבי המינוי.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גם הייעוץ המשפטי של הב"ה דן בנושא וציין באוקטובר 2013, כי הב"ה הסדירה עם הרשויות המקומיות את מינויו של מנהל המחוז לתפקיד קובל משמעתי מטעם ראש העירייה. במסמך נוסף הדגיש היועץ המשפטי את הקשיים שמתעוררים בבירור תלונות ומיצוי הליכים משמעתיים בתלונות </w:t>
      </w:r>
      <w:r w:rsidRPr="00247C05">
        <w:rPr>
          <w:rFonts w:cs="FrankRuehl" w:hint="cs"/>
          <w:sz w:val="20"/>
          <w:szCs w:val="22"/>
          <w:rtl/>
        </w:rPr>
        <w:t xml:space="preserve">על עבודת מזכירויות של בתי משפט עמ"ק. זאת מכיוון שהבירור המשמעתי אינו נמצא בסמכותה של מערכת בתי המשפט אלא בידי הרשות המקומית. </w:t>
      </w:r>
    </w:p>
    <w:p w:rsidR="003037FB" w:rsidRPr="00247C05" w:rsidP="004C5AC7">
      <w:pPr>
        <w:spacing w:after="240" w:line="230" w:lineRule="exact"/>
        <w:jc w:val="both"/>
        <w:rPr>
          <w:rFonts w:cs="FrankRuehl"/>
          <w:sz w:val="20"/>
          <w:szCs w:val="22"/>
          <w:rtl/>
        </w:rPr>
      </w:pPr>
      <w:r w:rsidRPr="00247C05">
        <w:rPr>
          <w:rFonts w:cs="FrankRuehl" w:hint="cs"/>
          <w:sz w:val="20"/>
          <w:szCs w:val="22"/>
          <w:rtl/>
        </w:rPr>
        <w:t xml:space="preserve">הב"ה ביקשה להסדיר את נושא המשמעת בנוהל ממשקי עבודה. בנוהל נקבע, כי יש להפנות תלונות על מזכירויות עמ"ק בתחום המקצועי אל המזכירים הראשיים שבאזור שיפוטם פועל בית משפט עמ"ק. עליהם להעביר את התלונות לבדיקתה של הביקורת הפנימית בהב"ה, ובמקרים המתאימים לפי המלצת יחידת הביקורת, יש להעביר את הטיפול המשמעתי אל היועץ המשפטי של הב"ה. </w:t>
      </w:r>
    </w:p>
    <w:p w:rsidR="003037FB" w:rsidRPr="00247C05" w:rsidP="004C5AC7">
      <w:pPr>
        <w:pStyle w:val="RESHET"/>
        <w:keepLines/>
        <w:rPr>
          <w:rtl/>
        </w:rPr>
      </w:pPr>
      <w:r w:rsidRPr="00247C05">
        <w:rPr>
          <w:rFonts w:hint="cs"/>
          <w:rtl/>
        </w:rPr>
        <w:t xml:space="preserve">מהתשובות לשאלונים עולה, כי רק בשבעה מ-18 במ"ש עמ"ק (כ-38%) הוסמך המזכיר הראשי או מנהל המחוז לקובל משמעתי. קובלים משמעתיים אחרים הם בעלי תפקידים שונים ברשויות המקומיות. מהתשובות לשאלונים עלה, כי היועץ המשפטי של הנהלת בתי המשפט לא מונה לקובל משמעתי. יוצא אפוא, שאין הסדרה נאותה לגורמים הממונים לטפל באירועי משמעת של עובדי המזכירות בבתי המשפט, ושלא יושמו ההחלטות וההנחיות בנושא זה. </w:t>
      </w:r>
    </w:p>
    <w:p w:rsidR="003037FB" w:rsidRPr="00247C05" w:rsidP="004C5AC7">
      <w:pPr>
        <w:spacing w:before="180" w:after="120" w:line="230" w:lineRule="exact"/>
        <w:jc w:val="both"/>
        <w:rPr>
          <w:rFonts w:cs="FrankRuehl"/>
          <w:sz w:val="20"/>
          <w:szCs w:val="22"/>
          <w:rtl/>
        </w:rPr>
      </w:pPr>
      <w:r w:rsidRPr="00247C05">
        <w:rPr>
          <w:rFonts w:cs="FrankRuehl" w:hint="cs"/>
          <w:sz w:val="20"/>
          <w:szCs w:val="22"/>
          <w:rtl/>
        </w:rPr>
        <w:t>בתשובתה</w:t>
      </w:r>
      <w:r w:rsidRPr="00247C05">
        <w:rPr>
          <w:rFonts w:cs="FrankRuehl"/>
          <w:sz w:val="20"/>
          <w:szCs w:val="22"/>
          <w:rtl/>
        </w:rPr>
        <w:t xml:space="preserve"> ציינה </w:t>
      </w:r>
      <w:r w:rsidRPr="00247C05">
        <w:rPr>
          <w:rFonts w:cs="FrankRuehl" w:hint="cs"/>
          <w:sz w:val="20"/>
          <w:szCs w:val="22"/>
          <w:rtl/>
        </w:rPr>
        <w:t xml:space="preserve">הב"ה, </w:t>
      </w:r>
      <w:r w:rsidRPr="00247C05">
        <w:rPr>
          <w:rFonts w:cs="FrankRuehl"/>
          <w:sz w:val="20"/>
          <w:szCs w:val="22"/>
          <w:rtl/>
        </w:rPr>
        <w:t xml:space="preserve">כי </w:t>
      </w:r>
      <w:r w:rsidRPr="00247C05">
        <w:rPr>
          <w:rFonts w:cs="FrankRuehl" w:hint="cs"/>
          <w:sz w:val="20"/>
          <w:szCs w:val="22"/>
          <w:rtl/>
        </w:rPr>
        <w:t xml:space="preserve">"אכן </w:t>
      </w:r>
      <w:r w:rsidRPr="00247C05">
        <w:rPr>
          <w:rFonts w:cs="FrankRuehl"/>
          <w:sz w:val="20"/>
          <w:szCs w:val="22"/>
          <w:rtl/>
        </w:rPr>
        <w:t xml:space="preserve">קיים קושי מובנה </w:t>
      </w:r>
      <w:r w:rsidRPr="00247C05">
        <w:rPr>
          <w:rFonts w:cs="FrankRuehl" w:hint="cs"/>
          <w:sz w:val="20"/>
          <w:szCs w:val="22"/>
          <w:rtl/>
        </w:rPr>
        <w:t>בהכפפת</w:t>
      </w:r>
      <w:r w:rsidRPr="00247C05">
        <w:rPr>
          <w:rFonts w:cs="FrankRuehl"/>
          <w:sz w:val="20"/>
          <w:szCs w:val="22"/>
          <w:rtl/>
        </w:rPr>
        <w:t xml:space="preserve"> עובדי </w:t>
      </w:r>
      <w:r w:rsidRPr="00247C05">
        <w:rPr>
          <w:rFonts w:cs="FrankRuehl" w:hint="cs"/>
          <w:sz w:val="20"/>
          <w:szCs w:val="22"/>
          <w:rtl/>
        </w:rPr>
        <w:t>הרשות</w:t>
      </w:r>
      <w:r w:rsidRPr="00247C05">
        <w:rPr>
          <w:rFonts w:cs="FrankRuehl"/>
          <w:sz w:val="20"/>
          <w:szCs w:val="22"/>
          <w:rtl/>
        </w:rPr>
        <w:t xml:space="preserve"> לטיפול משמעתי של מנהל המחוז</w:t>
      </w:r>
      <w:r w:rsidRPr="00247C05">
        <w:rPr>
          <w:rFonts w:cs="FrankRuehl" w:hint="cs"/>
          <w:sz w:val="20"/>
          <w:szCs w:val="22"/>
          <w:rtl/>
        </w:rPr>
        <w:t>.</w:t>
      </w:r>
      <w:r w:rsidRPr="00247C05">
        <w:rPr>
          <w:rFonts w:cs="FrankRuehl"/>
          <w:sz w:val="20"/>
          <w:szCs w:val="22"/>
          <w:rtl/>
        </w:rPr>
        <w:t xml:space="preserve"> בפועל אין הסדרה</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 xml:space="preserve">שוב בשל בעיית הכפיפות הדואלית [מקצועית להב"ה ומינהלית לרשות]". </w:t>
      </w:r>
    </w:p>
    <w:p w:rsidR="003037FB" w:rsidRPr="00247C05" w:rsidP="004C5AC7">
      <w:pPr>
        <w:spacing w:after="240" w:line="230" w:lineRule="exact"/>
        <w:jc w:val="both"/>
        <w:rPr>
          <w:rFonts w:cs="FrankRuehl"/>
          <w:sz w:val="20"/>
          <w:szCs w:val="22"/>
          <w:rtl/>
        </w:rPr>
      </w:pPr>
      <w:r w:rsidRPr="00247C05">
        <w:rPr>
          <w:rFonts w:cs="FrankRuehl" w:hint="cs"/>
          <w:sz w:val="20"/>
          <w:szCs w:val="22"/>
          <w:rtl/>
        </w:rPr>
        <w:t>בתשובתה של עיריית רמת גן מדצמבר 2015 נמסר, כי ראש העיר ימנה את מנהל המחוז לקובל משמעתי של עובדי במ"ש עמ"ק ברמת גן. ואילו בתשובת עיריית בת ים מדצמבר 2015 נכתב, כי עובדי הרשות המקומית כפופים לדיני המשמעת של הרשות ועל כן, לעמדתם, אין מקום להסמיך לקובל משמעתי את מזכיר בית משפט השלום.</w:t>
      </w:r>
    </w:p>
    <w:p w:rsidR="003037FB" w:rsidRPr="00247C05" w:rsidP="004C5AC7">
      <w:pPr>
        <w:pStyle w:val="RESHET"/>
        <w:keepLines/>
        <w:rPr>
          <w:rtl/>
        </w:rPr>
      </w:pPr>
      <w:r w:rsidRPr="00247C05">
        <w:rPr>
          <w:rFonts w:hint="cs"/>
          <w:rtl/>
        </w:rPr>
        <w:t xml:space="preserve">לדעת משרד מבקר המדינה על הב"ה לרכז נתונים עדכניים על העובדים ברשויות המקומיות ובהם פרטים על כפיפותם המינהלית ועל הקובלים המשמעתיים המוסמכים לטפל בענייני המשמעת. הרשויות המקומיות שבהן פועלים בתי משפט לעניינים מקומיים נדרשות להסמיך ללא דיחוי קובל משמעתי מתאים ולהעביר את כתבי המינוי לגורמים הרלוונטיים בהב"ה. </w:t>
      </w:r>
    </w:p>
    <w:p w:rsidR="003037FB" w:rsidP="00040DAE">
      <w:pPr>
        <w:spacing w:after="120" w:line="230" w:lineRule="exact"/>
        <w:jc w:val="both"/>
        <w:rPr>
          <w:rFonts w:cs="FrankRuehl"/>
          <w:sz w:val="20"/>
          <w:szCs w:val="22"/>
          <w:rtl/>
        </w:rPr>
      </w:pPr>
    </w:p>
    <w:p w:rsidR="004C5AC7" w:rsidRPr="00247C05" w:rsidP="00040DAE">
      <w:pPr>
        <w:spacing w:after="120" w:line="230" w:lineRule="exact"/>
        <w:jc w:val="both"/>
        <w:rPr>
          <w:rFonts w:cs="FrankRuehl"/>
          <w:sz w:val="20"/>
          <w:szCs w:val="22"/>
          <w:rtl/>
        </w:rPr>
      </w:pPr>
    </w:p>
    <w:p w:rsidR="003037FB" w:rsidRPr="00A45E9A" w:rsidP="00040DAE">
      <w:pPr>
        <w:pStyle w:val="KOT4"/>
        <w:rPr>
          <w:rtl/>
        </w:rPr>
      </w:pPr>
      <w:r w:rsidRPr="00A45E9A">
        <w:rPr>
          <w:rFonts w:hint="cs"/>
          <w:rtl/>
        </w:rPr>
        <w:t>הגבייה העירונית בבתי משפט עמ"ק</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ככלל, תפקידו של בית המשפט מסתיים לאחר מתן פסק דין, ואולם לפעמים הוא מטפל גם בעניין אכיפת מאסר שנקבע בגזר דין, או שיש צורך לבצע פעולות לגביית תשלומים לפי פסק דין. לפי הב"ה, פעולות גבייה לאכיפת פסקי הדין המבוצעות לפי הסמכות הנתונה לרשויות המקומיות מכוח פקודת המסים (גבייה) (להלן - פקודת המסים) אינן מתפקידם של מזכירי בתי המשפט, ולפי עמדת היועץ המשפטי של הב"ה (לשעבר) אף אינן צריכות להיעשות ממבנה בית המשפט.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עקרון הפרדת הרשויות ואי-התלות של בתי המשפט הם עקרונות בסיסיים בשיטת המשפט הישראלית שעליהן עמד גם בית המשפט בבג"ץ קארשי. הפרדת פעולות הגבייה של הרשויות המקומיות מפעולות בית המשפט אף מופיעה כאחד משלבי הביצוע שנקבעו </w:t>
      </w:r>
      <w:r w:rsidRPr="00247C05">
        <w:rPr>
          <w:rFonts w:cs="FrankRuehl" w:hint="cs"/>
          <w:b/>
          <w:sz w:val="20"/>
          <w:szCs w:val="22"/>
          <w:rtl/>
        </w:rPr>
        <w:t>במסמך</w:t>
      </w:r>
      <w:r w:rsidRPr="00247C05">
        <w:rPr>
          <w:rFonts w:cs="FrankRuehl"/>
          <w:b/>
          <w:sz w:val="20"/>
          <w:szCs w:val="22"/>
          <w:rtl/>
        </w:rPr>
        <w:t xml:space="preserve"> </w:t>
      </w:r>
      <w:r w:rsidRPr="00247C05">
        <w:rPr>
          <w:rFonts w:cs="FrankRuehl" w:hint="cs"/>
          <w:b/>
          <w:sz w:val="20"/>
          <w:szCs w:val="22"/>
          <w:rtl/>
        </w:rPr>
        <w:t>סיכום</w:t>
      </w:r>
      <w:r w:rsidRPr="00247C05">
        <w:rPr>
          <w:rFonts w:cs="FrankRuehl"/>
          <w:b/>
          <w:sz w:val="20"/>
          <w:szCs w:val="22"/>
          <w:rtl/>
        </w:rPr>
        <w:t xml:space="preserve"> </w:t>
      </w:r>
      <w:r w:rsidRPr="00247C05">
        <w:rPr>
          <w:rFonts w:cs="FrankRuehl" w:hint="cs"/>
          <w:b/>
          <w:sz w:val="20"/>
          <w:szCs w:val="22"/>
          <w:rtl/>
        </w:rPr>
        <w:t>המפגש</w:t>
      </w:r>
      <w:r w:rsidRPr="00247C05">
        <w:rPr>
          <w:rFonts w:cs="FrankRuehl"/>
          <w:b/>
          <w:sz w:val="20"/>
          <w:szCs w:val="22"/>
          <w:rtl/>
        </w:rPr>
        <w:t xml:space="preserve"> </w:t>
      </w:r>
      <w:r w:rsidRPr="00247C05">
        <w:rPr>
          <w:rFonts w:cs="FrankRuehl" w:hint="cs"/>
          <w:b/>
          <w:sz w:val="20"/>
          <w:szCs w:val="22"/>
          <w:rtl/>
        </w:rPr>
        <w:t>עם</w:t>
      </w:r>
      <w:r w:rsidRPr="00247C05">
        <w:rPr>
          <w:rFonts w:cs="FrankRuehl"/>
          <w:b/>
          <w:sz w:val="20"/>
          <w:szCs w:val="22"/>
          <w:rtl/>
        </w:rPr>
        <w:t xml:space="preserve"> </w:t>
      </w:r>
      <w:r w:rsidRPr="00247C05">
        <w:rPr>
          <w:rFonts w:cs="FrankRuehl" w:hint="cs"/>
          <w:b/>
          <w:sz w:val="20"/>
          <w:szCs w:val="22"/>
          <w:rtl/>
        </w:rPr>
        <w:t>המנכ</w:t>
      </w:r>
      <w:r w:rsidRPr="00247C05">
        <w:rPr>
          <w:rFonts w:cs="FrankRuehl"/>
          <w:b/>
          <w:sz w:val="20"/>
          <w:szCs w:val="22"/>
          <w:rtl/>
        </w:rPr>
        <w:t>"לים</w:t>
      </w:r>
      <w:r w:rsidRPr="00247C05">
        <w:rPr>
          <w:rFonts w:cs="FrankRuehl" w:hint="cs"/>
          <w:b/>
          <w:sz w:val="20"/>
          <w:szCs w:val="22"/>
          <w:rtl/>
        </w:rPr>
        <w:t xml:space="preserve">, </w:t>
      </w:r>
      <w:r w:rsidRPr="00247C05">
        <w:rPr>
          <w:rFonts w:cs="FrankRuehl" w:hint="cs"/>
          <w:sz w:val="20"/>
          <w:szCs w:val="22"/>
          <w:rtl/>
        </w:rPr>
        <w:t xml:space="preserve">בדומה לתהליך הפרדת ההוצאה לפועל מבתי המשפט. </w:t>
      </w:r>
    </w:p>
    <w:p w:rsidR="003037FB" w:rsidRPr="00247C05" w:rsidP="004C5AC7">
      <w:pPr>
        <w:pStyle w:val="ListParagraph"/>
        <w:numPr>
          <w:ilvl w:val="0"/>
          <w:numId w:val="8"/>
        </w:numPr>
        <w:spacing w:after="24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לאחר שנמצאו כמה חריגות שבהן הופיעו במסמכי גבייה שמותיהם של בתי משפט עמ"ק לצד שם הרשות המקומית, הנחה מנהל התחום את המזכירים</w:t>
      </w:r>
      <w:r w:rsidRPr="00247C05">
        <w:rPr>
          <w:rFonts w:ascii="Times New Roman" w:hAnsi="Times New Roman" w:cs="FrankRuehl"/>
          <w:sz w:val="20"/>
          <w:rtl/>
        </w:rPr>
        <w:t xml:space="preserve"> </w:t>
      </w:r>
      <w:r w:rsidRPr="00247C05">
        <w:rPr>
          <w:rFonts w:ascii="Times New Roman" w:hAnsi="Times New Roman" w:cs="FrankRuehl" w:hint="cs"/>
          <w:sz w:val="20"/>
          <w:rtl/>
        </w:rPr>
        <w:t>של</w:t>
      </w:r>
      <w:r w:rsidRPr="00247C05">
        <w:rPr>
          <w:rFonts w:ascii="Times New Roman" w:hAnsi="Times New Roman" w:cs="FrankRuehl"/>
          <w:sz w:val="20"/>
          <w:rtl/>
        </w:rPr>
        <w:t xml:space="preserve"> </w:t>
      </w:r>
      <w:r w:rsidRPr="00247C05">
        <w:rPr>
          <w:rFonts w:ascii="Times New Roman" w:hAnsi="Times New Roman" w:cs="FrankRuehl" w:hint="cs"/>
          <w:sz w:val="20"/>
          <w:rtl/>
        </w:rPr>
        <w:t>בתי</w:t>
      </w:r>
      <w:r w:rsidRPr="00247C05">
        <w:rPr>
          <w:rFonts w:ascii="Times New Roman" w:hAnsi="Times New Roman" w:cs="FrankRuehl"/>
          <w:sz w:val="20"/>
          <w:rtl/>
        </w:rPr>
        <w:t xml:space="preserve"> </w:t>
      </w:r>
      <w:r w:rsidRPr="00247C05">
        <w:rPr>
          <w:rFonts w:ascii="Times New Roman" w:hAnsi="Times New Roman" w:cs="FrankRuehl" w:hint="cs"/>
          <w:sz w:val="20"/>
          <w:rtl/>
        </w:rPr>
        <w:t>משפט</w:t>
      </w:r>
      <w:r w:rsidRPr="00247C05">
        <w:rPr>
          <w:rFonts w:ascii="Times New Roman" w:hAnsi="Times New Roman" w:cs="FrankRuehl"/>
          <w:sz w:val="20"/>
          <w:rtl/>
        </w:rPr>
        <w:t xml:space="preserve"> </w:t>
      </w:r>
      <w:r w:rsidRPr="00247C05">
        <w:rPr>
          <w:rFonts w:ascii="Times New Roman" w:hAnsi="Times New Roman" w:cs="FrankRuehl" w:hint="cs"/>
          <w:sz w:val="20"/>
          <w:rtl/>
        </w:rPr>
        <w:t>עמ</w:t>
      </w:r>
      <w:r w:rsidRPr="00247C05">
        <w:rPr>
          <w:rFonts w:ascii="Times New Roman" w:hAnsi="Times New Roman" w:cs="FrankRuehl"/>
          <w:sz w:val="20"/>
          <w:rtl/>
        </w:rPr>
        <w:t>"ק</w:t>
      </w:r>
      <w:r w:rsidRPr="00247C05">
        <w:rPr>
          <w:rFonts w:ascii="Times New Roman" w:hAnsi="Times New Roman" w:cs="FrankRuehl" w:hint="cs"/>
          <w:sz w:val="20"/>
          <w:rtl/>
        </w:rPr>
        <w:t xml:space="preserve">, כי עליהם לפנות לממונה על הגבייה בעירייה ולהבהיר לו שבדרישות לתשלום קנס על פי פקודת המסים לא יופיע שמו של בית המשפט אלא של הרשות המקומית בלבד. </w:t>
      </w:r>
    </w:p>
    <w:p w:rsidR="003037FB" w:rsidRPr="00247C05" w:rsidP="004C5AC7">
      <w:pPr>
        <w:pStyle w:val="RESHET"/>
        <w:keepLines/>
        <w:ind w:left="567"/>
        <w:rPr>
          <w:rtl/>
        </w:rPr>
      </w:pPr>
      <w:r w:rsidRPr="00247C05">
        <w:rPr>
          <w:rFonts w:hint="cs"/>
          <w:rtl/>
        </w:rPr>
        <w:t>ממסמכי הב"ה</w:t>
      </w:r>
      <w:r w:rsidRPr="00247C05">
        <w:rPr>
          <w:rtl/>
        </w:rPr>
        <w:t xml:space="preserve"> עולה</w:t>
      </w:r>
      <w:r w:rsidRPr="00247C05">
        <w:rPr>
          <w:rFonts w:hint="cs"/>
          <w:rtl/>
        </w:rPr>
        <w:t>,</w:t>
      </w:r>
      <w:r w:rsidRPr="00247C05">
        <w:rPr>
          <w:rtl/>
        </w:rPr>
        <w:t xml:space="preserve"> כי </w:t>
      </w:r>
      <w:r w:rsidRPr="00247C05">
        <w:rPr>
          <w:rFonts w:hint="cs"/>
          <w:rtl/>
        </w:rPr>
        <w:t>מדורי</w:t>
      </w:r>
      <w:r w:rsidRPr="00247C05">
        <w:rPr>
          <w:rtl/>
        </w:rPr>
        <w:t xml:space="preserve"> </w:t>
      </w:r>
      <w:r w:rsidRPr="00247C05">
        <w:rPr>
          <w:rFonts w:hint="cs"/>
          <w:rtl/>
        </w:rPr>
        <w:t>גבייה</w:t>
      </w:r>
      <w:r w:rsidRPr="00247C05">
        <w:rPr>
          <w:rtl/>
        </w:rPr>
        <w:t xml:space="preserve"> </w:t>
      </w:r>
      <w:r w:rsidRPr="00247C05">
        <w:rPr>
          <w:rFonts w:hint="cs"/>
          <w:rtl/>
        </w:rPr>
        <w:t>של מספר רשויות מקומיות פועלים בתוך בתי המשפט עמ"ק. שילוב של מדורי גבייה עם פעילות בתי המשפט עמ"ק והצגתם כחלק בלתי נפרד מבתי המשפט חותר תחת עקרון</w:t>
      </w:r>
      <w:r w:rsidRPr="00247C05">
        <w:rPr>
          <w:rtl/>
        </w:rPr>
        <w:t xml:space="preserve"> </w:t>
      </w:r>
      <w:r w:rsidRPr="00247C05">
        <w:rPr>
          <w:rFonts w:hint="cs"/>
          <w:rtl/>
        </w:rPr>
        <w:t>הפרדת</w:t>
      </w:r>
      <w:r w:rsidRPr="00247C05">
        <w:rPr>
          <w:rtl/>
        </w:rPr>
        <w:t xml:space="preserve"> </w:t>
      </w:r>
      <w:r w:rsidRPr="00247C05">
        <w:rPr>
          <w:rFonts w:hint="cs"/>
          <w:rtl/>
        </w:rPr>
        <w:t xml:space="preserve">הרשויות ולעתים גם מנוגד להנחיה מפורשת של מנהל התחום האוסרת זאת, להלן דוגמאות: </w:t>
      </w:r>
    </w:p>
    <w:p w:rsidR="003037FB" w:rsidRPr="00247C05" w:rsidP="00040DAE">
      <w:pPr>
        <w:pStyle w:val="ListParagraph"/>
        <w:numPr>
          <w:ilvl w:val="1"/>
          <w:numId w:val="8"/>
        </w:numPr>
        <w:spacing w:after="120" w:line="230" w:lineRule="exact"/>
        <w:contextualSpacing w:val="0"/>
        <w:jc w:val="both"/>
        <w:rPr>
          <w:rFonts w:ascii="Times New Roman" w:hAnsi="Times New Roman" w:cs="FrankRuehl"/>
          <w:b/>
          <w:bCs/>
          <w:sz w:val="20"/>
        </w:rPr>
      </w:pPr>
      <w:r w:rsidRPr="00247C05">
        <w:rPr>
          <w:rFonts w:ascii="Times New Roman" w:hAnsi="Times New Roman" w:cs="FrankRuehl" w:hint="cs"/>
          <w:sz w:val="20"/>
          <w:rtl/>
        </w:rPr>
        <w:t>בדצמבר 2014 הודיע מנהל התחום לייעוץ המשפטי בהב"ה, כי בבתי משפט עמ"ק מסוימים פועלות מחלקות לגביית קנסות.</w:t>
      </w:r>
    </w:p>
    <w:p w:rsidR="003037FB" w:rsidRPr="00247C05" w:rsidP="002A1DB6">
      <w:pPr>
        <w:pStyle w:val="ListParagraph"/>
        <w:numPr>
          <w:ilvl w:val="2"/>
          <w:numId w:val="8"/>
        </w:numPr>
        <w:tabs>
          <w:tab w:val="left" w:pos="1077"/>
        </w:tabs>
        <w:spacing w:after="120" w:line="230" w:lineRule="exact"/>
        <w:contextualSpacing w:val="0"/>
        <w:jc w:val="both"/>
        <w:rPr>
          <w:rFonts w:ascii="Times New Roman" w:hAnsi="Times New Roman" w:cs="FrankRuehl"/>
          <w:b/>
          <w:bCs/>
          <w:sz w:val="20"/>
          <w:rtl/>
        </w:rPr>
      </w:pPr>
      <w:r w:rsidRPr="00247C05">
        <w:rPr>
          <w:rFonts w:ascii="Times New Roman" w:hAnsi="Times New Roman" w:cs="FrankRuehl" w:hint="cs"/>
          <w:sz w:val="20"/>
          <w:rtl/>
        </w:rPr>
        <w:t>בבמ"ש עמ"ק בירושלים פועלת מחלקת הגבייה בתוך בית המשפט. היא גובה את הקנסות שהטיל בית המשפט עמ"ק ו</w:t>
      </w:r>
      <w:r w:rsidRPr="00247C05">
        <w:rPr>
          <w:rFonts w:ascii="Times New Roman" w:hAnsi="Times New Roman" w:cs="FrankRuehl"/>
          <w:sz w:val="20"/>
          <w:rtl/>
        </w:rPr>
        <w:t xml:space="preserve">מנהלת המדור </w:t>
      </w:r>
      <w:r w:rsidRPr="00247C05">
        <w:rPr>
          <w:rFonts w:ascii="Times New Roman" w:hAnsi="Times New Roman" w:cs="FrankRuehl" w:hint="cs"/>
          <w:sz w:val="20"/>
          <w:rtl/>
        </w:rPr>
        <w:t>(גבייה ושירות) משתמשת</w:t>
      </w:r>
      <w:r w:rsidRPr="00247C05">
        <w:rPr>
          <w:rFonts w:ascii="Times New Roman" w:hAnsi="Times New Roman" w:cs="FrankRuehl"/>
          <w:b/>
          <w:bCs/>
          <w:sz w:val="20"/>
          <w:rtl/>
        </w:rPr>
        <w:t xml:space="preserve"> </w:t>
      </w:r>
      <w:r w:rsidRPr="00247C05">
        <w:rPr>
          <w:rFonts w:ascii="Times New Roman" w:hAnsi="Times New Roman" w:cs="FrankRuehl" w:hint="cs"/>
          <w:sz w:val="20"/>
          <w:rtl/>
        </w:rPr>
        <w:t>ב</w:t>
      </w:r>
      <w:r w:rsidRPr="00247C05">
        <w:rPr>
          <w:rFonts w:ascii="Times New Roman" w:hAnsi="Times New Roman" w:cs="FrankRuehl"/>
          <w:sz w:val="20"/>
          <w:rtl/>
        </w:rPr>
        <w:t>סמל</w:t>
      </w:r>
      <w:r w:rsidRPr="00247C05">
        <w:rPr>
          <w:rFonts w:ascii="Times New Roman" w:hAnsi="Times New Roman" w:cs="FrankRuehl" w:hint="cs"/>
          <w:sz w:val="20"/>
          <w:rtl/>
        </w:rPr>
        <w:t>י</w:t>
      </w:r>
      <w:r w:rsidRPr="00247C05">
        <w:rPr>
          <w:rFonts w:ascii="Times New Roman" w:hAnsi="Times New Roman" w:cs="FrankRuehl"/>
          <w:sz w:val="20"/>
          <w:rtl/>
        </w:rPr>
        <w:t xml:space="preserve"> הרשות </w:t>
      </w:r>
      <w:r w:rsidRPr="00247C05">
        <w:rPr>
          <w:rFonts w:ascii="Times New Roman" w:hAnsi="Times New Roman" w:cs="FrankRuehl" w:hint="cs"/>
          <w:sz w:val="20"/>
          <w:rtl/>
        </w:rPr>
        <w:t>המקומית לצד סמל בית המשפט.</w:t>
      </w:r>
    </w:p>
    <w:p w:rsidR="003037FB" w:rsidRPr="00247C05" w:rsidP="002A1DB6">
      <w:pPr>
        <w:pStyle w:val="ListParagraph"/>
        <w:numPr>
          <w:ilvl w:val="2"/>
          <w:numId w:val="8"/>
        </w:numPr>
        <w:tabs>
          <w:tab w:val="left" w:pos="1077"/>
        </w:tabs>
        <w:spacing w:after="12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גם בחיפה פועלת מחלקת גבייה בתוך בית המשפט. לפי הב"ה העובדים במדור אינם עובדים של בית המשפט, אך יושבים בו כמחלקת גבייה.</w:t>
      </w:r>
      <w:r w:rsidRPr="00247C05">
        <w:rPr>
          <w:rFonts w:ascii="Times New Roman" w:hAnsi="Times New Roman" w:cs="FrankRuehl" w:hint="cs"/>
          <w:b/>
          <w:bCs/>
          <w:sz w:val="20"/>
          <w:rtl/>
        </w:rPr>
        <w:t xml:space="preserve"> </w:t>
      </w:r>
      <w:r w:rsidRPr="00247C05">
        <w:rPr>
          <w:rFonts w:ascii="Times New Roman" w:hAnsi="Times New Roman" w:cs="FrankRuehl" w:hint="cs"/>
          <w:sz w:val="20"/>
          <w:rtl/>
        </w:rPr>
        <w:t xml:space="preserve">מנהל במ"ש עמ"ק בחיפה הסביר בתשובתו, כי בבית המשפט יושבת עובדת אחת שמרכזת את התיקים ומעבירה אותם לחברת גבייה. </w:t>
      </w:r>
    </w:p>
    <w:p w:rsidR="003037FB" w:rsidRPr="00247C05" w:rsidP="00040DAE">
      <w:pPr>
        <w:pStyle w:val="ListParagraph"/>
        <w:numPr>
          <w:ilvl w:val="1"/>
          <w:numId w:val="8"/>
        </w:numPr>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 xml:space="preserve">בדצמבר 2014 כתבה עו"ד מהלשכה המשפטית בהב"ה, כי בהתאם לעקרונות בג"ץ קארשי יש להפריד הפרדה מלאה בין הרשות השופטת ובין הרשות המבצעת בין היתר גם בנושא הגבייה, וכל מה שקשור בגביית חובות של העירייה יש לבצע מחוץ לכותלי בית המשפט באמצעות עובדים שאינם עובדים בבית המשפט. באותו זמן פנה מנהל התחום אל מנהלת מחלקת גבייה ושירות בבית משפט עמ"ק בירושלים והסביר לה בנוגע לאיסור להפעיל מחלקה לגביית קנסות בתוך בית המשפט, וכן בנוגע לאיסור להשתמש בסמלי הרשות המקומית </w:t>
      </w:r>
      <w:r w:rsidRPr="00247C05">
        <w:rPr>
          <w:rFonts w:ascii="Times New Roman" w:hAnsi="Times New Roman" w:cs="FrankRuehl"/>
          <w:sz w:val="20"/>
          <w:rtl/>
        </w:rPr>
        <w:t>המופיעים ליד חתימת</w:t>
      </w:r>
      <w:r w:rsidRPr="00247C05">
        <w:rPr>
          <w:rFonts w:ascii="Times New Roman" w:hAnsi="Times New Roman" w:cs="FrankRuehl" w:hint="cs"/>
          <w:sz w:val="20"/>
          <w:rtl/>
        </w:rPr>
        <w:t>ה</w:t>
      </w:r>
      <w:r w:rsidRPr="00247C05">
        <w:rPr>
          <w:rFonts w:ascii="Times New Roman" w:hAnsi="Times New Roman" w:cs="FrankRuehl"/>
          <w:sz w:val="20"/>
          <w:rtl/>
        </w:rPr>
        <w:t xml:space="preserve"> </w:t>
      </w:r>
      <w:r w:rsidRPr="00247C05">
        <w:rPr>
          <w:rFonts w:ascii="Times New Roman" w:hAnsi="Times New Roman" w:cs="FrankRuehl" w:hint="cs"/>
          <w:sz w:val="20"/>
          <w:rtl/>
        </w:rPr>
        <w:t>לצד סמל בית המשפט עמ"ק.</w:t>
      </w:r>
      <w:r w:rsidRPr="00247C05">
        <w:rPr>
          <w:rFonts w:ascii="Times New Roman" w:hAnsi="Times New Roman" w:cs="FrankRuehl"/>
          <w:sz w:val="20"/>
          <w:rtl/>
        </w:rPr>
        <w:t> </w:t>
      </w:r>
    </w:p>
    <w:p w:rsidR="003037FB" w:rsidRPr="00247C05" w:rsidP="00040DAE">
      <w:pPr>
        <w:spacing w:after="120" w:line="230" w:lineRule="exact"/>
        <w:ind w:left="680"/>
        <w:jc w:val="both"/>
        <w:rPr>
          <w:rFonts w:cs="FrankRuehl"/>
          <w:sz w:val="20"/>
          <w:szCs w:val="22"/>
          <w:rtl/>
        </w:rPr>
      </w:pPr>
      <w:r w:rsidRPr="00247C05">
        <w:rPr>
          <w:rFonts w:cs="FrankRuehl" w:hint="cs"/>
          <w:sz w:val="20"/>
          <w:szCs w:val="22"/>
          <w:rtl/>
        </w:rPr>
        <w:t xml:space="preserve">בתשובתה של עיריית ירושלים למשרד מבקר המדינה מנובמבר 2015 הודיעה העירייה, כי הוסרו כל הסמלים של הרשות המקומית, והם אינם מופיעים יחד עם סמל במ"ש עמ"ק. </w:t>
      </w:r>
    </w:p>
    <w:p w:rsidR="003037FB" w:rsidRPr="00247C05" w:rsidP="002A1DB6">
      <w:pPr>
        <w:spacing w:after="240" w:line="230" w:lineRule="exact"/>
        <w:ind w:left="680"/>
        <w:jc w:val="both"/>
        <w:rPr>
          <w:rFonts w:cs="FrankRuehl"/>
          <w:sz w:val="20"/>
          <w:szCs w:val="22"/>
          <w:rtl/>
        </w:rPr>
      </w:pPr>
      <w:r w:rsidRPr="00247C05">
        <w:rPr>
          <w:rFonts w:cs="FrankRuehl" w:hint="cs"/>
          <w:sz w:val="20"/>
          <w:szCs w:val="22"/>
          <w:rtl/>
        </w:rPr>
        <w:t>עוד באותו חודש יידע מנהל</w:t>
      </w:r>
      <w:r w:rsidRPr="00247C05">
        <w:rPr>
          <w:rFonts w:cs="FrankRuehl"/>
          <w:sz w:val="20"/>
          <w:szCs w:val="22"/>
          <w:rtl/>
        </w:rPr>
        <w:t xml:space="preserve"> </w:t>
      </w:r>
      <w:r w:rsidRPr="00247C05">
        <w:rPr>
          <w:rFonts w:cs="FrankRuehl" w:hint="cs"/>
          <w:sz w:val="20"/>
          <w:szCs w:val="22"/>
          <w:rtl/>
        </w:rPr>
        <w:t>התחום את סמנכ"לית חטיבת תפעול ומזכירויות בנוגע לחליפת המכתבים בנושא הגבייה בבית המשפט עמ"ק בירושלים.</w:t>
      </w:r>
      <w:r w:rsidRPr="00247C05">
        <w:rPr>
          <w:rFonts w:cs="FrankRuehl" w:hint="cs"/>
          <w:b/>
          <w:bCs/>
          <w:sz w:val="20"/>
          <w:szCs w:val="22"/>
          <w:rtl/>
        </w:rPr>
        <w:t xml:space="preserve"> </w:t>
      </w:r>
      <w:r w:rsidRPr="00247C05">
        <w:rPr>
          <w:rFonts w:cs="FrankRuehl" w:hint="cs"/>
          <w:sz w:val="20"/>
          <w:szCs w:val="22"/>
          <w:rtl/>
        </w:rPr>
        <w:t xml:space="preserve">יצוין כי הב"ה פנתה לעיריית ירושלים, והתרתה בפניה בעניין זה. </w:t>
      </w:r>
    </w:p>
    <w:p w:rsidR="003037FB" w:rsidRPr="00247C05" w:rsidP="002A1DB6">
      <w:pPr>
        <w:pStyle w:val="RESHET"/>
        <w:keepLines/>
        <w:ind w:left="907"/>
        <w:rPr>
          <w:i/>
          <w:iCs/>
          <w:rtl/>
        </w:rPr>
      </w:pPr>
      <w:r w:rsidRPr="00247C05">
        <w:rPr>
          <w:rFonts w:hint="cs"/>
          <w:rtl/>
        </w:rPr>
        <w:t>משרד מבקר המדינה העלה, כי מנהלת מדור (גבייה ושירות) בבמ"ש עמ"ק ירושלים כפופה מינהלית לממונה על בית המשפט</w:t>
      </w:r>
      <w:r>
        <w:rPr>
          <w:rStyle w:val="FootnoteReference"/>
          <w:rFonts w:cs="FrankRuehl"/>
          <w:b w:val="0"/>
          <w:bCs w:val="0"/>
          <w:rtl/>
        </w:rPr>
        <w:footnoteReference w:id="23"/>
      </w:r>
      <w:r w:rsidRPr="00247C05">
        <w:rPr>
          <w:rFonts w:hint="cs"/>
          <w:rtl/>
        </w:rPr>
        <w:t>. ממצא דומה עלה גם בבית המשפט עמ"ק בתל אביב ולפיו המזכיר הראשי הוא "המנהל הישיר של משרה זו"</w:t>
      </w:r>
      <w:r>
        <w:rPr>
          <w:rStyle w:val="FootnoteReference"/>
          <w:rFonts w:cs="FrankRuehl"/>
          <w:b w:val="0"/>
          <w:bCs w:val="0"/>
          <w:rtl/>
        </w:rPr>
        <w:footnoteReference w:id="24"/>
      </w:r>
      <w:r w:rsidRPr="00247C05">
        <w:rPr>
          <w:rFonts w:hint="cs"/>
          <w:rtl/>
        </w:rPr>
        <w:t xml:space="preserve">. ממצאים אלה </w:t>
      </w:r>
      <w:r w:rsidRPr="00247C05">
        <w:rPr>
          <w:rFonts w:hint="eastAsia"/>
          <w:rtl/>
        </w:rPr>
        <w:t>מדגישים</w:t>
      </w:r>
      <w:r w:rsidRPr="00247C05">
        <w:rPr>
          <w:rtl/>
        </w:rPr>
        <w:t xml:space="preserve"> </w:t>
      </w:r>
      <w:r w:rsidRPr="00247C05">
        <w:rPr>
          <w:rFonts w:hint="eastAsia"/>
          <w:rtl/>
        </w:rPr>
        <w:t>עוד</w:t>
      </w:r>
      <w:r w:rsidRPr="00247C05">
        <w:rPr>
          <w:rtl/>
        </w:rPr>
        <w:t xml:space="preserve"> יותר את הפגיעה בעקרון הפרדת הרשויות.</w:t>
      </w:r>
      <w:r w:rsidRPr="00247C05">
        <w:rPr>
          <w:i/>
          <w:iCs/>
          <w:rtl/>
        </w:rPr>
        <w:t xml:space="preserve"> </w:t>
      </w:r>
    </w:p>
    <w:p w:rsidR="003037FB" w:rsidRPr="00247C05" w:rsidP="002A1DB6">
      <w:pPr>
        <w:spacing w:before="180" w:after="120" w:line="230" w:lineRule="exact"/>
        <w:ind w:left="680"/>
        <w:jc w:val="both"/>
        <w:rPr>
          <w:rFonts w:cs="FrankRuehl"/>
          <w:sz w:val="20"/>
          <w:szCs w:val="22"/>
          <w:rtl/>
        </w:rPr>
      </w:pPr>
      <w:r w:rsidRPr="00247C05">
        <w:rPr>
          <w:rFonts w:cs="FrankRuehl" w:hint="cs"/>
          <w:sz w:val="20"/>
          <w:szCs w:val="22"/>
          <w:rtl/>
        </w:rPr>
        <w:t xml:space="preserve">בתשובתה כתבה עיריית ירושלים, כי העובדת העוסקת בגבייה כפופה מינהלית לממונה על בית המשפט, אך היא כפופה מקצועית לממונה על הגבייה ברשות. </w:t>
      </w:r>
    </w:p>
    <w:p w:rsidR="003037FB" w:rsidRPr="00247C05" w:rsidP="002A1DB6">
      <w:pPr>
        <w:pStyle w:val="ListParagraph"/>
        <w:numPr>
          <w:ilvl w:val="0"/>
          <w:numId w:val="8"/>
        </w:numPr>
        <w:spacing w:after="24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ב-12.5.13 פנה מנהל התחום דאז למזכירי במ"ש עמ"ק והנחה אותם להימנע מהליכי גביית הקנסות של הרשות המקומית לפי פקודת המסים. מנהל התחום לשעבר הורה, שבכל דרישת תשלום קנס לפי פקודת המסים לא יופיע בכותרת המסמך שם בית המשפט אלא שם הרשות המקומית, ובמקרה שהרשות המקומית התקשרה עם חברת גבייה חיצונית, חל איסור על חברת הגבייה לפעול בשם בית המשפט אלא בשם הרשות המקומית בלבד.</w:t>
      </w:r>
    </w:p>
    <w:p w:rsidR="003037FB" w:rsidRPr="00247C05" w:rsidP="002A1DB6">
      <w:pPr>
        <w:pStyle w:val="RESHET"/>
        <w:keepLines/>
        <w:ind w:left="567"/>
        <w:rPr>
          <w:rtl/>
        </w:rPr>
      </w:pPr>
      <w:r w:rsidRPr="00247C05">
        <w:rPr>
          <w:rFonts w:hint="cs"/>
          <w:rtl/>
        </w:rPr>
        <w:t>נמצא כי עיריית</w:t>
      </w:r>
      <w:r w:rsidRPr="00247C05">
        <w:rPr>
          <w:rtl/>
        </w:rPr>
        <w:t xml:space="preserve"> תל אביב </w:t>
      </w:r>
      <w:r w:rsidRPr="00247C05">
        <w:rPr>
          <w:rFonts w:hint="cs"/>
          <w:rtl/>
        </w:rPr>
        <w:t>התקשרה</w:t>
      </w:r>
      <w:r w:rsidRPr="00247C05">
        <w:rPr>
          <w:rtl/>
        </w:rPr>
        <w:t xml:space="preserve"> </w:t>
      </w:r>
      <w:r w:rsidRPr="00247C05">
        <w:rPr>
          <w:rFonts w:hint="cs"/>
          <w:rtl/>
        </w:rPr>
        <w:t>עם</w:t>
      </w:r>
      <w:r w:rsidRPr="00247C05">
        <w:rPr>
          <w:rtl/>
        </w:rPr>
        <w:t xml:space="preserve"> </w:t>
      </w:r>
      <w:r w:rsidRPr="00247C05">
        <w:rPr>
          <w:rFonts w:hint="cs"/>
          <w:rtl/>
        </w:rPr>
        <w:t>משרד עורכי דין</w:t>
      </w:r>
      <w:r w:rsidRPr="00247C05">
        <w:rPr>
          <w:rtl/>
        </w:rPr>
        <w:t xml:space="preserve"> </w:t>
      </w:r>
      <w:r w:rsidRPr="00247C05">
        <w:rPr>
          <w:rFonts w:hint="cs"/>
          <w:rtl/>
        </w:rPr>
        <w:t>שעוסק</w:t>
      </w:r>
      <w:r w:rsidRPr="00247C05">
        <w:rPr>
          <w:rtl/>
        </w:rPr>
        <w:t xml:space="preserve"> </w:t>
      </w:r>
      <w:r w:rsidRPr="00247C05">
        <w:rPr>
          <w:rFonts w:hint="cs"/>
          <w:rtl/>
        </w:rPr>
        <w:t>בגבייה</w:t>
      </w:r>
      <w:r>
        <w:rPr>
          <w:rStyle w:val="FootnoteReference"/>
          <w:rFonts w:cs="FrankRuehl"/>
          <w:b w:val="0"/>
          <w:bCs w:val="0"/>
          <w:rtl/>
        </w:rPr>
        <w:footnoteReference w:id="25"/>
      </w:r>
      <w:r w:rsidRPr="00247C05">
        <w:rPr>
          <w:rtl/>
        </w:rPr>
        <w:t xml:space="preserve">. </w:t>
      </w:r>
      <w:r w:rsidRPr="00247C05">
        <w:rPr>
          <w:rFonts w:hint="cs"/>
          <w:rtl/>
        </w:rPr>
        <w:t>מהמסמכים</w:t>
      </w:r>
      <w:r w:rsidRPr="00247C05">
        <w:rPr>
          <w:rtl/>
        </w:rPr>
        <w:t xml:space="preserve"> שבידי משרד מבקר המדינה </w:t>
      </w:r>
      <w:r w:rsidRPr="00247C05">
        <w:rPr>
          <w:rFonts w:hint="cs"/>
          <w:rtl/>
        </w:rPr>
        <w:t>נמצא,</w:t>
      </w:r>
      <w:r w:rsidRPr="00247C05">
        <w:rPr>
          <w:rtl/>
        </w:rPr>
        <w:t xml:space="preserve"> כי </w:t>
      </w:r>
      <w:r w:rsidRPr="00247C05">
        <w:rPr>
          <w:rFonts w:hint="cs"/>
          <w:rtl/>
        </w:rPr>
        <w:t>בדרישות</w:t>
      </w:r>
      <w:r w:rsidRPr="00247C05">
        <w:rPr>
          <w:rtl/>
        </w:rPr>
        <w:t xml:space="preserve"> </w:t>
      </w:r>
      <w:r w:rsidRPr="00247C05">
        <w:rPr>
          <w:rFonts w:hint="cs"/>
          <w:rtl/>
        </w:rPr>
        <w:t>התשלום</w:t>
      </w:r>
      <w:r w:rsidRPr="00247C05">
        <w:rPr>
          <w:rtl/>
        </w:rPr>
        <w:t xml:space="preserve"> </w:t>
      </w:r>
      <w:r w:rsidRPr="00247C05">
        <w:rPr>
          <w:rFonts w:hint="cs"/>
          <w:rtl/>
        </w:rPr>
        <w:t>שהוציא</w:t>
      </w:r>
      <w:r w:rsidRPr="00247C05">
        <w:rPr>
          <w:rtl/>
        </w:rPr>
        <w:t xml:space="preserve"> </w:t>
      </w:r>
      <w:r w:rsidRPr="00247C05">
        <w:rPr>
          <w:rFonts w:hint="cs"/>
          <w:rtl/>
        </w:rPr>
        <w:t xml:space="preserve">משרד עורכי הדין </w:t>
      </w:r>
      <w:r w:rsidRPr="00247C05">
        <w:rPr>
          <w:rtl/>
        </w:rPr>
        <w:t xml:space="preserve">במהלך חודש יוני 2015, נכתב כי דרישות התשלום נשלחו "מטעם </w:t>
      </w:r>
      <w:r w:rsidRPr="00247C05">
        <w:rPr>
          <w:rFonts w:hint="cs"/>
          <w:rtl/>
        </w:rPr>
        <w:t>מרשתי</w:t>
      </w:r>
      <w:r w:rsidRPr="00247C05">
        <w:rPr>
          <w:rtl/>
        </w:rPr>
        <w:t xml:space="preserve">, </w:t>
      </w:r>
      <w:r w:rsidRPr="00247C05">
        <w:rPr>
          <w:rFonts w:hint="cs"/>
          <w:rtl/>
        </w:rPr>
        <w:t>תל</w:t>
      </w:r>
      <w:r w:rsidRPr="00247C05">
        <w:rPr>
          <w:rtl/>
        </w:rPr>
        <w:t xml:space="preserve"> </w:t>
      </w:r>
      <w:r w:rsidRPr="00247C05">
        <w:rPr>
          <w:rFonts w:hint="cs"/>
          <w:rtl/>
        </w:rPr>
        <w:t>אביב</w:t>
      </w:r>
      <w:r w:rsidRPr="00247C05">
        <w:rPr>
          <w:rtl/>
        </w:rPr>
        <w:t xml:space="preserve"> - </w:t>
      </w:r>
      <w:r w:rsidRPr="00247C05">
        <w:rPr>
          <w:rFonts w:hint="cs"/>
          <w:rtl/>
        </w:rPr>
        <w:t>יפו</w:t>
      </w:r>
      <w:r w:rsidRPr="00247C05">
        <w:rPr>
          <w:rtl/>
        </w:rPr>
        <w:t xml:space="preserve"> </w:t>
      </w:r>
      <w:r w:rsidRPr="00247C05">
        <w:rPr>
          <w:rFonts w:hint="cs"/>
          <w:rtl/>
        </w:rPr>
        <w:t>ביהמ</w:t>
      </w:r>
      <w:r w:rsidRPr="00247C05">
        <w:rPr>
          <w:rtl/>
        </w:rPr>
        <w:t xml:space="preserve">"ש" </w:t>
      </w:r>
      <w:r w:rsidRPr="00247C05">
        <w:rPr>
          <w:rFonts w:hint="cs"/>
          <w:rtl/>
        </w:rPr>
        <w:t>וכן</w:t>
      </w:r>
      <w:r w:rsidRPr="00247C05">
        <w:rPr>
          <w:rtl/>
        </w:rPr>
        <w:t xml:space="preserve"> "מרשתי, </w:t>
      </w:r>
      <w:r w:rsidRPr="00247C05">
        <w:rPr>
          <w:rFonts w:hint="cs"/>
          <w:rtl/>
        </w:rPr>
        <w:t>ביהמ</w:t>
      </w:r>
      <w:r w:rsidRPr="00247C05">
        <w:rPr>
          <w:rtl/>
        </w:rPr>
        <w:t xml:space="preserve">"ש </w:t>
      </w:r>
      <w:r w:rsidRPr="00247C05">
        <w:rPr>
          <w:rFonts w:hint="cs"/>
          <w:rtl/>
        </w:rPr>
        <w:t>לעניינים</w:t>
      </w:r>
      <w:r w:rsidRPr="00247C05">
        <w:rPr>
          <w:rtl/>
        </w:rPr>
        <w:t xml:space="preserve"> </w:t>
      </w:r>
      <w:r w:rsidRPr="00247C05">
        <w:rPr>
          <w:rFonts w:hint="cs"/>
          <w:rtl/>
        </w:rPr>
        <w:t>מקומיים</w:t>
      </w:r>
      <w:r w:rsidRPr="00247C05">
        <w:rPr>
          <w:rtl/>
        </w:rPr>
        <w:t xml:space="preserve"> </w:t>
      </w:r>
      <w:r w:rsidRPr="00247C05">
        <w:rPr>
          <w:rFonts w:hint="cs"/>
          <w:rtl/>
        </w:rPr>
        <w:t>תל</w:t>
      </w:r>
      <w:r w:rsidRPr="00247C05">
        <w:rPr>
          <w:rtl/>
        </w:rPr>
        <w:t xml:space="preserve"> </w:t>
      </w:r>
      <w:r w:rsidRPr="00247C05">
        <w:rPr>
          <w:rFonts w:hint="cs"/>
          <w:rtl/>
        </w:rPr>
        <w:t>אביב</w:t>
      </w:r>
      <w:r w:rsidRPr="00247C05">
        <w:rPr>
          <w:rtl/>
        </w:rPr>
        <w:t xml:space="preserve"> - </w:t>
      </w:r>
      <w:r w:rsidRPr="00247C05">
        <w:rPr>
          <w:rFonts w:hint="cs"/>
          <w:rtl/>
        </w:rPr>
        <w:t>יפו</w:t>
      </w:r>
      <w:r w:rsidRPr="00247C05">
        <w:rPr>
          <w:rtl/>
        </w:rPr>
        <w:t xml:space="preserve">". </w:t>
      </w:r>
      <w:r w:rsidRPr="00247C05">
        <w:rPr>
          <w:rFonts w:hint="cs"/>
          <w:rtl/>
        </w:rPr>
        <w:t xml:space="preserve">גם </w:t>
      </w:r>
      <w:r w:rsidRPr="00247C05">
        <w:rPr>
          <w:rtl/>
        </w:rPr>
        <w:t xml:space="preserve">על </w:t>
      </w:r>
      <w:r w:rsidRPr="00247C05">
        <w:rPr>
          <w:rFonts w:hint="cs"/>
          <w:rtl/>
        </w:rPr>
        <w:t>שוברי</w:t>
      </w:r>
      <w:r w:rsidRPr="00247C05">
        <w:rPr>
          <w:rtl/>
        </w:rPr>
        <w:t xml:space="preserve"> תשלום </w:t>
      </w:r>
      <w:r w:rsidRPr="00247C05">
        <w:rPr>
          <w:rFonts w:hint="cs"/>
          <w:rtl/>
        </w:rPr>
        <w:t>שהונפקו</w:t>
      </w:r>
      <w:r w:rsidRPr="00247C05">
        <w:rPr>
          <w:rtl/>
        </w:rPr>
        <w:t xml:space="preserve"> </w:t>
      </w:r>
      <w:r w:rsidRPr="00247C05">
        <w:rPr>
          <w:rFonts w:hint="cs"/>
          <w:rtl/>
        </w:rPr>
        <w:t>ביחידת</w:t>
      </w:r>
      <w:r w:rsidRPr="00247C05">
        <w:rPr>
          <w:rtl/>
        </w:rPr>
        <w:t xml:space="preserve"> </w:t>
      </w:r>
      <w:r w:rsidRPr="00247C05">
        <w:rPr>
          <w:rFonts w:hint="cs"/>
          <w:rtl/>
        </w:rPr>
        <w:t>הגבייה</w:t>
      </w:r>
      <w:r w:rsidRPr="00247C05">
        <w:rPr>
          <w:rtl/>
        </w:rPr>
        <w:t xml:space="preserve"> </w:t>
      </w:r>
      <w:r w:rsidRPr="00247C05">
        <w:rPr>
          <w:rFonts w:hint="cs"/>
          <w:rtl/>
        </w:rPr>
        <w:t>של</w:t>
      </w:r>
      <w:r w:rsidRPr="00247C05">
        <w:rPr>
          <w:rtl/>
        </w:rPr>
        <w:t xml:space="preserve"> </w:t>
      </w:r>
      <w:r w:rsidRPr="00247C05">
        <w:rPr>
          <w:rFonts w:hint="cs"/>
          <w:rtl/>
        </w:rPr>
        <w:t>עיריית</w:t>
      </w:r>
      <w:r w:rsidRPr="00247C05">
        <w:rPr>
          <w:rtl/>
        </w:rPr>
        <w:t xml:space="preserve"> </w:t>
      </w:r>
      <w:r w:rsidRPr="00247C05">
        <w:rPr>
          <w:rFonts w:hint="cs"/>
          <w:rtl/>
        </w:rPr>
        <w:t>תל</w:t>
      </w:r>
      <w:r w:rsidRPr="00247C05">
        <w:rPr>
          <w:rtl/>
        </w:rPr>
        <w:t xml:space="preserve"> </w:t>
      </w:r>
      <w:r w:rsidRPr="00247C05">
        <w:rPr>
          <w:rFonts w:hint="cs"/>
          <w:rtl/>
        </w:rPr>
        <w:t>אביב</w:t>
      </w:r>
      <w:r w:rsidRPr="00247C05">
        <w:rPr>
          <w:rtl/>
        </w:rPr>
        <w:t xml:space="preserve"> - </w:t>
      </w:r>
      <w:r w:rsidRPr="00247C05">
        <w:rPr>
          <w:rFonts w:hint="cs"/>
          <w:rtl/>
        </w:rPr>
        <w:t>יפו</w:t>
      </w:r>
      <w:r w:rsidRPr="00247C05">
        <w:rPr>
          <w:rtl/>
        </w:rPr>
        <w:t xml:space="preserve"> </w:t>
      </w:r>
      <w:r w:rsidRPr="00247C05">
        <w:rPr>
          <w:rFonts w:hint="cs"/>
          <w:rtl/>
        </w:rPr>
        <w:t>נכתב</w:t>
      </w:r>
      <w:r w:rsidRPr="00247C05">
        <w:rPr>
          <w:rtl/>
        </w:rPr>
        <w:t xml:space="preserve"> לצד הודעת הזיכוי שם </w:t>
      </w:r>
      <w:r w:rsidRPr="00247C05">
        <w:rPr>
          <w:rFonts w:hint="cs"/>
          <w:rtl/>
        </w:rPr>
        <w:t>משרד עורכי הדין ומתחתיה</w:t>
      </w:r>
      <w:r w:rsidRPr="00247C05">
        <w:rPr>
          <w:rtl/>
        </w:rPr>
        <w:t xml:space="preserve"> </w:t>
      </w:r>
      <w:r w:rsidRPr="00247C05">
        <w:rPr>
          <w:rFonts w:hint="cs"/>
          <w:rtl/>
        </w:rPr>
        <w:t>נכתב</w:t>
      </w:r>
      <w:r w:rsidRPr="00247C05">
        <w:rPr>
          <w:rtl/>
        </w:rPr>
        <w:t xml:space="preserve"> "עבור ביהמ"ש לעניינים מקומיים </w:t>
      </w:r>
      <w:r w:rsidRPr="00247C05">
        <w:rPr>
          <w:rFonts w:hint="cs"/>
          <w:rtl/>
        </w:rPr>
        <w:t>תל</w:t>
      </w:r>
      <w:r w:rsidRPr="00247C05">
        <w:rPr>
          <w:rtl/>
        </w:rPr>
        <w:t xml:space="preserve"> אביב - יפו". </w:t>
      </w:r>
    </w:p>
    <w:p w:rsidR="003037FB" w:rsidRPr="00247C05" w:rsidP="002A1DB6">
      <w:pPr>
        <w:pStyle w:val="RESHET"/>
        <w:keepLines/>
        <w:ind w:left="567"/>
        <w:rPr>
          <w:rtl/>
        </w:rPr>
      </w:pPr>
      <w:r w:rsidRPr="00247C05">
        <w:rPr>
          <w:rFonts w:hint="cs"/>
          <w:rtl/>
        </w:rPr>
        <w:t xml:space="preserve">משרד מבקר המדינה מעיר לעיריית תל אביב כי עליה למלא אחר הנחיות הב"ה בנושא זה ולהנחות את הגורם העוסק בגבייה להימנע מהצגתו כמי שפועל מטעם בית המשפט עמ"ק. </w:t>
      </w:r>
    </w:p>
    <w:p w:rsidR="003037FB" w:rsidRPr="00247C05" w:rsidP="002A1DB6">
      <w:pPr>
        <w:spacing w:before="180" w:after="240" w:line="230" w:lineRule="exact"/>
        <w:ind w:left="283"/>
        <w:jc w:val="both"/>
        <w:rPr>
          <w:rFonts w:cs="FrankRuehl"/>
          <w:sz w:val="20"/>
          <w:szCs w:val="22"/>
          <w:rtl/>
        </w:rPr>
      </w:pPr>
      <w:r w:rsidRPr="00247C05">
        <w:rPr>
          <w:rFonts w:cs="FrankRuehl" w:hint="cs"/>
          <w:sz w:val="20"/>
          <w:szCs w:val="22"/>
          <w:rtl/>
        </w:rPr>
        <w:t xml:space="preserve">בתשובתה של עיריית תל אביב מדצמבר 2015 נמסר, כי תפיק לקחים מן הביקורת ותנחה את הגורם העוסק בגבייה בעבורה שלא להציג את עצמו כמי שפועל מטעם בית המשפט. </w:t>
      </w:r>
    </w:p>
    <w:p w:rsidR="003037FB" w:rsidRPr="00247C05" w:rsidP="002A1DB6">
      <w:pPr>
        <w:pStyle w:val="RESHET"/>
        <w:keepLines/>
        <w:ind w:left="567"/>
        <w:rPr>
          <w:rtl/>
        </w:rPr>
      </w:pPr>
      <w:r w:rsidRPr="00247C05">
        <w:rPr>
          <w:rFonts w:hint="cs"/>
          <w:rtl/>
        </w:rPr>
        <w:t xml:space="preserve">לדעת משרד מבקר המדינה על הב"ה להמשיך ולהתרות בפני הרשויות המקומיות שלא לשלב מדורי גבייה בבמ"ש עמ"ק ולשקול את הצעדים שעליה לנקוט נגד רשויות שאינן מקיימות את הנחיותיה בעניין זה. </w:t>
      </w:r>
    </w:p>
    <w:p w:rsidR="003037FB" w:rsidP="00040DAE">
      <w:pPr>
        <w:spacing w:after="120" w:line="230" w:lineRule="exact"/>
        <w:ind w:left="340"/>
        <w:jc w:val="both"/>
        <w:rPr>
          <w:rFonts w:cs="FrankRuehl"/>
          <w:b/>
          <w:bCs/>
          <w:sz w:val="20"/>
          <w:szCs w:val="22"/>
          <w:rtl/>
        </w:rPr>
      </w:pPr>
    </w:p>
    <w:p w:rsidR="002A1DB6" w:rsidRPr="00247C05" w:rsidP="00040DAE">
      <w:pPr>
        <w:spacing w:after="120" w:line="230" w:lineRule="exact"/>
        <w:ind w:left="340"/>
        <w:jc w:val="both"/>
        <w:rPr>
          <w:rFonts w:cs="FrankRuehl"/>
          <w:b/>
          <w:bCs/>
          <w:sz w:val="20"/>
          <w:szCs w:val="22"/>
          <w:rtl/>
        </w:rPr>
      </w:pPr>
    </w:p>
    <w:p w:rsidR="003037FB" w:rsidRPr="00A45E9A" w:rsidP="00040DAE">
      <w:pPr>
        <w:pStyle w:val="KOT4"/>
        <w:rPr>
          <w:rtl/>
        </w:rPr>
      </w:pPr>
      <w:r w:rsidRPr="00A45E9A">
        <w:rPr>
          <w:rFonts w:hint="cs"/>
          <w:rtl/>
        </w:rPr>
        <w:t xml:space="preserve">הגדרת התפקיד של מזכיר בית המשפט עמ"ק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תיאור התפקיד של מזכיר בית המשפט האחראי לניהול מזכירות בית המשפט עמ"ק מופיע בשתי מערכות שונות: האחת - תיאור התפקיד של מזכיר בית משפט לעניינים מקומיים לפי הגדרת משרד הפנים - המינהל לשלטון מקומי, היחידה לכוח אדם ברשויות המקומיות; והשנייה - תיאור התפקיד שלו לפי הגדרת הב"ה. </w:t>
      </w:r>
    </w:p>
    <w:p w:rsidR="003037FB" w:rsidRPr="00247C05" w:rsidP="00040DAE">
      <w:pPr>
        <w:pStyle w:val="ListParagraph"/>
        <w:numPr>
          <w:ilvl w:val="0"/>
          <w:numId w:val="16"/>
        </w:numPr>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 xml:space="preserve">לפי תיאור התפקיד בהב"ה, המזכיר מופקד על הפעלתה המינהלית של יחידתו בתיאום ובהנחיה של נשיא בית המשפט, המזכיר הראשי (מנהל המחוז) והב"ה. הוא כפוף גם לחוקים, לתקנות ולנהלים המסדירים את עבודת בתי המשפט. </w:t>
      </w:r>
    </w:p>
    <w:p w:rsidR="003037FB" w:rsidRPr="00247C05" w:rsidP="00040DAE">
      <w:pPr>
        <w:pStyle w:val="ListParagraph"/>
        <w:numPr>
          <w:ilvl w:val="0"/>
          <w:numId w:val="16"/>
        </w:numPr>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 xml:space="preserve">תפקידם של מזכירי בתי המשפט כפי שהגדיר משרד הפנים, כולל בין היתר את הארגון והתכנון </w:t>
      </w:r>
      <w:r w:rsidRPr="00247C05">
        <w:rPr>
          <w:rFonts w:ascii="Times New Roman" w:hAnsi="Times New Roman" w:cs="FrankRuehl" w:hint="eastAsia"/>
          <w:sz w:val="20"/>
          <w:rtl/>
        </w:rPr>
        <w:t>ו</w:t>
      </w:r>
      <w:r w:rsidRPr="00247C05">
        <w:rPr>
          <w:rFonts w:ascii="Times New Roman" w:hAnsi="Times New Roman" w:cs="FrankRuehl" w:hint="cs"/>
          <w:sz w:val="20"/>
          <w:rtl/>
        </w:rPr>
        <w:t xml:space="preserve">את סדרי העבודה בהם. כמו כן הם ממונים על צוות העובדים בבתי המשפט ובאחריותם לדווח לממונים עליהם על בעיות משמעת של העובדים. </w:t>
      </w:r>
    </w:p>
    <w:p w:rsidR="003037FB" w:rsidRPr="00247C05" w:rsidP="002A1DB6">
      <w:pPr>
        <w:pStyle w:val="ListParagraph"/>
        <w:spacing w:after="240" w:line="230" w:lineRule="exact"/>
        <w:ind w:left="340"/>
        <w:contextualSpacing w:val="0"/>
        <w:jc w:val="both"/>
        <w:rPr>
          <w:rFonts w:ascii="Times New Roman" w:hAnsi="Times New Roman" w:cs="FrankRuehl"/>
          <w:sz w:val="20"/>
        </w:rPr>
      </w:pPr>
      <w:r w:rsidRPr="00247C05">
        <w:rPr>
          <w:rFonts w:ascii="Times New Roman" w:hAnsi="Times New Roman" w:cs="FrankRuehl" w:hint="cs"/>
          <w:sz w:val="20"/>
          <w:rtl/>
        </w:rPr>
        <w:t>בניגוד לאמור בתיאור התפקיד של הב"ה, הגדיר משרד הפנים כי בין תחומי אחריותו העיקריים של המזכיר - "שחרורם של היועץ המשפטי והתובע העירוני מטיפול טכני ואדמיניסטרטיבי בתחומי אחריותם, וככל שהכשרתו המקצועית מגעת - גם טיפול מקצועי בתיקים ובנושאים שבטיפולם". עוד נכתב בהגדרה, כי המזכיר כפוף ליועץ המשפטי של הרשות המקומית וגורמי הקשר שלו ברשות הם התובע העירוני והיועץ המשפטי או הממונה הישיר. הב"ה לא נמצאה בין גורמי הקשר של המזכיר מחוץ לרשות המקומית.</w:t>
      </w:r>
    </w:p>
    <w:p w:rsidR="003037FB" w:rsidRPr="00247C05" w:rsidP="002A1DB6">
      <w:pPr>
        <w:pStyle w:val="RESHET"/>
        <w:keepLines/>
        <w:rPr>
          <w:rtl/>
        </w:rPr>
      </w:pPr>
      <w:r w:rsidRPr="00247C05">
        <w:rPr>
          <w:rFonts w:hint="cs"/>
          <w:rtl/>
        </w:rPr>
        <w:t>תפקידו של מזכיר בית המשפט כפי שהוא מוגדר בידי משרד הפנים - אינו מתיישב עם העקרונות של ניתוק הזיקה שבין הרשות המקומית לבתי המשפט לעניינים מקומיים שהוזכרו</w:t>
      </w:r>
      <w:r w:rsidRPr="00247C05">
        <w:rPr>
          <w:rtl/>
        </w:rPr>
        <w:t xml:space="preserve"> </w:t>
      </w:r>
      <w:r w:rsidRPr="00247C05">
        <w:rPr>
          <w:rFonts w:hint="cs"/>
          <w:rtl/>
        </w:rPr>
        <w:t xml:space="preserve">בוועדת זמיר ובבג"ץ קארשי. מהגדרת תפקידו של מזכיר בית המשפט במשרד הפנים נובעת זיקה ישירה בין בתי המשפט לעניינים מקומיים ובין מערך התביעה העירונית ברשויות המקומיות. </w:t>
      </w:r>
    </w:p>
    <w:p w:rsidR="003037FB" w:rsidRPr="00247C05" w:rsidP="002A1DB6">
      <w:pPr>
        <w:spacing w:before="180" w:after="120" w:line="230" w:lineRule="exact"/>
        <w:jc w:val="both"/>
        <w:rPr>
          <w:rFonts w:cs="FrankRuehl"/>
          <w:sz w:val="20"/>
          <w:szCs w:val="22"/>
          <w:rtl/>
        </w:rPr>
      </w:pPr>
      <w:r w:rsidRPr="00247C05">
        <w:rPr>
          <w:rFonts w:cs="FrankRuehl" w:hint="cs"/>
          <w:sz w:val="20"/>
          <w:szCs w:val="22"/>
          <w:rtl/>
        </w:rPr>
        <w:t>הב"ה כתבה בתשובתה, כי בכך שהיועץ המשפטי והתובע העירוני ישוחררו מהטיפול האדמיניסטרטיבי מצביעה על כך שכפיפות זו יוצרת בהכרח ניגוד עניינים.</w:t>
      </w:r>
    </w:p>
    <w:p w:rsidR="003037FB" w:rsidRPr="00247C05" w:rsidP="00040DAE">
      <w:pPr>
        <w:spacing w:after="120" w:line="230" w:lineRule="exact"/>
        <w:jc w:val="both"/>
        <w:rPr>
          <w:rFonts w:cs="FrankRuehl"/>
          <w:sz w:val="20"/>
          <w:szCs w:val="22"/>
          <w:rtl/>
        </w:rPr>
      </w:pPr>
      <w:r w:rsidRPr="00247C05">
        <w:rPr>
          <w:rFonts w:cs="FrankRuehl" w:hint="cs"/>
          <w:sz w:val="20"/>
          <w:szCs w:val="22"/>
          <w:rtl/>
        </w:rPr>
        <w:t>מהנתונים שנמסרו לביקורת התברר, כי בחלק מהרשויות המקומיות הגורם שהופקד על בתי המשפט לעניינים מקומיים אינו מוגדר כמזכיר בית המשפט אלא כמנהל בית המשפט. כך לדוגמה, בבית המשפט לעניינים מקומיים בירושלים ובבית המשפט לעניינים מקומיים בחיפה.</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בתשובתה כתבה עיריית ירושלים, כי בעבר הוגדר</w:t>
      </w:r>
      <w:r w:rsidRPr="00247C05">
        <w:rPr>
          <w:rFonts w:cs="FrankRuehl"/>
          <w:sz w:val="20"/>
          <w:szCs w:val="22"/>
          <w:rtl/>
        </w:rPr>
        <w:t xml:space="preserve"> </w:t>
      </w:r>
      <w:r w:rsidRPr="00247C05">
        <w:rPr>
          <w:rFonts w:cs="FrankRuehl" w:hint="cs"/>
          <w:sz w:val="20"/>
          <w:szCs w:val="22"/>
          <w:rtl/>
        </w:rPr>
        <w:t>התפקיד</w:t>
      </w:r>
      <w:r w:rsidRPr="00247C05">
        <w:rPr>
          <w:rFonts w:cs="FrankRuehl"/>
          <w:sz w:val="20"/>
          <w:szCs w:val="22"/>
          <w:rtl/>
        </w:rPr>
        <w:t xml:space="preserve"> </w:t>
      </w:r>
      <w:r w:rsidRPr="00247C05">
        <w:rPr>
          <w:rFonts w:cs="FrankRuehl" w:hint="cs"/>
          <w:sz w:val="20"/>
          <w:szCs w:val="22"/>
          <w:rtl/>
        </w:rPr>
        <w:t xml:space="preserve">"מזכיר", ושהעניין הופנה לבחינתו של אגף משאבי אנוש בעירייה. </w:t>
      </w:r>
    </w:p>
    <w:p w:rsidR="003037FB" w:rsidRPr="00247C05" w:rsidP="002A1DB6">
      <w:pPr>
        <w:spacing w:after="240" w:line="230" w:lineRule="exact"/>
        <w:jc w:val="both"/>
        <w:rPr>
          <w:rFonts w:cs="FrankRuehl"/>
          <w:sz w:val="20"/>
          <w:szCs w:val="22"/>
          <w:rtl/>
        </w:rPr>
      </w:pPr>
      <w:r w:rsidRPr="00247C05">
        <w:rPr>
          <w:rFonts w:cs="FrankRuehl" w:hint="cs"/>
          <w:sz w:val="20"/>
          <w:szCs w:val="22"/>
          <w:rtl/>
        </w:rPr>
        <w:t xml:space="preserve">מנהל בתי המשפט העלה ב-2013 את הנושא הזה לפני יו"ר מרכז השלטון המקומי, וקרא לפעול להגדרת סמכויותיהם של המזכירים הראשיים, לרבות הסדרת תורנויות והסמכתם לקובלי משמעת בדומה לעובדי בתי המשפט. כחלק מסיכום הדברים צוין, כי הגדרת התפקיד הקיימת של המזכירים "הינה ארכאית ולא מעודכנת" ויש לעדכן אותה בהתאם לסמכויות ולצרכים הקיימים בדומה לתפקידו של מזכיר ראשי בבית המשפט. </w:t>
      </w:r>
    </w:p>
    <w:p w:rsidR="003037FB" w:rsidRPr="00247C05" w:rsidP="002A1DB6">
      <w:pPr>
        <w:pStyle w:val="RESHET"/>
        <w:keepLines/>
        <w:rPr>
          <w:rtl/>
        </w:rPr>
      </w:pPr>
      <w:r w:rsidRPr="00247C05">
        <w:rPr>
          <w:rFonts w:hint="cs"/>
          <w:rtl/>
        </w:rPr>
        <w:t xml:space="preserve">עד מועד סיום הביקורת, ועל אף שחלפו שנים רבות ממועד פרסום דוח ועדת זמיר ובג"ץ קארשי, עדיין קיים במשרד הפנים נוהל ובו מוגדר תפקידו של מזכיר בתי המשפט עמ"ק באופן שמבסס זיקה בין בית המשפט ובין הרשויות המקומיות. </w:t>
      </w:r>
    </w:p>
    <w:p w:rsidR="003037FB" w:rsidRPr="00247C05" w:rsidP="002A1DB6">
      <w:pPr>
        <w:spacing w:before="180" w:after="240" w:line="230" w:lineRule="exact"/>
        <w:jc w:val="both"/>
        <w:rPr>
          <w:rFonts w:cs="FrankRuehl"/>
          <w:sz w:val="20"/>
          <w:szCs w:val="22"/>
          <w:rtl/>
        </w:rPr>
      </w:pPr>
      <w:r w:rsidRPr="00247C05">
        <w:rPr>
          <w:rFonts w:cs="FrankRuehl" w:hint="cs"/>
          <w:sz w:val="20"/>
          <w:szCs w:val="22"/>
          <w:rtl/>
        </w:rPr>
        <w:t xml:space="preserve">משרד הפנים כתב בתשובתו מדצמבר 2015, כי אכן יש מקום לבצע בחינה והתאמה בין תיאורי התפקיד של מזכיר במ"ש עמ"ק בתיאום עם הב"ה כנדרש וכמתחייב מעמדת המדינה בבג"ץ קארשי ולהנחיות שניתנו בעניין זה. </w:t>
      </w:r>
    </w:p>
    <w:p w:rsidR="003037FB" w:rsidRPr="00247C05" w:rsidP="002A1DB6">
      <w:pPr>
        <w:pStyle w:val="RESHET"/>
        <w:keepLines/>
        <w:rPr>
          <w:rtl/>
        </w:rPr>
      </w:pPr>
      <w:r w:rsidRPr="00247C05">
        <w:rPr>
          <w:rFonts w:hint="cs"/>
          <w:rtl/>
        </w:rPr>
        <w:t xml:space="preserve">לדעת משרד מבקר המדינה, המצב שבו ניתנו לתפקיד מזכיר בית המשפט שתי הגדרות שונות אינו תקין, ויש צורך לשנותו. על הנהלת בתי המשפט, משרד הפנים והרשויות המקומיות לפעול ביחד כדי להתאים ולעדכן את הגדרת תפקידם של מזכירי בתי המשפט עמ"ק באופן שיאפשר את ניתוק הזיקה בין בתי המשפט עמ"ק לרשויות המקומיות. </w:t>
      </w:r>
    </w:p>
    <w:p w:rsidR="003037FB" w:rsidRPr="00247C05" w:rsidP="00040DAE">
      <w:pPr>
        <w:spacing w:after="120" w:line="230" w:lineRule="exact"/>
        <w:jc w:val="both"/>
        <w:rPr>
          <w:rFonts w:cs="FrankRuehl"/>
          <w:sz w:val="20"/>
          <w:szCs w:val="22"/>
          <w:rtl/>
        </w:rPr>
      </w:pPr>
    </w:p>
    <w:p w:rsidR="003037FB" w:rsidRPr="00247C05" w:rsidP="00040DAE">
      <w:pPr>
        <w:spacing w:after="120" w:line="230" w:lineRule="exact"/>
        <w:jc w:val="both"/>
        <w:rPr>
          <w:rFonts w:cs="FrankRuehl"/>
          <w:sz w:val="20"/>
          <w:szCs w:val="22"/>
          <w:rtl/>
        </w:rPr>
      </w:pPr>
    </w:p>
    <w:p w:rsidR="003037FB" w:rsidRPr="00A45E9A" w:rsidP="00040DAE">
      <w:pPr>
        <w:pStyle w:val="KOT2"/>
        <w:rPr>
          <w:rtl/>
        </w:rPr>
      </w:pPr>
      <w:r w:rsidRPr="00A45E9A">
        <w:rPr>
          <w:rtl/>
        </w:rPr>
        <w:t>נושאים כספיים בפעילות</w:t>
      </w:r>
      <w:r w:rsidRPr="00A45E9A">
        <w:rPr>
          <w:rFonts w:hint="cs"/>
          <w:rtl/>
        </w:rPr>
        <w:t>ם</w:t>
      </w:r>
      <w:r w:rsidRPr="00A45E9A">
        <w:rPr>
          <w:rtl/>
        </w:rPr>
        <w:t xml:space="preserve"> </w:t>
      </w:r>
      <w:r w:rsidR="002A1DB6">
        <w:rPr>
          <w:rFonts w:hint="cs"/>
          <w:rtl/>
        </w:rPr>
        <w:br/>
      </w:r>
      <w:r w:rsidRPr="00A45E9A">
        <w:rPr>
          <w:rFonts w:hint="cs"/>
          <w:rtl/>
        </w:rPr>
        <w:t xml:space="preserve">של </w:t>
      </w:r>
      <w:r w:rsidRPr="00A45E9A">
        <w:rPr>
          <w:rtl/>
        </w:rPr>
        <w:t xml:space="preserve">בתי </w:t>
      </w:r>
      <w:r w:rsidRPr="00A45E9A">
        <w:rPr>
          <w:rFonts w:hint="cs"/>
          <w:rtl/>
        </w:rPr>
        <w:t>ה</w:t>
      </w:r>
      <w:r w:rsidRPr="00A45E9A">
        <w:rPr>
          <w:rtl/>
        </w:rPr>
        <w:t>משפט לעניינים מקומיים</w:t>
      </w:r>
    </w:p>
    <w:p w:rsidR="003037FB" w:rsidRPr="00A45E9A" w:rsidP="00040DAE">
      <w:pPr>
        <w:pStyle w:val="KOT4"/>
        <w:rPr>
          <w:rtl/>
        </w:rPr>
      </w:pPr>
      <w:r w:rsidRPr="00A45E9A">
        <w:rPr>
          <w:rFonts w:hint="cs"/>
          <w:rtl/>
        </w:rPr>
        <w:t xml:space="preserve">אופן </w:t>
      </w:r>
      <w:r w:rsidRPr="00A45E9A">
        <w:rPr>
          <w:rFonts w:hint="eastAsia"/>
          <w:rtl/>
        </w:rPr>
        <w:t>זקיפת</w:t>
      </w:r>
      <w:r w:rsidRPr="00A45E9A">
        <w:rPr>
          <w:rFonts w:hint="cs"/>
          <w:rtl/>
        </w:rPr>
        <w:t xml:space="preserve"> תשלום לטובת אוצר המדינה</w:t>
      </w:r>
    </w:p>
    <w:p w:rsidR="003037FB" w:rsidRPr="00247C05" w:rsidP="002A1DB6">
      <w:pPr>
        <w:spacing w:after="240" w:line="230" w:lineRule="exact"/>
        <w:jc w:val="both"/>
        <w:rPr>
          <w:rFonts w:cs="FrankRuehl"/>
          <w:sz w:val="20"/>
          <w:szCs w:val="22"/>
          <w:rtl/>
        </w:rPr>
      </w:pPr>
      <w:r w:rsidRPr="00247C05">
        <w:rPr>
          <w:rFonts w:cs="FrankRuehl" w:hint="cs"/>
          <w:sz w:val="20"/>
          <w:szCs w:val="22"/>
          <w:rtl/>
        </w:rPr>
        <w:t>פסיקות</w:t>
      </w:r>
      <w:r w:rsidRPr="00247C05">
        <w:rPr>
          <w:rFonts w:cs="FrankRuehl"/>
          <w:sz w:val="20"/>
          <w:szCs w:val="22"/>
          <w:rtl/>
        </w:rPr>
        <w:t xml:space="preserve"> במ"ש עמ"ק </w:t>
      </w:r>
      <w:r w:rsidRPr="00247C05">
        <w:rPr>
          <w:rFonts w:cs="FrankRuehl" w:hint="cs"/>
          <w:sz w:val="20"/>
          <w:szCs w:val="22"/>
          <w:rtl/>
        </w:rPr>
        <w:t xml:space="preserve">שמחייבות נאשמים בקנסות, בעונשים כספיים ובתשלום הוצאות מסוגים שונים </w:t>
      </w:r>
      <w:r w:rsidRPr="00247C05">
        <w:rPr>
          <w:rFonts w:cs="FrankRuehl"/>
          <w:sz w:val="20"/>
          <w:szCs w:val="22"/>
          <w:rtl/>
        </w:rPr>
        <w:t>מניב</w:t>
      </w:r>
      <w:r w:rsidRPr="00247C05">
        <w:rPr>
          <w:rFonts w:cs="FrankRuehl" w:hint="cs"/>
          <w:sz w:val="20"/>
          <w:szCs w:val="22"/>
          <w:rtl/>
        </w:rPr>
        <w:t>ות</w:t>
      </w:r>
      <w:r w:rsidRPr="00247C05">
        <w:rPr>
          <w:rFonts w:cs="FrankRuehl"/>
          <w:sz w:val="20"/>
          <w:szCs w:val="22"/>
          <w:rtl/>
        </w:rPr>
        <w:t xml:space="preserve"> הכנסות. </w:t>
      </w:r>
      <w:r w:rsidRPr="00247C05">
        <w:rPr>
          <w:rFonts w:cs="FrankRuehl" w:hint="cs"/>
          <w:sz w:val="20"/>
          <w:szCs w:val="22"/>
          <w:rtl/>
        </w:rPr>
        <w:t>הנפקת שובר תשלום הוא השלב הראשון לקראת זיכוי הרשויות בחיוב</w:t>
      </w:r>
      <w:r w:rsidRPr="00247C05">
        <w:rPr>
          <w:rFonts w:cs="FrankRuehl"/>
          <w:sz w:val="20"/>
          <w:szCs w:val="22"/>
          <w:rtl/>
        </w:rPr>
        <w:t>.</w:t>
      </w:r>
      <w:r w:rsidRPr="00247C05">
        <w:rPr>
          <w:rFonts w:cs="FrankRuehl" w:hint="cs"/>
          <w:sz w:val="20"/>
          <w:szCs w:val="22"/>
          <w:rtl/>
        </w:rPr>
        <w:t xml:space="preserve"> לאחר התשלום בדרך כלל מועברים כספי החייבים בדין מקופת בית המשפט לקופת הרשות המקומית מכוח הוראות החוק. ואולם, יש מקרים שבהם על פי הדין נזקפים הכספים שהתקבלו מפעילותו של במ"ש עמ"ק לטובת המדינה, כמו במקרה של הוצאות לטובת המדינה (להבדיל מהוצאות משפט), שבית המשפט יכול להטיל על כל גורם בתיק או עקב תשלום אגרות. למשל, אגרת תצהיר חתומה על ידי מזכיר במ"ש עמ"ק. </w:t>
      </w:r>
    </w:p>
    <w:p w:rsidR="003037FB" w:rsidRPr="00247C05" w:rsidP="002A1DB6">
      <w:pPr>
        <w:pStyle w:val="RESHET"/>
        <w:keepLines/>
        <w:rPr>
          <w:rtl/>
        </w:rPr>
      </w:pPr>
      <w:r w:rsidRPr="00247C05">
        <w:rPr>
          <w:rFonts w:hint="cs"/>
          <w:rtl/>
        </w:rPr>
        <w:t>מהשאלונים עולה, כי בבתי</w:t>
      </w:r>
      <w:r w:rsidRPr="00247C05">
        <w:rPr>
          <w:rtl/>
        </w:rPr>
        <w:t xml:space="preserve"> </w:t>
      </w:r>
      <w:r w:rsidRPr="00247C05">
        <w:rPr>
          <w:rFonts w:hint="cs"/>
          <w:rtl/>
        </w:rPr>
        <w:t>משפט</w:t>
      </w:r>
      <w:r w:rsidRPr="00247C05">
        <w:rPr>
          <w:rtl/>
        </w:rPr>
        <w:t xml:space="preserve"> </w:t>
      </w:r>
      <w:r w:rsidRPr="00247C05">
        <w:rPr>
          <w:rFonts w:hint="cs"/>
          <w:rtl/>
        </w:rPr>
        <w:t>עמ</w:t>
      </w:r>
      <w:r w:rsidRPr="00247C05">
        <w:rPr>
          <w:rtl/>
        </w:rPr>
        <w:t>"</w:t>
      </w:r>
      <w:r w:rsidRPr="00247C05">
        <w:rPr>
          <w:rFonts w:hint="cs"/>
          <w:rtl/>
        </w:rPr>
        <w:t>ק</w:t>
      </w:r>
      <w:r w:rsidRPr="00247C05">
        <w:rPr>
          <w:rtl/>
        </w:rPr>
        <w:t xml:space="preserve"> </w:t>
      </w:r>
      <w:r w:rsidRPr="00247C05">
        <w:rPr>
          <w:rFonts w:hint="cs"/>
          <w:rtl/>
        </w:rPr>
        <w:t>שאינם</w:t>
      </w:r>
      <w:r w:rsidRPr="00247C05">
        <w:rPr>
          <w:rtl/>
        </w:rPr>
        <w:t xml:space="preserve"> </w:t>
      </w:r>
      <w:r w:rsidRPr="00247C05">
        <w:rPr>
          <w:rFonts w:hint="cs"/>
          <w:rtl/>
        </w:rPr>
        <w:t>משתמשים במערכת</w:t>
      </w:r>
      <w:r w:rsidRPr="00247C05">
        <w:rPr>
          <w:rtl/>
        </w:rPr>
        <w:t xml:space="preserve"> </w:t>
      </w:r>
      <w:r w:rsidRPr="00247C05">
        <w:rPr>
          <w:rFonts w:hint="cs"/>
          <w:rtl/>
        </w:rPr>
        <w:t>נט</w:t>
      </w:r>
      <w:r w:rsidRPr="00247C05">
        <w:rPr>
          <w:rtl/>
        </w:rPr>
        <w:t xml:space="preserve"> </w:t>
      </w:r>
      <w:r w:rsidRPr="00247C05">
        <w:rPr>
          <w:rFonts w:hint="cs"/>
          <w:rtl/>
        </w:rPr>
        <w:t>המשפט</w:t>
      </w:r>
      <w:r w:rsidRPr="00247C05">
        <w:rPr>
          <w:rtl/>
        </w:rPr>
        <w:t xml:space="preserve">, </w:t>
      </w:r>
      <w:r w:rsidRPr="00247C05">
        <w:rPr>
          <w:rFonts w:hint="cs"/>
          <w:rtl/>
        </w:rPr>
        <w:t>במרבית המקרים</w:t>
      </w:r>
      <w:r w:rsidRPr="00247C05">
        <w:rPr>
          <w:rtl/>
        </w:rPr>
        <w:t xml:space="preserve"> </w:t>
      </w:r>
      <w:r w:rsidRPr="00247C05">
        <w:rPr>
          <w:rFonts w:hint="cs"/>
          <w:rtl/>
        </w:rPr>
        <w:t>שבהם</w:t>
      </w:r>
      <w:r w:rsidRPr="00247C05">
        <w:rPr>
          <w:rtl/>
        </w:rPr>
        <w:t xml:space="preserve"> </w:t>
      </w:r>
      <w:r w:rsidRPr="00247C05">
        <w:rPr>
          <w:rFonts w:hint="cs"/>
          <w:rtl/>
        </w:rPr>
        <w:t>על</w:t>
      </w:r>
      <w:r w:rsidRPr="00247C05">
        <w:rPr>
          <w:rtl/>
        </w:rPr>
        <w:t xml:space="preserve"> </w:t>
      </w:r>
      <w:r w:rsidRPr="00247C05">
        <w:rPr>
          <w:rFonts w:hint="cs"/>
          <w:rtl/>
        </w:rPr>
        <w:t>פי</w:t>
      </w:r>
      <w:r w:rsidRPr="00247C05">
        <w:rPr>
          <w:rtl/>
        </w:rPr>
        <w:t xml:space="preserve"> </w:t>
      </w:r>
      <w:r w:rsidRPr="00247C05">
        <w:rPr>
          <w:rFonts w:hint="cs"/>
          <w:rtl/>
        </w:rPr>
        <w:t>הדין</w:t>
      </w:r>
      <w:r w:rsidRPr="00247C05">
        <w:rPr>
          <w:rtl/>
        </w:rPr>
        <w:t xml:space="preserve"> </w:t>
      </w:r>
      <w:r w:rsidRPr="00247C05">
        <w:rPr>
          <w:rFonts w:hint="cs"/>
          <w:rtl/>
        </w:rPr>
        <w:t>החיוב</w:t>
      </w:r>
      <w:r w:rsidRPr="00247C05">
        <w:rPr>
          <w:rtl/>
        </w:rPr>
        <w:t xml:space="preserve"> </w:t>
      </w:r>
      <w:r w:rsidRPr="00247C05">
        <w:rPr>
          <w:rFonts w:hint="cs"/>
          <w:rtl/>
        </w:rPr>
        <w:t>הכספי</w:t>
      </w:r>
      <w:r w:rsidRPr="00247C05">
        <w:rPr>
          <w:rtl/>
        </w:rPr>
        <w:t xml:space="preserve"> </w:t>
      </w:r>
      <w:r w:rsidRPr="00247C05">
        <w:rPr>
          <w:rFonts w:hint="cs"/>
          <w:rtl/>
        </w:rPr>
        <w:t>הוא</w:t>
      </w:r>
      <w:r w:rsidRPr="00247C05">
        <w:rPr>
          <w:rtl/>
        </w:rPr>
        <w:t xml:space="preserve"> </w:t>
      </w:r>
      <w:r w:rsidRPr="00247C05">
        <w:rPr>
          <w:rFonts w:hint="cs"/>
          <w:rtl/>
        </w:rPr>
        <w:t>לטובת המדינה</w:t>
      </w:r>
      <w:r w:rsidRPr="00247C05">
        <w:rPr>
          <w:rtl/>
        </w:rPr>
        <w:t xml:space="preserve"> </w:t>
      </w:r>
      <w:r w:rsidRPr="00247C05">
        <w:rPr>
          <w:rFonts w:hint="cs"/>
          <w:rtl/>
        </w:rPr>
        <w:t>מופקים</w:t>
      </w:r>
      <w:r w:rsidRPr="00247C05">
        <w:rPr>
          <w:rtl/>
        </w:rPr>
        <w:t xml:space="preserve"> </w:t>
      </w:r>
      <w:r w:rsidRPr="00247C05">
        <w:rPr>
          <w:rFonts w:hint="cs"/>
          <w:rtl/>
        </w:rPr>
        <w:t>שוברי</w:t>
      </w:r>
      <w:r w:rsidRPr="00247C05">
        <w:rPr>
          <w:rtl/>
        </w:rPr>
        <w:t xml:space="preserve"> </w:t>
      </w:r>
      <w:r w:rsidRPr="00247C05">
        <w:rPr>
          <w:rFonts w:hint="cs"/>
          <w:rtl/>
        </w:rPr>
        <w:t>תשלום</w:t>
      </w:r>
      <w:r w:rsidRPr="00247C05">
        <w:rPr>
          <w:rtl/>
        </w:rPr>
        <w:t xml:space="preserve"> (</w:t>
      </w:r>
      <w:r w:rsidRPr="00247C05">
        <w:rPr>
          <w:rFonts w:hint="cs"/>
          <w:rtl/>
        </w:rPr>
        <w:t>בין</w:t>
      </w:r>
      <w:r w:rsidRPr="00247C05">
        <w:rPr>
          <w:rtl/>
        </w:rPr>
        <w:t xml:space="preserve"> </w:t>
      </w:r>
      <w:r w:rsidRPr="00247C05">
        <w:rPr>
          <w:rFonts w:hint="cs"/>
          <w:rtl/>
        </w:rPr>
        <w:t>בעבור</w:t>
      </w:r>
      <w:r w:rsidRPr="00247C05">
        <w:rPr>
          <w:rtl/>
        </w:rPr>
        <w:t xml:space="preserve"> </w:t>
      </w:r>
      <w:r w:rsidRPr="00247C05">
        <w:rPr>
          <w:rFonts w:hint="cs"/>
          <w:rtl/>
        </w:rPr>
        <w:t>תשלום</w:t>
      </w:r>
      <w:r w:rsidRPr="00247C05">
        <w:rPr>
          <w:rtl/>
        </w:rPr>
        <w:t xml:space="preserve"> </w:t>
      </w:r>
      <w:r w:rsidRPr="00247C05">
        <w:rPr>
          <w:rFonts w:hint="cs"/>
          <w:rtl/>
        </w:rPr>
        <w:t>אגרות</w:t>
      </w:r>
      <w:r w:rsidRPr="00247C05">
        <w:rPr>
          <w:rtl/>
        </w:rPr>
        <w:t xml:space="preserve">, </w:t>
      </w:r>
      <w:r w:rsidRPr="00247C05">
        <w:rPr>
          <w:rFonts w:hint="cs"/>
          <w:rtl/>
        </w:rPr>
        <w:t>הוצאות</w:t>
      </w:r>
      <w:r w:rsidRPr="00247C05">
        <w:rPr>
          <w:rtl/>
        </w:rPr>
        <w:t xml:space="preserve"> </w:t>
      </w:r>
      <w:r w:rsidRPr="00247C05">
        <w:rPr>
          <w:rFonts w:hint="cs"/>
          <w:rtl/>
        </w:rPr>
        <w:t>או</w:t>
      </w:r>
      <w:r w:rsidRPr="00247C05">
        <w:rPr>
          <w:rtl/>
        </w:rPr>
        <w:t xml:space="preserve"> </w:t>
      </w:r>
      <w:r w:rsidRPr="00247C05">
        <w:rPr>
          <w:rFonts w:hint="cs"/>
          <w:rtl/>
        </w:rPr>
        <w:t>קנסות</w:t>
      </w:r>
      <w:r w:rsidRPr="00247C05">
        <w:rPr>
          <w:rtl/>
        </w:rPr>
        <w:t xml:space="preserve">) </w:t>
      </w:r>
      <w:r w:rsidRPr="00247C05">
        <w:rPr>
          <w:rFonts w:hint="cs"/>
          <w:rtl/>
        </w:rPr>
        <w:t>רק</w:t>
      </w:r>
      <w:r w:rsidRPr="00247C05">
        <w:rPr>
          <w:rtl/>
        </w:rPr>
        <w:t xml:space="preserve"> </w:t>
      </w:r>
      <w:r w:rsidRPr="00247C05">
        <w:rPr>
          <w:rFonts w:hint="cs"/>
          <w:rtl/>
        </w:rPr>
        <w:t>לזכות</w:t>
      </w:r>
      <w:r w:rsidRPr="00247C05">
        <w:rPr>
          <w:rtl/>
        </w:rPr>
        <w:t xml:space="preserve"> </w:t>
      </w:r>
      <w:r w:rsidRPr="00247C05">
        <w:rPr>
          <w:rFonts w:hint="cs"/>
          <w:rtl/>
        </w:rPr>
        <w:t>הרשויות</w:t>
      </w:r>
      <w:r w:rsidRPr="00247C05">
        <w:rPr>
          <w:rtl/>
        </w:rPr>
        <w:t xml:space="preserve"> </w:t>
      </w:r>
      <w:r w:rsidRPr="00247C05">
        <w:rPr>
          <w:rFonts w:hint="cs"/>
          <w:rtl/>
        </w:rPr>
        <w:t>המקומיות</w:t>
      </w:r>
      <w:r w:rsidRPr="00247C05">
        <w:rPr>
          <w:rtl/>
        </w:rPr>
        <w:t xml:space="preserve"> </w:t>
      </w:r>
      <w:r w:rsidRPr="00247C05">
        <w:rPr>
          <w:rFonts w:hint="cs"/>
          <w:rtl/>
        </w:rPr>
        <w:t>ולא</w:t>
      </w:r>
      <w:r w:rsidRPr="00247C05">
        <w:rPr>
          <w:rtl/>
        </w:rPr>
        <w:t xml:space="preserve"> </w:t>
      </w:r>
      <w:r w:rsidRPr="00247C05">
        <w:rPr>
          <w:rFonts w:hint="cs"/>
          <w:rtl/>
        </w:rPr>
        <w:t>לאוצר</w:t>
      </w:r>
      <w:r w:rsidRPr="00247C05">
        <w:rPr>
          <w:rtl/>
        </w:rPr>
        <w:t xml:space="preserve"> </w:t>
      </w:r>
      <w:r w:rsidRPr="00247C05">
        <w:rPr>
          <w:rFonts w:hint="cs"/>
          <w:rtl/>
        </w:rPr>
        <w:t xml:space="preserve">המדינה. </w:t>
      </w:r>
    </w:p>
    <w:p w:rsidR="003037FB" w:rsidRPr="00247C05" w:rsidP="002A1DB6">
      <w:pPr>
        <w:spacing w:before="180" w:after="120" w:line="230" w:lineRule="exact"/>
        <w:jc w:val="both"/>
        <w:rPr>
          <w:rFonts w:cs="FrankRuehl"/>
          <w:sz w:val="20"/>
          <w:szCs w:val="22"/>
          <w:rtl/>
        </w:rPr>
      </w:pPr>
      <w:r w:rsidRPr="00247C05">
        <w:rPr>
          <w:rFonts w:cs="FrankRuehl" w:hint="cs"/>
          <w:sz w:val="20"/>
          <w:szCs w:val="22"/>
          <w:rtl/>
        </w:rPr>
        <w:t>יצוין כי</w:t>
      </w:r>
      <w:r w:rsidRPr="00247C05">
        <w:rPr>
          <w:rFonts w:cs="FrankRuehl"/>
          <w:sz w:val="20"/>
          <w:szCs w:val="22"/>
          <w:rtl/>
        </w:rPr>
        <w:t xml:space="preserve"> </w:t>
      </w:r>
      <w:r w:rsidRPr="00247C05">
        <w:rPr>
          <w:rFonts w:cs="FrankRuehl" w:hint="cs"/>
          <w:sz w:val="20"/>
          <w:szCs w:val="22"/>
          <w:rtl/>
        </w:rPr>
        <w:t>הב"ה הסדירה את הנושא חלקית ופרסמה ביוני 2014 נוהל "</w:t>
      </w:r>
      <w:r w:rsidRPr="00247C05">
        <w:rPr>
          <w:rFonts w:cs="FrankRuehl"/>
          <w:sz w:val="20"/>
          <w:szCs w:val="22"/>
          <w:rtl/>
        </w:rPr>
        <w:t>הוצאות לטובת המדינה בתיקי עניינים מקומיים</w:t>
      </w:r>
      <w:r w:rsidRPr="00247C05">
        <w:rPr>
          <w:rFonts w:cs="FrankRuehl" w:hint="cs"/>
          <w:sz w:val="20"/>
          <w:szCs w:val="22"/>
          <w:rtl/>
        </w:rPr>
        <w:t xml:space="preserve">" החל רק על </w:t>
      </w:r>
      <w:r w:rsidRPr="00247C05">
        <w:rPr>
          <w:rFonts w:cs="FrankRuehl"/>
          <w:sz w:val="20"/>
          <w:szCs w:val="22"/>
          <w:rtl/>
        </w:rPr>
        <w:t>הוצאות לטובת המדינה בתיקי ע</w:t>
      </w:r>
      <w:r w:rsidRPr="00247C05">
        <w:rPr>
          <w:rFonts w:cs="FrankRuehl" w:hint="cs"/>
          <w:sz w:val="20"/>
          <w:szCs w:val="22"/>
          <w:rtl/>
        </w:rPr>
        <w:t xml:space="preserve">מ"ק. לפי הנוהל השוברים מונפקים לזכות הרשויות, ורק לאחר מכן הן מעבירות כספים אלו להב"ה. </w:t>
      </w:r>
    </w:p>
    <w:p w:rsidR="003037FB" w:rsidRPr="00247C05" w:rsidP="00040DAE">
      <w:pPr>
        <w:spacing w:after="120" w:line="230" w:lineRule="exact"/>
        <w:jc w:val="both"/>
        <w:rPr>
          <w:rFonts w:cs="FrankRuehl"/>
          <w:sz w:val="20"/>
          <w:szCs w:val="22"/>
          <w:rtl/>
        </w:rPr>
      </w:pPr>
      <w:r w:rsidRPr="00247C05">
        <w:rPr>
          <w:rFonts w:cs="FrankRuehl" w:hint="cs"/>
          <w:sz w:val="20"/>
          <w:szCs w:val="22"/>
          <w:rtl/>
        </w:rPr>
        <w:t>כאמור חוק בתי המשפט קובע את סמכותם העניינית של בתי משפט עמ"ק, בהם הסמכות לדון בעבירות לפי "פקודת העיריות, פקודת המועצות המקומיות וחוק התכנון והבניה, ... וכן בעבירות לפי החיקוקים המנויים בתוספת השלישית לרבות תקנות, צווים וחוקי עזר על פיהם". בסמכותו</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בית</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להטיל</w:t>
      </w:r>
      <w:r w:rsidRPr="00247C05">
        <w:rPr>
          <w:rFonts w:cs="FrankRuehl"/>
          <w:sz w:val="20"/>
          <w:szCs w:val="22"/>
          <w:rtl/>
        </w:rPr>
        <w:t xml:space="preserve"> </w:t>
      </w:r>
      <w:r w:rsidRPr="00247C05">
        <w:rPr>
          <w:rFonts w:cs="FrankRuehl" w:hint="cs"/>
          <w:sz w:val="20"/>
          <w:szCs w:val="22"/>
          <w:rtl/>
        </w:rPr>
        <w:t>קנסות</w:t>
      </w:r>
      <w:r w:rsidRPr="00247C05">
        <w:rPr>
          <w:rFonts w:cs="FrankRuehl"/>
          <w:sz w:val="20"/>
          <w:szCs w:val="22"/>
          <w:rtl/>
        </w:rPr>
        <w:t xml:space="preserve"> </w:t>
      </w:r>
      <w:r w:rsidRPr="00247C05">
        <w:rPr>
          <w:rFonts w:cs="FrankRuehl" w:hint="cs"/>
          <w:sz w:val="20"/>
          <w:szCs w:val="22"/>
          <w:rtl/>
        </w:rPr>
        <w:t>על</w:t>
      </w:r>
      <w:r w:rsidRPr="00247C05">
        <w:rPr>
          <w:rFonts w:cs="FrankRuehl"/>
          <w:sz w:val="20"/>
          <w:szCs w:val="22"/>
          <w:rtl/>
        </w:rPr>
        <w:t xml:space="preserve"> </w:t>
      </w:r>
      <w:r w:rsidRPr="00247C05">
        <w:rPr>
          <w:rFonts w:cs="FrankRuehl" w:hint="cs"/>
          <w:sz w:val="20"/>
          <w:szCs w:val="22"/>
          <w:rtl/>
        </w:rPr>
        <w:t>נאשמים בתיקי עמ"ק בהתאם לאמור בחיקוקים אלו</w:t>
      </w:r>
      <w:r w:rsidRPr="00247C05">
        <w:rPr>
          <w:rFonts w:cs="FrankRuehl"/>
          <w:sz w:val="20"/>
          <w:szCs w:val="22"/>
          <w:rtl/>
        </w:rPr>
        <w:t xml:space="preserve">. </w:t>
      </w:r>
      <w:r w:rsidRPr="00247C05">
        <w:rPr>
          <w:rFonts w:cs="FrankRuehl" w:hint="cs"/>
          <w:sz w:val="20"/>
          <w:szCs w:val="22"/>
          <w:rtl/>
        </w:rPr>
        <w:t>לחלקם נקבע בחיקוקים שהמוטב שיש לשלם לו את הקנס הוא הרשות</w:t>
      </w:r>
      <w:r w:rsidRPr="00247C05">
        <w:rPr>
          <w:rFonts w:cs="FrankRuehl"/>
          <w:sz w:val="20"/>
          <w:szCs w:val="22"/>
          <w:rtl/>
        </w:rPr>
        <w:t xml:space="preserve"> </w:t>
      </w:r>
      <w:r w:rsidRPr="00247C05">
        <w:rPr>
          <w:rFonts w:cs="FrankRuehl" w:hint="cs"/>
          <w:sz w:val="20"/>
          <w:szCs w:val="22"/>
          <w:rtl/>
        </w:rPr>
        <w:t>המקומית, לחלק אחר נקבע שהמוטב הוא אוצר המדינה (ישירות או באמצעות גוף של המדינה), ולחלק לא נקבע מי המוטב כלל.</w:t>
      </w:r>
    </w:p>
    <w:p w:rsidR="003037FB" w:rsidRPr="00247C05" w:rsidP="00040DAE">
      <w:pPr>
        <w:spacing w:after="120" w:line="230" w:lineRule="exact"/>
        <w:jc w:val="both"/>
        <w:rPr>
          <w:rFonts w:cs="FrankRuehl"/>
          <w:b/>
          <w:bCs/>
          <w:sz w:val="20"/>
          <w:szCs w:val="22"/>
        </w:rPr>
      </w:pPr>
      <w:r w:rsidRPr="00247C05">
        <w:rPr>
          <w:rFonts w:cs="FrankRuehl" w:hint="cs"/>
          <w:sz w:val="20"/>
          <w:szCs w:val="22"/>
          <w:rtl/>
        </w:rPr>
        <w:t>ועדת</w:t>
      </w:r>
      <w:r w:rsidRPr="00247C05">
        <w:rPr>
          <w:rFonts w:cs="FrankRuehl"/>
          <w:sz w:val="20"/>
          <w:szCs w:val="22"/>
          <w:rtl/>
        </w:rPr>
        <w:t xml:space="preserve"> </w:t>
      </w:r>
      <w:r w:rsidRPr="00247C05">
        <w:rPr>
          <w:rFonts w:cs="FrankRuehl" w:hint="cs"/>
          <w:sz w:val="20"/>
          <w:szCs w:val="22"/>
          <w:rtl/>
        </w:rPr>
        <w:t>זמיר</w:t>
      </w:r>
      <w:r w:rsidRPr="00247C05">
        <w:rPr>
          <w:rFonts w:cs="FrankRuehl"/>
          <w:sz w:val="20"/>
          <w:szCs w:val="22"/>
          <w:rtl/>
        </w:rPr>
        <w:t xml:space="preserve"> </w:t>
      </w:r>
      <w:r w:rsidRPr="00247C05">
        <w:rPr>
          <w:rFonts w:cs="FrankRuehl" w:hint="cs"/>
          <w:sz w:val="20"/>
          <w:szCs w:val="22"/>
          <w:rtl/>
        </w:rPr>
        <w:t>דנה בנושא</w:t>
      </w:r>
      <w:r w:rsidRPr="00247C05">
        <w:rPr>
          <w:rFonts w:cs="FrankRuehl"/>
          <w:sz w:val="20"/>
          <w:szCs w:val="22"/>
          <w:rtl/>
        </w:rPr>
        <w:t xml:space="preserve"> </w:t>
      </w:r>
      <w:r w:rsidRPr="00247C05">
        <w:rPr>
          <w:rFonts w:cs="FrankRuehl" w:hint="cs"/>
          <w:sz w:val="20"/>
          <w:szCs w:val="22"/>
          <w:rtl/>
        </w:rPr>
        <w:t>וציינה,</w:t>
      </w:r>
      <w:r w:rsidRPr="00247C05">
        <w:rPr>
          <w:rFonts w:cs="FrankRuehl"/>
          <w:sz w:val="20"/>
          <w:szCs w:val="22"/>
          <w:rtl/>
        </w:rPr>
        <w:t xml:space="preserve"> </w:t>
      </w:r>
      <w:r w:rsidRPr="00247C05">
        <w:rPr>
          <w:rFonts w:cs="FrankRuehl" w:hint="cs"/>
          <w:sz w:val="20"/>
          <w:szCs w:val="22"/>
          <w:rtl/>
        </w:rPr>
        <w:t>כי</w:t>
      </w:r>
      <w:r w:rsidRPr="00247C05">
        <w:rPr>
          <w:rFonts w:cs="FrankRuehl"/>
          <w:sz w:val="20"/>
          <w:szCs w:val="22"/>
          <w:rtl/>
        </w:rPr>
        <w:t xml:space="preserve"> </w:t>
      </w:r>
      <w:r w:rsidRPr="00247C05">
        <w:rPr>
          <w:rFonts w:cs="FrankRuehl" w:hint="cs"/>
          <w:sz w:val="20"/>
          <w:szCs w:val="22"/>
          <w:rtl/>
        </w:rPr>
        <w:t>ישנם</w:t>
      </w:r>
      <w:r w:rsidRPr="00247C05">
        <w:rPr>
          <w:rFonts w:cs="FrankRuehl"/>
          <w:sz w:val="20"/>
          <w:szCs w:val="22"/>
          <w:rtl/>
        </w:rPr>
        <w:t xml:space="preserve"> </w:t>
      </w:r>
      <w:r w:rsidRPr="00247C05">
        <w:rPr>
          <w:rFonts w:cs="FrankRuehl" w:hint="cs"/>
          <w:sz w:val="20"/>
          <w:szCs w:val="22"/>
          <w:rtl/>
        </w:rPr>
        <w:t>מקרים</w:t>
      </w:r>
      <w:r w:rsidRPr="00247C05">
        <w:rPr>
          <w:rFonts w:cs="FrankRuehl"/>
          <w:sz w:val="20"/>
          <w:szCs w:val="22"/>
          <w:rtl/>
        </w:rPr>
        <w:t xml:space="preserve"> </w:t>
      </w:r>
      <w:r w:rsidRPr="00247C05">
        <w:rPr>
          <w:rFonts w:cs="FrankRuehl" w:hint="cs"/>
          <w:sz w:val="20"/>
          <w:szCs w:val="22"/>
          <w:rtl/>
        </w:rPr>
        <w:t>ש</w:t>
      </w:r>
      <w:r w:rsidRPr="00247C05">
        <w:rPr>
          <w:rFonts w:cs="FrankRuehl" w:hint="cs"/>
          <w:sz w:val="20"/>
          <w:szCs w:val="22"/>
          <w:rtl/>
        </w:rPr>
        <w:t>בית</w:t>
      </w:r>
      <w:r w:rsidRPr="00247C05">
        <w:rPr>
          <w:rFonts w:cs="FrankRuehl"/>
          <w:sz w:val="20"/>
          <w:szCs w:val="22"/>
          <w:rtl/>
        </w:rPr>
        <w:t xml:space="preserve"> </w:t>
      </w:r>
      <w:r w:rsidRPr="00247C05">
        <w:rPr>
          <w:rFonts w:cs="FrankRuehl" w:hint="cs"/>
          <w:sz w:val="20"/>
          <w:szCs w:val="22"/>
          <w:rtl/>
        </w:rPr>
        <w:t>המשפט</w:t>
      </w:r>
      <w:r w:rsidRPr="00247C05">
        <w:rPr>
          <w:rFonts w:cs="FrankRuehl"/>
          <w:sz w:val="20"/>
          <w:szCs w:val="22"/>
          <w:rtl/>
        </w:rPr>
        <w:t xml:space="preserve"> </w:t>
      </w:r>
      <w:r w:rsidRPr="00247C05">
        <w:rPr>
          <w:rFonts w:cs="FrankRuehl" w:hint="cs"/>
          <w:sz w:val="20"/>
          <w:szCs w:val="22"/>
          <w:rtl/>
        </w:rPr>
        <w:t>עמ</w:t>
      </w:r>
      <w:r w:rsidRPr="00247C05">
        <w:rPr>
          <w:rFonts w:cs="FrankRuehl"/>
          <w:sz w:val="20"/>
          <w:szCs w:val="22"/>
          <w:rtl/>
        </w:rPr>
        <w:t>"</w:t>
      </w:r>
      <w:r w:rsidRPr="00247C05">
        <w:rPr>
          <w:rFonts w:cs="FrankRuehl" w:hint="cs"/>
          <w:sz w:val="20"/>
          <w:szCs w:val="22"/>
          <w:rtl/>
        </w:rPr>
        <w:t>ק</w:t>
      </w:r>
      <w:r w:rsidRPr="00247C05">
        <w:rPr>
          <w:rFonts w:cs="FrankRuehl"/>
          <w:sz w:val="20"/>
          <w:szCs w:val="22"/>
          <w:rtl/>
        </w:rPr>
        <w:t xml:space="preserve"> </w:t>
      </w:r>
      <w:r w:rsidRPr="00247C05">
        <w:rPr>
          <w:rFonts w:cs="FrankRuehl" w:hint="cs"/>
          <w:sz w:val="20"/>
          <w:szCs w:val="22"/>
          <w:rtl/>
        </w:rPr>
        <w:t>מטיל קנסות</w:t>
      </w:r>
      <w:r w:rsidRPr="00247C05">
        <w:rPr>
          <w:rFonts w:cs="FrankRuehl"/>
          <w:sz w:val="20"/>
          <w:szCs w:val="22"/>
          <w:rtl/>
        </w:rPr>
        <w:t xml:space="preserve"> </w:t>
      </w:r>
      <w:r w:rsidRPr="00247C05">
        <w:rPr>
          <w:rFonts w:cs="FrankRuehl" w:hint="cs"/>
          <w:sz w:val="20"/>
          <w:szCs w:val="22"/>
          <w:rtl/>
        </w:rPr>
        <w:t>מכוח</w:t>
      </w:r>
      <w:r w:rsidRPr="00247C05">
        <w:rPr>
          <w:rFonts w:cs="FrankRuehl"/>
          <w:sz w:val="20"/>
          <w:szCs w:val="22"/>
          <w:rtl/>
        </w:rPr>
        <w:t xml:space="preserve"> </w:t>
      </w:r>
      <w:r w:rsidRPr="00247C05">
        <w:rPr>
          <w:rFonts w:cs="FrankRuehl" w:hint="cs"/>
          <w:sz w:val="20"/>
          <w:szCs w:val="22"/>
          <w:rtl/>
        </w:rPr>
        <w:t>חוקים</w:t>
      </w:r>
      <w:r w:rsidRPr="00247C05">
        <w:rPr>
          <w:rFonts w:cs="FrankRuehl"/>
          <w:sz w:val="20"/>
          <w:szCs w:val="22"/>
          <w:rtl/>
        </w:rPr>
        <w:t xml:space="preserve"> </w:t>
      </w:r>
      <w:r w:rsidRPr="00247C05">
        <w:rPr>
          <w:rFonts w:cs="FrankRuehl" w:hint="cs"/>
          <w:sz w:val="20"/>
          <w:szCs w:val="22"/>
          <w:rtl/>
        </w:rPr>
        <w:t>שאין</w:t>
      </w:r>
      <w:r w:rsidRPr="00247C05">
        <w:rPr>
          <w:rFonts w:cs="FrankRuehl"/>
          <w:sz w:val="20"/>
          <w:szCs w:val="22"/>
          <w:rtl/>
        </w:rPr>
        <w:t xml:space="preserve"> </w:t>
      </w:r>
      <w:r w:rsidRPr="00247C05">
        <w:rPr>
          <w:rFonts w:cs="FrankRuehl" w:hint="cs"/>
          <w:sz w:val="20"/>
          <w:szCs w:val="22"/>
          <w:rtl/>
        </w:rPr>
        <w:t>בהם הוראה</w:t>
      </w:r>
      <w:r w:rsidRPr="00247C05">
        <w:rPr>
          <w:rFonts w:cs="FrankRuehl"/>
          <w:sz w:val="20"/>
          <w:szCs w:val="22"/>
          <w:rtl/>
        </w:rPr>
        <w:t xml:space="preserve"> </w:t>
      </w:r>
      <w:r w:rsidRPr="00247C05">
        <w:rPr>
          <w:rFonts w:cs="FrankRuehl" w:hint="cs"/>
          <w:sz w:val="20"/>
          <w:szCs w:val="22"/>
          <w:rtl/>
        </w:rPr>
        <w:t>שמחייבת</w:t>
      </w:r>
      <w:r w:rsidRPr="00247C05">
        <w:rPr>
          <w:rFonts w:cs="FrankRuehl"/>
          <w:sz w:val="20"/>
          <w:szCs w:val="22"/>
          <w:rtl/>
        </w:rPr>
        <w:t xml:space="preserve"> </w:t>
      </w:r>
      <w:r w:rsidRPr="00247C05">
        <w:rPr>
          <w:rFonts w:cs="FrankRuehl" w:hint="cs"/>
          <w:sz w:val="20"/>
          <w:szCs w:val="22"/>
          <w:rtl/>
        </w:rPr>
        <w:t>להעביר</w:t>
      </w:r>
      <w:r w:rsidRPr="00247C05">
        <w:rPr>
          <w:rFonts w:cs="FrankRuehl"/>
          <w:sz w:val="20"/>
          <w:szCs w:val="22"/>
          <w:rtl/>
        </w:rPr>
        <w:t xml:space="preserve"> </w:t>
      </w:r>
      <w:r w:rsidRPr="00247C05">
        <w:rPr>
          <w:rFonts w:cs="FrankRuehl" w:hint="cs"/>
          <w:sz w:val="20"/>
          <w:szCs w:val="22"/>
          <w:rtl/>
        </w:rPr>
        <w:t>כספים</w:t>
      </w:r>
      <w:r w:rsidRPr="00247C05">
        <w:rPr>
          <w:rFonts w:cs="FrankRuehl"/>
          <w:sz w:val="20"/>
          <w:szCs w:val="22"/>
          <w:rtl/>
        </w:rPr>
        <w:t xml:space="preserve"> </w:t>
      </w:r>
      <w:r w:rsidRPr="00247C05">
        <w:rPr>
          <w:rFonts w:cs="FrankRuehl" w:hint="cs"/>
          <w:sz w:val="20"/>
          <w:szCs w:val="22"/>
          <w:rtl/>
        </w:rPr>
        <w:t>לקופת</w:t>
      </w:r>
      <w:r w:rsidRPr="00247C05">
        <w:rPr>
          <w:rFonts w:cs="FrankRuehl"/>
          <w:sz w:val="20"/>
          <w:szCs w:val="22"/>
          <w:rtl/>
        </w:rPr>
        <w:t xml:space="preserve"> </w:t>
      </w:r>
      <w:r w:rsidRPr="00247C05">
        <w:rPr>
          <w:rFonts w:cs="FrankRuehl" w:hint="cs"/>
          <w:sz w:val="20"/>
          <w:szCs w:val="22"/>
          <w:rtl/>
        </w:rPr>
        <w:t>הרשות</w:t>
      </w:r>
      <w:r w:rsidRPr="00247C05">
        <w:rPr>
          <w:rFonts w:cs="FrankRuehl"/>
          <w:sz w:val="20"/>
          <w:szCs w:val="22"/>
          <w:rtl/>
        </w:rPr>
        <w:t xml:space="preserve"> </w:t>
      </w:r>
      <w:r w:rsidRPr="00247C05">
        <w:rPr>
          <w:rFonts w:cs="FrankRuehl" w:hint="cs"/>
          <w:sz w:val="20"/>
          <w:szCs w:val="22"/>
          <w:rtl/>
        </w:rPr>
        <w:t>המקומית</w:t>
      </w:r>
      <w:r w:rsidRPr="00247C05">
        <w:rPr>
          <w:rFonts w:cs="FrankRuehl"/>
          <w:sz w:val="20"/>
          <w:szCs w:val="22"/>
          <w:rtl/>
        </w:rPr>
        <w:t xml:space="preserve">, </w:t>
      </w:r>
      <w:r w:rsidRPr="00247C05">
        <w:rPr>
          <w:rFonts w:cs="FrankRuehl" w:hint="cs"/>
          <w:sz w:val="20"/>
          <w:szCs w:val="22"/>
          <w:rtl/>
        </w:rPr>
        <w:t>אך בפועל</w:t>
      </w:r>
      <w:r w:rsidRPr="00247C05">
        <w:rPr>
          <w:rFonts w:cs="FrankRuehl"/>
          <w:sz w:val="20"/>
          <w:szCs w:val="22"/>
          <w:rtl/>
        </w:rPr>
        <w:t xml:space="preserve"> </w:t>
      </w:r>
      <w:r w:rsidRPr="00247C05">
        <w:rPr>
          <w:rFonts w:cs="FrankRuehl" w:hint="cs"/>
          <w:sz w:val="20"/>
          <w:szCs w:val="22"/>
          <w:rtl/>
        </w:rPr>
        <w:t>קנסות</w:t>
      </w:r>
      <w:r w:rsidRPr="00247C05">
        <w:rPr>
          <w:rFonts w:cs="FrankRuehl"/>
          <w:sz w:val="20"/>
          <w:szCs w:val="22"/>
          <w:rtl/>
        </w:rPr>
        <w:t xml:space="preserve"> </w:t>
      </w:r>
      <w:r w:rsidRPr="00247C05">
        <w:rPr>
          <w:rFonts w:cs="FrankRuehl" w:hint="cs"/>
          <w:sz w:val="20"/>
          <w:szCs w:val="22"/>
          <w:rtl/>
        </w:rPr>
        <w:t>אלה</w:t>
      </w:r>
      <w:r w:rsidRPr="00247C05">
        <w:rPr>
          <w:rFonts w:cs="FrankRuehl"/>
          <w:sz w:val="20"/>
          <w:szCs w:val="22"/>
          <w:rtl/>
        </w:rPr>
        <w:t xml:space="preserve"> </w:t>
      </w:r>
      <w:r w:rsidRPr="00247C05">
        <w:rPr>
          <w:rFonts w:cs="FrankRuehl" w:hint="cs"/>
          <w:sz w:val="20"/>
          <w:szCs w:val="22"/>
          <w:rtl/>
        </w:rPr>
        <w:t>מועברים</w:t>
      </w:r>
      <w:r w:rsidRPr="00247C05">
        <w:rPr>
          <w:rFonts w:cs="FrankRuehl"/>
          <w:sz w:val="20"/>
          <w:szCs w:val="22"/>
          <w:rtl/>
        </w:rPr>
        <w:t xml:space="preserve"> </w:t>
      </w:r>
      <w:r w:rsidRPr="00247C05">
        <w:rPr>
          <w:rFonts w:cs="FrankRuehl" w:hint="cs"/>
          <w:sz w:val="20"/>
          <w:szCs w:val="22"/>
          <w:rtl/>
        </w:rPr>
        <w:t>לקופת</w:t>
      </w:r>
      <w:r w:rsidRPr="00247C05">
        <w:rPr>
          <w:rFonts w:cs="FrankRuehl"/>
          <w:sz w:val="20"/>
          <w:szCs w:val="22"/>
          <w:rtl/>
        </w:rPr>
        <w:t xml:space="preserve"> </w:t>
      </w:r>
      <w:r w:rsidRPr="00247C05">
        <w:rPr>
          <w:rFonts w:cs="FrankRuehl" w:hint="cs"/>
          <w:sz w:val="20"/>
          <w:szCs w:val="22"/>
          <w:rtl/>
        </w:rPr>
        <w:t>הרשות</w:t>
      </w:r>
      <w:r w:rsidRPr="00247C05">
        <w:rPr>
          <w:rFonts w:cs="FrankRuehl"/>
          <w:sz w:val="20"/>
          <w:szCs w:val="22"/>
          <w:rtl/>
        </w:rPr>
        <w:t xml:space="preserve"> </w:t>
      </w:r>
      <w:r w:rsidRPr="00247C05">
        <w:rPr>
          <w:rFonts w:cs="FrankRuehl" w:hint="cs"/>
          <w:sz w:val="20"/>
          <w:szCs w:val="22"/>
          <w:rtl/>
        </w:rPr>
        <w:t>המקומית</w:t>
      </w:r>
      <w:r w:rsidRPr="00247C05">
        <w:rPr>
          <w:rFonts w:cs="FrankRuehl"/>
          <w:sz w:val="20"/>
          <w:szCs w:val="22"/>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משרד מבקר המדינה בחר שבעה חיקוקים מהחיקוקים</w:t>
      </w:r>
      <w:r w:rsidRPr="00247C05">
        <w:rPr>
          <w:rFonts w:cs="FrankRuehl"/>
          <w:sz w:val="20"/>
          <w:szCs w:val="22"/>
          <w:rtl/>
        </w:rPr>
        <w:t xml:space="preserve"> </w:t>
      </w:r>
      <w:r w:rsidRPr="00247C05">
        <w:rPr>
          <w:rFonts w:cs="FrankRuehl" w:hint="cs"/>
          <w:sz w:val="20"/>
          <w:szCs w:val="22"/>
          <w:rtl/>
        </w:rPr>
        <w:t>שבתוספת</w:t>
      </w:r>
      <w:r w:rsidRPr="00247C05">
        <w:rPr>
          <w:rFonts w:cs="FrankRuehl"/>
          <w:sz w:val="20"/>
          <w:szCs w:val="22"/>
          <w:rtl/>
        </w:rPr>
        <w:t xml:space="preserve"> </w:t>
      </w:r>
      <w:r w:rsidRPr="00247C05">
        <w:rPr>
          <w:rFonts w:cs="FrankRuehl" w:hint="cs"/>
          <w:sz w:val="20"/>
          <w:szCs w:val="22"/>
          <w:rtl/>
        </w:rPr>
        <w:t>השלישית</w:t>
      </w:r>
      <w:r>
        <w:rPr>
          <w:rStyle w:val="FootnoteReference"/>
          <w:rFonts w:cs="FrankRuehl"/>
          <w:sz w:val="20"/>
          <w:szCs w:val="22"/>
          <w:rtl/>
        </w:rPr>
        <w:footnoteReference w:id="26"/>
      </w:r>
      <w:r w:rsidRPr="00247C05">
        <w:rPr>
          <w:rFonts w:cs="FrankRuehl" w:hint="cs"/>
          <w:sz w:val="20"/>
          <w:szCs w:val="22"/>
          <w:rtl/>
        </w:rPr>
        <w:t xml:space="preserve"> של חוק בתי המשפט שבהם קיימות הוראות הקובעות כי הקנסות שיוטלו בגין עבירות יועברו לאוצר המדינה (להלן - קנסות לטובת המדינה). יצוין, כי בחלק מהעברות שנמנו בשבעת החיקוקים שנבחרו נקבע שתשלומי הקנסות מיועדים לרשויות המקומיות בתנאי שהוטלו על ידי פקח של הרשות אגב הפעלת סמכותו. החיקוקים שולבו בשאלונים שהועברו לבתי משפט עמ"ק כדי לבחון למי יועדו הכספים בקנסות שלטובת המדינה.</w:t>
      </w:r>
    </w:p>
    <w:p w:rsidR="003037FB" w:rsidRPr="00247C05" w:rsidP="00F451F1">
      <w:pPr>
        <w:spacing w:after="240" w:line="230" w:lineRule="exact"/>
        <w:jc w:val="both"/>
        <w:rPr>
          <w:rFonts w:cs="FrankRuehl"/>
          <w:sz w:val="20"/>
          <w:szCs w:val="22"/>
          <w:rtl/>
        </w:rPr>
      </w:pPr>
      <w:r w:rsidRPr="00247C05">
        <w:rPr>
          <w:rFonts w:cs="FrankRuehl" w:hint="cs"/>
          <w:sz w:val="20"/>
          <w:szCs w:val="22"/>
          <w:rtl/>
        </w:rPr>
        <w:t>כמו כן, בשאלונים נבדקו מספר התיקים שנדונו בין השנים 2015-2010 בבמ"ש עמ"ק העוסקים בעברות הנכללות בחיקוקים שנבחרו, וזהות המוטבים האפשריים הנקובים בשובר התשלום. מהתשובות</w:t>
      </w:r>
      <w:r w:rsidRPr="00247C05">
        <w:rPr>
          <w:rFonts w:cs="FrankRuehl"/>
          <w:sz w:val="20"/>
          <w:szCs w:val="22"/>
          <w:rtl/>
        </w:rPr>
        <w:t xml:space="preserve"> לשאלונים עולה</w:t>
      </w:r>
      <w:r w:rsidRPr="00247C05">
        <w:rPr>
          <w:rFonts w:cs="FrankRuehl" w:hint="cs"/>
          <w:sz w:val="20"/>
          <w:szCs w:val="22"/>
          <w:rtl/>
        </w:rPr>
        <w:t>,</w:t>
      </w:r>
      <w:r w:rsidRPr="00247C05">
        <w:rPr>
          <w:rFonts w:cs="FrankRuehl"/>
          <w:sz w:val="20"/>
          <w:szCs w:val="22"/>
          <w:rtl/>
        </w:rPr>
        <w:t xml:space="preserve"> </w:t>
      </w:r>
      <w:r w:rsidRPr="00247C05">
        <w:rPr>
          <w:rFonts w:cs="FrankRuehl" w:hint="cs"/>
          <w:sz w:val="20"/>
          <w:szCs w:val="22"/>
          <w:rtl/>
        </w:rPr>
        <w:t>כי</w:t>
      </w:r>
      <w:r w:rsidRPr="00247C05">
        <w:rPr>
          <w:rFonts w:cs="FrankRuehl"/>
          <w:sz w:val="20"/>
          <w:szCs w:val="22"/>
          <w:rtl/>
        </w:rPr>
        <w:t xml:space="preserve"> </w:t>
      </w:r>
      <w:r w:rsidRPr="00247C05">
        <w:rPr>
          <w:rFonts w:cs="FrankRuehl" w:hint="cs"/>
          <w:sz w:val="20"/>
          <w:szCs w:val="22"/>
          <w:rtl/>
        </w:rPr>
        <w:t xml:space="preserve">בחמש </w:t>
      </w:r>
      <w:r w:rsidRPr="00247C05">
        <w:rPr>
          <w:rFonts w:cs="FrankRuehl"/>
          <w:sz w:val="20"/>
          <w:szCs w:val="22"/>
          <w:rtl/>
        </w:rPr>
        <w:t>עשר</w:t>
      </w:r>
      <w:r w:rsidRPr="00247C05">
        <w:rPr>
          <w:rFonts w:cs="FrankRuehl" w:hint="cs"/>
          <w:sz w:val="20"/>
          <w:szCs w:val="22"/>
          <w:rtl/>
        </w:rPr>
        <w:t>ה</w:t>
      </w:r>
      <w:r w:rsidRPr="00247C05">
        <w:rPr>
          <w:rFonts w:cs="FrankRuehl"/>
          <w:sz w:val="20"/>
          <w:szCs w:val="22"/>
          <w:rtl/>
        </w:rPr>
        <w:t xml:space="preserve"> </w:t>
      </w:r>
      <w:r w:rsidRPr="00247C05">
        <w:rPr>
          <w:rFonts w:cs="FrankRuehl" w:hint="cs"/>
          <w:sz w:val="20"/>
          <w:szCs w:val="22"/>
          <w:rtl/>
        </w:rPr>
        <w:t>מזכירויות של במ</w:t>
      </w:r>
      <w:r w:rsidRPr="00247C05">
        <w:rPr>
          <w:rFonts w:cs="FrankRuehl"/>
          <w:sz w:val="20"/>
          <w:szCs w:val="22"/>
          <w:rtl/>
        </w:rPr>
        <w:t xml:space="preserve">"ש </w:t>
      </w:r>
      <w:r w:rsidRPr="00247C05">
        <w:rPr>
          <w:rFonts w:cs="FrankRuehl" w:hint="cs"/>
          <w:sz w:val="20"/>
          <w:szCs w:val="22"/>
          <w:rtl/>
        </w:rPr>
        <w:t>עמ</w:t>
      </w:r>
      <w:r w:rsidRPr="00247C05">
        <w:rPr>
          <w:rFonts w:cs="FrankRuehl"/>
          <w:sz w:val="20"/>
          <w:szCs w:val="22"/>
          <w:rtl/>
        </w:rPr>
        <w:t>"ק</w:t>
      </w:r>
      <w:r>
        <w:rPr>
          <w:rStyle w:val="FootnoteReference"/>
          <w:rFonts w:cs="FrankRuehl"/>
          <w:sz w:val="20"/>
          <w:szCs w:val="22"/>
          <w:rtl/>
        </w:rPr>
        <w:footnoteReference w:id="27"/>
      </w:r>
      <w:r w:rsidRPr="00247C05">
        <w:rPr>
          <w:rFonts w:cs="FrankRuehl"/>
          <w:sz w:val="20"/>
          <w:szCs w:val="22"/>
          <w:rtl/>
        </w:rPr>
        <w:t xml:space="preserve"> מנפיקים שוברי תשלום </w:t>
      </w:r>
      <w:r w:rsidRPr="00247C05">
        <w:rPr>
          <w:rFonts w:cs="FrankRuehl" w:hint="cs"/>
          <w:sz w:val="20"/>
          <w:szCs w:val="22"/>
          <w:rtl/>
        </w:rPr>
        <w:t>רק</w:t>
      </w:r>
      <w:r w:rsidRPr="00247C05">
        <w:rPr>
          <w:rFonts w:cs="FrankRuehl"/>
          <w:sz w:val="20"/>
          <w:szCs w:val="22"/>
          <w:rtl/>
        </w:rPr>
        <w:t xml:space="preserve"> </w:t>
      </w:r>
      <w:r w:rsidRPr="00247C05">
        <w:rPr>
          <w:rFonts w:cs="FrankRuehl" w:hint="cs"/>
          <w:sz w:val="20"/>
          <w:szCs w:val="22"/>
          <w:rtl/>
        </w:rPr>
        <w:t>לזכות</w:t>
      </w:r>
      <w:r w:rsidRPr="00247C05">
        <w:rPr>
          <w:rFonts w:cs="FrankRuehl"/>
          <w:sz w:val="20"/>
          <w:szCs w:val="22"/>
          <w:rtl/>
        </w:rPr>
        <w:t xml:space="preserve"> </w:t>
      </w:r>
      <w:r w:rsidRPr="00247C05">
        <w:rPr>
          <w:rFonts w:cs="FrankRuehl" w:hint="cs"/>
          <w:sz w:val="20"/>
          <w:szCs w:val="22"/>
          <w:rtl/>
        </w:rPr>
        <w:t>הרשויות</w:t>
      </w:r>
      <w:r w:rsidRPr="00247C05">
        <w:rPr>
          <w:rFonts w:cs="FrankRuehl"/>
          <w:sz w:val="20"/>
          <w:szCs w:val="22"/>
          <w:rtl/>
        </w:rPr>
        <w:t xml:space="preserve"> </w:t>
      </w:r>
      <w:r w:rsidRPr="00247C05">
        <w:rPr>
          <w:rFonts w:cs="FrankRuehl" w:hint="cs"/>
          <w:sz w:val="20"/>
          <w:szCs w:val="22"/>
          <w:rtl/>
        </w:rPr>
        <w:t>המקומיות</w:t>
      </w:r>
      <w:r w:rsidRPr="00247C05">
        <w:rPr>
          <w:rFonts w:cs="FrankRuehl"/>
          <w:sz w:val="20"/>
          <w:szCs w:val="22"/>
          <w:rtl/>
        </w:rPr>
        <w:t xml:space="preserve"> </w:t>
      </w:r>
      <w:r w:rsidRPr="00247C05">
        <w:rPr>
          <w:rFonts w:cs="FrankRuehl" w:hint="cs"/>
          <w:sz w:val="20"/>
          <w:szCs w:val="22"/>
          <w:rtl/>
        </w:rPr>
        <w:t>שבתחום</w:t>
      </w:r>
      <w:r w:rsidRPr="00247C05">
        <w:rPr>
          <w:rFonts w:cs="FrankRuehl"/>
          <w:sz w:val="20"/>
          <w:szCs w:val="22"/>
          <w:rtl/>
        </w:rPr>
        <w:t xml:space="preserve"> </w:t>
      </w:r>
      <w:r w:rsidRPr="00247C05">
        <w:rPr>
          <w:rFonts w:cs="FrankRuehl" w:hint="cs"/>
          <w:sz w:val="20"/>
          <w:szCs w:val="22"/>
          <w:rtl/>
        </w:rPr>
        <w:t>שיפוטן.</w:t>
      </w:r>
      <w:r w:rsidRPr="00247C05">
        <w:rPr>
          <w:rFonts w:cs="FrankRuehl"/>
          <w:sz w:val="20"/>
          <w:szCs w:val="22"/>
          <w:rtl/>
        </w:rPr>
        <w:t xml:space="preserve"> </w:t>
      </w:r>
    </w:p>
    <w:p w:rsidR="003037FB" w:rsidRPr="00247C05" w:rsidP="00F451F1">
      <w:pPr>
        <w:pStyle w:val="RESHET"/>
        <w:keepLines/>
        <w:rPr>
          <w:rtl/>
        </w:rPr>
      </w:pPr>
      <w:r w:rsidRPr="00247C05">
        <w:rPr>
          <w:rFonts w:hint="cs"/>
          <w:rtl/>
        </w:rPr>
        <w:t>כאמור,</w:t>
      </w:r>
      <w:r w:rsidRPr="00247C05">
        <w:rPr>
          <w:rFonts w:hint="cs"/>
          <w:rtl/>
        </w:rPr>
        <w:t xml:space="preserve"> בניגוד להנחיות הב"ה בעניין זקיפת הוצאות לטובת אוצר המדינה</w:t>
      </w:r>
      <w:r w:rsidRPr="00247C05">
        <w:rPr>
          <w:rFonts w:hint="cs"/>
          <w:rtl/>
        </w:rPr>
        <w:t>,</w:t>
      </w:r>
      <w:r w:rsidRPr="00247C05">
        <w:rPr>
          <w:rFonts w:hint="cs"/>
          <w:rtl/>
        </w:rPr>
        <w:t xml:space="preserve"> </w:t>
      </w:r>
      <w:r w:rsidRPr="00247C05">
        <w:rPr>
          <w:rFonts w:hint="cs"/>
          <w:rtl/>
        </w:rPr>
        <w:t xml:space="preserve">לגבי קנסות </w:t>
      </w:r>
      <w:r w:rsidRPr="00247C05">
        <w:rPr>
          <w:rFonts w:hint="cs"/>
          <w:rtl/>
        </w:rPr>
        <w:t xml:space="preserve">לא נקבעו הוראות המסדירות את זקיפת הקנסות המיועדים לאוצר המדינה. </w:t>
      </w:r>
      <w:r w:rsidRPr="00247C05">
        <w:rPr>
          <w:rFonts w:hint="cs"/>
          <w:rtl/>
        </w:rPr>
        <w:t>ואכן, בבדיקה נמצאו מקרים שבהם</w:t>
      </w:r>
      <w:r w:rsidRPr="00247C05">
        <w:rPr>
          <w:rtl/>
        </w:rPr>
        <w:t xml:space="preserve"> </w:t>
      </w:r>
      <w:r w:rsidRPr="00247C05">
        <w:rPr>
          <w:rFonts w:hint="cs"/>
          <w:rtl/>
        </w:rPr>
        <w:t>שולמו כספי</w:t>
      </w:r>
      <w:r w:rsidRPr="00247C05">
        <w:rPr>
          <w:rtl/>
        </w:rPr>
        <w:t xml:space="preserve"> </w:t>
      </w:r>
      <w:r w:rsidRPr="00247C05">
        <w:rPr>
          <w:rFonts w:hint="cs"/>
          <w:rtl/>
        </w:rPr>
        <w:t>קנסות</w:t>
      </w:r>
      <w:r w:rsidRPr="00247C05">
        <w:rPr>
          <w:rtl/>
        </w:rPr>
        <w:t xml:space="preserve"> </w:t>
      </w:r>
      <w:r w:rsidRPr="00247C05">
        <w:rPr>
          <w:rFonts w:hint="cs"/>
          <w:rtl/>
        </w:rPr>
        <w:t>המיועדים לאוצר המדינה לרשויות</w:t>
      </w:r>
      <w:r w:rsidRPr="00247C05">
        <w:rPr>
          <w:rtl/>
        </w:rPr>
        <w:t xml:space="preserve"> </w:t>
      </w:r>
      <w:r w:rsidRPr="00247C05">
        <w:rPr>
          <w:rFonts w:hint="cs"/>
          <w:rtl/>
        </w:rPr>
        <w:t>המקומיות. כך לדוגמה, בין השנים 2010-2015 נזקפו קנסות</w:t>
      </w:r>
      <w:r w:rsidRPr="00247C05">
        <w:rPr>
          <w:rtl/>
        </w:rPr>
        <w:t xml:space="preserve"> </w:t>
      </w:r>
      <w:r w:rsidRPr="00247C05">
        <w:rPr>
          <w:rFonts w:hint="cs"/>
          <w:rtl/>
        </w:rPr>
        <w:t>מדינה</w:t>
      </w:r>
      <w:r w:rsidRPr="00247C05">
        <w:rPr>
          <w:rtl/>
        </w:rPr>
        <w:t xml:space="preserve"> </w:t>
      </w:r>
      <w:r w:rsidRPr="00247C05">
        <w:rPr>
          <w:rFonts w:hint="cs"/>
          <w:rtl/>
        </w:rPr>
        <w:t>בסכום</w:t>
      </w:r>
      <w:r w:rsidRPr="00247C05">
        <w:rPr>
          <w:rtl/>
        </w:rPr>
        <w:t xml:space="preserve"> </w:t>
      </w:r>
      <w:r w:rsidRPr="00247C05">
        <w:rPr>
          <w:rFonts w:hint="cs"/>
          <w:rtl/>
        </w:rPr>
        <w:t>כולל</w:t>
      </w:r>
      <w:r w:rsidRPr="00247C05">
        <w:rPr>
          <w:rtl/>
        </w:rPr>
        <w:t xml:space="preserve"> </w:t>
      </w:r>
      <w:r w:rsidRPr="00247C05">
        <w:rPr>
          <w:rFonts w:hint="cs"/>
          <w:rtl/>
        </w:rPr>
        <w:t>של</w:t>
      </w:r>
      <w:r w:rsidRPr="00247C05">
        <w:rPr>
          <w:rtl/>
        </w:rPr>
        <w:t xml:space="preserve"> </w:t>
      </w:r>
      <w:r w:rsidRPr="00247C05">
        <w:rPr>
          <w:rFonts w:hint="cs"/>
          <w:rtl/>
        </w:rPr>
        <w:t>1,212,010 ש"ח</w:t>
      </w:r>
      <w:r w:rsidRPr="00247C05">
        <w:rPr>
          <w:rtl/>
        </w:rPr>
        <w:t xml:space="preserve"> </w:t>
      </w:r>
      <w:r w:rsidRPr="00247C05">
        <w:rPr>
          <w:rFonts w:hint="cs"/>
          <w:rtl/>
        </w:rPr>
        <w:t>לחשבון</w:t>
      </w:r>
      <w:r w:rsidRPr="00247C05">
        <w:rPr>
          <w:rtl/>
        </w:rPr>
        <w:t xml:space="preserve"> </w:t>
      </w:r>
      <w:r w:rsidRPr="00247C05">
        <w:rPr>
          <w:rFonts w:hint="cs"/>
          <w:rtl/>
        </w:rPr>
        <w:t>של</w:t>
      </w:r>
      <w:r w:rsidRPr="00247C05">
        <w:rPr>
          <w:rtl/>
        </w:rPr>
        <w:t xml:space="preserve"> </w:t>
      </w:r>
      <w:r w:rsidRPr="00247C05">
        <w:rPr>
          <w:rFonts w:hint="cs"/>
          <w:rtl/>
        </w:rPr>
        <w:t>עיריית</w:t>
      </w:r>
      <w:r w:rsidRPr="00247C05">
        <w:rPr>
          <w:rtl/>
        </w:rPr>
        <w:t xml:space="preserve"> </w:t>
      </w:r>
      <w:r w:rsidRPr="00247C05">
        <w:rPr>
          <w:rFonts w:hint="cs"/>
          <w:rtl/>
        </w:rPr>
        <w:t>נתניה.</w:t>
      </w:r>
    </w:p>
    <w:p w:rsidR="003037FB" w:rsidRPr="00247C05" w:rsidP="00040DAE">
      <w:pPr>
        <w:tabs>
          <w:tab w:val="left" w:pos="0"/>
        </w:tabs>
        <w:spacing w:after="120" w:line="230" w:lineRule="exact"/>
        <w:jc w:val="both"/>
        <w:rPr>
          <w:rFonts w:cs="FrankRuehl"/>
          <w:b/>
          <w:sz w:val="20"/>
          <w:szCs w:val="22"/>
          <w:rtl/>
        </w:rPr>
      </w:pPr>
      <w:r w:rsidRPr="00247C05">
        <w:rPr>
          <w:rFonts w:cs="FrankRuehl" w:hint="cs"/>
          <w:sz w:val="20"/>
          <w:szCs w:val="22"/>
          <w:rtl/>
        </w:rPr>
        <w:t>בתשובת עיריית ראשון לציון נכתב כי "זיכויים לטובת אוצר המדינה מתבצעים אך ורק על עפ"י החלטת שופט".</w:t>
      </w:r>
    </w:p>
    <w:p w:rsidR="003037FB" w:rsidRPr="00247C05" w:rsidP="00A233C1">
      <w:pPr>
        <w:tabs>
          <w:tab w:val="left" w:pos="0"/>
        </w:tabs>
        <w:spacing w:after="240" w:line="230" w:lineRule="exact"/>
        <w:jc w:val="both"/>
        <w:rPr>
          <w:rFonts w:cs="FrankRuehl"/>
          <w:sz w:val="20"/>
          <w:szCs w:val="22"/>
          <w:rtl/>
        </w:rPr>
      </w:pPr>
      <w:r w:rsidRPr="00247C05">
        <w:rPr>
          <w:rFonts w:cs="FrankRuehl" w:hint="cs"/>
          <w:b/>
          <w:sz w:val="20"/>
          <w:szCs w:val="22"/>
          <w:rtl/>
        </w:rPr>
        <w:t>בתשובת משרד המשפטים נכתב, כי על הב"ה והרשויות המקומיות להבטיח שאגרות, קנסות והוצאות לטובת המדינה יועברו לקופת אוצר המדינה בלבד. לדעת משרד המשפטים יש לרענן הוראות אלה בקרב המזכירויות האמונות על כך, ועל הנהלת בתי המשפט לוודא באמצעות פיקוח ומערך בקרה שאכן הדברים מתנהלים כשורה.</w:t>
      </w:r>
    </w:p>
    <w:p w:rsidR="003037FB" w:rsidP="00A233C1">
      <w:pPr>
        <w:pStyle w:val="RESHET"/>
        <w:keepLines/>
        <w:rPr>
          <w:rtl/>
        </w:rPr>
      </w:pPr>
      <w:r w:rsidRPr="00247C05">
        <w:rPr>
          <w:rFonts w:hint="cs"/>
          <w:rtl/>
        </w:rPr>
        <w:t>משרד מבקר המדינה מעיר למזכירויות במ</w:t>
      </w:r>
      <w:r w:rsidRPr="00247C05">
        <w:rPr>
          <w:rtl/>
        </w:rPr>
        <w:t>"</w:t>
      </w:r>
      <w:r w:rsidRPr="00247C05">
        <w:rPr>
          <w:rFonts w:hint="cs"/>
          <w:rtl/>
        </w:rPr>
        <w:t xml:space="preserve">ש עמ"ק, כי עליהן לוודא שכספי הקנסות ייזקפו למוטבים בהתאם לחוק. להב"ה יוער שעליה לבחון בשיתוף משרד המשפטים את הדרכים שיש לנקוט כדי לוודא שכספי הקנסות ייזקפו לטובת המוטבים בהתאם לחוק, בבחינה זו עליהם לפעול להסדרת ייעוד הקנסות בחיקוקים שבהם אין ייעוד קנסות. </w:t>
      </w:r>
    </w:p>
    <w:p w:rsidR="00A233C1" w:rsidP="00040DAE">
      <w:pPr>
        <w:spacing w:after="120" w:line="230" w:lineRule="exact"/>
        <w:jc w:val="both"/>
        <w:rPr>
          <w:rFonts w:cs="FrankRuehl"/>
          <w:b/>
          <w:bCs/>
          <w:sz w:val="20"/>
          <w:szCs w:val="22"/>
          <w:rtl/>
        </w:rPr>
      </w:pPr>
    </w:p>
    <w:p w:rsidR="00A233C1" w:rsidRPr="00247C05" w:rsidP="00040DAE">
      <w:pPr>
        <w:spacing w:after="120" w:line="230" w:lineRule="exact"/>
        <w:jc w:val="both"/>
        <w:rPr>
          <w:rFonts w:cs="FrankRuehl"/>
          <w:sz w:val="20"/>
          <w:szCs w:val="22"/>
          <w:rtl/>
        </w:rPr>
      </w:pPr>
    </w:p>
    <w:p w:rsidR="003037FB" w:rsidRPr="00A45E9A" w:rsidP="00402A1A">
      <w:pPr>
        <w:pStyle w:val="KOT4"/>
        <w:rPr>
          <w:rtl/>
        </w:rPr>
      </w:pPr>
      <w:r w:rsidRPr="00A45E9A">
        <w:rPr>
          <w:rFonts w:hint="cs"/>
          <w:rtl/>
        </w:rPr>
        <w:t>ממשקים</w:t>
      </w:r>
      <w:r w:rsidRPr="00A45E9A">
        <w:rPr>
          <w:rtl/>
        </w:rPr>
        <w:t xml:space="preserve"> </w:t>
      </w:r>
      <w:r w:rsidRPr="00A45E9A">
        <w:rPr>
          <w:rFonts w:hint="cs"/>
          <w:rtl/>
        </w:rPr>
        <w:t>כספיים</w:t>
      </w:r>
      <w:r w:rsidRPr="00A45E9A">
        <w:rPr>
          <w:rtl/>
        </w:rPr>
        <w:t xml:space="preserve"> </w:t>
      </w:r>
      <w:r w:rsidRPr="00A45E9A">
        <w:rPr>
          <w:rFonts w:hint="cs"/>
          <w:rtl/>
        </w:rPr>
        <w:t>בין</w:t>
      </w:r>
      <w:r w:rsidRPr="00A45E9A">
        <w:rPr>
          <w:rtl/>
        </w:rPr>
        <w:t xml:space="preserve"> </w:t>
      </w:r>
      <w:r w:rsidRPr="00A45E9A">
        <w:rPr>
          <w:rFonts w:hint="cs"/>
          <w:rtl/>
        </w:rPr>
        <w:t>הב</w:t>
      </w:r>
      <w:r w:rsidRPr="00A45E9A">
        <w:rPr>
          <w:rtl/>
        </w:rPr>
        <w:t>"</w:t>
      </w:r>
      <w:r w:rsidRPr="00A45E9A">
        <w:rPr>
          <w:rFonts w:hint="cs"/>
          <w:rtl/>
        </w:rPr>
        <w:t>ה</w:t>
      </w:r>
      <w:r w:rsidRPr="00A45E9A">
        <w:rPr>
          <w:rtl/>
        </w:rPr>
        <w:t xml:space="preserve"> </w:t>
      </w:r>
      <w:r w:rsidRPr="00A45E9A">
        <w:rPr>
          <w:rFonts w:hint="cs"/>
          <w:rtl/>
        </w:rPr>
        <w:t>לרשויות</w:t>
      </w:r>
      <w:r w:rsidRPr="00A45E9A">
        <w:rPr>
          <w:rtl/>
        </w:rPr>
        <w:t xml:space="preserve"> </w:t>
      </w:r>
      <w:r w:rsidRPr="00A45E9A">
        <w:rPr>
          <w:rFonts w:hint="cs"/>
          <w:rtl/>
        </w:rPr>
        <w:t>המקומיות</w:t>
      </w:r>
      <w:r w:rsidR="00402A1A">
        <w:rPr>
          <w:rFonts w:hint="cs"/>
          <w:rtl/>
        </w:rPr>
        <w:br/>
      </w:r>
      <w:r w:rsidRPr="00A45E9A">
        <w:rPr>
          <w:rFonts w:hint="cs"/>
          <w:rtl/>
        </w:rPr>
        <w:t>בהפעלת</w:t>
      </w:r>
      <w:r w:rsidRPr="00A45E9A">
        <w:rPr>
          <w:rtl/>
        </w:rPr>
        <w:t xml:space="preserve"> </w:t>
      </w:r>
      <w:r w:rsidRPr="00A45E9A">
        <w:rPr>
          <w:rFonts w:hint="cs"/>
          <w:rtl/>
        </w:rPr>
        <w:t>בתי</w:t>
      </w:r>
      <w:r w:rsidRPr="00A45E9A">
        <w:rPr>
          <w:rtl/>
        </w:rPr>
        <w:t xml:space="preserve"> </w:t>
      </w:r>
      <w:r w:rsidRPr="00A45E9A">
        <w:rPr>
          <w:rFonts w:hint="cs"/>
          <w:rtl/>
        </w:rPr>
        <w:t>משפט</w:t>
      </w:r>
      <w:r w:rsidRPr="00A45E9A">
        <w:rPr>
          <w:rtl/>
        </w:rPr>
        <w:t xml:space="preserve"> </w:t>
      </w:r>
      <w:r w:rsidRPr="00A45E9A">
        <w:rPr>
          <w:rFonts w:hint="cs"/>
          <w:rtl/>
        </w:rPr>
        <w:t>עמ</w:t>
      </w:r>
      <w:r w:rsidRPr="00A45E9A">
        <w:rPr>
          <w:rtl/>
        </w:rPr>
        <w:t>"</w:t>
      </w:r>
      <w:r w:rsidRPr="00A45E9A">
        <w:rPr>
          <w:rFonts w:hint="cs"/>
          <w:rtl/>
        </w:rPr>
        <w:t>ק</w:t>
      </w:r>
      <w:r w:rsidRPr="00A45E9A">
        <w:rPr>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בשנת 1995 תיאר דוח ועדת זמיר את הפרקטיקה הנהוגה בין הב"ה ובין הרשויות המקומיות, ולפיה הרשויות המקומיות נושאות בעלויות שכר השופטים בבמ"ש עמ"ק, כאשר בסיס החישוב של התשלום הוא חיוב על פי ימי שיפוט.</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בשנים שחלפו מאז השתכלל הממשק הכספי בין הב"ה ובין הרשויות המקומיות. כיום מעבירות הרשויות תשלומים נוספים להב"ה מלבד התשלומים על ימי השיפוט. כמו כן, חלק מהרשויות המקומיות שיש להן במ"ש עמ"ק בתוך בית משפט השלום משלמות גם הוצאות יחסיות בגין ארנונה, שכירות, חשמל ומים, ציוד משרדי, טלפון וביול (להלן - הוצאות תפעול יחסיות). </w:t>
      </w:r>
    </w:p>
    <w:p w:rsidR="003037FB" w:rsidRPr="00247C05" w:rsidP="00040DAE">
      <w:pPr>
        <w:pStyle w:val="ListParagraph"/>
        <w:numPr>
          <w:ilvl w:val="0"/>
          <w:numId w:val="13"/>
        </w:numPr>
        <w:spacing w:after="120" w:line="230" w:lineRule="exact"/>
        <w:contextualSpacing w:val="0"/>
        <w:jc w:val="both"/>
        <w:rPr>
          <w:rFonts w:ascii="Times New Roman" w:hAnsi="Times New Roman" w:cs="FrankRuehl"/>
          <w:sz w:val="20"/>
          <w:rtl/>
        </w:rPr>
      </w:pPr>
      <w:r w:rsidRPr="00EC77C1">
        <w:rPr>
          <w:rStyle w:val="Heading5Char"/>
          <w:rFonts w:ascii="Times New Roman" w:hAnsi="Times New Roman" w:cs="FrankRuehl" w:hint="cs"/>
          <w:spacing w:val="40"/>
          <w:sz w:val="20"/>
          <w:szCs w:val="22"/>
          <w:rtl/>
        </w:rPr>
        <w:t>אי-</w:t>
      </w:r>
      <w:r w:rsidRPr="00A233C1">
        <w:rPr>
          <w:rStyle w:val="Heading5Char"/>
          <w:rFonts w:ascii="Times New Roman Bold" w:hAnsi="Times New Roman Bold" w:cs="FrankRuehl" w:hint="cs"/>
          <w:sz w:val="20"/>
          <w:szCs w:val="22"/>
          <w:rtl/>
        </w:rPr>
        <w:t>ת</w:t>
      </w:r>
      <w:r w:rsidRPr="00EC77C1">
        <w:rPr>
          <w:rStyle w:val="Heading5Char"/>
          <w:rFonts w:ascii="Times New Roman" w:hAnsi="Times New Roman" w:cs="FrankRuehl" w:hint="cs"/>
          <w:spacing w:val="40"/>
          <w:sz w:val="20"/>
          <w:szCs w:val="22"/>
          <w:rtl/>
        </w:rPr>
        <w:t>לות:</w:t>
      </w:r>
      <w:r w:rsidRPr="00247C05">
        <w:rPr>
          <w:rFonts w:ascii="Times New Roman" w:hAnsi="Times New Roman" w:cs="FrankRuehl"/>
          <w:sz w:val="20"/>
          <w:rtl/>
        </w:rPr>
        <w:t xml:space="preserve"> </w:t>
      </w:r>
      <w:r w:rsidRPr="00247C05">
        <w:rPr>
          <w:rFonts w:ascii="Times New Roman" w:hAnsi="Times New Roman" w:cs="FrankRuehl" w:hint="cs"/>
          <w:sz w:val="20"/>
          <w:rtl/>
        </w:rPr>
        <w:t xml:space="preserve">כחלק מן ההליכים שננקטו בעקבות העתירה בבג"ץ קארשי, פעלה המדינה לצמצום הזיקה שבין במ"ש עמ"ק לרשויות המקומיות. ואכן ציין בית המשפט בפסיקתו, כי "שכר השופטים משולם על ידי המדינה, כאשר הרשות המקומית משתתפת במימון חלקי על ידי העברתו לממשלה". בפועל מתבצעים התשלומים של הרשויות המקומיות להב"ה בגין ימי </w:t>
      </w:r>
      <w:r w:rsidRPr="00247C05">
        <w:rPr>
          <w:rFonts w:ascii="Times New Roman" w:hAnsi="Times New Roman" w:cs="FrankRuehl" w:hint="cs"/>
          <w:sz w:val="20"/>
          <w:rtl/>
        </w:rPr>
        <w:t>שיפוט באמצעות משרד הפנים. יתר התשלומים (למשל שכר קלדניות, אבטחה, שירותי נט המשפט, שכירות וציוד משרדי) מוסיפים לעבור ישירות מהרשויות המקומיות להב"ה.</w:t>
      </w:r>
    </w:p>
    <w:p w:rsidR="003037FB" w:rsidRPr="00247C05" w:rsidP="009050A0">
      <w:pPr>
        <w:pStyle w:val="ListParagraph"/>
        <w:spacing w:after="24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 xml:space="preserve">בפועל מתפקד משרד הפנים כ"צינור" להעברת דרישות לתשלום בין הרשויות המקומיות ובין הב"ה, המעביר לה את הסכום שקיבל עבור ימי שיפוט מהרשות המקומית. </w:t>
      </w:r>
    </w:p>
    <w:p w:rsidR="003037FB" w:rsidRPr="00247C05" w:rsidP="00A233C1">
      <w:pPr>
        <w:pStyle w:val="RESHET"/>
        <w:keepLines/>
        <w:ind w:left="567"/>
        <w:rPr>
          <w:rtl/>
        </w:rPr>
      </w:pPr>
      <w:r w:rsidRPr="00247C05">
        <w:rPr>
          <w:rFonts w:hint="cs"/>
          <w:rtl/>
        </w:rPr>
        <w:t>נמצא כי במקרים</w:t>
      </w:r>
      <w:r w:rsidRPr="00247C05">
        <w:rPr>
          <w:rtl/>
        </w:rPr>
        <w:t xml:space="preserve"> </w:t>
      </w:r>
      <w:r w:rsidRPr="00247C05">
        <w:rPr>
          <w:rFonts w:hint="cs"/>
          <w:rtl/>
        </w:rPr>
        <w:t>של</w:t>
      </w:r>
      <w:r w:rsidRPr="00247C05">
        <w:rPr>
          <w:rtl/>
        </w:rPr>
        <w:t xml:space="preserve"> </w:t>
      </w:r>
      <w:r w:rsidRPr="00247C05">
        <w:rPr>
          <w:rFonts w:hint="cs"/>
          <w:rtl/>
        </w:rPr>
        <w:t>אי</w:t>
      </w:r>
      <w:r w:rsidRPr="00247C05">
        <w:rPr>
          <w:rtl/>
        </w:rPr>
        <w:t>-</w:t>
      </w:r>
      <w:r w:rsidRPr="00247C05">
        <w:rPr>
          <w:rFonts w:hint="cs"/>
          <w:rtl/>
        </w:rPr>
        <w:t>הסכמה</w:t>
      </w:r>
      <w:r w:rsidRPr="00247C05">
        <w:rPr>
          <w:rtl/>
        </w:rPr>
        <w:t xml:space="preserve"> </w:t>
      </w:r>
      <w:r w:rsidRPr="00247C05">
        <w:rPr>
          <w:rFonts w:hint="cs"/>
          <w:rtl/>
        </w:rPr>
        <w:t>בעניין</w:t>
      </w:r>
      <w:r w:rsidRPr="00247C05">
        <w:rPr>
          <w:rtl/>
        </w:rPr>
        <w:t xml:space="preserve"> </w:t>
      </w:r>
      <w:r w:rsidRPr="00247C05">
        <w:rPr>
          <w:rFonts w:hint="cs"/>
          <w:rtl/>
        </w:rPr>
        <w:t>התשלומים</w:t>
      </w:r>
      <w:r w:rsidRPr="00247C05">
        <w:rPr>
          <w:rtl/>
        </w:rPr>
        <w:t xml:space="preserve">, </w:t>
      </w:r>
      <w:r w:rsidRPr="00247C05">
        <w:rPr>
          <w:rFonts w:hint="cs"/>
          <w:rtl/>
        </w:rPr>
        <w:t>הב</w:t>
      </w:r>
      <w:r w:rsidRPr="00247C05">
        <w:rPr>
          <w:rtl/>
        </w:rPr>
        <w:t xml:space="preserve">"ה </w:t>
      </w:r>
      <w:r w:rsidRPr="00247C05">
        <w:rPr>
          <w:rFonts w:hint="cs"/>
          <w:rtl/>
        </w:rPr>
        <w:t>והרשות</w:t>
      </w:r>
      <w:r w:rsidRPr="00247C05">
        <w:rPr>
          <w:rtl/>
        </w:rPr>
        <w:t xml:space="preserve"> </w:t>
      </w:r>
      <w:r w:rsidRPr="00247C05">
        <w:rPr>
          <w:rFonts w:hint="cs"/>
          <w:rtl/>
        </w:rPr>
        <w:t>המקומית</w:t>
      </w:r>
      <w:r w:rsidRPr="00247C05">
        <w:rPr>
          <w:rtl/>
        </w:rPr>
        <w:t xml:space="preserve"> </w:t>
      </w:r>
      <w:r w:rsidRPr="00247C05">
        <w:rPr>
          <w:rFonts w:hint="cs"/>
          <w:rtl/>
        </w:rPr>
        <w:t>שבנידון</w:t>
      </w:r>
      <w:r w:rsidRPr="00247C05">
        <w:rPr>
          <w:rtl/>
        </w:rPr>
        <w:t xml:space="preserve"> </w:t>
      </w:r>
      <w:r w:rsidRPr="00247C05">
        <w:rPr>
          <w:rFonts w:hint="cs"/>
          <w:rtl/>
        </w:rPr>
        <w:t>באות בדברים</w:t>
      </w:r>
      <w:r w:rsidRPr="00247C05">
        <w:rPr>
          <w:rtl/>
        </w:rPr>
        <w:t xml:space="preserve"> </w:t>
      </w:r>
      <w:r w:rsidRPr="00247C05">
        <w:rPr>
          <w:rFonts w:hint="cs"/>
          <w:rtl/>
        </w:rPr>
        <w:t>ישירות</w:t>
      </w:r>
      <w:r w:rsidRPr="00247C05">
        <w:rPr>
          <w:rtl/>
        </w:rPr>
        <w:t xml:space="preserve"> </w:t>
      </w:r>
      <w:r w:rsidRPr="00247C05">
        <w:rPr>
          <w:rFonts w:hint="cs"/>
          <w:rtl/>
        </w:rPr>
        <w:t>ביניהן בלי</w:t>
      </w:r>
      <w:r w:rsidRPr="00247C05">
        <w:rPr>
          <w:rtl/>
        </w:rPr>
        <w:t xml:space="preserve"> </w:t>
      </w:r>
      <w:r w:rsidRPr="00247C05">
        <w:rPr>
          <w:rFonts w:hint="cs"/>
          <w:rtl/>
        </w:rPr>
        <w:t>מעורבות של משרד</w:t>
      </w:r>
      <w:r w:rsidRPr="00247C05">
        <w:rPr>
          <w:rtl/>
        </w:rPr>
        <w:t xml:space="preserve"> </w:t>
      </w:r>
      <w:r w:rsidRPr="00247C05">
        <w:rPr>
          <w:rFonts w:hint="cs"/>
          <w:rtl/>
        </w:rPr>
        <w:t xml:space="preserve">הפנים. במצב זה המתכונת שלפיה </w:t>
      </w:r>
      <w:r w:rsidRPr="00247C05">
        <w:rPr>
          <w:rtl/>
        </w:rPr>
        <w:t>משרד הפנים משמש צינור להעברת כספים</w:t>
      </w:r>
      <w:r w:rsidRPr="00247C05">
        <w:rPr>
          <w:rFonts w:hint="cs"/>
          <w:rtl/>
        </w:rPr>
        <w:t xml:space="preserve"> עבור ימי שיפוט</w:t>
      </w:r>
      <w:r w:rsidRPr="00247C05">
        <w:rPr>
          <w:rtl/>
        </w:rPr>
        <w:t xml:space="preserve"> </w:t>
      </w:r>
      <w:r w:rsidRPr="00247C05">
        <w:rPr>
          <w:rFonts w:hint="cs"/>
          <w:rtl/>
        </w:rPr>
        <w:t>בין ה</w:t>
      </w:r>
      <w:r w:rsidRPr="00247C05">
        <w:rPr>
          <w:rtl/>
        </w:rPr>
        <w:t>רשו</w:t>
      </w:r>
      <w:r w:rsidRPr="00247C05">
        <w:rPr>
          <w:rFonts w:hint="cs"/>
          <w:rtl/>
        </w:rPr>
        <w:t>יו</w:t>
      </w:r>
      <w:r w:rsidRPr="00247C05">
        <w:rPr>
          <w:rtl/>
        </w:rPr>
        <w:t xml:space="preserve">ת </w:t>
      </w:r>
      <w:r w:rsidRPr="00247C05">
        <w:rPr>
          <w:rFonts w:hint="cs"/>
          <w:rtl/>
        </w:rPr>
        <w:t>ה</w:t>
      </w:r>
      <w:r w:rsidRPr="00247C05">
        <w:rPr>
          <w:rtl/>
        </w:rPr>
        <w:t>מקומי</w:t>
      </w:r>
      <w:r w:rsidRPr="00247C05">
        <w:rPr>
          <w:rFonts w:hint="cs"/>
          <w:rtl/>
        </w:rPr>
        <w:t>ו</w:t>
      </w:r>
      <w:r w:rsidRPr="00247C05">
        <w:rPr>
          <w:rtl/>
        </w:rPr>
        <w:t xml:space="preserve">ת </w:t>
      </w:r>
      <w:r w:rsidRPr="00247C05">
        <w:rPr>
          <w:rFonts w:hint="cs"/>
          <w:rtl/>
        </w:rPr>
        <w:t>להב</w:t>
      </w:r>
      <w:r w:rsidRPr="00247C05">
        <w:rPr>
          <w:rtl/>
        </w:rPr>
        <w:t xml:space="preserve">"ה </w:t>
      </w:r>
      <w:r w:rsidRPr="00247C05">
        <w:rPr>
          <w:rFonts w:hint="cs"/>
          <w:rtl/>
        </w:rPr>
        <w:t>אינו נותן מענה לחשש למראית עין של תלות בין המנגנון השיפוטי של בית משפט עמ"ק ובין הרשות המקומית המממנת את פעילותו</w:t>
      </w:r>
      <w:r>
        <w:rPr>
          <w:rStyle w:val="FootnoteReference"/>
          <w:rFonts w:cs="FrankRuehl"/>
          <w:rtl/>
        </w:rPr>
        <w:footnoteReference w:id="28"/>
      </w:r>
      <w:r w:rsidRPr="00247C05">
        <w:rPr>
          <w:rFonts w:hint="cs"/>
          <w:rtl/>
        </w:rPr>
        <w:t xml:space="preserve">. </w:t>
      </w:r>
    </w:p>
    <w:p w:rsidR="003037FB" w:rsidRPr="00247C05" w:rsidP="00A233C1">
      <w:pPr>
        <w:pStyle w:val="RESHET"/>
        <w:keepLines/>
        <w:ind w:left="567"/>
        <w:rPr>
          <w:rtl/>
        </w:rPr>
      </w:pPr>
      <w:r w:rsidRPr="00247C05">
        <w:rPr>
          <w:rFonts w:hint="cs"/>
          <w:rtl/>
        </w:rPr>
        <w:t>נמצא כי גם ביתר התשלומים המועברים בשגרה, נוסף על התשלום עבור ימי השיפוט, הב</w:t>
      </w:r>
      <w:r w:rsidRPr="00247C05">
        <w:rPr>
          <w:rtl/>
        </w:rPr>
        <w:t xml:space="preserve">"ה </w:t>
      </w:r>
      <w:r w:rsidRPr="00247C05">
        <w:rPr>
          <w:rFonts w:hint="cs"/>
          <w:rtl/>
        </w:rPr>
        <w:t>והרשויות</w:t>
      </w:r>
      <w:r w:rsidRPr="00247C05">
        <w:rPr>
          <w:rtl/>
        </w:rPr>
        <w:t xml:space="preserve"> </w:t>
      </w:r>
      <w:r w:rsidRPr="00247C05">
        <w:rPr>
          <w:rFonts w:hint="cs"/>
          <w:rtl/>
        </w:rPr>
        <w:t>באות בדברים</w:t>
      </w:r>
      <w:r w:rsidRPr="00247C05">
        <w:rPr>
          <w:rtl/>
        </w:rPr>
        <w:t xml:space="preserve"> </w:t>
      </w:r>
      <w:r w:rsidRPr="00247C05">
        <w:rPr>
          <w:rFonts w:hint="cs"/>
          <w:rtl/>
        </w:rPr>
        <w:t>ישירות</w:t>
      </w:r>
      <w:r w:rsidRPr="00247C05">
        <w:rPr>
          <w:rtl/>
        </w:rPr>
        <w:t xml:space="preserve"> </w:t>
      </w:r>
      <w:r w:rsidRPr="00247C05">
        <w:rPr>
          <w:rFonts w:hint="cs"/>
          <w:rtl/>
        </w:rPr>
        <w:t>ביניהן. לדעת משרד מבקר המדינה - ראוי שהב"ה</w:t>
      </w:r>
      <w:r w:rsidRPr="00247C05">
        <w:rPr>
          <w:rtl/>
        </w:rPr>
        <w:t xml:space="preserve"> </w:t>
      </w:r>
      <w:r w:rsidRPr="00247C05">
        <w:rPr>
          <w:rFonts w:hint="cs"/>
          <w:rtl/>
        </w:rPr>
        <w:t>תבדוק אם יש הצדקה להבחנה</w:t>
      </w:r>
      <w:r w:rsidRPr="00247C05">
        <w:rPr>
          <w:rtl/>
        </w:rPr>
        <w:t xml:space="preserve"> </w:t>
      </w:r>
      <w:r w:rsidRPr="00247C05">
        <w:rPr>
          <w:rFonts w:hint="cs"/>
          <w:rtl/>
        </w:rPr>
        <w:t>בין</w:t>
      </w:r>
      <w:r w:rsidRPr="00247C05">
        <w:rPr>
          <w:rtl/>
        </w:rPr>
        <w:t xml:space="preserve"> </w:t>
      </w:r>
      <w:r w:rsidRPr="00247C05">
        <w:rPr>
          <w:rFonts w:hint="cs"/>
          <w:rtl/>
        </w:rPr>
        <w:t xml:space="preserve">אופן </w:t>
      </w:r>
      <w:r w:rsidRPr="00247C05">
        <w:rPr>
          <w:rtl/>
        </w:rPr>
        <w:t xml:space="preserve">התשלום בגין ימי שיפוט </w:t>
      </w:r>
      <w:r w:rsidRPr="00247C05">
        <w:rPr>
          <w:rFonts w:hint="cs"/>
          <w:rtl/>
        </w:rPr>
        <w:t>ובין</w:t>
      </w:r>
      <w:r w:rsidRPr="00247C05">
        <w:rPr>
          <w:rtl/>
        </w:rPr>
        <w:t xml:space="preserve"> </w:t>
      </w:r>
      <w:r w:rsidRPr="00247C05">
        <w:rPr>
          <w:rFonts w:hint="cs"/>
          <w:rtl/>
        </w:rPr>
        <w:t>יתר</w:t>
      </w:r>
      <w:r w:rsidRPr="00247C05">
        <w:rPr>
          <w:rtl/>
        </w:rPr>
        <w:t xml:space="preserve"> התשלומים</w:t>
      </w:r>
      <w:r w:rsidRPr="00247C05">
        <w:rPr>
          <w:rFonts w:hint="cs"/>
          <w:rtl/>
        </w:rPr>
        <w:t>.</w:t>
      </w:r>
    </w:p>
    <w:p w:rsidR="003037FB" w:rsidRPr="00247C05" w:rsidP="009050A0">
      <w:pPr>
        <w:pStyle w:val="ListParagraph"/>
        <w:numPr>
          <w:ilvl w:val="0"/>
          <w:numId w:val="13"/>
        </w:numPr>
        <w:spacing w:before="180" w:after="120" w:line="230" w:lineRule="exact"/>
        <w:contextualSpacing w:val="0"/>
        <w:jc w:val="both"/>
        <w:rPr>
          <w:rFonts w:ascii="Times New Roman" w:hAnsi="Times New Roman" w:cs="FrankRuehl"/>
          <w:sz w:val="20"/>
        </w:rPr>
      </w:pPr>
      <w:r w:rsidRPr="00EC77C1">
        <w:rPr>
          <w:rStyle w:val="Heading5Char"/>
          <w:rFonts w:ascii="Times New Roman" w:hAnsi="Times New Roman" w:cs="FrankRuehl" w:hint="cs"/>
          <w:spacing w:val="40"/>
          <w:sz w:val="20"/>
          <w:szCs w:val="22"/>
          <w:rtl/>
        </w:rPr>
        <w:t>שפיטה בתמורה</w:t>
      </w:r>
      <w:r w:rsidRPr="00247C05">
        <w:rPr>
          <w:rFonts w:ascii="Times New Roman" w:hAnsi="Times New Roman" w:cs="FrankRuehl" w:hint="cs"/>
          <w:sz w:val="20"/>
          <w:rtl/>
        </w:rPr>
        <w:t>: לבתי המשפט בישראל יש מעמד עצמאי המעוגן בחוק יסוד: השפיטה, וסמכות השפיטה נתונה להם.</w:t>
      </w:r>
    </w:p>
    <w:p w:rsidR="003037FB" w:rsidRPr="00247C05" w:rsidP="00040DAE">
      <w:pPr>
        <w:spacing w:after="120" w:line="230" w:lineRule="exact"/>
        <w:ind w:left="340"/>
        <w:jc w:val="both"/>
        <w:rPr>
          <w:rFonts w:cs="FrankRuehl"/>
          <w:sz w:val="20"/>
          <w:szCs w:val="22"/>
        </w:rPr>
      </w:pPr>
      <w:r w:rsidRPr="00247C05">
        <w:rPr>
          <w:rFonts w:cs="FrankRuehl" w:hint="cs"/>
          <w:sz w:val="20"/>
          <w:szCs w:val="22"/>
          <w:rtl/>
        </w:rPr>
        <w:t>במסגרת</w:t>
      </w:r>
      <w:r w:rsidRPr="00247C05">
        <w:rPr>
          <w:rFonts w:cs="FrankRuehl"/>
          <w:sz w:val="20"/>
          <w:szCs w:val="22"/>
          <w:rtl/>
        </w:rPr>
        <w:t xml:space="preserve"> ההליכים בבג"ץ </w:t>
      </w:r>
      <w:r w:rsidRPr="00247C05">
        <w:rPr>
          <w:rFonts w:cs="FrankRuehl" w:hint="cs"/>
          <w:sz w:val="20"/>
          <w:szCs w:val="22"/>
          <w:rtl/>
        </w:rPr>
        <w:t>קארשי</w:t>
      </w:r>
      <w:r w:rsidRPr="00247C05">
        <w:rPr>
          <w:rFonts w:cs="FrankRuehl"/>
          <w:sz w:val="20"/>
          <w:szCs w:val="22"/>
          <w:rtl/>
        </w:rPr>
        <w:t xml:space="preserve"> הציגה המדינה את הסכמתה למסקנות ועדת זמיר, לצד </w:t>
      </w:r>
      <w:r w:rsidRPr="00247C05">
        <w:rPr>
          <w:rFonts w:cs="FrankRuehl" w:hint="cs"/>
          <w:sz w:val="20"/>
          <w:szCs w:val="22"/>
          <w:rtl/>
        </w:rPr>
        <w:t xml:space="preserve">ביצוע </w:t>
      </w:r>
      <w:r w:rsidRPr="00247C05">
        <w:rPr>
          <w:rFonts w:cs="FrankRuehl"/>
          <w:sz w:val="20"/>
          <w:szCs w:val="22"/>
          <w:rtl/>
        </w:rPr>
        <w:t xml:space="preserve">שינויים מסוימים שעניינם שיפור היבט "מראית פני הצדק" </w:t>
      </w:r>
      <w:r w:rsidRPr="00247C05">
        <w:rPr>
          <w:rFonts w:cs="FrankRuehl" w:hint="cs"/>
          <w:sz w:val="20"/>
          <w:szCs w:val="22"/>
          <w:rtl/>
        </w:rPr>
        <w:t>ו</w:t>
      </w:r>
      <w:r w:rsidRPr="00247C05">
        <w:rPr>
          <w:rFonts w:cs="FrankRuehl"/>
          <w:sz w:val="20"/>
          <w:szCs w:val="22"/>
          <w:rtl/>
        </w:rPr>
        <w:t xml:space="preserve">בכללם: "לעניין שכר השופטים סוכם כי להבא, ההשתתפות התקציבית של העיריה במימון פעילותו של בית המשפט </w:t>
      </w:r>
      <w:r w:rsidRPr="00247C05">
        <w:rPr>
          <w:rFonts w:cs="FrankRuehl" w:hint="cs"/>
          <w:sz w:val="20"/>
          <w:szCs w:val="22"/>
          <w:rtl/>
        </w:rPr>
        <w:t>לעניינים</w:t>
      </w:r>
      <w:r w:rsidRPr="00247C05">
        <w:rPr>
          <w:rFonts w:cs="FrankRuehl"/>
          <w:sz w:val="20"/>
          <w:szCs w:val="22"/>
          <w:rtl/>
        </w:rPr>
        <w:t xml:space="preserve"> מקומיים תיעשה בדרך של העברה כספית לממשלה, ולא להנהלת בתי המשפט, כדי להרחיק את זיקת העיריה למנגנון השיפוטי של בית המשפט". בית המשפט קיבל את ההסדר </w:t>
      </w:r>
      <w:r w:rsidRPr="00247C05">
        <w:rPr>
          <w:rFonts w:cs="FrankRuehl" w:hint="cs"/>
          <w:sz w:val="20"/>
          <w:szCs w:val="22"/>
          <w:rtl/>
        </w:rPr>
        <w:t>ב</w:t>
      </w:r>
      <w:r w:rsidRPr="00247C05">
        <w:rPr>
          <w:rFonts w:cs="FrankRuehl"/>
          <w:sz w:val="20"/>
          <w:szCs w:val="22"/>
          <w:rtl/>
        </w:rPr>
        <w:t xml:space="preserve">עניין תשלומי השכר לשופטים, </w:t>
      </w:r>
      <w:r w:rsidRPr="00247C05">
        <w:rPr>
          <w:rFonts w:cs="FrankRuehl" w:hint="cs"/>
          <w:sz w:val="20"/>
          <w:szCs w:val="22"/>
          <w:rtl/>
        </w:rPr>
        <w:t>ו</w:t>
      </w:r>
      <w:r w:rsidRPr="00247C05">
        <w:rPr>
          <w:rFonts w:cs="FrankRuehl"/>
          <w:sz w:val="20"/>
          <w:szCs w:val="22"/>
          <w:rtl/>
        </w:rPr>
        <w:t>לפיו שכר השופטים משולם על ידי המדינה</w:t>
      </w:r>
      <w:r w:rsidRPr="00247C05">
        <w:rPr>
          <w:rFonts w:cs="FrankRuehl" w:hint="cs"/>
          <w:sz w:val="20"/>
          <w:szCs w:val="22"/>
          <w:rtl/>
        </w:rPr>
        <w:t>,</w:t>
      </w:r>
      <w:r w:rsidRPr="00247C05">
        <w:rPr>
          <w:rFonts w:cs="FrankRuehl"/>
          <w:sz w:val="20"/>
          <w:szCs w:val="22"/>
          <w:rtl/>
        </w:rPr>
        <w:t xml:space="preserve"> כאשר הרשות המקומית משתתפת במימון חלקי על ידי העברתו לממשלה, </w:t>
      </w:r>
      <w:r w:rsidRPr="00247C05">
        <w:rPr>
          <w:rFonts w:cs="FrankRuehl" w:hint="cs"/>
          <w:sz w:val="20"/>
          <w:szCs w:val="22"/>
          <w:rtl/>
        </w:rPr>
        <w:t>לאחר ש</w:t>
      </w:r>
      <w:r w:rsidRPr="00247C05">
        <w:rPr>
          <w:rFonts w:cs="FrankRuehl"/>
          <w:sz w:val="20"/>
          <w:szCs w:val="22"/>
          <w:rtl/>
        </w:rPr>
        <w:t xml:space="preserve">הוקם מנגנון </w:t>
      </w:r>
      <w:r w:rsidRPr="00247C05">
        <w:rPr>
          <w:rFonts w:cs="FrankRuehl" w:hint="cs"/>
          <w:sz w:val="20"/>
          <w:szCs w:val="22"/>
          <w:rtl/>
        </w:rPr>
        <w:t>ל</w:t>
      </w:r>
      <w:r w:rsidRPr="00247C05">
        <w:rPr>
          <w:rFonts w:cs="FrankRuehl"/>
          <w:sz w:val="20"/>
          <w:szCs w:val="22"/>
          <w:rtl/>
        </w:rPr>
        <w:t>יישום הסדר זה.</w:t>
      </w:r>
    </w:p>
    <w:p w:rsidR="003037FB" w:rsidRPr="00247C05" w:rsidP="00040DAE">
      <w:pPr>
        <w:spacing w:after="120" w:line="230" w:lineRule="exact"/>
        <w:ind w:left="340"/>
        <w:jc w:val="both"/>
        <w:rPr>
          <w:rFonts w:cs="FrankRuehl"/>
          <w:sz w:val="20"/>
          <w:szCs w:val="22"/>
          <w:rtl/>
        </w:rPr>
      </w:pPr>
      <w:r w:rsidRPr="00247C05">
        <w:rPr>
          <w:rFonts w:cs="FrankRuehl" w:hint="cs"/>
          <w:sz w:val="20"/>
          <w:szCs w:val="22"/>
          <w:rtl/>
        </w:rPr>
        <w:t xml:space="preserve">במרץ 2009 פנתה היועצת המשפטית של הב"ה דאז לפרקליטות המדינה והסבירה את מקור החיוב של רשות מקומית בעבור ימי שיפוט בבית משפט עמ"ק. היא כתבה, כי ועדת זמיר "המליצה להשאיר את המצב כמות שהוא ובמתכונתו הנוכחית (בעת עבודת הוועדה)... לפי מתכונת זו התשלום בגין ימי השיפוט מועבר מהרשות המקומיות הרלוונטית להנהלת בתי המשפט, כלומר הרשות המקומית היא הנושאת בתשלום זה". </w:t>
      </w:r>
    </w:p>
    <w:p w:rsidR="003037FB" w:rsidRPr="00247C05" w:rsidP="009050A0">
      <w:pPr>
        <w:pStyle w:val="ListParagraph"/>
        <w:spacing w:after="24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לעומת זאת - ביולי</w:t>
      </w:r>
      <w:r w:rsidRPr="00247C05">
        <w:rPr>
          <w:rFonts w:ascii="Times New Roman" w:hAnsi="Times New Roman" w:cs="FrankRuehl"/>
          <w:sz w:val="20"/>
          <w:rtl/>
        </w:rPr>
        <w:t xml:space="preserve"> 2013 </w:t>
      </w:r>
      <w:r w:rsidRPr="00247C05">
        <w:rPr>
          <w:rFonts w:ascii="Times New Roman" w:hAnsi="Times New Roman" w:cs="FrankRuehl" w:hint="cs"/>
          <w:sz w:val="20"/>
          <w:rtl/>
        </w:rPr>
        <w:t>כתב</w:t>
      </w:r>
      <w:r w:rsidRPr="00247C05">
        <w:rPr>
          <w:rFonts w:ascii="Times New Roman" w:hAnsi="Times New Roman" w:cs="FrankRuehl"/>
          <w:sz w:val="20"/>
          <w:rtl/>
        </w:rPr>
        <w:t xml:space="preserve"> </w:t>
      </w:r>
      <w:r w:rsidRPr="00247C05">
        <w:rPr>
          <w:rFonts w:ascii="Times New Roman" w:hAnsi="Times New Roman" w:cs="FrankRuehl" w:hint="cs"/>
          <w:sz w:val="20"/>
          <w:rtl/>
        </w:rPr>
        <w:t>מנהל</w:t>
      </w:r>
      <w:r w:rsidRPr="00247C05">
        <w:rPr>
          <w:rFonts w:ascii="Times New Roman" w:hAnsi="Times New Roman" w:cs="FrankRuehl"/>
          <w:sz w:val="20"/>
          <w:rtl/>
        </w:rPr>
        <w:t xml:space="preserve"> </w:t>
      </w:r>
      <w:r w:rsidRPr="00247C05">
        <w:rPr>
          <w:rFonts w:ascii="Times New Roman" w:hAnsi="Times New Roman" w:cs="FrankRuehl" w:hint="cs"/>
          <w:sz w:val="20"/>
          <w:rtl/>
        </w:rPr>
        <w:t>הב</w:t>
      </w:r>
      <w:r w:rsidRPr="00247C05">
        <w:rPr>
          <w:rFonts w:ascii="Times New Roman" w:hAnsi="Times New Roman" w:cs="FrankRuehl"/>
          <w:sz w:val="20"/>
          <w:rtl/>
        </w:rPr>
        <w:t>"</w:t>
      </w:r>
      <w:r w:rsidRPr="00247C05">
        <w:rPr>
          <w:rFonts w:ascii="Times New Roman" w:hAnsi="Times New Roman" w:cs="FrankRuehl" w:hint="cs"/>
          <w:sz w:val="20"/>
          <w:rtl/>
        </w:rPr>
        <w:t>ה</w:t>
      </w:r>
      <w:r w:rsidRPr="00247C05">
        <w:rPr>
          <w:rFonts w:ascii="Times New Roman" w:hAnsi="Times New Roman" w:cs="FrankRuehl"/>
          <w:sz w:val="20"/>
          <w:rtl/>
        </w:rPr>
        <w:t xml:space="preserve"> </w:t>
      </w:r>
      <w:r w:rsidRPr="00247C05">
        <w:rPr>
          <w:rFonts w:ascii="Times New Roman" w:hAnsi="Times New Roman" w:cs="FrankRuehl" w:hint="cs"/>
          <w:sz w:val="20"/>
          <w:rtl/>
        </w:rPr>
        <w:t>כי</w:t>
      </w:r>
      <w:r w:rsidRPr="00247C05">
        <w:rPr>
          <w:rFonts w:ascii="Times New Roman" w:hAnsi="Times New Roman" w:cs="FrankRuehl"/>
          <w:sz w:val="20"/>
          <w:rtl/>
        </w:rPr>
        <w:t xml:space="preserve"> "</w:t>
      </w:r>
      <w:r w:rsidRPr="00247C05">
        <w:rPr>
          <w:rFonts w:ascii="Times New Roman" w:hAnsi="Times New Roman" w:cs="FrankRuehl" w:hint="cs"/>
          <w:sz w:val="20"/>
          <w:rtl/>
        </w:rPr>
        <w:t>מערכת</w:t>
      </w:r>
      <w:r w:rsidRPr="00247C05">
        <w:rPr>
          <w:rFonts w:ascii="Times New Roman" w:hAnsi="Times New Roman" w:cs="FrankRuehl"/>
          <w:sz w:val="20"/>
          <w:rtl/>
        </w:rPr>
        <w:t xml:space="preserve"> </w:t>
      </w:r>
      <w:r w:rsidRPr="00247C05">
        <w:rPr>
          <w:rFonts w:ascii="Times New Roman" w:hAnsi="Times New Roman" w:cs="FrankRuehl" w:hint="cs"/>
          <w:sz w:val="20"/>
          <w:rtl/>
        </w:rPr>
        <w:t>המשפט</w:t>
      </w:r>
      <w:r w:rsidRPr="00247C05">
        <w:rPr>
          <w:rFonts w:ascii="Times New Roman" w:hAnsi="Times New Roman" w:cs="FrankRuehl"/>
          <w:sz w:val="20"/>
          <w:rtl/>
        </w:rPr>
        <w:t xml:space="preserve"> </w:t>
      </w:r>
      <w:r w:rsidRPr="00247C05">
        <w:rPr>
          <w:rFonts w:ascii="Times New Roman" w:hAnsi="Times New Roman" w:cs="FrankRuehl" w:hint="cs"/>
          <w:sz w:val="20"/>
          <w:rtl/>
        </w:rPr>
        <w:t>מחזיקה</w:t>
      </w:r>
      <w:r w:rsidRPr="00247C05">
        <w:rPr>
          <w:rFonts w:ascii="Times New Roman" w:hAnsi="Times New Roman" w:cs="FrankRuehl"/>
          <w:sz w:val="20"/>
          <w:rtl/>
        </w:rPr>
        <w:t xml:space="preserve"> </w:t>
      </w:r>
      <w:r w:rsidRPr="00247C05">
        <w:rPr>
          <w:rFonts w:ascii="Times New Roman" w:hAnsi="Times New Roman" w:cs="FrankRuehl" w:hint="cs"/>
          <w:sz w:val="20"/>
          <w:rtl/>
        </w:rPr>
        <w:t>בעמדה</w:t>
      </w:r>
      <w:r w:rsidRPr="00247C05">
        <w:rPr>
          <w:rFonts w:ascii="Times New Roman" w:hAnsi="Times New Roman" w:cs="FrankRuehl"/>
          <w:sz w:val="20"/>
          <w:rtl/>
        </w:rPr>
        <w:t xml:space="preserve"> </w:t>
      </w:r>
      <w:r w:rsidRPr="00247C05">
        <w:rPr>
          <w:rFonts w:ascii="Times New Roman" w:hAnsi="Times New Roman" w:cs="FrankRuehl" w:hint="cs"/>
          <w:sz w:val="20"/>
          <w:rtl/>
        </w:rPr>
        <w:t>לפיה</w:t>
      </w:r>
      <w:r w:rsidRPr="00247C05">
        <w:rPr>
          <w:rFonts w:ascii="Times New Roman" w:hAnsi="Times New Roman" w:cs="FrankRuehl"/>
          <w:sz w:val="20"/>
          <w:rtl/>
        </w:rPr>
        <w:t xml:space="preserve"> </w:t>
      </w:r>
      <w:r w:rsidRPr="00247C05">
        <w:rPr>
          <w:rFonts w:ascii="Times New Roman" w:hAnsi="Times New Roman" w:cs="FrankRuehl" w:hint="cs"/>
          <w:sz w:val="20"/>
          <w:rtl/>
        </w:rPr>
        <w:t>אין</w:t>
      </w:r>
      <w:r w:rsidRPr="00247C05">
        <w:rPr>
          <w:rFonts w:ascii="Times New Roman" w:hAnsi="Times New Roman" w:cs="FrankRuehl"/>
          <w:sz w:val="20"/>
          <w:rtl/>
        </w:rPr>
        <w:t xml:space="preserve"> </w:t>
      </w:r>
      <w:r w:rsidRPr="00247C05">
        <w:rPr>
          <w:rFonts w:ascii="Times New Roman" w:hAnsi="Times New Roman" w:cs="FrankRuehl" w:hint="cs"/>
          <w:sz w:val="20"/>
          <w:rtl/>
        </w:rPr>
        <w:t>מקום</w:t>
      </w:r>
      <w:r w:rsidRPr="00247C05">
        <w:rPr>
          <w:rFonts w:ascii="Times New Roman" w:hAnsi="Times New Roman" w:cs="FrankRuehl"/>
          <w:sz w:val="20"/>
          <w:rtl/>
        </w:rPr>
        <w:t xml:space="preserve"> </w:t>
      </w:r>
      <w:r w:rsidRPr="00247C05">
        <w:rPr>
          <w:rFonts w:ascii="Times New Roman" w:hAnsi="Times New Roman" w:cs="FrankRuehl" w:hint="cs"/>
          <w:sz w:val="20"/>
          <w:rtl/>
        </w:rPr>
        <w:t>כי</w:t>
      </w:r>
      <w:r w:rsidRPr="00247C05">
        <w:rPr>
          <w:rFonts w:ascii="Times New Roman" w:hAnsi="Times New Roman" w:cs="FrankRuehl"/>
          <w:sz w:val="20"/>
          <w:rtl/>
        </w:rPr>
        <w:t xml:space="preserve"> </w:t>
      </w:r>
      <w:r w:rsidRPr="00247C05">
        <w:rPr>
          <w:rFonts w:ascii="Times New Roman" w:hAnsi="Times New Roman" w:cs="FrankRuehl" w:hint="cs"/>
          <w:sz w:val="20"/>
          <w:rtl/>
        </w:rPr>
        <w:t>שירותי</w:t>
      </w:r>
      <w:r w:rsidRPr="00247C05">
        <w:rPr>
          <w:rFonts w:ascii="Times New Roman" w:hAnsi="Times New Roman" w:cs="FrankRuehl"/>
          <w:sz w:val="20"/>
          <w:rtl/>
        </w:rPr>
        <w:t xml:space="preserve"> </w:t>
      </w:r>
      <w:r w:rsidRPr="00247C05">
        <w:rPr>
          <w:rFonts w:ascii="Times New Roman" w:hAnsi="Times New Roman" w:cs="FrankRuehl" w:hint="cs"/>
          <w:sz w:val="20"/>
          <w:rtl/>
        </w:rPr>
        <w:t>שפיטה</w:t>
      </w:r>
      <w:r w:rsidRPr="00247C05">
        <w:rPr>
          <w:rFonts w:ascii="Times New Roman" w:hAnsi="Times New Roman" w:cs="FrankRuehl"/>
          <w:sz w:val="20"/>
          <w:rtl/>
        </w:rPr>
        <w:t xml:space="preserve"> </w:t>
      </w:r>
      <w:r w:rsidRPr="00247C05">
        <w:rPr>
          <w:rFonts w:ascii="Times New Roman" w:hAnsi="Times New Roman" w:cs="FrankRuehl" w:hint="cs"/>
          <w:sz w:val="20"/>
          <w:rtl/>
        </w:rPr>
        <w:t>יינתנו</w:t>
      </w:r>
      <w:r w:rsidRPr="00247C05">
        <w:rPr>
          <w:rFonts w:ascii="Times New Roman" w:hAnsi="Times New Roman" w:cs="FrankRuehl"/>
          <w:sz w:val="20"/>
          <w:rtl/>
        </w:rPr>
        <w:t xml:space="preserve"> </w:t>
      </w:r>
      <w:r w:rsidRPr="00247C05">
        <w:rPr>
          <w:rFonts w:ascii="Times New Roman" w:hAnsi="Times New Roman" w:cs="FrankRuehl" w:hint="cs"/>
          <w:sz w:val="20"/>
          <w:rtl/>
        </w:rPr>
        <w:t>בתמורה</w:t>
      </w:r>
      <w:r w:rsidRPr="00247C05">
        <w:rPr>
          <w:rFonts w:ascii="Times New Roman" w:hAnsi="Times New Roman" w:cs="FrankRuehl"/>
          <w:sz w:val="20"/>
          <w:rtl/>
        </w:rPr>
        <w:t xml:space="preserve"> </w:t>
      </w:r>
      <w:r w:rsidRPr="00247C05">
        <w:rPr>
          <w:rFonts w:ascii="Times New Roman" w:hAnsi="Times New Roman" w:cs="FrankRuehl" w:hint="cs"/>
          <w:sz w:val="20"/>
          <w:rtl/>
        </w:rPr>
        <w:t>ויווסתו</w:t>
      </w:r>
      <w:r w:rsidRPr="00247C05">
        <w:rPr>
          <w:rFonts w:ascii="Times New Roman" w:hAnsi="Times New Roman" w:cs="FrankRuehl"/>
          <w:sz w:val="20"/>
          <w:rtl/>
        </w:rPr>
        <w:t xml:space="preserve"> </w:t>
      </w:r>
      <w:r w:rsidRPr="00247C05">
        <w:rPr>
          <w:rFonts w:ascii="Times New Roman" w:hAnsi="Times New Roman" w:cs="FrankRuehl" w:hint="cs"/>
          <w:sz w:val="20"/>
          <w:rtl/>
        </w:rPr>
        <w:t>בהתאם</w:t>
      </w:r>
      <w:r w:rsidRPr="00247C05">
        <w:rPr>
          <w:rFonts w:ascii="Times New Roman" w:hAnsi="Times New Roman" w:cs="FrankRuehl"/>
          <w:sz w:val="20"/>
          <w:rtl/>
        </w:rPr>
        <w:t xml:space="preserve"> </w:t>
      </w:r>
      <w:r w:rsidRPr="00247C05">
        <w:rPr>
          <w:rFonts w:ascii="Times New Roman" w:hAnsi="Times New Roman" w:cs="FrankRuehl" w:hint="cs"/>
          <w:sz w:val="20"/>
          <w:rtl/>
        </w:rPr>
        <w:t>לשיעורי</w:t>
      </w:r>
      <w:r w:rsidRPr="00247C05">
        <w:rPr>
          <w:rFonts w:ascii="Times New Roman" w:hAnsi="Times New Roman" w:cs="FrankRuehl"/>
          <w:sz w:val="20"/>
          <w:rtl/>
        </w:rPr>
        <w:t xml:space="preserve"> </w:t>
      </w:r>
      <w:r w:rsidRPr="00247C05">
        <w:rPr>
          <w:rFonts w:ascii="Times New Roman" w:hAnsi="Times New Roman" w:cs="FrankRuehl" w:hint="cs"/>
          <w:sz w:val="20"/>
          <w:rtl/>
        </w:rPr>
        <w:t>היצע</w:t>
      </w:r>
      <w:r w:rsidRPr="00247C05">
        <w:rPr>
          <w:rFonts w:ascii="Times New Roman" w:hAnsi="Times New Roman" w:cs="FrankRuehl"/>
          <w:sz w:val="20"/>
          <w:rtl/>
        </w:rPr>
        <w:t xml:space="preserve"> </w:t>
      </w:r>
      <w:r w:rsidRPr="00247C05">
        <w:rPr>
          <w:rFonts w:ascii="Times New Roman" w:hAnsi="Times New Roman" w:cs="FrankRuehl" w:hint="cs"/>
          <w:sz w:val="20"/>
          <w:rtl/>
        </w:rPr>
        <w:t>וביקוש</w:t>
      </w:r>
      <w:r w:rsidRPr="00247C05">
        <w:rPr>
          <w:rFonts w:ascii="Times New Roman" w:hAnsi="Times New Roman" w:cs="FrankRuehl"/>
          <w:sz w:val="20"/>
          <w:rtl/>
        </w:rPr>
        <w:t xml:space="preserve"> </w:t>
      </w:r>
      <w:r w:rsidRPr="00247C05">
        <w:rPr>
          <w:rFonts w:ascii="Times New Roman" w:hAnsi="Times New Roman" w:cs="FrankRuehl" w:hint="cs"/>
          <w:sz w:val="20"/>
          <w:rtl/>
        </w:rPr>
        <w:t>כפי</w:t>
      </w:r>
      <w:r w:rsidRPr="00247C05">
        <w:rPr>
          <w:rFonts w:ascii="Times New Roman" w:hAnsi="Times New Roman" w:cs="FrankRuehl"/>
          <w:sz w:val="20"/>
          <w:rtl/>
        </w:rPr>
        <w:t xml:space="preserve"> </w:t>
      </w:r>
      <w:r w:rsidRPr="00247C05">
        <w:rPr>
          <w:rFonts w:ascii="Times New Roman" w:hAnsi="Times New Roman" w:cs="FrankRuehl" w:hint="cs"/>
          <w:sz w:val="20"/>
          <w:rtl/>
        </w:rPr>
        <w:t>שנעשה</w:t>
      </w:r>
      <w:r w:rsidRPr="00247C05">
        <w:rPr>
          <w:rFonts w:ascii="Times New Roman" w:hAnsi="Times New Roman" w:cs="FrankRuehl"/>
          <w:sz w:val="20"/>
          <w:rtl/>
        </w:rPr>
        <w:t xml:space="preserve"> </w:t>
      </w:r>
      <w:r w:rsidRPr="00247C05">
        <w:rPr>
          <w:rFonts w:ascii="Times New Roman" w:hAnsi="Times New Roman" w:cs="FrankRuehl" w:hint="cs"/>
          <w:sz w:val="20"/>
          <w:rtl/>
        </w:rPr>
        <w:t>כיום</w:t>
      </w:r>
      <w:r w:rsidRPr="00247C05">
        <w:rPr>
          <w:rFonts w:ascii="Times New Roman" w:hAnsi="Times New Roman" w:cs="FrankRuehl"/>
          <w:sz w:val="20"/>
          <w:rtl/>
        </w:rPr>
        <w:t>".</w:t>
      </w:r>
      <w:r w:rsidRPr="00247C05">
        <w:rPr>
          <w:rFonts w:ascii="Times New Roman" w:hAnsi="Times New Roman" w:cs="FrankRuehl" w:hint="cs"/>
          <w:sz w:val="20"/>
          <w:rtl/>
        </w:rPr>
        <w:t xml:space="preserve"> עמדה דומה הוצגה על ידי היועץ המשפטי של הב"ה לפני מנהל הב"ה.</w:t>
      </w:r>
    </w:p>
    <w:p w:rsidR="003037FB" w:rsidRPr="00247C05" w:rsidP="009050A0">
      <w:pPr>
        <w:pStyle w:val="RESHET"/>
        <w:keepLines/>
        <w:ind w:left="567"/>
        <w:rPr>
          <w:rtl/>
        </w:rPr>
      </w:pPr>
      <w:r w:rsidRPr="00247C05">
        <w:rPr>
          <w:rFonts w:hint="cs"/>
          <w:rtl/>
        </w:rPr>
        <w:t>הביקורת</w:t>
      </w:r>
      <w:r w:rsidRPr="00247C05">
        <w:rPr>
          <w:rtl/>
        </w:rPr>
        <w:t xml:space="preserve"> העלתה כי </w:t>
      </w:r>
      <w:r w:rsidRPr="00247C05">
        <w:rPr>
          <w:rFonts w:hint="cs"/>
          <w:rtl/>
        </w:rPr>
        <w:t>בפועל</w:t>
      </w:r>
      <w:r w:rsidRPr="00247C05">
        <w:rPr>
          <w:rtl/>
        </w:rPr>
        <w:t xml:space="preserve">, </w:t>
      </w:r>
      <w:r w:rsidRPr="00247C05">
        <w:rPr>
          <w:rFonts w:hint="cs"/>
          <w:rtl/>
        </w:rPr>
        <w:t>הב</w:t>
      </w:r>
      <w:r w:rsidRPr="00247C05">
        <w:rPr>
          <w:rtl/>
        </w:rPr>
        <w:t xml:space="preserve">"ה ממשיכה לגבות מהרשויות המקומיות </w:t>
      </w:r>
      <w:r w:rsidRPr="00247C05">
        <w:rPr>
          <w:rFonts w:hint="cs"/>
          <w:rtl/>
        </w:rPr>
        <w:t xml:space="preserve">תשלומים </w:t>
      </w:r>
      <w:r w:rsidRPr="00247C05">
        <w:rPr>
          <w:rtl/>
        </w:rPr>
        <w:t xml:space="preserve">בעבור </w:t>
      </w:r>
      <w:r w:rsidRPr="00247C05">
        <w:rPr>
          <w:rFonts w:hint="cs"/>
          <w:rtl/>
        </w:rPr>
        <w:t>שפיטה</w:t>
      </w:r>
      <w:r w:rsidRPr="00247C05">
        <w:rPr>
          <w:rtl/>
        </w:rPr>
        <w:t xml:space="preserve"> </w:t>
      </w:r>
      <w:r w:rsidRPr="00247C05">
        <w:rPr>
          <w:rFonts w:hint="cs"/>
          <w:rtl/>
        </w:rPr>
        <w:t>המחושבים לפי</w:t>
      </w:r>
      <w:r w:rsidRPr="00247C05">
        <w:rPr>
          <w:rtl/>
        </w:rPr>
        <w:t xml:space="preserve"> </w:t>
      </w:r>
      <w:r w:rsidRPr="00247C05">
        <w:rPr>
          <w:rFonts w:hint="cs"/>
          <w:rtl/>
        </w:rPr>
        <w:t>מספר</w:t>
      </w:r>
      <w:r w:rsidRPr="00247C05">
        <w:rPr>
          <w:rtl/>
        </w:rPr>
        <w:t xml:space="preserve"> ימי </w:t>
      </w:r>
      <w:r w:rsidRPr="00247C05">
        <w:rPr>
          <w:rFonts w:hint="cs"/>
          <w:rtl/>
        </w:rPr>
        <w:t>ה</w:t>
      </w:r>
      <w:r w:rsidRPr="00247C05">
        <w:rPr>
          <w:rtl/>
        </w:rPr>
        <w:t xml:space="preserve">שיפוט המוקצים לכל </w:t>
      </w:r>
      <w:r w:rsidRPr="00247C05">
        <w:rPr>
          <w:rFonts w:hint="cs"/>
          <w:rtl/>
        </w:rPr>
        <w:t>במ</w:t>
      </w:r>
      <w:r w:rsidRPr="00247C05">
        <w:rPr>
          <w:rtl/>
        </w:rPr>
        <w:t xml:space="preserve">"ש </w:t>
      </w:r>
      <w:r w:rsidRPr="00247C05">
        <w:rPr>
          <w:rFonts w:hint="cs"/>
          <w:rtl/>
        </w:rPr>
        <w:t>עמ</w:t>
      </w:r>
      <w:r w:rsidRPr="00247C05">
        <w:rPr>
          <w:rtl/>
        </w:rPr>
        <w:t xml:space="preserve">"ק. </w:t>
      </w:r>
    </w:p>
    <w:p w:rsidR="003037FB" w:rsidRPr="00247C05" w:rsidP="009050A0">
      <w:pPr>
        <w:pStyle w:val="RESHET"/>
        <w:keepLines/>
        <w:ind w:left="567"/>
        <w:rPr>
          <w:rtl/>
        </w:rPr>
      </w:pPr>
      <w:r w:rsidRPr="00247C05">
        <w:rPr>
          <w:rFonts w:hint="cs"/>
          <w:rtl/>
        </w:rPr>
        <w:t>יוער כי נוצר מצב ובו כשנתגלעו חילוקי דעות בין הב"ה ובין הרשות המקומית בנוגע לחיוב על ימי שיפוט, הם גלשו גם לשאלת התמורה הראויה בעבורם. במצב דברים זה עלול להיפגע עקרון עצמאות הרשות השופטת.</w:t>
      </w:r>
    </w:p>
    <w:p w:rsidR="003037FB" w:rsidRPr="00247C05" w:rsidP="009050A0">
      <w:pPr>
        <w:spacing w:before="180" w:after="120" w:line="230" w:lineRule="exact"/>
        <w:ind w:left="360"/>
        <w:jc w:val="both"/>
        <w:rPr>
          <w:rFonts w:cs="FrankRuehl"/>
          <w:sz w:val="20"/>
          <w:szCs w:val="22"/>
          <w:rtl/>
        </w:rPr>
      </w:pPr>
      <w:r w:rsidRPr="00247C05">
        <w:rPr>
          <w:rFonts w:cs="FrankRuehl" w:hint="cs"/>
          <w:sz w:val="20"/>
          <w:szCs w:val="22"/>
          <w:rtl/>
        </w:rPr>
        <w:t xml:space="preserve">למשל, במחלוקת כספית בנוגע לתשלומים שדרשה הב"ה מעיריית באר שבע טענה העירייה בנוגע לימי השיפוט, כי "התחשיב לחיוב בעייתי, שכן לא נקבע מה בדיוק שופט צריך לעשות ביום עליו העירייה משלמת" ודרשה לקיים דיון לקביעת קריטריונים למדידת העבודה השיפוטית. תגובת הב"ה לטענה זו הייתה כי העבודה השיפוטית אינה ניתנת לכימות, והיא נדחתה על הסף. </w:t>
      </w:r>
    </w:p>
    <w:p w:rsidR="003037FB" w:rsidRPr="00247C05" w:rsidP="00040DAE">
      <w:pPr>
        <w:pStyle w:val="ListParagraph"/>
        <w:numPr>
          <w:ilvl w:val="0"/>
          <w:numId w:val="13"/>
        </w:numPr>
        <w:spacing w:after="120" w:line="230" w:lineRule="exact"/>
        <w:contextualSpacing w:val="0"/>
        <w:jc w:val="both"/>
        <w:rPr>
          <w:rFonts w:ascii="Times New Roman" w:hAnsi="Times New Roman" w:cs="FrankRuehl"/>
          <w:sz w:val="20"/>
        </w:rPr>
      </w:pPr>
      <w:r w:rsidRPr="00EC77C1">
        <w:rPr>
          <w:rStyle w:val="Heading5Char"/>
          <w:rFonts w:ascii="Times New Roman" w:hAnsi="Times New Roman" w:cs="FrankRuehl" w:hint="cs"/>
          <w:spacing w:val="40"/>
          <w:sz w:val="20"/>
          <w:szCs w:val="22"/>
          <w:rtl/>
        </w:rPr>
        <w:t>הסדרת חיובים:</w:t>
      </w:r>
      <w:r w:rsidRPr="00247C05">
        <w:rPr>
          <w:rFonts w:ascii="Times New Roman" w:hAnsi="Times New Roman" w:cs="FrankRuehl" w:hint="cs"/>
          <w:sz w:val="20"/>
          <w:rtl/>
        </w:rPr>
        <w:t xml:space="preserve"> לאחר</w:t>
      </w:r>
      <w:r w:rsidRPr="00247C05">
        <w:rPr>
          <w:rFonts w:ascii="Times New Roman" w:hAnsi="Times New Roman" w:cs="FrankRuehl"/>
          <w:sz w:val="20"/>
          <w:rtl/>
        </w:rPr>
        <w:t xml:space="preserve"> </w:t>
      </w:r>
      <w:r w:rsidRPr="00247C05">
        <w:rPr>
          <w:rFonts w:ascii="Times New Roman" w:hAnsi="Times New Roman" w:cs="FrankRuehl" w:hint="cs"/>
          <w:sz w:val="20"/>
          <w:rtl/>
        </w:rPr>
        <w:t>בג</w:t>
      </w:r>
      <w:r w:rsidRPr="00247C05">
        <w:rPr>
          <w:rFonts w:ascii="Times New Roman" w:hAnsi="Times New Roman" w:cs="FrankRuehl"/>
          <w:sz w:val="20"/>
          <w:rtl/>
        </w:rPr>
        <w:t>"</w:t>
      </w:r>
      <w:r w:rsidRPr="00247C05">
        <w:rPr>
          <w:rFonts w:ascii="Times New Roman" w:hAnsi="Times New Roman" w:cs="FrankRuehl" w:hint="cs"/>
          <w:sz w:val="20"/>
          <w:rtl/>
        </w:rPr>
        <w:t>ץ</w:t>
      </w:r>
      <w:r w:rsidRPr="00247C05">
        <w:rPr>
          <w:rFonts w:ascii="Times New Roman" w:hAnsi="Times New Roman" w:cs="FrankRuehl"/>
          <w:sz w:val="20"/>
          <w:rtl/>
        </w:rPr>
        <w:t xml:space="preserve"> </w:t>
      </w:r>
      <w:r w:rsidRPr="00247C05">
        <w:rPr>
          <w:rFonts w:ascii="Times New Roman" w:hAnsi="Times New Roman" w:cs="FrankRuehl" w:hint="cs"/>
          <w:sz w:val="20"/>
          <w:rtl/>
        </w:rPr>
        <w:t>קארשי</w:t>
      </w:r>
      <w:r w:rsidRPr="00247C05">
        <w:rPr>
          <w:rFonts w:ascii="Times New Roman" w:hAnsi="Times New Roman" w:cs="FrankRuehl"/>
          <w:sz w:val="20"/>
          <w:rtl/>
        </w:rPr>
        <w:t xml:space="preserve"> </w:t>
      </w:r>
      <w:r w:rsidRPr="00247C05">
        <w:rPr>
          <w:rFonts w:ascii="Times New Roman" w:hAnsi="Times New Roman" w:cs="FrankRuehl" w:hint="cs"/>
          <w:sz w:val="20"/>
          <w:rtl/>
        </w:rPr>
        <w:t>התרחב הממשק</w:t>
      </w:r>
      <w:r w:rsidRPr="00247C05">
        <w:rPr>
          <w:rFonts w:ascii="Times New Roman" w:hAnsi="Times New Roman" w:cs="FrankRuehl"/>
          <w:sz w:val="20"/>
          <w:rtl/>
        </w:rPr>
        <w:t xml:space="preserve"> </w:t>
      </w:r>
      <w:r w:rsidRPr="00247C05">
        <w:rPr>
          <w:rFonts w:ascii="Times New Roman" w:hAnsi="Times New Roman" w:cs="FrankRuehl" w:hint="cs"/>
          <w:sz w:val="20"/>
          <w:rtl/>
        </w:rPr>
        <w:t>הכספי</w:t>
      </w:r>
      <w:r w:rsidRPr="00247C05">
        <w:rPr>
          <w:rFonts w:ascii="Times New Roman" w:hAnsi="Times New Roman" w:cs="FrankRuehl"/>
          <w:sz w:val="20"/>
          <w:rtl/>
        </w:rPr>
        <w:t xml:space="preserve"> </w:t>
      </w:r>
      <w:r w:rsidRPr="00247C05">
        <w:rPr>
          <w:rFonts w:ascii="Times New Roman" w:hAnsi="Times New Roman" w:cs="FrankRuehl" w:hint="cs"/>
          <w:sz w:val="20"/>
          <w:rtl/>
        </w:rPr>
        <w:t>בין</w:t>
      </w:r>
      <w:r w:rsidRPr="00247C05">
        <w:rPr>
          <w:rFonts w:ascii="Times New Roman" w:hAnsi="Times New Roman" w:cs="FrankRuehl"/>
          <w:sz w:val="20"/>
          <w:rtl/>
        </w:rPr>
        <w:t xml:space="preserve"> </w:t>
      </w:r>
      <w:r w:rsidRPr="00247C05">
        <w:rPr>
          <w:rFonts w:ascii="Times New Roman" w:hAnsi="Times New Roman" w:cs="FrankRuehl" w:hint="cs"/>
          <w:sz w:val="20"/>
          <w:rtl/>
        </w:rPr>
        <w:t>הב</w:t>
      </w:r>
      <w:r w:rsidRPr="00247C05">
        <w:rPr>
          <w:rFonts w:ascii="Times New Roman" w:hAnsi="Times New Roman" w:cs="FrankRuehl"/>
          <w:sz w:val="20"/>
          <w:rtl/>
        </w:rPr>
        <w:t>"</w:t>
      </w:r>
      <w:r w:rsidRPr="00247C05">
        <w:rPr>
          <w:rFonts w:ascii="Times New Roman" w:hAnsi="Times New Roman" w:cs="FrankRuehl" w:hint="cs"/>
          <w:sz w:val="20"/>
          <w:rtl/>
        </w:rPr>
        <w:t>ה</w:t>
      </w:r>
      <w:r w:rsidRPr="00247C05">
        <w:rPr>
          <w:rFonts w:ascii="Times New Roman" w:hAnsi="Times New Roman" w:cs="FrankRuehl"/>
          <w:sz w:val="20"/>
          <w:rtl/>
        </w:rPr>
        <w:t xml:space="preserve"> </w:t>
      </w:r>
      <w:r w:rsidRPr="00247C05">
        <w:rPr>
          <w:rFonts w:ascii="Times New Roman" w:hAnsi="Times New Roman" w:cs="FrankRuehl" w:hint="cs"/>
          <w:sz w:val="20"/>
          <w:rtl/>
        </w:rPr>
        <w:t>ובין מזכירויות</w:t>
      </w:r>
      <w:r w:rsidRPr="00247C05">
        <w:rPr>
          <w:rFonts w:ascii="Times New Roman" w:hAnsi="Times New Roman" w:cs="FrankRuehl"/>
          <w:sz w:val="20"/>
          <w:rtl/>
        </w:rPr>
        <w:t xml:space="preserve"> </w:t>
      </w:r>
      <w:r w:rsidRPr="00247C05">
        <w:rPr>
          <w:rFonts w:ascii="Times New Roman" w:hAnsi="Times New Roman" w:cs="FrankRuehl" w:hint="cs"/>
          <w:sz w:val="20"/>
          <w:rtl/>
        </w:rPr>
        <w:t>במ</w:t>
      </w:r>
      <w:r w:rsidRPr="00247C05">
        <w:rPr>
          <w:rFonts w:ascii="Times New Roman" w:hAnsi="Times New Roman" w:cs="FrankRuehl"/>
          <w:sz w:val="20"/>
          <w:rtl/>
        </w:rPr>
        <w:t>"</w:t>
      </w:r>
      <w:r w:rsidRPr="00247C05">
        <w:rPr>
          <w:rFonts w:ascii="Times New Roman" w:hAnsi="Times New Roman" w:cs="FrankRuehl" w:hint="cs"/>
          <w:sz w:val="20"/>
          <w:rtl/>
        </w:rPr>
        <w:t>ש</w:t>
      </w:r>
      <w:r w:rsidRPr="00247C05">
        <w:rPr>
          <w:rFonts w:ascii="Times New Roman" w:hAnsi="Times New Roman" w:cs="FrankRuehl"/>
          <w:sz w:val="20"/>
          <w:rtl/>
        </w:rPr>
        <w:t xml:space="preserve"> </w:t>
      </w:r>
      <w:r w:rsidRPr="00247C05">
        <w:rPr>
          <w:rFonts w:ascii="Times New Roman" w:hAnsi="Times New Roman" w:cs="FrankRuehl" w:hint="cs"/>
          <w:sz w:val="20"/>
          <w:rtl/>
        </w:rPr>
        <w:t>עמ</w:t>
      </w:r>
      <w:r w:rsidRPr="00247C05">
        <w:rPr>
          <w:rFonts w:ascii="Times New Roman" w:hAnsi="Times New Roman" w:cs="FrankRuehl"/>
          <w:sz w:val="20"/>
          <w:rtl/>
        </w:rPr>
        <w:t>"</w:t>
      </w:r>
      <w:r w:rsidRPr="00247C05">
        <w:rPr>
          <w:rFonts w:ascii="Times New Roman" w:hAnsi="Times New Roman" w:cs="FrankRuehl" w:hint="cs"/>
          <w:sz w:val="20"/>
          <w:rtl/>
        </w:rPr>
        <w:t>ק</w:t>
      </w:r>
      <w:r w:rsidRPr="00247C05">
        <w:rPr>
          <w:rFonts w:ascii="Times New Roman" w:hAnsi="Times New Roman" w:cs="FrankRuehl"/>
          <w:sz w:val="20"/>
          <w:rtl/>
        </w:rPr>
        <w:t xml:space="preserve"> </w:t>
      </w:r>
      <w:r w:rsidRPr="00247C05">
        <w:rPr>
          <w:rFonts w:ascii="Times New Roman" w:hAnsi="Times New Roman" w:cs="FrankRuehl" w:hint="cs"/>
          <w:sz w:val="20"/>
          <w:rtl/>
        </w:rPr>
        <w:t>וכלל התחשבנויות נוספות ובהם תשלום בעבור הדרכות ונט המשפט</w:t>
      </w:r>
      <w:r w:rsidRPr="00247C05">
        <w:rPr>
          <w:rFonts w:ascii="Times New Roman" w:hAnsi="Times New Roman" w:cs="FrankRuehl"/>
          <w:sz w:val="20"/>
          <w:rtl/>
        </w:rPr>
        <w:t xml:space="preserve">. </w:t>
      </w:r>
    </w:p>
    <w:p w:rsidR="003037FB" w:rsidRPr="00247C05" w:rsidP="009050A0">
      <w:pPr>
        <w:spacing w:after="240" w:line="230" w:lineRule="exact"/>
        <w:ind w:left="340"/>
        <w:jc w:val="both"/>
        <w:rPr>
          <w:rFonts w:cs="FrankRuehl"/>
          <w:sz w:val="20"/>
          <w:szCs w:val="22"/>
          <w:rtl/>
        </w:rPr>
      </w:pPr>
      <w:r w:rsidRPr="00247C05">
        <w:rPr>
          <w:rFonts w:cs="FrankRuehl" w:hint="cs"/>
          <w:sz w:val="20"/>
          <w:szCs w:val="22"/>
          <w:rtl/>
        </w:rPr>
        <w:t xml:space="preserve">ב-8.5.12 כתבה עו"ד מהלשכה המשפטית של הב"ה, כי "על מערכת היחסים של שני הגורמים המנהלים [של הב"ה והעירייה הרלוונטית] להיות מעוגנת בהסכם התקשרות ברור ואחיד... על הלשכה המשפטית לנסח הסכם התקשרות אחיד הכולל התחייבויות מתאימות, ולחתום עליו אל מול כל עירייה שבתחומה מתנהל בית המשפט לעניינים מקומיים". ואכן, בשנת 2013 הוכן נוסח הסכם לחתימתן של הרשויות המקומיות. </w:t>
      </w:r>
    </w:p>
    <w:p w:rsidR="003037FB" w:rsidRPr="00247C05" w:rsidP="009050A0">
      <w:pPr>
        <w:pStyle w:val="RESHET"/>
        <w:keepLines/>
        <w:ind w:left="567"/>
      </w:pPr>
      <w:r w:rsidRPr="00247C05">
        <w:rPr>
          <w:rFonts w:hint="cs"/>
          <w:rtl/>
        </w:rPr>
        <w:t>נמצא,</w:t>
      </w:r>
      <w:r w:rsidRPr="00247C05">
        <w:rPr>
          <w:rtl/>
        </w:rPr>
        <w:t xml:space="preserve"> </w:t>
      </w:r>
      <w:r w:rsidRPr="00247C05">
        <w:rPr>
          <w:rFonts w:hint="cs"/>
          <w:rtl/>
        </w:rPr>
        <w:t>כי</w:t>
      </w:r>
      <w:r w:rsidRPr="00247C05">
        <w:rPr>
          <w:rtl/>
        </w:rPr>
        <w:t xml:space="preserve"> </w:t>
      </w:r>
      <w:r w:rsidRPr="00247C05">
        <w:rPr>
          <w:rFonts w:hint="cs"/>
          <w:rtl/>
        </w:rPr>
        <w:t>הב</w:t>
      </w:r>
      <w:r w:rsidRPr="00247C05">
        <w:rPr>
          <w:rtl/>
        </w:rPr>
        <w:t>"</w:t>
      </w:r>
      <w:r w:rsidRPr="00247C05">
        <w:rPr>
          <w:rFonts w:hint="cs"/>
          <w:rtl/>
        </w:rPr>
        <w:t>ה</w:t>
      </w:r>
      <w:r w:rsidRPr="00247C05">
        <w:rPr>
          <w:rtl/>
        </w:rPr>
        <w:t xml:space="preserve"> </w:t>
      </w:r>
      <w:r w:rsidRPr="00247C05">
        <w:rPr>
          <w:rFonts w:hint="cs"/>
          <w:rtl/>
        </w:rPr>
        <w:t>לא הסדירה הסדרה כוללת את הממשק הכספי שבינה ובין הרשויות המקומיות ורק שש עיריות</w:t>
      </w:r>
      <w:r>
        <w:rPr>
          <w:rStyle w:val="FootnoteReference"/>
          <w:rFonts w:cs="FrankRuehl"/>
          <w:rtl/>
        </w:rPr>
        <w:footnoteReference w:id="29"/>
      </w:r>
      <w:r w:rsidRPr="00247C05">
        <w:rPr>
          <w:rFonts w:hint="cs"/>
          <w:rtl/>
        </w:rPr>
        <w:t xml:space="preserve"> חתמו על ההסכם עמה,</w:t>
      </w:r>
      <w:r w:rsidRPr="00247C05">
        <w:rPr>
          <w:rtl/>
        </w:rPr>
        <w:t xml:space="preserve"> </w:t>
      </w:r>
      <w:r w:rsidRPr="00247C05">
        <w:rPr>
          <w:rFonts w:hint="cs"/>
          <w:rtl/>
        </w:rPr>
        <w:t>עוד</w:t>
      </w:r>
      <w:r w:rsidRPr="00247C05">
        <w:rPr>
          <w:rtl/>
        </w:rPr>
        <w:t xml:space="preserve"> נמצא כי </w:t>
      </w:r>
      <w:r w:rsidRPr="00247C05">
        <w:rPr>
          <w:rFonts w:hint="cs"/>
          <w:rtl/>
        </w:rPr>
        <w:t>גם</w:t>
      </w:r>
      <w:r w:rsidRPr="00247C05">
        <w:rPr>
          <w:rtl/>
        </w:rPr>
        <w:t xml:space="preserve"> </w:t>
      </w:r>
      <w:r w:rsidRPr="00247C05">
        <w:rPr>
          <w:rFonts w:hint="cs"/>
          <w:rtl/>
        </w:rPr>
        <w:t>ששת</w:t>
      </w:r>
      <w:r w:rsidRPr="00247C05">
        <w:rPr>
          <w:rtl/>
        </w:rPr>
        <w:t xml:space="preserve"> </w:t>
      </w:r>
      <w:r w:rsidRPr="00247C05">
        <w:rPr>
          <w:rFonts w:hint="cs"/>
          <w:rtl/>
        </w:rPr>
        <w:t>ההסכמים</w:t>
      </w:r>
      <w:r w:rsidRPr="00247C05">
        <w:rPr>
          <w:rtl/>
        </w:rPr>
        <w:t xml:space="preserve"> </w:t>
      </w:r>
      <w:r w:rsidRPr="00247C05">
        <w:rPr>
          <w:rFonts w:hint="cs"/>
          <w:rtl/>
        </w:rPr>
        <w:t>שנחתמו</w:t>
      </w:r>
      <w:r w:rsidRPr="00247C05">
        <w:rPr>
          <w:rtl/>
        </w:rPr>
        <w:t xml:space="preserve"> </w:t>
      </w:r>
      <w:r w:rsidRPr="00247C05">
        <w:rPr>
          <w:rFonts w:hint="cs"/>
          <w:rtl/>
        </w:rPr>
        <w:t>אינם</w:t>
      </w:r>
      <w:r w:rsidRPr="00247C05">
        <w:rPr>
          <w:rtl/>
        </w:rPr>
        <w:t xml:space="preserve"> </w:t>
      </w:r>
      <w:r w:rsidRPr="00247C05">
        <w:rPr>
          <w:rFonts w:hint="cs"/>
          <w:rtl/>
        </w:rPr>
        <w:t>אחידים,</w:t>
      </w:r>
      <w:r w:rsidRPr="00247C05">
        <w:rPr>
          <w:rtl/>
        </w:rPr>
        <w:t xml:space="preserve"> </w:t>
      </w:r>
      <w:r w:rsidRPr="00247C05">
        <w:rPr>
          <w:rFonts w:hint="cs"/>
          <w:rtl/>
        </w:rPr>
        <w:t>והם מסדירים נושאים</w:t>
      </w:r>
      <w:r w:rsidRPr="00247C05">
        <w:rPr>
          <w:rtl/>
        </w:rPr>
        <w:t xml:space="preserve"> </w:t>
      </w:r>
      <w:r w:rsidRPr="00247C05">
        <w:rPr>
          <w:rFonts w:hint="cs"/>
          <w:rtl/>
        </w:rPr>
        <w:t>כספיים</w:t>
      </w:r>
      <w:r w:rsidRPr="00247C05">
        <w:rPr>
          <w:rtl/>
        </w:rPr>
        <w:t xml:space="preserve"> </w:t>
      </w:r>
      <w:r w:rsidRPr="00247C05">
        <w:rPr>
          <w:rFonts w:hint="cs"/>
          <w:rtl/>
        </w:rPr>
        <w:t>רק</w:t>
      </w:r>
      <w:r w:rsidRPr="00247C05">
        <w:rPr>
          <w:rtl/>
        </w:rPr>
        <w:t xml:space="preserve"> </w:t>
      </w:r>
      <w:r w:rsidRPr="00247C05">
        <w:rPr>
          <w:rFonts w:hint="cs"/>
          <w:rtl/>
        </w:rPr>
        <w:t>באופן</w:t>
      </w:r>
      <w:r w:rsidRPr="00247C05">
        <w:rPr>
          <w:rtl/>
        </w:rPr>
        <w:t xml:space="preserve"> </w:t>
      </w:r>
      <w:r w:rsidRPr="00247C05">
        <w:rPr>
          <w:rFonts w:hint="cs"/>
          <w:rtl/>
        </w:rPr>
        <w:t>חלקי.</w:t>
      </w:r>
      <w:r w:rsidRPr="00247C05">
        <w:rPr>
          <w:rtl/>
        </w:rPr>
        <w:t xml:space="preserve"> </w:t>
      </w:r>
    </w:p>
    <w:p w:rsidR="003037FB" w:rsidP="009050A0">
      <w:pPr>
        <w:pStyle w:val="ListParagraph"/>
        <w:numPr>
          <w:ilvl w:val="0"/>
          <w:numId w:val="13"/>
        </w:numPr>
        <w:spacing w:before="180" w:after="120" w:line="230" w:lineRule="exact"/>
        <w:contextualSpacing w:val="0"/>
        <w:jc w:val="both"/>
        <w:rPr>
          <w:rFonts w:ascii="Times New Roman" w:hAnsi="Times New Roman" w:cs="FrankRuehl"/>
          <w:sz w:val="20"/>
        </w:rPr>
      </w:pPr>
      <w:r w:rsidRPr="00EC77C1">
        <w:rPr>
          <w:rStyle w:val="Heading5Char"/>
          <w:rFonts w:ascii="Times New Roman" w:hAnsi="Times New Roman" w:cs="FrankRuehl" w:hint="cs"/>
          <w:spacing w:val="40"/>
          <w:sz w:val="20"/>
          <w:szCs w:val="22"/>
          <w:rtl/>
        </w:rPr>
        <w:t>תמחור:</w:t>
      </w:r>
      <w:r w:rsidRPr="00247C05">
        <w:rPr>
          <w:rFonts w:ascii="Times New Roman" w:hAnsi="Times New Roman" w:cs="FrankRuehl" w:hint="cs"/>
          <w:sz w:val="20"/>
          <w:rtl/>
        </w:rPr>
        <w:t xml:space="preserve"> נמצא</w:t>
      </w:r>
      <w:r w:rsidRPr="00247C05">
        <w:rPr>
          <w:rFonts w:ascii="Times New Roman" w:hAnsi="Times New Roman" w:cs="FrankRuehl"/>
          <w:sz w:val="20"/>
          <w:rtl/>
        </w:rPr>
        <w:t xml:space="preserve"> </w:t>
      </w:r>
      <w:r w:rsidRPr="00247C05">
        <w:rPr>
          <w:rFonts w:ascii="Times New Roman" w:hAnsi="Times New Roman" w:cs="FrankRuehl" w:hint="cs"/>
          <w:sz w:val="20"/>
          <w:rtl/>
        </w:rPr>
        <w:t>כי</w:t>
      </w:r>
      <w:r w:rsidRPr="00247C05">
        <w:rPr>
          <w:rFonts w:ascii="Times New Roman" w:hAnsi="Times New Roman" w:cs="FrankRuehl"/>
          <w:sz w:val="20"/>
          <w:rtl/>
        </w:rPr>
        <w:t xml:space="preserve"> </w:t>
      </w:r>
      <w:r w:rsidRPr="00247C05">
        <w:rPr>
          <w:rFonts w:ascii="Times New Roman" w:hAnsi="Times New Roman" w:cs="FrankRuehl" w:hint="cs"/>
          <w:sz w:val="20"/>
          <w:rtl/>
        </w:rPr>
        <w:t>תמחור</w:t>
      </w:r>
      <w:r w:rsidRPr="00247C05">
        <w:rPr>
          <w:rFonts w:ascii="Times New Roman" w:hAnsi="Times New Roman" w:cs="FrankRuehl"/>
          <w:sz w:val="20"/>
          <w:rtl/>
        </w:rPr>
        <w:t xml:space="preserve"> </w:t>
      </w:r>
      <w:r w:rsidRPr="00247C05">
        <w:rPr>
          <w:rFonts w:ascii="Times New Roman" w:hAnsi="Times New Roman" w:cs="FrankRuehl" w:hint="cs"/>
          <w:sz w:val="20"/>
          <w:rtl/>
        </w:rPr>
        <w:t>השירותים שהב"ה מעניקה לרשויות המקומיות משתנה</w:t>
      </w:r>
      <w:r w:rsidRPr="00247C05">
        <w:rPr>
          <w:rFonts w:ascii="Times New Roman" w:hAnsi="Times New Roman" w:cs="FrankRuehl"/>
          <w:sz w:val="20"/>
          <w:rtl/>
        </w:rPr>
        <w:t xml:space="preserve"> </w:t>
      </w:r>
      <w:r w:rsidRPr="00247C05">
        <w:rPr>
          <w:rFonts w:ascii="Times New Roman" w:hAnsi="Times New Roman" w:cs="FrankRuehl" w:hint="cs"/>
          <w:sz w:val="20"/>
          <w:rtl/>
        </w:rPr>
        <w:t>בין</w:t>
      </w:r>
      <w:r w:rsidRPr="00247C05">
        <w:rPr>
          <w:rFonts w:ascii="Times New Roman" w:hAnsi="Times New Roman" w:cs="FrankRuehl"/>
          <w:sz w:val="20"/>
          <w:rtl/>
        </w:rPr>
        <w:t xml:space="preserve"> </w:t>
      </w:r>
      <w:r w:rsidRPr="00247C05">
        <w:rPr>
          <w:rFonts w:ascii="Times New Roman" w:hAnsi="Times New Roman" w:cs="FrankRuehl" w:hint="cs"/>
          <w:sz w:val="20"/>
          <w:rtl/>
        </w:rPr>
        <w:t>במ</w:t>
      </w:r>
      <w:r w:rsidRPr="00247C05">
        <w:rPr>
          <w:rFonts w:ascii="Times New Roman" w:hAnsi="Times New Roman" w:cs="FrankRuehl"/>
          <w:sz w:val="20"/>
          <w:rtl/>
        </w:rPr>
        <w:t>"</w:t>
      </w:r>
      <w:r w:rsidRPr="00247C05">
        <w:rPr>
          <w:rFonts w:ascii="Times New Roman" w:hAnsi="Times New Roman" w:cs="FrankRuehl" w:hint="cs"/>
          <w:sz w:val="20"/>
          <w:rtl/>
        </w:rPr>
        <w:t>ש</w:t>
      </w:r>
      <w:r w:rsidRPr="00247C05">
        <w:rPr>
          <w:rFonts w:ascii="Times New Roman" w:hAnsi="Times New Roman" w:cs="FrankRuehl"/>
          <w:sz w:val="20"/>
          <w:rtl/>
        </w:rPr>
        <w:t xml:space="preserve"> </w:t>
      </w:r>
      <w:r w:rsidRPr="00247C05">
        <w:rPr>
          <w:rFonts w:ascii="Times New Roman" w:hAnsi="Times New Roman" w:cs="FrankRuehl" w:hint="cs"/>
          <w:sz w:val="20"/>
          <w:rtl/>
        </w:rPr>
        <w:t>עמ</w:t>
      </w:r>
      <w:r w:rsidRPr="00247C05">
        <w:rPr>
          <w:rFonts w:ascii="Times New Roman" w:hAnsi="Times New Roman" w:cs="FrankRuehl"/>
          <w:sz w:val="20"/>
          <w:rtl/>
        </w:rPr>
        <w:t>"</w:t>
      </w:r>
      <w:r w:rsidRPr="00247C05">
        <w:rPr>
          <w:rFonts w:ascii="Times New Roman" w:hAnsi="Times New Roman" w:cs="FrankRuehl" w:hint="cs"/>
          <w:sz w:val="20"/>
          <w:rtl/>
        </w:rPr>
        <w:t>ק</w:t>
      </w:r>
      <w:r w:rsidRPr="00247C05">
        <w:rPr>
          <w:rFonts w:ascii="Times New Roman" w:hAnsi="Times New Roman" w:cs="FrankRuehl"/>
          <w:sz w:val="20"/>
          <w:rtl/>
        </w:rPr>
        <w:t xml:space="preserve"> </w:t>
      </w:r>
      <w:r w:rsidRPr="00247C05">
        <w:rPr>
          <w:rFonts w:ascii="Times New Roman" w:hAnsi="Times New Roman" w:cs="FrankRuehl" w:hint="cs"/>
          <w:sz w:val="20"/>
          <w:rtl/>
        </w:rPr>
        <w:t>השונים.</w:t>
      </w:r>
      <w:r w:rsidRPr="00247C05">
        <w:rPr>
          <w:rFonts w:ascii="Times New Roman" w:hAnsi="Times New Roman" w:cs="FrankRuehl"/>
          <w:sz w:val="20"/>
          <w:rtl/>
        </w:rPr>
        <w:t xml:space="preserve"> </w:t>
      </w:r>
    </w:p>
    <w:tbl>
      <w:tblPr>
        <w:bidiVisual/>
        <w:tblW w:w="7031" w:type="dxa"/>
        <w:tblLook w:val="04A0"/>
      </w:tblPr>
      <w:tblGrid>
        <w:gridCol w:w="340"/>
        <w:gridCol w:w="369"/>
        <w:gridCol w:w="6322"/>
      </w:tblGrid>
      <w:tr w:rsidTr="00010DC5">
        <w:tblPrEx>
          <w:tblW w:w="7031" w:type="dxa"/>
          <w:tblLook w:val="04A0"/>
        </w:tblPrEx>
        <w:tc>
          <w:tcPr>
            <w:tcW w:w="340" w:type="dxa"/>
          </w:tcPr>
          <w:p w:rsidR="0058012C" w:rsidRPr="0001521E" w:rsidP="00010DC5">
            <w:pPr>
              <w:spacing w:before="100" w:after="240" w:line="230" w:lineRule="exact"/>
              <w:rPr>
                <w:rFonts w:cs="FrankRuehl"/>
                <w:sz w:val="20"/>
                <w:szCs w:val="22"/>
                <w:rtl/>
              </w:rPr>
            </w:pPr>
          </w:p>
        </w:tc>
        <w:tc>
          <w:tcPr>
            <w:tcW w:w="369" w:type="dxa"/>
            <w:shd w:val="clear" w:color="auto" w:fill="auto"/>
          </w:tcPr>
          <w:p w:rsidR="0058012C" w:rsidRPr="00EA2B00" w:rsidP="00010DC5">
            <w:pPr>
              <w:spacing w:before="100" w:line="230" w:lineRule="exact"/>
              <w:rPr>
                <w:rFonts w:cs="FrankRuehl"/>
                <w:sz w:val="20"/>
                <w:szCs w:val="22"/>
                <w:highlight w:val="green"/>
                <w:rtl/>
              </w:rPr>
            </w:pPr>
            <w:r w:rsidRPr="00BC31A8">
              <w:rPr>
                <w:rFonts w:cs="FrankRuehl" w:hint="cs"/>
                <w:sz w:val="20"/>
                <w:szCs w:val="22"/>
                <w:rtl/>
              </w:rPr>
              <w:t>א.</w:t>
            </w:r>
          </w:p>
        </w:tc>
        <w:tc>
          <w:tcPr>
            <w:tcW w:w="0" w:type="auto"/>
            <w:shd w:val="clear" w:color="auto" w:fill="auto"/>
          </w:tcPr>
          <w:p w:rsidR="0058012C" w:rsidP="00010DC5">
            <w:pPr>
              <w:pStyle w:val="RESHET"/>
              <w:rPr>
                <w:rtl/>
              </w:rPr>
            </w:pPr>
            <w:r w:rsidRPr="0058012C">
              <w:rPr>
                <w:rFonts w:eastAsia="Calibri" w:hint="cs"/>
                <w:rtl/>
              </w:rPr>
              <w:t>נמצא כי</w:t>
            </w:r>
            <w:r w:rsidRPr="0058012C">
              <w:rPr>
                <w:rFonts w:eastAsia="Calibri"/>
                <w:rtl/>
              </w:rPr>
              <w:t xml:space="preserve"> </w:t>
            </w:r>
            <w:r w:rsidRPr="0058012C">
              <w:rPr>
                <w:rFonts w:eastAsia="Calibri" w:hint="cs"/>
                <w:rtl/>
              </w:rPr>
              <w:t>מכל</w:t>
            </w:r>
            <w:r w:rsidRPr="0058012C">
              <w:rPr>
                <w:rFonts w:eastAsia="Calibri"/>
                <w:rtl/>
              </w:rPr>
              <w:t xml:space="preserve"> </w:t>
            </w:r>
            <w:r w:rsidRPr="0058012C">
              <w:rPr>
                <w:rFonts w:eastAsia="Calibri" w:hint="cs"/>
                <w:rtl/>
              </w:rPr>
              <w:t>בתי המשפט</w:t>
            </w:r>
            <w:r w:rsidRPr="0058012C">
              <w:rPr>
                <w:rFonts w:eastAsia="Calibri"/>
                <w:rtl/>
              </w:rPr>
              <w:t xml:space="preserve"> </w:t>
            </w:r>
            <w:r w:rsidRPr="0058012C">
              <w:rPr>
                <w:rFonts w:eastAsia="Calibri" w:hint="cs"/>
                <w:rtl/>
              </w:rPr>
              <w:t>עמ</w:t>
            </w:r>
            <w:r w:rsidRPr="0058012C">
              <w:rPr>
                <w:rFonts w:eastAsia="Calibri"/>
                <w:rtl/>
              </w:rPr>
              <w:t>"</w:t>
            </w:r>
            <w:r w:rsidRPr="0058012C">
              <w:rPr>
                <w:rFonts w:eastAsia="Calibri" w:hint="cs"/>
                <w:rtl/>
              </w:rPr>
              <w:t>ק</w:t>
            </w:r>
            <w:r w:rsidRPr="0058012C">
              <w:rPr>
                <w:rFonts w:eastAsia="Calibri"/>
                <w:rtl/>
              </w:rPr>
              <w:t xml:space="preserve"> </w:t>
            </w:r>
            <w:r w:rsidRPr="0058012C">
              <w:rPr>
                <w:rFonts w:eastAsia="Calibri" w:hint="cs"/>
                <w:rtl/>
              </w:rPr>
              <w:t>הפועלים בתוך</w:t>
            </w:r>
            <w:r w:rsidRPr="0058012C">
              <w:rPr>
                <w:rFonts w:eastAsia="Calibri"/>
                <w:rtl/>
              </w:rPr>
              <w:t xml:space="preserve"> </w:t>
            </w:r>
            <w:r w:rsidRPr="0058012C">
              <w:rPr>
                <w:rFonts w:eastAsia="Calibri" w:hint="cs"/>
                <w:rtl/>
              </w:rPr>
              <w:t>מבני</w:t>
            </w:r>
            <w:r w:rsidRPr="0058012C">
              <w:rPr>
                <w:rFonts w:eastAsia="Calibri"/>
                <w:rtl/>
              </w:rPr>
              <w:t xml:space="preserve"> </w:t>
            </w:r>
            <w:r w:rsidRPr="0058012C">
              <w:rPr>
                <w:rFonts w:eastAsia="Calibri" w:hint="cs"/>
                <w:rtl/>
              </w:rPr>
              <w:t>בתי</w:t>
            </w:r>
            <w:r w:rsidRPr="0058012C">
              <w:rPr>
                <w:rFonts w:eastAsia="Calibri"/>
                <w:rtl/>
              </w:rPr>
              <w:t xml:space="preserve"> </w:t>
            </w:r>
            <w:r w:rsidRPr="0058012C">
              <w:rPr>
                <w:rFonts w:eastAsia="Calibri" w:hint="cs"/>
                <w:rtl/>
              </w:rPr>
              <w:t>המשפט</w:t>
            </w:r>
            <w:r w:rsidRPr="0058012C">
              <w:rPr>
                <w:rFonts w:eastAsia="Calibri"/>
                <w:rtl/>
              </w:rPr>
              <w:t xml:space="preserve">, </w:t>
            </w:r>
            <w:r w:rsidRPr="0058012C">
              <w:rPr>
                <w:rFonts w:eastAsia="Calibri" w:hint="cs"/>
                <w:rtl/>
              </w:rPr>
              <w:t>רק</w:t>
            </w:r>
            <w:r w:rsidRPr="0058012C">
              <w:rPr>
                <w:rFonts w:eastAsia="Calibri"/>
                <w:rtl/>
              </w:rPr>
              <w:t xml:space="preserve"> </w:t>
            </w:r>
            <w:r w:rsidRPr="0058012C">
              <w:rPr>
                <w:rFonts w:eastAsia="Calibri" w:hint="cs"/>
                <w:rtl/>
              </w:rPr>
              <w:t>במ</w:t>
            </w:r>
            <w:r w:rsidRPr="0058012C">
              <w:rPr>
                <w:rFonts w:eastAsia="Calibri"/>
                <w:rtl/>
              </w:rPr>
              <w:t>"</w:t>
            </w:r>
            <w:r w:rsidRPr="0058012C">
              <w:rPr>
                <w:rFonts w:eastAsia="Calibri" w:hint="cs"/>
                <w:rtl/>
              </w:rPr>
              <w:t>ש</w:t>
            </w:r>
            <w:r w:rsidRPr="0058012C">
              <w:rPr>
                <w:rFonts w:eastAsia="Calibri"/>
                <w:rtl/>
              </w:rPr>
              <w:t xml:space="preserve"> </w:t>
            </w:r>
            <w:r w:rsidRPr="0058012C">
              <w:rPr>
                <w:rFonts w:eastAsia="Calibri" w:hint="cs"/>
                <w:rtl/>
              </w:rPr>
              <w:t>עמ</w:t>
            </w:r>
            <w:r w:rsidRPr="0058012C">
              <w:rPr>
                <w:rFonts w:eastAsia="Calibri"/>
                <w:rtl/>
              </w:rPr>
              <w:t>"</w:t>
            </w:r>
            <w:r w:rsidRPr="0058012C">
              <w:rPr>
                <w:rFonts w:eastAsia="Calibri" w:hint="cs"/>
                <w:rtl/>
              </w:rPr>
              <w:t>ק</w:t>
            </w:r>
            <w:r w:rsidRPr="0058012C">
              <w:rPr>
                <w:rFonts w:eastAsia="Calibri"/>
                <w:rtl/>
              </w:rPr>
              <w:t xml:space="preserve"> </w:t>
            </w:r>
            <w:r w:rsidRPr="0058012C">
              <w:rPr>
                <w:rFonts w:eastAsia="Calibri" w:hint="cs"/>
                <w:rtl/>
              </w:rPr>
              <w:t>הרצליה</w:t>
            </w:r>
            <w:r w:rsidRPr="0058012C">
              <w:rPr>
                <w:rFonts w:eastAsia="Calibri"/>
                <w:rtl/>
              </w:rPr>
              <w:t xml:space="preserve"> </w:t>
            </w:r>
            <w:r w:rsidRPr="0058012C">
              <w:rPr>
                <w:rFonts w:eastAsia="Calibri" w:hint="cs"/>
                <w:rtl/>
              </w:rPr>
              <w:t>וראשון לציון</w:t>
            </w:r>
            <w:r w:rsidRPr="0058012C">
              <w:rPr>
                <w:rFonts w:eastAsia="Calibri"/>
                <w:rtl/>
              </w:rPr>
              <w:t xml:space="preserve"> </w:t>
            </w:r>
            <w:r w:rsidRPr="0058012C">
              <w:rPr>
                <w:rFonts w:eastAsia="Calibri" w:hint="cs"/>
                <w:rtl/>
              </w:rPr>
              <w:t>משלמים</w:t>
            </w:r>
            <w:r w:rsidRPr="0058012C">
              <w:rPr>
                <w:rFonts w:eastAsia="Calibri"/>
                <w:rtl/>
              </w:rPr>
              <w:t xml:space="preserve"> </w:t>
            </w:r>
            <w:r w:rsidRPr="0058012C">
              <w:rPr>
                <w:rFonts w:eastAsia="Calibri" w:hint="cs"/>
                <w:rtl/>
              </w:rPr>
              <w:t>להב</w:t>
            </w:r>
            <w:r w:rsidRPr="0058012C">
              <w:rPr>
                <w:rFonts w:eastAsia="Calibri"/>
                <w:rtl/>
              </w:rPr>
              <w:t>"</w:t>
            </w:r>
            <w:r w:rsidRPr="0058012C">
              <w:rPr>
                <w:rFonts w:eastAsia="Calibri" w:hint="cs"/>
                <w:rtl/>
              </w:rPr>
              <w:t>ה</w:t>
            </w:r>
            <w:r w:rsidRPr="0058012C">
              <w:rPr>
                <w:rFonts w:eastAsia="Calibri"/>
                <w:rtl/>
              </w:rPr>
              <w:t xml:space="preserve"> </w:t>
            </w:r>
            <w:r w:rsidRPr="0058012C">
              <w:rPr>
                <w:rFonts w:eastAsia="Calibri" w:hint="cs"/>
                <w:rtl/>
              </w:rPr>
              <w:t>עבור</w:t>
            </w:r>
            <w:r w:rsidRPr="0058012C">
              <w:rPr>
                <w:rFonts w:eastAsia="Calibri"/>
                <w:rtl/>
              </w:rPr>
              <w:t xml:space="preserve"> </w:t>
            </w:r>
            <w:r w:rsidRPr="0058012C">
              <w:rPr>
                <w:rFonts w:eastAsia="Calibri" w:hint="cs"/>
                <w:rtl/>
              </w:rPr>
              <w:t>הוצאות</w:t>
            </w:r>
            <w:r w:rsidRPr="0058012C">
              <w:rPr>
                <w:rFonts w:eastAsia="Calibri"/>
                <w:rtl/>
              </w:rPr>
              <w:t xml:space="preserve"> </w:t>
            </w:r>
            <w:r w:rsidRPr="0058012C">
              <w:rPr>
                <w:rFonts w:eastAsia="Calibri" w:hint="cs"/>
                <w:rtl/>
              </w:rPr>
              <w:t>תפעול</w:t>
            </w:r>
            <w:r w:rsidRPr="0058012C">
              <w:rPr>
                <w:rFonts w:eastAsia="Calibri"/>
                <w:rtl/>
              </w:rPr>
              <w:t xml:space="preserve"> </w:t>
            </w:r>
            <w:r w:rsidRPr="0058012C">
              <w:rPr>
                <w:rFonts w:eastAsia="Calibri" w:hint="cs"/>
                <w:rtl/>
              </w:rPr>
              <w:t>יחסיות.</w:t>
            </w:r>
          </w:p>
        </w:tc>
      </w:tr>
      <w:tr w:rsidTr="00010DC5">
        <w:tblPrEx>
          <w:tblW w:w="7031" w:type="dxa"/>
          <w:tblLook w:val="04A0"/>
        </w:tblPrEx>
        <w:tc>
          <w:tcPr>
            <w:tcW w:w="340" w:type="dxa"/>
          </w:tcPr>
          <w:p w:rsidR="0058012C" w:rsidRPr="0001521E" w:rsidP="00010DC5">
            <w:pPr>
              <w:spacing w:before="100" w:after="240" w:line="230" w:lineRule="exact"/>
              <w:rPr>
                <w:rFonts w:cs="FrankRuehl"/>
                <w:sz w:val="20"/>
                <w:szCs w:val="22"/>
                <w:rtl/>
              </w:rPr>
            </w:pPr>
          </w:p>
        </w:tc>
        <w:tc>
          <w:tcPr>
            <w:tcW w:w="369" w:type="dxa"/>
            <w:shd w:val="clear" w:color="auto" w:fill="auto"/>
          </w:tcPr>
          <w:p w:rsidR="0058012C" w:rsidRPr="00BC31A8" w:rsidP="00010DC5">
            <w:pPr>
              <w:spacing w:before="100" w:line="230" w:lineRule="exact"/>
              <w:rPr>
                <w:rFonts w:cs="FrankRuehl"/>
                <w:sz w:val="20"/>
                <w:szCs w:val="22"/>
                <w:rtl/>
              </w:rPr>
            </w:pPr>
            <w:r>
              <w:rPr>
                <w:rFonts w:cs="FrankRuehl" w:hint="cs"/>
                <w:sz w:val="20"/>
                <w:szCs w:val="22"/>
                <w:rtl/>
              </w:rPr>
              <w:t>ב.</w:t>
            </w:r>
          </w:p>
        </w:tc>
        <w:tc>
          <w:tcPr>
            <w:tcW w:w="0" w:type="auto"/>
            <w:shd w:val="clear" w:color="auto" w:fill="auto"/>
          </w:tcPr>
          <w:p w:rsidR="0058012C" w:rsidP="00010DC5">
            <w:pPr>
              <w:pStyle w:val="RESHET"/>
              <w:rPr>
                <w:rFonts w:eastAsia="Calibri"/>
                <w:rtl/>
              </w:rPr>
            </w:pPr>
            <w:r w:rsidRPr="0058012C">
              <w:rPr>
                <w:rFonts w:eastAsia="Calibri" w:hint="cs"/>
                <w:rtl/>
              </w:rPr>
              <w:t>נמצא כי הב"ה ועיריית באר שבע סיכמו על מודל חיוב ייחודי כללי (גלובלי), ולפיו עיריית באר שבע משלמת להב"ה סכום שנתי קבוע "לשם כיסוי כל ההוצאות הכרוכות בהפעלת בית משפט לעניינים מקומיים". הסכום כולל, בין היתר "שירותי שפיטה" והוצאות תפעול יחסיות. זאת - בניגוד</w:t>
            </w:r>
            <w:r w:rsidRPr="0058012C">
              <w:rPr>
                <w:rFonts w:eastAsia="Calibri"/>
                <w:rtl/>
              </w:rPr>
              <w:t xml:space="preserve"> </w:t>
            </w:r>
            <w:r w:rsidRPr="0058012C">
              <w:rPr>
                <w:rFonts w:eastAsia="Calibri" w:hint="cs"/>
                <w:rtl/>
              </w:rPr>
              <w:t>לתחשיב</w:t>
            </w:r>
            <w:r w:rsidRPr="0058012C">
              <w:rPr>
                <w:rFonts w:eastAsia="Calibri"/>
                <w:rtl/>
              </w:rPr>
              <w:t xml:space="preserve"> </w:t>
            </w:r>
            <w:r w:rsidRPr="0058012C">
              <w:rPr>
                <w:rFonts w:eastAsia="Calibri" w:hint="cs"/>
                <w:rtl/>
              </w:rPr>
              <w:t>המבוסס</w:t>
            </w:r>
            <w:r w:rsidRPr="0058012C">
              <w:rPr>
                <w:rFonts w:eastAsia="Calibri"/>
                <w:rtl/>
              </w:rPr>
              <w:t xml:space="preserve"> </w:t>
            </w:r>
            <w:r w:rsidRPr="0058012C">
              <w:rPr>
                <w:rFonts w:eastAsia="Calibri" w:hint="cs"/>
                <w:rtl/>
              </w:rPr>
              <w:t>על ימי</w:t>
            </w:r>
            <w:r w:rsidRPr="0058012C">
              <w:rPr>
                <w:rFonts w:eastAsia="Calibri"/>
                <w:rtl/>
              </w:rPr>
              <w:t xml:space="preserve"> </w:t>
            </w:r>
            <w:r w:rsidRPr="0058012C">
              <w:rPr>
                <w:rFonts w:eastAsia="Calibri" w:hint="cs"/>
                <w:rtl/>
              </w:rPr>
              <w:t>שיפוט</w:t>
            </w:r>
            <w:r w:rsidRPr="0058012C">
              <w:rPr>
                <w:rFonts w:eastAsia="Calibri"/>
                <w:rtl/>
              </w:rPr>
              <w:t xml:space="preserve"> </w:t>
            </w:r>
            <w:r w:rsidRPr="0058012C">
              <w:rPr>
                <w:rFonts w:eastAsia="Calibri" w:hint="cs"/>
                <w:rtl/>
              </w:rPr>
              <w:t>שנערך</w:t>
            </w:r>
            <w:r w:rsidRPr="0058012C">
              <w:rPr>
                <w:rFonts w:eastAsia="Calibri"/>
                <w:rtl/>
              </w:rPr>
              <w:t xml:space="preserve"> </w:t>
            </w:r>
            <w:r w:rsidRPr="0058012C">
              <w:rPr>
                <w:rFonts w:eastAsia="Calibri" w:hint="cs"/>
                <w:rtl/>
              </w:rPr>
              <w:t>ליתר</w:t>
            </w:r>
            <w:r w:rsidRPr="0058012C">
              <w:rPr>
                <w:rFonts w:eastAsia="Calibri"/>
                <w:rtl/>
              </w:rPr>
              <w:t xml:space="preserve"> </w:t>
            </w:r>
            <w:r w:rsidRPr="0058012C">
              <w:rPr>
                <w:rFonts w:eastAsia="Calibri" w:hint="cs"/>
                <w:rtl/>
              </w:rPr>
              <w:t>במ</w:t>
            </w:r>
            <w:r w:rsidRPr="0058012C">
              <w:rPr>
                <w:rFonts w:eastAsia="Calibri"/>
                <w:rtl/>
              </w:rPr>
              <w:t>"</w:t>
            </w:r>
            <w:r w:rsidRPr="0058012C">
              <w:rPr>
                <w:rFonts w:eastAsia="Calibri" w:hint="cs"/>
                <w:rtl/>
              </w:rPr>
              <w:t>ש</w:t>
            </w:r>
            <w:r w:rsidRPr="0058012C">
              <w:rPr>
                <w:rFonts w:eastAsia="Calibri"/>
                <w:rtl/>
              </w:rPr>
              <w:t xml:space="preserve"> </w:t>
            </w:r>
            <w:r w:rsidRPr="0058012C">
              <w:rPr>
                <w:rFonts w:eastAsia="Calibri" w:hint="cs"/>
                <w:rtl/>
              </w:rPr>
              <w:t>עמ</w:t>
            </w:r>
            <w:r w:rsidRPr="0058012C">
              <w:rPr>
                <w:rFonts w:eastAsia="Calibri"/>
                <w:rtl/>
              </w:rPr>
              <w:t>"</w:t>
            </w:r>
            <w:r w:rsidRPr="0058012C">
              <w:rPr>
                <w:rFonts w:eastAsia="Calibri" w:hint="cs"/>
                <w:rtl/>
              </w:rPr>
              <w:t>ק</w:t>
            </w:r>
            <w:r w:rsidRPr="0058012C">
              <w:rPr>
                <w:rFonts w:eastAsia="Calibri"/>
                <w:rtl/>
              </w:rPr>
              <w:t xml:space="preserve">. </w:t>
            </w:r>
            <w:r w:rsidRPr="0058012C">
              <w:rPr>
                <w:rFonts w:eastAsia="Calibri" w:hint="cs"/>
                <w:rtl/>
              </w:rPr>
              <w:t>המודל נקבע לאחר שבמשך שנות הפעילות של במ"ש עמ"ק בבאר שבע נתגלעו חילוקי דעות כספיים בין העירייה ובין הב"ה, והיא נאלצה לנהל משא ומתן עם העירייה ולהתפשר על גובה החוב.</w:t>
            </w:r>
          </w:p>
        </w:tc>
      </w:tr>
    </w:tbl>
    <w:p w:rsidR="003037FB" w:rsidRPr="00247C05" w:rsidP="0058012C">
      <w:pPr>
        <w:pStyle w:val="RESHET"/>
        <w:keepLines/>
        <w:ind w:left="567"/>
        <w:rPr>
          <w:rtl/>
        </w:rPr>
      </w:pPr>
      <w:r w:rsidRPr="00247C05">
        <w:rPr>
          <w:rFonts w:hint="cs"/>
          <w:rtl/>
        </w:rPr>
        <w:t xml:space="preserve">לדעת משרד מבקר המדינה, על הב"ה והרשויות לחתום על הסכם אחיד ומקיף שיסדיר את כל ההתחשבנות הכספית ביניהן. יש לנסח את ההסכם באופן שיקל על הב"ה ועל הרשויות המקומיות את ניהול ההתחשבנויות ביניהן, כך שבסופו של דבר יצומצמו אי-ההסכמות ביניהם על סעיפי החיוב ועל התחשיבים בגינם. </w:t>
      </w:r>
    </w:p>
    <w:p w:rsidR="003037FB" w:rsidRPr="00247C05" w:rsidP="0058012C">
      <w:pPr>
        <w:spacing w:before="180" w:after="120" w:line="230" w:lineRule="exact"/>
        <w:jc w:val="both"/>
        <w:rPr>
          <w:rFonts w:cs="FrankRuehl"/>
          <w:sz w:val="20"/>
          <w:szCs w:val="22"/>
          <w:rtl/>
        </w:rPr>
      </w:pPr>
      <w:r w:rsidRPr="00247C05">
        <w:rPr>
          <w:rFonts w:cs="FrankRuehl" w:hint="cs"/>
          <w:sz w:val="20"/>
          <w:szCs w:val="22"/>
          <w:rtl/>
        </w:rPr>
        <w:t>הב"ה השיבה ביחס לממצאים הנוגעים לממשקים</w:t>
      </w:r>
      <w:r w:rsidRPr="00247C05">
        <w:rPr>
          <w:rFonts w:cs="FrankRuehl"/>
          <w:sz w:val="20"/>
          <w:szCs w:val="22"/>
          <w:rtl/>
        </w:rPr>
        <w:t xml:space="preserve"> </w:t>
      </w:r>
      <w:r w:rsidRPr="00247C05">
        <w:rPr>
          <w:rFonts w:cs="FrankRuehl" w:hint="cs"/>
          <w:sz w:val="20"/>
          <w:szCs w:val="22"/>
          <w:rtl/>
        </w:rPr>
        <w:t>הכספיים</w:t>
      </w:r>
      <w:r w:rsidRPr="00247C05">
        <w:rPr>
          <w:rFonts w:cs="FrankRuehl"/>
          <w:sz w:val="20"/>
          <w:szCs w:val="22"/>
          <w:rtl/>
        </w:rPr>
        <w:t xml:space="preserve"> </w:t>
      </w:r>
      <w:r w:rsidRPr="00247C05">
        <w:rPr>
          <w:rFonts w:cs="FrankRuehl" w:hint="cs"/>
          <w:sz w:val="20"/>
          <w:szCs w:val="22"/>
          <w:rtl/>
        </w:rPr>
        <w:t>עם הרשויות</w:t>
      </w:r>
      <w:r w:rsidRPr="00247C05">
        <w:rPr>
          <w:rFonts w:cs="FrankRuehl"/>
          <w:sz w:val="20"/>
          <w:szCs w:val="22"/>
          <w:rtl/>
        </w:rPr>
        <w:t xml:space="preserve"> </w:t>
      </w:r>
      <w:r w:rsidRPr="00247C05">
        <w:rPr>
          <w:rFonts w:cs="FrankRuehl" w:hint="cs"/>
          <w:sz w:val="20"/>
          <w:szCs w:val="22"/>
          <w:rtl/>
        </w:rPr>
        <w:t>המקומיות, כי</w:t>
      </w:r>
      <w:r w:rsidRPr="00247C05">
        <w:rPr>
          <w:rFonts w:cs="FrankRuehl"/>
          <w:sz w:val="20"/>
          <w:szCs w:val="22"/>
          <w:rtl/>
        </w:rPr>
        <w:t xml:space="preserve"> </w:t>
      </w:r>
      <w:r w:rsidRPr="00247C05">
        <w:rPr>
          <w:rFonts w:cs="FrankRuehl" w:hint="cs"/>
          <w:sz w:val="20"/>
          <w:szCs w:val="22"/>
          <w:rtl/>
        </w:rPr>
        <w:t xml:space="preserve">מוטלת עליה האחריות לניהול המערך השיפוטי של במ"ש עמ"ק בלי שנקבעו לשם כך כללים ואמות מידה, לרבות נושאים של תקצוב, מימון ותפעול בתי המשפט. במצב זה נקבעו "בלית ברירה" הסדרים שונים עם הרשויות המקומיות. הב"ה סבורה, כי ההתנהלות תחת אילוצים אלה אינה מיטבית וכי </w:t>
      </w:r>
      <w:r w:rsidRPr="00247C05">
        <w:rPr>
          <w:rFonts w:cs="FrankRuehl" w:hint="cs"/>
          <w:sz w:val="20"/>
          <w:szCs w:val="22"/>
          <w:rtl/>
        </w:rPr>
        <w:t>היא עשתה ככל יכולתה לבצע את המוטל עליה. היא חזרה על עמדתה שיש צורך בשינוי מבני יסודי של מערך בתי המשפט עמ"ק או לעגן בחקיקה</w:t>
      </w:r>
      <w:r w:rsidRPr="00247C05">
        <w:rPr>
          <w:rFonts w:cs="FrankRuehl"/>
          <w:sz w:val="20"/>
          <w:szCs w:val="22"/>
          <w:rtl/>
        </w:rPr>
        <w:t xml:space="preserve"> כללים ברורים להתנהלות</w:t>
      </w:r>
      <w:r w:rsidRPr="00247C05">
        <w:rPr>
          <w:rFonts w:cs="FrankRuehl" w:hint="cs"/>
          <w:sz w:val="20"/>
          <w:szCs w:val="22"/>
          <w:rtl/>
        </w:rPr>
        <w:t>.</w:t>
      </w:r>
    </w:p>
    <w:p w:rsidR="003037FB" w:rsidRPr="00247C05" w:rsidP="00040DAE">
      <w:pPr>
        <w:tabs>
          <w:tab w:val="left" w:pos="0"/>
        </w:tabs>
        <w:spacing w:after="120" w:line="230" w:lineRule="exact"/>
        <w:jc w:val="both"/>
        <w:rPr>
          <w:rFonts w:cs="FrankRuehl"/>
          <w:b/>
          <w:sz w:val="20"/>
          <w:szCs w:val="22"/>
          <w:rtl/>
        </w:rPr>
      </w:pPr>
      <w:r w:rsidRPr="00247C05">
        <w:rPr>
          <w:rFonts w:cs="FrankRuehl" w:hint="cs"/>
          <w:b/>
          <w:sz w:val="20"/>
          <w:szCs w:val="22"/>
          <w:rtl/>
        </w:rPr>
        <w:t xml:space="preserve">בתשובת משרד המשפטים נמסר, כי יש לנתק את הממשק הכספי שבין הב"ה לרשויות המקומיות, ולהקפיד על היעדר זיקה ומניעת התדיינויות על תשלומים עבור ימי שיפוט בין הב"ה לרשויות המקומיות. לפי משרד המשפטים, על הב"ה לנהוג באופן שוויוני ואחיד בכלל ההסכמים שנחתמים בינה ובין הרשויות המקומיות להסדרת חיובים שונים.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בתשובת משרד הפנים למשרד מבקר המדינה נאמר, כי הוא מוכן לסייע להב"ה ולרשויות המקומיות לבחון את מודל ההתקשרות ביניהם. ואולם המשרד פועל רק כגוף טכני לצורך העברת כספים ועל כן כל שינוי במודל האמור טעון הסכמה בין הצדדים. </w:t>
      </w:r>
    </w:p>
    <w:p w:rsidR="003037FB" w:rsidRPr="00247C05" w:rsidP="0058012C">
      <w:pPr>
        <w:spacing w:after="240" w:line="230" w:lineRule="exact"/>
        <w:jc w:val="both"/>
        <w:rPr>
          <w:rFonts w:cs="FrankRuehl"/>
          <w:sz w:val="20"/>
          <w:szCs w:val="22"/>
          <w:rtl/>
        </w:rPr>
      </w:pPr>
      <w:r w:rsidRPr="00247C05">
        <w:rPr>
          <w:rFonts w:cs="FrankRuehl" w:hint="cs"/>
          <w:sz w:val="20"/>
          <w:szCs w:val="22"/>
          <w:rtl/>
        </w:rPr>
        <w:t xml:space="preserve">מרכז השלטון המקומי מסר בתשובתו למשרד מבקר המדינה, כי הוא תומך במסקנות ועדת זמיר כפי שהתקבלו בבג"ץ קארשי, לרבות השקעה במערכת מחשוב, אבטחה, הפרדת מערכת גבייה, הדרכת עובדים וכיוצ"ב. ואולם לעמדת מרכז השלטון המקומי, לכל אלו נדרשים תקציבים שאינם זמינים לרשויות המקומיות. </w:t>
      </w:r>
    </w:p>
    <w:p w:rsidR="003037FB" w:rsidRPr="00247C05" w:rsidP="0058012C">
      <w:pPr>
        <w:pStyle w:val="RESHET"/>
        <w:keepLines/>
        <w:rPr>
          <w:rtl/>
        </w:rPr>
      </w:pPr>
      <w:r w:rsidRPr="00247C05">
        <w:rPr>
          <w:rtl/>
        </w:rPr>
        <w:t xml:space="preserve">משרד מבקר המדינה מדגיש, כי יש להקפיד הקפדה יתרה על ניתוק הזיקה בין הרשות המקומית </w:t>
      </w:r>
      <w:r w:rsidRPr="00247C05">
        <w:rPr>
          <w:rFonts w:hint="cs"/>
          <w:rtl/>
        </w:rPr>
        <w:t>ו</w:t>
      </w:r>
      <w:r w:rsidRPr="00247C05">
        <w:rPr>
          <w:rtl/>
        </w:rPr>
        <w:t>בין המנגנון השיפוטי של בתי המשפט לעניינים מקומיים, ובכלל זה להקפיד על ה</w:t>
      </w:r>
      <w:r w:rsidRPr="00247C05">
        <w:rPr>
          <w:rFonts w:hint="cs"/>
          <w:rtl/>
        </w:rPr>
        <w:t>י</w:t>
      </w:r>
      <w:r w:rsidRPr="00247C05">
        <w:rPr>
          <w:rtl/>
        </w:rPr>
        <w:t>עדר זיקה</w:t>
      </w:r>
      <w:r w:rsidRPr="00247C05">
        <w:rPr>
          <w:rFonts w:hint="cs"/>
          <w:rtl/>
        </w:rPr>
        <w:t>, תלות</w:t>
      </w:r>
      <w:r w:rsidRPr="00247C05">
        <w:rPr>
          <w:rtl/>
        </w:rPr>
        <w:t xml:space="preserve"> ומניעת ה</w:t>
      </w:r>
      <w:r w:rsidRPr="00247C05">
        <w:rPr>
          <w:rFonts w:hint="cs"/>
          <w:rtl/>
        </w:rPr>
        <w:t>ת</w:t>
      </w:r>
      <w:r w:rsidRPr="00247C05">
        <w:rPr>
          <w:rtl/>
        </w:rPr>
        <w:t xml:space="preserve">דיינויות על </w:t>
      </w:r>
      <w:r w:rsidRPr="00247C05">
        <w:rPr>
          <w:rFonts w:hint="cs"/>
          <w:rtl/>
        </w:rPr>
        <w:t>התשלום</w:t>
      </w:r>
      <w:r w:rsidRPr="00247C05">
        <w:rPr>
          <w:rtl/>
        </w:rPr>
        <w:t xml:space="preserve"> </w:t>
      </w:r>
      <w:r w:rsidRPr="00247C05">
        <w:rPr>
          <w:rFonts w:hint="cs"/>
          <w:rtl/>
        </w:rPr>
        <w:t>עבור</w:t>
      </w:r>
      <w:r w:rsidRPr="00247C05">
        <w:rPr>
          <w:rtl/>
        </w:rPr>
        <w:t xml:space="preserve"> </w:t>
      </w:r>
      <w:r w:rsidRPr="00247C05">
        <w:rPr>
          <w:rFonts w:hint="cs"/>
          <w:rtl/>
        </w:rPr>
        <w:t>ימי</w:t>
      </w:r>
      <w:r w:rsidRPr="00247C05">
        <w:rPr>
          <w:rtl/>
        </w:rPr>
        <w:t xml:space="preserve"> </w:t>
      </w:r>
      <w:r w:rsidRPr="00247C05">
        <w:rPr>
          <w:rFonts w:hint="cs"/>
          <w:rtl/>
        </w:rPr>
        <w:t>שיפוט</w:t>
      </w:r>
      <w:r w:rsidRPr="00247C05">
        <w:rPr>
          <w:rtl/>
        </w:rPr>
        <w:t xml:space="preserve"> בין </w:t>
      </w:r>
      <w:r w:rsidRPr="00247C05">
        <w:rPr>
          <w:rFonts w:hint="cs"/>
          <w:rtl/>
        </w:rPr>
        <w:t>הב</w:t>
      </w:r>
      <w:r w:rsidRPr="00247C05">
        <w:rPr>
          <w:rtl/>
        </w:rPr>
        <w:t>"ה לרשויות המקומיות</w:t>
      </w:r>
      <w:r w:rsidRPr="00247C05">
        <w:rPr>
          <w:rFonts w:hint="cs"/>
          <w:rtl/>
        </w:rPr>
        <w:t>, ובייחוד בכל הנוגע לתמורה הראויה בגינם</w:t>
      </w:r>
      <w:r w:rsidRPr="00247C05">
        <w:rPr>
          <w:rtl/>
        </w:rPr>
        <w:t xml:space="preserve">. ראוי </w:t>
      </w:r>
      <w:r w:rsidRPr="00247C05">
        <w:rPr>
          <w:rFonts w:hint="cs"/>
          <w:rtl/>
        </w:rPr>
        <w:t>שהב</w:t>
      </w:r>
      <w:r w:rsidRPr="00247C05">
        <w:rPr>
          <w:rtl/>
        </w:rPr>
        <w:t xml:space="preserve">"ה </w:t>
      </w:r>
      <w:r w:rsidRPr="00247C05">
        <w:rPr>
          <w:rFonts w:hint="cs"/>
          <w:rtl/>
        </w:rPr>
        <w:t>בשיתוף</w:t>
      </w:r>
      <w:r w:rsidRPr="00247C05">
        <w:rPr>
          <w:rtl/>
        </w:rPr>
        <w:t xml:space="preserve"> </w:t>
      </w:r>
      <w:r w:rsidRPr="00247C05">
        <w:rPr>
          <w:rFonts w:hint="cs"/>
          <w:rtl/>
        </w:rPr>
        <w:t>משרד</w:t>
      </w:r>
      <w:r w:rsidRPr="00247C05">
        <w:rPr>
          <w:rtl/>
        </w:rPr>
        <w:t xml:space="preserve"> </w:t>
      </w:r>
      <w:r w:rsidRPr="00247C05">
        <w:rPr>
          <w:rFonts w:hint="cs"/>
          <w:rtl/>
        </w:rPr>
        <w:t>המשפטים</w:t>
      </w:r>
      <w:r w:rsidRPr="00247C05">
        <w:rPr>
          <w:rtl/>
        </w:rPr>
        <w:t xml:space="preserve">, </w:t>
      </w:r>
      <w:r w:rsidRPr="00247C05">
        <w:rPr>
          <w:rFonts w:hint="cs"/>
          <w:rtl/>
        </w:rPr>
        <w:t>משרד</w:t>
      </w:r>
      <w:r w:rsidRPr="00247C05">
        <w:rPr>
          <w:rtl/>
        </w:rPr>
        <w:t xml:space="preserve"> </w:t>
      </w:r>
      <w:r w:rsidRPr="00247C05">
        <w:rPr>
          <w:rFonts w:hint="cs"/>
          <w:rtl/>
        </w:rPr>
        <w:t>האוצר</w:t>
      </w:r>
      <w:r w:rsidRPr="00247C05">
        <w:rPr>
          <w:rtl/>
        </w:rPr>
        <w:t xml:space="preserve"> </w:t>
      </w:r>
      <w:r w:rsidRPr="00247C05">
        <w:rPr>
          <w:rFonts w:hint="cs"/>
          <w:rtl/>
        </w:rPr>
        <w:t>ומשרד</w:t>
      </w:r>
      <w:r w:rsidRPr="00247C05">
        <w:rPr>
          <w:rtl/>
        </w:rPr>
        <w:t xml:space="preserve"> </w:t>
      </w:r>
      <w:r w:rsidRPr="00247C05">
        <w:rPr>
          <w:rFonts w:hint="cs"/>
          <w:rtl/>
        </w:rPr>
        <w:t>הפנים</w:t>
      </w:r>
      <w:r w:rsidRPr="00247C05">
        <w:rPr>
          <w:rtl/>
        </w:rPr>
        <w:t xml:space="preserve">, </w:t>
      </w:r>
      <w:r w:rsidRPr="00247C05">
        <w:rPr>
          <w:rFonts w:hint="cs"/>
          <w:rtl/>
        </w:rPr>
        <w:t>יבחנו</w:t>
      </w:r>
      <w:r w:rsidRPr="00247C05">
        <w:rPr>
          <w:rtl/>
        </w:rPr>
        <w:t xml:space="preserve"> </w:t>
      </w:r>
      <w:r w:rsidRPr="00247C05">
        <w:rPr>
          <w:rFonts w:hint="cs"/>
          <w:rtl/>
        </w:rPr>
        <w:t>את</w:t>
      </w:r>
      <w:r w:rsidRPr="00247C05">
        <w:rPr>
          <w:rtl/>
        </w:rPr>
        <w:t xml:space="preserve"> </w:t>
      </w:r>
      <w:r w:rsidRPr="00247C05">
        <w:rPr>
          <w:rFonts w:hint="cs"/>
          <w:rtl/>
        </w:rPr>
        <w:t>הסדר התקצוב</w:t>
      </w:r>
      <w:r w:rsidRPr="00247C05">
        <w:rPr>
          <w:rtl/>
        </w:rPr>
        <w:t xml:space="preserve"> </w:t>
      </w:r>
      <w:r w:rsidRPr="00247C05">
        <w:rPr>
          <w:rFonts w:hint="cs"/>
          <w:rtl/>
        </w:rPr>
        <w:t>שהתקבע</w:t>
      </w:r>
      <w:r w:rsidRPr="00247C05">
        <w:rPr>
          <w:rtl/>
        </w:rPr>
        <w:t xml:space="preserve"> </w:t>
      </w:r>
      <w:r w:rsidRPr="00247C05">
        <w:rPr>
          <w:rFonts w:hint="cs"/>
          <w:rtl/>
        </w:rPr>
        <w:t>של</w:t>
      </w:r>
      <w:r w:rsidRPr="00247C05">
        <w:rPr>
          <w:rtl/>
        </w:rPr>
        <w:t xml:space="preserve"> קבלת תשלומים </w:t>
      </w:r>
      <w:r w:rsidRPr="00247C05">
        <w:rPr>
          <w:rFonts w:hint="cs"/>
          <w:rtl/>
        </w:rPr>
        <w:t>מ</w:t>
      </w:r>
      <w:r w:rsidRPr="00247C05">
        <w:rPr>
          <w:rtl/>
        </w:rPr>
        <w:t xml:space="preserve">הרשויות המקומיות </w:t>
      </w:r>
      <w:r w:rsidRPr="00247C05">
        <w:rPr>
          <w:rFonts w:hint="cs"/>
          <w:rtl/>
        </w:rPr>
        <w:t>בעבור</w:t>
      </w:r>
      <w:r w:rsidRPr="00247C05">
        <w:rPr>
          <w:rtl/>
        </w:rPr>
        <w:t xml:space="preserve"> </w:t>
      </w:r>
      <w:r w:rsidRPr="00247C05">
        <w:rPr>
          <w:rFonts w:hint="cs"/>
          <w:rtl/>
        </w:rPr>
        <w:t>כל השירותים</w:t>
      </w:r>
      <w:r w:rsidRPr="00247C05">
        <w:rPr>
          <w:rtl/>
        </w:rPr>
        <w:t xml:space="preserve"> </w:t>
      </w:r>
      <w:r w:rsidRPr="00247C05">
        <w:rPr>
          <w:rFonts w:hint="cs"/>
          <w:rtl/>
        </w:rPr>
        <w:t>שמספקת הב"ה</w:t>
      </w:r>
      <w:r w:rsidRPr="00247C05">
        <w:rPr>
          <w:rtl/>
        </w:rPr>
        <w:t xml:space="preserve"> </w:t>
      </w:r>
      <w:r w:rsidRPr="00247C05">
        <w:rPr>
          <w:rFonts w:hint="cs"/>
          <w:rtl/>
        </w:rPr>
        <w:t>לבתי</w:t>
      </w:r>
      <w:r w:rsidRPr="00247C05">
        <w:rPr>
          <w:rtl/>
        </w:rPr>
        <w:t xml:space="preserve"> </w:t>
      </w:r>
      <w:r w:rsidRPr="00247C05">
        <w:rPr>
          <w:rFonts w:hint="cs"/>
          <w:rtl/>
        </w:rPr>
        <w:t>המשפט</w:t>
      </w:r>
      <w:r w:rsidRPr="00247C05">
        <w:rPr>
          <w:rtl/>
        </w:rPr>
        <w:t xml:space="preserve"> </w:t>
      </w:r>
      <w:r w:rsidRPr="00247C05">
        <w:rPr>
          <w:rFonts w:hint="cs"/>
          <w:rtl/>
        </w:rPr>
        <w:t>עמ</w:t>
      </w:r>
      <w:r w:rsidRPr="00247C05">
        <w:rPr>
          <w:rtl/>
        </w:rPr>
        <w:t xml:space="preserve">"ק, </w:t>
      </w:r>
      <w:r w:rsidRPr="00247C05">
        <w:rPr>
          <w:rFonts w:hint="cs"/>
          <w:rtl/>
        </w:rPr>
        <w:t>וירתמו לקביעת</w:t>
      </w:r>
      <w:r w:rsidRPr="00247C05">
        <w:rPr>
          <w:rtl/>
        </w:rPr>
        <w:t xml:space="preserve"> </w:t>
      </w:r>
      <w:r w:rsidRPr="00247C05">
        <w:rPr>
          <w:rFonts w:hint="cs"/>
          <w:rtl/>
        </w:rPr>
        <w:t>הסדרים שיבטיחו את עצמאותם של בתי המשפט עמ"ק.</w:t>
      </w:r>
    </w:p>
    <w:p w:rsidR="003037FB" w:rsidRPr="00247C05" w:rsidP="00040DAE">
      <w:pPr>
        <w:spacing w:after="120" w:line="230" w:lineRule="exact"/>
        <w:jc w:val="both"/>
        <w:rPr>
          <w:rFonts w:cs="FrankRuehl"/>
          <w:sz w:val="20"/>
          <w:szCs w:val="22"/>
          <w:rtl/>
        </w:rPr>
      </w:pPr>
    </w:p>
    <w:p w:rsidR="003037FB" w:rsidRPr="00247C05" w:rsidP="00040DAE">
      <w:pPr>
        <w:spacing w:after="120" w:line="230" w:lineRule="exact"/>
        <w:jc w:val="both"/>
        <w:rPr>
          <w:rFonts w:cs="FrankRuehl"/>
          <w:sz w:val="20"/>
          <w:szCs w:val="22"/>
          <w:rtl/>
        </w:rPr>
      </w:pPr>
    </w:p>
    <w:p w:rsidR="003037FB" w:rsidRPr="00A45E9A" w:rsidP="00040DAE">
      <w:pPr>
        <w:pStyle w:val="KOT2"/>
        <w:rPr>
          <w:rtl/>
        </w:rPr>
      </w:pPr>
      <w:r w:rsidRPr="00A45E9A">
        <w:rPr>
          <w:rFonts w:hint="cs"/>
          <w:rtl/>
        </w:rPr>
        <w:t>אבטחת בתי המשפט לעניינים מקומיים</w:t>
      </w:r>
    </w:p>
    <w:p w:rsidR="003037FB" w:rsidRPr="00247C05" w:rsidP="00040DAE">
      <w:pPr>
        <w:spacing w:after="120" w:line="230" w:lineRule="exact"/>
        <w:jc w:val="both"/>
        <w:rPr>
          <w:rFonts w:cs="FrankRuehl"/>
          <w:sz w:val="20"/>
          <w:szCs w:val="22"/>
          <w:rtl/>
        </w:rPr>
      </w:pPr>
      <w:r w:rsidRPr="00247C05">
        <w:rPr>
          <w:rFonts w:cs="FrankRuehl" w:hint="cs"/>
          <w:sz w:val="20"/>
          <w:szCs w:val="22"/>
          <w:rtl/>
        </w:rPr>
        <w:t>בשנת 1995 הוקם משמר בתי המשפט (להלן - המשמר) שתפקידו לשמור על הסדר והביטחון בבתי המשפט. המשמר אחראי לאבטחת השופטים, הרשמים ועובדי בתי המשפט בין כותלי בית המשפט וגם מחוץ להם. כמו כן הוא אחראי לשמירה על ביטחון הציבור בבתי המשפט ועל הסדר הציבורי בהם, ובכלל זה מניעת הפרות סדר, התפרעויות והפרת חוק בבתי המשפט</w:t>
      </w:r>
      <w:r>
        <w:rPr>
          <w:rStyle w:val="FootnoteReference"/>
          <w:rFonts w:cs="FrankRuehl"/>
          <w:sz w:val="20"/>
          <w:szCs w:val="22"/>
          <w:rtl/>
        </w:rPr>
        <w:footnoteReference w:id="30"/>
      </w:r>
      <w:r w:rsidRPr="00247C05">
        <w:rPr>
          <w:rFonts w:cs="FrankRuehl" w:hint="cs"/>
          <w:sz w:val="20"/>
          <w:szCs w:val="22"/>
          <w:rtl/>
        </w:rPr>
        <w:t>. המשמר כולל כ-750 מאבטחים, ובראשו עומד</w:t>
      </w:r>
      <w:r w:rsidRPr="00247C05">
        <w:rPr>
          <w:rFonts w:cs="FrankRuehl"/>
          <w:sz w:val="20"/>
          <w:szCs w:val="22"/>
          <w:rtl/>
        </w:rPr>
        <w:t xml:space="preserve"> </w:t>
      </w:r>
      <w:r w:rsidRPr="00247C05">
        <w:rPr>
          <w:rFonts w:cs="FrankRuehl" w:hint="cs"/>
          <w:sz w:val="20"/>
          <w:szCs w:val="22"/>
          <w:rtl/>
        </w:rPr>
        <w:t>סמנכ</w:t>
      </w:r>
      <w:r w:rsidRPr="00247C05">
        <w:rPr>
          <w:rFonts w:cs="FrankRuehl"/>
          <w:sz w:val="20"/>
          <w:szCs w:val="22"/>
          <w:rtl/>
        </w:rPr>
        <w:t xml:space="preserve">"ל </w:t>
      </w:r>
      <w:r w:rsidRPr="00247C05">
        <w:rPr>
          <w:rFonts w:cs="FrankRuehl" w:hint="cs"/>
          <w:sz w:val="20"/>
          <w:szCs w:val="22"/>
          <w:rtl/>
        </w:rPr>
        <w:t>ביטחון</w:t>
      </w:r>
      <w:r w:rsidRPr="00247C05">
        <w:rPr>
          <w:rFonts w:cs="FrankRuehl"/>
          <w:sz w:val="20"/>
          <w:szCs w:val="22"/>
          <w:rtl/>
        </w:rPr>
        <w:t xml:space="preserve"> </w:t>
      </w:r>
      <w:r w:rsidRPr="00247C05">
        <w:rPr>
          <w:rFonts w:cs="FrankRuehl" w:hint="cs"/>
          <w:sz w:val="20"/>
          <w:szCs w:val="22"/>
          <w:rtl/>
        </w:rPr>
        <w:t>ותפקידים</w:t>
      </w:r>
      <w:r w:rsidRPr="00247C05">
        <w:rPr>
          <w:rFonts w:cs="FrankRuehl"/>
          <w:sz w:val="20"/>
          <w:szCs w:val="22"/>
          <w:rtl/>
        </w:rPr>
        <w:t xml:space="preserve"> </w:t>
      </w:r>
      <w:r w:rsidRPr="00247C05">
        <w:rPr>
          <w:rFonts w:cs="FrankRuehl" w:hint="cs"/>
          <w:sz w:val="20"/>
          <w:szCs w:val="22"/>
          <w:rtl/>
        </w:rPr>
        <w:t>מיוחדים</w:t>
      </w:r>
      <w:r w:rsidRPr="00247C05">
        <w:rPr>
          <w:rFonts w:cs="FrankRuehl"/>
          <w:sz w:val="20"/>
          <w:szCs w:val="22"/>
          <w:rtl/>
        </w:rPr>
        <w:t xml:space="preserve"> </w:t>
      </w:r>
      <w:r w:rsidRPr="00247C05">
        <w:rPr>
          <w:rFonts w:cs="FrankRuehl" w:hint="cs"/>
          <w:sz w:val="20"/>
          <w:szCs w:val="22"/>
          <w:rtl/>
        </w:rPr>
        <w:t>בהנהלת</w:t>
      </w:r>
      <w:r w:rsidRPr="00247C05">
        <w:rPr>
          <w:rFonts w:cs="FrankRuehl"/>
          <w:sz w:val="20"/>
          <w:szCs w:val="22"/>
          <w:rtl/>
        </w:rPr>
        <w:t xml:space="preserve"> </w:t>
      </w:r>
      <w:r w:rsidRPr="00247C05">
        <w:rPr>
          <w:rFonts w:cs="FrankRuehl" w:hint="cs"/>
          <w:sz w:val="20"/>
          <w:szCs w:val="22"/>
          <w:rtl/>
        </w:rPr>
        <w:t>בתי</w:t>
      </w:r>
      <w:r w:rsidRPr="00247C05">
        <w:rPr>
          <w:rFonts w:cs="FrankRuehl"/>
          <w:sz w:val="20"/>
          <w:szCs w:val="22"/>
          <w:rtl/>
        </w:rPr>
        <w:t xml:space="preserve"> </w:t>
      </w:r>
      <w:r w:rsidRPr="00247C05">
        <w:rPr>
          <w:rFonts w:cs="FrankRuehl" w:hint="cs"/>
          <w:sz w:val="20"/>
          <w:szCs w:val="22"/>
          <w:rtl/>
        </w:rPr>
        <w:t>המשפט (להלן - מפקד המשמר). בכל מחוז ממונה קצין ביטחון האחראי למערך האבטחה בבתי המשפט במחוז</w:t>
      </w:r>
      <w:r>
        <w:rPr>
          <w:rStyle w:val="FootnoteReference"/>
          <w:rFonts w:cs="FrankRuehl"/>
          <w:sz w:val="20"/>
          <w:szCs w:val="22"/>
          <w:rtl/>
        </w:rPr>
        <w:footnoteReference w:id="31"/>
      </w:r>
      <w:r w:rsidRPr="00247C05">
        <w:rPr>
          <w:rFonts w:cs="FrankRuehl" w:hint="cs"/>
          <w:sz w:val="20"/>
          <w:szCs w:val="22"/>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הוראת פקודת סדר הדין הפלילי (מעצר וחיפוש) [נוסח חדש], התשכ"ט-1969 (להלן: הפקודה) קובעת בין היתר, כי </w:t>
      </w:r>
      <w:r w:rsidRPr="00247C05">
        <w:rPr>
          <w:rFonts w:cs="FrankRuehl"/>
          <w:sz w:val="20"/>
          <w:szCs w:val="22"/>
          <w:rtl/>
        </w:rPr>
        <w:t>מי שהוסמך לכך מאת שר המשטרה, יהיה רשאי, בלא צו, לערוך חיפוש על גופם של באי בית משפט, אם הדבר דרוש לצורך קיום הוראות חוק העונשין, תשל"ז-1977</w:t>
      </w:r>
      <w:r w:rsidRPr="00247C05">
        <w:rPr>
          <w:rFonts w:cs="FrankRuehl" w:hint="cs"/>
          <w:sz w:val="20"/>
          <w:szCs w:val="22"/>
          <w:rtl/>
        </w:rPr>
        <w:t xml:space="preserve">, בדבר </w:t>
      </w:r>
      <w:r w:rsidRPr="00247C05">
        <w:rPr>
          <w:rFonts w:cs="FrankRuehl" w:hint="cs"/>
          <w:sz w:val="20"/>
          <w:szCs w:val="22"/>
          <w:rtl/>
        </w:rPr>
        <w:t>איסור נשיאת נשק או חומרים פוגעניים אחרים בבניין בית המשפט</w:t>
      </w:r>
      <w:r>
        <w:rPr>
          <w:rStyle w:val="FootnoteReference"/>
          <w:rFonts w:cs="FrankRuehl"/>
          <w:sz w:val="20"/>
          <w:szCs w:val="22"/>
          <w:rtl/>
        </w:rPr>
        <w:footnoteReference w:id="32"/>
      </w:r>
      <w:r w:rsidRPr="00247C05">
        <w:rPr>
          <w:rFonts w:cs="FrankRuehl"/>
          <w:sz w:val="20"/>
          <w:szCs w:val="22"/>
          <w:rtl/>
        </w:rPr>
        <w:t>.</w:t>
      </w:r>
      <w:r w:rsidRPr="00247C05">
        <w:rPr>
          <w:rFonts w:cs="FrankRuehl" w:hint="cs"/>
          <w:sz w:val="20"/>
          <w:szCs w:val="22"/>
          <w:rtl/>
        </w:rPr>
        <w:t xml:space="preserve"> עם הקמת המשמר הסמיך שר המשטרה</w:t>
      </w:r>
      <w:r>
        <w:rPr>
          <w:rStyle w:val="FootnoteReference"/>
          <w:rFonts w:cs="FrankRuehl"/>
          <w:sz w:val="20"/>
          <w:szCs w:val="22"/>
          <w:rtl/>
        </w:rPr>
        <w:footnoteReference w:id="33"/>
      </w:r>
      <w:r w:rsidRPr="00247C05">
        <w:rPr>
          <w:rFonts w:cs="FrankRuehl" w:hint="cs"/>
          <w:sz w:val="20"/>
          <w:szCs w:val="22"/>
          <w:rtl/>
        </w:rPr>
        <w:t xml:space="preserve"> בצו את מאבטחי המשמר לפעול בהתאם להוראות הפקודה.</w:t>
      </w:r>
    </w:p>
    <w:p w:rsidR="003037FB" w:rsidRPr="00247C05" w:rsidP="00040DAE">
      <w:pPr>
        <w:spacing w:after="120" w:line="230" w:lineRule="exact"/>
        <w:jc w:val="both"/>
        <w:rPr>
          <w:rFonts w:cs="FrankRuehl"/>
          <w:sz w:val="20"/>
          <w:szCs w:val="22"/>
          <w:rtl/>
        </w:rPr>
      </w:pPr>
      <w:r w:rsidRPr="00247C05">
        <w:rPr>
          <w:rFonts w:cs="FrankRuehl" w:hint="cs"/>
          <w:sz w:val="20"/>
          <w:szCs w:val="22"/>
          <w:rtl/>
        </w:rPr>
        <w:t>המאבטחים עוברים הכשרות והשתלמויות בבית ספר לאבטחה שהקימה הב"ה. בית הספר מאמן ומדריך את המאבטחים גם ב</w:t>
      </w:r>
      <w:r w:rsidRPr="00247C05">
        <w:rPr>
          <w:rFonts w:cs="FrankRuehl"/>
          <w:sz w:val="20"/>
          <w:szCs w:val="22"/>
          <w:rtl/>
        </w:rPr>
        <w:t>אימוני ירי, אימוני</w:t>
      </w:r>
      <w:r w:rsidRPr="00247C05">
        <w:rPr>
          <w:rFonts w:cs="FrankRuehl" w:hint="cs"/>
          <w:sz w:val="20"/>
          <w:szCs w:val="22"/>
          <w:rtl/>
        </w:rPr>
        <w:t xml:space="preserve"> </w:t>
      </w:r>
      <w:r w:rsidRPr="00247C05">
        <w:rPr>
          <w:rFonts w:cs="FrankRuehl"/>
          <w:sz w:val="20"/>
          <w:szCs w:val="22"/>
          <w:rtl/>
        </w:rPr>
        <w:t>קרב מגע ו</w:t>
      </w:r>
      <w:r w:rsidRPr="00247C05">
        <w:rPr>
          <w:rFonts w:cs="FrankRuehl" w:hint="cs"/>
          <w:sz w:val="20"/>
          <w:szCs w:val="22"/>
          <w:rtl/>
        </w:rPr>
        <w:t>ב</w:t>
      </w:r>
      <w:r w:rsidRPr="00247C05">
        <w:rPr>
          <w:rFonts w:cs="FrankRuehl"/>
          <w:sz w:val="20"/>
          <w:szCs w:val="22"/>
          <w:rtl/>
        </w:rPr>
        <w:t>סימולציות אבטחה.</w:t>
      </w:r>
      <w:r w:rsidRPr="00247C05">
        <w:rPr>
          <w:rFonts w:cs="FrankRuehl" w:hint="cs"/>
          <w:sz w:val="20"/>
          <w:szCs w:val="22"/>
          <w:rtl/>
        </w:rPr>
        <w:t xml:space="preserve">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לביצוע פעולות האבטחה בבתי המשפט קיבץ אגף הביטחון ותפקידים מיוחדים בהב"ה נהלים העוסקים במגוון הפעילויות של המשמר בעת שגרה ובעת חירום (להלן - נוהלי האבטחה), שבהם נקבעו סמכויותיהם של בעלי תפקידים במשמר והוגדרו בין היתר התפקידים, המטרות והפעילויות של המשמר.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בראש קובץ נוהלי האבטחה מופיעה "אמנת משמר בתי המשפט" </w:t>
      </w:r>
      <w:r w:rsidRPr="00247C05">
        <w:rPr>
          <w:rFonts w:eastAsia="Calibri" w:cs="FrankRuehl" w:hint="cs"/>
          <w:sz w:val="20"/>
          <w:szCs w:val="22"/>
          <w:rtl/>
        </w:rPr>
        <w:t>ולפיה, "משמר בתי המשפט הנו גוף האבטחה הממלכתי של בתי המשפט במדינת ישראל" שמטרותיו העיקריות להגן על</w:t>
      </w:r>
      <w:r w:rsidRPr="00247C05">
        <w:rPr>
          <w:rFonts w:cs="FrankRuehl" w:hint="cs"/>
          <w:sz w:val="20"/>
          <w:szCs w:val="22"/>
          <w:rtl/>
        </w:rPr>
        <w:t xml:space="preserve"> שופטים, רשמים ועובדי בית המשפט ולאבטח אותם ולשמור על הסדר הציבורי ועל ביטחון הציבור בבתי המשפט. </w:t>
      </w:r>
    </w:p>
    <w:p w:rsidR="003037FB" w:rsidRPr="00247C05" w:rsidP="00040DAE">
      <w:pPr>
        <w:spacing w:after="120" w:line="230" w:lineRule="exact"/>
        <w:jc w:val="both"/>
        <w:rPr>
          <w:rFonts w:cs="FrankRuehl"/>
          <w:sz w:val="20"/>
          <w:szCs w:val="22"/>
          <w:rtl/>
        </w:rPr>
      </w:pPr>
      <w:r w:rsidRPr="00247C05">
        <w:rPr>
          <w:rFonts w:eastAsia="Calibri" w:cs="FrankRuehl" w:hint="cs"/>
          <w:sz w:val="20"/>
          <w:szCs w:val="22"/>
          <w:rtl/>
        </w:rPr>
        <w:t xml:space="preserve">כאמור, חוק בתי המשפט קובע, כי מעמדו של </w:t>
      </w:r>
      <w:r w:rsidRPr="00247C05">
        <w:rPr>
          <w:rFonts w:eastAsia="Calibri" w:cs="FrankRuehl"/>
          <w:sz w:val="20"/>
          <w:szCs w:val="22"/>
          <w:rtl/>
        </w:rPr>
        <w:t>ב</w:t>
      </w:r>
      <w:r w:rsidRPr="00247C05">
        <w:rPr>
          <w:rFonts w:eastAsia="Calibri" w:cs="FrankRuehl" w:hint="cs"/>
          <w:sz w:val="20"/>
          <w:szCs w:val="22"/>
          <w:rtl/>
        </w:rPr>
        <w:t>מ"ש</w:t>
      </w:r>
      <w:r w:rsidRPr="00247C05">
        <w:rPr>
          <w:rFonts w:eastAsia="Calibri" w:cs="FrankRuehl"/>
          <w:sz w:val="20"/>
          <w:szCs w:val="22"/>
          <w:rtl/>
        </w:rPr>
        <w:t xml:space="preserve"> </w:t>
      </w:r>
      <w:r w:rsidRPr="00247C05">
        <w:rPr>
          <w:rFonts w:eastAsia="Calibri" w:cs="FrankRuehl" w:hint="cs"/>
          <w:sz w:val="20"/>
          <w:szCs w:val="22"/>
          <w:rtl/>
        </w:rPr>
        <w:t xml:space="preserve">עמ"ק </w:t>
      </w:r>
      <w:r w:rsidRPr="00247C05">
        <w:rPr>
          <w:rFonts w:eastAsia="Calibri" w:cs="FrankRuehl"/>
          <w:sz w:val="20"/>
          <w:szCs w:val="22"/>
          <w:rtl/>
        </w:rPr>
        <w:t>כ</w:t>
      </w:r>
      <w:r w:rsidRPr="00247C05">
        <w:rPr>
          <w:rFonts w:eastAsia="Calibri" w:cs="FrankRuehl" w:hint="cs"/>
          <w:sz w:val="20"/>
          <w:szCs w:val="22"/>
          <w:rtl/>
        </w:rPr>
        <w:t>מעמד</w:t>
      </w:r>
      <w:r w:rsidRPr="00247C05">
        <w:rPr>
          <w:rFonts w:eastAsia="Calibri" w:cs="FrankRuehl"/>
          <w:sz w:val="20"/>
          <w:szCs w:val="22"/>
          <w:rtl/>
        </w:rPr>
        <w:t xml:space="preserve"> בית משפט </w:t>
      </w:r>
      <w:r w:rsidRPr="00247C05">
        <w:rPr>
          <w:rFonts w:eastAsia="Calibri" w:cs="FrankRuehl" w:hint="cs"/>
          <w:sz w:val="20"/>
          <w:szCs w:val="22"/>
          <w:rtl/>
        </w:rPr>
        <w:t>ה</w:t>
      </w:r>
      <w:r w:rsidRPr="00247C05">
        <w:rPr>
          <w:rFonts w:eastAsia="Calibri" w:cs="FrankRuehl"/>
          <w:sz w:val="20"/>
          <w:szCs w:val="22"/>
          <w:rtl/>
        </w:rPr>
        <w:t>שלום</w:t>
      </w:r>
      <w:r w:rsidRPr="00247C05">
        <w:rPr>
          <w:rFonts w:eastAsia="Calibri" w:cs="FrankRuehl" w:hint="cs"/>
          <w:sz w:val="20"/>
          <w:szCs w:val="22"/>
          <w:rtl/>
        </w:rPr>
        <w:t>,</w:t>
      </w:r>
      <w:r w:rsidRPr="00247C05">
        <w:rPr>
          <w:rFonts w:eastAsia="Calibri" w:cs="FrankRuehl"/>
          <w:sz w:val="20"/>
          <w:szCs w:val="22"/>
          <w:rtl/>
        </w:rPr>
        <w:t xml:space="preserve"> </w:t>
      </w:r>
      <w:r w:rsidRPr="00247C05">
        <w:rPr>
          <w:rFonts w:eastAsia="Calibri" w:cs="FrankRuehl" w:hint="cs"/>
          <w:sz w:val="20"/>
          <w:szCs w:val="22"/>
          <w:rtl/>
        </w:rPr>
        <w:t xml:space="preserve">ומעמדם של השופטים </w:t>
      </w:r>
      <w:r w:rsidRPr="00247C05">
        <w:rPr>
          <w:rFonts w:eastAsia="Calibri" w:cs="FrankRuehl"/>
          <w:sz w:val="20"/>
          <w:szCs w:val="22"/>
          <w:rtl/>
        </w:rPr>
        <w:t>כ</w:t>
      </w:r>
      <w:r w:rsidRPr="00247C05">
        <w:rPr>
          <w:rFonts w:eastAsia="Calibri" w:cs="FrankRuehl" w:hint="cs"/>
          <w:sz w:val="20"/>
          <w:szCs w:val="22"/>
          <w:rtl/>
        </w:rPr>
        <w:t>מעמד</w:t>
      </w:r>
      <w:r w:rsidRPr="00247C05">
        <w:rPr>
          <w:rFonts w:eastAsia="Calibri" w:cs="FrankRuehl"/>
          <w:sz w:val="20"/>
          <w:szCs w:val="22"/>
          <w:rtl/>
        </w:rPr>
        <w:t xml:space="preserve"> </w:t>
      </w:r>
      <w:r w:rsidRPr="00247C05">
        <w:rPr>
          <w:rFonts w:eastAsia="Calibri" w:cs="FrankRuehl" w:hint="cs"/>
          <w:sz w:val="20"/>
          <w:szCs w:val="22"/>
          <w:rtl/>
        </w:rPr>
        <w:t>ה</w:t>
      </w:r>
      <w:r w:rsidRPr="00247C05">
        <w:rPr>
          <w:rFonts w:eastAsia="Calibri" w:cs="FrankRuehl"/>
          <w:sz w:val="20"/>
          <w:szCs w:val="22"/>
          <w:rtl/>
        </w:rPr>
        <w:t>שופט</w:t>
      </w:r>
      <w:r w:rsidRPr="00247C05">
        <w:rPr>
          <w:rFonts w:eastAsia="Calibri" w:cs="FrankRuehl" w:hint="cs"/>
          <w:sz w:val="20"/>
          <w:szCs w:val="22"/>
          <w:rtl/>
        </w:rPr>
        <w:t>ים</w:t>
      </w:r>
      <w:r w:rsidRPr="00247C05">
        <w:rPr>
          <w:rFonts w:eastAsia="Calibri" w:cs="FrankRuehl"/>
          <w:sz w:val="20"/>
          <w:szCs w:val="22"/>
          <w:rtl/>
        </w:rPr>
        <w:t xml:space="preserve"> ב</w:t>
      </w:r>
      <w:r w:rsidRPr="00247C05">
        <w:rPr>
          <w:rFonts w:eastAsia="Calibri" w:cs="FrankRuehl" w:hint="cs"/>
          <w:sz w:val="20"/>
          <w:szCs w:val="22"/>
          <w:rtl/>
        </w:rPr>
        <w:t>ב</w:t>
      </w:r>
      <w:r w:rsidRPr="00247C05">
        <w:rPr>
          <w:rFonts w:eastAsia="Calibri" w:cs="FrankRuehl"/>
          <w:sz w:val="20"/>
          <w:szCs w:val="22"/>
          <w:rtl/>
        </w:rPr>
        <w:t xml:space="preserve">ית משפט </w:t>
      </w:r>
      <w:r w:rsidRPr="00247C05">
        <w:rPr>
          <w:rFonts w:eastAsia="Calibri" w:cs="FrankRuehl" w:hint="cs"/>
          <w:sz w:val="20"/>
          <w:szCs w:val="22"/>
          <w:rtl/>
        </w:rPr>
        <w:t>ה</w:t>
      </w:r>
      <w:r w:rsidRPr="00247C05">
        <w:rPr>
          <w:rFonts w:eastAsia="Calibri" w:cs="FrankRuehl"/>
          <w:sz w:val="20"/>
          <w:szCs w:val="22"/>
          <w:rtl/>
        </w:rPr>
        <w:t>שלום</w:t>
      </w:r>
      <w:r w:rsidRPr="00247C05">
        <w:rPr>
          <w:rFonts w:eastAsia="Calibri" w:cs="FrankRuehl" w:hint="cs"/>
          <w:sz w:val="20"/>
          <w:szCs w:val="22"/>
          <w:rtl/>
        </w:rPr>
        <w:t>. בדצמבר 2012 חיווה היועץ המשפטי של הב"ה את דעתו בנוגע לאבטחת בתי המשפט עמ"ק, כי "על המעטפת הביטחונית של שופט בבית משפט עמ"ק לעמוד בסטנדרטים של משמר בתי המשפט, האמון על שמירתם וביטחונם של השופטים. משמר בתי המשפט, הוא הגוף המחליט ביחס לרמת האבטחה, העזרים הנדרשים לצורך ביצועה וכל פעילות או משימה נגזרת אחרת."</w:t>
      </w:r>
      <w:r w:rsidRPr="00247C05">
        <w:rPr>
          <w:rFonts w:cs="FrankRuehl" w:hint="cs"/>
          <w:sz w:val="20"/>
          <w:szCs w:val="22"/>
          <w:rtl/>
        </w:rPr>
        <w:t xml:space="preserve"> (להלן - חוות הדעת מדצמבר 2012).</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שמונה מתוך 18 בתי משפט עמ"ק פועלים בתוך מבנים של בתי משפט שלום, והמשמר הוא הגוף המופקד על אבטחתם (להלן - קבוצה א'); שלושה במ"ש עמ"ק פועלים במבנים שמעמידה לרשותם הרשות המקומית, ואף הם מאובטחים על ידי המשמר (להלן - קבוצה ב'); בשבעה במ"ש עמ"ק הפועלים במבנים שמעמידה לרשותם הרשות המקומית, המשמר מעמיד אבטחה רק לשופט בימי דיון. בבתי משפט אלה מוטלת האחריות לאבטחת מזכיר בית המשפט ועובדי המזכירות וכן אבטחת באי בית המשפט על הרשויות המקומיות (להלן - קבוצה ג').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ממסמכי הב"ה עולה, כי ביולי </w:t>
      </w:r>
      <w:r w:rsidRPr="00247C05">
        <w:rPr>
          <w:rFonts w:cs="FrankRuehl"/>
          <w:sz w:val="20"/>
          <w:szCs w:val="22"/>
          <w:rtl/>
        </w:rPr>
        <w:t xml:space="preserve">2013 </w:t>
      </w:r>
      <w:r w:rsidRPr="00247C05">
        <w:rPr>
          <w:rFonts w:cs="FrankRuehl" w:hint="cs"/>
          <w:sz w:val="20"/>
          <w:szCs w:val="22"/>
          <w:rtl/>
        </w:rPr>
        <w:t>כתב מנהל הב"ה ליו"ר מרכז השלטון המקומי דאז בעניין בתי המשפט עמ"ק. במכתבו ציין, כי בעקבות ישיבה שהתקיימה הוא מעלה בכתב את הסוגיות העיקריות שנידונו בה בין יתר הנושאים. הוא כתב, כי "במצב הקיים קיימת חוסר אחידות לגבי אופן העסקת המאבטחים בבתי המשפט לעניינים מקומיים, כך שחלקם שייכים למשמר בתי המשפט וחלקם מועסקים על ידי הרשות המקומית". באוגוסט 2013, בעקבות הישיבה והמכתב החליטו הב"ה ומרכז השלטון המקומי על הקמתו של צוות</w:t>
      </w:r>
      <w:r w:rsidRPr="00247C05">
        <w:rPr>
          <w:rFonts w:cs="FrankRuehl"/>
          <w:sz w:val="20"/>
          <w:szCs w:val="22"/>
          <w:rtl/>
        </w:rPr>
        <w:t xml:space="preserve"> </w:t>
      </w:r>
      <w:r w:rsidRPr="00247C05">
        <w:rPr>
          <w:rFonts w:cs="FrankRuehl" w:hint="cs"/>
          <w:sz w:val="20"/>
          <w:szCs w:val="22"/>
          <w:rtl/>
        </w:rPr>
        <w:t>עבודה</w:t>
      </w:r>
      <w:r w:rsidRPr="00247C05">
        <w:rPr>
          <w:rFonts w:cs="FrankRuehl"/>
          <w:sz w:val="20"/>
          <w:szCs w:val="22"/>
          <w:rtl/>
        </w:rPr>
        <w:t xml:space="preserve"> </w:t>
      </w:r>
      <w:r w:rsidRPr="00247C05">
        <w:rPr>
          <w:rFonts w:cs="FrankRuehl" w:hint="cs"/>
          <w:sz w:val="20"/>
          <w:szCs w:val="22"/>
          <w:rtl/>
        </w:rPr>
        <w:t>משותף</w:t>
      </w:r>
      <w:r w:rsidRPr="00247C05">
        <w:rPr>
          <w:rFonts w:cs="FrankRuehl"/>
          <w:sz w:val="20"/>
          <w:szCs w:val="22"/>
          <w:rtl/>
        </w:rPr>
        <w:t xml:space="preserve"> </w:t>
      </w:r>
      <w:r w:rsidRPr="00247C05">
        <w:rPr>
          <w:rFonts w:cs="FrankRuehl" w:hint="cs"/>
          <w:sz w:val="20"/>
          <w:szCs w:val="22"/>
          <w:rtl/>
        </w:rPr>
        <w:t>שיפעל</w:t>
      </w:r>
      <w:r w:rsidRPr="00247C05">
        <w:rPr>
          <w:rFonts w:cs="FrankRuehl"/>
          <w:sz w:val="20"/>
          <w:szCs w:val="22"/>
          <w:rtl/>
        </w:rPr>
        <w:t xml:space="preserve"> </w:t>
      </w:r>
      <w:r w:rsidRPr="00247C05">
        <w:rPr>
          <w:rFonts w:cs="FrankRuehl" w:hint="cs"/>
          <w:sz w:val="20"/>
          <w:szCs w:val="22"/>
          <w:rtl/>
        </w:rPr>
        <w:t>לפתרון</w:t>
      </w:r>
      <w:r w:rsidRPr="00247C05">
        <w:rPr>
          <w:rFonts w:cs="FrankRuehl"/>
          <w:sz w:val="20"/>
          <w:szCs w:val="22"/>
          <w:rtl/>
        </w:rPr>
        <w:t xml:space="preserve"> בעיות </w:t>
      </w:r>
      <w:r w:rsidRPr="00247C05">
        <w:rPr>
          <w:rFonts w:cs="FrankRuehl" w:hint="cs"/>
          <w:sz w:val="20"/>
          <w:szCs w:val="22"/>
          <w:rtl/>
        </w:rPr>
        <w:t>שמתעוררות</w:t>
      </w:r>
      <w:r w:rsidRPr="00247C05">
        <w:rPr>
          <w:rFonts w:cs="FrankRuehl"/>
          <w:sz w:val="20"/>
          <w:szCs w:val="22"/>
          <w:rtl/>
        </w:rPr>
        <w:t xml:space="preserve"> בתחום </w:t>
      </w:r>
      <w:r w:rsidRPr="00247C05">
        <w:rPr>
          <w:rFonts w:cs="FrankRuehl" w:hint="cs"/>
          <w:sz w:val="20"/>
          <w:szCs w:val="22"/>
          <w:rtl/>
        </w:rPr>
        <w:t>הפעילות</w:t>
      </w:r>
      <w:r w:rsidRPr="00247C05">
        <w:rPr>
          <w:rFonts w:cs="FrankRuehl"/>
          <w:sz w:val="20"/>
          <w:szCs w:val="22"/>
          <w:rtl/>
        </w:rPr>
        <w:t xml:space="preserve"> </w:t>
      </w:r>
      <w:r w:rsidRPr="00247C05">
        <w:rPr>
          <w:rFonts w:cs="FrankRuehl" w:hint="cs"/>
          <w:sz w:val="20"/>
          <w:szCs w:val="22"/>
          <w:rtl/>
        </w:rPr>
        <w:t>של</w:t>
      </w:r>
      <w:r w:rsidRPr="00247C05">
        <w:rPr>
          <w:rFonts w:cs="FrankRuehl"/>
          <w:sz w:val="20"/>
          <w:szCs w:val="22"/>
          <w:rtl/>
        </w:rPr>
        <w:t xml:space="preserve"> </w:t>
      </w:r>
      <w:r w:rsidRPr="00247C05">
        <w:rPr>
          <w:rFonts w:cs="FrankRuehl" w:hint="cs"/>
          <w:sz w:val="20"/>
          <w:szCs w:val="22"/>
          <w:rtl/>
        </w:rPr>
        <w:t>במ</w:t>
      </w:r>
      <w:r w:rsidRPr="00247C05">
        <w:rPr>
          <w:rFonts w:cs="FrankRuehl"/>
          <w:sz w:val="20"/>
          <w:szCs w:val="22"/>
          <w:rtl/>
        </w:rPr>
        <w:t>"</w:t>
      </w:r>
      <w:r w:rsidRPr="00247C05">
        <w:rPr>
          <w:rFonts w:cs="FrankRuehl" w:hint="cs"/>
          <w:sz w:val="20"/>
          <w:szCs w:val="22"/>
          <w:rtl/>
        </w:rPr>
        <w:t>ש</w:t>
      </w:r>
      <w:r w:rsidRPr="00247C05">
        <w:rPr>
          <w:rFonts w:cs="FrankRuehl"/>
          <w:sz w:val="20"/>
          <w:szCs w:val="22"/>
          <w:rtl/>
        </w:rPr>
        <w:t xml:space="preserve"> </w:t>
      </w:r>
      <w:r w:rsidRPr="00247C05">
        <w:rPr>
          <w:rFonts w:cs="FrankRuehl" w:hint="cs"/>
          <w:sz w:val="20"/>
          <w:szCs w:val="22"/>
          <w:rtl/>
        </w:rPr>
        <w:t>עמ</w:t>
      </w:r>
      <w:r w:rsidRPr="00247C05">
        <w:rPr>
          <w:rFonts w:cs="FrankRuehl"/>
          <w:sz w:val="20"/>
          <w:szCs w:val="22"/>
          <w:rtl/>
        </w:rPr>
        <w:t>"ק.</w:t>
      </w:r>
      <w:r w:rsidRPr="00247C05">
        <w:rPr>
          <w:rFonts w:cs="FrankRuehl" w:hint="cs"/>
          <w:sz w:val="20"/>
          <w:szCs w:val="22"/>
          <w:rtl/>
        </w:rPr>
        <w:t xml:space="preserve"> </w:t>
      </w:r>
    </w:p>
    <w:p w:rsidR="003037FB" w:rsidRPr="00247C05" w:rsidP="006221FB">
      <w:pPr>
        <w:spacing w:after="240" w:line="230" w:lineRule="exact"/>
        <w:jc w:val="both"/>
        <w:rPr>
          <w:rFonts w:cs="FrankRuehl"/>
          <w:sz w:val="20"/>
          <w:szCs w:val="22"/>
          <w:rtl/>
        </w:rPr>
      </w:pPr>
      <w:r w:rsidRPr="00247C05">
        <w:rPr>
          <w:rFonts w:cs="FrankRuehl" w:hint="cs"/>
          <w:sz w:val="20"/>
          <w:szCs w:val="22"/>
          <w:rtl/>
        </w:rPr>
        <w:t>בתשובתה</w:t>
      </w:r>
      <w:r w:rsidRPr="00247C05">
        <w:rPr>
          <w:rFonts w:cs="FrankRuehl"/>
          <w:sz w:val="20"/>
          <w:szCs w:val="22"/>
          <w:rtl/>
        </w:rPr>
        <w:t xml:space="preserve"> הבהירה ה</w:t>
      </w:r>
      <w:r w:rsidRPr="00247C05">
        <w:rPr>
          <w:rFonts w:cs="FrankRuehl" w:hint="cs"/>
          <w:sz w:val="20"/>
          <w:szCs w:val="22"/>
          <w:rtl/>
        </w:rPr>
        <w:t>ב"ה</w:t>
      </w:r>
      <w:r w:rsidRPr="00247C05">
        <w:rPr>
          <w:rFonts w:cs="FrankRuehl"/>
          <w:sz w:val="20"/>
          <w:szCs w:val="22"/>
          <w:rtl/>
        </w:rPr>
        <w:t xml:space="preserve"> </w:t>
      </w:r>
      <w:r w:rsidRPr="00247C05">
        <w:rPr>
          <w:rFonts w:cs="FrankRuehl" w:hint="cs"/>
          <w:sz w:val="20"/>
          <w:szCs w:val="22"/>
          <w:rtl/>
        </w:rPr>
        <w:t>את עמדתה: בבתי משפט עמ"ק בהם האחריות לאבטחתם מוטלת על הרשויות המקומיות אין</w:t>
      </w:r>
      <w:r w:rsidRPr="00247C05">
        <w:rPr>
          <w:rFonts w:cs="FrankRuehl"/>
          <w:sz w:val="20"/>
          <w:szCs w:val="22"/>
          <w:rtl/>
        </w:rPr>
        <w:t xml:space="preserve"> </w:t>
      </w:r>
      <w:r w:rsidRPr="00247C05">
        <w:rPr>
          <w:rFonts w:cs="FrankRuehl" w:hint="cs"/>
          <w:sz w:val="20"/>
          <w:szCs w:val="22"/>
          <w:rtl/>
        </w:rPr>
        <w:t>אחידות</w:t>
      </w:r>
      <w:r w:rsidRPr="00247C05">
        <w:rPr>
          <w:rFonts w:cs="FrankRuehl"/>
          <w:sz w:val="20"/>
          <w:szCs w:val="22"/>
          <w:rtl/>
        </w:rPr>
        <w:t xml:space="preserve"> </w:t>
      </w:r>
      <w:r w:rsidRPr="00247C05">
        <w:rPr>
          <w:rFonts w:cs="FrankRuehl" w:hint="cs"/>
          <w:sz w:val="20"/>
          <w:szCs w:val="22"/>
          <w:rtl/>
        </w:rPr>
        <w:t>באבטחה</w:t>
      </w:r>
      <w:r w:rsidRPr="00247C05">
        <w:rPr>
          <w:rFonts w:cs="FrankRuehl"/>
          <w:sz w:val="20"/>
          <w:szCs w:val="22"/>
          <w:rtl/>
        </w:rPr>
        <w:t xml:space="preserve"> </w:t>
      </w:r>
      <w:r w:rsidRPr="00247C05">
        <w:rPr>
          <w:rFonts w:cs="FrankRuehl" w:hint="cs"/>
          <w:sz w:val="20"/>
          <w:szCs w:val="22"/>
          <w:rtl/>
        </w:rPr>
        <w:t>זאת כיוון</w:t>
      </w:r>
      <w:r w:rsidRPr="00247C05">
        <w:rPr>
          <w:rFonts w:cs="FrankRuehl"/>
          <w:sz w:val="20"/>
          <w:szCs w:val="22"/>
          <w:rtl/>
        </w:rPr>
        <w:t xml:space="preserve"> </w:t>
      </w:r>
      <w:r w:rsidRPr="00247C05">
        <w:rPr>
          <w:rFonts w:cs="FrankRuehl" w:hint="cs"/>
          <w:sz w:val="20"/>
          <w:szCs w:val="22"/>
          <w:rtl/>
        </w:rPr>
        <w:t>שקציני</w:t>
      </w:r>
      <w:r w:rsidRPr="00247C05">
        <w:rPr>
          <w:rFonts w:cs="FrankRuehl"/>
          <w:sz w:val="20"/>
          <w:szCs w:val="22"/>
          <w:rtl/>
        </w:rPr>
        <w:t xml:space="preserve"> </w:t>
      </w:r>
      <w:r w:rsidRPr="00247C05">
        <w:rPr>
          <w:rFonts w:cs="FrankRuehl" w:hint="cs"/>
          <w:sz w:val="20"/>
          <w:szCs w:val="22"/>
          <w:rtl/>
        </w:rPr>
        <w:t>הביטחון</w:t>
      </w:r>
      <w:r w:rsidRPr="00247C05">
        <w:rPr>
          <w:rFonts w:cs="FrankRuehl"/>
          <w:sz w:val="20"/>
          <w:szCs w:val="22"/>
          <w:rtl/>
        </w:rPr>
        <w:t xml:space="preserve"> </w:t>
      </w:r>
      <w:r w:rsidRPr="00247C05">
        <w:rPr>
          <w:rFonts w:cs="FrankRuehl" w:hint="cs"/>
          <w:sz w:val="20"/>
          <w:szCs w:val="22"/>
          <w:rtl/>
        </w:rPr>
        <w:t>ברשויות</w:t>
      </w:r>
      <w:r w:rsidRPr="00247C05">
        <w:rPr>
          <w:rFonts w:cs="FrankRuehl"/>
          <w:sz w:val="20"/>
          <w:szCs w:val="22"/>
          <w:rtl/>
        </w:rPr>
        <w:t xml:space="preserve"> </w:t>
      </w:r>
      <w:r w:rsidRPr="00247C05">
        <w:rPr>
          <w:rFonts w:cs="FrankRuehl" w:hint="cs"/>
          <w:sz w:val="20"/>
          <w:szCs w:val="22"/>
          <w:rtl/>
        </w:rPr>
        <w:t>המקומיות</w:t>
      </w:r>
      <w:r w:rsidRPr="00247C05">
        <w:rPr>
          <w:rFonts w:cs="FrankRuehl"/>
          <w:sz w:val="20"/>
          <w:szCs w:val="22"/>
          <w:rtl/>
        </w:rPr>
        <w:t xml:space="preserve"> </w:t>
      </w:r>
      <w:r w:rsidRPr="00247C05">
        <w:rPr>
          <w:rFonts w:cs="FrankRuehl" w:hint="cs"/>
          <w:sz w:val="20"/>
          <w:szCs w:val="22"/>
          <w:rtl/>
        </w:rPr>
        <w:t>כפופים</w:t>
      </w:r>
      <w:r w:rsidRPr="00247C05">
        <w:rPr>
          <w:rFonts w:cs="FrankRuehl"/>
          <w:sz w:val="20"/>
          <w:szCs w:val="22"/>
          <w:rtl/>
        </w:rPr>
        <w:t xml:space="preserve"> לראש</w:t>
      </w:r>
      <w:r w:rsidRPr="00247C05">
        <w:rPr>
          <w:rFonts w:cs="FrankRuehl" w:hint="cs"/>
          <w:sz w:val="20"/>
          <w:szCs w:val="22"/>
          <w:rtl/>
        </w:rPr>
        <w:t>י</w:t>
      </w:r>
      <w:r w:rsidRPr="00247C05">
        <w:rPr>
          <w:rFonts w:cs="FrankRuehl"/>
          <w:sz w:val="20"/>
          <w:szCs w:val="22"/>
          <w:rtl/>
        </w:rPr>
        <w:t xml:space="preserve"> הרשו</w:t>
      </w:r>
      <w:r w:rsidRPr="00247C05">
        <w:rPr>
          <w:rFonts w:cs="FrankRuehl" w:hint="cs"/>
          <w:sz w:val="20"/>
          <w:szCs w:val="22"/>
          <w:rtl/>
        </w:rPr>
        <w:t>יות</w:t>
      </w:r>
      <w:r w:rsidRPr="00247C05">
        <w:rPr>
          <w:rFonts w:cs="FrankRuehl"/>
          <w:sz w:val="20"/>
          <w:szCs w:val="22"/>
          <w:rtl/>
        </w:rPr>
        <w:t xml:space="preserve"> </w:t>
      </w:r>
      <w:r w:rsidRPr="00247C05">
        <w:rPr>
          <w:rFonts w:cs="FrankRuehl" w:hint="cs"/>
          <w:sz w:val="20"/>
          <w:szCs w:val="22"/>
          <w:rtl/>
        </w:rPr>
        <w:t>והם</w:t>
      </w:r>
      <w:r w:rsidRPr="00247C05">
        <w:rPr>
          <w:rFonts w:cs="FrankRuehl"/>
          <w:sz w:val="20"/>
          <w:szCs w:val="22"/>
          <w:rtl/>
        </w:rPr>
        <w:t xml:space="preserve"> קובע</w:t>
      </w:r>
      <w:r w:rsidRPr="00247C05">
        <w:rPr>
          <w:rFonts w:cs="FrankRuehl" w:hint="cs"/>
          <w:sz w:val="20"/>
          <w:szCs w:val="22"/>
          <w:rtl/>
        </w:rPr>
        <w:t>ים</w:t>
      </w:r>
      <w:r w:rsidRPr="00247C05">
        <w:rPr>
          <w:rFonts w:cs="FrankRuehl"/>
          <w:sz w:val="20"/>
          <w:szCs w:val="22"/>
          <w:rtl/>
        </w:rPr>
        <w:t xml:space="preserve"> את רמת האבטחה בבתי המשפט.</w:t>
      </w:r>
      <w:r w:rsidRPr="00247C05">
        <w:rPr>
          <w:rFonts w:cs="FrankRuehl" w:hint="cs"/>
          <w:sz w:val="20"/>
          <w:szCs w:val="22"/>
          <w:rtl/>
        </w:rPr>
        <w:t xml:space="preserve"> </w:t>
      </w:r>
    </w:p>
    <w:p w:rsidR="003037FB" w:rsidRPr="00247C05" w:rsidP="006221FB">
      <w:pPr>
        <w:pStyle w:val="RESHET"/>
        <w:keepLines/>
        <w:rPr>
          <w:rFonts w:eastAsia="Calibri"/>
          <w:rtl/>
        </w:rPr>
      </w:pPr>
      <w:r w:rsidRPr="00247C05">
        <w:rPr>
          <w:rFonts w:hint="cs"/>
          <w:rtl/>
        </w:rPr>
        <w:t>יוער, כי</w:t>
      </w:r>
      <w:r w:rsidRPr="00247C05">
        <w:rPr>
          <w:rtl/>
        </w:rPr>
        <w:t xml:space="preserve"> </w:t>
      </w:r>
      <w:r w:rsidRPr="00247C05">
        <w:rPr>
          <w:rFonts w:hint="cs"/>
          <w:rtl/>
        </w:rPr>
        <w:t>צוות</w:t>
      </w:r>
      <w:r w:rsidRPr="00247C05">
        <w:rPr>
          <w:rtl/>
        </w:rPr>
        <w:t xml:space="preserve"> </w:t>
      </w:r>
      <w:r w:rsidRPr="00247C05">
        <w:rPr>
          <w:rFonts w:hint="cs"/>
          <w:rtl/>
        </w:rPr>
        <w:t>העבודה</w:t>
      </w:r>
      <w:r w:rsidRPr="00247C05">
        <w:rPr>
          <w:rtl/>
        </w:rPr>
        <w:t xml:space="preserve"> </w:t>
      </w:r>
      <w:r w:rsidRPr="00247C05">
        <w:rPr>
          <w:rFonts w:hint="cs"/>
          <w:rtl/>
        </w:rPr>
        <w:t>המשותף</w:t>
      </w:r>
      <w:r w:rsidRPr="00247C05">
        <w:rPr>
          <w:rtl/>
        </w:rPr>
        <w:t xml:space="preserve"> </w:t>
      </w:r>
      <w:r w:rsidRPr="00247C05">
        <w:rPr>
          <w:rFonts w:hint="cs"/>
          <w:rtl/>
        </w:rPr>
        <w:t>לא גיבש עמדה</w:t>
      </w:r>
      <w:r w:rsidRPr="00247C05">
        <w:rPr>
          <w:rtl/>
        </w:rPr>
        <w:t xml:space="preserve"> </w:t>
      </w:r>
      <w:r w:rsidRPr="00247C05">
        <w:rPr>
          <w:rFonts w:hint="cs"/>
          <w:rtl/>
        </w:rPr>
        <w:t>לפתרון</w:t>
      </w:r>
      <w:r w:rsidRPr="00247C05">
        <w:rPr>
          <w:rtl/>
        </w:rPr>
        <w:t xml:space="preserve"> </w:t>
      </w:r>
      <w:r w:rsidRPr="00247C05">
        <w:rPr>
          <w:rFonts w:hint="cs"/>
          <w:rtl/>
        </w:rPr>
        <w:t>סוגיית חוסר האחידות בהעסקת מאבטחים בבתי המשפט שחלקם עובדי המשמר וחלקם מועסקים על ידי הרשות המקומית.</w:t>
      </w:r>
    </w:p>
    <w:p w:rsidR="003037FB" w:rsidRPr="00247C05" w:rsidP="006221FB">
      <w:pPr>
        <w:spacing w:before="180" w:after="120" w:line="230" w:lineRule="exact"/>
        <w:jc w:val="both"/>
        <w:rPr>
          <w:rFonts w:cs="FrankRuehl"/>
          <w:sz w:val="20"/>
          <w:szCs w:val="22"/>
          <w:rtl/>
        </w:rPr>
      </w:pPr>
      <w:r w:rsidRPr="00247C05">
        <w:rPr>
          <w:rFonts w:cs="FrankRuehl" w:hint="cs"/>
          <w:sz w:val="20"/>
          <w:szCs w:val="22"/>
          <w:rtl/>
        </w:rPr>
        <w:t xml:space="preserve">במהלך 2013 הגישה הב"ה את הצעת החוק שתקבע את אופי הפעילות של המשמר ואת סמכויותיו. בהצעת החוק מוצע לעגן את סמכויות המעצר והחיפוש של מאבטחי המשמר ואת סמכותו של מפקד המשמר להנחות את גורמי הביטחון ברשויות שבהן פועלים בתי משפט עמ"ק, בביצוע תפקידי המשמר בבית המשפט. בדברי ההסבר להצעת החוק נכתב, כי ההנחיה נדרשת מכיוון שבמ"ש עמ"ק פועלים לעתים במבנים השייכים לרשות ומאובטחים על ידה. </w:t>
      </w:r>
    </w:p>
    <w:p w:rsidR="003037FB" w:rsidRPr="00247C05" w:rsidP="006221FB">
      <w:pPr>
        <w:spacing w:after="240" w:line="230" w:lineRule="exact"/>
        <w:jc w:val="both"/>
        <w:rPr>
          <w:rFonts w:eastAsia="Calibri" w:cs="FrankRuehl"/>
          <w:sz w:val="20"/>
          <w:szCs w:val="22"/>
          <w:rtl/>
        </w:rPr>
      </w:pPr>
      <w:r w:rsidRPr="00247C05">
        <w:rPr>
          <w:rFonts w:eastAsia="Calibri" w:cs="FrankRuehl" w:hint="cs"/>
          <w:sz w:val="20"/>
          <w:szCs w:val="22"/>
          <w:rtl/>
        </w:rPr>
        <w:t>בתשובתה</w:t>
      </w:r>
      <w:r w:rsidRPr="00247C05">
        <w:rPr>
          <w:rFonts w:eastAsia="Calibri" w:cs="FrankRuehl"/>
          <w:sz w:val="20"/>
          <w:szCs w:val="22"/>
          <w:rtl/>
        </w:rPr>
        <w:t xml:space="preserve"> לביקורת </w:t>
      </w:r>
      <w:r w:rsidRPr="00247C05">
        <w:rPr>
          <w:rFonts w:eastAsia="Calibri" w:cs="FrankRuehl" w:hint="cs"/>
          <w:sz w:val="20"/>
          <w:szCs w:val="22"/>
          <w:rtl/>
        </w:rPr>
        <w:t>הוסיפה הב"ה,</w:t>
      </w:r>
      <w:r w:rsidRPr="00247C05">
        <w:rPr>
          <w:rFonts w:eastAsia="Calibri" w:cs="FrankRuehl"/>
          <w:sz w:val="20"/>
          <w:szCs w:val="22"/>
          <w:rtl/>
        </w:rPr>
        <w:t xml:space="preserve"> כי קיומה של רמת אבטחה אחידה בבתי המשפט </w:t>
      </w:r>
      <w:r w:rsidRPr="00247C05">
        <w:rPr>
          <w:rFonts w:eastAsia="Calibri" w:cs="FrankRuehl" w:hint="cs"/>
          <w:sz w:val="20"/>
          <w:szCs w:val="22"/>
          <w:rtl/>
        </w:rPr>
        <w:t>עמ</w:t>
      </w:r>
      <w:r w:rsidRPr="00247C05">
        <w:rPr>
          <w:rFonts w:eastAsia="Calibri" w:cs="FrankRuehl"/>
          <w:sz w:val="20"/>
          <w:szCs w:val="22"/>
          <w:rtl/>
        </w:rPr>
        <w:t xml:space="preserve">"ק והתאמתה לנוהלי האבטחה של </w:t>
      </w:r>
      <w:r w:rsidRPr="00247C05">
        <w:rPr>
          <w:rFonts w:eastAsia="Calibri" w:cs="FrankRuehl" w:hint="cs"/>
          <w:sz w:val="20"/>
          <w:szCs w:val="22"/>
          <w:rtl/>
        </w:rPr>
        <w:t>המשמר</w:t>
      </w:r>
      <w:r w:rsidRPr="00247C05">
        <w:rPr>
          <w:rFonts w:eastAsia="Calibri" w:cs="FrankRuehl"/>
          <w:sz w:val="20"/>
          <w:szCs w:val="22"/>
          <w:rtl/>
        </w:rPr>
        <w:t xml:space="preserve"> אינה אפשרית ללא הסדר חוקי כדוגמת הצעת </w:t>
      </w:r>
      <w:r w:rsidRPr="00247C05">
        <w:rPr>
          <w:rFonts w:cs="FrankRuehl" w:hint="cs"/>
          <w:sz w:val="20"/>
          <w:szCs w:val="22"/>
          <w:rtl/>
        </w:rPr>
        <w:t>חוק</w:t>
      </w:r>
      <w:r w:rsidRPr="00247C05">
        <w:rPr>
          <w:rFonts w:cs="FrankRuehl"/>
          <w:sz w:val="20"/>
          <w:szCs w:val="22"/>
          <w:rtl/>
        </w:rPr>
        <w:t xml:space="preserve"> בתי המשפט (משמר בתי המשפט), </w:t>
      </w:r>
      <w:r w:rsidRPr="00247C05">
        <w:rPr>
          <w:rFonts w:cs="FrankRuehl" w:hint="cs"/>
          <w:sz w:val="20"/>
          <w:szCs w:val="22"/>
          <w:rtl/>
        </w:rPr>
        <w:t>התשע</w:t>
      </w:r>
      <w:r w:rsidRPr="00247C05">
        <w:rPr>
          <w:rFonts w:cs="FrankRuehl"/>
          <w:sz w:val="20"/>
          <w:szCs w:val="22"/>
          <w:rtl/>
        </w:rPr>
        <w:t>"ה - 2015 שנמצא בהליכי חקיקה</w:t>
      </w:r>
      <w:r w:rsidRPr="00247C05">
        <w:rPr>
          <w:rFonts w:cs="FrankRuehl" w:hint="cs"/>
          <w:sz w:val="20"/>
          <w:szCs w:val="22"/>
          <w:rtl/>
        </w:rPr>
        <w:t>.</w:t>
      </w:r>
    </w:p>
    <w:p w:rsidR="003037FB" w:rsidRPr="00247C05" w:rsidP="006221FB">
      <w:pPr>
        <w:pStyle w:val="RESHET"/>
        <w:keepLines/>
        <w:rPr>
          <w:rtl/>
        </w:rPr>
      </w:pPr>
      <w:r w:rsidRPr="00247C05">
        <w:rPr>
          <w:rFonts w:hint="cs"/>
          <w:rtl/>
        </w:rPr>
        <w:t>נמצא כי עד תום שנת 2015 לא הושלמו ההליכים לתיקון חוק בתי המשפט</w:t>
      </w:r>
      <w:r>
        <w:rPr>
          <w:rStyle w:val="FootnoteReference"/>
          <w:rFonts w:cs="FrankRuehl"/>
          <w:rtl/>
        </w:rPr>
        <w:footnoteReference w:id="34"/>
      </w:r>
      <w:r w:rsidRPr="00247C05">
        <w:rPr>
          <w:rFonts w:hint="cs"/>
          <w:rtl/>
        </w:rPr>
        <w:t>. משכך, וכדי שניתן יהיה לקיים בכל בתי המשפט עמ"ק רמת אבטחה המותאמת לנוהלי האבטחה של המשמר על הב"ה לפנות לרשויות המקומיות ולקבל מידע על מערך האבטחה והמאבטחים בכל בתי המשפט עמ"ק ולוודא כי לכל בתי המשפט יש תכניות אבטחה המקיימות את נוהלי האבטחה של המשמר.</w:t>
      </w:r>
    </w:p>
    <w:p w:rsidR="003037FB" w:rsidP="00040DAE">
      <w:pPr>
        <w:spacing w:after="120" w:line="230" w:lineRule="exact"/>
        <w:jc w:val="both"/>
        <w:rPr>
          <w:rFonts w:cs="FrankRuehl"/>
          <w:b/>
          <w:bCs/>
          <w:sz w:val="20"/>
          <w:szCs w:val="22"/>
          <w:rtl/>
        </w:rPr>
      </w:pPr>
    </w:p>
    <w:p w:rsidR="006221FB" w:rsidRPr="00247C05" w:rsidP="00040DAE">
      <w:pPr>
        <w:spacing w:after="120" w:line="230" w:lineRule="exact"/>
        <w:jc w:val="both"/>
        <w:rPr>
          <w:rFonts w:cs="FrankRuehl"/>
          <w:b/>
          <w:bCs/>
          <w:sz w:val="20"/>
          <w:szCs w:val="22"/>
          <w:rtl/>
        </w:rPr>
      </w:pPr>
    </w:p>
    <w:p w:rsidR="003037FB" w:rsidRPr="00A45E9A" w:rsidP="00040DAE">
      <w:pPr>
        <w:pStyle w:val="KOT4"/>
        <w:rPr>
          <w:rFonts w:eastAsia="Calibri"/>
          <w:rtl/>
        </w:rPr>
      </w:pPr>
      <w:r w:rsidRPr="00A45E9A">
        <w:rPr>
          <w:rFonts w:eastAsia="Calibri" w:hint="cs"/>
          <w:rtl/>
        </w:rPr>
        <w:t>הסדרת האבטחה בבתי משפט עמ"ק</w:t>
      </w:r>
    </w:p>
    <w:p w:rsidR="003037FB" w:rsidRPr="00247C05" w:rsidP="006221FB">
      <w:pPr>
        <w:pStyle w:val="ListParagraph"/>
        <w:numPr>
          <w:ilvl w:val="0"/>
          <w:numId w:val="10"/>
        </w:numPr>
        <w:spacing w:after="240" w:line="230" w:lineRule="exact"/>
        <w:contextualSpacing w:val="0"/>
        <w:jc w:val="both"/>
        <w:rPr>
          <w:rFonts w:ascii="Times New Roman" w:hAnsi="Times New Roman" w:cs="FrankRuehl"/>
          <w:sz w:val="20"/>
          <w:rtl/>
        </w:rPr>
      </w:pPr>
      <w:r w:rsidRPr="00247C05">
        <w:rPr>
          <w:rFonts w:ascii="Times New Roman" w:hAnsi="Times New Roman" w:cs="FrankRuehl" w:hint="cs"/>
          <w:sz w:val="20"/>
          <w:rtl/>
        </w:rPr>
        <w:t>נוהל אבטחת בתי המשפט</w:t>
      </w:r>
      <w:r>
        <w:rPr>
          <w:rStyle w:val="FootnoteReference"/>
          <w:rFonts w:ascii="Times New Roman" w:hAnsi="Times New Roman" w:cs="FrankRuehl"/>
          <w:sz w:val="20"/>
          <w:rtl/>
        </w:rPr>
        <w:footnoteReference w:id="35"/>
      </w:r>
      <w:r w:rsidRPr="00247C05">
        <w:rPr>
          <w:rFonts w:ascii="Times New Roman" w:hAnsi="Times New Roman" w:cs="FrankRuehl" w:hint="cs"/>
          <w:sz w:val="20"/>
          <w:rtl/>
        </w:rPr>
        <w:t xml:space="preserve"> מגדיר את עקרונות האבטחה ואת הגורמים האחראים למענה אבטחתי בבתי המשפט. בנוהל מוסבר, כי מלבד היותם של בתי משפט זרוע שלטונית שקהל רב בא בשעריו - בתי המשפט הם סמל שלטוני שפגיעה בו עלולה לגרום פגיעה בנפש, נזק רב ושיבוש מהלך החיים התקין במדינה. בנוהל נקבע, כי קציני הביטחון במחוזות אחראים לאבטחת בתי המשפט ועליהם לגבש תכניות שונות ובהן תכנית עבודה שנתית. נוסף על כך קובע נוהל בניית תיק שטח ופק"מ מתקן (פקודת מבצע)</w:t>
      </w:r>
      <w:r>
        <w:rPr>
          <w:rStyle w:val="FootnoteReference"/>
          <w:rFonts w:ascii="Times New Roman" w:hAnsi="Times New Roman" w:cs="FrankRuehl"/>
          <w:sz w:val="20"/>
          <w:rtl/>
        </w:rPr>
        <w:footnoteReference w:id="36"/>
      </w:r>
      <w:r w:rsidRPr="00247C05">
        <w:rPr>
          <w:rFonts w:ascii="Times New Roman" w:hAnsi="Times New Roman" w:cs="FrankRuehl" w:hint="cs"/>
          <w:sz w:val="20"/>
          <w:rtl/>
        </w:rPr>
        <w:t>, כי יש להכין תיק שטח לקביעת רמת אבטחה לבתי משפט ולשופטים, ובו יכללו נתונים שבעזרתם ניתן לקבוע ולתכנן את האבטחה בבתי המשפט ואת חלוקת האחריות בין בעלי התפקידים</w:t>
      </w:r>
      <w:r>
        <w:rPr>
          <w:rStyle w:val="FootnoteReference"/>
          <w:rFonts w:ascii="Times New Roman" w:hAnsi="Times New Roman" w:cs="FrankRuehl"/>
          <w:sz w:val="20"/>
          <w:rtl/>
        </w:rPr>
        <w:footnoteReference w:id="37"/>
      </w:r>
      <w:r w:rsidRPr="00247C05">
        <w:rPr>
          <w:rFonts w:ascii="Times New Roman" w:hAnsi="Times New Roman" w:cs="FrankRuehl" w:hint="cs"/>
          <w:sz w:val="20"/>
          <w:rtl/>
        </w:rPr>
        <w:t>.</w:t>
      </w:r>
    </w:p>
    <w:p w:rsidR="003037FB" w:rsidRPr="00247C05" w:rsidP="006221FB">
      <w:pPr>
        <w:pStyle w:val="RESHET"/>
        <w:keepLines/>
        <w:ind w:left="567"/>
        <w:rPr>
          <w:rFonts w:eastAsia="Calibri"/>
          <w:rtl/>
        </w:rPr>
      </w:pPr>
      <w:r w:rsidRPr="00247C05">
        <w:rPr>
          <w:rFonts w:eastAsia="Calibri" w:hint="cs"/>
          <w:rtl/>
        </w:rPr>
        <w:t>מהביקורת עולה,</w:t>
      </w:r>
      <w:r w:rsidRPr="00247C05">
        <w:rPr>
          <w:rFonts w:hint="cs"/>
          <w:rtl/>
        </w:rPr>
        <w:t xml:space="preserve"> </w:t>
      </w:r>
      <w:r w:rsidRPr="00247C05">
        <w:rPr>
          <w:rFonts w:eastAsia="Calibri" w:hint="cs"/>
          <w:rtl/>
        </w:rPr>
        <w:t>כי</w:t>
      </w:r>
      <w:r w:rsidRPr="00247C05">
        <w:rPr>
          <w:rFonts w:eastAsia="Calibri"/>
          <w:rtl/>
        </w:rPr>
        <w:t xml:space="preserve"> </w:t>
      </w:r>
      <w:r w:rsidRPr="00247C05">
        <w:rPr>
          <w:rFonts w:eastAsia="Calibri" w:hint="cs"/>
          <w:rtl/>
        </w:rPr>
        <w:t>לשישה בתי המשפט עמ"ק אין</w:t>
      </w:r>
      <w:r w:rsidRPr="00247C05">
        <w:rPr>
          <w:rFonts w:eastAsia="Calibri"/>
          <w:rtl/>
        </w:rPr>
        <w:t xml:space="preserve"> </w:t>
      </w:r>
      <w:r w:rsidRPr="00247C05">
        <w:rPr>
          <w:rFonts w:eastAsia="Calibri" w:hint="cs"/>
          <w:rtl/>
        </w:rPr>
        <w:t>תכנית</w:t>
      </w:r>
      <w:r w:rsidRPr="00247C05">
        <w:rPr>
          <w:rFonts w:eastAsia="Calibri"/>
          <w:rtl/>
        </w:rPr>
        <w:t xml:space="preserve"> </w:t>
      </w:r>
      <w:r w:rsidRPr="00247C05">
        <w:rPr>
          <w:rFonts w:eastAsia="Calibri" w:hint="cs"/>
          <w:rtl/>
        </w:rPr>
        <w:t>עבודה</w:t>
      </w:r>
      <w:r w:rsidRPr="00247C05">
        <w:rPr>
          <w:rFonts w:eastAsia="Calibri"/>
          <w:rtl/>
        </w:rPr>
        <w:t xml:space="preserve"> </w:t>
      </w:r>
      <w:r w:rsidRPr="00247C05">
        <w:rPr>
          <w:rFonts w:eastAsia="Calibri" w:hint="cs"/>
          <w:rtl/>
        </w:rPr>
        <w:t>ותיקי</w:t>
      </w:r>
      <w:r w:rsidRPr="00247C05">
        <w:rPr>
          <w:rFonts w:eastAsia="Calibri"/>
          <w:rtl/>
        </w:rPr>
        <w:t xml:space="preserve"> </w:t>
      </w:r>
      <w:r w:rsidRPr="00247C05">
        <w:rPr>
          <w:rFonts w:eastAsia="Calibri" w:hint="cs"/>
          <w:rtl/>
        </w:rPr>
        <w:t>שטח</w:t>
      </w:r>
      <w:r w:rsidRPr="00247C05">
        <w:rPr>
          <w:rFonts w:eastAsia="Calibri"/>
          <w:i/>
          <w:iCs/>
          <w:rtl/>
        </w:rPr>
        <w:t>.</w:t>
      </w:r>
      <w:r w:rsidRPr="00247C05">
        <w:rPr>
          <w:rFonts w:eastAsia="Calibri"/>
          <w:rtl/>
        </w:rPr>
        <w:t xml:space="preserve"> </w:t>
      </w:r>
      <w:r w:rsidRPr="00247C05">
        <w:rPr>
          <w:rFonts w:eastAsia="Calibri" w:hint="cs"/>
          <w:rtl/>
        </w:rPr>
        <w:t>מהנתונים</w:t>
      </w:r>
      <w:r w:rsidRPr="00247C05">
        <w:rPr>
          <w:rFonts w:eastAsia="Calibri"/>
          <w:rtl/>
        </w:rPr>
        <w:t xml:space="preserve"> שנמסרו לביקורת </w:t>
      </w:r>
      <w:r w:rsidRPr="00247C05">
        <w:rPr>
          <w:rFonts w:eastAsia="Calibri" w:hint="cs"/>
          <w:rtl/>
        </w:rPr>
        <w:t>עולה</w:t>
      </w:r>
      <w:r w:rsidRPr="00247C05">
        <w:rPr>
          <w:rFonts w:eastAsia="Calibri"/>
          <w:rtl/>
        </w:rPr>
        <w:t xml:space="preserve"> </w:t>
      </w:r>
      <w:r w:rsidRPr="00247C05">
        <w:rPr>
          <w:rFonts w:eastAsia="Calibri" w:hint="cs"/>
          <w:rtl/>
        </w:rPr>
        <w:t>גם, שלמשמר</w:t>
      </w:r>
      <w:r w:rsidRPr="00247C05">
        <w:rPr>
          <w:rFonts w:eastAsia="Calibri"/>
          <w:rtl/>
        </w:rPr>
        <w:t xml:space="preserve"> בתי המשפט </w:t>
      </w:r>
      <w:r w:rsidRPr="00247C05">
        <w:rPr>
          <w:rFonts w:eastAsia="Calibri" w:hint="cs"/>
          <w:rtl/>
        </w:rPr>
        <w:t>אין</w:t>
      </w:r>
      <w:r w:rsidRPr="00247C05">
        <w:rPr>
          <w:rFonts w:eastAsia="Calibri"/>
          <w:rtl/>
        </w:rPr>
        <w:t xml:space="preserve"> </w:t>
      </w:r>
      <w:r w:rsidRPr="00247C05">
        <w:rPr>
          <w:rFonts w:eastAsia="Calibri" w:hint="cs"/>
          <w:rtl/>
        </w:rPr>
        <w:t>מידע</w:t>
      </w:r>
      <w:r w:rsidRPr="00247C05">
        <w:rPr>
          <w:rFonts w:eastAsia="Calibri"/>
          <w:rtl/>
        </w:rPr>
        <w:t xml:space="preserve"> על אבטחת בתי המשפט </w:t>
      </w:r>
      <w:r w:rsidRPr="00247C05">
        <w:rPr>
          <w:rFonts w:eastAsia="Calibri" w:hint="cs"/>
          <w:rtl/>
        </w:rPr>
        <w:t>עמ</w:t>
      </w:r>
      <w:r w:rsidRPr="00247C05">
        <w:rPr>
          <w:rFonts w:eastAsia="Calibri"/>
          <w:rtl/>
        </w:rPr>
        <w:t xml:space="preserve">"ק </w:t>
      </w:r>
      <w:r w:rsidRPr="00247C05">
        <w:rPr>
          <w:rFonts w:eastAsia="Calibri" w:hint="cs"/>
          <w:rtl/>
        </w:rPr>
        <w:t xml:space="preserve">אלה </w:t>
      </w:r>
      <w:r w:rsidRPr="00247C05">
        <w:rPr>
          <w:rFonts w:eastAsia="Calibri"/>
          <w:rtl/>
        </w:rPr>
        <w:t xml:space="preserve">במועדים </w:t>
      </w:r>
      <w:r w:rsidRPr="00247C05">
        <w:rPr>
          <w:rFonts w:eastAsia="Calibri" w:hint="cs"/>
          <w:rtl/>
        </w:rPr>
        <w:t>ש</w:t>
      </w:r>
      <w:r w:rsidRPr="00247C05">
        <w:rPr>
          <w:rFonts w:eastAsia="Calibri"/>
          <w:rtl/>
        </w:rPr>
        <w:t xml:space="preserve">בהם הוא אינו מאבטח את </w:t>
      </w:r>
      <w:r w:rsidRPr="00247C05">
        <w:rPr>
          <w:rFonts w:eastAsia="Calibri" w:hint="cs"/>
          <w:rtl/>
        </w:rPr>
        <w:t>השופטים ב</w:t>
      </w:r>
      <w:r w:rsidRPr="00247C05">
        <w:rPr>
          <w:rFonts w:eastAsia="Calibri"/>
          <w:rtl/>
        </w:rPr>
        <w:t xml:space="preserve">בתי המשפט. </w:t>
      </w:r>
    </w:p>
    <w:p w:rsidR="003037FB" w:rsidRPr="00247C05" w:rsidP="006221FB">
      <w:pPr>
        <w:pStyle w:val="ListParagraph"/>
        <w:numPr>
          <w:ilvl w:val="0"/>
          <w:numId w:val="10"/>
        </w:numPr>
        <w:spacing w:before="180" w:after="120" w:line="230" w:lineRule="exact"/>
        <w:contextualSpacing w:val="0"/>
        <w:jc w:val="both"/>
        <w:rPr>
          <w:rFonts w:ascii="Times New Roman" w:eastAsia="Calibri" w:hAnsi="Times New Roman" w:cs="FrankRuehl"/>
          <w:sz w:val="20"/>
          <w:rtl/>
        </w:rPr>
      </w:pPr>
      <w:r w:rsidRPr="00247C05">
        <w:rPr>
          <w:rFonts w:ascii="Times New Roman" w:eastAsia="Calibri" w:hAnsi="Times New Roman" w:cs="FrankRuehl" w:hint="cs"/>
          <w:sz w:val="20"/>
          <w:rtl/>
        </w:rPr>
        <w:t>חוות הדעת מדצמבר 2012, קבעה תבחינים בנוגע להיקפה ולתדירותה של האבטחה בבתי המשפט עמ"ק. לפיהם - בבתי משפט שבהם מתקיימים עד שני ימי דיונים בשבוע - משמר בתי המשפט מלווה ומאבטח את השופט בלבד, ואילו אבטחת המבנה ויתר האורגנים הפועלים בו הם באחריותה של הרשות המקומית בכל ימות השבוע לרבות ימי דיונים.</w:t>
      </w:r>
    </w:p>
    <w:p w:rsidR="003037FB" w:rsidRPr="00247C05" w:rsidP="00040DAE">
      <w:pPr>
        <w:spacing w:after="120" w:line="230" w:lineRule="exact"/>
        <w:ind w:left="340"/>
        <w:jc w:val="both"/>
        <w:rPr>
          <w:rFonts w:eastAsia="Calibri" w:cs="FrankRuehl"/>
          <w:sz w:val="20"/>
          <w:szCs w:val="22"/>
          <w:rtl/>
        </w:rPr>
      </w:pPr>
      <w:r w:rsidRPr="00247C05">
        <w:rPr>
          <w:rFonts w:eastAsia="Calibri" w:cs="FrankRuehl" w:hint="cs"/>
          <w:sz w:val="20"/>
          <w:szCs w:val="22"/>
          <w:rtl/>
        </w:rPr>
        <w:t xml:space="preserve">בתשובות לשאלונים נדרשו בתי המשפט לעניינים מקומיים להגיב גם בנושאים הנוגעים לאבטחת בתי המשפט. מהתשובות הנוגעות לבתי המשפט עמ"ק עלה: </w:t>
      </w:r>
    </w:p>
    <w:p w:rsidR="003037FB" w:rsidRPr="00247C05" w:rsidP="006221FB">
      <w:pPr>
        <w:pStyle w:val="ListParagraph"/>
        <w:numPr>
          <w:ilvl w:val="0"/>
          <w:numId w:val="9"/>
        </w:numPr>
        <w:spacing w:after="120" w:line="230" w:lineRule="exact"/>
        <w:ind w:left="680" w:hanging="340"/>
        <w:contextualSpacing w:val="0"/>
        <w:jc w:val="both"/>
        <w:rPr>
          <w:rFonts w:ascii="Times New Roman" w:hAnsi="Times New Roman" w:cs="FrankRuehl"/>
          <w:sz w:val="20"/>
          <w:rtl/>
        </w:rPr>
      </w:pPr>
      <w:r w:rsidRPr="00247C05">
        <w:rPr>
          <w:rFonts w:ascii="Times New Roman" w:hAnsi="Times New Roman" w:cs="FrankRuehl" w:hint="cs"/>
          <w:sz w:val="20"/>
          <w:rtl/>
        </w:rPr>
        <w:t>בשניים מבתי המשפט יש אבטחה של משמר בתי המשפט וגם אבטחה של הרשות המקומית</w:t>
      </w:r>
      <w:r>
        <w:rPr>
          <w:rStyle w:val="FootnoteReference"/>
          <w:rFonts w:ascii="Times New Roman" w:hAnsi="Times New Roman" w:cs="FrankRuehl"/>
          <w:sz w:val="20"/>
          <w:rtl/>
        </w:rPr>
        <w:footnoteReference w:id="38"/>
      </w:r>
      <w:r w:rsidRPr="00247C05">
        <w:rPr>
          <w:rFonts w:ascii="Times New Roman" w:hAnsi="Times New Roman" w:cs="FrankRuehl" w:hint="cs"/>
          <w:sz w:val="20"/>
          <w:rtl/>
        </w:rPr>
        <w:t xml:space="preserve">. </w:t>
      </w:r>
    </w:p>
    <w:p w:rsidR="003037FB" w:rsidRPr="00247C05" w:rsidP="006221FB">
      <w:pPr>
        <w:pStyle w:val="ListParagraph"/>
        <w:numPr>
          <w:ilvl w:val="0"/>
          <w:numId w:val="9"/>
        </w:numPr>
        <w:spacing w:after="120" w:line="230" w:lineRule="exact"/>
        <w:ind w:left="680" w:hanging="340"/>
        <w:contextualSpacing w:val="0"/>
        <w:jc w:val="both"/>
        <w:rPr>
          <w:rFonts w:ascii="Times New Roman" w:eastAsia="Calibri" w:hAnsi="Times New Roman" w:cs="FrankRuehl"/>
          <w:sz w:val="20"/>
        </w:rPr>
      </w:pPr>
      <w:r w:rsidRPr="00247C05">
        <w:rPr>
          <w:rFonts w:ascii="Times New Roman" w:hAnsi="Times New Roman" w:cs="FrankRuehl" w:hint="cs"/>
          <w:sz w:val="20"/>
          <w:rtl/>
        </w:rPr>
        <w:t xml:space="preserve">בשישה בתי משפט </w:t>
      </w:r>
      <w:r w:rsidRPr="00247C05">
        <w:rPr>
          <w:rFonts w:ascii="Times New Roman" w:eastAsia="Calibri" w:hAnsi="Times New Roman" w:cs="FrankRuehl" w:hint="cs"/>
          <w:sz w:val="20"/>
          <w:rtl/>
        </w:rPr>
        <w:t xml:space="preserve">שבקבוצה ג' </w:t>
      </w:r>
      <w:r w:rsidRPr="00247C05">
        <w:rPr>
          <w:rFonts w:ascii="Times New Roman" w:hAnsi="Times New Roman" w:cs="FrankRuehl" w:hint="cs"/>
          <w:sz w:val="20"/>
          <w:rtl/>
        </w:rPr>
        <w:t xml:space="preserve">המשמר מאבטח את השופט בימי הדיונים, ואולם הרשות המקומית לא הציבה מאבטחים מטעמה לאבטחת המבנה של בית המשפט, העובדים בו והבאים בשעריו. </w:t>
      </w:r>
    </w:p>
    <w:p w:rsidR="003037FB" w:rsidRPr="00247C05" w:rsidP="006221FB">
      <w:pPr>
        <w:spacing w:after="120" w:line="230" w:lineRule="exact"/>
        <w:ind w:left="680"/>
        <w:jc w:val="both"/>
        <w:rPr>
          <w:rFonts w:cs="FrankRuehl"/>
          <w:sz w:val="20"/>
          <w:szCs w:val="22"/>
        </w:rPr>
      </w:pPr>
      <w:r w:rsidRPr="00247C05">
        <w:rPr>
          <w:rFonts w:cs="FrankRuehl" w:hint="cs"/>
          <w:sz w:val="20"/>
          <w:szCs w:val="22"/>
          <w:rtl/>
        </w:rPr>
        <w:t>בתשובה של שתי עיריות למשרד מבקר המדינה כתבה אחת מהן, כי תפעל לאבטחת במ</w:t>
      </w:r>
      <w:r w:rsidRPr="00247C05">
        <w:rPr>
          <w:rFonts w:cs="FrankRuehl"/>
          <w:sz w:val="20"/>
          <w:szCs w:val="22"/>
          <w:rtl/>
        </w:rPr>
        <w:t>"</w:t>
      </w:r>
      <w:r w:rsidRPr="00247C05">
        <w:rPr>
          <w:rFonts w:cs="FrankRuehl" w:hint="cs"/>
          <w:sz w:val="20"/>
          <w:szCs w:val="22"/>
          <w:rtl/>
        </w:rPr>
        <w:t>ש עמ"ק בעיר גם בימים שבהם אין דיונים. השנייה הודיעה בתשובתה מינואר 2016, כי החל באוקטובר 2015 התחיל משמר בתי המשפט לאבטח את במ</w:t>
      </w:r>
      <w:r w:rsidRPr="00247C05">
        <w:rPr>
          <w:rFonts w:cs="FrankRuehl"/>
          <w:sz w:val="20"/>
          <w:szCs w:val="22"/>
          <w:rtl/>
        </w:rPr>
        <w:t>"</w:t>
      </w:r>
      <w:r w:rsidRPr="00247C05">
        <w:rPr>
          <w:rFonts w:cs="FrankRuehl" w:hint="cs"/>
          <w:sz w:val="20"/>
          <w:szCs w:val="22"/>
          <w:rtl/>
        </w:rPr>
        <w:t>ש עמ"ק גם בימים שבהם אין דיונים.</w:t>
      </w:r>
    </w:p>
    <w:p w:rsidR="003037FB" w:rsidRPr="00247C05" w:rsidP="006221FB">
      <w:pPr>
        <w:pStyle w:val="ListParagraph"/>
        <w:spacing w:after="240" w:line="230" w:lineRule="exact"/>
        <w:ind w:left="340"/>
        <w:contextualSpacing w:val="0"/>
        <w:jc w:val="both"/>
        <w:rPr>
          <w:rFonts w:ascii="Times New Roman" w:eastAsia="Calibri" w:hAnsi="Times New Roman" w:cs="FrankRuehl"/>
          <w:sz w:val="20"/>
          <w:rtl/>
        </w:rPr>
      </w:pPr>
      <w:r w:rsidRPr="00247C05">
        <w:rPr>
          <w:rFonts w:ascii="Times New Roman" w:hAnsi="Times New Roman" w:cs="FrankRuehl" w:hint="cs"/>
          <w:sz w:val="20"/>
          <w:rtl/>
        </w:rPr>
        <w:t>נוהלי</w:t>
      </w:r>
      <w:r w:rsidRPr="00247C05">
        <w:rPr>
          <w:rFonts w:ascii="Times New Roman" w:hAnsi="Times New Roman" w:cs="FrankRuehl"/>
          <w:sz w:val="20"/>
          <w:rtl/>
        </w:rPr>
        <w:t xml:space="preserve"> האבטחה של משמר בתי המשפט קובעים את הנורמות והמאפיינים הדרושים במערך האבטחה של כלל בתי המשפט. </w:t>
      </w:r>
      <w:r w:rsidRPr="00247C05">
        <w:rPr>
          <w:rFonts w:ascii="Times New Roman" w:eastAsia="Calibri" w:hAnsi="Times New Roman" w:cs="FrankRuehl" w:hint="cs"/>
          <w:sz w:val="20"/>
          <w:rtl/>
        </w:rPr>
        <w:t>הדעת</w:t>
      </w:r>
      <w:r w:rsidRPr="00247C05">
        <w:rPr>
          <w:rFonts w:ascii="Times New Roman" w:eastAsia="Calibri" w:hAnsi="Times New Roman" w:cs="FrankRuehl"/>
          <w:sz w:val="20"/>
          <w:rtl/>
        </w:rPr>
        <w:t xml:space="preserve"> נותנת כי על המשמר לקבל מהרשויות המקומיות מידע על מערך האבטחה והמאבטחים בבתי המשפט </w:t>
      </w:r>
      <w:r w:rsidRPr="00247C05">
        <w:rPr>
          <w:rFonts w:ascii="Times New Roman" w:eastAsia="Calibri" w:hAnsi="Times New Roman" w:cs="FrankRuehl" w:hint="cs"/>
          <w:sz w:val="20"/>
          <w:rtl/>
        </w:rPr>
        <w:t>כדי שיוכלו</w:t>
      </w:r>
      <w:r w:rsidRPr="00247C05">
        <w:rPr>
          <w:rFonts w:ascii="Times New Roman" w:eastAsia="Calibri" w:hAnsi="Times New Roman" w:cs="FrankRuehl"/>
          <w:sz w:val="20"/>
          <w:rtl/>
        </w:rPr>
        <w:t xml:space="preserve"> לקיים את הנורמות והמאפיינים הללו</w:t>
      </w:r>
      <w:r w:rsidRPr="00247C05">
        <w:rPr>
          <w:rFonts w:ascii="Times New Roman" w:eastAsia="Calibri" w:hAnsi="Times New Roman" w:cs="FrankRuehl" w:hint="cs"/>
          <w:sz w:val="20"/>
          <w:rtl/>
        </w:rPr>
        <w:t>.</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מנתונים שמסר מפקד המשמר למשרד מבקר המדינה עולה, שהמשמר קובע את צורכי האבטחה בבתי משפט עמ"ק רק במקרים שבהם הרשות המקומית מבקשת להשתמש בשירותיו. עוד עלה שלא</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נעשות פניות יזומות לרשויות</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המקומיות</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כדי</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לקבל</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מידע</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על</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האבטחה</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בבתי</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משפט</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אלה</w:t>
      </w:r>
      <w:r w:rsidRPr="00247C05">
        <w:rPr>
          <w:rFonts w:ascii="Times New Roman" w:eastAsia="Calibri" w:hAnsi="Times New Roman" w:cs="FrankRuehl"/>
          <w:sz w:val="20"/>
          <w:rtl/>
        </w:rPr>
        <w:t>.</w:t>
      </w:r>
      <w:r w:rsidRPr="00247C05">
        <w:rPr>
          <w:rFonts w:ascii="Times New Roman" w:eastAsia="Calibri" w:hAnsi="Times New Roman" w:cs="FrankRuehl" w:hint="cs"/>
          <w:sz w:val="20"/>
          <w:rtl/>
        </w:rPr>
        <w:t xml:space="preserve"> </w:t>
      </w:r>
    </w:p>
    <w:p w:rsidR="003037FB" w:rsidRPr="00247C05" w:rsidP="006221FB">
      <w:pPr>
        <w:pStyle w:val="RESHET"/>
        <w:keepLines/>
        <w:ind w:left="567"/>
        <w:rPr>
          <w:rtl/>
        </w:rPr>
      </w:pPr>
      <w:r w:rsidRPr="00247C05">
        <w:rPr>
          <w:rFonts w:hint="cs"/>
          <w:rtl/>
        </w:rPr>
        <w:t>יוער כי מעמדם של בתי המשפט לעניינים מקומיים מקביל למעמדם של בתי משפט שלום, ומשמר בתי המשפט הוא הגוף המוסמך לאשר את רמת האבטחה בבתי המשפט האלה ואת היקפה. לדעת משרד</w:t>
      </w:r>
      <w:r w:rsidRPr="00247C05">
        <w:rPr>
          <w:rtl/>
        </w:rPr>
        <w:t xml:space="preserve"> </w:t>
      </w:r>
      <w:r w:rsidRPr="00247C05">
        <w:rPr>
          <w:rFonts w:hint="cs"/>
          <w:rtl/>
        </w:rPr>
        <w:t>מבקר</w:t>
      </w:r>
      <w:r w:rsidRPr="00247C05">
        <w:rPr>
          <w:rtl/>
        </w:rPr>
        <w:t xml:space="preserve"> </w:t>
      </w:r>
      <w:r w:rsidRPr="00247C05">
        <w:rPr>
          <w:rFonts w:hint="cs"/>
          <w:rtl/>
        </w:rPr>
        <w:t>המדינה -</w:t>
      </w:r>
      <w:r w:rsidRPr="00247C05">
        <w:rPr>
          <w:rtl/>
        </w:rPr>
        <w:t xml:space="preserve"> </w:t>
      </w:r>
      <w:r w:rsidRPr="00247C05">
        <w:rPr>
          <w:rFonts w:hint="cs"/>
          <w:rtl/>
        </w:rPr>
        <w:t>יש</w:t>
      </w:r>
      <w:r w:rsidRPr="00247C05">
        <w:rPr>
          <w:rtl/>
        </w:rPr>
        <w:t xml:space="preserve"> להתייחס ל</w:t>
      </w:r>
      <w:r w:rsidRPr="00247C05">
        <w:rPr>
          <w:rFonts w:hint="cs"/>
          <w:rtl/>
        </w:rPr>
        <w:t>נושא האבטחה של בתי</w:t>
      </w:r>
      <w:r w:rsidRPr="00247C05">
        <w:rPr>
          <w:rtl/>
        </w:rPr>
        <w:t xml:space="preserve"> </w:t>
      </w:r>
      <w:r w:rsidRPr="00247C05">
        <w:rPr>
          <w:rFonts w:hint="cs"/>
          <w:rtl/>
        </w:rPr>
        <w:t>המשפט</w:t>
      </w:r>
      <w:r w:rsidRPr="00247C05">
        <w:rPr>
          <w:rtl/>
        </w:rPr>
        <w:t xml:space="preserve"> </w:t>
      </w:r>
      <w:r w:rsidRPr="00247C05">
        <w:rPr>
          <w:rFonts w:hint="cs"/>
          <w:rtl/>
        </w:rPr>
        <w:t>עמ</w:t>
      </w:r>
      <w:r w:rsidRPr="00247C05">
        <w:rPr>
          <w:rtl/>
        </w:rPr>
        <w:t xml:space="preserve">"ק כאל נקודת תורפה </w:t>
      </w:r>
      <w:r w:rsidRPr="00247C05">
        <w:rPr>
          <w:rFonts w:hint="cs"/>
          <w:rtl/>
        </w:rPr>
        <w:t>הדורשת טיפול.</w:t>
      </w:r>
    </w:p>
    <w:p w:rsidR="003037FB" w:rsidRPr="00247C05" w:rsidP="006221FB">
      <w:pPr>
        <w:spacing w:before="180" w:after="240" w:line="230" w:lineRule="exact"/>
        <w:ind w:left="283"/>
        <w:jc w:val="both"/>
        <w:rPr>
          <w:rFonts w:cs="FrankRuehl"/>
          <w:sz w:val="20"/>
          <w:szCs w:val="22"/>
          <w:rtl/>
        </w:rPr>
      </w:pPr>
      <w:r w:rsidRPr="00247C05">
        <w:rPr>
          <w:rFonts w:cs="FrankRuehl" w:hint="cs"/>
          <w:sz w:val="20"/>
          <w:szCs w:val="22"/>
          <w:rtl/>
        </w:rPr>
        <w:t xml:space="preserve">בתשובת מרכז השלטון המקומי נמסר, כי ראש מינהל ביטחון וחרום קיים ב- 2012 דיונים עם נציגי הב"ה ובהם הוחלט כי ככל שתתעורר בעיה בנושא אבטחה באחת הרשויות תתקיים הידברות ביניהם ובין נציגי הב"ה והרשות המקומית למציאת פתרון. </w:t>
      </w:r>
    </w:p>
    <w:p w:rsidR="003037FB" w:rsidRPr="00247C05" w:rsidP="006221FB">
      <w:pPr>
        <w:pStyle w:val="RESHET"/>
        <w:keepLines/>
        <w:ind w:left="567"/>
        <w:rPr>
          <w:rFonts w:eastAsia="Calibri"/>
          <w:rtl/>
        </w:rPr>
      </w:pPr>
      <w:r w:rsidRPr="00247C05">
        <w:rPr>
          <w:rFonts w:hint="cs"/>
          <w:rtl/>
        </w:rPr>
        <w:t xml:space="preserve">לדעת משרד מבקר המדינה, לנוכח תפיסת האבטחה כפי שהיא באה לידי ביטוי באמנת המשמר ובנהליו </w:t>
      </w:r>
      <w:r w:rsidRPr="00247C05">
        <w:rPr>
          <w:rtl/>
        </w:rPr>
        <w:t>-</w:t>
      </w:r>
      <w:r w:rsidRPr="00247C05">
        <w:rPr>
          <w:rFonts w:hint="cs"/>
          <w:rtl/>
        </w:rPr>
        <w:t xml:space="preserve"> על המשמר להבטיח רמת אבטחה שמותאמת לסטנדרטים ולתבחינים הנהוגים בכלל בתי המשפט. </w:t>
      </w:r>
      <w:r w:rsidRPr="00247C05">
        <w:rPr>
          <w:rFonts w:eastAsia="Calibri" w:hint="cs"/>
          <w:rtl/>
        </w:rPr>
        <w:t xml:space="preserve">הנהלת בתי המשפט </w:t>
      </w:r>
      <w:r w:rsidRPr="00247C05">
        <w:rPr>
          <w:rFonts w:hint="cs"/>
          <w:rtl/>
        </w:rPr>
        <w:t xml:space="preserve">נדרשת </w:t>
      </w:r>
      <w:r w:rsidRPr="00247C05">
        <w:rPr>
          <w:rFonts w:eastAsia="Calibri" w:hint="cs"/>
          <w:rtl/>
        </w:rPr>
        <w:t>לבחון דרכי פעולה משותפות נוספות עם הרשויות המקומיות ועם כל גורם שמייצג אותן בנושא הסדרת האבטחה בבתי המשפט עמ"ק.</w:t>
      </w:r>
    </w:p>
    <w:p w:rsidR="003037FB" w:rsidP="00040DAE">
      <w:pPr>
        <w:spacing w:after="120" w:line="230" w:lineRule="exact"/>
        <w:jc w:val="both"/>
        <w:rPr>
          <w:rFonts w:cs="FrankRuehl"/>
          <w:sz w:val="20"/>
          <w:szCs w:val="22"/>
          <w:rtl/>
        </w:rPr>
      </w:pPr>
    </w:p>
    <w:p w:rsidR="006221FB" w:rsidRPr="00247C05" w:rsidP="00040DAE">
      <w:pPr>
        <w:spacing w:after="120" w:line="230" w:lineRule="exact"/>
        <w:jc w:val="both"/>
        <w:rPr>
          <w:rFonts w:cs="FrankRuehl"/>
          <w:sz w:val="20"/>
          <w:szCs w:val="22"/>
          <w:rtl/>
        </w:rPr>
      </w:pPr>
    </w:p>
    <w:p w:rsidR="003037FB" w:rsidRPr="00A45E9A" w:rsidP="00040DAE">
      <w:pPr>
        <w:pStyle w:val="KOT4"/>
        <w:rPr>
          <w:rFonts w:eastAsia="Calibri"/>
          <w:rtl/>
        </w:rPr>
      </w:pPr>
      <w:r w:rsidRPr="00A45E9A">
        <w:rPr>
          <w:rFonts w:eastAsia="Calibri" w:hint="cs"/>
          <w:rtl/>
        </w:rPr>
        <w:t xml:space="preserve">הכשרת מאבטחים </w:t>
      </w:r>
    </w:p>
    <w:p w:rsidR="003037FB" w:rsidRPr="00247C05" w:rsidP="00040DAE">
      <w:pPr>
        <w:spacing w:after="120" w:line="230" w:lineRule="exact"/>
        <w:jc w:val="both"/>
        <w:rPr>
          <w:rFonts w:cs="FrankRuehl"/>
          <w:sz w:val="20"/>
          <w:szCs w:val="22"/>
          <w:rtl/>
        </w:rPr>
      </w:pPr>
      <w:r w:rsidRPr="00247C05">
        <w:rPr>
          <w:rFonts w:cs="FrankRuehl" w:hint="cs"/>
          <w:sz w:val="20"/>
          <w:szCs w:val="22"/>
          <w:rtl/>
        </w:rPr>
        <w:t xml:space="preserve">בנוהל אבטחת בתי המשפט נקבע, כי על קציני הביטחון במחוזות לוודא כי מאבטחי יחידת המשמר בקיאים בנוהלי האבטחה ובנוהלי הפעולה המבצעיים, והם מוכשרים לפעול בעת אירוע ביטחוני; על קציני הביטחון במחוזות לפעול להחדרתם של התודעה הביטחונית וכללי הפעולה המבצעיים ליחידת המשמר שבאחריותם; לדאוג לכך שהיחידה תהיה מתורגלת ומאומנת ולקיים תדרוכים לחידוד, ליבון ומתן דגשים בסוגיות ובנושאי אבטחה שונים. כמו כן עליהם לתאם תכנית אימון שנתית עם בית הספר של המשמר ולקיים הכשרות מקצועיות ליחידת המשמר. </w:t>
      </w:r>
    </w:p>
    <w:p w:rsidR="003037FB" w:rsidRPr="00247C05" w:rsidP="006221FB">
      <w:pPr>
        <w:spacing w:after="240" w:line="230" w:lineRule="exact"/>
        <w:jc w:val="both"/>
        <w:rPr>
          <w:rFonts w:cs="FrankRuehl"/>
          <w:sz w:val="20"/>
          <w:szCs w:val="22"/>
          <w:rtl/>
        </w:rPr>
      </w:pPr>
      <w:r w:rsidRPr="00247C05">
        <w:rPr>
          <w:rFonts w:cs="FrankRuehl" w:hint="cs"/>
          <w:sz w:val="20"/>
          <w:szCs w:val="22"/>
          <w:rtl/>
        </w:rPr>
        <w:t>משמר בתי המשפט קבע קריטריונים לבחירת מאבטחים בבתי המשפט כגון: בוגרי קורס להכשרת מאבטחי משמר בתי המשפט; שירות סדיר מלא בצה"ל; בוגרי מערך לוחם (גברים) או קורס פיקודי עם עדיפות למקצוע תומך לחימה (נשים) ובריאות תקינה</w:t>
      </w:r>
      <w:r>
        <w:rPr>
          <w:rStyle w:val="FootnoteReference"/>
          <w:rFonts w:cs="FrankRuehl"/>
          <w:sz w:val="20"/>
          <w:szCs w:val="22"/>
          <w:rtl/>
        </w:rPr>
        <w:footnoteReference w:id="39"/>
      </w:r>
      <w:r w:rsidRPr="00247C05">
        <w:rPr>
          <w:rFonts w:cs="FrankRuehl" w:hint="cs"/>
          <w:sz w:val="20"/>
          <w:szCs w:val="22"/>
          <w:rtl/>
        </w:rPr>
        <w:t xml:space="preserve">. </w:t>
      </w:r>
    </w:p>
    <w:p w:rsidR="003037FB" w:rsidRPr="00247C05" w:rsidP="006221FB">
      <w:pPr>
        <w:pStyle w:val="RESHET"/>
        <w:keepLines/>
        <w:rPr>
          <w:rFonts w:eastAsia="Calibri"/>
          <w:rtl/>
        </w:rPr>
      </w:pPr>
      <w:r w:rsidRPr="00247C05">
        <w:rPr>
          <w:rFonts w:eastAsia="Calibri" w:hint="cs"/>
          <w:rtl/>
        </w:rPr>
        <w:t>בין</w:t>
      </w:r>
      <w:r w:rsidRPr="00247C05">
        <w:rPr>
          <w:rFonts w:eastAsia="Calibri"/>
          <w:rtl/>
        </w:rPr>
        <w:t xml:space="preserve"> השנים 2014-2010 קיים משמר בתי המשפט עשרות הדרכות לשמירת כשירות </w:t>
      </w:r>
      <w:r w:rsidRPr="00247C05">
        <w:rPr>
          <w:rFonts w:eastAsia="Calibri" w:hint="cs"/>
          <w:rtl/>
        </w:rPr>
        <w:t>ה</w:t>
      </w:r>
      <w:r w:rsidRPr="00247C05">
        <w:rPr>
          <w:rFonts w:eastAsia="Calibri"/>
          <w:rtl/>
        </w:rPr>
        <w:t xml:space="preserve">מאבטחים של </w:t>
      </w:r>
      <w:r w:rsidRPr="00247C05">
        <w:rPr>
          <w:rFonts w:eastAsia="Calibri" w:hint="cs"/>
          <w:rtl/>
        </w:rPr>
        <w:t>המשמר</w:t>
      </w:r>
      <w:r w:rsidRPr="00247C05">
        <w:rPr>
          <w:rFonts w:eastAsia="Calibri"/>
          <w:rtl/>
        </w:rPr>
        <w:t xml:space="preserve"> </w:t>
      </w:r>
      <w:r w:rsidRPr="00247C05">
        <w:rPr>
          <w:rFonts w:eastAsia="Calibri" w:hint="cs"/>
          <w:rtl/>
        </w:rPr>
        <w:t>ובהם</w:t>
      </w:r>
      <w:r w:rsidRPr="00247C05">
        <w:rPr>
          <w:rFonts w:eastAsia="Calibri"/>
          <w:rtl/>
        </w:rPr>
        <w:t xml:space="preserve"> </w:t>
      </w:r>
      <w:r w:rsidRPr="00247C05">
        <w:rPr>
          <w:rFonts w:eastAsia="Calibri" w:hint="cs"/>
          <w:rtl/>
        </w:rPr>
        <w:t>- כיבוי</w:t>
      </w:r>
      <w:r w:rsidRPr="00247C05">
        <w:rPr>
          <w:rFonts w:eastAsia="Calibri"/>
          <w:rtl/>
        </w:rPr>
        <w:t xml:space="preserve"> </w:t>
      </w:r>
      <w:r w:rsidRPr="00247C05">
        <w:rPr>
          <w:rFonts w:eastAsia="Calibri" w:hint="cs"/>
          <w:rtl/>
        </w:rPr>
        <w:t>אש</w:t>
      </w:r>
      <w:r w:rsidRPr="00247C05">
        <w:rPr>
          <w:rFonts w:eastAsia="Calibri"/>
          <w:rtl/>
        </w:rPr>
        <w:t xml:space="preserve">, </w:t>
      </w:r>
      <w:r w:rsidRPr="00247C05">
        <w:rPr>
          <w:rFonts w:eastAsia="Calibri" w:hint="cs"/>
          <w:rtl/>
        </w:rPr>
        <w:t>חבלה</w:t>
      </w:r>
      <w:r w:rsidRPr="00247C05">
        <w:rPr>
          <w:rFonts w:eastAsia="Calibri"/>
          <w:rtl/>
        </w:rPr>
        <w:t xml:space="preserve"> </w:t>
      </w:r>
      <w:r w:rsidRPr="00247C05">
        <w:rPr>
          <w:rFonts w:eastAsia="Calibri" w:hint="cs"/>
          <w:rtl/>
        </w:rPr>
        <w:t>וסימולציות</w:t>
      </w:r>
      <w:r w:rsidRPr="00247C05">
        <w:rPr>
          <w:rFonts w:eastAsia="Calibri"/>
          <w:rtl/>
        </w:rPr>
        <w:t xml:space="preserve">. </w:t>
      </w:r>
      <w:r w:rsidRPr="00247C05">
        <w:rPr>
          <w:rFonts w:eastAsia="Calibri" w:hint="cs"/>
          <w:rtl/>
        </w:rPr>
        <w:t>כמו</w:t>
      </w:r>
      <w:r w:rsidRPr="00247C05">
        <w:rPr>
          <w:rFonts w:eastAsia="Calibri"/>
          <w:rtl/>
        </w:rPr>
        <w:t xml:space="preserve"> כן שילב בית הספר</w:t>
      </w:r>
      <w:r w:rsidRPr="00247C05">
        <w:rPr>
          <w:rFonts w:eastAsia="Calibri" w:hint="cs"/>
          <w:rtl/>
        </w:rPr>
        <w:t xml:space="preserve"> של המשמר</w:t>
      </w:r>
      <w:r w:rsidRPr="00247C05">
        <w:rPr>
          <w:rFonts w:eastAsia="Calibri"/>
          <w:rtl/>
        </w:rPr>
        <w:t xml:space="preserve"> בפעילותו </w:t>
      </w:r>
      <w:r w:rsidRPr="00247C05">
        <w:rPr>
          <w:rFonts w:eastAsia="Calibri" w:hint="cs"/>
          <w:rtl/>
        </w:rPr>
        <w:t>הכוללת</w:t>
      </w:r>
      <w:r w:rsidRPr="00247C05">
        <w:rPr>
          <w:rFonts w:eastAsia="Calibri"/>
          <w:rtl/>
        </w:rPr>
        <w:t xml:space="preserve"> ימי עיון, כנסים בנושאי אבטחה ואימוני אבטחה</w:t>
      </w:r>
      <w:r w:rsidRPr="00247C05">
        <w:rPr>
          <w:rFonts w:eastAsia="Calibri" w:hint="cs"/>
          <w:rtl/>
        </w:rPr>
        <w:t>,</w:t>
      </w:r>
      <w:r w:rsidRPr="00247C05">
        <w:rPr>
          <w:rFonts w:eastAsia="Calibri"/>
          <w:rtl/>
        </w:rPr>
        <w:t xml:space="preserve"> גם </w:t>
      </w:r>
      <w:r w:rsidRPr="00247C05">
        <w:rPr>
          <w:rFonts w:eastAsia="Calibri" w:hint="cs"/>
          <w:rtl/>
        </w:rPr>
        <w:t>גורמים</w:t>
      </w:r>
      <w:r w:rsidRPr="00247C05">
        <w:rPr>
          <w:rFonts w:eastAsia="Calibri"/>
          <w:rtl/>
        </w:rPr>
        <w:t xml:space="preserve"> </w:t>
      </w:r>
      <w:r w:rsidRPr="00247C05">
        <w:rPr>
          <w:rFonts w:eastAsia="Calibri" w:hint="cs"/>
          <w:rtl/>
        </w:rPr>
        <w:t>חיצוניים</w:t>
      </w:r>
      <w:r w:rsidRPr="00247C05">
        <w:rPr>
          <w:rFonts w:eastAsia="Calibri"/>
          <w:rtl/>
        </w:rPr>
        <w:t xml:space="preserve"> </w:t>
      </w:r>
      <w:r w:rsidRPr="00247C05">
        <w:rPr>
          <w:rFonts w:eastAsia="Calibri" w:hint="cs"/>
          <w:rtl/>
        </w:rPr>
        <w:t>ובהם</w:t>
      </w:r>
      <w:r w:rsidRPr="00247C05">
        <w:rPr>
          <w:rFonts w:eastAsia="Calibri"/>
          <w:rtl/>
        </w:rPr>
        <w:t xml:space="preserve"> </w:t>
      </w:r>
      <w:r w:rsidRPr="00247C05">
        <w:rPr>
          <w:rFonts w:eastAsia="Calibri" w:hint="cs"/>
          <w:rtl/>
        </w:rPr>
        <w:t>משמר</w:t>
      </w:r>
      <w:r w:rsidRPr="00247C05">
        <w:rPr>
          <w:rFonts w:eastAsia="Calibri"/>
          <w:rtl/>
        </w:rPr>
        <w:t xml:space="preserve"> </w:t>
      </w:r>
      <w:r w:rsidRPr="00247C05">
        <w:rPr>
          <w:rFonts w:eastAsia="Calibri" w:hint="cs"/>
          <w:rtl/>
        </w:rPr>
        <w:t>הכנסת</w:t>
      </w:r>
      <w:r w:rsidRPr="00247C05">
        <w:rPr>
          <w:rFonts w:eastAsia="Calibri"/>
          <w:rtl/>
        </w:rPr>
        <w:t xml:space="preserve"> </w:t>
      </w:r>
      <w:r w:rsidRPr="00247C05">
        <w:rPr>
          <w:rFonts w:eastAsia="Calibri" w:hint="cs"/>
          <w:rtl/>
        </w:rPr>
        <w:t>ומשטרת</w:t>
      </w:r>
      <w:r w:rsidRPr="00247C05">
        <w:rPr>
          <w:rFonts w:eastAsia="Calibri"/>
          <w:rtl/>
        </w:rPr>
        <w:t xml:space="preserve"> </w:t>
      </w:r>
      <w:r w:rsidRPr="00247C05">
        <w:rPr>
          <w:rFonts w:eastAsia="Calibri" w:hint="cs"/>
          <w:rtl/>
        </w:rPr>
        <w:t>ישראל.</w:t>
      </w:r>
      <w:r w:rsidRPr="00247C05">
        <w:rPr>
          <w:rFonts w:eastAsia="Calibri"/>
          <w:rtl/>
        </w:rPr>
        <w:t xml:space="preserve"> </w:t>
      </w:r>
      <w:r w:rsidRPr="00247C05">
        <w:rPr>
          <w:rFonts w:eastAsia="Calibri" w:hint="cs"/>
          <w:rtl/>
        </w:rPr>
        <w:t>האפשרות</w:t>
      </w:r>
      <w:r w:rsidRPr="00247C05">
        <w:rPr>
          <w:rFonts w:eastAsia="Calibri"/>
          <w:rtl/>
        </w:rPr>
        <w:t xml:space="preserve"> לשלב בפעילויות </w:t>
      </w:r>
      <w:r w:rsidRPr="00247C05">
        <w:rPr>
          <w:rFonts w:eastAsia="Calibri" w:hint="cs"/>
          <w:rtl/>
        </w:rPr>
        <w:t xml:space="preserve">אלו </w:t>
      </w:r>
      <w:r w:rsidRPr="00247C05">
        <w:rPr>
          <w:rFonts w:eastAsia="Calibri"/>
          <w:rtl/>
        </w:rPr>
        <w:t xml:space="preserve">מאבטחים המועסקים על ידי הרשויות המקומיות </w:t>
      </w:r>
      <w:r w:rsidRPr="00247C05">
        <w:rPr>
          <w:rFonts w:eastAsia="Calibri" w:hint="cs"/>
          <w:rtl/>
        </w:rPr>
        <w:t>לא נבחנה</w:t>
      </w:r>
      <w:r w:rsidRPr="00247C05">
        <w:rPr>
          <w:rFonts w:eastAsia="Calibri"/>
          <w:rtl/>
        </w:rPr>
        <w:t xml:space="preserve">. </w:t>
      </w:r>
      <w:r w:rsidRPr="00247C05">
        <w:rPr>
          <w:rFonts w:eastAsia="Calibri" w:hint="cs"/>
          <w:rtl/>
        </w:rPr>
        <w:t xml:space="preserve">יתר על כן, מפקד המשמר מסר לביקורת, כי אין ברשותו מידע על זהותם של המאבטחים בבתי משפט עמ"ק שאינם אנשי המשמר, והוא אינו יודע מהי רמת הכשרתם. </w:t>
      </w:r>
    </w:p>
    <w:p w:rsidR="003037FB" w:rsidP="00040DAE">
      <w:pPr>
        <w:spacing w:after="120" w:line="230" w:lineRule="exact"/>
        <w:jc w:val="both"/>
        <w:rPr>
          <w:rFonts w:cs="FrankRuehl"/>
          <w:sz w:val="20"/>
          <w:szCs w:val="22"/>
          <w:rtl/>
        </w:rPr>
      </w:pPr>
    </w:p>
    <w:p w:rsidR="006221FB" w:rsidRPr="00247C05" w:rsidP="00040DAE">
      <w:pPr>
        <w:spacing w:after="120" w:line="230" w:lineRule="exact"/>
        <w:jc w:val="both"/>
        <w:rPr>
          <w:rFonts w:cs="FrankRuehl"/>
          <w:sz w:val="20"/>
          <w:szCs w:val="22"/>
          <w:rtl/>
        </w:rPr>
      </w:pPr>
    </w:p>
    <w:p w:rsidR="003037FB" w:rsidRPr="00A45E9A" w:rsidP="00040DAE">
      <w:pPr>
        <w:pStyle w:val="KOT4"/>
        <w:rPr>
          <w:rFonts w:eastAsia="Calibri"/>
          <w:rtl/>
        </w:rPr>
      </w:pPr>
      <w:r w:rsidRPr="00A45E9A">
        <w:rPr>
          <w:rFonts w:eastAsia="Calibri" w:hint="cs"/>
          <w:rtl/>
        </w:rPr>
        <w:t xml:space="preserve">תשלומי הרשויות המקומיות עבור אבטחה </w:t>
      </w:r>
    </w:p>
    <w:p w:rsidR="003037FB" w:rsidP="00040DAE">
      <w:pPr>
        <w:spacing w:after="120" w:line="230" w:lineRule="exact"/>
        <w:jc w:val="both"/>
        <w:rPr>
          <w:rFonts w:cs="FrankRuehl"/>
          <w:sz w:val="20"/>
          <w:szCs w:val="22"/>
          <w:rtl/>
        </w:rPr>
      </w:pPr>
      <w:r w:rsidRPr="00247C05">
        <w:rPr>
          <w:rFonts w:cs="FrankRuehl" w:hint="cs"/>
          <w:sz w:val="20"/>
          <w:szCs w:val="22"/>
          <w:rtl/>
        </w:rPr>
        <w:t>הב</w:t>
      </w:r>
      <w:r w:rsidRPr="00247C05">
        <w:rPr>
          <w:rFonts w:eastAsia="Calibri" w:cs="FrankRuehl" w:hint="cs"/>
          <w:sz w:val="20"/>
          <w:szCs w:val="22"/>
          <w:rtl/>
        </w:rPr>
        <w:t>"ה קבעה שלושה אפיונים לתשלום בעבור אבטחה: הראשון - בתי משפט המשלמים לפי תעריף של 360 ש"ח</w:t>
      </w:r>
      <w:r>
        <w:rPr>
          <w:rStyle w:val="FootnoteReference"/>
          <w:rFonts w:eastAsia="Calibri" w:cs="FrankRuehl"/>
          <w:sz w:val="20"/>
          <w:szCs w:val="22"/>
          <w:rtl/>
        </w:rPr>
        <w:footnoteReference w:id="40"/>
      </w:r>
      <w:r w:rsidRPr="00247C05">
        <w:rPr>
          <w:rFonts w:eastAsia="Calibri" w:cs="FrankRuehl" w:hint="cs"/>
          <w:sz w:val="20"/>
          <w:szCs w:val="22"/>
          <w:rtl/>
        </w:rPr>
        <w:t xml:space="preserve"> ליום אבטחה; השני נועד לבתי משפט מקבוצה א' המשלמים בהתאם לשטח היחסי של בתי המשפט עמ"ק מתוך השטח הכולל של בית משפט השלום; השלישי - הסדרים פרטניים - הב"ה חתמה עם חמש עיריות על הסדרים כספיים הכוללים גם את עלויות האבטחה שיוטלו על הרשות המקומית</w:t>
      </w:r>
      <w:r w:rsidRPr="00247C05">
        <w:rPr>
          <w:rFonts w:cs="FrankRuehl" w:hint="cs"/>
          <w:sz w:val="20"/>
          <w:szCs w:val="22"/>
          <w:rtl/>
        </w:rPr>
        <w:t xml:space="preserve">. </w:t>
      </w:r>
    </w:p>
    <w:p w:rsidR="003037FB" w:rsidRPr="00247C05" w:rsidP="00040DAE">
      <w:pPr>
        <w:pStyle w:val="ListParagraph"/>
        <w:numPr>
          <w:ilvl w:val="0"/>
          <w:numId w:val="12"/>
        </w:numPr>
        <w:spacing w:after="120" w:line="230" w:lineRule="exact"/>
        <w:contextualSpacing w:val="0"/>
        <w:jc w:val="both"/>
        <w:rPr>
          <w:rFonts w:ascii="Times New Roman" w:eastAsia="Calibri" w:hAnsi="Times New Roman" w:cs="FrankRuehl"/>
          <w:sz w:val="20"/>
        </w:rPr>
      </w:pPr>
      <w:r w:rsidRPr="00247C05">
        <w:rPr>
          <w:rFonts w:ascii="Times New Roman" w:eastAsia="Calibri" w:hAnsi="Times New Roman" w:cs="FrankRuehl" w:hint="cs"/>
          <w:sz w:val="20"/>
          <w:rtl/>
        </w:rPr>
        <w:t>בלוח</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ש</w:t>
      </w:r>
      <w:r w:rsidRPr="00247C05">
        <w:rPr>
          <w:rFonts w:ascii="Times New Roman" w:eastAsia="Calibri" w:hAnsi="Times New Roman" w:cs="FrankRuehl"/>
          <w:sz w:val="20"/>
          <w:rtl/>
        </w:rPr>
        <w:t>להלן מפורטים תשלומי הרשויות המקומיות עבור אבטחה בחלוקה לפי קבוצות.</w:t>
      </w:r>
    </w:p>
    <w:p w:rsidR="003037FB" w:rsidRPr="00A45E9A" w:rsidP="00B365BA">
      <w:pPr>
        <w:pStyle w:val="tab-name"/>
        <w:spacing w:before="240"/>
        <w:rPr>
          <w:rFonts w:eastAsia="Calibri"/>
          <w:rtl/>
        </w:rPr>
      </w:pPr>
      <w:r>
        <w:rPr>
          <w:rFonts w:eastAsia="Calibri"/>
          <w:b w:val="0"/>
          <w:bCs w:val="0"/>
          <w:sz w:val="20"/>
          <w:szCs w:val="20"/>
          <w:rtl/>
        </w:rPr>
        <w:br w:type="page"/>
      </w:r>
      <w:r w:rsidRPr="00E65943" w:rsidR="00E65943">
        <w:rPr>
          <w:rFonts w:eastAsia="Calibri" w:hint="cs"/>
          <w:b w:val="0"/>
          <w:bCs w:val="0"/>
          <w:sz w:val="20"/>
          <w:szCs w:val="20"/>
          <w:rtl/>
        </w:rPr>
        <w:t>לוח 2</w:t>
      </w:r>
      <w:r w:rsidRPr="00E65943" w:rsidR="00E65943">
        <w:rPr>
          <w:rFonts w:eastAsia="Calibri"/>
          <w:b w:val="0"/>
          <w:bCs w:val="0"/>
          <w:sz w:val="20"/>
          <w:szCs w:val="20"/>
          <w:rtl/>
        </w:rPr>
        <w:br/>
      </w:r>
      <w:r w:rsidRPr="00A45E9A">
        <w:rPr>
          <w:rFonts w:eastAsia="Calibri" w:hint="cs"/>
          <w:rtl/>
        </w:rPr>
        <w:t>תשלום עבור אבטחת במ"ש עמ"ק בידי המשמר</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CellMar>
          <w:left w:w="57" w:type="dxa"/>
          <w:right w:w="57" w:type="dxa"/>
        </w:tblCellMar>
        <w:tblLook w:val="04A0"/>
      </w:tblPr>
      <w:tblGrid>
        <w:gridCol w:w="3418"/>
        <w:gridCol w:w="1093"/>
        <w:gridCol w:w="1093"/>
        <w:gridCol w:w="1087"/>
      </w:tblGrid>
      <w:tr w:rsidTr="00E65943">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CellMar>
            <w:left w:w="57" w:type="dxa"/>
            <w:right w:w="57" w:type="dxa"/>
          </w:tblCellMar>
          <w:tblLook w:val="04A0"/>
        </w:tblPrEx>
        <w:trPr>
          <w:cantSplit/>
          <w:jc w:val="center"/>
        </w:trPr>
        <w:tc>
          <w:tcPr>
            <w:tcW w:w="0" w:type="auto"/>
            <w:tcBorders>
              <w:top w:val="single" w:sz="12" w:space="0" w:color="auto"/>
              <w:bottom w:val="single" w:sz="12" w:space="0" w:color="auto"/>
            </w:tcBorders>
            <w:shd w:val="pct10" w:color="auto" w:fill="auto"/>
            <w:vAlign w:val="bottom"/>
          </w:tcPr>
          <w:p w:rsidR="003037FB" w:rsidRPr="007E3DB7" w:rsidP="00E65943">
            <w:pPr>
              <w:spacing w:before="40" w:after="40" w:line="220" w:lineRule="exact"/>
              <w:jc w:val="center"/>
              <w:rPr>
                <w:rFonts w:ascii="David" w:eastAsia="Calibri" w:hAnsi="David"/>
                <w:b/>
                <w:bCs/>
                <w:szCs w:val="20"/>
                <w:rtl/>
              </w:rPr>
            </w:pPr>
            <w:r w:rsidRPr="00247C05">
              <w:rPr>
                <w:rFonts w:eastAsia="Calibri" w:cs="FrankRuehl" w:hint="cs"/>
                <w:b/>
                <w:bCs/>
                <w:sz w:val="20"/>
                <w:szCs w:val="22"/>
                <w:rtl/>
              </w:rPr>
              <w:t>אבטחה של המשמר</w:t>
            </w:r>
          </w:p>
        </w:tc>
        <w:tc>
          <w:tcPr>
            <w:tcW w:w="0" w:type="auto"/>
            <w:tcBorders>
              <w:top w:val="single" w:sz="12" w:space="0" w:color="auto"/>
              <w:bottom w:val="single" w:sz="12" w:space="0" w:color="auto"/>
            </w:tcBorders>
            <w:shd w:val="pct10" w:color="auto" w:fill="auto"/>
            <w:vAlign w:val="bottom"/>
          </w:tcPr>
          <w:p w:rsidR="003037FB" w:rsidRPr="00E65943" w:rsidP="00E65943">
            <w:pPr>
              <w:pStyle w:val="KOT5"/>
              <w:keepNext w:val="0"/>
              <w:spacing w:before="40" w:after="40" w:line="220" w:lineRule="exact"/>
              <w:jc w:val="center"/>
              <w:outlineLvl w:val="9"/>
              <w:rPr>
                <w:rFonts w:ascii="David" w:eastAsia="Calibri" w:hAnsi="David" w:cs="FrankRuehl"/>
                <w:sz w:val="20"/>
                <w:szCs w:val="20"/>
                <w:rtl/>
              </w:rPr>
            </w:pPr>
            <w:r w:rsidRPr="00E65943">
              <w:rPr>
                <w:rFonts w:eastAsia="Calibri" w:cs="FrankRuehl" w:hint="cs"/>
                <w:sz w:val="20"/>
                <w:rtl/>
              </w:rPr>
              <w:t xml:space="preserve">משלמים </w:t>
            </w:r>
            <w:r w:rsidR="00E65943">
              <w:rPr>
                <w:rFonts w:eastAsia="Calibri" w:cs="FrankRuehl"/>
                <w:sz w:val="20"/>
                <w:rtl/>
              </w:rPr>
              <w:br/>
            </w:r>
            <w:r w:rsidRPr="00E65943">
              <w:rPr>
                <w:rFonts w:eastAsia="Calibri" w:cs="FrankRuehl" w:hint="cs"/>
                <w:sz w:val="20"/>
                <w:rtl/>
              </w:rPr>
              <w:t>עבור אבטחה</w:t>
            </w:r>
          </w:p>
        </w:tc>
        <w:tc>
          <w:tcPr>
            <w:tcW w:w="0" w:type="auto"/>
            <w:tcBorders>
              <w:top w:val="single" w:sz="12" w:space="0" w:color="auto"/>
              <w:bottom w:val="single" w:sz="12" w:space="0" w:color="auto"/>
            </w:tcBorders>
            <w:shd w:val="pct10" w:color="auto" w:fill="auto"/>
            <w:vAlign w:val="bottom"/>
          </w:tcPr>
          <w:p w:rsidR="003037FB" w:rsidRPr="007E3DB7" w:rsidP="00E65943">
            <w:pPr>
              <w:spacing w:before="40" w:after="40" w:line="220" w:lineRule="exact"/>
              <w:jc w:val="center"/>
              <w:rPr>
                <w:rFonts w:ascii="David" w:eastAsia="Calibri" w:hAnsi="David"/>
                <w:b/>
                <w:bCs/>
                <w:szCs w:val="20"/>
                <w:rtl/>
              </w:rPr>
            </w:pPr>
            <w:r w:rsidRPr="00247C05">
              <w:rPr>
                <w:rFonts w:eastAsia="Calibri" w:cs="FrankRuehl" w:hint="cs"/>
                <w:b/>
                <w:bCs/>
                <w:sz w:val="20"/>
                <w:szCs w:val="22"/>
                <w:rtl/>
              </w:rPr>
              <w:t xml:space="preserve">לא משלמים </w:t>
            </w:r>
            <w:r w:rsidR="00E65943">
              <w:rPr>
                <w:rFonts w:eastAsia="Calibri" w:cs="FrankRuehl"/>
                <w:b/>
                <w:bCs/>
                <w:sz w:val="20"/>
                <w:szCs w:val="22"/>
                <w:rtl/>
              </w:rPr>
              <w:br/>
            </w:r>
            <w:r w:rsidRPr="00247C05">
              <w:rPr>
                <w:rFonts w:eastAsia="Calibri" w:cs="FrankRuehl" w:hint="cs"/>
                <w:b/>
                <w:bCs/>
                <w:sz w:val="20"/>
                <w:szCs w:val="22"/>
                <w:rtl/>
              </w:rPr>
              <w:t>עבור אבטחה</w:t>
            </w:r>
          </w:p>
        </w:tc>
        <w:tc>
          <w:tcPr>
            <w:tcW w:w="0" w:type="auto"/>
            <w:tcBorders>
              <w:top w:val="single" w:sz="12" w:space="0" w:color="auto"/>
              <w:bottom w:val="single" w:sz="12" w:space="0" w:color="auto"/>
            </w:tcBorders>
            <w:shd w:val="pct10" w:color="auto" w:fill="auto"/>
            <w:vAlign w:val="bottom"/>
          </w:tcPr>
          <w:p w:rsidR="003037FB" w:rsidRPr="007E3DB7" w:rsidP="00E65943">
            <w:pPr>
              <w:spacing w:before="40" w:after="40" w:line="220" w:lineRule="exact"/>
              <w:jc w:val="center"/>
              <w:rPr>
                <w:rFonts w:ascii="David" w:eastAsia="Calibri" w:hAnsi="David"/>
                <w:b/>
                <w:bCs/>
                <w:szCs w:val="20"/>
                <w:rtl/>
              </w:rPr>
            </w:pPr>
            <w:r w:rsidRPr="00247C05">
              <w:rPr>
                <w:rFonts w:eastAsia="Calibri" w:cs="FrankRuehl" w:hint="cs"/>
                <w:b/>
                <w:bCs/>
                <w:sz w:val="20"/>
                <w:szCs w:val="22"/>
                <w:rtl/>
              </w:rPr>
              <w:t xml:space="preserve">סך בתי </w:t>
            </w:r>
            <w:r w:rsidR="00E65943">
              <w:rPr>
                <w:rFonts w:eastAsia="Calibri" w:cs="FrankRuehl"/>
                <w:b/>
                <w:bCs/>
                <w:sz w:val="20"/>
                <w:szCs w:val="22"/>
                <w:rtl/>
              </w:rPr>
              <w:br/>
            </w:r>
            <w:r w:rsidRPr="00247C05">
              <w:rPr>
                <w:rFonts w:eastAsia="Calibri" w:cs="FrankRuehl" w:hint="cs"/>
                <w:b/>
                <w:bCs/>
                <w:sz w:val="20"/>
                <w:szCs w:val="22"/>
                <w:rtl/>
              </w:rPr>
              <w:t>משפט עמ"ק</w:t>
            </w:r>
          </w:p>
        </w:tc>
      </w:tr>
      <w:tr w:rsidTr="00E65943">
        <w:tblPrEx>
          <w:tblW w:w="6691" w:type="dxa"/>
          <w:jc w:val="center"/>
          <w:tblCellMar>
            <w:left w:w="57" w:type="dxa"/>
            <w:right w:w="57" w:type="dxa"/>
          </w:tblCellMar>
          <w:tblLook w:val="04A0"/>
        </w:tblPrEx>
        <w:trPr>
          <w:cantSplit/>
          <w:jc w:val="center"/>
        </w:trPr>
        <w:tc>
          <w:tcPr>
            <w:tcW w:w="0" w:type="auto"/>
            <w:tcBorders>
              <w:top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 xml:space="preserve">אבטחה במבנה בית משפט שלום </w:t>
            </w:r>
          </w:p>
        </w:tc>
        <w:tc>
          <w:tcPr>
            <w:tcW w:w="0" w:type="auto"/>
            <w:tcBorders>
              <w:top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4</w:t>
            </w:r>
          </w:p>
        </w:tc>
        <w:tc>
          <w:tcPr>
            <w:tcW w:w="0" w:type="auto"/>
            <w:tcBorders>
              <w:top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4</w:t>
            </w:r>
          </w:p>
        </w:tc>
        <w:tc>
          <w:tcPr>
            <w:tcW w:w="0" w:type="auto"/>
            <w:tcBorders>
              <w:top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8</w:t>
            </w:r>
          </w:p>
        </w:tc>
      </w:tr>
      <w:tr w:rsidTr="00E65943">
        <w:tblPrEx>
          <w:tblW w:w="6691" w:type="dxa"/>
          <w:jc w:val="center"/>
          <w:tblCellMar>
            <w:left w:w="57" w:type="dxa"/>
            <w:right w:w="57" w:type="dxa"/>
          </w:tblCellMar>
          <w:tblLook w:val="04A0"/>
        </w:tblPrEx>
        <w:trPr>
          <w:cantSplit/>
          <w:jc w:val="center"/>
        </w:trPr>
        <w:tc>
          <w:tcPr>
            <w:tcW w:w="0" w:type="auto"/>
            <w:shd w:val="clear" w:color="auto" w:fill="auto"/>
          </w:tcPr>
          <w:p w:rsidR="003037FB" w:rsidRPr="00E65943" w:rsidP="00E65943">
            <w:pPr>
              <w:pStyle w:val="Date"/>
              <w:spacing w:before="40" w:after="40" w:line="220" w:lineRule="exact"/>
              <w:rPr>
                <w:rFonts w:ascii="Times New Roman" w:eastAsia="Calibri" w:hAnsi="Times New Roman" w:cs="FrankRuehl"/>
                <w:sz w:val="20"/>
                <w:szCs w:val="20"/>
                <w:rtl/>
              </w:rPr>
            </w:pPr>
            <w:r w:rsidRPr="00E65943">
              <w:rPr>
                <w:rFonts w:ascii="Times New Roman" w:eastAsia="Calibri" w:hAnsi="Times New Roman" w:cs="FrankRuehl" w:hint="cs"/>
                <w:sz w:val="20"/>
                <w:rtl/>
              </w:rPr>
              <w:t xml:space="preserve">אבטחה במבנים של הרשות המקומית </w:t>
            </w:r>
          </w:p>
        </w:tc>
        <w:tc>
          <w:tcPr>
            <w:tcW w:w="0" w:type="auto"/>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 xml:space="preserve">2 </w:t>
            </w:r>
          </w:p>
        </w:tc>
        <w:tc>
          <w:tcPr>
            <w:tcW w:w="0" w:type="auto"/>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1</w:t>
            </w:r>
          </w:p>
        </w:tc>
        <w:tc>
          <w:tcPr>
            <w:tcW w:w="0" w:type="auto"/>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3</w:t>
            </w:r>
          </w:p>
        </w:tc>
      </w:tr>
      <w:tr w:rsidTr="00E65943">
        <w:tblPrEx>
          <w:tblW w:w="6691" w:type="dxa"/>
          <w:jc w:val="center"/>
          <w:tblCellMar>
            <w:left w:w="57" w:type="dxa"/>
            <w:right w:w="57" w:type="dxa"/>
          </w:tblCellMar>
          <w:tblLook w:val="04A0"/>
        </w:tblPrEx>
        <w:trPr>
          <w:cantSplit/>
          <w:jc w:val="center"/>
        </w:trPr>
        <w:tc>
          <w:tcPr>
            <w:tcW w:w="0" w:type="auto"/>
            <w:tcBorders>
              <w:bottom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 xml:space="preserve">אבטחה לשופט במבנים של הרשות המקומית </w:t>
            </w:r>
            <w:r w:rsidR="00E65943">
              <w:rPr>
                <w:rFonts w:eastAsia="Calibri" w:cs="FrankRuehl"/>
                <w:sz w:val="20"/>
                <w:szCs w:val="22"/>
                <w:rtl/>
              </w:rPr>
              <w:br/>
            </w:r>
            <w:r w:rsidRPr="00247C05">
              <w:rPr>
                <w:rFonts w:eastAsia="Calibri" w:cs="FrankRuehl" w:hint="cs"/>
                <w:sz w:val="20"/>
                <w:szCs w:val="22"/>
                <w:rtl/>
              </w:rPr>
              <w:t xml:space="preserve">רק בימי דיונים </w:t>
            </w:r>
          </w:p>
        </w:tc>
        <w:tc>
          <w:tcPr>
            <w:tcW w:w="0" w:type="auto"/>
            <w:tcBorders>
              <w:bottom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 xml:space="preserve">4 </w:t>
            </w:r>
          </w:p>
        </w:tc>
        <w:tc>
          <w:tcPr>
            <w:tcW w:w="0" w:type="auto"/>
            <w:tcBorders>
              <w:bottom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3</w:t>
            </w:r>
          </w:p>
        </w:tc>
        <w:tc>
          <w:tcPr>
            <w:tcW w:w="0" w:type="auto"/>
            <w:tcBorders>
              <w:bottom w:val="single" w:sz="12" w:space="0" w:color="auto"/>
            </w:tcBorders>
            <w:shd w:val="clear"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7</w:t>
            </w:r>
          </w:p>
        </w:tc>
      </w:tr>
      <w:tr w:rsidTr="00E65943">
        <w:tblPrEx>
          <w:tblW w:w="6691" w:type="dxa"/>
          <w:jc w:val="center"/>
          <w:tblCellMar>
            <w:left w:w="57" w:type="dxa"/>
            <w:right w:w="57" w:type="dxa"/>
          </w:tblCellMar>
          <w:tblLook w:val="04A0"/>
        </w:tblPrEx>
        <w:trPr>
          <w:cantSplit/>
          <w:jc w:val="center"/>
        </w:trPr>
        <w:tc>
          <w:tcPr>
            <w:tcW w:w="0" w:type="auto"/>
            <w:tcBorders>
              <w:top w:val="single" w:sz="12" w:space="0" w:color="auto"/>
              <w:bottom w:val="single" w:sz="12" w:space="0" w:color="auto"/>
            </w:tcBorders>
            <w:shd w:val="pct10" w:color="auto" w:fill="auto"/>
          </w:tcPr>
          <w:p w:rsidR="003037FB" w:rsidRPr="00E65943" w:rsidP="00E65943">
            <w:pPr>
              <w:pStyle w:val="Heading6"/>
              <w:spacing w:before="40" w:after="40"/>
              <w:rPr>
                <w:rFonts w:ascii="David" w:eastAsia="Calibri" w:hAnsi="David"/>
                <w:sz w:val="20"/>
                <w:szCs w:val="20"/>
                <w:rtl/>
              </w:rPr>
            </w:pPr>
            <w:r w:rsidRPr="00E65943">
              <w:rPr>
                <w:rFonts w:eastAsia="Calibri" w:hint="cs"/>
                <w:sz w:val="20"/>
                <w:rtl/>
              </w:rPr>
              <w:t>סה"כ</w:t>
            </w:r>
          </w:p>
        </w:tc>
        <w:tc>
          <w:tcPr>
            <w:tcW w:w="0" w:type="auto"/>
            <w:tcBorders>
              <w:top w:val="single" w:sz="12" w:space="0" w:color="auto"/>
              <w:bottom w:val="single" w:sz="12" w:space="0" w:color="auto"/>
            </w:tcBorders>
            <w:shd w:val="pct10"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10</w:t>
            </w:r>
          </w:p>
        </w:tc>
        <w:tc>
          <w:tcPr>
            <w:tcW w:w="0" w:type="auto"/>
            <w:tcBorders>
              <w:top w:val="single" w:sz="12" w:space="0" w:color="auto"/>
              <w:bottom w:val="single" w:sz="12" w:space="0" w:color="auto"/>
            </w:tcBorders>
            <w:shd w:val="pct10" w:color="auto" w:fill="auto"/>
          </w:tcPr>
          <w:p w:rsidR="003037FB" w:rsidRPr="007E3DB7" w:rsidP="00E65943">
            <w:pPr>
              <w:spacing w:before="40" w:after="40" w:line="220" w:lineRule="exact"/>
              <w:rPr>
                <w:rFonts w:ascii="David" w:eastAsia="Calibri" w:hAnsi="David"/>
                <w:szCs w:val="20"/>
                <w:rtl/>
              </w:rPr>
            </w:pPr>
            <w:r w:rsidRPr="00247C05">
              <w:rPr>
                <w:rFonts w:eastAsia="Calibri" w:cs="FrankRuehl" w:hint="cs"/>
                <w:sz w:val="20"/>
                <w:szCs w:val="22"/>
                <w:rtl/>
              </w:rPr>
              <w:t>8</w:t>
            </w:r>
          </w:p>
        </w:tc>
        <w:tc>
          <w:tcPr>
            <w:tcW w:w="0" w:type="auto"/>
            <w:tcBorders>
              <w:top w:val="single" w:sz="12" w:space="0" w:color="auto"/>
              <w:bottom w:val="single" w:sz="12" w:space="0" w:color="auto"/>
            </w:tcBorders>
            <w:shd w:val="pct10" w:color="auto" w:fill="auto"/>
          </w:tcPr>
          <w:p w:rsidR="003037FB" w:rsidRPr="00247C05" w:rsidP="00E65943">
            <w:pPr>
              <w:spacing w:before="40" w:after="40" w:line="220" w:lineRule="exact"/>
              <w:rPr>
                <w:rFonts w:eastAsia="Calibri" w:cs="FrankRuehl"/>
                <w:sz w:val="20"/>
                <w:szCs w:val="22"/>
                <w:rtl/>
              </w:rPr>
            </w:pPr>
            <w:r w:rsidRPr="00247C05">
              <w:rPr>
                <w:rFonts w:eastAsia="Calibri" w:cs="FrankRuehl" w:hint="cs"/>
                <w:sz w:val="20"/>
                <w:szCs w:val="22"/>
                <w:rtl/>
              </w:rPr>
              <w:t>18</w:t>
            </w:r>
          </w:p>
        </w:tc>
      </w:tr>
    </w:tbl>
    <w:p w:rsidR="003037FB" w:rsidRPr="00E65943" w:rsidP="00E65943">
      <w:pPr>
        <w:spacing w:before="120" w:after="240" w:line="220" w:lineRule="exact"/>
        <w:jc w:val="both"/>
        <w:rPr>
          <w:rFonts w:cs="FrankRuehl"/>
          <w:sz w:val="18"/>
          <w:szCs w:val="20"/>
          <w:rtl/>
        </w:rPr>
      </w:pPr>
      <w:r w:rsidRPr="00E65943">
        <w:rPr>
          <w:rFonts w:cs="FrankRuehl" w:hint="cs"/>
          <w:sz w:val="18"/>
          <w:szCs w:val="20"/>
          <w:rtl/>
        </w:rPr>
        <w:t>הנתונים בטבלה מנתוני הב"ה ומהתשובות לשאלונים</w:t>
      </w:r>
      <w:r w:rsidRPr="00E65943">
        <w:rPr>
          <w:rFonts w:cs="FrankRuehl"/>
          <w:sz w:val="18"/>
          <w:szCs w:val="20"/>
          <w:rtl/>
        </w:rPr>
        <w:t>.</w:t>
      </w:r>
    </w:p>
    <w:p w:rsidR="003037FB" w:rsidRPr="00247C05" w:rsidP="00E65943">
      <w:pPr>
        <w:pStyle w:val="RESHET"/>
        <w:keepLines/>
        <w:ind w:left="567"/>
        <w:rPr>
          <w:rFonts w:eastAsia="Calibri"/>
          <w:rtl/>
        </w:rPr>
      </w:pPr>
      <w:r w:rsidRPr="00247C05">
        <w:rPr>
          <w:rFonts w:eastAsia="Calibri" w:hint="cs"/>
          <w:rtl/>
        </w:rPr>
        <w:t xml:space="preserve">מהטבלה עולה, שבמועד הביקורת שמונה רשויות מקומיות מתוך 18 (כ-44%) אינן משלמות להנהלת בתי המשפט בעבור אבטחה למרות העלויות שנקבעו לכך. במצב זה נוצר אי-שוויון בתשלומים עבור אבטחת בתי המשפט באמצעות המשמר. </w:t>
      </w:r>
    </w:p>
    <w:p w:rsidR="003037FB" w:rsidP="00E65943">
      <w:pPr>
        <w:spacing w:before="180" w:after="120" w:line="230" w:lineRule="exact"/>
        <w:ind w:left="340"/>
        <w:jc w:val="both"/>
        <w:rPr>
          <w:rFonts w:eastAsia="Calibri" w:cs="FrankRuehl"/>
          <w:sz w:val="20"/>
          <w:szCs w:val="22"/>
          <w:rtl/>
        </w:rPr>
      </w:pPr>
      <w:r w:rsidRPr="00247C05">
        <w:rPr>
          <w:rFonts w:eastAsia="Calibri" w:cs="FrankRuehl" w:hint="cs"/>
          <w:sz w:val="20"/>
          <w:szCs w:val="22"/>
          <w:rtl/>
        </w:rPr>
        <w:t>בתשובתה של הב"ה נכתב, כי בבתי המשפט עמ"ק שבהם אחריות האבטחה היא של המשמר קיים הסדר תשלום בין הב"ה ובין הרשות על פי היקף האבטחה כפי שנקבעה במשמר.</w:t>
      </w:r>
    </w:p>
    <w:tbl>
      <w:tblPr>
        <w:bidiVisual/>
        <w:tblW w:w="7031" w:type="dxa"/>
        <w:jc w:val="center"/>
        <w:tblLook w:val="04A0"/>
      </w:tblPr>
      <w:tblGrid>
        <w:gridCol w:w="356"/>
        <w:gridCol w:w="6675"/>
      </w:tblGrid>
      <w:tr w:rsidTr="00010DC5">
        <w:tblPrEx>
          <w:tblW w:w="7031" w:type="dxa"/>
          <w:jc w:val="center"/>
          <w:tblLook w:val="04A0"/>
        </w:tblPrEx>
        <w:trPr>
          <w:jc w:val="center"/>
        </w:trPr>
        <w:tc>
          <w:tcPr>
            <w:tcW w:w="356" w:type="dxa"/>
            <w:shd w:val="clear" w:color="auto" w:fill="auto"/>
          </w:tcPr>
          <w:p w:rsidR="00E65943" w:rsidRPr="0001521E" w:rsidP="00010DC5">
            <w:pPr>
              <w:keepNext/>
              <w:keepLines/>
              <w:spacing w:before="100" w:after="240" w:line="230" w:lineRule="exact"/>
              <w:rPr>
                <w:rFonts w:cs="FrankRuehl"/>
                <w:sz w:val="20"/>
                <w:szCs w:val="22"/>
                <w:rtl/>
              </w:rPr>
            </w:pPr>
            <w:r>
              <w:rPr>
                <w:rFonts w:cs="FrankRuehl" w:hint="cs"/>
                <w:sz w:val="20"/>
                <w:szCs w:val="22"/>
                <w:rtl/>
              </w:rPr>
              <w:t>2</w:t>
            </w:r>
            <w:r w:rsidRPr="0001521E">
              <w:rPr>
                <w:rFonts w:cs="FrankRuehl" w:hint="cs"/>
                <w:sz w:val="20"/>
                <w:szCs w:val="22"/>
                <w:rtl/>
              </w:rPr>
              <w:t>.</w:t>
            </w:r>
          </w:p>
        </w:tc>
        <w:tc>
          <w:tcPr>
            <w:tcW w:w="0" w:type="auto"/>
            <w:shd w:val="clear" w:color="auto" w:fill="auto"/>
          </w:tcPr>
          <w:p w:rsidR="00E65943" w:rsidP="00010DC5">
            <w:pPr>
              <w:pStyle w:val="RESHET"/>
              <w:keepNext/>
              <w:keepLines/>
              <w:rPr>
                <w:rtl/>
              </w:rPr>
            </w:pPr>
            <w:r w:rsidRPr="00E65943">
              <w:rPr>
                <w:rFonts w:hint="cs"/>
                <w:rtl/>
              </w:rPr>
              <w:t>משרד</w:t>
            </w:r>
            <w:r w:rsidRPr="00E65943">
              <w:rPr>
                <w:rtl/>
              </w:rPr>
              <w:t xml:space="preserve"> מבקר המדינה העלה</w:t>
            </w:r>
            <w:r w:rsidRPr="00E65943">
              <w:rPr>
                <w:rFonts w:hint="cs"/>
                <w:rtl/>
              </w:rPr>
              <w:t>,</w:t>
            </w:r>
            <w:r w:rsidRPr="00E65943">
              <w:rPr>
                <w:rtl/>
              </w:rPr>
              <w:t xml:space="preserve"> כי גם התשלומים שהרשויות המקומיות משלמות להנהלת בתי המשפט </w:t>
            </w:r>
            <w:r w:rsidRPr="00E65943">
              <w:rPr>
                <w:rFonts w:hint="cs"/>
                <w:rtl/>
              </w:rPr>
              <w:t xml:space="preserve">עבור אבטחה </w:t>
            </w:r>
            <w:r w:rsidRPr="00E65943">
              <w:rPr>
                <w:rtl/>
              </w:rPr>
              <w:t xml:space="preserve">אינם תואמים </w:t>
            </w:r>
            <w:r w:rsidRPr="00E65943">
              <w:rPr>
                <w:rFonts w:hint="cs"/>
                <w:rtl/>
              </w:rPr>
              <w:t xml:space="preserve">את </w:t>
            </w:r>
            <w:r w:rsidRPr="00E65943">
              <w:rPr>
                <w:rtl/>
              </w:rPr>
              <w:t>עלויות האבטחה שנקבעו.</w:t>
            </w:r>
          </w:p>
        </w:tc>
      </w:tr>
    </w:tbl>
    <w:p w:rsidR="003037FB" w:rsidRPr="00247C05" w:rsidP="00E65943">
      <w:pPr>
        <w:spacing w:after="240" w:line="230" w:lineRule="exact"/>
        <w:ind w:left="340"/>
        <w:jc w:val="both"/>
        <w:rPr>
          <w:rFonts w:eastAsia="Calibri" w:cs="FrankRuehl"/>
          <w:sz w:val="20"/>
          <w:szCs w:val="22"/>
          <w:rtl/>
        </w:rPr>
      </w:pPr>
      <w:r w:rsidRPr="00247C05">
        <w:rPr>
          <w:rFonts w:eastAsia="Calibri" w:cs="FrankRuehl" w:hint="cs"/>
          <w:sz w:val="20"/>
          <w:szCs w:val="22"/>
          <w:rtl/>
        </w:rPr>
        <w:t>כך לדוגמה, אחד</w:t>
      </w:r>
      <w:r w:rsidRPr="00247C05">
        <w:rPr>
          <w:rFonts w:eastAsia="Calibri" w:cs="FrankRuehl"/>
          <w:sz w:val="20"/>
          <w:szCs w:val="22"/>
          <w:rtl/>
        </w:rPr>
        <w:t xml:space="preserve"> מבתי משפט </w:t>
      </w:r>
      <w:r w:rsidRPr="00247C05">
        <w:rPr>
          <w:rFonts w:eastAsia="Calibri" w:cs="FrankRuehl" w:hint="cs"/>
          <w:sz w:val="20"/>
          <w:szCs w:val="22"/>
          <w:rtl/>
        </w:rPr>
        <w:t>עמ"ק</w:t>
      </w:r>
      <w:r w:rsidRPr="00247C05">
        <w:rPr>
          <w:rFonts w:eastAsia="Calibri" w:cs="FrankRuehl"/>
          <w:sz w:val="20"/>
          <w:szCs w:val="22"/>
          <w:rtl/>
        </w:rPr>
        <w:t xml:space="preserve"> </w:t>
      </w:r>
      <w:r w:rsidRPr="00247C05">
        <w:rPr>
          <w:rFonts w:eastAsia="Calibri" w:cs="FrankRuehl" w:hint="cs"/>
          <w:sz w:val="20"/>
          <w:szCs w:val="22"/>
          <w:rtl/>
        </w:rPr>
        <w:t>מאובטח</w:t>
      </w:r>
      <w:r w:rsidRPr="00247C05">
        <w:rPr>
          <w:rFonts w:eastAsia="Calibri" w:cs="FrankRuehl"/>
          <w:sz w:val="20"/>
          <w:szCs w:val="22"/>
          <w:rtl/>
        </w:rPr>
        <w:t xml:space="preserve"> על ידי </w:t>
      </w:r>
      <w:r w:rsidRPr="00247C05">
        <w:rPr>
          <w:rFonts w:eastAsia="Calibri" w:cs="FrankRuehl" w:hint="cs"/>
          <w:sz w:val="20"/>
          <w:szCs w:val="22"/>
          <w:rtl/>
        </w:rPr>
        <w:t>שני</w:t>
      </w:r>
      <w:r w:rsidRPr="00247C05">
        <w:rPr>
          <w:rFonts w:eastAsia="Calibri" w:cs="FrankRuehl"/>
          <w:sz w:val="20"/>
          <w:szCs w:val="22"/>
          <w:rtl/>
        </w:rPr>
        <w:t xml:space="preserve"> מאבטחים </w:t>
      </w:r>
      <w:r w:rsidRPr="00247C05">
        <w:rPr>
          <w:rFonts w:eastAsia="Calibri" w:cs="FrankRuehl" w:hint="cs"/>
          <w:sz w:val="20"/>
          <w:szCs w:val="22"/>
          <w:rtl/>
        </w:rPr>
        <w:t>והוא חויב</w:t>
      </w:r>
      <w:r w:rsidRPr="00247C05">
        <w:rPr>
          <w:rFonts w:eastAsia="Calibri" w:cs="FrankRuehl"/>
          <w:sz w:val="20"/>
          <w:szCs w:val="22"/>
          <w:rtl/>
        </w:rPr>
        <w:t xml:space="preserve"> לשלם </w:t>
      </w:r>
      <w:r w:rsidRPr="00247C05">
        <w:rPr>
          <w:rFonts w:eastAsia="Calibri" w:cs="FrankRuehl" w:hint="cs"/>
          <w:sz w:val="20"/>
          <w:szCs w:val="22"/>
          <w:rtl/>
        </w:rPr>
        <w:t>סך</w:t>
      </w:r>
      <w:r w:rsidRPr="00247C05">
        <w:rPr>
          <w:rFonts w:eastAsia="Calibri" w:cs="FrankRuehl"/>
          <w:sz w:val="20"/>
          <w:szCs w:val="22"/>
          <w:rtl/>
        </w:rPr>
        <w:t xml:space="preserve"> של 328 </w:t>
      </w:r>
      <w:r w:rsidRPr="00247C05">
        <w:rPr>
          <w:rFonts w:eastAsia="Calibri" w:cs="FrankRuehl" w:hint="cs"/>
          <w:sz w:val="20"/>
          <w:szCs w:val="22"/>
          <w:rtl/>
        </w:rPr>
        <w:t>שקלים</w:t>
      </w:r>
      <w:r w:rsidRPr="00247C05">
        <w:rPr>
          <w:rFonts w:eastAsia="Calibri" w:cs="FrankRuehl"/>
          <w:sz w:val="20"/>
          <w:szCs w:val="22"/>
          <w:rtl/>
        </w:rPr>
        <w:t xml:space="preserve"> </w:t>
      </w:r>
      <w:r w:rsidRPr="00247C05">
        <w:rPr>
          <w:rFonts w:eastAsia="Calibri" w:cs="FrankRuehl" w:hint="cs"/>
          <w:sz w:val="20"/>
          <w:szCs w:val="22"/>
          <w:rtl/>
        </w:rPr>
        <w:t>חדשים</w:t>
      </w:r>
      <w:r w:rsidRPr="00247C05">
        <w:rPr>
          <w:rFonts w:eastAsia="Calibri" w:cs="FrankRuehl"/>
          <w:sz w:val="20"/>
          <w:szCs w:val="22"/>
          <w:rtl/>
        </w:rPr>
        <w:t xml:space="preserve"> </w:t>
      </w:r>
      <w:r w:rsidRPr="00247C05">
        <w:rPr>
          <w:rFonts w:eastAsia="Calibri" w:cs="FrankRuehl" w:hint="cs"/>
          <w:sz w:val="20"/>
          <w:szCs w:val="22"/>
          <w:rtl/>
        </w:rPr>
        <w:t>לכל</w:t>
      </w:r>
      <w:r w:rsidRPr="00247C05">
        <w:rPr>
          <w:rFonts w:eastAsia="Calibri" w:cs="FrankRuehl"/>
          <w:sz w:val="20"/>
          <w:szCs w:val="22"/>
          <w:rtl/>
        </w:rPr>
        <w:t xml:space="preserve"> </w:t>
      </w:r>
      <w:r w:rsidRPr="00247C05">
        <w:rPr>
          <w:rFonts w:eastAsia="Calibri" w:cs="FrankRuehl" w:hint="cs"/>
          <w:sz w:val="20"/>
          <w:szCs w:val="22"/>
          <w:rtl/>
        </w:rPr>
        <w:t>יום</w:t>
      </w:r>
      <w:r w:rsidRPr="00247C05">
        <w:rPr>
          <w:rFonts w:eastAsia="Calibri" w:cs="FrankRuehl"/>
          <w:sz w:val="20"/>
          <w:szCs w:val="22"/>
          <w:rtl/>
        </w:rPr>
        <w:t xml:space="preserve"> </w:t>
      </w:r>
      <w:r w:rsidRPr="00247C05">
        <w:rPr>
          <w:rFonts w:eastAsia="Calibri" w:cs="FrankRuehl" w:hint="cs"/>
          <w:sz w:val="20"/>
          <w:szCs w:val="22"/>
          <w:rtl/>
        </w:rPr>
        <w:t>דיון</w:t>
      </w:r>
      <w:r w:rsidRPr="00247C05">
        <w:rPr>
          <w:rFonts w:eastAsia="Calibri" w:cs="FrankRuehl"/>
          <w:sz w:val="20"/>
          <w:szCs w:val="22"/>
          <w:rtl/>
        </w:rPr>
        <w:t xml:space="preserve">; </w:t>
      </w:r>
      <w:r w:rsidRPr="00247C05">
        <w:rPr>
          <w:rFonts w:eastAsia="Calibri" w:cs="FrankRuehl" w:hint="cs"/>
          <w:sz w:val="20"/>
          <w:szCs w:val="22"/>
          <w:rtl/>
        </w:rPr>
        <w:t>שלושה</w:t>
      </w:r>
      <w:r w:rsidRPr="00247C05">
        <w:rPr>
          <w:rFonts w:eastAsia="Calibri" w:cs="FrankRuehl"/>
          <w:sz w:val="20"/>
          <w:szCs w:val="22"/>
          <w:rtl/>
        </w:rPr>
        <w:t xml:space="preserve"> בתי משפט חויבו לשלם </w:t>
      </w:r>
      <w:r w:rsidRPr="00247C05">
        <w:rPr>
          <w:rFonts w:eastAsia="Calibri" w:cs="FrankRuehl" w:hint="cs"/>
          <w:sz w:val="20"/>
          <w:szCs w:val="22"/>
          <w:rtl/>
        </w:rPr>
        <w:t>ב</w:t>
      </w:r>
      <w:r w:rsidRPr="00247C05">
        <w:rPr>
          <w:rFonts w:eastAsia="Calibri" w:cs="FrankRuehl"/>
          <w:sz w:val="20"/>
          <w:szCs w:val="22"/>
          <w:rtl/>
        </w:rPr>
        <w:t xml:space="preserve">עבור מאבטח אחד 360 ש"ח. </w:t>
      </w:r>
      <w:r w:rsidRPr="00247C05">
        <w:rPr>
          <w:rFonts w:eastAsia="Calibri" w:cs="FrankRuehl" w:hint="cs"/>
          <w:sz w:val="20"/>
          <w:szCs w:val="22"/>
          <w:rtl/>
        </w:rPr>
        <w:t>נוסף</w:t>
      </w:r>
      <w:r w:rsidRPr="00247C05">
        <w:rPr>
          <w:rFonts w:eastAsia="Calibri" w:cs="FrankRuehl"/>
          <w:sz w:val="20"/>
          <w:szCs w:val="22"/>
          <w:rtl/>
        </w:rPr>
        <w:t xml:space="preserve"> על כך, </w:t>
      </w:r>
      <w:r w:rsidRPr="00247C05">
        <w:rPr>
          <w:rFonts w:eastAsia="Calibri" w:cs="FrankRuehl" w:hint="cs"/>
          <w:sz w:val="20"/>
          <w:szCs w:val="22"/>
          <w:rtl/>
        </w:rPr>
        <w:t>משני בתי</w:t>
      </w:r>
      <w:r w:rsidRPr="00247C05">
        <w:rPr>
          <w:rFonts w:eastAsia="Calibri" w:cs="FrankRuehl"/>
          <w:sz w:val="20"/>
          <w:szCs w:val="22"/>
          <w:rtl/>
        </w:rPr>
        <w:t xml:space="preserve"> </w:t>
      </w:r>
      <w:r w:rsidRPr="00247C05">
        <w:rPr>
          <w:rFonts w:eastAsia="Calibri" w:cs="FrankRuehl" w:hint="cs"/>
          <w:sz w:val="20"/>
          <w:szCs w:val="22"/>
          <w:rtl/>
        </w:rPr>
        <w:t>המשפט</w:t>
      </w:r>
      <w:r w:rsidRPr="00247C05">
        <w:rPr>
          <w:rFonts w:eastAsia="Calibri" w:cs="FrankRuehl"/>
          <w:sz w:val="20"/>
          <w:szCs w:val="22"/>
          <w:rtl/>
        </w:rPr>
        <w:t xml:space="preserve"> </w:t>
      </w:r>
      <w:r w:rsidRPr="00247C05">
        <w:rPr>
          <w:rFonts w:eastAsia="Calibri" w:cs="FrankRuehl" w:hint="cs"/>
          <w:sz w:val="20"/>
          <w:szCs w:val="22"/>
          <w:rtl/>
        </w:rPr>
        <w:t>המשתייכים</w:t>
      </w:r>
      <w:r w:rsidRPr="00247C05">
        <w:rPr>
          <w:rFonts w:eastAsia="Calibri" w:cs="FrankRuehl"/>
          <w:sz w:val="20"/>
          <w:szCs w:val="22"/>
          <w:rtl/>
        </w:rPr>
        <w:t xml:space="preserve"> </w:t>
      </w:r>
      <w:r w:rsidRPr="00247C05">
        <w:rPr>
          <w:rFonts w:eastAsia="Calibri" w:cs="FrankRuehl" w:hint="cs"/>
          <w:sz w:val="20"/>
          <w:szCs w:val="22"/>
          <w:rtl/>
        </w:rPr>
        <w:t>לקבוצה</w:t>
      </w:r>
      <w:r w:rsidRPr="00247C05">
        <w:rPr>
          <w:rFonts w:eastAsia="Calibri" w:cs="FrankRuehl"/>
          <w:sz w:val="20"/>
          <w:szCs w:val="22"/>
          <w:rtl/>
        </w:rPr>
        <w:t xml:space="preserve"> </w:t>
      </w:r>
      <w:r w:rsidRPr="00247C05">
        <w:rPr>
          <w:rFonts w:eastAsia="Calibri" w:cs="FrankRuehl" w:hint="cs"/>
          <w:sz w:val="20"/>
          <w:szCs w:val="22"/>
          <w:rtl/>
        </w:rPr>
        <w:t>ב</w:t>
      </w:r>
      <w:r w:rsidRPr="00247C05">
        <w:rPr>
          <w:rFonts w:eastAsia="Calibri" w:cs="FrankRuehl"/>
          <w:sz w:val="20"/>
          <w:szCs w:val="22"/>
          <w:rtl/>
        </w:rPr>
        <w:t>'</w:t>
      </w:r>
      <w:r w:rsidRPr="00247C05">
        <w:rPr>
          <w:rFonts w:eastAsia="Calibri" w:cs="FrankRuehl" w:hint="cs"/>
          <w:sz w:val="20"/>
          <w:szCs w:val="22"/>
          <w:rtl/>
        </w:rPr>
        <w:t xml:space="preserve"> המשלמים</w:t>
      </w:r>
      <w:r w:rsidRPr="00247C05">
        <w:rPr>
          <w:rFonts w:eastAsia="Calibri" w:cs="FrankRuehl"/>
          <w:sz w:val="20"/>
          <w:szCs w:val="22"/>
          <w:rtl/>
        </w:rPr>
        <w:t xml:space="preserve"> </w:t>
      </w:r>
      <w:r w:rsidRPr="00247C05">
        <w:rPr>
          <w:rFonts w:eastAsia="Calibri" w:cs="FrankRuehl" w:hint="cs"/>
          <w:sz w:val="20"/>
          <w:szCs w:val="22"/>
          <w:rtl/>
        </w:rPr>
        <w:t>עבור</w:t>
      </w:r>
      <w:r w:rsidRPr="00247C05">
        <w:rPr>
          <w:rFonts w:eastAsia="Calibri" w:cs="FrankRuehl"/>
          <w:sz w:val="20"/>
          <w:szCs w:val="22"/>
          <w:rtl/>
        </w:rPr>
        <w:t xml:space="preserve"> </w:t>
      </w:r>
      <w:r w:rsidRPr="00247C05">
        <w:rPr>
          <w:rFonts w:eastAsia="Calibri" w:cs="FrankRuehl" w:hint="cs"/>
          <w:sz w:val="20"/>
          <w:szCs w:val="22"/>
          <w:rtl/>
        </w:rPr>
        <w:t>אבטחה</w:t>
      </w:r>
      <w:r w:rsidRPr="00247C05">
        <w:rPr>
          <w:rFonts w:eastAsia="Calibri" w:cs="FrankRuehl"/>
          <w:sz w:val="20"/>
          <w:szCs w:val="22"/>
          <w:rtl/>
        </w:rPr>
        <w:t xml:space="preserve">, </w:t>
      </w:r>
      <w:r w:rsidRPr="00247C05">
        <w:rPr>
          <w:rFonts w:eastAsia="Calibri" w:cs="FrankRuehl" w:hint="cs"/>
          <w:sz w:val="20"/>
          <w:szCs w:val="22"/>
          <w:rtl/>
        </w:rPr>
        <w:t>אחד</w:t>
      </w:r>
      <w:r w:rsidRPr="00247C05">
        <w:rPr>
          <w:rFonts w:eastAsia="Calibri" w:cs="FrankRuehl"/>
          <w:sz w:val="20"/>
          <w:szCs w:val="22"/>
          <w:rtl/>
        </w:rPr>
        <w:t xml:space="preserve"> </w:t>
      </w:r>
      <w:r w:rsidRPr="00247C05">
        <w:rPr>
          <w:rFonts w:eastAsia="Calibri" w:cs="FrankRuehl" w:hint="cs"/>
          <w:sz w:val="20"/>
          <w:szCs w:val="22"/>
          <w:rtl/>
        </w:rPr>
        <w:t>משלם</w:t>
      </w:r>
      <w:r w:rsidRPr="00247C05">
        <w:rPr>
          <w:rFonts w:eastAsia="Calibri" w:cs="FrankRuehl"/>
          <w:sz w:val="20"/>
          <w:szCs w:val="22"/>
          <w:rtl/>
        </w:rPr>
        <w:t xml:space="preserve"> ס</w:t>
      </w:r>
      <w:r w:rsidRPr="00247C05">
        <w:rPr>
          <w:rFonts w:eastAsia="Calibri" w:cs="FrankRuehl" w:hint="cs"/>
          <w:sz w:val="20"/>
          <w:szCs w:val="22"/>
          <w:rtl/>
        </w:rPr>
        <w:t xml:space="preserve">כום חודשי של </w:t>
      </w:r>
      <w:r w:rsidRPr="00247C05">
        <w:rPr>
          <w:rFonts w:eastAsia="Calibri" w:cs="FrankRuehl"/>
          <w:sz w:val="20"/>
          <w:szCs w:val="22"/>
          <w:rtl/>
        </w:rPr>
        <w:t xml:space="preserve">12,500 </w:t>
      </w:r>
      <w:r w:rsidRPr="00247C05">
        <w:rPr>
          <w:rFonts w:eastAsia="Calibri" w:cs="FrankRuehl" w:hint="cs"/>
          <w:sz w:val="20"/>
          <w:szCs w:val="22"/>
          <w:rtl/>
        </w:rPr>
        <w:t>ש"ח,</w:t>
      </w:r>
      <w:r w:rsidRPr="00247C05">
        <w:rPr>
          <w:rFonts w:eastAsia="Calibri" w:cs="FrankRuehl"/>
          <w:sz w:val="20"/>
          <w:szCs w:val="22"/>
          <w:rtl/>
        </w:rPr>
        <w:t xml:space="preserve"> ו</w:t>
      </w:r>
      <w:r w:rsidRPr="00247C05">
        <w:rPr>
          <w:rFonts w:eastAsia="Calibri" w:cs="FrankRuehl" w:hint="cs"/>
          <w:sz w:val="20"/>
          <w:szCs w:val="22"/>
          <w:rtl/>
        </w:rPr>
        <w:t>השני</w:t>
      </w:r>
      <w:r w:rsidRPr="00247C05">
        <w:rPr>
          <w:rFonts w:eastAsia="Calibri" w:cs="FrankRuehl"/>
          <w:sz w:val="20"/>
          <w:szCs w:val="22"/>
          <w:rtl/>
        </w:rPr>
        <w:t xml:space="preserve"> </w:t>
      </w:r>
      <w:r w:rsidRPr="00247C05">
        <w:rPr>
          <w:rFonts w:eastAsia="Calibri" w:cs="FrankRuehl" w:hint="cs"/>
          <w:sz w:val="20"/>
          <w:szCs w:val="22"/>
          <w:rtl/>
        </w:rPr>
        <w:t>משלם לפי תעריף ליום שיפוט (</w:t>
      </w:r>
      <w:r w:rsidRPr="00247C05">
        <w:rPr>
          <w:rFonts w:eastAsia="Calibri" w:cs="FrankRuehl"/>
          <w:sz w:val="20"/>
          <w:szCs w:val="22"/>
          <w:rtl/>
        </w:rPr>
        <w:t xml:space="preserve">720 </w:t>
      </w:r>
      <w:r w:rsidRPr="00247C05">
        <w:rPr>
          <w:rFonts w:eastAsia="Calibri" w:cs="FrankRuehl" w:hint="cs"/>
          <w:sz w:val="20"/>
          <w:szCs w:val="22"/>
          <w:rtl/>
        </w:rPr>
        <w:t>ש"ח).</w:t>
      </w:r>
    </w:p>
    <w:p w:rsidR="003037FB" w:rsidRPr="00247C05" w:rsidP="00E65943">
      <w:pPr>
        <w:pStyle w:val="RESHET"/>
        <w:keepLines/>
        <w:rPr>
          <w:rFonts w:eastAsia="Calibri"/>
          <w:rtl/>
        </w:rPr>
      </w:pPr>
      <w:r w:rsidRPr="00247C05">
        <w:rPr>
          <w:rFonts w:eastAsia="Calibri" w:hint="cs"/>
          <w:rtl/>
        </w:rPr>
        <w:t xml:space="preserve">יוצא אפוא, שהב"ה אינה עומדת בגביית תשלום עבור אבטחה לפי האפיונים שקבעה. גם התשלומים מהרשויות המקומיות בעבור אבטחה שגובה הב"ה אינם שוויוניים ואחידים. לדעת משרד מבקר המדינה על הנהלת בתי המשפט להיצמד לאמות המידה שקבעה בעת גביית התשלומים בעבור פעולות האבטחה בבתי המשפט, כדי שלא ייווצר אי-שוויון בין הרשויות. </w:t>
      </w:r>
    </w:p>
    <w:p w:rsidR="003037FB" w:rsidRPr="00247C05" w:rsidP="00040DAE">
      <w:pPr>
        <w:spacing w:after="120" w:line="230" w:lineRule="exact"/>
        <w:jc w:val="both"/>
        <w:rPr>
          <w:rFonts w:cs="FrankRuehl"/>
          <w:sz w:val="20"/>
          <w:szCs w:val="22"/>
          <w:rtl/>
        </w:rPr>
      </w:pPr>
    </w:p>
    <w:p w:rsidR="003037FB" w:rsidRPr="00247C05" w:rsidP="00040DAE">
      <w:pPr>
        <w:spacing w:after="120" w:line="230" w:lineRule="exact"/>
        <w:jc w:val="both"/>
        <w:rPr>
          <w:rFonts w:eastAsia="Calibri" w:cs="FrankRuehl"/>
          <w:sz w:val="20"/>
          <w:szCs w:val="22"/>
          <w:rtl/>
        </w:rPr>
      </w:pPr>
    </w:p>
    <w:p w:rsidR="003037FB" w:rsidRPr="00A45E9A" w:rsidP="00040DAE">
      <w:pPr>
        <w:pStyle w:val="KOT2"/>
        <w:rPr>
          <w:rFonts w:eastAsia="Calibri"/>
          <w:rtl/>
        </w:rPr>
      </w:pPr>
      <w:r w:rsidRPr="00A45E9A">
        <w:rPr>
          <w:rFonts w:eastAsia="Calibri" w:hint="eastAsia"/>
          <w:rtl/>
        </w:rPr>
        <w:t>שינוי</w:t>
      </w:r>
      <w:r w:rsidRPr="00A45E9A">
        <w:rPr>
          <w:rFonts w:eastAsia="Calibri"/>
          <w:rtl/>
        </w:rPr>
        <w:t xml:space="preserve"> מודל </w:t>
      </w:r>
      <w:r w:rsidRPr="00A45E9A">
        <w:rPr>
          <w:rFonts w:eastAsia="Calibri" w:hint="cs"/>
          <w:rtl/>
        </w:rPr>
        <w:t>ה</w:t>
      </w:r>
      <w:r w:rsidRPr="00A45E9A">
        <w:rPr>
          <w:rFonts w:eastAsia="Calibri"/>
          <w:rtl/>
        </w:rPr>
        <w:t xml:space="preserve">פעילות </w:t>
      </w:r>
      <w:r w:rsidRPr="00A45E9A">
        <w:rPr>
          <w:rFonts w:eastAsia="Calibri" w:hint="cs"/>
          <w:rtl/>
        </w:rPr>
        <w:t>ב</w:t>
      </w:r>
      <w:r w:rsidRPr="00A45E9A">
        <w:rPr>
          <w:rFonts w:eastAsia="Calibri"/>
          <w:rtl/>
        </w:rPr>
        <w:t xml:space="preserve">בתי משפט </w:t>
      </w:r>
      <w:r w:rsidRPr="00A45E9A">
        <w:rPr>
          <w:rFonts w:eastAsia="Calibri" w:hint="eastAsia"/>
          <w:rtl/>
        </w:rPr>
        <w:t>עמ</w:t>
      </w:r>
      <w:r w:rsidRPr="00A45E9A">
        <w:rPr>
          <w:rFonts w:eastAsia="Calibri"/>
          <w:rtl/>
        </w:rPr>
        <w:t>"ק</w:t>
      </w:r>
    </w:p>
    <w:p w:rsidR="003037FB" w:rsidRPr="00E65943" w:rsidP="00B365BA">
      <w:pPr>
        <w:pStyle w:val="ListParagraph"/>
        <w:tabs>
          <w:tab w:val="left" w:pos="0"/>
        </w:tabs>
        <w:spacing w:after="120" w:line="230" w:lineRule="exact"/>
        <w:ind w:left="0"/>
        <w:contextualSpacing w:val="0"/>
        <w:jc w:val="both"/>
        <w:rPr>
          <w:rFonts w:ascii="Times New Roman" w:hAnsi="Times New Roman" w:cs="FrankRuehl"/>
          <w:sz w:val="20"/>
          <w:rtl/>
        </w:rPr>
      </w:pPr>
      <w:r w:rsidRPr="00E65943">
        <w:rPr>
          <w:rFonts w:ascii="Times New Roman" w:hAnsi="Times New Roman" w:cs="FrankRuehl" w:hint="cs"/>
          <w:sz w:val="20"/>
          <w:rtl/>
        </w:rPr>
        <w:t xml:space="preserve">כאמור, לאורך השנים נדונו </w:t>
      </w:r>
      <w:r w:rsidR="00B365BA">
        <w:rPr>
          <w:rFonts w:ascii="Times New Roman" w:hAnsi="Times New Roman" w:cs="FrankRuehl" w:hint="cs"/>
          <w:sz w:val="20"/>
          <w:rtl/>
        </w:rPr>
        <w:t>שלושה</w:t>
      </w:r>
      <w:r w:rsidRPr="00E65943">
        <w:rPr>
          <w:rFonts w:ascii="Times New Roman" w:hAnsi="Times New Roman" w:cs="FrankRuehl"/>
          <w:sz w:val="20"/>
          <w:rtl/>
        </w:rPr>
        <w:t xml:space="preserve"> מודלים עיקריים</w:t>
      </w:r>
      <w:r w:rsidRPr="00E65943">
        <w:rPr>
          <w:rFonts w:ascii="Times New Roman" w:hAnsi="Times New Roman" w:cs="FrankRuehl" w:hint="cs"/>
          <w:sz w:val="20"/>
          <w:rtl/>
        </w:rPr>
        <w:t xml:space="preserve"> לפעילותם של במ"ש עמ"ק</w:t>
      </w:r>
      <w:r w:rsidRPr="00E65943">
        <w:rPr>
          <w:rFonts w:ascii="Times New Roman" w:hAnsi="Times New Roman" w:cs="FrankRuehl"/>
          <w:sz w:val="20"/>
          <w:rtl/>
        </w:rPr>
        <w:t>.</w:t>
      </w:r>
      <w:r w:rsidRPr="00E65943">
        <w:rPr>
          <w:rFonts w:ascii="Times New Roman" w:hAnsi="Times New Roman" w:cs="FrankRuehl" w:hint="cs"/>
          <w:sz w:val="20"/>
          <w:rtl/>
        </w:rPr>
        <w:t xml:space="preserve"> המודל </w:t>
      </w:r>
      <w:r w:rsidRPr="00E65943">
        <w:rPr>
          <w:rFonts w:ascii="Times New Roman" w:hAnsi="Times New Roman" w:cs="FrankRuehl"/>
          <w:sz w:val="20"/>
          <w:rtl/>
        </w:rPr>
        <w:t xml:space="preserve">הראשון </w:t>
      </w:r>
      <w:r w:rsidRPr="00E65943">
        <w:rPr>
          <w:rFonts w:ascii="Times New Roman" w:hAnsi="Times New Roman" w:cs="FrankRuehl" w:hint="cs"/>
          <w:sz w:val="20"/>
          <w:rtl/>
        </w:rPr>
        <w:t xml:space="preserve">הקיים עד היום, ולפיו </w:t>
      </w:r>
      <w:r w:rsidRPr="00E65943">
        <w:rPr>
          <w:rFonts w:ascii="Times New Roman" w:hAnsi="Times New Roman" w:cs="FrankRuehl"/>
          <w:sz w:val="20"/>
          <w:rtl/>
        </w:rPr>
        <w:t xml:space="preserve">פעילות </w:t>
      </w:r>
      <w:r w:rsidRPr="00E65943">
        <w:rPr>
          <w:rFonts w:ascii="Times New Roman" w:hAnsi="Times New Roman" w:cs="FrankRuehl" w:hint="cs"/>
          <w:sz w:val="20"/>
          <w:rtl/>
        </w:rPr>
        <w:t>במ</w:t>
      </w:r>
      <w:r w:rsidRPr="00E65943">
        <w:rPr>
          <w:rFonts w:ascii="Times New Roman" w:hAnsi="Times New Roman" w:cs="FrankRuehl"/>
          <w:sz w:val="20"/>
          <w:rtl/>
        </w:rPr>
        <w:t xml:space="preserve">"ש </w:t>
      </w:r>
      <w:r w:rsidRPr="00E65943">
        <w:rPr>
          <w:rFonts w:ascii="Times New Roman" w:hAnsi="Times New Roman" w:cs="FrankRuehl" w:hint="cs"/>
          <w:sz w:val="20"/>
          <w:rtl/>
        </w:rPr>
        <w:t>עמ</w:t>
      </w:r>
      <w:r w:rsidRPr="00E65943">
        <w:rPr>
          <w:rFonts w:ascii="Times New Roman" w:hAnsi="Times New Roman" w:cs="FrankRuehl"/>
          <w:sz w:val="20"/>
          <w:rtl/>
        </w:rPr>
        <w:t xml:space="preserve">"ק </w:t>
      </w:r>
      <w:r w:rsidRPr="00E65943">
        <w:rPr>
          <w:rFonts w:ascii="Times New Roman" w:hAnsi="Times New Roman" w:cs="FrankRuehl" w:hint="cs"/>
          <w:sz w:val="20"/>
          <w:rtl/>
        </w:rPr>
        <w:t xml:space="preserve">כפופה לשתי מערכות - לרשות המקומית ולרשות </w:t>
      </w:r>
      <w:r w:rsidRPr="00E65943">
        <w:rPr>
          <w:rFonts w:ascii="Times New Roman" w:hAnsi="Times New Roman" w:cs="FrankRuehl" w:hint="cs"/>
          <w:sz w:val="20"/>
          <w:rtl/>
        </w:rPr>
        <w:t xml:space="preserve">השופטת. </w:t>
      </w:r>
      <w:r w:rsidR="00B365BA">
        <w:rPr>
          <w:rFonts w:ascii="Times New Roman" w:hAnsi="Times New Roman" w:cs="FrankRuehl" w:hint="cs"/>
          <w:sz w:val="20"/>
          <w:rtl/>
        </w:rPr>
        <w:t xml:space="preserve">המודל השני עוסק בהשארת המודל הנוכחי תוך ביסוס סדרי המינהל העקריים בחקיקה. </w:t>
      </w:r>
      <w:r w:rsidRPr="00E65943">
        <w:rPr>
          <w:rFonts w:ascii="Times New Roman" w:hAnsi="Times New Roman" w:cs="FrankRuehl" w:hint="cs"/>
          <w:sz w:val="20"/>
          <w:rtl/>
        </w:rPr>
        <w:t xml:space="preserve">המודל </w:t>
      </w:r>
      <w:r w:rsidR="00B365BA">
        <w:rPr>
          <w:rFonts w:ascii="Times New Roman" w:hAnsi="Times New Roman" w:cs="FrankRuehl" w:hint="cs"/>
          <w:sz w:val="20"/>
          <w:rtl/>
        </w:rPr>
        <w:t>השלישי</w:t>
      </w:r>
      <w:r w:rsidRPr="00E65943">
        <w:rPr>
          <w:rFonts w:ascii="Times New Roman" w:hAnsi="Times New Roman" w:cs="FrankRuehl"/>
          <w:sz w:val="20"/>
          <w:rtl/>
        </w:rPr>
        <w:t xml:space="preserve"> ת</w:t>
      </w:r>
      <w:r w:rsidRPr="00E65943">
        <w:rPr>
          <w:rFonts w:ascii="Times New Roman" w:hAnsi="Times New Roman" w:cs="FrankRuehl" w:hint="cs"/>
          <w:sz w:val="20"/>
          <w:rtl/>
        </w:rPr>
        <w:t>ו</w:t>
      </w:r>
      <w:r w:rsidRPr="00E65943">
        <w:rPr>
          <w:rFonts w:ascii="Times New Roman" w:hAnsi="Times New Roman" w:cs="FrankRuehl"/>
          <w:sz w:val="20"/>
          <w:rtl/>
        </w:rPr>
        <w:t xml:space="preserve">מך </w:t>
      </w:r>
      <w:r w:rsidRPr="00E65943">
        <w:rPr>
          <w:rFonts w:ascii="Times New Roman" w:hAnsi="Times New Roman" w:cs="FrankRuehl" w:hint="cs"/>
          <w:sz w:val="20"/>
          <w:rtl/>
        </w:rPr>
        <w:t>בביטול</w:t>
      </w:r>
      <w:r w:rsidRPr="00E65943">
        <w:rPr>
          <w:rFonts w:ascii="Times New Roman" w:hAnsi="Times New Roman" w:cs="FrankRuehl"/>
          <w:sz w:val="20"/>
          <w:rtl/>
        </w:rPr>
        <w:t xml:space="preserve"> </w:t>
      </w:r>
      <w:r w:rsidRPr="00E65943">
        <w:rPr>
          <w:rFonts w:ascii="Times New Roman" w:hAnsi="Times New Roman" w:cs="FrankRuehl" w:hint="cs"/>
          <w:sz w:val="20"/>
          <w:rtl/>
        </w:rPr>
        <w:t>צווי</w:t>
      </w:r>
      <w:r w:rsidRPr="00E65943">
        <w:rPr>
          <w:rFonts w:ascii="Times New Roman" w:hAnsi="Times New Roman" w:cs="FrankRuehl"/>
          <w:sz w:val="20"/>
          <w:rtl/>
        </w:rPr>
        <w:t xml:space="preserve"> </w:t>
      </w:r>
      <w:r w:rsidRPr="00E65943">
        <w:rPr>
          <w:rFonts w:ascii="Times New Roman" w:hAnsi="Times New Roman" w:cs="FrankRuehl" w:hint="cs"/>
          <w:sz w:val="20"/>
          <w:rtl/>
        </w:rPr>
        <w:t>ההקמה</w:t>
      </w:r>
      <w:r w:rsidRPr="00E65943">
        <w:rPr>
          <w:rFonts w:ascii="Times New Roman" w:hAnsi="Times New Roman" w:cs="FrankRuehl"/>
          <w:sz w:val="20"/>
          <w:rtl/>
        </w:rPr>
        <w:t xml:space="preserve"> </w:t>
      </w:r>
      <w:r w:rsidRPr="00E65943">
        <w:rPr>
          <w:rFonts w:ascii="Times New Roman" w:hAnsi="Times New Roman" w:cs="FrankRuehl" w:hint="cs"/>
          <w:sz w:val="20"/>
          <w:rtl/>
        </w:rPr>
        <w:t>של</w:t>
      </w:r>
      <w:r w:rsidRPr="00E65943">
        <w:rPr>
          <w:rFonts w:ascii="Times New Roman" w:hAnsi="Times New Roman" w:cs="FrankRuehl"/>
          <w:sz w:val="20"/>
          <w:rtl/>
        </w:rPr>
        <w:t xml:space="preserve"> </w:t>
      </w:r>
      <w:r w:rsidRPr="00E65943">
        <w:rPr>
          <w:rFonts w:ascii="Times New Roman" w:hAnsi="Times New Roman" w:cs="FrankRuehl" w:hint="cs"/>
          <w:sz w:val="20"/>
          <w:rtl/>
        </w:rPr>
        <w:t>בתי</w:t>
      </w:r>
      <w:r w:rsidRPr="00E65943">
        <w:rPr>
          <w:rFonts w:ascii="Times New Roman" w:hAnsi="Times New Roman" w:cs="FrankRuehl"/>
          <w:sz w:val="20"/>
          <w:rtl/>
        </w:rPr>
        <w:t xml:space="preserve"> </w:t>
      </w:r>
      <w:r w:rsidRPr="00E65943">
        <w:rPr>
          <w:rFonts w:ascii="Times New Roman" w:hAnsi="Times New Roman" w:cs="FrankRuehl" w:hint="cs"/>
          <w:sz w:val="20"/>
          <w:rtl/>
        </w:rPr>
        <w:t>משפט</w:t>
      </w:r>
      <w:r w:rsidRPr="00E65943">
        <w:rPr>
          <w:rFonts w:ascii="Times New Roman" w:hAnsi="Times New Roman" w:cs="FrankRuehl"/>
          <w:sz w:val="20"/>
          <w:rtl/>
        </w:rPr>
        <w:t xml:space="preserve"> </w:t>
      </w:r>
      <w:r w:rsidRPr="00E65943">
        <w:rPr>
          <w:rFonts w:ascii="Times New Roman" w:hAnsi="Times New Roman" w:cs="FrankRuehl" w:hint="cs"/>
          <w:sz w:val="20"/>
          <w:rtl/>
        </w:rPr>
        <w:t>עמ</w:t>
      </w:r>
      <w:r w:rsidRPr="00E65943">
        <w:rPr>
          <w:rFonts w:ascii="Times New Roman" w:hAnsi="Times New Roman" w:cs="FrankRuehl"/>
          <w:sz w:val="20"/>
          <w:rtl/>
        </w:rPr>
        <w:t xml:space="preserve">"ק </w:t>
      </w:r>
      <w:r w:rsidRPr="00E65943">
        <w:rPr>
          <w:rFonts w:ascii="Times New Roman" w:hAnsi="Times New Roman" w:cs="FrankRuehl" w:hint="cs"/>
          <w:sz w:val="20"/>
          <w:rtl/>
        </w:rPr>
        <w:t>והטמעתם</w:t>
      </w:r>
      <w:r w:rsidRPr="00E65943">
        <w:rPr>
          <w:rFonts w:ascii="Times New Roman" w:hAnsi="Times New Roman" w:cs="FrankRuehl"/>
          <w:sz w:val="20"/>
          <w:rtl/>
        </w:rPr>
        <w:t xml:space="preserve"> </w:t>
      </w:r>
      <w:r w:rsidRPr="00E65943">
        <w:rPr>
          <w:rFonts w:ascii="Times New Roman" w:hAnsi="Times New Roman" w:cs="FrankRuehl" w:hint="cs"/>
          <w:sz w:val="20"/>
          <w:rtl/>
        </w:rPr>
        <w:t>בבתי</w:t>
      </w:r>
      <w:r w:rsidRPr="00E65943">
        <w:rPr>
          <w:rFonts w:ascii="Times New Roman" w:hAnsi="Times New Roman" w:cs="FrankRuehl"/>
          <w:sz w:val="20"/>
          <w:rtl/>
        </w:rPr>
        <w:t xml:space="preserve"> </w:t>
      </w:r>
      <w:r w:rsidRPr="00E65943">
        <w:rPr>
          <w:rFonts w:ascii="Times New Roman" w:hAnsi="Times New Roman" w:cs="FrankRuehl" w:hint="cs"/>
          <w:sz w:val="20"/>
          <w:rtl/>
        </w:rPr>
        <w:t>משפט</w:t>
      </w:r>
      <w:r w:rsidRPr="00E65943">
        <w:rPr>
          <w:rFonts w:ascii="Times New Roman" w:hAnsi="Times New Roman" w:cs="FrankRuehl"/>
          <w:sz w:val="20"/>
          <w:rtl/>
        </w:rPr>
        <w:t xml:space="preserve"> </w:t>
      </w:r>
      <w:r w:rsidRPr="00E65943">
        <w:rPr>
          <w:rFonts w:ascii="Times New Roman" w:hAnsi="Times New Roman" w:cs="FrankRuehl" w:hint="cs"/>
          <w:sz w:val="20"/>
          <w:rtl/>
        </w:rPr>
        <w:t>השלום</w:t>
      </w:r>
      <w:r w:rsidRPr="00E65943">
        <w:rPr>
          <w:rFonts w:ascii="Times New Roman" w:hAnsi="Times New Roman" w:cs="FrankRuehl"/>
          <w:sz w:val="20"/>
          <w:rtl/>
        </w:rPr>
        <w:t>.</w:t>
      </w:r>
    </w:p>
    <w:p w:rsidR="003037FB" w:rsidRPr="00247C05" w:rsidP="00040DAE">
      <w:pPr>
        <w:pStyle w:val="ListParagraph"/>
        <w:numPr>
          <w:ilvl w:val="0"/>
          <w:numId w:val="18"/>
        </w:numPr>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ועדת זמיר סברה שאין להמליץ על ביטול במ"ש עמ"ק, אלא לפעול לפי המודל הראשון ולהציע שיפור המצב. בין היתר המליצה הוועדה,</w:t>
      </w:r>
      <w:r w:rsidRPr="00247C05">
        <w:rPr>
          <w:rFonts w:ascii="Times New Roman" w:hAnsi="Times New Roman" w:cs="FrankRuehl"/>
          <w:sz w:val="20"/>
          <w:rtl/>
        </w:rPr>
        <w:t xml:space="preserve"> כי ראוי שההסדרים הראשוניים </w:t>
      </w:r>
      <w:r w:rsidRPr="00247C05">
        <w:rPr>
          <w:rFonts w:ascii="Times New Roman" w:hAnsi="Times New Roman" w:cs="FrankRuehl" w:hint="cs"/>
          <w:sz w:val="20"/>
          <w:rtl/>
        </w:rPr>
        <w:t>בנוגע</w:t>
      </w:r>
      <w:r w:rsidRPr="00247C05">
        <w:rPr>
          <w:rFonts w:ascii="Times New Roman" w:hAnsi="Times New Roman" w:cs="FrankRuehl"/>
          <w:sz w:val="20"/>
          <w:rtl/>
        </w:rPr>
        <w:t xml:space="preserve"> </w:t>
      </w:r>
      <w:r w:rsidRPr="00247C05">
        <w:rPr>
          <w:rFonts w:ascii="Times New Roman" w:hAnsi="Times New Roman" w:cs="FrankRuehl" w:hint="cs"/>
          <w:sz w:val="20"/>
          <w:rtl/>
        </w:rPr>
        <w:t>ל</w:t>
      </w:r>
      <w:r w:rsidRPr="00247C05">
        <w:rPr>
          <w:rFonts w:ascii="Times New Roman" w:hAnsi="Times New Roman" w:cs="FrankRuehl"/>
          <w:sz w:val="20"/>
          <w:rtl/>
        </w:rPr>
        <w:t>סדרי המ</w:t>
      </w:r>
      <w:r w:rsidRPr="00247C05">
        <w:rPr>
          <w:rFonts w:ascii="Times New Roman" w:hAnsi="Times New Roman" w:cs="FrankRuehl" w:hint="cs"/>
          <w:sz w:val="20"/>
          <w:rtl/>
        </w:rPr>
        <w:t>י</w:t>
      </w:r>
      <w:r w:rsidRPr="00247C05">
        <w:rPr>
          <w:rFonts w:ascii="Times New Roman" w:hAnsi="Times New Roman" w:cs="FrankRuehl"/>
          <w:sz w:val="20"/>
          <w:rtl/>
        </w:rPr>
        <w:t>נהל י</w:t>
      </w:r>
      <w:r w:rsidRPr="00247C05">
        <w:rPr>
          <w:rFonts w:ascii="Times New Roman" w:hAnsi="Times New Roman" w:cs="FrankRuehl" w:hint="cs"/>
          <w:sz w:val="20"/>
          <w:rtl/>
        </w:rPr>
        <w:t>י</w:t>
      </w:r>
      <w:r w:rsidRPr="00247C05">
        <w:rPr>
          <w:rFonts w:ascii="Times New Roman" w:hAnsi="Times New Roman" w:cs="FrankRuehl"/>
          <w:sz w:val="20"/>
          <w:rtl/>
        </w:rPr>
        <w:t xml:space="preserve">קבעו על ידי שר המשפטים </w:t>
      </w:r>
      <w:r w:rsidRPr="00247C05">
        <w:rPr>
          <w:rFonts w:ascii="Times New Roman" w:hAnsi="Times New Roman" w:cs="FrankRuehl" w:hint="cs"/>
          <w:sz w:val="20"/>
          <w:rtl/>
        </w:rPr>
        <w:t>בתקנות שבהם יפורטו ההסדרים העיקריים בנוגע לסדרי המינהל בבמ"ש עמ"ק, בעוד שהסדרים משניים יכולים להיקבע בדרך אחרת על ידי שר המשפטים או, לבקשתו, על ידי מנהל הב"ה, כהוראות או הנחיות.</w:t>
      </w:r>
    </w:p>
    <w:p w:rsidR="003037FB" w:rsidRPr="00247C05" w:rsidP="00040DAE">
      <w:pPr>
        <w:pStyle w:val="ListParagraph"/>
        <w:numPr>
          <w:ilvl w:val="0"/>
          <w:numId w:val="18"/>
        </w:numPr>
        <w:spacing w:after="120" w:line="230" w:lineRule="exact"/>
        <w:contextualSpacing w:val="0"/>
        <w:jc w:val="both"/>
        <w:rPr>
          <w:rFonts w:ascii="Times New Roman" w:hAnsi="Times New Roman" w:cs="FrankRuehl"/>
          <w:sz w:val="20"/>
        </w:rPr>
      </w:pPr>
      <w:r w:rsidRPr="00247C05">
        <w:rPr>
          <w:rFonts w:ascii="Times New Roman" w:hAnsi="Times New Roman" w:cs="FrankRuehl" w:hint="cs"/>
          <w:sz w:val="20"/>
          <w:rtl/>
        </w:rPr>
        <w:t>דוח בושארי מינואר 2008 נערך על ידי צוות שמונה על ידי מנהל הב"ה כדי "לבחון ולהמליץ על הדרכים לשילובם של בתי המשפט הקטנים לעניינים מקומיים במערכת בתי המשפט הרגילה". לאחר בחינת חלופות תמך דוח בושארי במודל השני. הדוח המליץ למנהל הב"ה לשלב את עובדי מזכירויות במ"ש עמ"ק במסגרת של מערכת בתי המשפט, ולערוך את תיקוני החקיקה הנחוצים כדי להסמיך את בתי משפט השלום לשבת כבתי משפט עמ"ק.</w:t>
      </w:r>
    </w:p>
    <w:p w:rsidR="003037FB" w:rsidRPr="00247C05" w:rsidP="00040DAE">
      <w:pPr>
        <w:pStyle w:val="ListParagraph"/>
        <w:numPr>
          <w:ilvl w:val="0"/>
          <w:numId w:val="18"/>
        </w:numPr>
        <w:spacing w:after="120" w:line="230" w:lineRule="exact"/>
        <w:contextualSpacing w:val="0"/>
        <w:jc w:val="both"/>
        <w:rPr>
          <w:rFonts w:ascii="Times New Roman" w:hAnsi="Times New Roman" w:cs="FrankRuehl"/>
          <w:sz w:val="20"/>
          <w:rtl/>
        </w:rPr>
      </w:pPr>
      <w:r w:rsidRPr="00247C05">
        <w:rPr>
          <w:rFonts w:ascii="Times New Roman" w:eastAsia="Calibri" w:hAnsi="Times New Roman" w:cs="FrankRuehl" w:hint="cs"/>
          <w:sz w:val="20"/>
          <w:rtl/>
        </w:rPr>
        <w:t>עמדת</w:t>
      </w:r>
      <w:r w:rsidRPr="00247C05">
        <w:rPr>
          <w:rFonts w:ascii="Times New Roman" w:eastAsia="Calibri" w:hAnsi="Times New Roman" w:cs="FrankRuehl"/>
          <w:sz w:val="20"/>
          <w:rtl/>
        </w:rPr>
        <w:t xml:space="preserve"> המדינה בבג"ץ </w:t>
      </w:r>
      <w:r w:rsidRPr="00247C05">
        <w:rPr>
          <w:rFonts w:ascii="Times New Roman" w:eastAsia="Calibri" w:hAnsi="Times New Roman" w:cs="FrankRuehl" w:hint="cs"/>
          <w:sz w:val="20"/>
          <w:rtl/>
        </w:rPr>
        <w:t>קארשי</w:t>
      </w:r>
      <w:r w:rsidRPr="00247C05">
        <w:rPr>
          <w:rFonts w:ascii="Times New Roman" w:eastAsia="Calibri" w:hAnsi="Times New Roman" w:cs="FrankRuehl"/>
          <w:sz w:val="20"/>
          <w:rtl/>
        </w:rPr>
        <w:t xml:space="preserve">, וכן המדיניות של </w:t>
      </w:r>
      <w:r w:rsidRPr="00247C05">
        <w:rPr>
          <w:rFonts w:ascii="Times New Roman" w:eastAsia="Calibri" w:hAnsi="Times New Roman" w:cs="FrankRuehl" w:hint="cs"/>
          <w:sz w:val="20"/>
          <w:rtl/>
        </w:rPr>
        <w:t>הב</w:t>
      </w:r>
      <w:r w:rsidRPr="00247C05">
        <w:rPr>
          <w:rFonts w:ascii="Times New Roman" w:eastAsia="Calibri" w:hAnsi="Times New Roman" w:cs="FrankRuehl"/>
          <w:sz w:val="20"/>
          <w:rtl/>
        </w:rPr>
        <w:t xml:space="preserve">"ה </w:t>
      </w:r>
      <w:r w:rsidRPr="00247C05">
        <w:rPr>
          <w:rFonts w:ascii="Times New Roman" w:eastAsia="Calibri" w:hAnsi="Times New Roman" w:cs="FrankRuehl" w:hint="cs"/>
          <w:sz w:val="20"/>
          <w:rtl/>
        </w:rPr>
        <w:t>כפי</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ש</w:t>
      </w:r>
      <w:r w:rsidRPr="00247C05">
        <w:rPr>
          <w:rFonts w:ascii="Times New Roman" w:eastAsia="Calibri" w:hAnsi="Times New Roman" w:cs="FrankRuehl"/>
          <w:sz w:val="20"/>
          <w:rtl/>
        </w:rPr>
        <w:t xml:space="preserve">עולה </w:t>
      </w:r>
      <w:r w:rsidRPr="00247C05">
        <w:rPr>
          <w:rFonts w:ascii="Times New Roman" w:eastAsia="Calibri" w:hAnsi="Times New Roman" w:cs="FrankRuehl" w:hint="cs"/>
          <w:sz w:val="20"/>
          <w:rtl/>
        </w:rPr>
        <w:t>ממסמך</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סיכום</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המפגש</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עם</w:t>
      </w:r>
      <w:r w:rsidRPr="00247C05">
        <w:rPr>
          <w:rFonts w:ascii="Times New Roman" w:eastAsia="Calibri" w:hAnsi="Times New Roman" w:cs="FrankRuehl"/>
          <w:sz w:val="20"/>
          <w:rtl/>
        </w:rPr>
        <w:t xml:space="preserve"> </w:t>
      </w:r>
      <w:r w:rsidRPr="00247C05">
        <w:rPr>
          <w:rFonts w:ascii="Times New Roman" w:eastAsia="Calibri" w:hAnsi="Times New Roman" w:cs="FrankRuehl" w:hint="cs"/>
          <w:sz w:val="20"/>
          <w:rtl/>
        </w:rPr>
        <w:t>המנכ</w:t>
      </w:r>
      <w:r w:rsidRPr="00247C05">
        <w:rPr>
          <w:rFonts w:ascii="Times New Roman" w:eastAsia="Calibri" w:hAnsi="Times New Roman" w:cs="FrankRuehl"/>
          <w:sz w:val="20"/>
          <w:rtl/>
        </w:rPr>
        <w:t>"לים מלמדים</w:t>
      </w:r>
      <w:r w:rsidRPr="00247C05">
        <w:rPr>
          <w:rFonts w:ascii="Times New Roman" w:eastAsia="Calibri" w:hAnsi="Times New Roman" w:cs="FrankRuehl" w:hint="cs"/>
          <w:sz w:val="20"/>
          <w:rtl/>
        </w:rPr>
        <w:t>,</w:t>
      </w:r>
      <w:r w:rsidRPr="00247C05">
        <w:rPr>
          <w:rFonts w:ascii="Times New Roman" w:eastAsia="Calibri" w:hAnsi="Times New Roman" w:cs="FrankRuehl"/>
          <w:sz w:val="20"/>
          <w:rtl/>
        </w:rPr>
        <w:t xml:space="preserve"> כי המלצות דוח</w:t>
      </w:r>
      <w:r w:rsidRPr="00247C05">
        <w:rPr>
          <w:rFonts w:ascii="Times New Roman" w:eastAsia="Calibri" w:hAnsi="Times New Roman" w:cs="FrankRuehl" w:hint="cs"/>
          <w:sz w:val="20"/>
          <w:rtl/>
        </w:rPr>
        <w:t xml:space="preserve"> בושארי</w:t>
      </w:r>
      <w:r w:rsidRPr="00247C05">
        <w:rPr>
          <w:rFonts w:ascii="Times New Roman" w:eastAsia="Calibri" w:hAnsi="Times New Roman" w:cs="FrankRuehl"/>
          <w:sz w:val="20"/>
          <w:rtl/>
        </w:rPr>
        <w:t xml:space="preserve"> לא אומצו, ומתכונת פעילותם של </w:t>
      </w:r>
      <w:r w:rsidRPr="00247C05">
        <w:rPr>
          <w:rFonts w:ascii="Times New Roman" w:eastAsia="Calibri" w:hAnsi="Times New Roman" w:cs="FrankRuehl" w:hint="cs"/>
          <w:sz w:val="20"/>
          <w:rtl/>
        </w:rPr>
        <w:t>במ</w:t>
      </w:r>
      <w:r w:rsidRPr="00247C05">
        <w:rPr>
          <w:rFonts w:ascii="Times New Roman" w:eastAsia="Calibri" w:hAnsi="Times New Roman" w:cs="FrankRuehl"/>
          <w:sz w:val="20"/>
          <w:rtl/>
        </w:rPr>
        <w:t xml:space="preserve">"ש </w:t>
      </w:r>
      <w:r w:rsidRPr="00247C05">
        <w:rPr>
          <w:rFonts w:ascii="Times New Roman" w:eastAsia="Calibri" w:hAnsi="Times New Roman" w:cs="FrankRuehl" w:hint="cs"/>
          <w:sz w:val="20"/>
          <w:rtl/>
        </w:rPr>
        <w:t>עמ</w:t>
      </w:r>
      <w:r w:rsidRPr="00247C05">
        <w:rPr>
          <w:rFonts w:ascii="Times New Roman" w:eastAsia="Calibri" w:hAnsi="Times New Roman" w:cs="FrankRuehl"/>
          <w:sz w:val="20"/>
          <w:rtl/>
        </w:rPr>
        <w:t>"ק נותרה על כנה</w:t>
      </w:r>
      <w:r w:rsidRPr="00247C05">
        <w:rPr>
          <w:rFonts w:ascii="Times New Roman" w:eastAsia="Calibri" w:hAnsi="Times New Roman" w:cs="FrankRuehl" w:hint="cs"/>
          <w:sz w:val="20"/>
          <w:rtl/>
        </w:rPr>
        <w:t xml:space="preserve"> בהתאם למודל הראשון</w:t>
      </w:r>
      <w:r w:rsidRPr="00247C05">
        <w:rPr>
          <w:rFonts w:ascii="Times New Roman" w:eastAsia="Calibri" w:hAnsi="Times New Roman" w:cs="FrankRuehl"/>
          <w:sz w:val="20"/>
          <w:rtl/>
        </w:rPr>
        <w:t>.</w:t>
      </w:r>
      <w:r w:rsidRPr="00247C05">
        <w:rPr>
          <w:rFonts w:ascii="Times New Roman" w:hAnsi="Times New Roman" w:cs="FrankRuehl"/>
          <w:sz w:val="20"/>
          <w:rtl/>
        </w:rPr>
        <w:t xml:space="preserve"> </w:t>
      </w:r>
    </w:p>
    <w:p w:rsidR="003037FB" w:rsidRPr="00247C05" w:rsidP="00040DAE">
      <w:pPr>
        <w:pStyle w:val="ListParagraph"/>
        <w:tabs>
          <w:tab w:val="left" w:pos="0"/>
        </w:tabs>
        <w:spacing w:after="120" w:line="230" w:lineRule="exact"/>
        <w:ind w:left="340"/>
        <w:contextualSpacing w:val="0"/>
        <w:jc w:val="both"/>
        <w:rPr>
          <w:rFonts w:ascii="Times New Roman" w:hAnsi="Times New Roman" w:cs="FrankRuehl"/>
          <w:sz w:val="20"/>
          <w:rtl/>
        </w:rPr>
      </w:pPr>
      <w:r w:rsidRPr="00247C05">
        <w:rPr>
          <w:rFonts w:ascii="Times New Roman" w:hAnsi="Times New Roman" w:cs="FrankRuehl" w:hint="cs"/>
          <w:sz w:val="20"/>
          <w:rtl/>
        </w:rPr>
        <w:t xml:space="preserve">יצוין, כי בעניין שינוי מודל ההפעלה של במ"ש עמ"ק, בג"ץ קארשי התייחס גם לצורך בניתוק הכפיפות המינהלית בין </w:t>
      </w:r>
      <w:r w:rsidRPr="00247C05">
        <w:rPr>
          <w:rFonts w:ascii="Times New Roman" w:hAnsi="Times New Roman" w:cs="FrankRuehl" w:hint="cs"/>
          <w:b/>
          <w:sz w:val="20"/>
          <w:rtl/>
        </w:rPr>
        <w:t>מזכירויות</w:t>
      </w:r>
      <w:r w:rsidRPr="00247C05">
        <w:rPr>
          <w:rFonts w:ascii="Times New Roman" w:hAnsi="Times New Roman" w:cs="FrankRuehl" w:hint="cs"/>
          <w:sz w:val="20"/>
          <w:rtl/>
        </w:rPr>
        <w:t xml:space="preserve"> במ"ש עמ"ק </w:t>
      </w:r>
      <w:r w:rsidRPr="00247C05">
        <w:rPr>
          <w:rFonts w:ascii="Times New Roman" w:hAnsi="Times New Roman" w:cs="FrankRuehl" w:hint="eastAsia"/>
          <w:sz w:val="20"/>
          <w:rtl/>
        </w:rPr>
        <w:t>ל</w:t>
      </w:r>
      <w:r w:rsidRPr="00247C05">
        <w:rPr>
          <w:rFonts w:ascii="Times New Roman" w:hAnsi="Times New Roman" w:cs="FrankRuehl" w:hint="cs"/>
          <w:sz w:val="20"/>
          <w:rtl/>
        </w:rPr>
        <w:t>בין ה</w:t>
      </w:r>
      <w:r w:rsidRPr="00247C05">
        <w:rPr>
          <w:rFonts w:ascii="Times New Roman" w:hAnsi="Times New Roman" w:cs="FrankRuehl" w:hint="eastAsia"/>
          <w:sz w:val="20"/>
          <w:rtl/>
        </w:rPr>
        <w:t>רשות</w:t>
      </w:r>
      <w:r w:rsidRPr="00247C05">
        <w:rPr>
          <w:rFonts w:ascii="Times New Roman" w:hAnsi="Times New Roman" w:cs="FrankRuehl"/>
          <w:sz w:val="20"/>
          <w:rtl/>
        </w:rPr>
        <w:t xml:space="preserve"> </w:t>
      </w:r>
      <w:r w:rsidRPr="00247C05">
        <w:rPr>
          <w:rFonts w:ascii="Times New Roman" w:hAnsi="Times New Roman" w:cs="FrankRuehl" w:hint="eastAsia"/>
          <w:sz w:val="20"/>
          <w:rtl/>
        </w:rPr>
        <w:t>המקומית</w:t>
      </w:r>
      <w:r w:rsidRPr="00247C05">
        <w:rPr>
          <w:rFonts w:ascii="Times New Roman" w:hAnsi="Times New Roman" w:cs="FrankRuehl" w:hint="cs"/>
          <w:sz w:val="20"/>
          <w:rtl/>
        </w:rPr>
        <w:t xml:space="preserve"> בציינו, כי</w:t>
      </w:r>
      <w:r w:rsidRPr="00247C05">
        <w:rPr>
          <w:rFonts w:ascii="Times New Roman" w:hAnsi="Times New Roman" w:cs="FrankRuehl"/>
          <w:sz w:val="20"/>
          <w:rtl/>
        </w:rPr>
        <w:t xml:space="preserve"> "</w:t>
      </w:r>
      <w:r w:rsidRPr="00247C05">
        <w:rPr>
          <w:rFonts w:ascii="Times New Roman" w:hAnsi="Times New Roman" w:cs="FrankRuehl" w:hint="cs"/>
          <w:sz w:val="20"/>
          <w:rtl/>
        </w:rPr>
        <w:t>העלינו</w:t>
      </w:r>
      <w:r w:rsidRPr="00247C05">
        <w:rPr>
          <w:rFonts w:ascii="Times New Roman" w:hAnsi="Times New Roman" w:cs="FrankRuehl"/>
          <w:sz w:val="20"/>
          <w:rtl/>
        </w:rPr>
        <w:t xml:space="preserve"> את הצורך בבדיקת האפשרות לנתק את זיקת הכפיפות של הסגל המנהלי </w:t>
      </w:r>
      <w:r w:rsidRPr="00247C05">
        <w:rPr>
          <w:rFonts w:ascii="Times New Roman" w:hAnsi="Times New Roman" w:cs="FrankRuehl" w:hint="cs"/>
          <w:sz w:val="20"/>
          <w:rtl/>
        </w:rPr>
        <w:t>בבמ</w:t>
      </w:r>
      <w:r w:rsidRPr="00247C05">
        <w:rPr>
          <w:rFonts w:ascii="Times New Roman" w:hAnsi="Times New Roman" w:cs="FrankRuehl"/>
          <w:sz w:val="20"/>
          <w:rtl/>
        </w:rPr>
        <w:t>"ש עמ"ק לא רק בתחום המקצועי</w:t>
      </w:r>
      <w:r w:rsidRPr="00247C05">
        <w:rPr>
          <w:rFonts w:ascii="Times New Roman" w:hAnsi="Times New Roman" w:cs="FrankRuehl" w:hint="cs"/>
          <w:sz w:val="20"/>
          <w:rtl/>
        </w:rPr>
        <w:t xml:space="preserve"> </w:t>
      </w:r>
      <w:r w:rsidRPr="00247C05">
        <w:rPr>
          <w:rFonts w:ascii="Times New Roman" w:hAnsi="Times New Roman" w:cs="FrankRuehl"/>
          <w:sz w:val="20"/>
          <w:rtl/>
        </w:rPr>
        <w:t>- כפי שנעשה</w:t>
      </w:r>
      <w:r w:rsidRPr="00247C05">
        <w:rPr>
          <w:rFonts w:ascii="Times New Roman" w:hAnsi="Times New Roman" w:cs="FrankRuehl" w:hint="cs"/>
          <w:sz w:val="20"/>
          <w:rtl/>
        </w:rPr>
        <w:t xml:space="preserve"> </w:t>
      </w:r>
      <w:r w:rsidRPr="00247C05">
        <w:rPr>
          <w:rFonts w:ascii="Times New Roman" w:hAnsi="Times New Roman" w:cs="FrankRuehl"/>
          <w:sz w:val="20"/>
          <w:rtl/>
        </w:rPr>
        <w:t>- אלא גם בתחום המנהלי... יש להניח ולקוות</w:t>
      </w:r>
      <w:r w:rsidRPr="00247C05">
        <w:rPr>
          <w:rFonts w:ascii="Times New Roman" w:hAnsi="Times New Roman" w:cs="FrankRuehl" w:hint="cs"/>
          <w:sz w:val="20"/>
          <w:rtl/>
        </w:rPr>
        <w:t xml:space="preserve"> כי המדינה תמשיך במאמציה לפתור גם את בעיית הזיקה המנהלית של הסגל המנהלי לרשות המנהלית, גם אם תידרש לכך תקופת מעבר והסדרי ביניים שונים".</w:t>
      </w:r>
    </w:p>
    <w:p w:rsidR="003037FB" w:rsidRPr="00247C05" w:rsidP="00040DAE">
      <w:pPr>
        <w:pStyle w:val="ListParagraph"/>
        <w:numPr>
          <w:ilvl w:val="0"/>
          <w:numId w:val="18"/>
        </w:numPr>
        <w:tabs>
          <w:tab w:val="left" w:pos="0"/>
        </w:tabs>
        <w:spacing w:after="120" w:line="230" w:lineRule="exact"/>
        <w:contextualSpacing w:val="0"/>
        <w:jc w:val="both"/>
        <w:rPr>
          <w:rFonts w:ascii="Times New Roman" w:hAnsi="Times New Roman" w:cs="FrankRuehl"/>
          <w:b/>
          <w:sz w:val="20"/>
        </w:rPr>
      </w:pPr>
      <w:r w:rsidRPr="00247C05">
        <w:rPr>
          <w:rFonts w:ascii="Times New Roman" w:hAnsi="Times New Roman" w:cs="FrankRuehl"/>
          <w:b/>
          <w:sz w:val="20"/>
          <w:rtl/>
        </w:rPr>
        <w:t xml:space="preserve">היועץ המשפטי של </w:t>
      </w:r>
      <w:r w:rsidRPr="00247C05">
        <w:rPr>
          <w:rFonts w:ascii="Times New Roman" w:hAnsi="Times New Roman" w:cs="FrankRuehl" w:hint="cs"/>
          <w:b/>
          <w:sz w:val="20"/>
          <w:rtl/>
        </w:rPr>
        <w:t>הב</w:t>
      </w:r>
      <w:r w:rsidRPr="00247C05">
        <w:rPr>
          <w:rFonts w:ascii="Times New Roman" w:hAnsi="Times New Roman" w:cs="FrankRuehl"/>
          <w:b/>
          <w:sz w:val="20"/>
          <w:rtl/>
        </w:rPr>
        <w:t xml:space="preserve">"ה כתב בדצמבר 2014 למנהל </w:t>
      </w:r>
      <w:r w:rsidRPr="00247C05">
        <w:rPr>
          <w:rFonts w:ascii="Times New Roman" w:hAnsi="Times New Roman" w:cs="FrankRuehl" w:hint="cs"/>
          <w:b/>
          <w:sz w:val="20"/>
          <w:rtl/>
        </w:rPr>
        <w:t>הב</w:t>
      </w:r>
      <w:r w:rsidRPr="00247C05">
        <w:rPr>
          <w:rFonts w:ascii="Times New Roman" w:hAnsi="Times New Roman" w:cs="FrankRuehl"/>
          <w:b/>
          <w:sz w:val="20"/>
          <w:rtl/>
        </w:rPr>
        <w:t>"ה ולסמנכ"לית חטיבת תפעול ומזכירויות</w:t>
      </w:r>
      <w:r w:rsidRPr="00247C05">
        <w:rPr>
          <w:rFonts w:ascii="Times New Roman" w:hAnsi="Times New Roman" w:cs="FrankRuehl" w:hint="cs"/>
          <w:b/>
          <w:sz w:val="20"/>
          <w:rtl/>
        </w:rPr>
        <w:t>:</w:t>
      </w:r>
      <w:r w:rsidRPr="00247C05">
        <w:rPr>
          <w:rFonts w:ascii="Times New Roman" w:hAnsi="Times New Roman" w:cs="FrankRuehl"/>
          <w:b/>
          <w:sz w:val="20"/>
          <w:rtl/>
        </w:rPr>
        <w:t xml:space="preserve"> "התבקשתי על ידי הנשיא [בית המשפט העליון] והמנהל [מנהל </w:t>
      </w:r>
      <w:r w:rsidRPr="00247C05">
        <w:rPr>
          <w:rFonts w:ascii="Times New Roman" w:hAnsi="Times New Roman" w:cs="FrankRuehl" w:hint="cs"/>
          <w:b/>
          <w:sz w:val="20"/>
          <w:rtl/>
        </w:rPr>
        <w:t>הב</w:t>
      </w:r>
      <w:r w:rsidRPr="00247C05">
        <w:rPr>
          <w:rFonts w:ascii="Times New Roman" w:hAnsi="Times New Roman" w:cs="FrankRuehl"/>
          <w:b/>
          <w:sz w:val="20"/>
          <w:rtl/>
        </w:rPr>
        <w:t xml:space="preserve">"ה] להכין תכנית לפיה יעברו בתי המשפט לעניינים מקומיים לניהול כולל של מערכת בתי המשפט. אבקש לזמנכם בקרוב לישיבת התנעה בנושא". בשנת 2015 </w:t>
      </w:r>
      <w:r w:rsidRPr="00247C05">
        <w:rPr>
          <w:rFonts w:ascii="Times New Roman" w:hAnsi="Times New Roman" w:cs="FrankRuehl" w:hint="cs"/>
          <w:b/>
          <w:sz w:val="20"/>
          <w:rtl/>
        </w:rPr>
        <w:t xml:space="preserve">התקיים דיון עם גורמי מטה בנושא ואחריו הציג היועץ המשפטי של הב"ה </w:t>
      </w:r>
      <w:r w:rsidRPr="00247C05">
        <w:rPr>
          <w:rFonts w:ascii="Times New Roman" w:hAnsi="Times New Roman" w:cs="FrankRuehl"/>
          <w:b/>
          <w:sz w:val="20"/>
          <w:rtl/>
        </w:rPr>
        <w:t xml:space="preserve">מצע לדיון </w:t>
      </w:r>
      <w:r w:rsidRPr="00247C05">
        <w:rPr>
          <w:rFonts w:ascii="Times New Roman" w:hAnsi="Times New Roman" w:cs="FrankRuehl" w:hint="cs"/>
          <w:b/>
          <w:sz w:val="20"/>
          <w:rtl/>
        </w:rPr>
        <w:t xml:space="preserve">ובו </w:t>
      </w:r>
      <w:r w:rsidRPr="00247C05">
        <w:rPr>
          <w:rFonts w:ascii="Times New Roman" w:hAnsi="Times New Roman" w:cs="FrankRuehl"/>
          <w:b/>
          <w:sz w:val="20"/>
          <w:rtl/>
        </w:rPr>
        <w:t xml:space="preserve">פירט את </w:t>
      </w:r>
      <w:r w:rsidRPr="00247C05">
        <w:rPr>
          <w:rFonts w:ascii="Times New Roman" w:hAnsi="Times New Roman" w:cs="FrankRuehl" w:hint="cs"/>
          <w:b/>
          <w:sz w:val="20"/>
          <w:rtl/>
        </w:rPr>
        <w:t>ה</w:t>
      </w:r>
      <w:r w:rsidRPr="00247C05">
        <w:rPr>
          <w:rFonts w:ascii="Times New Roman" w:hAnsi="Times New Roman" w:cs="FrankRuehl"/>
          <w:b/>
          <w:sz w:val="20"/>
          <w:rtl/>
        </w:rPr>
        <w:t xml:space="preserve">מודלים </w:t>
      </w:r>
      <w:r w:rsidRPr="00247C05">
        <w:rPr>
          <w:rFonts w:ascii="Times New Roman" w:hAnsi="Times New Roman" w:cs="FrankRuehl"/>
          <w:sz w:val="20"/>
          <w:rtl/>
        </w:rPr>
        <w:t>האלטרנטיביים ל</w:t>
      </w:r>
      <w:r w:rsidRPr="00247C05">
        <w:rPr>
          <w:rFonts w:ascii="Times New Roman" w:hAnsi="Times New Roman" w:cs="FrankRuehl"/>
          <w:b/>
          <w:sz w:val="20"/>
          <w:rtl/>
        </w:rPr>
        <w:t xml:space="preserve">הפעלת בתי משפט </w:t>
      </w:r>
      <w:r w:rsidRPr="00247C05">
        <w:rPr>
          <w:rFonts w:ascii="Times New Roman" w:hAnsi="Times New Roman" w:cs="FrankRuehl" w:hint="cs"/>
          <w:b/>
          <w:sz w:val="20"/>
          <w:rtl/>
        </w:rPr>
        <w:t>עמ</w:t>
      </w:r>
      <w:r w:rsidRPr="00247C05">
        <w:rPr>
          <w:rFonts w:ascii="Times New Roman" w:hAnsi="Times New Roman" w:cs="FrankRuehl"/>
          <w:b/>
          <w:sz w:val="20"/>
          <w:rtl/>
        </w:rPr>
        <w:t>"ק</w:t>
      </w:r>
      <w:r w:rsidRPr="00247C05">
        <w:rPr>
          <w:rFonts w:ascii="Times New Roman" w:hAnsi="Times New Roman" w:cs="FrankRuehl" w:hint="cs"/>
          <w:b/>
          <w:sz w:val="20"/>
          <w:rtl/>
        </w:rPr>
        <w:t>.</w:t>
      </w:r>
      <w:r w:rsidRPr="00247C05">
        <w:rPr>
          <w:rFonts w:ascii="Times New Roman" w:hAnsi="Times New Roman" w:cs="FrankRuehl"/>
          <w:b/>
          <w:sz w:val="20"/>
          <w:rtl/>
        </w:rPr>
        <w:t xml:space="preserve"> </w:t>
      </w:r>
    </w:p>
    <w:p w:rsidR="003037FB" w:rsidRPr="00247C05" w:rsidP="00010DC5">
      <w:pPr>
        <w:tabs>
          <w:tab w:val="left" w:pos="0"/>
        </w:tabs>
        <w:spacing w:after="240" w:line="230" w:lineRule="exact"/>
        <w:ind w:left="340"/>
        <w:jc w:val="both"/>
        <w:rPr>
          <w:rFonts w:cs="FrankRuehl"/>
          <w:sz w:val="20"/>
          <w:szCs w:val="22"/>
          <w:rtl/>
        </w:rPr>
      </w:pPr>
      <w:r w:rsidRPr="00247C05">
        <w:rPr>
          <w:rFonts w:cs="FrankRuehl" w:hint="cs"/>
          <w:sz w:val="20"/>
          <w:szCs w:val="22"/>
          <w:rtl/>
        </w:rPr>
        <w:t>היועץ המשפטי של הב"ה כתב עוד, כי "עלה בדוח הוועדה [ועדת זמיר] הצורך לעגן בחקיקה את אמות המידה הרצויות להתנהלותם של בתי המשפט לעניינים מקומיים... שמירה על המעמד הנפרד של בתי המשפט לעניינים מקומיים, מחייבת קידום חקיקה אשר תבטיח התנהלות תקינה של בתי המשפט לעניינים מקומיים ברוח המלצות ועדת זמיר והחלטת בית המשפט העליון. ללא חקיקה מתאימה והגדרת סמכויות מפורשת ובהירה של מערכת השיפוט הכללית ושל הרשויות המקומיות לא ניתן יהיה להביא לתיקון הליקויים ולשיפור תפקודם של בתי המשפט לעניינים מקומיים".</w:t>
      </w:r>
    </w:p>
    <w:p w:rsidR="003037FB" w:rsidRPr="00247C05" w:rsidP="00010DC5">
      <w:pPr>
        <w:pStyle w:val="RESHET"/>
        <w:keepLines/>
        <w:ind w:left="567"/>
        <w:rPr>
          <w:rtl/>
        </w:rPr>
      </w:pPr>
      <w:r w:rsidRPr="00247C05">
        <w:rPr>
          <w:rFonts w:hint="cs"/>
          <w:rtl/>
        </w:rPr>
        <w:t>יוער כי משנת 1995, מועד הגשת דוח ועדת זמיר, לא שונתה החקיקה ולא הותקנו תקנות הנוגעות להסדרים העיקריים הנוגעים לסדרי המינהל בבמ"ש עמ"ק.</w:t>
      </w:r>
    </w:p>
    <w:p w:rsidR="003037FB" w:rsidRPr="00247C05" w:rsidP="00CB2DEE">
      <w:pPr>
        <w:pStyle w:val="ListParagraph"/>
        <w:numPr>
          <w:ilvl w:val="0"/>
          <w:numId w:val="18"/>
        </w:numPr>
        <w:tabs>
          <w:tab w:val="left" w:pos="0"/>
        </w:tabs>
        <w:spacing w:before="180" w:after="120" w:line="234" w:lineRule="exact"/>
        <w:contextualSpacing w:val="0"/>
        <w:jc w:val="both"/>
        <w:rPr>
          <w:rFonts w:ascii="Times New Roman" w:hAnsi="Times New Roman" w:cs="FrankRuehl"/>
          <w:b/>
          <w:sz w:val="20"/>
          <w:rtl/>
        </w:rPr>
      </w:pPr>
      <w:r w:rsidRPr="00247C05">
        <w:rPr>
          <w:rFonts w:ascii="Times New Roman" w:hAnsi="Times New Roman" w:cs="FrankRuehl" w:hint="cs"/>
          <w:b/>
          <w:sz w:val="20"/>
          <w:rtl/>
        </w:rPr>
        <w:t>בתשובתה פירטה הב"ה את עמדתה בנוגע להפעלת המודל הראשון וציינה, כי "</w:t>
      </w:r>
      <w:r w:rsidRPr="00247C05">
        <w:rPr>
          <w:rFonts w:ascii="Times New Roman" w:hAnsi="Times New Roman" w:cs="FrankRuehl" w:hint="eastAsia"/>
          <w:b/>
          <w:sz w:val="20"/>
          <w:rtl/>
        </w:rPr>
        <w:t>העקרונות</w:t>
      </w:r>
      <w:r w:rsidRPr="00247C05">
        <w:rPr>
          <w:rFonts w:ascii="Times New Roman" w:hAnsi="Times New Roman" w:cs="FrankRuehl"/>
          <w:b/>
          <w:sz w:val="20"/>
          <w:rtl/>
        </w:rPr>
        <w:t xml:space="preserve"> אשר נקבעו בדוח ועדת זמיר </w:t>
      </w:r>
      <w:r w:rsidRPr="00247C05">
        <w:rPr>
          <w:rFonts w:ascii="Times New Roman" w:hAnsi="Times New Roman" w:cs="FrankRuehl" w:hint="eastAsia"/>
          <w:b/>
          <w:sz w:val="20"/>
          <w:rtl/>
        </w:rPr>
        <w:t>ובבג</w:t>
      </w:r>
      <w:r w:rsidRPr="00247C05">
        <w:rPr>
          <w:rFonts w:ascii="Times New Roman" w:hAnsi="Times New Roman" w:cs="FrankRuehl"/>
          <w:b/>
          <w:sz w:val="20"/>
          <w:rtl/>
        </w:rPr>
        <w:t>"</w:t>
      </w:r>
      <w:r w:rsidRPr="00247C05">
        <w:rPr>
          <w:rFonts w:ascii="Times New Roman" w:hAnsi="Times New Roman" w:cs="FrankRuehl" w:hint="cs"/>
          <w:b/>
          <w:sz w:val="20"/>
          <w:rtl/>
        </w:rPr>
        <w:t>ץ</w:t>
      </w:r>
      <w:r w:rsidRPr="00247C05">
        <w:rPr>
          <w:rFonts w:ascii="Times New Roman" w:hAnsi="Times New Roman" w:cs="FrankRuehl"/>
          <w:b/>
          <w:sz w:val="20"/>
          <w:rtl/>
        </w:rPr>
        <w:t xml:space="preserve"> </w:t>
      </w:r>
      <w:r w:rsidRPr="00247C05">
        <w:rPr>
          <w:rFonts w:ascii="Times New Roman" w:hAnsi="Times New Roman" w:cs="FrankRuehl" w:hint="eastAsia"/>
          <w:b/>
          <w:sz w:val="20"/>
          <w:rtl/>
        </w:rPr>
        <w:t>קארשי</w:t>
      </w:r>
      <w:r w:rsidRPr="00247C05">
        <w:rPr>
          <w:rFonts w:ascii="Times New Roman" w:hAnsi="Times New Roman" w:cs="FrankRuehl"/>
          <w:b/>
          <w:sz w:val="20"/>
          <w:rtl/>
        </w:rPr>
        <w:t xml:space="preserve"> קשים להטמעה בקרב עובדי בתי המשפט הנדרשים להפרדה זו</w:t>
      </w:r>
      <w:r w:rsidRPr="00247C05">
        <w:rPr>
          <w:rFonts w:ascii="Times New Roman" w:hAnsi="Times New Roman" w:cs="FrankRuehl" w:hint="cs"/>
          <w:b/>
          <w:sz w:val="20"/>
          <w:rtl/>
        </w:rPr>
        <w:t xml:space="preserve">... </w:t>
      </w:r>
      <w:r w:rsidRPr="00247C05">
        <w:rPr>
          <w:rFonts w:ascii="Times New Roman" w:hAnsi="Times New Roman" w:cs="FrankRuehl"/>
          <w:b/>
          <w:sz w:val="20"/>
          <w:rtl/>
        </w:rPr>
        <w:t xml:space="preserve">לעיתים מזומנות העקרונות אשר הותוו </w:t>
      </w:r>
      <w:r w:rsidRPr="00247C05">
        <w:rPr>
          <w:rFonts w:ascii="Times New Roman" w:hAnsi="Times New Roman" w:cs="FrankRuehl" w:hint="cs"/>
          <w:b/>
          <w:sz w:val="20"/>
          <w:rtl/>
        </w:rPr>
        <w:t xml:space="preserve">בדוח ועדת זמיר ובבג"ץ קארשי לא מיושמים. </w:t>
      </w:r>
      <w:r w:rsidRPr="00247C05">
        <w:rPr>
          <w:rFonts w:ascii="Times New Roman" w:hAnsi="Times New Roman" w:cs="FrankRuehl" w:hint="eastAsia"/>
          <w:b/>
          <w:sz w:val="20"/>
          <w:rtl/>
        </w:rPr>
        <w:t>תנאי</w:t>
      </w:r>
      <w:r w:rsidRPr="00247C05">
        <w:rPr>
          <w:rFonts w:ascii="Times New Roman" w:hAnsi="Times New Roman" w:cs="FrankRuehl"/>
          <w:b/>
          <w:sz w:val="20"/>
          <w:rtl/>
        </w:rPr>
        <w:t xml:space="preserve"> </w:t>
      </w:r>
      <w:r w:rsidRPr="00247C05">
        <w:rPr>
          <w:rFonts w:ascii="Times New Roman" w:hAnsi="Times New Roman" w:cs="FrankRuehl" w:hint="eastAsia"/>
          <w:b/>
          <w:sz w:val="20"/>
          <w:rtl/>
        </w:rPr>
        <w:t>להטמעת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עקרונות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אלה</w:t>
      </w:r>
      <w:r w:rsidRPr="00247C05">
        <w:rPr>
          <w:rFonts w:ascii="Times New Roman" w:hAnsi="Times New Roman" w:cs="FrankRuehl" w:hint="cs"/>
          <w:b/>
          <w:sz w:val="20"/>
          <w:rtl/>
        </w:rPr>
        <w:t>...</w:t>
      </w:r>
      <w:r w:rsidRPr="00247C05">
        <w:rPr>
          <w:rFonts w:ascii="Times New Roman" w:hAnsi="Times New Roman" w:cs="FrankRuehl"/>
          <w:b/>
          <w:sz w:val="20"/>
          <w:rtl/>
        </w:rPr>
        <w:t xml:space="preserve"> הוא שיתוף הפעולה </w:t>
      </w:r>
      <w:r w:rsidRPr="00247C05">
        <w:rPr>
          <w:rFonts w:ascii="Times New Roman" w:hAnsi="Times New Roman" w:cs="FrankRuehl" w:hint="cs"/>
          <w:b/>
          <w:sz w:val="20"/>
          <w:rtl/>
        </w:rPr>
        <w:t xml:space="preserve">המלא והנכונות של הרשות המקומית. </w:t>
      </w:r>
      <w:r w:rsidRPr="00247C05">
        <w:rPr>
          <w:rFonts w:ascii="Times New Roman" w:hAnsi="Times New Roman" w:cs="FrankRuehl" w:hint="eastAsia"/>
          <w:b/>
          <w:sz w:val="20"/>
          <w:rtl/>
        </w:rPr>
        <w:t>מאחר</w:t>
      </w:r>
      <w:r w:rsidRPr="00247C05">
        <w:rPr>
          <w:rFonts w:ascii="Times New Roman" w:hAnsi="Times New Roman" w:cs="FrankRuehl"/>
          <w:b/>
          <w:sz w:val="20"/>
          <w:rtl/>
        </w:rPr>
        <w:t xml:space="preserve"> </w:t>
      </w:r>
      <w:r w:rsidRPr="00247C05">
        <w:rPr>
          <w:rFonts w:ascii="Times New Roman" w:hAnsi="Times New Roman" w:cs="FrankRuehl" w:hint="eastAsia"/>
          <w:b/>
          <w:sz w:val="20"/>
          <w:rtl/>
        </w:rPr>
        <w:t>ובמבחן</w:t>
      </w:r>
      <w:r w:rsidRPr="00247C05">
        <w:rPr>
          <w:rFonts w:ascii="Times New Roman" w:hAnsi="Times New Roman" w:cs="FrankRuehl"/>
          <w:b/>
          <w:sz w:val="20"/>
          <w:rtl/>
        </w:rPr>
        <w:t xml:space="preserve"> </w:t>
      </w:r>
      <w:r w:rsidRPr="00247C05">
        <w:rPr>
          <w:rFonts w:ascii="Times New Roman" w:hAnsi="Times New Roman" w:cs="FrankRuehl" w:hint="eastAsia"/>
          <w:b/>
          <w:sz w:val="20"/>
          <w:rtl/>
        </w:rPr>
        <w:t>הזמן</w:t>
      </w:r>
      <w:r w:rsidRPr="00247C05">
        <w:rPr>
          <w:rFonts w:ascii="Times New Roman" w:hAnsi="Times New Roman" w:cs="FrankRuehl"/>
          <w:b/>
          <w:sz w:val="20"/>
          <w:rtl/>
        </w:rPr>
        <w:t xml:space="preserve"> </w:t>
      </w:r>
      <w:r w:rsidRPr="00247C05">
        <w:rPr>
          <w:rFonts w:ascii="Times New Roman" w:hAnsi="Times New Roman" w:cs="FrankRuehl" w:hint="eastAsia"/>
          <w:b/>
          <w:sz w:val="20"/>
          <w:rtl/>
        </w:rPr>
        <w:t>והמציאות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עקרונות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אלה</w:t>
      </w:r>
      <w:r w:rsidRPr="00247C05">
        <w:rPr>
          <w:rFonts w:ascii="Times New Roman" w:hAnsi="Times New Roman" w:cs="FrankRuehl"/>
          <w:b/>
          <w:sz w:val="20"/>
          <w:rtl/>
        </w:rPr>
        <w:t xml:space="preserve"> </w:t>
      </w:r>
      <w:r w:rsidRPr="00247C05">
        <w:rPr>
          <w:rFonts w:ascii="Times New Roman" w:hAnsi="Times New Roman" w:cs="FrankRuehl" w:hint="eastAsia"/>
          <w:b/>
          <w:sz w:val="20"/>
          <w:rtl/>
        </w:rPr>
        <w:t>לא</w:t>
      </w:r>
      <w:r w:rsidRPr="00247C05">
        <w:rPr>
          <w:rFonts w:ascii="Times New Roman" w:hAnsi="Times New Roman" w:cs="FrankRuehl"/>
          <w:b/>
          <w:sz w:val="20"/>
          <w:rtl/>
        </w:rPr>
        <w:t xml:space="preserve"> </w:t>
      </w:r>
      <w:r w:rsidRPr="00247C05">
        <w:rPr>
          <w:rFonts w:ascii="Times New Roman" w:hAnsi="Times New Roman" w:cs="FrankRuehl" w:hint="eastAsia"/>
          <w:b/>
          <w:sz w:val="20"/>
          <w:rtl/>
        </w:rPr>
        <w:t>נשמרים</w:t>
      </w:r>
      <w:r w:rsidRPr="00247C05">
        <w:rPr>
          <w:rFonts w:ascii="Times New Roman" w:hAnsi="Times New Roman" w:cs="FrankRuehl" w:hint="cs"/>
          <w:b/>
          <w:sz w:val="20"/>
          <w:rtl/>
        </w:rPr>
        <w:t>...</w:t>
      </w:r>
      <w:r w:rsidRPr="00247C05">
        <w:rPr>
          <w:rFonts w:ascii="Times New Roman" w:hAnsi="Times New Roman" w:cs="FrankRuehl"/>
          <w:b/>
          <w:sz w:val="20"/>
          <w:rtl/>
        </w:rPr>
        <w:t xml:space="preserve"> ואנו עדים </w:t>
      </w:r>
      <w:r w:rsidRPr="00247C05">
        <w:rPr>
          <w:rFonts w:ascii="Times New Roman" w:hAnsi="Times New Roman" w:cs="FrankRuehl"/>
          <w:b/>
          <w:sz w:val="20"/>
          <w:rtl/>
        </w:rPr>
        <w:t xml:space="preserve">לפגיעה </w:t>
      </w:r>
      <w:r w:rsidRPr="00247C05">
        <w:rPr>
          <w:rFonts w:ascii="Times New Roman" w:hAnsi="Times New Roman" w:cs="FrankRuehl" w:hint="eastAsia"/>
          <w:b/>
          <w:sz w:val="20"/>
          <w:rtl/>
        </w:rPr>
        <w:t>בניתוק</w:t>
      </w:r>
      <w:r w:rsidRPr="00247C05">
        <w:rPr>
          <w:rFonts w:ascii="Times New Roman" w:hAnsi="Times New Roman" w:cs="FrankRuehl"/>
          <w:b/>
          <w:sz w:val="20"/>
          <w:rtl/>
        </w:rPr>
        <w:t xml:space="preserve"> הזיקה שבין הרשות המקומית ובין בית המשפט </w:t>
      </w:r>
      <w:r w:rsidRPr="00247C05">
        <w:rPr>
          <w:rFonts w:ascii="Times New Roman" w:hAnsi="Times New Roman" w:cs="FrankRuehl" w:hint="eastAsia"/>
          <w:b/>
          <w:sz w:val="20"/>
          <w:rtl/>
        </w:rPr>
        <w:t>לעניינים</w:t>
      </w:r>
      <w:r w:rsidRPr="00247C05">
        <w:rPr>
          <w:rFonts w:ascii="Times New Roman" w:hAnsi="Times New Roman" w:cs="FrankRuehl"/>
          <w:b/>
          <w:sz w:val="20"/>
          <w:rtl/>
        </w:rPr>
        <w:t xml:space="preserve"> מקומיים ופגיעה </w:t>
      </w:r>
      <w:r w:rsidRPr="00247C05">
        <w:rPr>
          <w:rFonts w:ascii="Times New Roman" w:hAnsi="Times New Roman" w:cs="FrankRuehl" w:hint="eastAsia"/>
          <w:b/>
          <w:sz w:val="20"/>
          <w:rtl/>
        </w:rPr>
        <w:t>בעצמאות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הרשות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השופטת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ובעקרון</w:t>
      </w:r>
      <w:r w:rsidRPr="00247C05">
        <w:rPr>
          <w:rFonts w:ascii="Times New Roman" w:hAnsi="Times New Roman" w:cs="FrankRuehl"/>
          <w:b/>
          <w:sz w:val="20"/>
          <w:rtl/>
        </w:rPr>
        <w:t xml:space="preserve"> </w:t>
      </w:r>
      <w:r w:rsidRPr="00247C05">
        <w:rPr>
          <w:rFonts w:ascii="Times New Roman" w:hAnsi="Times New Roman" w:cs="FrankRuehl" w:hint="eastAsia"/>
          <w:b/>
          <w:sz w:val="20"/>
          <w:rtl/>
        </w:rPr>
        <w:t>מראית</w:t>
      </w:r>
      <w:r w:rsidRPr="00247C05">
        <w:rPr>
          <w:rFonts w:ascii="Times New Roman" w:hAnsi="Times New Roman" w:cs="FrankRuehl"/>
          <w:b/>
          <w:sz w:val="20"/>
          <w:rtl/>
        </w:rPr>
        <w:t xml:space="preserve"> </w:t>
      </w:r>
      <w:r w:rsidRPr="00247C05">
        <w:rPr>
          <w:rFonts w:ascii="Times New Roman" w:hAnsi="Times New Roman" w:cs="FrankRuehl" w:hint="eastAsia"/>
          <w:b/>
          <w:sz w:val="20"/>
          <w:rtl/>
        </w:rPr>
        <w:t>פני</w:t>
      </w:r>
      <w:r w:rsidRPr="00247C05">
        <w:rPr>
          <w:rFonts w:ascii="Times New Roman" w:hAnsi="Times New Roman" w:cs="FrankRuehl"/>
          <w:b/>
          <w:sz w:val="20"/>
          <w:rtl/>
        </w:rPr>
        <w:t xml:space="preserve"> </w:t>
      </w:r>
      <w:r w:rsidRPr="00247C05">
        <w:rPr>
          <w:rFonts w:ascii="Times New Roman" w:hAnsi="Times New Roman" w:cs="FrankRuehl" w:hint="eastAsia"/>
          <w:b/>
          <w:sz w:val="20"/>
          <w:rtl/>
        </w:rPr>
        <w:t>הצדק</w:t>
      </w:r>
      <w:r w:rsidRPr="00247C05">
        <w:rPr>
          <w:rFonts w:ascii="Times New Roman" w:hAnsi="Times New Roman" w:cs="FrankRuehl"/>
          <w:b/>
          <w:sz w:val="20"/>
          <w:rtl/>
        </w:rPr>
        <w:t xml:space="preserve">, סוברים אנו שיש מקום להכניס את בתי המשפט </w:t>
      </w:r>
      <w:r w:rsidRPr="00247C05">
        <w:rPr>
          <w:rFonts w:ascii="Times New Roman" w:hAnsi="Times New Roman" w:cs="FrankRuehl" w:hint="eastAsia"/>
          <w:b/>
          <w:sz w:val="20"/>
          <w:rtl/>
        </w:rPr>
        <w:t>לעניינים</w:t>
      </w:r>
      <w:r w:rsidRPr="00247C05">
        <w:rPr>
          <w:rFonts w:ascii="Times New Roman" w:hAnsi="Times New Roman" w:cs="FrankRuehl"/>
          <w:b/>
          <w:sz w:val="20"/>
          <w:rtl/>
        </w:rPr>
        <w:t xml:space="preserve"> מקומיים תחת כנפי מערכת בתי המשפט הכללית או, למצער, לקבוע את העקרונות האמורים בחקיקה אשר </w:t>
      </w:r>
      <w:r w:rsidRPr="00247C05">
        <w:rPr>
          <w:rFonts w:ascii="Times New Roman" w:hAnsi="Times New Roman" w:cs="FrankRuehl" w:hint="eastAsia"/>
          <w:b/>
          <w:sz w:val="20"/>
          <w:rtl/>
        </w:rPr>
        <w:t>תביא</w:t>
      </w:r>
      <w:r w:rsidRPr="00247C05">
        <w:rPr>
          <w:rFonts w:ascii="Times New Roman" w:hAnsi="Times New Roman" w:cs="FrankRuehl"/>
          <w:b/>
          <w:sz w:val="20"/>
          <w:rtl/>
        </w:rPr>
        <w:t xml:space="preserve"> </w:t>
      </w:r>
      <w:r w:rsidRPr="00247C05">
        <w:rPr>
          <w:rFonts w:ascii="Times New Roman" w:hAnsi="Times New Roman" w:cs="FrankRuehl" w:hint="eastAsia"/>
          <w:b/>
          <w:sz w:val="20"/>
          <w:rtl/>
        </w:rPr>
        <w:t>ל</w:t>
      </w:r>
      <w:r w:rsidRPr="00247C05">
        <w:rPr>
          <w:rFonts w:ascii="Times New Roman" w:hAnsi="Times New Roman" w:cs="FrankRuehl"/>
          <w:b/>
          <w:sz w:val="20"/>
          <w:rtl/>
        </w:rPr>
        <w:t>התנהלות תקינה של בתי המשפט לעניינים מקומיים ברוח המלצות ועדת זמיר ו</w:t>
      </w:r>
      <w:r w:rsidRPr="00247C05">
        <w:rPr>
          <w:rFonts w:ascii="Times New Roman" w:hAnsi="Times New Roman" w:cs="FrankRuehl" w:hint="eastAsia"/>
          <w:b/>
          <w:sz w:val="20"/>
          <w:rtl/>
        </w:rPr>
        <w:t>ברוח</w:t>
      </w:r>
      <w:r w:rsidRPr="00247C05">
        <w:rPr>
          <w:rFonts w:ascii="Times New Roman" w:hAnsi="Times New Roman" w:cs="FrankRuehl"/>
          <w:b/>
          <w:sz w:val="20"/>
          <w:rtl/>
        </w:rPr>
        <w:t xml:space="preserve"> החלטת בית המשפט העליון בבג"</w:t>
      </w:r>
      <w:r w:rsidRPr="00247C05">
        <w:rPr>
          <w:rFonts w:ascii="Times New Roman" w:hAnsi="Times New Roman" w:cs="FrankRuehl" w:hint="cs"/>
          <w:b/>
          <w:sz w:val="20"/>
          <w:rtl/>
        </w:rPr>
        <w:t>ץ</w:t>
      </w:r>
      <w:r w:rsidRPr="00247C05">
        <w:rPr>
          <w:rFonts w:ascii="Times New Roman" w:hAnsi="Times New Roman" w:cs="FrankRuehl"/>
          <w:b/>
          <w:sz w:val="20"/>
          <w:rtl/>
        </w:rPr>
        <w:t xml:space="preserve"> קארשי.</w:t>
      </w:r>
      <w:r w:rsidRPr="00247C05">
        <w:rPr>
          <w:rFonts w:ascii="Times New Roman" w:hAnsi="Times New Roman" w:cs="FrankRuehl" w:hint="cs"/>
          <w:b/>
          <w:sz w:val="20"/>
          <w:rtl/>
        </w:rPr>
        <w:t xml:space="preserve">" </w:t>
      </w:r>
    </w:p>
    <w:p w:rsidR="003037FB" w:rsidRPr="00247C05" w:rsidP="00CB2DEE">
      <w:pPr>
        <w:tabs>
          <w:tab w:val="left" w:pos="0"/>
        </w:tabs>
        <w:spacing w:after="120" w:line="234" w:lineRule="exact"/>
        <w:ind w:left="340"/>
        <w:jc w:val="both"/>
        <w:rPr>
          <w:rFonts w:cs="FrankRuehl"/>
          <w:b/>
          <w:sz w:val="20"/>
          <w:szCs w:val="22"/>
          <w:rtl/>
        </w:rPr>
      </w:pPr>
      <w:r w:rsidRPr="00247C05">
        <w:rPr>
          <w:rFonts w:cs="FrankRuehl" w:hint="cs"/>
          <w:b/>
          <w:sz w:val="20"/>
          <w:szCs w:val="22"/>
          <w:rtl/>
        </w:rPr>
        <w:t xml:space="preserve">הב"ה הוסיפה בעניין זה, כי </w:t>
      </w:r>
      <w:r w:rsidRPr="00247C05">
        <w:rPr>
          <w:rFonts w:cs="FrankRuehl"/>
          <w:b/>
          <w:sz w:val="20"/>
          <w:szCs w:val="22"/>
          <w:rtl/>
        </w:rPr>
        <w:t xml:space="preserve">יישום </w:t>
      </w:r>
      <w:r w:rsidRPr="00247C05">
        <w:rPr>
          <w:rFonts w:cs="FrankRuehl" w:hint="cs"/>
          <w:b/>
          <w:sz w:val="20"/>
          <w:szCs w:val="22"/>
          <w:rtl/>
        </w:rPr>
        <w:t>ה</w:t>
      </w:r>
      <w:r w:rsidRPr="00247C05">
        <w:rPr>
          <w:rFonts w:cs="FrankRuehl"/>
          <w:b/>
          <w:sz w:val="20"/>
          <w:szCs w:val="22"/>
          <w:rtl/>
        </w:rPr>
        <w:t>תכנית ל</w:t>
      </w:r>
      <w:r w:rsidRPr="00247C05">
        <w:rPr>
          <w:rFonts w:cs="FrankRuehl" w:hint="cs"/>
          <w:b/>
          <w:sz w:val="20"/>
          <w:szCs w:val="22"/>
          <w:rtl/>
        </w:rPr>
        <w:t>הטמעת</w:t>
      </w:r>
      <w:r w:rsidRPr="00247C05">
        <w:rPr>
          <w:rFonts w:cs="FrankRuehl"/>
          <w:b/>
          <w:sz w:val="20"/>
          <w:szCs w:val="22"/>
          <w:rtl/>
        </w:rPr>
        <w:t xml:space="preserve"> ב</w:t>
      </w:r>
      <w:r w:rsidRPr="00247C05">
        <w:rPr>
          <w:rFonts w:cs="FrankRuehl" w:hint="cs"/>
          <w:b/>
          <w:sz w:val="20"/>
          <w:szCs w:val="22"/>
          <w:rtl/>
        </w:rPr>
        <w:t>מ"ש עמ"ק</w:t>
      </w:r>
      <w:r w:rsidRPr="00247C05">
        <w:rPr>
          <w:rFonts w:cs="FrankRuehl"/>
          <w:b/>
          <w:sz w:val="20"/>
          <w:szCs w:val="22"/>
          <w:rtl/>
        </w:rPr>
        <w:t xml:space="preserve"> </w:t>
      </w:r>
      <w:r w:rsidRPr="00247C05">
        <w:rPr>
          <w:rFonts w:cs="FrankRuehl" w:hint="cs"/>
          <w:b/>
          <w:sz w:val="20"/>
          <w:szCs w:val="22"/>
          <w:rtl/>
        </w:rPr>
        <w:t>ב</w:t>
      </w:r>
      <w:r w:rsidRPr="00247C05">
        <w:rPr>
          <w:rFonts w:cs="FrankRuehl"/>
          <w:b/>
          <w:sz w:val="20"/>
          <w:szCs w:val="22"/>
          <w:rtl/>
        </w:rPr>
        <w:t xml:space="preserve">מערכת </w:t>
      </w:r>
      <w:r w:rsidRPr="00247C05">
        <w:rPr>
          <w:rFonts w:cs="FrankRuehl" w:hint="cs"/>
          <w:b/>
          <w:sz w:val="20"/>
          <w:szCs w:val="22"/>
          <w:rtl/>
        </w:rPr>
        <w:t xml:space="preserve">בתי המשפט </w:t>
      </w:r>
      <w:r w:rsidRPr="00247C05">
        <w:rPr>
          <w:rFonts w:cs="FrankRuehl"/>
          <w:b/>
          <w:sz w:val="20"/>
          <w:szCs w:val="22"/>
          <w:rtl/>
        </w:rPr>
        <w:t>הכללית תחייב הקצא</w:t>
      </w:r>
      <w:r w:rsidRPr="00247C05">
        <w:rPr>
          <w:rFonts w:cs="FrankRuehl" w:hint="cs"/>
          <w:b/>
          <w:sz w:val="20"/>
          <w:szCs w:val="22"/>
          <w:rtl/>
        </w:rPr>
        <w:t>ה של</w:t>
      </w:r>
      <w:r w:rsidRPr="00247C05">
        <w:rPr>
          <w:rFonts w:cs="FrankRuehl"/>
          <w:b/>
          <w:sz w:val="20"/>
          <w:szCs w:val="22"/>
          <w:rtl/>
        </w:rPr>
        <w:t xml:space="preserve"> משאבים על ידי המדינה</w:t>
      </w:r>
      <w:r w:rsidRPr="00247C05">
        <w:rPr>
          <w:rFonts w:cs="FrankRuehl" w:hint="cs"/>
          <w:b/>
          <w:sz w:val="20"/>
          <w:szCs w:val="22"/>
          <w:rtl/>
        </w:rPr>
        <w:t xml:space="preserve"> ותיקונים סטטוטוריים. כך</w:t>
      </w:r>
      <w:r w:rsidRPr="00247C05">
        <w:rPr>
          <w:rFonts w:cs="FrankRuehl"/>
          <w:b/>
          <w:sz w:val="20"/>
          <w:szCs w:val="22"/>
          <w:rtl/>
        </w:rPr>
        <w:t xml:space="preserve"> למשל</w:t>
      </w:r>
      <w:r w:rsidRPr="00247C05">
        <w:rPr>
          <w:rFonts w:cs="FrankRuehl" w:hint="cs"/>
          <w:b/>
          <w:sz w:val="20"/>
          <w:szCs w:val="22"/>
          <w:rtl/>
        </w:rPr>
        <w:t xml:space="preserve"> -</w:t>
      </w:r>
      <w:r w:rsidRPr="00247C05">
        <w:rPr>
          <w:rFonts w:cs="FrankRuehl"/>
          <w:b/>
          <w:sz w:val="20"/>
          <w:szCs w:val="22"/>
          <w:rtl/>
        </w:rPr>
        <w:t xml:space="preserve"> העסקתם של </w:t>
      </w:r>
      <w:r w:rsidRPr="00247C05">
        <w:rPr>
          <w:rFonts w:cs="FrankRuehl" w:hint="cs"/>
          <w:b/>
          <w:sz w:val="20"/>
          <w:szCs w:val="22"/>
          <w:rtl/>
        </w:rPr>
        <w:t>עובדי</w:t>
      </w:r>
      <w:r w:rsidRPr="00247C05">
        <w:rPr>
          <w:rFonts w:cs="FrankRuehl"/>
          <w:b/>
          <w:sz w:val="20"/>
          <w:szCs w:val="22"/>
          <w:rtl/>
        </w:rPr>
        <w:t xml:space="preserve"> במ"ש עמ"ק </w:t>
      </w:r>
      <w:r w:rsidRPr="00247C05">
        <w:rPr>
          <w:rFonts w:cs="FrankRuehl" w:hint="cs"/>
          <w:b/>
          <w:sz w:val="20"/>
          <w:szCs w:val="22"/>
          <w:rtl/>
        </w:rPr>
        <w:t>מחייבת</w:t>
      </w:r>
      <w:r w:rsidRPr="00247C05">
        <w:rPr>
          <w:rFonts w:cs="FrankRuehl"/>
          <w:b/>
          <w:sz w:val="20"/>
          <w:szCs w:val="22"/>
          <w:rtl/>
        </w:rPr>
        <w:t xml:space="preserve"> </w:t>
      </w:r>
      <w:r w:rsidRPr="00247C05">
        <w:rPr>
          <w:rFonts w:cs="FrankRuehl" w:hint="cs"/>
          <w:b/>
          <w:sz w:val="20"/>
          <w:szCs w:val="22"/>
          <w:rtl/>
        </w:rPr>
        <w:t>הקצאת</w:t>
      </w:r>
      <w:r w:rsidRPr="00247C05">
        <w:rPr>
          <w:rFonts w:cs="FrankRuehl"/>
          <w:b/>
          <w:sz w:val="20"/>
          <w:szCs w:val="22"/>
          <w:rtl/>
        </w:rPr>
        <w:t xml:space="preserve"> </w:t>
      </w:r>
      <w:r w:rsidRPr="00247C05">
        <w:rPr>
          <w:rFonts w:cs="FrankRuehl" w:hint="cs"/>
          <w:b/>
          <w:sz w:val="20"/>
          <w:szCs w:val="22"/>
          <w:rtl/>
        </w:rPr>
        <w:t>משאבי</w:t>
      </w:r>
      <w:r w:rsidRPr="00247C05">
        <w:rPr>
          <w:rFonts w:cs="FrankRuehl"/>
          <w:b/>
          <w:sz w:val="20"/>
          <w:szCs w:val="22"/>
          <w:rtl/>
        </w:rPr>
        <w:t xml:space="preserve"> </w:t>
      </w:r>
      <w:r w:rsidRPr="00247C05">
        <w:rPr>
          <w:rFonts w:cs="FrankRuehl" w:hint="cs"/>
          <w:b/>
          <w:sz w:val="20"/>
          <w:szCs w:val="22"/>
          <w:rtl/>
        </w:rPr>
        <w:t>כוח</w:t>
      </w:r>
      <w:r w:rsidRPr="00247C05">
        <w:rPr>
          <w:rFonts w:cs="FrankRuehl"/>
          <w:b/>
          <w:sz w:val="20"/>
          <w:szCs w:val="22"/>
          <w:rtl/>
        </w:rPr>
        <w:t xml:space="preserve"> </w:t>
      </w:r>
      <w:r w:rsidRPr="00247C05">
        <w:rPr>
          <w:rFonts w:cs="FrankRuehl" w:hint="cs"/>
          <w:b/>
          <w:sz w:val="20"/>
          <w:szCs w:val="22"/>
          <w:rtl/>
        </w:rPr>
        <w:t>אדם</w:t>
      </w:r>
      <w:r w:rsidRPr="00247C05">
        <w:rPr>
          <w:rFonts w:cs="FrankRuehl"/>
          <w:b/>
          <w:sz w:val="20"/>
          <w:szCs w:val="22"/>
          <w:rtl/>
        </w:rPr>
        <w:t xml:space="preserve"> </w:t>
      </w:r>
      <w:r w:rsidRPr="00247C05">
        <w:rPr>
          <w:rFonts w:cs="FrankRuehl" w:hint="cs"/>
          <w:b/>
          <w:sz w:val="20"/>
          <w:szCs w:val="22"/>
          <w:rtl/>
        </w:rPr>
        <w:t>ניכרים, ו</w:t>
      </w:r>
      <w:r w:rsidRPr="00247C05">
        <w:rPr>
          <w:rFonts w:cs="FrankRuehl"/>
          <w:b/>
          <w:sz w:val="20"/>
          <w:szCs w:val="22"/>
          <w:rtl/>
        </w:rPr>
        <w:t xml:space="preserve">המהלך כרוך בהקצאת תקציב </w:t>
      </w:r>
      <w:r w:rsidRPr="00247C05">
        <w:rPr>
          <w:rFonts w:cs="FrankRuehl" w:hint="cs"/>
          <w:b/>
          <w:sz w:val="20"/>
          <w:szCs w:val="22"/>
          <w:rtl/>
        </w:rPr>
        <w:t>ו</w:t>
      </w:r>
      <w:r w:rsidRPr="00247C05">
        <w:rPr>
          <w:rFonts w:cs="FrankRuehl"/>
          <w:b/>
          <w:sz w:val="20"/>
          <w:szCs w:val="22"/>
          <w:rtl/>
        </w:rPr>
        <w:t>במציאת פתרונות לשיכון ב</w:t>
      </w:r>
      <w:r w:rsidRPr="00247C05">
        <w:rPr>
          <w:rFonts w:cs="FrankRuehl" w:hint="cs"/>
          <w:b/>
          <w:sz w:val="20"/>
          <w:szCs w:val="22"/>
          <w:rtl/>
        </w:rPr>
        <w:t>מ</w:t>
      </w:r>
      <w:r w:rsidRPr="00247C05">
        <w:rPr>
          <w:rFonts w:cs="FrankRuehl"/>
          <w:b/>
          <w:sz w:val="20"/>
          <w:szCs w:val="22"/>
          <w:rtl/>
        </w:rPr>
        <w:t xml:space="preserve">"ש עמ"ק </w:t>
      </w:r>
      <w:r w:rsidRPr="00247C05">
        <w:rPr>
          <w:rFonts w:cs="FrankRuehl" w:hint="cs"/>
          <w:b/>
          <w:sz w:val="20"/>
          <w:szCs w:val="22"/>
          <w:rtl/>
        </w:rPr>
        <w:t>ש</w:t>
      </w:r>
      <w:r w:rsidRPr="00247C05">
        <w:rPr>
          <w:rFonts w:cs="FrankRuehl"/>
          <w:b/>
          <w:sz w:val="20"/>
          <w:szCs w:val="22"/>
          <w:rtl/>
        </w:rPr>
        <w:t>אינם פועלים מתוך היכל</w:t>
      </w:r>
      <w:r w:rsidRPr="00247C05">
        <w:rPr>
          <w:rFonts w:cs="FrankRuehl" w:hint="cs"/>
          <w:b/>
          <w:sz w:val="20"/>
          <w:szCs w:val="22"/>
          <w:rtl/>
        </w:rPr>
        <w:t>ות</w:t>
      </w:r>
      <w:r w:rsidRPr="00247C05">
        <w:rPr>
          <w:rFonts w:cs="FrankRuehl"/>
          <w:b/>
          <w:sz w:val="20"/>
          <w:szCs w:val="22"/>
          <w:rtl/>
        </w:rPr>
        <w:t xml:space="preserve"> המשפט.</w:t>
      </w:r>
      <w:r w:rsidRPr="00247C05">
        <w:rPr>
          <w:rFonts w:cs="FrankRuehl" w:hint="cs"/>
          <w:b/>
          <w:sz w:val="20"/>
          <w:szCs w:val="22"/>
          <w:rtl/>
        </w:rPr>
        <w:t xml:space="preserve"> כל אלו יחייבו </w:t>
      </w:r>
      <w:r w:rsidRPr="00247C05">
        <w:rPr>
          <w:rFonts w:cs="FrankRuehl"/>
          <w:b/>
          <w:sz w:val="20"/>
          <w:szCs w:val="22"/>
          <w:rtl/>
        </w:rPr>
        <w:t>קבלת החלטות בדרגים הגבוהים ביותר בממשלת ישראל ומתן הנחיות מתאימות לגורמים הרלוונטיים</w:t>
      </w:r>
      <w:r w:rsidRPr="00247C05">
        <w:rPr>
          <w:rFonts w:cs="FrankRuehl" w:hint="cs"/>
          <w:b/>
          <w:sz w:val="20"/>
          <w:szCs w:val="22"/>
          <w:rtl/>
        </w:rPr>
        <w:t>.</w:t>
      </w:r>
    </w:p>
    <w:p w:rsidR="003037FB" w:rsidRPr="00247C05" w:rsidP="00CB2DEE">
      <w:pPr>
        <w:pStyle w:val="ListParagraph"/>
        <w:numPr>
          <w:ilvl w:val="0"/>
          <w:numId w:val="18"/>
        </w:numPr>
        <w:tabs>
          <w:tab w:val="left" w:pos="0"/>
        </w:tabs>
        <w:spacing w:after="120" w:line="234" w:lineRule="exact"/>
        <w:contextualSpacing w:val="0"/>
        <w:jc w:val="both"/>
        <w:rPr>
          <w:rFonts w:ascii="Times New Roman" w:hAnsi="Times New Roman" w:cs="FrankRuehl"/>
          <w:b/>
          <w:sz w:val="20"/>
          <w:rtl/>
        </w:rPr>
      </w:pPr>
      <w:r w:rsidRPr="00247C05">
        <w:rPr>
          <w:rFonts w:ascii="Times New Roman" w:hAnsi="Times New Roman" w:cs="FrankRuehl" w:hint="cs"/>
          <w:sz w:val="20"/>
          <w:rtl/>
        </w:rPr>
        <w:t xml:space="preserve">מרכז השלטון המקומי מסר בתשובתו למשרד מבקר המדינה, כי הוא תומך במסקנות ועדת זמיר כפי שהתקבלו בבג"ץ קארשי </w:t>
      </w:r>
      <w:r w:rsidRPr="00247C05">
        <w:rPr>
          <w:rFonts w:ascii="Times New Roman" w:hAnsi="Times New Roman" w:cs="FrankRuehl"/>
          <w:sz w:val="20"/>
          <w:rtl/>
        </w:rPr>
        <w:t xml:space="preserve">(ראו להלן). </w:t>
      </w:r>
    </w:p>
    <w:p w:rsidR="003037FB" w:rsidRPr="00247C05" w:rsidP="00CB2DEE">
      <w:pPr>
        <w:pStyle w:val="ListParagraph"/>
        <w:numPr>
          <w:ilvl w:val="0"/>
          <w:numId w:val="18"/>
        </w:numPr>
        <w:tabs>
          <w:tab w:val="left" w:pos="0"/>
        </w:tabs>
        <w:spacing w:after="120" w:line="234" w:lineRule="exact"/>
        <w:contextualSpacing w:val="0"/>
        <w:jc w:val="both"/>
        <w:rPr>
          <w:rFonts w:ascii="Times New Roman" w:hAnsi="Times New Roman" w:cs="FrankRuehl"/>
          <w:b/>
          <w:sz w:val="20"/>
        </w:rPr>
      </w:pPr>
      <w:r w:rsidRPr="00247C05">
        <w:rPr>
          <w:rFonts w:ascii="Times New Roman" w:hAnsi="Times New Roman" w:cs="FrankRuehl" w:hint="cs"/>
          <w:b/>
          <w:sz w:val="20"/>
          <w:rtl/>
        </w:rPr>
        <w:t>עיריית קריית ביאליק השיבה בדצמבר 2015</w:t>
      </w:r>
      <w:r>
        <w:rPr>
          <w:rStyle w:val="FootnoteReference"/>
          <w:rFonts w:ascii="Times New Roman" w:hAnsi="Times New Roman" w:cs="FrankRuehl"/>
          <w:b/>
          <w:sz w:val="20"/>
          <w:rtl/>
        </w:rPr>
        <w:footnoteReference w:id="41"/>
      </w:r>
      <w:r w:rsidRPr="00247C05">
        <w:rPr>
          <w:rFonts w:ascii="Times New Roman" w:hAnsi="Times New Roman" w:cs="FrankRuehl" w:hint="cs"/>
          <w:b/>
          <w:sz w:val="20"/>
          <w:rtl/>
        </w:rPr>
        <w:t xml:space="preserve"> כי "יש מקום לבחון מחדש את נחיצות בתי המשפט לעניינים מקומיים ולפעול להגשת התיקים העירוניים לבית משפט השלום, או לחילופין שהנהלת בתי המשפט תיקח תחת חסותה את בתי המשפט לעניינים מקומיים כחלק אינטגראלי ממנה". לכך הוסיפה עיריית נשר, כי "בית המשפט לעניינים מקומיים צריך להיות מנוהל על ידי המדינה על מנת לבצע הפרדת רשויות, ועליו להיות חלק מבית משפט השלום". עיריית </w:t>
      </w:r>
      <w:r w:rsidRPr="00247C05">
        <w:rPr>
          <w:rFonts w:ascii="Times New Roman" w:hAnsi="Times New Roman" w:cs="FrankRuehl" w:hint="cs"/>
          <w:sz w:val="20"/>
          <w:rtl/>
        </w:rPr>
        <w:t>גבעתיים</w:t>
      </w:r>
      <w:r w:rsidRPr="00247C05">
        <w:rPr>
          <w:rFonts w:ascii="Times New Roman" w:hAnsi="Times New Roman" w:cs="FrankRuehl" w:hint="cs"/>
          <w:b/>
          <w:sz w:val="20"/>
          <w:rtl/>
        </w:rPr>
        <w:t xml:space="preserve"> מסרה בתשובתה למשרד מבקר המדינה מינואר 2016, כי הם בוחנים מחדש את נחיצות בית המשפט עמ"ק בעיר, נוכח היקף הפעילות המצומצם ולפיכך הם בוחרים שלא להגיב לדוח זה. </w:t>
      </w:r>
    </w:p>
    <w:p w:rsidR="003037FB" w:rsidRPr="00247C05" w:rsidP="00CB2DEE">
      <w:pPr>
        <w:pStyle w:val="ListParagraph"/>
        <w:numPr>
          <w:ilvl w:val="0"/>
          <w:numId w:val="18"/>
        </w:numPr>
        <w:tabs>
          <w:tab w:val="left" w:pos="0"/>
        </w:tabs>
        <w:spacing w:after="240" w:line="234" w:lineRule="exact"/>
        <w:contextualSpacing w:val="0"/>
        <w:jc w:val="both"/>
        <w:rPr>
          <w:rFonts w:ascii="Times New Roman" w:hAnsi="Times New Roman" w:cs="FrankRuehl"/>
          <w:b/>
          <w:sz w:val="20"/>
        </w:rPr>
      </w:pPr>
      <w:r w:rsidRPr="00247C05">
        <w:rPr>
          <w:rFonts w:ascii="Times New Roman" w:hAnsi="Times New Roman" w:cs="FrankRuehl" w:hint="cs"/>
          <w:b/>
          <w:sz w:val="20"/>
          <w:rtl/>
        </w:rPr>
        <w:t>בתשובת משרד המשפטים מינואר 2016 נכתב כי "אנו סבורים כי מדור נפרד [של במ"ש עמ"ק בבתי משפט שלום] עשוי לתת מענה לכל היתרונות שעליהם עמדה ועדת זמיר ושבעטיים מצאה כי יש לשמר את ההפרדה בין בתי משפט לעניינים מקומיים לבין בתי משפט השלום, זאת ככל שיוקצו לכך המשאבים המתאימים. גם באמצעות הקמת מדור נפרד ניתן יהיה להשיג את הגברת האכיפה וההרתעה בלא שהעניינים העירוניים יידחו בפני העניינים הפליליים הנדונים בבית משפט שלום; ייחוד הטיפול בעניינים העקרוניים יבטיח גם טיפול יעיל גם על ידי המנגנון המנהלי של בתי המשפט; תושג התמחות מקצועית בנושאים בעלי אופי מקומי; יינתן שירות טוב יותר לתושבי המקום. בנסיבות אלה, משרד המשפטים אינו מתנגד לעמדה מסוג זה ואף מברך על כך". משרד המשפטים הוסיף, כי ככל שההפרדה בין בתי המשפט תישאר על כנה, יש להבטיח את ביצוע השינויים הנדרשים בבתי משפט אלה.</w:t>
      </w:r>
    </w:p>
    <w:p w:rsidR="003037FB" w:rsidRPr="00247C05" w:rsidP="00010DC5">
      <w:pPr>
        <w:pStyle w:val="RESHET"/>
        <w:keepLines/>
        <w:rPr>
          <w:rtl/>
        </w:rPr>
      </w:pPr>
      <w:r w:rsidRPr="00247C05">
        <w:rPr>
          <w:rFonts w:hint="cs"/>
          <w:rtl/>
        </w:rPr>
        <w:t>הממצאים העולים בדוח זה וכן תשובת הב"ה מלמדים, כי</w:t>
      </w:r>
      <w:r w:rsidRPr="00247C05">
        <w:rPr>
          <w:rFonts w:hint="eastAsia"/>
          <w:rtl/>
        </w:rPr>
        <w:t xml:space="preserve"> במבחן</w:t>
      </w:r>
      <w:r w:rsidRPr="00247C05">
        <w:rPr>
          <w:rtl/>
        </w:rPr>
        <w:t xml:space="preserve"> </w:t>
      </w:r>
      <w:r w:rsidRPr="00247C05">
        <w:rPr>
          <w:rFonts w:hint="eastAsia"/>
          <w:rtl/>
        </w:rPr>
        <w:t>הזמן</w:t>
      </w:r>
      <w:r w:rsidRPr="00247C05">
        <w:rPr>
          <w:rtl/>
        </w:rPr>
        <w:t xml:space="preserve"> </w:t>
      </w:r>
      <w:r w:rsidRPr="00247C05">
        <w:rPr>
          <w:rFonts w:hint="eastAsia"/>
          <w:rtl/>
        </w:rPr>
        <w:t>והמציאות</w:t>
      </w:r>
      <w:r w:rsidRPr="00247C05">
        <w:rPr>
          <w:rtl/>
        </w:rPr>
        <w:t xml:space="preserve"> העקרונות </w:t>
      </w:r>
      <w:r w:rsidRPr="00247C05">
        <w:rPr>
          <w:rFonts w:hint="cs"/>
          <w:rtl/>
        </w:rPr>
        <w:t>ש</w:t>
      </w:r>
      <w:r w:rsidRPr="00247C05">
        <w:rPr>
          <w:rtl/>
        </w:rPr>
        <w:t xml:space="preserve">הותוו </w:t>
      </w:r>
      <w:r w:rsidRPr="00247C05">
        <w:rPr>
          <w:rFonts w:hint="cs"/>
          <w:rtl/>
        </w:rPr>
        <w:t xml:space="preserve">בדוח ועדת זמיר ובבג"ץ קארשי לא אחת אינם מיושמים ואינם נשמרים. הב"ה מצביעה על </w:t>
      </w:r>
      <w:r w:rsidRPr="00247C05">
        <w:rPr>
          <w:rtl/>
        </w:rPr>
        <w:t xml:space="preserve">פגיעה </w:t>
      </w:r>
      <w:r w:rsidRPr="00247C05">
        <w:rPr>
          <w:rFonts w:hint="eastAsia"/>
          <w:rtl/>
        </w:rPr>
        <w:t>בניתוק</w:t>
      </w:r>
      <w:r w:rsidRPr="00247C05">
        <w:rPr>
          <w:rtl/>
        </w:rPr>
        <w:t xml:space="preserve"> הזיקה שבין הרשות המקומית ובין </w:t>
      </w:r>
      <w:r w:rsidRPr="00247C05">
        <w:rPr>
          <w:rFonts w:hint="cs"/>
          <w:rtl/>
        </w:rPr>
        <w:t>בתי המשפט לעניינים מקומיים</w:t>
      </w:r>
      <w:r w:rsidRPr="00247C05">
        <w:rPr>
          <w:rtl/>
        </w:rPr>
        <w:t xml:space="preserve"> ופגיעה </w:t>
      </w:r>
      <w:r w:rsidRPr="00247C05">
        <w:rPr>
          <w:rFonts w:hint="eastAsia"/>
          <w:rtl/>
        </w:rPr>
        <w:t>בעצמאות</w:t>
      </w:r>
      <w:r w:rsidRPr="00247C05">
        <w:rPr>
          <w:rtl/>
        </w:rPr>
        <w:t xml:space="preserve"> </w:t>
      </w:r>
      <w:r w:rsidRPr="00247C05">
        <w:rPr>
          <w:rFonts w:hint="eastAsia"/>
          <w:rtl/>
        </w:rPr>
        <w:t>הרשות</w:t>
      </w:r>
      <w:r w:rsidRPr="00247C05">
        <w:rPr>
          <w:rtl/>
        </w:rPr>
        <w:t xml:space="preserve"> </w:t>
      </w:r>
      <w:r w:rsidRPr="00247C05">
        <w:rPr>
          <w:rFonts w:hint="eastAsia"/>
          <w:rtl/>
        </w:rPr>
        <w:t>השופטת</w:t>
      </w:r>
      <w:r w:rsidRPr="00247C05">
        <w:rPr>
          <w:rFonts w:hint="cs"/>
          <w:rtl/>
        </w:rPr>
        <w:t>. אמירות אלה ודברי הביקורת שהושמעו בנוגע לחולשות המודל הראשון הקיים עד היום, התומכים בשינויו, מצביעים כולם על הצורך בבחינה ובהחלטה בעניין המערך הארגוני שבמסגרתו פועלים כיום בתי המשפט המקומיים ויפה שעה אחת קודם. ואולם, עד תום הביקורת טרם הותנע מהלך בשיתוף כל הגורמים הרלוונטיים לבחינת העמדות השונות, והמצב נותר כשהיה. יצוין כי גם פעולה בתחום החקיקה לא קודמה, ולא הותקנו תקנות הנוגעות להסדרי המינהל העיקריים בבמ"ש עמ"ק.</w:t>
      </w:r>
      <w:r w:rsidRPr="00247C05">
        <w:rPr>
          <w:rtl/>
        </w:rPr>
        <w:t xml:space="preserve"> </w:t>
      </w:r>
    </w:p>
    <w:p w:rsidR="003037FB" w:rsidRPr="00247C05" w:rsidP="00010DC5">
      <w:pPr>
        <w:pStyle w:val="RESHET"/>
        <w:keepLines/>
        <w:rPr>
          <w:rFonts w:eastAsia="Calibri"/>
        </w:rPr>
      </w:pPr>
      <w:r w:rsidRPr="00247C05">
        <w:rPr>
          <w:rFonts w:hint="cs"/>
          <w:rtl/>
        </w:rPr>
        <w:t xml:space="preserve">פעולת התיקון המתבקשת בנושא זה ראוי שתעשה בשני מישורים נפרדים שאינם חלופיים זה לזה: הראשון והיסודי נוגע לשאלת המודל הנכון להפעלת מערכת בתי המשפט המקומיים. לדעת משרד מבקר המדינה לנוכח הקשיים ובעיות היסוד בקשר להפעלת המודל הדואלי שבמסגרתו פועלים בתי המשפט לעניינים מקומיים, אשר מקבלים ביטוי בממצאיו של דוח זה, על שרת המשפטים, שר הפנים ושר האוצר לבחון את המודל הרצוי להפעלת בתי המשפט המקומיים ולהכריע </w:t>
      </w:r>
      <w:r w:rsidRPr="00247C05">
        <w:rPr>
          <w:rFonts w:hint="cs"/>
          <w:u w:val="single"/>
          <w:rtl/>
        </w:rPr>
        <w:t>לאלתר</w:t>
      </w:r>
      <w:r w:rsidRPr="00247C05">
        <w:rPr>
          <w:rFonts w:hint="cs"/>
          <w:rtl/>
        </w:rPr>
        <w:t xml:space="preserve"> בסוגיה זו. </w:t>
      </w:r>
      <w:r w:rsidRPr="00247C05">
        <w:rPr>
          <w:rFonts w:eastAsia="Calibri" w:hint="cs"/>
          <w:rtl/>
        </w:rPr>
        <w:t xml:space="preserve">והשני, עד להכרעה הנדרשת וליישום מודל ההפעלה, ראוי שהב"ה תקיים </w:t>
      </w:r>
      <w:r w:rsidRPr="00247C05">
        <w:rPr>
          <w:rtl/>
        </w:rPr>
        <w:t xml:space="preserve">הערכה מקיפה של מכלול ההיבטים המצויים </w:t>
      </w:r>
      <w:r w:rsidRPr="00247C05">
        <w:rPr>
          <w:rFonts w:hint="cs"/>
          <w:rtl/>
        </w:rPr>
        <w:t>ב</w:t>
      </w:r>
      <w:r w:rsidRPr="00247C05">
        <w:rPr>
          <w:rtl/>
        </w:rPr>
        <w:t>אחריותה</w:t>
      </w:r>
      <w:r w:rsidRPr="00247C05">
        <w:rPr>
          <w:rFonts w:hint="cs"/>
          <w:rtl/>
        </w:rPr>
        <w:t>. בהתאם לכך עליה להכין</w:t>
      </w:r>
      <w:r w:rsidRPr="00247C05">
        <w:rPr>
          <w:rtl/>
        </w:rPr>
        <w:t xml:space="preserve"> תכנית </w:t>
      </w:r>
      <w:r w:rsidRPr="00247C05">
        <w:rPr>
          <w:rFonts w:hint="cs"/>
          <w:rtl/>
        </w:rPr>
        <w:t>לשיפור המערך הקיים של תפעול בתי המשפט שתכלול בין היתר את הגדרת תחומי אחריותה המקצועית ואבני</w:t>
      </w:r>
      <w:r w:rsidRPr="00247C05">
        <w:rPr>
          <w:rtl/>
        </w:rPr>
        <w:t xml:space="preserve"> דרך ליישומם</w:t>
      </w:r>
      <w:r w:rsidRPr="00247C05">
        <w:rPr>
          <w:rFonts w:hint="cs"/>
          <w:rtl/>
        </w:rPr>
        <w:t>.</w:t>
      </w:r>
      <w:r w:rsidRPr="00247C05">
        <w:rPr>
          <w:rtl/>
        </w:rPr>
        <w:t xml:space="preserve"> </w:t>
      </w:r>
      <w:r w:rsidRPr="00247C05">
        <w:rPr>
          <w:rFonts w:eastAsia="Calibri" w:hint="cs"/>
          <w:rtl/>
        </w:rPr>
        <w:t>לעניין זה</w:t>
      </w:r>
      <w:r w:rsidRPr="00247C05">
        <w:rPr>
          <w:rtl/>
        </w:rPr>
        <w:t xml:space="preserve"> </w:t>
      </w:r>
      <w:r w:rsidRPr="00247C05">
        <w:rPr>
          <w:rFonts w:eastAsia="Calibri" w:hint="cs"/>
          <w:rtl/>
        </w:rPr>
        <w:t>על</w:t>
      </w:r>
      <w:r w:rsidRPr="00247C05">
        <w:rPr>
          <w:rFonts w:eastAsia="Calibri"/>
          <w:rtl/>
        </w:rPr>
        <w:t xml:space="preserve"> הרשויות המקומיות והמזכירויות של בתי המשפט עמ"ק להירתם </w:t>
      </w:r>
      <w:r w:rsidRPr="00247C05">
        <w:rPr>
          <w:rFonts w:eastAsia="Calibri" w:hint="cs"/>
          <w:rtl/>
        </w:rPr>
        <w:t>למהלך שתוביל הב"ה ולשתף עמה פעולה באופן שיסייע ליישום אפקטיבי של התכנית</w:t>
      </w:r>
      <w:r w:rsidRPr="00247C05">
        <w:rPr>
          <w:rtl/>
        </w:rPr>
        <w:t xml:space="preserve">. </w:t>
      </w:r>
      <w:r w:rsidRPr="00247C05">
        <w:rPr>
          <w:rFonts w:eastAsia="Calibri" w:hint="cs"/>
          <w:rtl/>
        </w:rPr>
        <w:t xml:space="preserve">בנוסף על הב"ה </w:t>
      </w:r>
      <w:r w:rsidRPr="00247C05">
        <w:rPr>
          <w:rFonts w:hint="cs"/>
          <w:rtl/>
        </w:rPr>
        <w:t xml:space="preserve">לבחון בשיתוף </w:t>
      </w:r>
      <w:r w:rsidRPr="00247C05">
        <w:rPr>
          <w:rFonts w:eastAsia="Calibri" w:hint="cs"/>
          <w:rtl/>
        </w:rPr>
        <w:t xml:space="preserve">משרדי המשפטים הפנים והאוצר את </w:t>
      </w:r>
      <w:r w:rsidRPr="00247C05">
        <w:rPr>
          <w:rtl/>
        </w:rPr>
        <w:t xml:space="preserve">הסדר תקצוב </w:t>
      </w:r>
      <w:r w:rsidRPr="00247C05">
        <w:rPr>
          <w:rFonts w:hint="cs"/>
          <w:rtl/>
        </w:rPr>
        <w:t>הפעלתם</w:t>
      </w:r>
      <w:r w:rsidRPr="00247C05">
        <w:rPr>
          <w:rtl/>
        </w:rPr>
        <w:t xml:space="preserve"> </w:t>
      </w:r>
      <w:r w:rsidRPr="00247C05">
        <w:rPr>
          <w:rFonts w:hint="cs"/>
          <w:rtl/>
        </w:rPr>
        <w:t>של</w:t>
      </w:r>
      <w:r w:rsidRPr="00247C05">
        <w:rPr>
          <w:rtl/>
        </w:rPr>
        <w:t xml:space="preserve"> </w:t>
      </w:r>
      <w:r w:rsidRPr="00247C05">
        <w:rPr>
          <w:rFonts w:hint="cs"/>
          <w:rtl/>
        </w:rPr>
        <w:t>בתי</w:t>
      </w:r>
      <w:r w:rsidRPr="00247C05">
        <w:rPr>
          <w:rtl/>
        </w:rPr>
        <w:t xml:space="preserve"> </w:t>
      </w:r>
      <w:r w:rsidRPr="00247C05">
        <w:rPr>
          <w:rFonts w:hint="cs"/>
          <w:rtl/>
        </w:rPr>
        <w:t>המשפט</w:t>
      </w:r>
      <w:r w:rsidRPr="00247C05">
        <w:rPr>
          <w:rtl/>
        </w:rPr>
        <w:t xml:space="preserve"> </w:t>
      </w:r>
      <w:r w:rsidRPr="00247C05">
        <w:rPr>
          <w:rFonts w:hint="cs"/>
          <w:rtl/>
        </w:rPr>
        <w:t>באופן שיבטיח</w:t>
      </w:r>
      <w:r w:rsidRPr="00247C05">
        <w:rPr>
          <w:rtl/>
        </w:rPr>
        <w:t xml:space="preserve"> </w:t>
      </w:r>
      <w:r w:rsidRPr="00247C05">
        <w:rPr>
          <w:rFonts w:hint="cs"/>
          <w:rtl/>
        </w:rPr>
        <w:t>את</w:t>
      </w:r>
      <w:r w:rsidRPr="00247C05">
        <w:rPr>
          <w:rtl/>
        </w:rPr>
        <w:t xml:space="preserve"> </w:t>
      </w:r>
      <w:r w:rsidRPr="00247C05">
        <w:rPr>
          <w:rFonts w:hint="cs"/>
          <w:rtl/>
        </w:rPr>
        <w:t>עצמאותם</w:t>
      </w:r>
      <w:r w:rsidRPr="00247C05">
        <w:rPr>
          <w:rtl/>
        </w:rPr>
        <w:t>.</w:t>
      </w:r>
      <w:r w:rsidRPr="00247C05">
        <w:rPr>
          <w:rFonts w:eastAsia="Calibri" w:hint="cs"/>
          <w:rtl/>
        </w:rPr>
        <w:t xml:space="preserve"> </w:t>
      </w:r>
    </w:p>
    <w:p w:rsidR="003037FB" w:rsidRPr="00247C05" w:rsidP="00040DAE">
      <w:pPr>
        <w:pStyle w:val="ListParagraph"/>
        <w:spacing w:after="120" w:line="230" w:lineRule="exact"/>
        <w:ind w:left="340"/>
        <w:contextualSpacing w:val="0"/>
        <w:jc w:val="both"/>
        <w:rPr>
          <w:rFonts w:ascii="Times New Roman" w:eastAsia="Calibri" w:hAnsi="Times New Roman" w:cs="FrankRuehl"/>
          <w:b/>
          <w:bCs/>
          <w:sz w:val="20"/>
          <w:rtl/>
        </w:rPr>
      </w:pPr>
    </w:p>
    <w:p w:rsidR="003037FB" w:rsidRPr="00247C05" w:rsidP="00040DAE">
      <w:pPr>
        <w:spacing w:after="120" w:line="230" w:lineRule="exact"/>
        <w:jc w:val="both"/>
        <w:rPr>
          <w:rFonts w:cs="FrankRuehl"/>
          <w:bCs/>
          <w:sz w:val="20"/>
          <w:szCs w:val="22"/>
          <w:u w:val="single"/>
          <w:rtl/>
        </w:rPr>
      </w:pPr>
    </w:p>
    <w:p w:rsidR="003037FB" w:rsidRPr="00A45E9A" w:rsidP="00040DAE">
      <w:pPr>
        <w:pStyle w:val="KOT4"/>
        <w:rPr>
          <w:rtl/>
        </w:rPr>
      </w:pPr>
      <w:bookmarkStart w:id="6" w:name="_GoBack"/>
      <w:bookmarkEnd w:id="6"/>
      <w:r w:rsidRPr="00A45E9A">
        <w:rPr>
          <w:rtl/>
        </w:rPr>
        <w:t>סיכום</w:t>
      </w:r>
    </w:p>
    <w:p w:rsidR="003037FB" w:rsidRPr="00247C05" w:rsidP="00B52B3A">
      <w:pPr>
        <w:pStyle w:val="RESHET"/>
        <w:keepLines/>
        <w:rPr>
          <w:rtl/>
        </w:rPr>
      </w:pPr>
      <w:r w:rsidRPr="00247C05">
        <w:rPr>
          <w:rFonts w:hint="cs"/>
          <w:rtl/>
        </w:rPr>
        <w:t>בתי</w:t>
      </w:r>
      <w:r w:rsidRPr="00247C05">
        <w:rPr>
          <w:rtl/>
        </w:rPr>
        <w:t xml:space="preserve"> משפט לעניינים מקומיים בישראל דנים בעניינים הקשורים לתחום השלטון המקומי. </w:t>
      </w:r>
      <w:r w:rsidRPr="00247C05">
        <w:rPr>
          <w:rFonts w:hint="eastAsia"/>
          <w:rtl/>
        </w:rPr>
        <w:t>האחריות</w:t>
      </w:r>
      <w:r w:rsidRPr="00247C05">
        <w:rPr>
          <w:rtl/>
        </w:rPr>
        <w:t xml:space="preserve"> </w:t>
      </w:r>
      <w:r w:rsidRPr="00247C05">
        <w:rPr>
          <w:rFonts w:hint="cs"/>
          <w:rtl/>
        </w:rPr>
        <w:t>ל</w:t>
      </w:r>
      <w:r w:rsidRPr="00247C05">
        <w:rPr>
          <w:rFonts w:hint="eastAsia"/>
          <w:rtl/>
        </w:rPr>
        <w:t>עובדי</w:t>
      </w:r>
      <w:r w:rsidRPr="00247C05">
        <w:rPr>
          <w:rtl/>
        </w:rPr>
        <w:t xml:space="preserve"> </w:t>
      </w:r>
      <w:r w:rsidRPr="00247C05">
        <w:rPr>
          <w:rFonts w:hint="eastAsia"/>
          <w:rtl/>
        </w:rPr>
        <w:t>מזכירויות</w:t>
      </w:r>
      <w:r w:rsidRPr="00247C05">
        <w:rPr>
          <w:rtl/>
        </w:rPr>
        <w:t xml:space="preserve"> </w:t>
      </w:r>
      <w:r w:rsidRPr="00247C05">
        <w:rPr>
          <w:rFonts w:hint="eastAsia"/>
          <w:rtl/>
        </w:rPr>
        <w:t>בתי</w:t>
      </w:r>
      <w:r w:rsidRPr="00247C05">
        <w:rPr>
          <w:rtl/>
        </w:rPr>
        <w:t xml:space="preserve"> </w:t>
      </w:r>
      <w:r w:rsidRPr="00247C05">
        <w:rPr>
          <w:rFonts w:hint="eastAsia"/>
          <w:rtl/>
        </w:rPr>
        <w:t>המשפט</w:t>
      </w:r>
      <w:r w:rsidRPr="00247C05">
        <w:rPr>
          <w:rtl/>
        </w:rPr>
        <w:t xml:space="preserve"> </w:t>
      </w:r>
      <w:r w:rsidRPr="00247C05">
        <w:rPr>
          <w:rFonts w:hint="cs"/>
          <w:rtl/>
        </w:rPr>
        <w:t>מת</w:t>
      </w:r>
      <w:r w:rsidRPr="00247C05">
        <w:rPr>
          <w:rFonts w:hint="eastAsia"/>
          <w:rtl/>
        </w:rPr>
        <w:t>חלקת</w:t>
      </w:r>
      <w:r w:rsidRPr="00247C05">
        <w:rPr>
          <w:rtl/>
        </w:rPr>
        <w:t xml:space="preserve"> </w:t>
      </w:r>
      <w:r w:rsidRPr="00247C05">
        <w:rPr>
          <w:rFonts w:hint="cs"/>
          <w:rtl/>
        </w:rPr>
        <w:t xml:space="preserve">בין הנהלת בתי המשפט </w:t>
      </w:r>
      <w:r w:rsidRPr="00247C05">
        <w:rPr>
          <w:rFonts w:hint="eastAsia"/>
          <w:rtl/>
        </w:rPr>
        <w:t>בתחום</w:t>
      </w:r>
      <w:r w:rsidRPr="00247C05">
        <w:rPr>
          <w:rtl/>
        </w:rPr>
        <w:t xml:space="preserve"> </w:t>
      </w:r>
      <w:r w:rsidRPr="00247C05">
        <w:rPr>
          <w:rFonts w:hint="eastAsia"/>
          <w:rtl/>
        </w:rPr>
        <w:t>המקצועי</w:t>
      </w:r>
      <w:r w:rsidRPr="00247C05">
        <w:rPr>
          <w:rtl/>
        </w:rPr>
        <w:t xml:space="preserve"> והרשויות בתחום </w:t>
      </w:r>
      <w:r w:rsidRPr="00247C05">
        <w:rPr>
          <w:rFonts w:hint="eastAsia"/>
          <w:rtl/>
        </w:rPr>
        <w:t>המינהלי</w:t>
      </w:r>
      <w:r w:rsidRPr="00247C05">
        <w:rPr>
          <w:rtl/>
        </w:rPr>
        <w:t xml:space="preserve">. </w:t>
      </w:r>
      <w:r w:rsidRPr="00247C05">
        <w:rPr>
          <w:rFonts w:hint="eastAsia"/>
          <w:rtl/>
        </w:rPr>
        <w:t>מצב</w:t>
      </w:r>
      <w:r w:rsidRPr="00247C05">
        <w:rPr>
          <w:rtl/>
        </w:rPr>
        <w:t xml:space="preserve"> זה יוצר מתח בלתי נמנע ותלות </w:t>
      </w:r>
      <w:r w:rsidRPr="00247C05">
        <w:rPr>
          <w:rFonts w:hint="cs"/>
          <w:rtl/>
        </w:rPr>
        <w:t>בלתי רצויה של מערכת השיפוט ברשויות המקומיות</w:t>
      </w:r>
      <w:r w:rsidRPr="00247C05">
        <w:rPr>
          <w:rtl/>
        </w:rPr>
        <w:t xml:space="preserve"> </w:t>
      </w:r>
      <w:r w:rsidRPr="00247C05">
        <w:rPr>
          <w:rFonts w:hint="cs"/>
          <w:rtl/>
        </w:rPr>
        <w:t>ה</w:t>
      </w:r>
      <w:r w:rsidRPr="00247C05">
        <w:rPr>
          <w:rtl/>
        </w:rPr>
        <w:t>עלול</w:t>
      </w:r>
      <w:r w:rsidRPr="00247C05">
        <w:rPr>
          <w:rFonts w:hint="cs"/>
          <w:rtl/>
        </w:rPr>
        <w:t>ים</w:t>
      </w:r>
      <w:r w:rsidRPr="00247C05">
        <w:rPr>
          <w:rtl/>
        </w:rPr>
        <w:t xml:space="preserve"> לפגוע בעצמאות</w:t>
      </w:r>
      <w:r w:rsidRPr="00247C05">
        <w:rPr>
          <w:rFonts w:hint="cs"/>
          <w:rtl/>
        </w:rPr>
        <w:t>ה.</w:t>
      </w:r>
      <w:r w:rsidRPr="00247C05">
        <w:rPr>
          <w:rtl/>
        </w:rPr>
        <w:t xml:space="preserve"> </w:t>
      </w:r>
      <w:r w:rsidRPr="00247C05">
        <w:rPr>
          <w:rFonts w:hint="cs"/>
          <w:rtl/>
        </w:rPr>
        <w:t>במשך השנים הוצעו שלושה מודלים עיקריים להפעלת בתי משפט לעניינים מקומיים: השארת המודל הנוכחי על כנו; השארת המודל הנוכחי תוך ביסוס סדרי המינהל העיקריים בחקיקה; הטמעת בתי משפט לעניינים מקומיים במערכת בתי המשפט.</w:t>
      </w:r>
    </w:p>
    <w:p w:rsidR="003037FB" w:rsidRPr="00247C05" w:rsidP="00B52B3A">
      <w:pPr>
        <w:pStyle w:val="RESHET"/>
        <w:keepLines/>
        <w:rPr>
          <w:rtl/>
        </w:rPr>
      </w:pPr>
      <w:r w:rsidRPr="00247C05">
        <w:rPr>
          <w:rFonts w:hint="cs"/>
          <w:rtl/>
        </w:rPr>
        <w:t>ממצאי</w:t>
      </w:r>
      <w:r w:rsidRPr="00247C05">
        <w:rPr>
          <w:rtl/>
        </w:rPr>
        <w:t xml:space="preserve"> הדוח מצביעים </w:t>
      </w:r>
      <w:r w:rsidRPr="00247C05">
        <w:rPr>
          <w:rFonts w:hint="cs"/>
          <w:rtl/>
        </w:rPr>
        <w:t xml:space="preserve">על כך </w:t>
      </w:r>
      <w:r w:rsidRPr="00247C05">
        <w:rPr>
          <w:rtl/>
        </w:rPr>
        <w:t xml:space="preserve">שעדיין נותרו פערים באופן הפעלת מערכת בתי המשפט </w:t>
      </w:r>
      <w:r w:rsidRPr="00247C05">
        <w:rPr>
          <w:rFonts w:hint="cs"/>
          <w:rtl/>
        </w:rPr>
        <w:t>לעניינים מקומיים</w:t>
      </w:r>
      <w:r w:rsidRPr="00247C05">
        <w:rPr>
          <w:rtl/>
        </w:rPr>
        <w:t xml:space="preserve"> למול </w:t>
      </w:r>
      <w:r w:rsidRPr="00247C05">
        <w:rPr>
          <w:rFonts w:hint="cs"/>
          <w:rtl/>
        </w:rPr>
        <w:t>אותם עקרונות</w:t>
      </w:r>
      <w:r w:rsidRPr="00247C05">
        <w:rPr>
          <w:rtl/>
        </w:rPr>
        <w:t xml:space="preserve"> אשר נקבעו בדוח ועדת זמיר</w:t>
      </w:r>
      <w:r w:rsidRPr="00247C05">
        <w:rPr>
          <w:rFonts w:hint="cs"/>
          <w:rtl/>
        </w:rPr>
        <w:t>,</w:t>
      </w:r>
      <w:r w:rsidRPr="00247C05">
        <w:rPr>
          <w:rtl/>
        </w:rPr>
        <w:t xml:space="preserve"> </w:t>
      </w:r>
      <w:r w:rsidRPr="00247C05">
        <w:rPr>
          <w:rFonts w:hint="cs"/>
          <w:rtl/>
        </w:rPr>
        <w:t>ב</w:t>
      </w:r>
      <w:r w:rsidRPr="00247C05">
        <w:rPr>
          <w:rtl/>
        </w:rPr>
        <w:t xml:space="preserve">בג"ץ </w:t>
      </w:r>
      <w:r w:rsidRPr="00247C05">
        <w:rPr>
          <w:rFonts w:hint="cs"/>
          <w:rtl/>
        </w:rPr>
        <w:t>קארשי ובעמדת הנהלת בתי המשפט</w:t>
      </w:r>
      <w:r w:rsidRPr="00247C05">
        <w:rPr>
          <w:rtl/>
        </w:rPr>
        <w:t xml:space="preserve">. </w:t>
      </w:r>
      <w:r w:rsidRPr="00247C05">
        <w:rPr>
          <w:rFonts w:hint="cs"/>
          <w:rtl/>
        </w:rPr>
        <w:t>עוד</w:t>
      </w:r>
      <w:r w:rsidRPr="00247C05">
        <w:rPr>
          <w:rtl/>
        </w:rPr>
        <w:t xml:space="preserve"> </w:t>
      </w:r>
      <w:r w:rsidRPr="00247C05">
        <w:rPr>
          <w:rFonts w:hint="cs"/>
          <w:rtl/>
        </w:rPr>
        <w:t>עולה</w:t>
      </w:r>
      <w:r w:rsidRPr="00247C05">
        <w:rPr>
          <w:rtl/>
        </w:rPr>
        <w:t xml:space="preserve"> </w:t>
      </w:r>
      <w:r w:rsidRPr="00247C05">
        <w:rPr>
          <w:rFonts w:hint="cs"/>
          <w:rtl/>
        </w:rPr>
        <w:t>שלא</w:t>
      </w:r>
      <w:r w:rsidRPr="00247C05">
        <w:rPr>
          <w:rtl/>
        </w:rPr>
        <w:t xml:space="preserve"> בכל בתי המשפט </w:t>
      </w:r>
      <w:r w:rsidRPr="00247C05">
        <w:rPr>
          <w:rFonts w:hint="cs"/>
          <w:rtl/>
        </w:rPr>
        <w:t>לעניינים מקומיים</w:t>
      </w:r>
      <w:r w:rsidRPr="00247C05">
        <w:rPr>
          <w:rtl/>
        </w:rPr>
        <w:t xml:space="preserve"> מתקיים </w:t>
      </w:r>
      <w:r w:rsidRPr="00247C05">
        <w:rPr>
          <w:rFonts w:hint="cs"/>
          <w:rtl/>
        </w:rPr>
        <w:t>הלכה</w:t>
      </w:r>
      <w:r w:rsidRPr="00247C05">
        <w:rPr>
          <w:rtl/>
        </w:rPr>
        <w:t xml:space="preserve"> למעשה ניתוק הזיקות </w:t>
      </w:r>
      <w:r w:rsidRPr="00247C05">
        <w:rPr>
          <w:rFonts w:hint="cs"/>
          <w:rtl/>
        </w:rPr>
        <w:t>ל</w:t>
      </w:r>
      <w:r w:rsidRPr="00247C05">
        <w:rPr>
          <w:rtl/>
        </w:rPr>
        <w:t xml:space="preserve">רשויות המקומיות. הדוח הצביע </w:t>
      </w:r>
      <w:r w:rsidRPr="00247C05">
        <w:rPr>
          <w:rFonts w:hint="cs"/>
          <w:rtl/>
        </w:rPr>
        <w:t>גם על כך שבתי</w:t>
      </w:r>
      <w:r w:rsidRPr="00247C05">
        <w:rPr>
          <w:rtl/>
        </w:rPr>
        <w:t xml:space="preserve"> משפט </w:t>
      </w:r>
      <w:r w:rsidRPr="00247C05">
        <w:rPr>
          <w:rFonts w:hint="cs"/>
          <w:rtl/>
        </w:rPr>
        <w:t>לעניינים מקומיים</w:t>
      </w:r>
      <w:r w:rsidRPr="00247C05">
        <w:rPr>
          <w:rtl/>
        </w:rPr>
        <w:t xml:space="preserve"> בשטחי יהודה ושומרון הם </w:t>
      </w:r>
      <w:r w:rsidRPr="00247C05">
        <w:rPr>
          <w:rFonts w:hint="cs"/>
          <w:rtl/>
        </w:rPr>
        <w:t>גוף</w:t>
      </w:r>
      <w:r w:rsidRPr="00247C05">
        <w:rPr>
          <w:rtl/>
        </w:rPr>
        <w:t xml:space="preserve"> שונה ו</w:t>
      </w:r>
      <w:r w:rsidRPr="00247C05">
        <w:rPr>
          <w:rFonts w:hint="cs"/>
          <w:rtl/>
        </w:rPr>
        <w:t xml:space="preserve">יש </w:t>
      </w:r>
      <w:r w:rsidRPr="00247C05">
        <w:rPr>
          <w:rtl/>
        </w:rPr>
        <w:t>להם סמכות רחבה באופן משמעותי מבתי המשפט לעניינים מקומיים בישראל</w:t>
      </w:r>
      <w:r w:rsidRPr="00247C05">
        <w:rPr>
          <w:rFonts w:hint="cs"/>
          <w:rtl/>
        </w:rPr>
        <w:t>, אך</w:t>
      </w:r>
      <w:r w:rsidRPr="00247C05">
        <w:rPr>
          <w:rtl/>
        </w:rPr>
        <w:t xml:space="preserve"> לא נקבעו עבורם סדרי עבודה שיאפשרו להם להתנהל על בסיס אדנים יציבים.</w:t>
      </w:r>
    </w:p>
    <w:p w:rsidR="003037FB" w:rsidRPr="00247C05" w:rsidP="00B52B3A">
      <w:pPr>
        <w:pStyle w:val="RESHET"/>
        <w:keepLines/>
        <w:rPr>
          <w:rFonts w:eastAsia="Calibri"/>
        </w:rPr>
      </w:pPr>
      <w:r w:rsidRPr="00247C05">
        <w:rPr>
          <w:rFonts w:hint="cs"/>
          <w:rtl/>
        </w:rPr>
        <w:t>לדעת משרד מבקר המדינה על הנהלת בתי המשפט לפעול למימוש אחריותה המקצועית: בהתאם לכך עליה להכין</w:t>
      </w:r>
      <w:r w:rsidRPr="00247C05">
        <w:rPr>
          <w:rtl/>
        </w:rPr>
        <w:t xml:space="preserve"> תכנית </w:t>
      </w:r>
      <w:r w:rsidRPr="00247C05">
        <w:rPr>
          <w:rFonts w:hint="cs"/>
          <w:rtl/>
        </w:rPr>
        <w:t>לשיפור המערך הקיים של תפעול בתי המשפט שתכלול בין היתר את הגדרת תחומי אחריותה המקצועית ואבני</w:t>
      </w:r>
      <w:r w:rsidRPr="00247C05">
        <w:rPr>
          <w:rtl/>
        </w:rPr>
        <w:t xml:space="preserve"> דרך ליישומם</w:t>
      </w:r>
      <w:r w:rsidRPr="00247C05">
        <w:rPr>
          <w:rFonts w:hint="cs"/>
          <w:rtl/>
        </w:rPr>
        <w:t>.</w:t>
      </w:r>
      <w:r w:rsidRPr="00247C05">
        <w:rPr>
          <w:rtl/>
        </w:rPr>
        <w:t xml:space="preserve"> </w:t>
      </w:r>
      <w:r w:rsidRPr="00247C05">
        <w:rPr>
          <w:rFonts w:eastAsia="Calibri" w:hint="cs"/>
          <w:rtl/>
        </w:rPr>
        <w:t>לעניין זה</w:t>
      </w:r>
      <w:r w:rsidRPr="00247C05">
        <w:rPr>
          <w:rtl/>
        </w:rPr>
        <w:t xml:space="preserve"> </w:t>
      </w:r>
      <w:r w:rsidRPr="00247C05">
        <w:rPr>
          <w:rFonts w:eastAsia="Calibri" w:hint="cs"/>
          <w:rtl/>
        </w:rPr>
        <w:t>על</w:t>
      </w:r>
      <w:r w:rsidRPr="00247C05">
        <w:rPr>
          <w:rFonts w:eastAsia="Calibri"/>
          <w:rtl/>
        </w:rPr>
        <w:t xml:space="preserve"> הרשויות המקומיות והמזכירויות של בתי המשפט </w:t>
      </w:r>
      <w:r w:rsidRPr="00247C05">
        <w:rPr>
          <w:rFonts w:eastAsia="Calibri" w:hint="cs"/>
          <w:rtl/>
        </w:rPr>
        <w:t>לעניינים מקומיים</w:t>
      </w:r>
      <w:r w:rsidRPr="00247C05">
        <w:rPr>
          <w:rFonts w:eastAsia="Calibri"/>
          <w:rtl/>
        </w:rPr>
        <w:t xml:space="preserve"> להירתם </w:t>
      </w:r>
      <w:r w:rsidRPr="00247C05">
        <w:rPr>
          <w:rFonts w:eastAsia="Calibri" w:hint="cs"/>
          <w:rtl/>
        </w:rPr>
        <w:t>למהלך שתוביל הנהלת בתי המשפט</w:t>
      </w:r>
      <w:r w:rsidR="00B365BA">
        <w:rPr>
          <w:rFonts w:eastAsia="Calibri" w:hint="cs"/>
          <w:rtl/>
        </w:rPr>
        <w:t xml:space="preserve"> </w:t>
      </w:r>
      <w:r w:rsidRPr="00247C05">
        <w:rPr>
          <w:rFonts w:eastAsia="Calibri" w:hint="cs"/>
          <w:rtl/>
        </w:rPr>
        <w:t>ולשתף עמה פעולה באופן שיסייע ליישום אפקטיבי של התכנית</w:t>
      </w:r>
      <w:r w:rsidRPr="00247C05">
        <w:rPr>
          <w:rtl/>
        </w:rPr>
        <w:t xml:space="preserve">. </w:t>
      </w:r>
      <w:r w:rsidRPr="00247C05">
        <w:rPr>
          <w:rFonts w:eastAsia="Calibri" w:hint="cs"/>
          <w:rtl/>
        </w:rPr>
        <w:t xml:space="preserve">בנוסף על הנהלת בתי המשפט </w:t>
      </w:r>
      <w:r w:rsidRPr="00247C05">
        <w:rPr>
          <w:rFonts w:hint="cs"/>
          <w:rtl/>
        </w:rPr>
        <w:t xml:space="preserve">לבחון בשיתוף </w:t>
      </w:r>
      <w:r w:rsidRPr="00247C05">
        <w:rPr>
          <w:rFonts w:eastAsia="Calibri" w:hint="cs"/>
          <w:rtl/>
        </w:rPr>
        <w:t xml:space="preserve">משרדי המשפטים הפנים והאוצר את </w:t>
      </w:r>
      <w:r w:rsidRPr="00247C05">
        <w:rPr>
          <w:rtl/>
        </w:rPr>
        <w:t xml:space="preserve">הסדר תקצוב </w:t>
      </w:r>
      <w:r w:rsidRPr="00247C05">
        <w:rPr>
          <w:rFonts w:hint="cs"/>
          <w:rtl/>
        </w:rPr>
        <w:t>הפעלתם</w:t>
      </w:r>
      <w:r w:rsidRPr="00247C05">
        <w:rPr>
          <w:rtl/>
        </w:rPr>
        <w:t xml:space="preserve"> </w:t>
      </w:r>
      <w:r w:rsidRPr="00247C05">
        <w:rPr>
          <w:rFonts w:hint="cs"/>
          <w:rtl/>
        </w:rPr>
        <w:t>של</w:t>
      </w:r>
      <w:r w:rsidRPr="00247C05">
        <w:rPr>
          <w:rtl/>
        </w:rPr>
        <w:t xml:space="preserve"> </w:t>
      </w:r>
      <w:r w:rsidRPr="00247C05">
        <w:rPr>
          <w:rFonts w:hint="cs"/>
          <w:rtl/>
        </w:rPr>
        <w:t>בתי</w:t>
      </w:r>
      <w:r w:rsidRPr="00247C05">
        <w:rPr>
          <w:rtl/>
        </w:rPr>
        <w:t xml:space="preserve"> </w:t>
      </w:r>
      <w:r w:rsidRPr="00247C05">
        <w:rPr>
          <w:rFonts w:hint="cs"/>
          <w:rtl/>
        </w:rPr>
        <w:t>המשפט</w:t>
      </w:r>
      <w:r w:rsidRPr="00247C05">
        <w:rPr>
          <w:rtl/>
        </w:rPr>
        <w:t xml:space="preserve"> </w:t>
      </w:r>
      <w:r w:rsidRPr="00247C05">
        <w:rPr>
          <w:rFonts w:hint="cs"/>
          <w:rtl/>
        </w:rPr>
        <w:t>באופן שיבטיח</w:t>
      </w:r>
      <w:r w:rsidRPr="00247C05">
        <w:rPr>
          <w:rtl/>
        </w:rPr>
        <w:t xml:space="preserve"> </w:t>
      </w:r>
      <w:r w:rsidRPr="00247C05">
        <w:rPr>
          <w:rFonts w:hint="cs"/>
          <w:rtl/>
        </w:rPr>
        <w:t>את</w:t>
      </w:r>
      <w:r w:rsidRPr="00247C05">
        <w:rPr>
          <w:rtl/>
        </w:rPr>
        <w:t xml:space="preserve"> </w:t>
      </w:r>
      <w:r w:rsidRPr="00247C05">
        <w:rPr>
          <w:rFonts w:hint="cs"/>
          <w:rtl/>
        </w:rPr>
        <w:t>עצמאותם</w:t>
      </w:r>
      <w:r w:rsidRPr="00247C05">
        <w:rPr>
          <w:rtl/>
        </w:rPr>
        <w:t>.</w:t>
      </w:r>
      <w:r w:rsidRPr="00247C05">
        <w:rPr>
          <w:rFonts w:eastAsia="Calibri" w:hint="cs"/>
          <w:rtl/>
        </w:rPr>
        <w:t xml:space="preserve"> </w:t>
      </w:r>
    </w:p>
    <w:p w:rsidR="003037FB" w:rsidRPr="00247C05" w:rsidP="00B52B3A">
      <w:pPr>
        <w:pStyle w:val="RESHET"/>
        <w:keepLines/>
        <w:rPr>
          <w:rtl/>
        </w:rPr>
      </w:pPr>
      <w:r w:rsidRPr="00247C05">
        <w:rPr>
          <w:rFonts w:hint="cs"/>
          <w:rtl/>
        </w:rPr>
        <w:t xml:space="preserve">קשיים ובעיות יסוד בקשר להפעלת המודל הדואלי שבמסגרתו פועלים בתי המשפט לעניינים מקומיים שבים ועולים מאז מיסודה של מערכת שפיטה זו בראשית שנות השמונים של המאה הקודמת. מציאות זו, המקבלת ביטוי גם בממצאיו של דוח זה, מחייבת הכרעה. אשר על כן שרת המשפטים, שר הפנים ושר האוצר נדרשים לבחון את המודל הרצוי להפעלת בתי המשפט המקומיים ולהכריע </w:t>
      </w:r>
      <w:r w:rsidRPr="00247C05">
        <w:rPr>
          <w:rFonts w:hint="cs"/>
          <w:u w:val="single"/>
          <w:rtl/>
        </w:rPr>
        <w:t>לאלתר</w:t>
      </w:r>
      <w:r w:rsidRPr="00247C05">
        <w:rPr>
          <w:rFonts w:hint="cs"/>
          <w:rtl/>
        </w:rPr>
        <w:t xml:space="preserve"> בסוגיה זו. לדעת משרד מבקר המדינה הצורך להבטיח את עצמאות מערכת המשפט ובתוך כך את עבודת בתי המשפט לעניינים מקומיים והפעלתם בהתאם לנורמות המקובלות במערכת בתי המשפט הוא זה אשר צריך לעמוד ביסוד הבחינה וההחלטה בתחום זה.</w:t>
      </w:r>
    </w:p>
    <w:p w:rsidR="003037FB" w:rsidRPr="00247C05" w:rsidP="00040DAE">
      <w:pPr>
        <w:spacing w:after="120" w:line="230" w:lineRule="exact"/>
        <w:jc w:val="both"/>
        <w:rPr>
          <w:rFonts w:cs="FrankRuehl"/>
          <w:sz w:val="20"/>
          <w:szCs w:val="22"/>
          <w:rtl/>
        </w:rPr>
      </w:pPr>
    </w:p>
    <w:p w:rsidR="00254F5E" w:rsidP="00040DAE">
      <w:pPr>
        <w:pStyle w:val="Header"/>
        <w:tabs>
          <w:tab w:val="clear" w:pos="4153"/>
          <w:tab w:val="clear" w:pos="8306"/>
        </w:tabs>
        <w:rPr>
          <w:rtl/>
        </w:rPr>
        <w:sectPr w:rsidSect="00D84AF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58" w:right="2552" w:bottom="4253" w:left="2552" w:header="1247" w:footer="1134" w:gutter="0"/>
          <w:pgNumType w:start="1135"/>
          <w:cols w:space="720"/>
          <w:rtlGutter/>
          <w:docGrid w:linePitch="326"/>
        </w:sectPr>
      </w:pPr>
    </w:p>
    <w:p w:rsidR="00C8241F" w:rsidP="00040DAE">
      <w:pPr>
        <w:pStyle w:val="Header"/>
        <w:tabs>
          <w:tab w:val="clear" w:pos="4153"/>
          <w:tab w:val="clear" w:pos="8306"/>
        </w:tabs>
        <w:rPr>
          <w:rtl/>
        </w:rPr>
      </w:pPr>
    </w:p>
    <w:sectPr w:rsidSect="00254F5E">
      <w:headerReference w:type="even" r:id="rId14"/>
      <w:footerReference w:type="even" r:id="rId15"/>
      <w:footnotePr>
        <w:numRestart w:val="eachSect"/>
      </w:footnotePr>
      <w:pgSz w:w="11906" w:h="16838" w:code="9"/>
      <w:pgMar w:top="1758" w:right="2552" w:bottom="4253" w:left="2552" w:header="1247" w:footer="1134" w:gutter="0"/>
      <w:cols w:space="720"/>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A1A" w:rsidP="00347AD3">
    <w:pPr>
      <w:pStyle w:val="Footer"/>
      <w:tabs>
        <w:tab w:val="left" w:pos="1222"/>
      </w:tabs>
      <w:spacing w:line="160" w:lineRule="exact"/>
      <w:rPr>
        <w:sz w:val="16"/>
        <w:szCs w:val="16"/>
        <w:rtl/>
      </w:rPr>
    </w:pPr>
    <w:r>
      <w:rPr>
        <w:sz w:val="16"/>
        <w:szCs w:val="16"/>
        <w:rtl/>
      </w:rPr>
      <w:t>שם הדוח:</w:t>
    </w:r>
    <w:r>
      <w:rPr>
        <w:sz w:val="16"/>
        <w:szCs w:val="16"/>
        <w:rtl/>
      </w:rPr>
      <w:tab/>
    </w:r>
    <w:r w:rsidRPr="00347AD3">
      <w:rPr>
        <w:sz w:val="16"/>
        <w:szCs w:val="16"/>
        <w:rtl/>
      </w:rPr>
      <w:t>משרד המשפטים</w:t>
    </w:r>
    <w:r>
      <w:rPr>
        <w:rFonts w:hint="cs"/>
        <w:sz w:val="16"/>
        <w:szCs w:val="16"/>
        <w:rtl/>
      </w:rPr>
      <w:t xml:space="preserve"> - </w:t>
    </w:r>
    <w:r w:rsidRPr="00347AD3">
      <w:rPr>
        <w:sz w:val="16"/>
        <w:szCs w:val="16"/>
        <w:rtl/>
      </w:rPr>
      <w:t>הנהלת בתי המשפט</w:t>
    </w:r>
    <w:r>
      <w:rPr>
        <w:rFonts w:hint="cs"/>
        <w:sz w:val="16"/>
        <w:szCs w:val="16"/>
        <w:rtl/>
      </w:rPr>
      <w:t xml:space="preserve"> - </w:t>
    </w:r>
    <w:r w:rsidRPr="00347AD3">
      <w:rPr>
        <w:sz w:val="16"/>
        <w:szCs w:val="16"/>
        <w:rtl/>
      </w:rPr>
      <w:t>היבטים בהפעלת בתי המשפט לעניינים מקומיים</w:t>
    </w:r>
  </w:p>
  <w:p w:rsidR="00402A1A" w:rsidRPr="00B4181C" w:rsidP="00C2718A">
    <w:pPr>
      <w:pStyle w:val="Footer"/>
      <w:tabs>
        <w:tab w:val="left" w:pos="1222"/>
      </w:tabs>
      <w:spacing w:line="160" w:lineRule="exact"/>
      <w:rPr>
        <w:sz w:val="16"/>
        <w:szCs w:val="16"/>
        <w:rtl/>
      </w:rPr>
    </w:pPr>
    <w:r w:rsidRPr="00B4181C">
      <w:rPr>
        <w:sz w:val="16"/>
        <w:szCs w:val="16"/>
        <w:rtl/>
      </w:rPr>
      <w:t>מסגרת הפרסום:</w:t>
    </w:r>
    <w:r w:rsidRPr="00B4181C">
      <w:rPr>
        <w:sz w:val="16"/>
        <w:szCs w:val="16"/>
        <w:rtl/>
      </w:rPr>
      <w:tab/>
    </w:r>
    <w:r>
      <w:rPr>
        <w:rFonts w:hint="cs"/>
        <w:sz w:val="16"/>
        <w:szCs w:val="16"/>
        <w:rtl/>
      </w:rPr>
      <w:t>דוח שנתי 66ג</w:t>
    </w:r>
  </w:p>
  <w:p w:rsidR="00402A1A" w:rsidP="008029DE">
    <w:pPr>
      <w:pStyle w:val="Footer"/>
      <w:tabs>
        <w:tab w:val="left" w:pos="1222"/>
      </w:tabs>
      <w:spacing w:line="160" w:lineRule="exact"/>
      <w:rPr>
        <w:sz w:val="16"/>
        <w:szCs w:val="16"/>
        <w:rtl/>
      </w:rPr>
    </w:pPr>
    <w:r>
      <w:rPr>
        <w:sz w:val="16"/>
        <w:szCs w:val="16"/>
        <w:rtl/>
      </w:rPr>
      <w:t>שנת פרסום:</w:t>
    </w:r>
    <w:r>
      <w:rPr>
        <w:sz w:val="16"/>
        <w:szCs w:val="16"/>
        <w:rtl/>
      </w:rPr>
      <w:tab/>
      <w:t>התשע"ו-201</w:t>
    </w:r>
    <w:r>
      <w:rPr>
        <w:rFonts w:hint="cs"/>
        <w:sz w:val="16"/>
        <w:szCs w:val="16"/>
        <w:rtl/>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A1A" w:rsidP="00347AD3">
    <w:pPr>
      <w:pStyle w:val="Footer"/>
      <w:tabs>
        <w:tab w:val="left" w:pos="1222"/>
      </w:tabs>
      <w:spacing w:line="160" w:lineRule="exact"/>
      <w:rPr>
        <w:sz w:val="16"/>
        <w:szCs w:val="16"/>
        <w:rtl/>
      </w:rPr>
    </w:pPr>
    <w:r>
      <w:rPr>
        <w:sz w:val="16"/>
        <w:szCs w:val="16"/>
        <w:rtl/>
      </w:rPr>
      <w:t>שם הדוח:</w:t>
    </w:r>
    <w:r>
      <w:rPr>
        <w:sz w:val="16"/>
        <w:szCs w:val="16"/>
        <w:rtl/>
      </w:rPr>
      <w:tab/>
    </w:r>
    <w:r w:rsidRPr="00347AD3">
      <w:rPr>
        <w:sz w:val="16"/>
        <w:szCs w:val="16"/>
        <w:rtl/>
      </w:rPr>
      <w:t>משרד המשפטים</w:t>
    </w:r>
    <w:r>
      <w:rPr>
        <w:rFonts w:hint="cs"/>
        <w:sz w:val="16"/>
        <w:szCs w:val="16"/>
        <w:rtl/>
      </w:rPr>
      <w:t xml:space="preserve"> - </w:t>
    </w:r>
    <w:r w:rsidRPr="00347AD3">
      <w:rPr>
        <w:sz w:val="16"/>
        <w:szCs w:val="16"/>
        <w:rtl/>
      </w:rPr>
      <w:t>הנהלת בתי המשפט</w:t>
    </w:r>
    <w:r>
      <w:rPr>
        <w:rFonts w:hint="cs"/>
        <w:sz w:val="16"/>
        <w:szCs w:val="16"/>
        <w:rtl/>
      </w:rPr>
      <w:t xml:space="preserve"> - </w:t>
    </w:r>
    <w:r w:rsidRPr="00347AD3">
      <w:rPr>
        <w:sz w:val="16"/>
        <w:szCs w:val="16"/>
        <w:rtl/>
      </w:rPr>
      <w:t>היבטים בהפעלת בתי המשפט לעניינים מקומיים</w:t>
    </w:r>
  </w:p>
  <w:p w:rsidR="00402A1A" w:rsidRPr="00B4181C" w:rsidP="00C2718A">
    <w:pPr>
      <w:pStyle w:val="Footer"/>
      <w:tabs>
        <w:tab w:val="left" w:pos="1222"/>
      </w:tabs>
      <w:spacing w:line="160" w:lineRule="exact"/>
      <w:rPr>
        <w:sz w:val="16"/>
        <w:szCs w:val="16"/>
        <w:rtl/>
      </w:rPr>
    </w:pPr>
    <w:r w:rsidRPr="00B4181C">
      <w:rPr>
        <w:sz w:val="16"/>
        <w:szCs w:val="16"/>
        <w:rtl/>
      </w:rPr>
      <w:t>מסגרת הפרסום:</w:t>
    </w:r>
    <w:r w:rsidRPr="00B4181C">
      <w:rPr>
        <w:sz w:val="16"/>
        <w:szCs w:val="16"/>
        <w:rtl/>
      </w:rPr>
      <w:tab/>
    </w:r>
    <w:r>
      <w:rPr>
        <w:rFonts w:hint="cs"/>
        <w:sz w:val="16"/>
        <w:szCs w:val="16"/>
        <w:rtl/>
      </w:rPr>
      <w:t>דוח שנתי 66ג</w:t>
    </w:r>
  </w:p>
  <w:p w:rsidR="00402A1A" w:rsidP="008029DE">
    <w:pPr>
      <w:pStyle w:val="Footer"/>
      <w:tabs>
        <w:tab w:val="left" w:pos="1222"/>
      </w:tabs>
      <w:spacing w:line="160" w:lineRule="exact"/>
      <w:rPr>
        <w:sz w:val="16"/>
        <w:szCs w:val="16"/>
        <w:rtl/>
      </w:rPr>
    </w:pPr>
    <w:r>
      <w:rPr>
        <w:sz w:val="16"/>
        <w:szCs w:val="16"/>
        <w:rtl/>
      </w:rPr>
      <w:t>שנת פרסום:</w:t>
    </w:r>
    <w:r>
      <w:rPr>
        <w:sz w:val="16"/>
        <w:szCs w:val="16"/>
        <w:rtl/>
      </w:rPr>
      <w:tab/>
      <w:t>התשע"ו-201</w:t>
    </w:r>
    <w:r>
      <w:rPr>
        <w:rFonts w:hint="cs"/>
        <w:sz w:val="16"/>
        <w:szCs w:val="16"/>
        <w:rtl/>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A1A" w:rsidP="00347AD3">
    <w:pPr>
      <w:pStyle w:val="Footer"/>
      <w:tabs>
        <w:tab w:val="left" w:pos="1222"/>
      </w:tabs>
      <w:spacing w:line="160" w:lineRule="exact"/>
      <w:rPr>
        <w:sz w:val="16"/>
        <w:szCs w:val="16"/>
        <w:rtl/>
      </w:rPr>
    </w:pPr>
    <w:r>
      <w:rPr>
        <w:sz w:val="16"/>
        <w:szCs w:val="16"/>
        <w:rtl/>
      </w:rPr>
      <w:t>שם הדוח:</w:t>
    </w:r>
    <w:r>
      <w:rPr>
        <w:sz w:val="16"/>
        <w:szCs w:val="16"/>
        <w:rtl/>
      </w:rPr>
      <w:tab/>
    </w:r>
    <w:r w:rsidRPr="00347AD3">
      <w:rPr>
        <w:sz w:val="16"/>
        <w:szCs w:val="16"/>
        <w:rtl/>
      </w:rPr>
      <w:t>משרד המשפטים</w:t>
    </w:r>
    <w:r>
      <w:rPr>
        <w:rFonts w:hint="cs"/>
        <w:sz w:val="16"/>
        <w:szCs w:val="16"/>
        <w:rtl/>
      </w:rPr>
      <w:t xml:space="preserve"> - </w:t>
    </w:r>
    <w:r w:rsidRPr="00347AD3">
      <w:rPr>
        <w:sz w:val="16"/>
        <w:szCs w:val="16"/>
        <w:rtl/>
      </w:rPr>
      <w:t>הנהלת בתי המשפט</w:t>
    </w:r>
    <w:r>
      <w:rPr>
        <w:rFonts w:hint="cs"/>
        <w:sz w:val="16"/>
        <w:szCs w:val="16"/>
        <w:rtl/>
      </w:rPr>
      <w:t xml:space="preserve"> - </w:t>
    </w:r>
    <w:r w:rsidRPr="00347AD3">
      <w:rPr>
        <w:sz w:val="16"/>
        <w:szCs w:val="16"/>
        <w:rtl/>
      </w:rPr>
      <w:t>היבטים בהפעלת בתי המשפט לעניינים מקומיים</w:t>
    </w:r>
  </w:p>
  <w:p w:rsidR="00402A1A" w:rsidRPr="00B4181C" w:rsidP="00C2718A">
    <w:pPr>
      <w:pStyle w:val="Footer"/>
      <w:tabs>
        <w:tab w:val="left" w:pos="1222"/>
      </w:tabs>
      <w:spacing w:line="160" w:lineRule="exact"/>
      <w:rPr>
        <w:sz w:val="16"/>
        <w:szCs w:val="16"/>
        <w:rtl/>
      </w:rPr>
    </w:pPr>
    <w:r w:rsidRPr="00B4181C">
      <w:rPr>
        <w:sz w:val="16"/>
        <w:szCs w:val="16"/>
        <w:rtl/>
      </w:rPr>
      <w:t>מסגרת הפרסום:</w:t>
    </w:r>
    <w:r w:rsidRPr="00B4181C">
      <w:rPr>
        <w:sz w:val="16"/>
        <w:szCs w:val="16"/>
        <w:rtl/>
      </w:rPr>
      <w:tab/>
    </w:r>
    <w:r>
      <w:rPr>
        <w:rFonts w:hint="cs"/>
        <w:sz w:val="16"/>
        <w:szCs w:val="16"/>
        <w:rtl/>
      </w:rPr>
      <w:t>דוח שנתי 66ג</w:t>
    </w:r>
  </w:p>
  <w:p w:rsidR="00402A1A" w:rsidP="009718F9">
    <w:pPr>
      <w:pStyle w:val="Footer"/>
      <w:tabs>
        <w:tab w:val="left" w:pos="1222"/>
      </w:tabs>
      <w:spacing w:line="160" w:lineRule="exact"/>
      <w:rPr>
        <w:sz w:val="16"/>
        <w:szCs w:val="16"/>
        <w:rtl/>
      </w:rPr>
    </w:pPr>
    <w:r>
      <w:rPr>
        <w:sz w:val="16"/>
        <w:szCs w:val="16"/>
        <w:rtl/>
      </w:rPr>
      <w:t>שנת פרסום:</w:t>
    </w:r>
    <w:r>
      <w:rPr>
        <w:sz w:val="16"/>
        <w:szCs w:val="16"/>
        <w:rtl/>
      </w:rPr>
      <w:tab/>
      <w:t>התשע"ו-201</w:t>
    </w:r>
    <w:r>
      <w:rPr>
        <w:rFonts w:hint="cs"/>
        <w:sz w:val="16"/>
        <w:szCs w:val="16"/>
        <w:rtl/>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5E" w:rsidRPr="00254F5E" w:rsidP="00254F5E">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907DA">
      <w:pPr>
        <w:spacing w:after="120"/>
        <w:rPr>
          <w:sz w:val="16"/>
          <w:szCs w:val="16"/>
        </w:rPr>
      </w:pPr>
      <w:r>
        <w:rPr>
          <w:sz w:val="16"/>
          <w:szCs w:val="16"/>
          <w:rtl/>
        </w:rPr>
        <w:t>__________________</w:t>
      </w:r>
    </w:p>
  </w:footnote>
  <w:footnote w:type="continuationSeparator" w:id="1">
    <w:p w:rsidR="000907DA">
      <w:r>
        <w:t>_______________</w:t>
      </w:r>
    </w:p>
  </w:footnote>
  <w:footnote w:id="2">
    <w:p w:rsidR="00402A1A" w:rsidRPr="00691E8E" w:rsidP="00AD7C95">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ראו מבקר המדינה, </w:t>
      </w:r>
      <w:r w:rsidRPr="00691E8E">
        <w:rPr>
          <w:rFonts w:cs="FrankRuehl"/>
          <w:b/>
          <w:bCs/>
          <w:sz w:val="18"/>
          <w:rtl/>
        </w:rPr>
        <w:t>דוח שנתי 44</w:t>
      </w:r>
      <w:r w:rsidRPr="00691E8E">
        <w:rPr>
          <w:rFonts w:cs="FrankRuehl"/>
          <w:sz w:val="18"/>
          <w:rtl/>
        </w:rPr>
        <w:t xml:space="preserve"> (1994) עמ' 541-535.</w:t>
      </w:r>
    </w:p>
  </w:footnote>
  <w:footnote w:id="3">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חוק יסוד השפיטה סעיף 1; חוק בתי המשפט, תשמ"ד-1984. </w:t>
      </w:r>
    </w:p>
  </w:footnote>
  <w:footnote w:id="4">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הרשות השופטת במדינת ישראל - </w:t>
      </w:r>
      <w:r w:rsidRPr="00691E8E">
        <w:rPr>
          <w:rFonts w:cs="FrankRuehl"/>
          <w:b/>
          <w:bCs/>
          <w:sz w:val="18"/>
          <w:rtl/>
        </w:rPr>
        <w:t>דין וחשבון לשנת 2013</w:t>
      </w:r>
      <w:r w:rsidRPr="00691E8E">
        <w:rPr>
          <w:rFonts w:cs="FrankRuehl"/>
          <w:sz w:val="18"/>
          <w:rtl/>
        </w:rPr>
        <w:t xml:space="preserve"> לפי חוק חופש המידע התשנ"ח-1998, עמ</w:t>
      </w:r>
      <w:r w:rsidRPr="00691E8E">
        <w:rPr>
          <w:rFonts w:cs="FrankRuehl"/>
          <w:sz w:val="18"/>
        </w:rPr>
        <w:t>'</w:t>
      </w:r>
      <w:r w:rsidRPr="00691E8E">
        <w:rPr>
          <w:rFonts w:cs="FrankRuehl"/>
          <w:sz w:val="18"/>
          <w:rtl/>
        </w:rPr>
        <w:t xml:space="preserve"> 40. </w:t>
      </w:r>
    </w:p>
  </w:footnote>
  <w:footnote w:id="5">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התוספת השלישית לחוק בתי המשפט כוללת רשימה של 41 חוקים, תקנות, צווים ופקודות.</w:t>
      </w:r>
    </w:p>
  </w:footnote>
  <w:footnote w:id="6">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ברישומים של חטיבת תפעול ומזכירויות בהנהלת בתי המשפט רשומים שלושה בתי משפט באזור יהודה ושומרון. </w:t>
      </w:r>
    </w:p>
  </w:footnote>
  <w:footnote w:id="7">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r>
      <w:r w:rsidRPr="00691E8E">
        <w:rPr>
          <w:rFonts w:cs="FrankRuehl"/>
          <w:b/>
          <w:sz w:val="18"/>
          <w:rtl/>
        </w:rPr>
        <w:t>בית משפט השלום בתל אביב מוסמך לשבת כבית משפט עמ"ק ותחום השיפוט שנקבע לו הוא של רמת גן.</w:t>
      </w:r>
    </w:p>
  </w:footnote>
  <w:footnote w:id="8">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מבקר המדינה, </w:t>
      </w:r>
      <w:r w:rsidRPr="00691E8E">
        <w:rPr>
          <w:rFonts w:cs="FrankRuehl"/>
          <w:b/>
          <w:bCs/>
          <w:sz w:val="18"/>
          <w:rtl/>
        </w:rPr>
        <w:t>דוח שנתי 35</w:t>
      </w:r>
      <w:r w:rsidRPr="00691E8E">
        <w:rPr>
          <w:rFonts w:cs="FrankRuehl"/>
          <w:sz w:val="18"/>
          <w:rtl/>
        </w:rPr>
        <w:t xml:space="preserve"> (1984), </w:t>
      </w:r>
      <w:r w:rsidRPr="00691E8E">
        <w:rPr>
          <w:rFonts w:cs="FrankRuehl"/>
          <w:b/>
          <w:bCs/>
          <w:sz w:val="18"/>
          <w:rtl/>
        </w:rPr>
        <w:t>דוח שנתי 37</w:t>
      </w:r>
      <w:r w:rsidRPr="00691E8E">
        <w:rPr>
          <w:rFonts w:cs="FrankRuehl"/>
          <w:sz w:val="18"/>
          <w:rtl/>
        </w:rPr>
        <w:t xml:space="preserve"> (1986) ו</w:t>
      </w:r>
      <w:r w:rsidRPr="00691E8E">
        <w:rPr>
          <w:rFonts w:cs="FrankRuehl"/>
          <w:b/>
          <w:bCs/>
          <w:sz w:val="18"/>
          <w:rtl/>
        </w:rPr>
        <w:t>דוח שנתי 44</w:t>
      </w:r>
      <w:r w:rsidRPr="00691E8E">
        <w:rPr>
          <w:rFonts w:cs="FrankRuehl"/>
          <w:sz w:val="18"/>
          <w:rtl/>
        </w:rPr>
        <w:t xml:space="preserve"> (1994).</w:t>
      </w:r>
    </w:p>
  </w:footnote>
  <w:footnote w:id="9">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ראו מבקר המדינה, </w:t>
      </w:r>
      <w:r w:rsidRPr="00691E8E">
        <w:rPr>
          <w:rFonts w:cs="FrankRuehl"/>
          <w:b/>
          <w:bCs/>
          <w:sz w:val="18"/>
          <w:rtl/>
        </w:rPr>
        <w:t>דוח שנתי 44</w:t>
      </w:r>
      <w:r w:rsidRPr="00691E8E">
        <w:rPr>
          <w:rFonts w:cs="FrankRuehl"/>
          <w:sz w:val="18"/>
          <w:rtl/>
        </w:rPr>
        <w:t xml:space="preserve"> (1994), חוק בתי המשפט סעיף 58.</w:t>
      </w:r>
    </w:p>
  </w:footnote>
  <w:footnote w:id="10">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בג"ץ 8194/05 </w:t>
      </w:r>
      <w:r w:rsidRPr="00691E8E">
        <w:rPr>
          <w:rFonts w:cs="FrankRuehl"/>
          <w:b/>
          <w:bCs/>
          <w:sz w:val="18"/>
          <w:rtl/>
        </w:rPr>
        <w:t xml:space="preserve">קארשי נ' עיריית ירושלים ואח' </w:t>
      </w:r>
      <w:r w:rsidRPr="00691E8E">
        <w:rPr>
          <w:rFonts w:cs="FrankRuehl"/>
          <w:sz w:val="18"/>
          <w:rtl/>
        </w:rPr>
        <w:t>(פורסם במאגר ממוחשב, 26.4.2010).</w:t>
      </w:r>
    </w:p>
  </w:footnote>
  <w:footnote w:id="11">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תיאור משרה: "מנהל תחום (תעבורה ועניינים מקומיים)" מס' 80009588.</w:t>
      </w:r>
    </w:p>
  </w:footnote>
  <w:footnote w:id="12">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צו אותו מוציא בית המשפט למי שהוזמן להעיד ולא התייצב, או נצטווה להמציא מסמך ולא המציאו. </w:t>
      </w:r>
    </w:p>
  </w:footnote>
  <w:footnote w:id="13">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מסמך סיכום מפגש עם המנכ"לים, עמ' 4.</w:t>
      </w:r>
    </w:p>
  </w:footnote>
  <w:footnote w:id="14">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התובעים העירוניים כפופים לראש הרשות המקומית ותפקידם כולל את ניהול ההליכים המשפטיים בבתי המשפט בשם הרשויות המקומיות. בראש מערך התביעה מכהן לרוב יועץ משפטי מטעם הרשות.</w:t>
      </w:r>
    </w:p>
  </w:footnote>
  <w:footnote w:id="15">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הכוונה ליום עיון אחד בשני מחזורים שהתקיימו בספטמבר 2015.</w:t>
      </w:r>
    </w:p>
  </w:footnote>
  <w:footnote w:id="16">
    <w:p w:rsidR="00402A1A" w:rsidRPr="00691E8E" w:rsidP="00862DE8">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בתי משפט עמ"ק בתל אביב, חיפה, ירושלים, הרצליה, גבעתיים, בני ברק, כרמיאל, חולון ובת ים.</w:t>
      </w:r>
    </w:p>
  </w:footnote>
  <w:footnote w:id="17">
    <w:p w:rsidR="00402A1A" w:rsidRPr="00691E8E" w:rsidP="00AC4B89">
      <w:pPr>
        <w:pStyle w:val="FootnoteText"/>
        <w:keepLines/>
        <w:spacing w:line="19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בשנת 1988 אוחדה הרשות המקומית הנוספת (שכונת נחלת יהודה)ׂ</w:t>
      </w:r>
      <w:r w:rsidRPr="00691E8E">
        <w:rPr>
          <w:rFonts w:cs="FrankRuehl"/>
          <w:sz w:val="18"/>
        </w:rPr>
        <w:t xml:space="preserve"> </w:t>
      </w:r>
      <w:r w:rsidRPr="00691E8E">
        <w:rPr>
          <w:rFonts w:cs="FrankRuehl"/>
          <w:sz w:val="18"/>
          <w:rtl/>
        </w:rPr>
        <w:t xml:space="preserve">ׂעם ראשון לציון. </w:t>
      </w:r>
    </w:p>
  </w:footnote>
  <w:footnote w:id="18">
    <w:p w:rsidR="00402A1A" w:rsidRPr="00691E8E" w:rsidP="00AC4B89">
      <w:pPr>
        <w:pStyle w:val="FootnoteText"/>
        <w:keepLines/>
        <w:spacing w:line="19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לבתי משפט עמ"ק בכפר סבא, בתל אביב ובירושלים אין נתונים מלאים על ימי השיפוט.</w:t>
      </w:r>
    </w:p>
  </w:footnote>
  <w:footnote w:id="19">
    <w:p w:rsidR="00402A1A" w:rsidRPr="00691E8E" w:rsidP="000E20E3">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צו בדבר חוק הנוער (יהודה ושומרון) (מס' 1559), תשס"ה-2005. </w:t>
      </w:r>
    </w:p>
  </w:footnote>
  <w:footnote w:id="20">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אצילת סמכויות היא מצב שבו הרשות המוסמכת מסמיכה גורם אחר - על פי רוב, גורם הכפוף לה -להחליט במקומה, היינו להפעיל את שיקול הדעת הנדרש לצורך הפעלת הסמכות, לכל דבר ועניין. ככלל, אצילת סמכויות אמורה להתבצע במפורש, על ידי הודעה של הרשות המוסמכת על דבר הסמכתו של הגורם הכפוף לה להפעיל את הסמכות, וראוי גם לתת לה פומבי על ידי פרסום מתאים בנסיבות העניין. דפנה ברק-ארז </w:t>
      </w:r>
      <w:r w:rsidRPr="00691E8E">
        <w:rPr>
          <w:rFonts w:cs="FrankRuehl"/>
          <w:b/>
          <w:bCs/>
          <w:sz w:val="18"/>
          <w:rtl/>
        </w:rPr>
        <w:t>משפט מנהלי</w:t>
      </w:r>
      <w:r w:rsidRPr="00691E8E">
        <w:rPr>
          <w:rFonts w:cs="FrankRuehl"/>
          <w:sz w:val="18"/>
          <w:rtl/>
        </w:rPr>
        <w:t xml:space="preserve">, התש"ע – 2010, ההוצאה לאור של לשכת עורכי הדין, עמ' 173, 180, 188. </w:t>
      </w:r>
    </w:p>
  </w:footnote>
  <w:footnote w:id="21">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זאת בשל האופי הפוליטי של תפקידם. </w:t>
      </w:r>
    </w:p>
  </w:footnote>
  <w:footnote w:id="22">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הדוח עוסק ב- 22 בתי משפט עמ"ק ובהם בתי המשפט לעניינים מקומיים ביהודה ושומרון. </w:t>
      </w:r>
    </w:p>
  </w:footnote>
  <w:footnote w:id="23">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מזכיר בית המשפט, ראו להלן הגדרת תפקיד של מזכיר בית המשפט עמ"ק.</w:t>
      </w:r>
    </w:p>
  </w:footnote>
  <w:footnote w:id="24">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מנהל יחידת גבייה.</w:t>
      </w:r>
    </w:p>
  </w:footnote>
  <w:footnote w:id="25">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הסכם מ-19.3.14. </w:t>
      </w:r>
    </w:p>
  </w:footnote>
  <w:footnote w:id="26">
    <w:p w:rsidR="00402A1A" w:rsidRPr="00691E8E" w:rsidP="00402A1A">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בתוספת השלישית לחוק בתי המשפט יש רשימה של 41 חיקוקים. החיקוקים שנבחרו הם:</w:t>
      </w:r>
      <w:r>
        <w:rPr>
          <w:rFonts w:cs="FrankRuehl" w:hint="cs"/>
          <w:sz w:val="18"/>
          <w:rtl/>
        </w:rPr>
        <w:t xml:space="preserve">  </w:t>
      </w:r>
      <w:r w:rsidRPr="00691E8E">
        <w:rPr>
          <w:rFonts w:cs="FrankRuehl"/>
          <w:sz w:val="18"/>
          <w:rtl/>
        </w:rPr>
        <w:t xml:space="preserve"> (1) </w:t>
      </w:r>
      <w:r>
        <w:rPr>
          <w:rFonts w:cs="FrankRuehl" w:hint="cs"/>
          <w:sz w:val="18"/>
          <w:rtl/>
        </w:rPr>
        <w:t xml:space="preserve"> </w:t>
      </w:r>
      <w:r w:rsidRPr="00691E8E">
        <w:rPr>
          <w:rFonts w:cs="FrankRuehl"/>
          <w:sz w:val="18"/>
          <w:rtl/>
        </w:rPr>
        <w:t xml:space="preserve">חוק </w:t>
      </w:r>
      <w:r w:rsidRPr="00F451F1">
        <w:rPr>
          <w:rFonts w:cs="FrankRuehl"/>
          <w:spacing w:val="-2"/>
          <w:sz w:val="18"/>
          <w:rtl/>
        </w:rPr>
        <w:t>שמירת הנקיון, התשמ"ד- 1984;</w:t>
      </w:r>
      <w:r w:rsidRPr="00F451F1">
        <w:rPr>
          <w:rFonts w:cs="FrankRuehl" w:hint="cs"/>
          <w:spacing w:val="-2"/>
          <w:sz w:val="18"/>
          <w:rtl/>
        </w:rPr>
        <w:t xml:space="preserve">  </w:t>
      </w:r>
      <w:r w:rsidRPr="00F451F1">
        <w:rPr>
          <w:rFonts w:cs="FrankRuehl"/>
          <w:spacing w:val="-2"/>
          <w:sz w:val="18"/>
          <w:rtl/>
        </w:rPr>
        <w:t xml:space="preserve"> (2) </w:t>
      </w:r>
      <w:r w:rsidRPr="00F451F1">
        <w:rPr>
          <w:rFonts w:cs="FrankRuehl" w:hint="cs"/>
          <w:spacing w:val="-2"/>
          <w:sz w:val="18"/>
          <w:rtl/>
        </w:rPr>
        <w:t xml:space="preserve"> </w:t>
      </w:r>
      <w:r w:rsidRPr="00F451F1">
        <w:rPr>
          <w:rFonts w:cs="FrankRuehl"/>
          <w:spacing w:val="-2"/>
          <w:sz w:val="18"/>
          <w:rtl/>
        </w:rPr>
        <w:t xml:space="preserve">חוק איסוף ופניוי פסולת למחזור תשנ"ג- 1993; </w:t>
      </w:r>
      <w:r w:rsidRPr="00F451F1">
        <w:rPr>
          <w:rFonts w:cs="FrankRuehl" w:hint="cs"/>
          <w:spacing w:val="-2"/>
          <w:sz w:val="18"/>
          <w:rtl/>
        </w:rPr>
        <w:t xml:space="preserve">  </w:t>
      </w:r>
      <w:r w:rsidRPr="00F451F1">
        <w:rPr>
          <w:rFonts w:cs="FrankRuehl"/>
          <w:spacing w:val="-2"/>
          <w:sz w:val="18"/>
          <w:rtl/>
        </w:rPr>
        <w:t xml:space="preserve">(3) </w:t>
      </w:r>
      <w:r w:rsidRPr="00F451F1">
        <w:rPr>
          <w:rFonts w:cs="FrankRuehl" w:hint="cs"/>
          <w:spacing w:val="-2"/>
          <w:sz w:val="18"/>
          <w:rtl/>
        </w:rPr>
        <w:t xml:space="preserve"> </w:t>
      </w:r>
      <w:r w:rsidRPr="00F451F1">
        <w:rPr>
          <w:rFonts w:cs="FrankRuehl"/>
          <w:spacing w:val="-2"/>
          <w:sz w:val="18"/>
          <w:rtl/>
        </w:rPr>
        <w:t xml:space="preserve">חוק המים, </w:t>
      </w:r>
      <w:r w:rsidRPr="00F451F1">
        <w:rPr>
          <w:rFonts w:cs="FrankRuehl"/>
          <w:sz w:val="18"/>
          <w:rtl/>
        </w:rPr>
        <w:t xml:space="preserve">התשי"ט- 1959; </w:t>
      </w:r>
      <w:r w:rsidRPr="00F451F1">
        <w:rPr>
          <w:rFonts w:cs="FrankRuehl" w:hint="cs"/>
          <w:sz w:val="18"/>
          <w:rtl/>
        </w:rPr>
        <w:t xml:space="preserve">  </w:t>
      </w:r>
      <w:r w:rsidRPr="00F451F1">
        <w:rPr>
          <w:rFonts w:cs="FrankRuehl"/>
          <w:sz w:val="18"/>
          <w:rtl/>
        </w:rPr>
        <w:t>(4)</w:t>
      </w:r>
      <w:r w:rsidRPr="00F451F1">
        <w:rPr>
          <w:rFonts w:cs="FrankRuehl" w:hint="cs"/>
          <w:sz w:val="18"/>
          <w:rtl/>
        </w:rPr>
        <w:t xml:space="preserve"> </w:t>
      </w:r>
      <w:r w:rsidRPr="00F451F1">
        <w:rPr>
          <w:rFonts w:cs="FrankRuehl"/>
          <w:sz w:val="18"/>
          <w:rtl/>
        </w:rPr>
        <w:t xml:space="preserve"> חוק למניעת מפגעים, תשכ"א- 1961;</w:t>
      </w:r>
      <w:r w:rsidRPr="00F451F1">
        <w:rPr>
          <w:rFonts w:cs="FrankRuehl" w:hint="cs"/>
          <w:sz w:val="18"/>
          <w:rtl/>
        </w:rPr>
        <w:t xml:space="preserve">  </w:t>
      </w:r>
      <w:r w:rsidRPr="00F451F1">
        <w:rPr>
          <w:rFonts w:cs="FrankRuehl"/>
          <w:sz w:val="18"/>
          <w:rtl/>
        </w:rPr>
        <w:t xml:space="preserve"> (5) </w:t>
      </w:r>
      <w:r w:rsidRPr="00F451F1">
        <w:rPr>
          <w:rFonts w:cs="FrankRuehl" w:hint="cs"/>
          <w:sz w:val="18"/>
          <w:rtl/>
        </w:rPr>
        <w:t xml:space="preserve"> </w:t>
      </w:r>
      <w:r w:rsidRPr="00F451F1">
        <w:rPr>
          <w:rFonts w:cs="FrankRuehl"/>
          <w:sz w:val="18"/>
          <w:rtl/>
        </w:rPr>
        <w:t>חוק אוויר נקי, התשס"ח-2008;</w:t>
      </w:r>
      <w:r>
        <w:rPr>
          <w:rFonts w:cs="FrankRuehl" w:hint="cs"/>
          <w:sz w:val="18"/>
          <w:rtl/>
        </w:rPr>
        <w:t xml:space="preserve">  </w:t>
      </w:r>
      <w:r w:rsidRPr="00691E8E">
        <w:rPr>
          <w:rFonts w:cs="FrankRuehl"/>
          <w:sz w:val="18"/>
          <w:rtl/>
        </w:rPr>
        <w:t xml:space="preserve"> (6) </w:t>
      </w:r>
      <w:r>
        <w:rPr>
          <w:rFonts w:cs="FrankRuehl" w:hint="cs"/>
          <w:sz w:val="18"/>
          <w:rtl/>
        </w:rPr>
        <w:t xml:space="preserve"> </w:t>
      </w:r>
      <w:r w:rsidRPr="00691E8E">
        <w:rPr>
          <w:rFonts w:cs="FrankRuehl"/>
          <w:sz w:val="18"/>
          <w:rtl/>
        </w:rPr>
        <w:t>פקודת בריאות העם, 1940;</w:t>
      </w:r>
      <w:r>
        <w:rPr>
          <w:rFonts w:cs="FrankRuehl" w:hint="cs"/>
          <w:sz w:val="18"/>
          <w:rtl/>
        </w:rPr>
        <w:t xml:space="preserve">  </w:t>
      </w:r>
      <w:r w:rsidRPr="00691E8E">
        <w:rPr>
          <w:rFonts w:cs="FrankRuehl"/>
          <w:sz w:val="18"/>
          <w:rtl/>
        </w:rPr>
        <w:t xml:space="preserve"> (7)</w:t>
      </w:r>
      <w:r>
        <w:rPr>
          <w:rFonts w:cs="FrankRuehl" w:hint="cs"/>
          <w:sz w:val="18"/>
          <w:rtl/>
        </w:rPr>
        <w:t xml:space="preserve"> </w:t>
      </w:r>
      <w:r w:rsidRPr="00691E8E">
        <w:rPr>
          <w:rFonts w:cs="FrankRuehl"/>
          <w:sz w:val="18"/>
          <w:rtl/>
        </w:rPr>
        <w:t xml:space="preserve"> חוק לימוד חובה, תש"ט-1949 עבירות לפי סעיפים 3 ו-4.</w:t>
      </w:r>
    </w:p>
  </w:footnote>
  <w:footnote w:id="27">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Style w:val="FootnoteReference"/>
          <w:rFonts w:cs="FrankRuehl"/>
          <w:sz w:val="18"/>
          <w:rtl/>
        </w:rPr>
        <w:t xml:space="preserve"> </w:t>
      </w:r>
      <w:r w:rsidRPr="00691E8E">
        <w:rPr>
          <w:rFonts w:cs="FrankRuehl"/>
          <w:sz w:val="18"/>
          <w:rtl/>
        </w:rPr>
        <w:tab/>
        <w:t xml:space="preserve">בתשובות לשאלון של במ"ש עמ"ק בתל אביב נכתב, כי הם משלמים הוצאות לאוצר המדינה, אך לא נכתב כך על קנסות. </w:t>
      </w:r>
    </w:p>
  </w:footnote>
  <w:footnote w:id="28">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עמדה דומה הביע מנהל התחום לשעבר בשנת 2014.</w:t>
      </w:r>
    </w:p>
  </w:footnote>
  <w:footnote w:id="29">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מתוך 21 רשויות מקומיות (לרבות שלושת בתי המשפט שבאזור) שעמן מתנהלים ממשקים כספיים.</w:t>
      </w:r>
    </w:p>
  </w:footnote>
  <w:footnote w:id="30">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דברי הסבר להצעת חוק בתי המשפט (תיקון מס' 81) (משמר בתי המשפט), התשע"ו-2015</w:t>
      </w:r>
    </w:p>
  </w:footnote>
  <w:footnote w:id="31">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ראו להלן נוהל מס' 302/08 הפקדת כספים (מעודכן לאוקטובר 2008) סעיף 3 פסקה ג', נוהל 308/08 אבטחת בתי המשפט (מעודכן לאוקטובר 2008). </w:t>
      </w:r>
    </w:p>
  </w:footnote>
  <w:footnote w:id="32">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למעט מי שהוגדר בסעיף כמוסמך לשאת נשק.</w:t>
      </w:r>
    </w:p>
  </w:footnote>
  <w:footnote w:id="33">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שמו של משרד המשטרה הוסב בשנת 1995 למשרד לביטחון פנים. </w:t>
      </w:r>
    </w:p>
  </w:footnote>
  <w:footnote w:id="34">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הצעת החוק עברה בקריאה ראשונה והועברה לוועדת החוקה, חוק ומשפט.</w:t>
      </w:r>
    </w:p>
  </w:footnote>
  <w:footnote w:id="35">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נוהל 308/08 אבטחת בתי המשפט, אוקטובר 2008. </w:t>
      </w:r>
    </w:p>
  </w:footnote>
  <w:footnote w:id="36">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פקודת מבצע היא כלי ביקורת והכוונה המגדיר רמת אבטחה ושיטת אבטחה. </w:t>
      </w:r>
    </w:p>
  </w:footnote>
  <w:footnote w:id="37">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נוהל 321/08 בניית תיק שטח ופק"מ מתקן, </w:t>
      </w:r>
    </w:p>
  </w:footnote>
  <w:footnote w:id="38">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במ"ש עמ"ק בחיפה מאובטח באופן קבוע על ידי משמר בתי המשפט והרשות המקומית. בבמ"ש עמ"ק חולון בימים שבהם אין דיונים מאבטחת הרשות המקומית את בית המשפט. </w:t>
      </w:r>
    </w:p>
  </w:footnote>
  <w:footnote w:id="39">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ממסמך "תפיסת האבטחה בבתי המשפט - משמר בתי המשפט". </w:t>
      </w:r>
    </w:p>
  </w:footnote>
  <w:footnote w:id="40">
    <w:p w:rsidR="00402A1A" w:rsidRPr="00691E8E" w:rsidP="00691E8E">
      <w:pPr>
        <w:pStyle w:val="FootnoteText"/>
        <w:keepLines/>
        <w:spacing w:line="200" w:lineRule="exact"/>
        <w:ind w:left="397" w:hanging="397"/>
        <w:jc w:val="both"/>
        <w:rPr>
          <w:rFonts w:cs="FrankRuehl"/>
          <w:sz w:val="18"/>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 xml:space="preserve">45 ש"ח לשעת אבטחה בעבור שמונה שעות אבטחה בכל יום. </w:t>
      </w:r>
    </w:p>
  </w:footnote>
  <w:footnote w:id="41">
    <w:p w:rsidR="00402A1A" w:rsidRPr="00691E8E" w:rsidP="00691E8E">
      <w:pPr>
        <w:pStyle w:val="FootnoteText"/>
        <w:keepLines/>
        <w:spacing w:line="200" w:lineRule="exact"/>
        <w:ind w:left="397" w:hanging="397"/>
        <w:jc w:val="both"/>
        <w:rPr>
          <w:rFonts w:cs="FrankRuehl"/>
          <w:sz w:val="18"/>
          <w:rtl/>
        </w:rPr>
      </w:pPr>
      <w:r w:rsidRPr="00691E8E">
        <w:rPr>
          <w:rStyle w:val="FootnoteReference"/>
          <w:rFonts w:ascii="FrankRuehl" w:hAnsi="FrankRuehl" w:cs="FrankRuehl"/>
          <w:vertAlign w:val="baseline"/>
        </w:rPr>
        <w:footnoteRef/>
      </w:r>
      <w:r w:rsidRPr="00691E8E">
        <w:rPr>
          <w:rFonts w:cs="FrankRuehl"/>
          <w:sz w:val="18"/>
          <w:rtl/>
        </w:rPr>
        <w:t xml:space="preserve"> </w:t>
      </w:r>
      <w:r w:rsidRPr="00691E8E">
        <w:rPr>
          <w:rFonts w:cs="FrankRuehl"/>
          <w:sz w:val="18"/>
          <w:rtl/>
        </w:rPr>
        <w:tab/>
        <w:t>התשובה כוללת את תשובות עיריות קריית אתא, קריית ים, נשר והוועדה המקומית לתכנון ובנייה הקריות.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A1A" w:rsidP="005750D3">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0E20E3">
      <w:rPr>
        <w:rFonts w:ascii="FrankRuehl" w:hAnsi="FrankRuehl" w:cs="FrankRuehl"/>
        <w:noProof/>
        <w:szCs w:val="20"/>
        <w:rtl/>
      </w:rPr>
      <w:t>1186</w:t>
    </w:r>
    <w:r>
      <w:rPr>
        <w:rFonts w:ascii="FrankRuehl" w:hAnsi="FrankRuehl" w:cs="FrankRuehl"/>
        <w:szCs w:val="20"/>
      </w:rPr>
      <w:fldChar w:fldCharType="end"/>
    </w:r>
    <w:r>
      <w:rPr>
        <w:rFonts w:ascii="FrankRuehl" w:hAnsi="FrankRuehl" w:cs="FrankRuehl"/>
        <w:szCs w:val="20"/>
        <w:rtl/>
      </w:rPr>
      <w:tab/>
    </w:r>
    <w:r>
      <w:rPr>
        <w:rFonts w:ascii="FrankRuehl" w:hAnsi="FrankRuehl" w:cs="FrankRuehl" w:hint="cs"/>
        <w:szCs w:val="20"/>
        <w:rtl/>
      </w:rPr>
      <w:t>דוח שנתי 66ג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A1A">
    <w:pPr>
      <w:pStyle w:val="Header"/>
      <w:tabs>
        <w:tab w:val="clear" w:pos="4153"/>
        <w:tab w:val="right" w:pos="6804"/>
        <w:tab w:val="clear" w:pos="8306"/>
      </w:tabs>
      <w:rPr>
        <w:rFonts w:ascii="FrankRuehl" w:hAnsi="FrankRuehl" w:cs="FrankRuehl"/>
        <w:szCs w:val="20"/>
        <w:rtl/>
      </w:rPr>
    </w:pPr>
    <w:r w:rsidRPr="00347AD3">
      <w:rPr>
        <w:rFonts w:ascii="FrankRuehl" w:hAnsi="FrankRuehl" w:cs="FrankRuehl"/>
        <w:noProof/>
        <w:szCs w:val="20"/>
        <w:rtl/>
      </w:rPr>
      <w:t>משרד המשפטים</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0E20E3">
      <w:rPr>
        <w:rFonts w:ascii="FrankRuehl" w:hAnsi="FrankRuehl" w:cs="FrankRuehl"/>
        <w:noProof/>
        <w:szCs w:val="20"/>
        <w:rtl/>
      </w:rPr>
      <w:t>1187</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A1A">
    <w:pPr>
      <w:pStyle w:val="Header"/>
      <w:tabs>
        <w:tab w:val="clear" w:pos="4153"/>
        <w:tab w:val="right" w:pos="6804"/>
        <w:tab w:val="clear" w:pos="8306"/>
      </w:tabs>
      <w:rPr>
        <w:rFonts w:ascii="FrankRuehl" w:hAnsi="FrankRuehl" w:cs="FrankRuehl"/>
        <w:szCs w:val="20"/>
        <w:rtl/>
      </w:rPr>
    </w:pP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Pr>
        <w:rFonts w:ascii="FrankRuehl" w:hAnsi="FrankRuehl" w:cs="FrankRuehl"/>
        <w:noProof/>
        <w:szCs w:val="20"/>
        <w:rtl/>
      </w:rPr>
      <w:t>1</w:t>
    </w:r>
    <w:r>
      <w:rPr>
        <w:rFonts w:ascii="FrankRuehl" w:hAnsi="FrankRuehl" w:cs="FrankRuehl"/>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5E" w:rsidRPr="00254F5E" w:rsidP="00254F5E">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D6481E"/>
    <w:multiLevelType w:val="multilevel"/>
    <w:tmpl w:val="79A2B3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0DC74A95"/>
    <w:multiLevelType w:val="multilevel"/>
    <w:tmpl w:val="96B4015A"/>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
    <w:nsid w:val="0DF35CB3"/>
    <w:multiLevelType w:val="multilevel"/>
    <w:tmpl w:val="B90811BC"/>
    <w:lvl w:ilvl="0">
      <w:start w:val="1"/>
      <w:numFmt w:val="decimal"/>
      <w:lvlText w:val="%1."/>
      <w:lvlJc w:val="left"/>
      <w:pPr>
        <w:ind w:left="340" w:hanging="340"/>
      </w:pPr>
    </w:lvl>
    <w:lvl w:ilvl="1">
      <w:start w:val="1"/>
      <w:numFmt w:val="hebrew1"/>
      <w:lvlText w:val="%2."/>
      <w:lvlJc w:val="left"/>
      <w:pPr>
        <w:ind w:left="680" w:hanging="340"/>
      </w:pPr>
      <w:rPr>
        <w:b w:val="0"/>
        <w:bCs w:val="0"/>
      </w:rPr>
    </w:lvl>
    <w:lvl w:ilvl="2">
      <w:start w:val="1"/>
      <w:numFmt w:val="decimal"/>
      <w:lvlText w:val="(%3)"/>
      <w:lvlJc w:val="left"/>
      <w:pPr>
        <w:ind w:left="1077" w:hanging="397"/>
      </w:pPr>
      <w:rPr>
        <w:b w:val="0"/>
        <w:bCs w:val="0"/>
      </w:r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nsid w:val="15410B4A"/>
    <w:multiLevelType w:val="multilevel"/>
    <w:tmpl w:val="1108E15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1ABE32B8"/>
    <w:multiLevelType w:val="hybridMultilevel"/>
    <w:tmpl w:val="A42A5BF6"/>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4D19DD"/>
    <w:multiLevelType w:val="multilevel"/>
    <w:tmpl w:val="F056C1E8"/>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6">
    <w:nsid w:val="31AD73FA"/>
    <w:multiLevelType w:val="multilevel"/>
    <w:tmpl w:val="B54CDC4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32B91AB2"/>
    <w:multiLevelType w:val="multilevel"/>
    <w:tmpl w:val="965E20E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nsid w:val="32FC217B"/>
    <w:multiLevelType w:val="multilevel"/>
    <w:tmpl w:val="79A2B3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42E63AD6"/>
    <w:multiLevelType w:val="multilevel"/>
    <w:tmpl w:val="E2FA0BC4"/>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0">
    <w:nsid w:val="48A10A9E"/>
    <w:multiLevelType w:val="multilevel"/>
    <w:tmpl w:val="A1E207F2"/>
    <w:lvl w:ilvl="0">
      <w:start w:val="1"/>
      <w:numFmt w:val="decimal"/>
      <w:lvlText w:val="%1."/>
      <w:lvlJc w:val="left"/>
      <w:pPr>
        <w:ind w:left="340" w:hanging="340"/>
      </w:pPr>
      <w:rPr>
        <w:b w:val="0"/>
        <w:bCs w:val="0"/>
      </w:rPr>
    </w:lvl>
    <w:lvl w:ilvl="1">
      <w:start w:val="1"/>
      <w:numFmt w:val="hebrew1"/>
      <w:lvlText w:val="%2."/>
      <w:lvlJc w:val="left"/>
      <w:pPr>
        <w:ind w:left="680" w:hanging="340"/>
      </w:pPr>
      <w:rPr>
        <w:b w:val="0"/>
        <w:bCs w:val="0"/>
        <w:i w:val="0"/>
        <w:iCs w:val="0"/>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4E2F2666"/>
    <w:multiLevelType w:val="multilevel"/>
    <w:tmpl w:val="96B4015A"/>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2">
    <w:nsid w:val="50521F21"/>
    <w:multiLevelType w:val="multilevel"/>
    <w:tmpl w:val="1108E15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3">
    <w:nsid w:val="54062C7E"/>
    <w:multiLevelType w:val="multilevel"/>
    <w:tmpl w:val="79A2B3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248"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4">
    <w:nsid w:val="5E437D57"/>
    <w:multiLevelType w:val="multilevel"/>
    <w:tmpl w:val="1108E15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5">
    <w:nsid w:val="6652277D"/>
    <w:multiLevelType w:val="multilevel"/>
    <w:tmpl w:val="47AE368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6">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17">
    <w:nsid w:val="6D2F7BC3"/>
    <w:multiLevelType w:val="multilevel"/>
    <w:tmpl w:val="47AE368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72E87C95"/>
    <w:multiLevelType w:val="multilevel"/>
    <w:tmpl w:val="A59E4C06"/>
    <w:lvl w:ilvl="0">
      <w:start w:val="3"/>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9">
    <w:nsid w:val="738469FF"/>
    <w:multiLevelType w:val="multilevel"/>
    <w:tmpl w:val="96B4015A"/>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num w:numId="1">
    <w:abstractNumId w:val="16"/>
  </w:num>
  <w:num w:numId="2">
    <w:abstractNumId w:val="11"/>
  </w:num>
  <w:num w:numId="3">
    <w:abstractNumId w:val="0"/>
  </w:num>
  <w:num w:numId="4">
    <w:abstractNumId w:val="8"/>
  </w:num>
  <w:num w:numId="5">
    <w:abstractNumId w:val="13"/>
  </w:num>
  <w:num w:numId="6">
    <w:abstractNumId w:val="10"/>
  </w:num>
  <w:num w:numId="7">
    <w:abstractNumId w:val="1"/>
  </w:num>
  <w:num w:numId="8">
    <w:abstractNumId w:val="2"/>
  </w:num>
  <w:num w:numId="9">
    <w:abstractNumId w:val="4"/>
  </w:num>
  <w:num w:numId="10">
    <w:abstractNumId w:val="19"/>
  </w:num>
  <w:num w:numId="11">
    <w:abstractNumId w:val="12"/>
  </w:num>
  <w:num w:numId="12">
    <w:abstractNumId w:val="3"/>
  </w:num>
  <w:num w:numId="13">
    <w:abstractNumId w:val="14"/>
  </w:num>
  <w:num w:numId="14">
    <w:abstractNumId w:val="6"/>
  </w:num>
  <w:num w:numId="15">
    <w:abstractNumId w:val="15"/>
  </w:num>
  <w:num w:numId="16">
    <w:abstractNumId w:val="17"/>
  </w:num>
  <w:num w:numId="17">
    <w:abstractNumId w:val="9"/>
  </w:num>
  <w:num w:numId="18">
    <w:abstractNumId w:val="5"/>
  </w:num>
  <w:num w:numId="19">
    <w:abstractNumId w:val="7"/>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8"/>
    <w:rsid w:val="00010DC5"/>
    <w:rsid w:val="0001521E"/>
    <w:rsid w:val="00022AAD"/>
    <w:rsid w:val="00027F5A"/>
    <w:rsid w:val="0003542F"/>
    <w:rsid w:val="00040DAE"/>
    <w:rsid w:val="00047C24"/>
    <w:rsid w:val="00056D5E"/>
    <w:rsid w:val="00081C30"/>
    <w:rsid w:val="000907DA"/>
    <w:rsid w:val="000953B5"/>
    <w:rsid w:val="000E20E3"/>
    <w:rsid w:val="00115D1F"/>
    <w:rsid w:val="001275A6"/>
    <w:rsid w:val="001B7F40"/>
    <w:rsid w:val="001D497A"/>
    <w:rsid w:val="002272B8"/>
    <w:rsid w:val="00247C05"/>
    <w:rsid w:val="00254F5E"/>
    <w:rsid w:val="002A1DB6"/>
    <w:rsid w:val="002A7FAA"/>
    <w:rsid w:val="003037FB"/>
    <w:rsid w:val="00347AD3"/>
    <w:rsid w:val="00396B9B"/>
    <w:rsid w:val="003F45F1"/>
    <w:rsid w:val="00402A1A"/>
    <w:rsid w:val="00411F28"/>
    <w:rsid w:val="00440588"/>
    <w:rsid w:val="004436F7"/>
    <w:rsid w:val="00474C71"/>
    <w:rsid w:val="004B13D5"/>
    <w:rsid w:val="004C5AC7"/>
    <w:rsid w:val="005073E6"/>
    <w:rsid w:val="0051463B"/>
    <w:rsid w:val="00550646"/>
    <w:rsid w:val="005677F7"/>
    <w:rsid w:val="00571FE0"/>
    <w:rsid w:val="005750D3"/>
    <w:rsid w:val="0058012C"/>
    <w:rsid w:val="005A0EA1"/>
    <w:rsid w:val="006221FB"/>
    <w:rsid w:val="006305C5"/>
    <w:rsid w:val="006721BD"/>
    <w:rsid w:val="00677E15"/>
    <w:rsid w:val="00691E8E"/>
    <w:rsid w:val="00703993"/>
    <w:rsid w:val="007205CE"/>
    <w:rsid w:val="007A506B"/>
    <w:rsid w:val="007E1FB0"/>
    <w:rsid w:val="007E3DB7"/>
    <w:rsid w:val="008029DE"/>
    <w:rsid w:val="00853CD3"/>
    <w:rsid w:val="00854DA5"/>
    <w:rsid w:val="00862DE8"/>
    <w:rsid w:val="009050A0"/>
    <w:rsid w:val="00907008"/>
    <w:rsid w:val="009360A7"/>
    <w:rsid w:val="009718F9"/>
    <w:rsid w:val="009E525C"/>
    <w:rsid w:val="009E5B57"/>
    <w:rsid w:val="00A15B63"/>
    <w:rsid w:val="00A233C1"/>
    <w:rsid w:val="00A37BD3"/>
    <w:rsid w:val="00A45E9A"/>
    <w:rsid w:val="00A745D8"/>
    <w:rsid w:val="00AC37C9"/>
    <w:rsid w:val="00AC4B89"/>
    <w:rsid w:val="00AD673C"/>
    <w:rsid w:val="00AD7C95"/>
    <w:rsid w:val="00B27766"/>
    <w:rsid w:val="00B365BA"/>
    <w:rsid w:val="00B4181C"/>
    <w:rsid w:val="00B52B3A"/>
    <w:rsid w:val="00BA22FF"/>
    <w:rsid w:val="00BC31A8"/>
    <w:rsid w:val="00BF4C3B"/>
    <w:rsid w:val="00C2718A"/>
    <w:rsid w:val="00C66ECB"/>
    <w:rsid w:val="00C8241F"/>
    <w:rsid w:val="00CA5D2E"/>
    <w:rsid w:val="00CB2DEE"/>
    <w:rsid w:val="00CB5658"/>
    <w:rsid w:val="00D107CE"/>
    <w:rsid w:val="00D84AF5"/>
    <w:rsid w:val="00DB1570"/>
    <w:rsid w:val="00DC2796"/>
    <w:rsid w:val="00E207F6"/>
    <w:rsid w:val="00E44678"/>
    <w:rsid w:val="00E65943"/>
    <w:rsid w:val="00EA2B00"/>
    <w:rsid w:val="00EB5220"/>
    <w:rsid w:val="00EC77C1"/>
    <w:rsid w:val="00ED6792"/>
    <w:rsid w:val="00F451F1"/>
    <w:rsid w:val="00FC0BA8"/>
    <w:rsid w:val="00FF7710"/>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link w:val="Heading1Char"/>
    <w:uiPriority w:val="1"/>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link w:val="Heading2Char"/>
    <w:uiPriority w:val="1"/>
    <w:qFormat/>
    <w:locked/>
    <w:pPr>
      <w:keepNext/>
      <w:spacing w:line="360" w:lineRule="exact"/>
      <w:ind w:left="1293"/>
      <w:outlineLvl w:val="1"/>
    </w:pPr>
    <w:rPr>
      <w:sz w:val="32"/>
      <w:szCs w:val="32"/>
    </w:rPr>
  </w:style>
  <w:style w:type="paragraph" w:styleId="Heading3">
    <w:name w:val="heading 3"/>
    <w:basedOn w:val="Normal"/>
    <w:next w:val="Normal"/>
    <w:link w:val="Heading3Char"/>
    <w:uiPriority w:val="1"/>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link w:val="Heading4Char"/>
    <w:uiPriority w:val="1"/>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link w:val="Heading5Char"/>
    <w:uiPriority w:val="1"/>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link w:val="Heading6Char"/>
    <w:uiPriority w:val="1"/>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link w:val="Heading7Char"/>
    <w:uiPriority w:val="1"/>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link w:val="Heading8Char"/>
    <w:uiPriority w:val="1"/>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link w:val="HeaderChar"/>
    <w:uiPriority w:val="99"/>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link w:val="FooterChar"/>
    <w:uiPriority w:val="99"/>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basedOn w:val="Normal"/>
    <w:link w:val="FootnoteTextChar"/>
    <w:uiPriority w:val="99"/>
    <w:rPr>
      <w:sz w:val="20"/>
      <w:szCs w:val="20"/>
    </w:rPr>
  </w:style>
  <w:style w:type="character" w:customStyle="1" w:styleId="10">
    <w:name w:val="טקסט הערת שוליים תו1"/>
    <w:semiHidden/>
    <w:locked/>
    <w:rPr>
      <w:rFonts w:cs="David"/>
      <w:sz w:val="20"/>
      <w:szCs w:val="20"/>
      <w:lang w:bidi="he-IL"/>
    </w:rPr>
  </w:style>
  <w:style w:type="character" w:styleId="FootnoteReference">
    <w:name w:val="footnote reference"/>
    <w:uiPriority w:val="99"/>
    <w:semiHidden/>
    <w:rPr>
      <w:rFonts w:cs="Times New Roman"/>
      <w:vertAlign w:val="superscript"/>
    </w:rPr>
  </w:style>
  <w:style w:type="paragraph" w:styleId="EndnoteText">
    <w:name w:val="endnote text"/>
    <w:basedOn w:val="Normal"/>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semiHidden/>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sz w:val="20"/>
      <w:szCs w:val="20"/>
    </w:rPr>
  </w:style>
  <w:style w:type="character" w:customStyle="1" w:styleId="a13">
    <w:name w:val="טקסט הערה תו"/>
    <w:semiHidden/>
    <w:locked/>
    <w:rPr>
      <w:rFonts w:cs="David"/>
      <w:sz w:val="20"/>
      <w:szCs w:val="20"/>
      <w:lang w:bidi="he-IL"/>
    </w:rPr>
  </w:style>
  <w:style w:type="paragraph" w:styleId="CommentSubject">
    <w:name w:val="annotation subject"/>
    <w:basedOn w:val="CommentText"/>
    <w:next w:val="CommentText"/>
    <w:link w:val="CommentSubjectChar"/>
    <w:uiPriority w:val="99"/>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uiPriority w:val="34"/>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uiPriority w:val="99"/>
    <w:pPr>
      <w:spacing w:after="200" w:line="276" w:lineRule="auto"/>
      <w:ind w:left="-567"/>
    </w:pPr>
    <w:rPr>
      <w:rFonts w:ascii="Rockwell" w:eastAsia="Rockwell" w:hAnsi="Rockwell"/>
      <w:sz w:val="22"/>
      <w:szCs w:val="20"/>
    </w:rPr>
  </w:style>
  <w:style w:type="character" w:customStyle="1" w:styleId="a17">
    <w:name w:val="נבנצאל תו"/>
    <w:uiPriority w:val="99"/>
    <w:locked/>
    <w:rPr>
      <w:rFonts w:ascii="Rockwell" w:eastAsia="Rockwell" w:hAnsi="Rockwell" w:cs="David"/>
      <w:sz w:val="22"/>
    </w:rPr>
  </w:style>
  <w:style w:type="paragraph" w:styleId="Date">
    <w:name w:val="Date"/>
    <w:basedOn w:val="Normal"/>
    <w:next w:val="Normal"/>
    <w:link w:val="DateChar"/>
    <w:uiPriority w:val="99"/>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uiPriority w:val="99"/>
    <w:semiHidden/>
    <w:rPr>
      <w:rFonts w:ascii="Rockwell" w:eastAsia="Rockwell" w:hAnsi="Rockwell" w:cs="David"/>
      <w:sz w:val="22"/>
      <w:szCs w:val="22"/>
    </w:rPr>
  </w:style>
  <w:style w:type="paragraph" w:customStyle="1" w:styleId="tab-name">
    <w:name w:val="tab-name"/>
    <w:basedOn w:val="KOT5"/>
    <w:qFormat/>
    <w:pPr>
      <w:jc w:val="center"/>
      <w:outlineLvl w:val="9"/>
    </w:pPr>
  </w:style>
  <w:style w:type="character" w:customStyle="1" w:styleId="Heading1Char">
    <w:name w:val="Heading 1 Char"/>
    <w:link w:val="Heading1"/>
    <w:uiPriority w:val="1"/>
    <w:rsid w:val="003037FB"/>
    <w:rPr>
      <w:rFonts w:cs="David"/>
      <w:b/>
      <w:bCs/>
      <w:sz w:val="56"/>
      <w:szCs w:val="56"/>
      <w:lang w:eastAsia="he-IL"/>
    </w:rPr>
  </w:style>
  <w:style w:type="character" w:customStyle="1" w:styleId="Heading2Char">
    <w:name w:val="Heading 2 Char"/>
    <w:link w:val="Heading2"/>
    <w:uiPriority w:val="1"/>
    <w:rsid w:val="003037FB"/>
    <w:rPr>
      <w:rFonts w:cs="David"/>
      <w:sz w:val="32"/>
      <w:szCs w:val="32"/>
    </w:rPr>
  </w:style>
  <w:style w:type="character" w:customStyle="1" w:styleId="Heading3Char">
    <w:name w:val="Heading 3 Char"/>
    <w:link w:val="Heading3"/>
    <w:uiPriority w:val="1"/>
    <w:rsid w:val="003037FB"/>
    <w:rPr>
      <w:rFonts w:cs="David"/>
      <w:b/>
      <w:bCs/>
      <w:sz w:val="38"/>
      <w:szCs w:val="36"/>
      <w:lang w:eastAsia="he-IL"/>
    </w:rPr>
  </w:style>
  <w:style w:type="character" w:customStyle="1" w:styleId="Heading4Char">
    <w:name w:val="Heading 4 Char"/>
    <w:link w:val="Heading4"/>
    <w:uiPriority w:val="1"/>
    <w:rsid w:val="003037FB"/>
    <w:rPr>
      <w:rFonts w:cs="David"/>
      <w:b/>
      <w:bCs/>
      <w:sz w:val="22"/>
      <w:szCs w:val="26"/>
      <w:lang w:eastAsia="he-IL"/>
    </w:rPr>
  </w:style>
  <w:style w:type="character" w:customStyle="1" w:styleId="Heading5Char">
    <w:name w:val="Heading 5 Char"/>
    <w:link w:val="Heading5"/>
    <w:uiPriority w:val="1"/>
    <w:rsid w:val="003037FB"/>
    <w:rPr>
      <w:rFonts w:cs="David"/>
      <w:b/>
      <w:bCs/>
      <w:sz w:val="32"/>
      <w:szCs w:val="32"/>
      <w:lang w:eastAsia="he-IL"/>
    </w:rPr>
  </w:style>
  <w:style w:type="character" w:customStyle="1" w:styleId="Heading6Char">
    <w:name w:val="Heading 6 Char"/>
    <w:link w:val="Heading6"/>
    <w:uiPriority w:val="1"/>
    <w:rsid w:val="003037FB"/>
    <w:rPr>
      <w:rFonts w:cs="FrankRuehl"/>
      <w:b/>
      <w:bCs/>
      <w:sz w:val="22"/>
      <w:szCs w:val="22"/>
    </w:rPr>
  </w:style>
  <w:style w:type="character" w:customStyle="1" w:styleId="Heading7Char">
    <w:name w:val="Heading 7 Char"/>
    <w:link w:val="Heading7"/>
    <w:uiPriority w:val="1"/>
    <w:rsid w:val="003037FB"/>
    <w:rPr>
      <w:rFonts w:cs="David"/>
      <w:sz w:val="36"/>
      <w:szCs w:val="36"/>
      <w:lang w:eastAsia="he-IL"/>
    </w:rPr>
  </w:style>
  <w:style w:type="character" w:customStyle="1" w:styleId="Heading8Char">
    <w:name w:val="Heading 8 Char"/>
    <w:link w:val="Heading8"/>
    <w:uiPriority w:val="1"/>
    <w:rsid w:val="003037FB"/>
    <w:rPr>
      <w:rFonts w:cs="David"/>
      <w:b/>
      <w:bCs/>
      <w:sz w:val="36"/>
      <w:szCs w:val="36"/>
      <w:lang w:eastAsia="he-IL"/>
    </w:rPr>
  </w:style>
  <w:style w:type="character" w:customStyle="1" w:styleId="HeaderChar">
    <w:name w:val="Header Char"/>
    <w:link w:val="Header"/>
    <w:uiPriority w:val="99"/>
    <w:rsid w:val="003037FB"/>
    <w:rPr>
      <w:rFonts w:cs="David"/>
      <w:sz w:val="24"/>
      <w:szCs w:val="24"/>
    </w:rPr>
  </w:style>
  <w:style w:type="character" w:customStyle="1" w:styleId="FooterChar">
    <w:name w:val="Footer Char"/>
    <w:link w:val="Footer"/>
    <w:uiPriority w:val="99"/>
    <w:rsid w:val="003037FB"/>
    <w:rPr>
      <w:rFonts w:cs="David"/>
      <w:sz w:val="24"/>
      <w:szCs w:val="24"/>
    </w:rPr>
  </w:style>
  <w:style w:type="character" w:customStyle="1" w:styleId="DateChar">
    <w:name w:val="Date Char"/>
    <w:link w:val="Date"/>
    <w:uiPriority w:val="99"/>
    <w:rsid w:val="003037FB"/>
    <w:rPr>
      <w:rFonts w:ascii="Rockwell" w:eastAsia="Rockwell" w:hAnsi="Rockwell" w:cs="David"/>
      <w:sz w:val="22"/>
      <w:szCs w:val="22"/>
    </w:rPr>
  </w:style>
  <w:style w:type="character" w:customStyle="1" w:styleId="FootnoteTextChar">
    <w:name w:val="Footnote Text Char"/>
    <w:link w:val="FootnoteText"/>
    <w:uiPriority w:val="99"/>
    <w:rsid w:val="003037FB"/>
    <w:rPr>
      <w:rFonts w:cs="David"/>
    </w:rPr>
  </w:style>
  <w:style w:type="character" w:customStyle="1" w:styleId="BalloonTextChar">
    <w:name w:val="Balloon Text Char"/>
    <w:link w:val="BalloonText"/>
    <w:uiPriority w:val="99"/>
    <w:semiHidden/>
    <w:rsid w:val="003037FB"/>
    <w:rPr>
      <w:rFonts w:ascii="Tahoma" w:hAnsi="Tahoma" w:cs="Tahoma"/>
      <w:sz w:val="16"/>
      <w:szCs w:val="16"/>
    </w:rPr>
  </w:style>
  <w:style w:type="table" w:styleId="TableGrid">
    <w:name w:val="Table Grid"/>
    <w:basedOn w:val="TableNormal"/>
    <w:uiPriority w:val="59"/>
    <w:rsid w:val="003037FB"/>
    <w:pPr>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3037FB"/>
    <w:rPr>
      <w:rFonts w:cs="David"/>
    </w:rPr>
  </w:style>
  <w:style w:type="character" w:customStyle="1" w:styleId="CommentSubjectChar">
    <w:name w:val="Comment Subject Char"/>
    <w:link w:val="CommentSubject"/>
    <w:uiPriority w:val="99"/>
    <w:semiHidden/>
    <w:rsid w:val="003037FB"/>
    <w:rPr>
      <w:rFonts w:cs="David"/>
      <w:b/>
      <w:bCs/>
    </w:rPr>
  </w:style>
  <w:style w:type="table" w:styleId="MediumGrid3Accent5">
    <w:name w:val="Medium Grid 3 Accent 5"/>
    <w:basedOn w:val="TableNormal"/>
    <w:uiPriority w:val="69"/>
    <w:rsid w:val="003037FB"/>
    <w:pPr>
      <w:jc w:val="both"/>
    </w:pPr>
    <w:rPr>
      <w:rFonts w:eastAsia="Calibri"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Shading1Accent5">
    <w:name w:val="Medium Shading 1 Accent 5"/>
    <w:basedOn w:val="TableNormal"/>
    <w:uiPriority w:val="63"/>
    <w:rsid w:val="003037FB"/>
    <w:pPr>
      <w:jc w:val="both"/>
    </w:pPr>
    <w:rPr>
      <w:rFonts w:eastAsia="Calibri"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footnote">
    <w:name w:val="footnote"/>
    <w:basedOn w:val="Normal"/>
    <w:rsid w:val="003037FB"/>
    <w:pPr>
      <w:widowControl w:val="0"/>
      <w:suppressAutoHyphens/>
      <w:autoSpaceDE w:val="0"/>
      <w:autoSpaceDN w:val="0"/>
      <w:spacing w:line="240" w:lineRule="auto"/>
      <w:ind w:left="2835"/>
      <w:jc w:val="both"/>
    </w:pPr>
    <w:rPr>
      <w:rFonts w:cs="FrankRuehl"/>
      <w:noProof/>
      <w:sz w:val="22"/>
      <w:szCs w:val="22"/>
      <w:lang w:eastAsia="he-IL"/>
    </w:rPr>
  </w:style>
  <w:style w:type="paragraph" w:customStyle="1" w:styleId="a19">
    <w:name w:val="מודגש+קו+ממורכז"/>
    <w:basedOn w:val="Normal"/>
    <w:rsid w:val="003037FB"/>
    <w:pPr>
      <w:overflowPunct w:val="0"/>
      <w:autoSpaceDE w:val="0"/>
      <w:autoSpaceDN w:val="0"/>
      <w:adjustRightInd w:val="0"/>
      <w:spacing w:after="240" w:line="240" w:lineRule="auto"/>
      <w:jc w:val="center"/>
      <w:textAlignment w:val="baseline"/>
    </w:pPr>
    <w:rPr>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styles" Target="styles.xml"/><Relationship Id="rId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customXml" Target="../customXml/item4.xml"/><Relationship Id="rId12" Type="http://schemas.openxmlformats.org/officeDocument/2006/relationships/header" Target="header3.xml"/><Relationship Id="rId17" Type="http://schemas.openxmlformats.org/officeDocument/2006/relationships/numbering" Target="numbering.xml"/><Relationship Id="rId7" Type="http://schemas.openxmlformats.org/officeDocument/2006/relationships/image" Target="media/image2.jpeg"/><Relationship Id="rId16" Type="http://schemas.openxmlformats.org/officeDocument/2006/relationships/theme" Target="theme/theme1.xml"/><Relationship Id="rId2" Type="http://schemas.openxmlformats.org/officeDocument/2006/relationships/settings" Target="settings.xml"/><Relationship Id="rId20" Type="http://schemas.openxmlformats.org/officeDocument/2006/relationships/customXml" Target="../customXml/item3.xml"/><Relationship Id="rId1" Type="http://schemas.openxmlformats.org/officeDocument/2006/relationships/footnotes" Target="footnotes.xml"/><Relationship Id="rId11" Type="http://schemas.openxmlformats.org/officeDocument/2006/relationships/footer" Target="footer2.xml"/><Relationship Id="rId6" Type="http://schemas.openxmlformats.org/officeDocument/2006/relationships/image" Target="media/image1.jpeg"/><Relationship Id="rId15" Type="http://schemas.openxmlformats.org/officeDocument/2006/relationships/footer" Target="footer4.xml"/><Relationship Id="rId5"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customXml" Target="../customXml/item2.xml"/><Relationship Id="rId14" Type="http://schemas.openxmlformats.org/officeDocument/2006/relationships/header" Target="header4.xml"/><Relationship Id="rId4" Type="http://schemas.openxmlformats.org/officeDocument/2006/relationships/fontTable" Target="fontTable.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B9A21086-3F16-45DF-AD53-AD5E908B2FD0}">
  <ds:schemaRefs>
    <ds:schemaRef ds:uri="http://schemas.openxmlformats.org/officeDocument/2006/bibliography"/>
  </ds:schemaRefs>
</ds:datastoreItem>
</file>

<file path=customXml/itemProps2.xml><?xml version="1.0" encoding="utf-8"?>
<ds:datastoreItem xmlns:ds="http://schemas.openxmlformats.org/officeDocument/2006/customXml" ds:itemID="{E63AADC1-D5EB-448F-ADC8-6E968642A555}"/>
</file>

<file path=customXml/itemProps3.xml><?xml version="1.0" encoding="utf-8"?>
<ds:datastoreItem xmlns:ds="http://schemas.openxmlformats.org/officeDocument/2006/customXml" ds:itemID="{C4367CA3-EC3F-4279-AA9A-C10060B63C37}"/>
</file>

<file path=customXml/itemProps4.xml><?xml version="1.0" encoding="utf-8"?>
<ds:datastoreItem xmlns:ds="http://schemas.openxmlformats.org/officeDocument/2006/customXml" ds:itemID="{53190F94-CC5B-43BD-8857-5BC837A3D103}"/>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