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1275A6" w:rsidP="00B73C77">
      <w:pPr>
        <w:pStyle w:val="NAME"/>
        <w:rPr>
          <w:rtl/>
        </w:rPr>
      </w:pPr>
      <w:bookmarkStart w:id="0" w:name="_Toc349122061"/>
      <w:bookmarkStart w:id="1" w:name="_Toc349136480"/>
      <w:bookmarkStart w:id="2" w:name="_Toc352831083"/>
      <w:bookmarkStart w:id="3" w:name="_Toc354324568"/>
      <w:bookmarkStart w:id="4" w:name="_Toc354661923"/>
      <w:r w:rsidRPr="007C589C">
        <w:rPr>
          <w:rtl/>
        </w:rPr>
        <w:t>רותם תעשיות בע"מ</w:t>
      </w:r>
      <w:r>
        <w:rPr>
          <w:rFonts w:hint="cs"/>
          <w:rtl/>
        </w:rPr>
        <w:t xml:space="preserve"> </w:t>
      </w:r>
    </w:p>
    <w:p w:rsidR="001275A6" w:rsidP="00B73C77">
      <w:pPr>
        <w:pStyle w:val="Footer"/>
        <w:tabs>
          <w:tab w:val="clear" w:pos="4153"/>
          <w:tab w:val="clear" w:pos="8306"/>
        </w:tabs>
        <w:spacing w:after="120" w:line="230" w:lineRule="exact"/>
        <w:jc w:val="both"/>
        <w:rPr>
          <w:rFonts w:cs="FrankRuehl"/>
          <w:szCs w:val="22"/>
          <w:rtl/>
        </w:rPr>
      </w:pPr>
    </w:p>
    <w:p w:rsidR="001275A6" w:rsidP="00B73C77">
      <w:pPr>
        <w:spacing w:after="120" w:line="230" w:lineRule="exact"/>
        <w:jc w:val="both"/>
        <w:rPr>
          <w:rFonts w:cs="FrankRuehl"/>
          <w:szCs w:val="22"/>
          <w:rtl/>
        </w:rPr>
      </w:pPr>
    </w:p>
    <w:p w:rsidR="001275A6" w:rsidP="00B73C77">
      <w:pPr>
        <w:pStyle w:val="KOT4"/>
        <w:jc w:val="center"/>
        <w:rPr>
          <w:sz w:val="30"/>
          <w:szCs w:val="30"/>
          <w:rtl/>
        </w:rPr>
      </w:pPr>
      <w:r>
        <w:rPr>
          <w:sz w:val="30"/>
          <w:szCs w:val="30"/>
          <w:rtl/>
        </w:rPr>
        <w:t>תקציר</w:t>
      </w: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B73C77">
            <w:pPr>
              <w:pStyle w:val="KOT4"/>
              <w:spacing w:before="120"/>
              <w:jc w:val="center"/>
              <w:rPr>
                <w:rtl/>
              </w:rPr>
            </w:pPr>
            <w:r>
              <w:rPr>
                <w:rFonts w:hint="cs"/>
                <w:rtl/>
              </w:rPr>
              <w:t>רקע כללי</w:t>
            </w:r>
          </w:p>
        </w:tc>
      </w:tr>
      <w:tr w:rsidTr="00E44678">
        <w:tblPrEx>
          <w:tblW w:w="6691" w:type="dxa"/>
          <w:jc w:val="center"/>
          <w:tblLook w:val="04A0"/>
        </w:tblPrEx>
        <w:trPr>
          <w:jc w:val="center"/>
        </w:trPr>
        <w:tc>
          <w:tcPr>
            <w:tcW w:w="7018" w:type="dxa"/>
          </w:tcPr>
          <w:p w:rsidR="001275A6" w:rsidP="00B73C77">
            <w:pPr>
              <w:pStyle w:val="PATIAH"/>
              <w:spacing w:before="60"/>
              <w:rPr>
                <w:sz w:val="22"/>
                <w:szCs w:val="22"/>
                <w:rtl/>
              </w:rPr>
            </w:pPr>
            <w:r w:rsidRPr="007C589C">
              <w:rPr>
                <w:sz w:val="22"/>
                <w:szCs w:val="22"/>
                <w:rtl/>
              </w:rPr>
              <w:t>רותם תעשיות בע"מ (להלן - רותם או החברה) היא חברה ממשלתית בבעלות מלאה, שנתאגדה ונרשמה בשנת 1969. רותם היא אחת החברות הממשלתיות הקיימות ליד מרכזי הוועדה לאנרגיה אטומית (להלן - וא"א), המהוות את הזרוע השיווקית-העסקית שלהם. מדיניות החברה, כפי שקבע הדירקטוריון שלה, כוללת, בין השאר, "פיתוח ושיווק טכנולוגיות חדשניות וידע, בעלי זיקה לפעילויות הקריה למחקר גרעיני [להלן - קמ"ג]".</w:t>
            </w:r>
          </w:p>
        </w:tc>
      </w:tr>
    </w:tbl>
    <w:p w:rsidR="001275A6" w:rsidP="00B73C77">
      <w:pPr>
        <w:pStyle w:val="takzir"/>
        <w:jc w:val="cente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B73C77">
            <w:pPr>
              <w:pStyle w:val="KOT4"/>
              <w:spacing w:before="120"/>
              <w:jc w:val="center"/>
              <w:rPr>
                <w:rtl/>
              </w:rPr>
            </w:pPr>
            <w:r>
              <w:rPr>
                <w:rtl/>
              </w:rPr>
              <w:t>פעולות הביקורת</w:t>
            </w:r>
          </w:p>
        </w:tc>
      </w:tr>
      <w:tr w:rsidTr="00E44678">
        <w:tblPrEx>
          <w:tblW w:w="6691" w:type="dxa"/>
          <w:jc w:val="center"/>
          <w:tblLook w:val="04A0"/>
        </w:tblPrEx>
        <w:trPr>
          <w:jc w:val="center"/>
        </w:trPr>
        <w:tc>
          <w:tcPr>
            <w:tcW w:w="7018" w:type="dxa"/>
          </w:tcPr>
          <w:p w:rsidR="001275A6" w:rsidP="00B73C77">
            <w:pPr>
              <w:pStyle w:val="takzir"/>
              <w:spacing w:before="60"/>
              <w:rPr>
                <w:b w:val="0"/>
                <w:bCs w:val="0"/>
                <w:noProof w:val="0"/>
                <w:rtl/>
              </w:rPr>
            </w:pPr>
            <w:r w:rsidRPr="007C589C">
              <w:rPr>
                <w:rFonts w:hint="cs"/>
                <w:b w:val="0"/>
                <w:bCs w:val="0"/>
                <w:noProof w:val="0"/>
                <w:rtl/>
              </w:rPr>
              <w:t xml:space="preserve">משרד מבקר המדינה ערך ביקורת ברותם ממאי 2011 ועד דצמבר 2011; השלמות נערכו לסירוגין עד יוני 2013. בביקורת נבדקו פעולותיה של רותם וכן יחסי הגומלין בינה לבין קמ"ג. הביקורת נערכה ברותם. בדיקות השלמה נעשו בוא"א, במשרד הביטחון (להלן </w:t>
            </w:r>
            <w:r>
              <w:rPr>
                <w:b w:val="0"/>
                <w:bCs w:val="0"/>
                <w:noProof w:val="0"/>
                <w:rtl/>
              </w:rPr>
              <w:t>-</w:t>
            </w:r>
            <w:r w:rsidRPr="007C589C">
              <w:rPr>
                <w:rFonts w:hint="cs"/>
                <w:b w:val="0"/>
                <w:bCs w:val="0"/>
                <w:noProof w:val="0"/>
                <w:rtl/>
              </w:rPr>
              <w:t xml:space="preserve"> משהב"ט או המשרד), ברשות החברות הממשלתיות ובמשרד החקלאות ופיתוח הכפר (להלן - משרד החקלאות).</w:t>
            </w:r>
          </w:p>
        </w:tc>
      </w:tr>
    </w:tbl>
    <w:p w:rsidR="001275A6" w:rsidP="00B73C77">
      <w:pPr>
        <w:pStyle w:val="takzir"/>
        <w:rPr>
          <w:noProof w:val="0"/>
          <w:sz w:val="28"/>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Ex>
        <w:trPr>
          <w:cantSplit/>
          <w:jc w:val="center"/>
        </w:trPr>
        <w:tc>
          <w:tcPr>
            <w:tcW w:w="7018" w:type="dxa"/>
            <w:shd w:val="pct25" w:color="00FF00" w:fill="auto"/>
          </w:tcPr>
          <w:p w:rsidR="001275A6" w:rsidP="00B73C77">
            <w:pPr>
              <w:pStyle w:val="KOT4"/>
              <w:spacing w:before="120"/>
              <w:jc w:val="center"/>
              <w:rPr>
                <w:rtl/>
              </w:rPr>
            </w:pPr>
            <w:r>
              <w:rPr>
                <w:rFonts w:hint="cs"/>
                <w:rtl/>
              </w:rPr>
              <w:t>הליקויים העיקריים</w:t>
            </w:r>
          </w:p>
        </w:tc>
      </w:tr>
    </w:tbl>
    <w:p w:rsidR="001275A6" w:rsidP="00B73C77">
      <w:pPr>
        <w:keepNext/>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1275A6" w:rsidP="00B73C77">
            <w:pPr>
              <w:pStyle w:val="KOT5"/>
              <w:spacing w:before="120"/>
              <w:jc w:val="center"/>
              <w:rPr>
                <w:sz w:val="24"/>
                <w:szCs w:val="24"/>
                <w:rtl/>
              </w:rPr>
            </w:pPr>
            <w:r w:rsidRPr="007C589C">
              <w:rPr>
                <w:sz w:val="24"/>
                <w:szCs w:val="24"/>
                <w:rtl/>
              </w:rPr>
              <w:t>מפעל הכימיה</w:t>
            </w:r>
          </w:p>
        </w:tc>
      </w:tr>
      <w:tr w:rsidTr="00E44678">
        <w:tblPrEx>
          <w:tblW w:w="6691" w:type="dxa"/>
          <w:jc w:val="center"/>
          <w:tblLook w:val="04A0"/>
        </w:tblPrEx>
        <w:trPr>
          <w:cantSplit/>
          <w:jc w:val="center"/>
        </w:trPr>
        <w:tc>
          <w:tcPr>
            <w:tcW w:w="6691" w:type="dxa"/>
          </w:tcPr>
          <w:p w:rsidR="007C589C" w:rsidRPr="007C589C" w:rsidP="00B73C77">
            <w:pPr>
              <w:pStyle w:val="takzir"/>
              <w:spacing w:before="60"/>
              <w:ind w:left="340" w:hanging="340"/>
              <w:rPr>
                <w:b w:val="0"/>
                <w:bCs w:val="0"/>
                <w:noProof w:val="0"/>
                <w:rtl/>
              </w:rPr>
            </w:pPr>
            <w:r w:rsidRPr="007C589C">
              <w:rPr>
                <w:rFonts w:hint="cs"/>
                <w:b w:val="0"/>
                <w:bCs w:val="0"/>
                <w:noProof w:val="0"/>
                <w:rtl/>
              </w:rPr>
              <w:t xml:space="preserve">א. </w:t>
            </w:r>
            <w:r>
              <w:rPr>
                <w:b w:val="0"/>
                <w:bCs w:val="0"/>
                <w:noProof w:val="0"/>
              </w:rPr>
              <w:tab/>
            </w:r>
            <w:r w:rsidRPr="007C589C">
              <w:rPr>
                <w:rFonts w:hint="cs"/>
                <w:b w:val="0"/>
                <w:bCs w:val="0"/>
                <w:noProof w:val="0"/>
                <w:rtl/>
              </w:rPr>
              <w:t xml:space="preserve">באפריל 2008 רכשה רותם מפעל כימיה בסכום של כ-5.4 מיליון ש"ח. עסקת הרכישה של המפעל אושרה בדירקטוריון בדיעבד; והרכישה נעשתה בלי שהוקצה לכך תקציב מספיק. </w:t>
            </w:r>
          </w:p>
          <w:p w:rsidR="001275A6" w:rsidP="00B73C77">
            <w:pPr>
              <w:pStyle w:val="takzir"/>
              <w:ind w:left="340" w:hanging="340"/>
              <w:rPr>
                <w:b w:val="0"/>
                <w:bCs w:val="0"/>
                <w:noProof w:val="0"/>
                <w:rtl/>
              </w:rPr>
            </w:pPr>
            <w:r w:rsidRPr="007C589C">
              <w:rPr>
                <w:rFonts w:hint="cs"/>
                <w:b w:val="0"/>
                <w:bCs w:val="0"/>
                <w:noProof w:val="0"/>
                <w:rtl/>
              </w:rPr>
              <w:t xml:space="preserve">ב. </w:t>
            </w:r>
            <w:r>
              <w:rPr>
                <w:b w:val="0"/>
                <w:bCs w:val="0"/>
                <w:noProof w:val="0"/>
              </w:rPr>
              <w:tab/>
            </w:r>
            <w:r w:rsidRPr="007C589C">
              <w:rPr>
                <w:rFonts w:hint="cs"/>
                <w:b w:val="0"/>
                <w:bCs w:val="0"/>
                <w:noProof w:val="0"/>
                <w:rtl/>
              </w:rPr>
              <w:t>על אף שרותם הייתה מודעת לכך שהפוטנציאל הטמון במפעל הכימיה עלה על צורכי החברה בעת רכישתו, וכפועל יוצא מכך, שעלויות אחזקתו היו צפויות להיות גבוהות, המשמעויות הנובעות מכך לא הובאו לידיעת הדירקטוריון טרם ההחלטה על רכישת המפעל.</w:t>
            </w:r>
          </w:p>
        </w:tc>
      </w:tr>
      <w:tr w:rsidTr="00B520B5">
        <w:tblPrEx>
          <w:tblW w:w="6691" w:type="dxa"/>
          <w:jc w:val="center"/>
          <w:tblLook w:val="04A0"/>
        </w:tblPrEx>
        <w:trPr>
          <w:cantSplit/>
          <w:jc w:val="center"/>
        </w:trPr>
        <w:tc>
          <w:tcPr>
            <w:tcW w:w="6691" w:type="dxa"/>
            <w:shd w:val="pct10" w:color="auto" w:fill="auto"/>
          </w:tcPr>
          <w:p w:rsidR="007C589C" w:rsidP="00B73C77">
            <w:pPr>
              <w:pStyle w:val="KOT5"/>
              <w:spacing w:before="120"/>
              <w:jc w:val="center"/>
              <w:rPr>
                <w:sz w:val="24"/>
                <w:szCs w:val="24"/>
                <w:rtl/>
              </w:rPr>
            </w:pPr>
            <w:r w:rsidRPr="007C589C">
              <w:rPr>
                <w:rFonts w:hint="cs"/>
                <w:sz w:val="24"/>
                <w:szCs w:val="24"/>
                <w:rtl/>
              </w:rPr>
              <w:t>פעילות חטיבת שרביט</w:t>
            </w:r>
          </w:p>
        </w:tc>
      </w:tr>
      <w:tr w:rsidTr="00B520B5">
        <w:tblPrEx>
          <w:tblW w:w="6691" w:type="dxa"/>
          <w:jc w:val="center"/>
          <w:tblLook w:val="04A0"/>
        </w:tblPrEx>
        <w:trPr>
          <w:cantSplit/>
          <w:jc w:val="center"/>
        </w:trPr>
        <w:tc>
          <w:tcPr>
            <w:tcW w:w="6691" w:type="dxa"/>
          </w:tcPr>
          <w:p w:rsidR="007C589C" w:rsidRPr="007C589C" w:rsidP="00B73C77">
            <w:pPr>
              <w:pStyle w:val="takzir"/>
              <w:spacing w:before="60"/>
              <w:rPr>
                <w:b w:val="0"/>
                <w:bCs w:val="0"/>
                <w:noProof w:val="0"/>
                <w:rtl/>
              </w:rPr>
            </w:pPr>
            <w:r w:rsidRPr="007C589C">
              <w:rPr>
                <w:rFonts w:hint="cs"/>
                <w:b w:val="0"/>
                <w:bCs w:val="0"/>
                <w:noProof w:val="0"/>
                <w:rtl/>
              </w:rPr>
              <w:t xml:space="preserve">ברותם פועלת חטיבת שרביט, העוסקת בהיערכות לטרור בלתי קונוונציונלי (טב"ק) ולחירום. </w:t>
            </w:r>
          </w:p>
          <w:p w:rsidR="007C589C" w:rsidRPr="007C589C" w:rsidP="00B73C77">
            <w:pPr>
              <w:pStyle w:val="takzir"/>
              <w:ind w:left="340" w:hanging="340"/>
              <w:rPr>
                <w:b w:val="0"/>
                <w:bCs w:val="0"/>
                <w:noProof w:val="0"/>
                <w:rtl/>
              </w:rPr>
            </w:pPr>
            <w:r w:rsidRPr="007C589C">
              <w:rPr>
                <w:rFonts w:hint="cs"/>
                <w:b w:val="0"/>
                <w:bCs w:val="0"/>
                <w:noProof w:val="0"/>
                <w:rtl/>
              </w:rPr>
              <w:t xml:space="preserve">א. </w:t>
            </w:r>
            <w:r>
              <w:rPr>
                <w:b w:val="0"/>
                <w:bCs w:val="0"/>
                <w:noProof w:val="0"/>
              </w:rPr>
              <w:tab/>
            </w:r>
            <w:r w:rsidRPr="007C589C">
              <w:rPr>
                <w:rFonts w:hint="cs"/>
                <w:b w:val="0"/>
                <w:bCs w:val="0"/>
                <w:noProof w:val="0"/>
                <w:rtl/>
              </w:rPr>
              <w:t>בביקורת עלה כי שירותי הייעוץ שסיפקה חטיבת שרביט לרשות הלאומית לחירום (רח"ל), לא תאמו את ייעודה של חטיבת שרביט.</w:t>
            </w:r>
          </w:p>
          <w:p w:rsidR="007C589C" w:rsidP="00922FB9">
            <w:pPr>
              <w:pStyle w:val="takzir"/>
              <w:ind w:left="340" w:hanging="340"/>
              <w:rPr>
                <w:b w:val="0"/>
                <w:bCs w:val="0"/>
                <w:noProof w:val="0"/>
                <w:rtl/>
              </w:rPr>
            </w:pPr>
            <w:r w:rsidRPr="007C589C">
              <w:rPr>
                <w:rFonts w:hint="cs"/>
                <w:b w:val="0"/>
                <w:bCs w:val="0"/>
                <w:noProof w:val="0"/>
                <w:rtl/>
              </w:rPr>
              <w:t xml:space="preserve">ב. </w:t>
            </w:r>
            <w:r>
              <w:rPr>
                <w:b w:val="0"/>
                <w:bCs w:val="0"/>
                <w:noProof w:val="0"/>
              </w:rPr>
              <w:tab/>
            </w:r>
            <w:r w:rsidRPr="007C589C">
              <w:rPr>
                <w:rFonts w:hint="cs"/>
                <w:b w:val="0"/>
                <w:bCs w:val="0"/>
                <w:noProof w:val="0"/>
                <w:rtl/>
              </w:rPr>
              <w:t>נמצאו מקרים שבהם יועצים של חטיבת שרביט הועסקו ברח"ל ללא קבלת אישור הוועדה לאישור צורך והעסקת יועצים וכ"א (כוח אדם) חיצוני שבמשהב"ט; ללא הזמנה מתאימה ממשהב"ט; ובהיקף שעות גדול יותר מההיקף שאושר בוועדה.</w:t>
            </w:r>
          </w:p>
        </w:tc>
      </w:tr>
    </w:tbl>
    <w:p w:rsidR="007C589C" w:rsidP="00B73C77">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B520B5">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7C589C" w:rsidP="00B73C77">
            <w:pPr>
              <w:pStyle w:val="KOT5"/>
              <w:spacing w:before="120"/>
              <w:jc w:val="center"/>
              <w:rPr>
                <w:sz w:val="24"/>
                <w:szCs w:val="24"/>
                <w:rtl/>
              </w:rPr>
            </w:pPr>
            <w:r w:rsidRPr="007C589C">
              <w:rPr>
                <w:rFonts w:hint="cs"/>
                <w:sz w:val="24"/>
                <w:szCs w:val="24"/>
                <w:rtl/>
              </w:rPr>
              <w:t>החטיבה לציוד בטיחות</w:t>
            </w:r>
          </w:p>
        </w:tc>
      </w:tr>
      <w:tr w:rsidTr="00B520B5">
        <w:tblPrEx>
          <w:tblW w:w="6691" w:type="dxa"/>
          <w:jc w:val="center"/>
          <w:tblLook w:val="04A0"/>
        </w:tblPrEx>
        <w:trPr>
          <w:cantSplit/>
          <w:jc w:val="center"/>
        </w:trPr>
        <w:tc>
          <w:tcPr>
            <w:tcW w:w="6691" w:type="dxa"/>
          </w:tcPr>
          <w:p w:rsidR="007C589C" w:rsidRPr="007C589C" w:rsidP="00B73C77">
            <w:pPr>
              <w:pStyle w:val="takzir"/>
              <w:spacing w:before="60"/>
              <w:rPr>
                <w:b w:val="0"/>
                <w:bCs w:val="0"/>
                <w:noProof w:val="0"/>
                <w:rtl/>
              </w:rPr>
            </w:pPr>
            <w:r w:rsidRPr="007C589C">
              <w:rPr>
                <w:rFonts w:hint="cs"/>
                <w:b w:val="0"/>
                <w:bCs w:val="0"/>
                <w:noProof w:val="0"/>
                <w:rtl/>
              </w:rPr>
              <w:t>החטיבה לציוד בטיחות פעלה ברותם החל משנת 1998. בשנת 2008 נמכרה החטיבה לחברת רותם בטיחות בע"מ, חברה ש-60% מבעלי מניותיה היו משקיעים פרטיים. בין המשקיעים הפרטיים היה גם מנהל החטיבה לציוד בטיחות, עובד קמ"ג לשעבר.</w:t>
            </w:r>
          </w:p>
          <w:p w:rsidR="007C589C" w:rsidRPr="007C589C" w:rsidP="00B73C77">
            <w:pPr>
              <w:pStyle w:val="takzir"/>
              <w:ind w:left="340" w:hanging="340"/>
              <w:rPr>
                <w:b w:val="0"/>
                <w:bCs w:val="0"/>
                <w:noProof w:val="0"/>
                <w:rtl/>
              </w:rPr>
            </w:pPr>
            <w:r w:rsidRPr="007C589C">
              <w:rPr>
                <w:rFonts w:hint="cs"/>
                <w:b w:val="0"/>
                <w:bCs w:val="0"/>
                <w:noProof w:val="0"/>
                <w:rtl/>
              </w:rPr>
              <w:t xml:space="preserve">א. </w:t>
            </w:r>
            <w:r>
              <w:rPr>
                <w:b w:val="0"/>
                <w:bCs w:val="0"/>
                <w:noProof w:val="0"/>
              </w:rPr>
              <w:tab/>
            </w:r>
            <w:r w:rsidRPr="007C589C">
              <w:rPr>
                <w:rFonts w:hint="cs"/>
                <w:b w:val="0"/>
                <w:bCs w:val="0"/>
                <w:noProof w:val="0"/>
                <w:rtl/>
              </w:rPr>
              <w:t xml:space="preserve">בביקורת עלה, כי בעת מכירת החטיבה לציוד בטיחות ערך המוניטין שלה לא עודכן מאז הערכת השווי שנעשתה בינואר 2006 ועד למועד מכירת הנכסים בפועל (אפריל 2008), על אף שביצועי החטיבה עלו עד אותה עת באופן בולט; בשל כך עולה החשש כי מכירת החטיבה לציוד בטיחות נעשתה במחיר נמוך מערכה. </w:t>
            </w:r>
          </w:p>
          <w:p w:rsidR="007C589C" w:rsidRPr="007C589C" w:rsidP="00B73C77">
            <w:pPr>
              <w:pStyle w:val="takzir"/>
              <w:ind w:left="340" w:hanging="340"/>
              <w:rPr>
                <w:b w:val="0"/>
                <w:bCs w:val="0"/>
                <w:noProof w:val="0"/>
                <w:rtl/>
              </w:rPr>
            </w:pPr>
            <w:r w:rsidRPr="007C589C">
              <w:rPr>
                <w:rFonts w:hint="cs"/>
                <w:b w:val="0"/>
                <w:bCs w:val="0"/>
                <w:noProof w:val="0"/>
                <w:rtl/>
              </w:rPr>
              <w:t xml:space="preserve">ב. </w:t>
            </w:r>
            <w:r>
              <w:rPr>
                <w:b w:val="0"/>
                <w:bCs w:val="0"/>
                <w:noProof w:val="0"/>
              </w:rPr>
              <w:tab/>
            </w:r>
            <w:r w:rsidRPr="007C589C">
              <w:rPr>
                <w:rFonts w:hint="cs"/>
                <w:b w:val="0"/>
                <w:bCs w:val="0"/>
                <w:noProof w:val="0"/>
                <w:rtl/>
              </w:rPr>
              <w:t>רותם שילמה למנהל החטיבה לציוד בטיחות, כאמור עובד קמ"ג לשעבר, עם מכירתה של החטיבה סך של כ-2.2 מיליון ש"ח בגין חלוקת רווחים, על אף שהדבר לא עוגן בהסכם מלכתחילה; בפני הדירקטוריון הוצגה תמונה חלקית בלבד של עלויות ההסכם שנעשה עם מנהל החטיבה; התנגדותו של היועץ המשפטי של רותם לתשלום בגין רווחים למנהל בתקופה שבה היה עובד קמ"ג, לא התקבלה.</w:t>
            </w:r>
          </w:p>
          <w:p w:rsidR="007C589C" w:rsidP="00B73C77">
            <w:pPr>
              <w:pStyle w:val="takzir"/>
              <w:ind w:left="340" w:hanging="340"/>
              <w:rPr>
                <w:b w:val="0"/>
                <w:bCs w:val="0"/>
                <w:noProof w:val="0"/>
                <w:rtl/>
              </w:rPr>
            </w:pPr>
            <w:r w:rsidRPr="007C589C">
              <w:rPr>
                <w:rFonts w:hint="cs"/>
                <w:b w:val="0"/>
                <w:bCs w:val="0"/>
                <w:noProof w:val="0"/>
                <w:rtl/>
              </w:rPr>
              <w:t xml:space="preserve">ג. </w:t>
            </w:r>
            <w:r>
              <w:rPr>
                <w:b w:val="0"/>
                <w:bCs w:val="0"/>
                <w:noProof w:val="0"/>
              </w:rPr>
              <w:tab/>
            </w:r>
            <w:r w:rsidRPr="007C589C">
              <w:rPr>
                <w:rFonts w:hint="cs"/>
                <w:b w:val="0"/>
                <w:bCs w:val="0"/>
                <w:noProof w:val="0"/>
                <w:rtl/>
              </w:rPr>
              <w:t>בדצמבר 2007 התקשרה קמ"ג עם משרד החקלאות בהסכם להפעלת מחסן חירום. בביקורת עלה, כי בתוך כחודש ממועד זה, עבר ההסכם לביצוע מקמ"ג לרותם וממנה לרותם בטיחות בע"מ. היות שעסקה בין רותם בטיחות בע"מ לבין משרד החקלאות מחייבת קיומו של מכרז, אזי העברת הפעילות לרותם בטיחות בע"מ אפשרה, לכאורה, לקמ"ג לסייע לרותם בטיחות בע"מ ולמשרד החקלאות להימנע מקיום מכרז, כנדרש בחוק.</w:t>
            </w:r>
          </w:p>
        </w:tc>
      </w:tr>
    </w:tbl>
    <w:p w:rsidR="001275A6" w:rsidP="00B73C77">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D460F3">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804" w:type="dxa"/>
            <w:shd w:val="pct25" w:color="00FF00" w:fill="auto"/>
          </w:tcPr>
          <w:p w:rsidR="001275A6" w:rsidP="00B73C77">
            <w:pPr>
              <w:pStyle w:val="KOT4"/>
              <w:spacing w:before="120"/>
              <w:jc w:val="center"/>
              <w:rPr>
                <w:rtl/>
              </w:rPr>
            </w:pPr>
            <w:r>
              <w:rPr>
                <w:rFonts w:hint="cs"/>
                <w:rtl/>
              </w:rPr>
              <w:t>ה</w:t>
            </w:r>
            <w:r>
              <w:rPr>
                <w:rtl/>
              </w:rPr>
              <w:t xml:space="preserve">המלצות </w:t>
            </w:r>
            <w:r>
              <w:rPr>
                <w:rFonts w:hint="cs"/>
                <w:rtl/>
              </w:rPr>
              <w:t>העיקריות</w:t>
            </w:r>
          </w:p>
        </w:tc>
      </w:tr>
      <w:tr w:rsidTr="00D460F3">
        <w:tblPrEx>
          <w:tblW w:w="6691" w:type="dxa"/>
          <w:jc w:val="center"/>
          <w:tblLook w:val="04A0"/>
        </w:tblPrEx>
        <w:trPr>
          <w:cantSplit/>
          <w:jc w:val="center"/>
        </w:trPr>
        <w:tc>
          <w:tcPr>
            <w:tcW w:w="6804" w:type="dxa"/>
          </w:tcPr>
          <w:p w:rsidR="00B31061" w:rsidRPr="00B31061" w:rsidP="00B73C77">
            <w:pPr>
              <w:pStyle w:val="takzir"/>
              <w:spacing w:before="60"/>
              <w:rPr>
                <w:b w:val="0"/>
                <w:bCs w:val="0"/>
                <w:noProof w:val="0"/>
                <w:rtl/>
              </w:rPr>
            </w:pPr>
            <w:r w:rsidRPr="00B31061">
              <w:rPr>
                <w:rFonts w:hint="cs"/>
                <w:b w:val="0"/>
                <w:bCs w:val="0"/>
                <w:noProof w:val="0"/>
                <w:rtl/>
              </w:rPr>
              <w:t xml:space="preserve">על רותם להקפיד על דיווחים מדויקים ומלאים לדירקטוריון; על הדירקטוריון להגביר את הפיקוח על פעילות רותם ועל התאמתה למטרות החברה. </w:t>
            </w:r>
          </w:p>
          <w:p w:rsidR="001275A6" w:rsidP="00B73C77">
            <w:pPr>
              <w:pStyle w:val="takzir"/>
              <w:rPr>
                <w:b w:val="0"/>
                <w:bCs w:val="0"/>
                <w:rtl/>
              </w:rPr>
            </w:pPr>
            <w:r w:rsidRPr="00B31061">
              <w:rPr>
                <w:rFonts w:hint="cs"/>
                <w:b w:val="0"/>
                <w:bCs w:val="0"/>
                <w:noProof w:val="0"/>
                <w:rtl/>
              </w:rPr>
              <w:t>נוכח הביקורת על חטיבת שרביט ברותם ויחסי הגומלין בינה ובין משהב"ט, על המשרד לוודא כי מתקיימים בו מנגנוני בקרה יעילים על העסקת יועצים.</w:t>
            </w:r>
          </w:p>
        </w:tc>
      </w:tr>
    </w:tbl>
    <w:p w:rsidR="001275A6" w:rsidP="00B73C77">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B73C77">
            <w:pPr>
              <w:pStyle w:val="KOT4"/>
              <w:spacing w:before="120"/>
              <w:jc w:val="center"/>
              <w:rPr>
                <w:rtl/>
              </w:rPr>
            </w:pPr>
            <w:r>
              <w:rPr>
                <w:rtl/>
              </w:rPr>
              <w:t>סיכום</w:t>
            </w:r>
          </w:p>
        </w:tc>
      </w:tr>
      <w:tr w:rsidTr="00E44678">
        <w:tblPrEx>
          <w:tblW w:w="6691" w:type="dxa"/>
          <w:jc w:val="center"/>
          <w:tblLook w:val="04A0"/>
        </w:tblPrEx>
        <w:trPr>
          <w:cantSplit/>
          <w:jc w:val="center"/>
        </w:trPr>
        <w:tc>
          <w:tcPr>
            <w:tcW w:w="7018" w:type="dxa"/>
          </w:tcPr>
          <w:p w:rsidR="00B31061" w:rsidRPr="00B31061" w:rsidP="00B73C77">
            <w:pPr>
              <w:spacing w:before="60" w:after="120"/>
              <w:jc w:val="both"/>
              <w:rPr>
                <w:b/>
                <w:bCs/>
                <w:sz w:val="22"/>
                <w:szCs w:val="22"/>
                <w:rtl/>
                <w:lang w:eastAsia="he-IL"/>
              </w:rPr>
            </w:pPr>
            <w:r w:rsidRPr="00B31061">
              <w:rPr>
                <w:rFonts w:hint="cs"/>
                <w:b/>
                <w:bCs/>
                <w:sz w:val="22"/>
                <w:szCs w:val="22"/>
                <w:rtl/>
                <w:lang w:eastAsia="he-IL"/>
              </w:rPr>
              <w:t>רותם מהווה את הזרוע השיווקית של קמ"ג. כמו כן, רותם עוסקת בפעילות עסקית עצמאית.</w:t>
            </w:r>
          </w:p>
          <w:p w:rsidR="00B31061" w:rsidRPr="00B31061" w:rsidP="00B73C77">
            <w:pPr>
              <w:spacing w:after="120"/>
              <w:jc w:val="both"/>
              <w:rPr>
                <w:b/>
                <w:bCs/>
                <w:sz w:val="22"/>
                <w:szCs w:val="22"/>
                <w:rtl/>
                <w:lang w:eastAsia="he-IL"/>
              </w:rPr>
            </w:pPr>
            <w:r w:rsidRPr="00B31061">
              <w:rPr>
                <w:rFonts w:hint="cs"/>
                <w:b/>
                <w:bCs/>
                <w:sz w:val="22"/>
                <w:szCs w:val="22"/>
                <w:rtl/>
                <w:lang w:eastAsia="he-IL"/>
              </w:rPr>
              <w:t xml:space="preserve">בביקורת עלה, כי פעולות עסקיות של רותם, ובהן רכישתו והפעלתו של מפעל הכימיה ופעילות חטיבת שרביט, הסבו לרותם הפסדים. </w:t>
            </w:r>
          </w:p>
          <w:p w:rsidR="00B31061" w:rsidRPr="00B31061" w:rsidP="00B73C77">
            <w:pPr>
              <w:spacing w:after="120"/>
              <w:jc w:val="both"/>
              <w:rPr>
                <w:b/>
                <w:bCs/>
                <w:sz w:val="22"/>
                <w:szCs w:val="22"/>
                <w:rtl/>
                <w:lang w:eastAsia="he-IL"/>
              </w:rPr>
            </w:pPr>
            <w:r w:rsidRPr="00B31061">
              <w:rPr>
                <w:rFonts w:hint="cs"/>
                <w:b/>
                <w:bCs/>
                <w:sz w:val="22"/>
                <w:szCs w:val="22"/>
                <w:rtl/>
                <w:lang w:eastAsia="he-IL"/>
              </w:rPr>
              <w:t>בביקורת עלה חשש, כי רותם מכרה את פעילות החטיבה לציוד בטיחות במחיר הנמוך מערכה; וכן עלה כי רותם שילמה למנהל החטיבה סכום של כ-2.2 מיליון ש"ח בגין חלוקת רווחים על אף שהדבר לא עוגן בהסכם מלכתחילה. עוד עלה, כי קמ"ג העבירה לרותם וממנה לרותם בטיחות חוזה עם משרד החקלאות להפעלת מחסן חירום, לכאורה באופן שסייע למשרד החקלאות ולרותם בטיחות להימנע מקיום מכרז כנדרש.</w:t>
            </w:r>
          </w:p>
          <w:p w:rsidR="001275A6" w:rsidP="00B73C77">
            <w:pPr>
              <w:spacing w:after="120"/>
              <w:jc w:val="both"/>
              <w:rPr>
                <w:b/>
                <w:bCs/>
                <w:sz w:val="22"/>
                <w:szCs w:val="22"/>
                <w:rtl/>
                <w:lang w:eastAsia="he-IL"/>
              </w:rPr>
            </w:pPr>
            <w:r w:rsidRPr="00B31061">
              <w:rPr>
                <w:rFonts w:hint="cs"/>
                <w:b/>
                <w:bCs/>
                <w:sz w:val="22"/>
                <w:szCs w:val="22"/>
                <w:rtl/>
                <w:lang w:eastAsia="he-IL"/>
              </w:rPr>
              <w:t>כעולה בביקורת, רותם עשתה פעולות ללא קבלת אישור הדירקטוריון וללא ידיעתו. הדבר נוגד את כללי המנהל התקין. על דירקטוריון רותם להגביר את הפיקוח על פעילותה של החברה.</w:t>
            </w:r>
          </w:p>
        </w:tc>
      </w:tr>
    </w:tbl>
    <w:p w:rsidR="001275A6" w:rsidP="00B73C77">
      <w:pPr>
        <w:spacing w:after="120" w:line="230" w:lineRule="exact"/>
        <w:jc w:val="both"/>
        <w:rPr>
          <w:rFonts w:cs="FrankRuehl"/>
          <w:sz w:val="20"/>
          <w:szCs w:val="22"/>
          <w:rtl/>
        </w:rPr>
      </w:pPr>
    </w:p>
    <w:p w:rsidR="001275A6" w:rsidP="00B73C77">
      <w:pPr>
        <w:pStyle w:val="KOT1"/>
        <w:keepNext w:val="0"/>
        <w:spacing w:after="0" w:line="240" w:lineRule="atLeast"/>
        <w:rPr>
          <w:rFonts w:ascii="Arial" w:hAnsi="Arial" w:cs="Arial"/>
          <w:lang w:eastAsia="en-US"/>
        </w:rPr>
      </w:pPr>
      <w:r>
        <w:rPr>
          <w:rFonts w:ascii="Arial" w:hAnsi="Arial" w:cs="Arial"/>
          <w:lang w:eastAsia="en-US"/>
        </w:rPr>
        <w:t>♦</w:t>
      </w:r>
    </w:p>
    <w:p w:rsidR="001275A6" w:rsidP="00B73C77">
      <w:pPr>
        <w:spacing w:after="120" w:line="230" w:lineRule="exact"/>
        <w:jc w:val="both"/>
        <w:rPr>
          <w:rFonts w:cs="FrankRuehl"/>
          <w:sz w:val="20"/>
          <w:szCs w:val="22"/>
          <w:rtl/>
        </w:rPr>
      </w:pPr>
    </w:p>
    <w:p w:rsidR="001275A6" w:rsidP="00B73C77">
      <w:pPr>
        <w:pStyle w:val="KOT4"/>
        <w:rPr>
          <w:rtl/>
        </w:rPr>
      </w:pPr>
      <w:bookmarkEnd w:id="0"/>
      <w:bookmarkEnd w:id="1"/>
      <w:bookmarkEnd w:id="2"/>
      <w:bookmarkEnd w:id="3"/>
      <w:bookmarkEnd w:id="4"/>
      <w:r>
        <w:rPr>
          <w:rtl/>
        </w:rPr>
        <w:br w:type="page"/>
      </w:r>
      <w:r>
        <w:rPr>
          <w:rFonts w:hint="eastAsia"/>
          <w:rtl/>
        </w:rPr>
        <w:t>מבוא</w:t>
      </w:r>
    </w:p>
    <w:p w:rsidR="000B385D" w:rsidRPr="00011A0E" w:rsidP="00B73C77">
      <w:pPr>
        <w:spacing w:after="120" w:line="230" w:lineRule="exact"/>
        <w:jc w:val="both"/>
        <w:rPr>
          <w:rFonts w:cs="FrankRuehl"/>
          <w:sz w:val="20"/>
          <w:szCs w:val="22"/>
          <w:rtl/>
        </w:rPr>
      </w:pPr>
      <w:r w:rsidRPr="00011A0E">
        <w:rPr>
          <w:rFonts w:cs="FrankRuehl" w:hint="cs"/>
          <w:sz w:val="20"/>
          <w:szCs w:val="22"/>
          <w:rtl/>
        </w:rPr>
        <w:t>רותם היא חברה ממשלתית בבעלות מלאה, שנתאגדה ונרשמה בשנת 1969. רותם היא אחת החברות הממשלתיות הקיימות ליד מרכזי הוא"א, המהוות את הזרוע השיווקית</w:t>
      </w:r>
      <w:r w:rsidRPr="00011A0E">
        <w:rPr>
          <w:rFonts w:cs="FrankRuehl"/>
          <w:sz w:val="20"/>
          <w:szCs w:val="22"/>
          <w:rtl/>
        </w:rPr>
        <w:t>-</w:t>
      </w:r>
      <w:r w:rsidRPr="00011A0E">
        <w:rPr>
          <w:rFonts w:cs="FrankRuehl" w:hint="cs"/>
          <w:sz w:val="20"/>
          <w:szCs w:val="22"/>
          <w:rtl/>
        </w:rPr>
        <w:t>עסקית שלהם. מדיניות החברה כפי שקבע הדירקטוריון שלה כוללת, בין השאר, "פיתוח ושיווק טכנולוגיות חדשניות וידע, בעלי זיקה לפעילויות הקריה למחקר גרעיני".</w:t>
      </w:r>
    </w:p>
    <w:p w:rsidR="000B385D" w:rsidRPr="00011A0E" w:rsidP="00B73C77">
      <w:pPr>
        <w:spacing w:after="120" w:line="230" w:lineRule="exact"/>
        <w:jc w:val="both"/>
        <w:rPr>
          <w:rFonts w:cs="FrankRuehl"/>
          <w:sz w:val="20"/>
          <w:szCs w:val="22"/>
          <w:rtl/>
        </w:rPr>
      </w:pPr>
      <w:r w:rsidRPr="00011A0E">
        <w:rPr>
          <w:rFonts w:cs="FrankRuehl" w:hint="cs"/>
          <w:sz w:val="20"/>
          <w:szCs w:val="22"/>
          <w:rtl/>
        </w:rPr>
        <w:t xml:space="preserve">פעילותה העסקית של רותם כוללת, בין השאר, פיתוח, ייצור מכירה ושיווק של מוצרים כימיים להדמיה רפואית, שירותי תחזוקה של מקורות רדיואקטיביים, ייעוץ בנושא טרור בלתי קונוונציונלי באמצעות חטיבת שרביט (להלן </w:t>
      </w:r>
      <w:r w:rsidRPr="00011A0E">
        <w:rPr>
          <w:rFonts w:cs="FrankRuehl"/>
          <w:sz w:val="20"/>
          <w:szCs w:val="22"/>
          <w:rtl/>
        </w:rPr>
        <w:t>-</w:t>
      </w:r>
      <w:r w:rsidRPr="00011A0E">
        <w:rPr>
          <w:rFonts w:cs="FrankRuehl" w:hint="cs"/>
          <w:sz w:val="20"/>
          <w:szCs w:val="22"/>
          <w:rtl/>
        </w:rPr>
        <w:t xml:space="preserve"> פעילות טב"ק או שרביט), שיווק ציוד בטיחות (באמצעות חברה מוחזקת, ראו להלן), שירותי פיתוח עסקי ומרכז אנרגיות מתחדשות. כמו כן, מפעילה רותם את פארק תעשיות רותם (להלן - פארק רותם או הפארק). </w:t>
      </w:r>
    </w:p>
    <w:p w:rsidR="000B385D" w:rsidRPr="00011A0E" w:rsidP="00B73C77">
      <w:pPr>
        <w:spacing w:after="120" w:line="230" w:lineRule="exact"/>
        <w:jc w:val="both"/>
        <w:rPr>
          <w:rFonts w:cs="FrankRuehl"/>
          <w:sz w:val="20"/>
          <w:szCs w:val="22"/>
        </w:rPr>
      </w:pPr>
    </w:p>
    <w:p w:rsidR="00D460F3" w:rsidRPr="00011A0E" w:rsidP="00B73C77">
      <w:pPr>
        <w:spacing w:after="120" w:line="230" w:lineRule="exact"/>
        <w:jc w:val="both"/>
        <w:rPr>
          <w:rFonts w:cs="FrankRuehl"/>
          <w:sz w:val="20"/>
          <w:szCs w:val="22"/>
          <w:rtl/>
        </w:rPr>
      </w:pPr>
    </w:p>
    <w:p w:rsidR="000B385D" w:rsidRPr="00D42A28" w:rsidP="00B73C77">
      <w:pPr>
        <w:pStyle w:val="KOT4"/>
        <w:rPr>
          <w:rtl/>
        </w:rPr>
      </w:pPr>
      <w:r w:rsidRPr="00D42A28">
        <w:rPr>
          <w:rFonts w:hint="cs"/>
          <w:rtl/>
        </w:rPr>
        <w:t>פעולות הביקורת</w:t>
      </w:r>
    </w:p>
    <w:p w:rsidR="000B385D" w:rsidRPr="00011A0E" w:rsidP="00B73C77">
      <w:pPr>
        <w:spacing w:after="120" w:line="230" w:lineRule="exact"/>
        <w:jc w:val="both"/>
        <w:rPr>
          <w:rFonts w:cs="FrankRuehl"/>
          <w:sz w:val="20"/>
          <w:szCs w:val="22"/>
          <w:rtl/>
        </w:rPr>
      </w:pPr>
      <w:r w:rsidRPr="00011A0E">
        <w:rPr>
          <w:rFonts w:cs="FrankRuehl" w:hint="cs"/>
          <w:sz w:val="20"/>
          <w:szCs w:val="22"/>
          <w:rtl/>
        </w:rPr>
        <w:t>משרד מבקר המדינה ערך ביקורת ברותם בתקופה שבין מאי 2011 לבין דצמבר 2011; השלמות נערכו לסירוגין עד יוני 2013. בביקורת נבדקו פעולותיה של רותם וכן יחסי הגומלין בין רותם לבין קמ"ג. הביקורת נערכה ברותם. בדיקות השלמה נעשו בוא"א, במשהב"ט, ברשות החברות הממשלתיות ובמשרד החקלאות.</w:t>
      </w:r>
    </w:p>
    <w:p w:rsidR="000B385D" w:rsidRPr="00011A0E" w:rsidP="00B73C77">
      <w:pPr>
        <w:spacing w:after="120" w:line="230" w:lineRule="exact"/>
        <w:jc w:val="both"/>
        <w:rPr>
          <w:rFonts w:cs="FrankRuehl"/>
          <w:sz w:val="20"/>
          <w:szCs w:val="22"/>
        </w:rPr>
      </w:pPr>
    </w:p>
    <w:p w:rsidR="00D460F3" w:rsidRPr="00011A0E" w:rsidP="00B73C77">
      <w:pPr>
        <w:spacing w:after="120" w:line="230" w:lineRule="exact"/>
        <w:jc w:val="both"/>
        <w:rPr>
          <w:rFonts w:cs="FrankRuehl"/>
          <w:sz w:val="20"/>
          <w:szCs w:val="22"/>
          <w:rtl/>
        </w:rPr>
      </w:pPr>
    </w:p>
    <w:p w:rsidR="000B385D" w:rsidRPr="00D42A28" w:rsidP="00B73C77">
      <w:pPr>
        <w:pStyle w:val="KOT4"/>
        <w:rPr>
          <w:rtl/>
        </w:rPr>
      </w:pPr>
      <w:r w:rsidRPr="00D42A28">
        <w:rPr>
          <w:rFonts w:hint="cs"/>
          <w:rtl/>
        </w:rPr>
        <w:t>הפעילות העסקית של רותם</w:t>
      </w:r>
    </w:p>
    <w:p w:rsidR="000B385D" w:rsidRPr="00011A0E" w:rsidP="00B73C77">
      <w:pPr>
        <w:spacing w:after="120" w:line="230" w:lineRule="exact"/>
        <w:jc w:val="both"/>
        <w:rPr>
          <w:rFonts w:cs="FrankRuehl"/>
          <w:sz w:val="20"/>
          <w:szCs w:val="22"/>
          <w:rtl/>
        </w:rPr>
      </w:pPr>
      <w:r w:rsidRPr="00011A0E">
        <w:rPr>
          <w:rFonts w:cs="FrankRuehl" w:hint="cs"/>
          <w:sz w:val="20"/>
          <w:szCs w:val="22"/>
          <w:rtl/>
        </w:rPr>
        <w:t xml:space="preserve">הכנסות רותם נובעות מעסקות שמבצעת רותם עבור קמ"ג, שבהן מובטח לרותם רווח תפעולי בשיעור קבוע; ומפעילות עצמאית שהיא פעילות עסקית רגילה שבאחריות רותם. </w:t>
      </w:r>
    </w:p>
    <w:p w:rsidR="000B385D" w:rsidRPr="00011A0E" w:rsidP="00B73C77">
      <w:pPr>
        <w:spacing w:after="120" w:line="230" w:lineRule="exact"/>
        <w:jc w:val="both"/>
        <w:rPr>
          <w:rFonts w:cs="FrankRuehl"/>
          <w:sz w:val="20"/>
          <w:szCs w:val="22"/>
          <w:rtl/>
        </w:rPr>
      </w:pPr>
      <w:r w:rsidRPr="00011A0E">
        <w:rPr>
          <w:rFonts w:cs="FrankRuehl" w:hint="cs"/>
          <w:sz w:val="20"/>
          <w:szCs w:val="22"/>
          <w:rtl/>
        </w:rPr>
        <w:t>בביקורת נסקרו הדוחות הניהוליים של רותם (דוחות החברה והדוח המאוחד</w:t>
      </w:r>
      <w:r>
        <w:rPr>
          <w:rFonts w:cs="FrankRuehl"/>
          <w:sz w:val="20"/>
          <w:szCs w:val="22"/>
          <w:vertAlign w:val="superscript"/>
          <w:rtl/>
        </w:rPr>
        <w:footnoteReference w:id="2"/>
      </w:r>
      <w:r w:rsidRPr="00011A0E">
        <w:rPr>
          <w:rFonts w:cs="FrankRuehl" w:hint="cs"/>
          <w:sz w:val="20"/>
          <w:szCs w:val="22"/>
          <w:rtl/>
        </w:rPr>
        <w:t>) לשנים 2010-2005, והדוח למחצית שנת 2011. תוצאות הסקירה של פעילות החברה מוצגות ב</w:t>
      </w:r>
      <w:r w:rsidR="007441B9">
        <w:rPr>
          <w:rFonts w:cs="FrankRuehl" w:hint="cs"/>
          <w:sz w:val="20"/>
          <w:szCs w:val="22"/>
          <w:rtl/>
        </w:rPr>
        <w:t>לוח</w:t>
      </w:r>
      <w:r w:rsidRPr="00011A0E">
        <w:rPr>
          <w:rFonts w:cs="FrankRuehl" w:hint="cs"/>
          <w:sz w:val="20"/>
          <w:szCs w:val="22"/>
          <w:rtl/>
        </w:rPr>
        <w:t xml:space="preserve"> להלן:</w:t>
      </w:r>
    </w:p>
    <w:p w:rsidR="000B385D" w:rsidRPr="00327607" w:rsidP="00B73C77">
      <w:pPr>
        <w:pStyle w:val="tab-name"/>
        <w:rPr>
          <w:rtl/>
        </w:rPr>
      </w:pPr>
      <w:r>
        <w:rPr>
          <w:b w:val="0"/>
          <w:bCs w:val="0"/>
          <w:sz w:val="20"/>
          <w:szCs w:val="20"/>
          <w:rtl/>
        </w:rPr>
        <w:br w:type="page"/>
      </w:r>
      <w:r w:rsidRPr="00B121BF" w:rsidR="007441B9">
        <w:rPr>
          <w:rFonts w:hint="cs"/>
          <w:b w:val="0"/>
          <w:bCs w:val="0"/>
          <w:sz w:val="20"/>
          <w:szCs w:val="20"/>
          <w:rtl/>
        </w:rPr>
        <w:t>לוח  1</w:t>
      </w:r>
      <w:r w:rsidRPr="00B121BF" w:rsidR="007441B9">
        <w:rPr>
          <w:b w:val="0"/>
          <w:bCs w:val="0"/>
          <w:sz w:val="20"/>
          <w:szCs w:val="20"/>
          <w:rtl/>
        </w:rPr>
        <w:br/>
      </w:r>
      <w:r w:rsidRPr="00327607">
        <w:rPr>
          <w:rFonts w:hint="cs"/>
          <w:rtl/>
        </w:rPr>
        <w:t>נתוני פעילות החברה בין ינואר 2005 לבין יוני 2011</w:t>
      </w:r>
    </w:p>
    <w:tbl>
      <w:tblPr>
        <w:bidiVisual/>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000"/>
      </w:tblPr>
      <w:tblGrid>
        <w:gridCol w:w="1429"/>
        <w:gridCol w:w="764"/>
        <w:gridCol w:w="820"/>
        <w:gridCol w:w="764"/>
        <w:gridCol w:w="1014"/>
        <w:gridCol w:w="1120"/>
        <w:gridCol w:w="1002"/>
      </w:tblGrid>
      <w:tr w:rsidTr="00B121BF">
        <w:tblPrEx>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000"/>
        </w:tblPrEx>
        <w:trPr>
          <w:jc w:val="center"/>
        </w:trPr>
        <w:tc>
          <w:tcPr>
            <w:tcW w:w="1429" w:type="dxa"/>
            <w:tcBorders>
              <w:top w:val="single" w:sz="12" w:space="0" w:color="auto"/>
              <w:bottom w:val="single" w:sz="12" w:space="0" w:color="auto"/>
            </w:tcBorders>
            <w:shd w:val="pct10" w:color="auto" w:fill="auto"/>
            <w:vAlign w:val="bottom"/>
          </w:tcPr>
          <w:p w:rsidR="000B385D" w:rsidRPr="00B121BF" w:rsidP="00B73C77">
            <w:pPr>
              <w:spacing w:before="40" w:after="40" w:line="220" w:lineRule="exact"/>
              <w:jc w:val="center"/>
              <w:rPr>
                <w:rFonts w:ascii="FrankRuehl" w:hAnsi="FrankRuehl" w:cs="FrankRuehl"/>
                <w:b/>
                <w:bCs/>
                <w:sz w:val="20"/>
                <w:szCs w:val="20"/>
                <w:rtl/>
              </w:rPr>
            </w:pPr>
            <w:r w:rsidRPr="00B121BF">
              <w:rPr>
                <w:rFonts w:ascii="FrankRuehl" w:hAnsi="FrankRuehl" w:cs="FrankRuehl"/>
                <w:b/>
                <w:bCs/>
                <w:sz w:val="20"/>
                <w:szCs w:val="20"/>
                <w:rtl/>
              </w:rPr>
              <w:t>שנה</w:t>
            </w:r>
          </w:p>
        </w:tc>
        <w:tc>
          <w:tcPr>
            <w:tcW w:w="1233" w:type="dxa"/>
            <w:tcBorders>
              <w:top w:val="single" w:sz="12" w:space="0" w:color="auto"/>
              <w:bottom w:val="single" w:sz="12" w:space="0" w:color="auto"/>
            </w:tcBorders>
            <w:shd w:val="pct10" w:color="auto" w:fill="auto"/>
            <w:vAlign w:val="bottom"/>
          </w:tcPr>
          <w:p w:rsidR="000B385D" w:rsidRPr="00B121BF" w:rsidP="00B73C77">
            <w:pPr>
              <w:spacing w:before="40" w:after="40" w:line="220" w:lineRule="exact"/>
              <w:jc w:val="center"/>
              <w:rPr>
                <w:rFonts w:ascii="FrankRuehl" w:hAnsi="FrankRuehl" w:cs="FrankRuehl"/>
                <w:b/>
                <w:bCs/>
                <w:sz w:val="20"/>
                <w:szCs w:val="20"/>
                <w:rtl/>
              </w:rPr>
            </w:pPr>
            <w:r w:rsidRPr="00B121BF">
              <w:rPr>
                <w:rFonts w:ascii="FrankRuehl" w:hAnsi="FrankRuehl" w:cs="FrankRuehl"/>
                <w:b/>
                <w:bCs/>
                <w:sz w:val="20"/>
                <w:szCs w:val="20"/>
                <w:rtl/>
              </w:rPr>
              <w:t>מכירות עבור קמ"ג</w:t>
            </w:r>
          </w:p>
        </w:tc>
        <w:tc>
          <w:tcPr>
            <w:tcW w:w="1091" w:type="dxa"/>
            <w:tcBorders>
              <w:top w:val="single" w:sz="12" w:space="0" w:color="auto"/>
              <w:bottom w:val="single" w:sz="12" w:space="0" w:color="auto"/>
            </w:tcBorders>
            <w:shd w:val="pct10" w:color="auto" w:fill="auto"/>
            <w:vAlign w:val="bottom"/>
          </w:tcPr>
          <w:p w:rsidR="000B385D" w:rsidRPr="00B121BF" w:rsidP="00B73C77">
            <w:pPr>
              <w:spacing w:before="40" w:after="40" w:line="220" w:lineRule="exact"/>
              <w:jc w:val="center"/>
              <w:rPr>
                <w:rFonts w:ascii="FrankRuehl" w:hAnsi="FrankRuehl" w:cs="FrankRuehl"/>
                <w:b/>
                <w:bCs/>
                <w:sz w:val="20"/>
                <w:szCs w:val="20"/>
                <w:rtl/>
              </w:rPr>
            </w:pPr>
            <w:r w:rsidRPr="00B121BF">
              <w:rPr>
                <w:rFonts w:ascii="FrankRuehl" w:hAnsi="FrankRuehl" w:cs="FrankRuehl"/>
                <w:b/>
                <w:bCs/>
                <w:sz w:val="20"/>
                <w:szCs w:val="20"/>
                <w:rtl/>
              </w:rPr>
              <w:t>מכירות הפעילות העצמאית</w:t>
            </w:r>
          </w:p>
        </w:tc>
        <w:tc>
          <w:tcPr>
            <w:tcW w:w="1158" w:type="dxa"/>
            <w:tcBorders>
              <w:top w:val="single" w:sz="12" w:space="0" w:color="auto"/>
              <w:bottom w:val="single" w:sz="12" w:space="0" w:color="auto"/>
            </w:tcBorders>
            <w:shd w:val="pct10" w:color="auto" w:fill="auto"/>
            <w:vAlign w:val="bottom"/>
          </w:tcPr>
          <w:p w:rsidR="000B385D" w:rsidRPr="00B121BF" w:rsidP="00B73C77">
            <w:pPr>
              <w:spacing w:before="40" w:after="40" w:line="220" w:lineRule="exact"/>
              <w:jc w:val="center"/>
              <w:rPr>
                <w:rFonts w:ascii="FrankRuehl" w:hAnsi="FrankRuehl" w:cs="FrankRuehl"/>
                <w:b/>
                <w:bCs/>
                <w:sz w:val="20"/>
                <w:szCs w:val="20"/>
                <w:rtl/>
              </w:rPr>
            </w:pPr>
            <w:r w:rsidRPr="00B121BF">
              <w:rPr>
                <w:rFonts w:ascii="FrankRuehl" w:hAnsi="FrankRuehl" w:cs="FrankRuehl"/>
                <w:b/>
                <w:bCs/>
                <w:sz w:val="20"/>
                <w:szCs w:val="20"/>
                <w:rtl/>
              </w:rPr>
              <w:t>ס"ה מכירות</w:t>
            </w:r>
          </w:p>
        </w:tc>
        <w:tc>
          <w:tcPr>
            <w:tcW w:w="1014" w:type="dxa"/>
            <w:tcBorders>
              <w:top w:val="single" w:sz="12" w:space="0" w:color="auto"/>
              <w:bottom w:val="single" w:sz="12" w:space="0" w:color="auto"/>
            </w:tcBorders>
            <w:shd w:val="pct10" w:color="auto" w:fill="auto"/>
            <w:vAlign w:val="bottom"/>
          </w:tcPr>
          <w:p w:rsidR="000B385D" w:rsidRPr="00B121BF" w:rsidP="00B73C77">
            <w:pPr>
              <w:spacing w:before="40" w:after="40" w:line="220" w:lineRule="exact"/>
              <w:jc w:val="center"/>
              <w:rPr>
                <w:rFonts w:ascii="FrankRuehl" w:hAnsi="FrankRuehl" w:cs="FrankRuehl"/>
                <w:b/>
                <w:bCs/>
                <w:sz w:val="20"/>
                <w:szCs w:val="20"/>
              </w:rPr>
            </w:pPr>
            <w:r w:rsidRPr="00B121BF">
              <w:rPr>
                <w:rFonts w:ascii="FrankRuehl" w:hAnsi="FrankRuehl" w:cs="FrankRuehl"/>
                <w:b/>
                <w:bCs/>
                <w:sz w:val="20"/>
                <w:szCs w:val="20"/>
                <w:rtl/>
              </w:rPr>
              <w:t>רווח תפעולי מפעילות עבור קמ"ג</w:t>
            </w:r>
          </w:p>
        </w:tc>
        <w:tc>
          <w:tcPr>
            <w:tcW w:w="1120" w:type="dxa"/>
            <w:tcBorders>
              <w:top w:val="single" w:sz="12" w:space="0" w:color="auto"/>
              <w:bottom w:val="single" w:sz="12" w:space="0" w:color="auto"/>
            </w:tcBorders>
            <w:shd w:val="pct10" w:color="auto" w:fill="auto"/>
            <w:vAlign w:val="bottom"/>
          </w:tcPr>
          <w:p w:rsidR="000B385D" w:rsidRPr="00B121BF" w:rsidP="00B73C77">
            <w:pPr>
              <w:spacing w:before="40" w:after="40" w:line="220" w:lineRule="exact"/>
              <w:jc w:val="center"/>
              <w:rPr>
                <w:rFonts w:ascii="FrankRuehl" w:hAnsi="FrankRuehl" w:cs="FrankRuehl"/>
                <w:b/>
                <w:bCs/>
                <w:sz w:val="20"/>
                <w:szCs w:val="20"/>
              </w:rPr>
            </w:pPr>
            <w:r w:rsidRPr="00B121BF">
              <w:rPr>
                <w:rFonts w:ascii="FrankRuehl" w:hAnsi="FrankRuehl" w:cs="FrankRuehl"/>
                <w:b/>
                <w:bCs/>
                <w:sz w:val="20"/>
                <w:szCs w:val="20"/>
                <w:rtl/>
              </w:rPr>
              <w:t>רווח (הפסד) תפעולי מהפעילות העצמאית</w:t>
            </w:r>
          </w:p>
        </w:tc>
        <w:tc>
          <w:tcPr>
            <w:tcW w:w="1002" w:type="dxa"/>
            <w:tcBorders>
              <w:top w:val="single" w:sz="12" w:space="0" w:color="auto"/>
              <w:bottom w:val="single" w:sz="12" w:space="0" w:color="auto"/>
            </w:tcBorders>
            <w:shd w:val="pct10" w:color="auto" w:fill="auto"/>
            <w:vAlign w:val="bottom"/>
          </w:tcPr>
          <w:p w:rsidR="000B385D" w:rsidRPr="00B121BF" w:rsidP="00B73C77">
            <w:pPr>
              <w:spacing w:before="40" w:after="40" w:line="220" w:lineRule="exact"/>
              <w:jc w:val="center"/>
              <w:rPr>
                <w:rFonts w:ascii="FrankRuehl" w:hAnsi="FrankRuehl" w:cs="FrankRuehl"/>
                <w:b/>
                <w:bCs/>
                <w:sz w:val="20"/>
                <w:szCs w:val="20"/>
              </w:rPr>
            </w:pPr>
            <w:r w:rsidRPr="00B121BF">
              <w:rPr>
                <w:rFonts w:ascii="FrankRuehl" w:hAnsi="FrankRuehl" w:cs="FrankRuehl"/>
                <w:b/>
                <w:bCs/>
                <w:sz w:val="20"/>
                <w:szCs w:val="20"/>
                <w:rtl/>
              </w:rPr>
              <w:t>ס"ה רווח (הפסד) תפעולי</w:t>
            </w:r>
          </w:p>
        </w:tc>
      </w:tr>
      <w:tr w:rsidTr="00B121BF">
        <w:tblPrEx>
          <w:tblW w:w="6691" w:type="dxa"/>
          <w:jc w:val="center"/>
          <w:tblLook w:val="0000"/>
        </w:tblPrEx>
        <w:trPr>
          <w:jc w:val="center"/>
        </w:trPr>
        <w:tc>
          <w:tcPr>
            <w:tcW w:w="1429" w:type="dxa"/>
            <w:tcBorders>
              <w:top w:val="single" w:sz="12" w:space="0" w:color="auto"/>
            </w:tcBorders>
            <w:shd w:val="clear" w:color="auto" w:fill="auto"/>
            <w:noWrap/>
            <w:vAlign w:val="bottom"/>
          </w:tcPr>
          <w:p w:rsidR="000B385D" w:rsidRPr="00B121BF" w:rsidP="00B73C77">
            <w:pPr>
              <w:spacing w:before="40" w:after="40" w:line="220" w:lineRule="exact"/>
              <w:jc w:val="both"/>
              <w:rPr>
                <w:rFonts w:ascii="FrankRuehl" w:hAnsi="FrankRuehl" w:cs="FrankRuehl"/>
                <w:sz w:val="20"/>
                <w:szCs w:val="20"/>
              </w:rPr>
            </w:pPr>
            <w:r w:rsidRPr="00B121BF">
              <w:rPr>
                <w:rFonts w:ascii="FrankRuehl" w:hAnsi="FrankRuehl" w:cs="FrankRuehl"/>
                <w:sz w:val="20"/>
                <w:szCs w:val="20"/>
                <w:rtl/>
              </w:rPr>
              <w:t>2005</w:t>
            </w:r>
          </w:p>
        </w:tc>
        <w:tc>
          <w:tcPr>
            <w:tcW w:w="1233" w:type="dxa"/>
            <w:tcBorders>
              <w:top w:val="single" w:sz="12" w:space="0" w:color="auto"/>
            </w:tcBorders>
            <w:shd w:val="clear" w:color="auto" w:fill="auto"/>
          </w:tcPr>
          <w:p w:rsidR="000B385D" w:rsidRPr="00B121BF" w:rsidP="00B73C77">
            <w:pPr>
              <w:spacing w:before="40" w:after="40" w:line="220" w:lineRule="exact"/>
              <w:jc w:val="both"/>
              <w:rPr>
                <w:rFonts w:ascii="FrankRuehl" w:hAnsi="FrankRuehl" w:cs="FrankRuehl"/>
                <w:sz w:val="20"/>
                <w:szCs w:val="20"/>
              </w:rPr>
            </w:pPr>
            <w:r w:rsidRPr="00B121BF">
              <w:rPr>
                <w:rFonts w:ascii="FrankRuehl" w:hAnsi="FrankRuehl" w:cs="FrankRuehl"/>
                <w:sz w:val="20"/>
                <w:szCs w:val="20"/>
                <w:rtl/>
              </w:rPr>
              <w:t>30,412</w:t>
            </w:r>
          </w:p>
        </w:tc>
        <w:tc>
          <w:tcPr>
            <w:tcW w:w="1091" w:type="dxa"/>
            <w:tcBorders>
              <w:top w:val="single" w:sz="12" w:space="0" w:color="auto"/>
            </w:tcBorders>
            <w:shd w:val="clear" w:color="auto" w:fill="auto"/>
          </w:tcPr>
          <w:p w:rsidR="000B385D" w:rsidRPr="00B121BF" w:rsidP="00B73C77">
            <w:pPr>
              <w:spacing w:before="40" w:after="40" w:line="220" w:lineRule="exact"/>
              <w:jc w:val="both"/>
              <w:rPr>
                <w:rFonts w:ascii="FrankRuehl" w:hAnsi="FrankRuehl" w:cs="FrankRuehl"/>
                <w:sz w:val="20"/>
                <w:szCs w:val="20"/>
              </w:rPr>
            </w:pPr>
            <w:r w:rsidRPr="00B121BF">
              <w:rPr>
                <w:rFonts w:ascii="FrankRuehl" w:hAnsi="FrankRuehl" w:cs="FrankRuehl"/>
                <w:sz w:val="20"/>
                <w:szCs w:val="20"/>
                <w:rtl/>
              </w:rPr>
              <w:t>3,059</w:t>
            </w:r>
          </w:p>
        </w:tc>
        <w:tc>
          <w:tcPr>
            <w:tcW w:w="1158" w:type="dxa"/>
            <w:tcBorders>
              <w:top w:val="single" w:sz="12" w:space="0" w:color="auto"/>
            </w:tcBorders>
            <w:shd w:val="clear" w:color="auto" w:fill="auto"/>
          </w:tcPr>
          <w:p w:rsidR="000B385D" w:rsidRPr="00B121BF" w:rsidP="00B73C77">
            <w:pPr>
              <w:spacing w:before="40" w:after="40" w:line="220" w:lineRule="exact"/>
              <w:jc w:val="both"/>
              <w:rPr>
                <w:rFonts w:ascii="FrankRuehl" w:hAnsi="FrankRuehl" w:cs="FrankRuehl"/>
                <w:sz w:val="20"/>
                <w:szCs w:val="20"/>
              </w:rPr>
            </w:pPr>
            <w:r w:rsidRPr="00B121BF">
              <w:rPr>
                <w:rFonts w:ascii="FrankRuehl" w:hAnsi="FrankRuehl" w:cs="FrankRuehl"/>
                <w:sz w:val="20"/>
                <w:szCs w:val="20"/>
                <w:rtl/>
              </w:rPr>
              <w:t>33,471</w:t>
            </w:r>
          </w:p>
        </w:tc>
        <w:tc>
          <w:tcPr>
            <w:tcW w:w="1014" w:type="dxa"/>
            <w:tcBorders>
              <w:top w:val="single" w:sz="12" w:space="0" w:color="auto"/>
            </w:tcBorders>
            <w:shd w:val="clear" w:color="auto" w:fill="auto"/>
            <w:noWrap/>
            <w:vAlign w:val="bottom"/>
          </w:tcPr>
          <w:p w:rsidR="000B385D" w:rsidRPr="00B121BF" w:rsidP="00B73C77">
            <w:pPr>
              <w:spacing w:before="40" w:after="40" w:line="220" w:lineRule="exact"/>
              <w:jc w:val="both"/>
              <w:rPr>
                <w:rFonts w:ascii="FrankRuehl" w:hAnsi="FrankRuehl" w:cs="FrankRuehl"/>
                <w:sz w:val="20"/>
                <w:szCs w:val="20"/>
              </w:rPr>
            </w:pPr>
            <w:r w:rsidRPr="00B121BF">
              <w:rPr>
                <w:rFonts w:ascii="FrankRuehl" w:hAnsi="FrankRuehl" w:cs="FrankRuehl"/>
                <w:sz w:val="20"/>
                <w:szCs w:val="20"/>
                <w:rtl/>
              </w:rPr>
              <w:t>1,302</w:t>
            </w:r>
          </w:p>
        </w:tc>
        <w:tc>
          <w:tcPr>
            <w:tcW w:w="1120" w:type="dxa"/>
            <w:tcBorders>
              <w:top w:val="single" w:sz="12" w:space="0" w:color="auto"/>
            </w:tcBorders>
            <w:shd w:val="clear" w:color="auto" w:fill="auto"/>
            <w:noWrap/>
            <w:vAlign w:val="bottom"/>
          </w:tcPr>
          <w:p w:rsidR="000B385D" w:rsidRPr="00B121BF" w:rsidP="00B73C77">
            <w:pPr>
              <w:tabs>
                <w:tab w:val="decimal" w:pos="118"/>
              </w:tabs>
              <w:spacing w:before="40" w:after="40" w:line="220" w:lineRule="exact"/>
              <w:jc w:val="both"/>
              <w:rPr>
                <w:rFonts w:ascii="FrankRuehl" w:hAnsi="FrankRuehl" w:cs="FrankRuehl"/>
                <w:sz w:val="20"/>
                <w:szCs w:val="20"/>
              </w:rPr>
            </w:pPr>
            <w:r w:rsidRPr="00B121BF">
              <w:rPr>
                <w:rFonts w:ascii="FrankRuehl" w:hAnsi="FrankRuehl" w:cs="FrankRuehl"/>
                <w:sz w:val="20"/>
                <w:szCs w:val="20"/>
                <w:rtl/>
              </w:rPr>
              <w:t>238</w:t>
            </w:r>
          </w:p>
        </w:tc>
        <w:tc>
          <w:tcPr>
            <w:tcW w:w="1002" w:type="dxa"/>
            <w:tcBorders>
              <w:top w:val="single" w:sz="12" w:space="0" w:color="auto"/>
            </w:tcBorders>
            <w:shd w:val="clear" w:color="auto" w:fill="auto"/>
            <w:noWrap/>
            <w:vAlign w:val="bottom"/>
          </w:tcPr>
          <w:p w:rsidR="000B385D" w:rsidRPr="00B121BF" w:rsidP="00B73C77">
            <w:pPr>
              <w:tabs>
                <w:tab w:val="decimal" w:pos="118"/>
              </w:tabs>
              <w:spacing w:before="40" w:after="40" w:line="220" w:lineRule="exact"/>
              <w:jc w:val="both"/>
              <w:rPr>
                <w:rFonts w:ascii="FrankRuehl" w:hAnsi="FrankRuehl" w:cs="FrankRuehl"/>
                <w:sz w:val="20"/>
                <w:szCs w:val="20"/>
              </w:rPr>
            </w:pPr>
            <w:r w:rsidRPr="00B121BF">
              <w:rPr>
                <w:rFonts w:ascii="FrankRuehl" w:hAnsi="FrankRuehl" w:cs="FrankRuehl"/>
                <w:sz w:val="20"/>
                <w:szCs w:val="20"/>
                <w:rtl/>
              </w:rPr>
              <w:t>1,540</w:t>
            </w:r>
          </w:p>
        </w:tc>
      </w:tr>
      <w:tr w:rsidTr="00B121BF">
        <w:tblPrEx>
          <w:tblW w:w="6691" w:type="dxa"/>
          <w:jc w:val="center"/>
          <w:tblLook w:val="0000"/>
        </w:tblPrEx>
        <w:trPr>
          <w:jc w:val="center"/>
        </w:trPr>
        <w:tc>
          <w:tcPr>
            <w:tcW w:w="1429" w:type="dxa"/>
            <w:shd w:val="clear" w:color="auto" w:fill="auto"/>
            <w:noWrap/>
            <w:vAlign w:val="bottom"/>
          </w:tcPr>
          <w:p w:rsidR="000B385D" w:rsidRPr="00B121BF" w:rsidP="00B73C77">
            <w:pPr>
              <w:spacing w:before="40" w:after="40" w:line="220" w:lineRule="exact"/>
              <w:jc w:val="both"/>
              <w:rPr>
                <w:rFonts w:ascii="FrankRuehl" w:hAnsi="FrankRuehl" w:cs="FrankRuehl"/>
                <w:sz w:val="20"/>
                <w:szCs w:val="20"/>
                <w:rtl/>
              </w:rPr>
            </w:pPr>
            <w:r w:rsidRPr="00B121BF">
              <w:rPr>
                <w:rFonts w:ascii="FrankRuehl" w:hAnsi="FrankRuehl" w:cs="FrankRuehl"/>
                <w:sz w:val="20"/>
                <w:szCs w:val="20"/>
                <w:rtl/>
              </w:rPr>
              <w:t>2006</w:t>
            </w:r>
          </w:p>
        </w:tc>
        <w:tc>
          <w:tcPr>
            <w:tcW w:w="1233" w:type="dxa"/>
            <w:shd w:val="clear" w:color="auto" w:fill="auto"/>
          </w:tcPr>
          <w:p w:rsidR="000B385D" w:rsidRPr="00B121BF" w:rsidP="00B73C77">
            <w:pPr>
              <w:spacing w:before="40" w:after="40" w:line="220" w:lineRule="exact"/>
              <w:jc w:val="both"/>
              <w:rPr>
                <w:rFonts w:ascii="FrankRuehl" w:hAnsi="FrankRuehl" w:cs="FrankRuehl"/>
                <w:sz w:val="20"/>
                <w:szCs w:val="20"/>
              </w:rPr>
            </w:pPr>
            <w:r w:rsidRPr="00B121BF">
              <w:rPr>
                <w:rFonts w:ascii="FrankRuehl" w:hAnsi="FrankRuehl" w:cs="FrankRuehl"/>
                <w:sz w:val="20"/>
                <w:szCs w:val="20"/>
                <w:rtl/>
              </w:rPr>
              <w:t>30,610</w:t>
            </w:r>
          </w:p>
        </w:tc>
        <w:tc>
          <w:tcPr>
            <w:tcW w:w="1091" w:type="dxa"/>
            <w:shd w:val="clear" w:color="auto" w:fill="auto"/>
          </w:tcPr>
          <w:p w:rsidR="000B385D" w:rsidRPr="00B121BF" w:rsidP="00B73C77">
            <w:pPr>
              <w:spacing w:before="40" w:after="40" w:line="220" w:lineRule="exact"/>
              <w:jc w:val="both"/>
              <w:rPr>
                <w:rFonts w:ascii="FrankRuehl" w:hAnsi="FrankRuehl" w:cs="FrankRuehl"/>
                <w:sz w:val="20"/>
                <w:szCs w:val="20"/>
              </w:rPr>
            </w:pPr>
            <w:r w:rsidRPr="00B121BF">
              <w:rPr>
                <w:rFonts w:ascii="FrankRuehl" w:hAnsi="FrankRuehl" w:cs="FrankRuehl"/>
                <w:sz w:val="20"/>
                <w:szCs w:val="20"/>
                <w:rtl/>
              </w:rPr>
              <w:t>5,536</w:t>
            </w:r>
          </w:p>
        </w:tc>
        <w:tc>
          <w:tcPr>
            <w:tcW w:w="1158" w:type="dxa"/>
            <w:shd w:val="clear" w:color="auto" w:fill="auto"/>
          </w:tcPr>
          <w:p w:rsidR="000B385D" w:rsidRPr="00B121BF" w:rsidP="00B73C77">
            <w:pPr>
              <w:spacing w:before="40" w:after="40" w:line="220" w:lineRule="exact"/>
              <w:jc w:val="both"/>
              <w:rPr>
                <w:rFonts w:ascii="FrankRuehl" w:hAnsi="FrankRuehl" w:cs="FrankRuehl"/>
                <w:sz w:val="20"/>
                <w:szCs w:val="20"/>
              </w:rPr>
            </w:pPr>
            <w:r w:rsidRPr="00B121BF">
              <w:rPr>
                <w:rFonts w:ascii="FrankRuehl" w:hAnsi="FrankRuehl" w:cs="FrankRuehl"/>
                <w:sz w:val="20"/>
                <w:szCs w:val="20"/>
                <w:rtl/>
              </w:rPr>
              <w:t>36,146</w:t>
            </w:r>
          </w:p>
        </w:tc>
        <w:tc>
          <w:tcPr>
            <w:tcW w:w="1014" w:type="dxa"/>
            <w:shd w:val="clear" w:color="auto" w:fill="auto"/>
            <w:noWrap/>
            <w:vAlign w:val="bottom"/>
          </w:tcPr>
          <w:p w:rsidR="000B385D" w:rsidRPr="00B121BF" w:rsidP="00B73C77">
            <w:pPr>
              <w:spacing w:before="40" w:after="40" w:line="220" w:lineRule="exact"/>
              <w:jc w:val="both"/>
              <w:rPr>
                <w:rFonts w:ascii="FrankRuehl" w:hAnsi="FrankRuehl" w:cs="FrankRuehl"/>
                <w:sz w:val="20"/>
                <w:szCs w:val="20"/>
                <w:rtl/>
              </w:rPr>
            </w:pPr>
            <w:r w:rsidRPr="00B121BF">
              <w:rPr>
                <w:rFonts w:ascii="FrankRuehl" w:hAnsi="FrankRuehl" w:cs="FrankRuehl"/>
                <w:sz w:val="20"/>
                <w:szCs w:val="20"/>
                <w:rtl/>
              </w:rPr>
              <w:t>1,333</w:t>
            </w:r>
          </w:p>
        </w:tc>
        <w:tc>
          <w:tcPr>
            <w:tcW w:w="1120" w:type="dxa"/>
            <w:shd w:val="clear" w:color="auto" w:fill="auto"/>
            <w:noWrap/>
            <w:vAlign w:val="bottom"/>
          </w:tcPr>
          <w:p w:rsidR="000B385D" w:rsidRPr="00B121BF" w:rsidP="00B73C77">
            <w:pPr>
              <w:tabs>
                <w:tab w:val="decimal" w:pos="118"/>
              </w:tabs>
              <w:spacing w:before="40" w:after="40" w:line="220" w:lineRule="exact"/>
              <w:jc w:val="both"/>
              <w:rPr>
                <w:rFonts w:ascii="FrankRuehl" w:hAnsi="FrankRuehl" w:cs="FrankRuehl"/>
                <w:sz w:val="20"/>
                <w:szCs w:val="20"/>
              </w:rPr>
            </w:pPr>
            <w:r w:rsidRPr="00B121BF">
              <w:rPr>
                <w:rFonts w:ascii="FrankRuehl" w:hAnsi="FrankRuehl" w:cs="FrankRuehl"/>
                <w:sz w:val="20"/>
                <w:szCs w:val="20"/>
                <w:rtl/>
              </w:rPr>
              <w:t>1,247</w:t>
            </w:r>
          </w:p>
        </w:tc>
        <w:tc>
          <w:tcPr>
            <w:tcW w:w="1002" w:type="dxa"/>
            <w:shd w:val="clear" w:color="auto" w:fill="auto"/>
            <w:noWrap/>
            <w:vAlign w:val="bottom"/>
          </w:tcPr>
          <w:p w:rsidR="000B385D" w:rsidRPr="00B121BF" w:rsidP="00B73C77">
            <w:pPr>
              <w:tabs>
                <w:tab w:val="decimal" w:pos="118"/>
              </w:tabs>
              <w:spacing w:before="40" w:after="40" w:line="220" w:lineRule="exact"/>
              <w:jc w:val="both"/>
              <w:rPr>
                <w:rFonts w:ascii="FrankRuehl" w:hAnsi="FrankRuehl" w:cs="FrankRuehl"/>
                <w:sz w:val="20"/>
                <w:szCs w:val="20"/>
              </w:rPr>
            </w:pPr>
            <w:r w:rsidRPr="00B121BF">
              <w:rPr>
                <w:rFonts w:ascii="FrankRuehl" w:hAnsi="FrankRuehl" w:cs="FrankRuehl"/>
                <w:sz w:val="20"/>
                <w:szCs w:val="20"/>
                <w:rtl/>
              </w:rPr>
              <w:t>2,580</w:t>
            </w:r>
          </w:p>
        </w:tc>
      </w:tr>
      <w:tr w:rsidTr="00B121BF">
        <w:tblPrEx>
          <w:tblW w:w="6691" w:type="dxa"/>
          <w:jc w:val="center"/>
          <w:tblLook w:val="0000"/>
        </w:tblPrEx>
        <w:trPr>
          <w:jc w:val="center"/>
        </w:trPr>
        <w:tc>
          <w:tcPr>
            <w:tcW w:w="1429" w:type="dxa"/>
            <w:shd w:val="clear" w:color="auto" w:fill="auto"/>
            <w:noWrap/>
            <w:vAlign w:val="bottom"/>
          </w:tcPr>
          <w:p w:rsidR="000B385D" w:rsidRPr="00B121BF" w:rsidP="00B73C77">
            <w:pPr>
              <w:spacing w:before="40" w:after="40" w:line="220" w:lineRule="exact"/>
              <w:jc w:val="both"/>
              <w:rPr>
                <w:rFonts w:ascii="FrankRuehl" w:hAnsi="FrankRuehl" w:cs="FrankRuehl"/>
                <w:sz w:val="20"/>
                <w:szCs w:val="20"/>
              </w:rPr>
            </w:pPr>
            <w:r w:rsidRPr="00B121BF">
              <w:rPr>
                <w:rFonts w:ascii="FrankRuehl" w:hAnsi="FrankRuehl" w:cs="FrankRuehl"/>
                <w:sz w:val="20"/>
                <w:szCs w:val="20"/>
                <w:rtl/>
              </w:rPr>
              <w:t>2007</w:t>
            </w:r>
          </w:p>
        </w:tc>
        <w:tc>
          <w:tcPr>
            <w:tcW w:w="1233" w:type="dxa"/>
            <w:shd w:val="clear" w:color="auto" w:fill="auto"/>
          </w:tcPr>
          <w:p w:rsidR="000B385D" w:rsidRPr="00B121BF" w:rsidP="00B73C77">
            <w:pPr>
              <w:spacing w:before="40" w:after="40" w:line="220" w:lineRule="exact"/>
              <w:jc w:val="both"/>
              <w:rPr>
                <w:rFonts w:ascii="FrankRuehl" w:hAnsi="FrankRuehl" w:cs="FrankRuehl"/>
                <w:sz w:val="20"/>
                <w:szCs w:val="20"/>
              </w:rPr>
            </w:pPr>
            <w:r w:rsidRPr="00B121BF">
              <w:rPr>
                <w:rFonts w:ascii="FrankRuehl" w:hAnsi="FrankRuehl" w:cs="FrankRuehl"/>
                <w:sz w:val="20"/>
                <w:szCs w:val="20"/>
                <w:rtl/>
              </w:rPr>
              <w:t>30,080</w:t>
            </w:r>
          </w:p>
        </w:tc>
        <w:tc>
          <w:tcPr>
            <w:tcW w:w="1091" w:type="dxa"/>
            <w:shd w:val="clear" w:color="auto" w:fill="auto"/>
          </w:tcPr>
          <w:p w:rsidR="000B385D" w:rsidRPr="00B121BF" w:rsidP="00B73C77">
            <w:pPr>
              <w:spacing w:before="40" w:after="40" w:line="220" w:lineRule="exact"/>
              <w:jc w:val="both"/>
              <w:rPr>
                <w:rFonts w:ascii="FrankRuehl" w:hAnsi="FrankRuehl" w:cs="FrankRuehl"/>
                <w:sz w:val="20"/>
                <w:szCs w:val="20"/>
              </w:rPr>
            </w:pPr>
            <w:r w:rsidRPr="00B121BF">
              <w:rPr>
                <w:rFonts w:ascii="FrankRuehl" w:hAnsi="FrankRuehl" w:cs="FrankRuehl"/>
                <w:sz w:val="20"/>
                <w:szCs w:val="20"/>
                <w:rtl/>
              </w:rPr>
              <w:t>8,624</w:t>
            </w:r>
          </w:p>
        </w:tc>
        <w:tc>
          <w:tcPr>
            <w:tcW w:w="1158" w:type="dxa"/>
            <w:shd w:val="clear" w:color="auto" w:fill="auto"/>
          </w:tcPr>
          <w:p w:rsidR="000B385D" w:rsidRPr="00B121BF" w:rsidP="00B73C77">
            <w:pPr>
              <w:spacing w:before="40" w:after="40" w:line="220" w:lineRule="exact"/>
              <w:jc w:val="both"/>
              <w:rPr>
                <w:rFonts w:ascii="FrankRuehl" w:hAnsi="FrankRuehl" w:cs="FrankRuehl"/>
                <w:sz w:val="20"/>
                <w:szCs w:val="20"/>
              </w:rPr>
            </w:pPr>
            <w:r w:rsidRPr="00B121BF">
              <w:rPr>
                <w:rFonts w:ascii="FrankRuehl" w:hAnsi="FrankRuehl" w:cs="FrankRuehl"/>
                <w:sz w:val="20"/>
                <w:szCs w:val="20"/>
                <w:rtl/>
              </w:rPr>
              <w:t>38,704</w:t>
            </w:r>
          </w:p>
        </w:tc>
        <w:tc>
          <w:tcPr>
            <w:tcW w:w="1014" w:type="dxa"/>
            <w:shd w:val="clear" w:color="auto" w:fill="auto"/>
            <w:noWrap/>
            <w:vAlign w:val="bottom"/>
          </w:tcPr>
          <w:p w:rsidR="000B385D" w:rsidRPr="00B121BF" w:rsidP="00B73C77">
            <w:pPr>
              <w:spacing w:before="40" w:after="40" w:line="220" w:lineRule="exact"/>
              <w:jc w:val="both"/>
              <w:rPr>
                <w:rFonts w:ascii="FrankRuehl" w:hAnsi="FrankRuehl" w:cs="FrankRuehl"/>
                <w:sz w:val="20"/>
                <w:szCs w:val="20"/>
                <w:rtl/>
              </w:rPr>
            </w:pPr>
            <w:r w:rsidRPr="00B121BF">
              <w:rPr>
                <w:rFonts w:ascii="FrankRuehl" w:hAnsi="FrankRuehl" w:cs="FrankRuehl"/>
                <w:sz w:val="20"/>
                <w:szCs w:val="20"/>
                <w:rtl/>
              </w:rPr>
              <w:t>1,331</w:t>
            </w:r>
          </w:p>
        </w:tc>
        <w:tc>
          <w:tcPr>
            <w:tcW w:w="1120" w:type="dxa"/>
            <w:shd w:val="clear" w:color="auto" w:fill="auto"/>
            <w:noWrap/>
            <w:vAlign w:val="bottom"/>
          </w:tcPr>
          <w:p w:rsidR="000B385D" w:rsidRPr="00B121BF" w:rsidP="00B73C77">
            <w:pPr>
              <w:tabs>
                <w:tab w:val="decimal" w:pos="118"/>
              </w:tabs>
              <w:spacing w:before="40" w:after="40" w:line="220" w:lineRule="exact"/>
              <w:jc w:val="both"/>
              <w:rPr>
                <w:rFonts w:ascii="FrankRuehl" w:hAnsi="FrankRuehl" w:cs="FrankRuehl"/>
                <w:sz w:val="20"/>
                <w:szCs w:val="20"/>
                <w:rtl/>
              </w:rPr>
            </w:pPr>
            <w:r w:rsidRPr="00B121BF">
              <w:rPr>
                <w:rFonts w:ascii="FrankRuehl" w:hAnsi="FrankRuehl" w:cs="FrankRuehl"/>
                <w:sz w:val="20"/>
                <w:szCs w:val="20"/>
                <w:rtl/>
              </w:rPr>
              <w:t>(931)</w:t>
            </w:r>
          </w:p>
        </w:tc>
        <w:tc>
          <w:tcPr>
            <w:tcW w:w="1002" w:type="dxa"/>
            <w:shd w:val="clear" w:color="auto" w:fill="auto"/>
            <w:noWrap/>
            <w:vAlign w:val="bottom"/>
          </w:tcPr>
          <w:p w:rsidR="000B385D" w:rsidRPr="00B121BF" w:rsidP="00B73C77">
            <w:pPr>
              <w:tabs>
                <w:tab w:val="decimal" w:pos="118"/>
              </w:tabs>
              <w:spacing w:before="40" w:after="40" w:line="220" w:lineRule="exact"/>
              <w:jc w:val="both"/>
              <w:rPr>
                <w:rFonts w:ascii="FrankRuehl" w:hAnsi="FrankRuehl" w:cs="FrankRuehl"/>
                <w:sz w:val="20"/>
                <w:szCs w:val="20"/>
              </w:rPr>
            </w:pPr>
            <w:r w:rsidRPr="00B121BF">
              <w:rPr>
                <w:rFonts w:ascii="FrankRuehl" w:hAnsi="FrankRuehl" w:cs="FrankRuehl"/>
                <w:sz w:val="20"/>
                <w:szCs w:val="20"/>
                <w:rtl/>
              </w:rPr>
              <w:t>400</w:t>
            </w:r>
          </w:p>
        </w:tc>
      </w:tr>
      <w:tr w:rsidTr="00B121BF">
        <w:tblPrEx>
          <w:tblW w:w="6691" w:type="dxa"/>
          <w:jc w:val="center"/>
          <w:tblLook w:val="0000"/>
        </w:tblPrEx>
        <w:trPr>
          <w:jc w:val="center"/>
        </w:trPr>
        <w:tc>
          <w:tcPr>
            <w:tcW w:w="1429" w:type="dxa"/>
            <w:shd w:val="clear" w:color="auto" w:fill="auto"/>
            <w:noWrap/>
            <w:vAlign w:val="bottom"/>
          </w:tcPr>
          <w:p w:rsidR="000B385D" w:rsidRPr="00B121BF" w:rsidP="00B73C77">
            <w:pPr>
              <w:spacing w:before="40" w:after="40" w:line="220" w:lineRule="exact"/>
              <w:jc w:val="both"/>
              <w:rPr>
                <w:rFonts w:ascii="FrankRuehl" w:hAnsi="FrankRuehl" w:cs="FrankRuehl"/>
                <w:sz w:val="20"/>
                <w:szCs w:val="20"/>
                <w:rtl/>
              </w:rPr>
            </w:pPr>
            <w:r w:rsidRPr="00B121BF">
              <w:rPr>
                <w:rFonts w:ascii="FrankRuehl" w:hAnsi="FrankRuehl" w:cs="FrankRuehl"/>
                <w:sz w:val="20"/>
                <w:szCs w:val="20"/>
                <w:rtl/>
              </w:rPr>
              <w:t>2008</w:t>
            </w:r>
          </w:p>
        </w:tc>
        <w:tc>
          <w:tcPr>
            <w:tcW w:w="1233" w:type="dxa"/>
            <w:shd w:val="clear" w:color="auto" w:fill="auto"/>
          </w:tcPr>
          <w:p w:rsidR="000B385D" w:rsidRPr="00B121BF" w:rsidP="00B73C77">
            <w:pPr>
              <w:spacing w:before="40" w:after="40" w:line="220" w:lineRule="exact"/>
              <w:jc w:val="both"/>
              <w:rPr>
                <w:rFonts w:ascii="FrankRuehl" w:hAnsi="FrankRuehl" w:cs="FrankRuehl"/>
                <w:sz w:val="20"/>
                <w:szCs w:val="20"/>
              </w:rPr>
            </w:pPr>
            <w:r w:rsidRPr="00B121BF">
              <w:rPr>
                <w:rFonts w:ascii="FrankRuehl" w:hAnsi="FrankRuehl" w:cs="FrankRuehl"/>
                <w:sz w:val="20"/>
                <w:szCs w:val="20"/>
                <w:rtl/>
              </w:rPr>
              <w:t>33,950</w:t>
            </w:r>
          </w:p>
        </w:tc>
        <w:tc>
          <w:tcPr>
            <w:tcW w:w="1091" w:type="dxa"/>
            <w:shd w:val="clear" w:color="auto" w:fill="auto"/>
          </w:tcPr>
          <w:p w:rsidR="000B385D" w:rsidRPr="00B121BF" w:rsidP="00B73C77">
            <w:pPr>
              <w:spacing w:before="40" w:after="40" w:line="220" w:lineRule="exact"/>
              <w:jc w:val="both"/>
              <w:rPr>
                <w:rFonts w:ascii="FrankRuehl" w:hAnsi="FrankRuehl" w:cs="FrankRuehl"/>
                <w:sz w:val="20"/>
                <w:szCs w:val="20"/>
              </w:rPr>
            </w:pPr>
            <w:r w:rsidRPr="00B121BF">
              <w:rPr>
                <w:rFonts w:ascii="FrankRuehl" w:hAnsi="FrankRuehl" w:cs="FrankRuehl"/>
                <w:sz w:val="20"/>
                <w:szCs w:val="20"/>
                <w:rtl/>
              </w:rPr>
              <w:t>10,484</w:t>
            </w:r>
          </w:p>
        </w:tc>
        <w:tc>
          <w:tcPr>
            <w:tcW w:w="1158" w:type="dxa"/>
            <w:shd w:val="clear" w:color="auto" w:fill="auto"/>
          </w:tcPr>
          <w:p w:rsidR="000B385D" w:rsidRPr="00B121BF" w:rsidP="00B73C77">
            <w:pPr>
              <w:spacing w:before="40" w:after="40" w:line="220" w:lineRule="exact"/>
              <w:jc w:val="both"/>
              <w:rPr>
                <w:rFonts w:ascii="FrankRuehl" w:hAnsi="FrankRuehl" w:cs="FrankRuehl"/>
                <w:sz w:val="20"/>
                <w:szCs w:val="20"/>
              </w:rPr>
            </w:pPr>
            <w:r w:rsidRPr="00B121BF">
              <w:rPr>
                <w:rFonts w:ascii="FrankRuehl" w:hAnsi="FrankRuehl" w:cs="FrankRuehl"/>
                <w:sz w:val="20"/>
                <w:szCs w:val="20"/>
                <w:rtl/>
              </w:rPr>
              <w:t>44,434</w:t>
            </w:r>
          </w:p>
        </w:tc>
        <w:tc>
          <w:tcPr>
            <w:tcW w:w="1014" w:type="dxa"/>
            <w:shd w:val="clear" w:color="auto" w:fill="auto"/>
            <w:noWrap/>
            <w:vAlign w:val="bottom"/>
          </w:tcPr>
          <w:p w:rsidR="000B385D" w:rsidRPr="00B121BF" w:rsidP="00B73C77">
            <w:pPr>
              <w:spacing w:before="40" w:after="40" w:line="220" w:lineRule="exact"/>
              <w:jc w:val="both"/>
              <w:rPr>
                <w:rFonts w:ascii="FrankRuehl" w:hAnsi="FrankRuehl" w:cs="FrankRuehl"/>
                <w:sz w:val="20"/>
                <w:szCs w:val="20"/>
                <w:rtl/>
              </w:rPr>
            </w:pPr>
            <w:r w:rsidRPr="00B121BF">
              <w:rPr>
                <w:rFonts w:ascii="FrankRuehl" w:hAnsi="FrankRuehl" w:cs="FrankRuehl"/>
                <w:sz w:val="20"/>
                <w:szCs w:val="20"/>
                <w:rtl/>
              </w:rPr>
              <w:t>1,629</w:t>
            </w:r>
          </w:p>
        </w:tc>
        <w:tc>
          <w:tcPr>
            <w:tcW w:w="1120" w:type="dxa"/>
            <w:shd w:val="clear" w:color="auto" w:fill="auto"/>
            <w:noWrap/>
            <w:vAlign w:val="bottom"/>
          </w:tcPr>
          <w:p w:rsidR="000B385D" w:rsidRPr="00B121BF" w:rsidP="00B73C77">
            <w:pPr>
              <w:tabs>
                <w:tab w:val="decimal" w:pos="118"/>
              </w:tabs>
              <w:spacing w:before="40" w:after="40" w:line="220" w:lineRule="exact"/>
              <w:jc w:val="both"/>
              <w:rPr>
                <w:rFonts w:ascii="FrankRuehl" w:hAnsi="FrankRuehl" w:cs="FrankRuehl"/>
                <w:sz w:val="20"/>
                <w:szCs w:val="20"/>
                <w:rtl/>
              </w:rPr>
            </w:pPr>
            <w:r w:rsidRPr="00B121BF">
              <w:rPr>
                <w:rFonts w:ascii="FrankRuehl" w:hAnsi="FrankRuehl" w:cs="FrankRuehl"/>
                <w:sz w:val="20"/>
                <w:szCs w:val="20"/>
                <w:rtl/>
              </w:rPr>
              <w:t>(2,537)</w:t>
            </w:r>
          </w:p>
        </w:tc>
        <w:tc>
          <w:tcPr>
            <w:tcW w:w="1002" w:type="dxa"/>
            <w:shd w:val="clear" w:color="auto" w:fill="auto"/>
            <w:noWrap/>
            <w:vAlign w:val="bottom"/>
          </w:tcPr>
          <w:p w:rsidR="000B385D" w:rsidRPr="00B121BF" w:rsidP="00B73C77">
            <w:pPr>
              <w:tabs>
                <w:tab w:val="decimal" w:pos="118"/>
              </w:tabs>
              <w:spacing w:before="40" w:after="40" w:line="220" w:lineRule="exact"/>
              <w:jc w:val="both"/>
              <w:rPr>
                <w:rFonts w:ascii="FrankRuehl" w:hAnsi="FrankRuehl" w:cs="FrankRuehl"/>
                <w:sz w:val="20"/>
                <w:szCs w:val="20"/>
              </w:rPr>
            </w:pPr>
            <w:r w:rsidRPr="00B121BF">
              <w:rPr>
                <w:rFonts w:ascii="FrankRuehl" w:hAnsi="FrankRuehl" w:cs="FrankRuehl"/>
                <w:sz w:val="20"/>
                <w:szCs w:val="20"/>
                <w:rtl/>
              </w:rPr>
              <w:t>(908)</w:t>
            </w:r>
          </w:p>
        </w:tc>
      </w:tr>
      <w:tr w:rsidTr="00B121BF">
        <w:tblPrEx>
          <w:tblW w:w="6691" w:type="dxa"/>
          <w:jc w:val="center"/>
          <w:tblLook w:val="0000"/>
        </w:tblPrEx>
        <w:trPr>
          <w:jc w:val="center"/>
        </w:trPr>
        <w:tc>
          <w:tcPr>
            <w:tcW w:w="1429" w:type="dxa"/>
            <w:shd w:val="clear" w:color="auto" w:fill="auto"/>
            <w:noWrap/>
            <w:vAlign w:val="bottom"/>
          </w:tcPr>
          <w:p w:rsidR="000B385D" w:rsidRPr="00B121BF" w:rsidP="00B73C77">
            <w:pPr>
              <w:spacing w:before="40" w:after="40" w:line="220" w:lineRule="exact"/>
              <w:jc w:val="both"/>
              <w:rPr>
                <w:rFonts w:ascii="FrankRuehl" w:hAnsi="FrankRuehl" w:cs="FrankRuehl"/>
                <w:sz w:val="20"/>
                <w:szCs w:val="20"/>
                <w:rtl/>
              </w:rPr>
            </w:pPr>
            <w:r w:rsidRPr="00B121BF">
              <w:rPr>
                <w:rFonts w:ascii="FrankRuehl" w:hAnsi="FrankRuehl" w:cs="FrankRuehl"/>
                <w:sz w:val="20"/>
                <w:szCs w:val="20"/>
                <w:rtl/>
              </w:rPr>
              <w:t>2009</w:t>
            </w:r>
          </w:p>
        </w:tc>
        <w:tc>
          <w:tcPr>
            <w:tcW w:w="1233" w:type="dxa"/>
            <w:shd w:val="clear" w:color="auto" w:fill="auto"/>
          </w:tcPr>
          <w:p w:rsidR="000B385D" w:rsidRPr="00B121BF" w:rsidP="00B73C77">
            <w:pPr>
              <w:spacing w:before="40" w:after="40" w:line="220" w:lineRule="exact"/>
              <w:jc w:val="both"/>
              <w:rPr>
                <w:rFonts w:ascii="FrankRuehl" w:hAnsi="FrankRuehl" w:cs="FrankRuehl"/>
                <w:sz w:val="20"/>
                <w:szCs w:val="20"/>
              </w:rPr>
            </w:pPr>
            <w:r w:rsidRPr="00B121BF">
              <w:rPr>
                <w:rFonts w:ascii="FrankRuehl" w:hAnsi="FrankRuehl" w:cs="FrankRuehl"/>
                <w:sz w:val="20"/>
                <w:szCs w:val="20"/>
                <w:rtl/>
              </w:rPr>
              <w:t>35,121</w:t>
            </w:r>
          </w:p>
        </w:tc>
        <w:tc>
          <w:tcPr>
            <w:tcW w:w="1091" w:type="dxa"/>
            <w:shd w:val="clear" w:color="auto" w:fill="auto"/>
          </w:tcPr>
          <w:p w:rsidR="000B385D" w:rsidRPr="00B121BF" w:rsidP="00B73C77">
            <w:pPr>
              <w:spacing w:before="40" w:after="40" w:line="220" w:lineRule="exact"/>
              <w:jc w:val="both"/>
              <w:rPr>
                <w:rFonts w:ascii="FrankRuehl" w:hAnsi="FrankRuehl" w:cs="FrankRuehl"/>
                <w:sz w:val="20"/>
                <w:szCs w:val="20"/>
              </w:rPr>
            </w:pPr>
            <w:r w:rsidRPr="00B121BF">
              <w:rPr>
                <w:rFonts w:ascii="FrankRuehl" w:hAnsi="FrankRuehl" w:cs="FrankRuehl"/>
                <w:sz w:val="20"/>
                <w:szCs w:val="20"/>
                <w:rtl/>
              </w:rPr>
              <w:t>19,996</w:t>
            </w:r>
          </w:p>
        </w:tc>
        <w:tc>
          <w:tcPr>
            <w:tcW w:w="1158" w:type="dxa"/>
            <w:shd w:val="clear" w:color="auto" w:fill="auto"/>
          </w:tcPr>
          <w:p w:rsidR="000B385D" w:rsidRPr="00B121BF" w:rsidP="00B73C77">
            <w:pPr>
              <w:spacing w:before="40" w:after="40" w:line="220" w:lineRule="exact"/>
              <w:jc w:val="both"/>
              <w:rPr>
                <w:rFonts w:ascii="FrankRuehl" w:hAnsi="FrankRuehl" w:cs="FrankRuehl"/>
                <w:sz w:val="20"/>
                <w:szCs w:val="20"/>
              </w:rPr>
            </w:pPr>
            <w:r w:rsidRPr="00B121BF">
              <w:rPr>
                <w:rFonts w:ascii="FrankRuehl" w:hAnsi="FrankRuehl" w:cs="FrankRuehl"/>
                <w:sz w:val="20"/>
                <w:szCs w:val="20"/>
                <w:rtl/>
              </w:rPr>
              <w:t>55,117</w:t>
            </w:r>
          </w:p>
        </w:tc>
        <w:tc>
          <w:tcPr>
            <w:tcW w:w="1014" w:type="dxa"/>
            <w:shd w:val="clear" w:color="auto" w:fill="auto"/>
            <w:noWrap/>
            <w:vAlign w:val="bottom"/>
          </w:tcPr>
          <w:p w:rsidR="000B385D" w:rsidRPr="00B121BF" w:rsidP="00B73C77">
            <w:pPr>
              <w:spacing w:before="40" w:after="40" w:line="220" w:lineRule="exact"/>
              <w:jc w:val="both"/>
              <w:rPr>
                <w:rFonts w:ascii="FrankRuehl" w:hAnsi="FrankRuehl" w:cs="FrankRuehl"/>
                <w:sz w:val="20"/>
                <w:szCs w:val="20"/>
                <w:rtl/>
              </w:rPr>
            </w:pPr>
            <w:r w:rsidRPr="00B121BF">
              <w:rPr>
                <w:rFonts w:ascii="FrankRuehl" w:hAnsi="FrankRuehl" w:cs="FrankRuehl"/>
                <w:sz w:val="20"/>
                <w:szCs w:val="20"/>
                <w:rtl/>
              </w:rPr>
              <w:t>1,346</w:t>
            </w:r>
          </w:p>
        </w:tc>
        <w:tc>
          <w:tcPr>
            <w:tcW w:w="1120" w:type="dxa"/>
            <w:shd w:val="clear" w:color="auto" w:fill="auto"/>
            <w:noWrap/>
            <w:vAlign w:val="bottom"/>
          </w:tcPr>
          <w:p w:rsidR="000B385D" w:rsidRPr="00B121BF" w:rsidP="00B73C77">
            <w:pPr>
              <w:tabs>
                <w:tab w:val="decimal" w:pos="118"/>
              </w:tabs>
              <w:spacing w:before="40" w:after="40" w:line="220" w:lineRule="exact"/>
              <w:jc w:val="both"/>
              <w:rPr>
                <w:rFonts w:ascii="FrankRuehl" w:hAnsi="FrankRuehl" w:cs="FrankRuehl"/>
                <w:sz w:val="20"/>
                <w:szCs w:val="20"/>
              </w:rPr>
            </w:pPr>
            <w:r w:rsidRPr="00B121BF">
              <w:rPr>
                <w:rFonts w:ascii="FrankRuehl" w:hAnsi="FrankRuehl" w:cs="FrankRuehl"/>
                <w:sz w:val="20"/>
                <w:szCs w:val="20"/>
                <w:rtl/>
              </w:rPr>
              <w:t>(1,400)</w:t>
            </w:r>
          </w:p>
        </w:tc>
        <w:tc>
          <w:tcPr>
            <w:tcW w:w="1002" w:type="dxa"/>
            <w:shd w:val="clear" w:color="auto" w:fill="auto"/>
            <w:noWrap/>
            <w:vAlign w:val="bottom"/>
          </w:tcPr>
          <w:p w:rsidR="000B385D" w:rsidRPr="00B121BF" w:rsidP="00B73C77">
            <w:pPr>
              <w:tabs>
                <w:tab w:val="decimal" w:pos="118"/>
              </w:tabs>
              <w:spacing w:before="40" w:after="40" w:line="220" w:lineRule="exact"/>
              <w:jc w:val="both"/>
              <w:rPr>
                <w:rFonts w:ascii="FrankRuehl" w:hAnsi="FrankRuehl" w:cs="FrankRuehl"/>
                <w:sz w:val="20"/>
                <w:szCs w:val="20"/>
              </w:rPr>
            </w:pPr>
            <w:r w:rsidRPr="00B121BF">
              <w:rPr>
                <w:rFonts w:ascii="FrankRuehl" w:hAnsi="FrankRuehl" w:cs="FrankRuehl"/>
                <w:sz w:val="20"/>
                <w:szCs w:val="20"/>
                <w:rtl/>
              </w:rPr>
              <w:t>(54)</w:t>
            </w:r>
          </w:p>
        </w:tc>
      </w:tr>
      <w:tr w:rsidTr="00B121BF">
        <w:tblPrEx>
          <w:tblW w:w="6691" w:type="dxa"/>
          <w:jc w:val="center"/>
          <w:tblLook w:val="0000"/>
        </w:tblPrEx>
        <w:trPr>
          <w:jc w:val="center"/>
        </w:trPr>
        <w:tc>
          <w:tcPr>
            <w:tcW w:w="1429" w:type="dxa"/>
            <w:shd w:val="clear" w:color="auto" w:fill="auto"/>
            <w:noWrap/>
            <w:vAlign w:val="bottom"/>
          </w:tcPr>
          <w:p w:rsidR="000B385D" w:rsidRPr="00B121BF" w:rsidP="00B73C77">
            <w:pPr>
              <w:spacing w:before="40" w:after="40" w:line="220" w:lineRule="exact"/>
              <w:jc w:val="both"/>
              <w:rPr>
                <w:rFonts w:ascii="FrankRuehl" w:hAnsi="FrankRuehl" w:cs="FrankRuehl"/>
                <w:sz w:val="20"/>
                <w:szCs w:val="20"/>
                <w:rtl/>
              </w:rPr>
            </w:pPr>
            <w:r w:rsidRPr="00B121BF">
              <w:rPr>
                <w:rFonts w:ascii="FrankRuehl" w:hAnsi="FrankRuehl" w:cs="FrankRuehl"/>
                <w:sz w:val="20"/>
                <w:szCs w:val="20"/>
                <w:rtl/>
              </w:rPr>
              <w:t>2010</w:t>
            </w:r>
          </w:p>
        </w:tc>
        <w:tc>
          <w:tcPr>
            <w:tcW w:w="1233" w:type="dxa"/>
            <w:shd w:val="clear" w:color="auto" w:fill="auto"/>
          </w:tcPr>
          <w:p w:rsidR="000B385D" w:rsidRPr="00B121BF" w:rsidP="00B73C77">
            <w:pPr>
              <w:spacing w:before="40" w:after="40" w:line="220" w:lineRule="exact"/>
              <w:jc w:val="both"/>
              <w:rPr>
                <w:rFonts w:ascii="FrankRuehl" w:hAnsi="FrankRuehl" w:cs="FrankRuehl"/>
                <w:sz w:val="20"/>
                <w:szCs w:val="20"/>
              </w:rPr>
            </w:pPr>
            <w:r w:rsidRPr="00B121BF">
              <w:rPr>
                <w:rFonts w:ascii="FrankRuehl" w:hAnsi="FrankRuehl" w:cs="FrankRuehl"/>
                <w:sz w:val="20"/>
                <w:szCs w:val="20"/>
                <w:rtl/>
              </w:rPr>
              <w:t>41,656</w:t>
            </w:r>
          </w:p>
        </w:tc>
        <w:tc>
          <w:tcPr>
            <w:tcW w:w="1091" w:type="dxa"/>
            <w:shd w:val="clear" w:color="auto" w:fill="auto"/>
          </w:tcPr>
          <w:p w:rsidR="000B385D" w:rsidRPr="00B121BF" w:rsidP="00B73C77">
            <w:pPr>
              <w:spacing w:before="40" w:after="40" w:line="220" w:lineRule="exact"/>
              <w:jc w:val="both"/>
              <w:rPr>
                <w:rFonts w:ascii="FrankRuehl" w:hAnsi="FrankRuehl" w:cs="FrankRuehl"/>
                <w:sz w:val="20"/>
                <w:szCs w:val="20"/>
              </w:rPr>
            </w:pPr>
            <w:r w:rsidRPr="00B121BF">
              <w:rPr>
                <w:rFonts w:ascii="FrankRuehl" w:hAnsi="FrankRuehl" w:cs="FrankRuehl"/>
                <w:sz w:val="20"/>
                <w:szCs w:val="20"/>
                <w:rtl/>
              </w:rPr>
              <w:t>21,710</w:t>
            </w:r>
          </w:p>
        </w:tc>
        <w:tc>
          <w:tcPr>
            <w:tcW w:w="1158" w:type="dxa"/>
            <w:shd w:val="clear" w:color="auto" w:fill="auto"/>
          </w:tcPr>
          <w:p w:rsidR="000B385D" w:rsidRPr="00B121BF" w:rsidP="00B73C77">
            <w:pPr>
              <w:spacing w:before="40" w:after="40" w:line="220" w:lineRule="exact"/>
              <w:jc w:val="both"/>
              <w:rPr>
                <w:rFonts w:ascii="FrankRuehl" w:hAnsi="FrankRuehl" w:cs="FrankRuehl"/>
                <w:sz w:val="20"/>
                <w:szCs w:val="20"/>
              </w:rPr>
            </w:pPr>
            <w:r w:rsidRPr="00B121BF">
              <w:rPr>
                <w:rFonts w:ascii="FrankRuehl" w:hAnsi="FrankRuehl" w:cs="FrankRuehl"/>
                <w:sz w:val="20"/>
                <w:szCs w:val="20"/>
                <w:rtl/>
              </w:rPr>
              <w:t>63,366</w:t>
            </w:r>
          </w:p>
        </w:tc>
        <w:tc>
          <w:tcPr>
            <w:tcW w:w="1014" w:type="dxa"/>
            <w:shd w:val="clear" w:color="auto" w:fill="auto"/>
            <w:noWrap/>
            <w:vAlign w:val="bottom"/>
          </w:tcPr>
          <w:p w:rsidR="000B385D" w:rsidRPr="00B121BF" w:rsidP="00B73C77">
            <w:pPr>
              <w:spacing w:before="40" w:after="40" w:line="220" w:lineRule="exact"/>
              <w:jc w:val="both"/>
              <w:rPr>
                <w:rFonts w:ascii="FrankRuehl" w:hAnsi="FrankRuehl" w:cs="FrankRuehl"/>
                <w:sz w:val="20"/>
                <w:szCs w:val="20"/>
                <w:rtl/>
              </w:rPr>
            </w:pPr>
            <w:r w:rsidRPr="00B121BF">
              <w:rPr>
                <w:rFonts w:ascii="FrankRuehl" w:hAnsi="FrankRuehl" w:cs="FrankRuehl"/>
                <w:sz w:val="20"/>
                <w:szCs w:val="20"/>
                <w:rtl/>
              </w:rPr>
              <w:t>1,742</w:t>
            </w:r>
          </w:p>
        </w:tc>
        <w:tc>
          <w:tcPr>
            <w:tcW w:w="1120" w:type="dxa"/>
            <w:shd w:val="clear" w:color="auto" w:fill="auto"/>
            <w:noWrap/>
            <w:vAlign w:val="bottom"/>
          </w:tcPr>
          <w:p w:rsidR="000B385D" w:rsidRPr="00B121BF" w:rsidP="00B73C77">
            <w:pPr>
              <w:tabs>
                <w:tab w:val="decimal" w:pos="118"/>
              </w:tabs>
              <w:spacing w:before="40" w:after="40" w:line="220" w:lineRule="exact"/>
              <w:jc w:val="both"/>
              <w:rPr>
                <w:rFonts w:ascii="FrankRuehl" w:hAnsi="FrankRuehl" w:cs="FrankRuehl"/>
                <w:sz w:val="20"/>
                <w:szCs w:val="20"/>
                <w:rtl/>
              </w:rPr>
            </w:pPr>
            <w:r w:rsidRPr="00B121BF">
              <w:rPr>
                <w:rFonts w:ascii="FrankRuehl" w:hAnsi="FrankRuehl" w:cs="FrankRuehl"/>
                <w:sz w:val="20"/>
                <w:szCs w:val="20"/>
                <w:rtl/>
              </w:rPr>
              <w:t>(2,006)</w:t>
            </w:r>
          </w:p>
        </w:tc>
        <w:tc>
          <w:tcPr>
            <w:tcW w:w="1002" w:type="dxa"/>
            <w:shd w:val="clear" w:color="auto" w:fill="auto"/>
            <w:noWrap/>
            <w:vAlign w:val="bottom"/>
          </w:tcPr>
          <w:p w:rsidR="000B385D" w:rsidRPr="00B121BF" w:rsidP="00B73C77">
            <w:pPr>
              <w:tabs>
                <w:tab w:val="decimal" w:pos="118"/>
              </w:tabs>
              <w:spacing w:before="40" w:after="40" w:line="220" w:lineRule="exact"/>
              <w:jc w:val="both"/>
              <w:rPr>
                <w:rFonts w:ascii="FrankRuehl" w:hAnsi="FrankRuehl" w:cs="FrankRuehl"/>
                <w:sz w:val="20"/>
                <w:szCs w:val="20"/>
              </w:rPr>
            </w:pPr>
            <w:r w:rsidRPr="00B121BF">
              <w:rPr>
                <w:rFonts w:ascii="FrankRuehl" w:hAnsi="FrankRuehl" w:cs="FrankRuehl"/>
                <w:sz w:val="20"/>
                <w:szCs w:val="20"/>
                <w:rtl/>
              </w:rPr>
              <w:t>(264)</w:t>
            </w:r>
          </w:p>
        </w:tc>
      </w:tr>
      <w:tr w:rsidTr="00B121BF">
        <w:tblPrEx>
          <w:tblW w:w="6691" w:type="dxa"/>
          <w:jc w:val="center"/>
          <w:tblLook w:val="0000"/>
        </w:tblPrEx>
        <w:trPr>
          <w:jc w:val="center"/>
        </w:trPr>
        <w:tc>
          <w:tcPr>
            <w:tcW w:w="1429" w:type="dxa"/>
            <w:tcBorders>
              <w:bottom w:val="single" w:sz="12" w:space="0" w:color="auto"/>
            </w:tcBorders>
            <w:shd w:val="clear" w:color="auto" w:fill="auto"/>
            <w:noWrap/>
            <w:vAlign w:val="bottom"/>
          </w:tcPr>
          <w:p w:rsidR="000B385D" w:rsidRPr="00B121BF" w:rsidP="00B73C77">
            <w:pPr>
              <w:spacing w:before="40" w:after="40" w:line="220" w:lineRule="exact"/>
              <w:jc w:val="both"/>
              <w:rPr>
                <w:rFonts w:ascii="FrankRuehl" w:hAnsi="FrankRuehl" w:cs="FrankRuehl"/>
                <w:sz w:val="20"/>
                <w:szCs w:val="20"/>
                <w:rtl/>
              </w:rPr>
            </w:pPr>
            <w:r w:rsidRPr="00B121BF">
              <w:rPr>
                <w:rFonts w:ascii="FrankRuehl" w:hAnsi="FrankRuehl" w:cs="FrankRuehl"/>
                <w:sz w:val="20"/>
                <w:szCs w:val="20"/>
                <w:rtl/>
              </w:rPr>
              <w:t>ינואר- יוני 2011</w:t>
            </w:r>
          </w:p>
        </w:tc>
        <w:tc>
          <w:tcPr>
            <w:tcW w:w="1233" w:type="dxa"/>
            <w:tcBorders>
              <w:bottom w:val="single" w:sz="12" w:space="0" w:color="auto"/>
            </w:tcBorders>
            <w:shd w:val="clear" w:color="auto" w:fill="auto"/>
          </w:tcPr>
          <w:p w:rsidR="000B385D" w:rsidRPr="00B121BF" w:rsidP="00B73C77">
            <w:pPr>
              <w:spacing w:before="40" w:after="40" w:line="220" w:lineRule="exact"/>
              <w:jc w:val="both"/>
              <w:rPr>
                <w:rFonts w:ascii="FrankRuehl" w:hAnsi="FrankRuehl" w:cs="FrankRuehl"/>
                <w:sz w:val="20"/>
                <w:szCs w:val="20"/>
                <w:rtl/>
              </w:rPr>
            </w:pPr>
            <w:r w:rsidRPr="00B121BF">
              <w:rPr>
                <w:rFonts w:ascii="FrankRuehl" w:hAnsi="FrankRuehl" w:cs="FrankRuehl"/>
                <w:sz w:val="20"/>
                <w:szCs w:val="20"/>
                <w:rtl/>
              </w:rPr>
              <w:t>17,369</w:t>
            </w:r>
          </w:p>
        </w:tc>
        <w:tc>
          <w:tcPr>
            <w:tcW w:w="1091" w:type="dxa"/>
            <w:tcBorders>
              <w:bottom w:val="single" w:sz="12" w:space="0" w:color="auto"/>
            </w:tcBorders>
            <w:shd w:val="clear" w:color="auto" w:fill="auto"/>
          </w:tcPr>
          <w:p w:rsidR="000B385D" w:rsidRPr="00B121BF" w:rsidP="00B73C77">
            <w:pPr>
              <w:spacing w:before="40" w:after="40" w:line="220" w:lineRule="exact"/>
              <w:jc w:val="both"/>
              <w:rPr>
                <w:rFonts w:ascii="FrankRuehl" w:hAnsi="FrankRuehl" w:cs="FrankRuehl"/>
                <w:sz w:val="20"/>
                <w:szCs w:val="20"/>
                <w:rtl/>
              </w:rPr>
            </w:pPr>
            <w:r w:rsidRPr="00B121BF">
              <w:rPr>
                <w:rFonts w:ascii="FrankRuehl" w:hAnsi="FrankRuehl" w:cs="FrankRuehl"/>
                <w:sz w:val="20"/>
                <w:szCs w:val="20"/>
                <w:rtl/>
              </w:rPr>
              <w:t>16,816</w:t>
            </w:r>
          </w:p>
        </w:tc>
        <w:tc>
          <w:tcPr>
            <w:tcW w:w="1158" w:type="dxa"/>
            <w:tcBorders>
              <w:bottom w:val="single" w:sz="12" w:space="0" w:color="auto"/>
            </w:tcBorders>
            <w:shd w:val="clear" w:color="auto" w:fill="auto"/>
          </w:tcPr>
          <w:p w:rsidR="000B385D" w:rsidRPr="00B121BF" w:rsidP="00B73C77">
            <w:pPr>
              <w:spacing w:before="40" w:after="40" w:line="220" w:lineRule="exact"/>
              <w:jc w:val="both"/>
              <w:rPr>
                <w:rFonts w:ascii="FrankRuehl" w:hAnsi="FrankRuehl" w:cs="FrankRuehl"/>
                <w:sz w:val="20"/>
                <w:szCs w:val="20"/>
                <w:rtl/>
              </w:rPr>
            </w:pPr>
            <w:r w:rsidRPr="00B121BF">
              <w:rPr>
                <w:rFonts w:ascii="FrankRuehl" w:hAnsi="FrankRuehl" w:cs="FrankRuehl"/>
                <w:sz w:val="20"/>
                <w:szCs w:val="20"/>
                <w:rtl/>
              </w:rPr>
              <w:t>34,185</w:t>
            </w:r>
          </w:p>
        </w:tc>
        <w:tc>
          <w:tcPr>
            <w:tcW w:w="1014" w:type="dxa"/>
            <w:tcBorders>
              <w:bottom w:val="single" w:sz="12" w:space="0" w:color="auto"/>
            </w:tcBorders>
            <w:shd w:val="clear" w:color="auto" w:fill="auto"/>
            <w:noWrap/>
            <w:vAlign w:val="bottom"/>
          </w:tcPr>
          <w:p w:rsidR="000B385D" w:rsidRPr="00B121BF" w:rsidP="00B73C77">
            <w:pPr>
              <w:spacing w:before="40" w:after="40" w:line="220" w:lineRule="exact"/>
              <w:jc w:val="both"/>
              <w:rPr>
                <w:rFonts w:ascii="FrankRuehl" w:hAnsi="FrankRuehl" w:cs="FrankRuehl"/>
                <w:sz w:val="20"/>
                <w:szCs w:val="20"/>
              </w:rPr>
            </w:pPr>
            <w:r w:rsidRPr="00B121BF">
              <w:rPr>
                <w:rFonts w:ascii="FrankRuehl" w:hAnsi="FrankRuehl" w:cs="FrankRuehl"/>
                <w:sz w:val="20"/>
                <w:szCs w:val="20"/>
                <w:rtl/>
              </w:rPr>
              <w:t>694</w:t>
            </w:r>
          </w:p>
        </w:tc>
        <w:tc>
          <w:tcPr>
            <w:tcW w:w="1120" w:type="dxa"/>
            <w:tcBorders>
              <w:bottom w:val="single" w:sz="12" w:space="0" w:color="auto"/>
            </w:tcBorders>
            <w:shd w:val="clear" w:color="auto" w:fill="auto"/>
            <w:noWrap/>
            <w:vAlign w:val="bottom"/>
          </w:tcPr>
          <w:p w:rsidR="000B385D" w:rsidRPr="00B121BF" w:rsidP="00B73C77">
            <w:pPr>
              <w:tabs>
                <w:tab w:val="decimal" w:pos="118"/>
              </w:tabs>
              <w:spacing w:before="40" w:after="40" w:line="220" w:lineRule="exact"/>
              <w:jc w:val="both"/>
              <w:rPr>
                <w:rFonts w:ascii="FrankRuehl" w:hAnsi="FrankRuehl" w:cs="FrankRuehl"/>
                <w:sz w:val="20"/>
                <w:szCs w:val="20"/>
              </w:rPr>
            </w:pPr>
            <w:r w:rsidRPr="00B121BF">
              <w:rPr>
                <w:rFonts w:ascii="FrankRuehl" w:hAnsi="FrankRuehl" w:cs="FrankRuehl"/>
                <w:sz w:val="20"/>
                <w:szCs w:val="20"/>
                <w:rtl/>
              </w:rPr>
              <w:t>65</w:t>
            </w:r>
          </w:p>
        </w:tc>
        <w:tc>
          <w:tcPr>
            <w:tcW w:w="1002" w:type="dxa"/>
            <w:tcBorders>
              <w:bottom w:val="single" w:sz="12" w:space="0" w:color="auto"/>
            </w:tcBorders>
            <w:shd w:val="clear" w:color="auto" w:fill="auto"/>
            <w:noWrap/>
            <w:vAlign w:val="bottom"/>
          </w:tcPr>
          <w:p w:rsidR="000B385D" w:rsidRPr="00B121BF" w:rsidP="00B73C77">
            <w:pPr>
              <w:tabs>
                <w:tab w:val="decimal" w:pos="118"/>
              </w:tabs>
              <w:spacing w:before="40" w:after="40" w:line="220" w:lineRule="exact"/>
              <w:jc w:val="both"/>
              <w:rPr>
                <w:rFonts w:ascii="FrankRuehl" w:hAnsi="FrankRuehl" w:cs="FrankRuehl"/>
                <w:sz w:val="20"/>
                <w:szCs w:val="20"/>
              </w:rPr>
            </w:pPr>
            <w:r w:rsidRPr="00B121BF">
              <w:rPr>
                <w:rFonts w:ascii="FrankRuehl" w:hAnsi="FrankRuehl" w:cs="FrankRuehl"/>
                <w:sz w:val="20"/>
                <w:szCs w:val="20"/>
                <w:rtl/>
              </w:rPr>
              <w:t>759</w:t>
            </w:r>
          </w:p>
        </w:tc>
      </w:tr>
      <w:tr w:rsidTr="00B121BF">
        <w:tblPrEx>
          <w:tblW w:w="6691" w:type="dxa"/>
          <w:jc w:val="center"/>
          <w:tblLook w:val="0000"/>
        </w:tblPrEx>
        <w:trPr>
          <w:jc w:val="center"/>
        </w:trPr>
        <w:tc>
          <w:tcPr>
            <w:tcW w:w="1429" w:type="dxa"/>
            <w:tcBorders>
              <w:top w:val="single" w:sz="12" w:space="0" w:color="auto"/>
              <w:bottom w:val="single" w:sz="12" w:space="0" w:color="auto"/>
            </w:tcBorders>
            <w:shd w:val="pct10" w:color="auto" w:fill="auto"/>
            <w:noWrap/>
            <w:vAlign w:val="bottom"/>
          </w:tcPr>
          <w:p w:rsidR="000B385D" w:rsidRPr="00B121BF" w:rsidP="00B73C77">
            <w:pPr>
              <w:spacing w:before="40" w:after="40" w:line="220" w:lineRule="exact"/>
              <w:jc w:val="both"/>
              <w:rPr>
                <w:rFonts w:ascii="FrankRuehl" w:hAnsi="FrankRuehl" w:cs="FrankRuehl"/>
                <w:b/>
                <w:bCs/>
                <w:sz w:val="20"/>
                <w:szCs w:val="20"/>
                <w:rtl/>
              </w:rPr>
            </w:pPr>
            <w:r w:rsidRPr="00B121BF">
              <w:rPr>
                <w:rFonts w:ascii="FrankRuehl" w:hAnsi="FrankRuehl" w:cs="FrankRuehl"/>
                <w:b/>
                <w:bCs/>
                <w:sz w:val="20"/>
                <w:szCs w:val="20"/>
                <w:rtl/>
              </w:rPr>
              <w:t>ס"ה</w:t>
            </w:r>
          </w:p>
        </w:tc>
        <w:tc>
          <w:tcPr>
            <w:tcW w:w="1233" w:type="dxa"/>
            <w:tcBorders>
              <w:top w:val="single" w:sz="12" w:space="0" w:color="auto"/>
              <w:bottom w:val="single" w:sz="12" w:space="0" w:color="auto"/>
            </w:tcBorders>
            <w:shd w:val="pct10" w:color="auto" w:fill="auto"/>
          </w:tcPr>
          <w:p w:rsidR="000B385D" w:rsidRPr="00B121BF" w:rsidP="00B73C77">
            <w:pPr>
              <w:spacing w:before="40" w:after="40" w:line="220" w:lineRule="exact"/>
              <w:jc w:val="both"/>
              <w:rPr>
                <w:rFonts w:ascii="FrankRuehl" w:hAnsi="FrankRuehl" w:cs="FrankRuehl"/>
                <w:b/>
                <w:bCs/>
                <w:sz w:val="20"/>
                <w:szCs w:val="20"/>
              </w:rPr>
            </w:pPr>
            <w:r w:rsidRPr="00B121BF">
              <w:rPr>
                <w:rFonts w:ascii="FrankRuehl" w:hAnsi="FrankRuehl" w:cs="FrankRuehl"/>
                <w:b/>
                <w:bCs/>
                <w:sz w:val="20"/>
                <w:szCs w:val="20"/>
                <w:rtl/>
              </w:rPr>
              <w:t>219,198</w:t>
            </w:r>
          </w:p>
        </w:tc>
        <w:tc>
          <w:tcPr>
            <w:tcW w:w="1091" w:type="dxa"/>
            <w:tcBorders>
              <w:top w:val="single" w:sz="12" w:space="0" w:color="auto"/>
              <w:bottom w:val="single" w:sz="12" w:space="0" w:color="auto"/>
            </w:tcBorders>
            <w:shd w:val="pct10" w:color="auto" w:fill="auto"/>
          </w:tcPr>
          <w:p w:rsidR="000B385D" w:rsidRPr="00B121BF" w:rsidP="00B73C77">
            <w:pPr>
              <w:spacing w:before="40" w:after="40" w:line="220" w:lineRule="exact"/>
              <w:jc w:val="both"/>
              <w:rPr>
                <w:rFonts w:ascii="FrankRuehl" w:hAnsi="FrankRuehl" w:cs="FrankRuehl"/>
                <w:b/>
                <w:bCs/>
                <w:sz w:val="20"/>
                <w:szCs w:val="20"/>
              </w:rPr>
            </w:pPr>
            <w:r w:rsidRPr="00B121BF">
              <w:rPr>
                <w:rFonts w:ascii="FrankRuehl" w:hAnsi="FrankRuehl" w:cs="FrankRuehl"/>
                <w:b/>
                <w:bCs/>
                <w:sz w:val="20"/>
                <w:szCs w:val="20"/>
                <w:rtl/>
              </w:rPr>
              <w:t>86,225</w:t>
            </w:r>
          </w:p>
        </w:tc>
        <w:tc>
          <w:tcPr>
            <w:tcW w:w="1158" w:type="dxa"/>
            <w:tcBorders>
              <w:top w:val="single" w:sz="12" w:space="0" w:color="auto"/>
              <w:bottom w:val="single" w:sz="12" w:space="0" w:color="auto"/>
            </w:tcBorders>
            <w:shd w:val="pct10" w:color="auto" w:fill="auto"/>
          </w:tcPr>
          <w:p w:rsidR="000B385D" w:rsidRPr="00B121BF" w:rsidP="00B73C77">
            <w:pPr>
              <w:spacing w:before="40" w:after="40" w:line="220" w:lineRule="exact"/>
              <w:jc w:val="both"/>
              <w:rPr>
                <w:rFonts w:ascii="FrankRuehl" w:hAnsi="FrankRuehl" w:cs="FrankRuehl"/>
                <w:b/>
                <w:bCs/>
                <w:sz w:val="20"/>
                <w:szCs w:val="20"/>
              </w:rPr>
            </w:pPr>
            <w:r w:rsidRPr="00B121BF">
              <w:rPr>
                <w:rFonts w:ascii="FrankRuehl" w:hAnsi="FrankRuehl" w:cs="FrankRuehl"/>
                <w:b/>
                <w:bCs/>
                <w:sz w:val="20"/>
                <w:szCs w:val="20"/>
                <w:rtl/>
              </w:rPr>
              <w:t>305,423</w:t>
            </w:r>
          </w:p>
        </w:tc>
        <w:tc>
          <w:tcPr>
            <w:tcW w:w="1014" w:type="dxa"/>
            <w:tcBorders>
              <w:top w:val="single" w:sz="12" w:space="0" w:color="auto"/>
              <w:bottom w:val="single" w:sz="12" w:space="0" w:color="auto"/>
            </w:tcBorders>
            <w:shd w:val="pct10" w:color="auto" w:fill="auto"/>
            <w:noWrap/>
            <w:vAlign w:val="bottom"/>
          </w:tcPr>
          <w:p w:rsidR="000B385D" w:rsidRPr="00B121BF" w:rsidP="00B73C77">
            <w:pPr>
              <w:spacing w:before="40" w:after="40" w:line="220" w:lineRule="exact"/>
              <w:jc w:val="both"/>
              <w:rPr>
                <w:rFonts w:ascii="FrankRuehl" w:hAnsi="FrankRuehl" w:cs="FrankRuehl"/>
                <w:b/>
                <w:bCs/>
                <w:sz w:val="20"/>
                <w:szCs w:val="20"/>
                <w:rtl/>
              </w:rPr>
            </w:pPr>
            <w:r w:rsidRPr="00B121BF">
              <w:rPr>
                <w:rFonts w:ascii="FrankRuehl" w:hAnsi="FrankRuehl" w:cs="FrankRuehl"/>
                <w:b/>
                <w:bCs/>
                <w:sz w:val="20"/>
                <w:szCs w:val="20"/>
                <w:rtl/>
              </w:rPr>
              <w:t>9,377</w:t>
            </w:r>
          </w:p>
        </w:tc>
        <w:tc>
          <w:tcPr>
            <w:tcW w:w="1120" w:type="dxa"/>
            <w:tcBorders>
              <w:top w:val="single" w:sz="12" w:space="0" w:color="auto"/>
              <w:bottom w:val="single" w:sz="12" w:space="0" w:color="auto"/>
            </w:tcBorders>
            <w:shd w:val="pct10" w:color="auto" w:fill="auto"/>
            <w:noWrap/>
            <w:vAlign w:val="bottom"/>
          </w:tcPr>
          <w:p w:rsidR="000B385D" w:rsidRPr="00B121BF" w:rsidP="00B73C77">
            <w:pPr>
              <w:tabs>
                <w:tab w:val="decimal" w:pos="118"/>
              </w:tabs>
              <w:spacing w:before="40" w:after="40" w:line="220" w:lineRule="exact"/>
              <w:jc w:val="both"/>
              <w:rPr>
                <w:rFonts w:ascii="FrankRuehl" w:hAnsi="FrankRuehl" w:cs="FrankRuehl"/>
                <w:b/>
                <w:bCs/>
                <w:sz w:val="20"/>
                <w:szCs w:val="20"/>
              </w:rPr>
            </w:pPr>
            <w:r w:rsidRPr="00B121BF">
              <w:rPr>
                <w:rFonts w:ascii="FrankRuehl" w:hAnsi="FrankRuehl" w:cs="FrankRuehl"/>
                <w:b/>
                <w:bCs/>
                <w:sz w:val="20"/>
                <w:szCs w:val="20"/>
                <w:rtl/>
              </w:rPr>
              <w:t>(5,324)</w:t>
            </w:r>
          </w:p>
        </w:tc>
        <w:tc>
          <w:tcPr>
            <w:tcW w:w="1002" w:type="dxa"/>
            <w:tcBorders>
              <w:top w:val="single" w:sz="12" w:space="0" w:color="auto"/>
              <w:bottom w:val="single" w:sz="12" w:space="0" w:color="auto"/>
            </w:tcBorders>
            <w:shd w:val="pct10" w:color="auto" w:fill="auto"/>
            <w:noWrap/>
            <w:vAlign w:val="bottom"/>
          </w:tcPr>
          <w:p w:rsidR="000B385D" w:rsidRPr="00B121BF" w:rsidP="00B73C77">
            <w:pPr>
              <w:tabs>
                <w:tab w:val="decimal" w:pos="118"/>
              </w:tabs>
              <w:spacing w:before="40" w:after="40" w:line="220" w:lineRule="exact"/>
              <w:jc w:val="both"/>
              <w:rPr>
                <w:rFonts w:ascii="FrankRuehl" w:hAnsi="FrankRuehl" w:cs="FrankRuehl"/>
                <w:b/>
                <w:bCs/>
                <w:sz w:val="20"/>
                <w:szCs w:val="20"/>
              </w:rPr>
            </w:pPr>
            <w:r w:rsidRPr="00B121BF">
              <w:rPr>
                <w:rFonts w:ascii="FrankRuehl" w:hAnsi="FrankRuehl" w:cs="FrankRuehl"/>
                <w:b/>
                <w:bCs/>
                <w:sz w:val="20"/>
                <w:szCs w:val="20"/>
                <w:rtl/>
              </w:rPr>
              <w:t>4,053</w:t>
            </w:r>
          </w:p>
        </w:tc>
      </w:tr>
    </w:tbl>
    <w:p w:rsidR="000B385D" w:rsidRPr="00B121BF" w:rsidP="00B73C77">
      <w:pPr>
        <w:pStyle w:val="BodyText"/>
        <w:spacing w:before="240"/>
        <w:rPr>
          <w:sz w:val="20"/>
          <w:rtl/>
        </w:rPr>
      </w:pPr>
      <w:r w:rsidRPr="00B121BF">
        <w:rPr>
          <w:rFonts w:hint="cs"/>
          <w:sz w:val="20"/>
          <w:rtl/>
        </w:rPr>
        <w:t>מה</w:t>
      </w:r>
      <w:r w:rsidRPr="00B121BF" w:rsidR="007441B9">
        <w:rPr>
          <w:rFonts w:hint="cs"/>
          <w:sz w:val="20"/>
          <w:rtl/>
        </w:rPr>
        <w:t>לוח</w:t>
      </w:r>
      <w:r w:rsidRPr="00B121BF">
        <w:rPr>
          <w:rFonts w:hint="cs"/>
          <w:sz w:val="20"/>
          <w:rtl/>
        </w:rPr>
        <w:t xml:space="preserve"> עולה, כי בשש השנים וחצי שבין ינואר 2005 לבין יוני 2011 (כולל) הסתכם הרווח מפעילות רותם עבור קמ"ג בכ-9.4 מיליון ש"ח. בה בעת הניבה הפעילות העצמאית של רותם הפסד מצרפי של כ-5.3 מיליון ש"ח. </w:t>
      </w:r>
    </w:p>
    <w:p w:rsidR="000B385D" w:rsidRPr="00011A0E" w:rsidP="00B73C77">
      <w:pPr>
        <w:spacing w:after="120" w:line="230" w:lineRule="exact"/>
        <w:jc w:val="both"/>
        <w:rPr>
          <w:rFonts w:cs="FrankRuehl"/>
          <w:sz w:val="20"/>
          <w:szCs w:val="22"/>
          <w:rtl/>
        </w:rPr>
      </w:pPr>
      <w:r w:rsidRPr="00011A0E">
        <w:rPr>
          <w:rFonts w:cs="FrankRuehl" w:hint="cs"/>
          <w:sz w:val="20"/>
          <w:szCs w:val="22"/>
          <w:rtl/>
        </w:rPr>
        <w:t>התוצאות העסקיות של רותם (רווח תפעולי של כ-4.1 מיליון ש"ח בשש שנים וחצי) נובעות מסכומן של הפעילות העצמאית ופעילות רותם עבור קמ"ג. ההפסדים שנבעו במשך השנים מהפעילות העצמאית כוסו על ידי הרווחים שנבעו מפעילות רותם עבור קמ"ג. מכאן עולה, כי במשך שנים מסבסדת פעילות רותם בעבור קמ"ג את פעילותה העצמאית.</w:t>
      </w:r>
    </w:p>
    <w:p w:rsidR="000B385D" w:rsidRPr="00011A0E" w:rsidP="00B73C77">
      <w:pPr>
        <w:spacing w:after="240" w:line="230" w:lineRule="exact"/>
        <w:jc w:val="both"/>
        <w:rPr>
          <w:rFonts w:cs="FrankRuehl"/>
          <w:sz w:val="20"/>
          <w:szCs w:val="22"/>
          <w:rtl/>
        </w:rPr>
      </w:pPr>
      <w:r w:rsidRPr="00011A0E">
        <w:rPr>
          <w:rFonts w:cs="FrankRuehl" w:hint="cs"/>
          <w:sz w:val="20"/>
          <w:szCs w:val="22"/>
          <w:rtl/>
        </w:rPr>
        <w:t>בביקורת נסקרו מרכזי הרווח</w:t>
      </w:r>
      <w:r>
        <w:rPr>
          <w:rFonts w:cs="FrankRuehl"/>
          <w:sz w:val="20"/>
          <w:szCs w:val="22"/>
          <w:vertAlign w:val="superscript"/>
          <w:rtl/>
        </w:rPr>
        <w:footnoteReference w:id="3"/>
      </w:r>
      <w:r w:rsidRPr="00011A0E">
        <w:rPr>
          <w:rFonts w:cs="FrankRuehl" w:hint="cs"/>
          <w:sz w:val="20"/>
          <w:szCs w:val="22"/>
          <w:rtl/>
        </w:rPr>
        <w:t xml:space="preserve"> המרכיבים את הפעילות העצמאית. מהסקירה עולה כי במסגרת הפעילות העצמאית רק מרכז רווח אחד היה רווחי ברציפות במשך התקופה שנסקרה, מרכז רווח נוסף נשא רווחים באופן לא רציף במהלך התקופה הנסקרת, וכל שאר מרכזי הרווח, 11 במספר, הסבו לחברה הפסדים בכל אותה תקופה. </w:t>
      </w:r>
    </w:p>
    <w:p w:rsidR="000B385D" w:rsidRPr="00011A0E" w:rsidP="00B73C77">
      <w:pPr>
        <w:pStyle w:val="RESHET"/>
        <w:keepLines/>
        <w:rPr>
          <w:rtl/>
        </w:rPr>
      </w:pPr>
      <w:r w:rsidRPr="00011A0E">
        <w:rPr>
          <w:rFonts w:hint="cs"/>
          <w:rtl/>
        </w:rPr>
        <w:t>לדעת משרד מבקר המדינה, נוכח ההפסדים המצטברים של רוב מרכזי הרווח המרכיבים את הפעילות העסקית של רותם, ראוי כי דירקטוריון החברה יבחן את המשך ההפעלה של כל אחד ואחד מהם.</w:t>
      </w:r>
    </w:p>
    <w:p w:rsidR="000B385D" w:rsidRPr="00011A0E" w:rsidP="00B73C77">
      <w:pPr>
        <w:spacing w:after="120" w:line="230" w:lineRule="exact"/>
        <w:jc w:val="both"/>
        <w:rPr>
          <w:rFonts w:cs="FrankRuehl"/>
          <w:sz w:val="20"/>
          <w:szCs w:val="22"/>
          <w:rtl/>
        </w:rPr>
      </w:pPr>
    </w:p>
    <w:p w:rsidR="00D460F3" w:rsidRPr="00011A0E" w:rsidP="00B73C77">
      <w:pPr>
        <w:spacing w:after="120" w:line="230" w:lineRule="exact"/>
        <w:jc w:val="both"/>
        <w:rPr>
          <w:rFonts w:cs="FrankRuehl"/>
          <w:sz w:val="20"/>
          <w:szCs w:val="22"/>
          <w:rtl/>
        </w:rPr>
      </w:pPr>
    </w:p>
    <w:p w:rsidR="000B385D" w:rsidRPr="002B3AE7" w:rsidP="00B73C77">
      <w:pPr>
        <w:pStyle w:val="KOT4"/>
        <w:rPr>
          <w:rtl/>
        </w:rPr>
      </w:pPr>
      <w:r w:rsidRPr="002B3AE7">
        <w:rPr>
          <w:rFonts w:hint="cs"/>
          <w:rtl/>
        </w:rPr>
        <w:t>מפעל הכימיה</w:t>
      </w:r>
    </w:p>
    <w:p w:rsidR="000B385D" w:rsidRPr="00011A0E" w:rsidP="00B73C77">
      <w:pPr>
        <w:spacing w:after="120" w:line="230" w:lineRule="exact"/>
        <w:jc w:val="both"/>
        <w:rPr>
          <w:rFonts w:cs="FrankRuehl"/>
          <w:sz w:val="20"/>
          <w:szCs w:val="22"/>
          <w:rtl/>
        </w:rPr>
      </w:pPr>
      <w:r w:rsidRPr="00011A0E">
        <w:rPr>
          <w:rFonts w:cs="FrankRuehl" w:hint="cs"/>
          <w:sz w:val="20"/>
          <w:szCs w:val="22"/>
          <w:rtl/>
        </w:rPr>
        <w:t xml:space="preserve">בחוק החברות הממשלתיות [התשל"א-1975] (להלן </w:t>
      </w:r>
      <w:r w:rsidRPr="00011A0E">
        <w:rPr>
          <w:rFonts w:cs="FrankRuehl"/>
          <w:sz w:val="20"/>
          <w:szCs w:val="22"/>
          <w:rtl/>
        </w:rPr>
        <w:t>-</w:t>
      </w:r>
      <w:r w:rsidRPr="00011A0E">
        <w:rPr>
          <w:rFonts w:cs="FrankRuehl" w:hint="cs"/>
          <w:sz w:val="20"/>
          <w:szCs w:val="22"/>
          <w:rtl/>
        </w:rPr>
        <w:t xml:space="preserve"> חוק החברות הממשלתית) נקבע, כי "חובה על הדירקטוריון של חברה ממשלתית... לקבוע את המדיניות הכללית של</w:t>
      </w:r>
      <w:r w:rsidRPr="00011A0E" w:rsidR="00D460F3">
        <w:rPr>
          <w:rFonts w:cs="FrankRuehl" w:hint="cs"/>
          <w:sz w:val="20"/>
          <w:szCs w:val="22"/>
          <w:rtl/>
        </w:rPr>
        <w:t xml:space="preserve"> </w:t>
      </w:r>
      <w:r w:rsidRPr="00011A0E">
        <w:rPr>
          <w:rFonts w:cs="FrankRuehl" w:hint="cs"/>
          <w:sz w:val="20"/>
          <w:szCs w:val="22"/>
          <w:rtl/>
        </w:rPr>
        <w:t xml:space="preserve">החברה בתחום מטרותיה, </w:t>
      </w:r>
      <w:r w:rsidRPr="00011A0E">
        <w:rPr>
          <w:rFonts w:cs="FrankRuehl" w:hint="cs"/>
          <w:sz w:val="20"/>
          <w:szCs w:val="22"/>
          <w:rtl/>
        </w:rPr>
        <w:t>ואת פעולותיה הפיננסיות", וכן לקבוע מדי שנה בשנה את "תקציבה השנתי של החברה ודרך ביצועו והשימוש במקורות העומדים לרשותה [ואת] תכנית הפעולה של החברה לאותה שנה"</w:t>
      </w:r>
      <w:r>
        <w:rPr>
          <w:rFonts w:cs="FrankRuehl"/>
          <w:sz w:val="20"/>
          <w:szCs w:val="22"/>
          <w:vertAlign w:val="superscript"/>
          <w:rtl/>
        </w:rPr>
        <w:footnoteReference w:id="4"/>
      </w:r>
      <w:r w:rsidRPr="00011A0E">
        <w:rPr>
          <w:rFonts w:cs="FrankRuehl" w:hint="cs"/>
          <w:sz w:val="20"/>
          <w:szCs w:val="22"/>
          <w:rtl/>
        </w:rPr>
        <w:t xml:space="preserve">. </w:t>
      </w:r>
    </w:p>
    <w:p w:rsidR="000B385D" w:rsidRPr="00011A0E" w:rsidP="00B73C77">
      <w:pPr>
        <w:spacing w:after="120" w:line="230" w:lineRule="exact"/>
        <w:jc w:val="both"/>
        <w:rPr>
          <w:rFonts w:cs="FrankRuehl"/>
          <w:sz w:val="20"/>
          <w:szCs w:val="22"/>
          <w:rtl/>
        </w:rPr>
      </w:pPr>
      <w:r w:rsidRPr="00011A0E">
        <w:rPr>
          <w:rFonts w:cs="FrankRuehl" w:hint="cs"/>
          <w:sz w:val="20"/>
          <w:szCs w:val="22"/>
          <w:rtl/>
        </w:rPr>
        <w:t xml:space="preserve">כאמור, רותם עוסקת בייצור מוצרים כימיים להדמיה רפואית. בסוף 2006 אישר דירקטוריון רותם לרכוש פעילות זו במלואה (הפעילות, במפעל בנס-ציונה, התבצעה עד אותה עת בצוותא עם שותף עסקי). בשנת 2007, בעקבות בעיות שונות בייצור הכימיקלים במפעל בנס-ציונה, החלה רותם לבחון את האפשרות להעביר את מפעל הכימיקלים לפארק רותם. באוקטובר 2007 אישר הדירקטוריון הקמת מפעל כימיקלים בפארק רותם בתקציב של מיליון דולר. בישיבת הדירקטוריון בדצמבר 2007 אושר תקציב רותם לשנת 2008. במסגרת התקציב אושרה השקעה של 4 מיליון ש"ח בבינוי ותשתית לטובת מפעל כימיקלים. </w:t>
      </w:r>
    </w:p>
    <w:p w:rsidR="000B385D" w:rsidRPr="00011A0E" w:rsidP="00B73C77">
      <w:pPr>
        <w:spacing w:after="120" w:line="230" w:lineRule="exact"/>
        <w:jc w:val="both"/>
        <w:rPr>
          <w:rFonts w:cs="FrankRuehl"/>
          <w:sz w:val="20"/>
          <w:szCs w:val="22"/>
          <w:rtl/>
        </w:rPr>
      </w:pPr>
      <w:r w:rsidRPr="00011A0E">
        <w:rPr>
          <w:rFonts w:cs="FrankRuehl" w:hint="cs"/>
          <w:sz w:val="20"/>
          <w:szCs w:val="22"/>
          <w:rtl/>
        </w:rPr>
        <w:t>בישיבת הדירקטוריון שנערכה בפברואר 2008 הציג מנכ"ל רותם את המשא ומתן שהתקיים בין רותם לבין חברה זרה</w:t>
      </w:r>
      <w:r>
        <w:rPr>
          <w:rFonts w:cs="FrankRuehl"/>
          <w:sz w:val="20"/>
          <w:szCs w:val="22"/>
          <w:vertAlign w:val="superscript"/>
          <w:rtl/>
        </w:rPr>
        <w:footnoteReference w:id="5"/>
      </w:r>
      <w:r w:rsidRPr="00011A0E">
        <w:rPr>
          <w:rFonts w:cs="FrankRuehl" w:hint="cs"/>
          <w:sz w:val="20"/>
          <w:szCs w:val="22"/>
          <w:rtl/>
        </w:rPr>
        <w:t xml:space="preserve">, ועדכן על כוונת רותם לרכוש את המפעל שבבעלות החברה הזרה (להלן </w:t>
      </w:r>
      <w:r w:rsidRPr="00011A0E">
        <w:rPr>
          <w:rFonts w:cs="FrankRuehl"/>
          <w:sz w:val="20"/>
          <w:szCs w:val="22"/>
          <w:rtl/>
        </w:rPr>
        <w:t>-</w:t>
      </w:r>
      <w:r w:rsidRPr="00011A0E">
        <w:rPr>
          <w:rFonts w:cs="FrankRuehl" w:hint="cs"/>
          <w:sz w:val="20"/>
          <w:szCs w:val="22"/>
          <w:rtl/>
        </w:rPr>
        <w:t xml:space="preserve"> מפעל הכימיה): בפרוטוקול הישיבה צוין, בין השאר, כי "היתרון בבעלות על המבנה הוא בביטול הצורך להקים מפעל כימיקלים. אפשר לקבל מפעל </w:t>
      </w:r>
      <w:r w:rsidRPr="00011A0E">
        <w:rPr>
          <w:rFonts w:cs="FrankRuehl" w:hint="cs"/>
          <w:sz w:val="20"/>
          <w:szCs w:val="22"/>
        </w:rPr>
        <w:t>GMP [</w:t>
      </w:r>
      <w:r w:rsidRPr="00011A0E">
        <w:rPr>
          <w:rFonts w:cs="FrankRuehl"/>
          <w:sz w:val="20"/>
          <w:szCs w:val="22"/>
        </w:rPr>
        <w:t>Good Manufacturing Practice</w:t>
      </w:r>
      <w:r w:rsidR="00B121BF">
        <w:rPr>
          <w:rFonts w:cs="FrankRuehl"/>
          <w:sz w:val="20"/>
          <w:szCs w:val="22"/>
        </w:rPr>
        <w:t>]</w:t>
      </w:r>
      <w:r w:rsidRPr="00011A0E">
        <w:rPr>
          <w:rFonts w:cs="FrankRuehl" w:hint="cs"/>
          <w:sz w:val="20"/>
          <w:szCs w:val="22"/>
          <w:rtl/>
        </w:rPr>
        <w:t xml:space="preserve"> מן המוכן, עם התאמות קלות בלבד". כמו כן צוין, כי "קיימנו מו"מ עם החברה האמריקאית [החברה הזרה]. הצענו מיליון דולר [ועוד] חצי מיליון דולר בתוך שנה".</w:t>
      </w:r>
    </w:p>
    <w:p w:rsidR="000B385D" w:rsidRPr="00011A0E" w:rsidP="00B73C77">
      <w:pPr>
        <w:spacing w:after="120" w:line="230" w:lineRule="exact"/>
        <w:jc w:val="both"/>
        <w:rPr>
          <w:rFonts w:cs="FrankRuehl"/>
          <w:sz w:val="20"/>
          <w:szCs w:val="22"/>
          <w:rtl/>
        </w:rPr>
      </w:pPr>
      <w:r w:rsidRPr="00011A0E">
        <w:rPr>
          <w:rFonts w:cs="FrankRuehl" w:hint="cs"/>
          <w:sz w:val="20"/>
          <w:szCs w:val="22"/>
          <w:rtl/>
        </w:rPr>
        <w:t>יצוין, כי בישיבת הדירקטוריון האמורה לא הוצגה כל תכנית עסקית בנוגע להשקעה הראשונית ולהשקעות נוספות הנדרשות במפעל הכימיה לצורך הקמת מפעל כימיקלים, ובנוגע להחזר ההשקעה הצפוי. כמו כן, באותה ישיבת דירקטוריון לא נתקבלה כל החלטה המאשרת את רכישת מפעל הכימיה.</w:t>
      </w:r>
    </w:p>
    <w:p w:rsidR="000B385D" w:rsidRPr="00011A0E" w:rsidP="00B73C77">
      <w:pPr>
        <w:spacing w:after="120" w:line="230" w:lineRule="exact"/>
        <w:jc w:val="both"/>
        <w:rPr>
          <w:rFonts w:cs="FrankRuehl"/>
          <w:sz w:val="20"/>
          <w:szCs w:val="22"/>
          <w:rtl/>
        </w:rPr>
      </w:pPr>
      <w:r w:rsidRPr="00011A0E">
        <w:rPr>
          <w:rFonts w:cs="FrankRuehl" w:hint="cs"/>
          <w:sz w:val="20"/>
          <w:szCs w:val="22"/>
          <w:rtl/>
        </w:rPr>
        <w:t>יתרה מזאת, כאמור, התקציב המאושר של רותם לשנת 2008 כלל השקעה בסך 4 מיליון ש"ח בהקמת מפעל כימיקלים. השקעה בסך 1.5 מיליון דולר (כ-5.4 מיליון ש"ח באותה עת) היוותה חריגה של 1.4 מיליון ש"ח מהתקציב, ומהמסמכים עולה, כי בישיבת הדירקטוריון לא אושרה כל חריגה מהתקציב המאושר.</w:t>
      </w:r>
    </w:p>
    <w:p w:rsidR="000B385D" w:rsidRPr="00011A0E" w:rsidP="00B73C77">
      <w:pPr>
        <w:spacing w:after="120" w:line="230" w:lineRule="exact"/>
        <w:jc w:val="both"/>
        <w:rPr>
          <w:rFonts w:cs="FrankRuehl"/>
          <w:sz w:val="20"/>
          <w:szCs w:val="22"/>
          <w:rtl/>
        </w:rPr>
      </w:pPr>
      <w:r w:rsidRPr="00011A0E">
        <w:rPr>
          <w:rFonts w:cs="FrankRuehl" w:hint="cs"/>
          <w:sz w:val="20"/>
          <w:szCs w:val="22"/>
          <w:rtl/>
        </w:rPr>
        <w:t>מהמסמכים עולה, כי ב-2.4.08 חתמה רותם הסכמים עם החברה הזרה לרכישת מפעל הכימיה. סכום הרכישה עמד על 1.5 מיליון דולר.</w:t>
      </w:r>
    </w:p>
    <w:p w:rsidR="000B385D" w:rsidRPr="00011A0E" w:rsidP="00B73C77">
      <w:pPr>
        <w:spacing w:after="120" w:line="230" w:lineRule="exact"/>
        <w:jc w:val="both"/>
        <w:rPr>
          <w:rFonts w:cs="FrankRuehl"/>
          <w:sz w:val="20"/>
          <w:szCs w:val="22"/>
          <w:rtl/>
        </w:rPr>
      </w:pPr>
      <w:r w:rsidRPr="00011A0E">
        <w:rPr>
          <w:rFonts w:cs="FrankRuehl" w:hint="cs"/>
          <w:sz w:val="20"/>
          <w:szCs w:val="22"/>
          <w:rtl/>
        </w:rPr>
        <w:t>בישיבת דירקטוריון רותם שהתקיימה ארבעה ימים לאחר מכן, ב-6.4.08, הוצג בפני הדירקטוריון דוח פעילות. בדוח הפעילות צוין, כי החברה הזרה החליטה להפסיק את פעילותה בישראל, וכי המפעל אמור להיסגר סופית בחודש אפריל 2008. בדוח צוין, כי "מתקיים מו"מ בין רותם תעשיות [ו</w:t>
      </w:r>
      <w:r w:rsidR="00D93664">
        <w:rPr>
          <w:rFonts w:cs="FrankRuehl" w:hint="cs"/>
          <w:sz w:val="20"/>
          <w:szCs w:val="22"/>
          <w:rtl/>
        </w:rPr>
        <w:t xml:space="preserve">בין </w:t>
      </w:r>
      <w:r w:rsidRPr="00011A0E">
        <w:rPr>
          <w:rFonts w:cs="FrankRuehl" w:hint="cs"/>
          <w:sz w:val="20"/>
          <w:szCs w:val="22"/>
          <w:rtl/>
        </w:rPr>
        <w:t>החברה הזרה] לרכישת המבנה ותכולתו, המחיר לעסקה 1.5 מיליון דולר".</w:t>
      </w:r>
    </w:p>
    <w:p w:rsidR="000B385D" w:rsidRPr="00011A0E" w:rsidP="00B73C77">
      <w:pPr>
        <w:spacing w:after="120" w:line="230" w:lineRule="exact"/>
        <w:jc w:val="both"/>
        <w:rPr>
          <w:rFonts w:cs="FrankRuehl"/>
          <w:sz w:val="20"/>
          <w:szCs w:val="22"/>
          <w:rtl/>
        </w:rPr>
      </w:pPr>
      <w:r w:rsidRPr="00011A0E">
        <w:rPr>
          <w:rFonts w:cs="FrankRuehl" w:hint="cs"/>
          <w:sz w:val="20"/>
          <w:szCs w:val="22"/>
          <w:rtl/>
        </w:rPr>
        <w:t>מנכ"ל רותם הודיע באותה ישיבה, כי "קנינו לאחר מו"מ ממושך את המבנה והציוד [מפעל הכימיה] [במיליון דולר וחצי]. במתקן זה אנו יכולים להפעיל כמעט מיד את פעילות הכימיקלים שלה הקצנו עד [מיליון דולר]... ניתן להכניס בנוסף לנ"ל עוד גורמים ואנו מנהלים מו"מ עם כמה מהם". בישיבה האמורה התקבלה החלטה, כי "הדירקטוריון מאשרר את עסקת רכישת מבנה [מפעל הכימיה]".</w:t>
      </w:r>
    </w:p>
    <w:p w:rsidR="000B385D" w:rsidRPr="00011A0E" w:rsidP="00B73C77">
      <w:pPr>
        <w:spacing w:after="120" w:line="230" w:lineRule="exact"/>
        <w:jc w:val="both"/>
        <w:rPr>
          <w:rFonts w:cs="FrankRuehl"/>
          <w:sz w:val="20"/>
          <w:szCs w:val="22"/>
          <w:rtl/>
        </w:rPr>
      </w:pPr>
      <w:r w:rsidRPr="00011A0E">
        <w:rPr>
          <w:rFonts w:cs="FrankRuehl" w:hint="cs"/>
          <w:sz w:val="20"/>
          <w:szCs w:val="22"/>
          <w:rtl/>
        </w:rPr>
        <w:t xml:space="preserve">מהמסמכים עולה, כי גם בישיבת דירקטוריון זו, שהתקיימה כחודשיים לאחר הדיווח הראשוני לדירקטוריון בנושא המשא ומתן לרכישת מפעל הכימיה, לא הוצגה לדירקטוריון כל תכנית עסקית ותחשיב החזר השקעה צפוי. </w:t>
      </w:r>
    </w:p>
    <w:p w:rsidR="000B385D" w:rsidRPr="00011A0E" w:rsidP="00B73C77">
      <w:pPr>
        <w:spacing w:after="240" w:line="230" w:lineRule="exact"/>
        <w:jc w:val="both"/>
        <w:rPr>
          <w:rFonts w:cs="FrankRuehl"/>
          <w:sz w:val="20"/>
          <w:szCs w:val="22"/>
          <w:rtl/>
        </w:rPr>
      </w:pPr>
      <w:r w:rsidRPr="00011A0E">
        <w:rPr>
          <w:rFonts w:cs="FrankRuehl" w:hint="cs"/>
          <w:sz w:val="20"/>
          <w:szCs w:val="22"/>
          <w:rtl/>
        </w:rPr>
        <w:t xml:space="preserve">מהמסמכים עולה עוד, כי ההחלטה על רכישת מפעל הכימיה על ידי רותם הייתה החלטה חריגה בהיקפה יחסית לפעילות החברה: שווי העסקה עמד, כאמור, על כ-5.4 מיליון ש"ח, שעה שמחזור </w:t>
      </w:r>
      <w:r w:rsidRPr="00011A0E">
        <w:rPr>
          <w:rFonts w:cs="FrankRuehl" w:hint="cs"/>
          <w:sz w:val="20"/>
          <w:szCs w:val="22"/>
          <w:rtl/>
        </w:rPr>
        <w:t xml:space="preserve">המכירות הכולל של הפעילות העצמאית של רותם בשנת 2007 (כפי שהיה ידוע במועד חתימת ההסכם עם החברה הזרה, אפריל 2008) עמד כאמור על כ-8.6 מיליון ש"ח. כך היוותה העסקה מעל ל-60% ממחזור המכירות של הפעילות העסקית של רותם. </w:t>
      </w:r>
    </w:p>
    <w:p w:rsidR="000B385D" w:rsidRPr="00011A0E" w:rsidP="00B73C77">
      <w:pPr>
        <w:pStyle w:val="RESHET"/>
        <w:keepLines/>
        <w:rPr>
          <w:rtl/>
        </w:rPr>
      </w:pPr>
      <w:r w:rsidRPr="00011A0E">
        <w:rPr>
          <w:rFonts w:hint="cs"/>
          <w:rtl/>
        </w:rPr>
        <w:t>מהביקורת עולה, כי אף על פי שההחלטה בהקשר זה הייתה מהותית, היא לא אושרה בדירקטוריון אלא בדיעבד. לדעת משרד מבקר המדינה, היה על מנכ"ל רותם לקבל את אישורו של הדירקטוריון לעסקה לפני ביצועה, וזאת לאחר הצגת תכנית עסקית מפורטת בפני הדירקטוריון, ברוח חוק החברות הממשלתיות.</w:t>
      </w:r>
    </w:p>
    <w:p w:rsidR="000B385D" w:rsidRPr="00011A0E" w:rsidP="00922FB9">
      <w:pPr>
        <w:spacing w:before="180" w:after="120" w:line="230" w:lineRule="exact"/>
        <w:jc w:val="both"/>
        <w:rPr>
          <w:rFonts w:cs="FrankRuehl"/>
          <w:sz w:val="20"/>
          <w:szCs w:val="22"/>
          <w:rtl/>
        </w:rPr>
      </w:pPr>
      <w:r w:rsidRPr="00011A0E">
        <w:rPr>
          <w:rFonts w:cs="FrankRuehl" w:hint="cs"/>
          <w:sz w:val="20"/>
          <w:szCs w:val="22"/>
          <w:rtl/>
        </w:rPr>
        <w:t xml:space="preserve">בתגובת רותם מאפריל 2013 לטיוטת הביקורת (להלן </w:t>
      </w:r>
      <w:r w:rsidRPr="00011A0E">
        <w:rPr>
          <w:rFonts w:cs="FrankRuehl"/>
          <w:sz w:val="20"/>
          <w:szCs w:val="22"/>
          <w:rtl/>
        </w:rPr>
        <w:t>-</w:t>
      </w:r>
      <w:r w:rsidRPr="00011A0E">
        <w:rPr>
          <w:rFonts w:cs="FrankRuehl" w:hint="cs"/>
          <w:sz w:val="20"/>
          <w:szCs w:val="22"/>
          <w:rtl/>
        </w:rPr>
        <w:t xml:space="preserve"> תגובת רותם) צוין, כי "מנכ"ל החברה דיווח לדירקטוריון מראש על ניהול המו"מ והמחיר המוצע וקיבל את ברכתו להמשיך ולהתקדם. אמנם הפרוטוקול אינו משקף החלטה פורמאלית המאשרת את העסקה אך היה ברור כי הדירקטוריון מאשר למנכ"ל להתקדם. מסיבה זו ההחלטה מישיבת הדירקטוריון מיום 6.4.2008 קובעת, כי הדירקטוריון </w:t>
      </w:r>
      <w:r w:rsidRPr="00922FB9">
        <w:rPr>
          <w:rFonts w:cs="FrankRuehl" w:hint="cs"/>
          <w:sz w:val="20"/>
          <w:szCs w:val="22"/>
          <w:u w:val="single"/>
          <w:rtl/>
        </w:rPr>
        <w:t>מאשרר</w:t>
      </w:r>
      <w:r w:rsidRPr="00011A0E">
        <w:rPr>
          <w:rFonts w:cs="FrankRuehl" w:hint="cs"/>
          <w:sz w:val="20"/>
          <w:szCs w:val="22"/>
          <w:rtl/>
        </w:rPr>
        <w:t xml:space="preserve"> את העסקה ולא </w:t>
      </w:r>
      <w:r w:rsidRPr="00922FB9">
        <w:rPr>
          <w:rFonts w:cs="FrankRuehl" w:hint="cs"/>
          <w:sz w:val="20"/>
          <w:szCs w:val="22"/>
          <w:u w:val="single"/>
          <w:rtl/>
        </w:rPr>
        <w:t>מאשר</w:t>
      </w:r>
      <w:r w:rsidRPr="00011A0E">
        <w:rPr>
          <w:rFonts w:cs="FrankRuehl" w:hint="cs"/>
          <w:sz w:val="20"/>
          <w:szCs w:val="22"/>
          <w:rtl/>
        </w:rPr>
        <w:t xml:space="preserve"> אותה. לא מדובר במצב של קבלת אישור בדיעבד" (ההדגשות במקור).</w:t>
      </w:r>
    </w:p>
    <w:p w:rsidR="000B385D" w:rsidRPr="00922FB9" w:rsidP="00922FB9">
      <w:pPr>
        <w:pStyle w:val="BodyText"/>
        <w:spacing w:before="0" w:after="240"/>
        <w:rPr>
          <w:sz w:val="20"/>
          <w:rtl/>
        </w:rPr>
      </w:pPr>
      <w:r w:rsidRPr="00922FB9">
        <w:rPr>
          <w:rFonts w:hint="cs"/>
          <w:sz w:val="20"/>
          <w:rtl/>
        </w:rPr>
        <w:t>מתגובת רותם עלה, כי רותם רואה בדיון שנערך בדירקטוריון בפברואר 2008 את הדיון שבו התקבלה ההחלטה על רכישת מפעל הכימיה; רותם מציינת כי בישיבה זו חסרה החלטה פורמלית בלבד. עם זאת, כאמור, בישיבה זו הוצגו לדירקטוריון נתונים חלקיים על התכנית העסקית בנוגע להשקעה הראשונית ולהשקעות נוספות הנדרשות במפעל הכימיה לצורך הקמת מפעל כימיקלים, והחזר ההשקעה הצפוי; כמו כן, בישיבה זו הדירקטוריון לא אישר שינוי בתקציב של רותם לצורך הרכישה.</w:t>
      </w:r>
    </w:p>
    <w:p w:rsidR="000B385D" w:rsidRPr="00011A0E" w:rsidP="00B73C77">
      <w:pPr>
        <w:pStyle w:val="RESHET"/>
        <w:keepLines/>
        <w:rPr>
          <w:rtl/>
        </w:rPr>
      </w:pPr>
      <w:r w:rsidRPr="00011A0E">
        <w:rPr>
          <w:rFonts w:hint="cs"/>
          <w:rtl/>
        </w:rPr>
        <w:t>בתגובתה הציגה רותם את היעדרה של החלטה פורמלית בעניין רכישת מפעל הכימיה כליקוי טכני בלבד. לדעת משרד מבקר המדינה, אין לראות באישור הדירקטוריון למנכ"ל "להתקדם" כאישור לביצוע העסקה; ההחלטה על הרכישה בסכומים מהותיים חייבה הקצאת תקציב מתאים לביצועה, ושיקול דעת מעמיק לגבי כדאיותה. משלא נעשה כך, ומשלא הובאה בפני הדירקטוריון התמונה כולה מבעוד מועד, מצא עצמו הדירקטוריון לאחר הרכישה מול עובדה מוגמרת, וללא יכולת השפעה.</w:t>
      </w:r>
    </w:p>
    <w:p w:rsidR="000B385D" w:rsidRPr="00011A0E" w:rsidP="00B73C77">
      <w:pPr>
        <w:pStyle w:val="RESHET"/>
        <w:keepLines/>
        <w:rPr>
          <w:rtl/>
        </w:rPr>
      </w:pPr>
      <w:r w:rsidRPr="00011A0E">
        <w:rPr>
          <w:rFonts w:hint="cs"/>
          <w:rtl/>
        </w:rPr>
        <w:t>כאמור, לרכישת מפעל הכימיה לא אושר תקציב מספיק בדירקטוריון רותם: פעולת הרכישה של מפעל הכימיה נעשתה אפוא בחריגה מהתקציב המאושר, ובאופן שאינו תואם את הנדרש בחוק החברות הממשלתיות.</w:t>
      </w:r>
    </w:p>
    <w:p w:rsidR="000B385D" w:rsidRPr="00011A0E" w:rsidP="00B73C77">
      <w:pPr>
        <w:spacing w:after="120" w:line="230" w:lineRule="exact"/>
        <w:jc w:val="both"/>
        <w:rPr>
          <w:rFonts w:cs="FrankRuehl"/>
          <w:sz w:val="20"/>
          <w:szCs w:val="22"/>
          <w:rtl/>
        </w:rPr>
      </w:pPr>
      <w:r w:rsidRPr="00011A0E">
        <w:rPr>
          <w:rFonts w:cs="FrankRuehl" w:hint="cs"/>
          <w:sz w:val="20"/>
          <w:szCs w:val="22"/>
          <w:rtl/>
        </w:rPr>
        <w:t>מפעל הכימיה מוצג בדוחות הכספיים של רותם כמרכז רווח נפרד. מהמסמכים עולה, כי מזמן רכישת המבנה, אפריל 2008, ועד ליוני 2011 נצברו במרכז רווח זה הפסדים של כ-2 מיליון ש"ח. יצוין, כי הפסדים אלה מוצגים לאחר קיזוז הוצאות האחזקה של המבנה המועמסות על מרכזי הרווח האחרים - היחידות השונות המשתמשות במבנה.</w:t>
      </w:r>
    </w:p>
    <w:p w:rsidR="000B385D" w:rsidRPr="00011A0E" w:rsidP="00B73C77">
      <w:pPr>
        <w:spacing w:after="240" w:line="230" w:lineRule="exact"/>
        <w:jc w:val="both"/>
        <w:rPr>
          <w:rFonts w:cs="FrankRuehl"/>
          <w:sz w:val="20"/>
          <w:szCs w:val="22"/>
          <w:rtl/>
        </w:rPr>
      </w:pPr>
      <w:r w:rsidRPr="00011A0E">
        <w:rPr>
          <w:rFonts w:cs="FrankRuehl" w:hint="cs"/>
          <w:sz w:val="20"/>
          <w:szCs w:val="22"/>
          <w:rtl/>
        </w:rPr>
        <w:t>בתגובת רותם צוין, כי הפסדי מפעל הכימיה, כפי שמופיעים בדוחות הכספיים של רותם, נובעים "מכך שעם רכישת המפעל החליטה החברה כי חלק מהוצאות המפעל לא תיזקפנה לחובת הפעילויות המבוצעות בו אלא לחובת מרכז רווח נוסף [מפעל הכימיה]... שתפקידו להביא פעילות נוספת שתייצר הכנסות נוספות".</w:t>
      </w:r>
    </w:p>
    <w:p w:rsidR="000B385D" w:rsidRPr="00011A0E" w:rsidP="00B73C77">
      <w:pPr>
        <w:pStyle w:val="RESHET"/>
        <w:keepLines/>
        <w:rPr>
          <w:rtl/>
        </w:rPr>
      </w:pPr>
      <w:r w:rsidRPr="00011A0E">
        <w:rPr>
          <w:rFonts w:hint="cs"/>
          <w:rtl/>
        </w:rPr>
        <w:t xml:space="preserve">מתגובת רותם עולה, כי הוצאות ההפעלה של מפעל הכימיה הועמסו הן על מרכזי הרווח שהופעלו בו, והן על מרכז רווח נוסף, שייצג את יכולתו של המפעל, בתכונותיו הקיימות, לייצר הכנסות ורווחים נוספים. משמע, רותם הייתה מודעת לכך שהפוטנציאל העסקי הטמון במפעל הכימיה עולה על צרכיה ולכך שאי-מימוש הפוטנציאל יגרום להפסדים ברותם, נוכח הוצאות אחזקה מיותרות. משרד מבקר המדינה מעיר, כי רותם לא הציגה בפני הדירקטוריון את מלוא הנתונים והמשמעויות הנובעות מהם בכל הנוגע לעלויות הכרוכות באחזקת מפעל הכימיה ובפוטנציאל העסקי הטמון בו. </w:t>
      </w:r>
    </w:p>
    <w:p w:rsidR="00B73C77" w:rsidP="00B73C77">
      <w:pPr>
        <w:spacing w:after="120" w:line="230" w:lineRule="exact"/>
        <w:jc w:val="both"/>
        <w:rPr>
          <w:rFonts w:cs="FrankRuehl"/>
          <w:sz w:val="22"/>
          <w:szCs w:val="22"/>
          <w:rtl/>
        </w:rPr>
      </w:pPr>
    </w:p>
    <w:p w:rsidR="00B73C77" w:rsidP="00B73C77">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B73C77" w:rsidP="00B73C77">
      <w:pPr>
        <w:spacing w:after="120" w:line="230" w:lineRule="exact"/>
        <w:jc w:val="both"/>
        <w:rPr>
          <w:rFonts w:cs="FrankRuehl"/>
          <w:sz w:val="22"/>
          <w:szCs w:val="22"/>
          <w:rtl/>
        </w:rPr>
      </w:pPr>
    </w:p>
    <w:p w:rsidR="000B385D" w:rsidRPr="00011A0E" w:rsidP="00B73C77">
      <w:pPr>
        <w:pStyle w:val="RESHET"/>
        <w:keepLines/>
        <w:rPr>
          <w:rtl/>
        </w:rPr>
      </w:pPr>
      <w:r w:rsidRPr="00011A0E">
        <w:rPr>
          <w:rFonts w:hint="cs"/>
          <w:rtl/>
        </w:rPr>
        <w:t>לדעת משרד מבקר המדינה, היה ראוי כי רכישת מפעל הכימיה תישקל בדירקטוריון מבעוד מועד, לאחר שהובא לידיעת הדירקטורים מידע מספיק על תכניותיה העסקיות של רותם לגבי מפעל הכימיה: השימושים העתידיים במפעל, סך העלויות הצפויות מההשקעה וההחזר הצפוי ממנה. כמו כן, היה על רותם לבקש מהדירקטוריון שיאשר את השינוי בתקציב, בהתאם לנדרש בחוק החברות הממשלתיות.</w:t>
      </w:r>
    </w:p>
    <w:p w:rsidR="000B385D" w:rsidRPr="00011A0E" w:rsidP="00B73C77">
      <w:pPr>
        <w:spacing w:after="120" w:line="230" w:lineRule="exact"/>
        <w:jc w:val="both"/>
        <w:rPr>
          <w:rFonts w:cs="FrankRuehl"/>
          <w:sz w:val="20"/>
          <w:szCs w:val="22"/>
          <w:rtl/>
        </w:rPr>
      </w:pPr>
    </w:p>
    <w:p w:rsidR="00D460F3" w:rsidRPr="00011A0E" w:rsidP="00B73C77">
      <w:pPr>
        <w:spacing w:after="120" w:line="230" w:lineRule="exact"/>
        <w:jc w:val="both"/>
        <w:rPr>
          <w:rFonts w:cs="FrankRuehl"/>
          <w:sz w:val="20"/>
          <w:szCs w:val="22"/>
          <w:rtl/>
        </w:rPr>
      </w:pPr>
    </w:p>
    <w:p w:rsidR="000B385D" w:rsidRPr="00643339" w:rsidP="00B73C77">
      <w:pPr>
        <w:pStyle w:val="KOT4"/>
        <w:rPr>
          <w:rtl/>
        </w:rPr>
      </w:pPr>
      <w:r w:rsidRPr="00643339">
        <w:rPr>
          <w:rFonts w:hint="cs"/>
          <w:rtl/>
        </w:rPr>
        <w:t>חטיבת שרביט</w:t>
      </w:r>
    </w:p>
    <w:p w:rsidR="000B385D" w:rsidRPr="00011A0E" w:rsidP="00D93664">
      <w:pPr>
        <w:spacing w:after="120" w:line="230" w:lineRule="exact"/>
        <w:jc w:val="both"/>
        <w:rPr>
          <w:rFonts w:cs="FrankRuehl"/>
          <w:sz w:val="20"/>
          <w:szCs w:val="22"/>
          <w:rtl/>
        </w:rPr>
      </w:pPr>
      <w:r w:rsidRPr="00011A0E">
        <w:rPr>
          <w:rFonts w:cs="FrankRuehl" w:hint="cs"/>
          <w:sz w:val="20"/>
          <w:szCs w:val="22"/>
          <w:rtl/>
        </w:rPr>
        <w:t xml:space="preserve">כאמור, ברותם פועלת חטיבת שרביט, העוסקת בהיערכות לטרור בלתי קונבנציונלי ולחירום. ממסמך של חטיבת שרביט מנובמבר 2007 עולה, כי "שרביט מהווה מרכז ידע ואינטגרציה להיערכויות טקטיות להתמודדות עם מצבי חירום בכלל וטב"ק בפרט". </w:t>
      </w:r>
    </w:p>
    <w:p w:rsidR="000B385D" w:rsidRPr="00011A0E" w:rsidP="00B73C77">
      <w:pPr>
        <w:spacing w:after="120" w:line="230" w:lineRule="exact"/>
        <w:jc w:val="both"/>
        <w:rPr>
          <w:rFonts w:cs="FrankRuehl"/>
          <w:sz w:val="20"/>
          <w:szCs w:val="22"/>
          <w:rtl/>
        </w:rPr>
      </w:pPr>
      <w:r w:rsidRPr="00011A0E">
        <w:rPr>
          <w:rFonts w:cs="FrankRuehl" w:hint="cs"/>
          <w:sz w:val="20"/>
          <w:szCs w:val="22"/>
          <w:rtl/>
        </w:rPr>
        <w:t xml:space="preserve">בישיבת הדירקטוריון מאוגוסט 2009 הוצגה פעילותה של חטיבת שרביט. בישיבה הוצג, כי "רותם [באמצעות שרביט] ממצבת עצמה כאינטגרטור בתחום ההיערכות לחרום, תוך מיקוד בהיערכות לאסונות המוניים". </w:t>
      </w:r>
    </w:p>
    <w:p w:rsidR="000B385D" w:rsidRPr="00011A0E" w:rsidP="00B73C77">
      <w:pPr>
        <w:spacing w:after="120" w:line="230" w:lineRule="exact"/>
        <w:jc w:val="both"/>
        <w:rPr>
          <w:rFonts w:cs="FrankRuehl"/>
          <w:sz w:val="20"/>
          <w:szCs w:val="22"/>
          <w:rtl/>
        </w:rPr>
      </w:pPr>
      <w:r w:rsidRPr="00011A0E">
        <w:rPr>
          <w:rFonts w:cs="FrankRuehl" w:hint="cs"/>
          <w:sz w:val="20"/>
          <w:szCs w:val="22"/>
          <w:rtl/>
        </w:rPr>
        <w:t xml:space="preserve">מדוחות הפעילות של רותם עולה, כי משנת 2005 ועד יוני 2011 הפסידה רותם מפעילות זו כ-1.3 מיליון ש"ח. </w:t>
      </w:r>
    </w:p>
    <w:p w:rsidR="000B385D" w:rsidRPr="00011A0E" w:rsidP="00B73C77">
      <w:pPr>
        <w:spacing w:after="120" w:line="230" w:lineRule="exact"/>
        <w:ind w:left="340" w:hanging="340"/>
        <w:jc w:val="both"/>
        <w:rPr>
          <w:rFonts w:cs="FrankRuehl"/>
          <w:sz w:val="20"/>
          <w:szCs w:val="22"/>
          <w:rtl/>
        </w:rPr>
      </w:pPr>
      <w:r>
        <w:rPr>
          <w:rFonts w:cs="FrankRuehl" w:hint="cs"/>
          <w:sz w:val="20"/>
          <w:szCs w:val="22"/>
          <w:rtl/>
        </w:rPr>
        <w:t>1.</w:t>
      </w:r>
      <w:r w:rsidRPr="00011A0E">
        <w:rPr>
          <w:rFonts w:cs="FrankRuehl" w:hint="cs"/>
          <w:sz w:val="20"/>
          <w:szCs w:val="22"/>
          <w:rtl/>
        </w:rPr>
        <w:t xml:space="preserve"> </w:t>
      </w:r>
      <w:r w:rsidRPr="00011A0E">
        <w:rPr>
          <w:rFonts w:cs="FrankRuehl" w:hint="cs"/>
          <w:sz w:val="20"/>
          <w:szCs w:val="22"/>
          <w:rtl/>
        </w:rPr>
        <w:tab/>
        <w:t>באפריל 2007 החליטה הממשלה על "הטלת האחריות הכוללת לטיפול בעורף במצבי חירום על שר הביטחון" (להלן - החלטת הממשלה)</w:t>
      </w:r>
      <w:r>
        <w:rPr>
          <w:rFonts w:cs="FrankRuehl"/>
          <w:sz w:val="20"/>
          <w:szCs w:val="22"/>
          <w:vertAlign w:val="superscript"/>
          <w:rtl/>
        </w:rPr>
        <w:footnoteReference w:id="6"/>
      </w:r>
      <w:r w:rsidRPr="00011A0E">
        <w:rPr>
          <w:rFonts w:cs="FrankRuehl" w:hint="cs"/>
          <w:sz w:val="20"/>
          <w:szCs w:val="22"/>
          <w:rtl/>
        </w:rPr>
        <w:t>. החלטת הממשלה קבעה, כי שר הביטחון "ינחה בדבר ביצוע עבודת מטה אשר תפרט את הפעולות הנדרשות לקבלת אחריות העל לטיפול בעורף במצבי חירום".</w:t>
      </w:r>
    </w:p>
    <w:p w:rsidR="000B385D" w:rsidRPr="00011A0E" w:rsidP="00B73C77">
      <w:pPr>
        <w:spacing w:after="120" w:line="230" w:lineRule="exact"/>
        <w:ind w:left="340"/>
        <w:jc w:val="both"/>
        <w:rPr>
          <w:rFonts w:cs="FrankRuehl"/>
          <w:sz w:val="20"/>
          <w:szCs w:val="22"/>
          <w:rtl/>
        </w:rPr>
      </w:pPr>
      <w:r w:rsidRPr="00011A0E">
        <w:rPr>
          <w:rFonts w:cs="FrankRuehl" w:hint="cs"/>
          <w:sz w:val="20"/>
          <w:szCs w:val="22"/>
          <w:rtl/>
        </w:rPr>
        <w:t>בסמוך למועד זה, החלה רותם לספק למשהב</w:t>
      </w:r>
      <w:r w:rsidRPr="00011A0E">
        <w:rPr>
          <w:rFonts w:cs="FrankRuehl"/>
          <w:sz w:val="20"/>
          <w:szCs w:val="22"/>
          <w:rtl/>
        </w:rPr>
        <w:t>"</w:t>
      </w:r>
      <w:r w:rsidRPr="00011A0E">
        <w:rPr>
          <w:rFonts w:cs="FrankRuehl" w:hint="cs"/>
          <w:sz w:val="20"/>
          <w:szCs w:val="22"/>
          <w:rtl/>
        </w:rPr>
        <w:t xml:space="preserve">ט שירותי ייעוץ בנושא הטיפול בעורף. בביקורת עלה, כי שני יועצים שהעסיקה חטיבת שרביט ברותם (להלן </w:t>
      </w:r>
      <w:r w:rsidRPr="00011A0E">
        <w:rPr>
          <w:rFonts w:cs="FrankRuehl"/>
          <w:sz w:val="20"/>
          <w:szCs w:val="22"/>
          <w:rtl/>
        </w:rPr>
        <w:t>-</w:t>
      </w:r>
      <w:r w:rsidRPr="00011A0E">
        <w:rPr>
          <w:rFonts w:cs="FrankRuehl" w:hint="cs"/>
          <w:sz w:val="20"/>
          <w:szCs w:val="22"/>
          <w:rtl/>
        </w:rPr>
        <w:t xml:space="preserve"> היועצים הראשונים) החלו בעבודתם עבור משהב</w:t>
      </w:r>
      <w:r w:rsidRPr="00011A0E">
        <w:rPr>
          <w:rFonts w:cs="FrankRuehl"/>
          <w:sz w:val="20"/>
          <w:szCs w:val="22"/>
          <w:rtl/>
        </w:rPr>
        <w:t>"</w:t>
      </w:r>
      <w:r w:rsidRPr="00011A0E">
        <w:rPr>
          <w:rFonts w:cs="FrankRuehl" w:hint="cs"/>
          <w:sz w:val="20"/>
          <w:szCs w:val="22"/>
          <w:rtl/>
        </w:rPr>
        <w:t>ט בחודש מאי 2007.</w:t>
      </w:r>
    </w:p>
    <w:p w:rsidR="000B385D" w:rsidRPr="00011A0E" w:rsidP="00B73C77">
      <w:pPr>
        <w:spacing w:after="120" w:line="230" w:lineRule="exact"/>
        <w:ind w:left="340"/>
        <w:jc w:val="both"/>
        <w:rPr>
          <w:rFonts w:cs="FrankRuehl"/>
          <w:sz w:val="20"/>
          <w:szCs w:val="22"/>
          <w:rtl/>
        </w:rPr>
      </w:pPr>
      <w:r w:rsidRPr="00011A0E">
        <w:rPr>
          <w:rFonts w:cs="FrankRuehl" w:hint="cs"/>
          <w:sz w:val="20"/>
          <w:szCs w:val="22"/>
          <w:rtl/>
        </w:rPr>
        <w:t>בהוראת משהב</w:t>
      </w:r>
      <w:r w:rsidRPr="00011A0E">
        <w:rPr>
          <w:rFonts w:cs="FrankRuehl"/>
          <w:sz w:val="20"/>
          <w:szCs w:val="22"/>
          <w:rtl/>
        </w:rPr>
        <w:t>"</w:t>
      </w:r>
      <w:r w:rsidRPr="00011A0E">
        <w:rPr>
          <w:rFonts w:cs="FrankRuehl" w:hint="cs"/>
          <w:sz w:val="20"/>
          <w:szCs w:val="22"/>
          <w:rtl/>
        </w:rPr>
        <w:t xml:space="preserve">ט בדבר "אישור צורך והתקשרות עם יועצים, עובדים בלתי צמיתים וכ"א חיצוני" (להלן </w:t>
      </w:r>
      <w:r w:rsidRPr="00011A0E">
        <w:rPr>
          <w:rFonts w:cs="FrankRuehl"/>
          <w:sz w:val="20"/>
          <w:szCs w:val="22"/>
          <w:rtl/>
        </w:rPr>
        <w:t>-</w:t>
      </w:r>
      <w:r w:rsidRPr="00011A0E">
        <w:rPr>
          <w:rFonts w:cs="FrankRuehl" w:hint="cs"/>
          <w:sz w:val="20"/>
          <w:szCs w:val="22"/>
          <w:rtl/>
        </w:rPr>
        <w:t xml:space="preserve"> הוראת משהב"ט) מוגדר יועץ כ"גורם חיצוני, שיש צורך להעסיקו מעת לעת למטרות/מטלות מיוחדות, בתחום הדורש ידע, מומחיות או כישורים מיוחדים, התמחות אקדמית או התמחות אחרת שאינה נלמדת במוסד אקדמי". בהוראת משהב"ט נקבע עוד, כי "חל איסור על העסקה, טרם תחילת תוקף החוזה. מודגש כי לא תאושר העסקה בדיעבד".</w:t>
      </w:r>
    </w:p>
    <w:p w:rsidR="000B385D" w:rsidRPr="00011A0E" w:rsidP="00B73C77">
      <w:pPr>
        <w:spacing w:after="120" w:line="230" w:lineRule="exact"/>
        <w:ind w:left="340"/>
        <w:jc w:val="both"/>
        <w:rPr>
          <w:rFonts w:cs="FrankRuehl"/>
          <w:sz w:val="20"/>
          <w:szCs w:val="22"/>
          <w:rtl/>
        </w:rPr>
      </w:pPr>
      <w:r w:rsidRPr="00011A0E">
        <w:rPr>
          <w:rFonts w:cs="FrankRuehl" w:hint="cs"/>
          <w:sz w:val="20"/>
          <w:szCs w:val="22"/>
          <w:rtl/>
        </w:rPr>
        <w:t>במסמכים נמצא, כי העסקתם של היועצים הראשונים לא אושרה במשהב</w:t>
      </w:r>
      <w:r w:rsidRPr="00011A0E">
        <w:rPr>
          <w:rFonts w:cs="FrankRuehl"/>
          <w:sz w:val="20"/>
          <w:szCs w:val="22"/>
          <w:rtl/>
        </w:rPr>
        <w:t>"</w:t>
      </w:r>
      <w:r w:rsidRPr="00011A0E">
        <w:rPr>
          <w:rFonts w:cs="FrankRuehl" w:hint="cs"/>
          <w:sz w:val="20"/>
          <w:szCs w:val="22"/>
          <w:rtl/>
        </w:rPr>
        <w:t xml:space="preserve">ט כנדרש בהוראת משהב"ט, אלא בדיעבד, כמפורט להלן: </w:t>
      </w:r>
    </w:p>
    <w:p w:rsidR="000B385D" w:rsidRPr="00011A0E" w:rsidP="00B73C77">
      <w:pPr>
        <w:spacing w:after="120" w:line="230" w:lineRule="exact"/>
        <w:ind w:left="340"/>
        <w:jc w:val="both"/>
        <w:rPr>
          <w:rFonts w:cs="FrankRuehl"/>
          <w:sz w:val="20"/>
          <w:szCs w:val="22"/>
          <w:rtl/>
        </w:rPr>
      </w:pPr>
      <w:r w:rsidRPr="00011A0E">
        <w:rPr>
          <w:rFonts w:cs="FrankRuehl" w:hint="cs"/>
          <w:sz w:val="20"/>
          <w:szCs w:val="22"/>
          <w:rtl/>
        </w:rPr>
        <w:t>במכתב ממרץ 2008 ציין חשב משהב</w:t>
      </w:r>
      <w:r w:rsidRPr="00011A0E">
        <w:rPr>
          <w:rFonts w:cs="FrankRuehl"/>
          <w:sz w:val="20"/>
          <w:szCs w:val="22"/>
          <w:rtl/>
        </w:rPr>
        <w:t>"</w:t>
      </w:r>
      <w:r w:rsidRPr="00011A0E">
        <w:rPr>
          <w:rFonts w:cs="FrankRuehl" w:hint="cs"/>
          <w:sz w:val="20"/>
          <w:szCs w:val="22"/>
          <w:rtl/>
        </w:rPr>
        <w:t xml:space="preserve">ט דאז בעניין העסקתם, כי "הנ"ל עבדו ללא חוזה מאושר" והבהיר, כי "המקרה חמור ואינו עפ"י חוק הרשאות לפי חוק נכסי המדינה". </w:t>
      </w:r>
    </w:p>
    <w:p w:rsidR="000B385D" w:rsidRPr="00011A0E" w:rsidP="00B73C77">
      <w:pPr>
        <w:spacing w:after="120" w:line="230" w:lineRule="exact"/>
        <w:ind w:left="340"/>
        <w:jc w:val="both"/>
        <w:rPr>
          <w:rFonts w:cs="FrankRuehl"/>
          <w:sz w:val="20"/>
          <w:szCs w:val="22"/>
          <w:rtl/>
        </w:rPr>
      </w:pPr>
      <w:r w:rsidRPr="00011A0E">
        <w:rPr>
          <w:rFonts w:cs="FrankRuehl" w:hint="cs"/>
          <w:sz w:val="20"/>
          <w:szCs w:val="22"/>
          <w:rtl/>
        </w:rPr>
        <w:t xml:space="preserve">בעניין זה כתב סגן בכיר לחשב הכללי במרץ 2008, כי "אני רואה בחומרה את העסקת היועצים החיצוניים ללא חוזה עבודה מאושר מראש כנדרש". </w:t>
      </w:r>
    </w:p>
    <w:p w:rsidR="000B385D" w:rsidRPr="00011A0E" w:rsidP="00B73C77">
      <w:pPr>
        <w:spacing w:after="120" w:line="230" w:lineRule="exact"/>
        <w:ind w:left="340"/>
        <w:jc w:val="both"/>
        <w:rPr>
          <w:rFonts w:cs="FrankRuehl"/>
          <w:sz w:val="20"/>
          <w:szCs w:val="22"/>
          <w:rtl/>
        </w:rPr>
      </w:pPr>
      <w:r w:rsidRPr="00011A0E">
        <w:rPr>
          <w:rFonts w:cs="FrankRuehl" w:hint="cs"/>
          <w:sz w:val="20"/>
          <w:szCs w:val="22"/>
          <w:rtl/>
        </w:rPr>
        <w:t>בתגובת משהב"ט לטיוטת הביקורת ממאי 2013 צוין בעניין זה, כי בנובמבר 2007 הועלה נושא העסקת היועצים הראשונים לוועדת היועצים (ראו בהמשך) ואושר כחריג, וזאת לאחר אישורו של חשב משהב</w:t>
      </w:r>
      <w:r w:rsidRPr="00011A0E">
        <w:rPr>
          <w:rFonts w:cs="FrankRuehl"/>
          <w:sz w:val="20"/>
          <w:szCs w:val="22"/>
          <w:rtl/>
        </w:rPr>
        <w:t>"</w:t>
      </w:r>
      <w:r w:rsidRPr="00011A0E">
        <w:rPr>
          <w:rFonts w:cs="FrankRuehl" w:hint="cs"/>
          <w:sz w:val="20"/>
          <w:szCs w:val="22"/>
          <w:rtl/>
        </w:rPr>
        <w:t>ט. בעקבות כך, הנפיק משהב</w:t>
      </w:r>
      <w:r w:rsidRPr="00011A0E">
        <w:rPr>
          <w:rFonts w:cs="FrankRuehl"/>
          <w:sz w:val="20"/>
          <w:szCs w:val="22"/>
          <w:rtl/>
        </w:rPr>
        <w:t>"</w:t>
      </w:r>
      <w:r w:rsidRPr="00011A0E">
        <w:rPr>
          <w:rFonts w:cs="FrankRuehl" w:hint="cs"/>
          <w:sz w:val="20"/>
          <w:szCs w:val="22"/>
          <w:rtl/>
        </w:rPr>
        <w:t>ט לרותם הזמנה עבור שעות ההעסקה של היועצים הראשונים.</w:t>
      </w:r>
    </w:p>
    <w:p w:rsidR="000B385D" w:rsidRPr="00011A0E" w:rsidP="00B73C77">
      <w:pPr>
        <w:spacing w:after="240" w:line="230" w:lineRule="exact"/>
        <w:ind w:left="340"/>
        <w:jc w:val="both"/>
        <w:rPr>
          <w:rFonts w:cs="FrankRuehl"/>
          <w:sz w:val="20"/>
          <w:szCs w:val="22"/>
          <w:rtl/>
        </w:rPr>
      </w:pPr>
      <w:r w:rsidRPr="00011A0E">
        <w:rPr>
          <w:rFonts w:cs="FrankRuehl" w:hint="cs"/>
          <w:sz w:val="20"/>
          <w:szCs w:val="22"/>
          <w:rtl/>
        </w:rPr>
        <w:t>בתגובת רותם צוין בעניין זה, כי "היועצים הועסקו במסגרת תקציבית שהוקצתה ואושרה מראש, ללא כל חריגה. רותם אינה יכולה לדעת מהם נהלי העבודה הפנימיים של משהב"ט... אם יש כאן ביקורת הרי שעליה להיות מופנית למשהב"ט".</w:t>
      </w:r>
    </w:p>
    <w:p w:rsidR="000B385D" w:rsidRPr="00011A0E" w:rsidP="00B73C77">
      <w:pPr>
        <w:pStyle w:val="RESHET"/>
        <w:keepLines/>
        <w:ind w:left="567"/>
        <w:rPr>
          <w:rtl/>
        </w:rPr>
      </w:pPr>
      <w:r w:rsidRPr="00011A0E">
        <w:rPr>
          <w:rFonts w:hint="cs"/>
          <w:rtl/>
        </w:rPr>
        <w:t>משרד מבקר המדינה מעיר, כי התנהלות משהב</w:t>
      </w:r>
      <w:r w:rsidRPr="00011A0E">
        <w:rPr>
          <w:rtl/>
        </w:rPr>
        <w:t>"</w:t>
      </w:r>
      <w:r w:rsidRPr="00011A0E">
        <w:rPr>
          <w:rFonts w:hint="cs"/>
          <w:rtl/>
        </w:rPr>
        <w:t>ט בעניין זה לא תאמה את הוראת משהב"ט האמורה והייתה בניגוד לכללי המנהל התקין.</w:t>
      </w:r>
    </w:p>
    <w:p w:rsidR="000B385D" w:rsidRPr="00011A0E" w:rsidP="00B73C77">
      <w:pPr>
        <w:spacing w:before="180" w:after="120" w:line="230" w:lineRule="exact"/>
        <w:ind w:left="340" w:hanging="340"/>
        <w:jc w:val="both"/>
        <w:rPr>
          <w:rFonts w:cs="FrankRuehl"/>
          <w:sz w:val="20"/>
          <w:szCs w:val="22"/>
          <w:rtl/>
        </w:rPr>
      </w:pPr>
      <w:r>
        <w:rPr>
          <w:rFonts w:cs="FrankRuehl" w:hint="cs"/>
          <w:sz w:val="20"/>
          <w:szCs w:val="22"/>
          <w:rtl/>
        </w:rPr>
        <w:t>2.</w:t>
      </w:r>
      <w:r w:rsidRPr="00011A0E">
        <w:rPr>
          <w:rFonts w:cs="FrankRuehl" w:hint="cs"/>
          <w:sz w:val="20"/>
          <w:szCs w:val="22"/>
          <w:rtl/>
        </w:rPr>
        <w:t xml:space="preserve"> </w:t>
      </w:r>
      <w:r w:rsidRPr="00011A0E">
        <w:rPr>
          <w:rFonts w:cs="FrankRuehl" w:hint="cs"/>
          <w:sz w:val="20"/>
          <w:szCs w:val="22"/>
          <w:rtl/>
        </w:rPr>
        <w:tab/>
        <w:t>פעילות היועצים הראשונים כללה בין השאר: עבודת מטה לגיבוש רעיון מסודר למימוש החלטת הממשלה; גיבוש תפיסת השליטה בעורף; ותחילת עבודת אפיון מערכת השליטה המרכזית לתכלול פעולות העורף בחירום.</w:t>
      </w:r>
    </w:p>
    <w:p w:rsidR="000B385D" w:rsidRPr="00011A0E" w:rsidP="00B73C77">
      <w:pPr>
        <w:spacing w:after="120" w:line="230" w:lineRule="exact"/>
        <w:ind w:left="340"/>
        <w:jc w:val="both"/>
        <w:rPr>
          <w:rFonts w:cs="FrankRuehl"/>
          <w:sz w:val="20"/>
          <w:szCs w:val="22"/>
          <w:rtl/>
        </w:rPr>
      </w:pPr>
      <w:r w:rsidRPr="00011A0E">
        <w:rPr>
          <w:rFonts w:cs="FrankRuehl" w:hint="cs"/>
          <w:sz w:val="20"/>
          <w:szCs w:val="22"/>
          <w:rtl/>
        </w:rPr>
        <w:t>ביוני 2008 פנה ראש רח"ל לוועדה המשרדית לאישור צורך והעסקת יועצים וכ"א חיצוני במשהב</w:t>
      </w:r>
      <w:r w:rsidRPr="00011A0E">
        <w:rPr>
          <w:rFonts w:cs="FrankRuehl"/>
          <w:sz w:val="20"/>
          <w:szCs w:val="22"/>
          <w:rtl/>
        </w:rPr>
        <w:t>"</w:t>
      </w:r>
      <w:r w:rsidRPr="00011A0E">
        <w:rPr>
          <w:rFonts w:cs="FrankRuehl" w:hint="cs"/>
          <w:sz w:val="20"/>
          <w:szCs w:val="22"/>
          <w:rtl/>
        </w:rPr>
        <w:t xml:space="preserve">ט (להלן </w:t>
      </w:r>
      <w:r w:rsidRPr="00011A0E">
        <w:rPr>
          <w:rFonts w:cs="FrankRuehl"/>
          <w:sz w:val="20"/>
          <w:szCs w:val="22"/>
          <w:rtl/>
        </w:rPr>
        <w:t>-</w:t>
      </w:r>
      <w:r w:rsidRPr="00011A0E">
        <w:rPr>
          <w:rFonts w:cs="FrankRuehl" w:hint="cs"/>
          <w:sz w:val="20"/>
          <w:szCs w:val="22"/>
          <w:rtl/>
        </w:rPr>
        <w:t xml:space="preserve"> ועדת היועצים), וביקש להתקשר עם רותם לצורך העסקת יועצים נוספים "כיועצים חיצוניים במסגרת צוות ההקמה של הרשות הלאומית לחירום (רח"ל)". תפקידיהם של היועצים שנוספו הוגדרו במסמך כלהלן: "חבר בצוות ההקמה של הרשות וכן ריכוז עבודת המטה להסדרת נושא 'המסלול הירוק' לממ"דים"; "מומחה בהקמת חמ"לים"; "תיאום מאמצי פיתוח של שיתופי פעולה עם המגזרים השונים בישראל ועם גופים מקבילים בחו"ל"; "חבר בצוות ההקמה של הרשות, תוך התמקדות בצד הטכנולוגי של אפיון הצטיידות והטמעה של מערכת השו"ב [שליטה ובקרה]".</w:t>
      </w:r>
    </w:p>
    <w:p w:rsidR="000B385D" w:rsidRPr="00011A0E" w:rsidP="00922FB9">
      <w:pPr>
        <w:spacing w:after="120" w:line="230" w:lineRule="exact"/>
        <w:ind w:left="340"/>
        <w:jc w:val="both"/>
        <w:rPr>
          <w:rFonts w:cs="FrankRuehl"/>
          <w:sz w:val="20"/>
          <w:szCs w:val="22"/>
          <w:rtl/>
        </w:rPr>
      </w:pPr>
      <w:r w:rsidRPr="00011A0E">
        <w:rPr>
          <w:rFonts w:cs="FrankRuehl" w:hint="cs"/>
          <w:sz w:val="20"/>
          <w:szCs w:val="22"/>
          <w:rtl/>
        </w:rPr>
        <w:t xml:space="preserve">בביקורת עלה, כי במרוצת השנים הורחבה פעילות רותם כנותנת שירותי ייעוץ לרח"ל. נמצא כי בין השאר העסיקה רותם יועצים בתחומים כלהלן: ארגון מנהלת תקשוב; קצין המבצעים של המנהלת; מנהלת "בקרות נמוכות"; מנהלת רפואה; מנהלת אוכלוסייה; מנהלת רשויות </w:t>
      </w:r>
      <w:r w:rsidRPr="00922FB9">
        <w:rPr>
          <w:rFonts w:cs="FrankRuehl" w:hint="cs"/>
          <w:spacing w:val="-2"/>
          <w:sz w:val="20"/>
          <w:szCs w:val="22"/>
          <w:rtl/>
        </w:rPr>
        <w:t xml:space="preserve">מקומיות; מנהלת "בִיום תקשורת"; "ריכוז הרשויות המקומיות במסגרת תרגיל </w:t>
      </w:r>
      <w:r w:rsidRPr="00922FB9" w:rsidR="00922FB9">
        <w:rPr>
          <w:rFonts w:cs="FrankRuehl" w:hint="cs"/>
          <w:spacing w:val="-2"/>
          <w:sz w:val="20"/>
          <w:szCs w:val="22"/>
          <w:rtl/>
        </w:rPr>
        <w:t>'</w:t>
      </w:r>
      <w:r w:rsidRPr="00922FB9">
        <w:rPr>
          <w:rFonts w:cs="FrankRuehl" w:hint="cs"/>
          <w:spacing w:val="-2"/>
          <w:sz w:val="20"/>
          <w:szCs w:val="22"/>
          <w:rtl/>
        </w:rPr>
        <w:t>נקודת מפנה 3</w:t>
      </w:r>
      <w:r w:rsidRPr="00922FB9" w:rsidR="00922FB9">
        <w:rPr>
          <w:rFonts w:cs="FrankRuehl" w:hint="cs"/>
          <w:spacing w:val="-2"/>
          <w:sz w:val="20"/>
          <w:szCs w:val="22"/>
          <w:rtl/>
        </w:rPr>
        <w:t>'</w:t>
      </w:r>
      <w:r w:rsidRPr="00922FB9">
        <w:rPr>
          <w:rFonts w:cs="FrankRuehl" w:hint="cs"/>
          <w:spacing w:val="-2"/>
          <w:sz w:val="20"/>
          <w:szCs w:val="22"/>
          <w:rtl/>
        </w:rPr>
        <w:t>";</w:t>
      </w:r>
      <w:r w:rsidRPr="00011A0E">
        <w:rPr>
          <w:rFonts w:cs="FrankRuehl" w:hint="cs"/>
          <w:sz w:val="20"/>
          <w:szCs w:val="22"/>
          <w:rtl/>
        </w:rPr>
        <w:t xml:space="preserve"> בניית מערכות כשירות וביקורות במשרדי הממשלה והרשויות המקומיות, במסגרת איחוד רח"ל ומשק לשעת חירום (מל"ח); יועצת לנושאי המגזר השלישי; וב"ביקורת מסמכים ובקרת תאימות, תוך התמקדות של מערכת הנהלים כמכלול".</w:t>
      </w:r>
    </w:p>
    <w:p w:rsidR="000B385D" w:rsidRPr="00011A0E" w:rsidP="00B73C77">
      <w:pPr>
        <w:spacing w:after="240" w:line="230" w:lineRule="exact"/>
        <w:ind w:left="340"/>
        <w:jc w:val="both"/>
        <w:rPr>
          <w:rFonts w:cs="FrankRuehl"/>
          <w:sz w:val="20"/>
          <w:szCs w:val="22"/>
          <w:rtl/>
        </w:rPr>
      </w:pPr>
      <w:r w:rsidRPr="00011A0E">
        <w:rPr>
          <w:rFonts w:cs="FrankRuehl" w:hint="cs"/>
          <w:sz w:val="20"/>
          <w:szCs w:val="22"/>
          <w:rtl/>
        </w:rPr>
        <w:t xml:space="preserve">כאמור, חטיבת שרביט "מהווה מרכז ידע ואינטגרציה להיערכויות טקטיות להתמודדות עם מצבי חירום בכלל וטב"ק בפרט". </w:t>
      </w:r>
    </w:p>
    <w:p w:rsidR="000B385D" w:rsidRPr="00011A0E" w:rsidP="00B73C77">
      <w:pPr>
        <w:pStyle w:val="RESHET"/>
        <w:keepLines/>
        <w:ind w:left="567"/>
        <w:rPr>
          <w:rtl/>
        </w:rPr>
      </w:pPr>
      <w:r w:rsidRPr="00011A0E">
        <w:rPr>
          <w:rFonts w:hint="cs"/>
          <w:rtl/>
        </w:rPr>
        <w:t>לדעת משרד מבקר המדינה, שירותי הייעוץ שהעניקה רותם בתחומים של תקשוב, רפואה, רישוי ממ"דים, הקמת חמ"לים, הצטיידות במערכת שו"ב, ריכוז פעילות רשויות מקומיות, תיאומים עם משרדי ממשלה והמגזר השלישי, ביקורת מסמכים ועוד - אינם תואמים את הגדרת פעילותה של חטיבת שרביט.</w:t>
      </w:r>
    </w:p>
    <w:p w:rsidR="000B385D" w:rsidRPr="00011A0E" w:rsidP="00B73C77">
      <w:pPr>
        <w:spacing w:before="180" w:after="240" w:line="230" w:lineRule="exact"/>
        <w:ind w:left="340"/>
        <w:jc w:val="both"/>
        <w:rPr>
          <w:rFonts w:cs="FrankRuehl"/>
          <w:sz w:val="20"/>
          <w:szCs w:val="22"/>
          <w:rtl/>
        </w:rPr>
      </w:pPr>
      <w:r w:rsidRPr="00011A0E">
        <w:rPr>
          <w:rFonts w:cs="FrankRuehl" w:hint="cs"/>
          <w:sz w:val="20"/>
          <w:szCs w:val="22"/>
          <w:rtl/>
        </w:rPr>
        <w:t xml:space="preserve">בישיבת הדירקטוריון מאוגוסט 2009 בעניין חטיבת שרביט עלתה השאלה "איזה יתרון יחסי יש לנו שמייצר ביזנס כזה? מילא טב"ק </w:t>
      </w:r>
      <w:r w:rsidRPr="00011A0E">
        <w:rPr>
          <w:rFonts w:cs="FrankRuehl"/>
          <w:sz w:val="20"/>
          <w:szCs w:val="22"/>
          <w:rtl/>
        </w:rPr>
        <w:t>-</w:t>
      </w:r>
      <w:r w:rsidRPr="00011A0E">
        <w:rPr>
          <w:rFonts w:cs="FrankRuehl" w:hint="cs"/>
          <w:sz w:val="20"/>
          <w:szCs w:val="22"/>
          <w:rtl/>
        </w:rPr>
        <w:t xml:space="preserve"> יש בזה יתרון מובהק. אבל היערכות כללית לחירום </w:t>
      </w:r>
      <w:r w:rsidRPr="00011A0E">
        <w:rPr>
          <w:rFonts w:cs="FrankRuehl"/>
          <w:sz w:val="20"/>
          <w:szCs w:val="22"/>
          <w:rtl/>
        </w:rPr>
        <w:t>-</w:t>
      </w:r>
      <w:r w:rsidRPr="00011A0E">
        <w:rPr>
          <w:rFonts w:cs="FrankRuehl" w:hint="cs"/>
          <w:sz w:val="20"/>
          <w:szCs w:val="22"/>
          <w:rtl/>
        </w:rPr>
        <w:t xml:space="preserve"> טרור או פגעי טבע, איפה היתרון? בעצם אנו עושים כסף ב'תיווך'". תשובת המנכ"ל לדברים הייתה: "היתרון שלנו הוא שאנחנו שם כבר שלוש שנים. אנחנו טובים לא פחות מאחרים. יש לנו תשתיות בנושאים מסוימים ויש לנו הבנה בנהלים. התכוונו באמת לטב"ק, ומכוח המציאות התחברנו לחירום באופן כללי". הנושא נדון בישיבת הדירקטוריון, בלי שהתקבלה החלטה בעניין.</w:t>
      </w:r>
    </w:p>
    <w:p w:rsidR="000B385D" w:rsidRPr="00011A0E" w:rsidP="00B73C77">
      <w:pPr>
        <w:pStyle w:val="RESHET"/>
        <w:keepLines/>
        <w:ind w:left="567"/>
        <w:rPr>
          <w:rtl/>
        </w:rPr>
      </w:pPr>
      <w:r w:rsidRPr="00011A0E">
        <w:rPr>
          <w:rFonts w:hint="cs"/>
          <w:rtl/>
        </w:rPr>
        <w:t xml:space="preserve">לדעת משרד מבקר המדינה, פעילות חטיבת שרביט במתן ייעוץ לרח"ל אינה מהווה מתן שירות בתחום המקצועי הייעודי של שרביט, אלא שירותי שכירה של כוח אדם ויועצים בנושאים שונים ומגוונים, על-פי צורכי הלקוח. משרד מבקר המדינה המליץ, כי דירקטוריון רותם יבחן את המשך פעילות חטיבת שרביט בהתאם למטרותיה. </w:t>
      </w:r>
    </w:p>
    <w:p w:rsidR="000B385D" w:rsidRPr="00011A0E" w:rsidP="00B73C77">
      <w:pPr>
        <w:spacing w:before="180" w:after="120" w:line="230" w:lineRule="exact"/>
        <w:ind w:left="340"/>
        <w:jc w:val="both"/>
        <w:rPr>
          <w:rFonts w:cs="FrankRuehl"/>
          <w:sz w:val="20"/>
          <w:szCs w:val="22"/>
          <w:rtl/>
        </w:rPr>
      </w:pPr>
      <w:r w:rsidRPr="00011A0E">
        <w:rPr>
          <w:rFonts w:cs="FrankRuehl" w:hint="cs"/>
          <w:sz w:val="20"/>
          <w:szCs w:val="22"/>
          <w:rtl/>
        </w:rPr>
        <w:t>בתגובת רותם צוין בעניין זה, כי "בשלב מסוים [במהלך תקופת הביקורת] בחנה רותם ביוזמתה את הפעילות והחליטה שאינה עולה בקנה אחד עם ליבת עסקיה ועל כן הופסקה הפעילות".</w:t>
      </w:r>
    </w:p>
    <w:p w:rsidR="000B385D" w:rsidRPr="00011A0E" w:rsidP="00B73C77">
      <w:pPr>
        <w:spacing w:after="120" w:line="230" w:lineRule="exact"/>
        <w:ind w:left="340" w:hanging="340"/>
        <w:jc w:val="both"/>
        <w:rPr>
          <w:rFonts w:cs="FrankRuehl"/>
          <w:sz w:val="20"/>
          <w:szCs w:val="22"/>
          <w:rtl/>
        </w:rPr>
      </w:pPr>
      <w:r>
        <w:rPr>
          <w:rFonts w:cs="FrankRuehl" w:hint="cs"/>
          <w:sz w:val="20"/>
          <w:szCs w:val="22"/>
          <w:rtl/>
        </w:rPr>
        <w:t>3.</w:t>
      </w:r>
      <w:r w:rsidRPr="00011A0E">
        <w:rPr>
          <w:rFonts w:cs="FrankRuehl" w:hint="cs"/>
          <w:sz w:val="20"/>
          <w:szCs w:val="22"/>
          <w:rtl/>
        </w:rPr>
        <w:t xml:space="preserve"> </w:t>
      </w:r>
      <w:r w:rsidRPr="00011A0E">
        <w:rPr>
          <w:rFonts w:cs="FrankRuehl" w:hint="cs"/>
          <w:sz w:val="20"/>
          <w:szCs w:val="22"/>
          <w:rtl/>
        </w:rPr>
        <w:tab/>
        <w:t>בהוראת משהב"ט נקבע, כי ועדת היועצים "מוסמכת לדון ולאשר צורך בהעסקת יועצים וכ"א חיצוני", וכי הוועדה היא "הגוף היחיד המוסמך במשרד לדון ולאשר צורך של יועצים לפעילות לאגפי/יח' המשרד בנושאים של: ארגון, ניהול, אסטרטגיה ארגונית, צוותי חשיבה, שיפור תהליכים, מינהל, חשבונאות, כלכלה, סטטיסטיקה, משפט, בריאות, תרבות, הדרכה ומיחשוב". מהמסמכים עולה, כי ההתקשרות בין רח"ל ובין רותם לשכירת יועצים מוגדרת בהוראת משהב"ט כ"התקשרות על בסיס שעות עבודה (על סמך תעריף קבוע), דהיינו ללא תחרות על מחיר בהיות המחיר נתון דרך התעריף".</w:t>
      </w:r>
    </w:p>
    <w:p w:rsidR="000B385D" w:rsidRPr="00011A0E" w:rsidP="00B73C77">
      <w:pPr>
        <w:spacing w:after="120" w:line="230" w:lineRule="exact"/>
        <w:ind w:left="340"/>
        <w:jc w:val="both"/>
        <w:rPr>
          <w:rFonts w:cs="FrankRuehl"/>
          <w:sz w:val="20"/>
          <w:szCs w:val="22"/>
          <w:rtl/>
        </w:rPr>
      </w:pPr>
      <w:r w:rsidRPr="00011A0E">
        <w:rPr>
          <w:rFonts w:cs="FrankRuehl" w:hint="cs"/>
          <w:sz w:val="20"/>
          <w:szCs w:val="22"/>
          <w:rtl/>
        </w:rPr>
        <w:t>בהוראת משהב"ט מפורטת אחריות הגופים הדורשים בנושאי העסקת יועצים הכוללת ומחייבת אותם, בין השאר, "להביא לאישור הוועדה כל בקשה לחילופי יועצים, באם בחוזה נרשם שמו של היועץ".</w:t>
      </w:r>
    </w:p>
    <w:p w:rsidR="000B385D" w:rsidRPr="00011A0E" w:rsidP="00B73C77">
      <w:pPr>
        <w:spacing w:after="240" w:line="230" w:lineRule="exact"/>
        <w:ind w:left="680" w:hanging="340"/>
        <w:jc w:val="both"/>
        <w:rPr>
          <w:rFonts w:cs="FrankRuehl"/>
          <w:sz w:val="20"/>
          <w:szCs w:val="22"/>
          <w:rtl/>
        </w:rPr>
      </w:pPr>
      <w:r>
        <w:rPr>
          <w:rFonts w:cs="FrankRuehl" w:hint="cs"/>
          <w:sz w:val="20"/>
          <w:szCs w:val="22"/>
          <w:rtl/>
        </w:rPr>
        <w:t>א.</w:t>
      </w:r>
      <w:r w:rsidRPr="00011A0E">
        <w:rPr>
          <w:rFonts w:cs="FrankRuehl" w:hint="cs"/>
          <w:sz w:val="20"/>
          <w:szCs w:val="22"/>
          <w:rtl/>
        </w:rPr>
        <w:t xml:space="preserve"> </w:t>
      </w:r>
      <w:r w:rsidRPr="00011A0E">
        <w:rPr>
          <w:rFonts w:cs="FrankRuehl" w:hint="cs"/>
          <w:sz w:val="20"/>
          <w:szCs w:val="22"/>
          <w:rtl/>
        </w:rPr>
        <w:tab/>
        <w:t>בדצמבר 2009 פנה ראש רח"ל לוועדת היועצים בבקשה לאשר העסקת יועצים באמצעות רותם לטובת תרגילים שנערכו באותה עת. ועדת היועצים אישרה את ההתקשרות בינואר 2010. בעקבות האישור הנפיק משהב</w:t>
      </w:r>
      <w:r w:rsidRPr="00011A0E">
        <w:rPr>
          <w:rFonts w:cs="FrankRuehl"/>
          <w:sz w:val="20"/>
          <w:szCs w:val="22"/>
          <w:rtl/>
        </w:rPr>
        <w:t>"</w:t>
      </w:r>
      <w:r w:rsidRPr="00011A0E">
        <w:rPr>
          <w:rFonts w:cs="FrankRuehl" w:hint="cs"/>
          <w:sz w:val="20"/>
          <w:szCs w:val="22"/>
          <w:rtl/>
        </w:rPr>
        <w:t xml:space="preserve">ט לרותם הזמנה לרכישת שירותי ייעוץ בהיקף של 10,980 שעות עבודה ובסכום של כ-2.36 מיליון ש"ח כולל מע"מ (להלן </w:t>
      </w:r>
      <w:r w:rsidRPr="00011A0E">
        <w:rPr>
          <w:rFonts w:cs="FrankRuehl"/>
          <w:sz w:val="20"/>
          <w:szCs w:val="22"/>
          <w:rtl/>
        </w:rPr>
        <w:t>-</w:t>
      </w:r>
      <w:r w:rsidRPr="00011A0E">
        <w:rPr>
          <w:rFonts w:cs="FrankRuehl" w:hint="cs"/>
          <w:sz w:val="20"/>
          <w:szCs w:val="22"/>
          <w:rtl/>
        </w:rPr>
        <w:t xml:space="preserve"> הזמנת 2010). יצוין, כי שמות היועצים שאושרו בוועדה נרשמו בגוף ההזמנה, ללא הגבלה של מספר שעות עבודה לכל יועץ ויועץ.</w:t>
      </w:r>
    </w:p>
    <w:p w:rsidR="000B385D" w:rsidRPr="00011A0E" w:rsidP="00B73C77">
      <w:pPr>
        <w:pStyle w:val="RESHET"/>
        <w:keepLines/>
        <w:ind w:left="907"/>
        <w:rPr>
          <w:rtl/>
        </w:rPr>
      </w:pPr>
      <w:r w:rsidRPr="00011A0E">
        <w:rPr>
          <w:rFonts w:hint="cs"/>
          <w:rtl/>
        </w:rPr>
        <w:t>מבדיקת ההקצאה הסופית של שעות ייעוץ שנעשתה בחברת רותם בגין הזמנה 2010 עלה, כי רותם סיפקה לרח"ל שירותים, בין היתר, על ידי שישה יועצים שלא אושרו בוועדת היועצים ולא נכללו בהזמנה, ב-374 שעות עבודה, ובסכום כולל של כ-77,000 ש"ח.</w:t>
      </w:r>
    </w:p>
    <w:p w:rsidR="000B385D" w:rsidRPr="00011A0E" w:rsidP="00B73C77">
      <w:pPr>
        <w:spacing w:after="120" w:line="230" w:lineRule="exact"/>
        <w:ind w:left="680" w:hanging="340"/>
        <w:jc w:val="both"/>
        <w:rPr>
          <w:rFonts w:cs="FrankRuehl"/>
          <w:sz w:val="20"/>
          <w:szCs w:val="22"/>
          <w:rtl/>
        </w:rPr>
      </w:pPr>
      <w:r>
        <w:rPr>
          <w:rFonts w:cs="FrankRuehl" w:hint="cs"/>
          <w:sz w:val="20"/>
          <w:szCs w:val="22"/>
          <w:rtl/>
        </w:rPr>
        <w:t>ב.</w:t>
      </w:r>
      <w:r w:rsidRPr="00011A0E">
        <w:rPr>
          <w:rFonts w:cs="FrankRuehl" w:hint="cs"/>
          <w:sz w:val="20"/>
          <w:szCs w:val="22"/>
          <w:rtl/>
        </w:rPr>
        <w:t xml:space="preserve"> </w:t>
      </w:r>
      <w:r w:rsidRPr="00011A0E">
        <w:rPr>
          <w:rFonts w:cs="FrankRuehl" w:hint="cs"/>
          <w:sz w:val="20"/>
          <w:szCs w:val="22"/>
          <w:rtl/>
        </w:rPr>
        <w:tab/>
        <w:t>בדצמבר 2010 פנה ראש רח"ל לוועדת היועצים בבקשה לאשר העסקת יועצים באמצעות רותם לטובת תרגיל נוסף. ועדת היועצים אישרה את ההתקשרות במרץ 2011. בעקבות האישור הנפיק משהב</w:t>
      </w:r>
      <w:r w:rsidRPr="00011A0E">
        <w:rPr>
          <w:rFonts w:cs="FrankRuehl"/>
          <w:sz w:val="20"/>
          <w:szCs w:val="22"/>
          <w:rtl/>
        </w:rPr>
        <w:t>"</w:t>
      </w:r>
      <w:r w:rsidRPr="00011A0E">
        <w:rPr>
          <w:rFonts w:cs="FrankRuehl" w:hint="cs"/>
          <w:sz w:val="20"/>
          <w:szCs w:val="22"/>
          <w:rtl/>
        </w:rPr>
        <w:t xml:space="preserve">ט לרותם הזמנה לרכישת שירותי ייעוץ בהיקף של כ-13,000 שעות עבודה ובסכום של כ-2.64 מיליון ש"ח כולל מע"מ (להלן </w:t>
      </w:r>
      <w:r w:rsidRPr="00011A0E">
        <w:rPr>
          <w:rFonts w:cs="FrankRuehl"/>
          <w:sz w:val="20"/>
          <w:szCs w:val="22"/>
          <w:rtl/>
        </w:rPr>
        <w:t>-</w:t>
      </w:r>
      <w:r w:rsidRPr="00011A0E">
        <w:rPr>
          <w:rFonts w:cs="FrankRuehl" w:hint="cs"/>
          <w:sz w:val="20"/>
          <w:szCs w:val="22"/>
          <w:rtl/>
        </w:rPr>
        <w:t xml:space="preserve"> הזמנת 2011). בהזמנה זו אושר לכל יועץ ויועץ מספר שעות ייעוץ פרטני.</w:t>
      </w:r>
    </w:p>
    <w:p w:rsidR="000B385D" w:rsidRPr="00011A0E" w:rsidP="00B73C77">
      <w:pPr>
        <w:spacing w:after="240" w:line="230" w:lineRule="exact"/>
        <w:jc w:val="both"/>
        <w:rPr>
          <w:rFonts w:cs="FrankRuehl"/>
          <w:sz w:val="20"/>
          <w:szCs w:val="22"/>
          <w:rtl/>
        </w:rPr>
      </w:pPr>
      <w:r w:rsidRPr="00011A0E">
        <w:rPr>
          <w:rFonts w:cs="FrankRuehl" w:hint="cs"/>
          <w:sz w:val="20"/>
          <w:szCs w:val="22"/>
          <w:rtl/>
        </w:rPr>
        <w:t xml:space="preserve">בנובמבר 2011 העבירה רותם לאישורו של ראש רח"ל (בפועל) דוח הקצאות סופי להזמנת 2011. הדוח אושר וכלל כ-12,500 שעות ייעוץ בסכום כולל של 2.28 מיליון ש"ח. </w:t>
      </w:r>
    </w:p>
    <w:p w:rsidR="000B385D" w:rsidRPr="00011A0E" w:rsidP="00B73C77">
      <w:pPr>
        <w:pStyle w:val="RESHET"/>
        <w:keepLines/>
        <w:rPr>
          <w:rtl/>
        </w:rPr>
      </w:pPr>
      <w:r w:rsidRPr="00011A0E">
        <w:rPr>
          <w:rFonts w:hint="cs"/>
          <w:rtl/>
        </w:rPr>
        <w:t>משרד מבקר המדינה ניתח את השירותים שסיפקה רותם לרח"ל בגין הזמנת 2011 והעלה, כי רותם סיפקה לרח"ל שירותים, בין היתר, על ידי ארבעה יועצים שלא אושרו בוועדת היועצים ולא נכללו בהזמנת 2011, בהיקף של כ-700 שעות, ובסכום כולל של כ-114,000 ש"ח.</w:t>
      </w:r>
    </w:p>
    <w:p w:rsidR="000B385D" w:rsidRPr="00011A0E" w:rsidP="00B73C77">
      <w:pPr>
        <w:pStyle w:val="RESHET"/>
        <w:keepLines/>
        <w:rPr>
          <w:rtl/>
        </w:rPr>
      </w:pPr>
      <w:r w:rsidRPr="00011A0E">
        <w:rPr>
          <w:rFonts w:hint="cs"/>
          <w:rtl/>
        </w:rPr>
        <w:t>מהביקורת עלה עוד, כי שבעה מבין היועצים שאושרו בוועדת היועצים סיפקו לרח"ל שירותי ייעוץ שעלו ב-1,496 שעות על מספר השעות שאושרו להם בוועדה.</w:t>
      </w:r>
    </w:p>
    <w:p w:rsidR="000B385D" w:rsidRPr="00011A0E" w:rsidP="00B73C77">
      <w:pPr>
        <w:spacing w:before="180" w:after="240" w:line="230" w:lineRule="exact"/>
        <w:jc w:val="both"/>
        <w:rPr>
          <w:rFonts w:cs="FrankRuehl"/>
          <w:sz w:val="20"/>
          <w:szCs w:val="22"/>
          <w:rtl/>
        </w:rPr>
      </w:pPr>
      <w:r w:rsidRPr="00011A0E">
        <w:rPr>
          <w:rFonts w:cs="FrankRuehl" w:hint="cs"/>
          <w:sz w:val="20"/>
          <w:szCs w:val="22"/>
          <w:rtl/>
        </w:rPr>
        <w:t>כאמור, בהוראת משהב"ט נקבעה החובה "להביא לאישור הוועדה כל בקשה לחילופי יועצים, באם בחוזה נרשם שמו של היועץ".</w:t>
      </w:r>
    </w:p>
    <w:p w:rsidR="000B385D" w:rsidRPr="00011A0E" w:rsidP="00B73C77">
      <w:pPr>
        <w:pStyle w:val="RESHET"/>
        <w:keepLines/>
        <w:rPr>
          <w:rtl/>
        </w:rPr>
      </w:pPr>
      <w:r w:rsidRPr="00011A0E">
        <w:rPr>
          <w:rFonts w:hint="cs"/>
          <w:rtl/>
        </w:rPr>
        <w:t>משרד מבקר המדינה מעיר, כי העסקת יועצים ללא קבלת אישור ועדת היועצים וללא הזמנה, והעסקת יועצים בהיקף שעות גדול יותר מהכמות שאישרה ועדת היועצים, מנוגדות לנוהלי משהב</w:t>
      </w:r>
      <w:r w:rsidRPr="00011A0E">
        <w:rPr>
          <w:rtl/>
        </w:rPr>
        <w:t>"</w:t>
      </w:r>
      <w:r w:rsidRPr="00011A0E">
        <w:rPr>
          <w:rFonts w:hint="cs"/>
          <w:rtl/>
        </w:rPr>
        <w:t>ט.</w:t>
      </w:r>
    </w:p>
    <w:p w:rsidR="000B385D" w:rsidRPr="00011A0E" w:rsidP="00B73C77">
      <w:pPr>
        <w:pStyle w:val="RESHET"/>
        <w:keepLines/>
        <w:rPr>
          <w:rtl/>
        </w:rPr>
      </w:pPr>
      <w:r w:rsidRPr="00011A0E">
        <w:rPr>
          <w:rFonts w:hint="cs"/>
          <w:rtl/>
        </w:rPr>
        <w:t>כאמור, בדוח ההקצאות הסופי לשנת 2011 אישר ראש רח"ל (בפועל) את ההקצאה הסופית של שעות הייעוץ שנתנה רותם לרח"ל בגין התרגיל שנערך. במתן אישור זה, פעל ראש רח"ל (בפועל) שלא בהתאם לכללי משהב</w:t>
      </w:r>
      <w:r w:rsidRPr="00011A0E">
        <w:rPr>
          <w:rtl/>
        </w:rPr>
        <w:t>"</w:t>
      </w:r>
      <w:r w:rsidRPr="00011A0E">
        <w:rPr>
          <w:rFonts w:hint="cs"/>
          <w:rtl/>
        </w:rPr>
        <w:t>ט.</w:t>
      </w:r>
    </w:p>
    <w:p w:rsidR="00B73C77" w:rsidP="00B73C77">
      <w:pPr>
        <w:spacing w:after="120" w:line="230" w:lineRule="exact"/>
        <w:jc w:val="both"/>
        <w:rPr>
          <w:rFonts w:cs="FrankRuehl"/>
          <w:sz w:val="22"/>
          <w:szCs w:val="22"/>
          <w:rtl/>
        </w:rPr>
      </w:pPr>
    </w:p>
    <w:p w:rsidR="00B73C77" w:rsidP="00B73C77">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B73C77" w:rsidP="00B73C77">
      <w:pPr>
        <w:spacing w:after="120" w:line="230" w:lineRule="exact"/>
        <w:jc w:val="both"/>
        <w:rPr>
          <w:rFonts w:cs="FrankRuehl"/>
          <w:sz w:val="22"/>
          <w:szCs w:val="22"/>
          <w:rtl/>
        </w:rPr>
      </w:pPr>
    </w:p>
    <w:p w:rsidR="000B385D" w:rsidRPr="00011A0E" w:rsidP="00B73C77">
      <w:pPr>
        <w:pStyle w:val="RESHET"/>
        <w:keepLines/>
        <w:rPr>
          <w:rtl/>
        </w:rPr>
      </w:pPr>
      <w:r w:rsidRPr="00011A0E">
        <w:rPr>
          <w:rFonts w:hint="cs"/>
          <w:rtl/>
        </w:rPr>
        <w:t xml:space="preserve">מהביקורת עולה, כי רוב הפעילות של חטיבת שרביט הוא מתן שירותי ייעוץ לרח"ל. פעילות זו התנהלה שלא בהתאם לייעוד החטיבה, תוך כדי אי-סדרים וללא תרומה לרווחיות החברה. </w:t>
      </w:r>
    </w:p>
    <w:p w:rsidR="000B385D" w:rsidRPr="00011A0E" w:rsidP="00B73C77">
      <w:pPr>
        <w:pStyle w:val="RESHET"/>
        <w:keepLines/>
        <w:rPr>
          <w:rtl/>
        </w:rPr>
      </w:pPr>
      <w:r w:rsidRPr="00011A0E">
        <w:rPr>
          <w:rFonts w:hint="cs"/>
          <w:rtl/>
        </w:rPr>
        <w:t>כמו כן, בביקורת על העסקת חטיבת שרביט בידי רח"ל נמצא, כי הבקרה של משהב</w:t>
      </w:r>
      <w:r w:rsidRPr="00011A0E">
        <w:rPr>
          <w:rtl/>
        </w:rPr>
        <w:t>"</w:t>
      </w:r>
      <w:r w:rsidRPr="00011A0E">
        <w:rPr>
          <w:rFonts w:hint="cs"/>
          <w:rtl/>
        </w:rPr>
        <w:t>ט על העסקת היועצים הייתה חלקית: המגבלה היחידה על הזמנות משהב</w:t>
      </w:r>
      <w:r w:rsidRPr="00011A0E">
        <w:rPr>
          <w:rtl/>
        </w:rPr>
        <w:t>"</w:t>
      </w:r>
      <w:r w:rsidRPr="00011A0E">
        <w:rPr>
          <w:rFonts w:hint="cs"/>
          <w:rtl/>
        </w:rPr>
        <w:t>ט מהספק (במקרה זה, חטיבת שרביט) הייתה המסגרת הכספית לתשלום, שעה שהגוף הדורש (רח"ל) והספק ערכו שינויים בזהות היועצים ובשעות הייעוץ המאושרות בלי לדווח על כך למשהב</w:t>
      </w:r>
      <w:r w:rsidRPr="00011A0E">
        <w:rPr>
          <w:rtl/>
        </w:rPr>
        <w:t>"</w:t>
      </w:r>
      <w:r w:rsidRPr="00011A0E">
        <w:rPr>
          <w:rFonts w:hint="cs"/>
          <w:rtl/>
        </w:rPr>
        <w:t xml:space="preserve">ט, הגוף הרוכש. </w:t>
      </w:r>
    </w:p>
    <w:p w:rsidR="000B385D" w:rsidRPr="00011A0E" w:rsidP="00B73C77">
      <w:pPr>
        <w:pStyle w:val="RESHET"/>
        <w:keepLines/>
        <w:rPr>
          <w:rtl/>
        </w:rPr>
      </w:pPr>
      <w:r w:rsidRPr="00011A0E">
        <w:rPr>
          <w:rFonts w:hint="cs"/>
          <w:rtl/>
        </w:rPr>
        <w:t>משרד מבקר המדינה מעיר, כי על משהב</w:t>
      </w:r>
      <w:r w:rsidRPr="00011A0E">
        <w:rPr>
          <w:rtl/>
        </w:rPr>
        <w:t>"</w:t>
      </w:r>
      <w:r w:rsidRPr="00011A0E">
        <w:rPr>
          <w:rFonts w:hint="cs"/>
          <w:rtl/>
        </w:rPr>
        <w:t>ט לוודא, כי מתקיימים מנגנוני בקרה יעילים על העסקת יועצים, כדי למנוע מקרים דומים אפשריים בעתיד.</w:t>
      </w:r>
    </w:p>
    <w:p w:rsidR="000B385D" w:rsidRPr="00643339" w:rsidP="00B73C77">
      <w:pPr>
        <w:pStyle w:val="KOT4"/>
        <w:rPr>
          <w:rtl/>
        </w:rPr>
      </w:pPr>
      <w:r w:rsidRPr="00643339">
        <w:rPr>
          <w:rFonts w:hint="cs"/>
          <w:rtl/>
        </w:rPr>
        <w:t>החטיבה לציוד בטיחות</w:t>
      </w:r>
    </w:p>
    <w:p w:rsidR="000B385D" w:rsidRPr="00643339" w:rsidP="00B73C77">
      <w:pPr>
        <w:pStyle w:val="KOT5"/>
        <w:rPr>
          <w:rtl/>
        </w:rPr>
      </w:pPr>
      <w:r w:rsidRPr="00643339">
        <w:rPr>
          <w:rFonts w:hint="cs"/>
          <w:rtl/>
        </w:rPr>
        <w:t>מכירת החטיבה לציוד בטיחות</w:t>
      </w:r>
    </w:p>
    <w:p w:rsidR="000B385D" w:rsidRPr="00011A0E" w:rsidP="00B73C77">
      <w:pPr>
        <w:spacing w:after="120" w:line="230" w:lineRule="exact"/>
        <w:ind w:left="340" w:hanging="340"/>
        <w:jc w:val="both"/>
        <w:rPr>
          <w:rFonts w:cs="FrankRuehl"/>
          <w:sz w:val="20"/>
          <w:szCs w:val="22"/>
          <w:rtl/>
        </w:rPr>
      </w:pPr>
      <w:r>
        <w:rPr>
          <w:rFonts w:cs="FrankRuehl" w:hint="cs"/>
          <w:sz w:val="20"/>
          <w:szCs w:val="22"/>
          <w:rtl/>
        </w:rPr>
        <w:t>1.</w:t>
      </w:r>
      <w:r w:rsidRPr="00011A0E">
        <w:rPr>
          <w:rFonts w:cs="FrankRuehl" w:hint="cs"/>
          <w:sz w:val="20"/>
          <w:szCs w:val="22"/>
          <w:rtl/>
        </w:rPr>
        <w:t xml:space="preserve"> </w:t>
      </w:r>
      <w:r w:rsidRPr="00011A0E">
        <w:rPr>
          <w:rFonts w:cs="FrankRuehl" w:hint="cs"/>
          <w:sz w:val="20"/>
          <w:szCs w:val="22"/>
          <w:rtl/>
        </w:rPr>
        <w:tab/>
        <w:t>משנת 1998 פעלה ברותם חטיבה לציוד בטיחות, שעסקה בייבוא ובמכירה של ציוד בטיחות. במועד תחילת הפעילות הייתה כוונה למכור 50% מהפעילות לגורם פרטי, אולם מאמצים אלה לא נשאו פרי. בשנת 2004 חידשה רותם את מאמציה למכור את הפעילות.</w:t>
      </w:r>
    </w:p>
    <w:p w:rsidR="000B385D" w:rsidRPr="00011A0E" w:rsidP="00B73C77">
      <w:pPr>
        <w:spacing w:after="120" w:line="230" w:lineRule="exact"/>
        <w:ind w:left="340"/>
        <w:jc w:val="both"/>
        <w:rPr>
          <w:rFonts w:cs="FrankRuehl"/>
          <w:sz w:val="20"/>
          <w:szCs w:val="22"/>
          <w:rtl/>
        </w:rPr>
      </w:pPr>
      <w:r w:rsidRPr="00011A0E">
        <w:rPr>
          <w:rFonts w:cs="FrankRuehl" w:hint="cs"/>
          <w:sz w:val="20"/>
          <w:szCs w:val="22"/>
          <w:rtl/>
        </w:rPr>
        <w:t xml:space="preserve">באותה שנה נוצר קשר בין רותם לבין חברה שהביעה עניין ברכישת פעילות ציוד הבטיחות מרותם (להלן </w:t>
      </w:r>
      <w:r w:rsidRPr="00011A0E">
        <w:rPr>
          <w:rFonts w:cs="FrankRuehl"/>
          <w:sz w:val="20"/>
          <w:szCs w:val="22"/>
          <w:rtl/>
        </w:rPr>
        <w:t>-</w:t>
      </w:r>
      <w:r w:rsidRPr="00011A0E">
        <w:rPr>
          <w:rFonts w:cs="FrankRuehl" w:hint="cs"/>
          <w:sz w:val="20"/>
          <w:szCs w:val="22"/>
          <w:rtl/>
        </w:rPr>
        <w:t xml:space="preserve"> הרוכשת). מהמסמכים עולה, כי באותה עת היו מתעניינים נוספים ברכישת הפעילות. המתווה הראשוני למכירת הפעילות היה מכירה של 50% בלבד.</w:t>
      </w:r>
    </w:p>
    <w:p w:rsidR="000B385D" w:rsidRPr="00011A0E" w:rsidP="00B73C77">
      <w:pPr>
        <w:spacing w:after="120" w:line="230" w:lineRule="exact"/>
        <w:ind w:left="340"/>
        <w:jc w:val="both"/>
        <w:rPr>
          <w:rFonts w:cs="FrankRuehl"/>
          <w:sz w:val="20"/>
          <w:szCs w:val="22"/>
          <w:rtl/>
        </w:rPr>
      </w:pPr>
      <w:r w:rsidRPr="00011A0E">
        <w:rPr>
          <w:rFonts w:cs="FrankRuehl" w:hint="cs"/>
          <w:sz w:val="20"/>
          <w:szCs w:val="22"/>
          <w:rtl/>
        </w:rPr>
        <w:t xml:space="preserve">בינואר 2006 נערכה הערכת שווי לחטיבה לציוד בטיחות של רותם (להלן </w:t>
      </w:r>
      <w:r w:rsidRPr="00011A0E">
        <w:rPr>
          <w:rFonts w:cs="FrankRuehl"/>
          <w:sz w:val="20"/>
          <w:szCs w:val="22"/>
          <w:rtl/>
        </w:rPr>
        <w:t>-</w:t>
      </w:r>
      <w:r w:rsidRPr="00011A0E">
        <w:rPr>
          <w:rFonts w:cs="FrankRuehl" w:hint="cs"/>
          <w:sz w:val="20"/>
          <w:szCs w:val="22"/>
          <w:rtl/>
        </w:rPr>
        <w:t xml:space="preserve"> הערכת השווי). הערכת השווי התבססה על נתוניה העסקיים של החטיבה שהיו נכונים לדצמבר 2005 ועל ההנחה כי הפעילות אינה צפויה לצמוח ללא הכנסת שותף. הערכת השווי הוצגה לדירקטוריון.</w:t>
      </w:r>
    </w:p>
    <w:p w:rsidR="000B385D" w:rsidRPr="00011A0E" w:rsidP="00B73C77">
      <w:pPr>
        <w:spacing w:after="120" w:line="230" w:lineRule="exact"/>
        <w:ind w:left="340"/>
        <w:jc w:val="both"/>
        <w:rPr>
          <w:rFonts w:cs="FrankRuehl"/>
          <w:sz w:val="20"/>
          <w:szCs w:val="22"/>
          <w:rtl/>
        </w:rPr>
      </w:pPr>
      <w:r w:rsidRPr="00011A0E">
        <w:rPr>
          <w:rFonts w:cs="FrankRuehl" w:hint="cs"/>
          <w:sz w:val="20"/>
          <w:szCs w:val="22"/>
          <w:rtl/>
        </w:rPr>
        <w:t>בהערכת השווי נבחן ערך השוק של החטיבה בשלוש גישות, ולפיה ערך השוק של החטיבה היה כלהלן (במיליוני ש"ח):</w:t>
      </w:r>
    </w:p>
    <w:p w:rsidR="000B385D" w:rsidRPr="00B73C77" w:rsidP="00B73C77">
      <w:pPr>
        <w:pStyle w:val="tab-name"/>
        <w:rPr>
          <w:rtl/>
        </w:rPr>
      </w:pPr>
      <w:r w:rsidRPr="00B73C77">
        <w:rPr>
          <w:rFonts w:hint="cs"/>
          <w:sz w:val="20"/>
          <w:szCs w:val="20"/>
          <w:rtl/>
        </w:rPr>
        <w:t>לוח 2</w:t>
      </w:r>
      <w:r w:rsidRPr="00B73C77">
        <w:rPr>
          <w:sz w:val="20"/>
          <w:szCs w:val="20"/>
        </w:rPr>
        <w:br/>
      </w:r>
      <w:r w:rsidRPr="00B73C77">
        <w:rPr>
          <w:rFonts w:hint="cs"/>
          <w:rtl/>
        </w:rPr>
        <w:t>הערכת שווי החטיבה לציוד בטיחות על פי שלוש גישות</w:t>
      </w:r>
    </w:p>
    <w:tbl>
      <w:tblPr>
        <w:bidiVisual/>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1E0"/>
      </w:tblPr>
      <w:tblGrid>
        <w:gridCol w:w="1875"/>
        <w:gridCol w:w="1519"/>
        <w:gridCol w:w="1675"/>
        <w:gridCol w:w="1622"/>
      </w:tblGrid>
      <w:tr w:rsidTr="002977DF">
        <w:tblPrEx>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1E0"/>
        </w:tblPrEx>
        <w:trPr>
          <w:jc w:val="center"/>
        </w:trPr>
        <w:tc>
          <w:tcPr>
            <w:tcW w:w="2092" w:type="dxa"/>
            <w:tcBorders>
              <w:top w:val="single" w:sz="12" w:space="0" w:color="auto"/>
              <w:bottom w:val="single" w:sz="12" w:space="0" w:color="auto"/>
            </w:tcBorders>
            <w:shd w:val="pct10" w:color="auto" w:fill="FFFFFF"/>
            <w:vAlign w:val="bottom"/>
          </w:tcPr>
          <w:p w:rsidR="000B385D" w:rsidRPr="00B73C77" w:rsidP="00B73C77">
            <w:pPr>
              <w:spacing w:before="40" w:after="40" w:line="220" w:lineRule="exact"/>
              <w:jc w:val="center"/>
              <w:rPr>
                <w:rFonts w:ascii="FrankRuehl" w:hAnsi="FrankRuehl"/>
                <w:b/>
                <w:bCs/>
                <w:sz w:val="18"/>
                <w:szCs w:val="20"/>
                <w:rtl/>
              </w:rPr>
            </w:pPr>
            <w:r w:rsidRPr="00B73C77">
              <w:rPr>
                <w:rFonts w:ascii="FrankRuehl" w:hAnsi="FrankRuehl" w:cs="FrankRuehl" w:hint="cs"/>
                <w:b/>
                <w:bCs/>
                <w:sz w:val="18"/>
                <w:szCs w:val="20"/>
                <w:rtl/>
              </w:rPr>
              <w:t>שיטת הערכה</w:t>
            </w:r>
          </w:p>
        </w:tc>
        <w:tc>
          <w:tcPr>
            <w:tcW w:w="1693" w:type="dxa"/>
            <w:tcBorders>
              <w:top w:val="single" w:sz="12" w:space="0" w:color="auto"/>
              <w:bottom w:val="single" w:sz="12" w:space="0" w:color="auto"/>
            </w:tcBorders>
            <w:shd w:val="pct10" w:color="auto" w:fill="FFFFFF"/>
            <w:vAlign w:val="bottom"/>
          </w:tcPr>
          <w:p w:rsidR="000B385D" w:rsidRPr="00B73C77" w:rsidP="00B73C77">
            <w:pPr>
              <w:spacing w:before="40" w:after="40" w:line="220" w:lineRule="exact"/>
              <w:jc w:val="center"/>
              <w:rPr>
                <w:rFonts w:ascii="FrankRuehl" w:hAnsi="FrankRuehl"/>
                <w:b/>
                <w:bCs/>
                <w:sz w:val="18"/>
                <w:szCs w:val="20"/>
                <w:rtl/>
              </w:rPr>
            </w:pPr>
            <w:r w:rsidRPr="00B73C77">
              <w:rPr>
                <w:rFonts w:ascii="FrankRuehl" w:hAnsi="FrankRuehl" w:cs="FrankRuehl" w:hint="cs"/>
                <w:b/>
                <w:bCs/>
                <w:sz w:val="18"/>
                <w:szCs w:val="20"/>
                <w:rtl/>
              </w:rPr>
              <w:t>ערך פסימי</w:t>
            </w:r>
          </w:p>
        </w:tc>
        <w:tc>
          <w:tcPr>
            <w:tcW w:w="1893" w:type="dxa"/>
            <w:tcBorders>
              <w:top w:val="single" w:sz="12" w:space="0" w:color="auto"/>
              <w:bottom w:val="single" w:sz="12" w:space="0" w:color="auto"/>
            </w:tcBorders>
            <w:shd w:val="pct10" w:color="auto" w:fill="FFFFFF"/>
            <w:vAlign w:val="bottom"/>
          </w:tcPr>
          <w:p w:rsidR="000B385D" w:rsidRPr="00B73C77" w:rsidP="00B73C77">
            <w:pPr>
              <w:spacing w:before="40" w:after="40" w:line="220" w:lineRule="exact"/>
              <w:jc w:val="center"/>
              <w:rPr>
                <w:rFonts w:ascii="FrankRuehl" w:hAnsi="FrankRuehl"/>
                <w:b/>
                <w:bCs/>
                <w:sz w:val="18"/>
                <w:szCs w:val="20"/>
                <w:rtl/>
              </w:rPr>
            </w:pPr>
            <w:r w:rsidRPr="00B73C77">
              <w:rPr>
                <w:rFonts w:ascii="FrankRuehl" w:hAnsi="FrankRuehl" w:cs="FrankRuehl" w:hint="cs"/>
                <w:b/>
                <w:bCs/>
                <w:sz w:val="18"/>
                <w:szCs w:val="20"/>
                <w:rtl/>
              </w:rPr>
              <w:t>ערך סביר</w:t>
            </w:r>
          </w:p>
        </w:tc>
        <w:tc>
          <w:tcPr>
            <w:tcW w:w="1786" w:type="dxa"/>
            <w:tcBorders>
              <w:top w:val="single" w:sz="12" w:space="0" w:color="auto"/>
              <w:bottom w:val="single" w:sz="12" w:space="0" w:color="auto"/>
            </w:tcBorders>
            <w:shd w:val="pct10" w:color="auto" w:fill="FFFFFF"/>
            <w:vAlign w:val="bottom"/>
          </w:tcPr>
          <w:p w:rsidR="000B385D" w:rsidRPr="00B73C77" w:rsidP="00B73C77">
            <w:pPr>
              <w:spacing w:before="40" w:after="40" w:line="220" w:lineRule="exact"/>
              <w:jc w:val="center"/>
              <w:rPr>
                <w:rFonts w:ascii="FrankRuehl" w:hAnsi="FrankRuehl"/>
                <w:b/>
                <w:bCs/>
                <w:sz w:val="18"/>
                <w:szCs w:val="20"/>
                <w:rtl/>
              </w:rPr>
            </w:pPr>
            <w:r w:rsidRPr="00B73C77">
              <w:rPr>
                <w:rFonts w:ascii="FrankRuehl" w:hAnsi="FrankRuehl" w:cs="FrankRuehl" w:hint="cs"/>
                <w:b/>
                <w:bCs/>
                <w:sz w:val="18"/>
                <w:szCs w:val="20"/>
                <w:rtl/>
              </w:rPr>
              <w:t>ערך אופטימי</w:t>
            </w:r>
          </w:p>
        </w:tc>
      </w:tr>
      <w:tr w:rsidTr="00B73C77">
        <w:tblPrEx>
          <w:tblW w:w="6691" w:type="dxa"/>
          <w:jc w:val="center"/>
          <w:tblLook w:val="01E0"/>
        </w:tblPrEx>
        <w:trPr>
          <w:jc w:val="center"/>
        </w:trPr>
        <w:tc>
          <w:tcPr>
            <w:tcW w:w="2092" w:type="dxa"/>
            <w:tcBorders>
              <w:top w:val="single" w:sz="12" w:space="0" w:color="auto"/>
            </w:tcBorders>
            <w:shd w:val="clear" w:color="auto" w:fill="auto"/>
          </w:tcPr>
          <w:p w:rsidR="000B385D" w:rsidRPr="00B73C77" w:rsidP="00B73C77">
            <w:pPr>
              <w:spacing w:before="40" w:after="40" w:line="220" w:lineRule="exact"/>
              <w:rPr>
                <w:rFonts w:ascii="FrankRuehl" w:hAnsi="FrankRuehl"/>
                <w:sz w:val="18"/>
                <w:szCs w:val="20"/>
                <w:rtl/>
              </w:rPr>
            </w:pPr>
            <w:r w:rsidRPr="00B73C77">
              <w:rPr>
                <w:rFonts w:ascii="FrankRuehl" w:hAnsi="FrankRuehl" w:cs="FrankRuehl" w:hint="cs"/>
                <w:sz w:val="18"/>
                <w:szCs w:val="20"/>
                <w:rtl/>
              </w:rPr>
              <w:t>גישה מאזנית</w:t>
            </w:r>
          </w:p>
        </w:tc>
        <w:tc>
          <w:tcPr>
            <w:tcW w:w="1693" w:type="dxa"/>
            <w:tcBorders>
              <w:top w:val="single" w:sz="12" w:space="0" w:color="auto"/>
            </w:tcBorders>
            <w:shd w:val="clear" w:color="auto" w:fill="auto"/>
          </w:tcPr>
          <w:p w:rsidR="000B385D" w:rsidRPr="00B73C77" w:rsidP="00B73C77">
            <w:pPr>
              <w:spacing w:before="40" w:after="40" w:line="220" w:lineRule="exact"/>
              <w:rPr>
                <w:rFonts w:ascii="FrankRuehl" w:hAnsi="FrankRuehl"/>
                <w:sz w:val="18"/>
                <w:szCs w:val="20"/>
                <w:rtl/>
              </w:rPr>
            </w:pPr>
          </w:p>
        </w:tc>
        <w:tc>
          <w:tcPr>
            <w:tcW w:w="1893" w:type="dxa"/>
            <w:tcBorders>
              <w:top w:val="single" w:sz="12" w:space="0" w:color="auto"/>
            </w:tcBorders>
            <w:shd w:val="clear" w:color="auto" w:fill="auto"/>
          </w:tcPr>
          <w:p w:rsidR="000B385D" w:rsidRPr="00B73C77" w:rsidP="00B73C77">
            <w:pPr>
              <w:spacing w:before="40" w:after="40" w:line="220" w:lineRule="exact"/>
              <w:rPr>
                <w:rFonts w:ascii="FrankRuehl" w:hAnsi="FrankRuehl"/>
                <w:sz w:val="18"/>
                <w:szCs w:val="20"/>
                <w:rtl/>
              </w:rPr>
            </w:pPr>
            <w:r w:rsidRPr="00B73C77">
              <w:rPr>
                <w:rFonts w:ascii="FrankRuehl" w:hAnsi="FrankRuehl" w:cs="FrankRuehl" w:hint="cs"/>
                <w:sz w:val="18"/>
                <w:szCs w:val="20"/>
                <w:rtl/>
              </w:rPr>
              <w:t>9.7</w:t>
            </w:r>
          </w:p>
        </w:tc>
        <w:tc>
          <w:tcPr>
            <w:tcW w:w="1786" w:type="dxa"/>
            <w:tcBorders>
              <w:top w:val="single" w:sz="12" w:space="0" w:color="auto"/>
            </w:tcBorders>
            <w:shd w:val="clear" w:color="auto" w:fill="auto"/>
          </w:tcPr>
          <w:p w:rsidR="000B385D" w:rsidRPr="00B73C77" w:rsidP="00B73C77">
            <w:pPr>
              <w:spacing w:before="40" w:after="40" w:line="220" w:lineRule="exact"/>
              <w:rPr>
                <w:rFonts w:ascii="FrankRuehl" w:hAnsi="FrankRuehl"/>
                <w:sz w:val="18"/>
                <w:szCs w:val="20"/>
                <w:rtl/>
              </w:rPr>
            </w:pPr>
          </w:p>
        </w:tc>
      </w:tr>
      <w:tr w:rsidTr="00B73C77">
        <w:tblPrEx>
          <w:tblW w:w="6691" w:type="dxa"/>
          <w:jc w:val="center"/>
          <w:tblLook w:val="01E0"/>
        </w:tblPrEx>
        <w:trPr>
          <w:jc w:val="center"/>
        </w:trPr>
        <w:tc>
          <w:tcPr>
            <w:tcW w:w="2092" w:type="dxa"/>
            <w:shd w:val="clear" w:color="auto" w:fill="auto"/>
          </w:tcPr>
          <w:p w:rsidR="000B385D" w:rsidRPr="00B73C77" w:rsidP="00B73C77">
            <w:pPr>
              <w:spacing w:before="40" w:after="40" w:line="220" w:lineRule="exact"/>
              <w:rPr>
                <w:rFonts w:ascii="FrankRuehl" w:hAnsi="FrankRuehl"/>
                <w:sz w:val="18"/>
                <w:szCs w:val="20"/>
                <w:rtl/>
              </w:rPr>
            </w:pPr>
            <w:r w:rsidRPr="00B73C77">
              <w:rPr>
                <w:rFonts w:ascii="FrankRuehl" w:hAnsi="FrankRuehl" w:cs="FrankRuehl" w:hint="cs"/>
                <w:sz w:val="18"/>
                <w:szCs w:val="20"/>
                <w:rtl/>
              </w:rPr>
              <w:t>גישת המכפיל</w:t>
            </w:r>
          </w:p>
        </w:tc>
        <w:tc>
          <w:tcPr>
            <w:tcW w:w="1693" w:type="dxa"/>
            <w:shd w:val="clear" w:color="auto" w:fill="auto"/>
          </w:tcPr>
          <w:p w:rsidR="000B385D" w:rsidRPr="00B73C77" w:rsidP="00B73C77">
            <w:pPr>
              <w:spacing w:before="40" w:after="40" w:line="220" w:lineRule="exact"/>
              <w:rPr>
                <w:rFonts w:ascii="FrankRuehl" w:hAnsi="FrankRuehl"/>
                <w:sz w:val="18"/>
                <w:szCs w:val="20"/>
                <w:rtl/>
              </w:rPr>
            </w:pPr>
            <w:r w:rsidRPr="00B73C77">
              <w:rPr>
                <w:rFonts w:ascii="FrankRuehl" w:hAnsi="FrankRuehl" w:cs="FrankRuehl" w:hint="cs"/>
                <w:sz w:val="18"/>
                <w:szCs w:val="20"/>
                <w:rtl/>
              </w:rPr>
              <w:t>8.3</w:t>
            </w:r>
          </w:p>
        </w:tc>
        <w:tc>
          <w:tcPr>
            <w:tcW w:w="1893" w:type="dxa"/>
            <w:shd w:val="clear" w:color="auto" w:fill="auto"/>
          </w:tcPr>
          <w:p w:rsidR="000B385D" w:rsidRPr="00B73C77" w:rsidP="00B73C77">
            <w:pPr>
              <w:spacing w:before="40" w:after="40" w:line="220" w:lineRule="exact"/>
              <w:rPr>
                <w:rFonts w:ascii="FrankRuehl" w:hAnsi="FrankRuehl"/>
                <w:sz w:val="18"/>
                <w:szCs w:val="20"/>
                <w:rtl/>
              </w:rPr>
            </w:pPr>
            <w:r w:rsidRPr="00B73C77">
              <w:rPr>
                <w:rFonts w:ascii="FrankRuehl" w:hAnsi="FrankRuehl" w:cs="FrankRuehl" w:hint="cs"/>
                <w:sz w:val="18"/>
                <w:szCs w:val="20"/>
                <w:rtl/>
              </w:rPr>
              <w:t>10.0</w:t>
            </w:r>
          </w:p>
        </w:tc>
        <w:tc>
          <w:tcPr>
            <w:tcW w:w="1786" w:type="dxa"/>
            <w:shd w:val="clear" w:color="auto" w:fill="auto"/>
          </w:tcPr>
          <w:p w:rsidR="000B385D" w:rsidRPr="00B73C77" w:rsidP="00B73C77">
            <w:pPr>
              <w:spacing w:before="40" w:after="40" w:line="220" w:lineRule="exact"/>
              <w:rPr>
                <w:rFonts w:ascii="FrankRuehl" w:hAnsi="FrankRuehl"/>
                <w:sz w:val="18"/>
                <w:szCs w:val="20"/>
                <w:rtl/>
              </w:rPr>
            </w:pPr>
            <w:r w:rsidRPr="00B73C77">
              <w:rPr>
                <w:rFonts w:ascii="FrankRuehl" w:hAnsi="FrankRuehl" w:cs="FrankRuehl" w:hint="cs"/>
                <w:sz w:val="18"/>
                <w:szCs w:val="20"/>
                <w:rtl/>
              </w:rPr>
              <w:t>11.7</w:t>
            </w:r>
          </w:p>
        </w:tc>
      </w:tr>
      <w:tr w:rsidTr="00B73C77">
        <w:tblPrEx>
          <w:tblW w:w="6691" w:type="dxa"/>
          <w:jc w:val="center"/>
          <w:tblLook w:val="01E0"/>
        </w:tblPrEx>
        <w:trPr>
          <w:jc w:val="center"/>
        </w:trPr>
        <w:tc>
          <w:tcPr>
            <w:tcW w:w="2092" w:type="dxa"/>
            <w:shd w:val="clear" w:color="auto" w:fill="auto"/>
          </w:tcPr>
          <w:p w:rsidR="000B385D" w:rsidRPr="00B73C77" w:rsidP="00B73C77">
            <w:pPr>
              <w:spacing w:before="40" w:after="40" w:line="220" w:lineRule="exact"/>
              <w:rPr>
                <w:rFonts w:ascii="FrankRuehl" w:hAnsi="FrankRuehl"/>
                <w:sz w:val="18"/>
                <w:szCs w:val="20"/>
                <w:rtl/>
              </w:rPr>
            </w:pPr>
            <w:r w:rsidRPr="00B73C77">
              <w:rPr>
                <w:rFonts w:ascii="FrankRuehl" w:hAnsi="FrankRuehl" w:cs="FrankRuehl" w:hint="cs"/>
                <w:sz w:val="18"/>
                <w:szCs w:val="20"/>
                <w:rtl/>
              </w:rPr>
              <w:t>היוון תזרים מזומנים</w:t>
            </w:r>
          </w:p>
        </w:tc>
        <w:tc>
          <w:tcPr>
            <w:tcW w:w="1693" w:type="dxa"/>
            <w:shd w:val="clear" w:color="auto" w:fill="auto"/>
          </w:tcPr>
          <w:p w:rsidR="000B385D" w:rsidRPr="00B73C77" w:rsidP="00B73C77">
            <w:pPr>
              <w:spacing w:before="40" w:after="40" w:line="220" w:lineRule="exact"/>
              <w:rPr>
                <w:rFonts w:ascii="FrankRuehl" w:hAnsi="FrankRuehl"/>
                <w:sz w:val="18"/>
                <w:szCs w:val="20"/>
                <w:rtl/>
              </w:rPr>
            </w:pPr>
            <w:r w:rsidRPr="00B73C77">
              <w:rPr>
                <w:rFonts w:ascii="FrankRuehl" w:hAnsi="FrankRuehl" w:cs="FrankRuehl" w:hint="cs"/>
                <w:sz w:val="18"/>
                <w:szCs w:val="20"/>
                <w:rtl/>
              </w:rPr>
              <w:t>7.6</w:t>
            </w:r>
          </w:p>
        </w:tc>
        <w:tc>
          <w:tcPr>
            <w:tcW w:w="1893" w:type="dxa"/>
            <w:shd w:val="clear" w:color="auto" w:fill="auto"/>
          </w:tcPr>
          <w:p w:rsidR="000B385D" w:rsidRPr="00B73C77" w:rsidP="00B73C77">
            <w:pPr>
              <w:spacing w:before="40" w:after="40" w:line="220" w:lineRule="exact"/>
              <w:rPr>
                <w:rFonts w:ascii="FrankRuehl" w:hAnsi="FrankRuehl"/>
                <w:sz w:val="18"/>
                <w:szCs w:val="20"/>
                <w:rtl/>
              </w:rPr>
            </w:pPr>
            <w:r w:rsidRPr="00B73C77">
              <w:rPr>
                <w:rFonts w:ascii="FrankRuehl" w:hAnsi="FrankRuehl" w:cs="FrankRuehl" w:hint="cs"/>
                <w:sz w:val="18"/>
                <w:szCs w:val="20"/>
                <w:rtl/>
              </w:rPr>
              <w:t>8.8</w:t>
            </w:r>
          </w:p>
        </w:tc>
        <w:tc>
          <w:tcPr>
            <w:tcW w:w="1786" w:type="dxa"/>
            <w:shd w:val="clear" w:color="auto" w:fill="auto"/>
          </w:tcPr>
          <w:p w:rsidR="000B385D" w:rsidRPr="00B73C77" w:rsidP="00B73C77">
            <w:pPr>
              <w:spacing w:before="40" w:after="40" w:line="220" w:lineRule="exact"/>
              <w:rPr>
                <w:rFonts w:ascii="FrankRuehl" w:hAnsi="FrankRuehl" w:cs="FrankRuehl"/>
                <w:sz w:val="18"/>
                <w:szCs w:val="20"/>
                <w:rtl/>
              </w:rPr>
            </w:pPr>
            <w:r w:rsidRPr="00B73C77">
              <w:rPr>
                <w:rFonts w:ascii="FrankRuehl" w:hAnsi="FrankRuehl" w:cs="FrankRuehl" w:hint="cs"/>
                <w:sz w:val="18"/>
                <w:szCs w:val="20"/>
                <w:rtl/>
              </w:rPr>
              <w:t>12.4</w:t>
            </w:r>
          </w:p>
        </w:tc>
      </w:tr>
    </w:tbl>
    <w:p w:rsidR="000B385D" w:rsidRPr="00011A0E" w:rsidP="005C354E">
      <w:pPr>
        <w:spacing w:before="240" w:after="120" w:line="230" w:lineRule="exact"/>
        <w:ind w:left="340"/>
        <w:jc w:val="both"/>
        <w:rPr>
          <w:rFonts w:cs="FrankRuehl"/>
          <w:sz w:val="20"/>
          <w:szCs w:val="22"/>
          <w:rtl/>
        </w:rPr>
      </w:pPr>
      <w:r w:rsidRPr="00011A0E">
        <w:rPr>
          <w:rFonts w:cs="FrankRuehl" w:hint="cs"/>
          <w:sz w:val="20"/>
          <w:szCs w:val="22"/>
          <w:rtl/>
        </w:rPr>
        <w:t>מהערכת השווי עולה, כי מתווה הצעתה של הרוכשת הושתת על הקמת חברה חדשה שתרכוש חלקים מהמלאי ומהרכוש של החטיבה לציוד בטיחות, וכמו כן תרכוש את המוניטין של החטיבה לציוד בטיחות בסכום של 800,000 דולר. שווי החטיבה שהיה גלום בהצעת הרוכשת עמד על כ-11.8 מיליון ש"ח</w:t>
      </w:r>
      <w:r>
        <w:rPr>
          <w:rFonts w:cs="FrankRuehl"/>
          <w:sz w:val="20"/>
          <w:szCs w:val="22"/>
          <w:vertAlign w:val="superscript"/>
          <w:rtl/>
        </w:rPr>
        <w:footnoteReference w:id="7"/>
      </w:r>
      <w:r w:rsidRPr="00011A0E">
        <w:rPr>
          <w:rFonts w:cs="FrankRuehl" w:hint="cs"/>
          <w:sz w:val="20"/>
          <w:szCs w:val="22"/>
          <w:rtl/>
        </w:rPr>
        <w:t>.</w:t>
      </w:r>
    </w:p>
    <w:p w:rsidR="000B385D" w:rsidRPr="00011A0E" w:rsidP="005C354E">
      <w:pPr>
        <w:spacing w:after="120" w:line="230" w:lineRule="exact"/>
        <w:ind w:left="340"/>
        <w:jc w:val="both"/>
        <w:rPr>
          <w:rFonts w:cs="FrankRuehl"/>
          <w:sz w:val="20"/>
          <w:szCs w:val="22"/>
          <w:rtl/>
        </w:rPr>
      </w:pPr>
      <w:r w:rsidRPr="00011A0E">
        <w:rPr>
          <w:rFonts w:cs="FrankRuehl" w:hint="cs"/>
          <w:sz w:val="20"/>
          <w:szCs w:val="22"/>
          <w:rtl/>
        </w:rPr>
        <w:t>לסיכום, צוין בהערכת השווי, כי "הצעת [הרוכשת] מגלמת בתוכה שווי הוגן לחברה".</w:t>
      </w:r>
    </w:p>
    <w:p w:rsidR="000B385D" w:rsidRPr="00011A0E" w:rsidP="005C354E">
      <w:pPr>
        <w:spacing w:after="120" w:line="230" w:lineRule="exact"/>
        <w:ind w:left="340"/>
        <w:jc w:val="both"/>
        <w:rPr>
          <w:rFonts w:cs="FrankRuehl"/>
          <w:sz w:val="20"/>
          <w:szCs w:val="22"/>
          <w:rtl/>
        </w:rPr>
      </w:pPr>
      <w:r w:rsidRPr="00011A0E">
        <w:rPr>
          <w:rFonts w:cs="FrankRuehl" w:hint="cs"/>
          <w:sz w:val="20"/>
          <w:szCs w:val="22"/>
          <w:rtl/>
        </w:rPr>
        <w:t xml:space="preserve">במכתב הנלווה להערכת השווי, שהופנה למנכ"ל רותם ולמנהל החטיבה לציוד בטיחות (להלן </w:t>
      </w:r>
      <w:r w:rsidRPr="00011A0E">
        <w:rPr>
          <w:rFonts w:cs="FrankRuehl"/>
          <w:sz w:val="20"/>
          <w:szCs w:val="22"/>
          <w:rtl/>
        </w:rPr>
        <w:t>-</w:t>
      </w:r>
      <w:r w:rsidRPr="00011A0E">
        <w:rPr>
          <w:rFonts w:cs="FrankRuehl" w:hint="cs"/>
          <w:sz w:val="20"/>
          <w:szCs w:val="22"/>
          <w:rtl/>
        </w:rPr>
        <w:t xml:space="preserve"> מנהל החטיבה)</w:t>
      </w:r>
      <w:r>
        <w:rPr>
          <w:rFonts w:cs="FrankRuehl"/>
          <w:sz w:val="20"/>
          <w:szCs w:val="22"/>
          <w:vertAlign w:val="superscript"/>
          <w:rtl/>
        </w:rPr>
        <w:footnoteReference w:id="8"/>
      </w:r>
      <w:r w:rsidRPr="00011A0E">
        <w:rPr>
          <w:rFonts w:cs="FrankRuehl" w:hint="cs"/>
          <w:sz w:val="20"/>
          <w:szCs w:val="22"/>
          <w:rtl/>
        </w:rPr>
        <w:t>, צוין, כי "בהתאם לבקשתכם, הערכת השווי אינה כוללת ניתוח תחזית מכירות החברה לשנים הבאות ומטרתה לקבל 'הערכה גסה' באשר לתחום בו מצוי ערך החברה לצורך המשך משא ומתן עם שותף פוטנציאלי".</w:t>
      </w:r>
    </w:p>
    <w:p w:rsidR="000B385D" w:rsidRPr="00011A0E" w:rsidP="005C354E">
      <w:pPr>
        <w:spacing w:after="240" w:line="230" w:lineRule="exact"/>
        <w:ind w:left="340"/>
        <w:jc w:val="both"/>
        <w:rPr>
          <w:rFonts w:cs="FrankRuehl"/>
          <w:sz w:val="20"/>
          <w:szCs w:val="22"/>
          <w:rtl/>
        </w:rPr>
      </w:pPr>
      <w:r w:rsidRPr="00011A0E">
        <w:rPr>
          <w:rFonts w:cs="FrankRuehl" w:hint="cs"/>
          <w:sz w:val="20"/>
          <w:szCs w:val="22"/>
          <w:rtl/>
        </w:rPr>
        <w:t xml:space="preserve">במאי 2006 נחתם מזכר הבנות בין רותם, הרוכשת ומנהל החטיבה (להלן </w:t>
      </w:r>
      <w:r w:rsidRPr="00011A0E">
        <w:rPr>
          <w:rFonts w:cs="FrankRuehl"/>
          <w:sz w:val="20"/>
          <w:szCs w:val="22"/>
          <w:rtl/>
        </w:rPr>
        <w:t>-</w:t>
      </w:r>
      <w:r w:rsidRPr="00011A0E">
        <w:rPr>
          <w:rFonts w:cs="FrankRuehl" w:hint="cs"/>
          <w:sz w:val="20"/>
          <w:szCs w:val="22"/>
          <w:rtl/>
        </w:rPr>
        <w:t xml:space="preserve"> מזכר ההבנות). מתווה העסקה היה הקמת חברה חדשה (להלן </w:t>
      </w:r>
      <w:r w:rsidRPr="00011A0E">
        <w:rPr>
          <w:rFonts w:cs="FrankRuehl"/>
          <w:sz w:val="20"/>
          <w:szCs w:val="22"/>
          <w:rtl/>
        </w:rPr>
        <w:t>-</w:t>
      </w:r>
      <w:r w:rsidRPr="00011A0E">
        <w:rPr>
          <w:rFonts w:cs="FrankRuehl" w:hint="cs"/>
          <w:sz w:val="20"/>
          <w:szCs w:val="22"/>
          <w:rtl/>
        </w:rPr>
        <w:t xml:space="preserve"> החברה החדשה, רותם בטיחות בע"מ או רותם בטיחות) שתרכוש את פעילותה של החטיבה לציוד בטיחות ברותם. ממזכר ההבנות עולה כי החברה החדשה תוחזק על ידי הרוכשת (40%), רותם (40%) ומנהל החטיבה (20%).</w:t>
      </w:r>
    </w:p>
    <w:p w:rsidR="000B385D" w:rsidRPr="00011A0E" w:rsidP="005C354E">
      <w:pPr>
        <w:pStyle w:val="RESHET"/>
        <w:keepLines/>
        <w:ind w:left="567"/>
        <w:rPr>
          <w:rtl/>
        </w:rPr>
      </w:pPr>
      <w:r w:rsidRPr="00011A0E">
        <w:rPr>
          <w:rFonts w:hint="cs"/>
          <w:rtl/>
        </w:rPr>
        <w:t>מהמסמכים עולה, כי מנהל החטיבה היה חשוף למידע הקיים בהערכת השווי, ולאחר מכן הפך לאחד הרוכשים של החטיבה בעצמו. משרד מבקר המדינה מעיר, כי קיים חשש לניגוד עניינים בהתנהלותו. משרד מבקר המדינה מעיר לרותם על שאפשרה זאת.</w:t>
      </w:r>
    </w:p>
    <w:p w:rsidR="000B385D" w:rsidRPr="00011A0E" w:rsidP="005C354E">
      <w:pPr>
        <w:spacing w:before="180" w:after="120" w:line="230" w:lineRule="exact"/>
        <w:ind w:left="340" w:hanging="340"/>
        <w:jc w:val="both"/>
        <w:rPr>
          <w:rFonts w:cs="FrankRuehl"/>
          <w:sz w:val="20"/>
          <w:szCs w:val="22"/>
          <w:rtl/>
        </w:rPr>
      </w:pPr>
      <w:r>
        <w:rPr>
          <w:rFonts w:cs="FrankRuehl" w:hint="cs"/>
          <w:sz w:val="20"/>
          <w:szCs w:val="22"/>
          <w:rtl/>
        </w:rPr>
        <w:t>2.</w:t>
      </w:r>
      <w:r w:rsidRPr="00011A0E">
        <w:rPr>
          <w:rFonts w:cs="FrankRuehl" w:hint="cs"/>
          <w:sz w:val="20"/>
          <w:szCs w:val="22"/>
          <w:rtl/>
        </w:rPr>
        <w:tab/>
        <w:t xml:space="preserve">במזכר ההבנות נקבע, כי "צבירת הכנסות והוצאות בחברה החדשה שתוקם במהלך שנת 2006 יוכרו רטרואקטיבית מיום 1.1.06 עפ"י צבירת ההכנסות וההוצאות בחטיבת רותם בטיחות החל ממועד זה ועד ליום מכירת הנכסים". </w:t>
      </w:r>
    </w:p>
    <w:p w:rsidR="000B385D" w:rsidRPr="00011A0E" w:rsidP="005C354E">
      <w:pPr>
        <w:spacing w:after="240" w:line="230" w:lineRule="exact"/>
        <w:ind w:left="340"/>
        <w:jc w:val="both"/>
        <w:rPr>
          <w:rFonts w:cs="FrankRuehl"/>
          <w:sz w:val="20"/>
          <w:szCs w:val="22"/>
          <w:rtl/>
        </w:rPr>
      </w:pPr>
      <w:r w:rsidRPr="00011A0E">
        <w:rPr>
          <w:rFonts w:cs="FrankRuehl" w:hint="cs"/>
          <w:sz w:val="20"/>
          <w:szCs w:val="22"/>
          <w:rtl/>
        </w:rPr>
        <w:t>בביקורת עלה שעד סוף שנת 2006 לא נחתם חוזה רכישת פעילות החטיבה לציוד בטיחות. בדצמבר 2006 פנה מבקר הפנים של רותם למנכ"ל רותם בעניין וציין, כי "נראה לי שההסכם מתעלם מ[ה]נקודה הבאה: הקונה מקבל (בהתאם להסכם) את רווחי שנת 2006 בלא שהשקיע סכום כלשהו... לו התשלומים היו מתבצעים בפועל בתחילת שנת 2006 הגישה של ההסכם נכונה (ונראה לי שזאת הייתה הכוונה) אולם הואיל והתשלומים יבוצעו ב-2007 נראה לי שהמוכר [רותם] צריך לקבל ריבית על הנכסים נטו של 31.12.05 ועבור המוניטין שסוכם (800,000 דולר לפני התאמה של תוצאות 2006)".</w:t>
      </w:r>
    </w:p>
    <w:p w:rsidR="000B385D" w:rsidRPr="00011A0E" w:rsidP="005C354E">
      <w:pPr>
        <w:pStyle w:val="RESHET"/>
        <w:keepLines/>
        <w:ind w:left="567"/>
        <w:rPr>
          <w:rtl/>
        </w:rPr>
      </w:pPr>
      <w:r w:rsidRPr="00011A0E">
        <w:rPr>
          <w:rFonts w:hint="cs"/>
          <w:rtl/>
        </w:rPr>
        <w:t>כאמור, עד סוף 2006 לא נחתם חוזה המכירה של החטיבה לציוד בטיחות. במזכר ההבנות לא נקבע תאריך לתשלום לרותם בגין המכירה, דבר שיצר מצב של זכאות של הרוכשים לרווחי שנת 2006 של החטיבה ללא כל התחייבות שלהם לתשלום בעבורם.</w:t>
      </w:r>
    </w:p>
    <w:p w:rsidR="000B385D" w:rsidRPr="00011A0E" w:rsidP="005C354E">
      <w:pPr>
        <w:spacing w:before="180" w:after="240" w:line="230" w:lineRule="exact"/>
        <w:ind w:left="340" w:hanging="340"/>
        <w:jc w:val="both"/>
        <w:rPr>
          <w:rFonts w:cs="FrankRuehl"/>
          <w:sz w:val="20"/>
          <w:szCs w:val="22"/>
          <w:rtl/>
        </w:rPr>
      </w:pPr>
      <w:r>
        <w:rPr>
          <w:rFonts w:cs="FrankRuehl" w:hint="cs"/>
          <w:sz w:val="20"/>
          <w:szCs w:val="22"/>
          <w:rtl/>
        </w:rPr>
        <w:t>3.</w:t>
      </w:r>
      <w:r w:rsidRPr="00011A0E">
        <w:rPr>
          <w:rFonts w:cs="FrankRuehl" w:hint="cs"/>
          <w:sz w:val="20"/>
          <w:szCs w:val="22"/>
          <w:rtl/>
        </w:rPr>
        <w:t xml:space="preserve"> </w:t>
      </w:r>
      <w:r w:rsidRPr="00011A0E">
        <w:rPr>
          <w:rFonts w:cs="FrankRuehl" w:hint="cs"/>
          <w:sz w:val="20"/>
          <w:szCs w:val="22"/>
          <w:rtl/>
        </w:rPr>
        <w:tab/>
        <w:t>בעקבות מזכר ההבנות נחתם בפברואר 2007 הסכם בין רותם, הרוכשת וחברה א'</w:t>
      </w:r>
      <w:r>
        <w:rPr>
          <w:rFonts w:cs="FrankRuehl"/>
          <w:sz w:val="20"/>
          <w:szCs w:val="22"/>
          <w:vertAlign w:val="superscript"/>
          <w:rtl/>
        </w:rPr>
        <w:footnoteReference w:id="9"/>
      </w:r>
      <w:r w:rsidRPr="00011A0E">
        <w:rPr>
          <w:rFonts w:cs="FrankRuehl" w:hint="cs"/>
          <w:sz w:val="20"/>
          <w:szCs w:val="22"/>
          <w:rtl/>
        </w:rPr>
        <w:t>, ובין רותם בטיחות בע"מ (להלן - ההסכם הראשון). ההסכם הראשון מסדיר את בעלותן של רותם, הרוכשת וחברה א' על רותם בטיחות, את העברת פעילות חטיבת ציוד הבטיחות אליה, את התמורה, את העסקת מנהל החטיבה ברותם בטיחות ועוד.</w:t>
      </w:r>
    </w:p>
    <w:p w:rsidR="000B385D" w:rsidRPr="00011A0E" w:rsidP="005C354E">
      <w:pPr>
        <w:pStyle w:val="RESHET"/>
        <w:keepLines/>
        <w:ind w:left="567"/>
        <w:rPr>
          <w:rtl/>
        </w:rPr>
      </w:pPr>
      <w:r w:rsidRPr="00011A0E">
        <w:rPr>
          <w:rFonts w:hint="cs"/>
          <w:rtl/>
        </w:rPr>
        <w:t xml:space="preserve">על אף פנייתו של מבקר הפנים למנכ"ל רותם, על פי ההסכם הראשון היו זכאים הרוכשים לקבל לידיהם את רווחי שנת 2006 של החטיבה לציוד בטיחות, וזאת אף על פי שהעסקה נחתמה בפברואר 2007, ואף על פי שהרוכשים לא שילמו כל מקדמה בגין הרכישה. </w:t>
      </w:r>
    </w:p>
    <w:p w:rsidR="000B385D" w:rsidRPr="00011A0E" w:rsidP="005C354E">
      <w:pPr>
        <w:pStyle w:val="RESHET"/>
        <w:keepLines/>
        <w:ind w:left="567"/>
        <w:rPr>
          <w:rtl/>
        </w:rPr>
      </w:pPr>
      <w:r w:rsidRPr="00011A0E">
        <w:rPr>
          <w:rFonts w:hint="cs"/>
          <w:rtl/>
        </w:rPr>
        <w:t>לדעת משרד מבקר המדינה, נוכח העובדה שמבקר הפנים פנה למנכ"ל רותם והציג לו את הנתונים, ראוי היה כי מנכ"ל רותם יציגם לדירקטוריון, כך שחברי הדירקטוריון יוכלו לתת דעתם למועד התשלום בגין רכישת חטיבת ציוד הבטיחות ואף לשקול במשותף את שינוי החוזה, כדי למנוע אפשרות למתן הטבה חריגה לרוכשים.</w:t>
      </w:r>
    </w:p>
    <w:p w:rsidR="000B385D" w:rsidRPr="00011A0E" w:rsidP="005C354E">
      <w:pPr>
        <w:spacing w:before="180" w:after="120" w:line="230" w:lineRule="exact"/>
        <w:ind w:left="340" w:hanging="340"/>
        <w:jc w:val="both"/>
        <w:rPr>
          <w:rFonts w:cs="FrankRuehl"/>
          <w:sz w:val="20"/>
          <w:szCs w:val="22"/>
          <w:rtl/>
        </w:rPr>
      </w:pPr>
      <w:r>
        <w:rPr>
          <w:rFonts w:cs="FrankRuehl" w:hint="cs"/>
          <w:sz w:val="20"/>
          <w:szCs w:val="22"/>
          <w:rtl/>
        </w:rPr>
        <w:t>4.</w:t>
      </w:r>
      <w:r w:rsidRPr="00011A0E">
        <w:rPr>
          <w:rFonts w:cs="FrankRuehl" w:hint="cs"/>
          <w:sz w:val="20"/>
          <w:szCs w:val="22"/>
          <w:rtl/>
        </w:rPr>
        <w:t xml:space="preserve"> </w:t>
      </w:r>
      <w:r w:rsidRPr="00011A0E">
        <w:rPr>
          <w:rFonts w:cs="FrankRuehl" w:hint="cs"/>
          <w:sz w:val="20"/>
          <w:szCs w:val="22"/>
          <w:rtl/>
        </w:rPr>
        <w:tab/>
        <w:t>בהסכם הראשון נקבע, כי "הסכם זה מכיל וממצה את כל התנאים המסוכמים בין הצדדים. כל הבטחות, התחייבויות, מצגים או הסכמים בכתב או בעל פה, שניתנו או נעשו על ידי הצדדים לפני כריתת הסכם זה ואשר לא באו לידי ביטוי מפורש בו, אין בהם כדי להוסיף על הזכויות וההתחייבויות הקבועים בהסכם זה או הנובעים הימנו, לגרוע מהם או לשנותם, והצדדים לא יהיו קשורים בהם החל מתאריך הסכם זה".</w:t>
      </w:r>
    </w:p>
    <w:p w:rsidR="000B385D" w:rsidRPr="00011A0E" w:rsidP="005C354E">
      <w:pPr>
        <w:spacing w:after="120" w:line="230" w:lineRule="exact"/>
        <w:ind w:left="340"/>
        <w:jc w:val="both"/>
        <w:rPr>
          <w:rFonts w:cs="FrankRuehl"/>
          <w:sz w:val="20"/>
          <w:szCs w:val="22"/>
          <w:rtl/>
        </w:rPr>
      </w:pPr>
      <w:r w:rsidRPr="00011A0E">
        <w:rPr>
          <w:rFonts w:cs="FrankRuehl" w:hint="cs"/>
          <w:sz w:val="20"/>
          <w:szCs w:val="22"/>
          <w:rtl/>
        </w:rPr>
        <w:t>עוד נקבע בהסכם הראשון, כי "תוקפו של הסכם זה מותנה בקבלת אישור לביצוע העסקה נשוא הסכם זה מאת רשות החברות הממשלתיות... (התנאי המתלה)... במקרה ולא יתקיים התנאי המתלה עד ליום 30.5.07 או במקרה וועדת השרים תדחה את בקשת רותם לקבלת האישור, יהא הסכם זה בטל ומבוטל".</w:t>
      </w:r>
    </w:p>
    <w:p w:rsidR="000B385D" w:rsidRPr="00011A0E" w:rsidP="005C354E">
      <w:pPr>
        <w:spacing w:after="120" w:line="230" w:lineRule="exact"/>
        <w:ind w:left="340"/>
        <w:jc w:val="both"/>
        <w:rPr>
          <w:rFonts w:cs="FrankRuehl"/>
          <w:sz w:val="20"/>
          <w:szCs w:val="22"/>
          <w:rtl/>
        </w:rPr>
      </w:pPr>
      <w:r w:rsidRPr="00011A0E">
        <w:rPr>
          <w:rFonts w:cs="FrankRuehl" w:hint="cs"/>
          <w:sz w:val="20"/>
          <w:szCs w:val="22"/>
          <w:rtl/>
        </w:rPr>
        <w:t>מהמסמכים עולה, כי עד 30.5.07 לא נתקבל אישור ועדת השרים לענייני חברה וכלכלה להסכם, ומשכך ההסכם הראשון התבטל.</w:t>
      </w:r>
    </w:p>
    <w:p w:rsidR="000B385D" w:rsidRPr="00011A0E" w:rsidP="005C354E">
      <w:pPr>
        <w:spacing w:after="120" w:line="230" w:lineRule="exact"/>
        <w:ind w:left="340"/>
        <w:jc w:val="both"/>
        <w:rPr>
          <w:rFonts w:cs="FrankRuehl"/>
          <w:sz w:val="20"/>
          <w:szCs w:val="22"/>
          <w:rtl/>
        </w:rPr>
      </w:pPr>
      <w:r w:rsidRPr="00011A0E">
        <w:rPr>
          <w:rFonts w:cs="FrankRuehl" w:hint="cs"/>
          <w:sz w:val="20"/>
          <w:szCs w:val="22"/>
          <w:rtl/>
        </w:rPr>
        <w:t>ביולי 2007 פנה מבקר הפנים למנכ"ל רותם וציין, כי "הסכם מכירות החטיבה פג תוקפו... חידוש ההסכם הישן נראה לי מנוגד להגיון עסקי כי התוצאה היא שהרוכשים [הרוכשת וחברה א' בבעלות מנהל החטיבה] יקבלו חברה כמעט חינם".</w:t>
      </w:r>
    </w:p>
    <w:p w:rsidR="000B385D" w:rsidRPr="00011A0E" w:rsidP="005C354E">
      <w:pPr>
        <w:spacing w:after="120" w:line="230" w:lineRule="exact"/>
        <w:ind w:left="340"/>
        <w:jc w:val="both"/>
        <w:rPr>
          <w:rFonts w:cs="FrankRuehl"/>
          <w:sz w:val="20"/>
          <w:szCs w:val="22"/>
          <w:rtl/>
        </w:rPr>
      </w:pPr>
      <w:r w:rsidRPr="00011A0E">
        <w:rPr>
          <w:rFonts w:cs="FrankRuehl" w:hint="cs"/>
          <w:sz w:val="20"/>
          <w:szCs w:val="22"/>
          <w:rtl/>
        </w:rPr>
        <w:t>מבקר הפנים ניתח את פרטי ההסכם והעלה, כי הרווחים שנצטברו מ-1.1.06 ועד 30.6.07 ושלהם הרוכשים זכאים בגין העסקה שווים לכ-3.62 מיליון ש"ח, שעה שערך המוניטין המחושב כולו עומד על 4.2 מיליון ש"ח. במצב שנוצר, מהתשלום של 4.2 מיליון ש"ח על מוניטין יקוזזו הרווחים שנצברו עד אותה עת, כך שהתשלום ה"אמִיתי" עבור המוניטין של החברה יעמוד על כ-0.58 מיליון ש"ח בלבד.</w:t>
      </w:r>
    </w:p>
    <w:p w:rsidR="000B385D" w:rsidRPr="00011A0E" w:rsidP="005C354E">
      <w:pPr>
        <w:spacing w:after="120" w:line="230" w:lineRule="exact"/>
        <w:ind w:left="340"/>
        <w:jc w:val="both"/>
        <w:rPr>
          <w:rFonts w:cs="FrankRuehl"/>
          <w:sz w:val="20"/>
          <w:szCs w:val="22"/>
          <w:rtl/>
        </w:rPr>
      </w:pPr>
      <w:r w:rsidRPr="00011A0E">
        <w:rPr>
          <w:rFonts w:cs="FrankRuehl" w:hint="cs"/>
          <w:sz w:val="20"/>
          <w:szCs w:val="22"/>
          <w:rtl/>
        </w:rPr>
        <w:t>ממכתבו של מבקר הפנים עולה, כי ההסכם שנחתם בין רותם לבין הרוכשים והתבטל עמד להיחתם שוב כשלפיו זכויות הרוכשים נשמרות במלואן (מחיר המכירה וצבירת הרווחים) שעה שזכויותיה של המוכרת (רותם) אינן נשמרות (קבלת התמורה במועד).</w:t>
      </w:r>
    </w:p>
    <w:p w:rsidR="000B385D" w:rsidRPr="00011A0E" w:rsidP="005C354E">
      <w:pPr>
        <w:spacing w:after="120" w:line="230" w:lineRule="exact"/>
        <w:ind w:left="340"/>
        <w:jc w:val="both"/>
        <w:rPr>
          <w:rFonts w:cs="FrankRuehl"/>
          <w:sz w:val="20"/>
          <w:szCs w:val="22"/>
          <w:rtl/>
        </w:rPr>
      </w:pPr>
      <w:r w:rsidRPr="00011A0E">
        <w:rPr>
          <w:rFonts w:cs="FrankRuehl" w:hint="cs"/>
          <w:sz w:val="20"/>
          <w:szCs w:val="22"/>
          <w:rtl/>
        </w:rPr>
        <w:t>בינואר 2008 אישרה ועדת השרים לענייני חברה וכלכלה את מתווה מכירת החטיבה לציוד בטיחות ואת הקמת רותם בטיחות</w:t>
      </w:r>
      <w:r>
        <w:rPr>
          <w:rFonts w:cs="FrankRuehl"/>
          <w:sz w:val="20"/>
          <w:szCs w:val="22"/>
          <w:vertAlign w:val="superscript"/>
          <w:rtl/>
        </w:rPr>
        <w:footnoteReference w:id="10"/>
      </w:r>
      <w:r w:rsidRPr="00011A0E">
        <w:rPr>
          <w:rFonts w:cs="FrankRuehl" w:hint="cs"/>
          <w:sz w:val="20"/>
          <w:szCs w:val="22"/>
          <w:rtl/>
        </w:rPr>
        <w:t xml:space="preserve">. </w:t>
      </w:r>
    </w:p>
    <w:p w:rsidR="000B385D" w:rsidRPr="00011A0E" w:rsidP="005C354E">
      <w:pPr>
        <w:spacing w:after="120" w:line="230" w:lineRule="exact"/>
        <w:ind w:left="340"/>
        <w:jc w:val="both"/>
        <w:rPr>
          <w:rFonts w:cs="FrankRuehl"/>
          <w:sz w:val="20"/>
          <w:szCs w:val="22"/>
          <w:rtl/>
        </w:rPr>
      </w:pPr>
      <w:r w:rsidRPr="00011A0E">
        <w:rPr>
          <w:rFonts w:cs="FrankRuehl" w:hint="cs"/>
          <w:sz w:val="20"/>
          <w:szCs w:val="22"/>
          <w:rtl/>
        </w:rPr>
        <w:t xml:space="preserve">בישיבת הדירקטוריון ב-3.2.08 דיווח המנכ"ל, כי "קיבלנו סוף סוף אישור ועדת שרים - קבינט חברתי כלכלי. האישור הוא אישור </w:t>
      </w:r>
      <w:r w:rsidRPr="00922FB9">
        <w:rPr>
          <w:rFonts w:cs="FrankRuehl" w:hint="cs"/>
          <w:sz w:val="20"/>
          <w:szCs w:val="22"/>
          <w:u w:val="single"/>
          <w:rtl/>
        </w:rPr>
        <w:t>מלא</w:t>
      </w:r>
      <w:r w:rsidRPr="00011A0E">
        <w:rPr>
          <w:rFonts w:cs="FrankRuehl" w:hint="cs"/>
          <w:sz w:val="20"/>
          <w:szCs w:val="22"/>
          <w:rtl/>
        </w:rPr>
        <w:t xml:space="preserve"> לכל העניינים בהם התלבטנו, כולל מעמדו של [מנהל החטיבה]. אנו בשלבים סופיים של מו"מ עם [מנהל החטיבה], כאשר הבעיה מתמקדת בתחום המיסוי. לגבי [הרוכשת] עוד נשאר מקום למו"מ בקשר למוניטין. נשתדל לסיים את המו"מ במהירות" (ההדגשה במקור).</w:t>
      </w:r>
    </w:p>
    <w:p w:rsidR="000B385D" w:rsidRPr="00011A0E" w:rsidP="005C354E">
      <w:pPr>
        <w:spacing w:after="120" w:line="230" w:lineRule="exact"/>
        <w:ind w:left="340"/>
        <w:jc w:val="both"/>
        <w:rPr>
          <w:rFonts w:cs="FrankRuehl"/>
          <w:sz w:val="20"/>
          <w:szCs w:val="22"/>
          <w:rtl/>
        </w:rPr>
      </w:pPr>
      <w:r w:rsidRPr="00011A0E">
        <w:rPr>
          <w:rFonts w:cs="FrankRuehl" w:hint="cs"/>
          <w:sz w:val="20"/>
          <w:szCs w:val="22"/>
          <w:rtl/>
        </w:rPr>
        <w:t>ב-26.2.08 פנה שוב מבקר הפנים למנכ"ל רותם. במכתב זה ציין מבקר הפנים, כי "לא מתקבל על הדעת הן מבחינה כלכלית והן מבחינת סדרי ניהול תקינים ש[הרוכשת תקבל] ריווח [כך במקור] על תקופה שבה לא הכניסו כסף (לא שילמו על חלקם) ברותם ציוד מגן [החטיבה לציוד בטיחות]. לאור זה אני מציע לשנות את ההסכם בהתאם לפיו יקבלו ריווח מאז ששילמו".</w:t>
      </w:r>
    </w:p>
    <w:p w:rsidR="000B385D" w:rsidRPr="00011A0E" w:rsidP="005C354E">
      <w:pPr>
        <w:spacing w:after="120" w:line="230" w:lineRule="exact"/>
        <w:ind w:left="340"/>
        <w:jc w:val="both"/>
        <w:rPr>
          <w:rFonts w:cs="FrankRuehl"/>
          <w:sz w:val="20"/>
          <w:szCs w:val="22"/>
          <w:rtl/>
        </w:rPr>
      </w:pPr>
      <w:r w:rsidRPr="00011A0E">
        <w:rPr>
          <w:rFonts w:cs="FrankRuehl" w:hint="cs"/>
          <w:sz w:val="20"/>
          <w:szCs w:val="22"/>
          <w:rtl/>
        </w:rPr>
        <w:t>בישיבת הדירקטוריון מאפריל 2008 דיווח המנכ"ל, כי "ההסכם עם [מנהל החטיבה] נחתם. החוזה הסופי מונח לאישור [יו"ר הדירקטוריון]. ב-15.4.08 אנו אמורים לחתום עליו. ההסכם דומה למה שכבר סוכם בעבר, בכפוף לכך ש[הרוכשת] תהייה שותפה ברווחים רק מ-2008. לגבי ההשקעה, תחושב ריבית מהיום שסוכם ועד לחתימה בפועל".</w:t>
      </w:r>
    </w:p>
    <w:p w:rsidR="000B385D" w:rsidRPr="00011A0E" w:rsidP="005C354E">
      <w:pPr>
        <w:spacing w:after="120" w:line="230" w:lineRule="exact"/>
        <w:ind w:left="340"/>
        <w:jc w:val="both"/>
        <w:rPr>
          <w:rFonts w:cs="FrankRuehl"/>
          <w:sz w:val="20"/>
          <w:szCs w:val="22"/>
          <w:rtl/>
        </w:rPr>
      </w:pPr>
      <w:r w:rsidRPr="00011A0E">
        <w:rPr>
          <w:rFonts w:cs="FrankRuehl" w:hint="cs"/>
          <w:sz w:val="20"/>
          <w:szCs w:val="22"/>
          <w:rtl/>
        </w:rPr>
        <w:t xml:space="preserve">ב-17.4.08 נחתם הסכם חדש למכירת החטיבה לציוד בטיחות (להלן - ההסכם השני). על-פי ההסכם השני, הרוכשים זכאים לרווחי החטיבה לציוד בטיחות החל מ-1.1.08. ערך המוניטין של החטיבה שנמכר במסגרת העסקה הוא מיליון דולר. באותו היום נחתם גם הסכם בין רותם לבין חברה א' בעניין תשלום לחברה א' בגין רווחי החטיבה לציוד בטיחות בשנים 2006 </w:t>
      </w:r>
      <w:r w:rsidR="00922FB9">
        <w:rPr>
          <w:rFonts w:cs="FrankRuehl"/>
          <w:sz w:val="20"/>
          <w:szCs w:val="22"/>
          <w:rtl/>
        </w:rPr>
        <w:br/>
      </w:r>
      <w:r w:rsidRPr="00011A0E">
        <w:rPr>
          <w:rFonts w:cs="FrankRuehl" w:hint="cs"/>
          <w:sz w:val="20"/>
          <w:szCs w:val="22"/>
          <w:rtl/>
        </w:rPr>
        <w:t xml:space="preserve">ו-2007 (להלן </w:t>
      </w:r>
      <w:r w:rsidRPr="00011A0E">
        <w:rPr>
          <w:rFonts w:cs="FrankRuehl"/>
          <w:sz w:val="20"/>
          <w:szCs w:val="22"/>
          <w:rtl/>
        </w:rPr>
        <w:t>-</w:t>
      </w:r>
      <w:r w:rsidRPr="00011A0E">
        <w:rPr>
          <w:rFonts w:cs="FrankRuehl" w:hint="cs"/>
          <w:sz w:val="20"/>
          <w:szCs w:val="22"/>
          <w:rtl/>
        </w:rPr>
        <w:t xml:space="preserve"> הסכם הרווחים).</w:t>
      </w:r>
    </w:p>
    <w:p w:rsidR="000B385D" w:rsidRPr="00011A0E" w:rsidP="00B73C77">
      <w:pPr>
        <w:spacing w:after="120" w:line="230" w:lineRule="exact"/>
        <w:jc w:val="both"/>
        <w:rPr>
          <w:rFonts w:cs="FrankRuehl"/>
          <w:sz w:val="20"/>
          <w:szCs w:val="22"/>
          <w:rtl/>
        </w:rPr>
      </w:pPr>
    </w:p>
    <w:p w:rsidR="000B385D" w:rsidRPr="006B0299" w:rsidP="00B73C77">
      <w:pPr>
        <w:pStyle w:val="KOT5"/>
        <w:rPr>
          <w:rtl/>
        </w:rPr>
      </w:pPr>
      <w:r w:rsidRPr="006B0299">
        <w:rPr>
          <w:rFonts w:hint="cs"/>
          <w:rtl/>
        </w:rPr>
        <w:t>ערך החטיבה לציוד בטיחות</w:t>
      </w:r>
    </w:p>
    <w:p w:rsidR="000B385D" w:rsidRPr="00011A0E" w:rsidP="005C354E">
      <w:pPr>
        <w:spacing w:after="120" w:line="230" w:lineRule="exact"/>
        <w:ind w:left="340" w:hanging="340"/>
        <w:jc w:val="both"/>
        <w:rPr>
          <w:rFonts w:cs="FrankRuehl"/>
          <w:sz w:val="20"/>
          <w:szCs w:val="22"/>
          <w:rtl/>
        </w:rPr>
      </w:pPr>
      <w:r>
        <w:rPr>
          <w:rFonts w:cs="FrankRuehl" w:hint="cs"/>
          <w:sz w:val="20"/>
          <w:szCs w:val="22"/>
          <w:rtl/>
        </w:rPr>
        <w:t>1.</w:t>
      </w:r>
      <w:r w:rsidRPr="00011A0E">
        <w:rPr>
          <w:rFonts w:cs="FrankRuehl" w:hint="cs"/>
          <w:sz w:val="20"/>
          <w:szCs w:val="22"/>
          <w:rtl/>
        </w:rPr>
        <w:t xml:space="preserve"> </w:t>
      </w:r>
      <w:r w:rsidRPr="00011A0E">
        <w:rPr>
          <w:rFonts w:cs="FrankRuehl" w:hint="cs"/>
          <w:sz w:val="20"/>
          <w:szCs w:val="22"/>
          <w:rtl/>
        </w:rPr>
        <w:tab/>
        <w:t>משרד מבקר המדינה בדק את ערך המוניטין של החטיבה לציוד בטיחות כפי שסוכם בין הצדדים בהסכמים השונים, והעלה כלהלן:</w:t>
      </w:r>
    </w:p>
    <w:p w:rsidR="000B385D" w:rsidRPr="00327607" w:rsidP="00B73C77">
      <w:pPr>
        <w:pStyle w:val="tab-name"/>
        <w:rPr>
          <w:rtl/>
        </w:rPr>
      </w:pPr>
      <w:r w:rsidRPr="005C354E">
        <w:rPr>
          <w:rFonts w:hint="cs"/>
          <w:b w:val="0"/>
          <w:bCs w:val="0"/>
          <w:sz w:val="20"/>
          <w:szCs w:val="20"/>
          <w:rtl/>
        </w:rPr>
        <w:t>לוח</w:t>
      </w:r>
      <w:r w:rsidRPr="005C354E">
        <w:rPr>
          <w:rFonts w:hint="cs"/>
          <w:b w:val="0"/>
          <w:bCs w:val="0"/>
          <w:sz w:val="20"/>
          <w:szCs w:val="20"/>
          <w:rtl/>
        </w:rPr>
        <w:t xml:space="preserve"> 3</w:t>
      </w:r>
      <w:r w:rsidRPr="005C354E">
        <w:rPr>
          <w:b w:val="0"/>
          <w:bCs w:val="0"/>
          <w:sz w:val="20"/>
          <w:szCs w:val="20"/>
          <w:rtl/>
        </w:rPr>
        <w:br/>
      </w:r>
      <w:r w:rsidRPr="00327607">
        <w:rPr>
          <w:rFonts w:hint="cs"/>
          <w:rtl/>
        </w:rPr>
        <w:t>שווי המוניטין של החטיבה</w:t>
      </w:r>
    </w:p>
    <w:tbl>
      <w:tblPr>
        <w:bidiVisual/>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1E0"/>
      </w:tblPr>
      <w:tblGrid>
        <w:gridCol w:w="1491"/>
        <w:gridCol w:w="1281"/>
        <w:gridCol w:w="1380"/>
        <w:gridCol w:w="1240"/>
        <w:gridCol w:w="1299"/>
      </w:tblGrid>
      <w:tr w:rsidTr="00483F00">
        <w:tblPrEx>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1E0"/>
        </w:tblPrEx>
        <w:trPr>
          <w:jc w:val="center"/>
        </w:trPr>
        <w:tc>
          <w:tcPr>
            <w:tcW w:w="1702" w:type="dxa"/>
            <w:tcBorders>
              <w:top w:val="single" w:sz="12" w:space="0" w:color="auto"/>
              <w:bottom w:val="single" w:sz="12" w:space="0" w:color="auto"/>
            </w:tcBorders>
            <w:shd w:val="pct10" w:color="auto" w:fill="auto"/>
          </w:tcPr>
          <w:p w:rsidR="000B385D" w:rsidRPr="00483F00" w:rsidP="00483F00">
            <w:pPr>
              <w:spacing w:before="40" w:after="40" w:line="220" w:lineRule="exact"/>
              <w:jc w:val="center"/>
              <w:rPr>
                <w:b/>
                <w:bCs/>
                <w:sz w:val="18"/>
                <w:szCs w:val="20"/>
                <w:rtl/>
              </w:rPr>
            </w:pPr>
            <w:r w:rsidRPr="00483F00">
              <w:rPr>
                <w:rFonts w:cs="FrankRuehl" w:hint="cs"/>
                <w:b/>
                <w:bCs/>
                <w:sz w:val="18"/>
                <w:szCs w:val="20"/>
                <w:rtl/>
              </w:rPr>
              <w:t>מסמך</w:t>
            </w:r>
          </w:p>
        </w:tc>
        <w:tc>
          <w:tcPr>
            <w:tcW w:w="1431" w:type="dxa"/>
            <w:tcBorders>
              <w:top w:val="single" w:sz="12" w:space="0" w:color="auto"/>
              <w:bottom w:val="single" w:sz="12" w:space="0" w:color="auto"/>
            </w:tcBorders>
            <w:shd w:val="pct10" w:color="auto" w:fill="auto"/>
          </w:tcPr>
          <w:p w:rsidR="000B385D" w:rsidRPr="00483F00" w:rsidP="00483F00">
            <w:pPr>
              <w:spacing w:before="40" w:after="40" w:line="220" w:lineRule="exact"/>
              <w:jc w:val="center"/>
              <w:rPr>
                <w:b/>
                <w:bCs/>
                <w:sz w:val="18"/>
                <w:szCs w:val="20"/>
                <w:rtl/>
              </w:rPr>
            </w:pPr>
            <w:r w:rsidRPr="00483F00">
              <w:rPr>
                <w:rFonts w:cs="FrankRuehl" w:hint="cs"/>
                <w:b/>
                <w:bCs/>
                <w:sz w:val="18"/>
                <w:szCs w:val="20"/>
                <w:rtl/>
              </w:rPr>
              <w:t>תאריך</w:t>
            </w:r>
          </w:p>
        </w:tc>
        <w:tc>
          <w:tcPr>
            <w:tcW w:w="1512" w:type="dxa"/>
            <w:tcBorders>
              <w:top w:val="single" w:sz="12" w:space="0" w:color="auto"/>
              <w:bottom w:val="single" w:sz="12" w:space="0" w:color="auto"/>
            </w:tcBorders>
            <w:shd w:val="pct10" w:color="auto" w:fill="auto"/>
          </w:tcPr>
          <w:p w:rsidR="000B385D" w:rsidRPr="00483F00" w:rsidP="00483F00">
            <w:pPr>
              <w:spacing w:before="40" w:after="40" w:line="220" w:lineRule="exact"/>
              <w:jc w:val="center"/>
              <w:rPr>
                <w:b/>
                <w:bCs/>
                <w:sz w:val="18"/>
                <w:szCs w:val="20"/>
                <w:rtl/>
              </w:rPr>
            </w:pPr>
            <w:r w:rsidRPr="00483F00">
              <w:rPr>
                <w:rFonts w:cs="FrankRuehl" w:hint="cs"/>
                <w:b/>
                <w:bCs/>
                <w:sz w:val="18"/>
                <w:szCs w:val="20"/>
                <w:rtl/>
              </w:rPr>
              <w:t>סכום בדולרים</w:t>
            </w:r>
          </w:p>
        </w:tc>
        <w:tc>
          <w:tcPr>
            <w:tcW w:w="1409" w:type="dxa"/>
            <w:tcBorders>
              <w:top w:val="single" w:sz="12" w:space="0" w:color="auto"/>
              <w:bottom w:val="single" w:sz="12" w:space="0" w:color="auto"/>
            </w:tcBorders>
            <w:shd w:val="pct10" w:color="auto" w:fill="auto"/>
          </w:tcPr>
          <w:p w:rsidR="000B385D" w:rsidRPr="00483F00" w:rsidP="00483F00">
            <w:pPr>
              <w:spacing w:before="40" w:after="40" w:line="220" w:lineRule="exact"/>
              <w:jc w:val="center"/>
              <w:rPr>
                <w:b/>
                <w:bCs/>
                <w:sz w:val="18"/>
                <w:szCs w:val="20"/>
                <w:rtl/>
              </w:rPr>
            </w:pPr>
            <w:r w:rsidRPr="00483F00">
              <w:rPr>
                <w:rFonts w:cs="FrankRuehl" w:hint="cs"/>
                <w:b/>
                <w:bCs/>
                <w:sz w:val="18"/>
                <w:szCs w:val="20"/>
                <w:rtl/>
              </w:rPr>
              <w:t>שער הדולר</w:t>
            </w:r>
          </w:p>
        </w:tc>
        <w:tc>
          <w:tcPr>
            <w:tcW w:w="1410" w:type="dxa"/>
            <w:tcBorders>
              <w:top w:val="single" w:sz="12" w:space="0" w:color="auto"/>
              <w:bottom w:val="single" w:sz="12" w:space="0" w:color="auto"/>
            </w:tcBorders>
            <w:shd w:val="pct10" w:color="auto" w:fill="auto"/>
          </w:tcPr>
          <w:p w:rsidR="000B385D" w:rsidRPr="00483F00" w:rsidP="00483F00">
            <w:pPr>
              <w:spacing w:before="40" w:after="40" w:line="220" w:lineRule="exact"/>
              <w:jc w:val="center"/>
              <w:rPr>
                <w:b/>
                <w:bCs/>
                <w:sz w:val="18"/>
                <w:szCs w:val="20"/>
                <w:rtl/>
              </w:rPr>
            </w:pPr>
            <w:r w:rsidRPr="00483F00">
              <w:rPr>
                <w:rFonts w:cs="FrankRuehl" w:hint="cs"/>
                <w:b/>
                <w:bCs/>
                <w:sz w:val="18"/>
                <w:szCs w:val="20"/>
                <w:rtl/>
              </w:rPr>
              <w:t>שווי בש"ח</w:t>
            </w:r>
          </w:p>
        </w:tc>
      </w:tr>
      <w:tr w:rsidTr="00483F00">
        <w:tblPrEx>
          <w:tblW w:w="6691" w:type="dxa"/>
          <w:jc w:val="center"/>
          <w:tblLook w:val="01E0"/>
        </w:tblPrEx>
        <w:trPr>
          <w:jc w:val="center"/>
        </w:trPr>
        <w:tc>
          <w:tcPr>
            <w:tcW w:w="1702" w:type="dxa"/>
            <w:tcBorders>
              <w:top w:val="single" w:sz="12" w:space="0" w:color="auto"/>
            </w:tcBorders>
            <w:shd w:val="clear" w:color="auto" w:fill="auto"/>
          </w:tcPr>
          <w:p w:rsidR="000B385D" w:rsidRPr="005C354E" w:rsidP="005C354E">
            <w:pPr>
              <w:spacing w:before="40" w:after="40" w:line="220" w:lineRule="exact"/>
              <w:rPr>
                <w:sz w:val="18"/>
                <w:szCs w:val="20"/>
                <w:rtl/>
              </w:rPr>
            </w:pPr>
            <w:r w:rsidRPr="005C354E">
              <w:rPr>
                <w:rFonts w:cs="FrankRuehl" w:hint="cs"/>
                <w:sz w:val="18"/>
                <w:szCs w:val="20"/>
                <w:rtl/>
              </w:rPr>
              <w:t>הערכת השווי</w:t>
            </w:r>
          </w:p>
        </w:tc>
        <w:tc>
          <w:tcPr>
            <w:tcW w:w="1431" w:type="dxa"/>
            <w:tcBorders>
              <w:top w:val="single" w:sz="12" w:space="0" w:color="auto"/>
            </w:tcBorders>
            <w:shd w:val="clear" w:color="auto" w:fill="auto"/>
          </w:tcPr>
          <w:p w:rsidR="000B385D" w:rsidRPr="005C354E" w:rsidP="005C354E">
            <w:pPr>
              <w:spacing w:before="40" w:after="40" w:line="220" w:lineRule="exact"/>
              <w:rPr>
                <w:sz w:val="18"/>
                <w:szCs w:val="20"/>
                <w:rtl/>
              </w:rPr>
            </w:pPr>
            <w:r w:rsidRPr="005C354E">
              <w:rPr>
                <w:rFonts w:cs="FrankRuehl" w:hint="cs"/>
                <w:sz w:val="18"/>
                <w:szCs w:val="20"/>
                <w:rtl/>
              </w:rPr>
              <w:t>24.1.06</w:t>
            </w:r>
          </w:p>
        </w:tc>
        <w:tc>
          <w:tcPr>
            <w:tcW w:w="1512" w:type="dxa"/>
            <w:tcBorders>
              <w:top w:val="single" w:sz="12" w:space="0" w:color="auto"/>
            </w:tcBorders>
            <w:shd w:val="clear" w:color="auto" w:fill="auto"/>
          </w:tcPr>
          <w:p w:rsidR="000B385D" w:rsidRPr="005C354E" w:rsidP="005C354E">
            <w:pPr>
              <w:spacing w:before="40" w:after="40" w:line="220" w:lineRule="exact"/>
              <w:rPr>
                <w:sz w:val="18"/>
                <w:szCs w:val="20"/>
                <w:rtl/>
              </w:rPr>
            </w:pPr>
            <w:r w:rsidRPr="005C354E">
              <w:rPr>
                <w:rFonts w:cs="FrankRuehl" w:hint="cs"/>
                <w:sz w:val="18"/>
                <w:szCs w:val="20"/>
                <w:rtl/>
              </w:rPr>
              <w:t>800,000</w:t>
            </w:r>
          </w:p>
        </w:tc>
        <w:tc>
          <w:tcPr>
            <w:tcW w:w="1409" w:type="dxa"/>
            <w:tcBorders>
              <w:top w:val="single" w:sz="12" w:space="0" w:color="auto"/>
            </w:tcBorders>
            <w:shd w:val="clear" w:color="auto" w:fill="auto"/>
          </w:tcPr>
          <w:p w:rsidR="000B385D" w:rsidRPr="005C354E" w:rsidP="005C354E">
            <w:pPr>
              <w:spacing w:before="40" w:after="40" w:line="220" w:lineRule="exact"/>
              <w:rPr>
                <w:sz w:val="18"/>
                <w:szCs w:val="20"/>
                <w:rtl/>
              </w:rPr>
            </w:pPr>
            <w:r w:rsidRPr="005C354E">
              <w:rPr>
                <w:rFonts w:cs="FrankRuehl" w:hint="cs"/>
                <w:sz w:val="18"/>
                <w:szCs w:val="20"/>
                <w:rtl/>
              </w:rPr>
              <w:t>4.612</w:t>
            </w:r>
          </w:p>
        </w:tc>
        <w:tc>
          <w:tcPr>
            <w:tcW w:w="1410" w:type="dxa"/>
            <w:tcBorders>
              <w:top w:val="single" w:sz="12" w:space="0" w:color="auto"/>
            </w:tcBorders>
            <w:shd w:val="clear" w:color="auto" w:fill="auto"/>
          </w:tcPr>
          <w:p w:rsidR="000B385D" w:rsidRPr="005C354E" w:rsidP="005C354E">
            <w:pPr>
              <w:spacing w:before="40" w:after="40" w:line="220" w:lineRule="exact"/>
              <w:rPr>
                <w:sz w:val="18"/>
                <w:szCs w:val="20"/>
                <w:rtl/>
              </w:rPr>
            </w:pPr>
            <w:r w:rsidRPr="005C354E">
              <w:rPr>
                <w:rFonts w:cs="FrankRuehl" w:hint="cs"/>
                <w:sz w:val="18"/>
                <w:szCs w:val="20"/>
                <w:rtl/>
              </w:rPr>
              <w:t>3,689,600</w:t>
            </w:r>
          </w:p>
        </w:tc>
      </w:tr>
      <w:tr w:rsidTr="00483F00">
        <w:tblPrEx>
          <w:tblW w:w="6691" w:type="dxa"/>
          <w:jc w:val="center"/>
          <w:tblLook w:val="01E0"/>
        </w:tblPrEx>
        <w:trPr>
          <w:jc w:val="center"/>
        </w:trPr>
        <w:tc>
          <w:tcPr>
            <w:tcW w:w="1702" w:type="dxa"/>
            <w:shd w:val="clear" w:color="auto" w:fill="auto"/>
          </w:tcPr>
          <w:p w:rsidR="000B385D" w:rsidRPr="00483F00" w:rsidP="00483F00">
            <w:pPr>
              <w:pStyle w:val="FootnoteText"/>
              <w:spacing w:before="40" w:after="40" w:line="220" w:lineRule="exact"/>
              <w:rPr>
                <w:rFonts w:cs="FrankRuehl"/>
                <w:sz w:val="18"/>
                <w:rtl/>
              </w:rPr>
            </w:pPr>
            <w:r w:rsidRPr="00483F00">
              <w:rPr>
                <w:rFonts w:cs="FrankRuehl" w:hint="cs"/>
                <w:sz w:val="18"/>
                <w:rtl/>
              </w:rPr>
              <w:t>מזכר ההבנות</w:t>
            </w:r>
          </w:p>
        </w:tc>
        <w:tc>
          <w:tcPr>
            <w:tcW w:w="1431" w:type="dxa"/>
            <w:shd w:val="clear" w:color="auto" w:fill="auto"/>
          </w:tcPr>
          <w:p w:rsidR="000B385D" w:rsidRPr="005C354E" w:rsidP="005C354E">
            <w:pPr>
              <w:spacing w:before="40" w:after="40" w:line="220" w:lineRule="exact"/>
              <w:rPr>
                <w:sz w:val="18"/>
                <w:szCs w:val="20"/>
                <w:rtl/>
              </w:rPr>
            </w:pPr>
            <w:r w:rsidRPr="005C354E">
              <w:rPr>
                <w:rFonts w:cs="FrankRuehl" w:hint="cs"/>
                <w:sz w:val="18"/>
                <w:szCs w:val="20"/>
                <w:rtl/>
              </w:rPr>
              <w:t>2.5.06</w:t>
            </w:r>
          </w:p>
        </w:tc>
        <w:tc>
          <w:tcPr>
            <w:tcW w:w="1512" w:type="dxa"/>
            <w:shd w:val="clear" w:color="auto" w:fill="auto"/>
          </w:tcPr>
          <w:p w:rsidR="000B385D" w:rsidRPr="005C354E" w:rsidP="005C354E">
            <w:pPr>
              <w:spacing w:before="40" w:after="40" w:line="220" w:lineRule="exact"/>
              <w:rPr>
                <w:sz w:val="18"/>
                <w:szCs w:val="20"/>
                <w:rtl/>
              </w:rPr>
            </w:pPr>
            <w:r w:rsidRPr="005C354E">
              <w:rPr>
                <w:rFonts w:cs="FrankRuehl" w:hint="cs"/>
                <w:sz w:val="18"/>
                <w:szCs w:val="20"/>
                <w:rtl/>
              </w:rPr>
              <w:t>800,000</w:t>
            </w:r>
          </w:p>
        </w:tc>
        <w:tc>
          <w:tcPr>
            <w:tcW w:w="1409" w:type="dxa"/>
            <w:shd w:val="clear" w:color="auto" w:fill="auto"/>
          </w:tcPr>
          <w:p w:rsidR="000B385D" w:rsidRPr="005C354E" w:rsidP="005C354E">
            <w:pPr>
              <w:spacing w:before="40" w:after="40" w:line="220" w:lineRule="exact"/>
              <w:rPr>
                <w:sz w:val="18"/>
                <w:szCs w:val="20"/>
                <w:rtl/>
              </w:rPr>
            </w:pPr>
            <w:r w:rsidRPr="005C354E">
              <w:rPr>
                <w:rFonts w:cs="FrankRuehl" w:hint="cs"/>
                <w:sz w:val="18"/>
                <w:szCs w:val="20"/>
                <w:rtl/>
              </w:rPr>
              <w:t>4.491</w:t>
            </w:r>
          </w:p>
        </w:tc>
        <w:tc>
          <w:tcPr>
            <w:tcW w:w="1410" w:type="dxa"/>
            <w:shd w:val="clear" w:color="auto" w:fill="auto"/>
          </w:tcPr>
          <w:p w:rsidR="000B385D" w:rsidRPr="005C354E" w:rsidP="005C354E">
            <w:pPr>
              <w:spacing w:before="40" w:after="40" w:line="220" w:lineRule="exact"/>
              <w:rPr>
                <w:sz w:val="18"/>
                <w:szCs w:val="20"/>
                <w:rtl/>
              </w:rPr>
            </w:pPr>
            <w:r w:rsidRPr="005C354E">
              <w:rPr>
                <w:rFonts w:cs="FrankRuehl" w:hint="cs"/>
                <w:sz w:val="18"/>
                <w:szCs w:val="20"/>
                <w:rtl/>
              </w:rPr>
              <w:t>3,592,800</w:t>
            </w:r>
          </w:p>
        </w:tc>
      </w:tr>
      <w:tr w:rsidTr="00483F00">
        <w:tblPrEx>
          <w:tblW w:w="6691" w:type="dxa"/>
          <w:jc w:val="center"/>
          <w:tblLook w:val="01E0"/>
        </w:tblPrEx>
        <w:trPr>
          <w:jc w:val="center"/>
        </w:trPr>
        <w:tc>
          <w:tcPr>
            <w:tcW w:w="1702" w:type="dxa"/>
            <w:shd w:val="clear" w:color="auto" w:fill="auto"/>
          </w:tcPr>
          <w:p w:rsidR="000B385D" w:rsidRPr="005C354E" w:rsidP="005C354E">
            <w:pPr>
              <w:spacing w:before="40" w:after="40" w:line="220" w:lineRule="exact"/>
              <w:rPr>
                <w:sz w:val="18"/>
                <w:szCs w:val="20"/>
                <w:rtl/>
              </w:rPr>
            </w:pPr>
            <w:r w:rsidRPr="005C354E">
              <w:rPr>
                <w:rFonts w:cs="FrankRuehl" w:hint="cs"/>
                <w:sz w:val="18"/>
                <w:szCs w:val="20"/>
                <w:rtl/>
              </w:rPr>
              <w:t>הסכם ראשון</w:t>
            </w:r>
          </w:p>
        </w:tc>
        <w:tc>
          <w:tcPr>
            <w:tcW w:w="1431" w:type="dxa"/>
            <w:shd w:val="clear" w:color="auto" w:fill="auto"/>
          </w:tcPr>
          <w:p w:rsidR="000B385D" w:rsidRPr="005C354E" w:rsidP="005C354E">
            <w:pPr>
              <w:spacing w:before="40" w:after="40" w:line="220" w:lineRule="exact"/>
              <w:rPr>
                <w:sz w:val="18"/>
                <w:szCs w:val="20"/>
                <w:rtl/>
              </w:rPr>
            </w:pPr>
            <w:r w:rsidRPr="005C354E">
              <w:rPr>
                <w:rFonts w:cs="FrankRuehl" w:hint="cs"/>
                <w:sz w:val="18"/>
                <w:szCs w:val="20"/>
                <w:rtl/>
              </w:rPr>
              <w:t>28.2.07</w:t>
            </w:r>
          </w:p>
        </w:tc>
        <w:tc>
          <w:tcPr>
            <w:tcW w:w="1512" w:type="dxa"/>
            <w:shd w:val="clear" w:color="auto" w:fill="auto"/>
          </w:tcPr>
          <w:p w:rsidR="000B385D" w:rsidRPr="005C354E" w:rsidP="005C354E">
            <w:pPr>
              <w:spacing w:before="40" w:after="40" w:line="220" w:lineRule="exact"/>
              <w:rPr>
                <w:sz w:val="18"/>
                <w:szCs w:val="20"/>
                <w:rtl/>
              </w:rPr>
            </w:pPr>
            <w:r w:rsidRPr="005C354E">
              <w:rPr>
                <w:rFonts w:cs="FrankRuehl" w:hint="cs"/>
                <w:sz w:val="18"/>
                <w:szCs w:val="20"/>
                <w:rtl/>
              </w:rPr>
              <w:t>800,000</w:t>
            </w:r>
          </w:p>
        </w:tc>
        <w:tc>
          <w:tcPr>
            <w:tcW w:w="1409" w:type="dxa"/>
            <w:shd w:val="clear" w:color="auto" w:fill="auto"/>
          </w:tcPr>
          <w:p w:rsidR="000B385D" w:rsidRPr="005C354E" w:rsidP="005C354E">
            <w:pPr>
              <w:spacing w:before="40" w:after="40" w:line="220" w:lineRule="exact"/>
              <w:rPr>
                <w:sz w:val="18"/>
                <w:szCs w:val="20"/>
                <w:rtl/>
              </w:rPr>
            </w:pPr>
            <w:r w:rsidRPr="005C354E">
              <w:rPr>
                <w:rFonts w:cs="FrankRuehl" w:hint="cs"/>
                <w:sz w:val="18"/>
                <w:szCs w:val="20"/>
                <w:rtl/>
              </w:rPr>
              <w:t>4.211</w:t>
            </w:r>
          </w:p>
        </w:tc>
        <w:tc>
          <w:tcPr>
            <w:tcW w:w="1410" w:type="dxa"/>
            <w:shd w:val="clear" w:color="auto" w:fill="auto"/>
          </w:tcPr>
          <w:p w:rsidR="000B385D" w:rsidRPr="005C354E" w:rsidP="005C354E">
            <w:pPr>
              <w:spacing w:before="40" w:after="40" w:line="220" w:lineRule="exact"/>
              <w:rPr>
                <w:sz w:val="18"/>
                <w:szCs w:val="20"/>
                <w:rtl/>
              </w:rPr>
            </w:pPr>
            <w:r w:rsidRPr="005C354E">
              <w:rPr>
                <w:rFonts w:cs="FrankRuehl" w:hint="cs"/>
                <w:sz w:val="18"/>
                <w:szCs w:val="20"/>
                <w:rtl/>
              </w:rPr>
              <w:t>3,368,800</w:t>
            </w:r>
          </w:p>
        </w:tc>
      </w:tr>
      <w:tr w:rsidTr="00483F00">
        <w:tblPrEx>
          <w:tblW w:w="6691" w:type="dxa"/>
          <w:jc w:val="center"/>
          <w:tblLook w:val="01E0"/>
        </w:tblPrEx>
        <w:trPr>
          <w:jc w:val="center"/>
        </w:trPr>
        <w:tc>
          <w:tcPr>
            <w:tcW w:w="1702" w:type="dxa"/>
            <w:shd w:val="clear" w:color="auto" w:fill="auto"/>
          </w:tcPr>
          <w:p w:rsidR="000B385D" w:rsidRPr="005C354E" w:rsidP="005C354E">
            <w:pPr>
              <w:spacing w:before="40" w:after="40" w:line="220" w:lineRule="exact"/>
              <w:rPr>
                <w:sz w:val="18"/>
                <w:szCs w:val="20"/>
                <w:rtl/>
              </w:rPr>
            </w:pPr>
            <w:r w:rsidRPr="005C354E">
              <w:rPr>
                <w:rFonts w:cs="FrankRuehl" w:hint="cs"/>
                <w:sz w:val="18"/>
                <w:szCs w:val="20"/>
                <w:rtl/>
              </w:rPr>
              <w:t>הסכם שני</w:t>
            </w:r>
          </w:p>
        </w:tc>
        <w:tc>
          <w:tcPr>
            <w:tcW w:w="1431" w:type="dxa"/>
            <w:shd w:val="clear" w:color="auto" w:fill="auto"/>
          </w:tcPr>
          <w:p w:rsidR="000B385D" w:rsidRPr="005C354E" w:rsidP="005C354E">
            <w:pPr>
              <w:spacing w:before="40" w:after="40" w:line="220" w:lineRule="exact"/>
              <w:rPr>
                <w:sz w:val="18"/>
                <w:szCs w:val="20"/>
                <w:rtl/>
              </w:rPr>
            </w:pPr>
            <w:r w:rsidRPr="005C354E">
              <w:rPr>
                <w:rFonts w:cs="FrankRuehl" w:hint="cs"/>
                <w:sz w:val="18"/>
                <w:szCs w:val="20"/>
                <w:rtl/>
              </w:rPr>
              <w:t>17.4.08</w:t>
            </w:r>
          </w:p>
        </w:tc>
        <w:tc>
          <w:tcPr>
            <w:tcW w:w="1512" w:type="dxa"/>
            <w:shd w:val="clear" w:color="auto" w:fill="auto"/>
          </w:tcPr>
          <w:p w:rsidR="000B385D" w:rsidRPr="005C354E" w:rsidP="005C354E">
            <w:pPr>
              <w:spacing w:before="40" w:after="40" w:line="220" w:lineRule="exact"/>
              <w:rPr>
                <w:sz w:val="18"/>
                <w:szCs w:val="20"/>
                <w:rtl/>
              </w:rPr>
            </w:pPr>
            <w:r w:rsidRPr="005C354E">
              <w:rPr>
                <w:rFonts w:cs="FrankRuehl" w:hint="cs"/>
                <w:sz w:val="18"/>
                <w:szCs w:val="20"/>
                <w:rtl/>
              </w:rPr>
              <w:t>1,000,000</w:t>
            </w:r>
          </w:p>
        </w:tc>
        <w:tc>
          <w:tcPr>
            <w:tcW w:w="1409" w:type="dxa"/>
            <w:shd w:val="clear" w:color="auto" w:fill="auto"/>
          </w:tcPr>
          <w:p w:rsidR="000B385D" w:rsidRPr="005C354E" w:rsidP="005C354E">
            <w:pPr>
              <w:spacing w:before="40" w:after="40" w:line="220" w:lineRule="exact"/>
              <w:rPr>
                <w:sz w:val="18"/>
                <w:szCs w:val="20"/>
                <w:rtl/>
              </w:rPr>
            </w:pPr>
            <w:r w:rsidRPr="005C354E">
              <w:rPr>
                <w:rFonts w:cs="FrankRuehl" w:hint="cs"/>
                <w:sz w:val="18"/>
                <w:szCs w:val="20"/>
                <w:rtl/>
              </w:rPr>
              <w:t>3.465</w:t>
            </w:r>
          </w:p>
        </w:tc>
        <w:tc>
          <w:tcPr>
            <w:tcW w:w="1410" w:type="dxa"/>
            <w:shd w:val="clear" w:color="auto" w:fill="auto"/>
          </w:tcPr>
          <w:p w:rsidR="000B385D" w:rsidRPr="005C354E" w:rsidP="005C354E">
            <w:pPr>
              <w:spacing w:before="40" w:after="40" w:line="220" w:lineRule="exact"/>
              <w:rPr>
                <w:rFonts w:cs="FrankRuehl"/>
                <w:sz w:val="18"/>
                <w:szCs w:val="20"/>
                <w:rtl/>
              </w:rPr>
            </w:pPr>
            <w:r w:rsidRPr="005C354E">
              <w:rPr>
                <w:rFonts w:cs="FrankRuehl" w:hint="cs"/>
                <w:sz w:val="18"/>
                <w:szCs w:val="20"/>
                <w:rtl/>
              </w:rPr>
              <w:t>3,465,000</w:t>
            </w:r>
          </w:p>
        </w:tc>
      </w:tr>
    </w:tbl>
    <w:p w:rsidR="000B385D" w:rsidRPr="00011A0E" w:rsidP="00483F00">
      <w:pPr>
        <w:spacing w:before="240" w:after="120" w:line="230" w:lineRule="exact"/>
        <w:ind w:left="340"/>
        <w:jc w:val="both"/>
        <w:rPr>
          <w:rFonts w:cs="FrankRuehl"/>
          <w:sz w:val="20"/>
          <w:szCs w:val="22"/>
          <w:rtl/>
        </w:rPr>
      </w:pPr>
      <w:r w:rsidRPr="00011A0E">
        <w:rPr>
          <w:rFonts w:cs="FrankRuehl" w:hint="cs"/>
          <w:sz w:val="20"/>
          <w:szCs w:val="22"/>
          <w:rtl/>
        </w:rPr>
        <w:t>מה</w:t>
      </w:r>
      <w:r w:rsidR="007441B9">
        <w:rPr>
          <w:rFonts w:cs="FrankRuehl" w:hint="cs"/>
          <w:sz w:val="20"/>
          <w:szCs w:val="22"/>
          <w:rtl/>
        </w:rPr>
        <w:t>לוח</w:t>
      </w:r>
      <w:r w:rsidRPr="00011A0E">
        <w:rPr>
          <w:rFonts w:cs="FrankRuehl" w:hint="cs"/>
          <w:sz w:val="20"/>
          <w:szCs w:val="22"/>
          <w:rtl/>
        </w:rPr>
        <w:t xml:space="preserve"> עולה, כי ערך המוניטין ירד בתקופה שבין הערכת השווי הראשונית לבין ההסכם השני </w:t>
      </w:r>
      <w:r w:rsidR="00483F00">
        <w:rPr>
          <w:rFonts w:cs="FrankRuehl"/>
          <w:sz w:val="20"/>
          <w:szCs w:val="22"/>
          <w:rtl/>
        </w:rPr>
        <w:br/>
      </w:r>
      <w:r w:rsidRPr="00011A0E">
        <w:rPr>
          <w:rFonts w:cs="FrankRuehl" w:hint="cs"/>
          <w:sz w:val="20"/>
          <w:szCs w:val="22"/>
          <w:rtl/>
        </w:rPr>
        <w:t>בכ-224,000 ש"ח (ירידה של 6%).</w:t>
      </w:r>
    </w:p>
    <w:p w:rsidR="000B385D" w:rsidRPr="00011A0E" w:rsidP="00483F00">
      <w:pPr>
        <w:spacing w:after="120" w:line="230" w:lineRule="exact"/>
        <w:ind w:left="340"/>
        <w:jc w:val="both"/>
        <w:rPr>
          <w:rFonts w:cs="FrankRuehl"/>
          <w:sz w:val="20"/>
          <w:szCs w:val="22"/>
          <w:rtl/>
        </w:rPr>
      </w:pPr>
      <w:r w:rsidRPr="00011A0E">
        <w:rPr>
          <w:rFonts w:cs="FrankRuehl" w:hint="cs"/>
          <w:sz w:val="20"/>
          <w:szCs w:val="22"/>
          <w:rtl/>
        </w:rPr>
        <w:t>משרד מבקר המדינה בדק את התוצאות העסקיות של החטיבה לציוד בטיחות כפי שהיו ידועות בעת הערכת השווי (על בסיס ביצועי 2005), בשנת 2006 ובעת חתימת ההסכם השני (על בסיס ביצועי 2007), והעלה כלהלן (באלפי ש"ח):</w:t>
      </w:r>
    </w:p>
    <w:p w:rsidR="000B385D" w:rsidRPr="00327607" w:rsidP="005C354E">
      <w:pPr>
        <w:pStyle w:val="tab-name"/>
        <w:rPr>
          <w:rtl/>
        </w:rPr>
      </w:pPr>
      <w:r w:rsidRPr="005C354E">
        <w:rPr>
          <w:rFonts w:hint="cs"/>
          <w:b w:val="0"/>
          <w:bCs w:val="0"/>
          <w:sz w:val="20"/>
          <w:szCs w:val="20"/>
          <w:rtl/>
        </w:rPr>
        <w:t>לוח</w:t>
      </w:r>
      <w:r w:rsidRPr="005C354E" w:rsidR="005C354E">
        <w:rPr>
          <w:rFonts w:hint="cs"/>
          <w:b w:val="0"/>
          <w:bCs w:val="0"/>
          <w:sz w:val="20"/>
          <w:szCs w:val="20"/>
          <w:rtl/>
        </w:rPr>
        <w:t xml:space="preserve">  4</w:t>
      </w:r>
      <w:r w:rsidRPr="005C354E" w:rsidR="005C354E">
        <w:rPr>
          <w:b w:val="0"/>
          <w:bCs w:val="0"/>
          <w:sz w:val="20"/>
          <w:szCs w:val="20"/>
          <w:rtl/>
        </w:rPr>
        <w:br/>
      </w:r>
      <w:r w:rsidRPr="00327607">
        <w:rPr>
          <w:rFonts w:hint="cs"/>
          <w:rtl/>
        </w:rPr>
        <w:t>תוצאותיה העסקיות של החטיבה</w:t>
      </w:r>
    </w:p>
    <w:tbl>
      <w:tblPr>
        <w:bidiVisual/>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1E0"/>
      </w:tblPr>
      <w:tblGrid>
        <w:gridCol w:w="1105"/>
        <w:gridCol w:w="1239"/>
        <w:gridCol w:w="1247"/>
        <w:gridCol w:w="1572"/>
        <w:gridCol w:w="1528"/>
      </w:tblGrid>
      <w:tr w:rsidTr="00922FB9">
        <w:tblPrEx>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1E0"/>
        </w:tblPrEx>
        <w:trPr>
          <w:jc w:val="center"/>
        </w:trPr>
        <w:tc>
          <w:tcPr>
            <w:tcW w:w="1025" w:type="dxa"/>
            <w:tcBorders>
              <w:top w:val="single" w:sz="12" w:space="0" w:color="auto"/>
              <w:bottom w:val="single" w:sz="12" w:space="0" w:color="auto"/>
            </w:tcBorders>
            <w:shd w:val="pct10" w:color="auto" w:fill="FFFFFF"/>
            <w:vAlign w:val="bottom"/>
          </w:tcPr>
          <w:p w:rsidR="000B385D" w:rsidRPr="00483F00" w:rsidP="00483F00">
            <w:pPr>
              <w:spacing w:before="40" w:after="40" w:line="220" w:lineRule="exact"/>
              <w:jc w:val="center"/>
              <w:rPr>
                <w:rFonts w:cs="FrankRuehl"/>
                <w:b/>
                <w:bCs/>
                <w:sz w:val="18"/>
                <w:szCs w:val="20"/>
                <w:rtl/>
              </w:rPr>
            </w:pPr>
            <w:r w:rsidRPr="00483F00">
              <w:rPr>
                <w:rFonts w:cs="FrankRuehl" w:hint="cs"/>
                <w:b/>
                <w:bCs/>
                <w:sz w:val="18"/>
                <w:szCs w:val="20"/>
                <w:rtl/>
              </w:rPr>
              <w:t>שנה</w:t>
            </w:r>
          </w:p>
        </w:tc>
        <w:tc>
          <w:tcPr>
            <w:tcW w:w="1149" w:type="dxa"/>
            <w:tcBorders>
              <w:top w:val="single" w:sz="12" w:space="0" w:color="auto"/>
              <w:bottom w:val="single" w:sz="12" w:space="0" w:color="auto"/>
            </w:tcBorders>
            <w:shd w:val="pct10" w:color="auto" w:fill="FFFFFF"/>
            <w:vAlign w:val="bottom"/>
          </w:tcPr>
          <w:p w:rsidR="000B385D" w:rsidRPr="00483F00" w:rsidP="00483F00">
            <w:pPr>
              <w:spacing w:before="40" w:after="40" w:line="220" w:lineRule="exact"/>
              <w:jc w:val="center"/>
              <w:rPr>
                <w:rFonts w:cs="FrankRuehl"/>
                <w:b/>
                <w:bCs/>
                <w:sz w:val="18"/>
                <w:szCs w:val="20"/>
                <w:rtl/>
              </w:rPr>
            </w:pPr>
            <w:r w:rsidRPr="00483F00">
              <w:rPr>
                <w:rFonts w:cs="FrankRuehl" w:hint="cs"/>
                <w:b/>
                <w:bCs/>
                <w:sz w:val="18"/>
                <w:szCs w:val="20"/>
                <w:rtl/>
              </w:rPr>
              <w:t>מכירות</w:t>
            </w:r>
          </w:p>
        </w:tc>
        <w:tc>
          <w:tcPr>
            <w:tcW w:w="1156" w:type="dxa"/>
            <w:tcBorders>
              <w:top w:val="single" w:sz="12" w:space="0" w:color="auto"/>
              <w:bottom w:val="single" w:sz="12" w:space="0" w:color="auto"/>
            </w:tcBorders>
            <w:shd w:val="pct10" w:color="auto" w:fill="FFFFFF"/>
            <w:vAlign w:val="bottom"/>
          </w:tcPr>
          <w:p w:rsidR="000B385D" w:rsidRPr="00483F00" w:rsidP="00483F00">
            <w:pPr>
              <w:spacing w:before="40" w:after="40" w:line="220" w:lineRule="exact"/>
              <w:jc w:val="center"/>
              <w:rPr>
                <w:rFonts w:cs="FrankRuehl"/>
                <w:b/>
                <w:bCs/>
                <w:sz w:val="18"/>
                <w:szCs w:val="20"/>
                <w:rtl/>
              </w:rPr>
            </w:pPr>
            <w:r w:rsidRPr="00483F00">
              <w:rPr>
                <w:rFonts w:cs="FrankRuehl" w:hint="cs"/>
                <w:b/>
                <w:bCs/>
                <w:sz w:val="18"/>
                <w:szCs w:val="20"/>
                <w:rtl/>
              </w:rPr>
              <w:t>רווח גולמי</w:t>
            </w:r>
          </w:p>
        </w:tc>
        <w:tc>
          <w:tcPr>
            <w:tcW w:w="1458" w:type="dxa"/>
            <w:tcBorders>
              <w:top w:val="single" w:sz="12" w:space="0" w:color="auto"/>
              <w:bottom w:val="single" w:sz="12" w:space="0" w:color="auto"/>
            </w:tcBorders>
            <w:shd w:val="pct10" w:color="auto" w:fill="FFFFFF"/>
            <w:vAlign w:val="bottom"/>
          </w:tcPr>
          <w:p w:rsidR="000B385D" w:rsidRPr="00483F00" w:rsidP="00483F00">
            <w:pPr>
              <w:spacing w:before="40" w:after="40" w:line="220" w:lineRule="exact"/>
              <w:jc w:val="center"/>
              <w:rPr>
                <w:rFonts w:cs="FrankRuehl"/>
                <w:b/>
                <w:bCs/>
                <w:sz w:val="18"/>
                <w:szCs w:val="20"/>
                <w:rtl/>
              </w:rPr>
            </w:pPr>
            <w:r w:rsidRPr="00483F00">
              <w:rPr>
                <w:rFonts w:cs="FrankRuehl" w:hint="cs"/>
                <w:b/>
                <w:bCs/>
                <w:sz w:val="18"/>
                <w:szCs w:val="20"/>
                <w:rtl/>
              </w:rPr>
              <w:t>רווח מפעולות רגילות</w:t>
            </w:r>
          </w:p>
        </w:tc>
        <w:tc>
          <w:tcPr>
            <w:tcW w:w="1417" w:type="dxa"/>
            <w:tcBorders>
              <w:top w:val="single" w:sz="12" w:space="0" w:color="auto"/>
              <w:bottom w:val="single" w:sz="12" w:space="0" w:color="auto"/>
            </w:tcBorders>
            <w:shd w:val="pct10" w:color="auto" w:fill="FFFFFF"/>
            <w:vAlign w:val="bottom"/>
          </w:tcPr>
          <w:p w:rsidR="000B385D" w:rsidRPr="00483F00" w:rsidP="00483F00">
            <w:pPr>
              <w:spacing w:before="40" w:after="40" w:line="220" w:lineRule="exact"/>
              <w:jc w:val="center"/>
              <w:rPr>
                <w:rFonts w:cs="FrankRuehl"/>
                <w:b/>
                <w:bCs/>
                <w:sz w:val="18"/>
                <w:szCs w:val="20"/>
                <w:rtl/>
              </w:rPr>
            </w:pPr>
            <w:r w:rsidRPr="00483F00">
              <w:rPr>
                <w:rFonts w:cs="FrankRuehl" w:hint="cs"/>
                <w:b/>
                <w:bCs/>
                <w:sz w:val="18"/>
                <w:szCs w:val="20"/>
                <w:rtl/>
              </w:rPr>
              <w:t>רווח נקי</w:t>
            </w:r>
          </w:p>
        </w:tc>
      </w:tr>
      <w:tr w:rsidTr="00922FB9">
        <w:tblPrEx>
          <w:tblW w:w="6691" w:type="dxa"/>
          <w:jc w:val="center"/>
          <w:tblLook w:val="01E0"/>
        </w:tblPrEx>
        <w:trPr>
          <w:jc w:val="center"/>
        </w:trPr>
        <w:tc>
          <w:tcPr>
            <w:tcW w:w="1025" w:type="dxa"/>
            <w:tcBorders>
              <w:top w:val="single" w:sz="12" w:space="0" w:color="auto"/>
            </w:tcBorders>
            <w:shd w:val="clear" w:color="auto" w:fill="auto"/>
          </w:tcPr>
          <w:p w:rsidR="000B385D" w:rsidRPr="005C354E" w:rsidP="005C354E">
            <w:pPr>
              <w:spacing w:before="40" w:after="40" w:line="220" w:lineRule="exact"/>
              <w:rPr>
                <w:rFonts w:cs="FrankRuehl"/>
                <w:sz w:val="18"/>
                <w:szCs w:val="20"/>
                <w:rtl/>
              </w:rPr>
            </w:pPr>
            <w:r w:rsidRPr="005C354E">
              <w:rPr>
                <w:rFonts w:cs="FrankRuehl" w:hint="cs"/>
                <w:sz w:val="18"/>
                <w:szCs w:val="20"/>
                <w:rtl/>
              </w:rPr>
              <w:t>2005</w:t>
            </w:r>
          </w:p>
        </w:tc>
        <w:tc>
          <w:tcPr>
            <w:tcW w:w="1149" w:type="dxa"/>
            <w:tcBorders>
              <w:top w:val="single" w:sz="12" w:space="0" w:color="auto"/>
            </w:tcBorders>
            <w:shd w:val="clear" w:color="auto" w:fill="auto"/>
          </w:tcPr>
          <w:p w:rsidR="000B385D" w:rsidRPr="005C354E" w:rsidP="005C354E">
            <w:pPr>
              <w:spacing w:before="40" w:after="40" w:line="220" w:lineRule="exact"/>
              <w:rPr>
                <w:rFonts w:cs="FrankRuehl"/>
                <w:sz w:val="18"/>
                <w:szCs w:val="20"/>
                <w:rtl/>
              </w:rPr>
            </w:pPr>
            <w:r w:rsidRPr="005C354E">
              <w:rPr>
                <w:rFonts w:cs="FrankRuehl" w:hint="cs"/>
                <w:sz w:val="18"/>
                <w:szCs w:val="20"/>
                <w:rtl/>
              </w:rPr>
              <w:t>11,845</w:t>
            </w:r>
          </w:p>
        </w:tc>
        <w:tc>
          <w:tcPr>
            <w:tcW w:w="1156" w:type="dxa"/>
            <w:tcBorders>
              <w:top w:val="single" w:sz="12" w:space="0" w:color="auto"/>
            </w:tcBorders>
            <w:shd w:val="clear" w:color="auto" w:fill="auto"/>
          </w:tcPr>
          <w:p w:rsidR="000B385D" w:rsidRPr="005C354E" w:rsidP="005C354E">
            <w:pPr>
              <w:spacing w:before="40" w:after="40" w:line="220" w:lineRule="exact"/>
              <w:rPr>
                <w:rFonts w:cs="FrankRuehl"/>
                <w:sz w:val="18"/>
                <w:szCs w:val="20"/>
                <w:rtl/>
              </w:rPr>
            </w:pPr>
            <w:r w:rsidRPr="005C354E">
              <w:rPr>
                <w:rFonts w:cs="FrankRuehl" w:hint="cs"/>
                <w:sz w:val="18"/>
                <w:szCs w:val="20"/>
                <w:rtl/>
              </w:rPr>
              <w:t>2,033</w:t>
            </w:r>
          </w:p>
        </w:tc>
        <w:tc>
          <w:tcPr>
            <w:tcW w:w="1458" w:type="dxa"/>
            <w:tcBorders>
              <w:top w:val="single" w:sz="12" w:space="0" w:color="auto"/>
            </w:tcBorders>
            <w:shd w:val="clear" w:color="auto" w:fill="auto"/>
          </w:tcPr>
          <w:p w:rsidR="000B385D" w:rsidRPr="005C354E" w:rsidP="005C354E">
            <w:pPr>
              <w:spacing w:before="40" w:after="40" w:line="220" w:lineRule="exact"/>
              <w:rPr>
                <w:rFonts w:cs="FrankRuehl"/>
                <w:sz w:val="18"/>
                <w:szCs w:val="20"/>
                <w:rtl/>
              </w:rPr>
            </w:pPr>
            <w:r w:rsidRPr="005C354E">
              <w:rPr>
                <w:rFonts w:cs="FrankRuehl" w:hint="cs"/>
                <w:sz w:val="18"/>
                <w:szCs w:val="20"/>
                <w:rtl/>
              </w:rPr>
              <w:t>851</w:t>
            </w:r>
          </w:p>
        </w:tc>
        <w:tc>
          <w:tcPr>
            <w:tcW w:w="1417" w:type="dxa"/>
            <w:tcBorders>
              <w:top w:val="single" w:sz="12" w:space="0" w:color="auto"/>
            </w:tcBorders>
            <w:shd w:val="clear" w:color="auto" w:fill="auto"/>
          </w:tcPr>
          <w:p w:rsidR="000B385D" w:rsidRPr="005C354E" w:rsidP="005C354E">
            <w:pPr>
              <w:spacing w:before="40" w:after="40" w:line="220" w:lineRule="exact"/>
              <w:rPr>
                <w:rFonts w:cs="FrankRuehl"/>
                <w:sz w:val="18"/>
                <w:szCs w:val="20"/>
                <w:rtl/>
              </w:rPr>
            </w:pPr>
            <w:r w:rsidRPr="005C354E">
              <w:rPr>
                <w:rFonts w:cs="FrankRuehl" w:hint="cs"/>
                <w:sz w:val="18"/>
                <w:szCs w:val="20"/>
                <w:rtl/>
              </w:rPr>
              <w:t>565</w:t>
            </w:r>
          </w:p>
        </w:tc>
      </w:tr>
      <w:tr w:rsidTr="00922FB9">
        <w:tblPrEx>
          <w:tblW w:w="6691" w:type="dxa"/>
          <w:jc w:val="center"/>
          <w:tblLook w:val="01E0"/>
        </w:tblPrEx>
        <w:trPr>
          <w:jc w:val="center"/>
        </w:trPr>
        <w:tc>
          <w:tcPr>
            <w:tcW w:w="1025" w:type="dxa"/>
            <w:shd w:val="clear" w:color="auto" w:fill="auto"/>
          </w:tcPr>
          <w:p w:rsidR="000B385D" w:rsidRPr="005C354E" w:rsidP="005C354E">
            <w:pPr>
              <w:spacing w:before="40" w:after="40" w:line="220" w:lineRule="exact"/>
              <w:rPr>
                <w:rFonts w:cs="FrankRuehl"/>
                <w:sz w:val="18"/>
                <w:szCs w:val="20"/>
                <w:rtl/>
              </w:rPr>
            </w:pPr>
            <w:r w:rsidRPr="005C354E">
              <w:rPr>
                <w:rFonts w:cs="FrankRuehl" w:hint="cs"/>
                <w:sz w:val="18"/>
                <w:szCs w:val="20"/>
                <w:rtl/>
              </w:rPr>
              <w:t>2006</w:t>
            </w:r>
          </w:p>
        </w:tc>
        <w:tc>
          <w:tcPr>
            <w:tcW w:w="1149" w:type="dxa"/>
            <w:shd w:val="clear" w:color="auto" w:fill="auto"/>
          </w:tcPr>
          <w:p w:rsidR="000B385D" w:rsidRPr="005C354E" w:rsidP="005C354E">
            <w:pPr>
              <w:spacing w:before="40" w:after="40" w:line="220" w:lineRule="exact"/>
              <w:rPr>
                <w:rFonts w:cs="FrankRuehl"/>
                <w:sz w:val="18"/>
                <w:szCs w:val="20"/>
                <w:rtl/>
              </w:rPr>
            </w:pPr>
            <w:r w:rsidRPr="005C354E">
              <w:rPr>
                <w:rFonts w:cs="FrankRuehl" w:hint="cs"/>
                <w:sz w:val="18"/>
                <w:szCs w:val="20"/>
                <w:rtl/>
              </w:rPr>
              <w:t>18,139</w:t>
            </w:r>
          </w:p>
        </w:tc>
        <w:tc>
          <w:tcPr>
            <w:tcW w:w="1156" w:type="dxa"/>
            <w:shd w:val="clear" w:color="auto" w:fill="auto"/>
          </w:tcPr>
          <w:p w:rsidR="000B385D" w:rsidRPr="005C354E" w:rsidP="005C354E">
            <w:pPr>
              <w:spacing w:before="40" w:after="40" w:line="220" w:lineRule="exact"/>
              <w:rPr>
                <w:rFonts w:cs="FrankRuehl"/>
                <w:sz w:val="18"/>
                <w:szCs w:val="20"/>
                <w:rtl/>
              </w:rPr>
            </w:pPr>
            <w:r w:rsidRPr="005C354E">
              <w:rPr>
                <w:rFonts w:cs="FrankRuehl" w:hint="cs"/>
                <w:sz w:val="18"/>
                <w:szCs w:val="20"/>
                <w:rtl/>
              </w:rPr>
              <w:t>6,135</w:t>
            </w:r>
          </w:p>
        </w:tc>
        <w:tc>
          <w:tcPr>
            <w:tcW w:w="1458" w:type="dxa"/>
            <w:shd w:val="clear" w:color="auto" w:fill="auto"/>
          </w:tcPr>
          <w:p w:rsidR="000B385D" w:rsidRPr="005C354E" w:rsidP="005C354E">
            <w:pPr>
              <w:spacing w:before="40" w:after="40" w:line="220" w:lineRule="exact"/>
              <w:rPr>
                <w:rFonts w:cs="FrankRuehl"/>
                <w:sz w:val="18"/>
                <w:szCs w:val="20"/>
                <w:rtl/>
              </w:rPr>
            </w:pPr>
            <w:r w:rsidRPr="005C354E">
              <w:rPr>
                <w:rFonts w:cs="FrankRuehl" w:hint="cs"/>
                <w:sz w:val="18"/>
                <w:szCs w:val="20"/>
                <w:rtl/>
              </w:rPr>
              <w:t>5,175</w:t>
            </w:r>
          </w:p>
        </w:tc>
        <w:tc>
          <w:tcPr>
            <w:tcW w:w="1417" w:type="dxa"/>
            <w:shd w:val="clear" w:color="auto" w:fill="auto"/>
          </w:tcPr>
          <w:p w:rsidR="000B385D" w:rsidRPr="00483F00" w:rsidP="00483F00">
            <w:pPr>
              <w:pStyle w:val="FootnoteText"/>
              <w:spacing w:before="40" w:after="40" w:line="220" w:lineRule="exact"/>
              <w:rPr>
                <w:rFonts w:cs="FrankRuehl"/>
                <w:sz w:val="18"/>
                <w:rtl/>
              </w:rPr>
            </w:pPr>
            <w:r w:rsidRPr="00483F00">
              <w:rPr>
                <w:rFonts w:cs="FrankRuehl" w:hint="cs"/>
                <w:sz w:val="18"/>
                <w:rtl/>
              </w:rPr>
              <w:t>3,585</w:t>
            </w:r>
          </w:p>
        </w:tc>
      </w:tr>
      <w:tr w:rsidTr="00922FB9">
        <w:tblPrEx>
          <w:tblW w:w="6691" w:type="dxa"/>
          <w:jc w:val="center"/>
          <w:tblLook w:val="01E0"/>
        </w:tblPrEx>
        <w:trPr>
          <w:jc w:val="center"/>
        </w:trPr>
        <w:tc>
          <w:tcPr>
            <w:tcW w:w="1025" w:type="dxa"/>
            <w:shd w:val="clear" w:color="auto" w:fill="auto"/>
          </w:tcPr>
          <w:p w:rsidR="000B385D" w:rsidRPr="005C354E" w:rsidP="005C354E">
            <w:pPr>
              <w:spacing w:before="40" w:after="40" w:line="220" w:lineRule="exact"/>
              <w:rPr>
                <w:rFonts w:cs="FrankRuehl"/>
                <w:sz w:val="18"/>
                <w:szCs w:val="20"/>
                <w:rtl/>
              </w:rPr>
            </w:pPr>
            <w:r w:rsidRPr="005C354E">
              <w:rPr>
                <w:rFonts w:cs="FrankRuehl" w:hint="cs"/>
                <w:sz w:val="18"/>
                <w:szCs w:val="20"/>
                <w:rtl/>
              </w:rPr>
              <w:t>2007</w:t>
            </w:r>
          </w:p>
        </w:tc>
        <w:tc>
          <w:tcPr>
            <w:tcW w:w="1149" w:type="dxa"/>
            <w:shd w:val="clear" w:color="auto" w:fill="auto"/>
          </w:tcPr>
          <w:p w:rsidR="000B385D" w:rsidRPr="005C354E" w:rsidP="005C354E">
            <w:pPr>
              <w:spacing w:before="40" w:after="40" w:line="220" w:lineRule="exact"/>
              <w:rPr>
                <w:rFonts w:cs="FrankRuehl"/>
                <w:sz w:val="18"/>
                <w:szCs w:val="20"/>
                <w:rtl/>
              </w:rPr>
            </w:pPr>
            <w:r w:rsidRPr="005C354E">
              <w:rPr>
                <w:rFonts w:cs="FrankRuehl" w:hint="cs"/>
                <w:sz w:val="18"/>
                <w:szCs w:val="20"/>
                <w:rtl/>
              </w:rPr>
              <w:t>21,247</w:t>
            </w:r>
          </w:p>
        </w:tc>
        <w:tc>
          <w:tcPr>
            <w:tcW w:w="1156" w:type="dxa"/>
            <w:shd w:val="clear" w:color="auto" w:fill="auto"/>
          </w:tcPr>
          <w:p w:rsidR="000B385D" w:rsidRPr="005C354E" w:rsidP="005C354E">
            <w:pPr>
              <w:spacing w:before="40" w:after="40" w:line="220" w:lineRule="exact"/>
              <w:rPr>
                <w:rFonts w:cs="FrankRuehl"/>
                <w:sz w:val="18"/>
                <w:szCs w:val="20"/>
                <w:rtl/>
              </w:rPr>
            </w:pPr>
            <w:r w:rsidRPr="005C354E">
              <w:rPr>
                <w:rFonts w:cs="FrankRuehl" w:hint="cs"/>
                <w:sz w:val="18"/>
                <w:szCs w:val="20"/>
                <w:rtl/>
              </w:rPr>
              <w:t>6,633</w:t>
            </w:r>
          </w:p>
        </w:tc>
        <w:tc>
          <w:tcPr>
            <w:tcW w:w="1458" w:type="dxa"/>
            <w:shd w:val="clear" w:color="auto" w:fill="auto"/>
          </w:tcPr>
          <w:p w:rsidR="000B385D" w:rsidRPr="005C354E" w:rsidP="005C354E">
            <w:pPr>
              <w:spacing w:before="40" w:after="40" w:line="220" w:lineRule="exact"/>
              <w:rPr>
                <w:rFonts w:cs="FrankRuehl"/>
                <w:sz w:val="18"/>
                <w:szCs w:val="20"/>
                <w:rtl/>
              </w:rPr>
            </w:pPr>
            <w:r w:rsidRPr="005C354E">
              <w:rPr>
                <w:rFonts w:cs="FrankRuehl" w:hint="cs"/>
                <w:sz w:val="18"/>
                <w:szCs w:val="20"/>
                <w:rtl/>
              </w:rPr>
              <w:t>5,192</w:t>
            </w:r>
          </w:p>
        </w:tc>
        <w:tc>
          <w:tcPr>
            <w:tcW w:w="1417" w:type="dxa"/>
            <w:shd w:val="clear" w:color="auto" w:fill="auto"/>
          </w:tcPr>
          <w:p w:rsidR="000B385D" w:rsidRPr="005C354E" w:rsidP="005C354E">
            <w:pPr>
              <w:spacing w:before="40" w:after="40" w:line="220" w:lineRule="exact"/>
              <w:rPr>
                <w:rFonts w:cs="FrankRuehl"/>
                <w:sz w:val="18"/>
                <w:szCs w:val="20"/>
                <w:rtl/>
              </w:rPr>
            </w:pPr>
            <w:r w:rsidRPr="005C354E">
              <w:rPr>
                <w:rFonts w:cs="FrankRuehl" w:hint="cs"/>
                <w:sz w:val="18"/>
                <w:szCs w:val="20"/>
                <w:rtl/>
              </w:rPr>
              <w:t>3,645(*)</w:t>
            </w:r>
          </w:p>
        </w:tc>
      </w:tr>
    </w:tbl>
    <w:p w:rsidR="000B385D" w:rsidRPr="00483F00" w:rsidP="00922FB9">
      <w:pPr>
        <w:spacing w:before="120" w:after="240" w:line="200" w:lineRule="exact"/>
        <w:ind w:left="397" w:hanging="397"/>
        <w:jc w:val="both"/>
        <w:rPr>
          <w:rFonts w:cs="FrankRuehl"/>
          <w:sz w:val="20"/>
          <w:szCs w:val="20"/>
          <w:rtl/>
        </w:rPr>
      </w:pPr>
      <w:r w:rsidRPr="00483F00">
        <w:rPr>
          <w:rFonts w:cs="FrankRuehl" w:hint="cs"/>
          <w:sz w:val="20"/>
          <w:szCs w:val="20"/>
          <w:rtl/>
        </w:rPr>
        <w:t xml:space="preserve">* </w:t>
      </w:r>
      <w:r w:rsidRPr="00483F00">
        <w:rPr>
          <w:rFonts w:cs="FrankRuehl" w:hint="cs"/>
          <w:sz w:val="20"/>
          <w:szCs w:val="20"/>
          <w:rtl/>
        </w:rPr>
        <w:tab/>
        <w:t>הרווח של החטיבה שדווח בשנת 2007 היה כ-2.</w:t>
      </w:r>
      <w:r w:rsidR="00922FB9">
        <w:rPr>
          <w:rFonts w:cs="FrankRuehl" w:hint="cs"/>
          <w:sz w:val="20"/>
          <w:szCs w:val="20"/>
          <w:rtl/>
        </w:rPr>
        <w:t>1</w:t>
      </w:r>
      <w:r w:rsidRPr="00483F00">
        <w:rPr>
          <w:rFonts w:cs="FrankRuehl" w:hint="cs"/>
          <w:sz w:val="20"/>
          <w:szCs w:val="20"/>
          <w:rtl/>
        </w:rPr>
        <w:t xml:space="preserve"> מיליון ש"ח. מהרווח הופחתה "השתתפות אחרים" בסך כ-2.2 מיליון ש"ח (ראו להלן), בנטרול 29% מס.</w:t>
      </w:r>
    </w:p>
    <w:p w:rsidR="000B385D" w:rsidRPr="00011A0E" w:rsidP="00483F00">
      <w:pPr>
        <w:spacing w:after="120" w:line="230" w:lineRule="exact"/>
        <w:ind w:left="340"/>
        <w:jc w:val="both"/>
        <w:rPr>
          <w:rFonts w:cs="FrankRuehl"/>
          <w:sz w:val="20"/>
          <w:szCs w:val="22"/>
          <w:rtl/>
        </w:rPr>
      </w:pPr>
      <w:r w:rsidRPr="00011A0E">
        <w:rPr>
          <w:rFonts w:cs="FrankRuehl" w:hint="cs"/>
          <w:sz w:val="20"/>
          <w:szCs w:val="22"/>
          <w:rtl/>
        </w:rPr>
        <w:t>מה</w:t>
      </w:r>
      <w:r w:rsidR="007441B9">
        <w:rPr>
          <w:rFonts w:cs="FrankRuehl" w:hint="cs"/>
          <w:sz w:val="20"/>
          <w:szCs w:val="22"/>
          <w:rtl/>
        </w:rPr>
        <w:t>לוח</w:t>
      </w:r>
      <w:r w:rsidRPr="00011A0E">
        <w:rPr>
          <w:rFonts w:cs="FrankRuehl" w:hint="cs"/>
          <w:sz w:val="20"/>
          <w:szCs w:val="22"/>
          <w:rtl/>
        </w:rPr>
        <w:t xml:space="preserve"> עולה, כי בתקופה שבין הערכת השווי לבין ההסכם השני עלו מכירות חטיבת הבטיחות </w:t>
      </w:r>
      <w:r w:rsidR="00483F00">
        <w:rPr>
          <w:rFonts w:cs="FrankRuehl"/>
          <w:sz w:val="20"/>
          <w:szCs w:val="22"/>
          <w:rtl/>
        </w:rPr>
        <w:br/>
      </w:r>
      <w:r w:rsidRPr="00011A0E">
        <w:rPr>
          <w:rFonts w:cs="FrankRuehl" w:hint="cs"/>
          <w:sz w:val="20"/>
          <w:szCs w:val="22"/>
          <w:rtl/>
        </w:rPr>
        <w:t xml:space="preserve">בכ-9.4 מיליון ש"ח, המהווים כ-79%. הרווח מפעולות רגילות של החטיבה עלה בכ-4.3 מיליון ש"ח, המהווים כ-510%. </w:t>
      </w:r>
    </w:p>
    <w:p w:rsidR="000B385D" w:rsidRPr="00011A0E" w:rsidP="00483F00">
      <w:pPr>
        <w:spacing w:after="240" w:line="230" w:lineRule="exact"/>
        <w:ind w:left="340"/>
        <w:jc w:val="both"/>
        <w:rPr>
          <w:rFonts w:cs="FrankRuehl"/>
          <w:sz w:val="20"/>
          <w:szCs w:val="22"/>
          <w:rtl/>
        </w:rPr>
      </w:pPr>
      <w:r w:rsidRPr="00011A0E">
        <w:rPr>
          <w:rFonts w:cs="FrankRuehl" w:hint="cs"/>
          <w:sz w:val="20"/>
          <w:szCs w:val="22"/>
          <w:rtl/>
        </w:rPr>
        <w:t>יצוין, כי שעה שביצועיה של יחידה עסקית משתפרים, היינו ניכרת עלייה במכירות וברווח, הרי שגם המוניטין שלה צפוי לעלות. אולם ב</w:t>
      </w:r>
      <w:r w:rsidR="007441B9">
        <w:rPr>
          <w:rFonts w:cs="FrankRuehl" w:hint="cs"/>
          <w:sz w:val="20"/>
          <w:szCs w:val="22"/>
          <w:rtl/>
        </w:rPr>
        <w:t>לוח</w:t>
      </w:r>
      <w:r w:rsidRPr="00011A0E">
        <w:rPr>
          <w:rFonts w:cs="FrankRuehl" w:hint="cs"/>
          <w:sz w:val="20"/>
          <w:szCs w:val="22"/>
          <w:rtl/>
        </w:rPr>
        <w:t xml:space="preserve"> דלעיל מוצגת תופעה הפוכה שאינה מתיישבת עם הכללים הכלכליים: על אף השיפור הניכר בביצועיה העסקיים של החטיבה לציוד בטיחות (עלייה של כ-79% במכירות ושל כ-510% ברווח מפעולות רגילות), ערך המוניטין שלה לא רק שלא עלה, אלא אף ירד בכ-6%.</w:t>
      </w:r>
    </w:p>
    <w:p w:rsidR="000B385D" w:rsidRPr="00011A0E" w:rsidP="00483F00">
      <w:pPr>
        <w:pStyle w:val="RESHET"/>
        <w:keepLines/>
        <w:ind w:left="567"/>
        <w:rPr>
          <w:rtl/>
        </w:rPr>
      </w:pPr>
      <w:r w:rsidRPr="00011A0E">
        <w:rPr>
          <w:rFonts w:hint="cs"/>
          <w:rtl/>
        </w:rPr>
        <w:t>מהביקורת ע</w:t>
      </w:r>
      <w:r w:rsidR="00D93664">
        <w:rPr>
          <w:rFonts w:hint="cs"/>
          <w:rtl/>
        </w:rPr>
        <w:t>ו</w:t>
      </w:r>
      <w:r w:rsidRPr="00011A0E">
        <w:rPr>
          <w:rFonts w:hint="cs"/>
          <w:rtl/>
        </w:rPr>
        <w:t>לה, כי שעה שביצועיה העסקיים של חטיבת ציוד הבטיחות עלו במאות אחוזים, ערך המוניטין הנמכר שלה ירד. משרד מבקר המדינה מעיר, כי קיים חשש שרותם מכרה את המוניטין של החטיבה לציוד בטיחות במחיר חסר.</w:t>
      </w:r>
    </w:p>
    <w:p w:rsidR="000B385D" w:rsidRPr="00011A0E" w:rsidP="00483F00">
      <w:pPr>
        <w:spacing w:before="180" w:after="240" w:line="230" w:lineRule="exact"/>
        <w:ind w:left="340" w:hanging="340"/>
        <w:jc w:val="both"/>
        <w:rPr>
          <w:rFonts w:cs="FrankRuehl"/>
          <w:sz w:val="20"/>
          <w:szCs w:val="22"/>
          <w:rtl/>
        </w:rPr>
      </w:pPr>
      <w:r>
        <w:rPr>
          <w:rFonts w:cs="FrankRuehl" w:hint="cs"/>
          <w:sz w:val="20"/>
          <w:szCs w:val="22"/>
          <w:rtl/>
        </w:rPr>
        <w:t>2.</w:t>
      </w:r>
      <w:r w:rsidRPr="00011A0E">
        <w:rPr>
          <w:rFonts w:cs="FrankRuehl" w:hint="cs"/>
          <w:sz w:val="20"/>
          <w:szCs w:val="22"/>
          <w:rtl/>
        </w:rPr>
        <w:t xml:space="preserve"> </w:t>
      </w:r>
      <w:r w:rsidRPr="00011A0E">
        <w:rPr>
          <w:rFonts w:cs="FrankRuehl" w:hint="cs"/>
          <w:sz w:val="20"/>
          <w:szCs w:val="22"/>
          <w:rtl/>
        </w:rPr>
        <w:tab/>
        <w:t>בישיבת הדירקטוריון של רותם מדצמבר 2007 נידון נושא חידוש חוזה המכירה של החטיבה לציוד בטיחות. בדיון ציין מנכ"ל רותם, כי "הסכום של המוניטין היה כתוב בדולרים, ואני ביקשתי שנישאר בערך שקלי של אז, אך לא ביקשתי לעדכן את המוניטין, שנקבע ל-800 [אלף דולר] במכירות של 15 מיליון [ש"ח], ועודכן למיליון דולר ע"ח מכירות 2006 (18 מיליון ש"ח). ב-2007 המכירות היו 22 מיליון [ש"ח] והיה, לכאורה, מקום להעלות את שווי המוניטין, אך מטעמי הגינות הצעתי שיישאר כפי שנקבע".</w:t>
      </w:r>
    </w:p>
    <w:p w:rsidR="000B385D" w:rsidRPr="00011A0E" w:rsidP="00483F00">
      <w:pPr>
        <w:pStyle w:val="RESHET"/>
        <w:keepLines/>
        <w:ind w:left="567"/>
        <w:rPr>
          <w:rtl/>
        </w:rPr>
      </w:pPr>
      <w:r w:rsidRPr="00011A0E">
        <w:rPr>
          <w:rFonts w:hint="cs"/>
          <w:rtl/>
        </w:rPr>
        <w:t xml:space="preserve">יצוין, כי משפג תוקפו של ההסכם הראשון, לרותם לא הייתה כל התחייבות חוזית כלפי הרוכשים לגבי קביעת מחיר המוניטין. </w:t>
      </w:r>
    </w:p>
    <w:p w:rsidR="000B385D" w:rsidRPr="00011A0E" w:rsidP="00483F00">
      <w:pPr>
        <w:pStyle w:val="RESHET"/>
        <w:keepLines/>
        <w:ind w:left="567"/>
        <w:rPr>
          <w:rtl/>
        </w:rPr>
      </w:pPr>
      <w:r w:rsidRPr="00011A0E">
        <w:rPr>
          <w:rFonts w:hint="cs"/>
          <w:rtl/>
        </w:rPr>
        <w:t>הערכת השווי שעל פיה נקבע ערך המוניטין בהסכם הראשון התבססה כאמור על ההנחה, כי הפעילות של חטיבת ציוד הבטיחות אינה צפויה לצמוח. משרד מבקר המדינה מעיר, כי משחלף הזמן ולמנכ"ל רותם ולדירקטוריון היה ידוע שהפעילות צמחה ורווחיותה גדלה, ומשפג תוקפו של ההסכם הראשון, היה עליהם להעריך מחדש את שווי החטיבה לפני חתימת חוזה מכירה חדש.</w:t>
      </w:r>
    </w:p>
    <w:p w:rsidR="000B385D" w:rsidRPr="00011A0E" w:rsidP="00483F00">
      <w:pPr>
        <w:pStyle w:val="RESHET"/>
        <w:keepLines/>
        <w:ind w:left="567"/>
        <w:rPr>
          <w:rtl/>
        </w:rPr>
      </w:pPr>
      <w:r w:rsidRPr="00011A0E">
        <w:rPr>
          <w:rFonts w:hint="cs"/>
          <w:rtl/>
        </w:rPr>
        <w:t xml:space="preserve">בביקורת עלה, כי בפני דירקטוריון רותם לא הוצגה תמונת השיפור בביצועים העסקיים של חטיבת ציוד הבטיחות במלואה. המשמעויות הכרוכות באי-עדכון סכום המוניטין והשפעתו על ערך הפעילות המעודכן לשנת 2007 לא הוסברו לדירקטוריון באופן שהיה מאפשר קבלת החלטה מיטבית. כמו כן, על אף שהעסקה מהותית והנושא עלה בישיבת הדירקטוריון, לא נמצא שהדירקטוריון דרש לקבל את תמונת המצב המלאה. </w:t>
      </w:r>
    </w:p>
    <w:p w:rsidR="000B385D" w:rsidRPr="00011A0E" w:rsidP="00483F00">
      <w:pPr>
        <w:pStyle w:val="RESHET"/>
        <w:keepLines/>
        <w:ind w:left="567"/>
        <w:rPr>
          <w:rtl/>
        </w:rPr>
      </w:pPr>
      <w:r w:rsidRPr="00011A0E">
        <w:rPr>
          <w:rFonts w:hint="cs"/>
          <w:rtl/>
        </w:rPr>
        <w:t>משרד מבקר המדינה מעיר, כי שינוי מהותי בתנאי העסקה מחייב הצגה מפורטת בדירקטוריון. משלא נעשה כך עולה החשש, כי החלטת הדירקטוריון בעניין התקבלה בלי שהיה לו מידע מספיק להסתמך עליו; עוד יוער, כי בעסקה מהותית מעין זו ראוי היה, כי הדירקטוריון יעמוד על כך שיובאו לידיעתו הפרטים המלאים בעניין העסקה, כדי שאלו יאפשרו לו לקבל, כאמור, החלטה מיטבית.</w:t>
      </w:r>
    </w:p>
    <w:p w:rsidR="000B385D" w:rsidRPr="00011A0E" w:rsidP="00483F00">
      <w:pPr>
        <w:spacing w:before="180" w:after="240" w:line="230" w:lineRule="exact"/>
        <w:ind w:left="340"/>
        <w:jc w:val="both"/>
        <w:rPr>
          <w:rFonts w:cs="FrankRuehl"/>
          <w:sz w:val="20"/>
          <w:szCs w:val="22"/>
          <w:rtl/>
        </w:rPr>
      </w:pPr>
      <w:r w:rsidRPr="00011A0E">
        <w:rPr>
          <w:rFonts w:cs="FrankRuehl" w:hint="cs"/>
          <w:sz w:val="20"/>
          <w:szCs w:val="22"/>
          <w:rtl/>
        </w:rPr>
        <w:t>בפגישה שנערכה בספטמבר 2012 בין עורך הביקורת לבין מנכ"ל רותם ציין המנכ"ל בעניין זה, כי "הסיבה להשארת המחיר הקודם הייתה שהיה מו"מ והסכמה עם הקונים לגבי המחיר. כל העיכוב נבע ממשיכת רגלים שלנו ולכן הצד השני לא היה נכון לפתוח את הנושא. שינינו את תאריך העסקה - מנע חלוקת רווחים [לרוכשת עבור 2006 ו-2007]- אבל לא שינינו את ערך החברה. היה באותה עת מצב מוזר בו הופרדה הפעילות אולם [זו] לא נמכרה בשל העיכוב של רשות החברות הממשלתיות".</w:t>
      </w:r>
    </w:p>
    <w:p w:rsidR="000B385D" w:rsidRPr="00011A0E" w:rsidP="00483F00">
      <w:pPr>
        <w:pStyle w:val="RESHET"/>
        <w:keepLines/>
        <w:ind w:left="567"/>
        <w:rPr>
          <w:rtl/>
        </w:rPr>
      </w:pPr>
      <w:r w:rsidRPr="00011A0E">
        <w:rPr>
          <w:rFonts w:hint="cs"/>
          <w:rtl/>
        </w:rPr>
        <w:t>לדעת משרד מבקר המדינה, היות שרותם לא הייתה כבולה בהסכם שקבע את מחיר החטיבה לציוד בטיחות, ראוי היה, כי המנכ"ל והדירקטוריון יעמדו על עדכון הערכת השווי וערך המוניטין של החטיבה לציוד בטיחות, כך שיתאימו למציאות ביום המכירה. משלא נעשה כך, ושווי הפעילות ליום המכירה לא הוערך מחדש, קיים חשש, כי רותם קיבלה תמורה לא הולמת בגין מכירת החטיבה לציוד בטיחות.</w:t>
      </w:r>
    </w:p>
    <w:p w:rsidR="000B385D" w:rsidRPr="00011A0E" w:rsidP="00483F00">
      <w:pPr>
        <w:spacing w:before="180" w:after="240" w:line="230" w:lineRule="exact"/>
        <w:ind w:left="340"/>
        <w:jc w:val="both"/>
        <w:rPr>
          <w:rFonts w:cs="FrankRuehl"/>
          <w:sz w:val="20"/>
          <w:szCs w:val="22"/>
          <w:rtl/>
        </w:rPr>
      </w:pPr>
      <w:r w:rsidRPr="00011A0E">
        <w:rPr>
          <w:rFonts w:cs="FrankRuehl" w:hint="cs"/>
          <w:sz w:val="20"/>
          <w:szCs w:val="22"/>
          <w:rtl/>
        </w:rPr>
        <w:t>בתגובת רותם צוין בעניין זה, כי "החברה אינה מקבלת את הקביעה כי החברה נמכרה במחיר חסר".</w:t>
      </w:r>
    </w:p>
    <w:p w:rsidR="000B385D" w:rsidRPr="00011A0E" w:rsidP="00483F00">
      <w:pPr>
        <w:pStyle w:val="RESHET"/>
        <w:keepLines/>
        <w:ind w:left="567"/>
        <w:rPr>
          <w:rtl/>
        </w:rPr>
      </w:pPr>
      <w:r w:rsidRPr="00011A0E">
        <w:rPr>
          <w:rFonts w:hint="cs"/>
          <w:rtl/>
        </w:rPr>
        <w:t xml:space="preserve">משרד מבקר המדינה מעיר, כי על רותם היה לבצע הערכת שווי לחטיבה לפני מועד המכירה וככל הניתן בסמוך לו, כדי להבטיח כי העסקה נעשית בערך הראוי; משלא נעשה כך בזמן אמת, לא הופרך הספק כי רותם קיבלה תמורה לא הולמת בגין מכירת החטיבה לציוד בטיחות. </w:t>
      </w:r>
    </w:p>
    <w:p w:rsidR="000B385D" w:rsidRPr="00011A0E" w:rsidP="000A18DB">
      <w:pPr>
        <w:spacing w:before="180" w:after="120" w:line="230" w:lineRule="exact"/>
        <w:ind w:left="340" w:hanging="340"/>
        <w:jc w:val="both"/>
        <w:rPr>
          <w:rFonts w:cs="FrankRuehl"/>
          <w:sz w:val="20"/>
          <w:szCs w:val="22"/>
          <w:rtl/>
        </w:rPr>
      </w:pPr>
      <w:r>
        <w:rPr>
          <w:rFonts w:cs="FrankRuehl" w:hint="cs"/>
          <w:sz w:val="20"/>
          <w:szCs w:val="22"/>
          <w:rtl/>
        </w:rPr>
        <w:t xml:space="preserve">3. </w:t>
      </w:r>
      <w:r w:rsidRPr="00011A0E">
        <w:rPr>
          <w:rFonts w:cs="FrankRuehl" w:hint="cs"/>
          <w:sz w:val="20"/>
          <w:szCs w:val="22"/>
          <w:rtl/>
        </w:rPr>
        <w:tab/>
        <w:t>זאת ועוד, בדצמבר 2007 נחתם הסכם בין משרד החקלאות לבין קמ"ג להקמת מרכז לשעת חירום (ראו להלן). פעילות זו הייתה אמורה להיות מנוהלת על ידי החטיבה לציוד בטיחות של רותם. משנמכרה פעילות החטיבה לרותם כחודש לאחר מכן, הועברה הפעילות לרותם בטיחות.</w:t>
      </w:r>
    </w:p>
    <w:p w:rsidR="000B385D" w:rsidRPr="00011A0E" w:rsidP="00483F00">
      <w:pPr>
        <w:spacing w:after="240" w:line="230" w:lineRule="exact"/>
        <w:ind w:left="340"/>
        <w:jc w:val="both"/>
        <w:rPr>
          <w:rFonts w:cs="FrankRuehl"/>
          <w:sz w:val="20"/>
          <w:szCs w:val="22"/>
          <w:rtl/>
        </w:rPr>
      </w:pPr>
      <w:r w:rsidRPr="00011A0E">
        <w:rPr>
          <w:rFonts w:cs="FrankRuehl" w:hint="cs"/>
          <w:sz w:val="20"/>
          <w:szCs w:val="22"/>
          <w:rtl/>
        </w:rPr>
        <w:t xml:space="preserve">הפעילות האמורה, שהחלה רק בשנת 2008, הגדילה את ערכה של החטיבה לציוד בטיחות. </w:t>
      </w:r>
    </w:p>
    <w:p w:rsidR="000B385D" w:rsidRPr="00011A0E" w:rsidP="00483F00">
      <w:pPr>
        <w:pStyle w:val="RESHET"/>
        <w:keepLines/>
        <w:ind w:left="567"/>
        <w:rPr>
          <w:rtl/>
        </w:rPr>
      </w:pPr>
      <w:r w:rsidRPr="00011A0E">
        <w:rPr>
          <w:rFonts w:hint="cs"/>
          <w:rtl/>
        </w:rPr>
        <w:t>משרד מבקר המדינה מעיר, כי היה על מנכ"ל רותם ועל הדירקטוריון לדרוש כי תיעשה הערכת שווי לעסקה שנחתמה עם משרד החקלאות, ולדרוש גם בגינה את הערך הראוי, דבר שלא נעשה, ובכך נגרם לרותם נזק כלכלי נוסף.</w:t>
      </w:r>
    </w:p>
    <w:p w:rsidR="000B385D" w:rsidRPr="00011A0E" w:rsidP="00B73C77">
      <w:pPr>
        <w:spacing w:after="120" w:line="230" w:lineRule="exact"/>
        <w:jc w:val="both"/>
        <w:rPr>
          <w:rFonts w:cs="FrankRuehl"/>
          <w:sz w:val="20"/>
          <w:szCs w:val="22"/>
          <w:rtl/>
        </w:rPr>
      </w:pPr>
    </w:p>
    <w:p w:rsidR="000B385D" w:rsidRPr="00590343" w:rsidP="00B73C77">
      <w:pPr>
        <w:pStyle w:val="KOT5"/>
        <w:rPr>
          <w:rtl/>
        </w:rPr>
      </w:pPr>
      <w:r w:rsidRPr="00590343">
        <w:rPr>
          <w:rFonts w:hint="cs"/>
          <w:rtl/>
        </w:rPr>
        <w:t>תשלום למנהל החטיבה עבור הרווחים בשנת 2006 ובשנת 2007</w:t>
      </w:r>
    </w:p>
    <w:p w:rsidR="000B385D" w:rsidRPr="00011A0E" w:rsidP="00B73C77">
      <w:pPr>
        <w:spacing w:after="120" w:line="230" w:lineRule="exact"/>
        <w:jc w:val="both"/>
        <w:rPr>
          <w:rFonts w:cs="FrankRuehl"/>
          <w:sz w:val="20"/>
          <w:szCs w:val="22"/>
          <w:rtl/>
        </w:rPr>
      </w:pPr>
      <w:r w:rsidRPr="00011A0E">
        <w:rPr>
          <w:rFonts w:cs="FrankRuehl" w:hint="cs"/>
          <w:sz w:val="20"/>
          <w:szCs w:val="22"/>
          <w:rtl/>
        </w:rPr>
        <w:t xml:space="preserve">מנהל החטיבה לציוד הבטיחות ברותם היה עובד הקמ"ג עד 31.12.06. החל מ-1.1.07 הוא שהה בחופשה ללא תשלום מקמ"ג והועסק ברותם כמנהל החטיבה בחוזה ייעוץ קבלני (להלן </w:t>
      </w:r>
      <w:r w:rsidRPr="00011A0E">
        <w:rPr>
          <w:rFonts w:cs="FrankRuehl"/>
          <w:sz w:val="20"/>
          <w:szCs w:val="22"/>
          <w:rtl/>
        </w:rPr>
        <w:t>-</w:t>
      </w:r>
      <w:r w:rsidRPr="00011A0E">
        <w:rPr>
          <w:rFonts w:cs="FrankRuehl" w:hint="cs"/>
          <w:sz w:val="20"/>
          <w:szCs w:val="22"/>
          <w:rtl/>
        </w:rPr>
        <w:t xml:space="preserve"> הסכם הייעוץ). הסכם הייעוץ נחתם בין רותם לבין חברה א' שבבעלותו של המנהל.</w:t>
      </w:r>
    </w:p>
    <w:p w:rsidR="000B385D" w:rsidRPr="00011A0E" w:rsidP="00B73C77">
      <w:pPr>
        <w:spacing w:after="120" w:line="230" w:lineRule="exact"/>
        <w:jc w:val="both"/>
        <w:rPr>
          <w:rFonts w:cs="FrankRuehl"/>
          <w:sz w:val="20"/>
          <w:szCs w:val="22"/>
          <w:rtl/>
        </w:rPr>
      </w:pPr>
      <w:r w:rsidRPr="00011A0E">
        <w:rPr>
          <w:rFonts w:cs="FrankRuehl" w:hint="cs"/>
          <w:sz w:val="20"/>
          <w:szCs w:val="22"/>
          <w:rtl/>
        </w:rPr>
        <w:t>בהסכם הייעוץ נקבעו התמורה שלה זכאי מנהל החטיבה בגין שירותי הייעוץ, וכן זכאותו לרכב, טלפון, טלפון נייד, הוצאות נסיעה ואש"ל. בהסכם הייעוץ נקבע, כי "הסכומים לעיל מהווים תמורה מלאה בעד השירותים שהיועץ [מנהל החטיבה] מקבל על עצמו לפי חוזה זה... עם קבלת תמורה זו לא תהיה ליועץ כל תביעה נוספת לפי החוזה או בקשר אליו לפי כל דין".</w:t>
      </w:r>
    </w:p>
    <w:p w:rsidR="000B385D" w:rsidRPr="00011A0E" w:rsidP="00B73C77">
      <w:pPr>
        <w:spacing w:after="120" w:line="230" w:lineRule="exact"/>
        <w:jc w:val="both"/>
        <w:rPr>
          <w:rFonts w:cs="FrankRuehl"/>
          <w:sz w:val="20"/>
          <w:szCs w:val="22"/>
          <w:rtl/>
        </w:rPr>
      </w:pPr>
      <w:r w:rsidRPr="00011A0E">
        <w:rPr>
          <w:rFonts w:cs="FrankRuehl" w:hint="cs"/>
          <w:sz w:val="20"/>
          <w:szCs w:val="22"/>
          <w:rtl/>
        </w:rPr>
        <w:t xml:space="preserve">כאמור, ההסכם השני למכירת החטיבה לציוד בטיחות הקנה למנהל החטיבה, באמצעות חברה א', החזקה של 20% במניות רותם בטיחות החל משנת 2008. מכירת החלק בפעילות החטיבה לציוד בטיחות למנהל החטיבה נעשתה לאחר שהיא הובאה ביולי 2007 לבחינת המשנה ליועץ המשפטי לממשלה (כלכלי-פיסקלי). </w:t>
      </w:r>
    </w:p>
    <w:p w:rsidR="000B385D" w:rsidRPr="00011A0E" w:rsidP="00B73C77">
      <w:pPr>
        <w:spacing w:after="120" w:line="230" w:lineRule="exact"/>
        <w:jc w:val="both"/>
        <w:rPr>
          <w:rFonts w:cs="FrankRuehl"/>
          <w:sz w:val="20"/>
          <w:szCs w:val="22"/>
          <w:rtl/>
        </w:rPr>
      </w:pPr>
      <w:r w:rsidRPr="00011A0E">
        <w:rPr>
          <w:rFonts w:cs="FrankRuehl" w:hint="cs"/>
          <w:sz w:val="20"/>
          <w:szCs w:val="22"/>
          <w:rtl/>
        </w:rPr>
        <w:t>עם זאת, מהביקורת עולה, כי מנהל החטיבה תבע לקבל 20% מרווחי החטיבה לציוד בטיחות לשנים 2006 ו-2007. סכומים אלה הסתכמו בכ-2.2 מיליון ש"ח. תביעה זו לא הובאה להתייחסות המשנה ליועץ המשפטי לממשלה.</w:t>
      </w:r>
    </w:p>
    <w:p w:rsidR="000B385D" w:rsidRPr="00011A0E" w:rsidP="00B73C77">
      <w:pPr>
        <w:spacing w:after="120" w:line="230" w:lineRule="exact"/>
        <w:jc w:val="both"/>
        <w:rPr>
          <w:rFonts w:cs="FrankRuehl"/>
          <w:sz w:val="20"/>
          <w:szCs w:val="22"/>
          <w:rtl/>
        </w:rPr>
      </w:pPr>
      <w:r w:rsidRPr="00011A0E">
        <w:rPr>
          <w:rFonts w:cs="FrankRuehl" w:hint="cs"/>
          <w:sz w:val="20"/>
          <w:szCs w:val="22"/>
          <w:rtl/>
        </w:rPr>
        <w:t xml:space="preserve">בישיבת הדירקטוריון מדצמבר 2007 נדון, כאמור, נושא חתימת ההסכם השני עם הרוכשים. באותה עת נדונו גם דרישותיו של מנהל החטיבה, כלהלן: </w:t>
      </w:r>
    </w:p>
    <w:p w:rsidR="000B385D" w:rsidRPr="00011A0E" w:rsidP="00B73C77">
      <w:pPr>
        <w:spacing w:after="120" w:line="230" w:lineRule="exact"/>
        <w:ind w:left="567"/>
        <w:jc w:val="both"/>
        <w:rPr>
          <w:rFonts w:cs="FrankRuehl"/>
          <w:sz w:val="20"/>
          <w:szCs w:val="22"/>
          <w:rtl/>
        </w:rPr>
      </w:pPr>
      <w:r w:rsidRPr="00011A0E">
        <w:rPr>
          <w:rFonts w:cs="FrankRuehl" w:hint="cs"/>
          <w:sz w:val="20"/>
          <w:szCs w:val="22"/>
          <w:rtl/>
        </w:rPr>
        <w:t xml:space="preserve">מנכ"ל רותם: "לדעתי קיים הבדל בין [מנהל החטיבה] לבין [הרוכשת]: הואיל והוא יצא לחל"ת לצורך הפעילות, וקיבלנו אישור משרד המשפטים, לכן ראיתי בזה הסכם [הכוונה להסכם הראשון] </w:t>
      </w:r>
      <w:r w:rsidRPr="00922FB9">
        <w:rPr>
          <w:rFonts w:cs="FrankRuehl" w:hint="cs"/>
          <w:sz w:val="20"/>
          <w:szCs w:val="22"/>
          <w:u w:val="single"/>
          <w:rtl/>
        </w:rPr>
        <w:t>שמתקיים</w:t>
      </w:r>
      <w:r w:rsidRPr="00011A0E">
        <w:rPr>
          <w:rFonts w:cs="FrankRuehl" w:hint="cs"/>
          <w:sz w:val="20"/>
          <w:szCs w:val="22"/>
          <w:rtl/>
        </w:rPr>
        <w:t xml:space="preserve"> (ההדגשה במקור)".</w:t>
      </w:r>
    </w:p>
    <w:p w:rsidR="000B385D" w:rsidRPr="00011A0E" w:rsidP="00B73C77">
      <w:pPr>
        <w:spacing w:after="120" w:line="230" w:lineRule="exact"/>
        <w:ind w:left="567"/>
        <w:jc w:val="both"/>
        <w:rPr>
          <w:rFonts w:cs="FrankRuehl"/>
          <w:sz w:val="20"/>
          <w:szCs w:val="22"/>
          <w:rtl/>
        </w:rPr>
      </w:pPr>
      <w:r w:rsidRPr="00011A0E">
        <w:rPr>
          <w:rFonts w:cs="FrankRuehl" w:hint="cs"/>
          <w:sz w:val="20"/>
          <w:szCs w:val="22"/>
          <w:rtl/>
        </w:rPr>
        <w:t>...</w:t>
      </w:r>
    </w:p>
    <w:p w:rsidR="000B385D" w:rsidRPr="00011A0E" w:rsidP="00B73C77">
      <w:pPr>
        <w:spacing w:after="120" w:line="230" w:lineRule="exact"/>
        <w:ind w:left="567"/>
        <w:jc w:val="both"/>
        <w:rPr>
          <w:rFonts w:cs="FrankRuehl"/>
          <w:sz w:val="20"/>
          <w:szCs w:val="22"/>
          <w:rtl/>
        </w:rPr>
      </w:pPr>
      <w:r w:rsidRPr="00011A0E">
        <w:rPr>
          <w:rFonts w:cs="FrankRuehl" w:hint="cs"/>
          <w:sz w:val="20"/>
          <w:szCs w:val="22"/>
          <w:rtl/>
        </w:rPr>
        <w:t>דירקטור א': "אתה מציע לתגמל את [מנהל החטיבה] על סמך הציפיות שלו? מה הוא השקיע עד היום?"</w:t>
      </w:r>
    </w:p>
    <w:p w:rsidR="000B385D" w:rsidRPr="00011A0E" w:rsidP="00B73C77">
      <w:pPr>
        <w:spacing w:after="120" w:line="230" w:lineRule="exact"/>
        <w:ind w:left="567"/>
        <w:jc w:val="both"/>
        <w:rPr>
          <w:rFonts w:cs="FrankRuehl"/>
          <w:sz w:val="20"/>
          <w:szCs w:val="22"/>
          <w:rtl/>
        </w:rPr>
      </w:pPr>
      <w:r w:rsidRPr="00011A0E">
        <w:rPr>
          <w:rFonts w:cs="FrankRuehl" w:hint="cs"/>
          <w:sz w:val="20"/>
          <w:szCs w:val="22"/>
          <w:rtl/>
        </w:rPr>
        <w:t xml:space="preserve">מנכ"ל רותם: "הייתה הבנה, שהואיל ויש רווחים בחברה והוא צריך להשקיע </w:t>
      </w:r>
      <w:r w:rsidRPr="00011A0E">
        <w:rPr>
          <w:rFonts w:cs="FrankRuehl"/>
          <w:sz w:val="20"/>
          <w:szCs w:val="22"/>
          <w:rtl/>
        </w:rPr>
        <w:t>-</w:t>
      </w:r>
      <w:r w:rsidRPr="00011A0E">
        <w:rPr>
          <w:rFonts w:cs="FrankRuehl" w:hint="cs"/>
          <w:sz w:val="20"/>
          <w:szCs w:val="22"/>
          <w:rtl/>
        </w:rPr>
        <w:t xml:space="preserve"> ייווצר קיזוז בפועל".</w:t>
      </w:r>
    </w:p>
    <w:p w:rsidR="000B385D" w:rsidRPr="00011A0E" w:rsidP="00B73C77">
      <w:pPr>
        <w:spacing w:after="120" w:line="230" w:lineRule="exact"/>
        <w:ind w:left="567"/>
        <w:jc w:val="both"/>
        <w:rPr>
          <w:rFonts w:cs="FrankRuehl"/>
          <w:sz w:val="20"/>
          <w:szCs w:val="22"/>
          <w:rtl/>
        </w:rPr>
      </w:pPr>
      <w:r w:rsidRPr="00011A0E">
        <w:rPr>
          <w:rFonts w:cs="FrankRuehl" w:hint="cs"/>
          <w:sz w:val="20"/>
          <w:szCs w:val="22"/>
          <w:rtl/>
        </w:rPr>
        <w:t>דירקטור א': "אתה מציע שניתן לו רווחים מינואר 2006?".</w:t>
      </w:r>
    </w:p>
    <w:p w:rsidR="000B385D" w:rsidRPr="00011A0E" w:rsidP="00B73C77">
      <w:pPr>
        <w:spacing w:after="120" w:line="230" w:lineRule="exact"/>
        <w:ind w:left="567"/>
        <w:jc w:val="both"/>
        <w:rPr>
          <w:rFonts w:cs="FrankRuehl"/>
          <w:sz w:val="20"/>
          <w:szCs w:val="22"/>
          <w:rtl/>
        </w:rPr>
      </w:pPr>
      <w:r w:rsidRPr="00011A0E">
        <w:rPr>
          <w:rFonts w:cs="FrankRuehl" w:hint="cs"/>
          <w:sz w:val="20"/>
          <w:szCs w:val="22"/>
          <w:rtl/>
        </w:rPr>
        <w:t>מנכ"ל רותם: "[מנהל החטיבה] רצה לפרוש והסכים להישאר כנגד התנאים שהוצעו לו".</w:t>
      </w:r>
    </w:p>
    <w:p w:rsidR="000B385D" w:rsidRPr="00011A0E" w:rsidP="00B73C77">
      <w:pPr>
        <w:spacing w:after="120" w:line="230" w:lineRule="exact"/>
        <w:ind w:left="567"/>
        <w:jc w:val="both"/>
        <w:rPr>
          <w:rFonts w:cs="FrankRuehl"/>
          <w:sz w:val="20"/>
          <w:szCs w:val="22"/>
          <w:rtl/>
        </w:rPr>
      </w:pPr>
      <w:r w:rsidRPr="00011A0E">
        <w:rPr>
          <w:rFonts w:cs="FrankRuehl" w:hint="cs"/>
          <w:sz w:val="20"/>
          <w:szCs w:val="22"/>
          <w:rtl/>
        </w:rPr>
        <w:t>דירקטור א': "אז אין הבדל בין [הרוכשת] לבין [מנהל החטיבה]".</w:t>
      </w:r>
    </w:p>
    <w:p w:rsidR="000B385D" w:rsidRPr="00011A0E" w:rsidP="00B73C77">
      <w:pPr>
        <w:spacing w:after="120" w:line="230" w:lineRule="exact"/>
        <w:ind w:left="567"/>
        <w:jc w:val="both"/>
        <w:rPr>
          <w:rFonts w:cs="FrankRuehl"/>
          <w:sz w:val="20"/>
          <w:szCs w:val="22"/>
          <w:rtl/>
        </w:rPr>
      </w:pPr>
      <w:r w:rsidRPr="00011A0E">
        <w:rPr>
          <w:rFonts w:cs="FrankRuehl" w:hint="cs"/>
          <w:sz w:val="20"/>
          <w:szCs w:val="22"/>
          <w:rtl/>
        </w:rPr>
        <w:t xml:space="preserve">מנכ"ל רותם: "יש הבדל </w:t>
      </w:r>
      <w:r w:rsidRPr="00011A0E">
        <w:rPr>
          <w:rFonts w:cs="FrankRuehl"/>
          <w:sz w:val="20"/>
          <w:szCs w:val="22"/>
          <w:rtl/>
        </w:rPr>
        <w:t>-</w:t>
      </w:r>
      <w:r w:rsidRPr="00011A0E">
        <w:rPr>
          <w:rFonts w:cs="FrankRuehl" w:hint="cs"/>
          <w:sz w:val="20"/>
          <w:szCs w:val="22"/>
          <w:rtl/>
        </w:rPr>
        <w:t xml:space="preserve"> [הרוכשת] הכניס[ה] סעיף ביטול החוזה ב-31/5/07, [מנהל החטיבה] המשיך לעבוד".</w:t>
      </w:r>
    </w:p>
    <w:p w:rsidR="000B385D" w:rsidRPr="00011A0E" w:rsidP="00B73C77">
      <w:pPr>
        <w:spacing w:after="120" w:line="230" w:lineRule="exact"/>
        <w:ind w:left="567"/>
        <w:jc w:val="both"/>
        <w:rPr>
          <w:rFonts w:cs="FrankRuehl"/>
          <w:sz w:val="20"/>
          <w:szCs w:val="22"/>
          <w:rtl/>
        </w:rPr>
      </w:pPr>
      <w:r w:rsidRPr="00011A0E">
        <w:rPr>
          <w:rFonts w:cs="FrankRuehl" w:hint="cs"/>
          <w:sz w:val="20"/>
          <w:szCs w:val="22"/>
          <w:rtl/>
        </w:rPr>
        <w:t>דירקטור ב': "התנגדתי אז לתנאי העסקה, אני מסכים ש[מנהל החטיבה] יזם ומגיע לו, אני רק חולק על הביצוע: [מנהל החטיבה] ישלם לפי ערך 2006 ויקבל נכס בשווי 2008".</w:t>
      </w:r>
    </w:p>
    <w:p w:rsidR="000B385D" w:rsidRPr="00011A0E" w:rsidP="00B73C77">
      <w:pPr>
        <w:spacing w:after="120" w:line="230" w:lineRule="exact"/>
        <w:ind w:left="567"/>
        <w:jc w:val="both"/>
        <w:rPr>
          <w:rFonts w:cs="FrankRuehl"/>
          <w:sz w:val="20"/>
          <w:szCs w:val="22"/>
          <w:rtl/>
        </w:rPr>
      </w:pPr>
      <w:r w:rsidRPr="00011A0E">
        <w:rPr>
          <w:rFonts w:cs="FrankRuehl" w:hint="cs"/>
          <w:sz w:val="20"/>
          <w:szCs w:val="22"/>
          <w:rtl/>
        </w:rPr>
        <w:t>מזכיר החברה והיועץ המשפטי: "ב-2006 [מנהל החטיבה] היה עדיין עובד קמ"ג ולכן לדעתי אין מקום לשותפות ברווחים".</w:t>
      </w:r>
    </w:p>
    <w:p w:rsidR="000B385D" w:rsidRPr="00011A0E" w:rsidP="00B73C77">
      <w:pPr>
        <w:spacing w:after="120" w:line="230" w:lineRule="exact"/>
        <w:ind w:left="567"/>
        <w:jc w:val="both"/>
        <w:rPr>
          <w:rFonts w:cs="FrankRuehl"/>
          <w:sz w:val="20"/>
          <w:szCs w:val="22"/>
          <w:rtl/>
        </w:rPr>
      </w:pPr>
      <w:r w:rsidRPr="00011A0E">
        <w:rPr>
          <w:rFonts w:cs="FrankRuehl" w:hint="cs"/>
          <w:sz w:val="20"/>
          <w:szCs w:val="22"/>
          <w:rtl/>
        </w:rPr>
        <w:t xml:space="preserve">מנכ"ל רותם: "הרווחים, על-פי החלטת הדירקטוריון ואז בהסכם, יועדו לחברה שתקום </w:t>
      </w:r>
      <w:r w:rsidRPr="00011A0E">
        <w:rPr>
          <w:rFonts w:cs="FrankRuehl"/>
          <w:sz w:val="20"/>
          <w:szCs w:val="22"/>
          <w:rtl/>
        </w:rPr>
        <w:t>-</w:t>
      </w:r>
      <w:r w:rsidRPr="00011A0E">
        <w:rPr>
          <w:rFonts w:cs="FrankRuehl" w:hint="cs"/>
          <w:sz w:val="20"/>
          <w:szCs w:val="22"/>
          <w:rtl/>
        </w:rPr>
        <w:t xml:space="preserve"> לא ל[מנהל החטיבה]".</w:t>
      </w:r>
    </w:p>
    <w:p w:rsidR="000B385D" w:rsidRPr="00011A0E" w:rsidP="00B73C77">
      <w:pPr>
        <w:spacing w:after="120" w:line="230" w:lineRule="exact"/>
        <w:ind w:left="567"/>
        <w:jc w:val="both"/>
        <w:rPr>
          <w:rFonts w:cs="FrankRuehl"/>
          <w:sz w:val="20"/>
          <w:szCs w:val="22"/>
          <w:rtl/>
        </w:rPr>
      </w:pPr>
      <w:r w:rsidRPr="00011A0E">
        <w:rPr>
          <w:rFonts w:cs="FrankRuehl" w:hint="cs"/>
          <w:sz w:val="20"/>
          <w:szCs w:val="22"/>
          <w:rtl/>
        </w:rPr>
        <w:t>...</w:t>
      </w:r>
    </w:p>
    <w:p w:rsidR="000B385D" w:rsidRPr="00011A0E" w:rsidP="00B73C77">
      <w:pPr>
        <w:spacing w:after="120" w:line="230" w:lineRule="exact"/>
        <w:ind w:left="567"/>
        <w:jc w:val="both"/>
        <w:rPr>
          <w:rFonts w:cs="FrankRuehl"/>
          <w:sz w:val="20"/>
          <w:szCs w:val="22"/>
          <w:rtl/>
        </w:rPr>
      </w:pPr>
      <w:r w:rsidRPr="00011A0E">
        <w:rPr>
          <w:rFonts w:cs="FrankRuehl" w:hint="cs"/>
          <w:sz w:val="20"/>
          <w:szCs w:val="22"/>
          <w:rtl/>
        </w:rPr>
        <w:t>מנכ"ל רותם: " להערכתי, אם לא נאשר ל[מנהל החטיבה] את הרווחים מ-2006, הוא יעזוב את החברה!".</w:t>
      </w:r>
    </w:p>
    <w:p w:rsidR="000B385D" w:rsidRPr="00011A0E" w:rsidP="00B73C77">
      <w:pPr>
        <w:spacing w:after="120" w:line="230" w:lineRule="exact"/>
        <w:ind w:left="567"/>
        <w:jc w:val="both"/>
        <w:rPr>
          <w:rFonts w:cs="FrankRuehl"/>
          <w:sz w:val="20"/>
          <w:szCs w:val="22"/>
          <w:rtl/>
        </w:rPr>
      </w:pPr>
      <w:r w:rsidRPr="00011A0E">
        <w:rPr>
          <w:rFonts w:cs="FrankRuehl" w:hint="cs"/>
          <w:sz w:val="20"/>
          <w:szCs w:val="22"/>
          <w:rtl/>
        </w:rPr>
        <w:t xml:space="preserve">דירקטור א': "כל הבעייתיות נובעת מכך שהחברה לא קמה </w:t>
      </w:r>
      <w:r w:rsidRPr="00011A0E">
        <w:rPr>
          <w:rFonts w:cs="FrankRuehl"/>
          <w:sz w:val="20"/>
          <w:szCs w:val="22"/>
          <w:rtl/>
        </w:rPr>
        <w:t>-</w:t>
      </w:r>
      <w:r w:rsidRPr="00011A0E">
        <w:rPr>
          <w:rFonts w:cs="FrankRuehl" w:hint="cs"/>
          <w:sz w:val="20"/>
          <w:szCs w:val="22"/>
          <w:rtl/>
        </w:rPr>
        <w:t xml:space="preserve"> לכן חשוב שהחברה תקום. צריך לעשות הסכמים חדשים גם עם [הרוכשת] וגם עם [מנהל החטיבה] בהתאם למה שמקובל עלינו. אם הופר ההסכם עם [מנהל החטיבה] </w:t>
      </w:r>
      <w:r w:rsidRPr="00011A0E">
        <w:rPr>
          <w:rFonts w:cs="FrankRuehl"/>
          <w:sz w:val="20"/>
          <w:szCs w:val="22"/>
          <w:rtl/>
        </w:rPr>
        <w:t>-</w:t>
      </w:r>
      <w:r w:rsidRPr="00011A0E">
        <w:rPr>
          <w:rFonts w:cs="FrankRuehl" w:hint="cs"/>
          <w:sz w:val="20"/>
          <w:szCs w:val="22"/>
          <w:rtl/>
        </w:rPr>
        <w:t xml:space="preserve"> נפצה אותו על-פי דיני החוזים או הנזיקין: לא בונוסים ולא משהו אחר".</w:t>
      </w:r>
    </w:p>
    <w:p w:rsidR="000B385D" w:rsidRPr="00011A0E" w:rsidP="00B73C77">
      <w:pPr>
        <w:spacing w:after="120" w:line="230" w:lineRule="exact"/>
        <w:ind w:left="567"/>
        <w:jc w:val="both"/>
        <w:rPr>
          <w:rFonts w:cs="FrankRuehl"/>
          <w:sz w:val="20"/>
          <w:szCs w:val="22"/>
          <w:rtl/>
        </w:rPr>
      </w:pPr>
      <w:r w:rsidRPr="00011A0E">
        <w:rPr>
          <w:rFonts w:cs="FrankRuehl" w:hint="cs"/>
          <w:sz w:val="20"/>
          <w:szCs w:val="22"/>
          <w:rtl/>
        </w:rPr>
        <w:t xml:space="preserve">נציג וא"א: "גם במצב החדש יהיה הסכם עם שני הצדדים. כדאי להגיע להסכם חדש </w:t>
      </w:r>
      <w:r w:rsidRPr="00011A0E">
        <w:rPr>
          <w:rFonts w:cs="FrankRuehl"/>
          <w:sz w:val="20"/>
          <w:szCs w:val="22"/>
          <w:rtl/>
        </w:rPr>
        <w:t>-</w:t>
      </w:r>
      <w:r w:rsidRPr="00011A0E">
        <w:rPr>
          <w:rFonts w:cs="FrankRuehl" w:hint="cs"/>
          <w:sz w:val="20"/>
          <w:szCs w:val="22"/>
          <w:rtl/>
        </w:rPr>
        <w:t xml:space="preserve"> זהה עם [הרוכשת] ועם [מנהל החטיבה], ולגשר על תקופת הפער עם [מנהל החטיבה] בהסכם נפרד".</w:t>
      </w:r>
    </w:p>
    <w:p w:rsidR="000B385D" w:rsidRPr="00011A0E" w:rsidP="00B73C77">
      <w:pPr>
        <w:spacing w:after="120" w:line="230" w:lineRule="exact"/>
        <w:ind w:left="567"/>
        <w:jc w:val="both"/>
        <w:rPr>
          <w:rFonts w:cs="FrankRuehl"/>
          <w:sz w:val="20"/>
          <w:szCs w:val="22"/>
          <w:rtl/>
        </w:rPr>
      </w:pPr>
      <w:r w:rsidRPr="00011A0E">
        <w:rPr>
          <w:rFonts w:cs="FrankRuehl" w:hint="cs"/>
          <w:sz w:val="20"/>
          <w:szCs w:val="22"/>
          <w:rtl/>
        </w:rPr>
        <w:t>...</w:t>
      </w:r>
    </w:p>
    <w:p w:rsidR="000B385D" w:rsidRPr="00011A0E" w:rsidP="00B73C77">
      <w:pPr>
        <w:spacing w:after="120" w:line="230" w:lineRule="exact"/>
        <w:ind w:left="567"/>
        <w:jc w:val="both"/>
        <w:rPr>
          <w:rFonts w:cs="FrankRuehl"/>
          <w:sz w:val="20"/>
          <w:szCs w:val="22"/>
          <w:rtl/>
        </w:rPr>
      </w:pPr>
      <w:r w:rsidRPr="00011A0E">
        <w:rPr>
          <w:rFonts w:cs="FrankRuehl" w:hint="cs"/>
          <w:sz w:val="20"/>
          <w:szCs w:val="22"/>
          <w:rtl/>
        </w:rPr>
        <w:t>יו"ר הדירקטוריון: "מסכם: לגבי [מנהל החטיבה] ננקוט באמצעים שיהיו קרובים ככל האפשר להסכם המקורי. צריך בכל מקרה לחתום על התקשרות חדשה, הכל בכפוף להחלטת ועדת השרים...".</w:t>
      </w:r>
    </w:p>
    <w:p w:rsidR="000B385D" w:rsidRPr="00011A0E" w:rsidP="00B73C77">
      <w:pPr>
        <w:spacing w:after="120" w:line="230" w:lineRule="exact"/>
        <w:ind w:left="567"/>
        <w:jc w:val="both"/>
        <w:rPr>
          <w:rFonts w:cs="FrankRuehl"/>
          <w:sz w:val="20"/>
          <w:szCs w:val="22"/>
          <w:rtl/>
        </w:rPr>
      </w:pPr>
      <w:r w:rsidRPr="00011A0E">
        <w:rPr>
          <w:rFonts w:cs="FrankRuehl" w:hint="cs"/>
          <w:sz w:val="20"/>
          <w:szCs w:val="22"/>
          <w:rtl/>
        </w:rPr>
        <w:t>בישיבה הוחלט, כי "מקבלים את סיכום [יו"ר הדירקטוריון]".</w:t>
      </w:r>
    </w:p>
    <w:p w:rsidR="000B385D" w:rsidRPr="00011A0E" w:rsidP="00B73C77">
      <w:pPr>
        <w:spacing w:after="120" w:line="230" w:lineRule="exact"/>
        <w:jc w:val="both"/>
        <w:rPr>
          <w:rFonts w:cs="FrankRuehl"/>
          <w:sz w:val="20"/>
          <w:szCs w:val="22"/>
          <w:rtl/>
        </w:rPr>
      </w:pPr>
      <w:r w:rsidRPr="00011A0E">
        <w:rPr>
          <w:rFonts w:cs="FrankRuehl" w:hint="cs"/>
          <w:sz w:val="20"/>
          <w:szCs w:val="22"/>
          <w:rtl/>
        </w:rPr>
        <w:t>כעולה מהאמור לעיל, בדירקטוריון לא הייתה הסכמה לגבי היענות לתביעותיו של מנהל החטיבה: שעה שהמנכ"ל צידד בהיענות לתביעת מנהל החטיבה לקבל חלק מרווחי החטיבה לציוד בטיחות לשנים 2006 ו-2007, היו דירקטורים שהביעו התנגדות לדרישה. היועץ המשפטי של החברה הביע התנגדות לשלם למנהל החטיבה עבור רווחי שנת 2006, משום שהיה עובד קמ"ג באותה עת. בפרוטוקול לא מצוין דבר קיומה של הצבעה בנושא, אולם בסיכום הוחלט לנקוט "אמצעים שיהיו קרובים ככל האפשר להסכם המקורי".</w:t>
      </w:r>
    </w:p>
    <w:p w:rsidR="000B385D" w:rsidRPr="00011A0E" w:rsidP="00B73C77">
      <w:pPr>
        <w:spacing w:after="120" w:line="230" w:lineRule="exact"/>
        <w:jc w:val="both"/>
        <w:rPr>
          <w:rFonts w:cs="FrankRuehl"/>
          <w:sz w:val="20"/>
          <w:szCs w:val="22"/>
          <w:rtl/>
        </w:rPr>
      </w:pPr>
      <w:r w:rsidRPr="00011A0E">
        <w:rPr>
          <w:rFonts w:cs="FrankRuehl" w:hint="cs"/>
          <w:sz w:val="20"/>
          <w:szCs w:val="22"/>
          <w:rtl/>
        </w:rPr>
        <w:t>בפגישה שנערכה בספטמבר 2012 בין נציגי משרד מבקר המדינה לבין יו"ר הדירקטוריון דאז ציין האחרון, כי "ההחלטה בדירקטוריון [בעניין התשלום למנהל החטיבה] לא הייתה פה אחד".</w:t>
      </w:r>
    </w:p>
    <w:p w:rsidR="000B385D" w:rsidRPr="00922FB9" w:rsidP="00922FB9">
      <w:pPr>
        <w:pStyle w:val="BodyText"/>
        <w:spacing w:before="0" w:after="240"/>
        <w:rPr>
          <w:sz w:val="20"/>
          <w:rtl/>
        </w:rPr>
      </w:pPr>
      <w:r w:rsidRPr="00922FB9">
        <w:rPr>
          <w:rFonts w:hint="cs"/>
          <w:sz w:val="20"/>
          <w:rtl/>
        </w:rPr>
        <w:t>כאמור מהמסמכים עולה, כי בפרוטוקול ישיבת הדירקטוריון אין כל אזכור לקיומה של הצבעה בנושא, ושמות הדירקטורים שהתנגדו להחלטה לא צוינו בו; סיכום יו"ר הדירקטוריון היה עמום, ולא תאם כלל לעמדות דירקטורים א' ו-ב', כפי שהוצגו בישיבה.</w:t>
      </w:r>
    </w:p>
    <w:p w:rsidR="000B385D" w:rsidRPr="00011A0E" w:rsidP="00922FB9">
      <w:pPr>
        <w:pStyle w:val="RESHET"/>
        <w:keepLines/>
        <w:rPr>
          <w:rtl/>
        </w:rPr>
      </w:pPr>
      <w:r w:rsidRPr="00011A0E">
        <w:rPr>
          <w:rFonts w:hint="cs"/>
          <w:rtl/>
        </w:rPr>
        <w:t xml:space="preserve">משרד מבקר המדינה מעיר, כי היה ראוי לנסח את החלטת הדירקטוריון בבהירות, ולהדגיש את שמות הדירקטורים שהתנגדו להחלטה. </w:t>
      </w:r>
    </w:p>
    <w:p w:rsidR="000B385D" w:rsidRPr="00011A0E" w:rsidP="00483F00">
      <w:pPr>
        <w:spacing w:before="180" w:after="120" w:line="230" w:lineRule="exact"/>
        <w:jc w:val="both"/>
        <w:rPr>
          <w:rFonts w:cs="FrankRuehl"/>
          <w:sz w:val="20"/>
          <w:szCs w:val="22"/>
          <w:rtl/>
        </w:rPr>
      </w:pPr>
      <w:r w:rsidRPr="00011A0E">
        <w:rPr>
          <w:rFonts w:cs="FrankRuehl" w:hint="cs"/>
          <w:sz w:val="20"/>
          <w:szCs w:val="22"/>
          <w:rtl/>
        </w:rPr>
        <w:t xml:space="preserve">בעקבות החלטת הדירקטוריון נחתמו ההסכם השני והסכם עם מנהל החטיבה (הסכם הרווחים). כאמור, למנהל החטיבה שולם סכום של כ-2.2 מיליון ש"ח בגין רווחי החטיבה לשנים 2006 </w:t>
      </w:r>
      <w:r w:rsidR="00922FB9">
        <w:rPr>
          <w:rFonts w:cs="FrankRuehl"/>
          <w:sz w:val="20"/>
          <w:szCs w:val="22"/>
          <w:rtl/>
        </w:rPr>
        <w:br/>
      </w:r>
      <w:r w:rsidRPr="00011A0E">
        <w:rPr>
          <w:rFonts w:cs="FrankRuehl" w:hint="cs"/>
          <w:sz w:val="20"/>
          <w:szCs w:val="22"/>
          <w:rtl/>
        </w:rPr>
        <w:t>ו-2007. יצוין, כי התשלום למנהל החטיבה ניתן אף שלא הייתה לכך כל התחייבות חוזית מוקדמת של רותם.</w:t>
      </w:r>
    </w:p>
    <w:p w:rsidR="000B385D" w:rsidRPr="00011A0E" w:rsidP="00483F00">
      <w:pPr>
        <w:spacing w:after="240" w:line="230" w:lineRule="exact"/>
        <w:jc w:val="both"/>
        <w:rPr>
          <w:rFonts w:cs="FrankRuehl"/>
          <w:sz w:val="20"/>
          <w:szCs w:val="22"/>
          <w:rtl/>
        </w:rPr>
      </w:pPr>
      <w:r w:rsidRPr="00011A0E">
        <w:rPr>
          <w:rFonts w:cs="FrankRuehl" w:hint="cs"/>
          <w:sz w:val="20"/>
          <w:szCs w:val="22"/>
          <w:rtl/>
        </w:rPr>
        <w:t>מהדוחות הכספיים של רותם עולה, כי מסכום התקבול של המוניטין קוזז סכום של כ-2.2 מיליון ש"ח. סכום זה הוצג במאזן כ-"השתתפות אחרים [מנהל החטיבה]" ברווחי החטיבה לציוד בטיחות. ממאזני רותם עולה, כי לאחר תשלום הרווחים למנהל החטיבה, ערך הנטו של המוניטין של החטיבה לציוד בטיחות עמד על כ-1.2 מיליון ש"ח בלבד</w:t>
      </w:r>
      <w:r>
        <w:rPr>
          <w:rFonts w:cs="FrankRuehl"/>
          <w:sz w:val="20"/>
          <w:szCs w:val="22"/>
          <w:vertAlign w:val="superscript"/>
          <w:rtl/>
        </w:rPr>
        <w:footnoteReference w:id="11"/>
      </w:r>
      <w:r w:rsidRPr="00011A0E">
        <w:rPr>
          <w:rFonts w:cs="FrankRuehl" w:hint="cs"/>
          <w:sz w:val="20"/>
          <w:szCs w:val="22"/>
          <w:rtl/>
        </w:rPr>
        <w:t>.</w:t>
      </w:r>
    </w:p>
    <w:p w:rsidR="000B385D" w:rsidRPr="00011A0E" w:rsidP="00483F00">
      <w:pPr>
        <w:pStyle w:val="RESHET"/>
        <w:keepLines/>
        <w:rPr>
          <w:rtl/>
        </w:rPr>
      </w:pPr>
      <w:r w:rsidRPr="00011A0E">
        <w:rPr>
          <w:rFonts w:hint="cs"/>
          <w:rtl/>
        </w:rPr>
        <w:t>משרד מבקר המדינה מעיר, כי בישיבת הדירקטוריון לא הוצג בפני הדירקטורים סכום הפיצוי שאותו ציפה מנהל החטיבה לקבל, והמתווה אושר על ידי הדירקטוריון ללא מידע חיוני זה.</w:t>
      </w:r>
    </w:p>
    <w:p w:rsidR="000B385D" w:rsidRPr="00011A0E" w:rsidP="00483F00">
      <w:pPr>
        <w:pStyle w:val="RESHET"/>
        <w:keepLines/>
        <w:rPr>
          <w:rtl/>
        </w:rPr>
      </w:pPr>
      <w:r w:rsidRPr="00011A0E">
        <w:rPr>
          <w:rFonts w:hint="cs"/>
          <w:rtl/>
        </w:rPr>
        <w:t>משרד מבקר המדינה מעיר, כי ההחלטה לשתף את מנהל החטיבה ברווחים בסכום המהווה כ-65% מערך המוניטין של החטיבה לציוד בטיחות היא מהותית, והייתה צריכה להתקבל לאחר הצגה ברורה יותר של הנתונים לדירקטוריון: סכום הרווחים המחולקים; העובדה שלא הייתה כל התחייבות חוזית לחלוקת רווחים; וקיומו של הסכם שאף סותר את חובתה של רותם לחלוקת רווחים (הסכם הייעוץ). כמו כן, נדרשה רותם להקפיד הקפדת יתר על ניסוח ברור של החלטות הדירקטוריון, בעיקר בנושאים מהותיים.</w:t>
      </w:r>
    </w:p>
    <w:p w:rsidR="000B385D" w:rsidRPr="00011A0E" w:rsidP="00483F00">
      <w:pPr>
        <w:pStyle w:val="RESHET"/>
        <w:keepLines/>
        <w:rPr>
          <w:rtl/>
        </w:rPr>
      </w:pPr>
      <w:r w:rsidRPr="00011A0E">
        <w:rPr>
          <w:rFonts w:hint="cs"/>
          <w:rtl/>
        </w:rPr>
        <w:t xml:space="preserve">עוד מעיר משרד מבקר המדינה, כי על אף עמדת היועץ המשפטי של החברה, כי אין מקום לחלוקת רווחים למנהל החטיבה בגין התקופה שבה היה עובד קמ"ג (שנת 2006), שולם למנהל החטיבה בגין תקופה זו סכום של כ-0.97 מיליון ש"ח בגין חלוקת רווחים. כאמור, הצגת העסקה למשנה ליועץ המשפטי לממשלה לא כללה מידע בדבר התשלום למנהל החטיבה. </w:t>
      </w:r>
    </w:p>
    <w:p w:rsidR="000B385D" w:rsidRPr="00011A0E" w:rsidP="00922FB9">
      <w:pPr>
        <w:spacing w:before="180" w:after="120" w:line="230" w:lineRule="exact"/>
        <w:jc w:val="both"/>
        <w:rPr>
          <w:rFonts w:cs="FrankRuehl"/>
          <w:sz w:val="20"/>
          <w:szCs w:val="22"/>
          <w:rtl/>
        </w:rPr>
      </w:pPr>
      <w:r w:rsidRPr="00011A0E">
        <w:rPr>
          <w:rFonts w:cs="FrankRuehl" w:hint="cs"/>
          <w:sz w:val="20"/>
          <w:szCs w:val="22"/>
          <w:rtl/>
        </w:rPr>
        <w:t xml:space="preserve">בשיחה בין עורך הביקורת לבין מנכ"ל רותם (ספטמבר 2012) ציין המנכ"ל בעניין זה, כי מנהל החטיבה "היה כל העסק וכך הוא עד היום. אם היה הולך הייתה התמוטטות של העסק. היו ויכוחים לא קלים אתו - הוא הפסיד בזה שפרש מקמ"ג בן 50 כי בגיל 55 נתנו פרישה מוקדמת. הוא ויתר על כך ודרש את הרווח </w:t>
      </w:r>
      <w:r w:rsidRPr="00011A0E">
        <w:rPr>
          <w:rFonts w:cs="FrankRuehl"/>
          <w:sz w:val="20"/>
          <w:szCs w:val="22"/>
          <w:rtl/>
        </w:rPr>
        <w:t>-</w:t>
      </w:r>
      <w:r w:rsidRPr="00011A0E">
        <w:rPr>
          <w:rFonts w:cs="FrankRuehl" w:hint="cs"/>
          <w:sz w:val="20"/>
          <w:szCs w:val="22"/>
          <w:rtl/>
        </w:rPr>
        <w:t xml:space="preserve"> זו הייתה הפשרה".</w:t>
      </w:r>
    </w:p>
    <w:p w:rsidR="000B385D" w:rsidRPr="00922FB9" w:rsidP="00922FB9">
      <w:pPr>
        <w:spacing w:after="120" w:line="230" w:lineRule="exact"/>
        <w:jc w:val="both"/>
        <w:rPr>
          <w:rFonts w:cs="FrankRuehl"/>
          <w:sz w:val="20"/>
          <w:szCs w:val="22"/>
          <w:rtl/>
        </w:rPr>
      </w:pPr>
      <w:r w:rsidRPr="00922FB9">
        <w:rPr>
          <w:rFonts w:cs="FrankRuehl" w:hint="cs"/>
          <w:sz w:val="20"/>
          <w:szCs w:val="22"/>
          <w:rtl/>
        </w:rPr>
        <w:t xml:space="preserve">מדברי מנכ"ל רותם עולה, כי ההחלטה לשלם למנהל החטיבה את חלקו ברווחי רותם באה לפצות על הפסד כספי שנגרם לו בשל פרישתו המוקדמת מקמ"ג. </w:t>
      </w:r>
    </w:p>
    <w:p w:rsidR="000B385D" w:rsidRPr="00011A0E" w:rsidP="00483F00">
      <w:pPr>
        <w:pStyle w:val="RESHET"/>
        <w:keepLines/>
        <w:rPr>
          <w:rtl/>
        </w:rPr>
      </w:pPr>
      <w:r w:rsidRPr="00011A0E">
        <w:rPr>
          <w:rFonts w:hint="cs"/>
          <w:rtl/>
        </w:rPr>
        <w:t xml:space="preserve">נוכח האמור לעיל מעיר משרד מבקר המדינה, כי תהליך קבלת ההחלטות בעניין חלוקת הרווחים למנהל החטיבה היה לקוי: בפני הדירקטוריון לא הוצג מידע מלא לגבי המשמעות הכספית של ההחלטה; ההחלטה הסופית הייתה עמומה, וקיים שוני מהותי בין עמדת חלק מהדירקטורים לבין תוצאות הדיון; ההחלטה התקבלה בניגוד לעמדת היועץ המשפטי. התנהלות זו הסבה לרותם, לכאורה, נזק כספי של מעל ל-2 מיליון ש"ח. </w:t>
      </w:r>
    </w:p>
    <w:p w:rsidR="00483F00" w:rsidP="00483F00">
      <w:pPr>
        <w:spacing w:after="120" w:line="230" w:lineRule="exact"/>
        <w:jc w:val="both"/>
        <w:rPr>
          <w:rFonts w:cs="FrankRuehl"/>
          <w:sz w:val="22"/>
          <w:szCs w:val="22"/>
          <w:rtl/>
        </w:rPr>
      </w:pPr>
    </w:p>
    <w:p w:rsidR="00483F00" w:rsidP="00483F00">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483F00" w:rsidP="00483F00">
      <w:pPr>
        <w:spacing w:after="120" w:line="230" w:lineRule="exact"/>
        <w:jc w:val="both"/>
        <w:rPr>
          <w:rFonts w:cs="FrankRuehl"/>
          <w:sz w:val="22"/>
          <w:szCs w:val="22"/>
          <w:rtl/>
        </w:rPr>
      </w:pPr>
    </w:p>
    <w:p w:rsidR="000B385D" w:rsidRPr="00011A0E" w:rsidP="00483F00">
      <w:pPr>
        <w:pStyle w:val="RESHET"/>
        <w:keepLines/>
        <w:rPr>
          <w:rtl/>
        </w:rPr>
      </w:pPr>
      <w:r w:rsidRPr="00011A0E">
        <w:rPr>
          <w:rFonts w:hint="cs"/>
          <w:rtl/>
        </w:rPr>
        <w:t xml:space="preserve">רותם מכרה את החטיבה לציוד בטיחות על בסיס הערכת שווי שלא הייתה מעודכנת לעת המכירה, היות שבתקופת הזמן שחלפה בין הערכת השווי לבין המכירה, שיפרה החטיבה לציוד בטיחות את ביצועיה העסקיים. על כן עולה חשש, כי רותם קיבלה תמורה לא ראויה מהמכירה. </w:t>
      </w:r>
    </w:p>
    <w:p w:rsidR="000B385D" w:rsidRPr="00011A0E" w:rsidP="00483F00">
      <w:pPr>
        <w:pStyle w:val="RESHET"/>
        <w:keepLines/>
        <w:rPr>
          <w:rtl/>
        </w:rPr>
      </w:pPr>
      <w:r w:rsidRPr="00011A0E">
        <w:rPr>
          <w:rFonts w:hint="cs"/>
          <w:rtl/>
        </w:rPr>
        <w:t>בעת המכירה הסכימה רותם לשלם למנהל החטיבה, שהיה אחד מרוכשי הפעילות, סכום של כ-2.2 מיליון ש"ח בגין חלוקת רווחים, על אף שהדבר לא עוגן בהסכם מלכתחילה. אמנם מכירת החטיבה למנהל החטיבה הובאה להתייחסות המשנה ליועץ המשפטי לממשלה, אך נושא חלוקת הרווחים למנהל החטיבה לא הובא להתייחסותה; התשלום בגין חלוקת הרווחים קוזז מהתמורה שהתקבלה מהמכירה.</w:t>
      </w:r>
    </w:p>
    <w:p w:rsidR="000B385D" w:rsidRPr="00011A0E" w:rsidP="00483F00">
      <w:pPr>
        <w:pStyle w:val="RESHET"/>
        <w:keepLines/>
        <w:rPr>
          <w:rtl/>
        </w:rPr>
      </w:pPr>
      <w:r w:rsidRPr="00011A0E">
        <w:rPr>
          <w:rFonts w:hint="cs"/>
          <w:rtl/>
        </w:rPr>
        <w:t>כמו כן עלה, כי תהליכי קבלת ההחלטות בדירקטוריון רותם בנוגע למכירת הפעילות לקו בחסר, בעיקר בכל הנוגע להצגת מידע חסר לדירקטוריון לפני קבלת החלטות.</w:t>
      </w:r>
    </w:p>
    <w:p w:rsidR="000B385D" w:rsidRPr="00011A0E" w:rsidP="00B73C77">
      <w:pPr>
        <w:spacing w:after="120" w:line="230" w:lineRule="exact"/>
        <w:jc w:val="both"/>
        <w:rPr>
          <w:rFonts w:cs="FrankRuehl"/>
          <w:sz w:val="20"/>
          <w:szCs w:val="22"/>
          <w:rtl/>
        </w:rPr>
      </w:pPr>
    </w:p>
    <w:p w:rsidR="000B385D" w:rsidRPr="00C87878" w:rsidP="00B73C77">
      <w:pPr>
        <w:pStyle w:val="KOT5"/>
        <w:rPr>
          <w:rtl/>
        </w:rPr>
      </w:pPr>
      <w:r w:rsidRPr="00C87878">
        <w:rPr>
          <w:rFonts w:hint="cs"/>
          <w:rtl/>
        </w:rPr>
        <w:t>התקשרויות עם רותם בטיחות</w:t>
      </w:r>
    </w:p>
    <w:p w:rsidR="000B385D" w:rsidRPr="00327607" w:rsidP="00B73C77">
      <w:pPr>
        <w:pStyle w:val="KOT6"/>
        <w:rPr>
          <w:rtl/>
        </w:rPr>
      </w:pPr>
      <w:r w:rsidRPr="00327607">
        <w:rPr>
          <w:rFonts w:hint="cs"/>
          <w:rtl/>
        </w:rPr>
        <w:t>ההתקשרות עם משרד החקלאות</w:t>
      </w:r>
    </w:p>
    <w:p w:rsidR="000B385D" w:rsidRPr="00011A0E" w:rsidP="00483F00">
      <w:pPr>
        <w:spacing w:after="120" w:line="230" w:lineRule="exact"/>
        <w:ind w:left="340" w:hanging="340"/>
        <w:jc w:val="both"/>
        <w:rPr>
          <w:rFonts w:cs="FrankRuehl"/>
          <w:sz w:val="20"/>
          <w:szCs w:val="22"/>
          <w:rtl/>
        </w:rPr>
      </w:pPr>
      <w:r>
        <w:rPr>
          <w:rFonts w:cs="FrankRuehl" w:hint="cs"/>
          <w:sz w:val="20"/>
          <w:szCs w:val="22"/>
          <w:rtl/>
        </w:rPr>
        <w:t xml:space="preserve">1. </w:t>
      </w:r>
      <w:r w:rsidRPr="00011A0E">
        <w:rPr>
          <w:rFonts w:cs="FrankRuehl" w:hint="cs"/>
          <w:sz w:val="20"/>
          <w:szCs w:val="22"/>
          <w:rtl/>
        </w:rPr>
        <w:tab/>
        <w:t>כאמור, ב-2.12.07 נחתם הסכם בין משרד החקלאות לבין קמ"ג. בהסכם הוסדרה הקמתו של מרכז לשעת חירום של המכון לשירותים וטרינריים תוך קבלת שירותי הקמה, רכש, ייעוץ בנושא רכש, אחסנה, תמיכה ותחזוקה למוצרים מקמ"ג.</w:t>
      </w:r>
    </w:p>
    <w:p w:rsidR="000B385D" w:rsidRPr="00011A0E" w:rsidP="00483F00">
      <w:pPr>
        <w:spacing w:after="120" w:line="230" w:lineRule="exact"/>
        <w:ind w:left="340"/>
        <w:jc w:val="both"/>
        <w:rPr>
          <w:rFonts w:cs="FrankRuehl"/>
          <w:sz w:val="20"/>
          <w:szCs w:val="22"/>
          <w:rtl/>
        </w:rPr>
      </w:pPr>
      <w:r w:rsidRPr="00011A0E">
        <w:rPr>
          <w:rFonts w:cs="FrankRuehl" w:hint="cs"/>
          <w:sz w:val="20"/>
          <w:szCs w:val="22"/>
          <w:rtl/>
        </w:rPr>
        <w:t>באותו מועד התקשרה קמ"ג עם רותם בהסכם הקובע, כי רותם תבצע עבור קמ"ג את התחייבויותיה המנויות בהסכם בעניין הקמת המרכז לשעת חירום. כמו כן התחייבה קמ"ג להעביר לרותם את "מלוא התמורה המשולמת לה ע"י המשרד [החקלאות]".</w:t>
      </w:r>
    </w:p>
    <w:p w:rsidR="000B385D" w:rsidRPr="00011A0E" w:rsidP="00483F00">
      <w:pPr>
        <w:spacing w:after="240" w:line="230" w:lineRule="exact"/>
        <w:ind w:left="340"/>
        <w:jc w:val="both"/>
        <w:rPr>
          <w:rFonts w:cs="FrankRuehl"/>
          <w:sz w:val="20"/>
          <w:szCs w:val="22"/>
          <w:rtl/>
        </w:rPr>
      </w:pPr>
      <w:r w:rsidRPr="00011A0E">
        <w:rPr>
          <w:rFonts w:cs="FrankRuehl" w:hint="cs"/>
          <w:sz w:val="20"/>
          <w:szCs w:val="22"/>
          <w:rtl/>
        </w:rPr>
        <w:t>כאמור, בתחילת 2008 הועברה פעילות החטיבה לציוד בטיחות ברותם לרותם בטיחות.</w:t>
      </w:r>
    </w:p>
    <w:p w:rsidR="000B385D" w:rsidRPr="00011A0E" w:rsidP="00483F00">
      <w:pPr>
        <w:pStyle w:val="RESHET"/>
        <w:keepLines/>
        <w:ind w:left="567"/>
        <w:rPr>
          <w:rtl/>
        </w:rPr>
      </w:pPr>
      <w:r>
        <w:rPr>
          <w:rFonts w:hint="cs"/>
          <w:rtl/>
        </w:rPr>
        <w:t>מה</w:t>
      </w:r>
      <w:bookmarkStart w:id="5" w:name="_GoBack"/>
      <w:bookmarkEnd w:id="5"/>
      <w:r w:rsidRPr="00011A0E">
        <w:rPr>
          <w:rFonts w:hint="cs"/>
          <w:rtl/>
        </w:rPr>
        <w:t>ביקורת ע</w:t>
      </w:r>
      <w:r w:rsidR="00D93664">
        <w:rPr>
          <w:rFonts w:hint="cs"/>
          <w:rtl/>
        </w:rPr>
        <w:t>ו</w:t>
      </w:r>
      <w:r w:rsidRPr="00011A0E">
        <w:rPr>
          <w:rFonts w:hint="cs"/>
          <w:rtl/>
        </w:rPr>
        <w:t>לה, כי ההתקשרות של קמ"ג עם משרד החקלאות, וההתקשרות של רותם עם קמ"ג בעניין המרכז לשעת חירום היו לכאורה מלאכותיות, ובסופו של דבר נעשו לתועלתה של רותם בטיחות: לקמ"ג ולרותם אין כל תרומה תפעולית לפעילות זו, ובפועל ההתקשרות היא בין רותם בטיחות לבין משרד החקלאות, כאשר קמ"ג מהווה "צינור" להעברת כספים.</w:t>
      </w:r>
    </w:p>
    <w:p w:rsidR="000B385D" w:rsidRPr="00011A0E" w:rsidP="00483F00">
      <w:pPr>
        <w:spacing w:before="180" w:after="120" w:line="230" w:lineRule="exact"/>
        <w:ind w:left="340"/>
        <w:jc w:val="both"/>
        <w:rPr>
          <w:rFonts w:cs="FrankRuehl"/>
          <w:sz w:val="20"/>
          <w:szCs w:val="22"/>
          <w:rtl/>
        </w:rPr>
      </w:pPr>
      <w:r w:rsidRPr="00011A0E">
        <w:rPr>
          <w:rFonts w:cs="FrankRuehl" w:hint="cs"/>
          <w:sz w:val="20"/>
          <w:szCs w:val="22"/>
          <w:rtl/>
        </w:rPr>
        <w:t>מהמסמכים עלה, כי מאז חתימת ההסכם (2.12.07) ועד סוף אוגוסט 2011, חייבה רותם בטיחות את קמ"ג, וקמ"ג חייבה את משרד החקלאות בסכום כולל של כ-12.5 מיליון ש"ח (הסכומים כוללים מע"מ).</w:t>
      </w:r>
    </w:p>
    <w:p w:rsidR="000B385D" w:rsidRPr="00011A0E" w:rsidP="00483F00">
      <w:pPr>
        <w:spacing w:after="240" w:line="230" w:lineRule="exact"/>
        <w:ind w:left="340"/>
        <w:jc w:val="both"/>
        <w:rPr>
          <w:rFonts w:cs="FrankRuehl"/>
          <w:sz w:val="20"/>
          <w:szCs w:val="22"/>
          <w:rtl/>
        </w:rPr>
      </w:pPr>
      <w:r w:rsidRPr="00011A0E">
        <w:rPr>
          <w:rFonts w:cs="FrankRuehl" w:hint="cs"/>
          <w:sz w:val="20"/>
          <w:szCs w:val="22"/>
          <w:rtl/>
        </w:rPr>
        <w:t xml:space="preserve">בחוק חובת המכרזים התשנ"ב-1992 (להלן </w:t>
      </w:r>
      <w:r w:rsidRPr="00011A0E">
        <w:rPr>
          <w:rFonts w:cs="FrankRuehl"/>
          <w:sz w:val="20"/>
          <w:szCs w:val="22"/>
          <w:rtl/>
        </w:rPr>
        <w:t>-</w:t>
      </w:r>
      <w:r w:rsidRPr="00011A0E">
        <w:rPr>
          <w:rFonts w:cs="FrankRuehl" w:hint="cs"/>
          <w:sz w:val="20"/>
          <w:szCs w:val="22"/>
          <w:rtl/>
        </w:rPr>
        <w:t xml:space="preserve"> חוק חובת המכרזים) נקבע, כי "המדינה, כל תאגיד ממשלתי... לא יתקשרו בחוזה לביצוע עסקה בטובין או במקרקעין, או לביצוע עבודה, או לרכישת שירותים, אלא על-פי מכרז פומבי הנותן לכל אדם הזדמנות שווה להשתתף בו".</w:t>
      </w:r>
    </w:p>
    <w:p w:rsidR="000B385D" w:rsidRPr="00011A0E" w:rsidP="00483F00">
      <w:pPr>
        <w:pStyle w:val="RESHET"/>
        <w:keepLines/>
        <w:ind w:left="567"/>
        <w:rPr>
          <w:rtl/>
        </w:rPr>
      </w:pPr>
      <w:r w:rsidRPr="00011A0E">
        <w:rPr>
          <w:rFonts w:hint="cs"/>
          <w:rtl/>
        </w:rPr>
        <w:t xml:space="preserve">על פי חוק חובת המכרזים, התקשרות בין משרד החקלאות לבין רותם בטיחות, לו נעשתה ביניהם, הייתה מחייבת קיומו של מכרז. פעולותיהן של קמ"ג, רותם ומשרד החקלאות יצרו מצב שיש בו לכאורה משום עקיפה של חוק חובת המכרזים. </w:t>
      </w:r>
    </w:p>
    <w:p w:rsidR="000B385D" w:rsidRPr="00011A0E" w:rsidP="00483F00">
      <w:pPr>
        <w:spacing w:before="180" w:after="120" w:line="230" w:lineRule="exact"/>
        <w:ind w:left="340" w:hanging="340"/>
        <w:jc w:val="both"/>
        <w:rPr>
          <w:rFonts w:cs="FrankRuehl"/>
          <w:sz w:val="20"/>
          <w:szCs w:val="22"/>
          <w:rtl/>
        </w:rPr>
      </w:pPr>
      <w:r>
        <w:rPr>
          <w:rFonts w:cs="FrankRuehl" w:hint="cs"/>
          <w:sz w:val="20"/>
          <w:szCs w:val="22"/>
          <w:rtl/>
        </w:rPr>
        <w:t xml:space="preserve">2. </w:t>
      </w:r>
      <w:r w:rsidRPr="00011A0E">
        <w:rPr>
          <w:rFonts w:cs="FrankRuehl" w:hint="cs"/>
          <w:sz w:val="20"/>
          <w:szCs w:val="22"/>
          <w:rtl/>
        </w:rPr>
        <w:tab/>
        <w:t>מהביקורת עולה, כי קמ"ג גבתה מרותם בטיחות עמלה בגין העסקות שביצעה רותם בטיחות עם משרד החקלאות. הפרטים סוכמו במכתב ממאי 2009 בנושא ההתקשרות עם משרד החקלאות, ובו נקבע, כי קמ"ג זכאית לעמלה כלהלן:</w:t>
      </w:r>
    </w:p>
    <w:p w:rsidR="000B385D" w:rsidRPr="00011A0E" w:rsidP="00483F00">
      <w:pPr>
        <w:spacing w:after="120" w:line="230" w:lineRule="exact"/>
        <w:ind w:left="340"/>
        <w:jc w:val="both"/>
        <w:rPr>
          <w:rFonts w:cs="FrankRuehl"/>
          <w:sz w:val="20"/>
          <w:szCs w:val="22"/>
          <w:rtl/>
        </w:rPr>
      </w:pPr>
      <w:r w:rsidRPr="00011A0E">
        <w:rPr>
          <w:rFonts w:cs="FrankRuehl" w:hint="cs"/>
          <w:sz w:val="20"/>
          <w:szCs w:val="22"/>
          <w:rtl/>
        </w:rPr>
        <w:t>2% מהרכישה הראשונית של משרד החקלאות.</w:t>
      </w:r>
    </w:p>
    <w:p w:rsidR="000B385D" w:rsidRPr="00011A0E" w:rsidP="00483F00">
      <w:pPr>
        <w:spacing w:after="120" w:line="230" w:lineRule="exact"/>
        <w:ind w:left="340"/>
        <w:jc w:val="both"/>
        <w:rPr>
          <w:rFonts w:cs="FrankRuehl"/>
          <w:sz w:val="20"/>
          <w:szCs w:val="22"/>
        </w:rPr>
      </w:pPr>
      <w:r w:rsidRPr="00011A0E">
        <w:rPr>
          <w:rFonts w:cs="FrankRuehl" w:hint="cs"/>
          <w:sz w:val="20"/>
          <w:szCs w:val="22"/>
          <w:rtl/>
        </w:rPr>
        <w:t>1% בגין רכישת מוצרים אחרים.</w:t>
      </w:r>
    </w:p>
    <w:p w:rsidR="000B385D" w:rsidRPr="00011A0E" w:rsidP="00483F00">
      <w:pPr>
        <w:spacing w:after="240" w:line="230" w:lineRule="exact"/>
        <w:ind w:left="340"/>
        <w:jc w:val="both"/>
        <w:rPr>
          <w:rFonts w:cs="FrankRuehl"/>
          <w:sz w:val="20"/>
          <w:szCs w:val="22"/>
        </w:rPr>
      </w:pPr>
      <w:r w:rsidRPr="00011A0E">
        <w:rPr>
          <w:rFonts w:cs="FrankRuehl" w:hint="cs"/>
          <w:sz w:val="20"/>
          <w:szCs w:val="22"/>
          <w:rtl/>
        </w:rPr>
        <w:t>2% בגין חיובי תקורה, שטח אחסון, דמי ניהול וארנונה.</w:t>
      </w:r>
    </w:p>
    <w:p w:rsidR="000B385D" w:rsidRPr="00011A0E" w:rsidP="00483F00">
      <w:pPr>
        <w:pStyle w:val="RESHET"/>
        <w:keepLines/>
        <w:ind w:left="567"/>
        <w:rPr>
          <w:rtl/>
        </w:rPr>
      </w:pPr>
      <w:r w:rsidRPr="00011A0E">
        <w:rPr>
          <w:rFonts w:hint="cs"/>
          <w:rtl/>
        </w:rPr>
        <w:t>לדעת משרד מבקר המדינה, כיוון שלקמ"ג אין כל תרומה לעסקה עם משרד החקלאות פרט להיותה צד פורמלי בה, אזי העמלה מהווה מעין "דמי תיווך", כדי לקיים עסקה ללא מכרז. משרד מבקר המדינה רואה זאת בחומרה.</w:t>
      </w:r>
      <w:r w:rsidRPr="00011A0E">
        <w:rPr>
          <w:rtl/>
        </w:rPr>
        <w:t xml:space="preserve"> </w:t>
      </w:r>
      <w:r w:rsidRPr="00011A0E">
        <w:rPr>
          <w:rFonts w:hint="cs"/>
          <w:rtl/>
        </w:rPr>
        <w:t>נוכח זאת העיר משרד מבקר המדינה, כי על קמ"ג להפסיק את ההתקשרות המלאכותית עם משרד החקלאות, ועל משרד החקלאות לפרסם מכרז לניהול מחסן החירום לאלתר.</w:t>
      </w:r>
    </w:p>
    <w:p w:rsidR="000B385D" w:rsidRPr="00011A0E" w:rsidP="00483F00">
      <w:pPr>
        <w:spacing w:before="180" w:after="120" w:line="230" w:lineRule="exact"/>
        <w:ind w:left="340"/>
        <w:jc w:val="both"/>
        <w:rPr>
          <w:rFonts w:cs="FrankRuehl"/>
          <w:sz w:val="20"/>
          <w:szCs w:val="22"/>
          <w:rtl/>
        </w:rPr>
      </w:pPr>
      <w:r w:rsidRPr="00011A0E">
        <w:rPr>
          <w:rFonts w:cs="FrankRuehl" w:hint="cs"/>
          <w:sz w:val="20"/>
          <w:szCs w:val="22"/>
          <w:rtl/>
        </w:rPr>
        <w:t>בתגובת משרד החקלאות לטיוטת הביקורת, ממרץ 2013, צוין בעניין זה, כי בדצמבר 2012 הסתיימה ההתקשרות שלו עם קמ"ג.</w:t>
      </w:r>
    </w:p>
    <w:p w:rsidR="000B385D" w:rsidRPr="00011A0E" w:rsidP="00B73C77">
      <w:pPr>
        <w:spacing w:after="120" w:line="230" w:lineRule="exact"/>
        <w:jc w:val="both"/>
        <w:rPr>
          <w:rFonts w:cs="FrankRuehl"/>
          <w:sz w:val="20"/>
          <w:szCs w:val="22"/>
          <w:rtl/>
        </w:rPr>
      </w:pPr>
    </w:p>
    <w:p w:rsidR="000B385D" w:rsidRPr="00327607" w:rsidP="00B73C77">
      <w:pPr>
        <w:pStyle w:val="KOT6"/>
        <w:rPr>
          <w:rtl/>
        </w:rPr>
      </w:pPr>
      <w:r w:rsidRPr="00327607">
        <w:rPr>
          <w:rFonts w:hint="cs"/>
          <w:rtl/>
        </w:rPr>
        <w:t>דמי ניהול וארנונה</w:t>
      </w:r>
    </w:p>
    <w:p w:rsidR="000B385D" w:rsidRPr="00011A0E" w:rsidP="00483F00">
      <w:pPr>
        <w:spacing w:after="120" w:line="230" w:lineRule="exact"/>
        <w:ind w:left="340" w:hanging="340"/>
        <w:jc w:val="both"/>
        <w:rPr>
          <w:rFonts w:cs="FrankRuehl"/>
          <w:sz w:val="20"/>
          <w:szCs w:val="22"/>
          <w:rtl/>
        </w:rPr>
      </w:pPr>
      <w:r>
        <w:rPr>
          <w:rFonts w:cs="FrankRuehl" w:hint="cs"/>
          <w:sz w:val="20"/>
          <w:szCs w:val="22"/>
          <w:rtl/>
        </w:rPr>
        <w:t xml:space="preserve">1. </w:t>
      </w:r>
      <w:r w:rsidRPr="00011A0E">
        <w:rPr>
          <w:rFonts w:cs="FrankRuehl" w:hint="cs"/>
          <w:sz w:val="20"/>
          <w:szCs w:val="22"/>
          <w:rtl/>
        </w:rPr>
        <w:tab/>
        <w:t xml:space="preserve">כאמור, רותם מפעילה את פארק רותם. מנהלת פארק רותם גובה מדייריו דמי ניהול לצורך תחזוקת הפארק. בהתאם להסכם בין רותם לבין עיריית דימונה, מנהלת פארק רותם גובה גם ארנונה מדיירי הפארק, ואילו התשלום לעיריית דימונה נעשה במרוכז. </w:t>
      </w:r>
    </w:p>
    <w:p w:rsidR="000B385D" w:rsidRPr="00011A0E" w:rsidP="00483F00">
      <w:pPr>
        <w:spacing w:after="120" w:line="230" w:lineRule="exact"/>
        <w:ind w:left="340"/>
        <w:jc w:val="both"/>
        <w:rPr>
          <w:rFonts w:cs="FrankRuehl"/>
          <w:sz w:val="20"/>
          <w:szCs w:val="22"/>
          <w:rtl/>
        </w:rPr>
      </w:pPr>
      <w:r w:rsidRPr="00011A0E">
        <w:rPr>
          <w:rFonts w:cs="FrankRuehl" w:hint="cs"/>
          <w:sz w:val="20"/>
          <w:szCs w:val="22"/>
          <w:rtl/>
        </w:rPr>
        <w:t>בביקורת עלה, כי בין רותם לבין רותם בטיחות לא קיים הסכם דמי ניהול חתום. בדוח פעילות שהוגש לדירקטוריון רותם ביוני 2009 צוין בנושא רותם בטיחות, כי "לאחר בדיקת השוק החליט מנכ"ל רותם בטיחות להמשיך את פעילות החברה בפארק... החברה חתמה על הסכם עם מבני תעשייה... בימים הקרובים ייחתם הסכם דמי ניהול עם מנהלת הפארק". לעורך הביקורת נמסרה טיוטת הסכם דמי ניהול, שממנה עולה, כי רותם בטיחות מחויבת לשלם סך של 4.5 ש"ח למ"ר בגין דמי ניהול. מבדיקת החיובים שבהם מחויבת רותם בטיחות בגין דמי ניהול עולה, כי היא מחזיקה בשטח של 3,143 מ"ר.</w:t>
      </w:r>
    </w:p>
    <w:p w:rsidR="000B385D" w:rsidRPr="00011A0E" w:rsidP="00483F00">
      <w:pPr>
        <w:spacing w:after="120" w:line="230" w:lineRule="exact"/>
        <w:ind w:left="340"/>
        <w:jc w:val="both"/>
        <w:rPr>
          <w:rFonts w:cs="FrankRuehl"/>
          <w:sz w:val="20"/>
          <w:szCs w:val="22"/>
          <w:rtl/>
        </w:rPr>
      </w:pPr>
      <w:r w:rsidRPr="00011A0E">
        <w:rPr>
          <w:rFonts w:cs="FrankRuehl" w:hint="cs"/>
          <w:sz w:val="20"/>
          <w:szCs w:val="22"/>
          <w:rtl/>
        </w:rPr>
        <w:t>בתגובת רותם צוין, כי "בשנת 2011 נחתם הסכם דמי ניהול... בכל הנוגע לפעילות של רותם בטיחות בפארק רותם".</w:t>
      </w:r>
    </w:p>
    <w:p w:rsidR="000B385D" w:rsidRPr="00011A0E" w:rsidP="00483F00">
      <w:pPr>
        <w:spacing w:after="240" w:line="230" w:lineRule="exact"/>
        <w:ind w:left="340"/>
        <w:jc w:val="both"/>
        <w:rPr>
          <w:rFonts w:cs="FrankRuehl"/>
          <w:sz w:val="20"/>
          <w:szCs w:val="22"/>
          <w:rtl/>
        </w:rPr>
      </w:pPr>
      <w:r w:rsidRPr="00011A0E">
        <w:rPr>
          <w:rFonts w:cs="FrankRuehl" w:hint="cs"/>
          <w:sz w:val="20"/>
          <w:szCs w:val="22"/>
          <w:rtl/>
        </w:rPr>
        <w:t xml:space="preserve">מהסכם דמי הניהול, שנמסר למשרד מבקר המדינה במאי 2013 עולה, כי הוא אינו נושא תאריך. על ההסכם מופיע רישום של משלוח בפקס ב-18.12.12. </w:t>
      </w:r>
    </w:p>
    <w:p w:rsidR="000B385D" w:rsidRPr="00011A0E" w:rsidP="00483F00">
      <w:pPr>
        <w:pStyle w:val="RESHET"/>
        <w:keepLines/>
        <w:ind w:left="567"/>
        <w:rPr>
          <w:rtl/>
        </w:rPr>
      </w:pPr>
      <w:r w:rsidRPr="00011A0E">
        <w:rPr>
          <w:rFonts w:hint="cs"/>
          <w:rtl/>
        </w:rPr>
        <w:t>משרד מבקר המדינה מעיר, כי על רותם להקפיד על הליכי חתימת הסכמים ותיוקם, כדי למנוע ספק בדבר קיומם ובדבר מועד תקפותם.</w:t>
      </w:r>
    </w:p>
    <w:p w:rsidR="000B385D" w:rsidRPr="00011A0E" w:rsidP="00483F00">
      <w:pPr>
        <w:spacing w:before="180" w:after="120" w:line="230" w:lineRule="exact"/>
        <w:ind w:left="340" w:hanging="340"/>
        <w:jc w:val="both"/>
        <w:rPr>
          <w:rFonts w:cs="FrankRuehl"/>
          <w:sz w:val="20"/>
          <w:szCs w:val="22"/>
          <w:rtl/>
        </w:rPr>
      </w:pPr>
      <w:r>
        <w:rPr>
          <w:rFonts w:cs="FrankRuehl" w:hint="cs"/>
          <w:sz w:val="20"/>
          <w:szCs w:val="22"/>
          <w:rtl/>
        </w:rPr>
        <w:t xml:space="preserve">2. </w:t>
      </w:r>
      <w:r w:rsidRPr="00011A0E">
        <w:rPr>
          <w:rFonts w:cs="FrankRuehl" w:hint="cs"/>
          <w:sz w:val="20"/>
          <w:szCs w:val="22"/>
          <w:rtl/>
        </w:rPr>
        <w:tab/>
        <w:t>גביית הארנונה בפארק נעשית על פי היטל ארנונה שמחליטה עיריית דימונה להטיל בתחום שיפוטה.</w:t>
      </w:r>
    </w:p>
    <w:p w:rsidR="000B385D" w:rsidRPr="00011A0E" w:rsidP="00483F00">
      <w:pPr>
        <w:spacing w:after="120" w:line="230" w:lineRule="exact"/>
        <w:ind w:left="340"/>
        <w:jc w:val="both"/>
        <w:rPr>
          <w:rFonts w:cs="FrankRuehl"/>
          <w:sz w:val="20"/>
          <w:szCs w:val="22"/>
          <w:rtl/>
        </w:rPr>
      </w:pPr>
      <w:r w:rsidRPr="00011A0E">
        <w:rPr>
          <w:rFonts w:cs="FrankRuehl" w:hint="cs"/>
          <w:sz w:val="20"/>
          <w:szCs w:val="22"/>
          <w:rtl/>
        </w:rPr>
        <w:t>בשנת 2009, עם הקמת רותם בטיחות, נתגלעו בינה ובין רותם חילוקי דעות בעניין גובה דמי הארנונה שבהם יש לחייב את רותם בטיחות. חילוקי הדעות נבעו משינויים בסיווג הפעילות בנכסים המשמשים את רותם בטיחות מסיווג של "מו"פ" (מחקר ופיתוח) לסיווג של "משרדים, שירותים ומסחר".</w:t>
      </w:r>
    </w:p>
    <w:p w:rsidR="000B385D" w:rsidRPr="00011A0E" w:rsidP="00483F00">
      <w:pPr>
        <w:spacing w:after="120" w:line="230" w:lineRule="exact"/>
        <w:ind w:left="340"/>
        <w:jc w:val="both"/>
        <w:rPr>
          <w:rFonts w:cs="FrankRuehl"/>
          <w:sz w:val="20"/>
          <w:szCs w:val="22"/>
          <w:rtl/>
        </w:rPr>
      </w:pPr>
      <w:r w:rsidRPr="00011A0E">
        <w:rPr>
          <w:rFonts w:cs="FrankRuehl" w:hint="cs"/>
          <w:sz w:val="20"/>
          <w:szCs w:val="22"/>
          <w:rtl/>
        </w:rPr>
        <w:t>בפרוטוקול ועדת היגוי פארק רותם מאוקטובר 2010 צוין, כי "רותם בטיחות הודיעה להנהלת הפארק כי אינה מקבלת את דרישת תשלום הארנונה לשנת 2009 וזאת מכיוון שעד לשנת 2008 חויבה בתעריף של מו"פ או תעשיה ואילו עתה היא מחויבת בתעריף גבוה יותר של מסחר ושירותים. כך גם נהגה החברה בקשר לדרישת התשלום שהוצאה לה עבור הארנונה לשנת 2010... [וכי] החיוב לפי התעריף החדש מעלה את התשלום הנדרש בכ-75,000 ש"ח לשנה".</w:t>
      </w:r>
    </w:p>
    <w:p w:rsidR="000B385D" w:rsidRPr="000B7532" w:rsidP="00483F00">
      <w:pPr>
        <w:spacing w:after="120" w:line="230" w:lineRule="exact"/>
        <w:ind w:left="340"/>
        <w:jc w:val="both"/>
        <w:rPr>
          <w:rFonts w:cs="FrankRuehl"/>
          <w:spacing w:val="-2"/>
          <w:sz w:val="20"/>
          <w:szCs w:val="22"/>
          <w:rtl/>
        </w:rPr>
      </w:pPr>
      <w:r w:rsidRPr="000B7532">
        <w:rPr>
          <w:rFonts w:cs="FrankRuehl" w:hint="cs"/>
          <w:spacing w:val="-2"/>
          <w:sz w:val="20"/>
          <w:szCs w:val="22"/>
          <w:rtl/>
        </w:rPr>
        <w:t>ממכתבו של מנהל פארק רותם למנכ"ל רותם ממאי 2011 עולה, כי בינו לבין מנהל הכספים של רותם בטיחות נערכו כמה שיחות בנושא תשלום הארנונה, ובהן הוצע לרותם בטיחות לשלם ארנונה בהתאם לתעריף "משרדים, מסחר ושירותים" על "סה"כ המטרים שרותם חתומה מול [בעלי הנכס] (2373 מ"ר)". עם זאת ציין מנהל הפארק, כי "</w:t>
      </w:r>
      <w:r w:rsidRPr="000B7532">
        <w:rPr>
          <w:rFonts w:cs="FrankRuehl" w:hint="cs"/>
          <w:b/>
          <w:bCs/>
          <w:spacing w:val="-2"/>
          <w:sz w:val="20"/>
          <w:szCs w:val="22"/>
          <w:rtl/>
        </w:rPr>
        <w:t xml:space="preserve">אנו יודעים כי רותם בטיחות מחזיקה בלפחות עוד 800 מ"ר באופן לא פורמאלי, שלא חתמה עם [בעלי הנכס]" </w:t>
      </w:r>
      <w:r w:rsidRPr="000B7532">
        <w:rPr>
          <w:rFonts w:cs="FrankRuehl" w:hint="cs"/>
          <w:spacing w:val="-2"/>
          <w:sz w:val="20"/>
          <w:szCs w:val="22"/>
          <w:rtl/>
        </w:rPr>
        <w:t>(ההדגשה במקור).</w:t>
      </w:r>
    </w:p>
    <w:p w:rsidR="000B385D" w:rsidRPr="00011A0E" w:rsidP="00483F00">
      <w:pPr>
        <w:spacing w:after="120" w:line="230" w:lineRule="exact"/>
        <w:ind w:left="340"/>
        <w:jc w:val="both"/>
        <w:rPr>
          <w:rFonts w:cs="FrankRuehl"/>
          <w:sz w:val="20"/>
          <w:szCs w:val="22"/>
          <w:rtl/>
        </w:rPr>
      </w:pPr>
      <w:r w:rsidRPr="00011A0E">
        <w:rPr>
          <w:rFonts w:cs="FrankRuehl" w:hint="cs"/>
          <w:sz w:val="20"/>
          <w:szCs w:val="22"/>
          <w:rtl/>
        </w:rPr>
        <w:t>בפרוטוקול ועדת היגוי פארק רותם מאוגוסט 2011 צוין, כי "מאז שנת 2009 מתקיימים דיונים עם חברת רותם בטיחות לגבי הארנונה, בשל אי הסכמה של רותם בטיחות לשלם תעריף שהוא כמעט כפול מהתעריף ששולם קודם... הצעת פשרה על-סך כ-141,000 הועברה לרותם בטיחות ולאחר סדרת דיונים הסכימה החברה לשלם סכום זה בניכוי של 8,000 ש"ח עקב [קיומן של מעבדות בשטח המושכר, לגביהן] תעריף הארנונה נמוך יותר".</w:t>
      </w:r>
    </w:p>
    <w:p w:rsidR="000B385D" w:rsidRPr="00011A0E" w:rsidP="00483F00">
      <w:pPr>
        <w:spacing w:after="120" w:line="230" w:lineRule="exact"/>
        <w:ind w:left="340"/>
        <w:jc w:val="both"/>
        <w:rPr>
          <w:rFonts w:cs="FrankRuehl"/>
          <w:sz w:val="20"/>
          <w:szCs w:val="22"/>
          <w:rtl/>
        </w:rPr>
      </w:pPr>
      <w:r w:rsidRPr="00011A0E">
        <w:rPr>
          <w:rFonts w:cs="FrankRuehl" w:hint="cs"/>
          <w:sz w:val="20"/>
          <w:szCs w:val="22"/>
          <w:rtl/>
        </w:rPr>
        <w:t>בישיבה זו (אוגוסט 2011) אישרה ועדת ההיגוי חיוב של רותם בטיחות בארנונה על פי שטח של 2,373 מ"ר, בסכום של כ-131,000 ש"ח.</w:t>
      </w:r>
    </w:p>
    <w:p w:rsidR="000B385D" w:rsidRPr="00011A0E" w:rsidP="000A18DB">
      <w:pPr>
        <w:spacing w:after="240" w:line="230" w:lineRule="exact"/>
        <w:ind w:left="340"/>
        <w:jc w:val="both"/>
        <w:rPr>
          <w:rFonts w:cs="FrankRuehl"/>
          <w:sz w:val="20"/>
          <w:szCs w:val="22"/>
          <w:rtl/>
        </w:rPr>
      </w:pPr>
      <w:r w:rsidRPr="00011A0E">
        <w:rPr>
          <w:rFonts w:cs="FrankRuehl" w:hint="cs"/>
          <w:sz w:val="20"/>
          <w:szCs w:val="22"/>
          <w:rtl/>
        </w:rPr>
        <w:t xml:space="preserve">בביקורת עלה, כי מנהלת הפארק אישרה שלא לגבות מרותם בטיחות ארנונה בגין שטחים שהיא תופסת. יצוין, כי בגין שטחים אלה גובה הנהלת הפארק דמי ניהול. סכום הארנונה שעליו ויתרה הנהלת הפארק עומד על כ-46,000 ש"ח בשנה. </w:t>
      </w:r>
    </w:p>
    <w:p w:rsidR="000B385D" w:rsidRPr="00011A0E" w:rsidP="000A18DB">
      <w:pPr>
        <w:pStyle w:val="RESHET"/>
        <w:keepLines/>
        <w:ind w:left="567"/>
        <w:rPr>
          <w:rtl/>
        </w:rPr>
      </w:pPr>
      <w:r w:rsidRPr="00011A0E">
        <w:rPr>
          <w:rFonts w:hint="cs"/>
          <w:rtl/>
        </w:rPr>
        <w:t>משרד מבקר המדינה מעיר, כי לא נמצאה כל עילה לזכאות רותם בטיחות להנחה בארנונה. באין עילה חוקית למתן הנחה או פטור מתשלום ארנונה, על רותם לפעול לגביית ארנונה מרותם בטיחות כמקובל בפארק רותם.</w:t>
      </w:r>
    </w:p>
    <w:p w:rsidR="00483F00" w:rsidP="00483F00">
      <w:pPr>
        <w:spacing w:after="120" w:line="230" w:lineRule="exact"/>
        <w:jc w:val="both"/>
        <w:rPr>
          <w:rFonts w:cs="FrankRuehl"/>
          <w:sz w:val="22"/>
          <w:szCs w:val="22"/>
          <w:rtl/>
        </w:rPr>
      </w:pPr>
    </w:p>
    <w:p w:rsidR="00483F00" w:rsidP="00483F00">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483F00" w:rsidP="00483F00">
      <w:pPr>
        <w:spacing w:after="120" w:line="230" w:lineRule="exact"/>
        <w:jc w:val="both"/>
        <w:rPr>
          <w:rFonts w:cs="FrankRuehl"/>
          <w:sz w:val="22"/>
          <w:szCs w:val="22"/>
          <w:rtl/>
        </w:rPr>
      </w:pPr>
    </w:p>
    <w:p w:rsidR="000B385D" w:rsidRPr="00011A0E" w:rsidP="00483F00">
      <w:pPr>
        <w:pStyle w:val="RESHET"/>
        <w:keepLines/>
        <w:rPr>
          <w:rtl/>
        </w:rPr>
      </w:pPr>
      <w:r w:rsidRPr="00011A0E">
        <w:rPr>
          <w:rFonts w:hint="cs"/>
          <w:rtl/>
        </w:rPr>
        <w:t>רותם מכרה את החטיבה לציוד בטיחות ליזמים פרטיים. בביקורת עלה, כי מחיר המכירה של החטיבה לא עודכן בהתאם לנתונים שהיו ידועים בעת המכירה, על אף שניכר היה, כי ביצועי החטיבה השתפרו עד אותה עת באופן בולט, כך שקיים חשש שהיה נמוך מערכה. בנוסף לכך, שילמה רותם למנהל החטיבה סכומים משמעותיים על אף שלא הייתה מחויבת לכך. התוצאה בפועל הייתה מכירה של החטיבה בתמורה מזערית.</w:t>
      </w:r>
    </w:p>
    <w:p w:rsidR="000B385D" w:rsidRPr="00011A0E" w:rsidP="00483F00">
      <w:pPr>
        <w:pStyle w:val="RESHET"/>
        <w:keepLines/>
        <w:rPr>
          <w:rtl/>
        </w:rPr>
      </w:pPr>
      <w:r w:rsidRPr="00011A0E">
        <w:rPr>
          <w:rFonts w:hint="cs"/>
          <w:rtl/>
        </w:rPr>
        <w:t xml:space="preserve">כמו כן, בסמוך למכירת החטיבה לציוד בטיחות התקשרה קמ"ג בהסכם עם משרד החקלאות להקמת מרכז לשעת חירום. בביקורת עלה, כי מיד לאחר מכן העבירה קמ"ג את ההסכם לביצוע, כפי שהוא, לרותם, באמצעות החטיבה לציוד בטיחות, אשר נמכרה בתוך זמן קצר לרותם בטיחות. בתוך כחודש עבר החוזה מקמ"ג לרותם וממנה לרותם בטיחות, דבר שבפועל אפשר לרותם בטיחות ולמשרד החקלאות להימנע ממכרז כדין. </w:t>
      </w:r>
    </w:p>
    <w:p w:rsidR="000B385D" w:rsidRPr="00011A0E" w:rsidP="00483F00">
      <w:pPr>
        <w:pStyle w:val="RESHET"/>
        <w:keepLines/>
        <w:rPr>
          <w:rtl/>
        </w:rPr>
      </w:pPr>
      <w:r w:rsidRPr="00011A0E">
        <w:rPr>
          <w:rFonts w:hint="cs"/>
          <w:rtl/>
        </w:rPr>
        <w:t xml:space="preserve">מאז תחילת פעילותה של רותם בטיחות מתנהלת הפעילות של רותם מולה ללא הסדרה ראויה: הסכמים לא נחתמו כמתחייב, וארנונה לא נגבתה כנדרש. </w:t>
      </w:r>
    </w:p>
    <w:p w:rsidR="000B385D" w:rsidRPr="00011A0E" w:rsidP="00483F00">
      <w:pPr>
        <w:pStyle w:val="RESHET"/>
        <w:keepLines/>
        <w:rPr>
          <w:rtl/>
        </w:rPr>
      </w:pPr>
      <w:r w:rsidRPr="00011A0E">
        <w:rPr>
          <w:rFonts w:hint="cs"/>
          <w:rtl/>
        </w:rPr>
        <w:t xml:space="preserve">מהתמונה הכוללת העולה מן הביקורת בעניין הפרטת החטיבה לציוד בטיחות עולה, כי רותם ויתרה ויתורים רבים בהתקשרויותיה עם הבעלים של חברת רותם בטיחות, ובייחוד עם מנהל החטיבה, בנושאים רבים ובסכומי כסף משמעותיים, בלי שהייתה לה מחויבות חוזית לכך. </w:t>
      </w:r>
    </w:p>
    <w:p w:rsidR="000B385D" w:rsidRPr="00011A0E" w:rsidP="00B73C77">
      <w:pPr>
        <w:spacing w:after="120" w:line="230" w:lineRule="exact"/>
        <w:jc w:val="both"/>
        <w:rPr>
          <w:rFonts w:cs="FrankRuehl"/>
          <w:b/>
          <w:bCs/>
          <w:sz w:val="20"/>
          <w:szCs w:val="22"/>
          <w:u w:val="single"/>
          <w:rtl/>
        </w:rPr>
      </w:pPr>
    </w:p>
    <w:p w:rsidR="00D460F3" w:rsidRPr="00011A0E" w:rsidP="00B73C77">
      <w:pPr>
        <w:spacing w:after="120" w:line="230" w:lineRule="exact"/>
        <w:jc w:val="both"/>
        <w:rPr>
          <w:rFonts w:cs="FrankRuehl"/>
          <w:b/>
          <w:bCs/>
          <w:sz w:val="20"/>
          <w:szCs w:val="22"/>
          <w:u w:val="single"/>
          <w:rtl/>
        </w:rPr>
      </w:pPr>
    </w:p>
    <w:p w:rsidR="000B385D" w:rsidRPr="002D6803" w:rsidP="00B73C77">
      <w:pPr>
        <w:pStyle w:val="KOT4"/>
        <w:rPr>
          <w:rtl/>
        </w:rPr>
      </w:pPr>
      <w:r w:rsidRPr="002D6803">
        <w:rPr>
          <w:rFonts w:hint="cs"/>
          <w:rtl/>
        </w:rPr>
        <w:t>סיכום</w:t>
      </w:r>
    </w:p>
    <w:p w:rsidR="000B385D" w:rsidRPr="00011A0E" w:rsidP="00483F00">
      <w:pPr>
        <w:pStyle w:val="RESHET"/>
        <w:keepLines/>
        <w:rPr>
          <w:rtl/>
        </w:rPr>
      </w:pPr>
      <w:r w:rsidRPr="00011A0E">
        <w:rPr>
          <w:rFonts w:hint="cs"/>
          <w:rtl/>
        </w:rPr>
        <w:t>רותם מהווה את הזרוע השיווקית של קמ"ג. כמו כן, רותם עוסקת בפעילות עסקית עצמאית.</w:t>
      </w:r>
    </w:p>
    <w:p w:rsidR="000B385D" w:rsidRPr="00011A0E" w:rsidP="00483F00">
      <w:pPr>
        <w:pStyle w:val="RESHET"/>
        <w:keepLines/>
        <w:rPr>
          <w:rtl/>
        </w:rPr>
      </w:pPr>
      <w:r w:rsidRPr="00011A0E">
        <w:rPr>
          <w:rFonts w:hint="cs"/>
          <w:rtl/>
        </w:rPr>
        <w:t xml:space="preserve">בביקורת עלה, כי פעולות עסקיות של רותם, ובהן רכישתו והפעלתו של מפעל הכימיה ופעילות חטיבת שרביט, הסבו לרותם הפסדים. </w:t>
      </w:r>
    </w:p>
    <w:p w:rsidR="000B385D" w:rsidRPr="00011A0E" w:rsidP="00483F00">
      <w:pPr>
        <w:pStyle w:val="RESHET"/>
        <w:keepLines/>
        <w:rPr>
          <w:rtl/>
        </w:rPr>
      </w:pPr>
      <w:r w:rsidRPr="00011A0E">
        <w:rPr>
          <w:rFonts w:hint="cs"/>
          <w:rtl/>
        </w:rPr>
        <w:t>בביקורת עלה חשש, כי רותם מכרה את פעילות החטיבה לציוד בטיחות במחיר הנמוך מערכה; וכן עלה כי רותם שילמה למנהל החטיבה סכום של כ-2.2 מיליון ש"ח בגין חלוקת רווחים על אף שהדבר לא עוגן בהסכם מלכתחילה. עוד עלה, כי קמ"ג העבירה לרותם וממנה לרותם בטיחות חוזה עם משרד החקלאות להפעלת מחסן חירום, לכאורה באופן שסייע למשרד החקלאות ולרותם בטיחות להימנע מקיום מכרז כנדרש.</w:t>
      </w:r>
    </w:p>
    <w:p w:rsidR="000B385D" w:rsidRPr="00011A0E" w:rsidP="00483F00">
      <w:pPr>
        <w:pStyle w:val="RESHET"/>
        <w:keepLines/>
        <w:rPr>
          <w:rtl/>
        </w:rPr>
      </w:pPr>
      <w:r w:rsidRPr="00011A0E">
        <w:rPr>
          <w:rFonts w:hint="cs"/>
          <w:rtl/>
        </w:rPr>
        <w:t>כעולה בביקורת, רותם עשתה פעולות ללא קבלת אישור הדירקטוריון וללא ידיעתו. הדבר נוגד את כללי המנהל התקין. על דירקטוריון רותם להגביר את הפיקוח על פעילותה של החברה.</w:t>
      </w:r>
    </w:p>
    <w:p w:rsidR="000B385D" w:rsidRPr="00011A0E" w:rsidP="00B73C77">
      <w:pPr>
        <w:spacing w:after="120" w:line="230" w:lineRule="exact"/>
        <w:jc w:val="both"/>
        <w:rPr>
          <w:rFonts w:cs="FrankRuehl"/>
          <w:b/>
          <w:bCs/>
          <w:sz w:val="20"/>
          <w:szCs w:val="22"/>
          <w:rtl/>
        </w:rPr>
      </w:pPr>
    </w:p>
    <w:p w:rsidR="000E7DF5" w:rsidP="00B73C77">
      <w:pPr>
        <w:pStyle w:val="Header"/>
        <w:tabs>
          <w:tab w:val="clear" w:pos="4153"/>
          <w:tab w:val="clear" w:pos="8306"/>
        </w:tabs>
        <w:rPr>
          <w:rtl/>
        </w:rPr>
        <w:sectPr w:rsidSect="000E7DF5">
          <w:headerReference w:type="even" r:id="rId6"/>
          <w:headerReference w:type="default" r:id="rId7"/>
          <w:footerReference w:type="even" r:id="rId8"/>
          <w:footerReference w:type="default" r:id="rId9"/>
          <w:headerReference w:type="first" r:id="rId10"/>
          <w:footerReference w:type="first" r:id="rId11"/>
          <w:footnotePr>
            <w:numRestart w:val="eachSect"/>
          </w:footnotePr>
          <w:pgSz w:w="11906" w:h="16838" w:code="9"/>
          <w:pgMar w:top="1758" w:right="2552" w:bottom="4253" w:left="2552" w:header="1247" w:footer="1134" w:gutter="0"/>
          <w:pgNumType w:start="1881"/>
          <w:cols w:space="720"/>
          <w:titlePg/>
          <w:rtlGutter/>
        </w:sectPr>
      </w:pPr>
    </w:p>
    <w:p w:rsidR="00C8241F" w:rsidP="00B73C77">
      <w:pPr>
        <w:pStyle w:val="Header"/>
        <w:tabs>
          <w:tab w:val="clear" w:pos="4153"/>
          <w:tab w:val="clear" w:pos="8306"/>
        </w:tabs>
        <w:rPr>
          <w:rtl/>
        </w:rPr>
      </w:pPr>
    </w:p>
    <w:sectPr w:rsidSect="00B121BF">
      <w:headerReference w:type="first" r:id="rId12"/>
      <w:footerReference w:type="first" r:id="rId13"/>
      <w:footnotePr>
        <w:numRestart w:val="eachSect"/>
      </w:footnotePr>
      <w:pgSz w:w="11906" w:h="16838" w:code="9"/>
      <w:pgMar w:top="1758" w:right="2552" w:bottom="4253" w:left="2552" w:header="1247" w:footer="1134" w:gutter="0"/>
      <w:cols w:space="720"/>
      <w:titlePg/>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auto"/>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Atlas AAA">
    <w:panose1 w:val="00000000000000000000"/>
    <w:charset w:val="00"/>
    <w:family w:val="swiss"/>
    <w:notTrueType/>
    <w:pitch w:val="variable"/>
    <w:sig w:usb0="00002A87" w:usb1="80000000" w:usb2="00000008"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589C" w:rsidP="007C589C">
    <w:pPr>
      <w:pStyle w:val="Footer"/>
      <w:tabs>
        <w:tab w:val="left" w:pos="1222"/>
      </w:tabs>
      <w:spacing w:line="160" w:lineRule="exact"/>
      <w:rPr>
        <w:sz w:val="16"/>
        <w:szCs w:val="16"/>
        <w:rtl/>
      </w:rPr>
    </w:pPr>
    <w:r>
      <w:rPr>
        <w:sz w:val="16"/>
        <w:szCs w:val="16"/>
        <w:rtl/>
      </w:rPr>
      <w:t>שם הדוח:</w:t>
    </w:r>
    <w:r>
      <w:rPr>
        <w:sz w:val="16"/>
        <w:szCs w:val="16"/>
        <w:rtl/>
      </w:rPr>
      <w:tab/>
    </w:r>
    <w:r w:rsidRPr="007C589C">
      <w:rPr>
        <w:sz w:val="16"/>
        <w:szCs w:val="16"/>
        <w:rtl/>
      </w:rPr>
      <w:t>רותם תעשיות בע"מ</w:t>
    </w:r>
  </w:p>
  <w:p w:rsidR="00C2718A" w:rsidRPr="00B4181C" w:rsidP="00C2718A">
    <w:pPr>
      <w:pStyle w:val="Footer"/>
      <w:tabs>
        <w:tab w:val="left" w:pos="1222"/>
      </w:tabs>
      <w:spacing w:line="160" w:lineRule="exact"/>
      <w:rPr>
        <w:sz w:val="16"/>
        <w:szCs w:val="16"/>
        <w:rtl/>
      </w:rPr>
    </w:pPr>
    <w:r w:rsidRPr="00B4181C">
      <w:rPr>
        <w:sz w:val="16"/>
        <w:szCs w:val="16"/>
        <w:rtl/>
      </w:rPr>
      <w:t>מסגרת הפרסום:</w:t>
    </w:r>
    <w:r w:rsidRPr="00B4181C">
      <w:rPr>
        <w:sz w:val="16"/>
        <w:szCs w:val="16"/>
        <w:rtl/>
      </w:rPr>
      <w:tab/>
    </w:r>
    <w:r>
      <w:rPr>
        <w:rFonts w:hint="cs"/>
        <w:sz w:val="16"/>
        <w:szCs w:val="16"/>
        <w:rtl/>
      </w:rPr>
      <w:t>דוח שנתי 66ג</w:t>
    </w:r>
  </w:p>
  <w:p w:rsidR="008029DE" w:rsidP="008029DE">
    <w:pPr>
      <w:pStyle w:val="Footer"/>
      <w:tabs>
        <w:tab w:val="left" w:pos="1222"/>
      </w:tabs>
      <w:spacing w:line="160" w:lineRule="exact"/>
      <w:rPr>
        <w:sz w:val="16"/>
        <w:szCs w:val="16"/>
        <w:rtl/>
      </w:rPr>
    </w:pPr>
    <w:r>
      <w:rPr>
        <w:sz w:val="16"/>
        <w:szCs w:val="16"/>
        <w:rtl/>
      </w:rPr>
      <w:t>שנת פרסום:</w:t>
    </w:r>
    <w:r>
      <w:rPr>
        <w:sz w:val="16"/>
        <w:szCs w:val="16"/>
        <w:rtl/>
      </w:rPr>
      <w:tab/>
      <w:t>התשע"ו-201</w:t>
    </w:r>
    <w:r>
      <w:rPr>
        <w:rFonts w:hint="cs"/>
        <w:sz w:val="16"/>
        <w:szCs w:val="16"/>
        <w:rtl/>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589C" w:rsidP="007C589C">
    <w:pPr>
      <w:pStyle w:val="Footer"/>
      <w:tabs>
        <w:tab w:val="left" w:pos="1222"/>
      </w:tabs>
      <w:spacing w:line="160" w:lineRule="exact"/>
      <w:rPr>
        <w:sz w:val="16"/>
        <w:szCs w:val="16"/>
        <w:rtl/>
      </w:rPr>
    </w:pPr>
    <w:r>
      <w:rPr>
        <w:sz w:val="16"/>
        <w:szCs w:val="16"/>
        <w:rtl/>
      </w:rPr>
      <w:t>שם הדוח:</w:t>
    </w:r>
    <w:r>
      <w:rPr>
        <w:sz w:val="16"/>
        <w:szCs w:val="16"/>
        <w:rtl/>
      </w:rPr>
      <w:tab/>
    </w:r>
    <w:r w:rsidRPr="007C589C">
      <w:rPr>
        <w:sz w:val="16"/>
        <w:szCs w:val="16"/>
        <w:rtl/>
      </w:rPr>
      <w:t>רותם תעשיות בע"מ</w:t>
    </w:r>
  </w:p>
  <w:p w:rsidR="00C2718A" w:rsidRPr="00B4181C" w:rsidP="00C2718A">
    <w:pPr>
      <w:pStyle w:val="Footer"/>
      <w:tabs>
        <w:tab w:val="left" w:pos="1222"/>
      </w:tabs>
      <w:spacing w:line="160" w:lineRule="exact"/>
      <w:rPr>
        <w:sz w:val="16"/>
        <w:szCs w:val="16"/>
        <w:rtl/>
      </w:rPr>
    </w:pPr>
    <w:r w:rsidRPr="00B4181C">
      <w:rPr>
        <w:sz w:val="16"/>
        <w:szCs w:val="16"/>
        <w:rtl/>
      </w:rPr>
      <w:t>מסגרת הפרסום:</w:t>
    </w:r>
    <w:r w:rsidRPr="00B4181C">
      <w:rPr>
        <w:sz w:val="16"/>
        <w:szCs w:val="16"/>
        <w:rtl/>
      </w:rPr>
      <w:tab/>
    </w:r>
    <w:r>
      <w:rPr>
        <w:rFonts w:hint="cs"/>
        <w:sz w:val="16"/>
        <w:szCs w:val="16"/>
        <w:rtl/>
      </w:rPr>
      <w:t>דוח שנתי 66ג</w:t>
    </w:r>
  </w:p>
  <w:p w:rsidR="008029DE" w:rsidP="008029DE">
    <w:pPr>
      <w:pStyle w:val="Footer"/>
      <w:tabs>
        <w:tab w:val="left" w:pos="1222"/>
      </w:tabs>
      <w:spacing w:line="160" w:lineRule="exact"/>
      <w:rPr>
        <w:sz w:val="16"/>
        <w:szCs w:val="16"/>
        <w:rtl/>
      </w:rPr>
    </w:pPr>
    <w:r>
      <w:rPr>
        <w:sz w:val="16"/>
        <w:szCs w:val="16"/>
        <w:rtl/>
      </w:rPr>
      <w:t>שנת פרסום:</w:t>
    </w:r>
    <w:r>
      <w:rPr>
        <w:sz w:val="16"/>
        <w:szCs w:val="16"/>
        <w:rtl/>
      </w:rPr>
      <w:tab/>
      <w:t>התשע"ו-201</w:t>
    </w:r>
    <w:r>
      <w:rPr>
        <w:rFonts w:hint="cs"/>
        <w:sz w:val="16"/>
        <w:szCs w:val="16"/>
        <w:rtl/>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5A6" w:rsidP="009718F9">
    <w:pPr>
      <w:pStyle w:val="Footer"/>
      <w:tabs>
        <w:tab w:val="left" w:pos="1222"/>
      </w:tabs>
      <w:spacing w:line="160" w:lineRule="exact"/>
      <w:rPr>
        <w:sz w:val="16"/>
        <w:szCs w:val="16"/>
        <w:rtl/>
      </w:rPr>
    </w:pPr>
    <w:r>
      <w:rPr>
        <w:sz w:val="16"/>
        <w:szCs w:val="16"/>
        <w:rtl/>
      </w:rPr>
      <w:t>שם הדוח:</w:t>
    </w:r>
    <w:r>
      <w:rPr>
        <w:sz w:val="16"/>
        <w:szCs w:val="16"/>
        <w:rtl/>
      </w:rPr>
      <w:tab/>
    </w:r>
    <w:r w:rsidRPr="007C589C" w:rsidR="007C589C">
      <w:rPr>
        <w:sz w:val="16"/>
        <w:szCs w:val="16"/>
        <w:rtl/>
      </w:rPr>
      <w:t>רותם תעשיות בע"מ</w:t>
    </w:r>
  </w:p>
  <w:p w:rsidR="00C2718A" w:rsidRPr="00B4181C" w:rsidP="00C2718A">
    <w:pPr>
      <w:pStyle w:val="Footer"/>
      <w:tabs>
        <w:tab w:val="left" w:pos="1222"/>
      </w:tabs>
      <w:spacing w:line="160" w:lineRule="exact"/>
      <w:rPr>
        <w:sz w:val="16"/>
        <w:szCs w:val="16"/>
        <w:rtl/>
      </w:rPr>
    </w:pPr>
    <w:r w:rsidRPr="00B4181C">
      <w:rPr>
        <w:sz w:val="16"/>
        <w:szCs w:val="16"/>
        <w:rtl/>
      </w:rPr>
      <w:t>מסגרת הפרסום:</w:t>
    </w:r>
    <w:r w:rsidRPr="00B4181C">
      <w:rPr>
        <w:sz w:val="16"/>
        <w:szCs w:val="16"/>
        <w:rtl/>
      </w:rPr>
      <w:tab/>
    </w:r>
    <w:r>
      <w:rPr>
        <w:rFonts w:hint="cs"/>
        <w:sz w:val="16"/>
        <w:szCs w:val="16"/>
        <w:rtl/>
      </w:rPr>
      <w:t>דוח שנתי 66ג</w:t>
    </w:r>
  </w:p>
  <w:p w:rsidR="001275A6" w:rsidP="009718F9">
    <w:pPr>
      <w:pStyle w:val="Footer"/>
      <w:tabs>
        <w:tab w:val="left" w:pos="1222"/>
      </w:tabs>
      <w:spacing w:line="160" w:lineRule="exact"/>
      <w:rPr>
        <w:sz w:val="16"/>
        <w:szCs w:val="16"/>
        <w:rtl/>
      </w:rPr>
    </w:pPr>
    <w:r>
      <w:rPr>
        <w:sz w:val="16"/>
        <w:szCs w:val="16"/>
        <w:rtl/>
      </w:rPr>
      <w:t>שנת פרסום:</w:t>
    </w:r>
    <w:r>
      <w:rPr>
        <w:sz w:val="16"/>
        <w:szCs w:val="16"/>
        <w:rtl/>
      </w:rPr>
      <w:tab/>
    </w:r>
    <w:r w:rsidR="008029DE">
      <w:rPr>
        <w:sz w:val="16"/>
        <w:szCs w:val="16"/>
        <w:rtl/>
      </w:rPr>
      <w:t>התשע"ו-201</w:t>
    </w:r>
    <w:r w:rsidR="008029DE">
      <w:rPr>
        <w:rFonts w:hint="cs"/>
        <w:sz w:val="16"/>
        <w:szCs w:val="16"/>
        <w:rtl/>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DF5" w:rsidRPr="000E7DF5" w:rsidP="000E7DF5">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51C12">
      <w:pPr>
        <w:spacing w:after="120"/>
        <w:rPr>
          <w:sz w:val="16"/>
          <w:szCs w:val="16"/>
        </w:rPr>
      </w:pPr>
      <w:r>
        <w:rPr>
          <w:sz w:val="16"/>
          <w:szCs w:val="16"/>
          <w:rtl/>
        </w:rPr>
        <w:t>__________________</w:t>
      </w:r>
    </w:p>
  </w:footnote>
  <w:footnote w:type="continuationSeparator" w:id="1">
    <w:p w:rsidR="00451C12">
      <w:r>
        <w:t>_______________</w:t>
      </w:r>
    </w:p>
  </w:footnote>
  <w:footnote w:id="2">
    <w:p w:rsidR="000B385D" w:rsidRPr="007C589C" w:rsidP="007C589C">
      <w:pPr>
        <w:pStyle w:val="FootnoteText"/>
        <w:keepLines/>
        <w:spacing w:line="200" w:lineRule="exact"/>
        <w:ind w:left="397" w:hanging="397"/>
        <w:jc w:val="both"/>
        <w:rPr>
          <w:rFonts w:cs="FrankRuehl"/>
        </w:rPr>
      </w:pPr>
      <w:r w:rsidRPr="007C589C">
        <w:rPr>
          <w:rStyle w:val="FootnoteReference"/>
          <w:rFonts w:ascii="FrankRuehl" w:hAnsi="FrankRuehl" w:cs="Atlas AAA"/>
          <w:vertAlign w:val="baseline"/>
        </w:rPr>
        <w:footnoteRef/>
      </w:r>
      <w:r w:rsidRPr="007C589C">
        <w:rPr>
          <w:rFonts w:cs="FrankRuehl"/>
          <w:rtl/>
        </w:rPr>
        <w:t xml:space="preserve"> </w:t>
      </w:r>
      <w:r w:rsidRPr="007C589C">
        <w:rPr>
          <w:rFonts w:cs="FrankRuehl" w:hint="cs"/>
          <w:rtl/>
        </w:rPr>
        <w:tab/>
        <w:t xml:space="preserve">בדוח המאוחד הוצגו התוצאות העסקיות של רותם בצוותא עם חברות הבת שלה.  </w:t>
      </w:r>
    </w:p>
  </w:footnote>
  <w:footnote w:id="3">
    <w:p w:rsidR="000B385D" w:rsidRPr="007C589C" w:rsidP="007C589C">
      <w:pPr>
        <w:pStyle w:val="FootnoteText"/>
        <w:keepLines/>
        <w:spacing w:line="200" w:lineRule="exact"/>
        <w:ind w:left="397" w:hanging="397"/>
        <w:jc w:val="both"/>
        <w:rPr>
          <w:rFonts w:cs="FrankRuehl"/>
        </w:rPr>
      </w:pPr>
      <w:r w:rsidRPr="007C589C">
        <w:rPr>
          <w:rStyle w:val="FootnoteReference"/>
          <w:rFonts w:ascii="FrankRuehl" w:hAnsi="FrankRuehl" w:cs="Atlas AAA"/>
          <w:vertAlign w:val="baseline"/>
        </w:rPr>
        <w:footnoteRef/>
      </w:r>
      <w:r w:rsidRPr="007C589C">
        <w:rPr>
          <w:rFonts w:cs="FrankRuehl"/>
          <w:rtl/>
        </w:rPr>
        <w:t xml:space="preserve"> </w:t>
      </w:r>
      <w:r w:rsidRPr="007C589C">
        <w:rPr>
          <w:rFonts w:cs="FrankRuehl" w:hint="cs"/>
          <w:rtl/>
        </w:rPr>
        <w:tab/>
      </w:r>
      <w:r w:rsidRPr="007C589C">
        <w:rPr>
          <w:rFonts w:cs="FrankRuehl"/>
          <w:rtl/>
        </w:rPr>
        <w:t>מרכז רווח הוא יחידה בעלת מבנה סגור של הכנסות והוצאות.</w:t>
      </w:r>
    </w:p>
  </w:footnote>
  <w:footnote w:id="4">
    <w:p w:rsidR="000B385D" w:rsidRPr="007C589C" w:rsidP="00922FB9">
      <w:pPr>
        <w:pStyle w:val="FootnoteText"/>
        <w:keepLines/>
        <w:spacing w:line="200" w:lineRule="exact"/>
        <w:ind w:left="397" w:hanging="397"/>
        <w:jc w:val="both"/>
        <w:rPr>
          <w:rFonts w:cs="FrankRuehl"/>
          <w:rtl/>
        </w:rPr>
      </w:pPr>
      <w:r w:rsidRPr="007C589C">
        <w:rPr>
          <w:rStyle w:val="FootnoteReference"/>
          <w:rFonts w:ascii="FrankRuehl" w:hAnsi="FrankRuehl" w:cs="Atlas AAA"/>
          <w:vertAlign w:val="baseline"/>
        </w:rPr>
        <w:footnoteRef/>
      </w:r>
      <w:r w:rsidRPr="007C589C">
        <w:rPr>
          <w:rFonts w:cs="FrankRuehl"/>
          <w:rtl/>
        </w:rPr>
        <w:t xml:space="preserve"> </w:t>
      </w:r>
      <w:r w:rsidRPr="007C589C">
        <w:rPr>
          <w:rFonts w:cs="FrankRuehl" w:hint="cs"/>
          <w:rtl/>
        </w:rPr>
        <w:tab/>
        <w:t>סעיף 32.</w:t>
      </w:r>
    </w:p>
  </w:footnote>
  <w:footnote w:id="5">
    <w:p w:rsidR="000B385D" w:rsidRPr="007C589C" w:rsidP="007C589C">
      <w:pPr>
        <w:pStyle w:val="FootnoteText"/>
        <w:keepLines/>
        <w:spacing w:line="200" w:lineRule="exact"/>
        <w:ind w:left="397" w:hanging="397"/>
        <w:jc w:val="both"/>
        <w:rPr>
          <w:rFonts w:cs="FrankRuehl"/>
        </w:rPr>
      </w:pPr>
      <w:r w:rsidRPr="007C589C">
        <w:rPr>
          <w:rStyle w:val="FootnoteReference"/>
          <w:rFonts w:ascii="FrankRuehl" w:hAnsi="FrankRuehl" w:cs="Atlas AAA"/>
          <w:vertAlign w:val="baseline"/>
        </w:rPr>
        <w:footnoteRef/>
      </w:r>
      <w:r w:rsidRPr="007C589C">
        <w:rPr>
          <w:rFonts w:cs="FrankRuehl"/>
          <w:rtl/>
        </w:rPr>
        <w:t xml:space="preserve"> </w:t>
      </w:r>
      <w:r w:rsidRPr="007C589C">
        <w:rPr>
          <w:rFonts w:cs="FrankRuehl" w:hint="cs"/>
          <w:rtl/>
        </w:rPr>
        <w:tab/>
        <w:t>חברה בבעלות אמריקנית שפעלה בתחום הכימיה במבנה שבבעלותה בפארק רותם.</w:t>
      </w:r>
    </w:p>
  </w:footnote>
  <w:footnote w:id="6">
    <w:p w:rsidR="000B385D" w:rsidRPr="007C589C" w:rsidP="007C589C">
      <w:pPr>
        <w:pStyle w:val="FootnoteText"/>
        <w:keepLines/>
        <w:spacing w:line="200" w:lineRule="exact"/>
        <w:ind w:left="397" w:hanging="397"/>
        <w:jc w:val="both"/>
        <w:rPr>
          <w:rFonts w:cs="FrankRuehl"/>
        </w:rPr>
      </w:pPr>
      <w:r w:rsidRPr="007C589C">
        <w:rPr>
          <w:rStyle w:val="FootnoteReference"/>
          <w:rFonts w:ascii="FrankRuehl" w:hAnsi="FrankRuehl" w:cs="Atlas AAA"/>
          <w:vertAlign w:val="baseline"/>
        </w:rPr>
        <w:footnoteRef/>
      </w:r>
      <w:r w:rsidRPr="007C589C">
        <w:rPr>
          <w:rFonts w:cs="FrankRuehl"/>
          <w:rtl/>
        </w:rPr>
        <w:t xml:space="preserve"> </w:t>
      </w:r>
      <w:r w:rsidRPr="007C589C">
        <w:rPr>
          <w:rFonts w:cs="FrankRuehl" w:hint="cs"/>
          <w:rtl/>
        </w:rPr>
        <w:tab/>
        <w:t>החלטת ממשלה מס' 1577 מיום 15.4.07.</w:t>
      </w:r>
    </w:p>
  </w:footnote>
  <w:footnote w:id="7">
    <w:p w:rsidR="000B385D" w:rsidRPr="007C589C" w:rsidP="007C589C">
      <w:pPr>
        <w:pStyle w:val="FootnoteText"/>
        <w:keepLines/>
        <w:spacing w:line="200" w:lineRule="exact"/>
        <w:ind w:left="397" w:hanging="397"/>
        <w:jc w:val="both"/>
        <w:rPr>
          <w:rFonts w:cs="FrankRuehl"/>
        </w:rPr>
      </w:pPr>
      <w:r w:rsidRPr="007C589C">
        <w:rPr>
          <w:rStyle w:val="FootnoteReference"/>
          <w:rFonts w:ascii="FrankRuehl" w:hAnsi="FrankRuehl" w:cs="Atlas AAA"/>
          <w:vertAlign w:val="baseline"/>
        </w:rPr>
        <w:footnoteRef/>
      </w:r>
      <w:r w:rsidRPr="007C589C">
        <w:rPr>
          <w:rFonts w:cs="FrankRuehl"/>
          <w:rtl/>
        </w:rPr>
        <w:t xml:space="preserve"> </w:t>
      </w:r>
      <w:r w:rsidRPr="007C589C">
        <w:rPr>
          <w:rFonts w:cs="FrankRuehl" w:hint="cs"/>
          <w:rtl/>
        </w:rPr>
        <w:tab/>
        <w:t>סכום המוניטין נובע מההפרש שבין ערך הנכסים המוחשיים של החטיבה (רכוש קבוע, מלאי וכו') לבין ערכה המלא. כאשר ערכה המלא של הפעילות גבוה מסכום הנכסים המוחשיים שלה, קיים מוניטין חיובי.</w:t>
      </w:r>
    </w:p>
  </w:footnote>
  <w:footnote w:id="8">
    <w:p w:rsidR="000B385D" w:rsidRPr="007C589C" w:rsidP="007C589C">
      <w:pPr>
        <w:pStyle w:val="FootnoteText"/>
        <w:keepLines/>
        <w:spacing w:line="200" w:lineRule="exact"/>
        <w:ind w:left="397" w:hanging="397"/>
        <w:jc w:val="both"/>
        <w:rPr>
          <w:rFonts w:cs="FrankRuehl"/>
        </w:rPr>
      </w:pPr>
      <w:r w:rsidRPr="007C589C">
        <w:rPr>
          <w:rStyle w:val="FootnoteReference"/>
          <w:rFonts w:ascii="FrankRuehl" w:hAnsi="FrankRuehl" w:cs="Atlas AAA"/>
          <w:vertAlign w:val="baseline"/>
        </w:rPr>
        <w:footnoteRef/>
      </w:r>
      <w:r w:rsidRPr="007C589C">
        <w:rPr>
          <w:rFonts w:cs="FrankRuehl"/>
          <w:rtl/>
        </w:rPr>
        <w:t xml:space="preserve"> </w:t>
      </w:r>
      <w:r w:rsidRPr="007C589C">
        <w:rPr>
          <w:rFonts w:cs="FrankRuehl" w:hint="cs"/>
          <w:rtl/>
        </w:rPr>
        <w:tab/>
        <w:t>מנהל החטיבה היה באותה עת עובד קמ"ג וכיהן כמנהל חטיבת ציוד הבטיחות ברותם.</w:t>
      </w:r>
    </w:p>
  </w:footnote>
  <w:footnote w:id="9">
    <w:p w:rsidR="000B385D" w:rsidRPr="007C589C" w:rsidP="007C589C">
      <w:pPr>
        <w:pStyle w:val="FootnoteText"/>
        <w:keepLines/>
        <w:spacing w:line="200" w:lineRule="exact"/>
        <w:ind w:left="397" w:hanging="397"/>
        <w:jc w:val="both"/>
        <w:rPr>
          <w:rFonts w:cs="FrankRuehl"/>
        </w:rPr>
      </w:pPr>
      <w:r w:rsidRPr="007C589C">
        <w:rPr>
          <w:rStyle w:val="FootnoteReference"/>
          <w:rFonts w:ascii="FrankRuehl" w:hAnsi="FrankRuehl" w:cs="Atlas AAA"/>
          <w:vertAlign w:val="baseline"/>
        </w:rPr>
        <w:footnoteRef/>
      </w:r>
      <w:r w:rsidRPr="007C589C">
        <w:rPr>
          <w:rFonts w:cs="FrankRuehl"/>
          <w:rtl/>
        </w:rPr>
        <w:t xml:space="preserve"> </w:t>
      </w:r>
      <w:r w:rsidRPr="007C589C">
        <w:rPr>
          <w:rFonts w:cs="FrankRuehl" w:hint="cs"/>
          <w:rtl/>
        </w:rPr>
        <w:tab/>
        <w:t>חברה בבעלות  מנהל החטיבה.</w:t>
      </w:r>
    </w:p>
  </w:footnote>
  <w:footnote w:id="10">
    <w:p w:rsidR="000B385D" w:rsidRPr="007C589C" w:rsidP="007C589C">
      <w:pPr>
        <w:pStyle w:val="FootnoteText"/>
        <w:keepLines/>
        <w:spacing w:line="200" w:lineRule="exact"/>
        <w:ind w:left="397" w:hanging="397"/>
        <w:jc w:val="both"/>
        <w:rPr>
          <w:rFonts w:cs="FrankRuehl"/>
          <w:rtl/>
        </w:rPr>
      </w:pPr>
      <w:r w:rsidRPr="007C589C">
        <w:rPr>
          <w:rStyle w:val="FootnoteReference"/>
          <w:rFonts w:ascii="FrankRuehl" w:hAnsi="FrankRuehl" w:cs="Atlas AAA"/>
          <w:vertAlign w:val="baseline"/>
        </w:rPr>
        <w:footnoteRef/>
      </w:r>
      <w:r w:rsidRPr="007C589C">
        <w:rPr>
          <w:rFonts w:cs="FrankRuehl"/>
          <w:rtl/>
        </w:rPr>
        <w:t xml:space="preserve"> </w:t>
      </w:r>
      <w:r w:rsidRPr="007C589C">
        <w:rPr>
          <w:rFonts w:cs="FrankRuehl" w:hint="cs"/>
          <w:rtl/>
        </w:rPr>
        <w:tab/>
        <w:t>החלטת ועדת השרים קיבלה תוקף של החלטת ממשלה ב-24.1.08 ומספרה 3010 (חכ63/).</w:t>
      </w:r>
    </w:p>
  </w:footnote>
  <w:footnote w:id="11">
    <w:p w:rsidR="000B385D" w:rsidRPr="007C589C" w:rsidP="007C589C">
      <w:pPr>
        <w:pStyle w:val="FootnoteText"/>
        <w:keepLines/>
        <w:spacing w:line="200" w:lineRule="exact"/>
        <w:ind w:left="397" w:hanging="397"/>
        <w:jc w:val="both"/>
        <w:rPr>
          <w:rFonts w:cs="FrankRuehl"/>
        </w:rPr>
      </w:pPr>
      <w:r w:rsidRPr="007C589C">
        <w:rPr>
          <w:rStyle w:val="FootnoteReference"/>
          <w:rFonts w:ascii="FrankRuehl" w:hAnsi="FrankRuehl" w:cs="Atlas AAA"/>
          <w:vertAlign w:val="baseline"/>
        </w:rPr>
        <w:footnoteRef/>
      </w:r>
      <w:r w:rsidRPr="007C589C">
        <w:rPr>
          <w:rFonts w:cs="FrankRuehl"/>
          <w:rtl/>
        </w:rPr>
        <w:t xml:space="preserve"> </w:t>
      </w:r>
      <w:r w:rsidRPr="007C589C">
        <w:rPr>
          <w:rFonts w:cs="FrankRuehl" w:hint="cs"/>
          <w:rtl/>
        </w:rPr>
        <w:tab/>
        <w:t>ההפרש בין סכום המוניטין, שעמד על כ-3.4 מיליון ש"ח, לבין חלקו של המנכ"ל ברווחי החטיבה, שהסתכם בכ-2.2 מיליון ש"ח.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50D3" w:rsidP="005750D3">
    <w:pPr>
      <w:pStyle w:val="Header"/>
      <w:tabs>
        <w:tab w:val="clear" w:pos="4153"/>
        <w:tab w:val="right" w:pos="6804"/>
        <w:tab w:val="clear" w:pos="8306"/>
      </w:tabs>
      <w:rPr>
        <w:rFonts w:ascii="FrankRuehl" w:hAnsi="FrankRuehl" w:cs="FrankRuehl"/>
        <w:szCs w:val="20"/>
        <w:rtl/>
      </w:rPr>
    </w:pP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A7523E">
      <w:rPr>
        <w:rFonts w:ascii="FrankRuehl" w:hAnsi="FrankRuehl" w:cs="FrankRuehl"/>
        <w:noProof/>
        <w:szCs w:val="20"/>
        <w:rtl/>
      </w:rPr>
      <w:t>1900</w:t>
    </w:r>
    <w:r>
      <w:rPr>
        <w:rFonts w:ascii="FrankRuehl" w:hAnsi="FrankRuehl" w:cs="FrankRuehl"/>
        <w:szCs w:val="20"/>
      </w:rPr>
      <w:fldChar w:fldCharType="end"/>
    </w:r>
    <w:r>
      <w:rPr>
        <w:rFonts w:ascii="FrankRuehl" w:hAnsi="FrankRuehl" w:cs="FrankRuehl"/>
        <w:szCs w:val="20"/>
        <w:rtl/>
      </w:rPr>
      <w:tab/>
    </w:r>
    <w:r w:rsidR="00C2718A">
      <w:rPr>
        <w:rFonts w:ascii="FrankRuehl" w:hAnsi="FrankRuehl" w:cs="FrankRuehl" w:hint="cs"/>
        <w:szCs w:val="20"/>
        <w:rtl/>
      </w:rPr>
      <w:t>דוח שנתי 66ג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5A6">
    <w:pPr>
      <w:pStyle w:val="Header"/>
      <w:tabs>
        <w:tab w:val="clear" w:pos="4153"/>
        <w:tab w:val="right" w:pos="6804"/>
        <w:tab w:val="clear" w:pos="8306"/>
      </w:tabs>
      <w:rPr>
        <w:rFonts w:ascii="FrankRuehl" w:hAnsi="FrankRuehl" w:cs="FrankRuehl"/>
        <w:szCs w:val="20"/>
        <w:rtl/>
      </w:rPr>
    </w:pPr>
    <w:r w:rsidRPr="007C589C">
      <w:rPr>
        <w:rFonts w:ascii="FrankRuehl" w:hAnsi="FrankRuehl" w:cs="FrankRuehl"/>
        <w:noProof/>
        <w:szCs w:val="20"/>
        <w:rtl/>
      </w:rPr>
      <w:t>רותם תעשיות בע"מ</w:t>
    </w: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A7523E">
      <w:rPr>
        <w:rFonts w:ascii="FrankRuehl" w:hAnsi="FrankRuehl" w:cs="FrankRuehl"/>
        <w:noProof/>
        <w:szCs w:val="20"/>
        <w:rtl/>
      </w:rPr>
      <w:t>1899</w:t>
    </w:r>
    <w:r>
      <w:rPr>
        <w:rFonts w:ascii="FrankRuehl" w:hAnsi="FrankRuehl" w:cs="FrankRuehl"/>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5A6">
    <w:pPr>
      <w:pStyle w:val="Header"/>
      <w:tabs>
        <w:tab w:val="clear" w:pos="4153"/>
        <w:tab w:val="right" w:pos="6804"/>
        <w:tab w:val="clear" w:pos="8306"/>
      </w:tabs>
      <w:rPr>
        <w:rFonts w:ascii="FrankRuehl" w:hAnsi="FrankRuehl" w:cs="FrankRuehl"/>
        <w:szCs w:val="20"/>
        <w:rtl/>
      </w:rPr>
    </w:pP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A7523E">
      <w:rPr>
        <w:rFonts w:ascii="FrankRuehl" w:hAnsi="FrankRuehl" w:cs="FrankRuehl"/>
        <w:noProof/>
        <w:szCs w:val="20"/>
        <w:rtl/>
      </w:rPr>
      <w:t>1881</w:t>
    </w:r>
    <w:r>
      <w:rPr>
        <w:rFonts w:ascii="FrankRuehl" w:hAnsi="FrankRuehl" w:cs="FrankRuehl"/>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DF5" w:rsidRPr="000E7DF5" w:rsidP="000E7DF5">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D638CD"/>
    <w:multiLevelType w:val="hybridMultilevel"/>
    <w:tmpl w:val="7B38B6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FFC6428"/>
    <w:multiLevelType w:val="hybridMultilevel"/>
    <w:tmpl w:val="1CD22A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67BF5139"/>
    <w:multiLevelType w:val="multilevel"/>
    <w:tmpl w:val="DC6C961C"/>
    <w:lvl w:ilvl="0">
      <w:start w:val="1"/>
      <w:numFmt w:val="decimal"/>
      <w:pStyle w:val="a6"/>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3">
    <w:nsid w:val="6D1B7DBB"/>
    <w:multiLevelType w:val="hybridMultilevel"/>
    <w:tmpl w:val="DF240F68"/>
    <w:lvl w:ilvl="0">
      <w:start w:val="1"/>
      <w:numFmt w:val="hebrew1"/>
      <w:lvlText w:val="(%1)"/>
      <w:lvlJc w:val="left"/>
      <w:pPr>
        <w:ind w:left="870" w:hanging="360"/>
      </w:pPr>
      <w:rPr>
        <w:rFonts w:hint="default"/>
      </w:r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4">
    <w:nsid w:val="7C757186"/>
    <w:multiLevelType w:val="hybridMultilevel"/>
    <w:tmpl w:val="E3781540"/>
    <w:lvl w:ilvl="0">
      <w:start w:val="1"/>
      <w:numFmt w:val="decimal"/>
      <w:lvlText w:val="%1."/>
      <w:lvlJc w:val="left"/>
      <w:pPr>
        <w:ind w:left="510" w:hanging="360"/>
      </w:pPr>
      <w:rPr>
        <w:rFonts w:hint="default"/>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TrackMoves/>
  <w:defaultTabStop w:val="340"/>
  <w:evenAndOddHeaders/>
  <w:drawingGridHorizontalSpacing w:val="72"/>
  <w:drawingGridVerticalSpacing w:val="98"/>
  <w:displayHorizontalDrawingGridEvery w:val="2"/>
  <w:displayVerticalDrawingGridEvery w:val="2"/>
  <w:noPunctuationKerning/>
  <w:characterSpacingControl w:val="doNotCompress"/>
  <w:footnotePr>
    <w:numRestart w:val="eachSect"/>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78"/>
    <w:rsid w:val="00011A0E"/>
    <w:rsid w:val="00047C24"/>
    <w:rsid w:val="00081C30"/>
    <w:rsid w:val="0009613B"/>
    <w:rsid w:val="000A18DB"/>
    <w:rsid w:val="000B385D"/>
    <w:rsid w:val="000B7532"/>
    <w:rsid w:val="000E7DF5"/>
    <w:rsid w:val="001275A6"/>
    <w:rsid w:val="002272B8"/>
    <w:rsid w:val="002977DF"/>
    <w:rsid w:val="002A7FAA"/>
    <w:rsid w:val="002B3AE7"/>
    <w:rsid w:val="002D6803"/>
    <w:rsid w:val="00327607"/>
    <w:rsid w:val="00396B9B"/>
    <w:rsid w:val="00411F28"/>
    <w:rsid w:val="00440588"/>
    <w:rsid w:val="00451C12"/>
    <w:rsid w:val="00483F00"/>
    <w:rsid w:val="004B13D5"/>
    <w:rsid w:val="00502713"/>
    <w:rsid w:val="0051463B"/>
    <w:rsid w:val="0052746E"/>
    <w:rsid w:val="00550646"/>
    <w:rsid w:val="005750D3"/>
    <w:rsid w:val="00590343"/>
    <w:rsid w:val="005A0EA1"/>
    <w:rsid w:val="005C354E"/>
    <w:rsid w:val="00643339"/>
    <w:rsid w:val="006721BD"/>
    <w:rsid w:val="006B0299"/>
    <w:rsid w:val="006C3E28"/>
    <w:rsid w:val="007441B9"/>
    <w:rsid w:val="007C589C"/>
    <w:rsid w:val="008029DE"/>
    <w:rsid w:val="00853CD3"/>
    <w:rsid w:val="00854DA5"/>
    <w:rsid w:val="00922FB9"/>
    <w:rsid w:val="009718F9"/>
    <w:rsid w:val="009E525C"/>
    <w:rsid w:val="00A15B63"/>
    <w:rsid w:val="00A37BD3"/>
    <w:rsid w:val="00A7523E"/>
    <w:rsid w:val="00AD673C"/>
    <w:rsid w:val="00B121BF"/>
    <w:rsid w:val="00B27766"/>
    <w:rsid w:val="00B31061"/>
    <w:rsid w:val="00B4181C"/>
    <w:rsid w:val="00B73C77"/>
    <w:rsid w:val="00BF4C3B"/>
    <w:rsid w:val="00C2718A"/>
    <w:rsid w:val="00C8241F"/>
    <w:rsid w:val="00C87878"/>
    <w:rsid w:val="00CA5D2E"/>
    <w:rsid w:val="00D42A28"/>
    <w:rsid w:val="00D460F3"/>
    <w:rsid w:val="00D93664"/>
    <w:rsid w:val="00E44678"/>
    <w:rsid w:val="00ED6792"/>
  </w:rsids>
  <w:docVars>
    <w:docVar w:name="sivug" w:val="0"/>
    <w:docVar w:name="space" w:val="-1"/>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qFormat/>
    <w:locked/>
    <w:pPr>
      <w:keepNext/>
      <w:widowControl w:val="0"/>
      <w:spacing w:line="700" w:lineRule="atLeast"/>
      <w:jc w:val="center"/>
      <w:outlineLvl w:val="0"/>
    </w:pPr>
    <w:rPr>
      <w:b/>
      <w:bCs/>
      <w:sz w:val="56"/>
      <w:szCs w:val="56"/>
      <w:lang w:eastAsia="he-IL"/>
    </w:rPr>
  </w:style>
  <w:style w:type="paragraph" w:styleId="Heading2">
    <w:name w:val="heading 2"/>
    <w:basedOn w:val="Normal"/>
    <w:next w:val="Normal"/>
    <w:qFormat/>
    <w:locked/>
    <w:pPr>
      <w:keepNext/>
      <w:spacing w:line="360" w:lineRule="exact"/>
      <w:ind w:left="1293"/>
      <w:outlineLvl w:val="1"/>
    </w:pPr>
    <w:rPr>
      <w:sz w:val="32"/>
      <w:szCs w:val="32"/>
    </w:rPr>
  </w:style>
  <w:style w:type="paragraph" w:styleId="Heading3">
    <w:name w:val="heading 3"/>
    <w:basedOn w:val="Normal"/>
    <w:next w:val="Normal"/>
    <w:qFormat/>
    <w:locked/>
    <w:pPr>
      <w:keepNext/>
      <w:widowControl w:val="0"/>
      <w:spacing w:line="312" w:lineRule="auto"/>
      <w:jc w:val="both"/>
      <w:outlineLvl w:val="2"/>
    </w:pPr>
    <w:rPr>
      <w:b/>
      <w:bCs/>
      <w:sz w:val="38"/>
      <w:szCs w:val="36"/>
      <w:lang w:eastAsia="he-IL"/>
    </w:rPr>
  </w:style>
  <w:style w:type="paragraph" w:styleId="Heading4">
    <w:name w:val="heading 4"/>
    <w:basedOn w:val="Normal"/>
    <w:next w:val="Normal"/>
    <w:qFormat/>
    <w:locked/>
    <w:pPr>
      <w:widowControl w:val="0"/>
      <w:spacing w:before="100" w:beforeAutospacing="1" w:line="264" w:lineRule="auto"/>
      <w:outlineLvl w:val="3"/>
    </w:pPr>
    <w:rPr>
      <w:b/>
      <w:bCs/>
      <w:sz w:val="22"/>
      <w:szCs w:val="26"/>
      <w:lang w:eastAsia="he-IL"/>
    </w:rPr>
  </w:style>
  <w:style w:type="paragraph" w:styleId="Heading5">
    <w:name w:val="heading 5"/>
    <w:basedOn w:val="Normal"/>
    <w:next w:val="Normal"/>
    <w:qFormat/>
    <w:locked/>
    <w:pPr>
      <w:keepNext/>
      <w:spacing w:after="120" w:line="360" w:lineRule="exact"/>
      <w:ind w:left="3649"/>
      <w:outlineLvl w:val="4"/>
    </w:pPr>
    <w:rPr>
      <w:b/>
      <w:bCs/>
      <w:sz w:val="32"/>
      <w:szCs w:val="32"/>
      <w:lang w:eastAsia="he-IL"/>
    </w:rPr>
  </w:style>
  <w:style w:type="paragraph" w:styleId="Heading6">
    <w:name w:val="heading 6"/>
    <w:basedOn w:val="Normal"/>
    <w:next w:val="Normal"/>
    <w:qFormat/>
    <w:locked/>
    <w:pPr>
      <w:keepNext/>
      <w:spacing w:before="60" w:after="60" w:line="220" w:lineRule="exact"/>
      <w:jc w:val="right"/>
      <w:outlineLvl w:val="5"/>
    </w:pPr>
    <w:rPr>
      <w:rFonts w:cs="FrankRuehl"/>
      <w:b/>
      <w:bCs/>
      <w:sz w:val="22"/>
      <w:szCs w:val="22"/>
    </w:rPr>
  </w:style>
  <w:style w:type="paragraph" w:styleId="Heading7">
    <w:name w:val="heading 7"/>
    <w:basedOn w:val="Normal"/>
    <w:next w:val="Normal"/>
    <w:qFormat/>
    <w:locked/>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qFormat/>
    <w:locked/>
    <w:pPr>
      <w:keepNext/>
      <w:snapToGrid w:val="0"/>
      <w:spacing w:after="120" w:line="240" w:lineRule="auto"/>
      <w:ind w:left="153" w:firstLine="567"/>
      <w:jc w:val="both"/>
      <w:outlineLvl w:val="7"/>
    </w:pPr>
    <w:rPr>
      <w:b/>
      <w:bCs/>
      <w:sz w:val="36"/>
      <w:szCs w:val="36"/>
      <w:lang w:eastAsia="he-IL"/>
    </w:rPr>
  </w:style>
  <w:style w:type="paragraph" w:styleId="Heading9">
    <w:name w:val="heading 9"/>
    <w:basedOn w:val="Normal"/>
    <w:next w:val="Normal"/>
    <w:qFormat/>
    <w:locked/>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ocked/>
    <w:rPr>
      <w:rFonts w:ascii="Cambria" w:hAnsi="Cambria" w:cs="Times New Roman"/>
      <w:b/>
      <w:bCs/>
      <w:kern w:val="32"/>
      <w:sz w:val="32"/>
      <w:szCs w:val="32"/>
    </w:rPr>
  </w:style>
  <w:style w:type="character" w:customStyle="1" w:styleId="2">
    <w:name w:val="כותרת 2 תו"/>
    <w:locked/>
    <w:rPr>
      <w:rFonts w:ascii="Cambria" w:hAnsi="Cambria" w:cs="Times New Roman"/>
      <w:b/>
      <w:bCs/>
      <w:i/>
      <w:iCs/>
      <w:sz w:val="28"/>
      <w:szCs w:val="28"/>
    </w:rPr>
  </w:style>
  <w:style w:type="character" w:customStyle="1" w:styleId="3">
    <w:name w:val="כותרת 3 תו"/>
    <w:locked/>
    <w:rPr>
      <w:rFonts w:ascii="Cambria" w:hAnsi="Cambria" w:cs="Times New Roman"/>
      <w:b/>
      <w:bCs/>
      <w:sz w:val="26"/>
      <w:szCs w:val="26"/>
    </w:rPr>
  </w:style>
  <w:style w:type="character" w:customStyle="1" w:styleId="4">
    <w:name w:val="כותרת 4 תו"/>
    <w:locked/>
    <w:rPr>
      <w:rFonts w:ascii="Calibri" w:hAnsi="Calibri" w:cs="Arial"/>
      <w:b/>
      <w:bCs/>
      <w:sz w:val="28"/>
      <w:szCs w:val="28"/>
    </w:rPr>
  </w:style>
  <w:style w:type="character" w:customStyle="1" w:styleId="5">
    <w:name w:val="כותרת 5 תו"/>
    <w:locked/>
    <w:rPr>
      <w:rFonts w:ascii="Calibri" w:hAnsi="Calibri" w:cs="Arial"/>
      <w:b/>
      <w:bCs/>
      <w:i/>
      <w:iCs/>
      <w:sz w:val="26"/>
      <w:szCs w:val="26"/>
    </w:rPr>
  </w:style>
  <w:style w:type="character" w:customStyle="1" w:styleId="6">
    <w:name w:val="כותרת 6 תו"/>
    <w:locked/>
    <w:rPr>
      <w:rFonts w:ascii="Calibri" w:hAnsi="Calibri" w:cs="Arial"/>
      <w:b/>
      <w:bCs/>
    </w:rPr>
  </w:style>
  <w:style w:type="character" w:customStyle="1" w:styleId="7">
    <w:name w:val="כותרת 7 תו"/>
    <w:locked/>
    <w:rPr>
      <w:rFonts w:ascii="Calibri" w:hAnsi="Calibri" w:cs="Arial"/>
      <w:sz w:val="24"/>
      <w:szCs w:val="24"/>
    </w:rPr>
  </w:style>
  <w:style w:type="character" w:customStyle="1" w:styleId="8">
    <w:name w:val="כותרת 8 תו"/>
    <w:locked/>
    <w:rPr>
      <w:rFonts w:ascii="Calibri" w:hAnsi="Calibri" w:cs="Arial"/>
      <w:i/>
      <w:iCs/>
      <w:sz w:val="24"/>
      <w:szCs w:val="24"/>
    </w:rPr>
  </w:style>
  <w:style w:type="character" w:customStyle="1" w:styleId="9">
    <w:name w:val="כותרת 9 תו"/>
    <w:locked/>
    <w:rPr>
      <w:rFonts w:ascii="Cambria" w:hAnsi="Cambria" w:cs="Times New Roman"/>
    </w:rPr>
  </w:style>
  <w:style w:type="paragraph" w:styleId="Title">
    <w:name w:val="Title"/>
    <w:basedOn w:val="Normal"/>
    <w:qFormat/>
    <w:locked/>
    <w:pPr>
      <w:jc w:val="center"/>
    </w:pPr>
    <w:rPr>
      <w:b/>
      <w:bCs/>
      <w:u w:val="single"/>
    </w:rPr>
  </w:style>
  <w:style w:type="character" w:customStyle="1" w:styleId="a">
    <w:name w:val="כותרת טקסט תו"/>
    <w:locked/>
    <w:rPr>
      <w:rFonts w:ascii="Cambria" w:hAnsi="Cambria" w:cs="Times New Roman"/>
      <w:b/>
      <w:bCs/>
      <w:kern w:val="28"/>
      <w:sz w:val="32"/>
      <w:szCs w:val="32"/>
    </w:rPr>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30">
    <w:name w:val="כותרת 3_0"/>
    <w:basedOn w:val="Normal"/>
    <w:next w:val="Normal"/>
    <w:pPr>
      <w:spacing w:before="100" w:beforeAutospacing="1" w:line="288" w:lineRule="auto"/>
      <w:outlineLvl w:val="2"/>
    </w:pPr>
    <w:rPr>
      <w:b/>
      <w:bCs/>
      <w:szCs w:val="28"/>
      <w:u w:val="single"/>
    </w:rPr>
  </w:style>
  <w:style w:type="paragraph" w:customStyle="1" w:styleId="40">
    <w:name w:val="כותרת 4_0"/>
    <w:basedOn w:val="Normal"/>
    <w:next w:val="Normal"/>
    <w:pPr>
      <w:spacing w:before="100" w:beforeAutospacing="1" w:line="264" w:lineRule="auto"/>
      <w:outlineLvl w:val="3"/>
    </w:pPr>
    <w:rPr>
      <w:b/>
      <w:bCs/>
      <w:sz w:val="22"/>
      <w:szCs w:val="26"/>
    </w:rPr>
  </w:style>
  <w:style w:type="paragraph" w:customStyle="1" w:styleId="a0">
    <w:name w:val="נבנצלים"/>
    <w:basedOn w:val="Normal"/>
    <w:next w:val="Normal"/>
    <w:pPr>
      <w:widowControl w:val="0"/>
      <w:spacing w:line="269" w:lineRule="auto"/>
      <w:ind w:left="-567"/>
      <w:jc w:val="both"/>
    </w:pPr>
    <w:rPr>
      <w:sz w:val="20"/>
      <w:szCs w:val="20"/>
      <w:lang w:eastAsia="he-IL"/>
    </w:rPr>
  </w:style>
  <w:style w:type="paragraph" w:styleId="BodyText">
    <w:name w:val="Body Text"/>
    <w:basedOn w:val="Normal"/>
    <w:semiHidden/>
    <w:pPr>
      <w:spacing w:before="180" w:after="120" w:line="230" w:lineRule="exact"/>
      <w:jc w:val="both"/>
    </w:pPr>
    <w:rPr>
      <w:rFonts w:cs="FrankRuehl"/>
      <w:sz w:val="22"/>
      <w:szCs w:val="22"/>
    </w:rPr>
  </w:style>
  <w:style w:type="character" w:customStyle="1" w:styleId="a1">
    <w:name w:val="גוף טקסט תו"/>
    <w:semiHidden/>
    <w:locked/>
    <w:rPr>
      <w:rFonts w:cs="David"/>
      <w:sz w:val="24"/>
      <w:szCs w:val="24"/>
      <w:lang w:bidi="he-IL"/>
    </w:rPr>
  </w:style>
  <w:style w:type="paragraph" w:styleId="BodyText2">
    <w:name w:val="Body Text 2"/>
    <w:basedOn w:val="Normal"/>
    <w:semiHidden/>
    <w:pPr>
      <w:widowControl w:val="0"/>
      <w:spacing w:line="312" w:lineRule="auto"/>
      <w:ind w:right="567"/>
      <w:jc w:val="both"/>
    </w:pPr>
    <w:rPr>
      <w:rFonts w:cs="FrankRuehl"/>
      <w:lang w:eastAsia="he-IL"/>
    </w:rPr>
  </w:style>
  <w:style w:type="character" w:customStyle="1" w:styleId="20">
    <w:name w:val="גוף טקסט 2 תו"/>
    <w:semiHidden/>
    <w:locked/>
    <w:rPr>
      <w:rFonts w:cs="David"/>
      <w:sz w:val="24"/>
      <w:szCs w:val="24"/>
      <w:lang w:bidi="he-IL"/>
    </w:rPr>
  </w:style>
  <w:style w:type="paragraph" w:styleId="Header">
    <w:name w:val="header"/>
    <w:basedOn w:val="Normal"/>
    <w:semiHidden/>
    <w:pPr>
      <w:tabs>
        <w:tab w:val="center" w:pos="4153"/>
        <w:tab w:val="right" w:pos="8306"/>
      </w:tabs>
    </w:pPr>
  </w:style>
  <w:style w:type="character" w:customStyle="1" w:styleId="a2">
    <w:name w:val="כותרת עליונה תו"/>
    <w:locked/>
    <w:rPr>
      <w:rFonts w:cs="David"/>
      <w:sz w:val="24"/>
      <w:szCs w:val="24"/>
      <w:lang w:bidi="he-IL"/>
    </w:rPr>
  </w:style>
  <w:style w:type="paragraph" w:styleId="Footer">
    <w:name w:val="footer"/>
    <w:basedOn w:val="Normal"/>
    <w:semiHidden/>
    <w:pPr>
      <w:tabs>
        <w:tab w:val="center" w:pos="4153"/>
        <w:tab w:val="right" w:pos="8306"/>
      </w:tabs>
    </w:pPr>
  </w:style>
  <w:style w:type="character" w:customStyle="1" w:styleId="a3">
    <w:name w:val="כותרת תחתונה תו"/>
    <w:locked/>
    <w:rPr>
      <w:rFonts w:cs="David"/>
      <w:sz w:val="24"/>
      <w:szCs w:val="24"/>
      <w:lang w:bidi="he-IL"/>
    </w:rPr>
  </w:style>
  <w:style w:type="character" w:styleId="PageNumber">
    <w:name w:val="page number"/>
    <w:semiHidden/>
    <w:rPr>
      <w:rFonts w:cs="Times New Roman"/>
    </w:rPr>
  </w:style>
  <w:style w:type="paragraph" w:styleId="FootnoteText">
    <w:name w:val="footnote text"/>
    <w:basedOn w:val="Normal"/>
    <w:semiHidden/>
    <w:rPr>
      <w:sz w:val="20"/>
      <w:szCs w:val="20"/>
    </w:rPr>
  </w:style>
  <w:style w:type="character" w:customStyle="1" w:styleId="10">
    <w:name w:val="טקסט הערת שוליים תו1"/>
    <w:semiHidden/>
    <w:locked/>
    <w:rPr>
      <w:rFonts w:cs="David"/>
      <w:sz w:val="20"/>
      <w:szCs w:val="20"/>
      <w:lang w:bidi="he-IL"/>
    </w:rPr>
  </w:style>
  <w:style w:type="character" w:styleId="FootnoteReference">
    <w:name w:val="footnote reference"/>
    <w:semiHidden/>
    <w:rPr>
      <w:rFonts w:cs="Times New Roman"/>
      <w:vertAlign w:val="superscript"/>
    </w:rPr>
  </w:style>
  <w:style w:type="paragraph" w:styleId="EndnoteText">
    <w:name w:val="endnote text"/>
    <w:basedOn w:val="Normal"/>
    <w:semiHidden/>
    <w:pPr>
      <w:jc w:val="both"/>
    </w:pPr>
    <w:rPr>
      <w:szCs w:val="20"/>
    </w:rPr>
  </w:style>
  <w:style w:type="character" w:customStyle="1" w:styleId="a4">
    <w:name w:val="טקסט הערת סיום תו"/>
    <w:semiHidden/>
    <w:locked/>
    <w:rPr>
      <w:rFonts w:cs="David"/>
      <w:sz w:val="20"/>
      <w:szCs w:val="20"/>
      <w:lang w:bidi="he-IL"/>
    </w:rPr>
  </w:style>
  <w:style w:type="character" w:styleId="EndnoteReference">
    <w:name w:val="endnote reference"/>
    <w:semiHidden/>
    <w:rPr>
      <w:rFonts w:cs="Times New Roman"/>
      <w:vertAlign w:val="superscript"/>
    </w:rPr>
  </w:style>
  <w:style w:type="paragraph" w:styleId="BodyText3">
    <w:name w:val="Body Text 3"/>
    <w:basedOn w:val="Normal"/>
    <w:semiHidden/>
    <w:pPr>
      <w:widowControl w:val="0"/>
      <w:jc w:val="both"/>
    </w:pPr>
  </w:style>
  <w:style w:type="character" w:customStyle="1" w:styleId="31">
    <w:name w:val="גוף טקסט 3 תו"/>
    <w:semiHidden/>
    <w:locked/>
    <w:rPr>
      <w:rFonts w:cs="David"/>
      <w:sz w:val="16"/>
      <w:szCs w:val="16"/>
      <w:lang w:bidi="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outlineLvl w:val="1"/>
    </w:pPr>
    <w:rPr>
      <w:sz w:val="26"/>
      <w:szCs w:val="26"/>
    </w:rPr>
  </w:style>
  <w:style w:type="paragraph" w:customStyle="1" w:styleId="KOT5">
    <w:name w:val="KOT5"/>
    <w:basedOn w:val="KOT4"/>
    <w:pPr>
      <w:spacing w:after="120" w:line="260" w:lineRule="exact"/>
      <w:outlineLvl w:val="2"/>
    </w:pPr>
    <w:rPr>
      <w:sz w:val="22"/>
      <w:szCs w:val="22"/>
    </w:rPr>
  </w:style>
  <w:style w:type="character" w:customStyle="1" w:styleId="100">
    <w:name w:val="סגנון (עברית ושפות אחרות) ‏10 נק'"/>
    <w:rPr>
      <w:rFonts w:ascii="Times New Roman" w:hAnsi="Times New Roman"/>
      <w:sz w:val="24"/>
      <w:vertAlign w:val="baseline"/>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 w:val="20"/>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PlainText">
    <w:name w:val="Plain Text"/>
    <w:basedOn w:val="Normal"/>
    <w:semiHidden/>
    <w:pPr>
      <w:widowControl w:val="0"/>
      <w:spacing w:line="312" w:lineRule="auto"/>
      <w:jc w:val="both"/>
    </w:pPr>
    <w:rPr>
      <w:rFonts w:ascii="Courier New" w:hAnsi="Courier New" w:cs="Courier New"/>
      <w:sz w:val="20"/>
      <w:szCs w:val="20"/>
      <w:lang w:eastAsia="he-IL"/>
    </w:rPr>
  </w:style>
  <w:style w:type="character" w:customStyle="1" w:styleId="a5">
    <w:name w:val="טקסט רגיל תו"/>
    <w:semiHidden/>
    <w:locked/>
    <w:rPr>
      <w:rFonts w:ascii="Courier New" w:hAnsi="Courier New" w:cs="Courier New"/>
      <w:sz w:val="20"/>
      <w:szCs w:val="20"/>
    </w:rPr>
  </w:style>
  <w:style w:type="paragraph" w:styleId="Caption">
    <w:name w:val="caption"/>
    <w:basedOn w:val="Normal"/>
    <w:next w:val="Normal"/>
    <w:qFormat/>
    <w:locked/>
    <w:pPr>
      <w:tabs>
        <w:tab w:val="left" w:pos="1021"/>
        <w:tab w:val="center" w:pos="5131"/>
      </w:tabs>
      <w:spacing w:line="280" w:lineRule="exact"/>
    </w:pPr>
    <w:rPr>
      <w:b/>
      <w:bCs/>
      <w:sz w:val="28"/>
      <w:szCs w:val="28"/>
    </w:rPr>
  </w:style>
  <w:style w:type="character" w:customStyle="1" w:styleId="51">
    <w:name w:val="כותרת 51"/>
    <w:rPr>
      <w:rFonts w:ascii="Times New Roman" w:hAnsi="Times New Roman"/>
      <w:b/>
      <w:color w:val="auto"/>
      <w:spacing w:val="40"/>
      <w:w w:val="100"/>
      <w:position w:val="0"/>
      <w:sz w:val="24"/>
      <w:u w:val="none"/>
      <w:vertAlign w:val="baseline"/>
    </w:rPr>
  </w:style>
  <w:style w:type="character" w:customStyle="1" w:styleId="61">
    <w:name w:val="כותרת 61"/>
    <w:rPr>
      <w:rFonts w:ascii="Times New Roman" w:hAnsi="Times New Roman"/>
      <w:color w:val="auto"/>
      <w:spacing w:val="40"/>
      <w:w w:val="100"/>
      <w:position w:val="0"/>
      <w:sz w:val="24"/>
      <w:u w:val="none"/>
    </w:rPr>
  </w:style>
  <w:style w:type="character" w:customStyle="1" w:styleId="PersonalComposeStyle">
    <w:name w:val="Personal Compose Style"/>
    <w:rPr>
      <w:rFonts w:ascii="Arial" w:hAnsi="Arial"/>
      <w:color w:val="auto"/>
      <w:sz w:val="20"/>
    </w:rPr>
  </w:style>
  <w:style w:type="character" w:customStyle="1" w:styleId="PersonalReplyStyle">
    <w:name w:val="Personal Reply Style"/>
    <w:rPr>
      <w:rFonts w:ascii="Arial" w:hAnsi="Arial"/>
      <w:color w:val="auto"/>
      <w:sz w:val="20"/>
    </w:rPr>
  </w:style>
  <w:style w:type="character" w:customStyle="1" w:styleId="52">
    <w:name w:val="כותרת 52"/>
    <w:rPr>
      <w:rFonts w:ascii="Times New Roman" w:hAnsi="Times New Roman"/>
      <w:b/>
      <w:color w:val="auto"/>
      <w:spacing w:val="40"/>
      <w:w w:val="100"/>
      <w:position w:val="0"/>
      <w:sz w:val="24"/>
      <w:u w:val="none"/>
      <w:vertAlign w:val="baseline"/>
    </w:rPr>
  </w:style>
  <w:style w:type="character" w:customStyle="1" w:styleId="520">
    <w:name w:val="כותרת 5 תו2"/>
    <w:rPr>
      <w:b/>
      <w:spacing w:val="40"/>
      <w:sz w:val="24"/>
      <w:lang w:val="en-US" w:eastAsia="he-IL" w:bidi="he-IL"/>
    </w:rPr>
  </w:style>
  <w:style w:type="character" w:customStyle="1" w:styleId="71">
    <w:name w:val="כותרת 7 תו1"/>
    <w:rPr>
      <w:b/>
      <w:spacing w:val="40"/>
      <w:sz w:val="24"/>
      <w:lang w:val="en-US" w:eastAsia="he-IL" w:bidi="he-IL"/>
    </w:rPr>
  </w:style>
  <w:style w:type="paragraph" w:customStyle="1" w:styleId="a6">
    <w:name w:val="ממוספר"/>
    <w:basedOn w:val="Normal"/>
    <w:pPr>
      <w:numPr>
        <w:numId w:val="1"/>
      </w:numPr>
      <w:spacing w:after="240" w:line="312" w:lineRule="auto"/>
      <w:ind w:right="397"/>
      <w:jc w:val="both"/>
    </w:pPr>
    <w:rPr>
      <w:rFonts w:cs="FrankRuehl"/>
      <w:lang w:eastAsia="he-IL"/>
    </w:rPr>
  </w:style>
  <w:style w:type="paragraph" w:customStyle="1" w:styleId="a7">
    <w:name w:val="טקסט מודגש"/>
    <w:basedOn w:val="Normal"/>
    <w:pPr>
      <w:spacing w:after="240" w:line="312" w:lineRule="auto"/>
      <w:jc w:val="both"/>
    </w:pPr>
    <w:rPr>
      <w:b/>
      <w:bCs/>
      <w:sz w:val="22"/>
      <w:szCs w:val="22"/>
      <w:lang w:eastAsia="he-IL"/>
    </w:rPr>
  </w:style>
  <w:style w:type="paragraph" w:customStyle="1" w:styleId="11">
    <w:name w:val="ציטוט1"/>
    <w:basedOn w:val="Normal"/>
    <w:pPr>
      <w:spacing w:after="240" w:line="240" w:lineRule="auto"/>
      <w:ind w:left="851" w:right="851"/>
      <w:jc w:val="both"/>
    </w:pPr>
    <w:rPr>
      <w:rFonts w:cs="FrankRuehl"/>
      <w:lang w:eastAsia="he-IL"/>
    </w:rPr>
  </w:style>
  <w:style w:type="paragraph" w:styleId="BodyTextIndent2">
    <w:name w:val="Body Text Indent 2"/>
    <w:basedOn w:val="Normal"/>
    <w:semiHidden/>
    <w:pPr>
      <w:spacing w:after="240" w:line="240" w:lineRule="auto"/>
      <w:ind w:left="540" w:hanging="540"/>
      <w:jc w:val="both"/>
    </w:pPr>
    <w:rPr>
      <w:rFonts w:cs="FrankRuehl"/>
      <w:lang w:eastAsia="he-IL"/>
    </w:rPr>
  </w:style>
  <w:style w:type="character" w:customStyle="1" w:styleId="21">
    <w:name w:val="כניסה בגוף טקסט 2 תו"/>
    <w:semiHidden/>
    <w:locked/>
    <w:rPr>
      <w:rFonts w:cs="David"/>
      <w:sz w:val="24"/>
      <w:szCs w:val="24"/>
      <w:lang w:bidi="he-IL"/>
    </w:rPr>
  </w:style>
  <w:style w:type="character" w:customStyle="1" w:styleId="notes">
    <w:name w:val="notes"/>
  </w:style>
  <w:style w:type="paragraph" w:styleId="BlockText">
    <w:name w:val="Block Text"/>
    <w:basedOn w:val="Normal"/>
    <w:semiHidden/>
    <w:pPr>
      <w:spacing w:line="240" w:lineRule="auto"/>
      <w:ind w:left="509"/>
    </w:pPr>
    <w:rPr>
      <w:sz w:val="20"/>
      <w:lang w:eastAsia="he-IL"/>
    </w:rPr>
  </w:style>
  <w:style w:type="character" w:customStyle="1" w:styleId="a8">
    <w:name w:val="טקסט הערות שוליים תו"/>
    <w:rPr>
      <w:lang w:val="en-US" w:eastAsia="en-US"/>
    </w:rPr>
  </w:style>
  <w:style w:type="character" w:customStyle="1" w:styleId="a9">
    <w:name w:val="טקסט הערת שוליים תו"/>
    <w:locked/>
    <w:rPr>
      <w:lang w:val="en-US" w:eastAsia="en-US"/>
    </w:rPr>
  </w:style>
  <w:style w:type="character" w:customStyle="1" w:styleId="a10">
    <w:name w:val="תו תו"/>
    <w:semiHidden/>
    <w:locked/>
    <w:rPr>
      <w:lang w:val="en-US" w:eastAsia="he-IL" w:bidi="he-IL"/>
    </w:rPr>
  </w:style>
  <w:style w:type="paragraph" w:styleId="BodyTextIndent3">
    <w:name w:val="Body Text Indent 3"/>
    <w:basedOn w:val="Normal"/>
    <w:semiHidden/>
    <w:pPr>
      <w:spacing w:after="120"/>
      <w:ind w:left="283"/>
    </w:pPr>
    <w:rPr>
      <w:sz w:val="16"/>
      <w:szCs w:val="16"/>
    </w:rPr>
  </w:style>
  <w:style w:type="character" w:customStyle="1" w:styleId="32">
    <w:name w:val="כניסה בגוף טקסט 3 תו"/>
    <w:semiHidden/>
    <w:locked/>
    <w:rPr>
      <w:rFonts w:cs="David"/>
      <w:sz w:val="16"/>
      <w:szCs w:val="16"/>
      <w:lang w:bidi="he-IL"/>
    </w:rPr>
  </w:style>
  <w:style w:type="paragraph" w:customStyle="1" w:styleId="12">
    <w:name w:val="פיסקת רשימה1"/>
    <w:basedOn w:val="Normal"/>
    <w:pPr>
      <w:ind w:left="720"/>
    </w:pPr>
  </w:style>
  <w:style w:type="paragraph" w:styleId="BalloonText">
    <w:name w:val="Balloon Text"/>
    <w:basedOn w:val="Normal"/>
    <w:semiHidden/>
    <w:rPr>
      <w:rFonts w:ascii="Tahoma" w:hAnsi="Tahoma" w:cs="Tahoma"/>
      <w:sz w:val="16"/>
      <w:szCs w:val="16"/>
    </w:rPr>
  </w:style>
  <w:style w:type="character" w:customStyle="1" w:styleId="a11">
    <w:name w:val="טקסט בלונים תו"/>
    <w:semiHidden/>
    <w:locked/>
    <w:rPr>
      <w:rFonts w:cs="Times New Roman"/>
      <w:sz w:val="2"/>
    </w:rPr>
  </w:style>
  <w:style w:type="paragraph" w:styleId="BodyTextIndent">
    <w:name w:val="Body Text Indent"/>
    <w:basedOn w:val="Normal"/>
    <w:semiHidden/>
    <w:pPr>
      <w:spacing w:after="120"/>
      <w:ind w:left="283"/>
    </w:pPr>
  </w:style>
  <w:style w:type="character" w:customStyle="1" w:styleId="a12">
    <w:name w:val="כניסה בגוף טקסט תו"/>
    <w:semiHidden/>
    <w:locked/>
    <w:rPr>
      <w:rFonts w:cs="David"/>
      <w:sz w:val="24"/>
      <w:szCs w:val="24"/>
      <w:lang w:bidi="he-IL"/>
    </w:rPr>
  </w:style>
  <w:style w:type="character" w:styleId="CommentReference">
    <w:name w:val="annotation reference"/>
    <w:semiHidden/>
    <w:rPr>
      <w:rFonts w:cs="Times New Roman"/>
      <w:sz w:val="16"/>
    </w:rPr>
  </w:style>
  <w:style w:type="paragraph" w:styleId="CommentText">
    <w:name w:val="annotation text"/>
    <w:basedOn w:val="Normal"/>
    <w:semiHidden/>
    <w:rPr>
      <w:sz w:val="20"/>
      <w:szCs w:val="20"/>
    </w:rPr>
  </w:style>
  <w:style w:type="character" w:customStyle="1" w:styleId="a13">
    <w:name w:val="טקסט הערה תו"/>
    <w:semiHidden/>
    <w:locked/>
    <w:rPr>
      <w:rFonts w:cs="David"/>
      <w:sz w:val="20"/>
      <w:szCs w:val="20"/>
      <w:lang w:bidi="he-IL"/>
    </w:rPr>
  </w:style>
  <w:style w:type="paragraph" w:styleId="CommentSubject">
    <w:name w:val="annotation subject"/>
    <w:basedOn w:val="CommentText"/>
    <w:next w:val="CommentText"/>
    <w:semiHidden/>
    <w:rPr>
      <w:b/>
      <w:bCs/>
    </w:rPr>
  </w:style>
  <w:style w:type="character" w:customStyle="1" w:styleId="a14">
    <w:name w:val="נושא הערה תו"/>
    <w:semiHidden/>
    <w:locked/>
    <w:rPr>
      <w:rFonts w:cs="David"/>
      <w:b/>
      <w:bCs/>
      <w:sz w:val="20"/>
      <w:szCs w:val="20"/>
      <w:lang w:bidi="he-IL"/>
    </w:rPr>
  </w:style>
  <w:style w:type="paragraph" w:customStyle="1" w:styleId="310">
    <w:name w:val="כותרת 31"/>
    <w:basedOn w:val="Normal"/>
    <w:next w:val="Normal"/>
    <w:pPr>
      <w:spacing w:before="100" w:beforeAutospacing="1" w:line="288" w:lineRule="auto"/>
      <w:outlineLvl w:val="2"/>
    </w:pPr>
    <w:rPr>
      <w:b/>
      <w:bCs/>
      <w:szCs w:val="28"/>
      <w:u w:val="single"/>
    </w:rPr>
  </w:style>
  <w:style w:type="paragraph" w:customStyle="1" w:styleId="41">
    <w:name w:val="כותרת 41"/>
    <w:basedOn w:val="Normal"/>
    <w:next w:val="Normal"/>
    <w:pPr>
      <w:spacing w:before="100" w:beforeAutospacing="1" w:line="264" w:lineRule="auto"/>
      <w:outlineLvl w:val="3"/>
    </w:pPr>
    <w:rPr>
      <w:b/>
      <w:bCs/>
      <w:sz w:val="22"/>
      <w:szCs w:val="26"/>
    </w:rPr>
  </w:style>
  <w:style w:type="character" w:customStyle="1" w:styleId="default">
    <w:name w:val="default"/>
    <w:rPr>
      <w:rFonts w:ascii="Times New Roman" w:hAnsi="Times New Roman"/>
      <w:sz w:val="26"/>
    </w:rPr>
  </w:style>
  <w:style w:type="character" w:customStyle="1" w:styleId="510">
    <w:name w:val="כותרת 5 תו1"/>
    <w:locked/>
    <w:rPr>
      <w:rFonts w:cs="David"/>
      <w:b/>
      <w:bCs/>
      <w:sz w:val="32"/>
      <w:szCs w:val="32"/>
      <w:lang w:eastAsia="he-IL"/>
    </w:rPr>
  </w:style>
  <w:style w:type="character" w:customStyle="1" w:styleId="72">
    <w:name w:val="כותרת 7 תו2"/>
    <w:locked/>
    <w:rPr>
      <w:rFonts w:cs="David"/>
      <w:sz w:val="36"/>
      <w:szCs w:val="36"/>
      <w:lang w:eastAsia="he-IL"/>
    </w:rPr>
  </w:style>
  <w:style w:type="paragraph" w:customStyle="1" w:styleId="Arial10">
    <w:name w:val="סגנון (לטיני) Arial (עברית ושפות אחרות) ‏10 נק' שמאל מרווח בין ש..."/>
    <w:basedOn w:val="Normal"/>
    <w:pPr>
      <w:widowControl w:val="0"/>
      <w:spacing w:line="360" w:lineRule="auto"/>
      <w:jc w:val="right"/>
    </w:pPr>
    <w:rPr>
      <w:rFonts w:ascii="David" w:hAnsi="David"/>
      <w:sz w:val="20"/>
      <w:szCs w:val="20"/>
      <w:lang w:eastAsia="he-IL"/>
    </w:rPr>
  </w:style>
  <w:style w:type="character" w:customStyle="1" w:styleId="17">
    <w:name w:val="תו תו17"/>
    <w:semiHidden/>
    <w:locked/>
    <w:rPr>
      <w:b/>
      <w:spacing w:val="40"/>
      <w:sz w:val="24"/>
      <w:lang w:val="en-US" w:eastAsia="he-IL" w:bidi="he-IL"/>
    </w:rPr>
  </w:style>
  <w:style w:type="character" w:customStyle="1" w:styleId="22">
    <w:name w:val="תו תו2"/>
    <w:rPr>
      <w:b/>
      <w:spacing w:val="40"/>
      <w:sz w:val="24"/>
      <w:lang w:val="en-US" w:eastAsia="he-IL" w:bidi="he-IL"/>
    </w:rPr>
  </w:style>
  <w:style w:type="paragraph" w:customStyle="1" w:styleId="KOT6">
    <w:name w:val="KOT6"/>
    <w:basedOn w:val="KOT5"/>
    <w:locked/>
    <w:pPr>
      <w:outlineLvl w:val="3"/>
    </w:pPr>
    <w:rPr>
      <w:rFonts w:cs="FrankRuehl"/>
      <w:spacing w:val="40"/>
      <w:sz w:val="20"/>
    </w:rPr>
  </w:style>
  <w:style w:type="paragraph" w:customStyle="1" w:styleId="KOT7">
    <w:name w:val="KOT7"/>
    <w:basedOn w:val="KOT6"/>
    <w:locked/>
    <w:pPr>
      <w:outlineLvl w:val="4"/>
    </w:pPr>
    <w:rPr>
      <w:b w:val="0"/>
      <w:bCs w:val="0"/>
    </w:rPr>
  </w:style>
  <w:style w:type="character" w:customStyle="1" w:styleId="610">
    <w:name w:val="כותרת 6 תו1"/>
    <w:rPr>
      <w:rFonts w:cs="David"/>
      <w:spacing w:val="40"/>
      <w:szCs w:val="24"/>
      <w:lang w:val="en-US" w:eastAsia="he-IL" w:bidi="he-IL"/>
    </w:rPr>
  </w:style>
  <w:style w:type="paragraph" w:customStyle="1" w:styleId="320">
    <w:name w:val="כותרת 32"/>
    <w:basedOn w:val="Normal"/>
    <w:next w:val="Normal"/>
    <w:pPr>
      <w:widowControl w:val="0"/>
      <w:spacing w:before="100" w:beforeAutospacing="1" w:line="288" w:lineRule="auto"/>
      <w:outlineLvl w:val="2"/>
    </w:pPr>
    <w:rPr>
      <w:b/>
      <w:bCs/>
      <w:szCs w:val="28"/>
      <w:u w:val="single"/>
      <w:lang w:eastAsia="he-IL"/>
    </w:rPr>
  </w:style>
  <w:style w:type="paragraph" w:customStyle="1" w:styleId="42">
    <w:name w:val="כותרת 42"/>
    <w:basedOn w:val="Normal"/>
    <w:next w:val="Normal"/>
    <w:pPr>
      <w:widowControl w:val="0"/>
      <w:spacing w:before="100" w:beforeAutospacing="1" w:line="264" w:lineRule="auto"/>
      <w:outlineLvl w:val="3"/>
    </w:pPr>
    <w:rPr>
      <w:b/>
      <w:bCs/>
      <w:sz w:val="22"/>
      <w:szCs w:val="26"/>
      <w:lang w:eastAsia="he-IL"/>
    </w:rPr>
  </w:style>
  <w:style w:type="character" w:customStyle="1" w:styleId="410">
    <w:name w:val="כותרת 41 תו"/>
    <w:rPr>
      <w:rFonts w:cs="David"/>
      <w:b/>
      <w:bCs/>
      <w:sz w:val="22"/>
      <w:szCs w:val="26"/>
    </w:rPr>
  </w:style>
  <w:style w:type="character" w:styleId="Hyperlink">
    <w:name w:val="Hyperlink"/>
    <w:semiHidden/>
    <w:locked/>
    <w:rPr>
      <w:color w:val="0000FF"/>
      <w:u w:val="single"/>
    </w:rPr>
  </w:style>
  <w:style w:type="paragraph" w:styleId="DocumentMap">
    <w:name w:val="Document Map"/>
    <w:basedOn w:val="Normal"/>
    <w:semiHidden/>
    <w:locked/>
    <w:pPr>
      <w:widowControl w:val="0"/>
      <w:shd w:val="clear" w:color="auto" w:fill="000080"/>
      <w:spacing w:line="312" w:lineRule="auto"/>
      <w:jc w:val="both"/>
    </w:pPr>
    <w:rPr>
      <w:rFonts w:ascii="Tahoma" w:hAnsi="Tahoma" w:cs="Tahoma"/>
      <w:sz w:val="20"/>
      <w:szCs w:val="20"/>
      <w:lang w:eastAsia="he-IL"/>
    </w:rPr>
  </w:style>
  <w:style w:type="character" w:customStyle="1" w:styleId="a15">
    <w:name w:val="מפת מסמך תו"/>
    <w:semiHidden/>
    <w:rPr>
      <w:rFonts w:ascii="Tahoma" w:hAnsi="Tahoma" w:cs="Tahoma"/>
      <w:shd w:val="clear" w:color="auto" w:fill="000080"/>
      <w:lang w:eastAsia="he-IL"/>
    </w:rPr>
  </w:style>
  <w:style w:type="paragraph" w:styleId="ListParagraph">
    <w:name w:val="List Paragraph"/>
    <w:basedOn w:val="Normal"/>
    <w:qFormat/>
    <w:pPr>
      <w:spacing w:after="200" w:line="276" w:lineRule="auto"/>
      <w:ind w:left="720"/>
      <w:contextualSpacing/>
    </w:pPr>
    <w:rPr>
      <w:rFonts w:ascii="Rockwell" w:eastAsia="Rockwell" w:hAnsi="Rockwell"/>
      <w:sz w:val="22"/>
      <w:szCs w:val="22"/>
    </w:rPr>
  </w:style>
  <w:style w:type="paragraph" w:customStyle="1" w:styleId="a16">
    <w:name w:val="נבנצאל"/>
    <w:basedOn w:val="Normal"/>
    <w:next w:val="Normal"/>
    <w:pPr>
      <w:spacing w:after="200" w:line="276" w:lineRule="auto"/>
      <w:ind w:left="-567"/>
    </w:pPr>
    <w:rPr>
      <w:rFonts w:ascii="Rockwell" w:eastAsia="Rockwell" w:hAnsi="Rockwell"/>
      <w:sz w:val="22"/>
      <w:szCs w:val="20"/>
    </w:rPr>
  </w:style>
  <w:style w:type="character" w:customStyle="1" w:styleId="a17">
    <w:name w:val="נבנצאל תו"/>
    <w:locked/>
    <w:rPr>
      <w:rFonts w:ascii="Rockwell" w:eastAsia="Rockwell" w:hAnsi="Rockwell" w:cs="David"/>
      <w:sz w:val="22"/>
    </w:rPr>
  </w:style>
  <w:style w:type="paragraph" w:styleId="Date">
    <w:name w:val="Date"/>
    <w:basedOn w:val="Normal"/>
    <w:next w:val="Normal"/>
    <w:semiHidden/>
    <w:locked/>
    <w:pPr>
      <w:spacing w:before="120" w:after="200" w:line="240" w:lineRule="auto"/>
    </w:pPr>
    <w:rPr>
      <w:rFonts w:ascii="Rockwell" w:eastAsia="Rockwell" w:hAnsi="Rockwell"/>
      <w:sz w:val="22"/>
      <w:szCs w:val="22"/>
    </w:rPr>
  </w:style>
  <w:style w:type="character" w:customStyle="1" w:styleId="a18">
    <w:name w:val="תאריך תו"/>
    <w:rPr>
      <w:rFonts w:ascii="Rockwell" w:eastAsia="Rockwell" w:hAnsi="Rockwell" w:cs="David"/>
      <w:sz w:val="22"/>
      <w:szCs w:val="22"/>
    </w:rPr>
  </w:style>
  <w:style w:type="paragraph" w:styleId="Revision">
    <w:name w:val="Revision"/>
    <w:hidden/>
    <w:semiHidden/>
    <w:rPr>
      <w:rFonts w:ascii="Rockwell" w:eastAsia="Rockwell" w:hAnsi="Rockwell" w:cs="David"/>
      <w:sz w:val="22"/>
      <w:szCs w:val="22"/>
    </w:rPr>
  </w:style>
  <w:style w:type="paragraph" w:customStyle="1" w:styleId="tab-name">
    <w:name w:val="tab-name"/>
    <w:basedOn w:val="KOT5"/>
    <w:qFormat/>
    <w:pPr>
      <w:jc w:val="cente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8"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webSettings" Target="webSettings.xml"/><Relationship Id="rId12" Type="http://schemas.openxmlformats.org/officeDocument/2006/relationships/header" Target="header4.xml"/><Relationship Id="rId7" Type="http://schemas.openxmlformats.org/officeDocument/2006/relationships/header" Target="header2.xml"/><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footer" Target="footer3.xml"/><Relationship Id="rId6" Type="http://schemas.openxmlformats.org/officeDocument/2006/relationships/header" Target="header1.xml"/><Relationship Id="rId15"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header" Target="header3.xml"/><Relationship Id="rId19" Type="http://schemas.openxmlformats.org/officeDocument/2006/relationships/customXml" Target="../customXml/item4.xml"/><Relationship Id="rId14"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2079EA4D-B534-4BC2-9A48-E5A94EC2AA45}">
  <ds:schemaRefs>
    <ds:schemaRef ds:uri="http://schemas.openxmlformats.org/officeDocument/2006/bibliography"/>
  </ds:schemaRefs>
</ds:datastoreItem>
</file>

<file path=customXml/itemProps2.xml><?xml version="1.0" encoding="utf-8"?>
<ds:datastoreItem xmlns:ds="http://schemas.openxmlformats.org/officeDocument/2006/customXml" ds:itemID="{F387F368-0378-4B9E-B883-79F0C88CF234}"/>
</file>

<file path=customXml/itemProps3.xml><?xml version="1.0" encoding="utf-8"?>
<ds:datastoreItem xmlns:ds="http://schemas.openxmlformats.org/officeDocument/2006/customXml" ds:itemID="{43BF2AD6-E72B-45AB-BC1C-6B8E16A477F6}"/>
</file>

<file path=customXml/itemProps4.xml><?xml version="1.0" encoding="utf-8"?>
<ds:datastoreItem xmlns:ds="http://schemas.openxmlformats.org/officeDocument/2006/customXml" ds:itemID="{0AC59E89-BF8C-4486-A98C-7C624DAB6FAD}"/>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