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צבא ההגנה לישראל</w:t>
      </w:r>
      <w:r>
        <w:rPr>
          <w:rFonts w:hint="cs"/>
          <w:rtl/>
        </w:rPr>
        <w:t xml:space="preserve"> </w:t>
      </w:r>
    </w:p>
    <w:p w:rsidR="001275A6">
      <w:pPr>
        <w:pStyle w:val="Footer"/>
        <w:tabs>
          <w:tab w:val="clear" w:pos="4153"/>
          <w:tab w:val="clear" w:pos="8306"/>
        </w:tabs>
        <w:spacing w:after="120" w:line="230" w:lineRule="exact"/>
        <w:jc w:val="both"/>
        <w:rPr>
          <w:rFonts w:cs="FrankRuehl"/>
          <w:szCs w:val="22"/>
          <w:rtl/>
        </w:rPr>
      </w:pPr>
    </w:p>
    <w:p w:rsidR="001275A6">
      <w:pPr>
        <w:spacing w:after="120" w:line="230" w:lineRule="exact"/>
        <w:jc w:val="both"/>
        <w:rPr>
          <w:rFonts w:cs="FrankRuehl"/>
          <w:szCs w:val="22"/>
          <w:rtl/>
        </w:rPr>
      </w:pPr>
    </w:p>
    <w:p w:rsidR="001275A6">
      <w:pPr>
        <w:pStyle w:val="KOT1"/>
        <w:rPr>
          <w:rtl/>
        </w:rPr>
      </w:pPr>
      <w:r w:rsidRPr="00693555">
        <w:rPr>
          <w:rtl/>
        </w:rPr>
        <w:t xml:space="preserve">תהליך קבלת ההחלטות </w:t>
      </w:r>
      <w:r>
        <w:rPr>
          <w:rFonts w:hint="cs"/>
          <w:rtl/>
        </w:rPr>
        <w:br/>
      </w:r>
      <w:r w:rsidRPr="00693555">
        <w:rPr>
          <w:rtl/>
        </w:rPr>
        <w:t>בנושא תחמושות מסוגים מסוימים</w:t>
      </w:r>
    </w:p>
    <w:p w:rsidR="001275A6" w:rsidRPr="00FA12C6" w:rsidP="00FA12C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A152D6" w:rsidRPr="00A152D6" w:rsidP="00A152D6">
            <w:pPr>
              <w:pStyle w:val="takzir"/>
              <w:spacing w:before="60"/>
              <w:rPr>
                <w:b w:val="0"/>
                <w:bCs w:val="0"/>
                <w:noProof w:val="0"/>
                <w:rtl/>
              </w:rPr>
            </w:pPr>
            <w:r w:rsidRPr="00A152D6">
              <w:rPr>
                <w:rFonts w:hint="cs"/>
                <w:b w:val="0"/>
                <w:bCs w:val="0"/>
                <w:noProof w:val="0"/>
                <w:rtl/>
              </w:rPr>
              <w:t>משרד מבקר המדינה בדק בתקופה ינואר 2015 עד יולי 2015, לסירוגין, את תהליך קבלת ההחלטות בצה"ל בנושא תחמושות מסוגים מסוימים, לרבות תכניות להצטיידות וקביעת יעדי ההיערכות</w:t>
            </w:r>
            <w:r>
              <w:rPr>
                <w:b w:val="0"/>
                <w:bCs w:val="0"/>
                <w:noProof w:val="0"/>
                <w:vertAlign w:val="superscript"/>
                <w:rtl/>
              </w:rPr>
              <w:footnoteReference w:id="2"/>
            </w:r>
            <w:r w:rsidRPr="00A152D6">
              <w:rPr>
                <w:rFonts w:hint="cs"/>
                <w:b w:val="0"/>
                <w:bCs w:val="0"/>
                <w:noProof w:val="0"/>
                <w:rtl/>
              </w:rPr>
              <w:t>. כמו כן נערך מעקב אחר היבטים מסוימים שעלו בדוח שנתי 62 בנושא "תחמושת מסוג מסוים"</w:t>
            </w:r>
            <w:r>
              <w:rPr>
                <w:b w:val="0"/>
                <w:bCs w:val="0"/>
                <w:noProof w:val="0"/>
                <w:vertAlign w:val="superscript"/>
                <w:rtl/>
              </w:rPr>
              <w:footnoteReference w:id="3"/>
            </w:r>
            <w:r w:rsidRPr="00A152D6">
              <w:rPr>
                <w:rFonts w:hint="cs"/>
                <w:b w:val="0"/>
                <w:bCs w:val="0"/>
                <w:noProof w:val="0"/>
                <w:rtl/>
              </w:rPr>
              <w:t>. הביקורת נערכה בצה"ל: באגף התכנון במטה הכללי (להלן - אג"ת)</w:t>
            </w:r>
            <w:r w:rsidR="008A1A30">
              <w:rPr>
                <w:rFonts w:hint="cs"/>
                <w:b w:val="0"/>
                <w:bCs w:val="0"/>
                <w:noProof w:val="0"/>
                <w:rtl/>
              </w:rPr>
              <w:t>,</w:t>
            </w:r>
            <w:r w:rsidRPr="00A152D6">
              <w:rPr>
                <w:rFonts w:hint="cs"/>
                <w:b w:val="0"/>
                <w:bCs w:val="0"/>
                <w:noProof w:val="0"/>
                <w:rtl/>
              </w:rPr>
              <w:t xml:space="preserve"> בזרוע לבניין הכוח ביבשה (להלן - זרוע היבשה) ובזרוע האוויר והחלל (להלן - זרוע האוויר); במשרד הביטחון; ובתעשייה.</w:t>
            </w:r>
          </w:p>
          <w:p w:rsidR="001275A6" w:rsidP="00A152D6">
            <w:pPr>
              <w:pStyle w:val="takzir"/>
              <w:rPr>
                <w:b w:val="0"/>
                <w:bCs w:val="0"/>
                <w:noProof w:val="0"/>
                <w:rtl/>
              </w:rPr>
            </w:pPr>
            <w:r w:rsidRPr="00A152D6">
              <w:rPr>
                <w:rFonts w:hint="cs"/>
                <w:b w:val="0"/>
                <w:bCs w:val="0"/>
                <w:noProof w:val="0"/>
                <w:rtl/>
              </w:rPr>
              <w:t>ועדת המשנה של הוועדה לענייני ביקורת המדינה של הכנסת החליטה שלא להניח על שולחן הכנסת ולא לפרסם חלקים מפרק זה לשם שמירה על ביטחון המדינה, בהתאם לסעיף 17 לחוק מבקר המדינה, התשי"ח-1958 [נוסח משולב].</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pPr>
              <w:pStyle w:val="KOT5"/>
              <w:spacing w:before="120"/>
              <w:jc w:val="center"/>
              <w:rPr>
                <w:sz w:val="24"/>
                <w:szCs w:val="24"/>
                <w:rtl/>
              </w:rPr>
            </w:pPr>
            <w:r w:rsidRPr="00A152D6">
              <w:rPr>
                <w:rFonts w:hint="cs"/>
                <w:sz w:val="24"/>
                <w:szCs w:val="24"/>
                <w:rtl/>
              </w:rPr>
              <w:t>תכנית התחמושת המטכ"לית</w:t>
            </w:r>
          </w:p>
        </w:tc>
      </w:tr>
      <w:tr w:rsidTr="00E44678">
        <w:tblPrEx>
          <w:tblW w:w="6691" w:type="dxa"/>
          <w:jc w:val="center"/>
          <w:tblLook w:val="04A0"/>
        </w:tblPrEx>
        <w:trPr>
          <w:cantSplit/>
          <w:jc w:val="center"/>
        </w:trPr>
        <w:tc>
          <w:tcPr>
            <w:tcW w:w="6691" w:type="dxa"/>
          </w:tcPr>
          <w:p w:rsidR="001275A6">
            <w:pPr>
              <w:pStyle w:val="takzir"/>
              <w:spacing w:before="60"/>
              <w:rPr>
                <w:b w:val="0"/>
                <w:bCs w:val="0"/>
                <w:noProof w:val="0"/>
                <w:rtl/>
              </w:rPr>
            </w:pPr>
            <w:r w:rsidRPr="00A152D6">
              <w:rPr>
                <w:rFonts w:hint="cs"/>
                <w:b w:val="0"/>
                <w:bCs w:val="0"/>
                <w:noProof w:val="0"/>
                <w:rtl/>
              </w:rPr>
              <w:t>מאוקטובר 2013 ועד מועד סיום הביקורת, יולי 2015, צה"ל לא עדכן את תכנית התחמושת המטכ"לית, לרבות את נתוני הצורך המבצעי ונתוני המלאים של התחמושות מהסוגים המסוימים.</w:t>
            </w:r>
          </w:p>
        </w:tc>
      </w:tr>
    </w:tbl>
    <w:p w:rsidR="00A152D6" w:rsidP="00A152D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A38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152D6" w:rsidP="00AA383B">
            <w:pPr>
              <w:pStyle w:val="KOT5"/>
              <w:spacing w:before="120"/>
              <w:jc w:val="center"/>
              <w:rPr>
                <w:sz w:val="24"/>
                <w:szCs w:val="24"/>
                <w:rtl/>
              </w:rPr>
            </w:pPr>
            <w:r w:rsidRPr="00A152D6">
              <w:rPr>
                <w:rFonts w:hint="cs"/>
                <w:sz w:val="24"/>
                <w:szCs w:val="24"/>
                <w:rtl/>
              </w:rPr>
              <w:t>יעדי ההיערכות לתחמושת מסוג מסוים</w:t>
            </w:r>
          </w:p>
        </w:tc>
      </w:tr>
      <w:tr w:rsidTr="00AA383B">
        <w:tblPrEx>
          <w:tblW w:w="6691" w:type="dxa"/>
          <w:jc w:val="center"/>
          <w:tblLook w:val="04A0"/>
        </w:tblPrEx>
        <w:trPr>
          <w:cantSplit/>
          <w:jc w:val="center"/>
        </w:trPr>
        <w:tc>
          <w:tcPr>
            <w:tcW w:w="6691" w:type="dxa"/>
          </w:tcPr>
          <w:p w:rsidR="00A152D6" w:rsidP="00AA383B">
            <w:pPr>
              <w:pStyle w:val="takzir"/>
              <w:spacing w:before="60"/>
              <w:rPr>
                <w:b w:val="0"/>
                <w:bCs w:val="0"/>
                <w:noProof w:val="0"/>
                <w:rtl/>
              </w:rPr>
            </w:pPr>
            <w:r w:rsidRPr="00A152D6">
              <w:rPr>
                <w:rFonts w:hint="cs"/>
                <w:b w:val="0"/>
                <w:bCs w:val="0"/>
                <w:noProof w:val="0"/>
                <w:rtl/>
              </w:rPr>
              <w:t>בשנת 2014 הציגה זרוע היבשה יעד היערכות לתחמושת מסוג מסוים שאינו תואם את היעד שנקבע בפקודת העבודה של צה"ל. אג"ת הפחית את יעד ההיערכות לתחמושת האמורה ללא שהשלים, בשיתוף עם זרוע היבשה, את עבודת המטה הנדרשת לקביעתו.</w:t>
            </w:r>
          </w:p>
        </w:tc>
      </w:tr>
    </w:tbl>
    <w:p w:rsidR="00A152D6" w:rsidP="00A152D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A38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152D6" w:rsidP="00072FC7">
            <w:pPr>
              <w:pStyle w:val="KOT5"/>
              <w:spacing w:before="120"/>
              <w:jc w:val="center"/>
              <w:rPr>
                <w:sz w:val="24"/>
                <w:szCs w:val="24"/>
                <w:rtl/>
              </w:rPr>
            </w:pPr>
            <w:r w:rsidRPr="00A152D6">
              <w:rPr>
                <w:rFonts w:hint="cs"/>
                <w:sz w:val="24"/>
                <w:szCs w:val="24"/>
                <w:rtl/>
              </w:rPr>
              <w:t xml:space="preserve">היערכות זרוע </w:t>
            </w:r>
            <w:r w:rsidR="00072FC7">
              <w:rPr>
                <w:rFonts w:hint="cs"/>
                <w:sz w:val="24"/>
                <w:szCs w:val="24"/>
                <w:rtl/>
              </w:rPr>
              <w:t xml:space="preserve">היבשה </w:t>
            </w:r>
            <w:r w:rsidRPr="00A152D6">
              <w:rPr>
                <w:rFonts w:hint="cs"/>
                <w:sz w:val="24"/>
                <w:szCs w:val="24"/>
                <w:rtl/>
              </w:rPr>
              <w:t>בתחום התחמושת מהסוג המסוים</w:t>
            </w:r>
          </w:p>
        </w:tc>
      </w:tr>
      <w:tr w:rsidTr="00AA383B">
        <w:tblPrEx>
          <w:tblW w:w="6691" w:type="dxa"/>
          <w:jc w:val="center"/>
          <w:tblLook w:val="04A0"/>
        </w:tblPrEx>
        <w:trPr>
          <w:cantSplit/>
          <w:jc w:val="center"/>
        </w:trPr>
        <w:tc>
          <w:tcPr>
            <w:tcW w:w="6691" w:type="dxa"/>
          </w:tcPr>
          <w:p w:rsidR="00A152D6" w:rsidRPr="00A152D6" w:rsidP="00A152D6">
            <w:pPr>
              <w:pStyle w:val="takzir"/>
              <w:spacing w:before="60"/>
              <w:rPr>
                <w:b w:val="0"/>
                <w:bCs w:val="0"/>
                <w:noProof w:val="0"/>
                <w:rtl/>
              </w:rPr>
            </w:pPr>
            <w:r w:rsidRPr="00A152D6">
              <w:rPr>
                <w:rFonts w:hint="cs"/>
                <w:b w:val="0"/>
                <w:bCs w:val="0"/>
                <w:noProof w:val="0"/>
                <w:rtl/>
              </w:rPr>
              <w:t>באיחור של כשלוש שנים, בינואר 2014, קבעה זרוע היבשה כי קיימת "אי-עמידה גורפת" ביעדי ההיערכות בתחמושת מסוג מסוים. הדבר מעיד על עיכוב בהטמעתם בזרוע של סיכום ומדיניות המטכ"ל בנושא, על אף המשמעויות המבצעיות הנובעות מכך.</w:t>
            </w:r>
          </w:p>
          <w:p w:rsidR="00A152D6" w:rsidP="00072FC7">
            <w:pPr>
              <w:pStyle w:val="takzir"/>
              <w:rPr>
                <w:b w:val="0"/>
                <w:bCs w:val="0"/>
                <w:noProof w:val="0"/>
                <w:rtl/>
              </w:rPr>
            </w:pPr>
            <w:r w:rsidRPr="00A152D6">
              <w:rPr>
                <w:rFonts w:hint="cs"/>
                <w:b w:val="0"/>
                <w:bCs w:val="0"/>
                <w:noProof w:val="0"/>
                <w:rtl/>
              </w:rPr>
              <w:t xml:space="preserve">רק בתחילת שנת 2014 החלה זרוע היבשה לבחון מחדש ולעדכן את עבודת המטה שערכה בשנים 2010-2008 בנושא </w:t>
            </w:r>
            <w:r w:rsidR="00072FC7">
              <w:rPr>
                <w:rFonts w:hint="cs"/>
                <w:b w:val="0"/>
                <w:bCs w:val="0"/>
                <w:noProof w:val="0"/>
                <w:rtl/>
              </w:rPr>
              <w:t>ה</w:t>
            </w:r>
            <w:r w:rsidRPr="00A152D6">
              <w:rPr>
                <w:rFonts w:hint="cs"/>
                <w:b w:val="0"/>
                <w:bCs w:val="0"/>
                <w:noProof w:val="0"/>
                <w:rtl/>
              </w:rPr>
              <w:t>תחמושת מ</w:t>
            </w:r>
            <w:r w:rsidR="00072FC7">
              <w:rPr>
                <w:rFonts w:hint="cs"/>
                <w:b w:val="0"/>
                <w:bCs w:val="0"/>
                <w:noProof w:val="0"/>
                <w:rtl/>
              </w:rPr>
              <w:t>ה</w:t>
            </w:r>
            <w:r w:rsidRPr="00A152D6">
              <w:rPr>
                <w:rFonts w:hint="cs"/>
                <w:b w:val="0"/>
                <w:bCs w:val="0"/>
                <w:noProof w:val="0"/>
                <w:rtl/>
              </w:rPr>
              <w:t xml:space="preserve">סוג </w:t>
            </w:r>
            <w:r w:rsidR="00072FC7">
              <w:rPr>
                <w:rFonts w:hint="cs"/>
                <w:b w:val="0"/>
                <w:bCs w:val="0"/>
                <w:noProof w:val="0"/>
                <w:rtl/>
              </w:rPr>
              <w:t>ה</w:t>
            </w:r>
            <w:r w:rsidRPr="00A152D6">
              <w:rPr>
                <w:rFonts w:hint="cs"/>
                <w:b w:val="0"/>
                <w:bCs w:val="0"/>
                <w:noProof w:val="0"/>
                <w:rtl/>
              </w:rPr>
              <w:t>מסוים. נוכח ההתמשכות בביצוע עבודת המטה, עד מועד סיום הביקורת, יולי 2015, אג"ת וזרוע היבשה טרם גיבשו יעדי היערכות מבוססים לתחמושת האמורה, וזרוע היבשה גם טרם גיבשה תכנית מעודכנת להצטיידות בה, ככל שיידרש. באי-גיבוש היעדים זרוע היבשה לא יישמה את מדינ</w:t>
            </w:r>
            <w:r w:rsidR="00072FC7">
              <w:rPr>
                <w:rFonts w:hint="cs"/>
                <w:b w:val="0"/>
                <w:bCs w:val="0"/>
                <w:noProof w:val="0"/>
                <w:rtl/>
              </w:rPr>
              <w:t>יותו של סגן הרמטכ"ל מיוני 2012</w:t>
            </w:r>
            <w:r w:rsidRPr="00A152D6">
              <w:rPr>
                <w:rFonts w:hint="cs"/>
                <w:b w:val="0"/>
                <w:bCs w:val="0"/>
                <w:noProof w:val="0"/>
                <w:rtl/>
              </w:rPr>
              <w:t xml:space="preserve"> "ללכת בכל דרך לכיוון של" תחמושות מ</w:t>
            </w:r>
            <w:r w:rsidR="00072FC7">
              <w:rPr>
                <w:rFonts w:hint="cs"/>
                <w:b w:val="0"/>
                <w:bCs w:val="0"/>
                <w:noProof w:val="0"/>
                <w:rtl/>
              </w:rPr>
              <w:t>ה</w:t>
            </w:r>
            <w:r w:rsidRPr="00A152D6">
              <w:rPr>
                <w:rFonts w:hint="cs"/>
                <w:b w:val="0"/>
                <w:bCs w:val="0"/>
                <w:noProof w:val="0"/>
                <w:rtl/>
              </w:rPr>
              <w:t xml:space="preserve">סוג </w:t>
            </w:r>
            <w:r w:rsidR="00072FC7">
              <w:rPr>
                <w:rFonts w:hint="cs"/>
                <w:b w:val="0"/>
                <w:bCs w:val="0"/>
                <w:noProof w:val="0"/>
                <w:rtl/>
              </w:rPr>
              <w:t>ה</w:t>
            </w:r>
            <w:r w:rsidRPr="00A152D6">
              <w:rPr>
                <w:rFonts w:hint="cs"/>
                <w:b w:val="0"/>
                <w:bCs w:val="0"/>
                <w:noProof w:val="0"/>
                <w:rtl/>
              </w:rPr>
              <w:t>מסוים.</w:t>
            </w:r>
          </w:p>
        </w:tc>
      </w:tr>
    </w:tbl>
    <w:p w:rsidR="00A152D6" w:rsidP="00A152D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A38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152D6" w:rsidP="00AA383B">
            <w:pPr>
              <w:pStyle w:val="KOT5"/>
              <w:spacing w:before="120"/>
              <w:jc w:val="center"/>
              <w:rPr>
                <w:sz w:val="24"/>
                <w:szCs w:val="24"/>
                <w:rtl/>
              </w:rPr>
            </w:pPr>
            <w:r w:rsidRPr="00A152D6">
              <w:rPr>
                <w:rFonts w:hint="cs"/>
                <w:sz w:val="24"/>
                <w:szCs w:val="24"/>
                <w:rtl/>
              </w:rPr>
              <w:t>תחמושות אחרות מסוגים מסוימים</w:t>
            </w:r>
          </w:p>
        </w:tc>
      </w:tr>
      <w:tr w:rsidTr="00AA383B">
        <w:tblPrEx>
          <w:tblW w:w="6691" w:type="dxa"/>
          <w:jc w:val="center"/>
          <w:tblLook w:val="04A0"/>
        </w:tblPrEx>
        <w:trPr>
          <w:cantSplit/>
          <w:jc w:val="center"/>
        </w:trPr>
        <w:tc>
          <w:tcPr>
            <w:tcW w:w="6691" w:type="dxa"/>
          </w:tcPr>
          <w:p w:rsidR="00A152D6" w:rsidRPr="00A152D6" w:rsidP="00A152D6">
            <w:pPr>
              <w:pStyle w:val="takzir"/>
              <w:spacing w:before="60" w:line="230" w:lineRule="exact"/>
              <w:rPr>
                <w:b w:val="0"/>
                <w:bCs w:val="0"/>
                <w:noProof w:val="0"/>
                <w:rtl/>
              </w:rPr>
            </w:pPr>
            <w:r w:rsidRPr="00A152D6">
              <w:rPr>
                <w:rFonts w:hint="cs"/>
                <w:b w:val="0"/>
                <w:bCs w:val="0"/>
                <w:noProof w:val="0"/>
                <w:rtl/>
              </w:rPr>
              <w:t>עד מועד סיום הביקורת, יולי 2015, זרוע האוויר לא נקטה את הצעדים הנדרשים לקידום פיתוח והצטיידות בתחמושת מ</w:t>
            </w:r>
            <w:r w:rsidR="008A1A30">
              <w:rPr>
                <w:rFonts w:hint="cs"/>
                <w:b w:val="0"/>
                <w:bCs w:val="0"/>
                <w:noProof w:val="0"/>
                <w:rtl/>
              </w:rPr>
              <w:t>ה</w:t>
            </w:r>
            <w:r w:rsidRPr="00A152D6">
              <w:rPr>
                <w:rFonts w:hint="cs"/>
                <w:b w:val="0"/>
                <w:bCs w:val="0"/>
                <w:noProof w:val="0"/>
                <w:rtl/>
              </w:rPr>
              <w:t xml:space="preserve">סוג </w:t>
            </w:r>
            <w:r w:rsidR="008A1A30">
              <w:rPr>
                <w:rFonts w:hint="cs"/>
                <w:b w:val="0"/>
                <w:bCs w:val="0"/>
                <w:noProof w:val="0"/>
                <w:rtl/>
              </w:rPr>
              <w:t>ה</w:t>
            </w:r>
            <w:r w:rsidRPr="00A152D6">
              <w:rPr>
                <w:rFonts w:hint="cs"/>
                <w:b w:val="0"/>
                <w:bCs w:val="0"/>
                <w:noProof w:val="0"/>
                <w:rtl/>
              </w:rPr>
              <w:t xml:space="preserve">מסוים, על אף מדיניות סגן הרמטכ"ל מיוני 2012 שלעיל בנושא, ועל אף הצורך המבצעי הקיים בתחמושת זו. </w:t>
            </w:r>
          </w:p>
          <w:p w:rsidR="00A152D6" w:rsidRPr="00A152D6" w:rsidP="00A152D6">
            <w:pPr>
              <w:pStyle w:val="takzir"/>
              <w:spacing w:line="230" w:lineRule="exact"/>
              <w:rPr>
                <w:b w:val="0"/>
                <w:bCs w:val="0"/>
                <w:noProof w:val="0"/>
                <w:rtl/>
              </w:rPr>
            </w:pPr>
            <w:r w:rsidRPr="00A152D6">
              <w:rPr>
                <w:rFonts w:hint="cs"/>
                <w:b w:val="0"/>
                <w:bCs w:val="0"/>
                <w:noProof w:val="0"/>
                <w:rtl/>
              </w:rPr>
              <w:t xml:space="preserve">במשך למעלה מ-18 שנים לא עדכנה זרוע האוויר את יעדי ההיערכות לתחמושות  אחרות מסוגים מסוימים. זאת על אף השינויים המשמעותיים שחלו בשנים אלו במאפייני האיומים ועל אף החשיבות של עדכון יעדי ההיערכות לצורכי בניין הכוח, שימורו ואחזקתו. </w:t>
            </w:r>
          </w:p>
          <w:p w:rsidR="00A152D6" w:rsidP="008A1A30">
            <w:pPr>
              <w:pStyle w:val="takzir"/>
              <w:spacing w:line="230" w:lineRule="exact"/>
              <w:rPr>
                <w:b w:val="0"/>
                <w:bCs w:val="0"/>
                <w:noProof w:val="0"/>
                <w:rtl/>
              </w:rPr>
            </w:pPr>
            <w:r w:rsidRPr="00A152D6">
              <w:rPr>
                <w:rFonts w:hint="cs"/>
                <w:b w:val="0"/>
                <w:bCs w:val="0"/>
                <w:noProof w:val="0"/>
                <w:rtl/>
              </w:rPr>
              <w:t xml:space="preserve">לפחות מאז שנת 2012 לא תקצבה זרוע האוויר פעולות </w:t>
            </w:r>
            <w:r w:rsidR="008A1A30">
              <w:rPr>
                <w:rFonts w:hint="cs"/>
                <w:b w:val="0"/>
                <w:bCs w:val="0"/>
                <w:noProof w:val="0"/>
                <w:rtl/>
              </w:rPr>
              <w:t>תחזוקה</w:t>
            </w:r>
            <w:r w:rsidRPr="00A152D6">
              <w:rPr>
                <w:rFonts w:hint="cs"/>
                <w:b w:val="0"/>
                <w:bCs w:val="0"/>
                <w:noProof w:val="0"/>
                <w:rtl/>
              </w:rPr>
              <w:t xml:space="preserve"> ושימור של חלק מהתחמושות האמורות, וממילא לא קיימה פעולות אלה.  </w:t>
            </w:r>
          </w:p>
        </w:tc>
      </w:tr>
    </w:tbl>
    <w:p w:rsidR="001275A6" w:rsidP="00A152D6">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A7003B">
            <w:pPr>
              <w:pStyle w:val="KOT4"/>
              <w:keepLines/>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1275A6" w:rsidP="00A7003B">
            <w:pPr>
              <w:pStyle w:val="takzir"/>
              <w:keepNext/>
              <w:keepLines/>
              <w:spacing w:before="60" w:line="230" w:lineRule="exact"/>
              <w:rPr>
                <w:b w:val="0"/>
                <w:bCs w:val="0"/>
                <w:rtl/>
              </w:rPr>
            </w:pPr>
            <w:r w:rsidRPr="00A152D6">
              <w:rPr>
                <w:rFonts w:hint="cs"/>
                <w:b w:val="0"/>
                <w:bCs w:val="0"/>
                <w:noProof w:val="0"/>
                <w:rtl/>
              </w:rPr>
              <w:t>מן הראוי שזרוע היבשה תשלים בהקדם את עבודת המטה שהיא מקיימת בנושא  התחמושת מהסוג המסוים, כדי לקבל את ההחלטות הנדרשות בנוגע לבניין הכוח; שזרוע האוויר תשלים את בחינת יעדי ההיערכות בתחמושות מסוגים מסוימים, ותגבש עמדתה בנוגע לאחזקתן והצורך בפיתוח</w:t>
            </w:r>
            <w:r w:rsidR="008A1A30">
              <w:rPr>
                <w:rFonts w:hint="cs"/>
                <w:b w:val="0"/>
                <w:bCs w:val="0"/>
                <w:noProof w:val="0"/>
                <w:rtl/>
              </w:rPr>
              <w:t>ן</w:t>
            </w:r>
            <w:r w:rsidRPr="00A152D6">
              <w:rPr>
                <w:rFonts w:hint="cs"/>
                <w:b w:val="0"/>
                <w:bCs w:val="0"/>
                <w:noProof w:val="0"/>
                <w:rtl/>
              </w:rPr>
              <w:t xml:space="preserve"> ובהצטיידות בהן; וכן שאג"ת ירכז עבודות מטה אלו ויבקרן.</w:t>
            </w:r>
          </w:p>
        </w:tc>
      </w:tr>
    </w:tbl>
    <w:p w:rsidR="001275A6" w:rsidP="00A152D6">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A152D6" w:rsidRPr="00A152D6" w:rsidP="00A152D6">
            <w:pPr>
              <w:pStyle w:val="takzir"/>
              <w:spacing w:before="60" w:line="230" w:lineRule="exact"/>
              <w:rPr>
                <w:noProof w:val="0"/>
                <w:rtl/>
              </w:rPr>
            </w:pPr>
            <w:r w:rsidRPr="00A152D6">
              <w:rPr>
                <w:rFonts w:hint="cs"/>
                <w:noProof w:val="0"/>
                <w:rtl/>
              </w:rPr>
              <w:t xml:space="preserve">צה"ל מחויב לערוך שינויים בתכניות בניין הכוח ובתכניות האופרטיביות שלו, ולהתאימן למציאות המשתנה ולזו הצפויה בטווח הארוך. זאת, בהתבסס על עבודת מטה "בזמן אמת" המתייחסת, בין היתר, לסיכונים שמקורם בסביבת אי-הוודאות. </w:t>
            </w:r>
          </w:p>
          <w:p w:rsidR="00A152D6" w:rsidRPr="00A152D6" w:rsidP="00A152D6">
            <w:pPr>
              <w:pStyle w:val="takzir"/>
              <w:spacing w:line="230" w:lineRule="exact"/>
              <w:rPr>
                <w:noProof w:val="0"/>
                <w:rtl/>
              </w:rPr>
            </w:pPr>
            <w:r w:rsidRPr="00A152D6">
              <w:rPr>
                <w:rFonts w:hint="cs"/>
                <w:noProof w:val="0"/>
                <w:rtl/>
              </w:rPr>
              <w:t>על אף זאת, נמצאו בביקורת ליקויים משמעותיים בתהליכי קביעת יעדי ההיערכות ובניין הכוח בנושא תחמושות מסוגים מסוימים בזרוע היבשה ובזרוע האוויר</w:t>
            </w:r>
            <w:r w:rsidR="008A1A30">
              <w:rPr>
                <w:rFonts w:hint="cs"/>
                <w:noProof w:val="0"/>
                <w:rtl/>
              </w:rPr>
              <w:t>,</w:t>
            </w:r>
            <w:r w:rsidRPr="00A152D6">
              <w:rPr>
                <w:rFonts w:hint="cs"/>
                <w:noProof w:val="0"/>
                <w:rtl/>
              </w:rPr>
              <w:t xml:space="preserve"> ובפיקוח ובבקרה של אגף התכנון במטכ"ל (אג"ת) על כך. </w:t>
            </w:r>
          </w:p>
          <w:p w:rsidR="001275A6" w:rsidP="00A152D6">
            <w:pPr>
              <w:spacing w:after="120" w:line="230" w:lineRule="exact"/>
              <w:jc w:val="both"/>
              <w:rPr>
                <w:b/>
                <w:bCs/>
                <w:sz w:val="22"/>
                <w:szCs w:val="22"/>
                <w:rtl/>
                <w:lang w:eastAsia="he-IL"/>
              </w:rPr>
            </w:pPr>
            <w:r w:rsidRPr="00A152D6">
              <w:rPr>
                <w:rFonts w:hint="cs"/>
                <w:b/>
                <w:bCs/>
                <w:sz w:val="22"/>
                <w:szCs w:val="22"/>
                <w:rtl/>
                <w:lang w:eastAsia="he-IL"/>
              </w:rPr>
              <w:t xml:space="preserve">ממצאי דוח זה חוזרים בחלקם על אלו שעלו בדוחות קודמים של מבקר המדינה בנושאי "סוגיות נבחרות בממשק שבין תהליכי </w:t>
            </w:r>
            <w:r w:rsidR="008A1A30">
              <w:rPr>
                <w:rFonts w:hint="cs"/>
                <w:b/>
                <w:bCs/>
                <w:sz w:val="22"/>
                <w:szCs w:val="22"/>
                <w:rtl/>
                <w:lang w:eastAsia="he-IL"/>
              </w:rPr>
              <w:t>ה</w:t>
            </w:r>
            <w:r w:rsidRPr="00A152D6">
              <w:rPr>
                <w:rFonts w:hint="cs"/>
                <w:b/>
                <w:bCs/>
                <w:sz w:val="22"/>
                <w:szCs w:val="22"/>
                <w:rtl/>
                <w:lang w:eastAsia="he-IL"/>
              </w:rPr>
              <w:t>תכנון והתקצוב בצה"ל"</w:t>
            </w:r>
            <w:r>
              <w:rPr>
                <w:sz w:val="22"/>
                <w:szCs w:val="22"/>
                <w:vertAlign w:val="superscript"/>
                <w:rtl/>
                <w:lang w:eastAsia="he-IL"/>
              </w:rPr>
              <w:footnoteReference w:id="4"/>
            </w:r>
            <w:r w:rsidRPr="00A152D6">
              <w:rPr>
                <w:rFonts w:hint="cs"/>
                <w:b/>
                <w:bCs/>
                <w:sz w:val="22"/>
                <w:szCs w:val="22"/>
                <w:rtl/>
                <w:lang w:eastAsia="he-IL"/>
              </w:rPr>
              <w:t>, "תחמושת מסוג מסוים"</w:t>
            </w:r>
            <w:r>
              <w:rPr>
                <w:sz w:val="22"/>
                <w:szCs w:val="22"/>
                <w:vertAlign w:val="superscript"/>
                <w:rtl/>
                <w:lang w:eastAsia="he-IL"/>
              </w:rPr>
              <w:footnoteReference w:id="5"/>
            </w:r>
            <w:r w:rsidRPr="00A152D6">
              <w:rPr>
                <w:rFonts w:hint="cs"/>
                <w:b/>
                <w:bCs/>
                <w:sz w:val="22"/>
                <w:szCs w:val="22"/>
                <w:rtl/>
                <w:lang w:eastAsia="he-IL"/>
              </w:rPr>
              <w:t xml:space="preserve"> ו"ת</w:t>
            </w:r>
            <w:r w:rsidRPr="00A152D6">
              <w:rPr>
                <w:b/>
                <w:bCs/>
                <w:sz w:val="22"/>
                <w:szCs w:val="22"/>
                <w:rtl/>
                <w:lang w:eastAsia="he-IL"/>
              </w:rPr>
              <w:t>שתיות</w:t>
            </w:r>
            <w:r w:rsidRPr="00A152D6">
              <w:rPr>
                <w:rFonts w:hint="cs"/>
                <w:b/>
                <w:bCs/>
                <w:sz w:val="22"/>
                <w:szCs w:val="22"/>
                <w:rtl/>
                <w:lang w:eastAsia="he-IL"/>
              </w:rPr>
              <w:t xml:space="preserve"> ייצור </w:t>
            </w:r>
            <w:r w:rsidRPr="00A152D6">
              <w:rPr>
                <w:b/>
                <w:bCs/>
                <w:sz w:val="22"/>
                <w:szCs w:val="22"/>
                <w:rtl/>
                <w:lang w:eastAsia="he-IL"/>
              </w:rPr>
              <w:t>לאומיות</w:t>
            </w:r>
            <w:r w:rsidRPr="00A152D6">
              <w:rPr>
                <w:rFonts w:hint="cs"/>
                <w:b/>
                <w:bCs/>
                <w:sz w:val="22"/>
                <w:szCs w:val="22"/>
                <w:rtl/>
                <w:lang w:eastAsia="he-IL"/>
              </w:rPr>
              <w:t xml:space="preserve"> בתעשיות הביטחוניות"</w:t>
            </w:r>
            <w:r>
              <w:rPr>
                <w:sz w:val="22"/>
                <w:szCs w:val="22"/>
                <w:vertAlign w:val="superscript"/>
                <w:rtl/>
                <w:lang w:eastAsia="he-IL"/>
              </w:rPr>
              <w:footnoteReference w:id="6"/>
            </w:r>
            <w:r w:rsidRPr="00A152D6">
              <w:rPr>
                <w:rFonts w:hint="cs"/>
                <w:b/>
                <w:bCs/>
                <w:sz w:val="22"/>
                <w:szCs w:val="22"/>
                <w:rtl/>
                <w:lang w:eastAsia="he-IL"/>
              </w:rPr>
              <w:t>. על מערכת הביטחון לתת את דעתה למצב זה ולתיקון הליקויים, וכן להפיק את הלקחים הנדרשים למניעת הישנותם.</w:t>
            </w:r>
          </w:p>
        </w:tc>
      </w:tr>
    </w:tbl>
    <w:p w:rsidR="00A152D6">
      <w:pPr>
        <w:spacing w:after="120" w:line="230" w:lineRule="exact"/>
        <w:jc w:val="both"/>
        <w:rPr>
          <w:rFonts w:cs="FrankRuehl"/>
          <w:sz w:val="20"/>
          <w:szCs w:val="22"/>
          <w:rtl/>
        </w:rPr>
        <w:sectPr w:rsidSect="00DE7C42">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967"/>
          <w:cols w:space="720"/>
          <w:titlePg/>
          <w:rtlGutter/>
        </w:sectPr>
      </w:pPr>
    </w:p>
    <w:p w:rsidR="001275A6">
      <w:pPr>
        <w:spacing w:after="120" w:line="230" w:lineRule="exact"/>
        <w:jc w:val="both"/>
        <w:rPr>
          <w:rFonts w:cs="FrankRuehl"/>
          <w:sz w:val="20"/>
          <w:szCs w:val="22"/>
          <w:rtl/>
        </w:rPr>
      </w:pPr>
      <w:bookmarkEnd w:id="0"/>
      <w:bookmarkEnd w:id="1"/>
      <w:bookmarkEnd w:id="2"/>
      <w:bookmarkEnd w:id="3"/>
      <w:bookmarkEnd w:id="4"/>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555" w:rsidP="00FD58CD">
    <w:pPr>
      <w:pStyle w:val="Footer"/>
      <w:tabs>
        <w:tab w:val="left" w:pos="1222"/>
      </w:tabs>
      <w:spacing w:line="160" w:lineRule="exact"/>
      <w:rPr>
        <w:sz w:val="16"/>
        <w:szCs w:val="16"/>
        <w:rtl/>
      </w:rPr>
    </w:pPr>
    <w:r>
      <w:rPr>
        <w:sz w:val="16"/>
        <w:szCs w:val="16"/>
        <w:rtl/>
      </w:rPr>
      <w:t>שם הדוח:</w:t>
    </w:r>
    <w:r>
      <w:rPr>
        <w:sz w:val="16"/>
        <w:szCs w:val="16"/>
        <w:rtl/>
      </w:rPr>
      <w:tab/>
    </w:r>
    <w:r w:rsidRPr="00FD58CD" w:rsidR="00FD58CD">
      <w:rPr>
        <w:rFonts w:hint="cs"/>
        <w:sz w:val="16"/>
        <w:szCs w:val="16"/>
        <w:rtl/>
      </w:rPr>
      <w:t>צבא ההגנה לישראל</w:t>
    </w:r>
    <w:r w:rsidR="00FD58CD">
      <w:rPr>
        <w:rFonts w:hint="cs"/>
        <w:rtl/>
      </w:rPr>
      <w:t xml:space="preserve"> </w:t>
    </w:r>
    <w:r>
      <w:rPr>
        <w:rFonts w:hint="cs"/>
        <w:sz w:val="16"/>
        <w:szCs w:val="16"/>
        <w:rtl/>
      </w:rPr>
      <w:t xml:space="preserve">- </w:t>
    </w:r>
    <w:r w:rsidRPr="00693555">
      <w:rPr>
        <w:sz w:val="16"/>
        <w:szCs w:val="16"/>
        <w:rtl/>
      </w:rPr>
      <w:t>תהליך קבלת ההחלטות בנושא תחמושות מסוגים מסוימים</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555" w:rsidP="00FD58CD">
    <w:pPr>
      <w:pStyle w:val="Footer"/>
      <w:tabs>
        <w:tab w:val="left" w:pos="1222"/>
      </w:tabs>
      <w:spacing w:line="160" w:lineRule="exact"/>
      <w:rPr>
        <w:sz w:val="16"/>
        <w:szCs w:val="16"/>
        <w:rtl/>
      </w:rPr>
    </w:pPr>
    <w:r>
      <w:rPr>
        <w:sz w:val="16"/>
        <w:szCs w:val="16"/>
        <w:rtl/>
      </w:rPr>
      <w:t>שם הדוח:</w:t>
    </w:r>
    <w:r>
      <w:rPr>
        <w:sz w:val="16"/>
        <w:szCs w:val="16"/>
        <w:rtl/>
      </w:rPr>
      <w:tab/>
    </w:r>
    <w:r w:rsidRPr="00FD58CD" w:rsidR="00FD58CD">
      <w:rPr>
        <w:rFonts w:hint="cs"/>
        <w:sz w:val="16"/>
        <w:szCs w:val="16"/>
        <w:rtl/>
      </w:rPr>
      <w:t>צבא ההגנה לישראל</w:t>
    </w:r>
    <w:r w:rsidR="00FD58CD">
      <w:rPr>
        <w:rFonts w:hint="cs"/>
        <w:rtl/>
      </w:rPr>
      <w:t xml:space="preserve"> </w:t>
    </w:r>
    <w:r>
      <w:rPr>
        <w:rFonts w:hint="cs"/>
        <w:sz w:val="16"/>
        <w:szCs w:val="16"/>
        <w:rtl/>
      </w:rPr>
      <w:t xml:space="preserve">- </w:t>
    </w:r>
    <w:r w:rsidRPr="00693555">
      <w:rPr>
        <w:sz w:val="16"/>
        <w:szCs w:val="16"/>
        <w:rtl/>
      </w:rPr>
      <w:t>תהליך קבלת ההחלטות בנושא תחמושות מסוגים מסוימים</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AB725E">
    <w:pPr>
      <w:pStyle w:val="Footer"/>
      <w:tabs>
        <w:tab w:val="left" w:pos="1222"/>
      </w:tabs>
      <w:spacing w:line="160" w:lineRule="exact"/>
      <w:rPr>
        <w:sz w:val="16"/>
        <w:szCs w:val="16"/>
        <w:rtl/>
      </w:rPr>
    </w:pPr>
    <w:r>
      <w:rPr>
        <w:sz w:val="16"/>
        <w:szCs w:val="16"/>
        <w:rtl/>
      </w:rPr>
      <w:t>שם הדוח:</w:t>
    </w:r>
    <w:r>
      <w:rPr>
        <w:sz w:val="16"/>
        <w:szCs w:val="16"/>
        <w:rtl/>
      </w:rPr>
      <w:tab/>
    </w:r>
    <w:r w:rsidRPr="00FD58CD" w:rsidR="00AB725E">
      <w:rPr>
        <w:rFonts w:hint="cs"/>
        <w:sz w:val="16"/>
        <w:szCs w:val="16"/>
        <w:rtl/>
      </w:rPr>
      <w:t>צבא ההגנה לישראל</w:t>
    </w:r>
    <w:r w:rsidR="00AB725E">
      <w:rPr>
        <w:rFonts w:hint="cs"/>
        <w:rtl/>
      </w:rPr>
      <w:t xml:space="preserve"> </w:t>
    </w:r>
    <w:r w:rsidR="00AB725E">
      <w:rPr>
        <w:rFonts w:hint="cs"/>
        <w:sz w:val="16"/>
        <w:szCs w:val="16"/>
        <w:rtl/>
      </w:rPr>
      <w:t xml:space="preserve">- </w:t>
    </w:r>
    <w:r w:rsidRPr="00693555" w:rsidR="00693555">
      <w:rPr>
        <w:sz w:val="16"/>
        <w:szCs w:val="16"/>
        <w:rtl/>
      </w:rPr>
      <w:t>תהליך קבלת ההחלטות בנושא תחמושות מסוגים מסוימים</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2D6" w:rsidRPr="00A152D6" w:rsidP="00A152D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E5655">
      <w:pPr>
        <w:spacing w:after="120"/>
        <w:rPr>
          <w:sz w:val="16"/>
          <w:szCs w:val="16"/>
        </w:rPr>
      </w:pPr>
      <w:r>
        <w:rPr>
          <w:sz w:val="16"/>
          <w:szCs w:val="16"/>
          <w:rtl/>
        </w:rPr>
        <w:t>__________________</w:t>
      </w:r>
    </w:p>
  </w:footnote>
  <w:footnote w:type="continuationSeparator" w:id="1">
    <w:p w:rsidR="00EE5655">
      <w:r>
        <w:t>_______________</w:t>
      </w:r>
    </w:p>
  </w:footnote>
  <w:footnote w:id="2">
    <w:p w:rsidR="00A152D6" w:rsidRPr="00A152D6" w:rsidP="00C11D38">
      <w:pPr>
        <w:pStyle w:val="FootnoteText"/>
        <w:keepLines/>
        <w:spacing w:line="200" w:lineRule="exact"/>
        <w:ind w:left="397" w:hanging="397"/>
        <w:rPr>
          <w:rFonts w:cs="FrankRuehl"/>
          <w:rtl/>
        </w:rPr>
      </w:pPr>
      <w:r w:rsidRPr="00A152D6">
        <w:rPr>
          <w:rStyle w:val="FootnoteReference"/>
          <w:rFonts w:ascii="FrankRuehl" w:hAnsi="FrankRuehl" w:cs="FrankRuehl"/>
          <w:vertAlign w:val="baseline"/>
        </w:rPr>
        <w:footnoteRef/>
      </w:r>
      <w:r w:rsidRPr="00A152D6">
        <w:rPr>
          <w:rFonts w:cs="FrankRuehl"/>
          <w:rtl/>
        </w:rPr>
        <w:t xml:space="preserve"> </w:t>
      </w:r>
      <w:r w:rsidRPr="00A152D6">
        <w:rPr>
          <w:rFonts w:cs="FrankRuehl"/>
          <w:rtl/>
        </w:rPr>
        <w:tab/>
        <w:t>כמות הפריטים הנדרשת.</w:t>
      </w:r>
    </w:p>
  </w:footnote>
  <w:footnote w:id="3">
    <w:p w:rsidR="00A152D6" w:rsidRPr="00A152D6" w:rsidP="00C11D38">
      <w:pPr>
        <w:pStyle w:val="FootnoteText"/>
        <w:keepLines/>
        <w:spacing w:line="200" w:lineRule="exact"/>
        <w:ind w:left="397" w:hanging="397"/>
        <w:rPr>
          <w:rFonts w:cs="FrankRuehl"/>
        </w:rPr>
      </w:pPr>
      <w:r w:rsidRPr="00A152D6">
        <w:rPr>
          <w:rStyle w:val="FootnoteReference"/>
          <w:rFonts w:ascii="FrankRuehl" w:hAnsi="FrankRuehl" w:cs="FrankRuehl"/>
          <w:vertAlign w:val="baseline"/>
        </w:rPr>
        <w:footnoteRef/>
      </w:r>
      <w:r w:rsidRPr="00A152D6">
        <w:rPr>
          <w:rFonts w:cs="FrankRuehl"/>
          <w:rtl/>
        </w:rPr>
        <w:t xml:space="preserve"> </w:t>
      </w:r>
      <w:r w:rsidRPr="00A152D6">
        <w:rPr>
          <w:rFonts w:cs="FrankRuehl"/>
          <w:rtl/>
        </w:rPr>
        <w:tab/>
        <w:t xml:space="preserve">מבקר המדינה, </w:t>
      </w:r>
      <w:r w:rsidRPr="00A152D6">
        <w:rPr>
          <w:rFonts w:cs="FrankRuehl"/>
          <w:b/>
          <w:bCs/>
          <w:rtl/>
        </w:rPr>
        <w:t xml:space="preserve">דוח שנתי 62 </w:t>
      </w:r>
      <w:r w:rsidRPr="00A152D6">
        <w:rPr>
          <w:rFonts w:cs="FrankRuehl"/>
          <w:rtl/>
        </w:rPr>
        <w:t>(2012), "תחמושת מסוג מסוים", עמ' 1751.</w:t>
      </w:r>
    </w:p>
  </w:footnote>
  <w:footnote w:id="4">
    <w:p w:rsidR="00A152D6" w:rsidRPr="00A152D6" w:rsidP="00A152D6">
      <w:pPr>
        <w:pStyle w:val="FootnoteText"/>
        <w:keepLines/>
        <w:spacing w:line="200" w:lineRule="exact"/>
        <w:ind w:left="397" w:hanging="397"/>
        <w:jc w:val="both"/>
        <w:rPr>
          <w:rFonts w:cs="FrankRuehl"/>
        </w:rPr>
      </w:pPr>
      <w:r w:rsidRPr="00A152D6">
        <w:rPr>
          <w:rStyle w:val="FootnoteReference"/>
          <w:rFonts w:ascii="FrankRuehl" w:hAnsi="FrankRuehl" w:cs="FrankRuehl"/>
          <w:vertAlign w:val="baseline"/>
        </w:rPr>
        <w:footnoteRef/>
      </w:r>
      <w:r w:rsidRPr="00A152D6">
        <w:rPr>
          <w:rFonts w:cs="FrankRuehl"/>
          <w:rtl/>
        </w:rPr>
        <w:t xml:space="preserve"> </w:t>
      </w:r>
      <w:r w:rsidRPr="00A152D6">
        <w:rPr>
          <w:rFonts w:cs="FrankRuehl"/>
          <w:rtl/>
        </w:rPr>
        <w:tab/>
        <w:t xml:space="preserve">מבקר המדינה, </w:t>
      </w:r>
      <w:r w:rsidRPr="00A152D6">
        <w:rPr>
          <w:rFonts w:cs="FrankRuehl"/>
          <w:b/>
          <w:bCs/>
          <w:rtl/>
        </w:rPr>
        <w:t xml:space="preserve">דוח שנתי 57א </w:t>
      </w:r>
      <w:r w:rsidRPr="00A152D6">
        <w:rPr>
          <w:rFonts w:cs="FrankRuehl"/>
          <w:rtl/>
        </w:rPr>
        <w:t xml:space="preserve">(2006), "סוגיות נבחרות בממשק שבין תהליכי </w:t>
      </w:r>
      <w:r w:rsidR="008A1A30">
        <w:rPr>
          <w:rFonts w:cs="FrankRuehl" w:hint="cs"/>
          <w:rtl/>
        </w:rPr>
        <w:t>ה</w:t>
      </w:r>
      <w:r w:rsidRPr="00A152D6">
        <w:rPr>
          <w:rFonts w:cs="FrankRuehl"/>
          <w:rtl/>
        </w:rPr>
        <w:t>תכנון והתקצוב בצה"ל", עמ' 5.</w:t>
      </w:r>
    </w:p>
  </w:footnote>
  <w:footnote w:id="5">
    <w:p w:rsidR="00A152D6" w:rsidRPr="00A152D6" w:rsidP="00A152D6">
      <w:pPr>
        <w:pStyle w:val="FootnoteText"/>
        <w:keepLines/>
        <w:spacing w:line="200" w:lineRule="exact"/>
        <w:ind w:left="397" w:hanging="397"/>
        <w:jc w:val="both"/>
        <w:rPr>
          <w:rFonts w:cs="FrankRuehl"/>
          <w:rtl/>
        </w:rPr>
      </w:pPr>
      <w:r w:rsidRPr="00A152D6">
        <w:rPr>
          <w:rStyle w:val="FootnoteReference"/>
          <w:rFonts w:ascii="FrankRuehl" w:hAnsi="FrankRuehl" w:cs="FrankRuehl"/>
          <w:vertAlign w:val="baseline"/>
        </w:rPr>
        <w:footnoteRef/>
      </w:r>
      <w:r w:rsidRPr="00A152D6">
        <w:rPr>
          <w:rFonts w:cs="FrankRuehl"/>
          <w:rtl/>
        </w:rPr>
        <w:t xml:space="preserve"> </w:t>
      </w:r>
      <w:r w:rsidRPr="00A152D6">
        <w:rPr>
          <w:rFonts w:cs="FrankRuehl"/>
          <w:rtl/>
        </w:rPr>
        <w:tab/>
        <w:t>ראו הערת שולים 2.</w:t>
      </w:r>
    </w:p>
  </w:footnote>
  <w:footnote w:id="6">
    <w:p w:rsidR="00A152D6" w:rsidRPr="00A152D6" w:rsidP="00A152D6">
      <w:pPr>
        <w:pStyle w:val="FootnoteText"/>
        <w:keepLines/>
        <w:spacing w:line="200" w:lineRule="exact"/>
        <w:ind w:left="397" w:hanging="397"/>
        <w:jc w:val="both"/>
        <w:rPr>
          <w:rFonts w:cs="FrankRuehl"/>
          <w:rtl/>
        </w:rPr>
      </w:pPr>
      <w:r w:rsidRPr="00A152D6">
        <w:rPr>
          <w:rStyle w:val="FootnoteReference"/>
          <w:rFonts w:ascii="FrankRuehl" w:hAnsi="FrankRuehl" w:cs="FrankRuehl"/>
          <w:vertAlign w:val="baseline"/>
        </w:rPr>
        <w:footnoteRef/>
      </w:r>
      <w:r w:rsidRPr="00A152D6">
        <w:rPr>
          <w:rFonts w:cs="FrankRuehl"/>
          <w:rtl/>
        </w:rPr>
        <w:t xml:space="preserve"> </w:t>
      </w:r>
      <w:r w:rsidRPr="00A152D6">
        <w:rPr>
          <w:rFonts w:cs="FrankRuehl"/>
          <w:rtl/>
        </w:rPr>
        <w:tab/>
        <w:t xml:space="preserve">מבקר המדינה, </w:t>
      </w:r>
      <w:r w:rsidRPr="00A152D6">
        <w:rPr>
          <w:rFonts w:cs="FrankRuehl"/>
          <w:b/>
          <w:bCs/>
          <w:rtl/>
        </w:rPr>
        <w:t xml:space="preserve">דוח שנתי 65ב </w:t>
      </w:r>
      <w:r w:rsidRPr="00A152D6">
        <w:rPr>
          <w:rFonts w:cs="FrankRuehl"/>
          <w:rtl/>
        </w:rPr>
        <w:t>(2014), "תשתיות ייצור לאומיות בתעשיות הביטחוניות", עמ'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E7C42">
      <w:rPr>
        <w:rFonts w:ascii="FrankRuehl" w:hAnsi="FrankRuehl" w:cs="FrankRuehl"/>
        <w:noProof/>
        <w:szCs w:val="20"/>
        <w:rtl/>
      </w:rPr>
      <w:t>1968</w:t>
    </w:r>
    <w:r>
      <w:rPr>
        <w:rFonts w:ascii="FrankRuehl" w:hAnsi="FrankRuehl" w:cs="FrankRuehl"/>
        <w:szCs w:val="20"/>
      </w:rPr>
      <w:fldChar w:fldCharType="end"/>
    </w:r>
    <w:r>
      <w:rPr>
        <w:rFonts w:ascii="FrankRuehl" w:hAnsi="FrankRuehl" w:cs="FrankRuehl"/>
        <w:szCs w:val="20"/>
        <w:rtl/>
      </w:rPr>
      <w:tab/>
    </w:r>
    <w:r w:rsidR="00C2718A">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FD58CD">
    <w:pPr>
      <w:pStyle w:val="Header"/>
      <w:tabs>
        <w:tab w:val="clear" w:pos="4153"/>
        <w:tab w:val="right" w:pos="6804"/>
        <w:tab w:val="clear" w:pos="8306"/>
      </w:tabs>
      <w:rPr>
        <w:rFonts w:ascii="FrankRuehl" w:hAnsi="FrankRuehl" w:cs="FrankRuehl"/>
        <w:szCs w:val="20"/>
        <w:rtl/>
      </w:rPr>
    </w:pPr>
    <w:r w:rsidRPr="00FD58CD">
      <w:rPr>
        <w:rFonts w:ascii="FrankRuehl" w:hAnsi="FrankRuehl" w:cs="FrankRuehl" w:hint="cs"/>
        <w:noProof/>
        <w:szCs w:val="20"/>
        <w:rtl/>
      </w:rPr>
      <w:t>צבא ההגנה לישראל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E7C42">
      <w:rPr>
        <w:rFonts w:ascii="FrankRuehl" w:hAnsi="FrankRuehl" w:cs="FrankRuehl"/>
        <w:noProof/>
        <w:szCs w:val="20"/>
        <w:rtl/>
      </w:rPr>
      <w:t>1969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E7C42">
      <w:rPr>
        <w:rFonts w:ascii="FrankRuehl" w:hAnsi="FrankRuehl" w:cs="FrankRuehl"/>
        <w:noProof/>
        <w:szCs w:val="20"/>
        <w:rtl/>
      </w:rPr>
      <w:t>1967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2D6" w:rsidRPr="00A152D6" w:rsidP="00A152D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71752"/>
    <w:rsid w:val="00072FC7"/>
    <w:rsid w:val="00081C30"/>
    <w:rsid w:val="001275A6"/>
    <w:rsid w:val="002272B8"/>
    <w:rsid w:val="002A7FAA"/>
    <w:rsid w:val="00396B9B"/>
    <w:rsid w:val="003F16A8"/>
    <w:rsid w:val="00411F28"/>
    <w:rsid w:val="00440588"/>
    <w:rsid w:val="004B13D5"/>
    <w:rsid w:val="00513742"/>
    <w:rsid w:val="0051463B"/>
    <w:rsid w:val="00550646"/>
    <w:rsid w:val="005750D3"/>
    <w:rsid w:val="005A0EA1"/>
    <w:rsid w:val="006721BD"/>
    <w:rsid w:val="00693555"/>
    <w:rsid w:val="008029DE"/>
    <w:rsid w:val="00853CD3"/>
    <w:rsid w:val="00854DA5"/>
    <w:rsid w:val="008A1A30"/>
    <w:rsid w:val="009718F9"/>
    <w:rsid w:val="009E525C"/>
    <w:rsid w:val="00A152D6"/>
    <w:rsid w:val="00A15B63"/>
    <w:rsid w:val="00A25ADE"/>
    <w:rsid w:val="00A37BD3"/>
    <w:rsid w:val="00A7003B"/>
    <w:rsid w:val="00AA383B"/>
    <w:rsid w:val="00AB725E"/>
    <w:rsid w:val="00AD673C"/>
    <w:rsid w:val="00B27766"/>
    <w:rsid w:val="00B4181C"/>
    <w:rsid w:val="00BF4C3B"/>
    <w:rsid w:val="00C11D38"/>
    <w:rsid w:val="00C2718A"/>
    <w:rsid w:val="00C8241F"/>
    <w:rsid w:val="00CA5D2E"/>
    <w:rsid w:val="00DE7C42"/>
    <w:rsid w:val="00E44678"/>
    <w:rsid w:val="00ED6792"/>
    <w:rsid w:val="00EE5655"/>
    <w:rsid w:val="00FA12C6"/>
    <w:rsid w:val="00FB67B7"/>
    <w:rsid w:val="00FD58CD"/>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318A6BC-3CD4-4A97-AD10-3F7BE92F90EA}">
  <ds:schemaRefs>
    <ds:schemaRef ds:uri="http://schemas.openxmlformats.org/officeDocument/2006/bibliography"/>
  </ds:schemaRefs>
</ds:datastoreItem>
</file>

<file path=customXml/itemProps2.xml><?xml version="1.0" encoding="utf-8"?>
<ds:datastoreItem xmlns:ds="http://schemas.openxmlformats.org/officeDocument/2006/customXml" ds:itemID="{0795A8BB-B72E-4282-A1A8-096EB380A214}"/>
</file>

<file path=customXml/itemProps3.xml><?xml version="1.0" encoding="utf-8"?>
<ds:datastoreItem xmlns:ds="http://schemas.openxmlformats.org/officeDocument/2006/customXml" ds:itemID="{C069FC4E-012F-4C22-A2A7-11CC526F07D1}"/>
</file>

<file path=customXml/itemProps4.xml><?xml version="1.0" encoding="utf-8"?>
<ds:datastoreItem xmlns:ds="http://schemas.openxmlformats.org/officeDocument/2006/customXml" ds:itemID="{8617EE70-C23D-4B48-9367-9EC87E35D60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