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1275A6">
      <w:pPr>
        <w:pStyle w:val="NAME"/>
        <w:rPr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bookmarkStart w:id="5" w:name="_GoBack"/>
      <w:bookmarkEnd w:id="5"/>
      <w:r w:rsidRPr="004C6075">
        <w:rPr>
          <w:rtl/>
        </w:rPr>
        <w:t>הוועדה לאנרגיה אטומית</w:t>
      </w:r>
      <w:r>
        <w:rPr>
          <w:rFonts w:hint="cs"/>
          <w:rtl/>
        </w:rPr>
        <w:t xml:space="preserve"> </w:t>
      </w:r>
    </w:p>
    <w:p w:rsidR="001275A6">
      <w:pPr>
        <w:pStyle w:val="Footer"/>
        <w:tabs>
          <w:tab w:val="clear" w:pos="4153"/>
          <w:tab w:val="clear" w:pos="8306"/>
        </w:tabs>
        <w:spacing w:after="120" w:line="230" w:lineRule="exact"/>
        <w:jc w:val="both"/>
        <w:rPr>
          <w:rFonts w:cs="FrankRuehl"/>
          <w:szCs w:val="22"/>
          <w:rtl/>
        </w:rPr>
      </w:pPr>
    </w:p>
    <w:p w:rsidR="001275A6">
      <w:pPr>
        <w:spacing w:after="120" w:line="230" w:lineRule="exact"/>
        <w:jc w:val="both"/>
        <w:rPr>
          <w:rFonts w:cs="FrankRuehl"/>
          <w:szCs w:val="22"/>
        </w:rPr>
      </w:pPr>
    </w:p>
    <w:tbl>
      <w:tblPr>
        <w:bidiVisual/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1"/>
      </w:tblGrid>
      <w:tr w:rsidTr="00F50A8A">
        <w:tblPrEx>
          <w:tblW w:w="669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18" w:type="dxa"/>
            <w:shd w:val="pct25" w:color="00FF00" w:fill="auto"/>
          </w:tcPr>
          <w:p w:rsidR="009A3766" w:rsidP="00F50A8A">
            <w:pPr>
              <w:pStyle w:val="KOT4"/>
              <w:spacing w:before="120"/>
              <w:jc w:val="center"/>
              <w:rPr>
                <w:rtl/>
              </w:rPr>
            </w:pPr>
            <w:r>
              <w:rPr>
                <w:rtl/>
              </w:rPr>
              <w:t>פעולות הביקורת</w:t>
            </w:r>
          </w:p>
        </w:tc>
      </w:tr>
      <w:tr w:rsidTr="00F50A8A">
        <w:tblPrEx>
          <w:tblW w:w="6691" w:type="dxa"/>
          <w:jc w:val="center"/>
          <w:tblLook w:val="04A0"/>
        </w:tblPrEx>
        <w:trPr>
          <w:cantSplit/>
          <w:jc w:val="center"/>
        </w:trPr>
        <w:tc>
          <w:tcPr>
            <w:tcW w:w="7018" w:type="dxa"/>
          </w:tcPr>
          <w:p w:rsidR="009A3766" w:rsidRPr="009A3766" w:rsidP="00F50A8A">
            <w:pPr>
              <w:pStyle w:val="takzir"/>
              <w:spacing w:before="60"/>
              <w:rPr>
                <w:b w:val="0"/>
                <w:bCs w:val="0"/>
                <w:noProof w:val="0"/>
                <w:rtl/>
              </w:rPr>
            </w:pPr>
            <w:r w:rsidRPr="009A3766">
              <w:rPr>
                <w:rFonts w:hint="cs"/>
                <w:b w:val="0"/>
                <w:bCs w:val="0"/>
                <w:rtl/>
              </w:rPr>
              <w:t>מבקר המדינה ערך ביקורת ב</w:t>
            </w:r>
            <w:r w:rsidRPr="009A3766">
              <w:rPr>
                <w:rFonts w:hint="cs"/>
                <w:rtl/>
              </w:rPr>
              <w:t>וועדה לאנרגיה אטומית</w:t>
            </w:r>
            <w:r w:rsidRPr="009A3766">
              <w:rPr>
                <w:rFonts w:hint="cs"/>
                <w:b w:val="0"/>
                <w:bCs w:val="0"/>
                <w:rtl/>
              </w:rPr>
              <w:t xml:space="preserve"> בתחום מסוים, אך בשים לב לצורך לשמור על ביטחון המדינה, ובהתאם לסעיף 17(ג) לחוק מבקר המדינה, התשי"ח-1958 [נוסח משולב] החליט מבקר המדינה שלא להניח על שולחן הכנסת ולא לפרסם פרק זה.</w:t>
            </w:r>
          </w:p>
        </w:tc>
      </w:tr>
    </w:tbl>
    <w:p w:rsidR="004C6075">
      <w:pPr>
        <w:spacing w:after="120" w:line="230" w:lineRule="exact"/>
        <w:jc w:val="both"/>
        <w:rPr>
          <w:rFonts w:cs="FrankRuehl"/>
          <w:szCs w:val="22"/>
        </w:rPr>
      </w:pPr>
    </w:p>
    <w:p w:rsidR="004C6075">
      <w:pPr>
        <w:spacing w:after="120" w:line="230" w:lineRule="exact"/>
        <w:jc w:val="both"/>
        <w:rPr>
          <w:rFonts w:cs="FrankRuehl"/>
          <w:szCs w:val="22"/>
        </w:rPr>
      </w:pPr>
    </w:p>
    <w:p w:rsidR="004C6075">
      <w:pPr>
        <w:spacing w:after="120" w:line="230" w:lineRule="exact"/>
        <w:jc w:val="both"/>
        <w:rPr>
          <w:rFonts w:cs="FrankRuehl"/>
          <w:szCs w:val="22"/>
        </w:rPr>
      </w:pPr>
    </w:p>
    <w:p w:rsidR="004C6075">
      <w:pPr>
        <w:spacing w:after="120" w:line="230" w:lineRule="exact"/>
        <w:jc w:val="both"/>
        <w:rPr>
          <w:rFonts w:cs="FrankRuehl"/>
          <w:szCs w:val="22"/>
          <w:rtl/>
        </w:rPr>
      </w:pPr>
    </w:p>
    <w:p w:rsidR="004C6075" w:rsidRPr="004C6075" w:rsidP="004C6075">
      <w:pPr>
        <w:pStyle w:val="PATIAH"/>
        <w:spacing w:before="60"/>
        <w:rPr>
          <w:sz w:val="22"/>
          <w:szCs w:val="22"/>
          <w:rtl/>
        </w:rPr>
      </w:pPr>
      <w:bookmarkEnd w:id="0"/>
      <w:bookmarkEnd w:id="1"/>
      <w:bookmarkEnd w:id="2"/>
      <w:bookmarkEnd w:id="3"/>
      <w:bookmarkEnd w:id="4"/>
    </w:p>
    <w:sectPr w:rsidSect="009970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1906" w:h="16838" w:code="9"/>
      <w:pgMar w:top="1758" w:right="2552" w:bottom="4253" w:left="2552" w:header="1247" w:footer="1134" w:gutter="0"/>
      <w:pgNumType w:start="239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075" w:rsidRPr="00803696" w:rsidP="004C6075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</w:r>
    <w:r w:rsidRPr="004C6075">
      <w:rPr>
        <w:sz w:val="16"/>
        <w:szCs w:val="16"/>
        <w:rtl/>
      </w:rPr>
      <w:t>הוועדה לאנרגיה אטומית</w:t>
    </w:r>
  </w:p>
  <w:p w:rsidR="008029DE" w:rsidP="008029D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מסגרת הפרסום: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שנתי 66ב</w:t>
    </w:r>
  </w:p>
  <w:p w:rsidR="008029DE" w:rsidP="008029D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התשע"ו-201</w:t>
    </w:r>
    <w:r>
      <w:rPr>
        <w:rFonts w:hint="cs"/>
        <w:sz w:val="16"/>
        <w:szCs w:val="16"/>
        <w:rtl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075" w:rsidRPr="00803696" w:rsidP="004C6075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</w:r>
    <w:r w:rsidRPr="004C6075">
      <w:rPr>
        <w:sz w:val="16"/>
        <w:szCs w:val="16"/>
        <w:rtl/>
      </w:rPr>
      <w:t>הוועדה לאנרגיה אטומית</w:t>
    </w:r>
  </w:p>
  <w:p w:rsidR="008029DE" w:rsidP="008029D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מסגרת הפרסום:</w:t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שנתי 66ב</w:t>
    </w:r>
  </w:p>
  <w:p w:rsidR="008029DE" w:rsidP="008029D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התשע"ו-201</w:t>
    </w:r>
    <w:r>
      <w:rPr>
        <w:rFonts w:hint="cs"/>
        <w:sz w:val="16"/>
        <w:szCs w:val="16"/>
        <w:rtl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696" w:rsidRPr="00803696" w:rsidP="004C6075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</w:r>
    <w:r w:rsidRPr="004C6075" w:rsidR="004C6075">
      <w:rPr>
        <w:sz w:val="16"/>
        <w:szCs w:val="16"/>
        <w:rtl/>
      </w:rPr>
      <w:t>הוועדה לאנרגיה אטומית</w:t>
    </w:r>
  </w:p>
  <w:p w:rsidR="005750D3" w:rsidP="005750D3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מסגרת הפרסום:</w:t>
    </w:r>
    <w:r>
      <w:rPr>
        <w:sz w:val="16"/>
        <w:szCs w:val="16"/>
        <w:rtl/>
      </w:rPr>
      <w:tab/>
    </w:r>
    <w:r w:rsidR="008029DE">
      <w:rPr>
        <w:rFonts w:hint="cs"/>
        <w:sz w:val="16"/>
        <w:szCs w:val="16"/>
        <w:rtl/>
      </w:rPr>
      <w:t>דוח שנתי 66ב</w:t>
    </w:r>
  </w:p>
  <w:p w:rsidR="001275A6" w:rsidP="009718F9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</w:r>
    <w:r w:rsidR="008029DE">
      <w:rPr>
        <w:sz w:val="16"/>
        <w:szCs w:val="16"/>
        <w:rtl/>
      </w:rPr>
      <w:t>התשע"ו-201</w:t>
    </w:r>
    <w:r w:rsidR="008029DE">
      <w:rPr>
        <w:rFonts w:hint="cs"/>
        <w:sz w:val="16"/>
        <w:szCs w:val="16"/>
        <w:rtl/>
      </w:rPr>
      <w:t>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50D3" w:rsidP="005750D3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 w:cs="FrankRuehl"/>
        <w:szCs w:val="20"/>
        <w:rtl/>
      </w:rPr>
    </w:pPr>
    <w:r>
      <w:rPr>
        <w:rFonts w:ascii="FrankRuehl" w:hAnsi="FrankRuehl" w:cs="FrankRuehl"/>
        <w:szCs w:val="20"/>
      </w:rPr>
      <w:fldChar w:fldCharType="begin"/>
    </w:r>
    <w:r>
      <w:rPr>
        <w:rFonts w:ascii="FrankRuehl" w:hAnsi="FrankRuehl" w:cs="FrankRuehl"/>
        <w:szCs w:val="20"/>
      </w:rPr>
      <w:instrText xml:space="preserve"> PAGE </w:instrText>
    </w:r>
    <w:r>
      <w:rPr>
        <w:rFonts w:ascii="FrankRuehl" w:hAnsi="FrankRuehl" w:cs="FrankRuehl"/>
        <w:szCs w:val="20"/>
      </w:rPr>
      <w:fldChar w:fldCharType="separate"/>
    </w:r>
    <w:r w:rsidR="004C6075">
      <w:rPr>
        <w:rFonts w:ascii="FrankRuehl" w:hAnsi="FrankRuehl" w:cs="FrankRuehl"/>
        <w:noProof/>
        <w:szCs w:val="20"/>
        <w:rtl/>
      </w:rPr>
      <w:t>6</w:t>
    </w:r>
    <w:r>
      <w:rPr>
        <w:rFonts w:ascii="FrankRuehl" w:hAnsi="FrankRuehl" w:cs="FrankRuehl"/>
        <w:szCs w:val="20"/>
      </w:rPr>
      <w:fldChar w:fldCharType="end"/>
    </w:r>
    <w:r>
      <w:rPr>
        <w:rFonts w:ascii="FrankRuehl" w:hAnsi="FrankRuehl" w:cs="FrankRuehl"/>
        <w:szCs w:val="20"/>
        <w:rtl/>
      </w:rPr>
      <w:tab/>
    </w:r>
    <w:r w:rsidR="008029DE">
      <w:rPr>
        <w:rFonts w:ascii="FrankRuehl" w:hAnsi="FrankRuehl" w:cs="FrankRuehl" w:hint="cs"/>
        <w:szCs w:val="20"/>
        <w:rtl/>
      </w:rPr>
      <w:t>דוח שנתי 66ב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3696" w:rsidRPr="00803696" w:rsidP="00803696">
    <w:pPr>
      <w:jc w:val="both"/>
      <w:rPr>
        <w:rFonts w:ascii="FrankRuehl" w:hAnsi="FrankRuehl" w:cs="FrankRuehl"/>
        <w:noProof/>
        <w:szCs w:val="20"/>
        <w:rtl/>
      </w:rPr>
    </w:pPr>
    <w:r w:rsidRPr="004C6075">
      <w:rPr>
        <w:rFonts w:ascii="FrankRuehl" w:hAnsi="FrankRuehl" w:cs="FrankRuehl"/>
        <w:noProof/>
        <w:szCs w:val="20"/>
        <w:rtl/>
      </w:rPr>
      <w:t>הוועדה לאנרגיה אטומית</w:t>
    </w:r>
  </w:p>
  <w:p w:rsidR="001275A6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 w:cs="FrankRuehl"/>
        <w:szCs w:val="20"/>
        <w:rtl/>
      </w:rPr>
    </w:pPr>
    <w:r>
      <w:rPr>
        <w:rFonts w:ascii="FrankRuehl" w:hAnsi="FrankRuehl" w:cs="FrankRuehl"/>
        <w:szCs w:val="20"/>
        <w:rtl/>
      </w:rPr>
      <w:tab/>
    </w:r>
    <w:r>
      <w:rPr>
        <w:rFonts w:ascii="FrankRuehl" w:hAnsi="FrankRuehl" w:cs="FrankRuehl"/>
        <w:szCs w:val="20"/>
      </w:rPr>
      <w:fldChar w:fldCharType="begin"/>
    </w:r>
    <w:r>
      <w:rPr>
        <w:rFonts w:ascii="FrankRuehl" w:hAnsi="FrankRuehl" w:cs="FrankRuehl"/>
        <w:szCs w:val="20"/>
      </w:rPr>
      <w:instrText xml:space="preserve"> PAGE </w:instrText>
    </w:r>
    <w:r>
      <w:rPr>
        <w:rFonts w:ascii="FrankRuehl" w:hAnsi="FrankRuehl" w:cs="FrankRuehl"/>
        <w:szCs w:val="20"/>
      </w:rPr>
      <w:fldChar w:fldCharType="separate"/>
    </w:r>
    <w:r w:rsidR="004C6075">
      <w:rPr>
        <w:rFonts w:ascii="FrankRuehl" w:hAnsi="FrankRuehl" w:cs="FrankRuehl"/>
        <w:noProof/>
        <w:szCs w:val="20"/>
        <w:rtl/>
      </w:rPr>
      <w:t>7</w:t>
    </w:r>
    <w:r>
      <w:rPr>
        <w:rFonts w:ascii="FrankRuehl" w:hAnsi="FrankRuehl" w:cs="FrankRuehl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75A6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 w:cs="FrankRuehl"/>
        <w:szCs w:val="20"/>
        <w:rtl/>
      </w:rPr>
    </w:pPr>
    <w:r>
      <w:rPr>
        <w:rFonts w:ascii="FrankRuehl" w:hAnsi="FrankRuehl" w:cs="FrankRuehl"/>
        <w:szCs w:val="20"/>
        <w:rtl/>
      </w:rPr>
      <w:tab/>
    </w:r>
    <w:r>
      <w:rPr>
        <w:rFonts w:ascii="FrankRuehl" w:hAnsi="FrankRuehl" w:cs="FrankRuehl"/>
        <w:szCs w:val="20"/>
      </w:rPr>
      <w:fldChar w:fldCharType="begin"/>
    </w:r>
    <w:r>
      <w:rPr>
        <w:rFonts w:ascii="FrankRuehl" w:hAnsi="FrankRuehl" w:cs="FrankRuehl"/>
        <w:szCs w:val="20"/>
      </w:rPr>
      <w:instrText xml:space="preserve"> PAGE </w:instrText>
    </w:r>
    <w:r>
      <w:rPr>
        <w:rFonts w:ascii="FrankRuehl" w:hAnsi="FrankRuehl" w:cs="FrankRuehl"/>
        <w:szCs w:val="20"/>
      </w:rPr>
      <w:fldChar w:fldCharType="separate"/>
    </w:r>
    <w:r w:rsidR="0099703C">
      <w:rPr>
        <w:rFonts w:ascii="FrankRuehl" w:hAnsi="FrankRuehl" w:cs="FrankRuehl"/>
        <w:noProof/>
        <w:szCs w:val="20"/>
        <w:rtl/>
      </w:rPr>
      <w:t>239</w:t>
    </w:r>
    <w:r>
      <w:rPr>
        <w:rFonts w:ascii="FrankRuehl" w:hAnsi="FrankRuehl" w:cs="FrankRuehl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875584"/>
    <w:multiLevelType w:val="hybridMultilevel"/>
    <w:tmpl w:val="010C73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019E"/>
    <w:multiLevelType w:val="hybridMultilevel"/>
    <w:tmpl w:val="E73CA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638CD"/>
    <w:multiLevelType w:val="hybridMultilevel"/>
    <w:tmpl w:val="7B3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C6428"/>
    <w:multiLevelType w:val="hybridMultilevel"/>
    <w:tmpl w:val="1CD22AE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BF5139"/>
    <w:multiLevelType w:val="multilevel"/>
    <w:tmpl w:val="DC6C961C"/>
    <w:lvl w:ilvl="0">
      <w:start w:val="1"/>
      <w:numFmt w:val="decimal"/>
      <w:pStyle w:val="a6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5">
    <w:nsid w:val="6D1B7DBB"/>
    <w:multiLevelType w:val="hybridMultilevel"/>
    <w:tmpl w:val="DF240F68"/>
    <w:lvl w:ilvl="0">
      <w:start w:val="1"/>
      <w:numFmt w:val="hebrew1"/>
      <w:lvlText w:val="(%1)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C757186"/>
    <w:multiLevelType w:val="hybridMultilevel"/>
    <w:tmpl w:val="E378154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340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footnotePr>
    <w:numRestart w:val="eachSec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78"/>
    <w:rsid w:val="00047C24"/>
    <w:rsid w:val="0006583D"/>
    <w:rsid w:val="00081C30"/>
    <w:rsid w:val="001275A6"/>
    <w:rsid w:val="002272B8"/>
    <w:rsid w:val="002306BA"/>
    <w:rsid w:val="002A7FAA"/>
    <w:rsid w:val="00396B9B"/>
    <w:rsid w:val="003B21D1"/>
    <w:rsid w:val="00411F28"/>
    <w:rsid w:val="00440588"/>
    <w:rsid w:val="004B13D5"/>
    <w:rsid w:val="004C6075"/>
    <w:rsid w:val="0051463B"/>
    <w:rsid w:val="00550646"/>
    <w:rsid w:val="005750D3"/>
    <w:rsid w:val="005A0EA1"/>
    <w:rsid w:val="00611EFC"/>
    <w:rsid w:val="006721BD"/>
    <w:rsid w:val="008029DE"/>
    <w:rsid w:val="00803696"/>
    <w:rsid w:val="00853CD3"/>
    <w:rsid w:val="00854DA5"/>
    <w:rsid w:val="009718F9"/>
    <w:rsid w:val="0099703C"/>
    <w:rsid w:val="009A3766"/>
    <w:rsid w:val="009E525C"/>
    <w:rsid w:val="00A15B63"/>
    <w:rsid w:val="00A37BD3"/>
    <w:rsid w:val="00AD673C"/>
    <w:rsid w:val="00B27766"/>
    <w:rsid w:val="00B6435A"/>
    <w:rsid w:val="00BF4C3B"/>
    <w:rsid w:val="00C8241F"/>
    <w:rsid w:val="00CA5D2E"/>
    <w:rsid w:val="00E44678"/>
    <w:rsid w:val="00F50A8A"/>
  </w:rsids>
  <w:docVars>
    <w:docVar w:name="sivug" w:val="0"/>
    <w:docVar w:name="space" w:val="-1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locked/>
    <w:pPr>
      <w:keepNext/>
      <w:widowControl w:val="0"/>
      <w:spacing w:line="700" w:lineRule="atLeast"/>
      <w:jc w:val="center"/>
      <w:outlineLvl w:val="0"/>
    </w:pPr>
    <w:rPr>
      <w:b/>
      <w:bCs/>
      <w:sz w:val="56"/>
      <w:szCs w:val="56"/>
      <w:lang w:eastAsia="he-IL"/>
    </w:rPr>
  </w:style>
  <w:style w:type="paragraph" w:styleId="Heading2">
    <w:name w:val="heading 2"/>
    <w:basedOn w:val="Normal"/>
    <w:next w:val="Normal"/>
    <w:qFormat/>
    <w:locked/>
    <w:pPr>
      <w:keepNext/>
      <w:spacing w:line="360" w:lineRule="exact"/>
      <w:ind w:left="1293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locked/>
    <w:pPr>
      <w:keepNext/>
      <w:widowControl w:val="0"/>
      <w:spacing w:line="312" w:lineRule="auto"/>
      <w:jc w:val="both"/>
      <w:outlineLvl w:val="2"/>
    </w:pPr>
    <w:rPr>
      <w:b/>
      <w:bCs/>
      <w:sz w:val="38"/>
      <w:szCs w:val="36"/>
      <w:lang w:eastAsia="he-IL"/>
    </w:rPr>
  </w:style>
  <w:style w:type="paragraph" w:styleId="Heading4">
    <w:name w:val="heading 4"/>
    <w:basedOn w:val="Normal"/>
    <w:next w:val="Normal"/>
    <w:qFormat/>
    <w:locked/>
    <w:pPr>
      <w:widowControl w:val="0"/>
      <w:spacing w:before="100" w:beforeAutospacing="1" w:line="264" w:lineRule="auto"/>
      <w:outlineLvl w:val="3"/>
    </w:pPr>
    <w:rPr>
      <w:b/>
      <w:bCs/>
      <w:sz w:val="22"/>
      <w:szCs w:val="26"/>
      <w:lang w:eastAsia="he-IL"/>
    </w:rPr>
  </w:style>
  <w:style w:type="paragraph" w:styleId="Heading5">
    <w:name w:val="heading 5"/>
    <w:basedOn w:val="Normal"/>
    <w:next w:val="Normal"/>
    <w:qFormat/>
    <w:locked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qFormat/>
    <w:locked/>
    <w:pPr>
      <w:keepNext/>
      <w:spacing w:before="60" w:after="60" w:line="220" w:lineRule="exact"/>
      <w:jc w:val="right"/>
      <w:outlineLvl w:val="5"/>
    </w:pPr>
    <w:rPr>
      <w:rFonts w:cs="FrankRueh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qFormat/>
    <w:locked/>
    <w:pPr>
      <w:keepNext/>
      <w:snapToGrid w:val="0"/>
      <w:spacing w:after="120" w:line="240" w:lineRule="auto"/>
      <w:ind w:left="153" w:firstLine="567"/>
      <w:jc w:val="both"/>
      <w:outlineLvl w:val="7"/>
    </w:pPr>
    <w:rPr>
      <w:b/>
      <w:bCs/>
      <w:sz w:val="36"/>
      <w:szCs w:val="36"/>
      <w:lang w:eastAsia="he-IL"/>
    </w:rPr>
  </w:style>
  <w:style w:type="paragraph" w:styleId="Heading9">
    <w:name w:val="heading 9"/>
    <w:basedOn w:val="Normal"/>
    <w:next w:val="Normal"/>
    <w:qFormat/>
    <w:locked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Pr>
      <w:rFonts w:ascii="Calibri" w:hAnsi="Calibri" w:cs="Arial"/>
      <w:b/>
      <w:bCs/>
    </w:rPr>
  </w:style>
  <w:style w:type="character" w:customStyle="1" w:styleId="7">
    <w:name w:val="כותרת 7 תו"/>
    <w:locked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Pr>
      <w:rFonts w:ascii="Cambria" w:hAnsi="Cambria" w:cs="Times New Roman"/>
    </w:rPr>
  </w:style>
  <w:style w:type="paragraph" w:styleId="Title">
    <w:name w:val="Title"/>
    <w:basedOn w:val="Normal"/>
    <w:qFormat/>
    <w:locked/>
    <w:pPr>
      <w:jc w:val="center"/>
    </w:pPr>
    <w:rPr>
      <w:b/>
      <w:bCs/>
      <w:u w:val="single"/>
    </w:rPr>
  </w:style>
  <w:style w:type="character" w:customStyle="1" w:styleId="a">
    <w:name w:val="כותרת טקסט תו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30">
    <w:name w:val="כותרת 3_0"/>
    <w:basedOn w:val="Normal"/>
    <w:next w:val="Normal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0">
    <w:name w:val="כותרת 4_0"/>
    <w:basedOn w:val="Normal"/>
    <w:next w:val="Normal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paragraph" w:customStyle="1" w:styleId="a0">
    <w:name w:val="נבנצלים"/>
    <w:basedOn w:val="Normal"/>
    <w:next w:val="Normal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styleId="BodyText">
    <w:name w:val="Body Text"/>
    <w:basedOn w:val="Normal"/>
    <w:semiHidden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character" w:customStyle="1" w:styleId="a1">
    <w:name w:val="גוף טקסט תו"/>
    <w:semiHidden/>
    <w:locked/>
    <w:rPr>
      <w:rFonts w:cs="David"/>
      <w:sz w:val="24"/>
      <w:szCs w:val="24"/>
      <w:lang w:bidi="he-IL"/>
    </w:rPr>
  </w:style>
  <w:style w:type="paragraph" w:styleId="BodyText2">
    <w:name w:val="Body Text 2"/>
    <w:basedOn w:val="Normal"/>
    <w:semiHidden/>
    <w:pPr>
      <w:widowControl w:val="0"/>
      <w:spacing w:line="312" w:lineRule="auto"/>
      <w:ind w:right="567"/>
      <w:jc w:val="both"/>
    </w:pPr>
    <w:rPr>
      <w:rFonts w:cs="FrankRuehl"/>
      <w:lang w:eastAsia="he-IL"/>
    </w:rPr>
  </w:style>
  <w:style w:type="character" w:customStyle="1" w:styleId="20">
    <w:name w:val="גוף טקסט 2 תו"/>
    <w:semiHidden/>
    <w:locked/>
    <w:rPr>
      <w:rFonts w:cs="David"/>
      <w:sz w:val="24"/>
      <w:szCs w:val="24"/>
      <w:lang w:bidi="he-IL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a2">
    <w:name w:val="כותרת עליונה תו"/>
    <w:locked/>
    <w:rPr>
      <w:rFonts w:cs="David"/>
      <w:sz w:val="24"/>
      <w:szCs w:val="24"/>
      <w:lang w:bidi="he-I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a3">
    <w:name w:val="כותרת תחתונה תו"/>
    <w:locked/>
    <w:rPr>
      <w:rFonts w:cs="David"/>
      <w:sz w:val="24"/>
      <w:szCs w:val="24"/>
      <w:lang w:bidi="he-IL"/>
    </w:rPr>
  </w:style>
  <w:style w:type="character" w:styleId="PageNumber">
    <w:name w:val="page number"/>
    <w:semiHidden/>
    <w:rPr>
      <w:rFonts w:cs="Times New Roman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10">
    <w:name w:val="טקסט הערת שוליים תו1"/>
    <w:semiHidden/>
    <w:locked/>
    <w:rPr>
      <w:rFonts w:cs="David"/>
      <w:sz w:val="20"/>
      <w:szCs w:val="20"/>
      <w:lang w:bidi="he-IL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EndnoteText">
    <w:name w:val="endnote text"/>
    <w:basedOn w:val="Normal"/>
    <w:semiHidden/>
    <w:pPr>
      <w:jc w:val="both"/>
    </w:pPr>
    <w:rPr>
      <w:szCs w:val="20"/>
    </w:rPr>
  </w:style>
  <w:style w:type="character" w:customStyle="1" w:styleId="a4">
    <w:name w:val="טקסט הערת סיום תו"/>
    <w:semiHidden/>
    <w:locked/>
    <w:rPr>
      <w:rFonts w:cs="David"/>
      <w:sz w:val="20"/>
      <w:szCs w:val="20"/>
      <w:lang w:bidi="he-IL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paragraph" w:styleId="BodyText3">
    <w:name w:val="Body Text 3"/>
    <w:basedOn w:val="Normal"/>
    <w:semiHidden/>
    <w:pPr>
      <w:widowControl w:val="0"/>
      <w:jc w:val="both"/>
    </w:pPr>
  </w:style>
  <w:style w:type="character" w:customStyle="1" w:styleId="31">
    <w:name w:val="גוף טקסט 3 תו"/>
    <w:semiHidden/>
    <w:locked/>
    <w:rPr>
      <w:rFonts w:cs="David"/>
      <w:sz w:val="16"/>
      <w:szCs w:val="16"/>
      <w:lang w:bidi="he-IL"/>
    </w:rPr>
  </w:style>
  <w:style w:type="paragraph" w:customStyle="1" w:styleId="KOT3A">
    <w:name w:val="KOT3A"/>
    <w:basedOn w:val="Normal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  <w:outlineLvl w:val="1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  <w:outlineLvl w:val="2"/>
    </w:pPr>
    <w:rPr>
      <w:sz w:val="22"/>
      <w:szCs w:val="22"/>
    </w:rPr>
  </w:style>
  <w:style w:type="character" w:customStyle="1" w:styleId="100">
    <w:name w:val="סגנון (עברית ושפות אחרות) ‏10 נק'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 w:val="20"/>
      <w:szCs w:val="22"/>
      <w:lang w:eastAsia="he-IL"/>
    </w:rPr>
  </w:style>
  <w:style w:type="paragraph" w:customStyle="1" w:styleId="takzir">
    <w:name w:val="takzir"/>
    <w:basedOn w:val="Normal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semiHidden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a5">
    <w:name w:val="טקסט רגיל תו"/>
    <w:semiHidden/>
    <w:locked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locked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51">
    <w:name w:val="כותרת 51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Pr>
      <w:rFonts w:ascii="Arial" w:hAnsi="Arial"/>
      <w:color w:val="auto"/>
      <w:sz w:val="20"/>
    </w:rPr>
  </w:style>
  <w:style w:type="character" w:customStyle="1" w:styleId="PersonalReplyStyle">
    <w:name w:val="Personal Reply Style"/>
    <w:rPr>
      <w:rFonts w:ascii="Arial" w:hAnsi="Arial"/>
      <w:color w:val="auto"/>
      <w:sz w:val="20"/>
    </w:rPr>
  </w:style>
  <w:style w:type="character" w:customStyle="1" w:styleId="52">
    <w:name w:val="כותרת 52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Pr>
      <w:b/>
      <w:spacing w:val="40"/>
      <w:sz w:val="24"/>
      <w:lang w:val="en-US" w:eastAsia="he-IL" w:bidi="he-IL"/>
    </w:rPr>
  </w:style>
  <w:style w:type="paragraph" w:customStyle="1" w:styleId="a6">
    <w:name w:val="ממוספר"/>
    <w:basedOn w:val="Normal"/>
    <w:pPr>
      <w:numPr>
        <w:numId w:val="1"/>
      </w:numPr>
      <w:spacing w:after="240" w:line="312" w:lineRule="auto"/>
      <w:ind w:right="397"/>
      <w:jc w:val="both"/>
    </w:pPr>
    <w:rPr>
      <w:rFonts w:cs="FrankRuehl"/>
      <w:lang w:eastAsia="he-IL"/>
    </w:rPr>
  </w:style>
  <w:style w:type="paragraph" w:customStyle="1" w:styleId="a7">
    <w:name w:val="טקסט מודגש"/>
    <w:basedOn w:val="Normal"/>
    <w:pPr>
      <w:spacing w:after="240" w:line="312" w:lineRule="auto"/>
      <w:jc w:val="both"/>
    </w:pPr>
    <w:rPr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pPr>
      <w:spacing w:after="240" w:line="240" w:lineRule="auto"/>
      <w:ind w:left="851" w:right="851"/>
      <w:jc w:val="both"/>
    </w:pPr>
    <w:rPr>
      <w:rFonts w:cs="FrankRuehl"/>
      <w:lang w:eastAsia="he-IL"/>
    </w:rPr>
  </w:style>
  <w:style w:type="paragraph" w:styleId="BodyTextIndent2">
    <w:name w:val="Body Text Indent 2"/>
    <w:basedOn w:val="Normal"/>
    <w:semiHidden/>
    <w:pPr>
      <w:spacing w:after="240" w:line="240" w:lineRule="auto"/>
      <w:ind w:left="540" w:hanging="540"/>
      <w:jc w:val="both"/>
    </w:pPr>
    <w:rPr>
      <w:rFonts w:cs="FrankRuehl"/>
      <w:lang w:eastAsia="he-IL"/>
    </w:rPr>
  </w:style>
  <w:style w:type="character" w:customStyle="1" w:styleId="21">
    <w:name w:val="כניסה בגוף טקסט 2 תו"/>
    <w:semiHidden/>
    <w:locked/>
    <w:rPr>
      <w:rFonts w:cs="David"/>
      <w:sz w:val="24"/>
      <w:szCs w:val="24"/>
      <w:lang w:bidi="he-IL"/>
    </w:rPr>
  </w:style>
  <w:style w:type="character" w:customStyle="1" w:styleId="notes">
    <w:name w:val="notes"/>
  </w:style>
  <w:style w:type="paragraph" w:styleId="BlockText">
    <w:name w:val="Block Text"/>
    <w:basedOn w:val="Normal"/>
    <w:semiHidden/>
    <w:pPr>
      <w:spacing w:line="240" w:lineRule="auto"/>
      <w:ind w:left="509"/>
    </w:pPr>
    <w:rPr>
      <w:sz w:val="20"/>
      <w:lang w:eastAsia="he-IL"/>
    </w:rPr>
  </w:style>
  <w:style w:type="character" w:customStyle="1" w:styleId="a8">
    <w:name w:val="טקסט הערות שוליים תו"/>
    <w:rPr>
      <w:lang w:val="en-US" w:eastAsia="en-US"/>
    </w:rPr>
  </w:style>
  <w:style w:type="character" w:customStyle="1" w:styleId="a9">
    <w:name w:val="טקסט הערת שוליים תו"/>
    <w:locked/>
    <w:rPr>
      <w:lang w:val="en-US" w:eastAsia="en-US"/>
    </w:rPr>
  </w:style>
  <w:style w:type="character" w:customStyle="1" w:styleId="a10">
    <w:name w:val="תו תו"/>
    <w:semiHidden/>
    <w:locked/>
    <w:rPr>
      <w:lang w:val="en-US" w:eastAsia="he-IL" w:bidi="he-IL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customStyle="1" w:styleId="32">
    <w:name w:val="כניסה בגוף טקסט 3 תו"/>
    <w:semiHidden/>
    <w:locked/>
    <w:rPr>
      <w:rFonts w:cs="David"/>
      <w:sz w:val="16"/>
      <w:szCs w:val="16"/>
      <w:lang w:bidi="he-IL"/>
    </w:rPr>
  </w:style>
  <w:style w:type="paragraph" w:customStyle="1" w:styleId="12">
    <w:name w:val="פיסקת רשימה1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11">
    <w:name w:val="טקסט בלונים תו"/>
    <w:semiHidden/>
    <w:locked/>
    <w:rPr>
      <w:rFonts w:cs="Times New Roman"/>
      <w:sz w:val="2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a12">
    <w:name w:val="כניסה בגוף טקסט תו"/>
    <w:semiHidden/>
    <w:locked/>
    <w:rPr>
      <w:rFonts w:cs="David"/>
      <w:sz w:val="24"/>
      <w:szCs w:val="24"/>
      <w:lang w:bidi="he-IL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a13">
    <w:name w:val="טקסט הערה תו"/>
    <w:semiHidden/>
    <w:locked/>
    <w:rPr>
      <w:rFonts w:cs="David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a14">
    <w:name w:val="נושא הערה תו"/>
    <w:semiHidden/>
    <w:locked/>
    <w:rPr>
      <w:rFonts w:cs="David"/>
      <w:b/>
      <w:bCs/>
      <w:sz w:val="20"/>
      <w:szCs w:val="20"/>
      <w:lang w:bidi="he-IL"/>
    </w:rPr>
  </w:style>
  <w:style w:type="paragraph" w:customStyle="1" w:styleId="310">
    <w:name w:val="כותרת 31"/>
    <w:basedOn w:val="Normal"/>
    <w:next w:val="Normal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1">
    <w:name w:val="כותרת 41"/>
    <w:basedOn w:val="Normal"/>
    <w:next w:val="Normal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character" w:customStyle="1" w:styleId="default">
    <w:name w:val="default"/>
    <w:rPr>
      <w:rFonts w:ascii="Times New Roman" w:hAnsi="Times New Roman"/>
      <w:sz w:val="26"/>
    </w:rPr>
  </w:style>
  <w:style w:type="character" w:customStyle="1" w:styleId="510">
    <w:name w:val="כותרת 5 תו1"/>
    <w:locked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pPr>
      <w:widowControl w:val="0"/>
      <w:spacing w:line="360" w:lineRule="auto"/>
      <w:jc w:val="right"/>
    </w:pPr>
    <w:rPr>
      <w:rFonts w:ascii="David" w:hAnsi="David"/>
      <w:sz w:val="20"/>
      <w:szCs w:val="20"/>
      <w:lang w:eastAsia="he-IL"/>
    </w:rPr>
  </w:style>
  <w:style w:type="character" w:customStyle="1" w:styleId="17">
    <w:name w:val="תו תו17"/>
    <w:semiHidden/>
    <w:locked/>
    <w:rPr>
      <w:b/>
      <w:spacing w:val="40"/>
      <w:sz w:val="24"/>
      <w:lang w:val="en-US" w:eastAsia="he-IL" w:bidi="he-IL"/>
    </w:rPr>
  </w:style>
  <w:style w:type="character" w:customStyle="1" w:styleId="22">
    <w:name w:val="תו תו2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pPr>
      <w:outlineLvl w:val="3"/>
    </w:pPr>
    <w:rPr>
      <w:rFonts w:cs="FrankRuehl"/>
      <w:spacing w:val="40"/>
      <w:sz w:val="20"/>
    </w:rPr>
  </w:style>
  <w:style w:type="paragraph" w:customStyle="1" w:styleId="KOT7">
    <w:name w:val="KOT7"/>
    <w:basedOn w:val="KOT6"/>
    <w:locked/>
    <w:pPr>
      <w:outlineLvl w:val="4"/>
    </w:pPr>
    <w:rPr>
      <w:b w:val="0"/>
      <w:bCs w:val="0"/>
    </w:rPr>
  </w:style>
  <w:style w:type="character" w:customStyle="1" w:styleId="610">
    <w:name w:val="כותרת 6 תו1"/>
    <w:rPr>
      <w:rFonts w:cs="David"/>
      <w:spacing w:val="40"/>
      <w:szCs w:val="24"/>
      <w:lang w:val="en-US" w:eastAsia="he-IL" w:bidi="he-IL"/>
    </w:rPr>
  </w:style>
  <w:style w:type="paragraph" w:customStyle="1" w:styleId="320">
    <w:name w:val="כותרת 32"/>
    <w:basedOn w:val="Normal"/>
    <w:next w:val="Normal"/>
    <w:pPr>
      <w:widowControl w:val="0"/>
      <w:spacing w:before="100" w:beforeAutospacing="1" w:line="288" w:lineRule="auto"/>
      <w:outlineLvl w:val="2"/>
    </w:pPr>
    <w:rPr>
      <w:b/>
      <w:bCs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pPr>
      <w:widowControl w:val="0"/>
      <w:spacing w:before="100" w:beforeAutospacing="1" w:line="264" w:lineRule="auto"/>
      <w:outlineLvl w:val="3"/>
    </w:pPr>
    <w:rPr>
      <w:b/>
      <w:bCs/>
      <w:sz w:val="22"/>
      <w:szCs w:val="26"/>
      <w:lang w:eastAsia="he-IL"/>
    </w:rPr>
  </w:style>
  <w:style w:type="character" w:customStyle="1" w:styleId="410">
    <w:name w:val="כותרת 41 תו"/>
    <w:rPr>
      <w:rFonts w:cs="David"/>
      <w:b/>
      <w:bCs/>
      <w:sz w:val="22"/>
      <w:szCs w:val="26"/>
    </w:rPr>
  </w:style>
  <w:style w:type="character" w:styleId="Hyperlink">
    <w:name w:val="Hyperlink"/>
    <w:semiHidden/>
    <w:locked/>
    <w:rPr>
      <w:color w:val="0000FF"/>
      <w:u w:val="single"/>
    </w:rPr>
  </w:style>
  <w:style w:type="paragraph" w:styleId="DocumentMap">
    <w:name w:val="Document Map"/>
    <w:basedOn w:val="Normal"/>
    <w:semiHidden/>
    <w:locked/>
    <w:pPr>
      <w:widowControl w:val="0"/>
      <w:shd w:val="clear" w:color="auto" w:fill="000080"/>
      <w:spacing w:line="312" w:lineRule="auto"/>
      <w:jc w:val="both"/>
    </w:pPr>
    <w:rPr>
      <w:rFonts w:ascii="Tahoma" w:hAnsi="Tahoma" w:cs="Tahoma"/>
      <w:sz w:val="20"/>
      <w:szCs w:val="20"/>
      <w:lang w:eastAsia="he-IL"/>
    </w:rPr>
  </w:style>
  <w:style w:type="character" w:customStyle="1" w:styleId="a15">
    <w:name w:val="מפת מסמך תו"/>
    <w:semiHidden/>
    <w:rPr>
      <w:rFonts w:ascii="Tahoma" w:hAnsi="Tahoma" w:cs="Tahoma"/>
      <w:shd w:val="clear" w:color="auto" w:fill="000080"/>
      <w:lang w:eastAsia="he-IL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Rockwell" w:eastAsia="Rockwell" w:hAnsi="Rockwell"/>
      <w:sz w:val="22"/>
      <w:szCs w:val="22"/>
    </w:rPr>
  </w:style>
  <w:style w:type="paragraph" w:customStyle="1" w:styleId="a16">
    <w:name w:val="נבנצאל"/>
    <w:basedOn w:val="Normal"/>
    <w:next w:val="Normal"/>
    <w:pPr>
      <w:spacing w:after="200" w:line="276" w:lineRule="auto"/>
      <w:ind w:left="-567"/>
    </w:pPr>
    <w:rPr>
      <w:rFonts w:ascii="Rockwell" w:eastAsia="Rockwell" w:hAnsi="Rockwell"/>
      <w:sz w:val="22"/>
      <w:szCs w:val="20"/>
    </w:rPr>
  </w:style>
  <w:style w:type="character" w:customStyle="1" w:styleId="a17">
    <w:name w:val="נבנצאל תו"/>
    <w:locked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semiHidden/>
    <w:locked/>
    <w:pPr>
      <w:spacing w:before="120" w:after="200" w:line="240" w:lineRule="auto"/>
    </w:pPr>
    <w:rPr>
      <w:rFonts w:ascii="Rockwell" w:eastAsia="Rockwell" w:hAnsi="Rockwell"/>
      <w:sz w:val="22"/>
      <w:szCs w:val="22"/>
    </w:rPr>
  </w:style>
  <w:style w:type="character" w:customStyle="1" w:styleId="a18">
    <w:name w:val="תאריך תו"/>
    <w:rPr>
      <w:rFonts w:ascii="Rockwell" w:eastAsia="Rockwell" w:hAnsi="Rockwell" w:cs="David"/>
      <w:sz w:val="22"/>
      <w:szCs w:val="22"/>
    </w:rPr>
  </w:style>
  <w:style w:type="paragraph" w:styleId="Revision">
    <w:name w:val="Revision"/>
    <w:hidden/>
    <w:semiHidden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pPr>
      <w:jc w:val="center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C16B3B-C540-4A52-B7A2-5CF65E1D0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BC0FA-0000-4108-9D28-A5F4F78F2671}"/>
</file>

<file path=customXml/itemProps3.xml><?xml version="1.0" encoding="utf-8"?>
<ds:datastoreItem xmlns:ds="http://schemas.openxmlformats.org/officeDocument/2006/customXml" ds:itemID="{D666EBF9-5E25-4317-8622-5026559F1057}"/>
</file>

<file path=customXml/itemProps4.xml><?xml version="1.0" encoding="utf-8"?>
<ds:datastoreItem xmlns:ds="http://schemas.openxmlformats.org/officeDocument/2006/customXml" ds:itemID="{DEE3FEDA-6A73-40E0-9A0C-0971F7D8FCEF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