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540220" w:rsidRPr="00540220" w:rsidP="00540220">
      <w:pPr>
        <w:spacing w:after="0" w:line="340" w:lineRule="exact"/>
        <w:ind w:left="4675"/>
        <w:rPr>
          <w:rFonts w:cs="David"/>
          <w:sz w:val="22"/>
          <w:rtl/>
        </w:rPr>
      </w:pPr>
      <w:bookmarkStart w:id="0" w:name="_GoBack"/>
      <w:bookmarkEnd w:id="0"/>
      <w:r w:rsidRPr="00540220">
        <w:rPr>
          <w:rFonts w:cs="David" w:hint="cs"/>
          <w:sz w:val="22"/>
          <w:rtl/>
        </w:rPr>
        <w:t>"</w:t>
      </w:r>
      <w:r w:rsidRPr="00540220">
        <w:rPr>
          <w:rFonts w:cs="David"/>
          <w:sz w:val="22"/>
          <w:rtl/>
        </w:rPr>
        <w:t>יום יבוא</w:t>
      </w:r>
      <w:r w:rsidRPr="00540220">
        <w:rPr>
          <w:rFonts w:cs="David" w:hint="cs"/>
          <w:sz w:val="22"/>
          <w:rtl/>
        </w:rPr>
        <w:t>...</w:t>
      </w:r>
      <w:r w:rsidRPr="00540220">
        <w:rPr>
          <w:rFonts w:cs="David"/>
          <w:sz w:val="22"/>
          <w:rtl/>
        </w:rPr>
        <w:t xml:space="preserve"> </w:t>
      </w:r>
    </w:p>
    <w:p w:rsidR="00540220" w:rsidRPr="00540220" w:rsidP="00540220">
      <w:pPr>
        <w:spacing w:after="0" w:line="340" w:lineRule="exact"/>
        <w:ind w:left="4675"/>
        <w:rPr>
          <w:rFonts w:cs="David"/>
          <w:sz w:val="22"/>
          <w:rtl/>
        </w:rPr>
      </w:pPr>
      <w:r w:rsidRPr="00540220">
        <w:rPr>
          <w:rFonts w:cs="David"/>
          <w:sz w:val="22"/>
          <w:rtl/>
        </w:rPr>
        <w:t xml:space="preserve">הוא קרב והולך בנתיבו </w:t>
      </w:r>
    </w:p>
    <w:p w:rsidR="00540220" w:rsidRPr="00540220" w:rsidP="00540220">
      <w:pPr>
        <w:spacing w:after="0" w:line="340" w:lineRule="exact"/>
        <w:ind w:left="4675"/>
        <w:rPr>
          <w:rFonts w:cs="David"/>
          <w:sz w:val="22"/>
          <w:rtl/>
        </w:rPr>
      </w:pPr>
      <w:r w:rsidRPr="00540220">
        <w:rPr>
          <w:rFonts w:cs="David"/>
          <w:sz w:val="22"/>
          <w:rtl/>
        </w:rPr>
        <w:t xml:space="preserve">לא יושפל שום אדם </w:t>
      </w:r>
    </w:p>
    <w:p w:rsidR="00540220" w:rsidRPr="00540220" w:rsidP="00540220">
      <w:pPr>
        <w:spacing w:after="0" w:line="340" w:lineRule="exact"/>
        <w:ind w:left="4675"/>
        <w:rPr>
          <w:rFonts w:cs="David"/>
          <w:sz w:val="22"/>
          <w:rtl/>
        </w:rPr>
      </w:pPr>
      <w:r w:rsidRPr="00540220">
        <w:rPr>
          <w:rFonts w:cs="David"/>
          <w:sz w:val="22"/>
          <w:rtl/>
        </w:rPr>
        <w:t xml:space="preserve">על גזעו וצבעו </w:t>
      </w:r>
    </w:p>
    <w:p w:rsidR="00540220" w:rsidRPr="00540220" w:rsidP="00540220">
      <w:pPr>
        <w:spacing w:after="0" w:line="340" w:lineRule="exact"/>
        <w:ind w:left="4675"/>
        <w:rPr>
          <w:rFonts w:cs="David"/>
          <w:sz w:val="22"/>
          <w:rtl/>
        </w:rPr>
      </w:pPr>
      <w:r w:rsidRPr="00540220">
        <w:rPr>
          <w:rFonts w:cs="David"/>
          <w:sz w:val="22"/>
          <w:rtl/>
        </w:rPr>
        <w:t>יום יבוא</w:t>
      </w:r>
      <w:r w:rsidRPr="00540220">
        <w:rPr>
          <w:rFonts w:cs="David" w:hint="cs"/>
          <w:sz w:val="22"/>
          <w:rtl/>
        </w:rPr>
        <w:t>..."</w:t>
      </w:r>
      <w:r>
        <w:rPr>
          <w:rFonts w:ascii="David" w:hAnsi="David" w:cs="David"/>
          <w:szCs w:val="24"/>
          <w:vertAlign w:val="superscript"/>
          <w:rtl/>
        </w:rPr>
        <w:footnoteReference w:id="2"/>
      </w:r>
    </w:p>
    <w:p w:rsidR="00540220">
      <w:pPr>
        <w:pStyle w:val="KOT3A"/>
        <w:rPr>
          <w:rFonts w:hint="cs"/>
          <w:rtl/>
        </w:rPr>
      </w:pPr>
    </w:p>
    <w:p w:rsidR="00531BD6">
      <w:pPr>
        <w:pStyle w:val="KOT3A"/>
        <w:rPr>
          <w:rtl/>
        </w:rPr>
      </w:pPr>
      <w:r>
        <w:rPr>
          <w:rFonts w:hint="cs"/>
          <w:rtl/>
        </w:rPr>
        <w:t>פתח דבר</w:t>
      </w:r>
    </w:p>
    <w:p w:rsidR="00540220" w:rsidRPr="00540220" w:rsidP="00540220">
      <w:pPr>
        <w:spacing w:line="340" w:lineRule="exact"/>
        <w:rPr>
          <w:rFonts w:cs="David"/>
          <w:szCs w:val="24"/>
          <w:rtl/>
        </w:rPr>
      </w:pPr>
      <w:r w:rsidRPr="00540220">
        <w:rPr>
          <w:rFonts w:cs="David" w:hint="cs"/>
          <w:szCs w:val="24"/>
          <w:rtl/>
        </w:rPr>
        <w:t>אחדותה של החברה הישראלית על שלל גווניה ומאבק עיקש וחסר פשרות בגזענות ובשנאת האחד רק בשל היותו אחר הם בסיס הכרחי להמשך קיומה ושגשוגה של מדינת ישראל כמדינה יהודית ודמ</w:t>
      </w:r>
      <w:r w:rsidRPr="00540220">
        <w:rPr>
          <w:rFonts w:cs="David" w:hint="cs"/>
          <w:szCs w:val="24"/>
          <w:rtl/>
        </w:rPr>
        <w:t xml:space="preserve">וקרטית. </w:t>
      </w:r>
      <w:r w:rsidRPr="00540220">
        <w:rPr>
          <w:rFonts w:cs="David"/>
          <w:szCs w:val="24"/>
          <w:rtl/>
        </w:rPr>
        <w:t xml:space="preserve">דוח ביקורת זה עוסק </w:t>
      </w:r>
      <w:r w:rsidRPr="00540220">
        <w:rPr>
          <w:rFonts w:cs="David" w:hint="cs"/>
          <w:szCs w:val="24"/>
          <w:rtl/>
        </w:rPr>
        <w:t>בפעולות של משרד החינוך לקידום החינוך לחיים משותפים ולמניעת גזענות.</w:t>
      </w:r>
      <w:r w:rsidRPr="00540220">
        <w:rPr>
          <w:rFonts w:cs="David"/>
          <w:szCs w:val="24"/>
          <w:rtl/>
        </w:rPr>
        <w:t xml:space="preserve"> </w:t>
      </w:r>
      <w:r w:rsidRPr="00540220">
        <w:rPr>
          <w:rFonts w:cs="David" w:hint="cs"/>
          <w:szCs w:val="24"/>
          <w:rtl/>
        </w:rPr>
        <w:t xml:space="preserve">לצערי הרב, </w:t>
      </w:r>
      <w:r w:rsidRPr="00540220">
        <w:rPr>
          <w:rFonts w:cs="David"/>
          <w:szCs w:val="24"/>
          <w:rtl/>
        </w:rPr>
        <w:t xml:space="preserve">ממצאי </w:t>
      </w:r>
      <w:r w:rsidRPr="00540220">
        <w:rPr>
          <w:rFonts w:cs="David" w:hint="cs"/>
          <w:szCs w:val="24"/>
          <w:rtl/>
        </w:rPr>
        <w:t>ה</w:t>
      </w:r>
      <w:r w:rsidRPr="00540220">
        <w:rPr>
          <w:rFonts w:cs="David"/>
          <w:szCs w:val="24"/>
          <w:rtl/>
        </w:rPr>
        <w:t xml:space="preserve">דוח מעלים </w:t>
      </w:r>
      <w:r w:rsidRPr="00540220">
        <w:rPr>
          <w:rFonts w:cs="David" w:hint="cs"/>
          <w:szCs w:val="24"/>
          <w:rtl/>
        </w:rPr>
        <w:t>תמונת מצב מדאיגה בכל הנוגע לפעילות המועטה במערכת החינוך למען אחדותה של החברה הישראלית ולמען מיגור הרעה החולה של הגזענות ושנאת האחר. הד</w:t>
      </w:r>
      <w:r w:rsidRPr="00540220">
        <w:rPr>
          <w:rFonts w:cs="David" w:hint="cs"/>
          <w:szCs w:val="24"/>
          <w:rtl/>
        </w:rPr>
        <w:t xml:space="preserve">וח מלמד כי מדינת ישראל עושה מעט מדי על מנת לעקור תופעות חמורות של גזענות ושנאה בקרב בני הנוער ועל מנת לקדם חיים משותפים. </w:t>
      </w:r>
    </w:p>
    <w:p w:rsidR="00540220" w:rsidRPr="00540220" w:rsidP="00540220">
      <w:pPr>
        <w:spacing w:line="340" w:lineRule="exact"/>
        <w:rPr>
          <w:rFonts w:cs="David"/>
          <w:szCs w:val="24"/>
          <w:rtl/>
        </w:rPr>
      </w:pPr>
      <w:r w:rsidRPr="00540220">
        <w:rPr>
          <w:rFonts w:cs="David" w:hint="cs"/>
          <w:szCs w:val="24"/>
          <w:rtl/>
        </w:rPr>
        <w:t>ערכי היסוד של מדינת ישראל מאז ראשיתה התבססו על המלחמה בגזענות, החתירה לשוויון בין כל אזרחי המדינה והשמירה על כבוד האדם באשר הוא אדם. ש</w:t>
      </w:r>
      <w:r w:rsidRPr="00540220">
        <w:rPr>
          <w:rFonts w:cs="David" w:hint="cs"/>
          <w:szCs w:val="24"/>
          <w:rtl/>
        </w:rPr>
        <w:t>ורשיה של תפיסה זו במקורות היהדות: "</w:t>
      </w:r>
      <w:r w:rsidRPr="00540220">
        <w:rPr>
          <w:rFonts w:cs="David"/>
          <w:szCs w:val="24"/>
          <w:rtl/>
        </w:rPr>
        <w:t>וַיִּבְרָא אֱלֹהִים אֶת-הָאָדָם בְּצַלְמוֹ, בְּצֶלֶם אֱלֹהִים בָּרָא אֹתוֹ:</w:t>
      </w:r>
      <w:r w:rsidRPr="00540220">
        <w:rPr>
          <w:rFonts w:cs="David" w:hint="cs"/>
          <w:szCs w:val="24"/>
          <w:rtl/>
        </w:rPr>
        <w:t xml:space="preserve"> </w:t>
      </w:r>
      <w:r w:rsidRPr="00540220">
        <w:rPr>
          <w:rFonts w:cs="David"/>
          <w:szCs w:val="24"/>
          <w:rtl/>
        </w:rPr>
        <w:t>זָכָר וּנְקֵבָה, בָּרָא אֹתָם</w:t>
      </w:r>
      <w:r w:rsidRPr="00540220">
        <w:rPr>
          <w:rFonts w:cs="David" w:hint="cs"/>
          <w:szCs w:val="24"/>
          <w:rtl/>
        </w:rPr>
        <w:t xml:space="preserve">". </w:t>
      </w:r>
      <w:r w:rsidRPr="00540220">
        <w:rPr>
          <w:rFonts w:cs="David"/>
          <w:szCs w:val="24"/>
          <w:rtl/>
        </w:rPr>
        <w:t>(בראשית א, כז)</w:t>
      </w:r>
      <w:r w:rsidRPr="00540220">
        <w:rPr>
          <w:rFonts w:cs="David" w:hint="cs"/>
          <w:szCs w:val="24"/>
          <w:rtl/>
        </w:rPr>
        <w:t>. ביטוי מובהק לערכי יסוד אלה ניתן במגילת העצמאות, הקובעת כי "</w:t>
      </w:r>
      <w:r w:rsidRPr="00540220">
        <w:rPr>
          <w:rFonts w:cs="David"/>
          <w:szCs w:val="24"/>
          <w:rtl/>
        </w:rPr>
        <w:t>מדינת ישראל... תשקוד על פיתוח הארץ לטו</w:t>
      </w:r>
      <w:r w:rsidRPr="00540220">
        <w:rPr>
          <w:rFonts w:cs="David"/>
          <w:szCs w:val="24"/>
          <w:rtl/>
        </w:rPr>
        <w:t>בת כל תושביה; תהא מושתתת על יסודות החירות, הצדק והשלום לאור חזונם של נביאי ישראל; תקיים שו</w:t>
      </w:r>
      <w:r w:rsidRPr="00540220">
        <w:rPr>
          <w:rFonts w:cs="David" w:hint="cs"/>
          <w:szCs w:val="24"/>
          <w:rtl/>
        </w:rPr>
        <w:t>ו</w:t>
      </w:r>
      <w:r w:rsidRPr="00540220">
        <w:rPr>
          <w:rFonts w:cs="David"/>
          <w:szCs w:val="24"/>
          <w:rtl/>
        </w:rPr>
        <w:t>יון זכויות חברתי ומדיני גמור לכל אזרחיה בלי הבדל דת, גזע ומין</w:t>
      </w:r>
      <w:r w:rsidRPr="00540220">
        <w:rPr>
          <w:rFonts w:cs="David" w:hint="cs"/>
          <w:szCs w:val="24"/>
          <w:rtl/>
        </w:rPr>
        <w:t xml:space="preserve">; </w:t>
      </w:r>
      <w:r w:rsidRPr="00540220">
        <w:rPr>
          <w:rFonts w:cs="David"/>
          <w:szCs w:val="24"/>
          <w:rtl/>
        </w:rPr>
        <w:t>תבטיח חופש דת, מצפון, לשון, חינוך ותרבות</w:t>
      </w:r>
      <w:r w:rsidRPr="00540220">
        <w:rPr>
          <w:rFonts w:cs="David" w:hint="cs"/>
          <w:szCs w:val="24"/>
          <w:rtl/>
        </w:rPr>
        <w:t>". חוק יסוד: כבוד האדם וחירותו, שנחקק בשנת 1992, העלה את זכויו</w:t>
      </w:r>
      <w:r w:rsidRPr="00540220">
        <w:rPr>
          <w:rFonts w:cs="David" w:hint="cs"/>
          <w:szCs w:val="24"/>
          <w:rtl/>
        </w:rPr>
        <w:t>ת האדם עלי ספר ושינה את מעמדה הנורמטיבי של הזכות ל"כבוד האדם" למעמד של זכות חוקתית על-חוקית</w:t>
      </w:r>
      <w:r>
        <w:rPr>
          <w:rFonts w:ascii="David" w:hAnsi="David" w:cs="David"/>
          <w:szCs w:val="24"/>
          <w:vertAlign w:val="superscript"/>
          <w:rtl/>
        </w:rPr>
        <w:footnoteReference w:id="3"/>
      </w:r>
      <w:r w:rsidRPr="00540220">
        <w:rPr>
          <w:rFonts w:cs="David" w:hint="cs"/>
          <w:szCs w:val="24"/>
          <w:rtl/>
        </w:rPr>
        <w:t xml:space="preserve">. החובה של המדינה להילחם בתופעות של גזענות ושנאה היא כעת חובה חוקתית. הנשיא לשעבר של </w:t>
      </w:r>
      <w:r w:rsidRPr="00540220">
        <w:rPr>
          <w:rFonts w:cs="David" w:hint="cs"/>
          <w:szCs w:val="24"/>
          <w:rtl/>
        </w:rPr>
        <w:t>בית המשפט העליון אהרן ברק כתב באחד מפסקי דינו: "</w:t>
      </w:r>
      <w:r w:rsidRPr="00540220">
        <w:rPr>
          <w:rFonts w:cs="David"/>
          <w:szCs w:val="24"/>
          <w:rtl/>
        </w:rPr>
        <w:t>הגזענות פוגעת בכבוד האדם ובשווי</w:t>
      </w:r>
      <w:r w:rsidRPr="00540220">
        <w:rPr>
          <w:rFonts w:cs="David"/>
          <w:szCs w:val="24"/>
          <w:rtl/>
        </w:rPr>
        <w:t>ון שבין בני האדם. הגזענות חותרת תחת הסדר החברתי,</w:t>
      </w:r>
      <w:r w:rsidRPr="00540220">
        <w:rPr>
          <w:rFonts w:cs="David" w:hint="cs"/>
          <w:szCs w:val="24"/>
          <w:rtl/>
        </w:rPr>
        <w:t xml:space="preserve"> </w:t>
      </w:r>
      <w:r w:rsidRPr="00540220">
        <w:rPr>
          <w:rFonts w:cs="David"/>
          <w:szCs w:val="24"/>
          <w:rtl/>
        </w:rPr>
        <w:t>הסובלנות החברתית ושלום הציבור.</w:t>
      </w:r>
      <w:r w:rsidRPr="00540220">
        <w:rPr>
          <w:rFonts w:cs="David" w:hint="cs"/>
          <w:szCs w:val="24"/>
          <w:rtl/>
        </w:rPr>
        <w:t xml:space="preserve"> </w:t>
      </w:r>
      <w:r w:rsidRPr="00540220">
        <w:rPr>
          <w:rFonts w:cs="David"/>
          <w:szCs w:val="24"/>
          <w:rtl/>
        </w:rPr>
        <w:t>יש בה סתירה למהותה ולאושיותיה של מדינת ישראל כמדינה יהודית ודמוקרטית</w:t>
      </w:r>
      <w:r w:rsidRPr="00540220">
        <w:rPr>
          <w:rFonts w:cs="David" w:hint="cs"/>
          <w:szCs w:val="24"/>
          <w:rtl/>
        </w:rPr>
        <w:t>"</w:t>
      </w:r>
      <w:r>
        <w:rPr>
          <w:rFonts w:ascii="David" w:hAnsi="David" w:cs="David"/>
          <w:szCs w:val="24"/>
          <w:vertAlign w:val="superscript"/>
          <w:rtl/>
        </w:rPr>
        <w:footnoteReference w:id="4"/>
      </w:r>
      <w:r w:rsidRPr="00540220">
        <w:rPr>
          <w:rFonts w:cs="David" w:hint="cs"/>
          <w:szCs w:val="24"/>
          <w:rtl/>
        </w:rPr>
        <w:t xml:space="preserve">. </w:t>
      </w:r>
    </w:p>
    <w:p w:rsidR="00540220" w:rsidRPr="00540220" w:rsidP="00540220">
      <w:pPr>
        <w:spacing w:line="340" w:lineRule="exact"/>
        <w:rPr>
          <w:rFonts w:cs="David"/>
          <w:szCs w:val="24"/>
          <w:rtl/>
        </w:rPr>
      </w:pPr>
      <w:r w:rsidRPr="00540220">
        <w:rPr>
          <w:rFonts w:cs="David" w:hint="cs"/>
          <w:szCs w:val="24"/>
          <w:rtl/>
        </w:rPr>
        <w:t xml:space="preserve">ההיסטוריה של העם היהודי מצווה עלינו לזכור מדי יום ביומו את התוצאות הנוראות של גזענות ושנאת האחר. היטיב </w:t>
      </w:r>
      <w:r w:rsidRPr="00540220">
        <w:rPr>
          <w:rFonts w:cs="David" w:hint="cs"/>
          <w:szCs w:val="24"/>
          <w:rtl/>
        </w:rPr>
        <w:t>לבטא את הדברים שופט בית המשפט העליון צבי ברנזון: "</w:t>
      </w:r>
      <w:r w:rsidRPr="00540220">
        <w:rPr>
          <w:rFonts w:cs="David"/>
          <w:szCs w:val="24"/>
          <w:rtl/>
        </w:rPr>
        <w:t xml:space="preserve">כשגלינו מארצנו ונתרחקנו מעל אדמתנו קרבנות היינו לאומות העולם שבתוכם ישבנו ובכל הדורות טעמנו את הטעם המר של רדיפות, נגישות והפליות רק בגלל היותנו יהודים 'שדתיהם שונות מכל עם'. מלומדי </w:t>
      </w:r>
      <w:r w:rsidRPr="00540220">
        <w:rPr>
          <w:rFonts w:cs="David" w:hint="cs"/>
          <w:szCs w:val="24"/>
          <w:rtl/>
        </w:rPr>
        <w:t>ניסיון</w:t>
      </w:r>
      <w:r w:rsidRPr="00540220">
        <w:rPr>
          <w:rFonts w:cs="David"/>
          <w:szCs w:val="24"/>
          <w:rtl/>
        </w:rPr>
        <w:t xml:space="preserve"> מר ואומלל זה, שחד</w:t>
      </w:r>
      <w:r w:rsidRPr="00540220">
        <w:rPr>
          <w:rFonts w:cs="David"/>
          <w:szCs w:val="24"/>
          <w:rtl/>
        </w:rPr>
        <w:t>ר עמוק עמוק להכרתנו ולתודעתנו הלאומית והאנושית, ניתן לצפות שלא נלך בדרכים הנלוזות של הגויים, ובהתחדש עצמאותנו במדינת ישראל עלינו להיזהר ולהישמר מכל צל של הפליה ומנהג של איפה ואיפה</w:t>
      </w:r>
      <w:r w:rsidRPr="00540220">
        <w:rPr>
          <w:rFonts w:cs="David" w:hint="cs"/>
          <w:szCs w:val="24"/>
          <w:rtl/>
        </w:rPr>
        <w:t xml:space="preserve">... </w:t>
      </w:r>
      <w:r w:rsidRPr="00540220">
        <w:rPr>
          <w:rFonts w:cs="David"/>
          <w:szCs w:val="24"/>
          <w:rtl/>
        </w:rPr>
        <w:t xml:space="preserve">שנאת זרים קללה כפולה בה: היא משחיתה את צלם אלוהים של השונא וממיטה רעה על </w:t>
      </w:r>
      <w:r w:rsidRPr="00540220">
        <w:rPr>
          <w:rFonts w:cs="David"/>
          <w:szCs w:val="24"/>
          <w:rtl/>
        </w:rPr>
        <w:t>השנוא על לא אוון בכפו. עלינו לגלות יחס אנושי וסובלני כלפי כל מי שנברא בצלם ולקיים את הכלל הגדול של שוויון בין כל בני-אדם בזכויות ובחובות"</w:t>
      </w:r>
      <w:r>
        <w:rPr>
          <w:rFonts w:ascii="David" w:hAnsi="David" w:cs="David"/>
          <w:szCs w:val="24"/>
          <w:vertAlign w:val="superscript"/>
          <w:rtl/>
        </w:rPr>
        <w:footnoteReference w:id="5"/>
      </w:r>
      <w:r w:rsidRPr="00540220">
        <w:rPr>
          <w:rFonts w:cs="David" w:hint="cs"/>
          <w:szCs w:val="24"/>
          <w:rtl/>
        </w:rPr>
        <w:t>.</w:t>
      </w:r>
      <w:r w:rsidRPr="00540220">
        <w:rPr>
          <w:rFonts w:cs="David"/>
          <w:szCs w:val="24"/>
          <w:rtl/>
        </w:rPr>
        <w:t xml:space="preserve"> </w:t>
      </w:r>
    </w:p>
    <w:p w:rsidR="00540220" w:rsidRPr="00540220" w:rsidP="00540220">
      <w:pPr>
        <w:spacing w:line="340" w:lineRule="exact"/>
        <w:rPr>
          <w:rFonts w:cs="David"/>
          <w:szCs w:val="24"/>
          <w:rtl/>
        </w:rPr>
      </w:pPr>
      <w:r w:rsidRPr="00540220">
        <w:rPr>
          <w:rFonts w:cs="David" w:hint="cs"/>
          <w:szCs w:val="24"/>
          <w:rtl/>
        </w:rPr>
        <w:t>עלינו לשנן את לקחי העבר ואת הסכנות הטמונות בזרעי הגזענות, שעלולים להתפשט בכל חברה אנושית, להכות שורש ולהצמיח גידולי</w:t>
      </w:r>
      <w:r w:rsidRPr="00540220">
        <w:rPr>
          <w:rFonts w:cs="David" w:hint="cs"/>
          <w:szCs w:val="24"/>
          <w:rtl/>
        </w:rPr>
        <w:t xml:space="preserve"> פרא המתפשטים ומכלים כל חלקה טובה. לחברה אנושית באשר היא, בכל מקום ובכל זמן, אין ערובה כי שיחי הגזענות לא יהפכו ליער עבות. אסור לנו לקבל את משטרנו הדמוקרטי, המקדש את כבודו של כל אדם באשר הוא אדם, כדבר מובן מאליו. התפיסה המתעתעת "לנו זה לא יכול לקרות" איננה</w:t>
      </w:r>
      <w:r w:rsidRPr="00540220">
        <w:rPr>
          <w:rFonts w:cs="David" w:hint="cs"/>
          <w:szCs w:val="24"/>
          <w:rtl/>
        </w:rPr>
        <w:t xml:space="preserve"> עומדת במבחן ההיסטוריה</w:t>
      </w:r>
      <w:r>
        <w:rPr>
          <w:rFonts w:ascii="David" w:hAnsi="David" w:cs="David"/>
          <w:szCs w:val="24"/>
          <w:vertAlign w:val="superscript"/>
          <w:rtl/>
        </w:rPr>
        <w:footnoteReference w:id="6"/>
      </w:r>
      <w:r w:rsidRPr="00540220">
        <w:rPr>
          <w:rFonts w:cs="David" w:hint="cs"/>
          <w:szCs w:val="24"/>
          <w:rtl/>
        </w:rPr>
        <w:t>. כפי שציין בצדק פרופ' אהרן ברק, "אם זה קרה בגרמניה של קנט, בטהובן וגתה, זה יכול לקרות בכל מקום, גם אם לא בעוצמה מבעיתה כל כך"</w:t>
      </w:r>
      <w:r>
        <w:rPr>
          <w:rFonts w:ascii="David" w:hAnsi="David" w:cs="David"/>
          <w:szCs w:val="24"/>
          <w:vertAlign w:val="superscript"/>
          <w:rtl/>
        </w:rPr>
        <w:footnoteReference w:id="7"/>
      </w:r>
      <w:r w:rsidRPr="00540220">
        <w:rPr>
          <w:rFonts w:cs="David" w:hint="cs"/>
          <w:szCs w:val="24"/>
          <w:rtl/>
        </w:rPr>
        <w:t>. עלינו לעשות כמיטב יכולתנו כדי שזרעי השנאה והגזענות ייכחדו מחברתנו. על המדינה לפעול בכל האמצעים העומדים ל</w:t>
      </w:r>
      <w:r w:rsidRPr="00540220">
        <w:rPr>
          <w:rFonts w:cs="David" w:hint="cs"/>
          <w:szCs w:val="24"/>
          <w:rtl/>
        </w:rPr>
        <w:t xml:space="preserve">רשותה לשם הטמעת הערכים היהודיים-דמוקרטיים של קבלת השונה והדגשת המאחד והמשותף בקרב כל בני החברה הישראלית. </w:t>
      </w:r>
    </w:p>
    <w:p w:rsidR="00540220" w:rsidRPr="00540220" w:rsidP="00540220">
      <w:pPr>
        <w:spacing w:line="340" w:lineRule="exact"/>
        <w:rPr>
          <w:rFonts w:cs="David"/>
          <w:szCs w:val="24"/>
          <w:rtl/>
        </w:rPr>
      </w:pPr>
      <w:r w:rsidRPr="00540220">
        <w:rPr>
          <w:rFonts w:cs="David" w:hint="cs"/>
          <w:szCs w:val="24"/>
          <w:rtl/>
        </w:rPr>
        <w:t>הדברים מקבלים משנה תוקף במציאות החיים בארצנו. חברתנו מרובת גוונים, תרבויות, אמונות ותפיסות עולם. הגיוון יתרונות רבים לו, אך הוא טומן בחובו גם חסרונות.</w:t>
      </w:r>
      <w:r w:rsidRPr="00540220">
        <w:rPr>
          <w:rFonts w:cs="David" w:hint="cs"/>
          <w:szCs w:val="24"/>
          <w:rtl/>
        </w:rPr>
        <w:t xml:space="preserve"> השונוּת בין חלקי החברה מובילה למחלוקות ולשסעים חברתיים בין קבוצות כגון ערבים ויהודים; </w:t>
      </w:r>
      <w:r w:rsidRPr="00540220">
        <w:rPr>
          <w:rFonts w:cs="David"/>
          <w:szCs w:val="24"/>
          <w:rtl/>
        </w:rPr>
        <w:t>אשכנזים ומזרחיים</w:t>
      </w:r>
      <w:r w:rsidRPr="00540220">
        <w:rPr>
          <w:rFonts w:cs="David" w:hint="cs"/>
          <w:szCs w:val="24"/>
          <w:rtl/>
        </w:rPr>
        <w:t>; דתיים וחילונים;</w:t>
      </w:r>
      <w:r w:rsidRPr="00540220">
        <w:rPr>
          <w:rFonts w:cs="David"/>
          <w:szCs w:val="24"/>
          <w:rtl/>
        </w:rPr>
        <w:t xml:space="preserve"> ימין ושמאל</w:t>
      </w:r>
      <w:r w:rsidRPr="00540220">
        <w:rPr>
          <w:rFonts w:cs="David" w:hint="cs"/>
          <w:szCs w:val="24"/>
          <w:rtl/>
        </w:rPr>
        <w:t>;</w:t>
      </w:r>
      <w:r w:rsidRPr="00540220">
        <w:rPr>
          <w:rFonts w:cs="David"/>
          <w:szCs w:val="24"/>
          <w:rtl/>
        </w:rPr>
        <w:t xml:space="preserve"> עולים וותיקים</w:t>
      </w:r>
      <w:r w:rsidRPr="00540220">
        <w:rPr>
          <w:rFonts w:cs="David" w:hint="cs"/>
          <w:szCs w:val="24"/>
          <w:rtl/>
        </w:rPr>
        <w:t>; תושבי ה</w:t>
      </w:r>
      <w:r w:rsidRPr="00540220">
        <w:rPr>
          <w:rFonts w:cs="David"/>
          <w:szCs w:val="24"/>
          <w:rtl/>
        </w:rPr>
        <w:t>פריפריה ו</w:t>
      </w:r>
      <w:r w:rsidRPr="00540220">
        <w:rPr>
          <w:rFonts w:cs="David" w:hint="cs"/>
          <w:szCs w:val="24"/>
          <w:rtl/>
        </w:rPr>
        <w:t>תושבי ה</w:t>
      </w:r>
      <w:r w:rsidRPr="00540220">
        <w:rPr>
          <w:rFonts w:cs="David"/>
          <w:szCs w:val="24"/>
          <w:rtl/>
        </w:rPr>
        <w:t>מרכ</w:t>
      </w:r>
      <w:r w:rsidRPr="00540220">
        <w:rPr>
          <w:rFonts w:cs="David" w:hint="cs"/>
          <w:szCs w:val="24"/>
          <w:rtl/>
        </w:rPr>
        <w:t>ז;</w:t>
      </w:r>
      <w:r w:rsidRPr="00540220">
        <w:rPr>
          <w:rFonts w:cs="David"/>
          <w:szCs w:val="24"/>
          <w:rtl/>
        </w:rPr>
        <w:t xml:space="preserve"> עשירים ועניים</w:t>
      </w:r>
      <w:r w:rsidRPr="00540220">
        <w:rPr>
          <w:rFonts w:cs="David" w:hint="cs"/>
          <w:szCs w:val="24"/>
          <w:rtl/>
        </w:rPr>
        <w:t>. שסעים אלו שינו את פניה של החברה הישראלית ויצרו בה קבוצות שונות ו</w:t>
      </w:r>
      <w:r w:rsidRPr="00540220">
        <w:rPr>
          <w:rFonts w:cs="David" w:hint="cs"/>
          <w:szCs w:val="24"/>
          <w:rtl/>
        </w:rPr>
        <w:t>נבדלות. עמד על כך נשיא המדינה ראובן ריבלין: "</w:t>
      </w:r>
      <w:r w:rsidRPr="00540220">
        <w:rPr>
          <w:rFonts w:cs="David"/>
          <w:szCs w:val="24"/>
          <w:rtl/>
        </w:rPr>
        <w:t>התהליכים הדמוגרפיים המעצבים מחדש את פניה של החברה הישראלית</w:t>
      </w:r>
      <w:r w:rsidRPr="00540220">
        <w:rPr>
          <w:rFonts w:cs="David" w:hint="cs"/>
          <w:szCs w:val="24"/>
          <w:rtl/>
        </w:rPr>
        <w:t xml:space="preserve"> </w:t>
      </w:r>
      <w:r w:rsidRPr="00540220">
        <w:rPr>
          <w:rFonts w:cs="David"/>
          <w:szCs w:val="24"/>
          <w:rtl/>
        </w:rPr>
        <w:t xml:space="preserve">- יצרו למעשה </w:t>
      </w:r>
      <w:r w:rsidRPr="00540220">
        <w:rPr>
          <w:rFonts w:cs="David" w:hint="cs"/>
          <w:szCs w:val="24"/>
          <w:rtl/>
        </w:rPr>
        <w:t>'</w:t>
      </w:r>
      <w:r w:rsidRPr="00540220">
        <w:rPr>
          <w:rFonts w:cs="David"/>
          <w:szCs w:val="24"/>
          <w:rtl/>
        </w:rPr>
        <w:t>סדר ישראלי חדש</w:t>
      </w:r>
      <w:r w:rsidRPr="00540220">
        <w:rPr>
          <w:rFonts w:cs="David" w:hint="cs"/>
          <w:szCs w:val="24"/>
          <w:rtl/>
        </w:rPr>
        <w:t>'</w:t>
      </w:r>
      <w:r w:rsidRPr="00540220">
        <w:rPr>
          <w:rFonts w:cs="David"/>
          <w:szCs w:val="24"/>
          <w:rtl/>
        </w:rPr>
        <w:t>. סדר שבו אין עוד רוב ברור, ואין מיעוטים ברורים. סדר שבו החברה הישראלית מורכבת מארבעה מגזרים, ואם נרצה</w:t>
      </w:r>
      <w:r w:rsidRPr="00540220">
        <w:rPr>
          <w:rFonts w:cs="David" w:hint="cs"/>
          <w:szCs w:val="24"/>
          <w:rtl/>
        </w:rPr>
        <w:t xml:space="preserve"> </w:t>
      </w:r>
      <w:r w:rsidRPr="00540220">
        <w:rPr>
          <w:rFonts w:cs="David"/>
          <w:szCs w:val="24"/>
          <w:rtl/>
        </w:rPr>
        <w:t xml:space="preserve">- ארבעה </w:t>
      </w:r>
      <w:r w:rsidRPr="00540220">
        <w:rPr>
          <w:rFonts w:cs="David" w:hint="cs"/>
          <w:szCs w:val="24"/>
          <w:rtl/>
        </w:rPr>
        <w:t>'</w:t>
      </w:r>
      <w:r w:rsidRPr="00540220">
        <w:rPr>
          <w:rFonts w:cs="David"/>
          <w:szCs w:val="24"/>
          <w:rtl/>
        </w:rPr>
        <w:t>שבטים</w:t>
      </w:r>
      <w:r w:rsidRPr="00540220">
        <w:rPr>
          <w:rFonts w:cs="David" w:hint="cs"/>
          <w:szCs w:val="24"/>
          <w:rtl/>
        </w:rPr>
        <w:t>'</w:t>
      </w:r>
      <w:r w:rsidRPr="00540220">
        <w:rPr>
          <w:rFonts w:cs="David"/>
          <w:szCs w:val="24"/>
          <w:rtl/>
        </w:rPr>
        <w:t xml:space="preserve"> מרכז</w:t>
      </w:r>
      <w:r w:rsidRPr="00540220">
        <w:rPr>
          <w:rFonts w:cs="David"/>
          <w:szCs w:val="24"/>
          <w:rtl/>
        </w:rPr>
        <w:t>יים, שונים מהותית אלה מאלה, שילכו ויתקרבו זה אל זה בגודלם</w:t>
      </w:r>
      <w:r w:rsidRPr="00540220">
        <w:rPr>
          <w:rFonts w:cs="David" w:hint="cs"/>
          <w:szCs w:val="24"/>
          <w:rtl/>
        </w:rPr>
        <w:t>;</w:t>
      </w:r>
      <w:r w:rsidRPr="00540220">
        <w:rPr>
          <w:rFonts w:cs="David"/>
          <w:szCs w:val="24"/>
          <w:rtl/>
        </w:rPr>
        <w:t xml:space="preserve"> שבו, אם נרצה ואם לאו, </w:t>
      </w:r>
      <w:r w:rsidRPr="00540220">
        <w:rPr>
          <w:rFonts w:cs="David" w:hint="cs"/>
          <w:szCs w:val="24"/>
          <w:rtl/>
        </w:rPr>
        <w:t>'</w:t>
      </w:r>
      <w:r w:rsidRPr="00540220">
        <w:rPr>
          <w:rFonts w:cs="David"/>
          <w:szCs w:val="24"/>
          <w:rtl/>
        </w:rPr>
        <w:t>מבנה הבעלות</w:t>
      </w:r>
      <w:r w:rsidRPr="00540220">
        <w:rPr>
          <w:rFonts w:cs="David" w:hint="cs"/>
          <w:szCs w:val="24"/>
          <w:rtl/>
        </w:rPr>
        <w:t>'</w:t>
      </w:r>
      <w:r w:rsidRPr="00540220">
        <w:rPr>
          <w:rFonts w:cs="David"/>
          <w:szCs w:val="24"/>
          <w:rtl/>
        </w:rPr>
        <w:t xml:space="preserve"> על החברה הישראלית ומדינת ישראל משתנה לנגד עינינו</w:t>
      </w:r>
      <w:r w:rsidRPr="00540220">
        <w:rPr>
          <w:rFonts w:cs="David" w:hint="cs"/>
          <w:szCs w:val="24"/>
          <w:rtl/>
        </w:rPr>
        <w:t>"</w:t>
      </w:r>
      <w:r>
        <w:rPr>
          <w:rFonts w:ascii="David" w:hAnsi="David" w:cs="David"/>
          <w:szCs w:val="24"/>
          <w:vertAlign w:val="superscript"/>
          <w:rtl/>
        </w:rPr>
        <w:footnoteReference w:id="8"/>
      </w:r>
      <w:r w:rsidRPr="00540220">
        <w:rPr>
          <w:rFonts w:cs="David" w:hint="cs"/>
          <w:szCs w:val="24"/>
          <w:rtl/>
        </w:rPr>
        <w:t xml:space="preserve">. </w:t>
      </w:r>
    </w:p>
    <w:p w:rsidR="00540220" w:rsidRPr="00540220" w:rsidP="00540220">
      <w:pPr>
        <w:spacing w:line="340" w:lineRule="exact"/>
        <w:rPr>
          <w:rFonts w:cs="David"/>
          <w:szCs w:val="24"/>
          <w:rtl/>
        </w:rPr>
      </w:pPr>
      <w:r w:rsidRPr="00540220">
        <w:rPr>
          <w:rFonts w:cs="David" w:hint="cs"/>
          <w:szCs w:val="24"/>
          <w:rtl/>
        </w:rPr>
        <w:t>במציאות מורכבת זו אנו חווים בתקופה האחרונה תופעות קשות של שנאה, גזענות, אלימות, פלגנות וחוסר סובלנות. השסעים</w:t>
      </w:r>
      <w:r w:rsidRPr="00540220">
        <w:rPr>
          <w:rFonts w:cs="David" w:hint="cs"/>
          <w:szCs w:val="24"/>
          <w:rtl/>
        </w:rPr>
        <w:t xml:space="preserve"> בין הקבוצות בחברה הישראלית מאפילים על המאחד והמחבר בין חלקיה. סובלנות וקבלת עמדה שונה הפכו במקומות מסוימים ל"מעשה מגונה". התבטאויות גזעניות ואלימות, הפליה, רדיפה ואף פשעי שנאה מזעזעים היו למחזות שאינם כה נדירים. "שוליים קיצוניים" - או, כפי שנוח לכנותם, "ק</w:t>
      </w:r>
      <w:r w:rsidRPr="00540220">
        <w:rPr>
          <w:rFonts w:cs="David" w:hint="cs"/>
          <w:szCs w:val="24"/>
          <w:rtl/>
        </w:rPr>
        <w:t>ומץ" - מרימים את ראשם, כשהרשתות החברתיות מהוות כר פורה להפצת שנאת האחר ומלמדות כי הבושה פסה מן הארץ. יד קלה על המקלדת הופכת ליד קלה על קופסת הגפרורים, הסכין והאקדח. נחמץ הלב למראה השנאה והגזענות המעוורות את עיני האדם ומכרסמות ביסודות החברה הישראלית ובערכיה</w:t>
      </w:r>
      <w:r w:rsidRPr="00540220">
        <w:rPr>
          <w:rFonts w:cs="David" w:hint="cs"/>
          <w:szCs w:val="24"/>
          <w:rtl/>
        </w:rPr>
        <w:t xml:space="preserve"> היהודיים והדמוקרטיים.</w:t>
      </w:r>
    </w:p>
    <w:p w:rsidR="00540220" w:rsidRPr="00540220" w:rsidP="00540220">
      <w:pPr>
        <w:spacing w:line="340" w:lineRule="exact"/>
        <w:rPr>
          <w:rFonts w:cs="David"/>
          <w:szCs w:val="24"/>
          <w:rtl/>
        </w:rPr>
      </w:pPr>
      <w:r w:rsidRPr="00540220">
        <w:rPr>
          <w:rFonts w:cs="David" w:hint="cs"/>
          <w:szCs w:val="24"/>
          <w:rtl/>
        </w:rPr>
        <w:t xml:space="preserve">בידי המדינה אמצעים רבים למיגור תופעות קשות אלה. אולם האמצעי החשוב והיעיל מכולם הוא חינוך. </w:t>
      </w:r>
    </w:p>
    <w:p w:rsidR="00540220" w:rsidRPr="00540220" w:rsidP="00540220">
      <w:pPr>
        <w:spacing w:line="340" w:lineRule="exact"/>
        <w:ind w:left="567"/>
        <w:rPr>
          <w:rFonts w:cs="David"/>
          <w:szCs w:val="24"/>
          <w:rtl/>
        </w:rPr>
      </w:pPr>
      <w:r w:rsidRPr="00540220">
        <w:rPr>
          <w:rFonts w:cs="David" w:hint="cs"/>
          <w:szCs w:val="24"/>
          <w:rtl/>
        </w:rPr>
        <w:t>"תגיד אבא</w:t>
      </w:r>
      <w:r w:rsidRPr="00540220">
        <w:rPr>
          <w:rFonts w:cs="David"/>
          <w:szCs w:val="24"/>
          <w:rtl/>
        </w:rPr>
        <w:t>...</w:t>
      </w:r>
      <w:r w:rsidRPr="00540220">
        <w:rPr>
          <w:rFonts w:cs="David" w:hint="cs"/>
          <w:szCs w:val="24"/>
          <w:rtl/>
        </w:rPr>
        <w:t xml:space="preserve"> </w:t>
      </w:r>
      <w:r w:rsidRPr="00540220">
        <w:rPr>
          <w:rFonts w:cs="David"/>
          <w:szCs w:val="24"/>
          <w:rtl/>
        </w:rPr>
        <w:t>אתה חושב שאני יכולה להפוך לגזענית?</w:t>
      </w:r>
      <w:r w:rsidRPr="00540220">
        <w:rPr>
          <w:rFonts w:cs="David" w:hint="cs"/>
          <w:szCs w:val="24"/>
          <w:rtl/>
        </w:rPr>
        <w:t xml:space="preserve">" </w:t>
      </w:r>
    </w:p>
    <w:p w:rsidR="00540220" w:rsidRPr="00540220" w:rsidP="00540220">
      <w:pPr>
        <w:spacing w:line="340" w:lineRule="exact"/>
        <w:ind w:left="567"/>
        <w:rPr>
          <w:rFonts w:cs="David"/>
          <w:szCs w:val="24"/>
          <w:rtl/>
        </w:rPr>
      </w:pPr>
      <w:r w:rsidRPr="00540220">
        <w:rPr>
          <w:rFonts w:cs="David" w:hint="cs"/>
          <w:szCs w:val="24"/>
          <w:rtl/>
        </w:rPr>
        <w:t>"</w:t>
      </w:r>
      <w:r w:rsidRPr="00540220">
        <w:rPr>
          <w:rFonts w:cs="David"/>
          <w:szCs w:val="24"/>
          <w:rtl/>
        </w:rPr>
        <w:t>זה יכול לקרות; הכ</w:t>
      </w:r>
      <w:r w:rsidRPr="00540220">
        <w:rPr>
          <w:rFonts w:cs="David" w:hint="cs"/>
          <w:szCs w:val="24"/>
          <w:rtl/>
        </w:rPr>
        <w:t>ו</w:t>
      </w:r>
      <w:r w:rsidRPr="00540220">
        <w:rPr>
          <w:rFonts w:cs="David"/>
          <w:szCs w:val="24"/>
          <w:rtl/>
        </w:rPr>
        <w:t>ל תלוי בחינוך שתקבלי</w:t>
      </w:r>
      <w:r w:rsidRPr="00540220">
        <w:rPr>
          <w:rFonts w:cs="David" w:hint="cs"/>
          <w:szCs w:val="24"/>
          <w:rtl/>
        </w:rPr>
        <w:t>... לא נולדים גזענים, הופכים להיות כאלה."</w:t>
      </w:r>
      <w:r>
        <w:rPr>
          <w:rFonts w:ascii="David" w:hAnsi="David" w:cs="David"/>
          <w:szCs w:val="24"/>
          <w:vertAlign w:val="superscript"/>
          <w:rtl/>
        </w:rPr>
        <w:footnoteReference w:id="9"/>
      </w:r>
      <w:r w:rsidRPr="00540220">
        <w:rPr>
          <w:rFonts w:cs="David"/>
          <w:szCs w:val="24"/>
          <w:rtl/>
        </w:rPr>
        <w:t xml:space="preserve"> </w:t>
      </w:r>
    </w:p>
    <w:p w:rsidR="00540220" w:rsidRPr="00540220" w:rsidP="00540220">
      <w:pPr>
        <w:spacing w:line="340" w:lineRule="exact"/>
        <w:rPr>
          <w:rFonts w:cs="David"/>
          <w:szCs w:val="24"/>
          <w:rtl/>
        </w:rPr>
      </w:pPr>
      <w:r w:rsidRPr="00540220">
        <w:rPr>
          <w:rFonts w:cs="David" w:hint="cs"/>
          <w:szCs w:val="24"/>
          <w:rtl/>
        </w:rPr>
        <w:t>קשה להפרי</w:t>
      </w:r>
      <w:r w:rsidRPr="00540220">
        <w:rPr>
          <w:rFonts w:cs="David" w:hint="cs"/>
          <w:szCs w:val="24"/>
          <w:rtl/>
        </w:rPr>
        <w:t>ז בחשיבותו של החינוך ובמקומה המרכזי של מערכת החינוך במיגור השנאה והגזענות, תוך חתירה לחיים משותפים בחברה הישראלית המקוטבת. לחינוך מקום מרכזי בהווייתה של המדינה, שכן תפקידו להבטיח חיי חברה תקינים והגשמת זכויות הפרט. אכן, "</w:t>
      </w:r>
      <w:r w:rsidRPr="00540220">
        <w:rPr>
          <w:rFonts w:cs="David"/>
          <w:szCs w:val="24"/>
          <w:rtl/>
        </w:rPr>
        <w:t>מימוש הזכות לחינוך נועד להשיג גם תכ</w:t>
      </w:r>
      <w:r w:rsidRPr="00540220">
        <w:rPr>
          <w:rFonts w:cs="David"/>
          <w:szCs w:val="24"/>
          <w:rtl/>
        </w:rPr>
        <w:t>ליות חברתיות. הוא מהווה החוליה המקשרת בין מגזרי החברה השונים, ויוצר גשר חיוני לקיום הרמוניה חברתית, שבלעדיה לא ייתכנו קיומם של עם וחברה; החינוך הוא אמצעי חשוב לקידום ערכים דמוקרטיים חופשיים, ולקיום חיי חברה תקינים"</w:t>
      </w:r>
      <w:r>
        <w:rPr>
          <w:rFonts w:ascii="David" w:hAnsi="David" w:cs="David"/>
          <w:szCs w:val="24"/>
          <w:vertAlign w:val="superscript"/>
          <w:rtl/>
        </w:rPr>
        <w:footnoteReference w:id="10"/>
      </w:r>
      <w:r w:rsidRPr="00540220">
        <w:rPr>
          <w:rFonts w:cs="David" w:hint="cs"/>
          <w:szCs w:val="24"/>
          <w:rtl/>
        </w:rPr>
        <w:t xml:space="preserve">. </w:t>
      </w:r>
    </w:p>
    <w:p w:rsidR="00540220" w:rsidRPr="00540220" w:rsidP="00540220">
      <w:pPr>
        <w:spacing w:line="340" w:lineRule="exact"/>
        <w:rPr>
          <w:rFonts w:cs="David"/>
          <w:szCs w:val="24"/>
          <w:rtl/>
        </w:rPr>
      </w:pPr>
      <w:r w:rsidRPr="00540220">
        <w:rPr>
          <w:rFonts w:cs="David" w:hint="cs"/>
          <w:szCs w:val="24"/>
          <w:rtl/>
        </w:rPr>
        <w:t>ממצאי הדוח המונח לפניכם מלמדים, כי המד</w:t>
      </w:r>
      <w:r w:rsidRPr="00540220">
        <w:rPr>
          <w:rFonts w:cs="David" w:hint="cs"/>
          <w:szCs w:val="24"/>
          <w:rtl/>
        </w:rPr>
        <w:t xml:space="preserve">ינה אינה עושה שימוש מושכל ומספק במערכת החינוך על מנת ליצור גשרים בין חלקי החברה. משרד החינוך לא </w:t>
      </w:r>
      <w:r w:rsidRPr="00540220">
        <w:rPr>
          <w:rFonts w:cs="David"/>
          <w:szCs w:val="24"/>
          <w:rtl/>
        </w:rPr>
        <w:t>ייש</w:t>
      </w:r>
      <w:r w:rsidRPr="00540220">
        <w:rPr>
          <w:rFonts w:cs="David" w:hint="cs"/>
          <w:szCs w:val="24"/>
          <w:rtl/>
        </w:rPr>
        <w:t>ם</w:t>
      </w:r>
      <w:r w:rsidRPr="00540220">
        <w:rPr>
          <w:rFonts w:cs="David"/>
          <w:szCs w:val="24"/>
          <w:rtl/>
        </w:rPr>
        <w:t xml:space="preserve"> מרכיבים מרכזיים בתפיסה המנחה</w:t>
      </w:r>
      <w:r w:rsidRPr="00540220">
        <w:rPr>
          <w:rFonts w:cs="David" w:hint="cs"/>
          <w:szCs w:val="24"/>
          <w:rtl/>
        </w:rPr>
        <w:t xml:space="preserve"> בתחום החינוך למניעת גזענות ולחיים משותפים,</w:t>
      </w:r>
      <w:r w:rsidRPr="00540220">
        <w:rPr>
          <w:rFonts w:cs="David"/>
          <w:szCs w:val="24"/>
          <w:rtl/>
        </w:rPr>
        <w:t xml:space="preserve"> ומדידה </w:t>
      </w:r>
      <w:r w:rsidRPr="00540220">
        <w:rPr>
          <w:rFonts w:cs="David" w:hint="cs"/>
          <w:szCs w:val="24"/>
          <w:rtl/>
        </w:rPr>
        <w:t xml:space="preserve">שיטתית </w:t>
      </w:r>
      <w:r w:rsidRPr="00540220">
        <w:rPr>
          <w:rFonts w:cs="David"/>
          <w:szCs w:val="24"/>
          <w:rtl/>
        </w:rPr>
        <w:t>של תופעת הגזענות</w:t>
      </w:r>
      <w:r w:rsidRPr="00540220">
        <w:rPr>
          <w:rFonts w:cs="David" w:hint="cs"/>
          <w:szCs w:val="24"/>
          <w:rtl/>
        </w:rPr>
        <w:t xml:space="preserve"> במערכת החינוך אינה נעשית; לא יושמו</w:t>
      </w:r>
      <w:r w:rsidRPr="00540220">
        <w:rPr>
          <w:rFonts w:cs="David"/>
          <w:szCs w:val="24"/>
          <w:rtl/>
        </w:rPr>
        <w:t xml:space="preserve"> תכניות לחיים משות</w:t>
      </w:r>
      <w:r w:rsidRPr="00540220">
        <w:rPr>
          <w:rFonts w:cs="David"/>
          <w:szCs w:val="24"/>
          <w:rtl/>
        </w:rPr>
        <w:t>פים</w:t>
      </w:r>
      <w:r w:rsidRPr="00540220">
        <w:rPr>
          <w:rFonts w:cs="David" w:hint="cs"/>
          <w:szCs w:val="24"/>
          <w:rtl/>
        </w:rPr>
        <w:t xml:space="preserve"> ולא הוקצו המשאבים הראויים ליישומן; הפעילות בנושא, על היבטיה השונים, לא רוכזה בידיה של יחידת מטה אחת שתישא באחריות ותוביל את המהלכים לקידום הנושא במערכת החינוך; </w:t>
      </w:r>
      <w:r w:rsidRPr="00540220">
        <w:rPr>
          <w:rFonts w:cs="David"/>
          <w:szCs w:val="24"/>
          <w:rtl/>
        </w:rPr>
        <w:t xml:space="preserve">החינוך לחיים משותפים ולמניעת גזענות </w:t>
      </w:r>
      <w:r w:rsidRPr="00540220">
        <w:rPr>
          <w:rFonts w:cs="David" w:hint="cs"/>
          <w:szCs w:val="24"/>
          <w:rtl/>
        </w:rPr>
        <w:t>שולב באופן חלקי וחסר במגוון המקצועות; לא הוכשרו מורים בת</w:t>
      </w:r>
      <w:r w:rsidRPr="00540220">
        <w:rPr>
          <w:rFonts w:cs="David" w:hint="cs"/>
          <w:szCs w:val="24"/>
          <w:rtl/>
        </w:rPr>
        <w:t>חום חשוב זה ולא מוצתה הפעילות עם ארגוני המגזר השלישי. ממצאים אלה מעלים חשש כבד כי המילים היפות והחשובות בנושא מיגור הגזענות והחינוך לחיים משותפים לא גובו במעשים ולא נוצקו להן התכנים הנדרשים. הנהלות משרד החינוך לאורך השנים נמנעו מלנקוט את מכלול הצעדים הדרוש</w:t>
      </w:r>
      <w:r w:rsidRPr="00540220">
        <w:rPr>
          <w:rFonts w:cs="David" w:hint="cs"/>
          <w:szCs w:val="24"/>
          <w:rtl/>
        </w:rPr>
        <w:t xml:space="preserve">ים ליצירת תשתית ארגונית, תקציבית, אופרטיבית ופדגוגית מספיקה לעשייה מערכתית אפקטיבית וארוכת טווח למניעת גזענות בקרב תלמידים. בנסיבות אלה, הנושא עולה לסדר היום של משרד החינוך באופן אקראי ונקודתי, ורק בעקבות גילויי גזענות קיצוניים ואלימים ובימי שיא שנתיים. </w:t>
      </w:r>
    </w:p>
    <w:p w:rsidR="00540220" w:rsidRPr="00540220" w:rsidP="00540220">
      <w:pPr>
        <w:spacing w:line="340" w:lineRule="exact"/>
        <w:rPr>
          <w:rFonts w:cs="David"/>
          <w:szCs w:val="24"/>
          <w:rtl/>
        </w:rPr>
      </w:pPr>
      <w:r w:rsidRPr="00540220">
        <w:rPr>
          <w:rFonts w:cs="David" w:hint="cs"/>
          <w:szCs w:val="24"/>
          <w:rtl/>
        </w:rPr>
        <w:t>ל</w:t>
      </w:r>
      <w:r w:rsidRPr="00540220">
        <w:rPr>
          <w:rFonts w:cs="David" w:hint="cs"/>
          <w:szCs w:val="24"/>
          <w:rtl/>
        </w:rPr>
        <w:t>א אכחד, נקודת הפתיחה קשה. החלוקה לקבוצות בחברה הישראלית באה לידי ביטוי גם במערכת החינוך, הכוללת שלושה זרמים מרכזיים נפרדים: חינוך ממלכתי-יהודי, חינוך ממלכתי-דתי, חינוך ממלכתי-ערבי, ולצדם</w:t>
      </w:r>
      <w:r w:rsidRPr="00540220">
        <w:rPr>
          <w:rFonts w:cs="David"/>
          <w:szCs w:val="24"/>
          <w:rtl/>
        </w:rPr>
        <w:t xml:space="preserve"> </w:t>
      </w:r>
      <w:r w:rsidRPr="00540220">
        <w:rPr>
          <w:rFonts w:cs="David" w:hint="cs"/>
          <w:szCs w:val="24"/>
          <w:rtl/>
        </w:rPr>
        <w:t>מערכת חינוך חרדית. הפרדה זו מגיל הגן עד כיתה י"ב מונעת היכרות בין הקב</w:t>
      </w:r>
      <w:r w:rsidRPr="00540220">
        <w:rPr>
          <w:rFonts w:cs="David" w:hint="cs"/>
          <w:szCs w:val="24"/>
          <w:rtl/>
        </w:rPr>
        <w:t>וצות ומעצימה את הניכור והחשדנות כלפי האחר או השונה. כפי שציין בצדק רב הנשיא ריבלין: "</w:t>
      </w:r>
      <w:r w:rsidRPr="00540220">
        <w:rPr>
          <w:rFonts w:cs="David"/>
          <w:szCs w:val="24"/>
          <w:rtl/>
        </w:rPr>
        <w:t>כל ילד שמגיע לעולם במדינת ישראל נשלח לאחת מארבע מערכות נפרדות</w:t>
      </w:r>
      <w:r w:rsidRPr="00540220">
        <w:rPr>
          <w:rFonts w:cs="David" w:hint="cs"/>
          <w:szCs w:val="24"/>
          <w:rtl/>
        </w:rPr>
        <w:t xml:space="preserve">... </w:t>
      </w:r>
      <w:r w:rsidRPr="00540220">
        <w:rPr>
          <w:rFonts w:cs="David"/>
          <w:szCs w:val="24"/>
          <w:rtl/>
        </w:rPr>
        <w:t>ילד מבית אל, ילד מרהט, ילדה מהרצליה וילדה מבית"ר עילית, לא רק שהם לא נפגשים</w:t>
      </w:r>
      <w:r w:rsidRPr="00540220">
        <w:rPr>
          <w:rFonts w:cs="David" w:hint="cs"/>
          <w:szCs w:val="24"/>
          <w:rtl/>
        </w:rPr>
        <w:t xml:space="preserve"> </w:t>
      </w:r>
      <w:r w:rsidRPr="00540220">
        <w:rPr>
          <w:rFonts w:cs="David"/>
          <w:szCs w:val="24"/>
          <w:rtl/>
        </w:rPr>
        <w:t>- אלא הם גם מתחנכים לתפיסה שונ</w:t>
      </w:r>
      <w:r w:rsidRPr="00540220">
        <w:rPr>
          <w:rFonts w:cs="David"/>
          <w:szCs w:val="24"/>
          <w:rtl/>
        </w:rPr>
        <w:t>ה בתכלית לגביי ערכי היסוד ואופייה הרצוי של מדינת ישראל</w:t>
      </w:r>
      <w:r w:rsidRPr="00540220">
        <w:rPr>
          <w:rFonts w:cs="David" w:hint="cs"/>
          <w:szCs w:val="24"/>
          <w:rtl/>
        </w:rPr>
        <w:t>"</w:t>
      </w:r>
      <w:r>
        <w:rPr>
          <w:rFonts w:ascii="David" w:hAnsi="David" w:cs="David"/>
          <w:szCs w:val="24"/>
          <w:vertAlign w:val="superscript"/>
          <w:rtl/>
        </w:rPr>
        <w:footnoteReference w:id="11"/>
      </w:r>
      <w:r w:rsidRPr="00540220">
        <w:rPr>
          <w:rFonts w:cs="David" w:hint="cs"/>
          <w:szCs w:val="24"/>
          <w:rtl/>
        </w:rPr>
        <w:t>. האתגר המונח לפתחו של משרד החינוך קשה ומורכב; אמנם במהלך השנים עשה המשרד ניסיונות להתמודד עם השונות בחברה הישראלית, אולם ניסיונות אלו לא הביאו לתוצאות הראויות והמצופות. לפיכך, על משרד החינוך לבצע "חי</w:t>
      </w:r>
      <w:r w:rsidRPr="00540220">
        <w:rPr>
          <w:rFonts w:cs="David" w:hint="cs"/>
          <w:szCs w:val="24"/>
          <w:rtl/>
        </w:rPr>
        <w:t xml:space="preserve">שוב מסלול מחדש". </w:t>
      </w:r>
    </w:p>
    <w:p w:rsidR="00540220" w:rsidRPr="00540220" w:rsidP="00540220">
      <w:pPr>
        <w:spacing w:line="340" w:lineRule="exact"/>
        <w:rPr>
          <w:rFonts w:cs="David"/>
          <w:szCs w:val="24"/>
          <w:rtl/>
        </w:rPr>
      </w:pPr>
      <w:r w:rsidRPr="00540220">
        <w:rPr>
          <w:rFonts w:cs="David" w:hint="cs"/>
          <w:szCs w:val="24"/>
          <w:rtl/>
        </w:rPr>
        <w:t xml:space="preserve">כמפורט בהמלצות הדוח, </w:t>
      </w:r>
      <w:r w:rsidRPr="00540220">
        <w:rPr>
          <w:rFonts w:cs="David"/>
          <w:szCs w:val="24"/>
          <w:rtl/>
        </w:rPr>
        <w:t>על הנהלת משרד החינוך להוביל את מערכת החינוך</w:t>
      </w:r>
      <w:r w:rsidRPr="00540220">
        <w:rPr>
          <w:rFonts w:cs="David" w:hint="cs"/>
          <w:szCs w:val="24"/>
          <w:rtl/>
        </w:rPr>
        <w:t xml:space="preserve"> ללא כל דיחוי</w:t>
      </w:r>
      <w:r w:rsidRPr="00540220">
        <w:rPr>
          <w:rFonts w:cs="David"/>
          <w:szCs w:val="24"/>
          <w:rtl/>
        </w:rPr>
        <w:t xml:space="preserve">, במסרים ובמעשים ולאורך כל הרצף החינוכי, לעיסוק כוללני </w:t>
      </w:r>
      <w:r w:rsidRPr="00540220">
        <w:rPr>
          <w:rFonts w:cs="David" w:hint="cs"/>
          <w:szCs w:val="24"/>
          <w:rtl/>
        </w:rPr>
        <w:t>ו</w:t>
      </w:r>
      <w:r w:rsidRPr="00540220">
        <w:rPr>
          <w:rFonts w:cs="David"/>
          <w:szCs w:val="24"/>
          <w:rtl/>
        </w:rPr>
        <w:t xml:space="preserve">אינטנסיבי, שיטתי, מחייב ומובנה בנושא החינוך למניעת גזענות </w:t>
      </w:r>
      <w:r w:rsidRPr="00540220">
        <w:rPr>
          <w:rFonts w:cs="David" w:hint="cs"/>
          <w:szCs w:val="24"/>
          <w:rtl/>
        </w:rPr>
        <w:t>ו</w:t>
      </w:r>
      <w:r w:rsidRPr="00540220">
        <w:rPr>
          <w:rFonts w:cs="David"/>
          <w:szCs w:val="24"/>
          <w:rtl/>
        </w:rPr>
        <w:t>לחיים משותפים</w:t>
      </w:r>
      <w:r w:rsidRPr="00540220">
        <w:rPr>
          <w:rFonts w:cs="David" w:hint="cs"/>
          <w:szCs w:val="24"/>
          <w:rtl/>
        </w:rPr>
        <w:t>.</w:t>
      </w:r>
      <w:r w:rsidRPr="00540220">
        <w:rPr>
          <w:rFonts w:cs="David"/>
          <w:szCs w:val="24"/>
          <w:rtl/>
        </w:rPr>
        <w:t xml:space="preserve"> </w:t>
      </w:r>
      <w:r w:rsidRPr="00540220">
        <w:rPr>
          <w:rFonts w:cs="David" w:hint="cs"/>
          <w:szCs w:val="24"/>
          <w:rtl/>
        </w:rPr>
        <w:t xml:space="preserve">כל אלו נדרשים </w:t>
      </w:r>
      <w:r w:rsidRPr="00540220">
        <w:rPr>
          <w:rFonts w:cs="David"/>
          <w:szCs w:val="24"/>
          <w:rtl/>
        </w:rPr>
        <w:t>כדי לחולל שינוי ב</w:t>
      </w:r>
      <w:r w:rsidRPr="00540220">
        <w:rPr>
          <w:rFonts w:cs="David"/>
          <w:szCs w:val="24"/>
          <w:rtl/>
        </w:rPr>
        <w:t>דפוסי ההתנהגות של התלמידים. ל</w:t>
      </w:r>
      <w:r w:rsidRPr="00540220">
        <w:rPr>
          <w:rFonts w:cs="David" w:hint="cs"/>
          <w:szCs w:val="24"/>
          <w:rtl/>
        </w:rPr>
        <w:t xml:space="preserve">צורך </w:t>
      </w:r>
      <w:r w:rsidRPr="00540220">
        <w:rPr>
          <w:rFonts w:cs="David"/>
          <w:szCs w:val="24"/>
          <w:rtl/>
        </w:rPr>
        <w:t>בניית התשתית הנדרשת לכך, על</w:t>
      </w:r>
      <w:r w:rsidRPr="00540220">
        <w:rPr>
          <w:rFonts w:cs="David" w:hint="cs"/>
          <w:szCs w:val="24"/>
          <w:rtl/>
        </w:rPr>
        <w:t xml:space="preserve"> מערכת החינוך</w:t>
      </w:r>
      <w:r w:rsidRPr="00540220">
        <w:rPr>
          <w:rFonts w:cs="David"/>
          <w:szCs w:val="24"/>
          <w:rtl/>
        </w:rPr>
        <w:t xml:space="preserve"> להעביר מסר חד-משמעי לכל הזרמים במערכת החינוך ולכל הבאים בשעריה</w:t>
      </w:r>
      <w:r w:rsidRPr="00540220">
        <w:rPr>
          <w:rFonts w:cs="David" w:hint="cs"/>
          <w:szCs w:val="24"/>
          <w:rtl/>
        </w:rPr>
        <w:t>:</w:t>
      </w:r>
      <w:r w:rsidRPr="00540220">
        <w:rPr>
          <w:rFonts w:cs="David"/>
          <w:szCs w:val="24"/>
          <w:rtl/>
        </w:rPr>
        <w:t xml:space="preserve"> </w:t>
      </w:r>
      <w:r w:rsidRPr="00540220">
        <w:rPr>
          <w:rFonts w:cs="David" w:hint="cs"/>
          <w:szCs w:val="24"/>
          <w:rtl/>
        </w:rPr>
        <w:t>"</w:t>
      </w:r>
      <w:r w:rsidRPr="00540220">
        <w:rPr>
          <w:rFonts w:cs="David"/>
          <w:szCs w:val="24"/>
          <w:rtl/>
        </w:rPr>
        <w:t xml:space="preserve">ישראל </w:t>
      </w:r>
      <w:r w:rsidRPr="00540220">
        <w:rPr>
          <w:rFonts w:cs="David" w:hint="cs"/>
          <w:szCs w:val="24"/>
          <w:rtl/>
        </w:rPr>
        <w:t xml:space="preserve">היא </w:t>
      </w:r>
      <w:r w:rsidRPr="00540220">
        <w:rPr>
          <w:rFonts w:cs="David"/>
          <w:szCs w:val="24"/>
          <w:rtl/>
        </w:rPr>
        <w:t>מדינה דמוקרטית השייכת לכל אזרחיה ונשענת על ערכים המשותפים לכל הקבוצות והפרטים החיים בה</w:t>
      </w:r>
      <w:r w:rsidRPr="00540220">
        <w:rPr>
          <w:rFonts w:cs="David" w:hint="cs"/>
          <w:szCs w:val="24"/>
          <w:rtl/>
        </w:rPr>
        <w:t>"</w:t>
      </w:r>
      <w:r w:rsidRPr="00540220">
        <w:rPr>
          <w:rFonts w:cs="David"/>
          <w:szCs w:val="24"/>
          <w:rtl/>
        </w:rPr>
        <w:t>. על משרד החינוך לר</w:t>
      </w:r>
      <w:r w:rsidRPr="00540220">
        <w:rPr>
          <w:rFonts w:cs="David"/>
          <w:szCs w:val="24"/>
          <w:rtl/>
        </w:rPr>
        <w:t xml:space="preserve">תום לנושא גם משרדי ממשלה נוספים וגופים רלוונטיים ברשויות המקומיות, לצד הסדרת פעילותם של ארגונים לא-ממשלתיים הפועלים במערכת החינוך </w:t>
      </w:r>
      <w:r w:rsidRPr="00540220">
        <w:rPr>
          <w:rFonts w:cs="David" w:hint="cs"/>
          <w:szCs w:val="24"/>
          <w:rtl/>
        </w:rPr>
        <w:t>בתחום</w:t>
      </w:r>
      <w:r w:rsidRPr="00540220">
        <w:rPr>
          <w:rFonts w:cs="David"/>
          <w:szCs w:val="24"/>
          <w:rtl/>
        </w:rPr>
        <w:t xml:space="preserve"> זה.</w:t>
      </w:r>
    </w:p>
    <w:p w:rsidR="00540220" w:rsidRPr="00540220" w:rsidP="00540220">
      <w:pPr>
        <w:spacing w:line="340" w:lineRule="exact"/>
        <w:rPr>
          <w:rFonts w:cs="David"/>
          <w:szCs w:val="24"/>
          <w:rtl/>
        </w:rPr>
      </w:pPr>
      <w:r w:rsidRPr="00540220">
        <w:rPr>
          <w:rFonts w:cs="David" w:hint="cs"/>
          <w:szCs w:val="24"/>
          <w:rtl/>
        </w:rPr>
        <w:t xml:space="preserve">הדוח מלמד כי </w:t>
      </w:r>
      <w:r w:rsidRPr="00540220">
        <w:rPr>
          <w:rFonts w:cs="David"/>
          <w:szCs w:val="24"/>
          <w:rtl/>
        </w:rPr>
        <w:t xml:space="preserve">על מנת </w:t>
      </w:r>
      <w:r w:rsidRPr="00540220">
        <w:rPr>
          <w:rFonts w:cs="David" w:hint="cs"/>
          <w:szCs w:val="24"/>
          <w:rtl/>
        </w:rPr>
        <w:t xml:space="preserve">לחולל </w:t>
      </w:r>
      <w:r w:rsidRPr="00540220">
        <w:rPr>
          <w:rFonts w:cs="David"/>
          <w:szCs w:val="24"/>
          <w:rtl/>
        </w:rPr>
        <w:t xml:space="preserve">שינוי </w:t>
      </w:r>
      <w:r w:rsidRPr="00540220">
        <w:rPr>
          <w:rFonts w:cs="David" w:hint="cs"/>
          <w:szCs w:val="24"/>
          <w:rtl/>
        </w:rPr>
        <w:t>של ממש</w:t>
      </w:r>
      <w:r w:rsidRPr="00540220">
        <w:rPr>
          <w:rFonts w:cs="David"/>
          <w:szCs w:val="24"/>
          <w:rtl/>
        </w:rPr>
        <w:t xml:space="preserve"> יש לעשות מעשים</w:t>
      </w:r>
      <w:r w:rsidRPr="00540220">
        <w:rPr>
          <w:rFonts w:cs="David" w:hint="cs"/>
          <w:szCs w:val="24"/>
          <w:rtl/>
        </w:rPr>
        <w:t xml:space="preserve"> ולהבטיח כי התכניות השונות למאבק בגזענות ולחינוך לחיים משותפים </w:t>
      </w:r>
      <w:r w:rsidRPr="00540220">
        <w:rPr>
          <w:rFonts w:cs="David" w:hint="cs"/>
          <w:szCs w:val="24"/>
          <w:rtl/>
        </w:rPr>
        <w:t>יתוקצבו כראוי וייושמו הלכה למעשה. אחת ולתמיד יש לעמוד במבחן הצלחה מדיד: צמצום ניכר ונראה לעין של העמדות הסטראוטיפיות והאנטי-דמוקרטיות ושל ביטויי הגזענות המטרידים בקרב בני נוער</w:t>
      </w:r>
      <w:r w:rsidRPr="00540220">
        <w:rPr>
          <w:rFonts w:cs="David"/>
          <w:szCs w:val="24"/>
          <w:rtl/>
        </w:rPr>
        <w:t>.</w:t>
      </w:r>
      <w:r w:rsidRPr="00540220">
        <w:rPr>
          <w:rFonts w:cs="David" w:hint="cs"/>
          <w:szCs w:val="24"/>
          <w:rtl/>
        </w:rPr>
        <w:t xml:space="preserve"> בטוחני כי יישום ההמלצות של דוח זה ופעולה נחושה של משרד החינוך יקרבו ולו במעט את</w:t>
      </w:r>
      <w:r w:rsidRPr="00540220">
        <w:rPr>
          <w:rFonts w:cs="David" w:hint="cs"/>
          <w:szCs w:val="24"/>
          <w:rtl/>
        </w:rPr>
        <w:t xml:space="preserve"> היום אשר בו, כמאמר שירו של דן אלמגור, "</w:t>
      </w:r>
      <w:r w:rsidRPr="00540220">
        <w:rPr>
          <w:rFonts w:cs="David"/>
          <w:szCs w:val="24"/>
          <w:rtl/>
        </w:rPr>
        <w:t>לא יושפל שום אדם על גזעו וצבעו</w:t>
      </w:r>
      <w:r w:rsidRPr="00540220">
        <w:rPr>
          <w:rFonts w:cs="David" w:hint="cs"/>
          <w:szCs w:val="24"/>
          <w:rtl/>
        </w:rPr>
        <w:t>".</w:t>
      </w:r>
    </w:p>
    <w:p w:rsidR="00540220" w:rsidRPr="008700E7" w:rsidP="00540220">
      <w:pPr>
        <w:spacing w:line="360" w:lineRule="auto"/>
        <w:rPr>
          <w:rtl/>
        </w:rPr>
      </w:pPr>
    </w:p>
    <w:p w:rsidR="00531BD6">
      <w:pPr>
        <w:tabs>
          <w:tab w:val="center" w:pos="4746"/>
        </w:tabs>
        <w:spacing w:line="240" w:lineRule="atLeast"/>
        <w:rPr>
          <w:rtl/>
        </w:rPr>
      </w:pPr>
      <w:r>
        <w:rPr>
          <w:rFonts w:hint="cs"/>
          <w:rtl/>
        </w:rPr>
        <w:tab/>
      </w:r>
      <w:r>
        <w:rPr>
          <w:noProof/>
          <w:color w:val="FF0000"/>
          <w:sz w:val="60"/>
          <w:szCs w:val="60"/>
        </w:rPr>
        <w:drawing>
          <wp:inline distT="0" distB="0" distL="0" distR="0">
            <wp:extent cx="1371600" cy="527050"/>
            <wp:effectExtent l="0" t="0" r="0" b="6350"/>
            <wp:docPr id="1" name="תמונה 1" descr="shap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219128" name="Picture 1" descr="shapira"/>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1600" cy="527050"/>
                    </a:xfrm>
                    <a:prstGeom prst="rect">
                      <a:avLst/>
                    </a:prstGeom>
                    <a:noFill/>
                    <a:ln>
                      <a:noFill/>
                    </a:ln>
                  </pic:spPr>
                </pic:pic>
              </a:graphicData>
            </a:graphic>
          </wp:inline>
        </w:drawing>
      </w:r>
    </w:p>
    <w:p w:rsidR="00531BD6">
      <w:pPr>
        <w:widowControl w:val="0"/>
        <w:tabs>
          <w:tab w:val="center" w:pos="4746"/>
        </w:tabs>
        <w:spacing w:after="0" w:line="280" w:lineRule="exact"/>
        <w:rPr>
          <w:rFonts w:cs="David"/>
          <w:b/>
          <w:bCs/>
          <w:szCs w:val="24"/>
          <w:rtl/>
          <w:lang w:eastAsia="he-IL"/>
        </w:rPr>
      </w:pPr>
      <w:r>
        <w:rPr>
          <w:rFonts w:cs="David" w:hint="cs"/>
          <w:b/>
          <w:bCs/>
          <w:szCs w:val="24"/>
          <w:rtl/>
          <w:lang w:eastAsia="he-IL"/>
        </w:rPr>
        <w:tab/>
        <w:t>יוסף חיים שפירא, שופט (בדימ')</w:t>
      </w:r>
    </w:p>
    <w:p w:rsidR="00531BD6">
      <w:pPr>
        <w:widowControl w:val="0"/>
        <w:tabs>
          <w:tab w:val="center" w:pos="4746"/>
        </w:tabs>
        <w:spacing w:after="0" w:line="280" w:lineRule="exact"/>
        <w:rPr>
          <w:rFonts w:cs="David"/>
          <w:szCs w:val="24"/>
          <w:rtl/>
          <w:lang w:eastAsia="he-IL"/>
        </w:rPr>
      </w:pPr>
      <w:r>
        <w:rPr>
          <w:rFonts w:cs="David" w:hint="cs"/>
          <w:szCs w:val="24"/>
          <w:rtl/>
          <w:lang w:eastAsia="he-IL"/>
        </w:rPr>
        <w:tab/>
        <w:t>מבקר המדינה</w:t>
      </w:r>
    </w:p>
    <w:p w:rsidR="00531BD6">
      <w:pPr>
        <w:widowControl w:val="0"/>
        <w:tabs>
          <w:tab w:val="center" w:pos="4746"/>
        </w:tabs>
        <w:spacing w:after="0" w:line="280" w:lineRule="exact"/>
        <w:rPr>
          <w:rFonts w:cs="David"/>
          <w:szCs w:val="24"/>
          <w:rtl/>
          <w:lang w:eastAsia="he-IL"/>
        </w:rPr>
      </w:pPr>
      <w:r>
        <w:rPr>
          <w:rFonts w:cs="David" w:hint="cs"/>
          <w:szCs w:val="24"/>
          <w:rtl/>
          <w:lang w:eastAsia="he-IL"/>
        </w:rPr>
        <w:tab/>
        <w:t>ונציב תלונות הציבור</w:t>
      </w:r>
    </w:p>
    <w:p w:rsidR="00531BD6" w:rsidP="00540220">
      <w:pPr>
        <w:tabs>
          <w:tab w:val="left" w:pos="898"/>
        </w:tabs>
        <w:spacing w:after="0" w:line="280" w:lineRule="exact"/>
        <w:rPr>
          <w:rFonts w:cs="David"/>
          <w:sz w:val="22"/>
          <w:rtl/>
        </w:rPr>
      </w:pPr>
      <w:r>
        <w:rPr>
          <w:rFonts w:cs="David" w:hint="cs"/>
          <w:sz w:val="22"/>
          <w:rtl/>
        </w:rPr>
        <w:t xml:space="preserve">ירושלים, </w:t>
      </w:r>
      <w:r>
        <w:rPr>
          <w:rFonts w:cs="David" w:hint="cs"/>
          <w:sz w:val="22"/>
          <w:rtl/>
        </w:rPr>
        <w:tab/>
      </w:r>
      <w:r>
        <w:rPr>
          <w:rFonts w:cs="David" w:hint="cs"/>
          <w:sz w:val="22"/>
          <w:rtl/>
        </w:rPr>
        <w:t>אלול</w:t>
      </w:r>
      <w:r>
        <w:rPr>
          <w:rFonts w:cs="David" w:hint="cs"/>
          <w:sz w:val="22"/>
          <w:rtl/>
        </w:rPr>
        <w:t xml:space="preserve"> התשע"</w:t>
      </w:r>
      <w:r>
        <w:rPr>
          <w:rFonts w:cs="David" w:hint="cs"/>
          <w:sz w:val="22"/>
          <w:rtl/>
        </w:rPr>
        <w:t>ו</w:t>
      </w:r>
    </w:p>
    <w:p w:rsidR="00531BD6" w:rsidP="00540220">
      <w:pPr>
        <w:tabs>
          <w:tab w:val="left" w:pos="898"/>
        </w:tabs>
        <w:spacing w:after="0" w:line="280" w:lineRule="exact"/>
        <w:rPr>
          <w:rFonts w:cs="David"/>
          <w:sz w:val="22"/>
        </w:rPr>
      </w:pPr>
      <w:r>
        <w:rPr>
          <w:rFonts w:cs="David" w:hint="cs"/>
          <w:sz w:val="22"/>
          <w:rtl/>
        </w:rPr>
        <w:tab/>
      </w:r>
      <w:r>
        <w:rPr>
          <w:rFonts w:cs="David" w:hint="cs"/>
          <w:sz w:val="22"/>
          <w:rtl/>
        </w:rPr>
        <w:t>ספטמבר 2016</w:t>
      </w:r>
    </w:p>
    <w:p w:rsidR="00540220">
      <w:pPr>
        <w:tabs>
          <w:tab w:val="left" w:pos="898"/>
        </w:tabs>
        <w:spacing w:after="0" w:line="280" w:lineRule="exact"/>
        <w:rPr>
          <w:rFonts w:cs="David"/>
          <w:sz w:val="22"/>
          <w:rtl/>
        </w:rPr>
      </w:pPr>
    </w:p>
    <w:sectPr>
      <w:headerReference w:type="even" r:id="rId7"/>
      <w:headerReference w:type="default" r:id="rId8"/>
      <w:footerReference w:type="even" r:id="rId9"/>
      <w:footerReference w:type="default" r:id="rId10"/>
      <w:headerReference w:type="first" r:id="rId11"/>
      <w:footerReference w:type="first" r:id="rId12"/>
      <w:pgSz w:w="11906" w:h="16838" w:code="9"/>
      <w:pgMar w:top="1758" w:right="2552" w:bottom="4253" w:left="2552" w:header="1247" w:footer="1134" w:gutter="0"/>
      <w:pgNumType w:fmt="lowerRoman"/>
      <w:cols w:space="720"/>
      <w:titlePg/>
      <w:bidi/>
      <w:rtlGutter/>
      <w:docGrid w:linePitch="1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4AB7" w:rsidP="00DF4AB7">
    <w:pPr>
      <w:pStyle w:val="Footer"/>
      <w:tabs>
        <w:tab w:val="left" w:pos="1222"/>
      </w:tabs>
      <w:spacing w:after="0" w:line="160" w:lineRule="exact"/>
      <w:jc w:val="left"/>
      <w:rPr>
        <w:rFonts w:cs="David"/>
        <w:sz w:val="16"/>
        <w:szCs w:val="16"/>
        <w:rtl/>
      </w:rPr>
    </w:pPr>
    <w:r>
      <w:rPr>
        <w:rFonts w:cs="David"/>
        <w:sz w:val="16"/>
        <w:szCs w:val="16"/>
        <w:rtl/>
      </w:rPr>
      <w:t>שם הדוח:</w:t>
    </w:r>
    <w:r>
      <w:rPr>
        <w:rFonts w:cs="David"/>
        <w:sz w:val="16"/>
        <w:szCs w:val="16"/>
        <w:rtl/>
      </w:rPr>
      <w:tab/>
    </w:r>
    <w:r w:rsidRPr="00DF4AB7">
      <w:rPr>
        <w:rFonts w:cs="David"/>
        <w:sz w:val="16"/>
        <w:szCs w:val="16"/>
        <w:rtl/>
      </w:rPr>
      <w:t>חינוך לחיים משותפים</w:t>
    </w:r>
  </w:p>
  <w:p w:rsidR="00DF4AB7" w:rsidRPr="00B4181C" w:rsidP="00DF4AB7">
    <w:pPr>
      <w:pStyle w:val="Footer"/>
      <w:tabs>
        <w:tab w:val="left" w:pos="1222"/>
      </w:tabs>
      <w:spacing w:after="0" w:line="160" w:lineRule="exact"/>
      <w:jc w:val="left"/>
      <w:rPr>
        <w:rFonts w:cs="David" w:hint="cs"/>
        <w:sz w:val="16"/>
        <w:szCs w:val="16"/>
        <w:rtl/>
      </w:rPr>
    </w:pPr>
    <w:r w:rsidRPr="00095BBF">
      <w:rPr>
        <w:rFonts w:cs="David"/>
        <w:sz w:val="16"/>
        <w:szCs w:val="16"/>
        <w:rtl/>
      </w:rPr>
      <w:t>מסגרת הפרסום:</w:t>
    </w:r>
    <w:r w:rsidRPr="00095BBF">
      <w:rPr>
        <w:rFonts w:cs="David"/>
        <w:sz w:val="16"/>
        <w:szCs w:val="16"/>
        <w:rtl/>
      </w:rPr>
      <w:tab/>
      <w:t>דוח ביקורת מיוחד</w:t>
    </w:r>
  </w:p>
  <w:p w:rsidR="00B4181C" w:rsidRPr="00B4181C" w:rsidP="00B4181C">
    <w:pPr>
      <w:pStyle w:val="Footer"/>
      <w:tabs>
        <w:tab w:val="left" w:pos="1222"/>
      </w:tabs>
      <w:spacing w:after="0" w:line="160" w:lineRule="exact"/>
      <w:jc w:val="left"/>
      <w:rPr>
        <w:rFonts w:cs="David"/>
        <w:sz w:val="16"/>
        <w:szCs w:val="16"/>
        <w:rtl/>
      </w:rPr>
    </w:pPr>
    <w:r w:rsidRPr="00B4181C">
      <w:rPr>
        <w:rFonts w:cs="David"/>
        <w:sz w:val="16"/>
        <w:szCs w:val="16"/>
        <w:rtl/>
      </w:rPr>
      <w:t>שנת פרסום:</w:t>
    </w:r>
    <w:r w:rsidRPr="00B4181C">
      <w:rPr>
        <w:rFonts w:cs="David"/>
        <w:sz w:val="16"/>
        <w:szCs w:val="16"/>
        <w:rtl/>
      </w:rPr>
      <w:tab/>
      <w:t>התשע"ו-201</w:t>
    </w:r>
    <w:r w:rsidRPr="00B4181C">
      <w:rPr>
        <w:rFonts w:cs="David" w:hint="cs"/>
        <w:sz w:val="16"/>
        <w:szCs w:val="16"/>
        <w:rtl/>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4AB7" w:rsidP="00DF4AB7">
    <w:pPr>
      <w:pStyle w:val="Footer"/>
      <w:tabs>
        <w:tab w:val="left" w:pos="1222"/>
      </w:tabs>
      <w:spacing w:after="0" w:line="160" w:lineRule="exact"/>
      <w:jc w:val="left"/>
      <w:rPr>
        <w:rFonts w:cs="David"/>
        <w:sz w:val="16"/>
        <w:szCs w:val="16"/>
        <w:rtl/>
      </w:rPr>
    </w:pPr>
    <w:r>
      <w:rPr>
        <w:rFonts w:cs="David"/>
        <w:sz w:val="16"/>
        <w:szCs w:val="16"/>
        <w:rtl/>
      </w:rPr>
      <w:t>שם הדוח:</w:t>
    </w:r>
    <w:r>
      <w:rPr>
        <w:rFonts w:cs="David"/>
        <w:sz w:val="16"/>
        <w:szCs w:val="16"/>
        <w:rtl/>
      </w:rPr>
      <w:tab/>
    </w:r>
    <w:r w:rsidRPr="00DF4AB7">
      <w:rPr>
        <w:rFonts w:cs="David"/>
        <w:sz w:val="16"/>
        <w:szCs w:val="16"/>
        <w:rtl/>
      </w:rPr>
      <w:t>חינוך לחיים משותפים</w:t>
    </w:r>
  </w:p>
  <w:p w:rsidR="00DF4AB7" w:rsidRPr="00B4181C" w:rsidP="00DF4AB7">
    <w:pPr>
      <w:pStyle w:val="Footer"/>
      <w:tabs>
        <w:tab w:val="left" w:pos="1222"/>
      </w:tabs>
      <w:spacing w:after="0" w:line="160" w:lineRule="exact"/>
      <w:jc w:val="left"/>
      <w:rPr>
        <w:rFonts w:cs="David" w:hint="cs"/>
        <w:sz w:val="16"/>
        <w:szCs w:val="16"/>
        <w:rtl/>
      </w:rPr>
    </w:pPr>
    <w:r w:rsidRPr="00095BBF">
      <w:rPr>
        <w:rFonts w:cs="David"/>
        <w:sz w:val="16"/>
        <w:szCs w:val="16"/>
        <w:rtl/>
      </w:rPr>
      <w:t>מסגרת הפרסום:</w:t>
    </w:r>
    <w:r w:rsidRPr="00095BBF">
      <w:rPr>
        <w:rFonts w:cs="David"/>
        <w:sz w:val="16"/>
        <w:szCs w:val="16"/>
        <w:rtl/>
      </w:rPr>
      <w:tab/>
      <w:t>דוח ביקורת מיוחד</w:t>
    </w:r>
  </w:p>
  <w:p w:rsidR="00B4181C" w:rsidRPr="00B4181C" w:rsidP="00B4181C">
    <w:pPr>
      <w:pStyle w:val="Footer"/>
      <w:tabs>
        <w:tab w:val="left" w:pos="1222"/>
      </w:tabs>
      <w:spacing w:after="0" w:line="160" w:lineRule="exact"/>
      <w:jc w:val="left"/>
      <w:rPr>
        <w:rFonts w:cs="David"/>
        <w:sz w:val="16"/>
        <w:szCs w:val="16"/>
        <w:rtl/>
      </w:rPr>
    </w:pPr>
    <w:r w:rsidRPr="00B4181C">
      <w:rPr>
        <w:rFonts w:cs="David"/>
        <w:sz w:val="16"/>
        <w:szCs w:val="16"/>
        <w:rtl/>
      </w:rPr>
      <w:t>שנת פרסום:</w:t>
    </w:r>
    <w:r w:rsidRPr="00B4181C">
      <w:rPr>
        <w:rFonts w:cs="David"/>
        <w:sz w:val="16"/>
        <w:szCs w:val="16"/>
        <w:rtl/>
      </w:rPr>
      <w:tab/>
      <w:t>התשע"ו-201</w:t>
    </w:r>
    <w:r w:rsidRPr="00B4181C">
      <w:rPr>
        <w:rFonts w:cs="David" w:hint="cs"/>
        <w:sz w:val="16"/>
        <w:szCs w:val="16"/>
        <w:rtl/>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1BD6" w:rsidP="00DF4AB7">
    <w:pPr>
      <w:pStyle w:val="Footer"/>
      <w:tabs>
        <w:tab w:val="left" w:pos="1222"/>
      </w:tabs>
      <w:spacing w:after="0" w:line="160" w:lineRule="exact"/>
      <w:jc w:val="left"/>
      <w:rPr>
        <w:rFonts w:cs="David"/>
        <w:sz w:val="16"/>
        <w:szCs w:val="16"/>
        <w:rtl/>
      </w:rPr>
    </w:pPr>
    <w:r>
      <w:rPr>
        <w:rFonts w:cs="David"/>
        <w:sz w:val="16"/>
        <w:szCs w:val="16"/>
        <w:rtl/>
      </w:rPr>
      <w:t>שם הדוח:</w:t>
    </w:r>
    <w:r>
      <w:rPr>
        <w:rFonts w:cs="David"/>
        <w:sz w:val="16"/>
        <w:szCs w:val="16"/>
        <w:rtl/>
      </w:rPr>
      <w:tab/>
    </w:r>
    <w:r w:rsidRPr="00DF4AB7">
      <w:rPr>
        <w:rFonts w:cs="David"/>
        <w:sz w:val="16"/>
        <w:szCs w:val="16"/>
        <w:rtl/>
      </w:rPr>
      <w:t>חינוך לחיים משותפים</w:t>
    </w:r>
  </w:p>
  <w:p w:rsidR="00095BBF" w:rsidP="00B4181C">
    <w:pPr>
      <w:pStyle w:val="Footer"/>
      <w:tabs>
        <w:tab w:val="left" w:pos="1222"/>
      </w:tabs>
      <w:spacing w:after="0" w:line="160" w:lineRule="exact"/>
      <w:jc w:val="left"/>
      <w:rPr>
        <w:rFonts w:cs="David"/>
        <w:sz w:val="16"/>
        <w:szCs w:val="16"/>
      </w:rPr>
    </w:pPr>
    <w:r w:rsidRPr="00095BBF">
      <w:rPr>
        <w:rFonts w:cs="David"/>
        <w:sz w:val="16"/>
        <w:szCs w:val="16"/>
        <w:rtl/>
      </w:rPr>
      <w:t>מסגר</w:t>
    </w:r>
    <w:r w:rsidRPr="00095BBF">
      <w:rPr>
        <w:rFonts w:cs="David"/>
        <w:sz w:val="16"/>
        <w:szCs w:val="16"/>
        <w:rtl/>
      </w:rPr>
      <w:t>ת הפרסום:</w:t>
    </w:r>
    <w:r w:rsidRPr="00095BBF">
      <w:rPr>
        <w:rFonts w:cs="David"/>
        <w:sz w:val="16"/>
        <w:szCs w:val="16"/>
        <w:rtl/>
      </w:rPr>
      <w:tab/>
      <w:t>דוח ביקורת מיוחד</w:t>
    </w:r>
  </w:p>
  <w:p w:rsidR="00B4181C" w:rsidRPr="00B4181C" w:rsidP="00B4181C">
    <w:pPr>
      <w:pStyle w:val="Footer"/>
      <w:tabs>
        <w:tab w:val="left" w:pos="1222"/>
      </w:tabs>
      <w:spacing w:after="0" w:line="160" w:lineRule="exact"/>
      <w:jc w:val="left"/>
      <w:rPr>
        <w:rFonts w:cs="David"/>
        <w:sz w:val="16"/>
        <w:szCs w:val="16"/>
        <w:rtl/>
      </w:rPr>
    </w:pPr>
    <w:r w:rsidRPr="00B4181C">
      <w:rPr>
        <w:rFonts w:cs="David"/>
        <w:sz w:val="16"/>
        <w:szCs w:val="16"/>
        <w:rtl/>
      </w:rPr>
      <w:t>שנת פרסום:</w:t>
    </w:r>
    <w:r w:rsidRPr="00B4181C">
      <w:rPr>
        <w:rFonts w:cs="David"/>
        <w:sz w:val="16"/>
        <w:szCs w:val="16"/>
        <w:rtl/>
      </w:rPr>
      <w:tab/>
      <w:t>התשע"ו-201</w:t>
    </w:r>
    <w:r w:rsidRPr="00B4181C">
      <w:rPr>
        <w:rFonts w:cs="David" w:hint="cs"/>
        <w:sz w:val="16"/>
        <w:szCs w:val="16"/>
        <w:rtl/>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C687B">
      <w:pPr>
        <w:spacing w:line="240" w:lineRule="auto"/>
        <w:rPr>
          <w:sz w:val="16"/>
          <w:szCs w:val="16"/>
          <w:rtl/>
        </w:rPr>
      </w:pPr>
      <w:r>
        <w:rPr>
          <w:rFonts w:hint="cs"/>
          <w:sz w:val="16"/>
          <w:szCs w:val="16"/>
          <w:rtl/>
        </w:rPr>
        <w:t>__________________</w:t>
      </w:r>
    </w:p>
  </w:footnote>
  <w:footnote w:type="continuationSeparator" w:id="1">
    <w:p w:rsidR="004C687B">
      <w:r>
        <w:t>_______________</w:t>
      </w:r>
    </w:p>
  </w:footnote>
  <w:footnote w:id="2">
    <w:p w:rsidR="00DF4AB7" w:rsidRPr="00DF4AB7" w:rsidP="00540220">
      <w:pPr>
        <w:pStyle w:val="FootnoteText"/>
        <w:ind w:left="397" w:hanging="397"/>
        <w:rPr>
          <w:rFonts w:cs="David"/>
        </w:rPr>
      </w:pPr>
      <w:r w:rsidRPr="00DF4AB7">
        <w:rPr>
          <w:rStyle w:val="FootnoteReference"/>
          <w:rFonts w:cs="David"/>
          <w:vertAlign w:val="baseline"/>
        </w:rPr>
        <w:footnoteRef/>
      </w:r>
      <w:r w:rsidRPr="00DF4AB7">
        <w:rPr>
          <w:rFonts w:cs="David"/>
          <w:rtl/>
        </w:rPr>
        <w:t xml:space="preserve"> </w:t>
      </w:r>
      <w:r w:rsidRPr="00DF4AB7">
        <w:rPr>
          <w:rFonts w:cs="David" w:hint="cs"/>
          <w:rtl/>
        </w:rPr>
        <w:tab/>
        <w:t>מתוך שירו של דן אלמגור "יום יבוא".</w:t>
      </w:r>
    </w:p>
  </w:footnote>
  <w:footnote w:id="3">
    <w:p w:rsidR="00DF4AB7" w:rsidRPr="00DF4AB7" w:rsidP="00540220">
      <w:pPr>
        <w:pStyle w:val="FootnoteText"/>
        <w:ind w:left="397" w:hanging="397"/>
        <w:rPr>
          <w:rFonts w:cs="David"/>
        </w:rPr>
      </w:pPr>
      <w:r w:rsidRPr="00DF4AB7">
        <w:rPr>
          <w:rStyle w:val="FootnoteReference"/>
          <w:rFonts w:cs="David"/>
          <w:vertAlign w:val="baseline"/>
        </w:rPr>
        <w:footnoteRef/>
      </w:r>
      <w:r w:rsidRPr="00DF4AB7">
        <w:rPr>
          <w:rFonts w:cs="David"/>
          <w:rtl/>
        </w:rPr>
        <w:t xml:space="preserve"> </w:t>
      </w:r>
      <w:r w:rsidRPr="00DF4AB7">
        <w:rPr>
          <w:rFonts w:cs="David" w:hint="cs"/>
          <w:rtl/>
        </w:rPr>
        <w:tab/>
        <w:t>ראו אהרן ברק, "זכויות אדם מוגנות: היק</w:t>
      </w:r>
      <w:r w:rsidRPr="00DF4AB7">
        <w:rPr>
          <w:rFonts w:cs="David" w:hint="cs"/>
          <w:rtl/>
        </w:rPr>
        <w:t xml:space="preserve">ף ומגבלות", </w:t>
      </w:r>
      <w:r w:rsidRPr="00DF4AB7">
        <w:rPr>
          <w:rFonts w:cs="David" w:hint="cs"/>
          <w:b/>
          <w:bCs/>
          <w:rtl/>
        </w:rPr>
        <w:t>משפט וממשל א' (</w:t>
      </w:r>
      <w:r w:rsidRPr="00DF4AB7">
        <w:rPr>
          <w:rFonts w:cs="David" w:hint="cs"/>
          <w:rtl/>
        </w:rPr>
        <w:t>התשנ"ג), עמ' 273-253.</w:t>
      </w:r>
    </w:p>
  </w:footnote>
  <w:footnote w:id="4">
    <w:p w:rsidR="00DF4AB7" w:rsidRPr="00DF4AB7" w:rsidP="00540220">
      <w:pPr>
        <w:pStyle w:val="FootnoteText"/>
        <w:keepLines/>
        <w:ind w:left="397" w:hanging="397"/>
        <w:rPr>
          <w:rFonts w:cs="David"/>
        </w:rPr>
      </w:pPr>
      <w:r w:rsidRPr="00DF4AB7">
        <w:rPr>
          <w:rStyle w:val="FootnoteReference"/>
          <w:rFonts w:cs="David"/>
          <w:vertAlign w:val="baseline"/>
        </w:rPr>
        <w:footnoteRef/>
      </w:r>
      <w:r w:rsidRPr="00DF4AB7">
        <w:rPr>
          <w:rStyle w:val="FootnoteReference"/>
          <w:rFonts w:cs="David"/>
          <w:vertAlign w:val="baseline"/>
          <w:rtl/>
        </w:rPr>
        <w:t xml:space="preserve"> </w:t>
      </w:r>
      <w:r w:rsidRPr="00DF4AB7">
        <w:rPr>
          <w:rFonts w:cs="David"/>
          <w:sz w:val="18"/>
          <w:rtl/>
        </w:rPr>
        <w:tab/>
      </w:r>
      <w:r w:rsidRPr="00DF4AB7">
        <w:rPr>
          <w:rFonts w:cs="David"/>
          <w:rtl/>
        </w:rPr>
        <w:t xml:space="preserve">ע"פ </w:t>
      </w:r>
      <w:r w:rsidRPr="00DF4AB7">
        <w:rPr>
          <w:rFonts w:cs="David" w:hint="cs"/>
          <w:rtl/>
        </w:rPr>
        <w:t>2</w:t>
      </w:r>
      <w:r w:rsidRPr="00DF4AB7">
        <w:rPr>
          <w:rFonts w:cs="David"/>
          <w:rtl/>
        </w:rPr>
        <w:t xml:space="preserve">831/95 </w:t>
      </w:r>
      <w:r w:rsidRPr="00DF4AB7">
        <w:rPr>
          <w:rFonts w:cs="David"/>
          <w:b/>
          <w:bCs/>
          <w:rtl/>
        </w:rPr>
        <w:t>אלבה נ' מדינת ישראל</w:t>
      </w:r>
      <w:r w:rsidRPr="00DF4AB7">
        <w:rPr>
          <w:rFonts w:cs="David" w:hint="cs"/>
          <w:rtl/>
        </w:rPr>
        <w:t>,</w:t>
      </w:r>
      <w:r w:rsidRPr="00DF4AB7">
        <w:rPr>
          <w:rFonts w:cs="David"/>
          <w:rtl/>
        </w:rPr>
        <w:t xml:space="preserve"> נ(5) 221, 287-286</w:t>
      </w:r>
      <w:r w:rsidRPr="00DF4AB7">
        <w:rPr>
          <w:rFonts w:cs="David" w:hint="cs"/>
          <w:rtl/>
        </w:rPr>
        <w:t xml:space="preserve"> (1996).</w:t>
      </w:r>
    </w:p>
  </w:footnote>
  <w:footnote w:id="5">
    <w:p w:rsidR="00DF4AB7" w:rsidRPr="00DF4AB7" w:rsidP="00540220">
      <w:pPr>
        <w:pStyle w:val="FootnoteText"/>
        <w:ind w:left="397" w:hanging="397"/>
        <w:rPr>
          <w:rFonts w:cs="David"/>
        </w:rPr>
      </w:pPr>
      <w:r w:rsidRPr="00DF4AB7">
        <w:rPr>
          <w:rStyle w:val="FootnoteReference"/>
          <w:rFonts w:cs="David"/>
          <w:vertAlign w:val="baseline"/>
        </w:rPr>
        <w:footnoteRef/>
      </w:r>
      <w:r w:rsidRPr="00DF4AB7">
        <w:rPr>
          <w:rFonts w:cs="David"/>
          <w:rtl/>
        </w:rPr>
        <w:t xml:space="preserve"> </w:t>
      </w:r>
      <w:r w:rsidRPr="00DF4AB7">
        <w:rPr>
          <w:rFonts w:cs="David" w:hint="cs"/>
          <w:rtl/>
        </w:rPr>
        <w:tab/>
        <w:t xml:space="preserve">בג"ץ </w:t>
      </w:r>
      <w:r w:rsidRPr="00DF4AB7">
        <w:rPr>
          <w:rFonts w:cs="David"/>
          <w:rtl/>
        </w:rPr>
        <w:t xml:space="preserve">392/72 </w:t>
      </w:r>
      <w:r w:rsidRPr="00DF4AB7">
        <w:rPr>
          <w:rFonts w:cs="David"/>
          <w:b/>
          <w:bCs/>
          <w:rtl/>
        </w:rPr>
        <w:t>ברגר נ' הוועדה המחוזית לתכנון ולבניה</w:t>
      </w:r>
      <w:r w:rsidRPr="00DF4AB7">
        <w:rPr>
          <w:rFonts w:cs="David"/>
          <w:rtl/>
        </w:rPr>
        <w:t>, מחוז חיפה, פ"ד כז</w:t>
      </w:r>
      <w:r w:rsidRPr="00DF4AB7">
        <w:rPr>
          <w:rFonts w:cs="David" w:hint="cs"/>
          <w:rtl/>
        </w:rPr>
        <w:t>(</w:t>
      </w:r>
      <w:r w:rsidRPr="00DF4AB7">
        <w:rPr>
          <w:rFonts w:cs="David"/>
          <w:rtl/>
        </w:rPr>
        <w:t>2) 764, 771</w:t>
      </w:r>
      <w:r w:rsidRPr="00DF4AB7">
        <w:rPr>
          <w:rFonts w:cs="David" w:hint="cs"/>
          <w:rtl/>
        </w:rPr>
        <w:t xml:space="preserve"> (1973).</w:t>
      </w:r>
    </w:p>
  </w:footnote>
  <w:footnote w:id="6">
    <w:p w:rsidR="00DF4AB7" w:rsidRPr="00DF4AB7" w:rsidP="00540220">
      <w:pPr>
        <w:pStyle w:val="FootnoteText"/>
        <w:ind w:left="397" w:hanging="397"/>
        <w:rPr>
          <w:rFonts w:cs="David"/>
        </w:rPr>
      </w:pPr>
      <w:r w:rsidRPr="00DF4AB7">
        <w:rPr>
          <w:rStyle w:val="FootnoteReference"/>
          <w:rFonts w:cs="David"/>
          <w:vertAlign w:val="baseline"/>
        </w:rPr>
        <w:footnoteRef/>
      </w:r>
      <w:r w:rsidRPr="00DF4AB7">
        <w:rPr>
          <w:rFonts w:cs="David"/>
          <w:rtl/>
        </w:rPr>
        <w:t xml:space="preserve"> </w:t>
      </w:r>
      <w:r w:rsidRPr="00DF4AB7">
        <w:rPr>
          <w:rFonts w:cs="David" w:hint="cs"/>
          <w:rtl/>
        </w:rPr>
        <w:tab/>
        <w:t xml:space="preserve">ראו אהרן ברק, </w:t>
      </w:r>
      <w:r w:rsidRPr="00DF4AB7">
        <w:rPr>
          <w:rFonts w:cs="David" w:hint="cs"/>
          <w:b/>
          <w:bCs/>
          <w:rtl/>
        </w:rPr>
        <w:t>שופט בחברה דמוקרטית</w:t>
      </w:r>
      <w:r w:rsidRPr="00DF4AB7">
        <w:rPr>
          <w:rFonts w:cs="David" w:hint="cs"/>
          <w:rtl/>
        </w:rPr>
        <w:t xml:space="preserve"> 86 (2004).</w:t>
      </w:r>
    </w:p>
  </w:footnote>
  <w:footnote w:id="7">
    <w:p w:rsidR="00DF4AB7" w:rsidRPr="00DF4AB7" w:rsidP="00540220">
      <w:pPr>
        <w:pStyle w:val="FootnoteText"/>
        <w:ind w:left="397" w:hanging="397"/>
        <w:rPr>
          <w:rFonts w:cs="David"/>
        </w:rPr>
      </w:pPr>
      <w:r w:rsidRPr="00DF4AB7">
        <w:rPr>
          <w:rStyle w:val="FootnoteReference"/>
          <w:rFonts w:cs="David"/>
          <w:vertAlign w:val="baseline"/>
        </w:rPr>
        <w:footnoteRef/>
      </w:r>
      <w:r w:rsidRPr="00DF4AB7">
        <w:rPr>
          <w:rFonts w:cs="David"/>
          <w:rtl/>
        </w:rPr>
        <w:t xml:space="preserve"> </w:t>
      </w:r>
      <w:r w:rsidRPr="00DF4AB7">
        <w:rPr>
          <w:rFonts w:cs="David" w:hint="cs"/>
          <w:rtl/>
        </w:rPr>
        <w:tab/>
        <w:t>אהר</w:t>
      </w:r>
      <w:r w:rsidRPr="00DF4AB7">
        <w:rPr>
          <w:rFonts w:cs="David" w:hint="cs"/>
          <w:rtl/>
        </w:rPr>
        <w:t xml:space="preserve">ן ברק, "זכויות אדם וביטחון לאומי", </w:t>
      </w:r>
      <w:r w:rsidRPr="00DF4AB7">
        <w:rPr>
          <w:rFonts w:cs="David" w:hint="cs"/>
          <w:b/>
          <w:bCs/>
          <w:rtl/>
        </w:rPr>
        <w:t>משפטים</w:t>
      </w:r>
      <w:r w:rsidRPr="00DF4AB7">
        <w:rPr>
          <w:rFonts w:cs="David" w:hint="cs"/>
          <w:rtl/>
        </w:rPr>
        <w:t xml:space="preserve"> לח(1), 29 (תשס"ח).</w:t>
      </w:r>
    </w:p>
  </w:footnote>
  <w:footnote w:id="8">
    <w:p w:rsidR="00DF4AB7" w:rsidRPr="00DF4AB7" w:rsidP="00540220">
      <w:pPr>
        <w:pStyle w:val="FootnoteText"/>
        <w:ind w:left="397" w:hanging="397"/>
        <w:rPr>
          <w:rFonts w:cs="David"/>
          <w:rtl/>
        </w:rPr>
      </w:pPr>
      <w:r w:rsidRPr="00DF4AB7">
        <w:rPr>
          <w:rStyle w:val="FootnoteReference"/>
          <w:rFonts w:cs="David"/>
          <w:vertAlign w:val="baseline"/>
        </w:rPr>
        <w:footnoteRef/>
      </w:r>
      <w:r w:rsidRPr="00DF4AB7">
        <w:rPr>
          <w:rFonts w:cs="David"/>
          <w:rtl/>
        </w:rPr>
        <w:t xml:space="preserve"> </w:t>
      </w:r>
      <w:r w:rsidRPr="00DF4AB7">
        <w:rPr>
          <w:rFonts w:cs="David" w:hint="cs"/>
          <w:rtl/>
        </w:rPr>
        <w:tab/>
        <w:t>נאום הנשיא מר ראובן ריבלין, "</w:t>
      </w:r>
      <w:r w:rsidRPr="00DF4AB7">
        <w:rPr>
          <w:rFonts w:cs="David"/>
          <w:rtl/>
        </w:rPr>
        <w:t>דברי נשיא המדינה בכנס הרצליה לקראת שנה לכהונתו</w:t>
      </w:r>
      <w:r w:rsidRPr="00DF4AB7">
        <w:rPr>
          <w:rFonts w:cs="David" w:hint="cs"/>
          <w:rtl/>
        </w:rPr>
        <w:t>" ביום 7.6.15.</w:t>
      </w:r>
      <w:r w:rsidRPr="00DF4AB7">
        <w:rPr>
          <w:rFonts w:cs="David"/>
          <w:rtl/>
        </w:rPr>
        <w:t xml:space="preserve"> </w:t>
      </w:r>
    </w:p>
  </w:footnote>
  <w:footnote w:id="9">
    <w:p w:rsidR="00DF4AB7" w:rsidRPr="00DF4AB7" w:rsidP="00540220">
      <w:pPr>
        <w:pStyle w:val="FootnoteText"/>
        <w:ind w:left="397" w:hanging="397"/>
        <w:rPr>
          <w:rFonts w:cs="David"/>
        </w:rPr>
      </w:pPr>
      <w:r w:rsidRPr="00DF4AB7">
        <w:rPr>
          <w:rStyle w:val="FootnoteReference"/>
          <w:rFonts w:cs="David"/>
          <w:vertAlign w:val="baseline"/>
        </w:rPr>
        <w:footnoteRef/>
      </w:r>
      <w:r w:rsidRPr="00DF4AB7">
        <w:rPr>
          <w:rFonts w:cs="David"/>
          <w:rtl/>
        </w:rPr>
        <w:t xml:space="preserve"> </w:t>
      </w:r>
      <w:r w:rsidRPr="00DF4AB7">
        <w:rPr>
          <w:rFonts w:cs="David" w:hint="cs"/>
          <w:rtl/>
        </w:rPr>
        <w:tab/>
        <w:t xml:space="preserve">טאהר בן ג'ולאן, </w:t>
      </w:r>
      <w:r w:rsidRPr="00DF4AB7">
        <w:rPr>
          <w:rFonts w:cs="David" w:hint="cs"/>
          <w:b/>
          <w:bCs/>
          <w:rtl/>
        </w:rPr>
        <w:t>הגזענות</w:t>
      </w:r>
      <w:r w:rsidRPr="00DF4AB7">
        <w:rPr>
          <w:rFonts w:cs="David"/>
          <w:b/>
          <w:bCs/>
          <w:rtl/>
        </w:rPr>
        <w:t xml:space="preserve"> </w:t>
      </w:r>
      <w:r w:rsidRPr="00DF4AB7">
        <w:rPr>
          <w:rFonts w:cs="David" w:hint="cs"/>
          <w:b/>
          <w:bCs/>
          <w:rtl/>
        </w:rPr>
        <w:t>כפי</w:t>
      </w:r>
      <w:r w:rsidRPr="00DF4AB7">
        <w:rPr>
          <w:rFonts w:cs="David"/>
          <w:b/>
          <w:bCs/>
          <w:rtl/>
        </w:rPr>
        <w:t xml:space="preserve"> </w:t>
      </w:r>
      <w:r w:rsidRPr="00DF4AB7">
        <w:rPr>
          <w:rFonts w:cs="David" w:hint="cs"/>
          <w:b/>
          <w:bCs/>
          <w:rtl/>
        </w:rPr>
        <w:t>שהסברתי</w:t>
      </w:r>
      <w:r w:rsidRPr="00DF4AB7">
        <w:rPr>
          <w:rFonts w:cs="David"/>
          <w:b/>
          <w:bCs/>
          <w:rtl/>
        </w:rPr>
        <w:t xml:space="preserve"> </w:t>
      </w:r>
      <w:r w:rsidRPr="00DF4AB7">
        <w:rPr>
          <w:rFonts w:cs="David" w:hint="cs"/>
          <w:b/>
          <w:bCs/>
          <w:rtl/>
        </w:rPr>
        <w:t>לבתי,</w:t>
      </w:r>
      <w:r w:rsidRPr="00DF4AB7">
        <w:rPr>
          <w:rFonts w:cs="David" w:hint="cs"/>
          <w:rtl/>
        </w:rPr>
        <w:t xml:space="preserve"> 14-12, 18 (1998).</w:t>
      </w:r>
    </w:p>
  </w:footnote>
  <w:footnote w:id="10">
    <w:p w:rsidR="00DF4AB7" w:rsidRPr="00DF4AB7" w:rsidP="00540220">
      <w:pPr>
        <w:pStyle w:val="FootnoteText"/>
        <w:ind w:left="397" w:hanging="397"/>
        <w:rPr>
          <w:rFonts w:cs="David"/>
          <w:sz w:val="18"/>
        </w:rPr>
      </w:pPr>
      <w:r w:rsidRPr="00DF4AB7">
        <w:rPr>
          <w:rStyle w:val="FootnoteReference"/>
          <w:rFonts w:cs="David"/>
          <w:vertAlign w:val="baseline"/>
        </w:rPr>
        <w:footnoteRef/>
      </w:r>
      <w:r w:rsidRPr="00DF4AB7">
        <w:rPr>
          <w:rStyle w:val="FootnoteReference"/>
          <w:rFonts w:cs="David"/>
          <w:vertAlign w:val="baseline"/>
          <w:rtl/>
        </w:rPr>
        <w:t xml:space="preserve"> </w:t>
      </w:r>
      <w:r w:rsidRPr="00DF4AB7">
        <w:rPr>
          <w:rFonts w:cs="David"/>
          <w:sz w:val="18"/>
          <w:rtl/>
        </w:rPr>
        <w:tab/>
      </w:r>
      <w:r w:rsidRPr="00DF4AB7">
        <w:rPr>
          <w:rFonts w:cs="David"/>
          <w:rtl/>
        </w:rPr>
        <w:t xml:space="preserve">בג"ץ 7426/08 </w:t>
      </w:r>
      <w:r w:rsidRPr="00DF4AB7">
        <w:rPr>
          <w:rFonts w:cs="David"/>
          <w:b/>
          <w:bCs/>
          <w:rtl/>
        </w:rPr>
        <w:t>טבקה משפט וצדק לעולי א</w:t>
      </w:r>
      <w:r w:rsidRPr="00DF4AB7">
        <w:rPr>
          <w:rFonts w:cs="David"/>
          <w:b/>
          <w:bCs/>
          <w:rtl/>
        </w:rPr>
        <w:t>תיופיה נ' שרת החינוך</w:t>
      </w:r>
      <w:r w:rsidRPr="00DF4AB7">
        <w:rPr>
          <w:rFonts w:cs="David"/>
          <w:rtl/>
        </w:rPr>
        <w:t>, פסקה 14 לפסק דינה של השופטת פרוקצ'יה (פורסם במאגר ממוחשב</w:t>
      </w:r>
      <w:r w:rsidRPr="00DF4AB7">
        <w:rPr>
          <w:rFonts w:cs="David" w:hint="cs"/>
          <w:rtl/>
        </w:rPr>
        <w:t>,</w:t>
      </w:r>
      <w:r w:rsidRPr="00DF4AB7">
        <w:rPr>
          <w:rFonts w:cs="David"/>
          <w:rtl/>
        </w:rPr>
        <w:t xml:space="preserve"> 31.8.10).</w:t>
      </w:r>
      <w:r w:rsidRPr="00DF4AB7">
        <w:rPr>
          <w:rFonts w:cs="David"/>
          <w:sz w:val="18"/>
          <w:rtl/>
        </w:rPr>
        <w:t xml:space="preserve"> </w:t>
      </w:r>
      <w:r w:rsidRPr="00DF4AB7">
        <w:rPr>
          <w:rFonts w:cs="David"/>
          <w:rtl/>
        </w:rPr>
        <w:t xml:space="preserve">עוד על הזכות לחינוך ותכניה הדמוקרטיים ראו יורם רבין, </w:t>
      </w:r>
      <w:r w:rsidRPr="00DF4AB7">
        <w:rPr>
          <w:rFonts w:cs="David"/>
          <w:b/>
          <w:bCs/>
          <w:rtl/>
        </w:rPr>
        <w:t>הזכות לחינוך</w:t>
      </w:r>
      <w:r w:rsidRPr="00DF4AB7">
        <w:rPr>
          <w:rFonts w:cs="David"/>
          <w:rtl/>
        </w:rPr>
        <w:t xml:space="preserve"> 145-137 (2002)</w:t>
      </w:r>
      <w:r w:rsidRPr="00DF4AB7">
        <w:rPr>
          <w:rFonts w:cs="David" w:hint="cs"/>
          <w:rtl/>
        </w:rPr>
        <w:t>.</w:t>
      </w:r>
      <w:r w:rsidRPr="00DF4AB7">
        <w:rPr>
          <w:rFonts w:cs="David"/>
          <w:rtl/>
        </w:rPr>
        <w:t xml:space="preserve"> </w:t>
      </w:r>
    </w:p>
  </w:footnote>
  <w:footnote w:id="11">
    <w:p w:rsidR="00DF4AB7" w:rsidRPr="00DF4AB7" w:rsidP="00540220">
      <w:pPr>
        <w:pStyle w:val="FootnoteText"/>
        <w:ind w:left="397" w:hanging="397"/>
        <w:rPr>
          <w:rFonts w:cs="David"/>
          <w:rtl/>
        </w:rPr>
      </w:pPr>
      <w:r w:rsidRPr="00DF4AB7">
        <w:rPr>
          <w:rStyle w:val="FootnoteReference"/>
          <w:rFonts w:cs="David"/>
          <w:vertAlign w:val="baseline"/>
        </w:rPr>
        <w:footnoteRef/>
      </w:r>
      <w:r w:rsidRPr="00DF4AB7">
        <w:rPr>
          <w:rFonts w:cs="David"/>
          <w:rtl/>
        </w:rPr>
        <w:t xml:space="preserve"> </w:t>
      </w:r>
      <w:r w:rsidRPr="00DF4AB7">
        <w:rPr>
          <w:rFonts w:cs="David" w:hint="cs"/>
          <w:rtl/>
        </w:rPr>
        <w:tab/>
        <w:t>נאום הנשיא מר ראובן ריבלין, "</w:t>
      </w:r>
      <w:r w:rsidRPr="00DF4AB7">
        <w:rPr>
          <w:rFonts w:cs="David"/>
          <w:rtl/>
        </w:rPr>
        <w:t>דברי נשיא המדינה בכנס הרצליה לקראת שנה לכהונתו</w:t>
      </w:r>
      <w:r w:rsidRPr="00DF4AB7">
        <w:rPr>
          <w:rFonts w:cs="David" w:hint="cs"/>
          <w:rtl/>
        </w:rPr>
        <w:t>" ביו</w:t>
      </w:r>
      <w:r w:rsidRPr="00DF4AB7">
        <w:rPr>
          <w:rFonts w:cs="David" w:hint="cs"/>
          <w:rtl/>
        </w:rPr>
        <w:t>ם 7.6.15.</w:t>
      </w:r>
      <w:r w:rsidRPr="00DF4AB7">
        <w:rPr>
          <w:rFonts w:cs="David"/>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5B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5B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5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02EF42A8"/>
    <w:multiLevelType w:val="hybridMultilevel"/>
    <w:tmpl w:val="DD127CC4"/>
    <w:lvl w:ilvl="0">
      <w:start w:val="22"/>
      <w:numFmt w:val="decimal"/>
      <w:lvlText w:val="%1."/>
      <w:lvlJc w:val="left"/>
      <w:pPr>
        <w:tabs>
          <w:tab w:val="num" w:pos="1924"/>
        </w:tabs>
        <w:ind w:left="1924" w:right="1924" w:hanging="34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
    <w:nsid w:val="0A5765DA"/>
    <w:multiLevelType w:val="hybridMultilevel"/>
    <w:tmpl w:val="460EE132"/>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
    <w:nsid w:val="0A9475B2"/>
    <w:multiLevelType w:val="singleLevel"/>
    <w:tmpl w:val="D88E680E"/>
    <w:lvl w:ilvl="0">
      <w:start w:val="1"/>
      <w:numFmt w:val="hebrew1"/>
      <w:lvlText w:val="(%1)"/>
      <w:lvlJc w:val="left"/>
      <w:pPr>
        <w:tabs>
          <w:tab w:val="num" w:pos="360"/>
        </w:tabs>
        <w:ind w:hanging="360"/>
      </w:pPr>
      <w:rPr>
        <w:rFonts w:cs="Miriam" w:hint="default"/>
        <w:sz w:val="24"/>
      </w:rPr>
    </w:lvl>
  </w:abstractNum>
  <w:abstractNum w:abstractNumId="4">
    <w:nsid w:val="1DEF21D2"/>
    <w:multiLevelType w:val="hybridMultilevel"/>
    <w:tmpl w:val="60F88284"/>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5">
    <w:nsid w:val="1EA37A4E"/>
    <w:multiLevelType w:val="hybridMultilevel"/>
    <w:tmpl w:val="9B00E94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6">
    <w:nsid w:val="1EFE39C3"/>
    <w:multiLevelType w:val="hybridMultilevel"/>
    <w:tmpl w:val="584A6D1E"/>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7">
    <w:nsid w:val="238D2135"/>
    <w:multiLevelType w:val="hybridMultilevel"/>
    <w:tmpl w:val="4210AE3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8">
    <w:nsid w:val="2A163746"/>
    <w:multiLevelType w:val="hybridMultilevel"/>
    <w:tmpl w:val="59F20B9E"/>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9">
    <w:nsid w:val="30600013"/>
    <w:multiLevelType w:val="hybridMultilevel"/>
    <w:tmpl w:val="0B54E5D4"/>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0">
    <w:nsid w:val="32425599"/>
    <w:multiLevelType w:val="multilevel"/>
    <w:tmpl w:val="4594D540"/>
    <w:lvl w:ilvl="0">
      <w:start w:val="1"/>
      <w:numFmt w:val="decimal"/>
      <w:lvlText w:val="%1."/>
      <w:lvlJc w:val="left"/>
      <w:pPr>
        <w:tabs>
          <w:tab w:val="num" w:pos="357"/>
        </w:tabs>
        <w:ind w:left="357" w:right="357" w:hanging="357"/>
      </w:pPr>
    </w:lvl>
    <w:lvl w:ilvl="1">
      <w:start w:val="1"/>
      <w:numFmt w:val="hebrew1"/>
      <w:lvlText w:val="(%2)"/>
      <w:lvlJc w:val="left"/>
      <w:pPr>
        <w:tabs>
          <w:tab w:val="num" w:pos="720"/>
        </w:tabs>
        <w:ind w:left="720" w:right="720" w:hanging="363"/>
      </w:pPr>
    </w:lvl>
    <w:lvl w:ilvl="2">
      <w:start w:val="1"/>
      <w:numFmt w:val="decimal"/>
      <w:lvlText w:val="(%3)"/>
      <w:lvlJc w:val="left"/>
      <w:pPr>
        <w:tabs>
          <w:tab w:val="num" w:pos="1077"/>
        </w:tabs>
        <w:ind w:left="1077" w:right="1077" w:hanging="357"/>
      </w:pPr>
    </w:lvl>
    <w:lvl w:ilvl="3">
      <w:start w:val="1"/>
      <w:numFmt w:val="decimal"/>
      <w:lvlText w:val="(%4)"/>
      <w:lvlJc w:val="left"/>
      <w:pPr>
        <w:tabs>
          <w:tab w:val="num" w:pos="1440"/>
        </w:tabs>
        <w:ind w:left="1440" w:right="1440" w:hanging="363"/>
      </w:pPr>
    </w:lvl>
    <w:lvl w:ilvl="4">
      <w:start w:val="1"/>
      <w:numFmt w:val="lowerLetter"/>
      <w:lvlText w:val="(%5)"/>
      <w:lvlJc w:val="left"/>
      <w:pPr>
        <w:tabs>
          <w:tab w:val="num" w:pos="1797"/>
        </w:tabs>
        <w:ind w:left="1797" w:right="1797" w:hanging="357"/>
      </w:pPr>
    </w:lvl>
    <w:lvl w:ilvl="5">
      <w:start w:val="1"/>
      <w:numFmt w:val="lowerRoman"/>
      <w:lvlText w:val="(%6)"/>
      <w:lvlJc w:val="left"/>
      <w:pPr>
        <w:tabs>
          <w:tab w:val="num" w:pos="2160"/>
        </w:tabs>
        <w:ind w:left="2160" w:right="2160" w:hanging="363"/>
      </w:pPr>
    </w:lvl>
    <w:lvl w:ilvl="6">
      <w:start w:val="1"/>
      <w:numFmt w:val="decimal"/>
      <w:lvlText w:val="%7."/>
      <w:lvlJc w:val="left"/>
      <w:pPr>
        <w:tabs>
          <w:tab w:val="num" w:pos="2517"/>
        </w:tabs>
        <w:ind w:left="2517" w:right="2517" w:hanging="357"/>
      </w:pPr>
    </w:lvl>
    <w:lvl w:ilvl="7">
      <w:start w:val="1"/>
      <w:numFmt w:val="lowerLetter"/>
      <w:lvlText w:val="%8."/>
      <w:lvlJc w:val="left"/>
      <w:pPr>
        <w:tabs>
          <w:tab w:val="num" w:pos="2880"/>
        </w:tabs>
        <w:ind w:left="2880" w:right="2880" w:hanging="363"/>
      </w:pPr>
    </w:lvl>
    <w:lvl w:ilvl="8">
      <w:start w:val="1"/>
      <w:numFmt w:val="lowerRoman"/>
      <w:lvlText w:val="%9."/>
      <w:lvlJc w:val="left"/>
      <w:pPr>
        <w:tabs>
          <w:tab w:val="num" w:pos="3237"/>
        </w:tabs>
        <w:ind w:left="3237" w:right="3237" w:hanging="357"/>
      </w:pPr>
    </w:lvl>
  </w:abstractNum>
  <w:abstractNum w:abstractNumId="11">
    <w:nsid w:val="3443390D"/>
    <w:multiLevelType w:val="singleLevel"/>
    <w:tmpl w:val="A07AD338"/>
    <w:lvl w:ilvl="0">
      <w:start w:val="1"/>
      <w:numFmt w:val="upperRoman"/>
      <w:lvlText w:val="%1."/>
      <w:lvlJc w:val="center"/>
      <w:pPr>
        <w:tabs>
          <w:tab w:val="num" w:pos="648"/>
        </w:tabs>
        <w:ind w:left="648" w:right="648" w:hanging="360"/>
      </w:pPr>
    </w:lvl>
  </w:abstractNum>
  <w:abstractNum w:abstractNumId="12">
    <w:nsid w:val="3D2A2DDC"/>
    <w:multiLevelType w:val="hybridMultilevel"/>
    <w:tmpl w:val="2602883E"/>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13">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14">
    <w:nsid w:val="4F093FCF"/>
    <w:multiLevelType w:val="hybridMultilevel"/>
    <w:tmpl w:val="523E8F3A"/>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5">
    <w:nsid w:val="4FBB6D27"/>
    <w:multiLevelType w:val="hybridMultilevel"/>
    <w:tmpl w:val="77264AC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6">
    <w:nsid w:val="506462A6"/>
    <w:multiLevelType w:val="hybridMultilevel"/>
    <w:tmpl w:val="79D08AF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7">
    <w:nsid w:val="51253C99"/>
    <w:multiLevelType w:val="singleLevel"/>
    <w:tmpl w:val="CB924DAA"/>
    <w:lvl w:ilvl="0">
      <w:start w:val="1"/>
      <w:numFmt w:val="hebrew1"/>
      <w:lvlText w:val="(%1)"/>
      <w:lvlJc w:val="center"/>
      <w:pPr>
        <w:tabs>
          <w:tab w:val="num" w:pos="473"/>
        </w:tabs>
        <w:ind w:left="0" w:firstLine="113"/>
      </w:pPr>
    </w:lvl>
  </w:abstractNum>
  <w:abstractNum w:abstractNumId="18">
    <w:nsid w:val="53801E6B"/>
    <w:multiLevelType w:val="singleLevel"/>
    <w:tmpl w:val="411409B6"/>
    <w:lvl w:ilvl="0">
      <w:start w:val="1"/>
      <w:numFmt w:val="decimal"/>
      <w:lvlText w:val="%1."/>
      <w:lvlJc w:val="center"/>
      <w:pPr>
        <w:tabs>
          <w:tab w:val="num" w:pos="648"/>
        </w:tabs>
        <w:ind w:left="360" w:right="360" w:hanging="72"/>
      </w:pPr>
    </w:lvl>
  </w:abstractNum>
  <w:abstractNum w:abstractNumId="19">
    <w:nsid w:val="54B44578"/>
    <w:multiLevelType w:val="hybridMultilevel"/>
    <w:tmpl w:val="AC38613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0">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1">
    <w:nsid w:val="561A6934"/>
    <w:multiLevelType w:val="singleLevel"/>
    <w:tmpl w:val="6AA22732"/>
    <w:lvl w:ilvl="0">
      <w:start w:val="20"/>
      <w:numFmt w:val="bullet"/>
      <w:lvlText w:val="-"/>
      <w:lvlJc w:val="left"/>
      <w:pPr>
        <w:tabs>
          <w:tab w:val="num" w:pos="720"/>
        </w:tabs>
        <w:ind w:left="720" w:right="720" w:hanging="720"/>
      </w:pPr>
      <w:rPr>
        <w:rFonts w:cs="Times New Roman" w:hint="default"/>
        <w:sz w:val="24"/>
      </w:rPr>
    </w:lvl>
  </w:abstractNum>
  <w:abstractNum w:abstractNumId="22">
    <w:nsid w:val="56FD6849"/>
    <w:multiLevelType w:val="hybridMultilevel"/>
    <w:tmpl w:val="FD149E6E"/>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23">
    <w:nsid w:val="5DEC69B7"/>
    <w:multiLevelType w:val="singleLevel"/>
    <w:tmpl w:val="CB924DAA"/>
    <w:lvl w:ilvl="0">
      <w:start w:val="1"/>
      <w:numFmt w:val="hebrew1"/>
      <w:lvlText w:val="(%1)"/>
      <w:lvlJc w:val="center"/>
      <w:pPr>
        <w:tabs>
          <w:tab w:val="num" w:pos="473"/>
        </w:tabs>
        <w:ind w:left="0" w:firstLine="113"/>
      </w:pPr>
    </w:lvl>
  </w:abstractNum>
  <w:abstractNum w:abstractNumId="24">
    <w:nsid w:val="60EE432F"/>
    <w:multiLevelType w:val="hybridMultilevel"/>
    <w:tmpl w:val="6B865916"/>
    <w:lvl w:ilvl="0">
      <w:start w:val="4"/>
      <w:numFmt w:val="decimal"/>
      <w:lvlText w:val="%1."/>
      <w:lvlJc w:val="left"/>
      <w:pPr>
        <w:tabs>
          <w:tab w:val="num" w:pos="567"/>
        </w:tabs>
        <w:ind w:left="567" w:right="567" w:hanging="555"/>
      </w:pPr>
      <w:rPr>
        <w:rFonts w:hint="cs"/>
        <w:u w:val="none"/>
      </w:rPr>
    </w:lvl>
    <w:lvl w:ilvl="1" w:tentative="1">
      <w:start w:val="1"/>
      <w:numFmt w:val="lowerLetter"/>
      <w:lvlText w:val="%2."/>
      <w:lvlJc w:val="left"/>
      <w:pPr>
        <w:tabs>
          <w:tab w:val="num" w:pos="1092"/>
        </w:tabs>
        <w:ind w:left="1092" w:right="1092" w:hanging="360"/>
      </w:pPr>
    </w:lvl>
    <w:lvl w:ilvl="2" w:tentative="1">
      <w:start w:val="1"/>
      <w:numFmt w:val="lowerRoman"/>
      <w:lvlText w:val="%3."/>
      <w:lvlJc w:val="right"/>
      <w:pPr>
        <w:tabs>
          <w:tab w:val="num" w:pos="1812"/>
        </w:tabs>
        <w:ind w:left="1812" w:right="1812" w:hanging="180"/>
      </w:pPr>
    </w:lvl>
    <w:lvl w:ilvl="3" w:tentative="1">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25">
    <w:nsid w:val="6A1C7FB5"/>
    <w:multiLevelType w:val="singleLevel"/>
    <w:tmpl w:val="CB646ABA"/>
    <w:lvl w:ilvl="0">
      <w:start w:val="1"/>
      <w:numFmt w:val="hebrew1"/>
      <w:lvlText w:val="%1."/>
      <w:lvlJc w:val="center"/>
      <w:pPr>
        <w:tabs>
          <w:tab w:val="num" w:pos="797"/>
        </w:tabs>
        <w:ind w:left="797" w:right="797" w:hanging="360"/>
      </w:pPr>
    </w:lvl>
  </w:abstractNum>
  <w:abstractNum w:abstractNumId="26">
    <w:nsid w:val="6B6422C9"/>
    <w:multiLevelType w:val="hybridMultilevel"/>
    <w:tmpl w:val="44B2EB9C"/>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7">
    <w:nsid w:val="6FB54DFE"/>
    <w:multiLevelType w:val="hybridMultilevel"/>
    <w:tmpl w:val="5C882904"/>
    <w:lvl w:ilvl="0">
      <w:start w:val="1"/>
      <w:numFmt w:val="decimal"/>
      <w:lvlText w:val="%1."/>
      <w:lvlJc w:val="left"/>
      <w:pPr>
        <w:tabs>
          <w:tab w:val="num" w:pos="1944"/>
        </w:tabs>
        <w:ind w:left="1944" w:right="1944" w:hanging="360"/>
      </w:pPr>
      <w:rPr>
        <w:b w:val="0"/>
        <w:bCs w:val="0"/>
        <w:sz w:val="24"/>
        <w:szCs w:val="24"/>
      </w:rPr>
    </w:lvl>
    <w:lvl w:ilvl="1">
      <w:start w:val="1"/>
      <w:numFmt w:val="decimal"/>
      <w:lvlText w:val="%2."/>
      <w:lvlJc w:val="left"/>
      <w:pPr>
        <w:tabs>
          <w:tab w:val="num" w:pos="2664"/>
        </w:tabs>
        <w:ind w:left="2664" w:right="2664" w:hanging="360"/>
      </w:pPr>
      <w:rPr>
        <w:b w:val="0"/>
        <w:bCs w:val="0"/>
        <w:sz w:val="24"/>
        <w:szCs w:val="24"/>
      </w:rPr>
    </w:lvl>
    <w:lvl w:ilvl="2" w:tentative="1">
      <w:start w:val="1"/>
      <w:numFmt w:val="lowerRoman"/>
      <w:lvlText w:val="%3."/>
      <w:lvlJc w:val="right"/>
      <w:pPr>
        <w:tabs>
          <w:tab w:val="num" w:pos="3384"/>
        </w:tabs>
        <w:ind w:left="3384" w:right="3384" w:hanging="180"/>
      </w:pPr>
    </w:lvl>
    <w:lvl w:ilvl="3" w:tentative="1">
      <w:start w:val="1"/>
      <w:numFmt w:val="decimal"/>
      <w:lvlText w:val="%4."/>
      <w:lvlJc w:val="left"/>
      <w:pPr>
        <w:tabs>
          <w:tab w:val="num" w:pos="4104"/>
        </w:tabs>
        <w:ind w:left="4104" w:right="4104" w:hanging="360"/>
      </w:pPr>
    </w:lvl>
    <w:lvl w:ilvl="4" w:tentative="1">
      <w:start w:val="1"/>
      <w:numFmt w:val="lowerLetter"/>
      <w:lvlText w:val="%5."/>
      <w:lvlJc w:val="left"/>
      <w:pPr>
        <w:tabs>
          <w:tab w:val="num" w:pos="4824"/>
        </w:tabs>
        <w:ind w:left="4824" w:right="4824" w:hanging="360"/>
      </w:pPr>
    </w:lvl>
    <w:lvl w:ilvl="5" w:tentative="1">
      <w:start w:val="1"/>
      <w:numFmt w:val="lowerRoman"/>
      <w:lvlText w:val="%6."/>
      <w:lvlJc w:val="right"/>
      <w:pPr>
        <w:tabs>
          <w:tab w:val="num" w:pos="5544"/>
        </w:tabs>
        <w:ind w:left="5544" w:right="5544" w:hanging="180"/>
      </w:pPr>
    </w:lvl>
    <w:lvl w:ilvl="6" w:tentative="1">
      <w:start w:val="1"/>
      <w:numFmt w:val="decimal"/>
      <w:lvlText w:val="%7."/>
      <w:lvlJc w:val="left"/>
      <w:pPr>
        <w:tabs>
          <w:tab w:val="num" w:pos="6264"/>
        </w:tabs>
        <w:ind w:left="6264" w:right="6264" w:hanging="360"/>
      </w:pPr>
    </w:lvl>
    <w:lvl w:ilvl="7" w:tentative="1">
      <w:start w:val="1"/>
      <w:numFmt w:val="lowerLetter"/>
      <w:lvlText w:val="%8."/>
      <w:lvlJc w:val="left"/>
      <w:pPr>
        <w:tabs>
          <w:tab w:val="num" w:pos="6984"/>
        </w:tabs>
        <w:ind w:left="6984" w:right="6984" w:hanging="360"/>
      </w:pPr>
    </w:lvl>
    <w:lvl w:ilvl="8" w:tentative="1">
      <w:start w:val="1"/>
      <w:numFmt w:val="lowerRoman"/>
      <w:lvlText w:val="%9."/>
      <w:lvlJc w:val="right"/>
      <w:pPr>
        <w:tabs>
          <w:tab w:val="num" w:pos="7704"/>
        </w:tabs>
        <w:ind w:left="7704" w:right="7704" w:hanging="180"/>
      </w:pPr>
    </w:lvl>
  </w:abstractNum>
  <w:abstractNum w:abstractNumId="28">
    <w:nsid w:val="7292186E"/>
    <w:multiLevelType w:val="hybridMultilevel"/>
    <w:tmpl w:val="C1E6366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9">
    <w:nsid w:val="75E63E87"/>
    <w:multiLevelType w:val="hybridMultilevel"/>
    <w:tmpl w:val="EBB29F3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0">
    <w:nsid w:val="791D2F56"/>
    <w:multiLevelType w:val="multilevel"/>
    <w:tmpl w:val="21BA219A"/>
    <w:lvl w:ilvl="0">
      <w:start w:val="1"/>
      <w:numFmt w:val="decimal"/>
      <w:lvlText w:val="%1."/>
      <w:lvlJc w:val="left"/>
      <w:pPr>
        <w:tabs>
          <w:tab w:val="num" w:pos="567"/>
        </w:tabs>
        <w:ind w:left="567" w:right="567" w:hanging="567"/>
      </w:pPr>
      <w:rPr>
        <w:rFonts w:cs="David" w:hint="cs"/>
        <w:bCs w:val="0"/>
        <w:iCs w:val="0"/>
        <w:szCs w:val="24"/>
      </w:rPr>
    </w:lvl>
    <w:lvl w:ilvl="1">
      <w:start w:val="1"/>
      <w:numFmt w:val="hebrew1"/>
      <w:lvlText w:val="(%2)"/>
      <w:lvlJc w:val="left"/>
      <w:pPr>
        <w:tabs>
          <w:tab w:val="num" w:pos="1134"/>
        </w:tabs>
        <w:ind w:left="1134" w:right="1134" w:hanging="567"/>
      </w:pPr>
      <w:rPr>
        <w:rFonts w:hint="default"/>
      </w:rPr>
    </w:lvl>
    <w:lvl w:ilvl="2">
      <w:start w:val="1"/>
      <w:numFmt w:val="decimal"/>
      <w:lvlText w:val="(%3)"/>
      <w:lvlJc w:val="left"/>
      <w:pPr>
        <w:tabs>
          <w:tab w:val="num" w:pos="1701"/>
        </w:tabs>
        <w:ind w:left="1701" w:right="1701" w:hanging="567"/>
      </w:pPr>
      <w:rPr>
        <w:rFonts w:hint="default"/>
      </w:rPr>
    </w:lvl>
    <w:lvl w:ilvl="3">
      <w:start w:val="1"/>
      <w:numFmt w:val="decimal"/>
      <w:lvlText w:val="(%4)"/>
      <w:lvlJc w:val="left"/>
      <w:pPr>
        <w:tabs>
          <w:tab w:val="num" w:pos="1440"/>
        </w:tabs>
        <w:ind w:left="1440" w:right="1440" w:hanging="363"/>
      </w:pPr>
      <w:rPr>
        <w:rFonts w:hint="default"/>
      </w:rPr>
    </w:lvl>
    <w:lvl w:ilvl="4">
      <w:start w:val="1"/>
      <w:numFmt w:val="lowerLetter"/>
      <w:lvlText w:val="(%5)"/>
      <w:lvlJc w:val="left"/>
      <w:pPr>
        <w:tabs>
          <w:tab w:val="num" w:pos="1797"/>
        </w:tabs>
        <w:ind w:left="1797" w:right="1797" w:hanging="357"/>
      </w:pPr>
      <w:rPr>
        <w:rFonts w:hint="default"/>
      </w:rPr>
    </w:lvl>
    <w:lvl w:ilvl="5">
      <w:start w:val="1"/>
      <w:numFmt w:val="lowerRoman"/>
      <w:lvlText w:val="(%6)"/>
      <w:lvlJc w:val="left"/>
      <w:pPr>
        <w:tabs>
          <w:tab w:val="num" w:pos="2160"/>
        </w:tabs>
        <w:ind w:left="2160" w:right="2160" w:hanging="363"/>
      </w:pPr>
      <w:rPr>
        <w:rFonts w:hint="default"/>
      </w:rPr>
    </w:lvl>
    <w:lvl w:ilvl="6">
      <w:start w:val="1"/>
      <w:numFmt w:val="decimal"/>
      <w:lvlText w:val="%7."/>
      <w:lvlJc w:val="left"/>
      <w:pPr>
        <w:tabs>
          <w:tab w:val="num" w:pos="2517"/>
        </w:tabs>
        <w:ind w:left="2517" w:right="2517" w:hanging="357"/>
      </w:pPr>
      <w:rPr>
        <w:rFonts w:hint="default"/>
      </w:rPr>
    </w:lvl>
    <w:lvl w:ilvl="7">
      <w:start w:val="1"/>
      <w:numFmt w:val="lowerLetter"/>
      <w:lvlText w:val="%8."/>
      <w:lvlJc w:val="left"/>
      <w:pPr>
        <w:tabs>
          <w:tab w:val="num" w:pos="2880"/>
        </w:tabs>
        <w:ind w:left="2880" w:right="2880" w:hanging="363"/>
      </w:pPr>
      <w:rPr>
        <w:rFonts w:hint="default"/>
      </w:rPr>
    </w:lvl>
    <w:lvl w:ilvl="8">
      <w:start w:val="1"/>
      <w:numFmt w:val="lowerRoman"/>
      <w:lvlText w:val="%9."/>
      <w:lvlJc w:val="left"/>
      <w:pPr>
        <w:tabs>
          <w:tab w:val="num" w:pos="3237"/>
        </w:tabs>
        <w:ind w:left="3237" w:right="3237" w:hanging="357"/>
      </w:pPr>
      <w:rPr>
        <w:rFonts w:hint="default"/>
      </w:rPr>
    </w:lvl>
  </w:abstractNum>
  <w:abstractNum w:abstractNumId="31">
    <w:nsid w:val="7C826799"/>
    <w:multiLevelType w:val="singleLevel"/>
    <w:tmpl w:val="CB924DAA"/>
    <w:lvl w:ilvl="0">
      <w:start w:val="1"/>
      <w:numFmt w:val="hebrew1"/>
      <w:lvlText w:val="(%1)"/>
      <w:lvlJc w:val="center"/>
      <w:pPr>
        <w:tabs>
          <w:tab w:val="num" w:pos="473"/>
        </w:tabs>
        <w:ind w:left="0" w:firstLine="113"/>
      </w:pPr>
    </w:lvl>
  </w:abstractNum>
  <w:num w:numId="1">
    <w:abstractNumId w:val="13"/>
  </w:num>
  <w:num w:numId="2">
    <w:abstractNumId w:val="13"/>
  </w:num>
  <w:num w:numId="3">
    <w:abstractNumId w:val="13"/>
  </w:num>
  <w:num w:numId="4">
    <w:abstractNumId w:val="11"/>
  </w:num>
  <w:num w:numId="5">
    <w:abstractNumId w:val="25"/>
  </w:num>
  <w:num w:numId="6">
    <w:abstractNumId w:val="25"/>
  </w:num>
  <w:num w:numId="7">
    <w:abstractNumId w:val="13"/>
  </w:num>
  <w:num w:numId="8">
    <w:abstractNumId w:val="13"/>
  </w:num>
  <w:num w:numId="9">
    <w:abstractNumId w:val="25"/>
  </w:num>
  <w:num w:numId="10">
    <w:abstractNumId w:val="13"/>
  </w:num>
  <w:num w:numId="11">
    <w:abstractNumId w:val="25"/>
  </w:num>
  <w:num w:numId="12">
    <w:abstractNumId w:val="20"/>
  </w:num>
  <w:num w:numId="13">
    <w:abstractNumId w:val="0"/>
  </w:num>
  <w:num w:numId="14">
    <w:abstractNumId w:val="30"/>
  </w:num>
  <w:num w:numId="15">
    <w:abstractNumId w:val="21"/>
  </w:num>
  <w:num w:numId="16">
    <w:abstractNumId w:val="18"/>
  </w:num>
  <w:num w:numId="17">
    <w:abstractNumId w:val="3"/>
  </w:num>
  <w:num w:numId="18">
    <w:abstractNumId w:val="23"/>
  </w:num>
  <w:num w:numId="19">
    <w:abstractNumId w:val="31"/>
  </w:num>
  <w:num w:numId="20">
    <w:abstractNumId w:val="17"/>
  </w:num>
  <w:num w:numId="21">
    <w:abstractNumId w:val="19"/>
  </w:num>
  <w:num w:numId="22">
    <w:abstractNumId w:val="28"/>
  </w:num>
  <w:num w:numId="23">
    <w:abstractNumId w:val="5"/>
  </w:num>
  <w:num w:numId="24">
    <w:abstractNumId w:val="16"/>
  </w:num>
  <w:num w:numId="25">
    <w:abstractNumId w:val="22"/>
  </w:num>
  <w:num w:numId="26">
    <w:abstractNumId w:val="8"/>
  </w:num>
  <w:num w:numId="27">
    <w:abstractNumId w:val="2"/>
  </w:num>
  <w:num w:numId="28">
    <w:abstractNumId w:val="29"/>
  </w:num>
  <w:num w:numId="29">
    <w:abstractNumId w:val="15"/>
  </w:num>
  <w:num w:numId="30">
    <w:abstractNumId w:val="4"/>
  </w:num>
  <w:num w:numId="31">
    <w:abstractNumId w:val="9"/>
  </w:num>
  <w:num w:numId="32">
    <w:abstractNumId w:val="14"/>
  </w:num>
  <w:num w:numId="33">
    <w:abstractNumId w:val="7"/>
  </w:num>
  <w:num w:numId="34">
    <w:abstractNumId w:val="26"/>
  </w:num>
  <w:num w:numId="35">
    <w:abstractNumId w:val="6"/>
  </w:num>
  <w:num w:numId="36">
    <w:abstractNumId w:val="12"/>
  </w:num>
  <w:num w:numId="37">
    <w:abstractNumId w:val="10"/>
  </w:num>
  <w:num w:numId="38">
    <w:abstractNumId w:val="24"/>
  </w:num>
  <w:num w:numId="39">
    <w:abstractNumId w:val="27"/>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linkStyles/>
  <w:defaultTabStop w:val="397"/>
  <w:evenAndOddHeaders/>
  <w:drawingGridHorizontalSpacing w:val="72"/>
  <w:drawingGridVerticalSpacing w:val="98"/>
  <w:displayHorizontalDrawingGridEvery w:val="2"/>
  <w:displayVerticalDrawingGridEvery w:val="2"/>
  <w:noPunctuationKerning/>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7A0"/>
    <w:rsid w:val="00095BBF"/>
    <w:rsid w:val="000A27A0"/>
    <w:rsid w:val="00531BD6"/>
    <w:rsid w:val="00540220"/>
    <w:rsid w:val="008700E7"/>
    <w:rsid w:val="00B4181C"/>
    <w:rsid w:val="00DF4AB7"/>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120" w:line="230" w:lineRule="exact"/>
      <w:jc w:val="both"/>
    </w:pPr>
    <w:rPr>
      <w:rFonts w:cs="FrankRuehl"/>
      <w:sz w:val="24"/>
      <w:szCs w:val="22"/>
    </w:rPr>
  </w:style>
  <w:style w:type="paragraph" w:styleId="Heading1">
    <w:name w:val="heading 1"/>
    <w:basedOn w:val="Normal"/>
    <w:next w:val="Normal"/>
    <w:qFormat/>
    <w:pPr>
      <w:spacing w:before="240" w:after="480" w:line="288" w:lineRule="auto"/>
      <w:jc w:val="center"/>
      <w:outlineLvl w:val="0"/>
    </w:pPr>
    <w:rPr>
      <w:b/>
      <w:bCs/>
      <w:sz w:val="32"/>
      <w:szCs w:val="36"/>
      <w:u w:val="single"/>
    </w:rPr>
  </w:style>
  <w:style w:type="paragraph" w:styleId="Heading2">
    <w:name w:val="heading 2"/>
    <w:basedOn w:val="Normal"/>
    <w:next w:val="Normal"/>
    <w:qFormat/>
    <w:pPr>
      <w:spacing w:before="100" w:beforeAutospacing="1" w:after="240" w:line="264" w:lineRule="auto"/>
      <w:jc w:val="center"/>
      <w:outlineLvl w:val="1"/>
    </w:pPr>
    <w:rPr>
      <w:b/>
      <w:bCs/>
      <w:sz w:val="28"/>
      <w:szCs w:val="32"/>
    </w:rPr>
  </w:style>
  <w:style w:type="paragraph" w:styleId="Heading3">
    <w:name w:val="heading 3"/>
    <w:basedOn w:val="Normal"/>
    <w:next w:val="Normal"/>
    <w:qFormat/>
    <w:pPr>
      <w:spacing w:before="100" w:beforeAutospacing="1" w:line="288" w:lineRule="auto"/>
      <w:jc w:val="left"/>
      <w:outlineLvl w:val="2"/>
    </w:pPr>
    <w:rPr>
      <w:b/>
      <w:bCs/>
      <w:szCs w:val="28"/>
      <w:u w:val="single"/>
    </w:rPr>
  </w:style>
  <w:style w:type="paragraph" w:styleId="Heading4">
    <w:name w:val="heading 4"/>
    <w:basedOn w:val="Normal"/>
    <w:next w:val="Normal"/>
    <w:qFormat/>
    <w:pPr>
      <w:spacing w:before="100" w:beforeAutospacing="1" w:line="264" w:lineRule="auto"/>
      <w:jc w:val="left"/>
      <w:outlineLvl w:val="3"/>
    </w:pPr>
    <w:rPr>
      <w:b/>
      <w:bCs/>
      <w:sz w:val="22"/>
      <w:szCs w:val="26"/>
    </w:rPr>
  </w:style>
  <w:style w:type="paragraph" w:styleId="Heading5">
    <w:name w:val="heading 5"/>
    <w:basedOn w:val="Normal"/>
    <w:next w:val="Normal"/>
    <w:qFormat/>
    <w:pPr>
      <w:keepNext/>
      <w:outlineLvl w:val="4"/>
    </w:pPr>
    <w:rPr>
      <w:b/>
      <w:bCs/>
      <w:sz w:val="30"/>
      <w:szCs w:val="28"/>
    </w:rPr>
  </w:style>
  <w:style w:type="paragraph" w:styleId="Heading6">
    <w:name w:val="heading 6"/>
    <w:basedOn w:val="Normal"/>
    <w:next w:val="Normal"/>
    <w:qFormat/>
    <w:pPr>
      <w:keepNext/>
      <w:jc w:val="center"/>
      <w:outlineLvl w:val="5"/>
    </w:pPr>
    <w:rPr>
      <w:b/>
      <w:bCs/>
      <w:sz w:val="34"/>
      <w:szCs w:val="32"/>
    </w:rPr>
  </w:style>
  <w:style w:type="paragraph" w:styleId="Heading7">
    <w:name w:val="heading 7"/>
    <w:basedOn w:val="Normal"/>
    <w:next w:val="Normal"/>
    <w:qFormat/>
    <w:pPr>
      <w:keepNext/>
      <w:outlineLvl w:val="6"/>
    </w:pPr>
    <w:rPr>
      <w:b/>
      <w:bCs/>
      <w:sz w:val="28"/>
      <w:szCs w:val="26"/>
    </w:rPr>
  </w:style>
  <w:style w:type="paragraph" w:styleId="Heading8">
    <w:name w:val="heading 8"/>
    <w:basedOn w:val="Normal"/>
    <w:next w:val="Normal"/>
    <w:qFormat/>
    <w:pPr>
      <w:keepNext/>
      <w:outlineLvl w:val="7"/>
    </w:pPr>
    <w:rPr>
      <w:b/>
      <w:bCs/>
      <w:sz w:val="28"/>
      <w:szCs w:val="26"/>
    </w:rPr>
  </w:style>
  <w:style w:type="paragraph" w:styleId="Heading9">
    <w:name w:val="heading 9"/>
    <w:basedOn w:val="Normal"/>
    <w:next w:val="Normal"/>
    <w:qFormat/>
    <w:pPr>
      <w:keepNext/>
      <w:outlineLvl w:val="8"/>
    </w:pPr>
    <w:rPr>
      <w:b/>
      <w:bCs/>
      <w:sz w:val="28"/>
      <w:szCs w:val="26"/>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customStyle="1" w:styleId="a">
    <w:name w:val="נבנצלים"/>
    <w:basedOn w:val="Normal"/>
    <w:next w:val="Normal"/>
    <w:pPr>
      <w:ind w:left="-567"/>
    </w:pPr>
    <w:rPr>
      <w:szCs w:val="20"/>
    </w:rPr>
  </w:style>
  <w:style w:type="paragraph" w:styleId="BodyText">
    <w:name w:val="Body Text"/>
    <w:basedOn w:val="Normal"/>
    <w:semiHidden/>
  </w:style>
  <w:style w:type="paragraph" w:styleId="BodyText2">
    <w:name w:val="Body Text 2"/>
    <w:basedOn w:val="Normal"/>
    <w:semiHidden/>
    <w:pPr>
      <w:jc w:val="left"/>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FootnoteText">
    <w:name w:val="footnote text"/>
    <w:basedOn w:val="Normal"/>
    <w:link w:val="1"/>
    <w:pPr>
      <w:spacing w:after="0" w:line="200" w:lineRule="exact"/>
    </w:pPr>
    <w:rPr>
      <w:sz w:val="20"/>
      <w:szCs w:val="20"/>
    </w:rPr>
  </w:style>
  <w:style w:type="character" w:styleId="FootnoteReference">
    <w:name w:val="footnote reference"/>
    <w:semiHidden/>
    <w:rPr>
      <w:rFonts w:ascii="FrankRuehl" w:hAnsi="FrankRuehl" w:cs="FrankRuehl"/>
      <w:vertAlign w:val="superscript"/>
    </w:rPr>
  </w:style>
  <w:style w:type="paragraph" w:styleId="EndnoteText">
    <w:name w:val="endnote text"/>
    <w:basedOn w:val="Normal"/>
    <w:semiHidden/>
    <w:rPr>
      <w:szCs w:val="20"/>
    </w:rPr>
  </w:style>
  <w:style w:type="character" w:styleId="EndnoteReference">
    <w:name w:val="endnote reference"/>
    <w:semiHidden/>
    <w:rPr>
      <w:vertAlign w:val="superscript"/>
    </w:rPr>
  </w:style>
  <w:style w:type="paragraph" w:styleId="BodyText3">
    <w:name w:val="Body Text 3"/>
    <w:basedOn w:val="Normal"/>
    <w:semiHidden/>
    <w:pPr>
      <w:widowControl w:val="0"/>
    </w:pPr>
  </w:style>
  <w:style w:type="character" w:customStyle="1" w:styleId="51">
    <w:name w:val="כותרת 51"/>
    <w:rPr>
      <w:rFonts w:ascii="Times New Roman" w:hAnsi="Times New Roman" w:cs="David"/>
      <w:b/>
      <w:bCs/>
      <w:dstrike w:val="0"/>
      <w:color w:val="auto"/>
      <w:spacing w:val="40"/>
      <w:w w:val="100"/>
      <w:position w:val="0"/>
      <w:sz w:val="20"/>
      <w:szCs w:val="24"/>
      <w:u w:val="none"/>
      <w:vertAlign w:val="baseline"/>
    </w:rPr>
  </w:style>
  <w:style w:type="character" w:customStyle="1" w:styleId="61">
    <w:name w:val="כותרת 61"/>
    <w:rPr>
      <w:rFonts w:ascii="Times New Roman" w:hAnsi="Times New Roman" w:cs="David"/>
      <w:color w:val="auto"/>
      <w:spacing w:val="40"/>
      <w:w w:val="100"/>
      <w:position w:val="0"/>
      <w:sz w:val="20"/>
      <w:szCs w:val="24"/>
      <w:u w:val="none"/>
    </w:rPr>
  </w:style>
  <w:style w:type="paragraph" w:customStyle="1" w:styleId="KOT1">
    <w:name w:val="KOT1"/>
    <w:basedOn w:val="Normal"/>
    <w:pPr>
      <w:keepNext/>
      <w:spacing w:after="360" w:line="400" w:lineRule="exact"/>
      <w:jc w:val="center"/>
    </w:pPr>
    <w:rPr>
      <w:rFonts w:cs="David"/>
      <w:b/>
      <w:bCs/>
      <w:sz w:val="36"/>
      <w:szCs w:val="36"/>
      <w:lang w:eastAsia="he-IL"/>
    </w:rPr>
  </w:style>
  <w:style w:type="paragraph" w:customStyle="1" w:styleId="KOT2">
    <w:name w:val="KOT2"/>
    <w:basedOn w:val="Normal"/>
    <w:pPr>
      <w:keepNext/>
      <w:spacing w:after="360" w:line="360" w:lineRule="exact"/>
      <w:jc w:val="center"/>
    </w:pPr>
    <w:rPr>
      <w:rFonts w:cs="David"/>
      <w:b/>
      <w:bCs/>
      <w:sz w:val="32"/>
      <w:szCs w:val="32"/>
      <w:lang w:eastAsia="he-IL"/>
    </w:rPr>
  </w:style>
  <w:style w:type="paragraph" w:customStyle="1" w:styleId="NAME">
    <w:name w:val="NAME"/>
    <w:basedOn w:val="Normal"/>
    <w:pPr>
      <w:pBdr>
        <w:bottom w:val="single" w:sz="4" w:space="6" w:color="auto"/>
      </w:pBdr>
      <w:spacing w:line="312" w:lineRule="auto"/>
      <w:jc w:val="right"/>
      <w:outlineLvl w:val="0"/>
    </w:pPr>
    <w:rPr>
      <w:rFonts w:cs="David"/>
      <w:sz w:val="42"/>
      <w:szCs w:val="42"/>
      <w:lang w:eastAsia="he-IL"/>
    </w:rPr>
  </w:style>
  <w:style w:type="paragraph" w:customStyle="1" w:styleId="PATIAH">
    <w:name w:val="PATIAH"/>
    <w:basedOn w:val="Normal"/>
    <w:pPr>
      <w:spacing w:line="260" w:lineRule="exact"/>
    </w:pPr>
    <w:rPr>
      <w:rFonts w:cs="David"/>
      <w:sz w:val="20"/>
      <w:szCs w:val="24"/>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ind w:left="227" w:right="227"/>
    </w:pPr>
    <w:rPr>
      <w:b/>
      <w:bCs/>
      <w:lang w:eastAsia="he-IL"/>
    </w:rPr>
  </w:style>
  <w:style w:type="paragraph" w:customStyle="1" w:styleId="KOT3A">
    <w:name w:val="KOT3A"/>
    <w:basedOn w:val="Normal"/>
    <w:pPr>
      <w:spacing w:line="360" w:lineRule="exact"/>
      <w:jc w:val="left"/>
    </w:pPr>
    <w:rPr>
      <w:rFonts w:cs="David"/>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styleId="BodyTextIndent">
    <w:name w:val="Body Text Indent"/>
    <w:basedOn w:val="Normal"/>
    <w:semiHidden/>
    <w:pPr>
      <w:spacing w:after="0" w:line="360" w:lineRule="auto"/>
    </w:pPr>
    <w:rPr>
      <w:rFonts w:cs="Times New Roman"/>
      <w:noProof/>
      <w:sz w:val="25"/>
      <w:szCs w:val="25"/>
      <w:lang w:eastAsia="he-IL"/>
    </w:rPr>
  </w:style>
  <w:style w:type="paragraph" w:styleId="PlainText">
    <w:name w:val="Plain Text"/>
    <w:basedOn w:val="Normal"/>
    <w:semiHidden/>
    <w:pPr>
      <w:widowControl w:val="0"/>
      <w:spacing w:after="0" w:line="312" w:lineRule="auto"/>
    </w:pPr>
    <w:rPr>
      <w:rFonts w:ascii="Courier New" w:hAnsi="Courier New" w:cs="Courier New"/>
      <w:sz w:val="20"/>
      <w:szCs w:val="20"/>
      <w:lang w:eastAsia="he-IL"/>
    </w:rPr>
  </w:style>
  <w:style w:type="paragraph" w:styleId="BlockText">
    <w:name w:val="Block Text"/>
    <w:basedOn w:val="Normal"/>
    <w:semiHidden/>
    <w:pPr>
      <w:tabs>
        <w:tab w:val="right" w:leader="dot" w:pos="6237"/>
        <w:tab w:val="left" w:pos="6350"/>
      </w:tabs>
      <w:ind w:left="397" w:right="851"/>
      <w:jc w:val="left"/>
    </w:pPr>
    <w:rPr>
      <w:rFonts w:cs="David"/>
      <w:szCs w:val="24"/>
    </w:rPr>
  </w:style>
  <w:style w:type="paragraph" w:customStyle="1" w:styleId="a0">
    <w:name w:val="תו תו תו תו"/>
    <w:basedOn w:val="Normal"/>
    <w:pPr>
      <w:bidi w:val="0"/>
      <w:spacing w:after="160" w:line="240" w:lineRule="exact"/>
      <w:jc w:val="left"/>
    </w:pPr>
    <w:rPr>
      <w:rFonts w:ascii="Tahoma" w:eastAsia="Batang" w:hAnsi="Tahoma" w:cs="Tahoma"/>
      <w:sz w:val="20"/>
      <w:szCs w:val="20"/>
      <w:lang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a1">
    <w:name w:val="טקסט הערת שוליים תו"/>
    <w:locked/>
    <w:rPr>
      <w:rFonts w:cs="FrankRuehl"/>
    </w:rPr>
  </w:style>
  <w:style w:type="character" w:customStyle="1" w:styleId="1">
    <w:name w:val="טקסט הערת שוליים תו1"/>
    <w:link w:val="FootnoteText"/>
    <w:rsid w:val="00540220"/>
    <w:rPr>
      <w:rFonts w:cs="FrankRueh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webSettings" Target="webSettings.xml"/><Relationship Id="rId12" Type="http://schemas.openxmlformats.org/officeDocument/2006/relationships/footer" Target="footer3.xml"/><Relationship Id="rId7"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footnotes" Target="footnotes.xml"/><Relationship Id="rId11" Type="http://schemas.openxmlformats.org/officeDocument/2006/relationships/header" Target="header3.xml"/><Relationship Id="rId6" Type="http://schemas.openxmlformats.org/officeDocument/2006/relationships/image" Target="media/image1.jpeg"/><Relationship Id="rId15" Type="http://schemas.openxmlformats.org/officeDocument/2006/relationships/styles" Target="styles.xml"/><Relationship Id="rId5" Type="http://schemas.openxmlformats.org/officeDocument/2006/relationships/customXml" Target="../customXml/item1.xml"/><Relationship Id="rId10" Type="http://schemas.openxmlformats.org/officeDocument/2006/relationships/footer" Target="footer2.xml"/><Relationship Id="rId14"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footer" Target="footer1.xml"/></Relationships>
</file>

<file path=word/_rels/settings.xml.rels>&#65279;<?xml version="1.0" encoding="utf-8" standalone="yes"?><Relationships xmlns="http://schemas.openxmlformats.org/package/2006/relationships"><Relationship Id="rId1" Type="http://schemas.openxmlformats.org/officeDocument/2006/relationships/attachedTemplate" Target="file:///F:\Program%20Files\Microsoft2000\Templates\doch51b.dot"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97C914-7167-49CF-BDBA-646409B45F35}">
  <ds:schemaRefs>
    <ds:schemaRef ds:uri="http://schemas.openxmlformats.org/officeDocument/2006/bibliography"/>
  </ds:schemaRefs>
</ds:datastoreItem>
</file>

<file path=customXml/itemProps2.xml><?xml version="1.0" encoding="utf-8"?>
<ds:datastoreItem xmlns:ds="http://schemas.openxmlformats.org/officeDocument/2006/customXml" ds:itemID="{BD1F65EE-716C-41B8-B420-82F0BF05245A}"/>
</file>

<file path=customXml/itemProps3.xml><?xml version="1.0" encoding="utf-8"?>
<ds:datastoreItem xmlns:ds="http://schemas.openxmlformats.org/officeDocument/2006/customXml" ds:itemID="{CF2E6515-2F84-4362-84BB-1ABFD3FDD926}"/>
</file>

<file path=customXml/itemProps4.xml><?xml version="1.0" encoding="utf-8"?>
<ds:datastoreItem xmlns:ds="http://schemas.openxmlformats.org/officeDocument/2006/customXml" ds:itemID="{165A66DD-92A5-4ABF-9C28-1A12FA77AF28}"/>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