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11 -->
  <w:body>
    <w:p w:rsidR="00F56BEB" w:rsidP="00F56BEB">
      <w:pPr>
        <w:pStyle w:val="NAME"/>
        <w:rPr>
          <w:rtl/>
        </w:rPr>
      </w:pPr>
      <w:bookmarkStart w:id="0" w:name="_Toc349122061"/>
      <w:bookmarkStart w:id="1" w:name="_Toc349136480"/>
      <w:bookmarkStart w:id="2" w:name="_Toc352831083"/>
      <w:bookmarkStart w:id="3" w:name="_Toc354324568"/>
      <w:bookmarkStart w:id="4" w:name="_Toc354661923"/>
      <w:r w:rsidRPr="00771B61">
        <w:rPr>
          <w:rFonts w:hint="eastAsia"/>
          <w:rtl/>
        </w:rPr>
        <w:t>המשרד</w:t>
      </w:r>
      <w:r w:rsidRPr="00771B61">
        <w:rPr>
          <w:rtl/>
        </w:rPr>
        <w:t xml:space="preserve"> </w:t>
      </w:r>
      <w:r w:rsidRPr="00771B61">
        <w:rPr>
          <w:rFonts w:hint="eastAsia"/>
          <w:rtl/>
        </w:rPr>
        <w:t>לשירותי</w:t>
      </w:r>
      <w:r w:rsidRPr="00771B61">
        <w:rPr>
          <w:rtl/>
        </w:rPr>
        <w:t xml:space="preserve"> </w:t>
      </w:r>
      <w:r w:rsidRPr="00771B61">
        <w:rPr>
          <w:rFonts w:hint="eastAsia"/>
          <w:rtl/>
        </w:rPr>
        <w:t>דת</w:t>
      </w:r>
    </w:p>
    <w:p w:rsidR="000217C4" w:rsidRPr="00C20745" w:rsidP="00C20745">
      <w:pPr>
        <w:pStyle w:val="name-sub"/>
      </w:pPr>
      <w:r w:rsidRPr="00771B61">
        <w:rPr>
          <w:rFonts w:hint="eastAsia"/>
          <w:rtl/>
        </w:rPr>
        <w:t>הבטחת</w:t>
      </w:r>
      <w:r w:rsidRPr="00771B61">
        <w:rPr>
          <w:rtl/>
        </w:rPr>
        <w:t xml:space="preserve"> </w:t>
      </w:r>
      <w:r w:rsidRPr="00771B61">
        <w:rPr>
          <w:rFonts w:hint="eastAsia"/>
          <w:rtl/>
        </w:rPr>
        <w:t>זכות</w:t>
      </w:r>
      <w:r w:rsidRPr="00771B61">
        <w:rPr>
          <w:rtl/>
        </w:rPr>
        <w:t xml:space="preserve"> </w:t>
      </w:r>
      <w:r w:rsidRPr="00771B61">
        <w:rPr>
          <w:rFonts w:hint="eastAsia"/>
          <w:rtl/>
        </w:rPr>
        <w:t>אזרחי</w:t>
      </w:r>
      <w:r w:rsidRPr="00771B61">
        <w:rPr>
          <w:rtl/>
        </w:rPr>
        <w:t xml:space="preserve"> </w:t>
      </w:r>
      <w:r w:rsidRPr="00771B61">
        <w:rPr>
          <w:rFonts w:hint="eastAsia"/>
          <w:rtl/>
        </w:rPr>
        <w:t>המדינה</w:t>
      </w:r>
      <w:r w:rsidRPr="00771B61">
        <w:rPr>
          <w:rtl/>
        </w:rPr>
        <w:t xml:space="preserve"> </w:t>
      </w:r>
      <w:r w:rsidRPr="00771B61">
        <w:rPr>
          <w:rFonts w:hint="eastAsia"/>
          <w:rtl/>
        </w:rPr>
        <w:t>לקבורה</w:t>
      </w:r>
      <w:r w:rsidRPr="00771B61">
        <w:rPr>
          <w:rtl/>
        </w:rPr>
        <w:t xml:space="preserve"> </w:t>
      </w:r>
      <w:r w:rsidRPr="00771B61">
        <w:rPr>
          <w:rFonts w:hint="eastAsia"/>
          <w:rtl/>
        </w:rPr>
        <w:t>אזרחית</w:t>
      </w:r>
    </w:p>
    <w:p w:rsidR="00E077B7" w:rsidRPr="0010599F" w:rsidP="0010599F">
      <w:pPr>
        <w:spacing w:line="240" w:lineRule="exact"/>
        <w:ind w:right="2268"/>
        <w:jc w:val="both"/>
        <w:rPr>
          <w:rFonts w:ascii="Tahoma" w:hAnsi="Tahoma" w:cs="Tahoma"/>
          <w:sz w:val="17"/>
          <w:szCs w:val="17"/>
          <w:rtl/>
        </w:rPr>
      </w:pPr>
    </w:p>
    <w:p w:rsidR="006C5F46" w:rsidRPr="00E077B7" w:rsidP="00E077B7">
      <w:pPr>
        <w:pStyle w:val="NAME"/>
        <w:rPr>
          <w:rtl/>
        </w:rPr>
        <w:sectPr w:rsidSect="00327F3F">
          <w:headerReference w:type="even" r:id="rId6"/>
          <w:headerReference w:type="default" r:id="rId7"/>
          <w:pgSz w:w="11906" w:h="16838" w:code="9"/>
          <w:pgMar w:top="3119" w:right="1701" w:bottom="3119" w:left="1701" w:header="1559" w:footer="709" w:gutter="0"/>
          <w:pgNumType w:start="789"/>
          <w:cols w:space="708"/>
          <w:titlePg/>
          <w:bidi/>
          <w:rtlGutter/>
          <w:docGrid w:linePitch="360"/>
        </w:sectPr>
      </w:pPr>
    </w:p>
    <w:p w:rsidR="006C5F46" w:rsidRPr="00CF3645" w:rsidP="006C5F46">
      <w:pPr>
        <w:pStyle w:val="Footer"/>
        <w:spacing w:after="120" w:line="230" w:lineRule="exact"/>
        <w:jc w:val="both"/>
        <w:rPr>
          <w:rFonts w:ascii="Tahoma" w:hAnsi="Tahoma" w:cs="Tahoma"/>
          <w:color w:val="2A2AA6"/>
          <w:szCs w:val="22"/>
          <w:rtl/>
        </w:rPr>
      </w:pPr>
    </w:p>
    <w:p w:rsidR="006C5F46" w:rsidP="00E7492C">
      <w:pPr>
        <w:pStyle w:val="KOT4"/>
        <w:rPr>
          <w:rtl/>
        </w:rPr>
        <w:sectPr w:rsidSect="00C20745">
          <w:pgSz w:w="11906" w:h="16838" w:code="9"/>
          <w:pgMar w:top="3119" w:right="1701" w:bottom="3119" w:left="1701" w:header="1559" w:footer="709" w:gutter="0"/>
          <w:cols w:space="708"/>
          <w:titlePg/>
          <w:bidi/>
          <w:rtlGutter/>
          <w:docGrid w:linePitch="360"/>
        </w:sectPr>
      </w:pPr>
    </w:p>
    <w:p w:rsidR="003D09D3" w:rsidRPr="00D94BA9" w:rsidP="005F620B">
      <w:pPr>
        <w:pStyle w:val="KOT3T"/>
        <w:keepLines/>
        <w:rPr>
          <w:rtl/>
        </w:rPr>
      </w:pPr>
      <w:r w:rsidRPr="00D94BA9">
        <w:rPr>
          <w:rtl/>
        </w:rPr>
        <w:t>תקציר</w:t>
      </w:r>
    </w:p>
    <w:p w:rsidR="00F43467" w:rsidRPr="003D09D3" w:rsidP="00F43467">
      <w:pPr>
        <w:pStyle w:val="KOT4T"/>
        <w:rPr>
          <w:rtl/>
        </w:rPr>
      </w:pPr>
      <w:r w:rsidRPr="00B12E08">
        <w:rPr>
          <w:rFonts w:hint="eastAsia"/>
          <w:rtl/>
        </w:rPr>
        <w:t>רקע</w:t>
      </w:r>
      <w:r w:rsidRPr="00B12E08">
        <w:rPr>
          <w:rtl/>
        </w:rPr>
        <w:t xml:space="preserve"> </w:t>
      </w:r>
      <w:r w:rsidRPr="00B12E08">
        <w:rPr>
          <w:rFonts w:hint="eastAsia"/>
          <w:rtl/>
        </w:rPr>
        <w:t>כללי</w:t>
      </w:r>
    </w:p>
    <w:p w:rsidR="00F43467" w:rsidRPr="00897F3D" w:rsidP="00921671">
      <w:pPr>
        <w:pStyle w:val="takzir-text"/>
        <w:bidi/>
        <w:rPr>
          <w:rtl/>
        </w:rPr>
      </w:pPr>
      <w:r w:rsidRPr="00897F3D">
        <w:rPr>
          <w:rtl/>
        </w:rPr>
        <w:t xml:space="preserve">במשך שנים רבות נקברו נפטרים בישראל אך ורק בבתי עלמין דתיים, כל אחד על פי דתו ואמונתו. קבורתם של חסרי עדה דתית מוכרת או של מי שדתו הייתה שנויה במחלוקת </w:t>
      </w:r>
      <w:r w:rsidRPr="00897F3D">
        <w:rPr>
          <w:rFonts w:hint="cs"/>
          <w:rtl/>
        </w:rPr>
        <w:t>בוצעה</w:t>
      </w:r>
      <w:r w:rsidRPr="00897F3D">
        <w:rPr>
          <w:rtl/>
        </w:rPr>
        <w:t xml:space="preserve"> לפי הסדרים מקומיים עם חברות הקבורה. נפטרים יהודים נקברו בבתי עלמין שפעלו על פי מנהגי היהדות האורתודוכסית, בהתאם לחוק שירותי הדת היהודיים [נוסח משולב], התשל"א</w:t>
      </w:r>
      <w:r w:rsidRPr="00897F3D">
        <w:rPr>
          <w:rFonts w:hint="cs"/>
          <w:rtl/>
        </w:rPr>
        <w:t>-</w:t>
      </w:r>
      <w:r w:rsidRPr="00897F3D">
        <w:rPr>
          <w:rtl/>
        </w:rPr>
        <w:t>1971 (להלן - חוק שירותי הדת)</w:t>
      </w:r>
      <w:r w:rsidRPr="00897F3D">
        <w:rPr>
          <w:rFonts w:hint="cs"/>
          <w:rtl/>
        </w:rPr>
        <w:t>,</w:t>
      </w:r>
      <w:r w:rsidRPr="00897F3D">
        <w:rPr>
          <w:rtl/>
        </w:rPr>
        <w:t xml:space="preserve"> ו</w:t>
      </w:r>
      <w:r>
        <w:rPr>
          <w:rFonts w:hint="cs"/>
          <w:rtl/>
        </w:rPr>
        <w:t>ל</w:t>
      </w:r>
      <w:r w:rsidRPr="00897F3D">
        <w:rPr>
          <w:rtl/>
        </w:rPr>
        <w:t xml:space="preserve">תקנותיו. קבורת נפטרים בבתי קברות הפועלים על פי מנהגים אלה עוררה </w:t>
      </w:r>
      <w:r w:rsidRPr="00897F3D">
        <w:rPr>
          <w:rFonts w:hint="cs"/>
          <w:rtl/>
        </w:rPr>
        <w:t xml:space="preserve">לעתים </w:t>
      </w:r>
      <w:r w:rsidRPr="00897F3D">
        <w:rPr>
          <w:rtl/>
        </w:rPr>
        <w:t xml:space="preserve">מחלוקות שונות, כאשר בני משפחתם של הנפטרים ביקשו לסטות מהם, מאחר שראו בכך פגיעה </w:t>
      </w:r>
      <w:r>
        <w:rPr>
          <w:rFonts w:hint="cs"/>
          <w:rtl/>
        </w:rPr>
        <w:t>בחופש הדת ו</w:t>
      </w:r>
      <w:r w:rsidRPr="00897F3D">
        <w:rPr>
          <w:rtl/>
        </w:rPr>
        <w:t xml:space="preserve">בחופש מדת. על פי חוק שירותי הדת, האחריות לקבורת יהודים </w:t>
      </w:r>
      <w:r>
        <w:rPr>
          <w:rFonts w:hint="cs"/>
          <w:rtl/>
        </w:rPr>
        <w:t>מוטלת על ה</w:t>
      </w:r>
      <w:r w:rsidRPr="00897F3D">
        <w:rPr>
          <w:rtl/>
        </w:rPr>
        <w:t>משרד לשירותי דת. קבורת בני עדות ודתות אחרות אינה מוסדרת בחוק</w:t>
      </w:r>
      <w:r>
        <w:rPr>
          <w:rFonts w:hint="cs"/>
          <w:rtl/>
        </w:rPr>
        <w:t>,</w:t>
      </w:r>
      <w:r w:rsidRPr="00897F3D">
        <w:rPr>
          <w:rtl/>
        </w:rPr>
        <w:t xml:space="preserve"> והאחריות </w:t>
      </w:r>
      <w:r>
        <w:rPr>
          <w:rFonts w:hint="cs"/>
          <w:rtl/>
        </w:rPr>
        <w:t>לקבורתם היא בידי</w:t>
      </w:r>
      <w:r w:rsidRPr="00897F3D">
        <w:rPr>
          <w:rtl/>
        </w:rPr>
        <w:t xml:space="preserve"> משרד הפנים.</w:t>
      </w:r>
    </w:p>
    <w:p w:rsidR="00F43467" w:rsidRPr="00897F3D" w:rsidP="00F43467">
      <w:pPr>
        <w:pStyle w:val="takzir-text"/>
        <w:bidi/>
        <w:rPr>
          <w:rtl/>
        </w:rPr>
      </w:pPr>
      <w:r w:rsidRPr="00897F3D">
        <w:rPr>
          <w:rtl/>
        </w:rPr>
        <w:t xml:space="preserve">בשנת 1996 </w:t>
      </w:r>
      <w:r>
        <w:rPr>
          <w:rFonts w:hint="cs"/>
          <w:rtl/>
        </w:rPr>
        <w:t>נחקק</w:t>
      </w:r>
      <w:r w:rsidRPr="00897F3D">
        <w:rPr>
          <w:rtl/>
        </w:rPr>
        <w:t xml:space="preserve"> חוק הזכות לקבורה אזרחית חלופית, התשנ"ו-1996 (להלן - חוק הקבורה האזרחית או החוק), הקובע </w:t>
      </w:r>
      <w:r w:rsidRPr="00897F3D">
        <w:rPr>
          <w:rFonts w:hint="cs"/>
          <w:rtl/>
        </w:rPr>
        <w:t>כי</w:t>
      </w:r>
      <w:r w:rsidRPr="00897F3D">
        <w:rPr>
          <w:rtl/>
        </w:rPr>
        <w:t xml:space="preserve"> כל אדם </w:t>
      </w:r>
      <w:r w:rsidRPr="00897F3D">
        <w:rPr>
          <w:rFonts w:hint="cs"/>
          <w:rtl/>
        </w:rPr>
        <w:t xml:space="preserve">זכאי </w:t>
      </w:r>
      <w:r w:rsidRPr="00897F3D">
        <w:rPr>
          <w:rtl/>
        </w:rPr>
        <w:t xml:space="preserve">להיקבר בבית עלמין אזרחי חלופי בדרך מכובדת </w:t>
      </w:r>
      <w:r w:rsidRPr="00897F3D">
        <w:rPr>
          <w:rFonts w:hint="cs"/>
          <w:rtl/>
        </w:rPr>
        <w:t>ו</w:t>
      </w:r>
      <w:r w:rsidRPr="00897F3D">
        <w:rPr>
          <w:rtl/>
        </w:rPr>
        <w:t>באופן התואם את השקפת עולמו. החוק קובע</w:t>
      </w:r>
      <w:r w:rsidRPr="00897F3D">
        <w:rPr>
          <w:rFonts w:eastAsia="Times New Roman" w:hint="cs"/>
          <w:sz w:val="24"/>
          <w:rtl/>
          <w:lang w:eastAsia="he-IL"/>
        </w:rPr>
        <w:t xml:space="preserve"> </w:t>
      </w:r>
      <w:r w:rsidRPr="00897F3D">
        <w:rPr>
          <w:rtl/>
        </w:rPr>
        <w:t xml:space="preserve">כי: "אדם זכאי להיקבר על פי השקפתו בבית עלמין אזרחי חלופי אם בחר בכך; הבחירה יכול שתהיה בצוואה או בכל דרך אחרת". החוק מאפשר קבורה </w:t>
      </w:r>
      <w:r>
        <w:rPr>
          <w:rFonts w:hint="cs"/>
          <w:rtl/>
        </w:rPr>
        <w:t xml:space="preserve">אזרחית של </w:t>
      </w:r>
      <w:r w:rsidRPr="00897F3D">
        <w:rPr>
          <w:rtl/>
        </w:rPr>
        <w:t xml:space="preserve">יהודים, </w:t>
      </w:r>
      <w:r>
        <w:rPr>
          <w:rFonts w:hint="cs"/>
          <w:rtl/>
        </w:rPr>
        <w:t xml:space="preserve">של </w:t>
      </w:r>
      <w:r w:rsidRPr="00897F3D">
        <w:rPr>
          <w:rtl/>
        </w:rPr>
        <w:t>בני עדה דתית מוכרת אחרת</w:t>
      </w:r>
      <w:r>
        <w:rPr>
          <w:rFonts w:hint="cs"/>
          <w:rtl/>
        </w:rPr>
        <w:t xml:space="preserve">, של </w:t>
      </w:r>
      <w:r w:rsidRPr="00897F3D">
        <w:rPr>
          <w:rtl/>
        </w:rPr>
        <w:t>חסרי עדה דתית מוכרת</w:t>
      </w:r>
      <w:r>
        <w:rPr>
          <w:rFonts w:hint="cs"/>
          <w:rtl/>
        </w:rPr>
        <w:t xml:space="preserve"> וכן</w:t>
      </w:r>
      <w:r w:rsidRPr="00897F3D">
        <w:rPr>
          <w:rtl/>
        </w:rPr>
        <w:t xml:space="preserve"> </w:t>
      </w:r>
      <w:r>
        <w:rPr>
          <w:rFonts w:hint="cs"/>
          <w:rtl/>
        </w:rPr>
        <w:t xml:space="preserve">של </w:t>
      </w:r>
      <w:r w:rsidRPr="00897F3D">
        <w:rPr>
          <w:rtl/>
        </w:rPr>
        <w:t xml:space="preserve">מי </w:t>
      </w:r>
      <w:r w:rsidRPr="00FC3BA9">
        <w:rPr>
          <w:spacing w:val="-2"/>
          <w:rtl/>
        </w:rPr>
        <w:t>שדת</w:t>
      </w:r>
      <w:r w:rsidRPr="00FC3BA9">
        <w:rPr>
          <w:rFonts w:hint="cs"/>
          <w:spacing w:val="-2"/>
          <w:rtl/>
        </w:rPr>
        <w:t>ם</w:t>
      </w:r>
      <w:r w:rsidRPr="00FC3BA9">
        <w:rPr>
          <w:spacing w:val="-2"/>
          <w:rtl/>
        </w:rPr>
        <w:t xml:space="preserve"> שנויה במחלוקת</w:t>
      </w:r>
      <w:r>
        <w:rPr>
          <w:rStyle w:val="FootnoteReference0"/>
          <w:rFonts w:eastAsia="Times New Roman"/>
          <w:spacing w:val="-2"/>
          <w:rtl/>
          <w:lang w:eastAsia="he-IL"/>
        </w:rPr>
        <w:footnoteReference w:id="2"/>
      </w:r>
      <w:r w:rsidRPr="00FC3BA9">
        <w:rPr>
          <w:rFonts w:hint="cs"/>
          <w:spacing w:val="-2"/>
          <w:rtl/>
        </w:rPr>
        <w:t>,</w:t>
      </w:r>
      <w:r w:rsidRPr="00FC3BA9">
        <w:rPr>
          <w:spacing w:val="-2"/>
          <w:rtl/>
        </w:rPr>
        <w:t xml:space="preserve"> </w:t>
      </w:r>
      <w:r w:rsidRPr="00FC3BA9">
        <w:rPr>
          <w:rFonts w:hint="cs"/>
          <w:spacing w:val="-2"/>
          <w:rtl/>
        </w:rPr>
        <w:t>שתבוצע</w:t>
      </w:r>
      <w:r w:rsidRPr="00FC3BA9">
        <w:rPr>
          <w:spacing w:val="-2"/>
          <w:rtl/>
        </w:rPr>
        <w:t xml:space="preserve"> </w:t>
      </w:r>
      <w:r w:rsidRPr="00FC3BA9">
        <w:rPr>
          <w:rFonts w:hint="cs"/>
          <w:spacing w:val="-2"/>
          <w:rtl/>
        </w:rPr>
        <w:t>על פי</w:t>
      </w:r>
      <w:r w:rsidRPr="00FC3BA9">
        <w:rPr>
          <w:spacing w:val="-2"/>
          <w:rtl/>
        </w:rPr>
        <w:t xml:space="preserve"> השקפת עולמם (להלן - קבורה אזרחית).</w:t>
      </w:r>
      <w:r w:rsidRPr="00897F3D">
        <w:rPr>
          <w:rtl/>
        </w:rPr>
        <w:t xml:space="preserve"> לפי חוק הקבורה האזרחית, האחריות לקבורה האזרחית הוטלה על השר לשירותי דת, לרבות האחריות </w:t>
      </w:r>
      <w:r w:rsidRPr="00897F3D">
        <w:rPr>
          <w:rFonts w:hint="cs"/>
          <w:rtl/>
        </w:rPr>
        <w:t>לקביעת</w:t>
      </w:r>
      <w:r w:rsidRPr="00897F3D">
        <w:rPr>
          <w:rtl/>
        </w:rPr>
        <w:t xml:space="preserve"> מקומם של בתי העלמין האזרחיים ולמתן רישיון לתאגידי קבורה שינהלו את בתי העלמין לקבורה אזרחית, ו</w:t>
      </w:r>
      <w:r w:rsidRPr="00897F3D">
        <w:rPr>
          <w:rFonts w:hint="cs"/>
          <w:rtl/>
        </w:rPr>
        <w:t xml:space="preserve">כן האחריות </w:t>
      </w:r>
      <w:r w:rsidRPr="00897F3D">
        <w:rPr>
          <w:rtl/>
        </w:rPr>
        <w:t>לקביעת נוהלי הקבורה בהם.</w:t>
      </w:r>
    </w:p>
    <w:p w:rsidR="00F43467" w:rsidRPr="00492C38" w:rsidP="00F43467">
      <w:pPr>
        <w:pStyle w:val="takzir"/>
        <w:rPr>
          <w:rFonts w:ascii="Tahoma" w:hAnsi="Tahoma" w:cs="Tahoma"/>
          <w:noProof w:val="0"/>
          <w:sz w:val="28"/>
          <w:rtl/>
        </w:rPr>
      </w:pPr>
    </w:p>
    <w:p w:rsidR="006C5F46" w:rsidRPr="003D09D3" w:rsidP="00E7492C">
      <w:pPr>
        <w:pStyle w:val="KOT4T"/>
        <w:rPr>
          <w:rtl/>
        </w:rPr>
      </w:pPr>
      <w:r w:rsidRPr="00B12E08">
        <w:rPr>
          <w:rFonts w:hint="eastAsia"/>
          <w:rtl/>
        </w:rPr>
        <w:t>פעולות</w:t>
      </w:r>
      <w:r w:rsidRPr="00B12E08">
        <w:rPr>
          <w:rtl/>
        </w:rPr>
        <w:t xml:space="preserve"> </w:t>
      </w:r>
      <w:r w:rsidRPr="00B12E08">
        <w:rPr>
          <w:rFonts w:hint="eastAsia"/>
          <w:rtl/>
        </w:rPr>
        <w:t>הביקורת</w:t>
      </w:r>
    </w:p>
    <w:p w:rsidR="00F43467" w:rsidRPr="00897F3D" w:rsidP="003C2C06">
      <w:pPr>
        <w:pStyle w:val="takzir-text"/>
        <w:bidi/>
        <w:rPr>
          <w:rtl/>
        </w:rPr>
      </w:pPr>
      <w:r w:rsidRPr="00897F3D">
        <w:rPr>
          <w:rtl/>
        </w:rPr>
        <w:t xml:space="preserve">בחודשים מרץ עד אוקטובר 2016 בדק משרד מבקר המדינה את פעולותיהם של משרדי הממשלה </w:t>
      </w:r>
      <w:r>
        <w:rPr>
          <w:rFonts w:hint="cs"/>
          <w:rtl/>
        </w:rPr>
        <w:t xml:space="preserve">בתחום הקבורה האזרחית </w:t>
      </w:r>
      <w:r w:rsidRPr="00897F3D">
        <w:rPr>
          <w:rtl/>
        </w:rPr>
        <w:t>ושל רשויות נוספות הנוגע</w:t>
      </w:r>
      <w:r>
        <w:rPr>
          <w:rFonts w:hint="cs"/>
          <w:rtl/>
        </w:rPr>
        <w:t>ות</w:t>
      </w:r>
      <w:r w:rsidRPr="00897F3D">
        <w:rPr>
          <w:rtl/>
        </w:rPr>
        <w:t xml:space="preserve"> בדבר. הבדיקות נעשו במשרד לשירותי דת, ברשות מקרקעי ישראל (להלן - </w:t>
      </w:r>
      <w:r w:rsidRPr="00897F3D">
        <w:rPr>
          <w:rtl/>
        </w:rPr>
        <w:t>רמ"י</w:t>
      </w:r>
      <w:r w:rsidRPr="00897F3D">
        <w:rPr>
          <w:rtl/>
        </w:rPr>
        <w:t xml:space="preserve">), במוסד לביטוח לאומי, במשרד הפנים </w:t>
      </w:r>
      <w:r w:rsidRPr="00897F3D">
        <w:rPr>
          <w:rtl/>
        </w:rPr>
        <w:t>ובמינהל</w:t>
      </w:r>
      <w:r w:rsidRPr="00897F3D">
        <w:rPr>
          <w:rtl/>
        </w:rPr>
        <w:t xml:space="preserve"> התכנון. בדיקות השלמה נע</w:t>
      </w:r>
      <w:r w:rsidRPr="00897F3D">
        <w:rPr>
          <w:rFonts w:hint="cs"/>
          <w:rtl/>
        </w:rPr>
        <w:t>ש</w:t>
      </w:r>
      <w:r w:rsidRPr="00897F3D">
        <w:rPr>
          <w:rtl/>
        </w:rPr>
        <w:t xml:space="preserve">ו במשרד המשפטים, במשרד האוצר, במשרד הביטחון, בצה"ל, במועצת בתי </w:t>
      </w:r>
      <w:r w:rsidRPr="00897F3D">
        <w:rPr>
          <w:rFonts w:hint="cs"/>
          <w:rtl/>
        </w:rPr>
        <w:t>ה</w:t>
      </w:r>
      <w:r w:rsidRPr="00897F3D">
        <w:rPr>
          <w:rtl/>
        </w:rPr>
        <w:t>עלמין ברקת וב</w:t>
      </w:r>
      <w:r w:rsidRPr="00897F3D">
        <w:rPr>
          <w:rFonts w:hint="cs"/>
          <w:rtl/>
        </w:rPr>
        <w:t>וועדה</w:t>
      </w:r>
      <w:r w:rsidRPr="00897F3D">
        <w:rPr>
          <w:rtl/>
        </w:rPr>
        <w:t xml:space="preserve"> המקומית </w:t>
      </w:r>
      <w:r w:rsidRPr="00897F3D">
        <w:rPr>
          <w:rFonts w:hint="cs"/>
          <w:rtl/>
        </w:rPr>
        <w:t xml:space="preserve">לתכנון ובנייה </w:t>
      </w:r>
      <w:r w:rsidRPr="00897F3D">
        <w:rPr>
          <w:rtl/>
        </w:rPr>
        <w:t>חבל מודיעין. כמו כן נפגשו נציגי משרד מבקר המדינה עם נציגי חברות קדישא</w:t>
      </w:r>
      <w:r>
        <w:rPr>
          <w:rFonts w:hint="cs"/>
          <w:rtl/>
        </w:rPr>
        <w:t xml:space="preserve"> ותאגידי קבורה</w:t>
      </w:r>
      <w:r w:rsidRPr="00897F3D">
        <w:rPr>
          <w:rtl/>
        </w:rPr>
        <w:t>.</w:t>
      </w:r>
    </w:p>
    <w:p w:rsidR="00384065" w:rsidRPr="00132FFC" w:rsidP="00E7492C">
      <w:pPr>
        <w:pStyle w:val="KOT4T"/>
        <w:rPr>
          <w:rtl/>
        </w:rPr>
      </w:pPr>
      <w:r w:rsidRPr="00132FFC">
        <w:rPr>
          <w:rtl/>
        </w:rPr>
        <w:t>הליקויים העיקריים</w:t>
      </w:r>
    </w:p>
    <w:p w:rsidR="00F43467" w:rsidRPr="00F43467" w:rsidP="00F43467">
      <w:pPr>
        <w:pStyle w:val="KOT5T"/>
        <w:rPr>
          <w:rtl/>
        </w:rPr>
      </w:pPr>
      <w:r w:rsidRPr="00F43467">
        <w:rPr>
          <w:rFonts w:hint="cs"/>
          <w:rtl/>
        </w:rPr>
        <w:t>אי-הכרזה על</w:t>
      </w:r>
      <w:r w:rsidRPr="00F43467">
        <w:rPr>
          <w:rtl/>
        </w:rPr>
        <w:t xml:space="preserve"> בתי עלמין אזרחיים</w:t>
      </w:r>
    </w:p>
    <w:p w:rsidR="00F43467" w:rsidRPr="00897F3D" w:rsidP="00F43467">
      <w:pPr>
        <w:pStyle w:val="takzir-text"/>
        <w:bidi/>
        <w:rPr>
          <w:rtl/>
        </w:rPr>
      </w:pPr>
      <w:r w:rsidRPr="00897F3D">
        <w:rPr>
          <w:rtl/>
        </w:rPr>
        <w:t>אף שחוק הקבורה האזרחית מטיל על השר לשירותי דת לקבוע מקומות שיועדו לשמש כבתי עלמין אזרחיים באזורי הארץ השונים</w:t>
      </w:r>
      <w:r w:rsidRPr="00897F3D">
        <w:rPr>
          <w:rFonts w:hint="cs"/>
          <w:rtl/>
        </w:rPr>
        <w:t>,</w:t>
      </w:r>
      <w:r w:rsidRPr="00897F3D">
        <w:rPr>
          <w:rtl/>
        </w:rPr>
        <w:t xml:space="preserve"> </w:t>
      </w:r>
      <w:r w:rsidRPr="00897F3D">
        <w:rPr>
          <w:rFonts w:hint="cs"/>
          <w:rtl/>
        </w:rPr>
        <w:t>ו</w:t>
      </w:r>
      <w:r w:rsidRPr="00897F3D">
        <w:rPr>
          <w:rtl/>
        </w:rPr>
        <w:t xml:space="preserve">אף שתקנות הקבורה האזרחית קובעות במפורש כי על בית עלמין אזרחי להימצא "במקום שהכריז עליו השר בצו", הועלה כי </w:t>
      </w:r>
      <w:r w:rsidRPr="00897F3D">
        <w:rPr>
          <w:rFonts w:hint="cs"/>
          <w:rtl/>
        </w:rPr>
        <w:t>ב</w:t>
      </w:r>
      <w:r w:rsidRPr="00897F3D">
        <w:rPr>
          <w:rtl/>
        </w:rPr>
        <w:t xml:space="preserve">מועד סיום הביקורת </w:t>
      </w:r>
      <w:r w:rsidRPr="00897F3D">
        <w:rPr>
          <w:rFonts w:hint="cs"/>
          <w:rtl/>
        </w:rPr>
        <w:t>-</w:t>
      </w:r>
      <w:r w:rsidRPr="00897F3D">
        <w:rPr>
          <w:rtl/>
        </w:rPr>
        <w:t xml:space="preserve"> </w:t>
      </w:r>
      <w:r>
        <w:rPr>
          <w:rFonts w:hint="cs"/>
          <w:rtl/>
        </w:rPr>
        <w:t>עשרים</w:t>
      </w:r>
      <w:r w:rsidRPr="00897F3D">
        <w:rPr>
          <w:rtl/>
        </w:rPr>
        <w:t xml:space="preserve"> שנה לאחר חקיקת החוק</w:t>
      </w:r>
      <w:r w:rsidRPr="00897F3D">
        <w:rPr>
          <w:rFonts w:hint="cs"/>
          <w:rtl/>
        </w:rPr>
        <w:t xml:space="preserve"> -</w:t>
      </w:r>
      <w:r w:rsidRPr="00897F3D">
        <w:rPr>
          <w:rtl/>
        </w:rPr>
        <w:t xml:space="preserve"> אף לא אחד מהשרים לשירותי דת שכיהנו בתקופה ארוכה זו ה</w:t>
      </w:r>
      <w:r>
        <w:rPr>
          <w:rFonts w:hint="cs"/>
          <w:rtl/>
        </w:rPr>
        <w:t>כריז</w:t>
      </w:r>
      <w:r w:rsidRPr="00897F3D">
        <w:rPr>
          <w:rtl/>
        </w:rPr>
        <w:t xml:space="preserve"> על אתר </w:t>
      </w:r>
      <w:r w:rsidRPr="00897F3D">
        <w:rPr>
          <w:rFonts w:hint="cs"/>
          <w:rtl/>
        </w:rPr>
        <w:t>ב</w:t>
      </w:r>
      <w:r w:rsidRPr="00897F3D">
        <w:rPr>
          <w:rtl/>
        </w:rPr>
        <w:t>ארץ כמיועד ל</w:t>
      </w:r>
      <w:r w:rsidRPr="00897F3D">
        <w:rPr>
          <w:rFonts w:hint="cs"/>
          <w:rtl/>
        </w:rPr>
        <w:t xml:space="preserve">הקמת </w:t>
      </w:r>
      <w:r w:rsidRPr="00897F3D">
        <w:rPr>
          <w:rtl/>
        </w:rPr>
        <w:t xml:space="preserve">בית עלמין לקבורה אזרחית. עם זאת, המשרד לשירותי דת העניק ל-21 תאגידי קבורה רישיונות לקבורה אזרחית באתרי קבורה שלא הוכרזו. </w:t>
      </w:r>
      <w:r w:rsidRPr="00897F3D">
        <w:rPr>
          <w:rFonts w:hint="cs"/>
          <w:rtl/>
        </w:rPr>
        <w:t xml:space="preserve">דהיינו, אף </w:t>
      </w:r>
      <w:r w:rsidRPr="00897F3D">
        <w:rPr>
          <w:rtl/>
        </w:rPr>
        <w:t>שהפעלת בתי עלמין אזרחיים מוסדרת ברישיון</w:t>
      </w:r>
      <w:r w:rsidRPr="00897F3D">
        <w:rPr>
          <w:rFonts w:hint="cs"/>
          <w:rtl/>
        </w:rPr>
        <w:t>,</w:t>
      </w:r>
      <w:r w:rsidRPr="00897F3D">
        <w:rPr>
          <w:rtl/>
        </w:rPr>
        <w:t xml:space="preserve"> הקבורה מתבצעת בפועל באתרים </w:t>
      </w:r>
      <w:r w:rsidRPr="00897F3D">
        <w:rPr>
          <w:rFonts w:hint="cs"/>
          <w:rtl/>
        </w:rPr>
        <w:t>ש</w:t>
      </w:r>
      <w:r w:rsidRPr="00897F3D">
        <w:rPr>
          <w:rtl/>
        </w:rPr>
        <w:t xml:space="preserve">השר </w:t>
      </w:r>
      <w:r w:rsidRPr="005A28E7">
        <w:rPr>
          <w:rFonts w:hint="cs"/>
          <w:rtl/>
        </w:rPr>
        <w:t>לא הכריז כי הם מיועדים לכך. פעילות זו אינה מתיישבת עם הוראות החוק ואינה</w:t>
      </w:r>
      <w:r w:rsidRPr="005A28E7">
        <w:rPr>
          <w:rtl/>
        </w:rPr>
        <w:t xml:space="preserve"> </w:t>
      </w:r>
      <w:r w:rsidRPr="005A28E7">
        <w:rPr>
          <w:rFonts w:hint="cs"/>
          <w:rtl/>
        </w:rPr>
        <w:t xml:space="preserve">תקינה מהבחינה </w:t>
      </w:r>
      <w:r w:rsidRPr="005A28E7">
        <w:rPr>
          <w:rFonts w:hint="cs"/>
          <w:rtl/>
        </w:rPr>
        <w:t>המינהלית</w:t>
      </w:r>
      <w:r w:rsidRPr="005A28E7">
        <w:rPr>
          <w:rFonts w:hint="cs"/>
          <w:rtl/>
        </w:rPr>
        <w:t>.</w:t>
      </w:r>
    </w:p>
    <w:p w:rsidR="00F43467" w:rsidRPr="00F43467" w:rsidP="00F43467">
      <w:pPr>
        <w:pStyle w:val="takzir"/>
        <w:rPr>
          <w:rFonts w:ascii="Tahoma" w:hAnsi="Tahoma" w:cs="Tahoma"/>
          <w:b w:val="0"/>
          <w:bCs w:val="0"/>
          <w:noProof w:val="0"/>
          <w:sz w:val="28"/>
          <w:rtl/>
        </w:rPr>
      </w:pPr>
    </w:p>
    <w:p w:rsidR="00F43467" w:rsidRPr="00F43467" w:rsidP="00F43467">
      <w:pPr>
        <w:pStyle w:val="KOT5T"/>
        <w:rPr>
          <w:rtl/>
        </w:rPr>
      </w:pPr>
      <w:r w:rsidRPr="00F43467">
        <w:rPr>
          <w:rtl/>
        </w:rPr>
        <w:t xml:space="preserve">המדיניות הממשלתית בנושא ואופן יישומה </w:t>
      </w:r>
    </w:p>
    <w:p w:rsidR="00F43467" w:rsidRPr="00897F3D" w:rsidP="00F43467">
      <w:pPr>
        <w:pStyle w:val="takzir-text"/>
        <w:bidi/>
        <w:rPr>
          <w:rtl/>
        </w:rPr>
      </w:pPr>
      <w:r w:rsidRPr="00897F3D">
        <w:rPr>
          <w:rtl/>
        </w:rPr>
        <w:t>מכלול החלטות שקיבלו ממשלות ישראל בתחום הקבורה האזרחית נועדו לקדם את מדיניותן בנושא זה; אולם מהממצאים עולה כי חסר</w:t>
      </w:r>
      <w:r>
        <w:rPr>
          <w:rFonts w:hint="cs"/>
          <w:rtl/>
        </w:rPr>
        <w:t>ו</w:t>
      </w:r>
      <w:r w:rsidRPr="00897F3D">
        <w:rPr>
          <w:rtl/>
        </w:rPr>
        <w:t xml:space="preserve"> בהן מרכיבים חיוניים - בהחלטות לא נקבעו יעדים שיתוו את </w:t>
      </w:r>
      <w:r w:rsidRPr="00897F3D">
        <w:rPr>
          <w:rFonts w:hint="cs"/>
          <w:rtl/>
        </w:rPr>
        <w:t>המתכונת</w:t>
      </w:r>
      <w:r w:rsidRPr="00897F3D">
        <w:rPr>
          <w:rtl/>
        </w:rPr>
        <w:t xml:space="preserve"> ליישום </w:t>
      </w:r>
      <w:r>
        <w:rPr>
          <w:rFonts w:hint="cs"/>
          <w:rtl/>
        </w:rPr>
        <w:t xml:space="preserve">זכות </w:t>
      </w:r>
      <w:r w:rsidRPr="00897F3D">
        <w:rPr>
          <w:rtl/>
        </w:rPr>
        <w:t>הקבורה האזרחית ו</w:t>
      </w:r>
      <w:r w:rsidRPr="00897F3D">
        <w:rPr>
          <w:rFonts w:hint="cs"/>
          <w:rtl/>
        </w:rPr>
        <w:t>אף</w:t>
      </w:r>
      <w:r w:rsidRPr="00897F3D">
        <w:rPr>
          <w:rtl/>
        </w:rPr>
        <w:t xml:space="preserve"> לא </w:t>
      </w:r>
      <w:r>
        <w:rPr>
          <w:rFonts w:hint="cs"/>
          <w:rtl/>
        </w:rPr>
        <w:t>נקבעו</w:t>
      </w:r>
      <w:r w:rsidRPr="00897F3D">
        <w:rPr>
          <w:rtl/>
        </w:rPr>
        <w:t xml:space="preserve"> מסגרת תקציבית ומקורות תקציב</w:t>
      </w:r>
      <w:r w:rsidRPr="00897F3D">
        <w:rPr>
          <w:rFonts w:hint="cs"/>
          <w:rtl/>
        </w:rPr>
        <w:t>יים</w:t>
      </w:r>
      <w:r w:rsidRPr="00897F3D">
        <w:rPr>
          <w:rtl/>
        </w:rPr>
        <w:t xml:space="preserve"> ל</w:t>
      </w:r>
      <w:r>
        <w:rPr>
          <w:rFonts w:hint="cs"/>
          <w:rtl/>
        </w:rPr>
        <w:t>צורך היישום</w:t>
      </w:r>
      <w:r w:rsidRPr="00897F3D">
        <w:rPr>
          <w:rtl/>
        </w:rPr>
        <w:t xml:space="preserve">. </w:t>
      </w:r>
      <w:r>
        <w:rPr>
          <w:rFonts w:hint="cs"/>
          <w:rtl/>
        </w:rPr>
        <w:t>בפועל</w:t>
      </w:r>
      <w:r w:rsidRPr="00897F3D">
        <w:rPr>
          <w:rtl/>
        </w:rPr>
        <w:t xml:space="preserve"> הועלה כי במועד סיום הביקורת, כעשרים שנה לאחר שנחקק חוק הקבורה האזרחית, מסתמן מחסור של ממש במקומות לקבורה אזרחית ברוב אזורי המדינה, והדבר פוגע בזכותם הבסיסית של אזרחי המדינה לקבורה על פי השקפתם ואמונתם</w:t>
      </w:r>
      <w:r w:rsidRPr="00897F3D">
        <w:rPr>
          <w:rFonts w:hint="cs"/>
          <w:rtl/>
        </w:rPr>
        <w:t>.</w:t>
      </w:r>
    </w:p>
    <w:p w:rsidR="00F43467" w:rsidRPr="00F43467" w:rsidP="00F43467">
      <w:pPr>
        <w:pStyle w:val="takzir"/>
        <w:rPr>
          <w:rFonts w:ascii="Tahoma" w:hAnsi="Tahoma" w:cs="Tahoma"/>
          <w:b w:val="0"/>
          <w:bCs w:val="0"/>
          <w:noProof w:val="0"/>
          <w:sz w:val="28"/>
          <w:rtl/>
        </w:rPr>
      </w:pPr>
    </w:p>
    <w:p w:rsidR="00F43467" w:rsidRPr="00F43467" w:rsidP="00F43467">
      <w:pPr>
        <w:pStyle w:val="KOT5T"/>
        <w:rPr>
          <w:rtl/>
        </w:rPr>
      </w:pPr>
      <w:r w:rsidRPr="00F43467">
        <w:rPr>
          <w:rFonts w:hint="cs"/>
          <w:rtl/>
        </w:rPr>
        <w:t xml:space="preserve">עיכובים בעבודת המטה ובהיערכות הארגונית </w:t>
      </w:r>
      <w:r w:rsidR="005F3BD7">
        <w:br/>
      </w:r>
      <w:r w:rsidRPr="00F43467">
        <w:rPr>
          <w:rFonts w:hint="cs"/>
          <w:rtl/>
        </w:rPr>
        <w:t>ליישום הקבורה האזרחית</w:t>
      </w:r>
    </w:p>
    <w:p w:rsidR="00F43467" w:rsidRPr="00897F3D" w:rsidP="00F43467">
      <w:pPr>
        <w:pStyle w:val="takzir-text"/>
        <w:bidi/>
        <w:rPr>
          <w:rtl/>
        </w:rPr>
      </w:pPr>
      <w:r>
        <w:rPr>
          <w:rFonts w:hint="cs"/>
          <w:rtl/>
        </w:rPr>
        <w:t xml:space="preserve">במרץ 2014 הוקמה בהתאם להחלטת ממשלה ועדת מנכ"לים בראשות מנכ"ל המשרד לשירותי דת לבחינת הצעדים הנדרשים "למתן מענה מיטבי בכל הנוגע לקבורה אזרחית". צוות בין-משרדי, שהיה אמור להגיש לוועדה </w:t>
      </w:r>
      <w:r w:rsidRPr="00897F3D">
        <w:rPr>
          <w:rFonts w:hint="cs"/>
          <w:rtl/>
        </w:rPr>
        <w:t>המלצות להסדרת הסוגיות הנוגעות לקבורה אזרחית</w:t>
      </w:r>
      <w:r>
        <w:rPr>
          <w:rFonts w:hint="cs"/>
          <w:rtl/>
        </w:rPr>
        <w:t xml:space="preserve"> עד אוקטובר 2014, טרם גיבש המלצות אלה,</w:t>
      </w:r>
      <w:r w:rsidRPr="0011261E">
        <w:rPr>
          <w:rtl/>
        </w:rPr>
        <w:t xml:space="preserve"> </w:t>
      </w:r>
      <w:r>
        <w:rPr>
          <w:rFonts w:hint="cs"/>
          <w:rtl/>
        </w:rPr>
        <w:t xml:space="preserve">ועקב כך נפגעה יכולתו של הציבור לממש את הזכות </w:t>
      </w:r>
      <w:r w:rsidRPr="0011261E">
        <w:rPr>
          <w:rtl/>
        </w:rPr>
        <w:t>לקבורה אזרחית.</w:t>
      </w:r>
    </w:p>
    <w:p w:rsidR="00F43467" w:rsidRPr="00F43467" w:rsidP="00F43467">
      <w:pPr>
        <w:pStyle w:val="takzir"/>
        <w:rPr>
          <w:rFonts w:ascii="Tahoma" w:hAnsi="Tahoma" w:cs="Tahoma"/>
          <w:b w:val="0"/>
          <w:bCs w:val="0"/>
          <w:noProof w:val="0"/>
          <w:sz w:val="28"/>
          <w:rtl/>
        </w:rPr>
      </w:pPr>
    </w:p>
    <w:p w:rsidR="00F43467" w:rsidRPr="00F43467" w:rsidP="00F43467">
      <w:pPr>
        <w:pStyle w:val="KOT5T"/>
        <w:rPr>
          <w:rtl/>
        </w:rPr>
      </w:pPr>
      <w:r w:rsidRPr="00F43467">
        <w:rPr>
          <w:rtl/>
        </w:rPr>
        <w:t xml:space="preserve">היבטים בקבורה </w:t>
      </w:r>
      <w:r w:rsidRPr="00F43467">
        <w:rPr>
          <w:rFonts w:hint="cs"/>
          <w:rtl/>
        </w:rPr>
        <w:t>ה</w:t>
      </w:r>
      <w:r w:rsidRPr="00F43467">
        <w:rPr>
          <w:rtl/>
        </w:rPr>
        <w:t>דתית ו</w:t>
      </w:r>
      <w:r w:rsidRPr="00F43467">
        <w:rPr>
          <w:rFonts w:hint="cs"/>
          <w:rtl/>
        </w:rPr>
        <w:t>ה</w:t>
      </w:r>
      <w:r w:rsidRPr="00F43467">
        <w:rPr>
          <w:rtl/>
        </w:rPr>
        <w:t>אזרחית במגזר הלא יהודי</w:t>
      </w:r>
    </w:p>
    <w:p w:rsidR="00F43467" w:rsidRPr="00897F3D" w:rsidP="00F43467">
      <w:pPr>
        <w:pStyle w:val="takzir-text"/>
        <w:bidi/>
        <w:rPr>
          <w:rtl/>
        </w:rPr>
      </w:pPr>
      <w:r w:rsidRPr="00FA19CA">
        <w:rPr>
          <w:rFonts w:hint="cs"/>
          <w:rtl/>
        </w:rPr>
        <w:t>חוק שירותי הדת מסדיר את שירותי הקבורה</w:t>
      </w:r>
      <w:r>
        <w:rPr>
          <w:rFonts w:hint="cs"/>
          <w:rtl/>
        </w:rPr>
        <w:t xml:space="preserve"> הדתית</w:t>
      </w:r>
      <w:r w:rsidRPr="00FA19CA">
        <w:rPr>
          <w:rFonts w:hint="cs"/>
          <w:rtl/>
        </w:rPr>
        <w:t xml:space="preserve"> למגזר היהודי, לעומת זאת שירותי הקבורה</w:t>
      </w:r>
      <w:r>
        <w:rPr>
          <w:rFonts w:hint="cs"/>
          <w:rtl/>
        </w:rPr>
        <w:t xml:space="preserve"> הדתית</w:t>
      </w:r>
      <w:r w:rsidRPr="00FA19CA">
        <w:rPr>
          <w:rFonts w:hint="cs"/>
          <w:rtl/>
        </w:rPr>
        <w:t xml:space="preserve"> לדתות ועדות לא יהודיות אינם מעוגנים בחוק, ולכן </w:t>
      </w:r>
      <w:r>
        <w:rPr>
          <w:rFonts w:hint="cs"/>
          <w:rtl/>
        </w:rPr>
        <w:t>לא נקבעו</w:t>
      </w:r>
      <w:r w:rsidRPr="00FA19CA">
        <w:rPr>
          <w:rFonts w:hint="cs"/>
          <w:rtl/>
        </w:rPr>
        <w:t xml:space="preserve"> תקנות בנושא זה. </w:t>
      </w:r>
      <w:r w:rsidRPr="00967855">
        <w:rPr>
          <w:rFonts w:hint="cs"/>
          <w:rtl/>
        </w:rPr>
        <w:t>אף</w:t>
      </w:r>
      <w:r w:rsidRPr="00967855">
        <w:rPr>
          <w:rtl/>
        </w:rPr>
        <w:t xml:space="preserve"> </w:t>
      </w:r>
      <w:r w:rsidRPr="00967855">
        <w:rPr>
          <w:rFonts w:hint="cs"/>
          <w:rtl/>
        </w:rPr>
        <w:t>ש</w:t>
      </w:r>
      <w:r>
        <w:rPr>
          <w:rFonts w:hint="cs"/>
          <w:rtl/>
        </w:rPr>
        <w:t>חוק הקבורה האזרחית מעגן את זכאותם של כל תושבי ישראל להיקבר בבית עלמין אזרחי, עלה כי הנתון שצוין</w:t>
      </w:r>
      <w:r w:rsidRPr="00897F3D">
        <w:rPr>
          <w:rtl/>
        </w:rPr>
        <w:t xml:space="preserve"> </w:t>
      </w:r>
      <w:r>
        <w:rPr>
          <w:rFonts w:hint="cs"/>
          <w:rtl/>
        </w:rPr>
        <w:t>במסמך</w:t>
      </w:r>
      <w:r w:rsidRPr="00897F3D">
        <w:rPr>
          <w:rtl/>
        </w:rPr>
        <w:t xml:space="preserve"> הצוות הבין</w:t>
      </w:r>
      <w:r w:rsidRPr="00897F3D">
        <w:rPr>
          <w:rFonts w:hint="cs"/>
          <w:rtl/>
        </w:rPr>
        <w:t>-</w:t>
      </w:r>
      <w:r w:rsidRPr="00897F3D">
        <w:rPr>
          <w:rtl/>
        </w:rPr>
        <w:t xml:space="preserve">משרדי מינואר 2016, </w:t>
      </w:r>
      <w:r>
        <w:rPr>
          <w:rFonts w:hint="cs"/>
          <w:rtl/>
        </w:rPr>
        <w:t xml:space="preserve">ולפיו הביקוש למקומות הקבורה האזרחית נאמד </w:t>
      </w:r>
      <w:r w:rsidR="005F3BD7">
        <w:br/>
      </w:r>
      <w:r>
        <w:rPr>
          <w:rFonts w:hint="cs"/>
          <w:rtl/>
        </w:rPr>
        <w:t>ב-10%,</w:t>
      </w:r>
      <w:r w:rsidRPr="00897F3D">
        <w:rPr>
          <w:rtl/>
        </w:rPr>
        <w:t xml:space="preserve"> התבסס על תרחיש </w:t>
      </w:r>
      <w:r>
        <w:rPr>
          <w:rFonts w:hint="cs"/>
          <w:rtl/>
        </w:rPr>
        <w:t xml:space="preserve">שכלל רק </w:t>
      </w:r>
      <w:r w:rsidRPr="00897F3D">
        <w:rPr>
          <w:rtl/>
        </w:rPr>
        <w:t>נפטרים יהודים, חסרי דת ונוצרים שאינם ערבים</w:t>
      </w:r>
      <w:r w:rsidRPr="00897F3D">
        <w:rPr>
          <w:rFonts w:hint="cs"/>
          <w:rtl/>
        </w:rPr>
        <w:t xml:space="preserve">. </w:t>
      </w:r>
      <w:r w:rsidRPr="00C277E0">
        <w:rPr>
          <w:rtl/>
        </w:rPr>
        <w:t xml:space="preserve">מכאן שהתרחיש לא הביא בחשבון את הצפי האפשרי בדבר ביקוש של יתר בני העדות </w:t>
      </w:r>
      <w:r>
        <w:rPr>
          <w:rFonts w:hint="cs"/>
          <w:rtl/>
        </w:rPr>
        <w:t xml:space="preserve">והדתות </w:t>
      </w:r>
      <w:r w:rsidRPr="00C277E0">
        <w:rPr>
          <w:rtl/>
        </w:rPr>
        <w:t>הלא יהודיות להיקבר בקבורה אזרחית. מדובר בציבור שהיקפו</w:t>
      </w:r>
      <w:r>
        <w:rPr>
          <w:rFonts w:hint="cs"/>
          <w:rtl/>
        </w:rPr>
        <w:t xml:space="preserve"> </w:t>
      </w:r>
      <w:r w:rsidRPr="00C277E0">
        <w:rPr>
          <w:rtl/>
        </w:rPr>
        <w:t xml:space="preserve">כ-20% מכלל האוכלוסייה בישראל, הכולל את תושבי המדינה הערבים, הדרוזים, </w:t>
      </w:r>
      <w:r w:rsidRPr="00C277E0">
        <w:rPr>
          <w:rtl/>
        </w:rPr>
        <w:t>הצ'רקסים</w:t>
      </w:r>
      <w:r w:rsidRPr="00C277E0">
        <w:rPr>
          <w:rtl/>
        </w:rPr>
        <w:t xml:space="preserve"> ועוד.</w:t>
      </w:r>
    </w:p>
    <w:p w:rsidR="00F43467" w:rsidRPr="00F43467" w:rsidP="00F43467">
      <w:pPr>
        <w:pStyle w:val="takzir"/>
        <w:rPr>
          <w:rFonts w:ascii="Tahoma" w:hAnsi="Tahoma" w:cs="Tahoma"/>
          <w:b w:val="0"/>
          <w:bCs w:val="0"/>
          <w:noProof w:val="0"/>
          <w:sz w:val="28"/>
          <w:rtl/>
        </w:rPr>
      </w:pPr>
    </w:p>
    <w:p w:rsidR="00F43467" w:rsidRPr="00F43467" w:rsidP="00F43467">
      <w:pPr>
        <w:pStyle w:val="KOT5T"/>
        <w:rPr>
          <w:rtl/>
        </w:rPr>
      </w:pPr>
      <w:r w:rsidRPr="00F43467">
        <w:rPr>
          <w:rFonts w:hint="cs"/>
          <w:rtl/>
        </w:rPr>
        <w:t>המחסור במקומות לקבורה אזרחית - תמונת מצב</w:t>
      </w:r>
    </w:p>
    <w:p w:rsidR="00F43467" w:rsidRPr="00897F3D" w:rsidP="00F43467">
      <w:pPr>
        <w:pStyle w:val="takzir-text"/>
        <w:bidi/>
        <w:rPr>
          <w:rtl/>
        </w:rPr>
      </w:pPr>
      <w:r w:rsidRPr="00897F3D">
        <w:rPr>
          <w:rtl/>
        </w:rPr>
        <w:t>המשרד לשירותי דת</w:t>
      </w:r>
      <w:r w:rsidRPr="00897F3D">
        <w:rPr>
          <w:rFonts w:hint="cs"/>
          <w:rtl/>
        </w:rPr>
        <w:t xml:space="preserve"> </w:t>
      </w:r>
      <w:r w:rsidRPr="00897F3D">
        <w:rPr>
          <w:rtl/>
        </w:rPr>
        <w:t>אינ</w:t>
      </w:r>
      <w:r w:rsidRPr="00897F3D">
        <w:rPr>
          <w:rFonts w:hint="cs"/>
          <w:rtl/>
        </w:rPr>
        <w:t>ו</w:t>
      </w:r>
      <w:r w:rsidRPr="00897F3D">
        <w:rPr>
          <w:rtl/>
        </w:rPr>
        <w:t xml:space="preserve"> מנהל מסד נתונים מפורט </w:t>
      </w:r>
      <w:r w:rsidRPr="00897F3D">
        <w:rPr>
          <w:rFonts w:hint="cs"/>
          <w:rtl/>
        </w:rPr>
        <w:t>בנושא</w:t>
      </w:r>
      <w:r w:rsidRPr="00897F3D">
        <w:rPr>
          <w:rtl/>
        </w:rPr>
        <w:t xml:space="preserve"> מצאי </w:t>
      </w:r>
      <w:r>
        <w:rPr>
          <w:rFonts w:hint="cs"/>
          <w:rtl/>
        </w:rPr>
        <w:t>ה</w:t>
      </w:r>
      <w:r w:rsidRPr="00897F3D">
        <w:rPr>
          <w:rtl/>
        </w:rPr>
        <w:t xml:space="preserve">מקומות </w:t>
      </w:r>
      <w:r>
        <w:rPr>
          <w:rFonts w:hint="cs"/>
          <w:rtl/>
        </w:rPr>
        <w:t>ל</w:t>
      </w:r>
      <w:r w:rsidRPr="00897F3D">
        <w:rPr>
          <w:rtl/>
        </w:rPr>
        <w:t>קבורה אזרחית</w:t>
      </w:r>
      <w:r w:rsidRPr="00897F3D">
        <w:rPr>
          <w:rFonts w:hint="cs"/>
          <w:rtl/>
        </w:rPr>
        <w:t>,</w:t>
      </w:r>
      <w:r w:rsidRPr="00897F3D">
        <w:rPr>
          <w:rtl/>
        </w:rPr>
        <w:t xml:space="preserve"> ובכלל זה אין בידי</w:t>
      </w:r>
      <w:r w:rsidRPr="00897F3D">
        <w:rPr>
          <w:rFonts w:hint="cs"/>
          <w:rtl/>
        </w:rPr>
        <w:t>ו</w:t>
      </w:r>
      <w:r w:rsidRPr="00897F3D">
        <w:rPr>
          <w:rtl/>
        </w:rPr>
        <w:t xml:space="preserve"> נתונים תקפים ומהימנים </w:t>
      </w:r>
      <w:r w:rsidRPr="00897F3D">
        <w:rPr>
          <w:rFonts w:hint="cs"/>
          <w:rtl/>
        </w:rPr>
        <w:t>על</w:t>
      </w:r>
      <w:r w:rsidRPr="00897F3D">
        <w:rPr>
          <w:rtl/>
        </w:rPr>
        <w:t xml:space="preserve"> </w:t>
      </w:r>
      <w:r w:rsidRPr="00897F3D">
        <w:rPr>
          <w:rFonts w:hint="cs"/>
          <w:rtl/>
        </w:rPr>
        <w:t>ה</w:t>
      </w:r>
      <w:r w:rsidRPr="00897F3D">
        <w:rPr>
          <w:rtl/>
        </w:rPr>
        <w:t xml:space="preserve">קיבולת </w:t>
      </w:r>
      <w:r w:rsidRPr="00897F3D">
        <w:rPr>
          <w:rFonts w:hint="cs"/>
          <w:rtl/>
        </w:rPr>
        <w:t>ה</w:t>
      </w:r>
      <w:r w:rsidRPr="00897F3D">
        <w:rPr>
          <w:rtl/>
        </w:rPr>
        <w:t xml:space="preserve">מתוכננת של </w:t>
      </w:r>
      <w:r>
        <w:rPr>
          <w:rFonts w:hint="cs"/>
          <w:rtl/>
        </w:rPr>
        <w:t>ה</w:t>
      </w:r>
      <w:r w:rsidRPr="00897F3D">
        <w:rPr>
          <w:rtl/>
        </w:rPr>
        <w:t xml:space="preserve">מקומות </w:t>
      </w:r>
      <w:r>
        <w:rPr>
          <w:rFonts w:hint="cs"/>
          <w:rtl/>
        </w:rPr>
        <w:t>ל</w:t>
      </w:r>
      <w:r w:rsidRPr="00897F3D">
        <w:rPr>
          <w:rtl/>
        </w:rPr>
        <w:t xml:space="preserve">קבורה אזרחית, </w:t>
      </w:r>
      <w:r w:rsidRPr="00897F3D">
        <w:rPr>
          <w:rFonts w:hint="cs"/>
          <w:rtl/>
        </w:rPr>
        <w:t>על ה</w:t>
      </w:r>
      <w:r w:rsidRPr="00897F3D">
        <w:rPr>
          <w:rtl/>
        </w:rPr>
        <w:t xml:space="preserve">ניצול בפועל של מקומות הקבורה </w:t>
      </w:r>
      <w:r w:rsidRPr="00897F3D">
        <w:rPr>
          <w:rFonts w:hint="cs"/>
          <w:rtl/>
        </w:rPr>
        <w:t xml:space="preserve">ועל </w:t>
      </w:r>
      <w:r w:rsidRPr="00897F3D">
        <w:rPr>
          <w:rtl/>
        </w:rPr>
        <w:t xml:space="preserve">מצאי מקומות הקבורה </w:t>
      </w:r>
      <w:r w:rsidRPr="00897F3D">
        <w:rPr>
          <w:rFonts w:hint="cs"/>
          <w:rtl/>
        </w:rPr>
        <w:t>ה</w:t>
      </w:r>
      <w:r w:rsidRPr="00897F3D">
        <w:rPr>
          <w:rtl/>
        </w:rPr>
        <w:t xml:space="preserve">זמין לקבורה עתידית. </w:t>
      </w:r>
      <w:r w:rsidRPr="00897F3D">
        <w:rPr>
          <w:rFonts w:hint="cs"/>
          <w:rtl/>
        </w:rPr>
        <w:t>ב</w:t>
      </w:r>
      <w:r w:rsidRPr="00897F3D">
        <w:rPr>
          <w:rtl/>
        </w:rPr>
        <w:t xml:space="preserve">היעדר תשתית עובדתית נאותה, </w:t>
      </w:r>
      <w:r w:rsidRPr="00897F3D">
        <w:rPr>
          <w:rFonts w:hint="cs"/>
          <w:rtl/>
        </w:rPr>
        <w:t xml:space="preserve">נבצר </w:t>
      </w:r>
      <w:r>
        <w:rPr>
          <w:rFonts w:hint="cs"/>
          <w:rtl/>
        </w:rPr>
        <w:t>ממנו</w:t>
      </w:r>
      <w:r w:rsidRPr="00897F3D">
        <w:rPr>
          <w:rtl/>
        </w:rPr>
        <w:t xml:space="preserve"> להיערך להיקף הביקוש לקבורה אזרחית בשנים הבאות. יש לראות בכך פגם מהותי </w:t>
      </w:r>
      <w:r>
        <w:rPr>
          <w:rFonts w:hint="cs"/>
          <w:rtl/>
        </w:rPr>
        <w:t xml:space="preserve">בעבודת </w:t>
      </w:r>
      <w:r w:rsidRPr="00897F3D">
        <w:rPr>
          <w:rtl/>
        </w:rPr>
        <w:t>המטה</w:t>
      </w:r>
      <w:r>
        <w:rPr>
          <w:rFonts w:hint="cs"/>
          <w:rtl/>
        </w:rPr>
        <w:t xml:space="preserve"> הנדרשת לקביעת </w:t>
      </w:r>
      <w:r w:rsidRPr="00897F3D">
        <w:rPr>
          <w:rtl/>
        </w:rPr>
        <w:t>מדיניות ממשלתית בתחום הקבורה האזרחית.</w:t>
      </w:r>
    </w:p>
    <w:p w:rsidR="00F43467" w:rsidRPr="00897F3D" w:rsidP="00F43467">
      <w:pPr>
        <w:pStyle w:val="takzir-text"/>
        <w:bidi/>
        <w:rPr>
          <w:rtl/>
        </w:rPr>
      </w:pPr>
      <w:r w:rsidRPr="00897F3D">
        <w:rPr>
          <w:rtl/>
        </w:rPr>
        <w:t>המחסור הכלל</w:t>
      </w:r>
      <w:r w:rsidRPr="00897F3D">
        <w:rPr>
          <w:rFonts w:hint="cs"/>
          <w:rtl/>
        </w:rPr>
        <w:t>-</w:t>
      </w:r>
      <w:r w:rsidRPr="00897F3D">
        <w:rPr>
          <w:rtl/>
        </w:rPr>
        <w:t xml:space="preserve">ארצי </w:t>
      </w:r>
      <w:r>
        <w:rPr>
          <w:rFonts w:hint="cs"/>
          <w:rtl/>
        </w:rPr>
        <w:t xml:space="preserve">הצפוי </w:t>
      </w:r>
      <w:r w:rsidRPr="00897F3D">
        <w:rPr>
          <w:rtl/>
        </w:rPr>
        <w:t xml:space="preserve">במקומות קבורה לשנים </w:t>
      </w:r>
      <w:r w:rsidRPr="00897F3D">
        <w:rPr>
          <w:rFonts w:hint="cs"/>
          <w:rtl/>
        </w:rPr>
        <w:t>2020-2016</w:t>
      </w:r>
      <w:r w:rsidRPr="00897F3D">
        <w:rPr>
          <w:rtl/>
        </w:rPr>
        <w:t xml:space="preserve">, בהנחה </w:t>
      </w:r>
      <w:r w:rsidRPr="00897F3D">
        <w:rPr>
          <w:rFonts w:hint="cs"/>
          <w:rtl/>
        </w:rPr>
        <w:t>ש</w:t>
      </w:r>
      <w:r w:rsidRPr="00897F3D">
        <w:rPr>
          <w:rtl/>
        </w:rPr>
        <w:t xml:space="preserve">שיעור המעוניינים בקבורה אזרחית </w:t>
      </w:r>
      <w:r>
        <w:rPr>
          <w:rFonts w:hint="cs"/>
          <w:rtl/>
        </w:rPr>
        <w:t>הוא</w:t>
      </w:r>
      <w:r w:rsidRPr="00897F3D">
        <w:rPr>
          <w:rtl/>
        </w:rPr>
        <w:t xml:space="preserve"> 10%</w:t>
      </w:r>
      <w:r>
        <w:rPr>
          <w:rFonts w:hint="cs"/>
          <w:rtl/>
        </w:rPr>
        <w:t xml:space="preserve"> מהנפטרים</w:t>
      </w:r>
      <w:r w:rsidRPr="00897F3D">
        <w:rPr>
          <w:rtl/>
        </w:rPr>
        <w:t>, הוא 3,120 מקומות</w:t>
      </w:r>
      <w:r>
        <w:rPr>
          <w:rFonts w:hint="cs"/>
          <w:rtl/>
        </w:rPr>
        <w:t>;</w:t>
      </w:r>
      <w:r w:rsidRPr="00897F3D">
        <w:rPr>
          <w:rtl/>
        </w:rPr>
        <w:t xml:space="preserve"> ובהנחה </w:t>
      </w:r>
      <w:r w:rsidRPr="00897F3D">
        <w:rPr>
          <w:rFonts w:hint="cs"/>
          <w:rtl/>
        </w:rPr>
        <w:t xml:space="preserve">ששיעורם </w:t>
      </w:r>
      <w:r>
        <w:rPr>
          <w:rFonts w:hint="cs"/>
          <w:rtl/>
        </w:rPr>
        <w:t>הוא</w:t>
      </w:r>
      <w:r w:rsidRPr="00897F3D">
        <w:rPr>
          <w:rtl/>
        </w:rPr>
        <w:t xml:space="preserve"> 17% </w:t>
      </w:r>
      <w:r>
        <w:rPr>
          <w:rFonts w:hint="cs"/>
          <w:rtl/>
        </w:rPr>
        <w:t xml:space="preserve">- </w:t>
      </w:r>
      <w:r w:rsidRPr="00897F3D">
        <w:rPr>
          <w:rtl/>
        </w:rPr>
        <w:t xml:space="preserve">17,120 מקומות קבורה. בגוש דן </w:t>
      </w:r>
      <w:r>
        <w:rPr>
          <w:rFonts w:hint="cs"/>
          <w:rtl/>
        </w:rPr>
        <w:t>ה</w:t>
      </w:r>
      <w:r w:rsidRPr="00897F3D">
        <w:rPr>
          <w:rtl/>
        </w:rPr>
        <w:t xml:space="preserve">מחסור </w:t>
      </w:r>
      <w:r>
        <w:rPr>
          <w:rFonts w:hint="cs"/>
          <w:rtl/>
        </w:rPr>
        <w:t>יסתכם ב-</w:t>
      </w:r>
      <w:r w:rsidRPr="00897F3D">
        <w:rPr>
          <w:rtl/>
        </w:rPr>
        <w:t>4,700 מקומות (</w:t>
      </w:r>
      <w:r w:rsidRPr="00897F3D">
        <w:rPr>
          <w:rFonts w:hint="cs"/>
          <w:rtl/>
        </w:rPr>
        <w:t>בהנחה ששיעור המעוניינים בקבורה אזרחית יהיה</w:t>
      </w:r>
      <w:r w:rsidRPr="00897F3D">
        <w:rPr>
          <w:rtl/>
        </w:rPr>
        <w:t xml:space="preserve"> 10%)</w:t>
      </w:r>
      <w:r w:rsidRPr="00897F3D">
        <w:rPr>
          <w:rFonts w:hint="cs"/>
          <w:rtl/>
        </w:rPr>
        <w:t>.</w:t>
      </w:r>
      <w:r w:rsidRPr="00897F3D">
        <w:rPr>
          <w:rtl/>
        </w:rPr>
        <w:t xml:space="preserve"> ב</w:t>
      </w:r>
      <w:r>
        <w:rPr>
          <w:rFonts w:hint="cs"/>
          <w:rtl/>
        </w:rPr>
        <w:t>ייחוד</w:t>
      </w:r>
      <w:r w:rsidRPr="00897F3D">
        <w:rPr>
          <w:rtl/>
        </w:rPr>
        <w:t xml:space="preserve"> יש להדגיש את חוסר ההיצע </w:t>
      </w:r>
      <w:r w:rsidRPr="00897F3D">
        <w:rPr>
          <w:rFonts w:hint="cs"/>
          <w:rtl/>
        </w:rPr>
        <w:t>לקבורה אזרחית</w:t>
      </w:r>
      <w:r w:rsidRPr="00897F3D">
        <w:rPr>
          <w:rtl/>
        </w:rPr>
        <w:t xml:space="preserve"> </w:t>
      </w:r>
      <w:r>
        <w:rPr>
          <w:rFonts w:hint="cs"/>
          <w:rtl/>
        </w:rPr>
        <w:t>ב</w:t>
      </w:r>
      <w:r w:rsidRPr="00897F3D">
        <w:rPr>
          <w:rtl/>
        </w:rPr>
        <w:t>ירושלים, המונה כ-</w:t>
      </w:r>
      <w:r w:rsidRPr="00897F3D">
        <w:rPr>
          <w:rFonts w:hint="cs"/>
          <w:rtl/>
        </w:rPr>
        <w:t>87</w:t>
      </w:r>
      <w:r w:rsidRPr="00897F3D">
        <w:rPr>
          <w:rtl/>
        </w:rPr>
        <w:t>0,000 תושבים.</w:t>
      </w:r>
    </w:p>
    <w:p w:rsidR="00F43467" w:rsidRPr="00F43467" w:rsidP="00F43467">
      <w:pPr>
        <w:pStyle w:val="takzir"/>
        <w:rPr>
          <w:rFonts w:ascii="Tahoma" w:hAnsi="Tahoma" w:cs="Tahoma"/>
          <w:b w:val="0"/>
          <w:bCs w:val="0"/>
          <w:noProof w:val="0"/>
          <w:sz w:val="28"/>
          <w:rtl/>
        </w:rPr>
      </w:pPr>
    </w:p>
    <w:p w:rsidR="00F43467" w:rsidRPr="00F43467" w:rsidP="00F43467">
      <w:pPr>
        <w:pStyle w:val="KOT5T"/>
        <w:rPr>
          <w:rtl/>
        </w:rPr>
      </w:pPr>
      <w:r w:rsidRPr="00F43467">
        <w:rPr>
          <w:rFonts w:hint="cs"/>
          <w:rtl/>
        </w:rPr>
        <w:t>ליקויים</w:t>
      </w:r>
      <w:r w:rsidRPr="00F43467">
        <w:rPr>
          <w:rtl/>
        </w:rPr>
        <w:t xml:space="preserve"> בסדרי </w:t>
      </w:r>
      <w:r w:rsidRPr="00F43467">
        <w:rPr>
          <w:rFonts w:hint="cs"/>
          <w:rtl/>
        </w:rPr>
        <w:t>ה</w:t>
      </w:r>
      <w:r w:rsidRPr="00F43467">
        <w:rPr>
          <w:rtl/>
        </w:rPr>
        <w:t>תקצוב ו</w:t>
      </w:r>
      <w:r w:rsidRPr="00F43467">
        <w:rPr>
          <w:rFonts w:hint="cs"/>
          <w:rtl/>
        </w:rPr>
        <w:t>ה</w:t>
      </w:r>
      <w:r w:rsidRPr="00F43467">
        <w:rPr>
          <w:rtl/>
        </w:rPr>
        <w:t xml:space="preserve">מימוש </w:t>
      </w:r>
      <w:r w:rsidRPr="00F43467">
        <w:rPr>
          <w:rFonts w:hint="cs"/>
          <w:rtl/>
        </w:rPr>
        <w:t xml:space="preserve">של </w:t>
      </w:r>
      <w:r w:rsidRPr="00F43467">
        <w:rPr>
          <w:rtl/>
        </w:rPr>
        <w:t xml:space="preserve">תקציב </w:t>
      </w:r>
      <w:r w:rsidR="005F3BD7">
        <w:br/>
      </w:r>
      <w:r w:rsidRPr="00F43467">
        <w:rPr>
          <w:rtl/>
        </w:rPr>
        <w:t>הקבורה האזרחית</w:t>
      </w:r>
      <w:r w:rsidRPr="00F43467">
        <w:rPr>
          <w:rtl/>
        </w:rPr>
        <w:t xml:space="preserve"> </w:t>
      </w:r>
    </w:p>
    <w:p w:rsidR="00F43467" w:rsidRPr="005E05AF" w:rsidP="005F3BD7">
      <w:pPr>
        <w:pStyle w:val="takzir-text"/>
        <w:pBdr>
          <w:bottom w:val="none" w:sz="0" w:space="0" w:color="auto"/>
        </w:pBdr>
        <w:bidi/>
        <w:rPr>
          <w:rtl/>
        </w:rPr>
      </w:pPr>
      <w:r w:rsidRPr="005E05AF">
        <w:rPr>
          <w:rFonts w:hint="cs"/>
          <w:rtl/>
        </w:rPr>
        <w:t>המתווה שלפיו פועלת המדינה לצורך הקמת</w:t>
      </w:r>
      <w:r>
        <w:rPr>
          <w:rFonts w:hint="cs"/>
          <w:rtl/>
        </w:rPr>
        <w:t>ם ופיתוחם של</w:t>
      </w:r>
      <w:r w:rsidRPr="005E05AF">
        <w:rPr>
          <w:rFonts w:hint="cs"/>
          <w:rtl/>
        </w:rPr>
        <w:t xml:space="preserve"> בתי עלמין אזרחיים </w:t>
      </w:r>
      <w:r>
        <w:rPr>
          <w:rFonts w:hint="cs"/>
          <w:rtl/>
        </w:rPr>
        <w:t>גורם לקשיים של ממש ליישום ההקמה והפיתוח של בתי עלמין אזרחיים.</w:t>
      </w:r>
      <w:r w:rsidRPr="005E05AF">
        <w:rPr>
          <w:rFonts w:hint="cs"/>
          <w:rtl/>
        </w:rPr>
        <w:t xml:space="preserve"> המדינה מוכנה להקצות קרקע</w:t>
      </w:r>
      <w:r>
        <w:rPr>
          <w:rFonts w:hint="cs"/>
          <w:rtl/>
        </w:rPr>
        <w:t xml:space="preserve"> להקמתם </w:t>
      </w:r>
      <w:r w:rsidRPr="005E05AF">
        <w:rPr>
          <w:rFonts w:hint="cs"/>
          <w:rtl/>
        </w:rPr>
        <w:t xml:space="preserve">באמצעות </w:t>
      </w:r>
      <w:r w:rsidRPr="005E05AF">
        <w:rPr>
          <w:rFonts w:hint="cs"/>
          <w:rtl/>
        </w:rPr>
        <w:t>רמ"י</w:t>
      </w:r>
      <w:r w:rsidRPr="005E05AF">
        <w:rPr>
          <w:rFonts w:hint="cs"/>
          <w:rtl/>
        </w:rPr>
        <w:t xml:space="preserve">, ואף להשתתף במימון </w:t>
      </w:r>
      <w:r>
        <w:rPr>
          <w:rFonts w:hint="cs"/>
          <w:rtl/>
        </w:rPr>
        <w:t>הקמתם ופיתוחם</w:t>
      </w:r>
      <w:r w:rsidRPr="005E05AF">
        <w:rPr>
          <w:rFonts w:hint="cs"/>
          <w:rtl/>
        </w:rPr>
        <w:t xml:space="preserve">, </w:t>
      </w:r>
      <w:r>
        <w:rPr>
          <w:rFonts w:hint="cs"/>
          <w:rtl/>
        </w:rPr>
        <w:t xml:space="preserve">אולם בשל ההון העצמי הדל העומד לרשות </w:t>
      </w:r>
      <w:r w:rsidRPr="005E05AF">
        <w:rPr>
          <w:rFonts w:hint="cs"/>
          <w:rtl/>
        </w:rPr>
        <w:t xml:space="preserve">תאגידי הקבורה </w:t>
      </w:r>
      <w:r>
        <w:rPr>
          <w:rFonts w:hint="cs"/>
          <w:rtl/>
        </w:rPr>
        <w:t xml:space="preserve">הם </w:t>
      </w:r>
      <w:r w:rsidRPr="005E05AF">
        <w:rPr>
          <w:rFonts w:hint="cs"/>
          <w:rtl/>
        </w:rPr>
        <w:t>מתקשים, לא פעם, לנצל את הקרקע שהוקצתה להם ל</w:t>
      </w:r>
      <w:r>
        <w:rPr>
          <w:rFonts w:hint="cs"/>
          <w:rtl/>
        </w:rPr>
        <w:t xml:space="preserve">צורך </w:t>
      </w:r>
      <w:r w:rsidRPr="005E05AF">
        <w:rPr>
          <w:rFonts w:hint="cs"/>
          <w:rtl/>
        </w:rPr>
        <w:t xml:space="preserve">הקמה ופיתוח ראשוני של בתי העלמין. </w:t>
      </w:r>
      <w:r>
        <w:rPr>
          <w:rFonts w:hint="cs"/>
          <w:rtl/>
        </w:rPr>
        <w:t xml:space="preserve">הדברים אמורים בייחוד </w:t>
      </w:r>
      <w:r w:rsidRPr="005E05AF">
        <w:rPr>
          <w:rFonts w:hint="cs"/>
          <w:rtl/>
        </w:rPr>
        <w:t xml:space="preserve">באתרים שיועדו לקבורה אזרחית, </w:t>
      </w:r>
      <w:r>
        <w:rPr>
          <w:rFonts w:hint="cs"/>
          <w:rtl/>
        </w:rPr>
        <w:t>ש</w:t>
      </w:r>
      <w:r w:rsidRPr="005E05AF">
        <w:rPr>
          <w:rFonts w:hint="cs"/>
          <w:rtl/>
        </w:rPr>
        <w:t xml:space="preserve">עלויות ההקמה והפיתוח </w:t>
      </w:r>
      <w:r>
        <w:rPr>
          <w:rFonts w:hint="cs"/>
          <w:rtl/>
        </w:rPr>
        <w:t xml:space="preserve">שלהם </w:t>
      </w:r>
      <w:r w:rsidRPr="005E05AF">
        <w:rPr>
          <w:rFonts w:hint="cs"/>
          <w:rtl/>
        </w:rPr>
        <w:t>גבוהות במיוחד.</w:t>
      </w:r>
    </w:p>
    <w:p w:rsidR="00F43467" w:rsidRPr="00897F3D" w:rsidP="005F3BD7">
      <w:pPr>
        <w:pStyle w:val="takzir-text"/>
        <w:pBdr>
          <w:top w:val="none" w:sz="0" w:space="0" w:color="auto"/>
        </w:pBdr>
        <w:bidi/>
        <w:rPr>
          <w:rtl/>
        </w:rPr>
      </w:pPr>
      <w:r w:rsidRPr="00897F3D">
        <w:rPr>
          <w:rtl/>
        </w:rPr>
        <w:t xml:space="preserve">בדרישות תקציב כוח </w:t>
      </w:r>
      <w:r w:rsidRPr="00897F3D">
        <w:rPr>
          <w:rFonts w:hint="cs"/>
          <w:rtl/>
        </w:rPr>
        <w:t>ה</w:t>
      </w:r>
      <w:r w:rsidRPr="00897F3D">
        <w:rPr>
          <w:rtl/>
        </w:rPr>
        <w:t xml:space="preserve">אדם של המשרד לשירותי דת לשנת 2015 נכללה משרה ייעודית </w:t>
      </w:r>
      <w:r>
        <w:rPr>
          <w:rFonts w:hint="cs"/>
          <w:rtl/>
        </w:rPr>
        <w:t xml:space="preserve">של </w:t>
      </w:r>
      <w:r w:rsidRPr="00897F3D">
        <w:rPr>
          <w:rtl/>
        </w:rPr>
        <w:t>ריכוז תחום הקבורה האזרחית</w:t>
      </w:r>
      <w:r>
        <w:rPr>
          <w:rFonts w:hint="cs"/>
          <w:rtl/>
        </w:rPr>
        <w:t>,</w:t>
      </w:r>
      <w:r w:rsidRPr="00897F3D">
        <w:rPr>
          <w:rtl/>
        </w:rPr>
        <w:t xml:space="preserve"> אולם</w:t>
      </w:r>
      <w:r>
        <w:rPr>
          <w:rFonts w:hint="cs"/>
          <w:rtl/>
        </w:rPr>
        <w:t xml:space="preserve"> </w:t>
      </w:r>
      <w:r w:rsidRPr="00897F3D">
        <w:rPr>
          <w:rFonts w:hint="cs"/>
          <w:rtl/>
        </w:rPr>
        <w:t>ל</w:t>
      </w:r>
      <w:r w:rsidRPr="00897F3D">
        <w:rPr>
          <w:rtl/>
        </w:rPr>
        <w:t>תקצובה</w:t>
      </w:r>
      <w:r>
        <w:rPr>
          <w:rFonts w:hint="cs"/>
          <w:rtl/>
        </w:rPr>
        <w:t xml:space="preserve"> נקבע סדר עדיפות נמוך,</w:t>
      </w:r>
      <w:r w:rsidRPr="00897F3D">
        <w:rPr>
          <w:rtl/>
        </w:rPr>
        <w:t xml:space="preserve"> </w:t>
      </w:r>
      <w:r>
        <w:rPr>
          <w:rFonts w:hint="cs"/>
          <w:rtl/>
        </w:rPr>
        <w:t>ו</w:t>
      </w:r>
      <w:r w:rsidRPr="00897F3D">
        <w:rPr>
          <w:rtl/>
        </w:rPr>
        <w:t xml:space="preserve">בפועל המשרד לא תקצב </w:t>
      </w:r>
      <w:r>
        <w:rPr>
          <w:rFonts w:hint="cs"/>
          <w:rtl/>
        </w:rPr>
        <w:t>אותה והיא</w:t>
      </w:r>
      <w:r w:rsidRPr="00897F3D">
        <w:rPr>
          <w:rtl/>
        </w:rPr>
        <w:t xml:space="preserve"> לא </w:t>
      </w:r>
      <w:r>
        <w:rPr>
          <w:rFonts w:hint="cs"/>
          <w:rtl/>
        </w:rPr>
        <w:t>אוישה</w:t>
      </w:r>
      <w:r w:rsidRPr="00897F3D">
        <w:rPr>
          <w:rtl/>
        </w:rPr>
        <w:t xml:space="preserve">. על כן, </w:t>
      </w:r>
      <w:r w:rsidRPr="00897F3D">
        <w:rPr>
          <w:rFonts w:hint="cs"/>
          <w:rtl/>
        </w:rPr>
        <w:t>ב</w:t>
      </w:r>
      <w:r w:rsidRPr="00897F3D">
        <w:rPr>
          <w:rtl/>
        </w:rPr>
        <w:t xml:space="preserve">מועד סיום הביקורת </w:t>
      </w:r>
      <w:r w:rsidRPr="00017854">
        <w:rPr>
          <w:rtl/>
        </w:rPr>
        <w:t xml:space="preserve">אין במשרד </w:t>
      </w:r>
      <w:r>
        <w:rPr>
          <w:rFonts w:hint="cs"/>
          <w:rtl/>
        </w:rPr>
        <w:t>בעל משרה המטפל באופן בלעדי</w:t>
      </w:r>
      <w:r w:rsidRPr="00017854">
        <w:rPr>
          <w:rtl/>
        </w:rPr>
        <w:t xml:space="preserve"> בנושא הקבורה האזרחית וקידומה, ובפועל המשימות מבוזרות בין כמה בעלי תפקידים במשרד לשירותי דת שעוסקים בעניינים נוספים. </w:t>
      </w:r>
      <w:r>
        <w:rPr>
          <w:rFonts w:hint="cs"/>
          <w:rtl/>
        </w:rPr>
        <w:t>משמע</w:t>
      </w:r>
      <w:r w:rsidRPr="00017854">
        <w:rPr>
          <w:rtl/>
        </w:rPr>
        <w:t xml:space="preserve"> כי </w:t>
      </w:r>
      <w:r>
        <w:rPr>
          <w:rFonts w:hint="cs"/>
          <w:rtl/>
        </w:rPr>
        <w:t>המשרד אינו מסב את תשומת הלב הראויה ל</w:t>
      </w:r>
      <w:r w:rsidRPr="00017854">
        <w:rPr>
          <w:rtl/>
        </w:rPr>
        <w:t>נושא רגיש ומורכב זה ב</w:t>
      </w:r>
      <w:r>
        <w:rPr>
          <w:rFonts w:hint="cs"/>
          <w:rtl/>
        </w:rPr>
        <w:t xml:space="preserve">מסגרת </w:t>
      </w:r>
      <w:r w:rsidRPr="00017854">
        <w:rPr>
          <w:rtl/>
        </w:rPr>
        <w:t>סדר יומו.</w:t>
      </w:r>
    </w:p>
    <w:p w:rsidR="00F43467" w:rsidRPr="00897F3D" w:rsidP="005F3BD7">
      <w:pPr>
        <w:pStyle w:val="takzir-text"/>
        <w:pBdr>
          <w:top w:val="none" w:sz="0" w:space="0" w:color="auto"/>
        </w:pBdr>
        <w:bidi/>
        <w:rPr>
          <w:rtl/>
        </w:rPr>
      </w:pPr>
      <w:r w:rsidRPr="006D3F2A">
        <w:rPr>
          <w:rtl/>
        </w:rPr>
        <w:t xml:space="preserve">ממצאי הביקורת מלמדים </w:t>
      </w:r>
      <w:r>
        <w:rPr>
          <w:rFonts w:hint="cs"/>
          <w:rtl/>
        </w:rPr>
        <w:t xml:space="preserve">כי </w:t>
      </w:r>
      <w:r w:rsidRPr="006D3F2A">
        <w:rPr>
          <w:rtl/>
        </w:rPr>
        <w:t xml:space="preserve">במשך השנים </w:t>
      </w:r>
      <w:r>
        <w:rPr>
          <w:rFonts w:hint="cs"/>
          <w:rtl/>
        </w:rPr>
        <w:t xml:space="preserve">כשלו </w:t>
      </w:r>
      <w:r w:rsidRPr="006D3F2A">
        <w:rPr>
          <w:rtl/>
        </w:rPr>
        <w:t>הפעולות שנקטו הגופים הממשלתיים, ובראשם המשרד לשירותי דת, ליישום חוק הקבורה האזרחית, ו</w:t>
      </w:r>
      <w:r>
        <w:rPr>
          <w:rFonts w:hint="cs"/>
          <w:rtl/>
        </w:rPr>
        <w:t xml:space="preserve">כי </w:t>
      </w:r>
      <w:r w:rsidRPr="006D3F2A">
        <w:rPr>
          <w:rtl/>
        </w:rPr>
        <w:t>נושא הקבור</w:t>
      </w:r>
      <w:r>
        <w:rPr>
          <w:rtl/>
        </w:rPr>
        <w:t>ה האזרחית לא זכה לקידום של ממש.</w:t>
      </w:r>
    </w:p>
    <w:p w:rsidR="00C65C4E" w:rsidRPr="00492C38" w:rsidP="00C65C4E">
      <w:pPr>
        <w:pStyle w:val="takzir"/>
        <w:rPr>
          <w:rFonts w:ascii="Tahoma" w:hAnsi="Tahoma" w:cs="Tahoma"/>
          <w:noProof w:val="0"/>
          <w:sz w:val="28"/>
          <w:rtl/>
        </w:rPr>
      </w:pPr>
    </w:p>
    <w:p w:rsidR="00384065" w:rsidRPr="00132FFC" w:rsidP="00E7492C">
      <w:pPr>
        <w:pStyle w:val="KOT4T"/>
        <w:rPr>
          <w:rtl/>
        </w:rPr>
      </w:pPr>
      <w:r w:rsidRPr="00132FFC">
        <w:rPr>
          <w:rtl/>
        </w:rPr>
        <w:t>ההמלצות העיקריות</w:t>
      </w:r>
    </w:p>
    <w:p w:rsidR="00F43467" w:rsidRPr="007E10DE" w:rsidP="00F43467">
      <w:pPr>
        <w:pStyle w:val="takzir-text"/>
        <w:bidi/>
        <w:rPr>
          <w:rtl/>
        </w:rPr>
      </w:pPr>
      <w:r w:rsidRPr="00897F3D">
        <w:rPr>
          <w:rtl/>
        </w:rPr>
        <w:t>על השר לשירותי דת ל</w:t>
      </w:r>
      <w:r>
        <w:rPr>
          <w:rFonts w:hint="cs"/>
          <w:rtl/>
        </w:rPr>
        <w:t>פעול למימוש הסמכות</w:t>
      </w:r>
      <w:r w:rsidRPr="00897F3D">
        <w:rPr>
          <w:rtl/>
        </w:rPr>
        <w:t xml:space="preserve"> שהוטל</w:t>
      </w:r>
      <w:r>
        <w:rPr>
          <w:rFonts w:hint="cs"/>
          <w:rtl/>
        </w:rPr>
        <w:t>ה</w:t>
      </w:r>
      <w:r w:rsidRPr="00897F3D">
        <w:rPr>
          <w:rtl/>
        </w:rPr>
        <w:t xml:space="preserve"> עליו בחקיקה</w:t>
      </w:r>
      <w:r>
        <w:rPr>
          <w:rFonts w:hint="cs"/>
          <w:rtl/>
        </w:rPr>
        <w:t xml:space="preserve"> להכריז על בתי עלמין אזרחיים, כדי להבטיח את מיצוי </w:t>
      </w:r>
      <w:r w:rsidRPr="00897F3D">
        <w:rPr>
          <w:rtl/>
        </w:rPr>
        <w:t>זכות</w:t>
      </w:r>
      <w:r>
        <w:rPr>
          <w:rFonts w:hint="cs"/>
          <w:rtl/>
        </w:rPr>
        <w:t>ו</w:t>
      </w:r>
      <w:r w:rsidRPr="00897F3D">
        <w:rPr>
          <w:rtl/>
        </w:rPr>
        <w:t xml:space="preserve"> </w:t>
      </w:r>
      <w:r>
        <w:rPr>
          <w:rFonts w:hint="cs"/>
          <w:rtl/>
        </w:rPr>
        <w:t>ה</w:t>
      </w:r>
      <w:r w:rsidRPr="00897F3D">
        <w:rPr>
          <w:rtl/>
        </w:rPr>
        <w:t>בסיסית של הפרט</w:t>
      </w:r>
      <w:r>
        <w:rPr>
          <w:rFonts w:hint="cs"/>
          <w:rtl/>
        </w:rPr>
        <w:t xml:space="preserve"> להיקבר בקבורה אזרחית.</w:t>
      </w:r>
      <w:r w:rsidRPr="00897F3D">
        <w:rPr>
          <w:rtl/>
        </w:rPr>
        <w:t xml:space="preserve"> </w:t>
      </w:r>
      <w:r>
        <w:rPr>
          <w:rFonts w:hint="cs"/>
          <w:rtl/>
        </w:rPr>
        <w:t>כמו כן, עליו להעלות לפני הממשלה ללא דיחוי</w:t>
      </w:r>
      <w:r w:rsidRPr="00612492">
        <w:rPr>
          <w:rtl/>
        </w:rPr>
        <w:t xml:space="preserve"> חסמים </w:t>
      </w:r>
      <w:r>
        <w:rPr>
          <w:rFonts w:hint="cs"/>
          <w:rtl/>
        </w:rPr>
        <w:t>המקשים עליו לפעול בנדון</w:t>
      </w:r>
      <w:r w:rsidRPr="00612492">
        <w:rPr>
          <w:rtl/>
        </w:rPr>
        <w:t>.</w:t>
      </w:r>
    </w:p>
    <w:p w:rsidR="00F43467" w:rsidRPr="007E10DE" w:rsidP="00F43467">
      <w:pPr>
        <w:pStyle w:val="takzir-text"/>
        <w:bidi/>
        <w:rPr>
          <w:rtl/>
        </w:rPr>
      </w:pPr>
      <w:r w:rsidRPr="009E49A6">
        <w:rPr>
          <w:rtl/>
        </w:rPr>
        <w:t xml:space="preserve">על המשרד לשירותי דת </w:t>
      </w:r>
      <w:r>
        <w:rPr>
          <w:rFonts w:hint="cs"/>
          <w:rtl/>
        </w:rPr>
        <w:t xml:space="preserve">לפעול למילוי </w:t>
      </w:r>
      <w:r w:rsidRPr="009E49A6">
        <w:rPr>
          <w:rtl/>
        </w:rPr>
        <w:t>צ</w:t>
      </w:r>
      <w:r>
        <w:rPr>
          <w:rFonts w:hint="cs"/>
          <w:rtl/>
        </w:rPr>
        <w:t>ו</w:t>
      </w:r>
      <w:r w:rsidRPr="009E49A6">
        <w:rPr>
          <w:rtl/>
        </w:rPr>
        <w:t>רכי</w:t>
      </w:r>
      <w:r>
        <w:rPr>
          <w:rFonts w:hint="cs"/>
          <w:rtl/>
        </w:rPr>
        <w:t>ה</w:t>
      </w:r>
      <w:r w:rsidRPr="009E49A6">
        <w:rPr>
          <w:rtl/>
        </w:rPr>
        <w:t xml:space="preserve">ם של כלל תושבי המדינה </w:t>
      </w:r>
      <w:r>
        <w:rPr>
          <w:rFonts w:hint="cs"/>
          <w:rtl/>
        </w:rPr>
        <w:t>בתחום ה</w:t>
      </w:r>
      <w:r w:rsidRPr="009E49A6">
        <w:rPr>
          <w:rtl/>
        </w:rPr>
        <w:t xml:space="preserve">קבורה </w:t>
      </w:r>
      <w:r>
        <w:rPr>
          <w:rFonts w:hint="cs"/>
          <w:rtl/>
        </w:rPr>
        <w:t>ה</w:t>
      </w:r>
      <w:r w:rsidRPr="009E49A6">
        <w:rPr>
          <w:rtl/>
        </w:rPr>
        <w:t xml:space="preserve">אזרחית, ללא הבדלי דת, כמצוות החוק. נוכח העובדה כי </w:t>
      </w:r>
      <w:r>
        <w:rPr>
          <w:rFonts w:hint="cs"/>
          <w:rtl/>
        </w:rPr>
        <w:t xml:space="preserve">ככלל </w:t>
      </w:r>
      <w:r w:rsidRPr="009E49A6">
        <w:rPr>
          <w:rtl/>
        </w:rPr>
        <w:t xml:space="preserve">האחריות לקבורה מפוצלת בין המשרד לשירותי דת לבין משרד הפנים, על שני משרדים אלה לתאם לאלתר </w:t>
      </w:r>
      <w:r>
        <w:rPr>
          <w:rFonts w:hint="cs"/>
          <w:rtl/>
        </w:rPr>
        <w:t xml:space="preserve">את </w:t>
      </w:r>
      <w:r w:rsidRPr="009E49A6">
        <w:rPr>
          <w:rtl/>
        </w:rPr>
        <w:t xml:space="preserve">פעולותיהם בתחום שירותי </w:t>
      </w:r>
      <w:r>
        <w:rPr>
          <w:rFonts w:hint="cs"/>
          <w:rtl/>
        </w:rPr>
        <w:t>ה</w:t>
      </w:r>
      <w:r w:rsidRPr="009E49A6">
        <w:rPr>
          <w:rtl/>
        </w:rPr>
        <w:t xml:space="preserve">קבורה </w:t>
      </w:r>
      <w:r>
        <w:rPr>
          <w:rFonts w:hint="cs"/>
          <w:rtl/>
        </w:rPr>
        <w:t>ה</w:t>
      </w:r>
      <w:r w:rsidRPr="009E49A6">
        <w:rPr>
          <w:rtl/>
        </w:rPr>
        <w:t xml:space="preserve">אזרחית לבני </w:t>
      </w:r>
      <w:r>
        <w:rPr>
          <w:rFonts w:hint="cs"/>
          <w:rtl/>
        </w:rPr>
        <w:t>כל ה</w:t>
      </w:r>
      <w:r w:rsidRPr="009E49A6">
        <w:rPr>
          <w:rtl/>
        </w:rPr>
        <w:t>דתות.</w:t>
      </w:r>
    </w:p>
    <w:p w:rsidR="00F43467" w:rsidRPr="001A7E91" w:rsidP="00F43467">
      <w:pPr>
        <w:pStyle w:val="takzir-text"/>
        <w:bidi/>
        <w:rPr>
          <w:rtl/>
        </w:rPr>
      </w:pPr>
      <w:r w:rsidRPr="006458A2">
        <w:rPr>
          <w:rtl/>
        </w:rPr>
        <w:t xml:space="preserve">על משרדי הממשלה הנוגעים בדבר, ובראשם - המשרד לשירותי דת, לשקול לפתח מנגנון ניהולי - פיננסי, דוגמת אלה הנהוגים במיזמים משותפים </w:t>
      </w:r>
      <w:r w:rsidRPr="006458A2">
        <w:rPr>
          <w:rFonts w:hint="cs"/>
          <w:rtl/>
        </w:rPr>
        <w:t>של</w:t>
      </w:r>
      <w:r w:rsidRPr="006458A2">
        <w:rPr>
          <w:rtl/>
        </w:rPr>
        <w:t xml:space="preserve"> המגזר הציבורי ומגזרים אחרים, </w:t>
      </w:r>
      <w:r w:rsidRPr="006458A2">
        <w:rPr>
          <w:rFonts w:hint="cs"/>
          <w:rtl/>
        </w:rPr>
        <w:t>כדי להסיר</w:t>
      </w:r>
      <w:r w:rsidRPr="006458A2">
        <w:rPr>
          <w:rtl/>
        </w:rPr>
        <w:t xml:space="preserve"> חסם מהותי </w:t>
      </w:r>
      <w:r w:rsidRPr="006458A2">
        <w:rPr>
          <w:rFonts w:hint="cs"/>
          <w:rtl/>
        </w:rPr>
        <w:t xml:space="preserve">הפוגע בתפקודם של גופי הקבורה - </w:t>
      </w:r>
      <w:r w:rsidRPr="006458A2">
        <w:rPr>
          <w:rtl/>
        </w:rPr>
        <w:t xml:space="preserve">ההון </w:t>
      </w:r>
      <w:r w:rsidRPr="006458A2">
        <w:rPr>
          <w:rFonts w:hint="cs"/>
          <w:rtl/>
        </w:rPr>
        <w:t>ה</w:t>
      </w:r>
      <w:r w:rsidRPr="006458A2">
        <w:rPr>
          <w:rtl/>
        </w:rPr>
        <w:t xml:space="preserve">עצמי הדל שברשותם </w:t>
      </w:r>
      <w:r w:rsidRPr="006458A2">
        <w:rPr>
          <w:rFonts w:hint="cs"/>
          <w:rtl/>
        </w:rPr>
        <w:t>ה</w:t>
      </w:r>
      <w:r w:rsidRPr="006458A2">
        <w:rPr>
          <w:rtl/>
        </w:rPr>
        <w:t>נופל בהרבה מההון הנדרש להקמה ולפיתוח ראשוני של בתי העלמ</w:t>
      </w:r>
      <w:r>
        <w:rPr>
          <w:rFonts w:hint="cs"/>
          <w:rtl/>
        </w:rPr>
        <w:t>ין.</w:t>
      </w:r>
    </w:p>
    <w:p w:rsidR="00F43467" w:rsidRPr="001A7E91" w:rsidP="00F43467">
      <w:pPr>
        <w:pStyle w:val="takzir-text"/>
        <w:bidi/>
        <w:rPr>
          <w:rtl/>
        </w:rPr>
      </w:pPr>
      <w:r>
        <w:rPr>
          <w:rFonts w:hint="cs"/>
          <w:rtl/>
        </w:rPr>
        <w:t>על המשרד לשירותי דת,</w:t>
      </w:r>
      <w:r w:rsidRPr="00EA2F91">
        <w:rPr>
          <w:rtl/>
        </w:rPr>
        <w:t xml:space="preserve"> </w:t>
      </w:r>
      <w:r>
        <w:rPr>
          <w:rFonts w:hint="cs"/>
          <w:rtl/>
        </w:rPr>
        <w:t>בהיותו</w:t>
      </w:r>
      <w:r w:rsidRPr="00EA2F91">
        <w:rPr>
          <w:rtl/>
        </w:rPr>
        <w:t xml:space="preserve"> הגורם שאחראי ל</w:t>
      </w:r>
      <w:r>
        <w:rPr>
          <w:rFonts w:hint="cs"/>
          <w:rtl/>
        </w:rPr>
        <w:t>יישום הקבורה האזרחית</w:t>
      </w:r>
      <w:r w:rsidRPr="00EA2F91">
        <w:rPr>
          <w:rtl/>
        </w:rPr>
        <w:t xml:space="preserve"> על פי חוק, לפעול מול מקבלי ההחלטות </w:t>
      </w:r>
      <w:r>
        <w:rPr>
          <w:rFonts w:hint="cs"/>
          <w:rtl/>
        </w:rPr>
        <w:t>לביצוע</w:t>
      </w:r>
      <w:r w:rsidRPr="00EA2F91">
        <w:rPr>
          <w:rtl/>
        </w:rPr>
        <w:t xml:space="preserve"> השינויים הנדרשים </w:t>
      </w:r>
      <w:r>
        <w:rPr>
          <w:rFonts w:hint="cs"/>
          <w:rtl/>
        </w:rPr>
        <w:t>ל</w:t>
      </w:r>
      <w:r w:rsidRPr="00EA2F91">
        <w:rPr>
          <w:rtl/>
        </w:rPr>
        <w:t>מילוי תפקידו</w:t>
      </w:r>
      <w:r>
        <w:rPr>
          <w:rFonts w:hint="cs"/>
          <w:rtl/>
        </w:rPr>
        <w:t>, כפי שהדבר מתבצע בתחום הקבורה היהודית, וזאת אף שלא כל הסמכויות הנוגעות בדבר -</w:t>
      </w:r>
      <w:r w:rsidRPr="00EA2F91">
        <w:rPr>
          <w:rtl/>
        </w:rPr>
        <w:t xml:space="preserve"> כגון הסמכות להקצות קרקע </w:t>
      </w:r>
      <w:r>
        <w:rPr>
          <w:rFonts w:hint="cs"/>
          <w:rtl/>
        </w:rPr>
        <w:t>-</w:t>
      </w:r>
      <w:r w:rsidRPr="00EA2F91">
        <w:rPr>
          <w:rtl/>
        </w:rPr>
        <w:t xml:space="preserve"> מופקדות בידיו. על המשרד לנסות לפעול בתיאום ככל הניתן עם בעלי הסמכויות האחרים </w:t>
      </w:r>
      <w:r>
        <w:rPr>
          <w:rFonts w:hint="cs"/>
          <w:rtl/>
        </w:rPr>
        <w:t>-</w:t>
      </w:r>
      <w:r w:rsidRPr="00EA2F91">
        <w:rPr>
          <w:rtl/>
        </w:rPr>
        <w:t xml:space="preserve"> </w:t>
      </w:r>
      <w:r>
        <w:rPr>
          <w:rFonts w:hint="cs"/>
          <w:rtl/>
        </w:rPr>
        <w:t xml:space="preserve">ולמותר לציין כי לא ראוי שהוא יאפשר </w:t>
      </w:r>
      <w:r w:rsidRPr="00EA2F91">
        <w:rPr>
          <w:rtl/>
        </w:rPr>
        <w:t xml:space="preserve">עיכובים כה </w:t>
      </w:r>
      <w:r>
        <w:rPr>
          <w:rFonts w:hint="cs"/>
          <w:rtl/>
        </w:rPr>
        <w:t>ניכרים</w:t>
      </w:r>
      <w:r w:rsidRPr="00EA2F91">
        <w:rPr>
          <w:rtl/>
        </w:rPr>
        <w:t xml:space="preserve"> בקידום העניין </w:t>
      </w:r>
      <w:r>
        <w:rPr>
          <w:rFonts w:hint="cs"/>
          <w:rtl/>
        </w:rPr>
        <w:t>וביישום</w:t>
      </w:r>
      <w:r w:rsidRPr="00EA2F91">
        <w:rPr>
          <w:rtl/>
        </w:rPr>
        <w:t xml:space="preserve"> החלטות הממשלה בנושא.</w:t>
      </w:r>
    </w:p>
    <w:p w:rsidR="00F43467" w:rsidRPr="007E10DE" w:rsidP="00F43467">
      <w:pPr>
        <w:pStyle w:val="takzir-text"/>
        <w:bidi/>
        <w:rPr>
          <w:rtl/>
        </w:rPr>
      </w:pPr>
      <w:r>
        <w:rPr>
          <w:rFonts w:hint="cs"/>
          <w:rtl/>
        </w:rPr>
        <w:t>לנוכח</w:t>
      </w:r>
      <w:r w:rsidRPr="0017229D">
        <w:rPr>
          <w:rtl/>
        </w:rPr>
        <w:t xml:space="preserve"> </w:t>
      </w:r>
      <w:r>
        <w:rPr>
          <w:rFonts w:hint="cs"/>
          <w:rtl/>
        </w:rPr>
        <w:t xml:space="preserve">ממצאיו של </w:t>
      </w:r>
      <w:r w:rsidRPr="0017229D">
        <w:rPr>
          <w:rtl/>
        </w:rPr>
        <w:t xml:space="preserve">דוח זה על הממשלה לבחון מחדש אם המשרד לשירותי דת הוא </w:t>
      </w:r>
      <w:r>
        <w:rPr>
          <w:rFonts w:hint="cs"/>
          <w:rtl/>
        </w:rPr>
        <w:t xml:space="preserve">אכן </w:t>
      </w:r>
      <w:r w:rsidRPr="0017229D">
        <w:rPr>
          <w:rtl/>
        </w:rPr>
        <w:t xml:space="preserve">הגורם המתאים </w:t>
      </w:r>
      <w:r>
        <w:rPr>
          <w:rFonts w:hint="cs"/>
          <w:rtl/>
        </w:rPr>
        <w:t>לשאת</w:t>
      </w:r>
      <w:r w:rsidRPr="0017229D">
        <w:rPr>
          <w:rtl/>
        </w:rPr>
        <w:t xml:space="preserve"> </w:t>
      </w:r>
      <w:r>
        <w:rPr>
          <w:rFonts w:hint="cs"/>
          <w:rtl/>
        </w:rPr>
        <w:t>באחריות ל</w:t>
      </w:r>
      <w:r w:rsidRPr="0017229D">
        <w:rPr>
          <w:rtl/>
        </w:rPr>
        <w:t>יישומו של חוק הקבורה האזרחית.</w:t>
      </w:r>
    </w:p>
    <w:p w:rsidR="00A90478" w:rsidRPr="00492C38" w:rsidP="009B0AF0">
      <w:pPr>
        <w:pStyle w:val="takzir"/>
        <w:rPr>
          <w:rFonts w:ascii="Tahoma" w:hAnsi="Tahoma" w:cs="Tahoma"/>
          <w:noProof w:val="0"/>
          <w:sz w:val="28"/>
          <w:rtl/>
        </w:rPr>
      </w:pPr>
    </w:p>
    <w:p w:rsidR="00384065" w:rsidRPr="00132FFC" w:rsidP="00E7492C">
      <w:pPr>
        <w:pStyle w:val="KOT4S"/>
        <w:rPr>
          <w:rtl/>
        </w:rPr>
      </w:pPr>
      <w:r w:rsidRPr="00132FFC">
        <w:rPr>
          <w:rtl/>
        </w:rPr>
        <w:t>סיכום</w:t>
      </w:r>
    </w:p>
    <w:p w:rsidR="00F43467" w:rsidRPr="00743011" w:rsidP="00F43467">
      <w:pPr>
        <w:pStyle w:val="takzir-text"/>
        <w:bidi/>
        <w:rPr>
          <w:b/>
          <w:rtl/>
        </w:rPr>
      </w:pPr>
      <w:r w:rsidRPr="00743011">
        <w:rPr>
          <w:rFonts w:hint="cs"/>
          <w:b/>
          <w:rtl/>
        </w:rPr>
        <w:t>מממצאי הביקורת בנושא יישום חוק הקבורה האזרחית, שנחקק לפני כעשרים שנה, עולה כי פעילותם של גופי</w:t>
      </w:r>
      <w:r w:rsidRPr="00743011">
        <w:rPr>
          <w:b/>
          <w:rtl/>
        </w:rPr>
        <w:t xml:space="preserve"> הממשלה </w:t>
      </w:r>
      <w:r w:rsidRPr="00743011">
        <w:rPr>
          <w:rFonts w:hint="cs"/>
          <w:b/>
          <w:rtl/>
        </w:rPr>
        <w:t xml:space="preserve">- </w:t>
      </w:r>
      <w:r w:rsidRPr="00743011">
        <w:rPr>
          <w:b/>
          <w:rtl/>
        </w:rPr>
        <w:t>ובראשם המשרד לשירותי דת,</w:t>
      </w:r>
      <w:r w:rsidRPr="00743011">
        <w:rPr>
          <w:rFonts w:hint="cs"/>
          <w:b/>
          <w:rtl/>
        </w:rPr>
        <w:t xml:space="preserve"> האחראי ליישום החוק - התאפיינה ב</w:t>
      </w:r>
      <w:r w:rsidRPr="00743011">
        <w:rPr>
          <w:b/>
          <w:rtl/>
        </w:rPr>
        <w:t>אוזלת יד מתמשכת</w:t>
      </w:r>
      <w:r w:rsidRPr="00743011">
        <w:rPr>
          <w:rFonts w:hint="cs"/>
          <w:b/>
          <w:rtl/>
        </w:rPr>
        <w:t>.</w:t>
      </w:r>
      <w:r w:rsidRPr="00743011">
        <w:rPr>
          <w:b/>
          <w:rtl/>
        </w:rPr>
        <w:t xml:space="preserve"> </w:t>
      </w:r>
      <w:r w:rsidRPr="00743011">
        <w:rPr>
          <w:rFonts w:hint="cs"/>
          <w:b/>
          <w:rtl/>
        </w:rPr>
        <w:t>על אי יישום החוק כנדרש כבר העיר מבקר המדינה בשנת 2010</w:t>
      </w:r>
      <w:r w:rsidRPr="00743011">
        <w:rPr>
          <w:rFonts w:hint="cs"/>
          <w:b/>
          <w:rtl/>
        </w:rPr>
        <w:t xml:space="preserve"> </w:t>
      </w:r>
      <w:r w:rsidRPr="00743011">
        <w:rPr>
          <w:rFonts w:hint="cs"/>
          <w:b/>
          <w:rtl/>
        </w:rPr>
        <w:t xml:space="preserve">אך מאז הנושא לא זכה לקידום של ממש. </w:t>
      </w:r>
      <w:r w:rsidRPr="00743011">
        <w:rPr>
          <w:b/>
          <w:rtl/>
        </w:rPr>
        <w:t>בכך כשלה המדינה בהבטחת מיצוי אחת הזכויות הבסיסיות של אזרחיה - זכות הקבורה בכבוד באופן התואם את השקפת עולמם, תפיסתם ואמונתם.</w:t>
      </w:r>
    </w:p>
    <w:p w:rsidR="00F43467" w:rsidRPr="00743011" w:rsidP="00F43467">
      <w:pPr>
        <w:pStyle w:val="takzir-text"/>
        <w:bidi/>
        <w:rPr>
          <w:b/>
          <w:rtl/>
        </w:rPr>
      </w:pPr>
      <w:r w:rsidRPr="00743011">
        <w:rPr>
          <w:rFonts w:hint="cs"/>
          <w:b/>
          <w:rtl/>
        </w:rPr>
        <w:t>על המשרד לשירותי דת לגבש מדיניות ממשלתית אחודה, בעלת יעדים מוגדרים, מתואמים ומחייבים כדי לטפל בסוגיית המחסור החמור במקומות קבורה ברוב אזורי המדינה, ובכלל זה בעיר הבירה - ירושלים, ולהגביר את נגישות בתי העלמין האזרחיים לאוכלוסייה. יודגש כי כ</w:t>
      </w:r>
      <w:r w:rsidRPr="00743011">
        <w:rPr>
          <w:b/>
          <w:rtl/>
        </w:rPr>
        <w:t>כל שיחמיר המחסור</w:t>
      </w:r>
      <w:r w:rsidRPr="00743011">
        <w:rPr>
          <w:rFonts w:hint="cs"/>
          <w:b/>
          <w:rtl/>
        </w:rPr>
        <w:t xml:space="preserve"> במקומות קבורה אזרחיים</w:t>
      </w:r>
      <w:r w:rsidRPr="00743011">
        <w:rPr>
          <w:b/>
          <w:rtl/>
        </w:rPr>
        <w:t xml:space="preserve"> תחריף הפגיעה בנגישות ובזמינות של בתי עלמין אזרחיים</w:t>
      </w:r>
      <w:r w:rsidRPr="00743011">
        <w:rPr>
          <w:rFonts w:hint="cs"/>
          <w:b/>
          <w:rtl/>
        </w:rPr>
        <w:t xml:space="preserve"> ואף ה</w:t>
      </w:r>
      <w:r w:rsidRPr="00743011">
        <w:rPr>
          <w:b/>
          <w:rtl/>
        </w:rPr>
        <w:t xml:space="preserve">פגיעה בזכויות אדם, </w:t>
      </w:r>
      <w:r w:rsidRPr="00743011">
        <w:rPr>
          <w:rFonts w:hint="cs"/>
          <w:b/>
          <w:rtl/>
        </w:rPr>
        <w:t>ו</w:t>
      </w:r>
      <w:r w:rsidRPr="00743011">
        <w:rPr>
          <w:b/>
          <w:rtl/>
        </w:rPr>
        <w:t xml:space="preserve">ייתכן כי </w:t>
      </w:r>
      <w:r w:rsidRPr="00743011">
        <w:rPr>
          <w:rFonts w:hint="cs"/>
          <w:b/>
          <w:rtl/>
        </w:rPr>
        <w:t>בגין המחסור האמור</w:t>
      </w:r>
      <w:r w:rsidRPr="00743011">
        <w:rPr>
          <w:b/>
          <w:rtl/>
        </w:rPr>
        <w:t xml:space="preserve"> הנזקקים לשירותי קבורה אזרחית ייאלצו לבחור בבתי עלמין אזרחיים מרוחקים </w:t>
      </w:r>
      <w:r w:rsidRPr="00743011">
        <w:rPr>
          <w:rFonts w:hint="cs"/>
          <w:b/>
          <w:rtl/>
        </w:rPr>
        <w:t xml:space="preserve">ואף ייאלצו </w:t>
      </w:r>
      <w:r w:rsidRPr="00743011">
        <w:rPr>
          <w:b/>
          <w:rtl/>
        </w:rPr>
        <w:t>לוותר על מיצוי זכותם לקבורה על פי השקפתם.</w:t>
      </w:r>
    </w:p>
    <w:p w:rsidR="00F43467" w:rsidRPr="00743011" w:rsidP="00F43467">
      <w:pPr>
        <w:pStyle w:val="takzir-text"/>
        <w:bidi/>
        <w:rPr>
          <w:b/>
          <w:rtl/>
        </w:rPr>
      </w:pPr>
      <w:r w:rsidRPr="00743011">
        <w:rPr>
          <w:b/>
          <w:rtl/>
        </w:rPr>
        <w:t>הליקויים שעלו בדוח זה, ובכלל זה הסחבת המתמשכת לאורך שנים רבות ביישומו של החוק מעלים ספק אם נכון שהמשרד לשירותי דת ימשיך להיות הגורם האחראי על הקבורה האזרחית במדינה. עולה החשש ש"מה שהיה הוא שיהיה ומה שנעשה הוא שייעשה ואין כל חדש תחת השמש</w:t>
      </w:r>
      <w:r>
        <w:rPr>
          <w:rStyle w:val="FootnoteReference0"/>
          <w:b/>
          <w:rtl/>
        </w:rPr>
        <w:footnoteReference w:id="3"/>
      </w:r>
      <w:r w:rsidRPr="00743011">
        <w:rPr>
          <w:b/>
          <w:rtl/>
        </w:rPr>
        <w:t>".</w:t>
      </w:r>
    </w:p>
    <w:p w:rsidR="00F1368B" w:rsidRPr="0010599F" w:rsidP="0010599F">
      <w:pPr>
        <w:spacing w:line="240" w:lineRule="exact"/>
        <w:ind w:right="2268"/>
        <w:jc w:val="both"/>
        <w:rPr>
          <w:rFonts w:ascii="Tahoma" w:hAnsi="Tahoma" w:cs="Tahoma"/>
          <w:sz w:val="17"/>
          <w:szCs w:val="17"/>
          <w:rtl/>
        </w:rPr>
      </w:pPr>
    </w:p>
    <w:p w:rsidR="00327FBF" w:rsidRPr="0010599F" w:rsidP="0010599F">
      <w:pPr>
        <w:spacing w:line="240" w:lineRule="exact"/>
        <w:ind w:right="2268"/>
        <w:jc w:val="both"/>
        <w:rPr>
          <w:rFonts w:ascii="Tahoma" w:hAnsi="Tahoma" w:cs="Tahoma"/>
          <w:sz w:val="17"/>
          <w:szCs w:val="17"/>
          <w:rtl/>
        </w:rPr>
        <w:sectPr w:rsidSect="00C20745">
          <w:headerReference w:type="even" r:id="rId8"/>
          <w:headerReference w:type="default" r:id="rId9"/>
          <w:headerReference w:type="first" r:id="rId10"/>
          <w:pgSz w:w="11906" w:h="16838" w:code="9"/>
          <w:pgMar w:top="3119" w:right="1701" w:bottom="3119" w:left="1701" w:header="1559" w:footer="709" w:gutter="0"/>
          <w:cols w:space="708"/>
          <w:bidi/>
          <w:rtlGutter/>
          <w:docGrid w:linePitch="360"/>
        </w:sectPr>
      </w:pPr>
    </w:p>
    <w:p w:rsidR="00EF45C8" w:rsidRPr="008E4C02" w:rsidP="006B7001">
      <w:pPr>
        <w:pStyle w:val="KOT4"/>
        <w:rPr>
          <w:rtl/>
        </w:rPr>
      </w:pPr>
      <w:bookmarkEnd w:id="0"/>
      <w:bookmarkEnd w:id="1"/>
      <w:bookmarkEnd w:id="2"/>
      <w:bookmarkEnd w:id="3"/>
      <w:bookmarkEnd w:id="4"/>
      <w:r w:rsidRPr="008E4C02">
        <w:rPr>
          <w:rFonts w:hint="cs"/>
          <w:rtl/>
        </w:rPr>
        <w:t>מבוא</w:t>
      </w:r>
    </w:p>
    <w:p w:rsidR="00EF45C8" w:rsidRPr="00E556CD" w:rsidP="00921671">
      <w:pPr>
        <w:tabs>
          <w:tab w:val="left" w:pos="372"/>
        </w:tabs>
        <w:spacing w:line="240" w:lineRule="exact"/>
        <w:ind w:left="12" w:right="2268"/>
        <w:jc w:val="both"/>
        <w:rPr>
          <w:rFonts w:ascii="Tahoma" w:hAnsi="Tahoma" w:cs="Tahoma"/>
          <w:sz w:val="17"/>
          <w:szCs w:val="17"/>
          <w:rtl/>
        </w:rPr>
      </w:pPr>
      <w:r w:rsidRPr="00E556CD">
        <w:rPr>
          <w:rFonts w:ascii="Tahoma" w:eastAsia="Times New Roman" w:hAnsi="Tahoma" w:cs="Tahoma" w:hint="cs"/>
          <w:sz w:val="17"/>
          <w:szCs w:val="17"/>
          <w:rtl/>
          <w:lang w:eastAsia="he-IL"/>
        </w:rPr>
        <w:t>במשך</w:t>
      </w:r>
      <w:r w:rsidRPr="00E556CD">
        <w:rPr>
          <w:rFonts w:ascii="Tahoma" w:eastAsia="Times New Roman" w:hAnsi="Tahoma" w:cs="Tahoma"/>
          <w:sz w:val="17"/>
          <w:szCs w:val="17"/>
          <w:rtl/>
          <w:lang w:eastAsia="he-IL"/>
        </w:rPr>
        <w:t xml:space="preserve"> שנים רבות נקברו נפטרים בישראל רק בבתי עלמין דתיים, כל אחד על פי דתו ואמונתו. </w:t>
      </w:r>
      <w:r w:rsidRPr="00E556CD">
        <w:rPr>
          <w:rFonts w:ascii="Tahoma" w:eastAsia="Times New Roman" w:hAnsi="Tahoma" w:cs="Tahoma" w:hint="cs"/>
          <w:sz w:val="17"/>
          <w:szCs w:val="17"/>
          <w:rtl/>
          <w:lang w:eastAsia="he-IL"/>
        </w:rPr>
        <w:t>חסרי</w:t>
      </w:r>
      <w:r w:rsidRPr="00E556CD">
        <w:rPr>
          <w:rFonts w:ascii="Tahoma" w:eastAsia="Times New Roman" w:hAnsi="Tahoma" w:cs="Tahoma"/>
          <w:sz w:val="17"/>
          <w:szCs w:val="17"/>
          <w:rtl/>
          <w:lang w:eastAsia="he-IL"/>
        </w:rPr>
        <w:t xml:space="preserve"> עדה דתית מוכרת או של מי </w:t>
      </w:r>
      <w:r w:rsidRPr="00E556CD">
        <w:rPr>
          <w:rFonts w:ascii="Tahoma" w:eastAsia="Times New Roman" w:hAnsi="Tahoma" w:cs="Tahoma" w:hint="cs"/>
          <w:sz w:val="17"/>
          <w:szCs w:val="17"/>
          <w:rtl/>
          <w:lang w:eastAsia="he-IL"/>
        </w:rPr>
        <w:t>שדתם</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הייתה</w:t>
      </w:r>
      <w:r w:rsidRPr="00E556CD">
        <w:rPr>
          <w:rFonts w:ascii="Tahoma" w:eastAsia="Times New Roman" w:hAnsi="Tahoma" w:cs="Tahoma"/>
          <w:sz w:val="17"/>
          <w:szCs w:val="17"/>
          <w:rtl/>
          <w:lang w:eastAsia="he-IL"/>
        </w:rPr>
        <w:t xml:space="preserve"> שנויה במחלוקת </w:t>
      </w:r>
      <w:r w:rsidRPr="00E556CD">
        <w:rPr>
          <w:rFonts w:ascii="Tahoma" w:eastAsia="Times New Roman" w:hAnsi="Tahoma" w:cs="Tahoma" w:hint="cs"/>
          <w:sz w:val="17"/>
          <w:szCs w:val="17"/>
          <w:rtl/>
          <w:lang w:eastAsia="he-IL"/>
        </w:rPr>
        <w:t>נקברו</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לפי</w:t>
      </w:r>
      <w:r w:rsidRPr="00E556CD">
        <w:rPr>
          <w:rFonts w:ascii="Tahoma" w:eastAsia="Times New Roman" w:hAnsi="Tahoma" w:cs="Tahoma"/>
          <w:sz w:val="17"/>
          <w:szCs w:val="17"/>
          <w:rtl/>
          <w:lang w:eastAsia="he-IL"/>
        </w:rPr>
        <w:t xml:space="preserve"> הסדרים מקומיים עם חברות הקבורה</w:t>
      </w:r>
      <w:r w:rsidRPr="00E556CD">
        <w:rPr>
          <w:rFonts w:ascii="Tahoma" w:eastAsia="Times New Roman" w:hAnsi="Tahoma" w:cs="Tahoma" w:hint="cs"/>
          <w:sz w:val="17"/>
          <w:szCs w:val="17"/>
          <w:rtl/>
          <w:lang w:eastAsia="he-IL"/>
        </w:rPr>
        <w:t xml:space="preserve"> (ראו להלן)</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נפטרים</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יהודיים</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נקברו</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בבתי</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עלמין</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שפעלו</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על</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פי</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מנהגי</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היהדות</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האורתודוכסית</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בהתאם</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ל</w:t>
      </w:r>
      <w:r w:rsidRPr="00E556CD">
        <w:rPr>
          <w:rFonts w:ascii="Tahoma" w:hAnsi="Tahoma" w:cs="Tahoma" w:hint="cs"/>
          <w:sz w:val="17"/>
          <w:szCs w:val="17"/>
          <w:rtl/>
        </w:rPr>
        <w:t>חוק</w:t>
      </w:r>
      <w:r w:rsidRPr="00E556CD">
        <w:rPr>
          <w:rFonts w:ascii="Tahoma" w:hAnsi="Tahoma" w:cs="Tahoma"/>
          <w:sz w:val="17"/>
          <w:szCs w:val="17"/>
          <w:rtl/>
        </w:rPr>
        <w:t xml:space="preserve"> </w:t>
      </w:r>
      <w:r w:rsidRPr="00E556CD">
        <w:rPr>
          <w:rFonts w:ascii="Tahoma" w:hAnsi="Tahoma" w:cs="Tahoma" w:hint="cs"/>
          <w:sz w:val="17"/>
          <w:szCs w:val="17"/>
          <w:rtl/>
        </w:rPr>
        <w:t>שירותי</w:t>
      </w:r>
      <w:r w:rsidRPr="00E556CD">
        <w:rPr>
          <w:rFonts w:ascii="Tahoma" w:hAnsi="Tahoma" w:cs="Tahoma"/>
          <w:sz w:val="17"/>
          <w:szCs w:val="17"/>
          <w:rtl/>
        </w:rPr>
        <w:t xml:space="preserve"> </w:t>
      </w:r>
      <w:r w:rsidRPr="00E556CD">
        <w:rPr>
          <w:rFonts w:ascii="Tahoma" w:hAnsi="Tahoma" w:cs="Tahoma" w:hint="cs"/>
          <w:sz w:val="17"/>
          <w:szCs w:val="17"/>
          <w:rtl/>
        </w:rPr>
        <w:t>הדת</w:t>
      </w:r>
      <w:r w:rsidRPr="00E556CD">
        <w:rPr>
          <w:rFonts w:ascii="Tahoma" w:hAnsi="Tahoma" w:cs="Tahoma"/>
          <w:sz w:val="17"/>
          <w:szCs w:val="17"/>
          <w:rtl/>
        </w:rPr>
        <w:t xml:space="preserve"> היהודיים [נוסח משולב], התשל"א</w:t>
      </w:r>
      <w:r w:rsidRPr="00E556CD">
        <w:rPr>
          <w:rFonts w:ascii="Tahoma" w:hAnsi="Tahoma" w:cs="Tahoma" w:hint="cs"/>
          <w:sz w:val="17"/>
          <w:szCs w:val="17"/>
          <w:rtl/>
        </w:rPr>
        <w:t>-</w:t>
      </w:r>
      <w:r w:rsidRPr="00E556CD">
        <w:rPr>
          <w:rFonts w:ascii="Tahoma" w:hAnsi="Tahoma" w:cs="Tahoma"/>
          <w:sz w:val="17"/>
          <w:szCs w:val="17"/>
          <w:rtl/>
        </w:rPr>
        <w:t>1971 (להלן - חוק שירותי הדת)</w:t>
      </w:r>
      <w:r w:rsidRPr="00E556CD">
        <w:rPr>
          <w:rFonts w:ascii="Tahoma" w:hAnsi="Tahoma" w:cs="Tahoma" w:hint="cs"/>
          <w:sz w:val="17"/>
          <w:szCs w:val="17"/>
          <w:rtl/>
        </w:rPr>
        <w:t xml:space="preserve"> ותקנותיו</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קבורת</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נפטרים</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בבתי</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קברות</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הפועלים</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על</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פי</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מנהגים</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אלה</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עוררה</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לעתים</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מחלוקות</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שונות</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כאשר</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בני</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משפחתם</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של</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הנפטרים</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ביקשו</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לסטות</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מהם</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מאחר</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שראו</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בהם</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פגיעה</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בחופש הדת ובחופש</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מדת</w:t>
      </w:r>
      <w:r w:rsidRPr="00E556CD">
        <w:rPr>
          <w:rFonts w:ascii="Tahoma" w:hAnsi="Tahoma" w:cs="Tahoma" w:hint="cs"/>
          <w:sz w:val="17"/>
          <w:szCs w:val="17"/>
          <w:rtl/>
        </w:rPr>
        <w:t>. האחריות לקבורת יהודים מוטלת על המשרד לשירותי דת, ואת הקבורה בפועל מבצעים גופים שקיבלו רישיון לכך מהמשרד לשירותי דת כגון חברות קדישא, מועצות דתיות, תאגידים עירוניים ועוד (להלן - חברות קבורה). קבורת בני עדות ודתות אחרות אינה מוסדרת בחוק, והאחריות לקבורתם היא בידי משרד הפנים.</w:t>
      </w:r>
    </w:p>
    <w:p w:rsidR="00EF45C8" w:rsidRPr="00E556CD" w:rsidP="00E556CD">
      <w:pPr>
        <w:tabs>
          <w:tab w:val="left" w:pos="372"/>
        </w:tabs>
        <w:spacing w:line="240" w:lineRule="exact"/>
        <w:ind w:left="12" w:right="2268"/>
        <w:jc w:val="both"/>
        <w:rPr>
          <w:rFonts w:ascii="Tahoma" w:eastAsia="Times New Roman" w:hAnsi="Tahoma" w:cs="Tahoma"/>
          <w:sz w:val="17"/>
          <w:szCs w:val="17"/>
          <w:rtl/>
          <w:lang w:eastAsia="he-IL"/>
        </w:rPr>
      </w:pPr>
      <w:r w:rsidRPr="00E556CD">
        <w:rPr>
          <w:rFonts w:ascii="Tahoma" w:eastAsia="Times New Roman" w:hAnsi="Tahoma" w:cs="Tahoma"/>
          <w:sz w:val="17"/>
          <w:szCs w:val="17"/>
          <w:rtl/>
          <w:lang w:eastAsia="he-IL"/>
        </w:rPr>
        <w:t xml:space="preserve">בשנת 1996 </w:t>
      </w:r>
      <w:r w:rsidRPr="00E556CD">
        <w:rPr>
          <w:rFonts w:ascii="Tahoma" w:eastAsia="Times New Roman" w:hAnsi="Tahoma" w:cs="Tahoma" w:hint="cs"/>
          <w:sz w:val="17"/>
          <w:szCs w:val="17"/>
          <w:rtl/>
          <w:lang w:eastAsia="he-IL"/>
        </w:rPr>
        <w:t xml:space="preserve">נחקק חוק </w:t>
      </w:r>
      <w:r w:rsidRPr="00E556CD">
        <w:rPr>
          <w:rFonts w:ascii="Tahoma" w:hAnsi="Tahoma" w:cs="Tahoma"/>
          <w:sz w:val="17"/>
          <w:szCs w:val="17"/>
          <w:rtl/>
        </w:rPr>
        <w:t>הזכות לקבורה אזרחית חלופית, התשנ"ו-1996 (להלן - חוק הקבורה האזרחית או החוק)</w:t>
      </w:r>
      <w:r w:rsidRPr="00E556CD">
        <w:rPr>
          <w:rFonts w:ascii="Tahoma" w:eastAsia="Times New Roman" w:hAnsi="Tahoma" w:cs="Tahoma" w:hint="cs"/>
          <w:sz w:val="17"/>
          <w:szCs w:val="17"/>
          <w:rtl/>
          <w:lang w:eastAsia="he-IL"/>
        </w:rPr>
        <w:t>, הקובע כי כל אדם זכאי להיקבר בבית עלמין אזרחי חלופי בדרך מכובדת באופן התואם את השקפת עולמו אם בחר בכך</w:t>
      </w:r>
      <w:r>
        <w:rPr>
          <w:rStyle w:val="FootnoteReference0"/>
          <w:rFonts w:ascii="Tahoma" w:eastAsia="Times New Roman" w:hAnsi="Tahoma" w:cs="Tahoma"/>
          <w:sz w:val="17"/>
          <w:szCs w:val="17"/>
          <w:rtl/>
          <w:lang w:eastAsia="he-IL"/>
        </w:rPr>
        <w:footnoteReference w:id="4"/>
      </w:r>
      <w:r w:rsidRPr="00E556CD">
        <w:rPr>
          <w:rFonts w:ascii="Tahoma" w:eastAsia="Times New Roman" w:hAnsi="Tahoma" w:cs="Tahoma" w:hint="cs"/>
          <w:sz w:val="17"/>
          <w:szCs w:val="17"/>
          <w:rtl/>
          <w:lang w:eastAsia="he-IL"/>
        </w:rPr>
        <w:t>. כך עיגנה המדינה את זכותו של הפרט להיקבר על פי השקפתו, בין בטקס דתי ובין בטקס אחר. החוק מאפשר קבורה אזרחית של יהודים, בני עדה דתית מוכרת אחרת, חסרי עדה דתית מוכרת או מי שדתם שנויה במחלוקת, החפצים להיקבר על פי השקפת עולמם. לפי החוק, האחריות לקבורה האזרחית הוטלה על השר לשירותי דת, לרבות האחריות לקביעת מקומם של בתי העלמין האזרחיים, למתן רישיון לתאגידים לענייני קבורה (להלן - תאגידי קבורה) שינהלו את בתי העלמין לקבורה אזרחית ולקביעת נוהלי הקבורה בהם.</w:t>
      </w:r>
    </w:p>
    <w:p w:rsidR="00EF45C8" w:rsidRPr="00E556CD" w:rsidP="00E556CD">
      <w:pPr>
        <w:tabs>
          <w:tab w:val="left" w:pos="372"/>
        </w:tabs>
        <w:spacing w:line="240" w:lineRule="exact"/>
        <w:ind w:left="12" w:right="2268"/>
        <w:jc w:val="both"/>
        <w:rPr>
          <w:rFonts w:ascii="Tahoma" w:eastAsia="Times New Roman" w:hAnsi="Tahoma" w:cs="Tahoma"/>
          <w:sz w:val="17"/>
          <w:szCs w:val="17"/>
          <w:rtl/>
          <w:lang w:eastAsia="he-IL"/>
        </w:rPr>
      </w:pPr>
      <w:r w:rsidRPr="00E556CD">
        <w:rPr>
          <w:rFonts w:ascii="Tahoma" w:eastAsia="Times New Roman" w:hAnsi="Tahoma" w:cs="Tahoma" w:hint="cs"/>
          <w:sz w:val="17"/>
          <w:szCs w:val="17"/>
          <w:rtl/>
          <w:lang w:eastAsia="he-IL"/>
        </w:rPr>
        <w:t xml:space="preserve">סמכויות ביצוע נוספות הרלוונטיות ליישום חוקים אלה מבוזרות בעיקר בין הגופים הממשלתיים והציבוריים האלה: רשות מקרקעי ישראל (להלן - </w:t>
      </w:r>
      <w:r w:rsidRPr="00E556CD">
        <w:rPr>
          <w:rFonts w:ascii="Tahoma" w:eastAsia="Times New Roman" w:hAnsi="Tahoma" w:cs="Tahoma" w:hint="cs"/>
          <w:sz w:val="17"/>
          <w:szCs w:val="17"/>
          <w:rtl/>
          <w:lang w:eastAsia="he-IL"/>
        </w:rPr>
        <w:t>רמ"י</w:t>
      </w:r>
      <w:r w:rsidRPr="00E556CD">
        <w:rPr>
          <w:rFonts w:ascii="Tahoma" w:eastAsia="Times New Roman" w:hAnsi="Tahoma" w:cs="Tahoma" w:hint="cs"/>
          <w:sz w:val="17"/>
          <w:szCs w:val="17"/>
          <w:rtl/>
          <w:lang w:eastAsia="he-IL"/>
        </w:rPr>
        <w:t xml:space="preserve">), האחראית להקצאות הקרקע לבתי העלמין; </w:t>
      </w:r>
      <w:r w:rsidRPr="00E556CD">
        <w:rPr>
          <w:rFonts w:ascii="Tahoma" w:eastAsia="Times New Roman" w:hAnsi="Tahoma" w:cs="Tahoma" w:hint="cs"/>
          <w:sz w:val="17"/>
          <w:szCs w:val="17"/>
          <w:rtl/>
          <w:lang w:eastAsia="he-IL"/>
        </w:rPr>
        <w:t>מינהל</w:t>
      </w:r>
      <w:r w:rsidRPr="00E556CD">
        <w:rPr>
          <w:rFonts w:ascii="Tahoma" w:eastAsia="Times New Roman" w:hAnsi="Tahoma" w:cs="Tahoma" w:hint="cs"/>
          <w:sz w:val="17"/>
          <w:szCs w:val="17"/>
          <w:rtl/>
          <w:lang w:eastAsia="he-IL"/>
        </w:rPr>
        <w:t xml:space="preserve"> התכנון והוועדות המחוזיות והמקומיות לתכנון ובנייה, האחראים לייעד קרקעות לבתי עלמין, ובכלל זה לשינוי ייעוד קרקע לקבורה ולקביעת הוראות תכנוניות; והרשויות המקומיות שבתחום שיפוטן נמצאים בתי העלמין.</w:t>
      </w:r>
    </w:p>
    <w:p w:rsidR="00EF45C8" w:rsidRPr="00E556CD" w:rsidP="00E556CD">
      <w:pPr>
        <w:tabs>
          <w:tab w:val="left" w:pos="372"/>
        </w:tabs>
        <w:spacing w:line="240" w:lineRule="exact"/>
        <w:ind w:left="12" w:right="2268"/>
        <w:jc w:val="both"/>
        <w:rPr>
          <w:rFonts w:ascii="Tahoma" w:eastAsia="Times New Roman" w:hAnsi="Tahoma" w:cs="Tahoma"/>
          <w:sz w:val="17"/>
          <w:szCs w:val="17"/>
          <w:rtl/>
          <w:lang w:eastAsia="he-IL"/>
        </w:rPr>
      </w:pPr>
      <w:r w:rsidRPr="00E556CD">
        <w:rPr>
          <w:rFonts w:ascii="Tahoma" w:eastAsia="Times New Roman" w:hAnsi="Tahoma" w:cs="Tahoma" w:hint="cs"/>
          <w:sz w:val="17"/>
          <w:szCs w:val="17"/>
          <w:rtl/>
          <w:lang w:eastAsia="he-IL"/>
        </w:rPr>
        <w:t xml:space="preserve">אשר למימון הקבורה - הוראות חוק הביטוח הלאומי </w:t>
      </w:r>
      <w:r w:rsidRPr="00E556CD">
        <w:rPr>
          <w:rFonts w:ascii="Tahoma" w:hAnsi="Tahoma" w:cs="Tahoma"/>
          <w:sz w:val="17"/>
          <w:szCs w:val="17"/>
          <w:rtl/>
        </w:rPr>
        <w:t>[נוסח משולב], התשנ"ה-1995 (להלן - חוק הביטוח הלאומי)</w:t>
      </w:r>
      <w:r w:rsidRPr="00E556CD">
        <w:rPr>
          <w:rFonts w:ascii="Tahoma" w:eastAsia="Times New Roman" w:hAnsi="Tahoma" w:cs="Tahoma" w:hint="cs"/>
          <w:sz w:val="17"/>
          <w:szCs w:val="17"/>
          <w:rtl/>
          <w:lang w:eastAsia="he-IL"/>
        </w:rPr>
        <w:t xml:space="preserve">, ותקנותיו קובעות כי לתושבי ישראל מוקנית הזכות להיקבר ללא תשלום. המוסד לביטוח הלאומי (להלן - הביטוח הלאומי) הוא המממן </w:t>
      </w:r>
      <w:r w:rsidRPr="00FC3BA9">
        <w:rPr>
          <w:rFonts w:ascii="Tahoma" w:eastAsia="Times New Roman" w:hAnsi="Tahoma" w:cs="Tahoma" w:hint="cs"/>
          <w:spacing w:val="-2"/>
          <w:sz w:val="17"/>
          <w:szCs w:val="17"/>
          <w:rtl/>
          <w:lang w:eastAsia="he-IL"/>
        </w:rPr>
        <w:t>את הקבורה, באמצעות תשלום של הוצאות יום הקבורה (דמי קבורה</w:t>
      </w:r>
      <w:r>
        <w:rPr>
          <w:rStyle w:val="FootnoteReference0"/>
          <w:rFonts w:ascii="Tahoma" w:eastAsia="Times New Roman" w:hAnsi="Tahoma" w:cs="Tahoma"/>
          <w:spacing w:val="-2"/>
          <w:sz w:val="17"/>
          <w:szCs w:val="17"/>
          <w:rtl/>
          <w:lang w:eastAsia="he-IL"/>
        </w:rPr>
        <w:footnoteReference w:id="5"/>
      </w:r>
      <w:r w:rsidRPr="00FC3BA9">
        <w:rPr>
          <w:rFonts w:ascii="Tahoma" w:eastAsia="Times New Roman" w:hAnsi="Tahoma" w:cs="Tahoma" w:hint="cs"/>
          <w:spacing w:val="-2"/>
          <w:sz w:val="17"/>
          <w:szCs w:val="17"/>
          <w:rtl/>
          <w:lang w:eastAsia="he-IL"/>
        </w:rPr>
        <w:t>) לגופי הקבורה</w:t>
      </w:r>
      <w:r>
        <w:rPr>
          <w:rStyle w:val="FootnoteReference0"/>
          <w:rFonts w:ascii="Tahoma" w:eastAsia="Times New Roman" w:hAnsi="Tahoma" w:cs="Tahoma"/>
          <w:spacing w:val="-2"/>
          <w:sz w:val="17"/>
          <w:szCs w:val="17"/>
          <w:rtl/>
          <w:lang w:eastAsia="he-IL"/>
        </w:rPr>
        <w:footnoteReference w:id="6"/>
      </w:r>
      <w:r w:rsidRPr="00FC3BA9">
        <w:rPr>
          <w:rFonts w:ascii="Tahoma" w:eastAsia="Times New Roman" w:hAnsi="Tahoma" w:cs="Tahoma" w:hint="cs"/>
          <w:spacing w:val="-2"/>
          <w:sz w:val="17"/>
          <w:szCs w:val="17"/>
          <w:rtl/>
          <w:lang w:eastAsia="he-IL"/>
        </w:rPr>
        <w:t>,</w:t>
      </w:r>
      <w:r w:rsidRPr="00E556CD">
        <w:rPr>
          <w:rFonts w:ascii="Tahoma" w:eastAsia="Times New Roman" w:hAnsi="Tahoma" w:cs="Tahoma" w:hint="cs"/>
          <w:sz w:val="17"/>
          <w:szCs w:val="17"/>
          <w:rtl/>
          <w:lang w:eastAsia="he-IL"/>
        </w:rPr>
        <w:t xml:space="preserve"> המפעילים את בתי העלמין על פי חוק שירותי הדת וחוק הקבורה האזרחית.</w:t>
      </w:r>
    </w:p>
    <w:p w:rsidR="00EF45C8" w:rsidRPr="00E556CD" w:rsidP="00E556CD">
      <w:pPr>
        <w:tabs>
          <w:tab w:val="left" w:pos="372"/>
        </w:tabs>
        <w:spacing w:line="240" w:lineRule="exact"/>
        <w:ind w:left="12" w:right="2268"/>
        <w:jc w:val="both"/>
        <w:rPr>
          <w:rFonts w:ascii="Tahoma" w:eastAsia="Times New Roman" w:hAnsi="Tahoma" w:cs="Tahoma"/>
          <w:sz w:val="17"/>
          <w:szCs w:val="17"/>
          <w:rtl/>
          <w:lang w:eastAsia="he-IL"/>
        </w:rPr>
      </w:pPr>
      <w:r w:rsidRPr="00E556CD">
        <w:rPr>
          <w:rFonts w:ascii="Tahoma" w:eastAsia="Times New Roman" w:hAnsi="Tahoma" w:cs="Tahoma" w:hint="cs"/>
          <w:sz w:val="17"/>
          <w:szCs w:val="17"/>
          <w:rtl/>
          <w:lang w:eastAsia="he-IL"/>
        </w:rPr>
        <w:t>המדינה מממנת באופן חלקי את גופי הקבורה לצורך הקמה ופיתוח של בתי העלמין; מקורות המימון למטרה זו הם, בדרך כלל, הכספים שמקורם במכירת חלקות קבר לחיים</w:t>
      </w:r>
      <w:r>
        <w:rPr>
          <w:rStyle w:val="FootnoteReference0"/>
          <w:rFonts w:ascii="Tahoma" w:eastAsia="Times New Roman" w:hAnsi="Tahoma" w:cs="Tahoma"/>
          <w:sz w:val="17"/>
          <w:szCs w:val="17"/>
          <w:rtl/>
          <w:lang w:eastAsia="he-IL"/>
        </w:rPr>
        <w:footnoteReference w:id="7"/>
      </w:r>
      <w:r w:rsidRPr="00E556CD">
        <w:rPr>
          <w:rFonts w:ascii="Tahoma" w:eastAsia="Times New Roman" w:hAnsi="Tahoma" w:cs="Tahoma" w:hint="cs"/>
          <w:sz w:val="17"/>
          <w:szCs w:val="17"/>
          <w:rtl/>
          <w:lang w:eastAsia="he-IL"/>
        </w:rPr>
        <w:t xml:space="preserve"> ומכירת מקומות קבורה בחלקות חריגות, כגון חלקות בבתי עלמין סגורים או פעילים, שהותרה הגבייה בגינן. יצוין כי לפי דוח שנתי של המשרד לשירותי דת, 30%-25% מהנפטרים נקברים בחלקת קבר שרכשו עוד בחייהם; תעריפי חלקות קבר לחיים מתפרסמים בכל שנה בילקוט הפרסומים, והתעריפים המעודכנים לפברואר 2016 היו בין 3,577 ש"ח בפרדס חנה לבין 14,520 ש"ח בתל אביב, בירושלים ובחיפה.</w:t>
      </w:r>
    </w:p>
    <w:p w:rsidR="00EF45C8" w:rsidRPr="00E556CD" w:rsidP="00E556CD">
      <w:pPr>
        <w:tabs>
          <w:tab w:val="left" w:pos="372"/>
        </w:tabs>
        <w:spacing w:line="240" w:lineRule="exact"/>
        <w:ind w:left="12" w:right="2268"/>
        <w:jc w:val="both"/>
        <w:rPr>
          <w:rFonts w:ascii="Tahoma" w:eastAsia="Times New Roman" w:hAnsi="Tahoma" w:cs="Tahoma"/>
          <w:sz w:val="17"/>
          <w:szCs w:val="17"/>
          <w:rtl/>
          <w:lang w:eastAsia="he-IL"/>
        </w:rPr>
      </w:pPr>
      <w:r w:rsidRPr="00E556CD">
        <w:rPr>
          <w:rFonts w:ascii="Tahoma" w:eastAsia="Times New Roman" w:hAnsi="Tahoma" w:cs="Tahoma" w:hint="cs"/>
          <w:sz w:val="17"/>
          <w:szCs w:val="17"/>
          <w:rtl/>
          <w:lang w:eastAsia="he-IL"/>
        </w:rPr>
        <w:t>מבקר המדינה נדרש בעבר לנושא הקבורה, ובכלל זה לנושא הקבורה האזרחית</w:t>
      </w:r>
      <w:r>
        <w:rPr>
          <w:rStyle w:val="FootnoteReference0"/>
          <w:rFonts w:ascii="Tahoma" w:eastAsia="Times New Roman" w:hAnsi="Tahoma" w:cs="Tahoma"/>
          <w:sz w:val="17"/>
          <w:szCs w:val="17"/>
          <w:rtl/>
          <w:lang w:eastAsia="he-IL"/>
        </w:rPr>
        <w:footnoteReference w:id="8"/>
      </w:r>
      <w:r w:rsidRPr="00E556CD">
        <w:rPr>
          <w:rFonts w:ascii="Tahoma" w:eastAsia="Times New Roman" w:hAnsi="Tahoma" w:cs="Tahoma" w:hint="cs"/>
          <w:sz w:val="17"/>
          <w:szCs w:val="17"/>
          <w:rtl/>
          <w:lang w:eastAsia="he-IL"/>
        </w:rPr>
        <w:t>. בדוח משנת 2010 צוין</w:t>
      </w:r>
      <w:r w:rsidRPr="00E556CD">
        <w:rPr>
          <w:rFonts w:ascii="Tahoma" w:eastAsia="Times New Roman" w:hAnsi="Tahoma" w:cs="Tahoma"/>
          <w:sz w:val="17"/>
          <w:szCs w:val="17"/>
          <w:rtl/>
          <w:lang w:eastAsia="he-IL"/>
        </w:rPr>
        <w:t xml:space="preserve"> כי "בחלוף שלוש עשרה שנים מחקיקת חוק שבו מוכרת זכותו של אדם לקבורה אזרחית חלופית, משתרך יישומו בקצב איטי במיוחד. אפשר להניח שאי-מימוש החוק בהיקף הנדרש והעדר היצע של מקומות לקבורה אזרחית הגבירו את הביקוש לה ביישובים חקלאיים". </w:t>
      </w:r>
      <w:r w:rsidRPr="00E556CD">
        <w:rPr>
          <w:rFonts w:ascii="Tahoma" w:eastAsia="Times New Roman" w:hAnsi="Tahoma" w:cs="Tahoma" w:hint="cs"/>
          <w:sz w:val="17"/>
          <w:szCs w:val="17"/>
          <w:rtl/>
          <w:lang w:eastAsia="he-IL"/>
        </w:rPr>
        <w:t xml:space="preserve">עוד צוין כי </w:t>
      </w:r>
      <w:r w:rsidRPr="00E556CD">
        <w:rPr>
          <w:rFonts w:ascii="Tahoma" w:eastAsia="Times New Roman" w:hAnsi="Tahoma" w:cs="Tahoma"/>
          <w:sz w:val="17"/>
          <w:szCs w:val="17"/>
          <w:rtl/>
          <w:lang w:eastAsia="he-IL"/>
        </w:rPr>
        <w:t xml:space="preserve">כך הפכה הקבורה האזרחית </w:t>
      </w:r>
      <w:r w:rsidRPr="00E556CD">
        <w:rPr>
          <w:rFonts w:ascii="Tahoma" w:eastAsia="Times New Roman" w:hAnsi="Tahoma" w:cs="Tahoma" w:hint="cs"/>
          <w:sz w:val="17"/>
          <w:szCs w:val="17"/>
          <w:rtl/>
          <w:lang w:eastAsia="he-IL"/>
        </w:rPr>
        <w:t>לעסק</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מסחרי</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ב-11</w:t>
      </w:r>
      <w:r w:rsidRPr="00E556CD">
        <w:rPr>
          <w:rFonts w:ascii="Tahoma" w:eastAsia="Times New Roman" w:hAnsi="Tahoma" w:cs="Tahoma"/>
          <w:sz w:val="17"/>
          <w:szCs w:val="17"/>
          <w:rtl/>
          <w:lang w:eastAsia="he-IL"/>
        </w:rPr>
        <w:t xml:space="preserve"> יישובים חקלאיים </w:t>
      </w:r>
      <w:r w:rsidRPr="00E556CD">
        <w:rPr>
          <w:rFonts w:ascii="Tahoma" w:eastAsia="Times New Roman" w:hAnsi="Tahoma" w:cs="Tahoma" w:hint="cs"/>
          <w:sz w:val="17"/>
          <w:szCs w:val="17"/>
          <w:rtl/>
          <w:lang w:eastAsia="he-IL"/>
        </w:rPr>
        <w:t>- שמכרו</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חלקות</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קבר</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תמורת</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תשלום</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גבוה</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מהתעריפים</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שנקבעו</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בתקנות, ועשו זאת</w:t>
      </w:r>
      <w:r w:rsidRPr="00E556CD">
        <w:rPr>
          <w:rFonts w:ascii="Tahoma" w:eastAsia="Times New Roman" w:hAnsi="Tahoma" w:cs="Tahoma"/>
          <w:sz w:val="17"/>
          <w:szCs w:val="17"/>
          <w:rtl/>
          <w:lang w:eastAsia="he-IL"/>
        </w:rPr>
        <w:t xml:space="preserve"> ללא רישיון, ללא אישור </w:t>
      </w:r>
      <w:r w:rsidRPr="00E556CD">
        <w:rPr>
          <w:rFonts w:ascii="Tahoma" w:eastAsia="Times New Roman" w:hAnsi="Tahoma" w:cs="Tahoma" w:hint="cs"/>
          <w:sz w:val="17"/>
          <w:szCs w:val="17"/>
          <w:rtl/>
          <w:lang w:eastAsia="he-IL"/>
        </w:rPr>
        <w:t>רמ</w:t>
      </w:r>
      <w:r w:rsidRPr="00E556CD">
        <w:rPr>
          <w:rFonts w:ascii="Tahoma" w:eastAsia="Times New Roman" w:hAnsi="Tahoma" w:cs="Tahoma"/>
          <w:sz w:val="17"/>
          <w:szCs w:val="17"/>
          <w:rtl/>
          <w:lang w:eastAsia="he-IL"/>
        </w:rPr>
        <w:t>"י</w:t>
      </w:r>
      <w:r w:rsidRPr="00E556CD">
        <w:rPr>
          <w:rFonts w:ascii="Tahoma" w:eastAsia="Times New Roman" w:hAnsi="Tahoma" w:cs="Tahoma"/>
          <w:sz w:val="17"/>
          <w:szCs w:val="17"/>
          <w:rtl/>
          <w:lang w:eastAsia="he-IL"/>
        </w:rPr>
        <w:t xml:space="preserve"> </w:t>
      </w:r>
      <w:r w:rsidRPr="00E556CD">
        <w:rPr>
          <w:rFonts w:ascii="Tahoma" w:eastAsia="Times New Roman" w:hAnsi="Tahoma" w:cs="Tahoma" w:hint="cs"/>
          <w:sz w:val="17"/>
          <w:szCs w:val="17"/>
          <w:rtl/>
          <w:lang w:eastAsia="he-IL"/>
        </w:rPr>
        <w:t>ושלא כחוק</w:t>
      </w:r>
      <w:r w:rsidRPr="00E556CD">
        <w:rPr>
          <w:rFonts w:ascii="Tahoma" w:eastAsia="Times New Roman" w:hAnsi="Tahoma" w:cs="Tahoma"/>
          <w:sz w:val="17"/>
          <w:szCs w:val="17"/>
          <w:rtl/>
          <w:lang w:eastAsia="he-IL"/>
        </w:rPr>
        <w:t>.</w:t>
      </w:r>
    </w:p>
    <w:p w:rsidR="00EF45C8" w:rsidP="00E556CD">
      <w:pPr>
        <w:spacing w:line="240" w:lineRule="exact"/>
        <w:ind w:right="2268"/>
        <w:jc w:val="both"/>
        <w:rPr>
          <w:rFonts w:ascii="Tahoma" w:hAnsi="Tahoma" w:cs="Tahoma"/>
          <w:sz w:val="17"/>
          <w:szCs w:val="17"/>
        </w:rPr>
      </w:pPr>
    </w:p>
    <w:p w:rsidR="005F3BD7" w:rsidRPr="00E556CD" w:rsidP="00E556CD">
      <w:pPr>
        <w:spacing w:line="240" w:lineRule="exact"/>
        <w:ind w:right="2268"/>
        <w:jc w:val="both"/>
        <w:rPr>
          <w:rFonts w:ascii="Tahoma" w:hAnsi="Tahoma" w:cs="Tahoma"/>
          <w:sz w:val="17"/>
          <w:szCs w:val="17"/>
          <w:rtl/>
        </w:rPr>
      </w:pPr>
    </w:p>
    <w:p w:rsidR="00EF45C8" w:rsidRPr="00897F3D" w:rsidP="006B7001">
      <w:pPr>
        <w:pStyle w:val="KOT4"/>
        <w:rPr>
          <w:rtl/>
        </w:rPr>
      </w:pPr>
      <w:r w:rsidRPr="00897F3D">
        <w:rPr>
          <w:rFonts w:hint="cs"/>
          <w:rtl/>
        </w:rPr>
        <w:t>פעולות הביקורת</w:t>
      </w:r>
    </w:p>
    <w:p w:rsidR="00EF45C8" w:rsidRPr="00E556CD" w:rsidP="003C2C06">
      <w:pPr>
        <w:spacing w:line="240" w:lineRule="exact"/>
        <w:ind w:right="2268"/>
        <w:jc w:val="both"/>
        <w:rPr>
          <w:rFonts w:ascii="Tahoma" w:hAnsi="Tahoma" w:cs="Tahoma"/>
          <w:sz w:val="17"/>
          <w:szCs w:val="17"/>
          <w:rtl/>
        </w:rPr>
      </w:pPr>
      <w:r w:rsidRPr="00E556CD">
        <w:rPr>
          <w:rFonts w:ascii="Tahoma" w:hAnsi="Tahoma" w:cs="Tahoma" w:hint="cs"/>
          <w:sz w:val="17"/>
          <w:szCs w:val="17"/>
          <w:rtl/>
        </w:rPr>
        <w:t xml:space="preserve">בחודשים מרץ-אוקטובר 2016 בדק משרד מבקר המדינה את פעולותיהם של משרדי הממשלה ורשויות אחרות הנוגעים בדבר להבטחת מיצוי זכותם של אזרחי המדינה לקבורה אזרחית. הבדיקות נעשו במשרד לשירותי דת, </w:t>
      </w:r>
      <w:r w:rsidRPr="00E556CD">
        <w:rPr>
          <w:rFonts w:ascii="Tahoma" w:hAnsi="Tahoma" w:cs="Tahoma" w:hint="cs"/>
          <w:sz w:val="17"/>
          <w:szCs w:val="17"/>
          <w:rtl/>
        </w:rPr>
        <w:t>ברמ"י</w:t>
      </w:r>
      <w:r w:rsidRPr="00E556CD">
        <w:rPr>
          <w:rFonts w:ascii="Tahoma" w:hAnsi="Tahoma" w:cs="Tahoma" w:hint="cs"/>
          <w:sz w:val="17"/>
          <w:szCs w:val="17"/>
          <w:rtl/>
        </w:rPr>
        <w:t xml:space="preserve">, במוסד לביטוח לאומי, במשרד הפנים </w:t>
      </w:r>
      <w:r w:rsidRPr="00E556CD">
        <w:rPr>
          <w:rFonts w:ascii="Tahoma" w:hAnsi="Tahoma" w:cs="Tahoma" w:hint="cs"/>
          <w:sz w:val="17"/>
          <w:szCs w:val="17"/>
          <w:rtl/>
        </w:rPr>
        <w:t>ובמינהל</w:t>
      </w:r>
      <w:r w:rsidRPr="00E556CD">
        <w:rPr>
          <w:rFonts w:ascii="Tahoma" w:hAnsi="Tahoma" w:cs="Tahoma" w:hint="cs"/>
          <w:sz w:val="17"/>
          <w:szCs w:val="17"/>
          <w:rtl/>
        </w:rPr>
        <w:t xml:space="preserve"> התכנון</w:t>
      </w:r>
      <w:r w:rsidRPr="00E556CD">
        <w:rPr>
          <w:rFonts w:ascii="Tahoma" w:hAnsi="Tahoma" w:cs="Tahoma"/>
          <w:sz w:val="17"/>
          <w:szCs w:val="17"/>
          <w:rtl/>
        </w:rPr>
        <w:t>.</w:t>
      </w:r>
      <w:r w:rsidRPr="00E556CD">
        <w:rPr>
          <w:rFonts w:ascii="Tahoma" w:hAnsi="Tahoma" w:cs="Tahoma" w:hint="cs"/>
          <w:sz w:val="17"/>
          <w:szCs w:val="17"/>
          <w:rtl/>
        </w:rPr>
        <w:t xml:space="preserve"> בדיקות השלמה נעשו ב</w:t>
      </w:r>
      <w:r w:rsidRPr="00E556CD">
        <w:rPr>
          <w:rFonts w:ascii="Tahoma" w:hAnsi="Tahoma" w:cs="Tahoma"/>
          <w:sz w:val="17"/>
          <w:szCs w:val="17"/>
          <w:rtl/>
        </w:rPr>
        <w:t>משרד המשפטים</w:t>
      </w:r>
      <w:r w:rsidRPr="00E556CD">
        <w:rPr>
          <w:rFonts w:ascii="Tahoma" w:hAnsi="Tahoma" w:cs="Tahoma" w:hint="cs"/>
          <w:sz w:val="17"/>
          <w:szCs w:val="17"/>
          <w:rtl/>
        </w:rPr>
        <w:t xml:space="preserve">, במשרד האוצר, </w:t>
      </w:r>
      <w:r w:rsidRPr="00E556CD">
        <w:rPr>
          <w:rFonts w:ascii="Tahoma" w:hAnsi="Tahoma" w:cs="Tahoma"/>
          <w:sz w:val="17"/>
          <w:szCs w:val="17"/>
          <w:rtl/>
        </w:rPr>
        <w:t>במשרד הביטחון</w:t>
      </w:r>
      <w:r w:rsidRPr="00E556CD">
        <w:rPr>
          <w:rFonts w:ascii="Tahoma" w:hAnsi="Tahoma" w:cs="Tahoma" w:hint="cs"/>
          <w:sz w:val="17"/>
          <w:szCs w:val="17"/>
          <w:rtl/>
        </w:rPr>
        <w:t>, בצה"ל, במועצת בתי העלמין ברקת ובוועדה המקומית לתכנון ובנייה חבל מודיעין. כמו כן נפגשו נציגי משרד מבקר המדינה עם נציגי חברות קדישא ותאגידי קבורה.</w:t>
      </w:r>
    </w:p>
    <w:p w:rsidR="00EF45C8" w:rsidRPr="00E556CD" w:rsidP="00E556CD">
      <w:pPr>
        <w:spacing w:line="240" w:lineRule="exact"/>
        <w:ind w:right="2268"/>
        <w:jc w:val="both"/>
        <w:rPr>
          <w:rFonts w:ascii="Tahoma" w:hAnsi="Tahoma" w:cs="Tahoma"/>
          <w:sz w:val="17"/>
          <w:szCs w:val="17"/>
          <w:rtl/>
        </w:rPr>
      </w:pPr>
    </w:p>
    <w:p w:rsidR="00EF45C8" w:rsidRPr="00897F3D" w:rsidP="006B7001">
      <w:pPr>
        <w:pStyle w:val="KOT2"/>
        <w:rPr>
          <w:rtl/>
        </w:rPr>
      </w:pPr>
      <w:r w:rsidRPr="00897F3D">
        <w:rPr>
          <w:rFonts w:hint="cs"/>
          <w:rtl/>
        </w:rPr>
        <w:t xml:space="preserve">פעולות לא מספקות להסדרת </w:t>
      </w:r>
      <w:r w:rsidR="005F3BD7">
        <w:br/>
      </w:r>
      <w:r w:rsidRPr="00897F3D">
        <w:rPr>
          <w:rFonts w:hint="cs"/>
          <w:rtl/>
        </w:rPr>
        <w:t>הקבורה האזרחית</w:t>
      </w:r>
    </w:p>
    <w:p w:rsidR="00EF45C8" w:rsidRPr="00897F3D" w:rsidP="006B7001">
      <w:pPr>
        <w:pStyle w:val="KOT4"/>
        <w:rPr>
          <w:rtl/>
        </w:rPr>
      </w:pPr>
      <w:r w:rsidRPr="00897F3D">
        <w:rPr>
          <w:rtl/>
        </w:rPr>
        <w:t>אי</w:t>
      </w:r>
      <w:r w:rsidRPr="00897F3D">
        <w:rPr>
          <w:rFonts w:hint="cs"/>
          <w:rtl/>
        </w:rPr>
        <w:t>-הכרזה על</w:t>
      </w:r>
      <w:r w:rsidRPr="00897F3D">
        <w:rPr>
          <w:rtl/>
        </w:rPr>
        <w:t xml:space="preserve"> בתי עלמין</w:t>
      </w:r>
      <w:r w:rsidRPr="00897F3D">
        <w:rPr>
          <w:rFonts w:hint="cs"/>
          <w:rtl/>
        </w:rPr>
        <w:t xml:space="preserve"> אזרחיים</w:t>
      </w:r>
    </w:p>
    <w:p w:rsidR="00EF45C8" w:rsidRPr="00E556CD" w:rsidP="00E556CD">
      <w:pPr>
        <w:spacing w:line="240" w:lineRule="exact"/>
        <w:ind w:right="2268"/>
        <w:jc w:val="both"/>
        <w:rPr>
          <w:rFonts w:ascii="Tahoma" w:hAnsi="Tahoma" w:cs="Tahoma"/>
          <w:sz w:val="17"/>
          <w:szCs w:val="17"/>
          <w:rtl/>
        </w:rPr>
      </w:pPr>
      <w:r w:rsidRPr="00E556CD">
        <w:rPr>
          <w:rFonts w:ascii="Tahoma" w:hAnsi="Tahoma" w:cs="Tahoma" w:hint="cs"/>
          <w:sz w:val="17"/>
          <w:szCs w:val="17"/>
          <w:rtl/>
        </w:rPr>
        <w:t>בדרך כלל, עם</w:t>
      </w:r>
      <w:r w:rsidRPr="00E556CD">
        <w:rPr>
          <w:rFonts w:ascii="Tahoma" w:hAnsi="Tahoma" w:cs="Tahoma"/>
          <w:sz w:val="17"/>
          <w:szCs w:val="17"/>
          <w:rtl/>
        </w:rPr>
        <w:t xml:space="preserve"> </w:t>
      </w:r>
      <w:r w:rsidRPr="00E556CD">
        <w:rPr>
          <w:rFonts w:ascii="Tahoma" w:hAnsi="Tahoma" w:cs="Tahoma" w:hint="cs"/>
          <w:sz w:val="17"/>
          <w:szCs w:val="17"/>
          <w:rtl/>
        </w:rPr>
        <w:t>פטירתו</w:t>
      </w:r>
      <w:r w:rsidRPr="00E556CD">
        <w:rPr>
          <w:rFonts w:ascii="Tahoma" w:hAnsi="Tahoma" w:cs="Tahoma"/>
          <w:sz w:val="17"/>
          <w:szCs w:val="17"/>
          <w:rtl/>
        </w:rPr>
        <w:t xml:space="preserve"> </w:t>
      </w:r>
      <w:r w:rsidRPr="00E556CD">
        <w:rPr>
          <w:rFonts w:ascii="Tahoma" w:hAnsi="Tahoma" w:cs="Tahoma" w:hint="cs"/>
          <w:sz w:val="17"/>
          <w:szCs w:val="17"/>
          <w:rtl/>
        </w:rPr>
        <w:t>של</w:t>
      </w:r>
      <w:r w:rsidRPr="00E556CD">
        <w:rPr>
          <w:rFonts w:ascii="Tahoma" w:hAnsi="Tahoma" w:cs="Tahoma"/>
          <w:sz w:val="17"/>
          <w:szCs w:val="17"/>
          <w:rtl/>
        </w:rPr>
        <w:t xml:space="preserve"> </w:t>
      </w:r>
      <w:r w:rsidRPr="00E556CD">
        <w:rPr>
          <w:rFonts w:ascii="Tahoma" w:hAnsi="Tahoma" w:cs="Tahoma" w:hint="cs"/>
          <w:sz w:val="17"/>
          <w:szCs w:val="17"/>
          <w:rtl/>
        </w:rPr>
        <w:t>תושב</w:t>
      </w:r>
      <w:r w:rsidRPr="00E556CD">
        <w:rPr>
          <w:rFonts w:ascii="Tahoma" w:hAnsi="Tahoma" w:cs="Tahoma"/>
          <w:sz w:val="17"/>
          <w:szCs w:val="17"/>
          <w:rtl/>
        </w:rPr>
        <w:t xml:space="preserve"> </w:t>
      </w:r>
      <w:r w:rsidRPr="00E556CD">
        <w:rPr>
          <w:rFonts w:ascii="Tahoma" w:hAnsi="Tahoma" w:cs="Tahoma" w:hint="cs"/>
          <w:sz w:val="17"/>
          <w:szCs w:val="17"/>
          <w:rtl/>
        </w:rPr>
        <w:t>ישראל</w:t>
      </w:r>
      <w:r w:rsidRPr="00E556CD">
        <w:rPr>
          <w:rFonts w:ascii="Tahoma" w:hAnsi="Tahoma" w:cs="Tahoma"/>
          <w:sz w:val="17"/>
          <w:szCs w:val="17"/>
          <w:rtl/>
        </w:rPr>
        <w:t xml:space="preserve"> </w:t>
      </w:r>
      <w:r w:rsidRPr="00E556CD">
        <w:rPr>
          <w:rFonts w:ascii="Tahoma" w:hAnsi="Tahoma" w:cs="Tahoma" w:hint="cs"/>
          <w:sz w:val="17"/>
          <w:szCs w:val="17"/>
          <w:rtl/>
        </w:rPr>
        <w:t>קרוביו</w:t>
      </w:r>
      <w:r w:rsidRPr="00E556CD">
        <w:rPr>
          <w:rFonts w:ascii="Tahoma" w:hAnsi="Tahoma" w:cs="Tahoma"/>
          <w:sz w:val="17"/>
          <w:szCs w:val="17"/>
          <w:rtl/>
        </w:rPr>
        <w:t xml:space="preserve"> </w:t>
      </w:r>
      <w:r w:rsidRPr="00E556CD">
        <w:rPr>
          <w:rFonts w:ascii="Tahoma" w:hAnsi="Tahoma" w:cs="Tahoma" w:hint="cs"/>
          <w:sz w:val="17"/>
          <w:szCs w:val="17"/>
          <w:rtl/>
        </w:rPr>
        <w:t>יוצרים</w:t>
      </w:r>
      <w:r w:rsidRPr="00E556CD">
        <w:rPr>
          <w:rFonts w:ascii="Tahoma" w:hAnsi="Tahoma" w:cs="Tahoma"/>
          <w:sz w:val="17"/>
          <w:szCs w:val="17"/>
          <w:rtl/>
        </w:rPr>
        <w:t xml:space="preserve"> </w:t>
      </w:r>
      <w:r w:rsidRPr="00E556CD">
        <w:rPr>
          <w:rFonts w:ascii="Tahoma" w:hAnsi="Tahoma" w:cs="Tahoma" w:hint="cs"/>
          <w:sz w:val="17"/>
          <w:szCs w:val="17"/>
          <w:rtl/>
        </w:rPr>
        <w:t>קשר</w:t>
      </w:r>
      <w:r w:rsidRPr="00E556CD">
        <w:rPr>
          <w:rFonts w:ascii="Tahoma" w:hAnsi="Tahoma" w:cs="Tahoma"/>
          <w:sz w:val="17"/>
          <w:szCs w:val="17"/>
          <w:rtl/>
        </w:rPr>
        <w:t xml:space="preserve"> </w:t>
      </w:r>
      <w:r w:rsidRPr="00E556CD">
        <w:rPr>
          <w:rFonts w:ascii="Tahoma" w:hAnsi="Tahoma" w:cs="Tahoma" w:hint="cs"/>
          <w:sz w:val="17"/>
          <w:szCs w:val="17"/>
          <w:rtl/>
        </w:rPr>
        <w:t>עם</w:t>
      </w:r>
      <w:r w:rsidRPr="00E556CD">
        <w:rPr>
          <w:rFonts w:ascii="Tahoma" w:hAnsi="Tahoma" w:cs="Tahoma"/>
          <w:sz w:val="17"/>
          <w:szCs w:val="17"/>
          <w:rtl/>
        </w:rPr>
        <w:t xml:space="preserve"> </w:t>
      </w:r>
      <w:r w:rsidRPr="00E556CD">
        <w:rPr>
          <w:rFonts w:ascii="Tahoma" w:hAnsi="Tahoma" w:cs="Tahoma" w:hint="cs"/>
          <w:sz w:val="17"/>
          <w:szCs w:val="17"/>
          <w:rtl/>
        </w:rPr>
        <w:t>חברת</w:t>
      </w:r>
      <w:r w:rsidRPr="00E556CD">
        <w:rPr>
          <w:rFonts w:ascii="Tahoma" w:hAnsi="Tahoma" w:cs="Tahoma"/>
          <w:sz w:val="17"/>
          <w:szCs w:val="17"/>
          <w:rtl/>
        </w:rPr>
        <w:t xml:space="preserve"> </w:t>
      </w:r>
      <w:r w:rsidRPr="00E556CD">
        <w:rPr>
          <w:rFonts w:ascii="Tahoma" w:hAnsi="Tahoma" w:cs="Tahoma" w:hint="cs"/>
          <w:sz w:val="17"/>
          <w:szCs w:val="17"/>
          <w:rtl/>
        </w:rPr>
        <w:t>קבורה</w:t>
      </w:r>
      <w:r w:rsidRPr="00E556CD">
        <w:rPr>
          <w:rFonts w:ascii="Tahoma" w:hAnsi="Tahoma" w:cs="Tahoma"/>
          <w:sz w:val="17"/>
          <w:szCs w:val="17"/>
          <w:rtl/>
        </w:rPr>
        <w:t xml:space="preserve"> במקום מגוריו לצורך קבורתו. בהתאם </w:t>
      </w:r>
      <w:r w:rsidRPr="00E556CD">
        <w:rPr>
          <w:rFonts w:ascii="Tahoma" w:hAnsi="Tahoma" w:cs="Tahoma" w:hint="cs"/>
          <w:sz w:val="17"/>
          <w:szCs w:val="17"/>
          <w:rtl/>
        </w:rPr>
        <w:t>ל</w:t>
      </w:r>
      <w:r w:rsidRPr="00E556CD">
        <w:rPr>
          <w:rFonts w:ascii="Tahoma" w:hAnsi="Tahoma" w:cs="Tahoma"/>
          <w:sz w:val="17"/>
          <w:szCs w:val="17"/>
          <w:rtl/>
        </w:rPr>
        <w:t>חוק הביטוח הלאומי ו</w:t>
      </w:r>
      <w:r w:rsidRPr="00E556CD">
        <w:rPr>
          <w:rFonts w:ascii="Tahoma" w:hAnsi="Tahoma" w:cs="Tahoma" w:hint="cs"/>
          <w:sz w:val="17"/>
          <w:szCs w:val="17"/>
          <w:rtl/>
        </w:rPr>
        <w:t>לתקנות</w:t>
      </w:r>
      <w:r w:rsidRPr="00E556CD">
        <w:rPr>
          <w:rFonts w:ascii="Tahoma" w:hAnsi="Tahoma" w:cs="Tahoma"/>
          <w:sz w:val="17"/>
          <w:szCs w:val="17"/>
          <w:rtl/>
        </w:rPr>
        <w:t xml:space="preserve"> הביטוח הלאומי (דמי קבורה), התשל"ו-1976, הביטוח הלאומי משלם לחברת הקבורה</w:t>
      </w:r>
      <w:r>
        <w:rPr>
          <w:rStyle w:val="FootnoteReference0"/>
          <w:rFonts w:ascii="Tahoma" w:hAnsi="Tahoma" w:cs="Tahoma"/>
          <w:sz w:val="17"/>
          <w:szCs w:val="17"/>
          <w:rtl/>
        </w:rPr>
        <w:footnoteReference w:id="9"/>
      </w:r>
      <w:r w:rsidRPr="00E556CD">
        <w:rPr>
          <w:rFonts w:ascii="Tahoma" w:hAnsi="Tahoma" w:cs="Tahoma"/>
          <w:sz w:val="17"/>
          <w:szCs w:val="17"/>
          <w:rtl/>
        </w:rPr>
        <w:t xml:space="preserve"> את הוצאות הקבורה. </w:t>
      </w:r>
      <w:r w:rsidRPr="00E556CD">
        <w:rPr>
          <w:rFonts w:ascii="Tahoma" w:hAnsi="Tahoma" w:cs="Tahoma" w:hint="cs"/>
          <w:sz w:val="17"/>
          <w:szCs w:val="17"/>
          <w:rtl/>
        </w:rPr>
        <w:t>על פי חוק שירותי הדת ותקנותיו, חברת הקבורה לא תדרוש ולא תגבה עבור שירותי הקבורה כל סכום זולת הסכום שהותר לגבותו לפי תקנות דמי קבורה.</w:t>
      </w:r>
      <w:r w:rsidRPr="00E556CD">
        <w:rPr>
          <w:rFonts w:ascii="Tahoma" w:hAnsi="Tahoma" w:cs="Tahoma"/>
          <w:b/>
          <w:bCs/>
          <w:sz w:val="17"/>
          <w:szCs w:val="17"/>
          <w:rtl/>
        </w:rPr>
        <w:t xml:space="preserve"> </w:t>
      </w:r>
      <w:r w:rsidRPr="00E556CD">
        <w:rPr>
          <w:rFonts w:ascii="Tahoma" w:hAnsi="Tahoma" w:cs="Tahoma" w:hint="cs"/>
          <w:sz w:val="17"/>
          <w:szCs w:val="17"/>
          <w:rtl/>
        </w:rPr>
        <w:t>את</w:t>
      </w:r>
      <w:r w:rsidRPr="00E556CD">
        <w:rPr>
          <w:rFonts w:ascii="Tahoma" w:hAnsi="Tahoma" w:cs="Tahoma"/>
          <w:sz w:val="17"/>
          <w:szCs w:val="17"/>
          <w:rtl/>
        </w:rPr>
        <w:t xml:space="preserve"> </w:t>
      </w:r>
      <w:r w:rsidRPr="00E556CD">
        <w:rPr>
          <w:rFonts w:ascii="Tahoma" w:hAnsi="Tahoma" w:cs="Tahoma" w:hint="cs"/>
          <w:sz w:val="17"/>
          <w:szCs w:val="17"/>
          <w:rtl/>
        </w:rPr>
        <w:t>שירותי</w:t>
      </w:r>
      <w:r w:rsidRPr="00E556CD">
        <w:rPr>
          <w:rFonts w:ascii="Tahoma" w:hAnsi="Tahoma" w:cs="Tahoma"/>
          <w:sz w:val="17"/>
          <w:szCs w:val="17"/>
          <w:rtl/>
        </w:rPr>
        <w:t xml:space="preserve"> הקבורה ליהודים </w:t>
      </w:r>
      <w:r w:rsidRPr="00E556CD">
        <w:rPr>
          <w:rFonts w:ascii="Tahoma" w:hAnsi="Tahoma" w:cs="Tahoma" w:hint="cs"/>
          <w:sz w:val="17"/>
          <w:szCs w:val="17"/>
          <w:rtl/>
        </w:rPr>
        <w:t>נותנות</w:t>
      </w:r>
      <w:r w:rsidRPr="00E556CD">
        <w:rPr>
          <w:rFonts w:ascii="Tahoma" w:hAnsi="Tahoma" w:cs="Tahoma"/>
          <w:sz w:val="17"/>
          <w:szCs w:val="17"/>
          <w:rtl/>
        </w:rPr>
        <w:t xml:space="preserve"> </w:t>
      </w:r>
      <w:r w:rsidRPr="00E556CD">
        <w:rPr>
          <w:rFonts w:ascii="Tahoma" w:hAnsi="Tahoma" w:cs="Tahoma" w:hint="cs"/>
          <w:sz w:val="17"/>
          <w:szCs w:val="17"/>
          <w:rtl/>
        </w:rPr>
        <w:t>חברות</w:t>
      </w:r>
      <w:r w:rsidRPr="00E556CD">
        <w:rPr>
          <w:rFonts w:ascii="Tahoma" w:hAnsi="Tahoma" w:cs="Tahoma"/>
          <w:sz w:val="17"/>
          <w:szCs w:val="17"/>
          <w:rtl/>
        </w:rPr>
        <w:t xml:space="preserve"> קבורה בהתאם לתקנות שירותי הדת היהודיים (חברות לענייני קבורה), התשכ"ז-1966 (להלן - תקנות שירותי הדת). הביטוח הלאומי </w:t>
      </w:r>
      <w:r w:rsidRPr="00E556CD">
        <w:rPr>
          <w:rFonts w:ascii="Tahoma" w:hAnsi="Tahoma" w:cs="Tahoma" w:hint="cs"/>
          <w:sz w:val="17"/>
          <w:szCs w:val="17"/>
          <w:rtl/>
        </w:rPr>
        <w:t xml:space="preserve">חותם </w:t>
      </w:r>
      <w:r w:rsidRPr="00E556CD">
        <w:rPr>
          <w:rFonts w:ascii="Tahoma" w:hAnsi="Tahoma" w:cs="Tahoma"/>
          <w:sz w:val="17"/>
          <w:szCs w:val="17"/>
          <w:rtl/>
        </w:rPr>
        <w:t xml:space="preserve">עם </w:t>
      </w:r>
      <w:r w:rsidRPr="00E556CD">
        <w:rPr>
          <w:rFonts w:ascii="Tahoma" w:hAnsi="Tahoma" w:cs="Tahoma" w:hint="cs"/>
          <w:sz w:val="17"/>
          <w:szCs w:val="17"/>
          <w:rtl/>
        </w:rPr>
        <w:t xml:space="preserve">אותן </w:t>
      </w:r>
      <w:r w:rsidRPr="00E556CD">
        <w:rPr>
          <w:rFonts w:ascii="Tahoma" w:hAnsi="Tahoma" w:cs="Tahoma"/>
          <w:sz w:val="17"/>
          <w:szCs w:val="17"/>
          <w:rtl/>
        </w:rPr>
        <w:t xml:space="preserve">חברות </w:t>
      </w:r>
      <w:r w:rsidRPr="00E556CD">
        <w:rPr>
          <w:rFonts w:ascii="Tahoma" w:hAnsi="Tahoma" w:cs="Tahoma" w:hint="cs"/>
          <w:sz w:val="17"/>
          <w:szCs w:val="17"/>
          <w:rtl/>
        </w:rPr>
        <w:t>על</w:t>
      </w:r>
      <w:r w:rsidRPr="00E556CD">
        <w:rPr>
          <w:rFonts w:ascii="Tahoma" w:hAnsi="Tahoma" w:cs="Tahoma"/>
          <w:sz w:val="17"/>
          <w:szCs w:val="17"/>
          <w:rtl/>
        </w:rPr>
        <w:t xml:space="preserve"> הסכמי הפעלה </w:t>
      </w:r>
      <w:r w:rsidRPr="00E556CD">
        <w:rPr>
          <w:rFonts w:ascii="Tahoma" w:hAnsi="Tahoma" w:cs="Tahoma" w:hint="cs"/>
          <w:sz w:val="17"/>
          <w:szCs w:val="17"/>
          <w:rtl/>
        </w:rPr>
        <w:t>ובהם</w:t>
      </w:r>
      <w:r w:rsidRPr="00E556CD">
        <w:rPr>
          <w:rFonts w:ascii="Tahoma" w:hAnsi="Tahoma" w:cs="Tahoma"/>
          <w:sz w:val="17"/>
          <w:szCs w:val="17"/>
          <w:rtl/>
        </w:rPr>
        <w:t xml:space="preserve"> </w:t>
      </w:r>
      <w:r w:rsidRPr="00E556CD">
        <w:rPr>
          <w:rFonts w:ascii="Tahoma" w:hAnsi="Tahoma" w:cs="Tahoma" w:hint="cs"/>
          <w:sz w:val="17"/>
          <w:szCs w:val="17"/>
          <w:rtl/>
        </w:rPr>
        <w:t>נקבעים</w:t>
      </w:r>
      <w:r w:rsidRPr="00E556CD">
        <w:rPr>
          <w:rFonts w:ascii="Tahoma" w:hAnsi="Tahoma" w:cs="Tahoma"/>
          <w:sz w:val="17"/>
          <w:szCs w:val="17"/>
          <w:rtl/>
        </w:rPr>
        <w:t xml:space="preserve"> היישובים שבתחום </w:t>
      </w:r>
      <w:r w:rsidRPr="00E556CD">
        <w:rPr>
          <w:rFonts w:ascii="Tahoma" w:hAnsi="Tahoma" w:cs="Tahoma" w:hint="cs"/>
          <w:sz w:val="17"/>
          <w:szCs w:val="17"/>
          <w:rtl/>
        </w:rPr>
        <w:t>טיפולה</w:t>
      </w:r>
      <w:r w:rsidRPr="00E556CD">
        <w:rPr>
          <w:rFonts w:ascii="Tahoma" w:hAnsi="Tahoma" w:cs="Tahoma"/>
          <w:sz w:val="17"/>
          <w:szCs w:val="17"/>
          <w:rtl/>
        </w:rPr>
        <w:t xml:space="preserve"> </w:t>
      </w:r>
      <w:r w:rsidRPr="00E556CD">
        <w:rPr>
          <w:rFonts w:ascii="Tahoma" w:hAnsi="Tahoma" w:cs="Tahoma" w:hint="cs"/>
          <w:sz w:val="17"/>
          <w:szCs w:val="17"/>
          <w:rtl/>
        </w:rPr>
        <w:t>של</w:t>
      </w:r>
      <w:r w:rsidRPr="00E556CD">
        <w:rPr>
          <w:rFonts w:ascii="Tahoma" w:hAnsi="Tahoma" w:cs="Tahoma"/>
          <w:sz w:val="17"/>
          <w:szCs w:val="17"/>
          <w:rtl/>
        </w:rPr>
        <w:t xml:space="preserve"> </w:t>
      </w:r>
      <w:r w:rsidRPr="00E556CD">
        <w:rPr>
          <w:rFonts w:ascii="Tahoma" w:hAnsi="Tahoma" w:cs="Tahoma" w:hint="cs"/>
          <w:sz w:val="17"/>
          <w:szCs w:val="17"/>
          <w:rtl/>
        </w:rPr>
        <w:t>כל</w:t>
      </w:r>
      <w:r w:rsidRPr="00E556CD">
        <w:rPr>
          <w:rFonts w:ascii="Tahoma" w:hAnsi="Tahoma" w:cs="Tahoma"/>
          <w:sz w:val="17"/>
          <w:szCs w:val="17"/>
          <w:rtl/>
        </w:rPr>
        <w:t xml:space="preserve"> </w:t>
      </w:r>
      <w:r w:rsidRPr="00E556CD">
        <w:rPr>
          <w:rFonts w:ascii="Tahoma" w:hAnsi="Tahoma" w:cs="Tahoma" w:hint="cs"/>
          <w:sz w:val="17"/>
          <w:szCs w:val="17"/>
          <w:rtl/>
        </w:rPr>
        <w:t>חברה</w:t>
      </w:r>
      <w:r w:rsidRPr="00E556CD">
        <w:rPr>
          <w:rFonts w:ascii="Tahoma" w:hAnsi="Tahoma" w:cs="Tahoma"/>
          <w:sz w:val="17"/>
          <w:szCs w:val="17"/>
          <w:rtl/>
        </w:rPr>
        <w:t xml:space="preserve"> </w:t>
      </w:r>
      <w:r w:rsidRPr="00E556CD">
        <w:rPr>
          <w:rFonts w:ascii="Tahoma" w:hAnsi="Tahoma" w:cs="Tahoma" w:hint="cs"/>
          <w:sz w:val="17"/>
          <w:szCs w:val="17"/>
          <w:rtl/>
        </w:rPr>
        <w:t>והכללים</w:t>
      </w:r>
      <w:r w:rsidRPr="00E556CD">
        <w:rPr>
          <w:rFonts w:ascii="Tahoma" w:hAnsi="Tahoma" w:cs="Tahoma"/>
          <w:sz w:val="17"/>
          <w:szCs w:val="17"/>
          <w:rtl/>
        </w:rPr>
        <w:t xml:space="preserve"> שעל פיהם </w:t>
      </w:r>
      <w:r w:rsidRPr="00E556CD">
        <w:rPr>
          <w:rFonts w:ascii="Tahoma" w:hAnsi="Tahoma" w:cs="Tahoma" w:hint="cs"/>
          <w:sz w:val="17"/>
          <w:szCs w:val="17"/>
          <w:rtl/>
        </w:rPr>
        <w:t>היא</w:t>
      </w:r>
      <w:r w:rsidRPr="00E556CD">
        <w:rPr>
          <w:rFonts w:ascii="Tahoma" w:hAnsi="Tahoma" w:cs="Tahoma"/>
          <w:sz w:val="17"/>
          <w:szCs w:val="17"/>
          <w:rtl/>
        </w:rPr>
        <w:t xml:space="preserve"> </w:t>
      </w:r>
      <w:r w:rsidRPr="00E556CD">
        <w:rPr>
          <w:rFonts w:ascii="Tahoma" w:hAnsi="Tahoma" w:cs="Tahoma" w:hint="cs"/>
          <w:sz w:val="17"/>
          <w:szCs w:val="17"/>
          <w:rtl/>
        </w:rPr>
        <w:t>חייבת</w:t>
      </w:r>
      <w:r w:rsidRPr="00E556CD">
        <w:rPr>
          <w:rFonts w:ascii="Tahoma" w:hAnsi="Tahoma" w:cs="Tahoma"/>
          <w:sz w:val="17"/>
          <w:szCs w:val="17"/>
          <w:rtl/>
        </w:rPr>
        <w:t xml:space="preserve"> </w:t>
      </w:r>
      <w:r w:rsidRPr="00E556CD">
        <w:rPr>
          <w:rFonts w:ascii="Tahoma" w:hAnsi="Tahoma" w:cs="Tahoma" w:hint="cs"/>
          <w:sz w:val="17"/>
          <w:szCs w:val="17"/>
          <w:rtl/>
        </w:rPr>
        <w:t>לפעול</w:t>
      </w:r>
      <w:r w:rsidRPr="00E556CD">
        <w:rPr>
          <w:rFonts w:ascii="Tahoma" w:hAnsi="Tahoma" w:cs="Tahoma"/>
          <w:sz w:val="17"/>
          <w:szCs w:val="17"/>
          <w:rtl/>
        </w:rPr>
        <w:t>.</w:t>
      </w:r>
    </w:p>
    <w:p w:rsidR="00EF45C8" w:rsidRPr="00E556CD" w:rsidP="00E556CD">
      <w:pPr>
        <w:spacing w:line="240" w:lineRule="exact"/>
        <w:ind w:right="2268"/>
        <w:jc w:val="both"/>
        <w:rPr>
          <w:rFonts w:ascii="Tahoma" w:hAnsi="Tahoma" w:cs="Tahoma"/>
          <w:sz w:val="17"/>
          <w:szCs w:val="17"/>
          <w:rtl/>
        </w:rPr>
      </w:pPr>
      <w:r w:rsidRPr="00E556CD">
        <w:rPr>
          <w:rFonts w:ascii="Tahoma" w:hAnsi="Tahoma" w:cs="Tahoma" w:hint="cs"/>
          <w:sz w:val="17"/>
          <w:szCs w:val="17"/>
          <w:rtl/>
        </w:rPr>
        <w:t xml:space="preserve">חוק הקבורה האזרחית קובע כי "השר יקבע מקום אשר ייועד, בכפוף לכל דין, לשמש כבית עלמין אזרחי חלופי; מקום כאמור יכול שיהיה חלק מבית עלמין אחר. בתי העלמין יהיו באזורי הארץ השונים, ומרחקים סבירים ביניהם... בית עלמין אזרחי חלופי ינוהל בידי תאגיד לענייני קבורה". יצוין כי בדברי ההסבר להצעת החוק הוגדרו אוכלוסיות שהחוק נועד להבטיח את זכותן לקבורה באופן התואם את השקפת עולמן, והן: יהודים, שאינם יהודים ובני עדה דתית מוכרת אחרת, החפצים בקבורה שתתבצע על פי עקרונותיהם והשקפת עולמם. עוד צוין בדברי ההסבר כי מוצע לפתור גם את בעיית קבורתם של חסרי עדה דתית מוכרת. יהודים אשר על פי ההלכה היהודית יש </w:t>
      </w:r>
      <w:r w:rsidRPr="00E556CD">
        <w:rPr>
          <w:rFonts w:ascii="Tahoma" w:hAnsi="Tahoma" w:cs="Tahoma" w:hint="cs"/>
          <w:sz w:val="17"/>
          <w:szCs w:val="17"/>
          <w:rtl/>
        </w:rPr>
        <w:t>לקוברם</w:t>
      </w:r>
      <w:r w:rsidRPr="00E556CD">
        <w:rPr>
          <w:rFonts w:ascii="Tahoma" w:hAnsi="Tahoma" w:cs="Tahoma" w:hint="cs"/>
          <w:sz w:val="17"/>
          <w:szCs w:val="17"/>
          <w:rtl/>
        </w:rPr>
        <w:t xml:space="preserve"> מחוץ לגדר, בשל נסיבות מותם או משום שיהדותם מוטלת בספק, יוכלו לבחור בדרך של קבורה אזרחית חלופית זו.</w:t>
      </w:r>
    </w:p>
    <w:p w:rsidR="00EF45C8" w:rsidRPr="00E556CD" w:rsidP="00E556CD">
      <w:pPr>
        <w:spacing w:line="240" w:lineRule="exact"/>
        <w:ind w:right="2268"/>
        <w:jc w:val="both"/>
        <w:rPr>
          <w:rFonts w:ascii="Tahoma" w:hAnsi="Tahoma" w:cs="Tahoma"/>
          <w:sz w:val="17"/>
          <w:szCs w:val="17"/>
        </w:rPr>
      </w:pPr>
      <w:r w:rsidRPr="00FC3BA9">
        <w:rPr>
          <w:rFonts w:ascii="Tahoma" w:hAnsi="Tahoma" w:cs="Tahoma"/>
          <w:spacing w:val="-2"/>
          <w:sz w:val="17"/>
          <w:szCs w:val="17"/>
          <w:rtl/>
        </w:rPr>
        <w:t xml:space="preserve">בשנת 1998 התקין </w:t>
      </w:r>
      <w:r w:rsidRPr="00FC3BA9">
        <w:rPr>
          <w:rFonts w:ascii="Tahoma" w:hAnsi="Tahoma" w:cs="Tahoma" w:hint="cs"/>
          <w:spacing w:val="-2"/>
          <w:sz w:val="17"/>
          <w:szCs w:val="17"/>
          <w:rtl/>
        </w:rPr>
        <w:t>ה</w:t>
      </w:r>
      <w:r w:rsidRPr="00FC3BA9">
        <w:rPr>
          <w:rFonts w:ascii="Tahoma" w:hAnsi="Tahoma" w:cs="Tahoma"/>
          <w:spacing w:val="-2"/>
          <w:sz w:val="17"/>
          <w:szCs w:val="17"/>
          <w:rtl/>
        </w:rPr>
        <w:t>שר ל</w:t>
      </w:r>
      <w:r w:rsidRPr="00FC3BA9">
        <w:rPr>
          <w:rFonts w:ascii="Tahoma" w:hAnsi="Tahoma" w:cs="Tahoma" w:hint="cs"/>
          <w:spacing w:val="-2"/>
          <w:sz w:val="17"/>
          <w:szCs w:val="17"/>
          <w:rtl/>
        </w:rPr>
        <w:t>שירותי</w:t>
      </w:r>
      <w:r w:rsidRPr="00FC3BA9">
        <w:rPr>
          <w:rFonts w:ascii="Tahoma" w:hAnsi="Tahoma" w:cs="Tahoma"/>
          <w:spacing w:val="-2"/>
          <w:sz w:val="17"/>
          <w:szCs w:val="17"/>
          <w:rtl/>
        </w:rPr>
        <w:t xml:space="preserve"> דת</w:t>
      </w:r>
      <w:r>
        <w:rPr>
          <w:rStyle w:val="FootnoteReference0"/>
          <w:rFonts w:ascii="Tahoma" w:hAnsi="Tahoma" w:cs="Tahoma"/>
          <w:spacing w:val="-2"/>
          <w:sz w:val="17"/>
          <w:szCs w:val="17"/>
          <w:rtl/>
        </w:rPr>
        <w:footnoteReference w:id="10"/>
      </w:r>
      <w:r w:rsidRPr="00FC3BA9">
        <w:rPr>
          <w:rFonts w:ascii="Tahoma" w:hAnsi="Tahoma" w:cs="Tahoma"/>
          <w:spacing w:val="-2"/>
          <w:sz w:val="17"/>
          <w:szCs w:val="17"/>
          <w:rtl/>
        </w:rPr>
        <w:t xml:space="preserve"> </w:t>
      </w:r>
      <w:r w:rsidRPr="00FC3BA9">
        <w:rPr>
          <w:rFonts w:ascii="Tahoma" w:hAnsi="Tahoma" w:cs="Tahoma" w:hint="cs"/>
          <w:spacing w:val="-2"/>
          <w:sz w:val="17"/>
          <w:szCs w:val="17"/>
          <w:rtl/>
        </w:rPr>
        <w:t xml:space="preserve">דאז </w:t>
      </w:r>
      <w:r w:rsidRPr="00FC3BA9">
        <w:rPr>
          <w:rFonts w:ascii="Tahoma" w:hAnsi="Tahoma" w:cs="Tahoma"/>
          <w:spacing w:val="-2"/>
          <w:sz w:val="17"/>
          <w:szCs w:val="17"/>
          <w:rtl/>
        </w:rPr>
        <w:t>את תקנות הזכות לקבורה אזרחית חלופית</w:t>
      </w:r>
      <w:r w:rsidRPr="00E556CD">
        <w:rPr>
          <w:rFonts w:ascii="Tahoma" w:hAnsi="Tahoma" w:cs="Tahoma"/>
          <w:sz w:val="17"/>
          <w:szCs w:val="17"/>
          <w:rtl/>
        </w:rPr>
        <w:t xml:space="preserve"> (רישוי תאגידים לענייני קבורה וקביעת נ</w:t>
      </w:r>
      <w:r w:rsidRPr="00E556CD">
        <w:rPr>
          <w:rFonts w:ascii="Tahoma" w:hAnsi="Tahoma" w:cs="Tahoma" w:hint="cs"/>
          <w:sz w:val="17"/>
          <w:szCs w:val="17"/>
          <w:rtl/>
        </w:rPr>
        <w:t>ו</w:t>
      </w:r>
      <w:r w:rsidRPr="00E556CD">
        <w:rPr>
          <w:rFonts w:ascii="Tahoma" w:hAnsi="Tahoma" w:cs="Tahoma"/>
          <w:sz w:val="17"/>
          <w:szCs w:val="17"/>
          <w:rtl/>
        </w:rPr>
        <w:t>הלי קבורה), התשנ"ט-1998 (להלן - תקנות הקבורה האזרחית או התקנות).</w:t>
      </w:r>
      <w:r w:rsidRPr="00E556CD">
        <w:rPr>
          <w:rFonts w:ascii="Tahoma" w:hAnsi="Tahoma" w:cs="Tahoma" w:hint="cs"/>
          <w:sz w:val="17"/>
          <w:szCs w:val="17"/>
          <w:rtl/>
        </w:rPr>
        <w:t xml:space="preserve"> בתקנות אלה, בדומה לתקנות לשירותי הדת, נקבע כי תאגיד לא ידרוש ולא יגבה עבור שירותי הקבורה כל סכום זולת הסכום שהותר לגבותו לפי תקנות דמי קבורה; התקנות קובעות כי השר רשאי לבטל או להתלות את הרישיון שניתן לתאגיד שהפר תנאי מתנאי הרישיון.</w:t>
      </w:r>
    </w:p>
    <w:p w:rsidR="00EF45C8" w:rsidRPr="00E556CD" w:rsidP="00E556CD">
      <w:pPr>
        <w:spacing w:line="240" w:lineRule="exact"/>
        <w:ind w:right="2268"/>
        <w:jc w:val="both"/>
        <w:rPr>
          <w:rFonts w:ascii="Tahoma" w:hAnsi="Tahoma" w:eastAsiaTheme="majorEastAsia" w:cs="Tahoma"/>
          <w:bCs/>
          <w:sz w:val="17"/>
          <w:szCs w:val="17"/>
        </w:rPr>
      </w:pPr>
      <w:r w:rsidRPr="00E556CD">
        <w:rPr>
          <w:rFonts w:ascii="Tahoma" w:hAnsi="Tahoma" w:cs="Tahoma" w:hint="cs"/>
          <w:sz w:val="17"/>
          <w:szCs w:val="17"/>
          <w:rtl/>
        </w:rPr>
        <w:t xml:space="preserve">בתקנות נקבע גם כי בית עלמין אזרחי חלופי הוא "בית עלמין או חלק ממנו שמתקיימים לגביו כל אלה: </w:t>
      </w:r>
      <w:r w:rsidR="005F3BD7">
        <w:rPr>
          <w:rFonts w:ascii="Tahoma" w:hAnsi="Tahoma" w:cs="Tahoma"/>
          <w:sz w:val="17"/>
          <w:szCs w:val="17"/>
        </w:rPr>
        <w:t xml:space="preserve"> </w:t>
      </w:r>
      <w:r w:rsidRPr="00E556CD">
        <w:rPr>
          <w:rFonts w:ascii="Tahoma" w:hAnsi="Tahoma" w:cs="Tahoma" w:hint="cs"/>
          <w:sz w:val="17"/>
          <w:szCs w:val="17"/>
          <w:rtl/>
        </w:rPr>
        <w:t xml:space="preserve">(1) הקבורה בו נעשית על פי השקפתו של אדם; </w:t>
      </w:r>
      <w:r w:rsidR="005F3BD7">
        <w:rPr>
          <w:rFonts w:ascii="Tahoma" w:hAnsi="Tahoma" w:cs="Tahoma"/>
          <w:sz w:val="17"/>
          <w:szCs w:val="17"/>
        </w:rPr>
        <w:br/>
      </w:r>
      <w:r w:rsidRPr="00E556CD">
        <w:rPr>
          <w:rFonts w:ascii="Tahoma" w:hAnsi="Tahoma" w:cs="Tahoma" w:hint="cs"/>
          <w:sz w:val="17"/>
          <w:szCs w:val="17"/>
          <w:rtl/>
        </w:rPr>
        <w:t xml:space="preserve">(2) זכאי להיקבר בו כל אדם אשר נפטר באזור שבו נמצא בית העלמין וכן כל אדם אשר התגורר באזור האמור סמוך לפני פטירתו; </w:t>
      </w:r>
      <w:r w:rsidR="005F3BD7">
        <w:rPr>
          <w:rFonts w:ascii="Tahoma" w:hAnsi="Tahoma" w:cs="Tahoma"/>
          <w:sz w:val="17"/>
          <w:szCs w:val="17"/>
        </w:rPr>
        <w:t xml:space="preserve"> </w:t>
      </w:r>
      <w:r w:rsidRPr="00E556CD">
        <w:rPr>
          <w:rFonts w:ascii="Tahoma" w:hAnsi="Tahoma" w:cs="Tahoma" w:hint="cs"/>
          <w:sz w:val="17"/>
          <w:szCs w:val="17"/>
          <w:rtl/>
        </w:rPr>
        <w:t>(3) הוא נמצא במקום שהכריז עליו השר בצו...". עוד נקבע בתקנות כי האזור שבו זכאי להיקבר הנפטר לפי השקפת עולמו, קרי - בקבורה אזרחית, הוא - "אזור שבו נמצא בית עלמין אזרחי חליפי, מן האזורים המסומנים במפה... שהאזורים מתוחמים בה בקו אדום, החתומה בידי השר [לשירותי דת]..." (להלן - מפת התקנה; ראו במפה 1 שלהלן).</w:t>
      </w:r>
    </w:p>
    <w:p w:rsidR="00EF45C8" w:rsidRPr="005F3BD7" w:rsidP="005F3BD7">
      <w:pPr>
        <w:pStyle w:val="tab-name"/>
        <w:rPr>
          <w:b/>
          <w:bCs/>
          <w:rtl/>
        </w:rPr>
      </w:pPr>
      <w:r w:rsidRPr="00897F3D">
        <w:rPr>
          <w:rFonts w:hint="cs"/>
          <w:rtl/>
        </w:rPr>
        <w:t>מפה</w:t>
      </w:r>
      <w:r>
        <w:rPr>
          <w:rFonts w:hint="cs"/>
          <w:rtl/>
        </w:rPr>
        <w:t xml:space="preserve"> 1</w:t>
      </w:r>
      <w:r w:rsidR="005F3BD7">
        <w:rPr>
          <w:rFonts w:hint="cs"/>
          <w:rtl/>
        </w:rPr>
        <w:t xml:space="preserve">: </w:t>
      </w:r>
      <w:r w:rsidRPr="00897F3D">
        <w:rPr>
          <w:rFonts w:hint="cs"/>
          <w:rtl/>
        </w:rPr>
        <w:t xml:space="preserve"> </w:t>
      </w:r>
      <w:r w:rsidRPr="005F3BD7">
        <w:rPr>
          <w:rFonts w:hint="cs"/>
          <w:b/>
          <w:bCs/>
          <w:rtl/>
        </w:rPr>
        <w:t>מפת אזורי קבורה אזרחית - מפת התקנה</w:t>
      </w:r>
    </w:p>
    <w:p w:rsidR="00EF45C8" w:rsidRPr="00E556CD" w:rsidP="005F3BD7">
      <w:pPr>
        <w:spacing w:line="240" w:lineRule="atLeast"/>
        <w:ind w:right="2268"/>
        <w:rPr>
          <w:rFonts w:ascii="Tahoma" w:hAnsi="Tahoma" w:cs="Tahoma"/>
          <w:sz w:val="17"/>
          <w:szCs w:val="17"/>
          <w:rtl/>
        </w:rPr>
      </w:pPr>
      <w:r>
        <w:rPr>
          <w:rFonts w:ascii="Tahoma" w:hAnsi="Tahoma" w:cs="Tahoma"/>
          <w:noProof/>
          <w:sz w:val="17"/>
          <w:szCs w:val="17"/>
          <w:rtl/>
        </w:rPr>
        <w:drawing>
          <wp:inline distT="0" distB="0" distL="0" distR="0">
            <wp:extent cx="3822691" cy="61200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236469" name="ISRAEL MAP.jp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822691" cy="6120000"/>
                    </a:xfrm>
                    <a:prstGeom prst="rect">
                      <a:avLst/>
                    </a:prstGeom>
                  </pic:spPr>
                </pic:pic>
              </a:graphicData>
            </a:graphic>
          </wp:inline>
        </w:drawing>
      </w:r>
    </w:p>
    <w:p w:rsidR="00EF45C8" w:rsidRPr="00E556CD" w:rsidP="00FC3BA9">
      <w:pPr>
        <w:spacing w:after="240" w:line="240" w:lineRule="exact"/>
        <w:ind w:right="2268"/>
        <w:jc w:val="both"/>
        <w:rPr>
          <w:rFonts w:ascii="Tahoma" w:hAnsi="Tahoma" w:cs="Tahoma"/>
          <w:sz w:val="17"/>
          <w:szCs w:val="17"/>
          <w:rtl/>
        </w:rPr>
      </w:pPr>
      <w:r w:rsidRPr="00E556CD">
        <w:rPr>
          <w:rFonts w:ascii="Tahoma" w:hAnsi="Tahoma" w:cs="Tahoma" w:hint="cs"/>
          <w:sz w:val="17"/>
          <w:szCs w:val="17"/>
          <w:rtl/>
        </w:rPr>
        <w:t>מעיון במפת התקנה עולה כי שטח המדינה חולק לארבעת האזורים האלה: אזור א' כולל את מחוז ירושלים; אזור ב' כולל את מחוז הצפון ואת נפת חיפה במחוז חיפה; אזור ג' כולל את מחוזות תל אביב, המרכז ואת נפת חדרה במחוז חיפה; אזור ד' כולל את מחוז הדרום, ובכלל זה את נפות אשקלון ובאר שבע</w:t>
      </w:r>
      <w:r>
        <w:rPr>
          <w:rStyle w:val="FootnoteReference0"/>
          <w:rFonts w:ascii="Tahoma" w:hAnsi="Tahoma" w:cs="Tahoma"/>
          <w:sz w:val="17"/>
          <w:szCs w:val="17"/>
          <w:rtl/>
        </w:rPr>
        <w:footnoteReference w:id="11"/>
      </w:r>
      <w:r w:rsidRPr="00E556CD">
        <w:rPr>
          <w:rFonts w:ascii="Tahoma" w:hAnsi="Tahoma" w:cs="Tahoma"/>
          <w:sz w:val="17"/>
          <w:szCs w:val="17"/>
          <w:rtl/>
        </w:rPr>
        <w:t>.</w:t>
      </w:r>
    </w:p>
    <w:p w:rsidR="00EF45C8" w:rsidRPr="00E556CD" w:rsidP="003C2C06">
      <w:pPr>
        <w:pStyle w:val="RESHET"/>
        <w:rPr>
          <w:rtl/>
        </w:rPr>
      </w:pPr>
      <w:r w:rsidRPr="00E556CD">
        <w:rPr>
          <w:rFonts w:hint="cs"/>
          <w:rtl/>
        </w:rPr>
        <w:t>אף שחוק הקבורה האזרחית מטיל על השר לשירותי דת לקבוע אילו מקומות יועדו לשמש כבתי עלמין אזרחיים באזורי הארץ השונים, ואף שתקנות הקבורה האזרחית קובעות במפורש כי על בית עלמין אזרחי להימצא "במקום שהכריז עליו השר בצו", הועלה כי במועד סיום הביקורת - עשרים שנה לאחר חקיקת החוק - אף לא אחד מהשרים לשירותי דת שכיהנו בתקופה ארוכה זו הכריז על אתר בארץ כמיועד להקמת בית עלמין לקבורה אזרחית</w:t>
      </w:r>
      <w:r w:rsidRPr="00E556CD">
        <w:rPr>
          <w:rtl/>
        </w:rPr>
        <w:t>.</w:t>
      </w:r>
      <w:r w:rsidRPr="00C74B43" w:rsidR="00C74B43">
        <w:rPr>
          <w:noProof/>
          <w:rtl/>
        </w:rPr>
        <w:t xml:space="preserve"> </w:t>
      </w:r>
      <w:r w:rsidRPr="0012789B" w:rsidR="00C74B43">
        <w:rPr>
          <w:noProof/>
          <w:rtl/>
          <w:lang w:eastAsia="en-US"/>
        </w:rPr>
        <mc:AlternateContent>
          <mc:Choice Requires="wps">
            <w:drawing>
              <wp:anchor distT="0" distB="0" distL="114300" distR="114300" simplePos="0" relativeHeight="251658240" behindDoc="1" locked="0" layoutInCell="1" allowOverlap="1">
                <wp:simplePos x="0" y="0"/>
                <wp:positionH relativeFrom="margin">
                  <wp:posOffset>-431800</wp:posOffset>
                </wp:positionH>
                <wp:positionV relativeFrom="margin">
                  <wp:align>top</wp:align>
                </wp:positionV>
                <wp:extent cx="1620000" cy="4140000"/>
                <wp:effectExtent l="0" t="0" r="0" b="0"/>
                <wp:wrapNone/>
                <wp:docPr id="34"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C74B43" w:rsidRPr="00373C5D" w:rsidP="00C74B43">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758491828"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083101" name="QUT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C74B43" w:rsidRPr="00881D99" w:rsidP="00C74B43">
                            <w:pPr>
                              <w:spacing w:after="0" w:line="240" w:lineRule="auto"/>
                              <w:rPr>
                                <w:color w:val="0B5294"/>
                                <w:spacing w:val="-4"/>
                                <w:sz w:val="24"/>
                                <w:szCs w:val="24"/>
                                <w:rtl/>
                                <w:cs/>
                              </w:rPr>
                            </w:pPr>
                            <w:r w:rsidRPr="00C74B43">
                              <w:rPr>
                                <w:rFonts w:cs="Tahoma" w:hint="eastAsia"/>
                                <w:color w:val="0B5294"/>
                                <w:spacing w:val="-4"/>
                                <w:sz w:val="24"/>
                                <w:szCs w:val="24"/>
                                <w:rtl/>
                              </w:rPr>
                              <w:t>עשרים</w:t>
                            </w:r>
                            <w:r w:rsidRPr="00C74B43">
                              <w:rPr>
                                <w:rFonts w:cs="Tahoma"/>
                                <w:color w:val="0B5294"/>
                                <w:spacing w:val="-4"/>
                                <w:sz w:val="24"/>
                                <w:szCs w:val="24"/>
                                <w:rtl/>
                              </w:rPr>
                              <w:t xml:space="preserve"> </w:t>
                            </w:r>
                            <w:r w:rsidRPr="00C74B43">
                              <w:rPr>
                                <w:rFonts w:cs="Tahoma" w:hint="eastAsia"/>
                                <w:color w:val="0B5294"/>
                                <w:spacing w:val="-4"/>
                                <w:sz w:val="24"/>
                                <w:szCs w:val="24"/>
                                <w:rtl/>
                              </w:rPr>
                              <w:t>שנה</w:t>
                            </w:r>
                            <w:r w:rsidRPr="00C74B43">
                              <w:rPr>
                                <w:rFonts w:cs="Tahoma"/>
                                <w:color w:val="0B5294"/>
                                <w:spacing w:val="-4"/>
                                <w:sz w:val="24"/>
                                <w:szCs w:val="24"/>
                                <w:rtl/>
                              </w:rPr>
                              <w:t xml:space="preserve"> </w:t>
                            </w:r>
                            <w:r w:rsidRPr="00C74B43">
                              <w:rPr>
                                <w:rFonts w:cs="Tahoma" w:hint="eastAsia"/>
                                <w:color w:val="0B5294"/>
                                <w:spacing w:val="-4"/>
                                <w:sz w:val="24"/>
                                <w:szCs w:val="24"/>
                                <w:rtl/>
                              </w:rPr>
                              <w:t>לאחר</w:t>
                            </w:r>
                            <w:r w:rsidRPr="00C74B43">
                              <w:rPr>
                                <w:rFonts w:cs="Tahoma"/>
                                <w:color w:val="0B5294"/>
                                <w:spacing w:val="-4"/>
                                <w:sz w:val="24"/>
                                <w:szCs w:val="24"/>
                                <w:rtl/>
                              </w:rPr>
                              <w:t xml:space="preserve"> </w:t>
                            </w:r>
                            <w:r w:rsidRPr="00C74B43">
                              <w:rPr>
                                <w:rFonts w:cs="Tahoma" w:hint="eastAsia"/>
                                <w:color w:val="0B5294"/>
                                <w:spacing w:val="-4"/>
                                <w:sz w:val="24"/>
                                <w:szCs w:val="24"/>
                                <w:rtl/>
                              </w:rPr>
                              <w:t>חקיקת</w:t>
                            </w:r>
                            <w:r w:rsidRPr="00C74B43">
                              <w:rPr>
                                <w:rFonts w:cs="Tahoma"/>
                                <w:color w:val="0B5294"/>
                                <w:spacing w:val="-4"/>
                                <w:sz w:val="24"/>
                                <w:szCs w:val="24"/>
                                <w:rtl/>
                              </w:rPr>
                              <w:t xml:space="preserve"> </w:t>
                            </w:r>
                            <w:r w:rsidRPr="00C74B43">
                              <w:rPr>
                                <w:rFonts w:cs="Tahoma" w:hint="eastAsia"/>
                                <w:color w:val="0B5294"/>
                                <w:spacing w:val="-4"/>
                                <w:sz w:val="24"/>
                                <w:szCs w:val="24"/>
                                <w:rtl/>
                              </w:rPr>
                              <w:t>החוק</w:t>
                            </w:r>
                            <w:r w:rsidRPr="00C74B43">
                              <w:rPr>
                                <w:rFonts w:cs="Tahoma"/>
                                <w:color w:val="0B5294"/>
                                <w:spacing w:val="-4"/>
                                <w:sz w:val="24"/>
                                <w:szCs w:val="24"/>
                                <w:rtl/>
                              </w:rPr>
                              <w:t xml:space="preserve"> - </w:t>
                            </w:r>
                            <w:r w:rsidRPr="00C74B43">
                              <w:rPr>
                                <w:rFonts w:cs="Tahoma" w:hint="eastAsia"/>
                                <w:color w:val="0B5294"/>
                                <w:spacing w:val="-4"/>
                                <w:sz w:val="24"/>
                                <w:szCs w:val="24"/>
                                <w:rtl/>
                              </w:rPr>
                              <w:t>אף</w:t>
                            </w:r>
                            <w:r w:rsidRPr="00C74B43">
                              <w:rPr>
                                <w:rFonts w:cs="Tahoma"/>
                                <w:color w:val="0B5294"/>
                                <w:spacing w:val="-4"/>
                                <w:sz w:val="24"/>
                                <w:szCs w:val="24"/>
                                <w:rtl/>
                              </w:rPr>
                              <w:t xml:space="preserve"> </w:t>
                            </w:r>
                            <w:r w:rsidRPr="00C74B43">
                              <w:rPr>
                                <w:rFonts w:cs="Tahoma" w:hint="eastAsia"/>
                                <w:color w:val="0B5294"/>
                                <w:spacing w:val="-4"/>
                                <w:sz w:val="24"/>
                                <w:szCs w:val="24"/>
                                <w:rtl/>
                              </w:rPr>
                              <w:t>לא</w:t>
                            </w:r>
                            <w:r w:rsidRPr="00C74B43">
                              <w:rPr>
                                <w:rFonts w:cs="Tahoma"/>
                                <w:color w:val="0B5294"/>
                                <w:spacing w:val="-4"/>
                                <w:sz w:val="24"/>
                                <w:szCs w:val="24"/>
                                <w:rtl/>
                              </w:rPr>
                              <w:t xml:space="preserve"> </w:t>
                            </w:r>
                            <w:r w:rsidRPr="00C74B43">
                              <w:rPr>
                                <w:rFonts w:cs="Tahoma" w:hint="eastAsia"/>
                                <w:color w:val="0B5294"/>
                                <w:spacing w:val="-4"/>
                                <w:sz w:val="24"/>
                                <w:szCs w:val="24"/>
                                <w:rtl/>
                              </w:rPr>
                              <w:t>אחד</w:t>
                            </w:r>
                            <w:r w:rsidRPr="00C74B43">
                              <w:rPr>
                                <w:rFonts w:cs="Tahoma"/>
                                <w:color w:val="0B5294"/>
                                <w:spacing w:val="-4"/>
                                <w:sz w:val="24"/>
                                <w:szCs w:val="24"/>
                                <w:rtl/>
                              </w:rPr>
                              <w:t xml:space="preserve"> </w:t>
                            </w:r>
                            <w:r w:rsidRPr="00C74B43">
                              <w:rPr>
                                <w:rFonts w:cs="Tahoma" w:hint="eastAsia"/>
                                <w:color w:val="0B5294"/>
                                <w:spacing w:val="-4"/>
                                <w:sz w:val="24"/>
                                <w:szCs w:val="24"/>
                                <w:rtl/>
                              </w:rPr>
                              <w:t>מהשרים</w:t>
                            </w:r>
                            <w:r w:rsidRPr="00C74B43">
                              <w:rPr>
                                <w:rFonts w:cs="Tahoma"/>
                                <w:color w:val="0B5294"/>
                                <w:spacing w:val="-4"/>
                                <w:sz w:val="24"/>
                                <w:szCs w:val="24"/>
                                <w:rtl/>
                              </w:rPr>
                              <w:t xml:space="preserve"> </w:t>
                            </w:r>
                            <w:r w:rsidRPr="00C74B43">
                              <w:rPr>
                                <w:rFonts w:cs="Tahoma" w:hint="eastAsia"/>
                                <w:color w:val="0B5294"/>
                                <w:spacing w:val="-4"/>
                                <w:sz w:val="24"/>
                                <w:szCs w:val="24"/>
                                <w:rtl/>
                              </w:rPr>
                              <w:t>לשירותי</w:t>
                            </w:r>
                            <w:r w:rsidRPr="00C74B43">
                              <w:rPr>
                                <w:rFonts w:cs="Tahoma"/>
                                <w:color w:val="0B5294"/>
                                <w:spacing w:val="-4"/>
                                <w:sz w:val="24"/>
                                <w:szCs w:val="24"/>
                                <w:rtl/>
                              </w:rPr>
                              <w:t xml:space="preserve"> </w:t>
                            </w:r>
                            <w:r w:rsidRPr="00C74B43">
                              <w:rPr>
                                <w:rFonts w:cs="Tahoma" w:hint="eastAsia"/>
                                <w:color w:val="0B5294"/>
                                <w:spacing w:val="-4"/>
                                <w:sz w:val="24"/>
                                <w:szCs w:val="24"/>
                                <w:rtl/>
                              </w:rPr>
                              <w:t>דת</w:t>
                            </w:r>
                            <w:r w:rsidRPr="00C74B43">
                              <w:rPr>
                                <w:rFonts w:cs="Tahoma"/>
                                <w:color w:val="0B5294"/>
                                <w:spacing w:val="-4"/>
                                <w:sz w:val="24"/>
                                <w:szCs w:val="24"/>
                                <w:rtl/>
                              </w:rPr>
                              <w:t xml:space="preserve"> </w:t>
                            </w:r>
                            <w:r w:rsidRPr="00C74B43">
                              <w:rPr>
                                <w:rFonts w:cs="Tahoma" w:hint="eastAsia"/>
                                <w:color w:val="0B5294"/>
                                <w:spacing w:val="-4"/>
                                <w:sz w:val="24"/>
                                <w:szCs w:val="24"/>
                                <w:rtl/>
                              </w:rPr>
                              <w:t>שכיהנו</w:t>
                            </w:r>
                            <w:r w:rsidRPr="00C74B43">
                              <w:rPr>
                                <w:rFonts w:cs="Tahoma"/>
                                <w:color w:val="0B5294"/>
                                <w:spacing w:val="-4"/>
                                <w:sz w:val="24"/>
                                <w:szCs w:val="24"/>
                                <w:rtl/>
                              </w:rPr>
                              <w:t xml:space="preserve"> </w:t>
                            </w:r>
                            <w:r w:rsidRPr="00C74B43">
                              <w:rPr>
                                <w:rFonts w:cs="Tahoma" w:hint="eastAsia"/>
                                <w:color w:val="0B5294"/>
                                <w:spacing w:val="-4"/>
                                <w:sz w:val="24"/>
                                <w:szCs w:val="24"/>
                                <w:rtl/>
                              </w:rPr>
                              <w:t>בתקופה</w:t>
                            </w:r>
                            <w:r w:rsidRPr="00C74B43">
                              <w:rPr>
                                <w:rFonts w:cs="Tahoma"/>
                                <w:color w:val="0B5294"/>
                                <w:spacing w:val="-4"/>
                                <w:sz w:val="24"/>
                                <w:szCs w:val="24"/>
                                <w:rtl/>
                              </w:rPr>
                              <w:t xml:space="preserve"> </w:t>
                            </w:r>
                            <w:r w:rsidRPr="00C74B43">
                              <w:rPr>
                                <w:rFonts w:cs="Tahoma" w:hint="eastAsia"/>
                                <w:color w:val="0B5294"/>
                                <w:spacing w:val="-4"/>
                                <w:sz w:val="24"/>
                                <w:szCs w:val="24"/>
                                <w:rtl/>
                              </w:rPr>
                              <w:t>ארוכה</w:t>
                            </w:r>
                            <w:r w:rsidRPr="00C74B43">
                              <w:rPr>
                                <w:rFonts w:cs="Tahoma"/>
                                <w:color w:val="0B5294"/>
                                <w:spacing w:val="-4"/>
                                <w:sz w:val="24"/>
                                <w:szCs w:val="24"/>
                                <w:rtl/>
                              </w:rPr>
                              <w:t xml:space="preserve"> </w:t>
                            </w:r>
                            <w:r w:rsidRPr="00C74B43">
                              <w:rPr>
                                <w:rFonts w:cs="Tahoma" w:hint="eastAsia"/>
                                <w:color w:val="0B5294"/>
                                <w:spacing w:val="-4"/>
                                <w:sz w:val="24"/>
                                <w:szCs w:val="24"/>
                                <w:rtl/>
                              </w:rPr>
                              <w:t>זו</w:t>
                            </w:r>
                            <w:r w:rsidRPr="00C74B43">
                              <w:rPr>
                                <w:rFonts w:cs="Tahoma"/>
                                <w:color w:val="0B5294"/>
                                <w:spacing w:val="-4"/>
                                <w:sz w:val="24"/>
                                <w:szCs w:val="24"/>
                                <w:rtl/>
                              </w:rPr>
                              <w:t xml:space="preserve"> </w:t>
                            </w:r>
                            <w:r w:rsidRPr="00C74B43">
                              <w:rPr>
                                <w:rFonts w:cs="Tahoma" w:hint="eastAsia"/>
                                <w:color w:val="0B5294"/>
                                <w:spacing w:val="-4"/>
                                <w:sz w:val="24"/>
                                <w:szCs w:val="24"/>
                                <w:rtl/>
                              </w:rPr>
                              <w:t>הכריז</w:t>
                            </w:r>
                            <w:r w:rsidRPr="00C74B43">
                              <w:rPr>
                                <w:rFonts w:cs="Tahoma"/>
                                <w:color w:val="0B5294"/>
                                <w:spacing w:val="-4"/>
                                <w:sz w:val="24"/>
                                <w:szCs w:val="24"/>
                                <w:rtl/>
                              </w:rPr>
                              <w:t xml:space="preserve"> </w:t>
                            </w:r>
                            <w:r w:rsidRPr="00C74B43">
                              <w:rPr>
                                <w:rFonts w:cs="Tahoma" w:hint="eastAsia"/>
                                <w:color w:val="0B5294"/>
                                <w:spacing w:val="-4"/>
                                <w:sz w:val="24"/>
                                <w:szCs w:val="24"/>
                                <w:rtl/>
                              </w:rPr>
                              <w:t>על</w:t>
                            </w:r>
                            <w:r w:rsidRPr="00C74B43">
                              <w:rPr>
                                <w:rFonts w:cs="Tahoma"/>
                                <w:color w:val="0B5294"/>
                                <w:spacing w:val="-4"/>
                                <w:sz w:val="24"/>
                                <w:szCs w:val="24"/>
                                <w:rtl/>
                              </w:rPr>
                              <w:t xml:space="preserve"> </w:t>
                            </w:r>
                            <w:r w:rsidRPr="00C74B43">
                              <w:rPr>
                                <w:rFonts w:cs="Tahoma" w:hint="eastAsia"/>
                                <w:color w:val="0B5294"/>
                                <w:spacing w:val="-4"/>
                                <w:sz w:val="24"/>
                                <w:szCs w:val="24"/>
                                <w:rtl/>
                              </w:rPr>
                              <w:t>שום</w:t>
                            </w:r>
                            <w:r w:rsidRPr="00C74B43">
                              <w:rPr>
                                <w:rFonts w:cs="Tahoma"/>
                                <w:color w:val="0B5294"/>
                                <w:spacing w:val="-4"/>
                                <w:sz w:val="24"/>
                                <w:szCs w:val="24"/>
                                <w:rtl/>
                              </w:rPr>
                              <w:t xml:space="preserve"> </w:t>
                            </w:r>
                            <w:r w:rsidRPr="00C74B43">
                              <w:rPr>
                                <w:rFonts w:cs="Tahoma" w:hint="eastAsia"/>
                                <w:color w:val="0B5294"/>
                                <w:spacing w:val="-4"/>
                                <w:sz w:val="24"/>
                                <w:szCs w:val="24"/>
                                <w:rtl/>
                              </w:rPr>
                              <w:t>אתר</w:t>
                            </w:r>
                            <w:r w:rsidRPr="00C74B43">
                              <w:rPr>
                                <w:rFonts w:cs="Tahoma"/>
                                <w:color w:val="0B5294"/>
                                <w:spacing w:val="-4"/>
                                <w:sz w:val="24"/>
                                <w:szCs w:val="24"/>
                                <w:rtl/>
                              </w:rPr>
                              <w:t xml:space="preserve"> </w:t>
                            </w:r>
                            <w:r w:rsidRPr="00C74B43">
                              <w:rPr>
                                <w:rFonts w:cs="Tahoma" w:hint="eastAsia"/>
                                <w:color w:val="0B5294"/>
                                <w:spacing w:val="-4"/>
                                <w:sz w:val="24"/>
                                <w:szCs w:val="24"/>
                                <w:rtl/>
                              </w:rPr>
                              <w:t>בארץ</w:t>
                            </w:r>
                            <w:r w:rsidRPr="00C74B43">
                              <w:rPr>
                                <w:rFonts w:cs="Tahoma"/>
                                <w:color w:val="0B5294"/>
                                <w:spacing w:val="-4"/>
                                <w:sz w:val="24"/>
                                <w:szCs w:val="24"/>
                                <w:rtl/>
                              </w:rPr>
                              <w:t xml:space="preserve"> </w:t>
                            </w:r>
                            <w:r w:rsidRPr="00C74B43">
                              <w:rPr>
                                <w:rFonts w:cs="Tahoma" w:hint="eastAsia"/>
                                <w:color w:val="0B5294"/>
                                <w:spacing w:val="-4"/>
                                <w:sz w:val="24"/>
                                <w:szCs w:val="24"/>
                                <w:rtl/>
                              </w:rPr>
                              <w:t>כמיועד</w:t>
                            </w:r>
                            <w:r w:rsidRPr="00C74B43">
                              <w:rPr>
                                <w:rFonts w:cs="Tahoma"/>
                                <w:color w:val="0B5294"/>
                                <w:spacing w:val="-4"/>
                                <w:sz w:val="24"/>
                                <w:szCs w:val="24"/>
                                <w:rtl/>
                              </w:rPr>
                              <w:t xml:space="preserve"> </w:t>
                            </w:r>
                            <w:r w:rsidRPr="00C74B43">
                              <w:rPr>
                                <w:rFonts w:cs="Tahoma" w:hint="eastAsia"/>
                                <w:color w:val="0B5294"/>
                                <w:spacing w:val="-4"/>
                                <w:sz w:val="24"/>
                                <w:szCs w:val="24"/>
                                <w:rtl/>
                              </w:rPr>
                              <w:t>להקמת</w:t>
                            </w:r>
                            <w:r w:rsidRPr="00C74B43">
                              <w:rPr>
                                <w:rFonts w:cs="Tahoma"/>
                                <w:color w:val="0B5294"/>
                                <w:spacing w:val="-4"/>
                                <w:sz w:val="24"/>
                                <w:szCs w:val="24"/>
                                <w:rtl/>
                              </w:rPr>
                              <w:t xml:space="preserve"> </w:t>
                            </w:r>
                            <w:r w:rsidRPr="00C74B43">
                              <w:rPr>
                                <w:rFonts w:cs="Tahoma" w:hint="eastAsia"/>
                                <w:color w:val="0B5294"/>
                                <w:spacing w:val="-4"/>
                                <w:sz w:val="24"/>
                                <w:szCs w:val="24"/>
                                <w:rtl/>
                              </w:rPr>
                              <w:t>בית</w:t>
                            </w:r>
                            <w:r w:rsidRPr="00C74B43">
                              <w:rPr>
                                <w:rFonts w:cs="Tahoma"/>
                                <w:color w:val="0B5294"/>
                                <w:spacing w:val="-4"/>
                                <w:sz w:val="24"/>
                                <w:szCs w:val="24"/>
                                <w:rtl/>
                              </w:rPr>
                              <w:t xml:space="preserve"> </w:t>
                            </w:r>
                            <w:r w:rsidRPr="00C74B43">
                              <w:rPr>
                                <w:rFonts w:cs="Tahoma" w:hint="eastAsia"/>
                                <w:color w:val="0B5294"/>
                                <w:spacing w:val="-4"/>
                                <w:sz w:val="24"/>
                                <w:szCs w:val="24"/>
                                <w:rtl/>
                              </w:rPr>
                              <w:t>עלמין</w:t>
                            </w:r>
                            <w:r w:rsidRPr="00C74B43">
                              <w:rPr>
                                <w:rFonts w:cs="Tahoma"/>
                                <w:color w:val="0B5294"/>
                                <w:spacing w:val="-4"/>
                                <w:sz w:val="24"/>
                                <w:szCs w:val="24"/>
                                <w:rtl/>
                              </w:rPr>
                              <w:t xml:space="preserve"> </w:t>
                            </w:r>
                            <w:r w:rsidRPr="00C74B43">
                              <w:rPr>
                                <w:rFonts w:cs="Tahoma" w:hint="eastAsia"/>
                                <w:color w:val="0B5294"/>
                                <w:spacing w:val="-4"/>
                                <w:sz w:val="24"/>
                                <w:szCs w:val="24"/>
                                <w:rtl/>
                              </w:rPr>
                              <w:t>לקבורה</w:t>
                            </w:r>
                            <w:r w:rsidRPr="00C74B43">
                              <w:rPr>
                                <w:rFonts w:cs="Tahoma"/>
                                <w:color w:val="0B5294"/>
                                <w:spacing w:val="-4"/>
                                <w:sz w:val="24"/>
                                <w:szCs w:val="24"/>
                                <w:rtl/>
                              </w:rPr>
                              <w:t xml:space="preserve"> </w:t>
                            </w:r>
                            <w:r w:rsidRPr="00C74B43">
                              <w:rPr>
                                <w:rFonts w:cs="Tahoma" w:hint="eastAsia"/>
                                <w:color w:val="0B5294"/>
                                <w:spacing w:val="-4"/>
                                <w:sz w:val="24"/>
                                <w:szCs w:val="24"/>
                                <w:rtl/>
                              </w:rPr>
                              <w:t>אזרחית</w:t>
                            </w:r>
                          </w:p>
                          <w:p w:rsidR="00C74B43" w:rsidRPr="00373C5D" w:rsidP="00C74B43">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973621709"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123160" name="lin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5"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57216" filled="f" stroked="f">
                <v:textbox>
                  <w:txbxContent>
                    <w:p w:rsidR="00C74B43" w:rsidRPr="00373C5D" w:rsidP="00C74B43">
                      <w:pPr>
                        <w:spacing w:line="240" w:lineRule="atLeast"/>
                        <w:rPr>
                          <w:rFonts w:cs="Tahoma"/>
                          <w:b/>
                          <w:bCs/>
                          <w:color w:val="0B5294"/>
                          <w:sz w:val="48"/>
                          <w:szCs w:val="48"/>
                          <w:rtl/>
                        </w:rPr>
                      </w:pPr>
                      <w:drawing>
                        <wp:inline distT="0" distB="0" distL="0" distR="0">
                          <wp:extent cx="311150" cy="256800"/>
                          <wp:effectExtent l="0" t="0" r="0" b="0"/>
                          <wp:docPr id="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014653" name="QUT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C74B43" w:rsidRPr="00881D99" w:rsidP="00C74B43">
                      <w:pPr>
                        <w:spacing w:after="0" w:line="240" w:lineRule="auto"/>
                        <w:rPr>
                          <w:color w:val="0B5294"/>
                          <w:spacing w:val="-4"/>
                          <w:sz w:val="24"/>
                          <w:szCs w:val="24"/>
                          <w:rtl/>
                          <w:cs/>
                        </w:rPr>
                      </w:pPr>
                      <w:r w:rsidRPr="00C74B43">
                        <w:rPr>
                          <w:rFonts w:cs="Tahoma" w:hint="eastAsia"/>
                          <w:color w:val="0B5294"/>
                          <w:spacing w:val="-4"/>
                          <w:sz w:val="24"/>
                          <w:szCs w:val="24"/>
                          <w:rtl/>
                        </w:rPr>
                        <w:t>עשרים</w:t>
                      </w:r>
                      <w:r w:rsidRPr="00C74B43">
                        <w:rPr>
                          <w:rFonts w:cs="Tahoma"/>
                          <w:color w:val="0B5294"/>
                          <w:spacing w:val="-4"/>
                          <w:sz w:val="24"/>
                          <w:szCs w:val="24"/>
                          <w:rtl/>
                        </w:rPr>
                        <w:t xml:space="preserve"> </w:t>
                      </w:r>
                      <w:r w:rsidRPr="00C74B43">
                        <w:rPr>
                          <w:rFonts w:cs="Tahoma" w:hint="eastAsia"/>
                          <w:color w:val="0B5294"/>
                          <w:spacing w:val="-4"/>
                          <w:sz w:val="24"/>
                          <w:szCs w:val="24"/>
                          <w:rtl/>
                        </w:rPr>
                        <w:t>שנה</w:t>
                      </w:r>
                      <w:r w:rsidRPr="00C74B43">
                        <w:rPr>
                          <w:rFonts w:cs="Tahoma"/>
                          <w:color w:val="0B5294"/>
                          <w:spacing w:val="-4"/>
                          <w:sz w:val="24"/>
                          <w:szCs w:val="24"/>
                          <w:rtl/>
                        </w:rPr>
                        <w:t xml:space="preserve"> </w:t>
                      </w:r>
                      <w:r w:rsidRPr="00C74B43">
                        <w:rPr>
                          <w:rFonts w:cs="Tahoma" w:hint="eastAsia"/>
                          <w:color w:val="0B5294"/>
                          <w:spacing w:val="-4"/>
                          <w:sz w:val="24"/>
                          <w:szCs w:val="24"/>
                          <w:rtl/>
                        </w:rPr>
                        <w:t>לאחר</w:t>
                      </w:r>
                      <w:r w:rsidRPr="00C74B43">
                        <w:rPr>
                          <w:rFonts w:cs="Tahoma"/>
                          <w:color w:val="0B5294"/>
                          <w:spacing w:val="-4"/>
                          <w:sz w:val="24"/>
                          <w:szCs w:val="24"/>
                          <w:rtl/>
                        </w:rPr>
                        <w:t xml:space="preserve"> </w:t>
                      </w:r>
                      <w:r w:rsidRPr="00C74B43">
                        <w:rPr>
                          <w:rFonts w:cs="Tahoma" w:hint="eastAsia"/>
                          <w:color w:val="0B5294"/>
                          <w:spacing w:val="-4"/>
                          <w:sz w:val="24"/>
                          <w:szCs w:val="24"/>
                          <w:rtl/>
                        </w:rPr>
                        <w:t>חקיקת</w:t>
                      </w:r>
                      <w:r w:rsidRPr="00C74B43">
                        <w:rPr>
                          <w:rFonts w:cs="Tahoma"/>
                          <w:color w:val="0B5294"/>
                          <w:spacing w:val="-4"/>
                          <w:sz w:val="24"/>
                          <w:szCs w:val="24"/>
                          <w:rtl/>
                        </w:rPr>
                        <w:t xml:space="preserve"> </w:t>
                      </w:r>
                      <w:r w:rsidRPr="00C74B43">
                        <w:rPr>
                          <w:rFonts w:cs="Tahoma" w:hint="eastAsia"/>
                          <w:color w:val="0B5294"/>
                          <w:spacing w:val="-4"/>
                          <w:sz w:val="24"/>
                          <w:szCs w:val="24"/>
                          <w:rtl/>
                        </w:rPr>
                        <w:t>החוק</w:t>
                      </w:r>
                      <w:r w:rsidRPr="00C74B43">
                        <w:rPr>
                          <w:rFonts w:cs="Tahoma"/>
                          <w:color w:val="0B5294"/>
                          <w:spacing w:val="-4"/>
                          <w:sz w:val="24"/>
                          <w:szCs w:val="24"/>
                          <w:rtl/>
                        </w:rPr>
                        <w:t xml:space="preserve"> - </w:t>
                      </w:r>
                      <w:r w:rsidRPr="00C74B43">
                        <w:rPr>
                          <w:rFonts w:cs="Tahoma" w:hint="eastAsia"/>
                          <w:color w:val="0B5294"/>
                          <w:spacing w:val="-4"/>
                          <w:sz w:val="24"/>
                          <w:szCs w:val="24"/>
                          <w:rtl/>
                        </w:rPr>
                        <w:t>אף</w:t>
                      </w:r>
                      <w:r w:rsidRPr="00C74B43">
                        <w:rPr>
                          <w:rFonts w:cs="Tahoma"/>
                          <w:color w:val="0B5294"/>
                          <w:spacing w:val="-4"/>
                          <w:sz w:val="24"/>
                          <w:szCs w:val="24"/>
                          <w:rtl/>
                        </w:rPr>
                        <w:t xml:space="preserve"> </w:t>
                      </w:r>
                      <w:r w:rsidRPr="00C74B43">
                        <w:rPr>
                          <w:rFonts w:cs="Tahoma" w:hint="eastAsia"/>
                          <w:color w:val="0B5294"/>
                          <w:spacing w:val="-4"/>
                          <w:sz w:val="24"/>
                          <w:szCs w:val="24"/>
                          <w:rtl/>
                        </w:rPr>
                        <w:t>לא</w:t>
                      </w:r>
                      <w:r w:rsidRPr="00C74B43">
                        <w:rPr>
                          <w:rFonts w:cs="Tahoma"/>
                          <w:color w:val="0B5294"/>
                          <w:spacing w:val="-4"/>
                          <w:sz w:val="24"/>
                          <w:szCs w:val="24"/>
                          <w:rtl/>
                        </w:rPr>
                        <w:t xml:space="preserve"> </w:t>
                      </w:r>
                      <w:r w:rsidRPr="00C74B43">
                        <w:rPr>
                          <w:rFonts w:cs="Tahoma" w:hint="eastAsia"/>
                          <w:color w:val="0B5294"/>
                          <w:spacing w:val="-4"/>
                          <w:sz w:val="24"/>
                          <w:szCs w:val="24"/>
                          <w:rtl/>
                        </w:rPr>
                        <w:t>אחד</w:t>
                      </w:r>
                      <w:r w:rsidRPr="00C74B43">
                        <w:rPr>
                          <w:rFonts w:cs="Tahoma"/>
                          <w:color w:val="0B5294"/>
                          <w:spacing w:val="-4"/>
                          <w:sz w:val="24"/>
                          <w:szCs w:val="24"/>
                          <w:rtl/>
                        </w:rPr>
                        <w:t xml:space="preserve"> </w:t>
                      </w:r>
                      <w:r w:rsidRPr="00C74B43">
                        <w:rPr>
                          <w:rFonts w:cs="Tahoma" w:hint="eastAsia"/>
                          <w:color w:val="0B5294"/>
                          <w:spacing w:val="-4"/>
                          <w:sz w:val="24"/>
                          <w:szCs w:val="24"/>
                          <w:rtl/>
                        </w:rPr>
                        <w:t>מהשרים</w:t>
                      </w:r>
                      <w:r w:rsidRPr="00C74B43">
                        <w:rPr>
                          <w:rFonts w:cs="Tahoma"/>
                          <w:color w:val="0B5294"/>
                          <w:spacing w:val="-4"/>
                          <w:sz w:val="24"/>
                          <w:szCs w:val="24"/>
                          <w:rtl/>
                        </w:rPr>
                        <w:t xml:space="preserve"> </w:t>
                      </w:r>
                      <w:r w:rsidRPr="00C74B43">
                        <w:rPr>
                          <w:rFonts w:cs="Tahoma" w:hint="eastAsia"/>
                          <w:color w:val="0B5294"/>
                          <w:spacing w:val="-4"/>
                          <w:sz w:val="24"/>
                          <w:szCs w:val="24"/>
                          <w:rtl/>
                        </w:rPr>
                        <w:t>לשירותי</w:t>
                      </w:r>
                      <w:r w:rsidRPr="00C74B43">
                        <w:rPr>
                          <w:rFonts w:cs="Tahoma"/>
                          <w:color w:val="0B5294"/>
                          <w:spacing w:val="-4"/>
                          <w:sz w:val="24"/>
                          <w:szCs w:val="24"/>
                          <w:rtl/>
                        </w:rPr>
                        <w:t xml:space="preserve"> </w:t>
                      </w:r>
                      <w:r w:rsidRPr="00C74B43">
                        <w:rPr>
                          <w:rFonts w:cs="Tahoma" w:hint="eastAsia"/>
                          <w:color w:val="0B5294"/>
                          <w:spacing w:val="-4"/>
                          <w:sz w:val="24"/>
                          <w:szCs w:val="24"/>
                          <w:rtl/>
                        </w:rPr>
                        <w:t>דת</w:t>
                      </w:r>
                      <w:r w:rsidRPr="00C74B43">
                        <w:rPr>
                          <w:rFonts w:cs="Tahoma"/>
                          <w:color w:val="0B5294"/>
                          <w:spacing w:val="-4"/>
                          <w:sz w:val="24"/>
                          <w:szCs w:val="24"/>
                          <w:rtl/>
                        </w:rPr>
                        <w:t xml:space="preserve"> </w:t>
                      </w:r>
                      <w:r w:rsidRPr="00C74B43">
                        <w:rPr>
                          <w:rFonts w:cs="Tahoma" w:hint="eastAsia"/>
                          <w:color w:val="0B5294"/>
                          <w:spacing w:val="-4"/>
                          <w:sz w:val="24"/>
                          <w:szCs w:val="24"/>
                          <w:rtl/>
                        </w:rPr>
                        <w:t>שכיהנו</w:t>
                      </w:r>
                      <w:r w:rsidRPr="00C74B43">
                        <w:rPr>
                          <w:rFonts w:cs="Tahoma"/>
                          <w:color w:val="0B5294"/>
                          <w:spacing w:val="-4"/>
                          <w:sz w:val="24"/>
                          <w:szCs w:val="24"/>
                          <w:rtl/>
                        </w:rPr>
                        <w:t xml:space="preserve"> </w:t>
                      </w:r>
                      <w:r w:rsidRPr="00C74B43">
                        <w:rPr>
                          <w:rFonts w:cs="Tahoma" w:hint="eastAsia"/>
                          <w:color w:val="0B5294"/>
                          <w:spacing w:val="-4"/>
                          <w:sz w:val="24"/>
                          <w:szCs w:val="24"/>
                          <w:rtl/>
                        </w:rPr>
                        <w:t>בתקופה</w:t>
                      </w:r>
                      <w:r w:rsidRPr="00C74B43">
                        <w:rPr>
                          <w:rFonts w:cs="Tahoma"/>
                          <w:color w:val="0B5294"/>
                          <w:spacing w:val="-4"/>
                          <w:sz w:val="24"/>
                          <w:szCs w:val="24"/>
                          <w:rtl/>
                        </w:rPr>
                        <w:t xml:space="preserve"> </w:t>
                      </w:r>
                      <w:r w:rsidRPr="00C74B43">
                        <w:rPr>
                          <w:rFonts w:cs="Tahoma" w:hint="eastAsia"/>
                          <w:color w:val="0B5294"/>
                          <w:spacing w:val="-4"/>
                          <w:sz w:val="24"/>
                          <w:szCs w:val="24"/>
                          <w:rtl/>
                        </w:rPr>
                        <w:t>ארוכה</w:t>
                      </w:r>
                      <w:r w:rsidRPr="00C74B43">
                        <w:rPr>
                          <w:rFonts w:cs="Tahoma"/>
                          <w:color w:val="0B5294"/>
                          <w:spacing w:val="-4"/>
                          <w:sz w:val="24"/>
                          <w:szCs w:val="24"/>
                          <w:rtl/>
                        </w:rPr>
                        <w:t xml:space="preserve"> </w:t>
                      </w:r>
                      <w:r w:rsidRPr="00C74B43">
                        <w:rPr>
                          <w:rFonts w:cs="Tahoma" w:hint="eastAsia"/>
                          <w:color w:val="0B5294"/>
                          <w:spacing w:val="-4"/>
                          <w:sz w:val="24"/>
                          <w:szCs w:val="24"/>
                          <w:rtl/>
                        </w:rPr>
                        <w:t>זו</w:t>
                      </w:r>
                      <w:r w:rsidRPr="00C74B43">
                        <w:rPr>
                          <w:rFonts w:cs="Tahoma"/>
                          <w:color w:val="0B5294"/>
                          <w:spacing w:val="-4"/>
                          <w:sz w:val="24"/>
                          <w:szCs w:val="24"/>
                          <w:rtl/>
                        </w:rPr>
                        <w:t xml:space="preserve"> </w:t>
                      </w:r>
                      <w:r w:rsidRPr="00C74B43">
                        <w:rPr>
                          <w:rFonts w:cs="Tahoma" w:hint="eastAsia"/>
                          <w:color w:val="0B5294"/>
                          <w:spacing w:val="-4"/>
                          <w:sz w:val="24"/>
                          <w:szCs w:val="24"/>
                          <w:rtl/>
                        </w:rPr>
                        <w:t>הכריז</w:t>
                      </w:r>
                      <w:r w:rsidRPr="00C74B43">
                        <w:rPr>
                          <w:rFonts w:cs="Tahoma"/>
                          <w:color w:val="0B5294"/>
                          <w:spacing w:val="-4"/>
                          <w:sz w:val="24"/>
                          <w:szCs w:val="24"/>
                          <w:rtl/>
                        </w:rPr>
                        <w:t xml:space="preserve"> </w:t>
                      </w:r>
                      <w:r w:rsidRPr="00C74B43">
                        <w:rPr>
                          <w:rFonts w:cs="Tahoma" w:hint="eastAsia"/>
                          <w:color w:val="0B5294"/>
                          <w:spacing w:val="-4"/>
                          <w:sz w:val="24"/>
                          <w:szCs w:val="24"/>
                          <w:rtl/>
                        </w:rPr>
                        <w:t>על</w:t>
                      </w:r>
                      <w:r w:rsidRPr="00C74B43">
                        <w:rPr>
                          <w:rFonts w:cs="Tahoma"/>
                          <w:color w:val="0B5294"/>
                          <w:spacing w:val="-4"/>
                          <w:sz w:val="24"/>
                          <w:szCs w:val="24"/>
                          <w:rtl/>
                        </w:rPr>
                        <w:t xml:space="preserve"> </w:t>
                      </w:r>
                      <w:r w:rsidRPr="00C74B43">
                        <w:rPr>
                          <w:rFonts w:cs="Tahoma" w:hint="eastAsia"/>
                          <w:color w:val="0B5294"/>
                          <w:spacing w:val="-4"/>
                          <w:sz w:val="24"/>
                          <w:szCs w:val="24"/>
                          <w:rtl/>
                        </w:rPr>
                        <w:t>שום</w:t>
                      </w:r>
                      <w:r w:rsidRPr="00C74B43">
                        <w:rPr>
                          <w:rFonts w:cs="Tahoma"/>
                          <w:color w:val="0B5294"/>
                          <w:spacing w:val="-4"/>
                          <w:sz w:val="24"/>
                          <w:szCs w:val="24"/>
                          <w:rtl/>
                        </w:rPr>
                        <w:t xml:space="preserve"> </w:t>
                      </w:r>
                      <w:r w:rsidRPr="00C74B43">
                        <w:rPr>
                          <w:rFonts w:cs="Tahoma" w:hint="eastAsia"/>
                          <w:color w:val="0B5294"/>
                          <w:spacing w:val="-4"/>
                          <w:sz w:val="24"/>
                          <w:szCs w:val="24"/>
                          <w:rtl/>
                        </w:rPr>
                        <w:t>אתר</w:t>
                      </w:r>
                      <w:r w:rsidRPr="00C74B43">
                        <w:rPr>
                          <w:rFonts w:cs="Tahoma"/>
                          <w:color w:val="0B5294"/>
                          <w:spacing w:val="-4"/>
                          <w:sz w:val="24"/>
                          <w:szCs w:val="24"/>
                          <w:rtl/>
                        </w:rPr>
                        <w:t xml:space="preserve"> </w:t>
                      </w:r>
                      <w:r w:rsidRPr="00C74B43">
                        <w:rPr>
                          <w:rFonts w:cs="Tahoma" w:hint="eastAsia"/>
                          <w:color w:val="0B5294"/>
                          <w:spacing w:val="-4"/>
                          <w:sz w:val="24"/>
                          <w:szCs w:val="24"/>
                          <w:rtl/>
                        </w:rPr>
                        <w:t>בארץ</w:t>
                      </w:r>
                      <w:r w:rsidRPr="00C74B43">
                        <w:rPr>
                          <w:rFonts w:cs="Tahoma"/>
                          <w:color w:val="0B5294"/>
                          <w:spacing w:val="-4"/>
                          <w:sz w:val="24"/>
                          <w:szCs w:val="24"/>
                          <w:rtl/>
                        </w:rPr>
                        <w:t xml:space="preserve"> </w:t>
                      </w:r>
                      <w:r w:rsidRPr="00C74B43">
                        <w:rPr>
                          <w:rFonts w:cs="Tahoma" w:hint="eastAsia"/>
                          <w:color w:val="0B5294"/>
                          <w:spacing w:val="-4"/>
                          <w:sz w:val="24"/>
                          <w:szCs w:val="24"/>
                          <w:rtl/>
                        </w:rPr>
                        <w:t>כמיועד</w:t>
                      </w:r>
                      <w:r w:rsidRPr="00C74B43">
                        <w:rPr>
                          <w:rFonts w:cs="Tahoma"/>
                          <w:color w:val="0B5294"/>
                          <w:spacing w:val="-4"/>
                          <w:sz w:val="24"/>
                          <w:szCs w:val="24"/>
                          <w:rtl/>
                        </w:rPr>
                        <w:t xml:space="preserve"> </w:t>
                      </w:r>
                      <w:r w:rsidRPr="00C74B43">
                        <w:rPr>
                          <w:rFonts w:cs="Tahoma" w:hint="eastAsia"/>
                          <w:color w:val="0B5294"/>
                          <w:spacing w:val="-4"/>
                          <w:sz w:val="24"/>
                          <w:szCs w:val="24"/>
                          <w:rtl/>
                        </w:rPr>
                        <w:t>להקמת</w:t>
                      </w:r>
                      <w:r w:rsidRPr="00C74B43">
                        <w:rPr>
                          <w:rFonts w:cs="Tahoma"/>
                          <w:color w:val="0B5294"/>
                          <w:spacing w:val="-4"/>
                          <w:sz w:val="24"/>
                          <w:szCs w:val="24"/>
                          <w:rtl/>
                        </w:rPr>
                        <w:t xml:space="preserve"> </w:t>
                      </w:r>
                      <w:r w:rsidRPr="00C74B43">
                        <w:rPr>
                          <w:rFonts w:cs="Tahoma" w:hint="eastAsia"/>
                          <w:color w:val="0B5294"/>
                          <w:spacing w:val="-4"/>
                          <w:sz w:val="24"/>
                          <w:szCs w:val="24"/>
                          <w:rtl/>
                        </w:rPr>
                        <w:t>בית</w:t>
                      </w:r>
                      <w:r w:rsidRPr="00C74B43">
                        <w:rPr>
                          <w:rFonts w:cs="Tahoma"/>
                          <w:color w:val="0B5294"/>
                          <w:spacing w:val="-4"/>
                          <w:sz w:val="24"/>
                          <w:szCs w:val="24"/>
                          <w:rtl/>
                        </w:rPr>
                        <w:t xml:space="preserve"> </w:t>
                      </w:r>
                      <w:r w:rsidRPr="00C74B43">
                        <w:rPr>
                          <w:rFonts w:cs="Tahoma" w:hint="eastAsia"/>
                          <w:color w:val="0B5294"/>
                          <w:spacing w:val="-4"/>
                          <w:sz w:val="24"/>
                          <w:szCs w:val="24"/>
                          <w:rtl/>
                        </w:rPr>
                        <w:t>עלמין</w:t>
                      </w:r>
                      <w:r w:rsidRPr="00C74B43">
                        <w:rPr>
                          <w:rFonts w:cs="Tahoma"/>
                          <w:color w:val="0B5294"/>
                          <w:spacing w:val="-4"/>
                          <w:sz w:val="24"/>
                          <w:szCs w:val="24"/>
                          <w:rtl/>
                        </w:rPr>
                        <w:t xml:space="preserve"> </w:t>
                      </w:r>
                      <w:r w:rsidRPr="00C74B43">
                        <w:rPr>
                          <w:rFonts w:cs="Tahoma" w:hint="eastAsia"/>
                          <w:color w:val="0B5294"/>
                          <w:spacing w:val="-4"/>
                          <w:sz w:val="24"/>
                          <w:szCs w:val="24"/>
                          <w:rtl/>
                        </w:rPr>
                        <w:t>לקבורה</w:t>
                      </w:r>
                      <w:r w:rsidRPr="00C74B43">
                        <w:rPr>
                          <w:rFonts w:cs="Tahoma"/>
                          <w:color w:val="0B5294"/>
                          <w:spacing w:val="-4"/>
                          <w:sz w:val="24"/>
                          <w:szCs w:val="24"/>
                          <w:rtl/>
                        </w:rPr>
                        <w:t xml:space="preserve"> </w:t>
                      </w:r>
                      <w:r w:rsidRPr="00C74B43">
                        <w:rPr>
                          <w:rFonts w:cs="Tahoma" w:hint="eastAsia"/>
                          <w:color w:val="0B5294"/>
                          <w:spacing w:val="-4"/>
                          <w:sz w:val="24"/>
                          <w:szCs w:val="24"/>
                          <w:rtl/>
                        </w:rPr>
                        <w:t>אזרחית</w:t>
                      </w:r>
                    </w:p>
                    <w:p w:rsidR="00C74B43" w:rsidRPr="00373C5D" w:rsidP="00C74B43">
                      <w:pPr>
                        <w:spacing w:before="120" w:after="0" w:line="240" w:lineRule="atLeast"/>
                        <w:rPr>
                          <w:rFonts w:cs="Tahoma"/>
                          <w:b/>
                          <w:bCs/>
                          <w:color w:val="0B5294"/>
                          <w:sz w:val="48"/>
                          <w:szCs w:val="48"/>
                          <w:rtl/>
                        </w:rPr>
                      </w:pPr>
                      <w:drawing>
                        <wp:inline distT="0" distB="0" distL="0" distR="0">
                          <wp:extent cx="288000" cy="31337"/>
                          <wp:effectExtent l="0" t="0" r="0" b="6985"/>
                          <wp:docPr id="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090192" name="line.png"/>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EF45C8" w:rsidRPr="00E556CD" w:rsidP="005F3BD7">
      <w:pPr>
        <w:pStyle w:val="RESHET"/>
        <w:rPr>
          <w:rtl/>
        </w:rPr>
      </w:pPr>
      <w:r w:rsidRPr="00E556CD">
        <w:rPr>
          <w:rFonts w:hint="cs"/>
          <w:rtl/>
        </w:rPr>
        <w:t>למרות הצורך בהכרזת השר על אתר קבורה, המשרד לשירותי דת העניק</w:t>
      </w:r>
      <w:r w:rsidRPr="00E556CD">
        <w:rPr>
          <w:rtl/>
        </w:rPr>
        <w:t xml:space="preserve"> ל</w:t>
      </w:r>
      <w:r w:rsidRPr="00E556CD">
        <w:rPr>
          <w:rFonts w:hint="cs"/>
          <w:rtl/>
        </w:rPr>
        <w:t>-21 תאגידי קבורה רישיונות</w:t>
      </w:r>
      <w:r w:rsidRPr="00E556CD">
        <w:rPr>
          <w:rtl/>
        </w:rPr>
        <w:t xml:space="preserve"> </w:t>
      </w:r>
      <w:r w:rsidRPr="00E556CD">
        <w:rPr>
          <w:rFonts w:hint="cs"/>
          <w:rtl/>
        </w:rPr>
        <w:t>לקבורה אזרחית באתרי קבורה שלא הוכרזו. דהיינו, אף שהפעלת בתי עלמין אזרחיים מוסדרת ברישיון, הקבורה מתבצעת בפועל באתרים שהשר לא הכריז כי הם מיועדים לכך. פעילות זו אינה מתיישבת עם הוראות החוק ואינה</w:t>
      </w:r>
      <w:r w:rsidRPr="00E556CD">
        <w:rPr>
          <w:rtl/>
        </w:rPr>
        <w:t xml:space="preserve"> </w:t>
      </w:r>
      <w:r w:rsidRPr="00E556CD">
        <w:rPr>
          <w:rFonts w:hint="cs"/>
          <w:rtl/>
        </w:rPr>
        <w:t xml:space="preserve">תקינה מהבחינה </w:t>
      </w:r>
      <w:r w:rsidRPr="00E556CD">
        <w:rPr>
          <w:rFonts w:hint="cs"/>
          <w:rtl/>
        </w:rPr>
        <w:t>המינהלית</w:t>
      </w:r>
      <w:r w:rsidRPr="00E556CD">
        <w:rPr>
          <w:rFonts w:hint="cs"/>
          <w:rtl/>
        </w:rPr>
        <w:t>.</w:t>
      </w:r>
    </w:p>
    <w:p w:rsidR="00EF45C8" w:rsidRPr="00E556CD" w:rsidP="005F3BD7">
      <w:pPr>
        <w:spacing w:before="180" w:line="240" w:lineRule="exact"/>
        <w:ind w:right="2268"/>
        <w:jc w:val="both"/>
        <w:rPr>
          <w:rFonts w:ascii="Tahoma" w:hAnsi="Tahoma" w:cs="Tahoma"/>
          <w:sz w:val="17"/>
          <w:szCs w:val="17"/>
          <w:rtl/>
        </w:rPr>
      </w:pPr>
      <w:r w:rsidRPr="00E556CD">
        <w:rPr>
          <w:rFonts w:ascii="Tahoma" w:hAnsi="Tahoma" w:cs="Tahoma" w:hint="cs"/>
          <w:sz w:val="17"/>
          <w:szCs w:val="17"/>
          <w:rtl/>
        </w:rPr>
        <w:t xml:space="preserve">בתשובת המשרד לשירותי דת מדצמבר 2016 הוא פירט את הקשיים המרכזיים הכרוכים בהכרזה על בתי עלמין כבתי עלמין אזרחיים שמספקים שירותי קבורה לאזורים שבמפת התקנה: "1. ריבוי הגופים המופקדים על הטיפול בנושא; </w:t>
      </w:r>
      <w:r w:rsidR="00C74B43">
        <w:rPr>
          <w:rFonts w:ascii="Tahoma" w:hAnsi="Tahoma" w:cs="Tahoma"/>
          <w:sz w:val="17"/>
          <w:szCs w:val="17"/>
          <w:rtl/>
        </w:rPr>
        <w:br/>
      </w:r>
      <w:r w:rsidRPr="00E556CD">
        <w:rPr>
          <w:rFonts w:ascii="Tahoma" w:hAnsi="Tahoma" w:cs="Tahoma" w:hint="cs"/>
          <w:sz w:val="17"/>
          <w:szCs w:val="17"/>
          <w:rtl/>
        </w:rPr>
        <w:t>2. התנגדותם של ראשי הערים לקבור בתחום שיפוטם נפטרים שאינם תושבי המקום; 3. בעיות סטטוטוריות תכנוניות ומשפטיות; 4. גופי קבורה חסרי מקורות מימון עצמאיים אשר אינם מפתחים את הקרקע שהוקצתה להם לבית עלמין אזרחי בשל חוסר בתקציב". המשרד טען כי "הימנעות השר מהכרזה על בתי עלמין אזוריים אפשרה גמישות בפעילות המשרד מול ראשי הרשויות ולפיכך הביאה למתן פתרונות באופן נרחב בהרבה משהיה מתאפשר לו בוצעה הכרזה באופן חד צדדי וללא הסכמת הרשויות. לפיכך, אין באי ההכרזה כדי להצביע על אי מתן פתרונות לקבורה האזרחית ועל חוסר פעילות ורצון מצד המשרד לשירותי דת, אלא להפך - המשרד לשירותי דת פעל באופן המיטבי והיעיל ביותר לקידום פתרונות בנסיבות הקיימות".</w:t>
      </w:r>
    </w:p>
    <w:p w:rsidR="00EF45C8" w:rsidRPr="00E556CD" w:rsidP="003C2C06">
      <w:pPr>
        <w:spacing w:after="240" w:line="240" w:lineRule="exact"/>
        <w:ind w:right="2268"/>
        <w:jc w:val="both"/>
        <w:rPr>
          <w:rFonts w:ascii="Tahoma" w:hAnsi="Tahoma" w:cs="Tahoma"/>
          <w:sz w:val="17"/>
          <w:szCs w:val="17"/>
          <w:rtl/>
        </w:rPr>
      </w:pPr>
      <w:r w:rsidRPr="00E556CD">
        <w:rPr>
          <w:rFonts w:ascii="Tahoma" w:hAnsi="Tahoma" w:cs="Tahoma" w:hint="cs"/>
          <w:sz w:val="17"/>
          <w:szCs w:val="17"/>
          <w:rtl/>
        </w:rPr>
        <w:t>עוד הסביר המשרד לשירותי דת כי על מנת לקדם את נושא הקבורה האזרחית במישור האזורי, באופן שיאפשר פריסה רחבה, הוא פועל זה למעלה משנה לקדם את הקבורה האזרחית בשיטת האשכולות, ולפיה בתי עלמין ישרתו כמה יישובים נוספים הסמוכים להם</w:t>
      </w:r>
      <w:r w:rsidR="003C2C06">
        <w:rPr>
          <w:rFonts w:ascii="Tahoma" w:hAnsi="Tahoma" w:cs="Tahoma" w:hint="cs"/>
          <w:sz w:val="17"/>
          <w:szCs w:val="17"/>
          <w:rtl/>
        </w:rPr>
        <w:t>,</w:t>
      </w:r>
      <w:r w:rsidRPr="00E556CD">
        <w:rPr>
          <w:rFonts w:ascii="Tahoma" w:hAnsi="Tahoma" w:cs="Tahoma" w:hint="cs"/>
          <w:sz w:val="17"/>
          <w:szCs w:val="17"/>
          <w:rtl/>
        </w:rPr>
        <w:t xml:space="preserve"> על מנת להבטיח שהמרחק בין מקום המגורים של הנפטר שביקש להיקבר בקבורה אזרחית לבין בית העלמין שבו ייקבר יהיה סביר.</w:t>
      </w:r>
    </w:p>
    <w:p w:rsidR="00EF45C8" w:rsidRPr="00E556CD" w:rsidP="005F3BD7">
      <w:pPr>
        <w:pStyle w:val="RESHET"/>
        <w:rPr>
          <w:rtl/>
        </w:rPr>
      </w:pPr>
      <w:r w:rsidRPr="00E556CD">
        <w:rPr>
          <w:rFonts w:hint="cs"/>
          <w:rtl/>
        </w:rPr>
        <w:t xml:space="preserve">משרד מבקר המדינה מעיר למשרד לשירותי דת על שבמועד סיום הביקורת, כ-18 שנה לאחר התקנת התקנות לקבורה אזרחית וכשנה לאחר שהוחל ביישום שיטת האשכולות, הוא עדיין פועל להסדרת סוגיית הקבורה האזרחית באמצעות שיטה זו. שיטה זו אינה מספקת פתרון כולל ומערכתי לצורך במקומות לקבורה אזרחית - כמצופה מהמשרד לשירותי דת, שהנושא הופקד בידיו - אלא פתרונות נקודתיים וחלקיים בלבד, ולכן אין בשיטה זו משום תחליף ראוי לקיום הוראות התקנות בדבר הצורך בהכרזה, </w:t>
      </w:r>
      <w:r w:rsidRPr="00E556CD">
        <w:rPr>
          <w:rtl/>
        </w:rPr>
        <w:t>ש</w:t>
      </w:r>
      <w:r w:rsidRPr="00E556CD">
        <w:rPr>
          <w:rFonts w:hint="cs"/>
          <w:rtl/>
        </w:rPr>
        <w:t xml:space="preserve">היא </w:t>
      </w:r>
      <w:r w:rsidRPr="00E556CD">
        <w:rPr>
          <w:rtl/>
        </w:rPr>
        <w:t xml:space="preserve">התשתית הנורמטיבית הנדרשת לביצוע קבורה </w:t>
      </w:r>
      <w:r w:rsidRPr="00E556CD">
        <w:rPr>
          <w:rFonts w:hint="cs"/>
          <w:rtl/>
        </w:rPr>
        <w:t>אזרחית</w:t>
      </w:r>
      <w:r w:rsidRPr="00E556CD">
        <w:rPr>
          <w:rtl/>
        </w:rPr>
        <w:t>.</w:t>
      </w:r>
      <w:r w:rsidRPr="00E556CD">
        <w:rPr>
          <w:rFonts w:hint="cs"/>
          <w:rtl/>
        </w:rPr>
        <w:t xml:space="preserve"> לפיכך על השר לשירותי דת לפעול למימוש סמכותו בנדון, ואם יימצאו חסמים המקשים עליו לעשות כן, עליו להעלותם לפני הממשלה ללא דיחוי.</w:t>
      </w:r>
    </w:p>
    <w:p w:rsidR="00EF45C8" w:rsidP="00E556CD">
      <w:pPr>
        <w:spacing w:line="240" w:lineRule="exact"/>
        <w:ind w:right="2268"/>
        <w:jc w:val="both"/>
        <w:rPr>
          <w:rFonts w:ascii="Tahoma" w:hAnsi="Tahoma" w:cs="Tahoma"/>
          <w:b/>
          <w:bCs/>
          <w:sz w:val="17"/>
          <w:szCs w:val="17"/>
          <w:rtl/>
        </w:rPr>
      </w:pPr>
    </w:p>
    <w:p w:rsidR="005F3BD7" w:rsidRPr="00E556CD" w:rsidP="00E556CD">
      <w:pPr>
        <w:spacing w:line="240" w:lineRule="exact"/>
        <w:ind w:right="2268"/>
        <w:jc w:val="both"/>
        <w:rPr>
          <w:rFonts w:ascii="Tahoma" w:hAnsi="Tahoma" w:cs="Tahoma"/>
          <w:b/>
          <w:bCs/>
          <w:sz w:val="17"/>
          <w:szCs w:val="17"/>
          <w:rtl/>
        </w:rPr>
      </w:pPr>
    </w:p>
    <w:p w:rsidR="00EF45C8" w:rsidRPr="00897F3D" w:rsidP="006B7001">
      <w:pPr>
        <w:pStyle w:val="KOT4"/>
        <w:rPr>
          <w:rtl/>
        </w:rPr>
      </w:pPr>
      <w:r>
        <w:rPr>
          <w:rFonts w:hint="cs"/>
          <w:rtl/>
        </w:rPr>
        <w:t>ה</w:t>
      </w:r>
      <w:r w:rsidRPr="00897F3D">
        <w:rPr>
          <w:rFonts w:hint="cs"/>
          <w:rtl/>
        </w:rPr>
        <w:t xml:space="preserve">מדיניות </w:t>
      </w:r>
      <w:r>
        <w:rPr>
          <w:rFonts w:hint="cs"/>
          <w:rtl/>
        </w:rPr>
        <w:t>ה</w:t>
      </w:r>
      <w:r w:rsidRPr="00897F3D">
        <w:rPr>
          <w:rFonts w:hint="cs"/>
          <w:rtl/>
        </w:rPr>
        <w:t>ממשלתית</w:t>
      </w:r>
      <w:r>
        <w:rPr>
          <w:rFonts w:hint="cs"/>
          <w:rtl/>
        </w:rPr>
        <w:t xml:space="preserve"> בנושא</w:t>
      </w:r>
      <w:r w:rsidRPr="00897F3D">
        <w:rPr>
          <w:rFonts w:hint="cs"/>
          <w:rtl/>
        </w:rPr>
        <w:t xml:space="preserve"> </w:t>
      </w:r>
      <w:r>
        <w:rPr>
          <w:rFonts w:hint="cs"/>
          <w:rtl/>
        </w:rPr>
        <w:t>ואופן יישומה</w:t>
      </w:r>
    </w:p>
    <w:p w:rsidR="00EF45C8" w:rsidRPr="00E556CD" w:rsidP="00E556CD">
      <w:pPr>
        <w:spacing w:line="240" w:lineRule="exact"/>
        <w:ind w:right="2268"/>
        <w:jc w:val="both"/>
        <w:rPr>
          <w:rFonts w:ascii="Tahoma" w:hAnsi="Tahoma" w:cs="Tahoma"/>
          <w:sz w:val="17"/>
          <w:szCs w:val="17"/>
          <w:rtl/>
        </w:rPr>
      </w:pPr>
      <w:r w:rsidRPr="00E556CD">
        <w:rPr>
          <w:rFonts w:ascii="Tahoma" w:hAnsi="Tahoma" w:cs="Tahoma" w:hint="cs"/>
          <w:sz w:val="17"/>
          <w:szCs w:val="17"/>
          <w:rtl/>
        </w:rPr>
        <w:t>מדיניות הממשלה בתחום הקבורה האזרחית באה לידי ביטוי בהחלטות הממשלה, במסמכי מדיניות ובתכניות ממשלתיות. משנת 1996 קיבלו ממשלות ישראל לפחות 50 החלטות בתחום הקבורה. מדיניות הממשלה בתחום הקבורה האזרחית עוצבה באמצעות 14 החלטות ממשלה לפחות, שעסקו בקידום וביישום של הקבורה האזרחית החלופית בהתאם להוראות החוק; החלטות אלו נועדו לקדם את יישום חוק הקבורה האזרחית, על הוראותיו ותקנותיו השונות, כל אחת בתחומה, אולם בביקורת עלה כי חלקן יושמו באופן חלקי והאחרות לא יושמו כלל, כפי שיפורט בהמשך.</w:t>
      </w:r>
    </w:p>
    <w:p w:rsidR="00EF45C8" w:rsidRPr="00E556CD" w:rsidP="005F3BD7">
      <w:pPr>
        <w:spacing w:after="240" w:line="240" w:lineRule="exact"/>
        <w:ind w:right="2268"/>
        <w:jc w:val="both"/>
        <w:rPr>
          <w:rFonts w:ascii="Tahoma" w:hAnsi="Tahoma" w:cs="Tahoma"/>
          <w:sz w:val="17"/>
          <w:szCs w:val="17"/>
          <w:rtl/>
        </w:rPr>
      </w:pPr>
      <w:r w:rsidRPr="00E556CD">
        <w:rPr>
          <w:rFonts w:ascii="Tahoma" w:hAnsi="Tahoma" w:cs="Tahoma" w:hint="cs"/>
          <w:sz w:val="17"/>
          <w:szCs w:val="17"/>
          <w:rtl/>
        </w:rPr>
        <w:t xml:space="preserve">ואלה העיקריות שבהן: בהחלטת ממשלה 1199 מפברואר 2000 נקבע כי בכל בית עלמין חדש או מורחב יוקצה שטח לקבורה אזרחית חלופית; בהחלטת ממשלה 2914 מפברואר 2001 נקבע שהמדינה תממן את המשך פיתוח בתי העלמין לקבורה אזרחית חלופית ברחבי הארץ בהתאם לצרכים ולתקציב שיקבעו השר לשירותי דת ושר האוצר; בהחלטת ממשלה 2514 מאוגוסט 2004 נקבע כי יש למנוע מכירה של חלקות קבר ביישובים חקלאיים לנפטרים שאינם בני המקום, בין היתר באמצעות הפעלת מערך פיקוח ואכיפה של </w:t>
      </w:r>
      <w:r w:rsidRPr="00E556CD">
        <w:rPr>
          <w:rFonts w:ascii="Tahoma" w:hAnsi="Tahoma" w:cs="Tahoma" w:hint="cs"/>
          <w:sz w:val="17"/>
          <w:szCs w:val="17"/>
          <w:rtl/>
        </w:rPr>
        <w:t>רמ"י</w:t>
      </w:r>
      <w:r w:rsidRPr="00E556CD">
        <w:rPr>
          <w:rFonts w:ascii="Tahoma" w:hAnsi="Tahoma" w:cs="Tahoma" w:hint="cs"/>
          <w:sz w:val="17"/>
          <w:szCs w:val="17"/>
          <w:rtl/>
        </w:rPr>
        <w:t xml:space="preserve"> נגד גופי קבורה ביישובים חקלאיים המפרים את החוק, המפיקים רווחים ממכירת מקומות קבורה, וזאת בין היתר באמצעות הגשת תביעות משפטיות נגדם. מכוח החלטת ממשלה 1484 ממרץ 2014 בנושא "סקירת </w:t>
      </w:r>
      <w:r w:rsidRPr="005F3BD7">
        <w:rPr>
          <w:rFonts w:ascii="Tahoma" w:hAnsi="Tahoma" w:cs="Tahoma" w:hint="cs"/>
          <w:spacing w:val="-2"/>
          <w:sz w:val="17"/>
          <w:szCs w:val="17"/>
          <w:rtl/>
        </w:rPr>
        <w:t>המשרד לשירותי דת בנושא קבורה אזרחית" (להלן - החלטת ממשלה 1484)</w:t>
      </w:r>
      <w:r>
        <w:rPr>
          <w:rStyle w:val="FootnoteReference0"/>
          <w:rFonts w:ascii="Tahoma" w:hAnsi="Tahoma" w:cs="Tahoma"/>
          <w:spacing w:val="-2"/>
          <w:sz w:val="17"/>
          <w:szCs w:val="17"/>
          <w:rtl/>
        </w:rPr>
        <w:footnoteReference w:id="12"/>
      </w:r>
      <w:r w:rsidRPr="005F3BD7">
        <w:rPr>
          <w:rFonts w:ascii="Tahoma" w:hAnsi="Tahoma" w:cs="Tahoma" w:hint="cs"/>
          <w:spacing w:val="-2"/>
          <w:sz w:val="17"/>
          <w:szCs w:val="17"/>
          <w:rtl/>
        </w:rPr>
        <w:t xml:space="preserve"> הוקמה</w:t>
      </w:r>
      <w:r w:rsidRPr="00E556CD">
        <w:rPr>
          <w:rFonts w:ascii="Tahoma" w:hAnsi="Tahoma" w:cs="Tahoma" w:hint="cs"/>
          <w:sz w:val="17"/>
          <w:szCs w:val="17"/>
          <w:rtl/>
        </w:rPr>
        <w:t xml:space="preserve"> ועדת</w:t>
      </w:r>
      <w:r w:rsidRPr="00E556CD">
        <w:rPr>
          <w:rFonts w:ascii="Tahoma" w:hAnsi="Tahoma" w:cs="Tahoma"/>
          <w:sz w:val="17"/>
          <w:szCs w:val="17"/>
          <w:rtl/>
        </w:rPr>
        <w:t xml:space="preserve"> </w:t>
      </w:r>
      <w:r w:rsidRPr="00E556CD">
        <w:rPr>
          <w:rFonts w:ascii="Tahoma" w:hAnsi="Tahoma" w:cs="Tahoma" w:hint="cs"/>
          <w:sz w:val="17"/>
          <w:szCs w:val="17"/>
          <w:rtl/>
        </w:rPr>
        <w:t>מנכ"לים, בראשות מנכ"ל המשרד לשירותי דת (להלן - ועדת המנכ"לים), לבחינת הצעדים שיש לנקוט כדי לתת מענה מיטבי לנושא הקבורה האזרחית מבחינת</w:t>
      </w:r>
      <w:r w:rsidRPr="00E556CD">
        <w:rPr>
          <w:rFonts w:ascii="Tahoma" w:hAnsi="Tahoma" w:cs="Tahoma"/>
          <w:sz w:val="17"/>
          <w:szCs w:val="17"/>
          <w:rtl/>
        </w:rPr>
        <w:t xml:space="preserve"> </w:t>
      </w:r>
      <w:r w:rsidRPr="00E556CD">
        <w:rPr>
          <w:rFonts w:ascii="Tahoma" w:hAnsi="Tahoma" w:cs="Tahoma" w:hint="cs"/>
          <w:sz w:val="17"/>
          <w:szCs w:val="17"/>
          <w:rtl/>
        </w:rPr>
        <w:t>הסמכויות,</w:t>
      </w:r>
      <w:r w:rsidRPr="00E556CD">
        <w:rPr>
          <w:rFonts w:ascii="Tahoma" w:hAnsi="Tahoma" w:cs="Tahoma"/>
          <w:sz w:val="17"/>
          <w:szCs w:val="17"/>
          <w:rtl/>
        </w:rPr>
        <w:t xml:space="preserve"> </w:t>
      </w:r>
      <w:r w:rsidRPr="00E556CD">
        <w:rPr>
          <w:rFonts w:ascii="Tahoma" w:hAnsi="Tahoma" w:cs="Tahoma" w:hint="cs"/>
          <w:sz w:val="17"/>
          <w:szCs w:val="17"/>
          <w:rtl/>
        </w:rPr>
        <w:t>התקציבים</w:t>
      </w:r>
      <w:r w:rsidRPr="00E556CD">
        <w:rPr>
          <w:rFonts w:ascii="Tahoma" w:hAnsi="Tahoma" w:cs="Tahoma"/>
          <w:sz w:val="17"/>
          <w:szCs w:val="17"/>
          <w:rtl/>
        </w:rPr>
        <w:t xml:space="preserve"> </w:t>
      </w:r>
      <w:r w:rsidRPr="00E556CD">
        <w:rPr>
          <w:rFonts w:ascii="Tahoma" w:hAnsi="Tahoma" w:cs="Tahoma" w:hint="cs"/>
          <w:sz w:val="17"/>
          <w:szCs w:val="17"/>
          <w:rtl/>
        </w:rPr>
        <w:t>והתיאום</w:t>
      </w:r>
      <w:r w:rsidRPr="00E556CD">
        <w:rPr>
          <w:rFonts w:ascii="Tahoma" w:hAnsi="Tahoma" w:cs="Tahoma"/>
          <w:sz w:val="17"/>
          <w:szCs w:val="17"/>
          <w:rtl/>
        </w:rPr>
        <w:t xml:space="preserve"> </w:t>
      </w:r>
      <w:r w:rsidRPr="00E556CD">
        <w:rPr>
          <w:rFonts w:ascii="Tahoma" w:hAnsi="Tahoma" w:cs="Tahoma" w:hint="cs"/>
          <w:sz w:val="17"/>
          <w:szCs w:val="17"/>
          <w:rtl/>
        </w:rPr>
        <w:t>הבין-משרדי</w:t>
      </w:r>
      <w:r w:rsidRPr="00E556CD">
        <w:rPr>
          <w:rFonts w:ascii="Tahoma" w:hAnsi="Tahoma" w:cs="Tahoma"/>
          <w:sz w:val="17"/>
          <w:szCs w:val="17"/>
          <w:rtl/>
        </w:rPr>
        <w:t>.</w:t>
      </w:r>
    </w:p>
    <w:p w:rsidR="00EF45C8" w:rsidRPr="00E556CD" w:rsidP="005F3BD7">
      <w:pPr>
        <w:pStyle w:val="RESHET"/>
        <w:rPr>
          <w:rtl/>
        </w:rPr>
      </w:pPr>
      <w:r w:rsidRPr="00E556CD">
        <w:rPr>
          <w:rFonts w:hint="cs"/>
          <w:rtl/>
        </w:rPr>
        <w:t xml:space="preserve">מכלול ההחלטות האמורות אמור היה להציג ולקדם את המדיניות הממשלתית לעניין הקבורה האזרחית, אולם חסרו בהן מרכיבים חיוניים - בהחלטות לא נקבעו יעדים שיתוו את המתכונת ליישום הקבורה האזרחית, וגם לא נקבעו מסגרת תקציבית ומקורות תקציביים לצורך היישום. ובפועל, </w:t>
      </w:r>
      <w:r w:rsidRPr="00E556CD">
        <w:rPr>
          <w:rtl/>
        </w:rPr>
        <w:t>במועד סיום הביקורת, כעשרים שנה לאחר שנחקק חוק הקבורה האזרחית, מסתמן מחסור של ממש במקומות לקבורה אזרחית ברוב אזורי המדינה, והדבר פוגע בזכותם הבסיסית של אזרחי המדינה לקבורה על פי השקפתם ואמונתם</w:t>
      </w:r>
      <w:r w:rsidRPr="00E556CD">
        <w:rPr>
          <w:rFonts w:hint="cs"/>
          <w:rtl/>
        </w:rPr>
        <w:t>.</w:t>
      </w:r>
    </w:p>
    <w:p w:rsidR="00EF45C8" w:rsidP="00E556CD">
      <w:pPr>
        <w:spacing w:line="240" w:lineRule="exact"/>
        <w:ind w:right="2268"/>
        <w:jc w:val="both"/>
        <w:rPr>
          <w:rFonts w:ascii="Tahoma" w:hAnsi="Tahoma" w:cs="Tahoma"/>
          <w:b/>
          <w:bCs/>
          <w:sz w:val="17"/>
          <w:szCs w:val="17"/>
          <w:rtl/>
        </w:rPr>
      </w:pPr>
    </w:p>
    <w:p w:rsidR="005F3BD7" w:rsidRPr="00E556CD" w:rsidP="00E556CD">
      <w:pPr>
        <w:spacing w:line="240" w:lineRule="exact"/>
        <w:ind w:right="2268"/>
        <w:jc w:val="both"/>
        <w:rPr>
          <w:rFonts w:ascii="Tahoma" w:hAnsi="Tahoma" w:cs="Tahoma"/>
          <w:b/>
          <w:bCs/>
          <w:sz w:val="17"/>
          <w:szCs w:val="17"/>
          <w:rtl/>
        </w:rPr>
      </w:pPr>
    </w:p>
    <w:p w:rsidR="00EF45C8" w:rsidRPr="00897F3D" w:rsidP="006B7001">
      <w:pPr>
        <w:pStyle w:val="KOT4"/>
        <w:rPr>
          <w:rtl/>
        </w:rPr>
      </w:pPr>
      <w:r>
        <w:rPr>
          <w:rFonts w:hint="cs"/>
          <w:rtl/>
        </w:rPr>
        <w:t>עיכובים ב</w:t>
      </w:r>
      <w:r w:rsidRPr="00897F3D">
        <w:rPr>
          <w:rFonts w:hint="cs"/>
          <w:rtl/>
        </w:rPr>
        <w:t>עבודת המטה ובהיערכות הארגונית ליישום הקבורה האזרחית</w:t>
      </w:r>
    </w:p>
    <w:p w:rsidR="00EF45C8" w:rsidRPr="00E556CD" w:rsidP="00E556CD">
      <w:pPr>
        <w:spacing w:line="240" w:lineRule="exact"/>
        <w:ind w:right="2268"/>
        <w:jc w:val="both"/>
        <w:rPr>
          <w:rFonts w:ascii="Tahoma" w:hAnsi="Tahoma" w:cs="Tahoma"/>
          <w:sz w:val="17"/>
          <w:szCs w:val="17"/>
          <w:rtl/>
        </w:rPr>
      </w:pPr>
      <w:r w:rsidRPr="00E556CD">
        <w:rPr>
          <w:rFonts w:ascii="Tahoma" w:hAnsi="Tahoma" w:cs="Tahoma" w:hint="cs"/>
          <w:sz w:val="17"/>
          <w:szCs w:val="17"/>
          <w:rtl/>
        </w:rPr>
        <w:t>עבודת מטה במשרדי ממשלה מטרתה לסייע לקבלת החלטות מיטביות הן בדרג הכלל-ממשלתי, הן בדרג המשרד הממשלתי והן בדרג היחידה המשרדית, באופן שישרת היטב את יעדי המדיניות הממשלתית. נוסף על כך, מטרתה לאפשר למשרדים ולגופים הממשלתיים הרלוונטיים לבצע היערכות ארגונית מיטבית ולהקצות משאבים תקציביים כנדרש לצורך מימוש המדיניות.</w:t>
      </w:r>
    </w:p>
    <w:p w:rsidR="00EF45C8" w:rsidRPr="00E556CD" w:rsidP="00E556CD">
      <w:pPr>
        <w:spacing w:line="240" w:lineRule="exact"/>
        <w:ind w:right="2268"/>
        <w:jc w:val="both"/>
        <w:rPr>
          <w:rFonts w:ascii="Tahoma" w:hAnsi="Tahoma" w:cs="Tahoma"/>
          <w:b/>
          <w:bCs/>
          <w:sz w:val="17"/>
          <w:szCs w:val="17"/>
          <w:rtl/>
        </w:rPr>
      </w:pPr>
    </w:p>
    <w:p w:rsidR="00EF45C8" w:rsidRPr="00897F3D" w:rsidP="006B7001">
      <w:pPr>
        <w:pStyle w:val="KOT5"/>
        <w:rPr>
          <w:rtl/>
        </w:rPr>
      </w:pPr>
      <w:r w:rsidRPr="00897F3D">
        <w:rPr>
          <w:rFonts w:hint="cs"/>
          <w:rtl/>
        </w:rPr>
        <w:t xml:space="preserve">עבודת </w:t>
      </w:r>
      <w:r>
        <w:rPr>
          <w:rFonts w:hint="cs"/>
          <w:rtl/>
        </w:rPr>
        <w:t>ה</w:t>
      </w:r>
      <w:r w:rsidRPr="00897F3D">
        <w:rPr>
          <w:rFonts w:hint="cs"/>
          <w:rtl/>
        </w:rPr>
        <w:t xml:space="preserve">מטה ליישום החלטת </w:t>
      </w:r>
      <w:r>
        <w:rPr>
          <w:rFonts w:hint="cs"/>
          <w:rtl/>
        </w:rPr>
        <w:t>ה</w:t>
      </w:r>
      <w:r w:rsidRPr="00897F3D">
        <w:rPr>
          <w:rFonts w:hint="cs"/>
          <w:rtl/>
        </w:rPr>
        <w:t xml:space="preserve">ממשלה </w:t>
      </w:r>
      <w:r>
        <w:rPr>
          <w:rFonts w:hint="cs"/>
          <w:rtl/>
        </w:rPr>
        <w:t xml:space="preserve">בנושא </w:t>
      </w:r>
      <w:r w:rsidR="005F3BD7">
        <w:rPr>
          <w:rtl/>
        </w:rPr>
        <w:br/>
      </w:r>
      <w:r>
        <w:rPr>
          <w:rFonts w:hint="cs"/>
          <w:rtl/>
        </w:rPr>
        <w:t xml:space="preserve">קבורה אזרחית </w:t>
      </w:r>
      <w:r w:rsidRPr="00897F3D">
        <w:rPr>
          <w:rFonts w:hint="cs"/>
          <w:rtl/>
        </w:rPr>
        <w:t>ממרץ 2014</w:t>
      </w:r>
    </w:p>
    <w:p w:rsidR="00EF45C8" w:rsidRPr="00E556CD" w:rsidP="00E556CD">
      <w:pPr>
        <w:spacing w:line="240" w:lineRule="exact"/>
        <w:ind w:right="2268"/>
        <w:jc w:val="both"/>
        <w:rPr>
          <w:rFonts w:ascii="Tahoma" w:hAnsi="Tahoma" w:cs="Tahoma"/>
          <w:sz w:val="17"/>
          <w:szCs w:val="17"/>
          <w:rtl/>
        </w:rPr>
      </w:pPr>
      <w:r w:rsidRPr="00E556CD">
        <w:rPr>
          <w:rFonts w:ascii="Tahoma" w:hAnsi="Tahoma" w:cs="Tahoma" w:hint="cs"/>
          <w:sz w:val="17"/>
          <w:szCs w:val="17"/>
          <w:rtl/>
        </w:rPr>
        <w:t>בעקבות החלטת ממשלה 1484 הוקמה כאמור ועדת</w:t>
      </w:r>
      <w:r w:rsidRPr="00E556CD">
        <w:rPr>
          <w:rFonts w:ascii="Tahoma" w:hAnsi="Tahoma" w:cs="Tahoma"/>
          <w:sz w:val="17"/>
          <w:szCs w:val="17"/>
          <w:rtl/>
        </w:rPr>
        <w:t xml:space="preserve"> </w:t>
      </w:r>
      <w:r w:rsidRPr="00E556CD">
        <w:rPr>
          <w:rFonts w:ascii="Tahoma" w:hAnsi="Tahoma" w:cs="Tahoma" w:hint="cs"/>
          <w:sz w:val="17"/>
          <w:szCs w:val="17"/>
          <w:rtl/>
        </w:rPr>
        <w:t xml:space="preserve">המנכ"לים בראשות מנכ"ל המשרד לשירותי דת ובהשתתפות מנכ"ל משרד הפנים, מנהל </w:t>
      </w:r>
      <w:r w:rsidRPr="00E556CD">
        <w:rPr>
          <w:rFonts w:ascii="Tahoma" w:hAnsi="Tahoma" w:cs="Tahoma" w:hint="cs"/>
          <w:sz w:val="17"/>
          <w:szCs w:val="17"/>
          <w:rtl/>
        </w:rPr>
        <w:t>רמ"י</w:t>
      </w:r>
      <w:r w:rsidRPr="00E556CD">
        <w:rPr>
          <w:rFonts w:ascii="Tahoma" w:hAnsi="Tahoma" w:cs="Tahoma" w:hint="cs"/>
          <w:sz w:val="17"/>
          <w:szCs w:val="17"/>
          <w:rtl/>
        </w:rPr>
        <w:t xml:space="preserve">, ראש אגף התקציבים במשרד האוצר ונציג </w:t>
      </w:r>
      <w:r w:rsidRPr="00E556CD">
        <w:rPr>
          <w:rFonts w:ascii="Tahoma" w:hAnsi="Tahoma" w:cs="Tahoma" w:hint="cs"/>
          <w:sz w:val="17"/>
          <w:szCs w:val="17"/>
          <w:rtl/>
        </w:rPr>
        <w:t>מינהל</w:t>
      </w:r>
      <w:r w:rsidRPr="00E556CD">
        <w:rPr>
          <w:rFonts w:ascii="Tahoma" w:hAnsi="Tahoma" w:cs="Tahoma" w:hint="cs"/>
          <w:sz w:val="17"/>
          <w:szCs w:val="17"/>
          <w:rtl/>
        </w:rPr>
        <w:t xml:space="preserve"> התכנון,</w:t>
      </w:r>
      <w:r w:rsidRPr="00E556CD">
        <w:rPr>
          <w:rFonts w:ascii="Tahoma" w:hAnsi="Tahoma" w:cs="Tahoma"/>
          <w:sz w:val="17"/>
          <w:szCs w:val="17"/>
          <w:rtl/>
        </w:rPr>
        <w:t xml:space="preserve"> </w:t>
      </w:r>
      <w:r w:rsidRPr="00E556CD">
        <w:rPr>
          <w:rFonts w:ascii="Tahoma" w:hAnsi="Tahoma" w:cs="Tahoma" w:hint="cs"/>
          <w:sz w:val="17"/>
          <w:szCs w:val="17"/>
          <w:rtl/>
        </w:rPr>
        <w:t>על מנת "שתבחן את הצעדים</w:t>
      </w:r>
      <w:r w:rsidRPr="00E556CD">
        <w:rPr>
          <w:rFonts w:ascii="Tahoma" w:hAnsi="Tahoma" w:cs="Tahoma"/>
          <w:sz w:val="17"/>
          <w:szCs w:val="17"/>
          <w:rtl/>
        </w:rPr>
        <w:t xml:space="preserve"> </w:t>
      </w:r>
      <w:r w:rsidRPr="00E556CD">
        <w:rPr>
          <w:rFonts w:ascii="Tahoma" w:hAnsi="Tahoma" w:cs="Tahoma" w:hint="cs"/>
          <w:sz w:val="17"/>
          <w:szCs w:val="17"/>
          <w:rtl/>
        </w:rPr>
        <w:t>הנדרשים</w:t>
      </w:r>
      <w:r w:rsidRPr="00E556CD">
        <w:rPr>
          <w:rFonts w:ascii="Tahoma" w:hAnsi="Tahoma" w:cs="Tahoma"/>
          <w:sz w:val="17"/>
          <w:szCs w:val="17"/>
          <w:rtl/>
        </w:rPr>
        <w:t xml:space="preserve"> </w:t>
      </w:r>
      <w:r w:rsidRPr="00E556CD">
        <w:rPr>
          <w:rFonts w:ascii="Tahoma" w:hAnsi="Tahoma" w:cs="Tahoma" w:hint="cs"/>
          <w:sz w:val="17"/>
          <w:szCs w:val="17"/>
          <w:rtl/>
        </w:rPr>
        <w:t>בהיבטים של</w:t>
      </w:r>
      <w:r w:rsidRPr="00E556CD">
        <w:rPr>
          <w:rFonts w:ascii="Tahoma" w:hAnsi="Tahoma" w:cs="Tahoma"/>
          <w:sz w:val="17"/>
          <w:szCs w:val="17"/>
          <w:rtl/>
        </w:rPr>
        <w:t xml:space="preserve"> </w:t>
      </w:r>
      <w:r w:rsidRPr="00E556CD">
        <w:rPr>
          <w:rFonts w:ascii="Tahoma" w:hAnsi="Tahoma" w:cs="Tahoma" w:hint="cs"/>
          <w:sz w:val="17"/>
          <w:szCs w:val="17"/>
          <w:rtl/>
        </w:rPr>
        <w:t>סמכויות,</w:t>
      </w:r>
      <w:r w:rsidRPr="00E556CD">
        <w:rPr>
          <w:rFonts w:ascii="Tahoma" w:hAnsi="Tahoma" w:cs="Tahoma"/>
          <w:sz w:val="17"/>
          <w:szCs w:val="17"/>
          <w:rtl/>
        </w:rPr>
        <w:t xml:space="preserve"> </w:t>
      </w:r>
      <w:r w:rsidRPr="00E556CD">
        <w:rPr>
          <w:rFonts w:ascii="Tahoma" w:hAnsi="Tahoma" w:cs="Tahoma" w:hint="cs"/>
          <w:sz w:val="17"/>
          <w:szCs w:val="17"/>
          <w:rtl/>
        </w:rPr>
        <w:t>הקצאת תקציבים</w:t>
      </w:r>
      <w:r w:rsidRPr="00E556CD">
        <w:rPr>
          <w:rFonts w:ascii="Tahoma" w:hAnsi="Tahoma" w:cs="Tahoma"/>
          <w:sz w:val="17"/>
          <w:szCs w:val="17"/>
          <w:rtl/>
        </w:rPr>
        <w:t xml:space="preserve"> </w:t>
      </w:r>
      <w:r w:rsidRPr="00E556CD">
        <w:rPr>
          <w:rFonts w:ascii="Tahoma" w:hAnsi="Tahoma" w:cs="Tahoma" w:hint="cs"/>
          <w:sz w:val="17"/>
          <w:szCs w:val="17"/>
          <w:rtl/>
        </w:rPr>
        <w:t>ותיאום בין משרדי</w:t>
      </w:r>
      <w:r w:rsidRPr="00E556CD">
        <w:rPr>
          <w:rFonts w:ascii="Tahoma" w:hAnsi="Tahoma" w:cs="Tahoma"/>
          <w:sz w:val="17"/>
          <w:szCs w:val="17"/>
          <w:rtl/>
        </w:rPr>
        <w:t xml:space="preserve"> </w:t>
      </w:r>
      <w:r w:rsidRPr="00E556CD">
        <w:rPr>
          <w:rFonts w:ascii="Tahoma" w:hAnsi="Tahoma" w:cs="Tahoma" w:hint="cs"/>
          <w:sz w:val="17"/>
          <w:szCs w:val="17"/>
          <w:rtl/>
        </w:rPr>
        <w:t>הממשלה הנוגעים לנושא למתן</w:t>
      </w:r>
      <w:r w:rsidRPr="00E556CD">
        <w:rPr>
          <w:rFonts w:ascii="Tahoma" w:hAnsi="Tahoma" w:cs="Tahoma"/>
          <w:sz w:val="17"/>
          <w:szCs w:val="17"/>
          <w:rtl/>
        </w:rPr>
        <w:t xml:space="preserve"> </w:t>
      </w:r>
      <w:r w:rsidRPr="00E556CD">
        <w:rPr>
          <w:rFonts w:ascii="Tahoma" w:hAnsi="Tahoma" w:cs="Tahoma" w:hint="cs"/>
          <w:sz w:val="17"/>
          <w:szCs w:val="17"/>
          <w:rtl/>
        </w:rPr>
        <w:t>מענה</w:t>
      </w:r>
      <w:r w:rsidRPr="00E556CD">
        <w:rPr>
          <w:rFonts w:ascii="Tahoma" w:hAnsi="Tahoma" w:cs="Tahoma"/>
          <w:sz w:val="17"/>
          <w:szCs w:val="17"/>
          <w:rtl/>
        </w:rPr>
        <w:t xml:space="preserve"> </w:t>
      </w:r>
      <w:r w:rsidRPr="00E556CD">
        <w:rPr>
          <w:rFonts w:ascii="Tahoma" w:hAnsi="Tahoma" w:cs="Tahoma" w:hint="cs"/>
          <w:sz w:val="17"/>
          <w:szCs w:val="17"/>
          <w:rtl/>
        </w:rPr>
        <w:t>מיטבי</w:t>
      </w:r>
      <w:r w:rsidRPr="00E556CD">
        <w:rPr>
          <w:rFonts w:ascii="Tahoma" w:hAnsi="Tahoma" w:cs="Tahoma"/>
          <w:sz w:val="17"/>
          <w:szCs w:val="17"/>
          <w:rtl/>
        </w:rPr>
        <w:t xml:space="preserve"> </w:t>
      </w:r>
      <w:r w:rsidRPr="00E556CD">
        <w:rPr>
          <w:rFonts w:ascii="Tahoma" w:hAnsi="Tahoma" w:cs="Tahoma" w:hint="cs"/>
          <w:sz w:val="17"/>
          <w:szCs w:val="17"/>
          <w:rtl/>
        </w:rPr>
        <w:t>בכל</w:t>
      </w:r>
      <w:r w:rsidRPr="00E556CD">
        <w:rPr>
          <w:rFonts w:ascii="Tahoma" w:hAnsi="Tahoma" w:cs="Tahoma"/>
          <w:sz w:val="17"/>
          <w:szCs w:val="17"/>
          <w:rtl/>
        </w:rPr>
        <w:t xml:space="preserve"> </w:t>
      </w:r>
      <w:r w:rsidRPr="00E556CD">
        <w:rPr>
          <w:rFonts w:ascii="Tahoma" w:hAnsi="Tahoma" w:cs="Tahoma" w:hint="cs"/>
          <w:sz w:val="17"/>
          <w:szCs w:val="17"/>
          <w:rtl/>
        </w:rPr>
        <w:t>הנוגע</w:t>
      </w:r>
      <w:r w:rsidRPr="00E556CD">
        <w:rPr>
          <w:rFonts w:ascii="Tahoma" w:hAnsi="Tahoma" w:cs="Tahoma"/>
          <w:sz w:val="17"/>
          <w:szCs w:val="17"/>
          <w:rtl/>
        </w:rPr>
        <w:t xml:space="preserve"> </w:t>
      </w:r>
      <w:r w:rsidRPr="00E556CD">
        <w:rPr>
          <w:rFonts w:ascii="Tahoma" w:hAnsi="Tahoma" w:cs="Tahoma" w:hint="cs"/>
          <w:sz w:val="17"/>
          <w:szCs w:val="17"/>
          <w:rtl/>
        </w:rPr>
        <w:t>לקבורה</w:t>
      </w:r>
      <w:r w:rsidRPr="00E556CD">
        <w:rPr>
          <w:rFonts w:ascii="Tahoma" w:hAnsi="Tahoma" w:cs="Tahoma"/>
          <w:sz w:val="17"/>
          <w:szCs w:val="17"/>
          <w:rtl/>
        </w:rPr>
        <w:t xml:space="preserve"> </w:t>
      </w:r>
      <w:r w:rsidRPr="00E556CD">
        <w:rPr>
          <w:rFonts w:ascii="Tahoma" w:hAnsi="Tahoma" w:cs="Tahoma" w:hint="cs"/>
          <w:sz w:val="17"/>
          <w:szCs w:val="17"/>
          <w:rtl/>
        </w:rPr>
        <w:t>אזרחית חלופית</w:t>
      </w:r>
      <w:r w:rsidRPr="00E556CD">
        <w:rPr>
          <w:rFonts w:ascii="Tahoma" w:hAnsi="Tahoma" w:cs="Tahoma"/>
          <w:sz w:val="17"/>
          <w:szCs w:val="17"/>
          <w:rtl/>
        </w:rPr>
        <w:t>.</w:t>
      </w:r>
      <w:r w:rsidRPr="00E556CD">
        <w:rPr>
          <w:rFonts w:ascii="Tahoma" w:hAnsi="Tahoma" w:cs="Tahoma" w:hint="cs"/>
          <w:sz w:val="17"/>
          <w:szCs w:val="17"/>
          <w:rtl/>
        </w:rPr>
        <w:t xml:space="preserve"> ועדת</w:t>
      </w:r>
      <w:r w:rsidRPr="00E556CD">
        <w:rPr>
          <w:rFonts w:ascii="Tahoma" w:hAnsi="Tahoma" w:cs="Tahoma"/>
          <w:sz w:val="17"/>
          <w:szCs w:val="17"/>
          <w:rtl/>
        </w:rPr>
        <w:t xml:space="preserve"> </w:t>
      </w:r>
      <w:r w:rsidRPr="00E556CD">
        <w:rPr>
          <w:rFonts w:ascii="Tahoma" w:hAnsi="Tahoma" w:cs="Tahoma" w:hint="cs"/>
          <w:sz w:val="17"/>
          <w:szCs w:val="17"/>
          <w:rtl/>
        </w:rPr>
        <w:t>המנכ"לים תגיש לוועדת השרים</w:t>
      </w:r>
      <w:r w:rsidRPr="00E556CD">
        <w:rPr>
          <w:rFonts w:ascii="Tahoma" w:hAnsi="Tahoma" w:cs="Tahoma"/>
          <w:sz w:val="17"/>
          <w:szCs w:val="17"/>
          <w:rtl/>
        </w:rPr>
        <w:t xml:space="preserve"> לענייני פנים, שירותים ושלטון מקומי (להלן - ועדת השרים)</w:t>
      </w:r>
      <w:r w:rsidRPr="00E556CD">
        <w:rPr>
          <w:rFonts w:ascii="Tahoma" w:hAnsi="Tahoma" w:cs="Tahoma" w:hint="cs"/>
          <w:sz w:val="17"/>
          <w:szCs w:val="17"/>
          <w:rtl/>
        </w:rPr>
        <w:t>. את המלצותיה בתוך שלושה חודשים. במהלך תקופת הביניים משרד הפנים יסייע, ככל שיוכל, למשרד לשירותי דת לפתור חסמים הקיימים מול הרשויות המקומיות".</w:t>
      </w:r>
    </w:p>
    <w:p w:rsidR="00EF45C8" w:rsidRPr="00E556CD" w:rsidP="00E556CD">
      <w:pPr>
        <w:spacing w:line="240" w:lineRule="exact"/>
        <w:ind w:right="2268"/>
        <w:jc w:val="both"/>
        <w:rPr>
          <w:rFonts w:ascii="Tahoma" w:hAnsi="Tahoma" w:cs="Tahoma"/>
          <w:sz w:val="17"/>
          <w:szCs w:val="17"/>
          <w:rtl/>
        </w:rPr>
      </w:pPr>
      <w:r w:rsidRPr="00E556CD">
        <w:rPr>
          <w:rStyle w:val="Heading7Char"/>
          <w:rFonts w:ascii="Tahoma" w:hAnsi="Tahoma" w:cs="Tahoma" w:hint="eastAsia"/>
          <w:sz w:val="17"/>
          <w:szCs w:val="17"/>
          <w:rtl/>
        </w:rPr>
        <w:t>המלצות</w:t>
      </w:r>
      <w:r w:rsidRPr="00E556CD">
        <w:rPr>
          <w:rStyle w:val="Heading7Char"/>
          <w:rFonts w:ascii="Tahoma" w:hAnsi="Tahoma" w:cs="Tahoma"/>
          <w:sz w:val="17"/>
          <w:szCs w:val="17"/>
          <w:rtl/>
        </w:rPr>
        <w:t xml:space="preserve"> </w:t>
      </w:r>
      <w:r w:rsidRPr="00E556CD">
        <w:rPr>
          <w:rStyle w:val="Heading7Char"/>
          <w:rFonts w:ascii="Tahoma" w:hAnsi="Tahoma" w:cs="Tahoma" w:hint="eastAsia"/>
          <w:sz w:val="17"/>
          <w:szCs w:val="17"/>
          <w:rtl/>
        </w:rPr>
        <w:t>ועדת</w:t>
      </w:r>
      <w:r w:rsidRPr="00E556CD">
        <w:rPr>
          <w:rStyle w:val="Heading7Char"/>
          <w:rFonts w:ascii="Tahoma" w:hAnsi="Tahoma" w:cs="Tahoma"/>
          <w:sz w:val="17"/>
          <w:szCs w:val="17"/>
          <w:rtl/>
        </w:rPr>
        <w:t xml:space="preserve"> </w:t>
      </w:r>
      <w:r w:rsidRPr="00E556CD">
        <w:rPr>
          <w:rStyle w:val="Heading7Char"/>
          <w:rFonts w:ascii="Tahoma" w:hAnsi="Tahoma" w:cs="Tahoma" w:hint="eastAsia"/>
          <w:sz w:val="17"/>
          <w:szCs w:val="17"/>
          <w:rtl/>
        </w:rPr>
        <w:t>המנכ</w:t>
      </w:r>
      <w:r w:rsidRPr="00E556CD">
        <w:rPr>
          <w:rStyle w:val="Heading7Char"/>
          <w:rFonts w:ascii="Tahoma" w:hAnsi="Tahoma" w:cs="Tahoma"/>
          <w:sz w:val="17"/>
          <w:szCs w:val="17"/>
          <w:rtl/>
        </w:rPr>
        <w:t>"לים:</w:t>
      </w:r>
      <w:r w:rsidRPr="00E556CD">
        <w:rPr>
          <w:rFonts w:ascii="Tahoma" w:hAnsi="Tahoma" w:cs="Tahoma" w:hint="cs"/>
          <w:sz w:val="17"/>
          <w:szCs w:val="17"/>
          <w:rtl/>
        </w:rPr>
        <w:t xml:space="preserve"> באפריל 2014 קיימה ועדת המנכ"לים את ישיבתה הראשונה והעלתה בה סוגיות הנוגעות לקשיים ביישום חוק הקבורה האזרחית, הרלוונטיים לתחומי הסמכות והאחריות של המשרדים שנציגיהם משתתפים בוועדת המנכ"לים. ביוני 2014 קיימה ועדת המנכ"לים את ישיבתה השנייה - והאחרונה. בישיבתה המליצה הוועדה כי הטיפול בקבורה אזרחית חלופית יישאר בידי המשרד לשירותי דת; כי יוקם צוות בין-משרדי אשר יעסוק בכל התחומים הקשורים לקבורה אזרחית; וכי בראש הצוות יעמוד נציג המשרד לשירותי דת, וחבריו יהיו נציגים של משרדי הפנים, האוצר והמשפטים וכן נציגים של </w:t>
      </w:r>
      <w:r w:rsidRPr="00E556CD">
        <w:rPr>
          <w:rFonts w:ascii="Tahoma" w:hAnsi="Tahoma" w:cs="Tahoma" w:hint="cs"/>
          <w:sz w:val="17"/>
          <w:szCs w:val="17"/>
          <w:rtl/>
        </w:rPr>
        <w:t>רמ"י</w:t>
      </w:r>
      <w:r w:rsidRPr="00E556CD">
        <w:rPr>
          <w:rFonts w:ascii="Tahoma" w:hAnsi="Tahoma" w:cs="Tahoma" w:hint="cs"/>
          <w:sz w:val="17"/>
          <w:szCs w:val="17"/>
          <w:rtl/>
        </w:rPr>
        <w:t xml:space="preserve"> והמוסד לביטוח לאומי (להלן - הצוות הבין-משרדי או הצוות). על הצוות הוטל להגיש בתוך 120 יום (כלומר עד </w:t>
      </w:r>
      <w:r w:rsidRPr="00E556CD">
        <w:rPr>
          <w:rFonts w:ascii="Tahoma" w:hAnsi="Tahoma" w:cs="Tahoma" w:hint="cs"/>
          <w:sz w:val="17"/>
          <w:szCs w:val="17"/>
          <w:rtl/>
        </w:rPr>
        <w:t>אוקטובר 2014) דוח ביניים למנכ"ל המשרד לשירותי דת. עוד הומלץ כי המשרד יבוא בדברים עם משרד האוצר להקצאת תקנים ייעודיים לטיפול בנושא זה, והנושא יידון עם נציגי משרד האוצר בישיבות בנושא התקציב לשנת 2015.</w:t>
      </w:r>
    </w:p>
    <w:p w:rsidR="00EF45C8" w:rsidRPr="00E556CD" w:rsidP="00E556CD">
      <w:pPr>
        <w:spacing w:line="240" w:lineRule="exact"/>
        <w:ind w:right="2268"/>
        <w:jc w:val="both"/>
        <w:rPr>
          <w:rFonts w:ascii="Tahoma" w:hAnsi="Tahoma" w:cs="Tahoma"/>
          <w:b/>
          <w:bCs/>
          <w:sz w:val="17"/>
          <w:szCs w:val="17"/>
          <w:rtl/>
        </w:rPr>
      </w:pPr>
      <w:r w:rsidRPr="00E556CD">
        <w:rPr>
          <w:rStyle w:val="Heading7Char"/>
          <w:rFonts w:ascii="Tahoma" w:hAnsi="Tahoma" w:cs="Tahoma" w:hint="eastAsia"/>
          <w:sz w:val="17"/>
          <w:szCs w:val="17"/>
          <w:rtl/>
        </w:rPr>
        <w:t>עיכוב</w:t>
      </w:r>
      <w:r w:rsidRPr="00E556CD">
        <w:rPr>
          <w:rStyle w:val="Heading7Char"/>
          <w:rFonts w:ascii="Tahoma" w:hAnsi="Tahoma" w:cs="Tahoma"/>
          <w:sz w:val="17"/>
          <w:szCs w:val="17"/>
          <w:rtl/>
        </w:rPr>
        <w:t xml:space="preserve"> </w:t>
      </w:r>
      <w:r w:rsidRPr="00E556CD">
        <w:rPr>
          <w:rStyle w:val="Heading7Char"/>
          <w:rFonts w:ascii="Tahoma" w:hAnsi="Tahoma" w:cs="Tahoma" w:hint="eastAsia"/>
          <w:sz w:val="17"/>
          <w:szCs w:val="17"/>
          <w:rtl/>
        </w:rPr>
        <w:t>בהגשת</w:t>
      </w:r>
      <w:r w:rsidRPr="00E556CD">
        <w:rPr>
          <w:rStyle w:val="Heading7Char"/>
          <w:rFonts w:ascii="Tahoma" w:hAnsi="Tahoma" w:cs="Tahoma"/>
          <w:sz w:val="17"/>
          <w:szCs w:val="17"/>
          <w:rtl/>
        </w:rPr>
        <w:t xml:space="preserve"> </w:t>
      </w:r>
      <w:r w:rsidRPr="00E556CD">
        <w:rPr>
          <w:rStyle w:val="Heading7Char"/>
          <w:rFonts w:ascii="Tahoma" w:hAnsi="Tahoma" w:cs="Tahoma" w:hint="eastAsia"/>
          <w:sz w:val="17"/>
          <w:szCs w:val="17"/>
          <w:rtl/>
        </w:rPr>
        <w:t>המלצותיו</w:t>
      </w:r>
      <w:r w:rsidRPr="00E556CD">
        <w:rPr>
          <w:rStyle w:val="Heading7Char"/>
          <w:rFonts w:ascii="Tahoma" w:hAnsi="Tahoma" w:cs="Tahoma"/>
          <w:sz w:val="17"/>
          <w:szCs w:val="17"/>
          <w:rtl/>
        </w:rPr>
        <w:t xml:space="preserve"> ומסקנות</w:t>
      </w:r>
      <w:r w:rsidRPr="00E556CD">
        <w:rPr>
          <w:rStyle w:val="Heading7Char"/>
          <w:rFonts w:ascii="Tahoma" w:hAnsi="Tahoma" w:cs="Tahoma" w:hint="eastAsia"/>
          <w:sz w:val="17"/>
          <w:szCs w:val="17"/>
          <w:rtl/>
        </w:rPr>
        <w:t>יו</w:t>
      </w:r>
      <w:r w:rsidRPr="00E556CD">
        <w:rPr>
          <w:rStyle w:val="Heading7Char"/>
          <w:rFonts w:ascii="Tahoma" w:hAnsi="Tahoma" w:cs="Tahoma"/>
          <w:sz w:val="17"/>
          <w:szCs w:val="17"/>
          <w:rtl/>
        </w:rPr>
        <w:t xml:space="preserve"> </w:t>
      </w:r>
      <w:r w:rsidRPr="00E556CD">
        <w:rPr>
          <w:rStyle w:val="Heading7Char"/>
          <w:rFonts w:ascii="Tahoma" w:hAnsi="Tahoma" w:cs="Tahoma" w:hint="eastAsia"/>
          <w:sz w:val="17"/>
          <w:szCs w:val="17"/>
          <w:rtl/>
        </w:rPr>
        <w:t>של</w:t>
      </w:r>
      <w:r w:rsidRPr="00E556CD">
        <w:rPr>
          <w:rStyle w:val="Heading7Char"/>
          <w:rFonts w:ascii="Tahoma" w:hAnsi="Tahoma" w:cs="Tahoma"/>
          <w:sz w:val="17"/>
          <w:szCs w:val="17"/>
          <w:rtl/>
        </w:rPr>
        <w:t xml:space="preserve"> הצוות </w:t>
      </w:r>
      <w:r w:rsidRPr="00E556CD">
        <w:rPr>
          <w:rStyle w:val="Heading7Char"/>
          <w:rFonts w:ascii="Tahoma" w:hAnsi="Tahoma" w:cs="Tahoma" w:hint="eastAsia"/>
          <w:sz w:val="17"/>
          <w:szCs w:val="17"/>
          <w:rtl/>
        </w:rPr>
        <w:t>הבין</w:t>
      </w:r>
      <w:r w:rsidRPr="00E556CD">
        <w:rPr>
          <w:rStyle w:val="Heading7Char"/>
          <w:rFonts w:ascii="Tahoma" w:hAnsi="Tahoma" w:cs="Tahoma"/>
          <w:sz w:val="17"/>
          <w:szCs w:val="17"/>
          <w:rtl/>
        </w:rPr>
        <w:t>-</w:t>
      </w:r>
      <w:r w:rsidRPr="00E556CD">
        <w:rPr>
          <w:rStyle w:val="Heading7Char"/>
          <w:rFonts w:ascii="Tahoma" w:hAnsi="Tahoma" w:cs="Tahoma" w:hint="eastAsia"/>
          <w:sz w:val="17"/>
          <w:szCs w:val="17"/>
          <w:rtl/>
        </w:rPr>
        <w:t>משרדי</w:t>
      </w:r>
      <w:r w:rsidRPr="00E556CD">
        <w:rPr>
          <w:rStyle w:val="Heading7Char"/>
          <w:rFonts w:ascii="Tahoma" w:hAnsi="Tahoma" w:cs="Tahoma"/>
          <w:sz w:val="17"/>
          <w:szCs w:val="17"/>
          <w:rtl/>
        </w:rPr>
        <w:t>:</w:t>
      </w:r>
      <w:r w:rsidRPr="00E556CD">
        <w:rPr>
          <w:rFonts w:ascii="Tahoma" w:hAnsi="Tahoma" w:cs="Tahoma" w:hint="cs"/>
          <w:sz w:val="17"/>
          <w:szCs w:val="17"/>
          <w:rtl/>
        </w:rPr>
        <w:t xml:space="preserve"> ביולי 2014 החל לפעול הצוות הבין-משרדי, בראשותו של סמנכ"ל בכיר לשירותי דת דאז במשרד, וקיים ארבע</w:t>
      </w:r>
      <w:r w:rsidRPr="00E556CD">
        <w:rPr>
          <w:rFonts w:ascii="Tahoma" w:hAnsi="Tahoma" w:cs="Tahoma"/>
          <w:sz w:val="17"/>
          <w:szCs w:val="17"/>
          <w:rtl/>
        </w:rPr>
        <w:t xml:space="preserve"> ישיבות</w:t>
      </w:r>
      <w:r w:rsidRPr="00E556CD">
        <w:rPr>
          <w:rFonts w:ascii="Tahoma" w:hAnsi="Tahoma" w:cs="Tahoma" w:hint="cs"/>
          <w:sz w:val="17"/>
          <w:szCs w:val="17"/>
          <w:rtl/>
        </w:rPr>
        <w:t>. באחרונה שבהן, שהתקיימה בינואר 2016</w:t>
      </w:r>
      <w:r w:rsidRPr="00E556CD">
        <w:rPr>
          <w:rFonts w:ascii="Tahoma" w:hAnsi="Tahoma" w:cs="Tahoma"/>
          <w:sz w:val="17"/>
          <w:szCs w:val="17"/>
          <w:rtl/>
        </w:rPr>
        <w:t xml:space="preserve"> בהשתתפות מנכ"ל המשרד לשירותי דת</w:t>
      </w:r>
      <w:r w:rsidRPr="00E556CD">
        <w:rPr>
          <w:rFonts w:ascii="Tahoma" w:hAnsi="Tahoma" w:cs="Tahoma" w:hint="cs"/>
          <w:sz w:val="17"/>
          <w:szCs w:val="17"/>
          <w:rtl/>
        </w:rPr>
        <w:t>, שהתמנה לתפקידו ביוני 2015</w:t>
      </w:r>
      <w:r w:rsidRPr="00E556CD">
        <w:rPr>
          <w:rFonts w:ascii="Tahoma" w:hAnsi="Tahoma" w:cs="Tahoma"/>
          <w:sz w:val="17"/>
          <w:szCs w:val="17"/>
          <w:rtl/>
        </w:rPr>
        <w:t xml:space="preserve"> (יו"ר ועדת המנכ"לים המכהן)</w:t>
      </w:r>
      <w:r w:rsidRPr="00E556CD">
        <w:rPr>
          <w:rFonts w:ascii="Tahoma" w:hAnsi="Tahoma" w:cs="Tahoma" w:hint="cs"/>
          <w:sz w:val="17"/>
          <w:szCs w:val="17"/>
          <w:rtl/>
        </w:rPr>
        <w:t>,</w:t>
      </w:r>
      <w:r w:rsidRPr="00E556CD">
        <w:rPr>
          <w:rFonts w:ascii="Tahoma" w:hAnsi="Tahoma" w:cs="Tahoma"/>
          <w:sz w:val="17"/>
          <w:szCs w:val="17"/>
          <w:rtl/>
        </w:rPr>
        <w:t xml:space="preserve"> נדונו המלצות הצוות </w:t>
      </w:r>
      <w:r w:rsidRPr="00E556CD">
        <w:rPr>
          <w:rFonts w:ascii="Tahoma" w:hAnsi="Tahoma" w:cs="Tahoma" w:hint="cs"/>
          <w:sz w:val="17"/>
          <w:szCs w:val="17"/>
          <w:rtl/>
        </w:rPr>
        <w:t xml:space="preserve">שצוינו בדוח שהכין (להלן - מסמך הצוות). </w:t>
      </w:r>
      <w:r w:rsidRPr="00E556CD">
        <w:rPr>
          <w:rFonts w:ascii="Tahoma" w:hAnsi="Tahoma" w:cs="Tahoma"/>
          <w:sz w:val="17"/>
          <w:szCs w:val="17"/>
          <w:rtl/>
        </w:rPr>
        <w:t xml:space="preserve">אך </w:t>
      </w:r>
      <w:r w:rsidRPr="00E556CD">
        <w:rPr>
          <w:rFonts w:ascii="Tahoma" w:hAnsi="Tahoma" w:cs="Tahoma" w:hint="cs"/>
          <w:sz w:val="17"/>
          <w:szCs w:val="17"/>
          <w:rtl/>
        </w:rPr>
        <w:t>המלצות אלה</w:t>
      </w:r>
      <w:r w:rsidRPr="00E556CD">
        <w:rPr>
          <w:rFonts w:ascii="Tahoma" w:hAnsi="Tahoma" w:cs="Tahoma"/>
          <w:sz w:val="17"/>
          <w:szCs w:val="17"/>
          <w:rtl/>
        </w:rPr>
        <w:t xml:space="preserve"> לא אושרו בשל </w:t>
      </w:r>
      <w:r w:rsidRPr="00E556CD">
        <w:rPr>
          <w:rFonts w:ascii="Tahoma" w:hAnsi="Tahoma" w:cs="Tahoma" w:hint="cs"/>
          <w:sz w:val="17"/>
          <w:szCs w:val="17"/>
          <w:rtl/>
        </w:rPr>
        <w:t xml:space="preserve">הצורך לבצע </w:t>
      </w:r>
      <w:r w:rsidRPr="00E556CD">
        <w:rPr>
          <w:rFonts w:ascii="Tahoma" w:hAnsi="Tahoma" w:cs="Tahoma"/>
          <w:sz w:val="17"/>
          <w:szCs w:val="17"/>
          <w:rtl/>
        </w:rPr>
        <w:t>בדיקות משלימות בנושאים הנוגעים לקבלת הסכמת</w:t>
      </w:r>
      <w:r w:rsidRPr="00E556CD">
        <w:rPr>
          <w:rFonts w:ascii="Tahoma" w:hAnsi="Tahoma" w:cs="Tahoma" w:hint="cs"/>
          <w:sz w:val="17"/>
          <w:szCs w:val="17"/>
          <w:rtl/>
        </w:rPr>
        <w:t>ן של</w:t>
      </w:r>
      <w:r w:rsidRPr="00E556CD">
        <w:rPr>
          <w:rFonts w:ascii="Tahoma" w:hAnsi="Tahoma" w:cs="Tahoma"/>
          <w:sz w:val="17"/>
          <w:szCs w:val="17"/>
          <w:rtl/>
        </w:rPr>
        <w:t xml:space="preserve"> הרשו</w:t>
      </w:r>
      <w:r w:rsidRPr="00E556CD">
        <w:rPr>
          <w:rFonts w:ascii="Tahoma" w:hAnsi="Tahoma" w:cs="Tahoma" w:hint="cs"/>
          <w:sz w:val="17"/>
          <w:szCs w:val="17"/>
          <w:rtl/>
        </w:rPr>
        <w:t>יו</w:t>
      </w:r>
      <w:r w:rsidRPr="00E556CD">
        <w:rPr>
          <w:rFonts w:ascii="Tahoma" w:hAnsi="Tahoma" w:cs="Tahoma"/>
          <w:sz w:val="17"/>
          <w:szCs w:val="17"/>
          <w:rtl/>
        </w:rPr>
        <w:t>ת המקומי</w:t>
      </w:r>
      <w:r w:rsidRPr="00E556CD">
        <w:rPr>
          <w:rFonts w:ascii="Tahoma" w:hAnsi="Tahoma" w:cs="Tahoma" w:hint="cs"/>
          <w:sz w:val="17"/>
          <w:szCs w:val="17"/>
          <w:rtl/>
        </w:rPr>
        <w:t>ו</w:t>
      </w:r>
      <w:r w:rsidRPr="00E556CD">
        <w:rPr>
          <w:rFonts w:ascii="Tahoma" w:hAnsi="Tahoma" w:cs="Tahoma"/>
          <w:sz w:val="17"/>
          <w:szCs w:val="17"/>
          <w:rtl/>
        </w:rPr>
        <w:t xml:space="preserve">ת להקצאת קרקע לתאגידי קבורה, </w:t>
      </w:r>
      <w:r w:rsidRPr="00E556CD">
        <w:rPr>
          <w:rFonts w:ascii="Tahoma" w:hAnsi="Tahoma" w:cs="Tahoma" w:hint="cs"/>
          <w:sz w:val="17"/>
          <w:szCs w:val="17"/>
          <w:rtl/>
        </w:rPr>
        <w:t>ל</w:t>
      </w:r>
      <w:r w:rsidRPr="00E556CD">
        <w:rPr>
          <w:rFonts w:ascii="Tahoma" w:hAnsi="Tahoma" w:cs="Tahoma"/>
          <w:sz w:val="17"/>
          <w:szCs w:val="17"/>
          <w:rtl/>
        </w:rPr>
        <w:t xml:space="preserve">הסדרת עניין התמיכות לתאגידי קבורה ועוד. </w:t>
      </w:r>
      <w:r w:rsidRPr="00E556CD">
        <w:rPr>
          <w:rFonts w:ascii="Tahoma" w:hAnsi="Tahoma" w:cs="Tahoma" w:hint="cs"/>
          <w:sz w:val="17"/>
          <w:szCs w:val="17"/>
          <w:rtl/>
        </w:rPr>
        <w:t>לאחר</w:t>
      </w:r>
      <w:r w:rsidRPr="00E556CD">
        <w:rPr>
          <w:rFonts w:ascii="Tahoma" w:hAnsi="Tahoma" w:cs="Tahoma"/>
          <w:sz w:val="17"/>
          <w:szCs w:val="17"/>
          <w:rtl/>
        </w:rPr>
        <w:t xml:space="preserve"> ישיבה זו </w:t>
      </w:r>
      <w:r w:rsidRPr="00E556CD">
        <w:rPr>
          <w:rFonts w:ascii="Tahoma" w:hAnsi="Tahoma" w:cs="Tahoma" w:hint="cs"/>
          <w:sz w:val="17"/>
          <w:szCs w:val="17"/>
          <w:rtl/>
        </w:rPr>
        <w:t xml:space="preserve">לא </w:t>
      </w:r>
      <w:r w:rsidRPr="00E556CD">
        <w:rPr>
          <w:rFonts w:ascii="Tahoma" w:hAnsi="Tahoma" w:cs="Tahoma"/>
          <w:sz w:val="17"/>
          <w:szCs w:val="17"/>
          <w:rtl/>
        </w:rPr>
        <w:t>ה</w:t>
      </w:r>
      <w:r w:rsidRPr="00E556CD">
        <w:rPr>
          <w:rFonts w:ascii="Tahoma" w:hAnsi="Tahoma" w:cs="Tahoma" w:hint="cs"/>
          <w:sz w:val="17"/>
          <w:szCs w:val="17"/>
          <w:rtl/>
        </w:rPr>
        <w:t xml:space="preserve">משיך </w:t>
      </w:r>
      <w:r w:rsidRPr="00E556CD">
        <w:rPr>
          <w:rFonts w:ascii="Tahoma" w:hAnsi="Tahoma" w:cs="Tahoma"/>
          <w:sz w:val="17"/>
          <w:szCs w:val="17"/>
          <w:rtl/>
        </w:rPr>
        <w:t xml:space="preserve">הצוות </w:t>
      </w:r>
      <w:r w:rsidRPr="00E556CD">
        <w:rPr>
          <w:rFonts w:ascii="Tahoma" w:hAnsi="Tahoma" w:cs="Tahoma" w:hint="cs"/>
          <w:sz w:val="17"/>
          <w:szCs w:val="17"/>
          <w:rtl/>
        </w:rPr>
        <w:t>לפעול,</w:t>
      </w:r>
      <w:r w:rsidRPr="00E556CD">
        <w:rPr>
          <w:rFonts w:ascii="Tahoma" w:hAnsi="Tahoma" w:cs="Tahoma"/>
          <w:sz w:val="17"/>
          <w:szCs w:val="17"/>
          <w:rtl/>
        </w:rPr>
        <w:t xml:space="preserve"> והמלצותיו לא </w:t>
      </w:r>
      <w:r w:rsidRPr="00E556CD">
        <w:rPr>
          <w:rFonts w:ascii="Tahoma" w:hAnsi="Tahoma" w:cs="Tahoma" w:hint="cs"/>
          <w:sz w:val="17"/>
          <w:szCs w:val="17"/>
          <w:rtl/>
        </w:rPr>
        <w:t>קודמו</w:t>
      </w:r>
      <w:r w:rsidRPr="00E556CD">
        <w:rPr>
          <w:rFonts w:ascii="Tahoma" w:hAnsi="Tahoma" w:cs="Tahoma"/>
          <w:sz w:val="17"/>
          <w:szCs w:val="17"/>
          <w:rtl/>
        </w:rPr>
        <w:t>.</w:t>
      </w:r>
    </w:p>
    <w:p w:rsidR="00EF45C8" w:rsidRPr="00E556CD" w:rsidP="005F3BD7">
      <w:pPr>
        <w:spacing w:after="240" w:line="240" w:lineRule="exact"/>
        <w:ind w:right="2268"/>
        <w:jc w:val="both"/>
        <w:rPr>
          <w:rFonts w:ascii="Tahoma" w:hAnsi="Tahoma" w:cs="Tahoma"/>
          <w:strike/>
          <w:sz w:val="17"/>
          <w:szCs w:val="17"/>
          <w:rtl/>
        </w:rPr>
      </w:pPr>
      <w:r w:rsidRPr="00E556CD">
        <w:rPr>
          <w:rFonts w:ascii="Tahoma" w:hAnsi="Tahoma" w:cs="Tahoma" w:hint="cs"/>
          <w:sz w:val="17"/>
          <w:szCs w:val="17"/>
          <w:rtl/>
        </w:rPr>
        <w:t>כעבור חמישה חודשים, ביוני 2016 (במהלך תקופת הביקורת), מנכ"ל המשרד לשירותי דת ויו"ר ועדת המנכ"לים פנה למנכ"לים של הגופים שנציגיהם השתתפו בצוות וציין כי היות שחברי הצוות לא הצליחו להגיע להסכמה מוחלטת בנוגע להמלצות, הוא מציע כי החברים או המנכ"לים של משרדיהם יחתמו על מסמך הצוות ויצרפו אליו מסמך המפרט את הסעיפים שהם מסתייגים מהם. בפועל חברי הצוות לא חתמו על המסמך עצמו, ואף מנכ"לי המשרדים לא חתמו עליו.</w:t>
      </w:r>
    </w:p>
    <w:p w:rsidR="00EF45C8" w:rsidRPr="00E556CD" w:rsidP="005F3BD7">
      <w:pPr>
        <w:pStyle w:val="RESHET"/>
        <w:rPr>
          <w:rtl/>
        </w:rPr>
      </w:pPr>
      <w:r w:rsidRPr="00E556CD">
        <w:rPr>
          <w:rFonts w:hint="cs"/>
          <w:rtl/>
        </w:rPr>
        <w:t xml:space="preserve">במועד סיום הביקורת, אוקטובר 2016, </w:t>
      </w:r>
      <w:r w:rsidRPr="00E556CD">
        <w:rPr>
          <w:rtl/>
        </w:rPr>
        <w:t xml:space="preserve">טרם </w:t>
      </w:r>
      <w:r w:rsidRPr="00E556CD">
        <w:rPr>
          <w:rFonts w:hint="cs"/>
          <w:rtl/>
        </w:rPr>
        <w:t xml:space="preserve">הגיש </w:t>
      </w:r>
      <w:r w:rsidRPr="00E556CD">
        <w:rPr>
          <w:rtl/>
        </w:rPr>
        <w:t>הצוות הבין</w:t>
      </w:r>
      <w:r w:rsidRPr="00E556CD">
        <w:rPr>
          <w:rFonts w:hint="cs"/>
          <w:rtl/>
        </w:rPr>
        <w:t>-</w:t>
      </w:r>
      <w:r w:rsidRPr="00E556CD">
        <w:rPr>
          <w:rtl/>
        </w:rPr>
        <w:t>משרדי</w:t>
      </w:r>
      <w:r w:rsidRPr="00E556CD">
        <w:rPr>
          <w:rFonts w:hint="cs"/>
          <w:rtl/>
        </w:rPr>
        <w:t xml:space="preserve"> את מסקנותיו לוועדת המנכ"לים, ולמותר לציין שהיא לא דנה בהן.</w:t>
      </w:r>
    </w:p>
    <w:p w:rsidR="00EF45C8" w:rsidRPr="00E556CD" w:rsidP="005F3BD7">
      <w:pPr>
        <w:spacing w:before="180" w:line="240" w:lineRule="exact"/>
        <w:ind w:right="2268"/>
        <w:jc w:val="both"/>
        <w:rPr>
          <w:rFonts w:ascii="Tahoma" w:hAnsi="Tahoma" w:cs="Tahoma"/>
          <w:sz w:val="17"/>
          <w:szCs w:val="17"/>
          <w:rtl/>
        </w:rPr>
      </w:pPr>
      <w:r w:rsidRPr="00E556CD">
        <w:rPr>
          <w:rFonts w:ascii="Tahoma" w:hAnsi="Tahoma" w:cs="Tahoma" w:hint="cs"/>
          <w:sz w:val="17"/>
          <w:szCs w:val="17"/>
          <w:rtl/>
        </w:rPr>
        <w:t>משרד הפנים השיב למשרד מבקר המדינה בדצמבר 2016 כי בשל חילופי המנכ"לים במשרד הפנים הנושא טרם הוצג למנכ"ל הנוכחי, וכי מסמך ההמלצות יוצג לו בקרוב לקבלת החלטותיו בעניין. משרד הפנים לא נקב בלוח זמנים להגשת המסמך.</w:t>
      </w:r>
    </w:p>
    <w:p w:rsidR="00EF45C8" w:rsidRPr="00E556CD" w:rsidP="00E556CD">
      <w:pPr>
        <w:spacing w:line="240" w:lineRule="exact"/>
        <w:ind w:right="2268"/>
        <w:jc w:val="both"/>
        <w:rPr>
          <w:rFonts w:ascii="Tahoma" w:hAnsi="Tahoma" w:cs="Tahoma"/>
          <w:sz w:val="17"/>
          <w:szCs w:val="17"/>
          <w:rtl/>
        </w:rPr>
      </w:pPr>
      <w:r w:rsidRPr="00E556CD">
        <w:rPr>
          <w:rFonts w:ascii="Tahoma" w:hAnsi="Tahoma" w:cs="Tahoma" w:hint="cs"/>
          <w:sz w:val="17"/>
          <w:szCs w:val="17"/>
          <w:rtl/>
        </w:rPr>
        <w:t>המשרד לשירותי דת השיב למשרד מבקר המדינה כי "ריבוי הגורמים ודעות הותיר מראש סיכויים נמוכים להגעה להסכמה מוחלטת בנושא הטומן בחובו אספקטים רבים. המשרד לשירותי דת פעל באופן נמרץ ופנה פעמים רבות אל חברי הצוות על מנת להגיע להסכמות. על רקע ההתנגדויות וחילוקי הדעות, אף הציעו נציגי המשרד לשירותי דת לחברי הוועדה [הצוות הבין - משרדי] כי טרם פרסום מסקנות הוועדה (בהתאם להתחייבות שנמסרה לוועדה לביקורת המדינה) יתאפשר לכל משרד מהשותפים בוועדה [הצוות הבין - משרדי] לצרף למסקנות הוועדה מסמך הסתייגויות מסעיפים רלבנטיים לתחומו אך גם זה לא הועיל ופניות המשרד לשירותי דת לא נענו...".</w:t>
      </w:r>
    </w:p>
    <w:p w:rsidR="00EF45C8" w:rsidRPr="00E556CD" w:rsidP="005F3BD7">
      <w:pPr>
        <w:spacing w:after="240" w:line="240" w:lineRule="exact"/>
        <w:ind w:right="2268"/>
        <w:jc w:val="both"/>
        <w:rPr>
          <w:rFonts w:ascii="Tahoma" w:hAnsi="Tahoma" w:cs="Tahoma"/>
          <w:sz w:val="17"/>
          <w:szCs w:val="17"/>
          <w:rtl/>
        </w:rPr>
      </w:pPr>
      <w:r w:rsidRPr="00E556CD">
        <w:rPr>
          <w:rFonts w:ascii="Tahoma" w:hAnsi="Tahoma" w:cs="Tahoma" w:hint="cs"/>
          <w:sz w:val="17"/>
          <w:szCs w:val="17"/>
          <w:rtl/>
        </w:rPr>
        <w:t xml:space="preserve">משרד המשפטים השיב למשרד מבקר המדינה בנובמבר 2016 כי בוועדת המנכ"לים לא השתתף נציג של משרד המשפטים, והוסיף כי "ברי כי הצוות [ועדת המנכ"לים] שמונה על ידי הממשלה הוא הגורם שהיה אמון על הבאת המסקנות בפני הממשלה. עוד ברי, כי הצוות רשאי להסתייע בגורמים נוספים, אבל החתימה על המסקנות צריכה הייתה להיעשות בידי חברי צוות המנכ"לים [ועדת המנכ"לים] שמינתה הממשלה ולא על ידי צוות בין - משרדי אחר... נוכח האמור, הפנייה למשרד המשפטים בבקשה כי נציג משרד המשפטים יחתום על ההמלצות נעשתה שלא </w:t>
      </w:r>
      <w:r w:rsidRPr="00E556CD">
        <w:rPr>
          <w:rFonts w:ascii="Tahoma" w:hAnsi="Tahoma" w:cs="Tahoma" w:hint="cs"/>
          <w:sz w:val="17"/>
          <w:szCs w:val="17"/>
          <w:rtl/>
        </w:rPr>
        <w:t>בהתאם להחלטת הממשלה... נראה כי היה מקום לפנות אך ורק למנכ"לים... שמינתה הממשלה לצורך אישור ההמלצות בהתאם להחלטת הממשלה".</w:t>
      </w:r>
    </w:p>
    <w:p w:rsidR="00EF45C8" w:rsidRPr="00E556CD" w:rsidP="005F3BD7">
      <w:pPr>
        <w:pStyle w:val="RESHET"/>
        <w:rPr>
          <w:rtl/>
        </w:rPr>
      </w:pPr>
      <w:r w:rsidRPr="00E556CD">
        <w:rPr>
          <w:rFonts w:hint="cs"/>
          <w:rtl/>
        </w:rPr>
        <w:t>תמונת המצב העולה מכלל האמור היא שבמועד סיום הביקורת, כשנתיים וחצי לאחר שהוקמו ועדת המנכ"לים והצוות הבין-משרדי, עדיין לא עלה בידיהם למלא כנדרש את התפקיד שהוטל עליהם - טיפול מיטבי בסוגיית הקבורה האזרחית, תוך תיאום בין-משרדי - ועקב כך נפגעה יכולתו של הציבור לממש את זכותו לקבורה אזרחית. ראוי כי מנכ"ל המשרד לשירותי דת, המכהן כיו"ר ועדת המנכ"לים, יציג תמונת מצב עגומה זו לפני ועדת השרים, כדי שהיא תחליט כיצד לקדם את הטיפול בנושא הקבורה האזרחית.</w:t>
      </w:r>
      <w:r w:rsidRPr="00ED10E1" w:rsidR="00ED10E1">
        <w:rPr>
          <w:noProof/>
          <w:rtl/>
        </w:rPr>
        <w:t xml:space="preserve"> </w:t>
      </w:r>
      <w:r w:rsidRPr="0012789B" w:rsidR="00ED10E1">
        <w:rPr>
          <w:noProof/>
          <w:rtl/>
          <w:lang w:eastAsia="en-US"/>
        </w:rPr>
        <mc:AlternateContent>
          <mc:Choice Requires="wps">
            <w:drawing>
              <wp:anchor distT="0" distB="0" distL="114300" distR="114300" simplePos="0" relativeHeight="251660288" behindDoc="1" locked="0" layoutInCell="1" allowOverlap="1">
                <wp:simplePos x="0" y="0"/>
                <wp:positionH relativeFrom="margin">
                  <wp:posOffset>-431800</wp:posOffset>
                </wp:positionH>
                <wp:positionV relativeFrom="margin">
                  <wp:align>top</wp:align>
                </wp:positionV>
                <wp:extent cx="1620000" cy="4140000"/>
                <wp:effectExtent l="0" t="0" r="0" b="0"/>
                <wp:wrapNone/>
                <wp:docPr id="2"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ED10E1" w:rsidRPr="00373C5D" w:rsidP="00ED10E1">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74712991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282590" name="QUT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ED10E1" w:rsidRPr="00881D99" w:rsidP="00ED10E1">
                            <w:pPr>
                              <w:spacing w:after="0" w:line="240" w:lineRule="auto"/>
                              <w:rPr>
                                <w:color w:val="0B5294"/>
                                <w:spacing w:val="-4"/>
                                <w:sz w:val="24"/>
                                <w:szCs w:val="24"/>
                                <w:rtl/>
                                <w:cs/>
                              </w:rPr>
                            </w:pPr>
                            <w:r w:rsidRPr="00ED10E1">
                              <w:rPr>
                                <w:rFonts w:cs="Tahoma" w:hint="eastAsia"/>
                                <w:color w:val="0B5294"/>
                                <w:spacing w:val="-4"/>
                                <w:sz w:val="24"/>
                                <w:szCs w:val="24"/>
                                <w:rtl/>
                              </w:rPr>
                              <w:t>כשנתיים</w:t>
                            </w:r>
                            <w:r w:rsidRPr="00ED10E1">
                              <w:rPr>
                                <w:rFonts w:cs="Tahoma"/>
                                <w:color w:val="0B5294"/>
                                <w:spacing w:val="-4"/>
                                <w:sz w:val="24"/>
                                <w:szCs w:val="24"/>
                                <w:rtl/>
                              </w:rPr>
                              <w:t xml:space="preserve"> </w:t>
                            </w:r>
                            <w:r w:rsidRPr="00ED10E1">
                              <w:rPr>
                                <w:rFonts w:cs="Tahoma" w:hint="eastAsia"/>
                                <w:color w:val="0B5294"/>
                                <w:spacing w:val="-4"/>
                                <w:sz w:val="24"/>
                                <w:szCs w:val="24"/>
                                <w:rtl/>
                              </w:rPr>
                              <w:t>וחצי</w:t>
                            </w:r>
                            <w:r w:rsidRPr="00ED10E1">
                              <w:rPr>
                                <w:rFonts w:cs="Tahoma"/>
                                <w:color w:val="0B5294"/>
                                <w:spacing w:val="-4"/>
                                <w:sz w:val="24"/>
                                <w:szCs w:val="24"/>
                                <w:rtl/>
                              </w:rPr>
                              <w:t xml:space="preserve"> </w:t>
                            </w:r>
                            <w:r w:rsidRPr="00ED10E1">
                              <w:rPr>
                                <w:rFonts w:cs="Tahoma" w:hint="eastAsia"/>
                                <w:color w:val="0B5294"/>
                                <w:spacing w:val="-4"/>
                                <w:sz w:val="24"/>
                                <w:szCs w:val="24"/>
                                <w:rtl/>
                              </w:rPr>
                              <w:t>לאחר</w:t>
                            </w:r>
                            <w:r w:rsidRPr="00ED10E1">
                              <w:rPr>
                                <w:rFonts w:cs="Tahoma"/>
                                <w:color w:val="0B5294"/>
                                <w:spacing w:val="-4"/>
                                <w:sz w:val="24"/>
                                <w:szCs w:val="24"/>
                                <w:rtl/>
                              </w:rPr>
                              <w:t xml:space="preserve"> </w:t>
                            </w:r>
                            <w:r w:rsidRPr="00ED10E1">
                              <w:rPr>
                                <w:rFonts w:cs="Tahoma" w:hint="eastAsia"/>
                                <w:color w:val="0B5294"/>
                                <w:spacing w:val="-4"/>
                                <w:sz w:val="24"/>
                                <w:szCs w:val="24"/>
                                <w:rtl/>
                              </w:rPr>
                              <w:t>שהוקמו</w:t>
                            </w:r>
                            <w:r w:rsidRPr="00ED10E1">
                              <w:rPr>
                                <w:rFonts w:cs="Tahoma"/>
                                <w:color w:val="0B5294"/>
                                <w:spacing w:val="-4"/>
                                <w:sz w:val="24"/>
                                <w:szCs w:val="24"/>
                                <w:rtl/>
                              </w:rPr>
                              <w:t xml:space="preserve"> </w:t>
                            </w:r>
                            <w:r w:rsidRPr="00ED10E1">
                              <w:rPr>
                                <w:rFonts w:cs="Tahoma" w:hint="eastAsia"/>
                                <w:color w:val="0B5294"/>
                                <w:spacing w:val="-4"/>
                                <w:sz w:val="24"/>
                                <w:szCs w:val="24"/>
                                <w:rtl/>
                              </w:rPr>
                              <w:t>ועדת</w:t>
                            </w:r>
                            <w:r w:rsidRPr="00ED10E1">
                              <w:rPr>
                                <w:rFonts w:cs="Tahoma"/>
                                <w:color w:val="0B5294"/>
                                <w:spacing w:val="-4"/>
                                <w:sz w:val="24"/>
                                <w:szCs w:val="24"/>
                                <w:rtl/>
                              </w:rPr>
                              <w:t xml:space="preserve"> </w:t>
                            </w:r>
                            <w:r w:rsidRPr="00ED10E1">
                              <w:rPr>
                                <w:rFonts w:cs="Tahoma" w:hint="eastAsia"/>
                                <w:color w:val="0B5294"/>
                                <w:spacing w:val="-4"/>
                                <w:sz w:val="24"/>
                                <w:szCs w:val="24"/>
                                <w:rtl/>
                              </w:rPr>
                              <w:t>המנכ</w:t>
                            </w:r>
                            <w:r w:rsidRPr="00ED10E1">
                              <w:rPr>
                                <w:rFonts w:cs="Tahoma"/>
                                <w:color w:val="0B5294"/>
                                <w:spacing w:val="-4"/>
                                <w:sz w:val="24"/>
                                <w:szCs w:val="24"/>
                                <w:rtl/>
                              </w:rPr>
                              <w:t>"</w:t>
                            </w:r>
                            <w:r w:rsidRPr="00ED10E1">
                              <w:rPr>
                                <w:rFonts w:cs="Tahoma" w:hint="eastAsia"/>
                                <w:color w:val="0B5294"/>
                                <w:spacing w:val="-4"/>
                                <w:sz w:val="24"/>
                                <w:szCs w:val="24"/>
                                <w:rtl/>
                              </w:rPr>
                              <w:t>לים</w:t>
                            </w:r>
                            <w:r w:rsidRPr="00ED10E1">
                              <w:rPr>
                                <w:rFonts w:cs="Tahoma"/>
                                <w:color w:val="0B5294"/>
                                <w:spacing w:val="-4"/>
                                <w:sz w:val="24"/>
                                <w:szCs w:val="24"/>
                                <w:rtl/>
                              </w:rPr>
                              <w:t xml:space="preserve"> </w:t>
                            </w:r>
                            <w:r w:rsidRPr="00ED10E1">
                              <w:rPr>
                                <w:rFonts w:cs="Tahoma" w:hint="eastAsia"/>
                                <w:color w:val="0B5294"/>
                                <w:spacing w:val="-4"/>
                                <w:sz w:val="24"/>
                                <w:szCs w:val="24"/>
                                <w:rtl/>
                              </w:rPr>
                              <w:t>והצוות</w:t>
                            </w:r>
                            <w:r w:rsidRPr="00ED10E1">
                              <w:rPr>
                                <w:rFonts w:cs="Tahoma"/>
                                <w:color w:val="0B5294"/>
                                <w:spacing w:val="-4"/>
                                <w:sz w:val="24"/>
                                <w:szCs w:val="24"/>
                                <w:rtl/>
                              </w:rPr>
                              <w:t xml:space="preserve"> </w:t>
                            </w:r>
                            <w:r w:rsidRPr="00ED10E1">
                              <w:rPr>
                                <w:rFonts w:cs="Tahoma" w:hint="eastAsia"/>
                                <w:color w:val="0B5294"/>
                                <w:spacing w:val="-4"/>
                                <w:sz w:val="24"/>
                                <w:szCs w:val="24"/>
                                <w:rtl/>
                              </w:rPr>
                              <w:t>הבין</w:t>
                            </w:r>
                            <w:r w:rsidRPr="00ED10E1">
                              <w:rPr>
                                <w:rFonts w:cs="Tahoma"/>
                                <w:color w:val="0B5294"/>
                                <w:spacing w:val="-4"/>
                                <w:sz w:val="24"/>
                                <w:szCs w:val="24"/>
                                <w:rtl/>
                              </w:rPr>
                              <w:t>-</w:t>
                            </w:r>
                            <w:r w:rsidRPr="00ED10E1">
                              <w:rPr>
                                <w:rFonts w:cs="Tahoma" w:hint="eastAsia"/>
                                <w:color w:val="0B5294"/>
                                <w:spacing w:val="-4"/>
                                <w:sz w:val="24"/>
                                <w:szCs w:val="24"/>
                                <w:rtl/>
                              </w:rPr>
                              <w:t>משרדי</w:t>
                            </w:r>
                            <w:r w:rsidRPr="00ED10E1">
                              <w:rPr>
                                <w:rFonts w:cs="Tahoma"/>
                                <w:color w:val="0B5294"/>
                                <w:spacing w:val="-4"/>
                                <w:sz w:val="24"/>
                                <w:szCs w:val="24"/>
                                <w:rtl/>
                              </w:rPr>
                              <w:t xml:space="preserve">, </w:t>
                            </w:r>
                            <w:r w:rsidRPr="00ED10E1">
                              <w:rPr>
                                <w:rFonts w:cs="Tahoma" w:hint="eastAsia"/>
                                <w:color w:val="0B5294"/>
                                <w:spacing w:val="-4"/>
                                <w:sz w:val="24"/>
                                <w:szCs w:val="24"/>
                                <w:rtl/>
                              </w:rPr>
                              <w:t>עדיין</w:t>
                            </w:r>
                            <w:r w:rsidRPr="00ED10E1">
                              <w:rPr>
                                <w:rFonts w:cs="Tahoma"/>
                                <w:color w:val="0B5294"/>
                                <w:spacing w:val="-4"/>
                                <w:sz w:val="24"/>
                                <w:szCs w:val="24"/>
                                <w:rtl/>
                              </w:rPr>
                              <w:t xml:space="preserve"> </w:t>
                            </w:r>
                            <w:r w:rsidRPr="00ED10E1">
                              <w:rPr>
                                <w:rFonts w:cs="Tahoma" w:hint="eastAsia"/>
                                <w:color w:val="0B5294"/>
                                <w:spacing w:val="-4"/>
                                <w:sz w:val="24"/>
                                <w:szCs w:val="24"/>
                                <w:rtl/>
                              </w:rPr>
                              <w:t>לא</w:t>
                            </w:r>
                            <w:r w:rsidRPr="00ED10E1">
                              <w:rPr>
                                <w:rFonts w:cs="Tahoma"/>
                                <w:color w:val="0B5294"/>
                                <w:spacing w:val="-4"/>
                                <w:sz w:val="24"/>
                                <w:szCs w:val="24"/>
                                <w:rtl/>
                              </w:rPr>
                              <w:t xml:space="preserve"> </w:t>
                            </w:r>
                            <w:r w:rsidRPr="00ED10E1">
                              <w:rPr>
                                <w:rFonts w:cs="Tahoma" w:hint="eastAsia"/>
                                <w:color w:val="0B5294"/>
                                <w:spacing w:val="-4"/>
                                <w:sz w:val="24"/>
                                <w:szCs w:val="24"/>
                                <w:rtl/>
                              </w:rPr>
                              <w:t>עלה</w:t>
                            </w:r>
                            <w:r w:rsidRPr="00ED10E1">
                              <w:rPr>
                                <w:rFonts w:cs="Tahoma"/>
                                <w:color w:val="0B5294"/>
                                <w:spacing w:val="-4"/>
                                <w:sz w:val="24"/>
                                <w:szCs w:val="24"/>
                                <w:rtl/>
                              </w:rPr>
                              <w:t xml:space="preserve"> </w:t>
                            </w:r>
                            <w:r w:rsidRPr="00ED10E1">
                              <w:rPr>
                                <w:rFonts w:cs="Tahoma" w:hint="eastAsia"/>
                                <w:color w:val="0B5294"/>
                                <w:spacing w:val="-4"/>
                                <w:sz w:val="24"/>
                                <w:szCs w:val="24"/>
                                <w:rtl/>
                              </w:rPr>
                              <w:t>בידיהם</w:t>
                            </w:r>
                            <w:r w:rsidRPr="00ED10E1">
                              <w:rPr>
                                <w:rFonts w:cs="Tahoma"/>
                                <w:color w:val="0B5294"/>
                                <w:spacing w:val="-4"/>
                                <w:sz w:val="24"/>
                                <w:szCs w:val="24"/>
                                <w:rtl/>
                              </w:rPr>
                              <w:t xml:space="preserve"> </w:t>
                            </w:r>
                            <w:r w:rsidRPr="00ED10E1">
                              <w:rPr>
                                <w:rFonts w:cs="Tahoma" w:hint="eastAsia"/>
                                <w:color w:val="0B5294"/>
                                <w:spacing w:val="-4"/>
                                <w:sz w:val="24"/>
                                <w:szCs w:val="24"/>
                                <w:rtl/>
                              </w:rPr>
                              <w:t>למלא</w:t>
                            </w:r>
                            <w:r w:rsidRPr="00ED10E1">
                              <w:rPr>
                                <w:rFonts w:cs="Tahoma"/>
                                <w:color w:val="0B5294"/>
                                <w:spacing w:val="-4"/>
                                <w:sz w:val="24"/>
                                <w:szCs w:val="24"/>
                                <w:rtl/>
                              </w:rPr>
                              <w:t xml:space="preserve"> </w:t>
                            </w:r>
                            <w:r w:rsidRPr="00ED10E1">
                              <w:rPr>
                                <w:rFonts w:cs="Tahoma" w:hint="eastAsia"/>
                                <w:color w:val="0B5294"/>
                                <w:spacing w:val="-4"/>
                                <w:sz w:val="24"/>
                                <w:szCs w:val="24"/>
                                <w:rtl/>
                              </w:rPr>
                              <w:t>כנדרש</w:t>
                            </w:r>
                            <w:r w:rsidRPr="00ED10E1">
                              <w:rPr>
                                <w:rFonts w:cs="Tahoma"/>
                                <w:color w:val="0B5294"/>
                                <w:spacing w:val="-4"/>
                                <w:sz w:val="24"/>
                                <w:szCs w:val="24"/>
                                <w:rtl/>
                              </w:rPr>
                              <w:t xml:space="preserve"> </w:t>
                            </w:r>
                            <w:r w:rsidRPr="00ED10E1">
                              <w:rPr>
                                <w:rFonts w:cs="Tahoma" w:hint="eastAsia"/>
                                <w:color w:val="0B5294"/>
                                <w:spacing w:val="-4"/>
                                <w:sz w:val="24"/>
                                <w:szCs w:val="24"/>
                                <w:rtl/>
                              </w:rPr>
                              <w:t>את</w:t>
                            </w:r>
                            <w:r w:rsidRPr="00ED10E1">
                              <w:rPr>
                                <w:rFonts w:cs="Tahoma"/>
                                <w:color w:val="0B5294"/>
                                <w:spacing w:val="-4"/>
                                <w:sz w:val="24"/>
                                <w:szCs w:val="24"/>
                                <w:rtl/>
                              </w:rPr>
                              <w:t xml:space="preserve"> </w:t>
                            </w:r>
                            <w:r w:rsidRPr="00ED10E1">
                              <w:rPr>
                                <w:rFonts w:cs="Tahoma" w:hint="eastAsia"/>
                                <w:color w:val="0B5294"/>
                                <w:spacing w:val="-4"/>
                                <w:sz w:val="24"/>
                                <w:szCs w:val="24"/>
                                <w:rtl/>
                              </w:rPr>
                              <w:t>התפקיד</w:t>
                            </w:r>
                            <w:r w:rsidRPr="00ED10E1">
                              <w:rPr>
                                <w:rFonts w:cs="Tahoma"/>
                                <w:color w:val="0B5294"/>
                                <w:spacing w:val="-4"/>
                                <w:sz w:val="24"/>
                                <w:szCs w:val="24"/>
                                <w:rtl/>
                              </w:rPr>
                              <w:t xml:space="preserve"> </w:t>
                            </w:r>
                            <w:r w:rsidRPr="00ED10E1">
                              <w:rPr>
                                <w:rFonts w:cs="Tahoma" w:hint="eastAsia"/>
                                <w:color w:val="0B5294"/>
                                <w:spacing w:val="-4"/>
                                <w:sz w:val="24"/>
                                <w:szCs w:val="24"/>
                                <w:rtl/>
                              </w:rPr>
                              <w:t>שהוטל</w:t>
                            </w:r>
                            <w:r w:rsidRPr="00ED10E1">
                              <w:rPr>
                                <w:rFonts w:cs="Tahoma"/>
                                <w:color w:val="0B5294"/>
                                <w:spacing w:val="-4"/>
                                <w:sz w:val="24"/>
                                <w:szCs w:val="24"/>
                                <w:rtl/>
                              </w:rPr>
                              <w:t xml:space="preserve"> </w:t>
                            </w:r>
                            <w:r w:rsidRPr="00ED10E1">
                              <w:rPr>
                                <w:rFonts w:cs="Tahoma" w:hint="eastAsia"/>
                                <w:color w:val="0B5294"/>
                                <w:spacing w:val="-4"/>
                                <w:sz w:val="24"/>
                                <w:szCs w:val="24"/>
                                <w:rtl/>
                              </w:rPr>
                              <w:t>עליהם</w:t>
                            </w:r>
                            <w:r w:rsidRPr="00ED10E1">
                              <w:rPr>
                                <w:rFonts w:cs="Tahoma"/>
                                <w:color w:val="0B5294"/>
                                <w:spacing w:val="-4"/>
                                <w:sz w:val="24"/>
                                <w:szCs w:val="24"/>
                                <w:rtl/>
                              </w:rPr>
                              <w:t xml:space="preserve"> - </w:t>
                            </w:r>
                            <w:r w:rsidRPr="00ED10E1">
                              <w:rPr>
                                <w:rFonts w:cs="Tahoma" w:hint="eastAsia"/>
                                <w:color w:val="0B5294"/>
                                <w:spacing w:val="-4"/>
                                <w:sz w:val="24"/>
                                <w:szCs w:val="24"/>
                                <w:rtl/>
                              </w:rPr>
                              <w:t>טיפול</w:t>
                            </w:r>
                            <w:r w:rsidRPr="00ED10E1">
                              <w:rPr>
                                <w:rFonts w:cs="Tahoma"/>
                                <w:color w:val="0B5294"/>
                                <w:spacing w:val="-4"/>
                                <w:sz w:val="24"/>
                                <w:szCs w:val="24"/>
                                <w:rtl/>
                              </w:rPr>
                              <w:t xml:space="preserve"> </w:t>
                            </w:r>
                            <w:r w:rsidRPr="00ED10E1">
                              <w:rPr>
                                <w:rFonts w:cs="Tahoma" w:hint="eastAsia"/>
                                <w:color w:val="0B5294"/>
                                <w:spacing w:val="-4"/>
                                <w:sz w:val="24"/>
                                <w:szCs w:val="24"/>
                                <w:rtl/>
                              </w:rPr>
                              <w:t>מיטבי</w:t>
                            </w:r>
                            <w:r w:rsidRPr="00ED10E1">
                              <w:rPr>
                                <w:rFonts w:cs="Tahoma"/>
                                <w:color w:val="0B5294"/>
                                <w:spacing w:val="-4"/>
                                <w:sz w:val="24"/>
                                <w:szCs w:val="24"/>
                                <w:rtl/>
                              </w:rPr>
                              <w:t xml:space="preserve"> </w:t>
                            </w:r>
                            <w:r w:rsidRPr="00ED10E1">
                              <w:rPr>
                                <w:rFonts w:cs="Tahoma" w:hint="eastAsia"/>
                                <w:color w:val="0B5294"/>
                                <w:spacing w:val="-4"/>
                                <w:sz w:val="24"/>
                                <w:szCs w:val="24"/>
                                <w:rtl/>
                              </w:rPr>
                              <w:t>בסוגיית</w:t>
                            </w:r>
                            <w:r w:rsidRPr="00ED10E1">
                              <w:rPr>
                                <w:rFonts w:cs="Tahoma"/>
                                <w:color w:val="0B5294"/>
                                <w:spacing w:val="-4"/>
                                <w:sz w:val="24"/>
                                <w:szCs w:val="24"/>
                                <w:rtl/>
                              </w:rPr>
                              <w:t xml:space="preserve"> </w:t>
                            </w:r>
                            <w:r w:rsidRPr="00ED10E1">
                              <w:rPr>
                                <w:rFonts w:cs="Tahoma" w:hint="eastAsia"/>
                                <w:color w:val="0B5294"/>
                                <w:spacing w:val="-4"/>
                                <w:sz w:val="24"/>
                                <w:szCs w:val="24"/>
                                <w:rtl/>
                              </w:rPr>
                              <w:t>הקבורה</w:t>
                            </w:r>
                            <w:r w:rsidRPr="00ED10E1">
                              <w:rPr>
                                <w:rFonts w:cs="Tahoma"/>
                                <w:color w:val="0B5294"/>
                                <w:spacing w:val="-4"/>
                                <w:sz w:val="24"/>
                                <w:szCs w:val="24"/>
                                <w:rtl/>
                              </w:rPr>
                              <w:t xml:space="preserve"> </w:t>
                            </w:r>
                            <w:r w:rsidRPr="00ED10E1">
                              <w:rPr>
                                <w:rFonts w:cs="Tahoma" w:hint="eastAsia"/>
                                <w:color w:val="0B5294"/>
                                <w:spacing w:val="-4"/>
                                <w:sz w:val="24"/>
                                <w:szCs w:val="24"/>
                                <w:rtl/>
                              </w:rPr>
                              <w:t>האזרחית</w:t>
                            </w:r>
                          </w:p>
                          <w:p w:rsidR="00ED10E1" w:rsidRPr="00373C5D" w:rsidP="00ED10E1">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67624089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251875" name="lin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26"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55168" filled="f" stroked="f">
                <v:textbox>
                  <w:txbxContent>
                    <w:p w:rsidR="00ED10E1" w:rsidRPr="00373C5D" w:rsidP="00ED10E1">
                      <w:pPr>
                        <w:spacing w:line="240" w:lineRule="atLeast"/>
                        <w:rPr>
                          <w:rFonts w:cs="Tahoma"/>
                          <w:b/>
                          <w:bCs/>
                          <w:color w:val="0B5294"/>
                          <w:sz w:val="48"/>
                          <w:szCs w:val="48"/>
                          <w:rtl/>
                        </w:rPr>
                      </w:pPr>
                      <w:drawing>
                        <wp:inline distT="0" distB="0" distL="0" distR="0">
                          <wp:extent cx="311150" cy="256800"/>
                          <wp:effectExtent l="0" t="0" r="0" b="0"/>
                          <wp:docPr id="4"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445181" name="QUT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ED10E1" w:rsidRPr="00881D99" w:rsidP="00ED10E1">
                      <w:pPr>
                        <w:spacing w:after="0" w:line="240" w:lineRule="auto"/>
                        <w:rPr>
                          <w:color w:val="0B5294"/>
                          <w:spacing w:val="-4"/>
                          <w:sz w:val="24"/>
                          <w:szCs w:val="24"/>
                          <w:rtl/>
                          <w:cs/>
                        </w:rPr>
                      </w:pPr>
                      <w:r w:rsidRPr="00ED10E1">
                        <w:rPr>
                          <w:rFonts w:cs="Tahoma" w:hint="eastAsia"/>
                          <w:color w:val="0B5294"/>
                          <w:spacing w:val="-4"/>
                          <w:sz w:val="24"/>
                          <w:szCs w:val="24"/>
                          <w:rtl/>
                        </w:rPr>
                        <w:t>כשנתיים</w:t>
                      </w:r>
                      <w:r w:rsidRPr="00ED10E1">
                        <w:rPr>
                          <w:rFonts w:cs="Tahoma"/>
                          <w:color w:val="0B5294"/>
                          <w:spacing w:val="-4"/>
                          <w:sz w:val="24"/>
                          <w:szCs w:val="24"/>
                          <w:rtl/>
                        </w:rPr>
                        <w:t xml:space="preserve"> </w:t>
                      </w:r>
                      <w:r w:rsidRPr="00ED10E1">
                        <w:rPr>
                          <w:rFonts w:cs="Tahoma" w:hint="eastAsia"/>
                          <w:color w:val="0B5294"/>
                          <w:spacing w:val="-4"/>
                          <w:sz w:val="24"/>
                          <w:szCs w:val="24"/>
                          <w:rtl/>
                        </w:rPr>
                        <w:t>וחצי</w:t>
                      </w:r>
                      <w:r w:rsidRPr="00ED10E1">
                        <w:rPr>
                          <w:rFonts w:cs="Tahoma"/>
                          <w:color w:val="0B5294"/>
                          <w:spacing w:val="-4"/>
                          <w:sz w:val="24"/>
                          <w:szCs w:val="24"/>
                          <w:rtl/>
                        </w:rPr>
                        <w:t xml:space="preserve"> </w:t>
                      </w:r>
                      <w:r w:rsidRPr="00ED10E1">
                        <w:rPr>
                          <w:rFonts w:cs="Tahoma" w:hint="eastAsia"/>
                          <w:color w:val="0B5294"/>
                          <w:spacing w:val="-4"/>
                          <w:sz w:val="24"/>
                          <w:szCs w:val="24"/>
                          <w:rtl/>
                        </w:rPr>
                        <w:t>לאחר</w:t>
                      </w:r>
                      <w:r w:rsidRPr="00ED10E1">
                        <w:rPr>
                          <w:rFonts w:cs="Tahoma"/>
                          <w:color w:val="0B5294"/>
                          <w:spacing w:val="-4"/>
                          <w:sz w:val="24"/>
                          <w:szCs w:val="24"/>
                          <w:rtl/>
                        </w:rPr>
                        <w:t xml:space="preserve"> </w:t>
                      </w:r>
                      <w:r w:rsidRPr="00ED10E1">
                        <w:rPr>
                          <w:rFonts w:cs="Tahoma" w:hint="eastAsia"/>
                          <w:color w:val="0B5294"/>
                          <w:spacing w:val="-4"/>
                          <w:sz w:val="24"/>
                          <w:szCs w:val="24"/>
                          <w:rtl/>
                        </w:rPr>
                        <w:t>שהוקמו</w:t>
                      </w:r>
                      <w:r w:rsidRPr="00ED10E1">
                        <w:rPr>
                          <w:rFonts w:cs="Tahoma"/>
                          <w:color w:val="0B5294"/>
                          <w:spacing w:val="-4"/>
                          <w:sz w:val="24"/>
                          <w:szCs w:val="24"/>
                          <w:rtl/>
                        </w:rPr>
                        <w:t xml:space="preserve"> </w:t>
                      </w:r>
                      <w:r w:rsidRPr="00ED10E1">
                        <w:rPr>
                          <w:rFonts w:cs="Tahoma" w:hint="eastAsia"/>
                          <w:color w:val="0B5294"/>
                          <w:spacing w:val="-4"/>
                          <w:sz w:val="24"/>
                          <w:szCs w:val="24"/>
                          <w:rtl/>
                        </w:rPr>
                        <w:t>ועדת</w:t>
                      </w:r>
                      <w:r w:rsidRPr="00ED10E1">
                        <w:rPr>
                          <w:rFonts w:cs="Tahoma"/>
                          <w:color w:val="0B5294"/>
                          <w:spacing w:val="-4"/>
                          <w:sz w:val="24"/>
                          <w:szCs w:val="24"/>
                          <w:rtl/>
                        </w:rPr>
                        <w:t xml:space="preserve"> </w:t>
                      </w:r>
                      <w:r w:rsidRPr="00ED10E1">
                        <w:rPr>
                          <w:rFonts w:cs="Tahoma" w:hint="eastAsia"/>
                          <w:color w:val="0B5294"/>
                          <w:spacing w:val="-4"/>
                          <w:sz w:val="24"/>
                          <w:szCs w:val="24"/>
                          <w:rtl/>
                        </w:rPr>
                        <w:t>המנכ</w:t>
                      </w:r>
                      <w:r w:rsidRPr="00ED10E1">
                        <w:rPr>
                          <w:rFonts w:cs="Tahoma"/>
                          <w:color w:val="0B5294"/>
                          <w:spacing w:val="-4"/>
                          <w:sz w:val="24"/>
                          <w:szCs w:val="24"/>
                          <w:rtl/>
                        </w:rPr>
                        <w:t>"</w:t>
                      </w:r>
                      <w:r w:rsidRPr="00ED10E1">
                        <w:rPr>
                          <w:rFonts w:cs="Tahoma" w:hint="eastAsia"/>
                          <w:color w:val="0B5294"/>
                          <w:spacing w:val="-4"/>
                          <w:sz w:val="24"/>
                          <w:szCs w:val="24"/>
                          <w:rtl/>
                        </w:rPr>
                        <w:t>לים</w:t>
                      </w:r>
                      <w:r w:rsidRPr="00ED10E1">
                        <w:rPr>
                          <w:rFonts w:cs="Tahoma"/>
                          <w:color w:val="0B5294"/>
                          <w:spacing w:val="-4"/>
                          <w:sz w:val="24"/>
                          <w:szCs w:val="24"/>
                          <w:rtl/>
                        </w:rPr>
                        <w:t xml:space="preserve"> </w:t>
                      </w:r>
                      <w:r w:rsidRPr="00ED10E1">
                        <w:rPr>
                          <w:rFonts w:cs="Tahoma" w:hint="eastAsia"/>
                          <w:color w:val="0B5294"/>
                          <w:spacing w:val="-4"/>
                          <w:sz w:val="24"/>
                          <w:szCs w:val="24"/>
                          <w:rtl/>
                        </w:rPr>
                        <w:t>והצוות</w:t>
                      </w:r>
                      <w:r w:rsidRPr="00ED10E1">
                        <w:rPr>
                          <w:rFonts w:cs="Tahoma"/>
                          <w:color w:val="0B5294"/>
                          <w:spacing w:val="-4"/>
                          <w:sz w:val="24"/>
                          <w:szCs w:val="24"/>
                          <w:rtl/>
                        </w:rPr>
                        <w:t xml:space="preserve"> </w:t>
                      </w:r>
                      <w:r w:rsidRPr="00ED10E1">
                        <w:rPr>
                          <w:rFonts w:cs="Tahoma" w:hint="eastAsia"/>
                          <w:color w:val="0B5294"/>
                          <w:spacing w:val="-4"/>
                          <w:sz w:val="24"/>
                          <w:szCs w:val="24"/>
                          <w:rtl/>
                        </w:rPr>
                        <w:t>הבין</w:t>
                      </w:r>
                      <w:r w:rsidRPr="00ED10E1">
                        <w:rPr>
                          <w:rFonts w:cs="Tahoma"/>
                          <w:color w:val="0B5294"/>
                          <w:spacing w:val="-4"/>
                          <w:sz w:val="24"/>
                          <w:szCs w:val="24"/>
                          <w:rtl/>
                        </w:rPr>
                        <w:t>-</w:t>
                      </w:r>
                      <w:r w:rsidRPr="00ED10E1">
                        <w:rPr>
                          <w:rFonts w:cs="Tahoma" w:hint="eastAsia"/>
                          <w:color w:val="0B5294"/>
                          <w:spacing w:val="-4"/>
                          <w:sz w:val="24"/>
                          <w:szCs w:val="24"/>
                          <w:rtl/>
                        </w:rPr>
                        <w:t>משרדי</w:t>
                      </w:r>
                      <w:r w:rsidRPr="00ED10E1">
                        <w:rPr>
                          <w:rFonts w:cs="Tahoma"/>
                          <w:color w:val="0B5294"/>
                          <w:spacing w:val="-4"/>
                          <w:sz w:val="24"/>
                          <w:szCs w:val="24"/>
                          <w:rtl/>
                        </w:rPr>
                        <w:t xml:space="preserve">, </w:t>
                      </w:r>
                      <w:r w:rsidRPr="00ED10E1">
                        <w:rPr>
                          <w:rFonts w:cs="Tahoma" w:hint="eastAsia"/>
                          <w:color w:val="0B5294"/>
                          <w:spacing w:val="-4"/>
                          <w:sz w:val="24"/>
                          <w:szCs w:val="24"/>
                          <w:rtl/>
                        </w:rPr>
                        <w:t>עדיין</w:t>
                      </w:r>
                      <w:r w:rsidRPr="00ED10E1">
                        <w:rPr>
                          <w:rFonts w:cs="Tahoma"/>
                          <w:color w:val="0B5294"/>
                          <w:spacing w:val="-4"/>
                          <w:sz w:val="24"/>
                          <w:szCs w:val="24"/>
                          <w:rtl/>
                        </w:rPr>
                        <w:t xml:space="preserve"> </w:t>
                      </w:r>
                      <w:r w:rsidRPr="00ED10E1">
                        <w:rPr>
                          <w:rFonts w:cs="Tahoma" w:hint="eastAsia"/>
                          <w:color w:val="0B5294"/>
                          <w:spacing w:val="-4"/>
                          <w:sz w:val="24"/>
                          <w:szCs w:val="24"/>
                          <w:rtl/>
                        </w:rPr>
                        <w:t>לא</w:t>
                      </w:r>
                      <w:r w:rsidRPr="00ED10E1">
                        <w:rPr>
                          <w:rFonts w:cs="Tahoma"/>
                          <w:color w:val="0B5294"/>
                          <w:spacing w:val="-4"/>
                          <w:sz w:val="24"/>
                          <w:szCs w:val="24"/>
                          <w:rtl/>
                        </w:rPr>
                        <w:t xml:space="preserve"> </w:t>
                      </w:r>
                      <w:r w:rsidRPr="00ED10E1">
                        <w:rPr>
                          <w:rFonts w:cs="Tahoma" w:hint="eastAsia"/>
                          <w:color w:val="0B5294"/>
                          <w:spacing w:val="-4"/>
                          <w:sz w:val="24"/>
                          <w:szCs w:val="24"/>
                          <w:rtl/>
                        </w:rPr>
                        <w:t>עלה</w:t>
                      </w:r>
                      <w:r w:rsidRPr="00ED10E1">
                        <w:rPr>
                          <w:rFonts w:cs="Tahoma"/>
                          <w:color w:val="0B5294"/>
                          <w:spacing w:val="-4"/>
                          <w:sz w:val="24"/>
                          <w:szCs w:val="24"/>
                          <w:rtl/>
                        </w:rPr>
                        <w:t xml:space="preserve"> </w:t>
                      </w:r>
                      <w:r w:rsidRPr="00ED10E1">
                        <w:rPr>
                          <w:rFonts w:cs="Tahoma" w:hint="eastAsia"/>
                          <w:color w:val="0B5294"/>
                          <w:spacing w:val="-4"/>
                          <w:sz w:val="24"/>
                          <w:szCs w:val="24"/>
                          <w:rtl/>
                        </w:rPr>
                        <w:t>בידיהם</w:t>
                      </w:r>
                      <w:r w:rsidRPr="00ED10E1">
                        <w:rPr>
                          <w:rFonts w:cs="Tahoma"/>
                          <w:color w:val="0B5294"/>
                          <w:spacing w:val="-4"/>
                          <w:sz w:val="24"/>
                          <w:szCs w:val="24"/>
                          <w:rtl/>
                        </w:rPr>
                        <w:t xml:space="preserve"> </w:t>
                      </w:r>
                      <w:r w:rsidRPr="00ED10E1">
                        <w:rPr>
                          <w:rFonts w:cs="Tahoma" w:hint="eastAsia"/>
                          <w:color w:val="0B5294"/>
                          <w:spacing w:val="-4"/>
                          <w:sz w:val="24"/>
                          <w:szCs w:val="24"/>
                          <w:rtl/>
                        </w:rPr>
                        <w:t>למלא</w:t>
                      </w:r>
                      <w:r w:rsidRPr="00ED10E1">
                        <w:rPr>
                          <w:rFonts w:cs="Tahoma"/>
                          <w:color w:val="0B5294"/>
                          <w:spacing w:val="-4"/>
                          <w:sz w:val="24"/>
                          <w:szCs w:val="24"/>
                          <w:rtl/>
                        </w:rPr>
                        <w:t xml:space="preserve"> </w:t>
                      </w:r>
                      <w:r w:rsidRPr="00ED10E1">
                        <w:rPr>
                          <w:rFonts w:cs="Tahoma" w:hint="eastAsia"/>
                          <w:color w:val="0B5294"/>
                          <w:spacing w:val="-4"/>
                          <w:sz w:val="24"/>
                          <w:szCs w:val="24"/>
                          <w:rtl/>
                        </w:rPr>
                        <w:t>כנדרש</w:t>
                      </w:r>
                      <w:r w:rsidRPr="00ED10E1">
                        <w:rPr>
                          <w:rFonts w:cs="Tahoma"/>
                          <w:color w:val="0B5294"/>
                          <w:spacing w:val="-4"/>
                          <w:sz w:val="24"/>
                          <w:szCs w:val="24"/>
                          <w:rtl/>
                        </w:rPr>
                        <w:t xml:space="preserve"> </w:t>
                      </w:r>
                      <w:r w:rsidRPr="00ED10E1">
                        <w:rPr>
                          <w:rFonts w:cs="Tahoma" w:hint="eastAsia"/>
                          <w:color w:val="0B5294"/>
                          <w:spacing w:val="-4"/>
                          <w:sz w:val="24"/>
                          <w:szCs w:val="24"/>
                          <w:rtl/>
                        </w:rPr>
                        <w:t>את</w:t>
                      </w:r>
                      <w:r w:rsidRPr="00ED10E1">
                        <w:rPr>
                          <w:rFonts w:cs="Tahoma"/>
                          <w:color w:val="0B5294"/>
                          <w:spacing w:val="-4"/>
                          <w:sz w:val="24"/>
                          <w:szCs w:val="24"/>
                          <w:rtl/>
                        </w:rPr>
                        <w:t xml:space="preserve"> </w:t>
                      </w:r>
                      <w:r w:rsidRPr="00ED10E1">
                        <w:rPr>
                          <w:rFonts w:cs="Tahoma" w:hint="eastAsia"/>
                          <w:color w:val="0B5294"/>
                          <w:spacing w:val="-4"/>
                          <w:sz w:val="24"/>
                          <w:szCs w:val="24"/>
                          <w:rtl/>
                        </w:rPr>
                        <w:t>התפקיד</w:t>
                      </w:r>
                      <w:r w:rsidRPr="00ED10E1">
                        <w:rPr>
                          <w:rFonts w:cs="Tahoma"/>
                          <w:color w:val="0B5294"/>
                          <w:spacing w:val="-4"/>
                          <w:sz w:val="24"/>
                          <w:szCs w:val="24"/>
                          <w:rtl/>
                        </w:rPr>
                        <w:t xml:space="preserve"> </w:t>
                      </w:r>
                      <w:r w:rsidRPr="00ED10E1">
                        <w:rPr>
                          <w:rFonts w:cs="Tahoma" w:hint="eastAsia"/>
                          <w:color w:val="0B5294"/>
                          <w:spacing w:val="-4"/>
                          <w:sz w:val="24"/>
                          <w:szCs w:val="24"/>
                          <w:rtl/>
                        </w:rPr>
                        <w:t>שהוטל</w:t>
                      </w:r>
                      <w:r w:rsidRPr="00ED10E1">
                        <w:rPr>
                          <w:rFonts w:cs="Tahoma"/>
                          <w:color w:val="0B5294"/>
                          <w:spacing w:val="-4"/>
                          <w:sz w:val="24"/>
                          <w:szCs w:val="24"/>
                          <w:rtl/>
                        </w:rPr>
                        <w:t xml:space="preserve"> </w:t>
                      </w:r>
                      <w:r w:rsidRPr="00ED10E1">
                        <w:rPr>
                          <w:rFonts w:cs="Tahoma" w:hint="eastAsia"/>
                          <w:color w:val="0B5294"/>
                          <w:spacing w:val="-4"/>
                          <w:sz w:val="24"/>
                          <w:szCs w:val="24"/>
                          <w:rtl/>
                        </w:rPr>
                        <w:t>עליהם</w:t>
                      </w:r>
                      <w:r w:rsidRPr="00ED10E1">
                        <w:rPr>
                          <w:rFonts w:cs="Tahoma"/>
                          <w:color w:val="0B5294"/>
                          <w:spacing w:val="-4"/>
                          <w:sz w:val="24"/>
                          <w:szCs w:val="24"/>
                          <w:rtl/>
                        </w:rPr>
                        <w:t xml:space="preserve"> - </w:t>
                      </w:r>
                      <w:r w:rsidRPr="00ED10E1">
                        <w:rPr>
                          <w:rFonts w:cs="Tahoma" w:hint="eastAsia"/>
                          <w:color w:val="0B5294"/>
                          <w:spacing w:val="-4"/>
                          <w:sz w:val="24"/>
                          <w:szCs w:val="24"/>
                          <w:rtl/>
                        </w:rPr>
                        <w:t>טיפול</w:t>
                      </w:r>
                      <w:r w:rsidRPr="00ED10E1">
                        <w:rPr>
                          <w:rFonts w:cs="Tahoma"/>
                          <w:color w:val="0B5294"/>
                          <w:spacing w:val="-4"/>
                          <w:sz w:val="24"/>
                          <w:szCs w:val="24"/>
                          <w:rtl/>
                        </w:rPr>
                        <w:t xml:space="preserve"> </w:t>
                      </w:r>
                      <w:r w:rsidRPr="00ED10E1">
                        <w:rPr>
                          <w:rFonts w:cs="Tahoma" w:hint="eastAsia"/>
                          <w:color w:val="0B5294"/>
                          <w:spacing w:val="-4"/>
                          <w:sz w:val="24"/>
                          <w:szCs w:val="24"/>
                          <w:rtl/>
                        </w:rPr>
                        <w:t>מיטבי</w:t>
                      </w:r>
                      <w:r w:rsidRPr="00ED10E1">
                        <w:rPr>
                          <w:rFonts w:cs="Tahoma"/>
                          <w:color w:val="0B5294"/>
                          <w:spacing w:val="-4"/>
                          <w:sz w:val="24"/>
                          <w:szCs w:val="24"/>
                          <w:rtl/>
                        </w:rPr>
                        <w:t xml:space="preserve"> </w:t>
                      </w:r>
                      <w:r w:rsidRPr="00ED10E1">
                        <w:rPr>
                          <w:rFonts w:cs="Tahoma" w:hint="eastAsia"/>
                          <w:color w:val="0B5294"/>
                          <w:spacing w:val="-4"/>
                          <w:sz w:val="24"/>
                          <w:szCs w:val="24"/>
                          <w:rtl/>
                        </w:rPr>
                        <w:t>בסוגיית</w:t>
                      </w:r>
                      <w:r w:rsidRPr="00ED10E1">
                        <w:rPr>
                          <w:rFonts w:cs="Tahoma"/>
                          <w:color w:val="0B5294"/>
                          <w:spacing w:val="-4"/>
                          <w:sz w:val="24"/>
                          <w:szCs w:val="24"/>
                          <w:rtl/>
                        </w:rPr>
                        <w:t xml:space="preserve"> </w:t>
                      </w:r>
                      <w:r w:rsidRPr="00ED10E1">
                        <w:rPr>
                          <w:rFonts w:cs="Tahoma" w:hint="eastAsia"/>
                          <w:color w:val="0B5294"/>
                          <w:spacing w:val="-4"/>
                          <w:sz w:val="24"/>
                          <w:szCs w:val="24"/>
                          <w:rtl/>
                        </w:rPr>
                        <w:t>הקבורה</w:t>
                      </w:r>
                      <w:r w:rsidRPr="00ED10E1">
                        <w:rPr>
                          <w:rFonts w:cs="Tahoma"/>
                          <w:color w:val="0B5294"/>
                          <w:spacing w:val="-4"/>
                          <w:sz w:val="24"/>
                          <w:szCs w:val="24"/>
                          <w:rtl/>
                        </w:rPr>
                        <w:t xml:space="preserve"> </w:t>
                      </w:r>
                      <w:r w:rsidRPr="00ED10E1">
                        <w:rPr>
                          <w:rFonts w:cs="Tahoma" w:hint="eastAsia"/>
                          <w:color w:val="0B5294"/>
                          <w:spacing w:val="-4"/>
                          <w:sz w:val="24"/>
                          <w:szCs w:val="24"/>
                          <w:rtl/>
                        </w:rPr>
                        <w:t>האזרחית</w:t>
                      </w:r>
                    </w:p>
                    <w:p w:rsidR="00ED10E1" w:rsidRPr="00373C5D" w:rsidP="00ED10E1">
                      <w:pPr>
                        <w:spacing w:before="120" w:after="0" w:line="240" w:lineRule="atLeast"/>
                        <w:rPr>
                          <w:rFonts w:cs="Tahoma"/>
                          <w:b/>
                          <w:bCs/>
                          <w:color w:val="0B5294"/>
                          <w:sz w:val="48"/>
                          <w:szCs w:val="48"/>
                          <w:rtl/>
                        </w:rPr>
                      </w:pPr>
                      <w:drawing>
                        <wp:inline distT="0" distB="0" distL="0" distR="0">
                          <wp:extent cx="288000" cy="31337"/>
                          <wp:effectExtent l="0" t="0" r="0" b="6985"/>
                          <wp:docPr id="5"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878122" name="line.png"/>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EF45C8" w:rsidRPr="00E556CD" w:rsidP="00E556CD">
      <w:pPr>
        <w:spacing w:line="240" w:lineRule="exact"/>
        <w:ind w:right="2268"/>
        <w:jc w:val="both"/>
        <w:rPr>
          <w:rFonts w:ascii="Tahoma" w:hAnsi="Tahoma" w:cs="Tahoma"/>
          <w:b/>
          <w:bCs/>
          <w:sz w:val="17"/>
          <w:szCs w:val="17"/>
          <w:rtl/>
        </w:rPr>
      </w:pPr>
    </w:p>
    <w:p w:rsidR="00EF45C8" w:rsidRPr="00897F3D" w:rsidP="006B7001">
      <w:pPr>
        <w:pStyle w:val="KOT5"/>
        <w:rPr>
          <w:rtl/>
        </w:rPr>
      </w:pPr>
      <w:r w:rsidRPr="00897F3D">
        <w:rPr>
          <w:rFonts w:hint="cs"/>
          <w:rtl/>
        </w:rPr>
        <w:t>עיכובים ב</w:t>
      </w:r>
      <w:r w:rsidRPr="00897F3D">
        <w:rPr>
          <w:rtl/>
        </w:rPr>
        <w:t>תיקון תכנית המתאר ל</w:t>
      </w:r>
      <w:r w:rsidRPr="00897F3D">
        <w:rPr>
          <w:rFonts w:hint="cs"/>
          <w:rtl/>
        </w:rPr>
        <w:t xml:space="preserve">בתי עלמין </w:t>
      </w:r>
    </w:p>
    <w:p w:rsidR="00EF45C8" w:rsidRPr="00E556CD" w:rsidP="00E556CD">
      <w:pPr>
        <w:spacing w:line="240" w:lineRule="exact"/>
        <w:ind w:right="2268"/>
        <w:jc w:val="both"/>
        <w:rPr>
          <w:rFonts w:ascii="Tahoma" w:hAnsi="Tahoma" w:cs="Tahoma"/>
          <w:sz w:val="17"/>
          <w:szCs w:val="17"/>
          <w:rtl/>
        </w:rPr>
      </w:pPr>
      <w:r w:rsidRPr="00E556CD">
        <w:rPr>
          <w:rFonts w:ascii="Tahoma" w:hAnsi="Tahoma" w:cs="Tahoma" w:hint="cs"/>
          <w:sz w:val="17"/>
          <w:szCs w:val="17"/>
          <w:rtl/>
        </w:rPr>
        <w:t xml:space="preserve">תכנית מתאר ארצית לבתי עלמין - תמ"א 19 (להלן - תמ"א 19 או </w:t>
      </w:r>
      <w:r w:rsidRPr="00E556CD">
        <w:rPr>
          <w:rFonts w:ascii="Tahoma" w:hAnsi="Tahoma" w:cs="Tahoma" w:hint="cs"/>
          <w:sz w:val="17"/>
          <w:szCs w:val="17"/>
          <w:rtl/>
        </w:rPr>
        <w:t>התמ"א</w:t>
      </w:r>
      <w:r w:rsidRPr="00E556CD">
        <w:rPr>
          <w:rFonts w:ascii="Tahoma" w:hAnsi="Tahoma" w:cs="Tahoma" w:hint="cs"/>
          <w:sz w:val="17"/>
          <w:szCs w:val="17"/>
          <w:rtl/>
        </w:rPr>
        <w:t xml:space="preserve">) קובעת את הקריטריונים לייעוד שטחים להקמת בתי עלמין, את הנהלים להקמת בתי עלמין ואת איתור השטחים שבהם יוקמו בתי עלמין באזורים מטרופוליטניים המיועדים לשרת כמה יישובים. על פי </w:t>
      </w:r>
      <w:r w:rsidRPr="00E556CD">
        <w:rPr>
          <w:rFonts w:ascii="Tahoma" w:hAnsi="Tahoma" w:cs="Tahoma" w:hint="cs"/>
          <w:sz w:val="17"/>
          <w:szCs w:val="17"/>
          <w:rtl/>
        </w:rPr>
        <w:t>התמ"א</w:t>
      </w:r>
      <w:r w:rsidRPr="00E556CD">
        <w:rPr>
          <w:rFonts w:ascii="Tahoma" w:hAnsi="Tahoma" w:cs="Tahoma" w:hint="cs"/>
          <w:sz w:val="17"/>
          <w:szCs w:val="17"/>
          <w:rtl/>
        </w:rPr>
        <w:t>, אתר בית עלמין הוא שטח המיועד לשמש לצורכי קבורה אשר גבולותיו הוגדרו בתכנית מתאר מקומית או מחוזית או בתכנית מפורטת שהן בתוקף; אתר בית עלמין אזורי מיועד לשרת שני יישובים או יותר הסמוכים זה לזה או חלק מאוכלוסיית יישובים אלה, על פי השתייכותם הדתית או העדתית-דתית.</w:t>
      </w:r>
    </w:p>
    <w:p w:rsidR="00EF45C8" w:rsidRPr="00E556CD" w:rsidP="005F3BD7">
      <w:pPr>
        <w:spacing w:after="240" w:line="240" w:lineRule="exact"/>
        <w:ind w:right="2268"/>
        <w:jc w:val="both"/>
        <w:rPr>
          <w:rFonts w:ascii="Tahoma" w:hAnsi="Tahoma" w:cs="Tahoma"/>
          <w:sz w:val="17"/>
          <w:szCs w:val="17"/>
          <w:rtl/>
        </w:rPr>
      </w:pPr>
      <w:r w:rsidRPr="00E556CD">
        <w:rPr>
          <w:rFonts w:ascii="Tahoma" w:hAnsi="Tahoma" w:cs="Tahoma" w:hint="cs"/>
          <w:sz w:val="17"/>
          <w:szCs w:val="17"/>
          <w:rtl/>
        </w:rPr>
        <w:t>לאחר קבלת החלטת ממשלה 1199 בפברואר 2000, שעניינה - "קבורה אזרחית", ובה נקבע כי</w:t>
      </w:r>
      <w:r w:rsidRPr="00E556CD">
        <w:rPr>
          <w:rFonts w:ascii="Tahoma" w:hAnsi="Tahoma" w:cs="Tahoma"/>
          <w:sz w:val="17"/>
          <w:szCs w:val="17"/>
          <w:rtl/>
        </w:rPr>
        <w:t xml:space="preserve"> </w:t>
      </w:r>
      <w:r w:rsidRPr="00E556CD">
        <w:rPr>
          <w:rFonts w:ascii="Tahoma" w:hAnsi="Tahoma" w:cs="Tahoma" w:hint="cs"/>
          <w:sz w:val="17"/>
          <w:szCs w:val="17"/>
          <w:rtl/>
        </w:rPr>
        <w:t>בכל</w:t>
      </w:r>
      <w:r w:rsidRPr="00E556CD">
        <w:rPr>
          <w:rFonts w:ascii="Tahoma" w:hAnsi="Tahoma" w:cs="Tahoma"/>
          <w:sz w:val="17"/>
          <w:szCs w:val="17"/>
          <w:rtl/>
        </w:rPr>
        <w:t xml:space="preserve"> </w:t>
      </w:r>
      <w:r w:rsidRPr="00E556CD">
        <w:rPr>
          <w:rFonts w:ascii="Tahoma" w:hAnsi="Tahoma" w:cs="Tahoma" w:hint="cs"/>
          <w:sz w:val="17"/>
          <w:szCs w:val="17"/>
          <w:rtl/>
        </w:rPr>
        <w:t>בית</w:t>
      </w:r>
      <w:r w:rsidRPr="00E556CD">
        <w:rPr>
          <w:rFonts w:ascii="Tahoma" w:hAnsi="Tahoma" w:cs="Tahoma"/>
          <w:sz w:val="17"/>
          <w:szCs w:val="17"/>
          <w:rtl/>
        </w:rPr>
        <w:t xml:space="preserve"> </w:t>
      </w:r>
      <w:r w:rsidRPr="00E556CD">
        <w:rPr>
          <w:rFonts w:ascii="Tahoma" w:hAnsi="Tahoma" w:cs="Tahoma" w:hint="cs"/>
          <w:sz w:val="17"/>
          <w:szCs w:val="17"/>
          <w:rtl/>
        </w:rPr>
        <w:t>עלמין</w:t>
      </w:r>
      <w:r w:rsidRPr="00E556CD">
        <w:rPr>
          <w:rFonts w:ascii="Tahoma" w:hAnsi="Tahoma" w:cs="Tahoma"/>
          <w:sz w:val="17"/>
          <w:szCs w:val="17"/>
          <w:rtl/>
        </w:rPr>
        <w:t xml:space="preserve"> </w:t>
      </w:r>
      <w:r w:rsidRPr="00E556CD">
        <w:rPr>
          <w:rFonts w:ascii="Tahoma" w:hAnsi="Tahoma" w:cs="Tahoma" w:hint="cs"/>
          <w:sz w:val="17"/>
          <w:szCs w:val="17"/>
          <w:rtl/>
        </w:rPr>
        <w:t>חדש</w:t>
      </w:r>
      <w:r w:rsidRPr="00E556CD">
        <w:rPr>
          <w:rFonts w:ascii="Tahoma" w:hAnsi="Tahoma" w:cs="Tahoma"/>
          <w:sz w:val="17"/>
          <w:szCs w:val="17"/>
          <w:rtl/>
        </w:rPr>
        <w:t xml:space="preserve"> </w:t>
      </w:r>
      <w:r w:rsidRPr="00E556CD">
        <w:rPr>
          <w:rFonts w:ascii="Tahoma" w:hAnsi="Tahoma" w:cs="Tahoma" w:hint="cs"/>
          <w:sz w:val="17"/>
          <w:szCs w:val="17"/>
          <w:rtl/>
        </w:rPr>
        <w:t>או</w:t>
      </w:r>
      <w:r w:rsidRPr="00E556CD">
        <w:rPr>
          <w:rFonts w:ascii="Tahoma" w:hAnsi="Tahoma" w:cs="Tahoma"/>
          <w:sz w:val="17"/>
          <w:szCs w:val="17"/>
          <w:rtl/>
        </w:rPr>
        <w:t xml:space="preserve"> </w:t>
      </w:r>
      <w:r w:rsidRPr="00E556CD">
        <w:rPr>
          <w:rFonts w:ascii="Tahoma" w:hAnsi="Tahoma" w:cs="Tahoma" w:hint="cs"/>
          <w:sz w:val="17"/>
          <w:szCs w:val="17"/>
          <w:rtl/>
        </w:rPr>
        <w:t>מורחב</w:t>
      </w:r>
      <w:r w:rsidRPr="00E556CD">
        <w:rPr>
          <w:rFonts w:ascii="Tahoma" w:hAnsi="Tahoma" w:cs="Tahoma"/>
          <w:sz w:val="17"/>
          <w:szCs w:val="17"/>
          <w:rtl/>
        </w:rPr>
        <w:t xml:space="preserve"> </w:t>
      </w:r>
      <w:r w:rsidRPr="00E556CD">
        <w:rPr>
          <w:rFonts w:ascii="Tahoma" w:hAnsi="Tahoma" w:cs="Tahoma" w:hint="cs"/>
          <w:sz w:val="17"/>
          <w:szCs w:val="17"/>
          <w:rtl/>
        </w:rPr>
        <w:t>יוקצה</w:t>
      </w:r>
      <w:r w:rsidRPr="00E556CD">
        <w:rPr>
          <w:rFonts w:ascii="Tahoma" w:hAnsi="Tahoma" w:cs="Tahoma"/>
          <w:sz w:val="17"/>
          <w:szCs w:val="17"/>
          <w:rtl/>
        </w:rPr>
        <w:t xml:space="preserve"> </w:t>
      </w:r>
      <w:r w:rsidRPr="00E556CD">
        <w:rPr>
          <w:rFonts w:ascii="Tahoma" w:hAnsi="Tahoma" w:cs="Tahoma" w:hint="cs"/>
          <w:sz w:val="17"/>
          <w:szCs w:val="17"/>
          <w:rtl/>
        </w:rPr>
        <w:t>שטח</w:t>
      </w:r>
      <w:r w:rsidRPr="00E556CD">
        <w:rPr>
          <w:rFonts w:ascii="Tahoma" w:hAnsi="Tahoma" w:cs="Tahoma"/>
          <w:sz w:val="17"/>
          <w:szCs w:val="17"/>
          <w:rtl/>
        </w:rPr>
        <w:t xml:space="preserve"> </w:t>
      </w:r>
      <w:r w:rsidRPr="00E556CD">
        <w:rPr>
          <w:rFonts w:ascii="Tahoma" w:hAnsi="Tahoma" w:cs="Tahoma" w:hint="cs"/>
          <w:sz w:val="17"/>
          <w:szCs w:val="17"/>
          <w:rtl/>
        </w:rPr>
        <w:t>לקבורה</w:t>
      </w:r>
      <w:r w:rsidRPr="00E556CD">
        <w:rPr>
          <w:rFonts w:ascii="Tahoma" w:hAnsi="Tahoma" w:cs="Tahoma"/>
          <w:sz w:val="17"/>
          <w:szCs w:val="17"/>
          <w:rtl/>
        </w:rPr>
        <w:t xml:space="preserve"> </w:t>
      </w:r>
      <w:r w:rsidRPr="00E556CD">
        <w:rPr>
          <w:rFonts w:ascii="Tahoma" w:hAnsi="Tahoma" w:cs="Tahoma" w:hint="cs"/>
          <w:sz w:val="17"/>
          <w:szCs w:val="17"/>
          <w:rtl/>
        </w:rPr>
        <w:t>אזרחית</w:t>
      </w:r>
      <w:r w:rsidRPr="00E556CD">
        <w:rPr>
          <w:rFonts w:ascii="Tahoma" w:hAnsi="Tahoma" w:cs="Tahoma"/>
          <w:sz w:val="17"/>
          <w:szCs w:val="17"/>
          <w:rtl/>
        </w:rPr>
        <w:t xml:space="preserve"> </w:t>
      </w:r>
      <w:r w:rsidRPr="00E556CD">
        <w:rPr>
          <w:rFonts w:ascii="Tahoma" w:hAnsi="Tahoma" w:cs="Tahoma" w:hint="cs"/>
          <w:sz w:val="17"/>
          <w:szCs w:val="17"/>
          <w:rtl/>
        </w:rPr>
        <w:t>חלופית, מתבקש היה כי המשרד לשירותי דת ייזום שינוי בהוראות תמ"א 19 על מנת לחייב את ההקצאה כנקבע בהחלטה.</w:t>
      </w:r>
    </w:p>
    <w:p w:rsidR="00EF45C8" w:rsidRPr="00E556CD" w:rsidP="005F3BD7">
      <w:pPr>
        <w:pStyle w:val="RESHET"/>
        <w:rPr>
          <w:rtl/>
        </w:rPr>
      </w:pPr>
      <w:r w:rsidRPr="00E556CD">
        <w:rPr>
          <w:rFonts w:hint="cs"/>
          <w:rtl/>
        </w:rPr>
        <w:t xml:space="preserve">נמצא כי בשנים 2006-2000 המשרד לשירותי דת לא קידם שינוי כאמור, ולפיכך שום שינוי לא נדון במועצה הארצית </w:t>
      </w:r>
      <w:r w:rsidRPr="00E556CD">
        <w:rPr>
          <w:rtl/>
        </w:rPr>
        <w:t xml:space="preserve">לתכנון ולבנייה (להלן - המועצה הארצית) </w:t>
      </w:r>
      <w:r w:rsidRPr="00E556CD">
        <w:rPr>
          <w:rFonts w:hint="cs"/>
          <w:rtl/>
        </w:rPr>
        <w:t>ולא אושר למתן תוקף על ידי הממשלה.</w:t>
      </w:r>
    </w:p>
    <w:p w:rsidR="00EF45C8" w:rsidRPr="00E556CD" w:rsidP="005F3BD7">
      <w:pPr>
        <w:spacing w:before="180" w:line="240" w:lineRule="exact"/>
        <w:ind w:right="2268"/>
        <w:jc w:val="both"/>
        <w:rPr>
          <w:rFonts w:ascii="Tahoma" w:hAnsi="Tahoma" w:cs="Tahoma"/>
          <w:sz w:val="17"/>
          <w:szCs w:val="17"/>
          <w:rtl/>
        </w:rPr>
      </w:pPr>
      <w:r w:rsidRPr="00E556CD">
        <w:rPr>
          <w:rFonts w:ascii="Tahoma" w:hAnsi="Tahoma" w:cs="Tahoma"/>
          <w:sz w:val="17"/>
          <w:szCs w:val="17"/>
          <w:rtl/>
        </w:rPr>
        <w:t>רק באפריל 2006</w:t>
      </w:r>
      <w:r w:rsidRPr="00E556CD">
        <w:rPr>
          <w:rFonts w:ascii="Tahoma" w:hAnsi="Tahoma" w:cs="Tahoma" w:hint="cs"/>
          <w:sz w:val="17"/>
          <w:szCs w:val="17"/>
          <w:rtl/>
        </w:rPr>
        <w:t xml:space="preserve"> </w:t>
      </w:r>
      <w:r w:rsidRPr="00E556CD">
        <w:rPr>
          <w:rFonts w:ascii="Tahoma" w:hAnsi="Tahoma" w:cs="Tahoma"/>
          <w:sz w:val="17"/>
          <w:szCs w:val="17"/>
          <w:rtl/>
        </w:rPr>
        <w:t>הורתה המועצה הארצית</w:t>
      </w:r>
      <w:r w:rsidRPr="00E556CD">
        <w:rPr>
          <w:rFonts w:ascii="Tahoma" w:hAnsi="Tahoma" w:cs="Tahoma" w:hint="cs"/>
          <w:sz w:val="17"/>
          <w:szCs w:val="17"/>
          <w:rtl/>
        </w:rPr>
        <w:t xml:space="preserve">, ביוזמתה, </w:t>
      </w:r>
      <w:r w:rsidRPr="00E556CD">
        <w:rPr>
          <w:rFonts w:ascii="Tahoma" w:hAnsi="Tahoma" w:cs="Tahoma"/>
          <w:sz w:val="17"/>
          <w:szCs w:val="17"/>
          <w:rtl/>
        </w:rPr>
        <w:t xml:space="preserve">על </w:t>
      </w:r>
      <w:r w:rsidRPr="00E556CD">
        <w:rPr>
          <w:rFonts w:ascii="Tahoma" w:hAnsi="Tahoma" w:cs="Tahoma" w:hint="cs"/>
          <w:sz w:val="17"/>
          <w:szCs w:val="17"/>
          <w:rtl/>
        </w:rPr>
        <w:t>ביצוע</w:t>
      </w:r>
      <w:r w:rsidRPr="00E556CD">
        <w:rPr>
          <w:rFonts w:ascii="Tahoma" w:hAnsi="Tahoma" w:cs="Tahoma"/>
          <w:sz w:val="17"/>
          <w:szCs w:val="17"/>
          <w:rtl/>
        </w:rPr>
        <w:t xml:space="preserve"> שינוי 4 ג' </w:t>
      </w:r>
      <w:r w:rsidRPr="00E556CD">
        <w:rPr>
          <w:rFonts w:ascii="Tahoma" w:hAnsi="Tahoma" w:cs="Tahoma" w:hint="cs"/>
          <w:sz w:val="17"/>
          <w:szCs w:val="17"/>
          <w:rtl/>
        </w:rPr>
        <w:t>בתמ</w:t>
      </w:r>
      <w:r w:rsidRPr="00E556CD">
        <w:rPr>
          <w:rFonts w:ascii="Tahoma" w:hAnsi="Tahoma" w:cs="Tahoma"/>
          <w:sz w:val="17"/>
          <w:szCs w:val="17"/>
          <w:rtl/>
        </w:rPr>
        <w:t>"א</w:t>
      </w:r>
      <w:r w:rsidRPr="00E556CD">
        <w:rPr>
          <w:rFonts w:ascii="Tahoma" w:hAnsi="Tahoma" w:cs="Tahoma"/>
          <w:sz w:val="17"/>
          <w:szCs w:val="17"/>
          <w:rtl/>
        </w:rPr>
        <w:t xml:space="preserve"> 19 (להלן - שינוי 4 ג')</w:t>
      </w:r>
      <w:r w:rsidRPr="00E556CD">
        <w:rPr>
          <w:rFonts w:ascii="Tahoma" w:hAnsi="Tahoma" w:cs="Tahoma" w:hint="cs"/>
          <w:sz w:val="17"/>
          <w:szCs w:val="17"/>
          <w:rtl/>
        </w:rPr>
        <w:t>,</w:t>
      </w:r>
      <w:r w:rsidRPr="00E556CD">
        <w:rPr>
          <w:rFonts w:ascii="Tahoma" w:hAnsi="Tahoma" w:cs="Tahoma"/>
          <w:sz w:val="17"/>
          <w:szCs w:val="17"/>
          <w:rtl/>
        </w:rPr>
        <w:t xml:space="preserve"> אשר יכלול, בין היתר, קביעת הוראות לקבורה אלטרנטיבית</w:t>
      </w:r>
      <w:r w:rsidRPr="00E556CD">
        <w:rPr>
          <w:rFonts w:ascii="Tahoma" w:hAnsi="Tahoma" w:cs="Tahoma" w:hint="cs"/>
          <w:sz w:val="17"/>
          <w:szCs w:val="17"/>
          <w:rtl/>
        </w:rPr>
        <w:t xml:space="preserve"> או ל</w:t>
      </w:r>
      <w:r w:rsidRPr="00E556CD">
        <w:rPr>
          <w:rFonts w:ascii="Tahoma" w:hAnsi="Tahoma" w:cs="Tahoma"/>
          <w:sz w:val="17"/>
          <w:szCs w:val="17"/>
          <w:rtl/>
        </w:rPr>
        <w:t>קבורה חילונית</w:t>
      </w:r>
      <w:r w:rsidRPr="00E556CD">
        <w:rPr>
          <w:rFonts w:ascii="Tahoma" w:hAnsi="Tahoma" w:cs="Tahoma" w:hint="cs"/>
          <w:sz w:val="17"/>
          <w:szCs w:val="17"/>
          <w:rtl/>
        </w:rPr>
        <w:t xml:space="preserve"> (קבורה אזרחית חלופית, כלשון החוק).</w:t>
      </w:r>
      <w:r w:rsidRPr="00E556CD">
        <w:rPr>
          <w:rFonts w:ascii="Tahoma" w:hAnsi="Tahoma" w:cs="Tahoma"/>
          <w:sz w:val="17"/>
          <w:szCs w:val="17"/>
          <w:rtl/>
        </w:rPr>
        <w:t xml:space="preserve"> </w:t>
      </w:r>
      <w:r w:rsidRPr="00E556CD">
        <w:rPr>
          <w:rFonts w:ascii="Tahoma" w:hAnsi="Tahoma" w:cs="Tahoma" w:hint="cs"/>
          <w:sz w:val="17"/>
          <w:szCs w:val="17"/>
          <w:rtl/>
        </w:rPr>
        <w:t>השינוי שהוצע הועלה במרץ 2014 לדיון בוועדת המשנה לנושאים תכנוניים עקרוניים של המועצה הארצית (להלן - ועדת המשנה). בדיון קבעה הוועדה כי הקצאה של 10% מהשטח המיועד לבית עלמין חדש או מורחב, לצורך הקמת בית עלמין אזרחי, יש בה כדי למלא את הצרכים החברתיים לעניין זה והמליצה למועצה הארצית על העברת שינוי 4 ג' לוועדות המחוזיות, לקבלת הערותיהן.</w:t>
      </w:r>
    </w:p>
    <w:p w:rsidR="00EF45C8" w:rsidRPr="00E556CD" w:rsidP="00E556CD">
      <w:pPr>
        <w:spacing w:line="240" w:lineRule="exact"/>
        <w:ind w:right="2268"/>
        <w:jc w:val="both"/>
        <w:rPr>
          <w:rFonts w:ascii="Tahoma" w:hAnsi="Tahoma" w:cs="Tahoma"/>
          <w:sz w:val="17"/>
          <w:szCs w:val="17"/>
          <w:rtl/>
        </w:rPr>
      </w:pPr>
      <w:r w:rsidRPr="00E556CD">
        <w:rPr>
          <w:rFonts w:ascii="Tahoma" w:hAnsi="Tahoma" w:cs="Tahoma" w:hint="cs"/>
          <w:sz w:val="17"/>
          <w:szCs w:val="17"/>
          <w:rtl/>
        </w:rPr>
        <w:t xml:space="preserve">בד בבד עם קידום שינוי 4 ג', קידם </w:t>
      </w:r>
      <w:r w:rsidRPr="00E556CD">
        <w:rPr>
          <w:rFonts w:ascii="Tahoma" w:hAnsi="Tahoma" w:cs="Tahoma" w:hint="cs"/>
          <w:sz w:val="17"/>
          <w:szCs w:val="17"/>
          <w:rtl/>
        </w:rPr>
        <w:t>מינהל</w:t>
      </w:r>
      <w:r w:rsidRPr="00E556CD">
        <w:rPr>
          <w:rFonts w:ascii="Tahoma" w:hAnsi="Tahoma" w:cs="Tahoma" w:hint="cs"/>
          <w:sz w:val="17"/>
          <w:szCs w:val="17"/>
          <w:rtl/>
        </w:rPr>
        <w:t xml:space="preserve"> התכנון גם את שינוי 4 ב' </w:t>
      </w:r>
      <w:r w:rsidRPr="00E556CD">
        <w:rPr>
          <w:rFonts w:ascii="Tahoma" w:hAnsi="Tahoma" w:cs="Tahoma" w:hint="cs"/>
          <w:sz w:val="17"/>
          <w:szCs w:val="17"/>
          <w:rtl/>
        </w:rPr>
        <w:t>לתמ"א</w:t>
      </w:r>
      <w:r w:rsidRPr="00E556CD">
        <w:rPr>
          <w:rFonts w:ascii="Tahoma" w:hAnsi="Tahoma" w:cs="Tahoma" w:hint="cs"/>
          <w:sz w:val="17"/>
          <w:szCs w:val="17"/>
          <w:rtl/>
        </w:rPr>
        <w:t xml:space="preserve"> 19, בנושא הקבורה הרבודה (הקבורה הרוויה) בכלל בתי העלמין העירוניים והאזוריים. </w:t>
      </w:r>
      <w:r w:rsidRPr="00E556CD">
        <w:rPr>
          <w:rFonts w:ascii="Tahoma" w:hAnsi="Tahoma" w:cs="Tahoma" w:hint="cs"/>
          <w:sz w:val="17"/>
          <w:szCs w:val="17"/>
          <w:rtl/>
        </w:rPr>
        <w:t xml:space="preserve">בשנת 2014 החליט </w:t>
      </w:r>
      <w:r w:rsidRPr="00E556CD">
        <w:rPr>
          <w:rFonts w:ascii="Tahoma" w:hAnsi="Tahoma" w:cs="Tahoma" w:hint="cs"/>
          <w:sz w:val="17"/>
          <w:szCs w:val="17"/>
          <w:rtl/>
        </w:rPr>
        <w:t>מינהל</w:t>
      </w:r>
      <w:r w:rsidRPr="00E556CD">
        <w:rPr>
          <w:rFonts w:ascii="Tahoma" w:hAnsi="Tahoma" w:cs="Tahoma" w:hint="cs"/>
          <w:sz w:val="17"/>
          <w:szCs w:val="17"/>
          <w:rtl/>
        </w:rPr>
        <w:t xml:space="preserve"> התכנון לכלול את שני השינויים בשינוי 7 </w:t>
      </w:r>
      <w:r w:rsidRPr="00E556CD">
        <w:rPr>
          <w:rFonts w:ascii="Tahoma" w:hAnsi="Tahoma" w:cs="Tahoma" w:hint="cs"/>
          <w:sz w:val="17"/>
          <w:szCs w:val="17"/>
          <w:rtl/>
        </w:rPr>
        <w:t>לתמ"א</w:t>
      </w:r>
      <w:r w:rsidRPr="00E556CD">
        <w:rPr>
          <w:rFonts w:ascii="Tahoma" w:hAnsi="Tahoma" w:cs="Tahoma" w:hint="cs"/>
          <w:sz w:val="17"/>
          <w:szCs w:val="17"/>
          <w:rtl/>
        </w:rPr>
        <w:t xml:space="preserve"> 19 "תכנית מתאר ארצית - קבורה רבודה ואזרחית תמ"א 7/19" (להלן - שינוי 7). בהוראות שינוי 7 נקבע, בנוגע לקבורה האזרחית, כי כל תכנית שתכלול בית עלמין חדש או מורחב ששטחו או הרחבתו גדולים מ-20 דונם תייעד לפחות 10% מהשטח לצורכי קבורה אזרחית. ועדת המשנה דנה בשינוי בנובמבר 2014 והחליטה להמליץ למועצה הארצית לאשר אותו בהתאם לתנאים שפורטו בהחלטה.</w:t>
      </w:r>
    </w:p>
    <w:p w:rsidR="00EF45C8" w:rsidRPr="00E556CD" w:rsidP="005F3BD7">
      <w:pPr>
        <w:spacing w:after="240" w:line="240" w:lineRule="exact"/>
        <w:ind w:right="2268"/>
        <w:jc w:val="both"/>
        <w:rPr>
          <w:rFonts w:ascii="Tahoma" w:hAnsi="Tahoma" w:cs="Tahoma"/>
          <w:b/>
          <w:bCs/>
          <w:sz w:val="17"/>
          <w:szCs w:val="17"/>
          <w:rtl/>
        </w:rPr>
      </w:pPr>
      <w:r w:rsidRPr="00E556CD">
        <w:rPr>
          <w:rFonts w:ascii="Tahoma" w:hAnsi="Tahoma" w:cs="Tahoma" w:hint="cs"/>
          <w:sz w:val="17"/>
          <w:szCs w:val="17"/>
          <w:rtl/>
        </w:rPr>
        <w:t>במרץ 2015 החליטה המועצה הארצית לאמץ את החלטות ועדת המשנה לאשר את שינוי 7 ולהעבירו לאישור הממשלה; ואכן, בחודשים ינואר 2016 - מאי 2016 נכלל שינוי 7 שלוש פעמים בסדר היום של ועדת השרים לענייני דיור לאישור למתן תוקף, אך בכל הפעמים לא התקיים דיון בנוגע לגופו של שינוי 7. במרץ 2016 ביקש מנכ"ל המשרד לשירותי דת מסגן מזכיר הממשלה להוריד את הנושא מסדר היום של ישיבת קבינט הדיור שנקבעה לאותו חודש, ונימק זאת בכך שבהסכם הקואליציוני</w:t>
      </w:r>
      <w:r>
        <w:rPr>
          <w:rStyle w:val="FootnoteReference0"/>
          <w:rFonts w:ascii="Tahoma" w:hAnsi="Tahoma" w:cs="Tahoma"/>
          <w:sz w:val="17"/>
          <w:szCs w:val="17"/>
          <w:rtl/>
        </w:rPr>
        <w:footnoteReference w:id="13"/>
      </w:r>
      <w:r w:rsidRPr="00E556CD">
        <w:rPr>
          <w:rFonts w:ascii="Tahoma" w:hAnsi="Tahoma" w:cs="Tahoma" w:hint="cs"/>
          <w:sz w:val="17"/>
          <w:szCs w:val="17"/>
          <w:rtl/>
        </w:rPr>
        <w:t xml:space="preserve"> נקבע שיש להקים ועדה לקבורת שדה</w:t>
      </w:r>
      <w:r>
        <w:rPr>
          <w:rStyle w:val="FootnoteReference0"/>
          <w:rFonts w:ascii="Tahoma" w:hAnsi="Tahoma" w:cs="Tahoma"/>
          <w:sz w:val="17"/>
          <w:szCs w:val="17"/>
          <w:rtl/>
        </w:rPr>
        <w:footnoteReference w:id="14"/>
      </w:r>
      <w:r w:rsidRPr="00E556CD">
        <w:rPr>
          <w:rFonts w:ascii="Tahoma" w:hAnsi="Tahoma" w:cs="Tahoma" w:hint="cs"/>
          <w:sz w:val="17"/>
          <w:szCs w:val="17"/>
          <w:rtl/>
        </w:rPr>
        <w:t xml:space="preserve"> (בראשות נציג השר לשירותי דת), שתבחן את סוגיית הקבורה בישראל. מנכ"ל המשרד ציין כי אם הקבינט ידון בשינוי 7, הרי שעבודת הוועדה והדיון בה יתייתרו, והוא הציע שהצעת המחליטים תובא לפני הוועדה לקבורת שדה, והיא תבחן את הבקשה באופן שזו תשמש כמצע לדיון. הוא העריך שהוועדה הייתה אמורה להשלים את עבודתה ולגבש מסקנות בתוך חודשים ספורים.</w:t>
      </w:r>
      <w:r w:rsidRPr="00E556CD">
        <w:rPr>
          <w:rFonts w:ascii="Tahoma" w:hAnsi="Tahoma" w:cs="Tahoma" w:hint="cs"/>
          <w:b/>
          <w:bCs/>
          <w:sz w:val="17"/>
          <w:szCs w:val="17"/>
          <w:rtl/>
        </w:rPr>
        <w:t xml:space="preserve"> </w:t>
      </w:r>
      <w:r w:rsidRPr="00E556CD">
        <w:rPr>
          <w:rFonts w:ascii="Tahoma" w:hAnsi="Tahoma" w:cs="Tahoma" w:hint="cs"/>
          <w:sz w:val="17"/>
          <w:szCs w:val="17"/>
          <w:rtl/>
        </w:rPr>
        <w:t>ואכן, בישיבת הקבינט נקבע, לבקשת השר לשירותי דת, כי הדיון של ועדת השרים בנושא יידחה למאי 2016 - כחודשיים לאחר מכן - המועד שבו צפויה להסתיים עבודת המטה. ואולם ב</w:t>
      </w:r>
      <w:r w:rsidRPr="00E556CD">
        <w:rPr>
          <w:rFonts w:ascii="Tahoma" w:hAnsi="Tahoma" w:cs="Tahoma"/>
          <w:sz w:val="17"/>
          <w:szCs w:val="17"/>
          <w:rtl/>
        </w:rPr>
        <w:t>מועד סיום הביקורת (או</w:t>
      </w:r>
      <w:r w:rsidRPr="00E556CD">
        <w:rPr>
          <w:rFonts w:ascii="Tahoma" w:hAnsi="Tahoma" w:cs="Tahoma" w:hint="cs"/>
          <w:sz w:val="17"/>
          <w:szCs w:val="17"/>
          <w:rtl/>
        </w:rPr>
        <w:t>קטובר</w:t>
      </w:r>
      <w:r w:rsidRPr="00E556CD">
        <w:rPr>
          <w:rFonts w:ascii="Tahoma" w:hAnsi="Tahoma" w:cs="Tahoma"/>
          <w:sz w:val="17"/>
          <w:szCs w:val="17"/>
          <w:rtl/>
        </w:rPr>
        <w:t xml:space="preserve"> 2016) טרם גיבשה הוועדה לקבורת שדה </w:t>
      </w:r>
      <w:r w:rsidRPr="00E556CD">
        <w:rPr>
          <w:rFonts w:ascii="Tahoma" w:hAnsi="Tahoma" w:cs="Tahoma" w:hint="cs"/>
          <w:sz w:val="17"/>
          <w:szCs w:val="17"/>
          <w:rtl/>
        </w:rPr>
        <w:t>את</w:t>
      </w:r>
      <w:r w:rsidRPr="00E556CD">
        <w:rPr>
          <w:rFonts w:ascii="Tahoma" w:hAnsi="Tahoma" w:cs="Tahoma"/>
          <w:sz w:val="17"/>
          <w:szCs w:val="17"/>
          <w:rtl/>
        </w:rPr>
        <w:t xml:space="preserve"> </w:t>
      </w:r>
      <w:r w:rsidRPr="00E556CD">
        <w:rPr>
          <w:rFonts w:ascii="Tahoma" w:hAnsi="Tahoma" w:cs="Tahoma" w:hint="cs"/>
          <w:sz w:val="17"/>
          <w:szCs w:val="17"/>
          <w:rtl/>
        </w:rPr>
        <w:t>מסקנותיה בנושא.</w:t>
      </w:r>
    </w:p>
    <w:p w:rsidR="00EF45C8" w:rsidRPr="00E556CD" w:rsidP="005F3BD7">
      <w:pPr>
        <w:pStyle w:val="RESHET"/>
        <w:rPr>
          <w:rtl/>
        </w:rPr>
      </w:pPr>
      <w:r w:rsidRPr="00E556CD">
        <w:rPr>
          <w:rFonts w:hint="cs"/>
          <w:rtl/>
        </w:rPr>
        <w:t>יוצא</w:t>
      </w:r>
      <w:r w:rsidRPr="00E556CD">
        <w:rPr>
          <w:rtl/>
        </w:rPr>
        <w:t xml:space="preserve"> </w:t>
      </w:r>
      <w:r w:rsidRPr="00E556CD">
        <w:rPr>
          <w:rFonts w:hint="cs"/>
          <w:rtl/>
        </w:rPr>
        <w:t>אפוא</w:t>
      </w:r>
      <w:r w:rsidRPr="00E556CD">
        <w:rPr>
          <w:rtl/>
        </w:rPr>
        <w:t xml:space="preserve"> </w:t>
      </w:r>
      <w:r w:rsidRPr="00E556CD">
        <w:rPr>
          <w:rFonts w:hint="cs"/>
          <w:rtl/>
        </w:rPr>
        <w:t>כי</w:t>
      </w:r>
      <w:r w:rsidRPr="00E556CD">
        <w:rPr>
          <w:rtl/>
        </w:rPr>
        <w:t xml:space="preserve"> </w:t>
      </w:r>
      <w:r w:rsidRPr="00E556CD">
        <w:rPr>
          <w:rFonts w:hint="cs"/>
          <w:rtl/>
        </w:rPr>
        <w:t xml:space="preserve">במועד סיום הביקורת, כעשור לאחר שהוחלט לבצע שינוי </w:t>
      </w:r>
      <w:r w:rsidRPr="00E556CD">
        <w:rPr>
          <w:rFonts w:hint="cs"/>
          <w:rtl/>
        </w:rPr>
        <w:t>בתמ"א</w:t>
      </w:r>
      <w:r w:rsidRPr="00E556CD">
        <w:rPr>
          <w:rFonts w:hint="cs"/>
          <w:rtl/>
        </w:rPr>
        <w:t xml:space="preserve"> 19 לעניין הקבורה האזרחית, השינוי טרם בוצע.</w:t>
      </w:r>
    </w:p>
    <w:p w:rsidR="00EF45C8" w:rsidRPr="00E556CD" w:rsidP="005F3BD7">
      <w:pPr>
        <w:tabs>
          <w:tab w:val="left" w:pos="850"/>
        </w:tabs>
        <w:spacing w:before="180" w:line="240" w:lineRule="exact"/>
        <w:ind w:right="2268"/>
        <w:jc w:val="both"/>
        <w:rPr>
          <w:rFonts w:ascii="Tahoma" w:hAnsi="Tahoma" w:cs="Tahoma"/>
          <w:sz w:val="17"/>
          <w:szCs w:val="17"/>
          <w:rtl/>
        </w:rPr>
      </w:pPr>
      <w:r w:rsidRPr="00E556CD">
        <w:rPr>
          <w:rFonts w:ascii="Tahoma" w:hAnsi="Tahoma" w:cs="Tahoma" w:hint="cs"/>
          <w:sz w:val="17"/>
          <w:szCs w:val="17"/>
          <w:rtl/>
        </w:rPr>
        <w:t xml:space="preserve">בתשובת המשרד לשירותי דת נמסר כי התנגדותו לתיקון "כלל לא נגעה לקבורה האזרחית אלא </w:t>
      </w:r>
      <w:r w:rsidRPr="00E556CD">
        <w:rPr>
          <w:rFonts w:ascii="Tahoma" w:hAnsi="Tahoma" w:cs="Tahoma" w:hint="cs"/>
          <w:sz w:val="17"/>
          <w:szCs w:val="17"/>
          <w:rtl/>
        </w:rPr>
        <w:t>לצפיפויות</w:t>
      </w:r>
      <w:r w:rsidRPr="00E556CD">
        <w:rPr>
          <w:rFonts w:ascii="Tahoma" w:hAnsi="Tahoma" w:cs="Tahoma" w:hint="cs"/>
          <w:sz w:val="17"/>
          <w:szCs w:val="17"/>
          <w:rtl/>
        </w:rPr>
        <w:t xml:space="preserve"> שביקש </w:t>
      </w:r>
      <w:r w:rsidRPr="00E556CD">
        <w:rPr>
          <w:rFonts w:ascii="Tahoma" w:hAnsi="Tahoma" w:cs="Tahoma" w:hint="cs"/>
          <w:sz w:val="17"/>
          <w:szCs w:val="17"/>
          <w:rtl/>
        </w:rPr>
        <w:t>מינהל</w:t>
      </w:r>
      <w:r w:rsidRPr="00E556CD">
        <w:rPr>
          <w:rFonts w:ascii="Tahoma" w:hAnsi="Tahoma" w:cs="Tahoma" w:hint="cs"/>
          <w:sz w:val="17"/>
          <w:szCs w:val="17"/>
          <w:rtl/>
        </w:rPr>
        <w:t xml:space="preserve"> התכנון לקבוע שלא היו מקובלות על משרדנו", וכי הוא אינו מקדם תיקונים או שינויים בתכניות מתאר.</w:t>
      </w:r>
    </w:p>
    <w:p w:rsidR="00EF45C8" w:rsidRPr="00E556CD" w:rsidP="005F3BD7">
      <w:pPr>
        <w:tabs>
          <w:tab w:val="left" w:pos="850"/>
        </w:tabs>
        <w:spacing w:after="240" w:line="240" w:lineRule="exact"/>
        <w:ind w:right="2268"/>
        <w:jc w:val="both"/>
        <w:rPr>
          <w:rFonts w:ascii="Tahoma" w:hAnsi="Tahoma" w:cs="Tahoma"/>
          <w:sz w:val="17"/>
          <w:szCs w:val="17"/>
          <w:rtl/>
        </w:rPr>
      </w:pPr>
      <w:r w:rsidRPr="00E556CD">
        <w:rPr>
          <w:rFonts w:ascii="Tahoma" w:hAnsi="Tahoma" w:cs="Tahoma" w:hint="cs"/>
          <w:sz w:val="17"/>
          <w:szCs w:val="17"/>
          <w:rtl/>
        </w:rPr>
        <w:t>מינהל</w:t>
      </w:r>
      <w:r w:rsidRPr="00E556CD">
        <w:rPr>
          <w:rFonts w:ascii="Tahoma" w:hAnsi="Tahoma" w:cs="Tahoma" w:hint="cs"/>
          <w:sz w:val="17"/>
          <w:szCs w:val="17"/>
          <w:rtl/>
        </w:rPr>
        <w:t xml:space="preserve"> התכנון השיב למשרד מבקר המדינה בנובמבר 2016 כי בימים אלה הוא מבצע מיפוי לאיתור שטחים גדולים וזמינים מהבחינה התכנונית, ולאחר שישלים את המיפוי יבוצע סקר בהובלת </w:t>
      </w:r>
      <w:r w:rsidRPr="00E556CD">
        <w:rPr>
          <w:rFonts w:ascii="Tahoma" w:hAnsi="Tahoma" w:cs="Tahoma" w:hint="cs"/>
          <w:sz w:val="17"/>
          <w:szCs w:val="17"/>
          <w:rtl/>
        </w:rPr>
        <w:t>רמ"י</w:t>
      </w:r>
      <w:r w:rsidRPr="00E556CD">
        <w:rPr>
          <w:rFonts w:ascii="Tahoma" w:hAnsi="Tahoma" w:cs="Tahoma" w:hint="cs"/>
          <w:sz w:val="17"/>
          <w:szCs w:val="17"/>
          <w:rtl/>
        </w:rPr>
        <w:t xml:space="preserve"> כדי למפות חסמים ולבחון פתרונות לצורך הקצאת שטחים לקבורה אזרחית.</w:t>
      </w:r>
    </w:p>
    <w:p w:rsidR="00EF45C8" w:rsidRPr="00E556CD" w:rsidP="005F3BD7">
      <w:pPr>
        <w:pStyle w:val="RESHET"/>
        <w:rPr>
          <w:rtl/>
        </w:rPr>
      </w:pPr>
      <w:r w:rsidRPr="00E556CD">
        <w:rPr>
          <w:rFonts w:hint="cs"/>
          <w:rtl/>
        </w:rPr>
        <w:t>משרד מבקר המדינה מעיר למשרד לשירותי דת כי בהיותו האחראי לקבורה האזרחית, ראוי שיפעל לקידום העניין. בפועל המשרד עיכב את השינוי הנדרש הרבה מעבר למאי 2016, שלא כמובטח. השיהוי הניכר ביישום החלטת הממשלה מפברואר 2000 מעורר חשש כי המשרד אינו מציב את נושא הקבורה האזרחית בראש סדר העדיפויות שלו במשך השנים.</w:t>
      </w:r>
      <w:r w:rsidRPr="00ED10E1" w:rsidR="00ED10E1">
        <w:rPr>
          <w:noProof/>
          <w:rtl/>
        </w:rPr>
        <w:t xml:space="preserve"> </w:t>
      </w:r>
      <w:r w:rsidRPr="0012789B" w:rsidR="00ED10E1">
        <w:rPr>
          <w:noProof/>
          <w:rtl/>
          <w:lang w:eastAsia="en-US"/>
        </w:rPr>
        <mc:AlternateContent>
          <mc:Choice Requires="wps">
            <w:drawing>
              <wp:anchor distT="0" distB="0" distL="114300" distR="114300" simplePos="0" relativeHeight="251662336" behindDoc="1" locked="0" layoutInCell="1" allowOverlap="1">
                <wp:simplePos x="0" y="0"/>
                <wp:positionH relativeFrom="margin">
                  <wp:posOffset>-431800</wp:posOffset>
                </wp:positionH>
                <wp:positionV relativeFrom="margin">
                  <wp:align>top</wp:align>
                </wp:positionV>
                <wp:extent cx="1620000" cy="4140000"/>
                <wp:effectExtent l="0" t="0" r="0" b="0"/>
                <wp:wrapNone/>
                <wp:docPr id="10"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ED10E1" w:rsidRPr="00373C5D" w:rsidP="00ED10E1">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38817912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157669" name="QUT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ED10E1" w:rsidRPr="00881D99" w:rsidP="00ED10E1">
                            <w:pPr>
                              <w:spacing w:after="0" w:line="240" w:lineRule="auto"/>
                              <w:rPr>
                                <w:color w:val="0B5294"/>
                                <w:spacing w:val="-4"/>
                                <w:sz w:val="24"/>
                                <w:szCs w:val="24"/>
                                <w:rtl/>
                                <w:cs/>
                              </w:rPr>
                            </w:pPr>
                            <w:r w:rsidRPr="00ED10E1">
                              <w:rPr>
                                <w:rFonts w:cs="Tahoma" w:hint="eastAsia"/>
                                <w:color w:val="0B5294"/>
                                <w:spacing w:val="-4"/>
                                <w:sz w:val="24"/>
                                <w:szCs w:val="24"/>
                                <w:rtl/>
                              </w:rPr>
                              <w:t>השיהוי</w:t>
                            </w:r>
                            <w:r w:rsidRPr="00ED10E1">
                              <w:rPr>
                                <w:rFonts w:cs="Tahoma"/>
                                <w:color w:val="0B5294"/>
                                <w:spacing w:val="-4"/>
                                <w:sz w:val="24"/>
                                <w:szCs w:val="24"/>
                                <w:rtl/>
                              </w:rPr>
                              <w:t xml:space="preserve"> </w:t>
                            </w:r>
                            <w:r w:rsidRPr="00ED10E1">
                              <w:rPr>
                                <w:rFonts w:cs="Tahoma" w:hint="eastAsia"/>
                                <w:color w:val="0B5294"/>
                                <w:spacing w:val="-4"/>
                                <w:sz w:val="24"/>
                                <w:szCs w:val="24"/>
                                <w:rtl/>
                              </w:rPr>
                              <w:t>הניכר</w:t>
                            </w:r>
                            <w:r w:rsidRPr="00ED10E1">
                              <w:rPr>
                                <w:rFonts w:cs="Tahoma"/>
                                <w:color w:val="0B5294"/>
                                <w:spacing w:val="-4"/>
                                <w:sz w:val="24"/>
                                <w:szCs w:val="24"/>
                                <w:rtl/>
                              </w:rPr>
                              <w:t xml:space="preserve"> </w:t>
                            </w:r>
                            <w:r w:rsidRPr="00ED10E1">
                              <w:rPr>
                                <w:rFonts w:cs="Tahoma" w:hint="eastAsia"/>
                                <w:color w:val="0B5294"/>
                                <w:spacing w:val="-4"/>
                                <w:sz w:val="24"/>
                                <w:szCs w:val="24"/>
                                <w:rtl/>
                              </w:rPr>
                              <w:t>ביישום</w:t>
                            </w:r>
                            <w:r w:rsidRPr="00ED10E1">
                              <w:rPr>
                                <w:rFonts w:cs="Tahoma"/>
                                <w:color w:val="0B5294"/>
                                <w:spacing w:val="-4"/>
                                <w:sz w:val="24"/>
                                <w:szCs w:val="24"/>
                                <w:rtl/>
                              </w:rPr>
                              <w:t xml:space="preserve"> </w:t>
                            </w:r>
                            <w:r w:rsidRPr="00ED10E1">
                              <w:rPr>
                                <w:rFonts w:cs="Tahoma" w:hint="eastAsia"/>
                                <w:color w:val="0B5294"/>
                                <w:spacing w:val="-4"/>
                                <w:sz w:val="24"/>
                                <w:szCs w:val="24"/>
                                <w:rtl/>
                              </w:rPr>
                              <w:t>החלטת</w:t>
                            </w:r>
                            <w:r w:rsidRPr="00ED10E1">
                              <w:rPr>
                                <w:rFonts w:cs="Tahoma"/>
                                <w:color w:val="0B5294"/>
                                <w:spacing w:val="-4"/>
                                <w:sz w:val="24"/>
                                <w:szCs w:val="24"/>
                                <w:rtl/>
                              </w:rPr>
                              <w:t xml:space="preserve"> </w:t>
                            </w:r>
                            <w:r w:rsidRPr="00ED10E1">
                              <w:rPr>
                                <w:rFonts w:cs="Tahoma" w:hint="eastAsia"/>
                                <w:color w:val="0B5294"/>
                                <w:spacing w:val="-4"/>
                                <w:sz w:val="24"/>
                                <w:szCs w:val="24"/>
                                <w:rtl/>
                              </w:rPr>
                              <w:t>הממשלה</w:t>
                            </w:r>
                            <w:r w:rsidRPr="00ED10E1">
                              <w:rPr>
                                <w:rFonts w:cs="Tahoma"/>
                                <w:color w:val="0B5294"/>
                                <w:spacing w:val="-4"/>
                                <w:sz w:val="24"/>
                                <w:szCs w:val="24"/>
                                <w:rtl/>
                              </w:rPr>
                              <w:t xml:space="preserve"> </w:t>
                            </w:r>
                            <w:r w:rsidRPr="00ED10E1">
                              <w:rPr>
                                <w:rFonts w:cs="Tahoma" w:hint="eastAsia"/>
                                <w:color w:val="0B5294"/>
                                <w:spacing w:val="-4"/>
                                <w:sz w:val="24"/>
                                <w:szCs w:val="24"/>
                                <w:rtl/>
                              </w:rPr>
                              <w:t>מפברואר</w:t>
                            </w:r>
                            <w:r w:rsidRPr="00ED10E1">
                              <w:rPr>
                                <w:rFonts w:cs="Tahoma"/>
                                <w:color w:val="0B5294"/>
                                <w:spacing w:val="-4"/>
                                <w:sz w:val="24"/>
                                <w:szCs w:val="24"/>
                                <w:rtl/>
                              </w:rPr>
                              <w:t xml:space="preserve"> 2000 </w:t>
                            </w:r>
                            <w:r w:rsidRPr="00ED10E1">
                              <w:rPr>
                                <w:rFonts w:cs="Tahoma" w:hint="eastAsia"/>
                                <w:color w:val="0B5294"/>
                                <w:spacing w:val="-4"/>
                                <w:sz w:val="24"/>
                                <w:szCs w:val="24"/>
                                <w:rtl/>
                              </w:rPr>
                              <w:t>מעורר</w:t>
                            </w:r>
                            <w:r w:rsidRPr="00ED10E1">
                              <w:rPr>
                                <w:rFonts w:cs="Tahoma"/>
                                <w:color w:val="0B5294"/>
                                <w:spacing w:val="-4"/>
                                <w:sz w:val="24"/>
                                <w:szCs w:val="24"/>
                                <w:rtl/>
                              </w:rPr>
                              <w:t xml:space="preserve"> </w:t>
                            </w:r>
                            <w:r w:rsidRPr="00ED10E1">
                              <w:rPr>
                                <w:rFonts w:cs="Tahoma" w:hint="eastAsia"/>
                                <w:color w:val="0B5294"/>
                                <w:spacing w:val="-4"/>
                                <w:sz w:val="24"/>
                                <w:szCs w:val="24"/>
                                <w:rtl/>
                              </w:rPr>
                              <w:t>חשש</w:t>
                            </w:r>
                            <w:r w:rsidRPr="00ED10E1">
                              <w:rPr>
                                <w:rFonts w:cs="Tahoma"/>
                                <w:color w:val="0B5294"/>
                                <w:spacing w:val="-4"/>
                                <w:sz w:val="24"/>
                                <w:szCs w:val="24"/>
                                <w:rtl/>
                              </w:rPr>
                              <w:t xml:space="preserve"> </w:t>
                            </w:r>
                            <w:r w:rsidRPr="00ED10E1">
                              <w:rPr>
                                <w:rFonts w:cs="Tahoma" w:hint="eastAsia"/>
                                <w:color w:val="0B5294"/>
                                <w:spacing w:val="-4"/>
                                <w:sz w:val="24"/>
                                <w:szCs w:val="24"/>
                                <w:rtl/>
                              </w:rPr>
                              <w:t>כי</w:t>
                            </w:r>
                            <w:r w:rsidRPr="00ED10E1">
                              <w:rPr>
                                <w:rFonts w:cs="Tahoma"/>
                                <w:color w:val="0B5294"/>
                                <w:spacing w:val="-4"/>
                                <w:sz w:val="24"/>
                                <w:szCs w:val="24"/>
                                <w:rtl/>
                              </w:rPr>
                              <w:t xml:space="preserve"> </w:t>
                            </w:r>
                            <w:r w:rsidRPr="00ED10E1">
                              <w:rPr>
                                <w:rFonts w:cs="Tahoma" w:hint="eastAsia"/>
                                <w:color w:val="0B5294"/>
                                <w:spacing w:val="-4"/>
                                <w:sz w:val="24"/>
                                <w:szCs w:val="24"/>
                                <w:rtl/>
                              </w:rPr>
                              <w:t>המשרד</w:t>
                            </w:r>
                            <w:r w:rsidRPr="00ED10E1">
                              <w:rPr>
                                <w:rFonts w:cs="Tahoma"/>
                                <w:color w:val="0B5294"/>
                                <w:spacing w:val="-4"/>
                                <w:sz w:val="24"/>
                                <w:szCs w:val="24"/>
                                <w:rtl/>
                              </w:rPr>
                              <w:t xml:space="preserve"> </w:t>
                            </w:r>
                            <w:r w:rsidRPr="00ED10E1">
                              <w:rPr>
                                <w:rFonts w:cs="Tahoma" w:hint="eastAsia"/>
                                <w:color w:val="0B5294"/>
                                <w:spacing w:val="-4"/>
                                <w:sz w:val="24"/>
                                <w:szCs w:val="24"/>
                                <w:rtl/>
                              </w:rPr>
                              <w:t>אינו</w:t>
                            </w:r>
                            <w:r w:rsidRPr="00ED10E1">
                              <w:rPr>
                                <w:rFonts w:cs="Tahoma"/>
                                <w:color w:val="0B5294"/>
                                <w:spacing w:val="-4"/>
                                <w:sz w:val="24"/>
                                <w:szCs w:val="24"/>
                                <w:rtl/>
                              </w:rPr>
                              <w:t xml:space="preserve"> </w:t>
                            </w:r>
                            <w:r w:rsidRPr="00ED10E1">
                              <w:rPr>
                                <w:rFonts w:cs="Tahoma" w:hint="eastAsia"/>
                                <w:color w:val="0B5294"/>
                                <w:spacing w:val="-4"/>
                                <w:sz w:val="24"/>
                                <w:szCs w:val="24"/>
                                <w:rtl/>
                              </w:rPr>
                              <w:t>מציב</w:t>
                            </w:r>
                            <w:r w:rsidRPr="00ED10E1">
                              <w:rPr>
                                <w:rFonts w:cs="Tahoma"/>
                                <w:color w:val="0B5294"/>
                                <w:spacing w:val="-4"/>
                                <w:sz w:val="24"/>
                                <w:szCs w:val="24"/>
                                <w:rtl/>
                              </w:rPr>
                              <w:t xml:space="preserve"> </w:t>
                            </w:r>
                            <w:r w:rsidRPr="00ED10E1">
                              <w:rPr>
                                <w:rFonts w:cs="Tahoma" w:hint="eastAsia"/>
                                <w:color w:val="0B5294"/>
                                <w:spacing w:val="-4"/>
                                <w:sz w:val="24"/>
                                <w:szCs w:val="24"/>
                                <w:rtl/>
                              </w:rPr>
                              <w:t>את</w:t>
                            </w:r>
                            <w:r w:rsidRPr="00ED10E1">
                              <w:rPr>
                                <w:rFonts w:cs="Tahoma"/>
                                <w:color w:val="0B5294"/>
                                <w:spacing w:val="-4"/>
                                <w:sz w:val="24"/>
                                <w:szCs w:val="24"/>
                                <w:rtl/>
                              </w:rPr>
                              <w:t xml:space="preserve"> </w:t>
                            </w:r>
                            <w:r w:rsidRPr="00ED10E1">
                              <w:rPr>
                                <w:rFonts w:cs="Tahoma" w:hint="eastAsia"/>
                                <w:color w:val="0B5294"/>
                                <w:spacing w:val="-4"/>
                                <w:sz w:val="24"/>
                                <w:szCs w:val="24"/>
                                <w:rtl/>
                              </w:rPr>
                              <w:t>נושא</w:t>
                            </w:r>
                            <w:r w:rsidRPr="00ED10E1">
                              <w:rPr>
                                <w:rFonts w:cs="Tahoma"/>
                                <w:color w:val="0B5294"/>
                                <w:spacing w:val="-4"/>
                                <w:sz w:val="24"/>
                                <w:szCs w:val="24"/>
                                <w:rtl/>
                              </w:rPr>
                              <w:t xml:space="preserve"> </w:t>
                            </w:r>
                            <w:r w:rsidRPr="00ED10E1">
                              <w:rPr>
                                <w:rFonts w:cs="Tahoma" w:hint="eastAsia"/>
                                <w:color w:val="0B5294"/>
                                <w:spacing w:val="-4"/>
                                <w:sz w:val="24"/>
                                <w:szCs w:val="24"/>
                                <w:rtl/>
                              </w:rPr>
                              <w:t>הקבורה</w:t>
                            </w:r>
                            <w:r w:rsidRPr="00ED10E1">
                              <w:rPr>
                                <w:rFonts w:cs="Tahoma"/>
                                <w:color w:val="0B5294"/>
                                <w:spacing w:val="-4"/>
                                <w:sz w:val="24"/>
                                <w:szCs w:val="24"/>
                                <w:rtl/>
                              </w:rPr>
                              <w:t xml:space="preserve"> </w:t>
                            </w:r>
                            <w:r w:rsidRPr="00ED10E1">
                              <w:rPr>
                                <w:rFonts w:cs="Tahoma" w:hint="eastAsia"/>
                                <w:color w:val="0B5294"/>
                                <w:spacing w:val="-4"/>
                                <w:sz w:val="24"/>
                                <w:szCs w:val="24"/>
                                <w:rtl/>
                              </w:rPr>
                              <w:t>האזרחית</w:t>
                            </w:r>
                            <w:r w:rsidRPr="00ED10E1">
                              <w:rPr>
                                <w:rFonts w:cs="Tahoma"/>
                                <w:color w:val="0B5294"/>
                                <w:spacing w:val="-4"/>
                                <w:sz w:val="24"/>
                                <w:szCs w:val="24"/>
                                <w:rtl/>
                              </w:rPr>
                              <w:t xml:space="preserve"> </w:t>
                            </w:r>
                            <w:r w:rsidRPr="00ED10E1">
                              <w:rPr>
                                <w:rFonts w:cs="Tahoma" w:hint="eastAsia"/>
                                <w:color w:val="0B5294"/>
                                <w:spacing w:val="-4"/>
                                <w:sz w:val="24"/>
                                <w:szCs w:val="24"/>
                                <w:rtl/>
                              </w:rPr>
                              <w:t>בראש</w:t>
                            </w:r>
                            <w:r w:rsidRPr="00ED10E1">
                              <w:rPr>
                                <w:rFonts w:cs="Tahoma"/>
                                <w:color w:val="0B5294"/>
                                <w:spacing w:val="-4"/>
                                <w:sz w:val="24"/>
                                <w:szCs w:val="24"/>
                                <w:rtl/>
                              </w:rPr>
                              <w:t xml:space="preserve"> </w:t>
                            </w:r>
                            <w:r w:rsidRPr="00ED10E1">
                              <w:rPr>
                                <w:rFonts w:cs="Tahoma" w:hint="eastAsia"/>
                                <w:color w:val="0B5294"/>
                                <w:spacing w:val="-4"/>
                                <w:sz w:val="24"/>
                                <w:szCs w:val="24"/>
                                <w:rtl/>
                              </w:rPr>
                              <w:t>סדר</w:t>
                            </w:r>
                            <w:r w:rsidRPr="00ED10E1">
                              <w:rPr>
                                <w:rFonts w:cs="Tahoma"/>
                                <w:color w:val="0B5294"/>
                                <w:spacing w:val="-4"/>
                                <w:sz w:val="24"/>
                                <w:szCs w:val="24"/>
                                <w:rtl/>
                              </w:rPr>
                              <w:t xml:space="preserve"> </w:t>
                            </w:r>
                            <w:r w:rsidRPr="00ED10E1">
                              <w:rPr>
                                <w:rFonts w:cs="Tahoma" w:hint="eastAsia"/>
                                <w:color w:val="0B5294"/>
                                <w:spacing w:val="-4"/>
                                <w:sz w:val="24"/>
                                <w:szCs w:val="24"/>
                                <w:rtl/>
                              </w:rPr>
                              <w:t>העדיפויות</w:t>
                            </w:r>
                            <w:r w:rsidRPr="00ED10E1">
                              <w:rPr>
                                <w:rFonts w:cs="Tahoma"/>
                                <w:color w:val="0B5294"/>
                                <w:spacing w:val="-4"/>
                                <w:sz w:val="24"/>
                                <w:szCs w:val="24"/>
                                <w:rtl/>
                              </w:rPr>
                              <w:t xml:space="preserve"> </w:t>
                            </w:r>
                            <w:r w:rsidRPr="00ED10E1">
                              <w:rPr>
                                <w:rFonts w:cs="Tahoma" w:hint="eastAsia"/>
                                <w:color w:val="0B5294"/>
                                <w:spacing w:val="-4"/>
                                <w:sz w:val="24"/>
                                <w:szCs w:val="24"/>
                                <w:rtl/>
                              </w:rPr>
                              <w:t>שלו</w:t>
                            </w:r>
                            <w:r w:rsidRPr="00ED10E1">
                              <w:rPr>
                                <w:rFonts w:cs="Tahoma"/>
                                <w:color w:val="0B5294"/>
                                <w:spacing w:val="-4"/>
                                <w:sz w:val="24"/>
                                <w:szCs w:val="24"/>
                                <w:rtl/>
                              </w:rPr>
                              <w:t xml:space="preserve"> </w:t>
                            </w:r>
                            <w:r w:rsidRPr="00ED10E1">
                              <w:rPr>
                                <w:rFonts w:cs="Tahoma" w:hint="eastAsia"/>
                                <w:color w:val="0B5294"/>
                                <w:spacing w:val="-4"/>
                                <w:sz w:val="24"/>
                                <w:szCs w:val="24"/>
                                <w:rtl/>
                              </w:rPr>
                              <w:t>במשך</w:t>
                            </w:r>
                            <w:r w:rsidRPr="00ED10E1">
                              <w:rPr>
                                <w:rFonts w:cs="Tahoma"/>
                                <w:color w:val="0B5294"/>
                                <w:spacing w:val="-4"/>
                                <w:sz w:val="24"/>
                                <w:szCs w:val="24"/>
                                <w:rtl/>
                              </w:rPr>
                              <w:t xml:space="preserve"> </w:t>
                            </w:r>
                            <w:r w:rsidRPr="00ED10E1">
                              <w:rPr>
                                <w:rFonts w:cs="Tahoma" w:hint="eastAsia"/>
                                <w:color w:val="0B5294"/>
                                <w:spacing w:val="-4"/>
                                <w:sz w:val="24"/>
                                <w:szCs w:val="24"/>
                                <w:rtl/>
                              </w:rPr>
                              <w:t>השנים</w:t>
                            </w:r>
                          </w:p>
                          <w:p w:rsidR="00ED10E1" w:rsidRPr="00373C5D" w:rsidP="00ED10E1">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568870619"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258184" name="lin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27"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53120" filled="f" stroked="f">
                <v:textbox>
                  <w:txbxContent>
                    <w:p w:rsidR="00ED10E1" w:rsidRPr="00373C5D" w:rsidP="00ED10E1">
                      <w:pPr>
                        <w:spacing w:line="240" w:lineRule="atLeast"/>
                        <w:rPr>
                          <w:rFonts w:cs="Tahoma"/>
                          <w:b/>
                          <w:bCs/>
                          <w:color w:val="0B5294"/>
                          <w:sz w:val="48"/>
                          <w:szCs w:val="48"/>
                          <w:rtl/>
                        </w:rPr>
                      </w:pPr>
                      <w:drawing>
                        <wp:inline distT="0" distB="0" distL="0" distR="0">
                          <wp:extent cx="311150" cy="256800"/>
                          <wp:effectExtent l="0" t="0" r="0" b="0"/>
                          <wp:docPr id="1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171673" name="QUT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ED10E1" w:rsidRPr="00881D99" w:rsidP="00ED10E1">
                      <w:pPr>
                        <w:spacing w:after="0" w:line="240" w:lineRule="auto"/>
                        <w:rPr>
                          <w:color w:val="0B5294"/>
                          <w:spacing w:val="-4"/>
                          <w:sz w:val="24"/>
                          <w:szCs w:val="24"/>
                          <w:rtl/>
                          <w:cs/>
                        </w:rPr>
                      </w:pPr>
                      <w:r w:rsidRPr="00ED10E1">
                        <w:rPr>
                          <w:rFonts w:cs="Tahoma" w:hint="eastAsia"/>
                          <w:color w:val="0B5294"/>
                          <w:spacing w:val="-4"/>
                          <w:sz w:val="24"/>
                          <w:szCs w:val="24"/>
                          <w:rtl/>
                        </w:rPr>
                        <w:t>השיהוי</w:t>
                      </w:r>
                      <w:r w:rsidRPr="00ED10E1">
                        <w:rPr>
                          <w:rFonts w:cs="Tahoma"/>
                          <w:color w:val="0B5294"/>
                          <w:spacing w:val="-4"/>
                          <w:sz w:val="24"/>
                          <w:szCs w:val="24"/>
                          <w:rtl/>
                        </w:rPr>
                        <w:t xml:space="preserve"> </w:t>
                      </w:r>
                      <w:r w:rsidRPr="00ED10E1">
                        <w:rPr>
                          <w:rFonts w:cs="Tahoma" w:hint="eastAsia"/>
                          <w:color w:val="0B5294"/>
                          <w:spacing w:val="-4"/>
                          <w:sz w:val="24"/>
                          <w:szCs w:val="24"/>
                          <w:rtl/>
                        </w:rPr>
                        <w:t>הניכר</w:t>
                      </w:r>
                      <w:r w:rsidRPr="00ED10E1">
                        <w:rPr>
                          <w:rFonts w:cs="Tahoma"/>
                          <w:color w:val="0B5294"/>
                          <w:spacing w:val="-4"/>
                          <w:sz w:val="24"/>
                          <w:szCs w:val="24"/>
                          <w:rtl/>
                        </w:rPr>
                        <w:t xml:space="preserve"> </w:t>
                      </w:r>
                      <w:r w:rsidRPr="00ED10E1">
                        <w:rPr>
                          <w:rFonts w:cs="Tahoma" w:hint="eastAsia"/>
                          <w:color w:val="0B5294"/>
                          <w:spacing w:val="-4"/>
                          <w:sz w:val="24"/>
                          <w:szCs w:val="24"/>
                          <w:rtl/>
                        </w:rPr>
                        <w:t>ביישום</w:t>
                      </w:r>
                      <w:r w:rsidRPr="00ED10E1">
                        <w:rPr>
                          <w:rFonts w:cs="Tahoma"/>
                          <w:color w:val="0B5294"/>
                          <w:spacing w:val="-4"/>
                          <w:sz w:val="24"/>
                          <w:szCs w:val="24"/>
                          <w:rtl/>
                        </w:rPr>
                        <w:t xml:space="preserve"> </w:t>
                      </w:r>
                      <w:r w:rsidRPr="00ED10E1">
                        <w:rPr>
                          <w:rFonts w:cs="Tahoma" w:hint="eastAsia"/>
                          <w:color w:val="0B5294"/>
                          <w:spacing w:val="-4"/>
                          <w:sz w:val="24"/>
                          <w:szCs w:val="24"/>
                          <w:rtl/>
                        </w:rPr>
                        <w:t>החלטת</w:t>
                      </w:r>
                      <w:r w:rsidRPr="00ED10E1">
                        <w:rPr>
                          <w:rFonts w:cs="Tahoma"/>
                          <w:color w:val="0B5294"/>
                          <w:spacing w:val="-4"/>
                          <w:sz w:val="24"/>
                          <w:szCs w:val="24"/>
                          <w:rtl/>
                        </w:rPr>
                        <w:t xml:space="preserve"> </w:t>
                      </w:r>
                      <w:r w:rsidRPr="00ED10E1">
                        <w:rPr>
                          <w:rFonts w:cs="Tahoma" w:hint="eastAsia"/>
                          <w:color w:val="0B5294"/>
                          <w:spacing w:val="-4"/>
                          <w:sz w:val="24"/>
                          <w:szCs w:val="24"/>
                          <w:rtl/>
                        </w:rPr>
                        <w:t>הממשלה</w:t>
                      </w:r>
                      <w:r w:rsidRPr="00ED10E1">
                        <w:rPr>
                          <w:rFonts w:cs="Tahoma"/>
                          <w:color w:val="0B5294"/>
                          <w:spacing w:val="-4"/>
                          <w:sz w:val="24"/>
                          <w:szCs w:val="24"/>
                          <w:rtl/>
                        </w:rPr>
                        <w:t xml:space="preserve"> </w:t>
                      </w:r>
                      <w:r w:rsidRPr="00ED10E1">
                        <w:rPr>
                          <w:rFonts w:cs="Tahoma" w:hint="eastAsia"/>
                          <w:color w:val="0B5294"/>
                          <w:spacing w:val="-4"/>
                          <w:sz w:val="24"/>
                          <w:szCs w:val="24"/>
                          <w:rtl/>
                        </w:rPr>
                        <w:t>מפברואר</w:t>
                      </w:r>
                      <w:r w:rsidRPr="00ED10E1">
                        <w:rPr>
                          <w:rFonts w:cs="Tahoma"/>
                          <w:color w:val="0B5294"/>
                          <w:spacing w:val="-4"/>
                          <w:sz w:val="24"/>
                          <w:szCs w:val="24"/>
                          <w:rtl/>
                        </w:rPr>
                        <w:t xml:space="preserve"> 2000 </w:t>
                      </w:r>
                      <w:r w:rsidRPr="00ED10E1">
                        <w:rPr>
                          <w:rFonts w:cs="Tahoma" w:hint="eastAsia"/>
                          <w:color w:val="0B5294"/>
                          <w:spacing w:val="-4"/>
                          <w:sz w:val="24"/>
                          <w:szCs w:val="24"/>
                          <w:rtl/>
                        </w:rPr>
                        <w:t>מעורר</w:t>
                      </w:r>
                      <w:r w:rsidRPr="00ED10E1">
                        <w:rPr>
                          <w:rFonts w:cs="Tahoma"/>
                          <w:color w:val="0B5294"/>
                          <w:spacing w:val="-4"/>
                          <w:sz w:val="24"/>
                          <w:szCs w:val="24"/>
                          <w:rtl/>
                        </w:rPr>
                        <w:t xml:space="preserve"> </w:t>
                      </w:r>
                      <w:r w:rsidRPr="00ED10E1">
                        <w:rPr>
                          <w:rFonts w:cs="Tahoma" w:hint="eastAsia"/>
                          <w:color w:val="0B5294"/>
                          <w:spacing w:val="-4"/>
                          <w:sz w:val="24"/>
                          <w:szCs w:val="24"/>
                          <w:rtl/>
                        </w:rPr>
                        <w:t>חשש</w:t>
                      </w:r>
                      <w:r w:rsidRPr="00ED10E1">
                        <w:rPr>
                          <w:rFonts w:cs="Tahoma"/>
                          <w:color w:val="0B5294"/>
                          <w:spacing w:val="-4"/>
                          <w:sz w:val="24"/>
                          <w:szCs w:val="24"/>
                          <w:rtl/>
                        </w:rPr>
                        <w:t xml:space="preserve"> </w:t>
                      </w:r>
                      <w:r w:rsidRPr="00ED10E1">
                        <w:rPr>
                          <w:rFonts w:cs="Tahoma" w:hint="eastAsia"/>
                          <w:color w:val="0B5294"/>
                          <w:spacing w:val="-4"/>
                          <w:sz w:val="24"/>
                          <w:szCs w:val="24"/>
                          <w:rtl/>
                        </w:rPr>
                        <w:t>כי</w:t>
                      </w:r>
                      <w:r w:rsidRPr="00ED10E1">
                        <w:rPr>
                          <w:rFonts w:cs="Tahoma"/>
                          <w:color w:val="0B5294"/>
                          <w:spacing w:val="-4"/>
                          <w:sz w:val="24"/>
                          <w:szCs w:val="24"/>
                          <w:rtl/>
                        </w:rPr>
                        <w:t xml:space="preserve"> </w:t>
                      </w:r>
                      <w:r w:rsidRPr="00ED10E1">
                        <w:rPr>
                          <w:rFonts w:cs="Tahoma" w:hint="eastAsia"/>
                          <w:color w:val="0B5294"/>
                          <w:spacing w:val="-4"/>
                          <w:sz w:val="24"/>
                          <w:szCs w:val="24"/>
                          <w:rtl/>
                        </w:rPr>
                        <w:t>המשרד</w:t>
                      </w:r>
                      <w:r w:rsidRPr="00ED10E1">
                        <w:rPr>
                          <w:rFonts w:cs="Tahoma"/>
                          <w:color w:val="0B5294"/>
                          <w:spacing w:val="-4"/>
                          <w:sz w:val="24"/>
                          <w:szCs w:val="24"/>
                          <w:rtl/>
                        </w:rPr>
                        <w:t xml:space="preserve"> </w:t>
                      </w:r>
                      <w:r w:rsidRPr="00ED10E1">
                        <w:rPr>
                          <w:rFonts w:cs="Tahoma" w:hint="eastAsia"/>
                          <w:color w:val="0B5294"/>
                          <w:spacing w:val="-4"/>
                          <w:sz w:val="24"/>
                          <w:szCs w:val="24"/>
                          <w:rtl/>
                        </w:rPr>
                        <w:t>אינו</w:t>
                      </w:r>
                      <w:r w:rsidRPr="00ED10E1">
                        <w:rPr>
                          <w:rFonts w:cs="Tahoma"/>
                          <w:color w:val="0B5294"/>
                          <w:spacing w:val="-4"/>
                          <w:sz w:val="24"/>
                          <w:szCs w:val="24"/>
                          <w:rtl/>
                        </w:rPr>
                        <w:t xml:space="preserve"> </w:t>
                      </w:r>
                      <w:r w:rsidRPr="00ED10E1">
                        <w:rPr>
                          <w:rFonts w:cs="Tahoma" w:hint="eastAsia"/>
                          <w:color w:val="0B5294"/>
                          <w:spacing w:val="-4"/>
                          <w:sz w:val="24"/>
                          <w:szCs w:val="24"/>
                          <w:rtl/>
                        </w:rPr>
                        <w:t>מציב</w:t>
                      </w:r>
                      <w:r w:rsidRPr="00ED10E1">
                        <w:rPr>
                          <w:rFonts w:cs="Tahoma"/>
                          <w:color w:val="0B5294"/>
                          <w:spacing w:val="-4"/>
                          <w:sz w:val="24"/>
                          <w:szCs w:val="24"/>
                          <w:rtl/>
                        </w:rPr>
                        <w:t xml:space="preserve"> </w:t>
                      </w:r>
                      <w:r w:rsidRPr="00ED10E1">
                        <w:rPr>
                          <w:rFonts w:cs="Tahoma" w:hint="eastAsia"/>
                          <w:color w:val="0B5294"/>
                          <w:spacing w:val="-4"/>
                          <w:sz w:val="24"/>
                          <w:szCs w:val="24"/>
                          <w:rtl/>
                        </w:rPr>
                        <w:t>את</w:t>
                      </w:r>
                      <w:r w:rsidRPr="00ED10E1">
                        <w:rPr>
                          <w:rFonts w:cs="Tahoma"/>
                          <w:color w:val="0B5294"/>
                          <w:spacing w:val="-4"/>
                          <w:sz w:val="24"/>
                          <w:szCs w:val="24"/>
                          <w:rtl/>
                        </w:rPr>
                        <w:t xml:space="preserve"> </w:t>
                      </w:r>
                      <w:r w:rsidRPr="00ED10E1">
                        <w:rPr>
                          <w:rFonts w:cs="Tahoma" w:hint="eastAsia"/>
                          <w:color w:val="0B5294"/>
                          <w:spacing w:val="-4"/>
                          <w:sz w:val="24"/>
                          <w:szCs w:val="24"/>
                          <w:rtl/>
                        </w:rPr>
                        <w:t>נושא</w:t>
                      </w:r>
                      <w:r w:rsidRPr="00ED10E1">
                        <w:rPr>
                          <w:rFonts w:cs="Tahoma"/>
                          <w:color w:val="0B5294"/>
                          <w:spacing w:val="-4"/>
                          <w:sz w:val="24"/>
                          <w:szCs w:val="24"/>
                          <w:rtl/>
                        </w:rPr>
                        <w:t xml:space="preserve"> </w:t>
                      </w:r>
                      <w:r w:rsidRPr="00ED10E1">
                        <w:rPr>
                          <w:rFonts w:cs="Tahoma" w:hint="eastAsia"/>
                          <w:color w:val="0B5294"/>
                          <w:spacing w:val="-4"/>
                          <w:sz w:val="24"/>
                          <w:szCs w:val="24"/>
                          <w:rtl/>
                        </w:rPr>
                        <w:t>הקבורה</w:t>
                      </w:r>
                      <w:r w:rsidRPr="00ED10E1">
                        <w:rPr>
                          <w:rFonts w:cs="Tahoma"/>
                          <w:color w:val="0B5294"/>
                          <w:spacing w:val="-4"/>
                          <w:sz w:val="24"/>
                          <w:szCs w:val="24"/>
                          <w:rtl/>
                        </w:rPr>
                        <w:t xml:space="preserve"> </w:t>
                      </w:r>
                      <w:r w:rsidRPr="00ED10E1">
                        <w:rPr>
                          <w:rFonts w:cs="Tahoma" w:hint="eastAsia"/>
                          <w:color w:val="0B5294"/>
                          <w:spacing w:val="-4"/>
                          <w:sz w:val="24"/>
                          <w:szCs w:val="24"/>
                          <w:rtl/>
                        </w:rPr>
                        <w:t>האזרחית</w:t>
                      </w:r>
                      <w:r w:rsidRPr="00ED10E1">
                        <w:rPr>
                          <w:rFonts w:cs="Tahoma"/>
                          <w:color w:val="0B5294"/>
                          <w:spacing w:val="-4"/>
                          <w:sz w:val="24"/>
                          <w:szCs w:val="24"/>
                          <w:rtl/>
                        </w:rPr>
                        <w:t xml:space="preserve"> </w:t>
                      </w:r>
                      <w:r w:rsidRPr="00ED10E1">
                        <w:rPr>
                          <w:rFonts w:cs="Tahoma" w:hint="eastAsia"/>
                          <w:color w:val="0B5294"/>
                          <w:spacing w:val="-4"/>
                          <w:sz w:val="24"/>
                          <w:szCs w:val="24"/>
                          <w:rtl/>
                        </w:rPr>
                        <w:t>בראש</w:t>
                      </w:r>
                      <w:r w:rsidRPr="00ED10E1">
                        <w:rPr>
                          <w:rFonts w:cs="Tahoma"/>
                          <w:color w:val="0B5294"/>
                          <w:spacing w:val="-4"/>
                          <w:sz w:val="24"/>
                          <w:szCs w:val="24"/>
                          <w:rtl/>
                        </w:rPr>
                        <w:t xml:space="preserve"> </w:t>
                      </w:r>
                      <w:r w:rsidRPr="00ED10E1">
                        <w:rPr>
                          <w:rFonts w:cs="Tahoma" w:hint="eastAsia"/>
                          <w:color w:val="0B5294"/>
                          <w:spacing w:val="-4"/>
                          <w:sz w:val="24"/>
                          <w:szCs w:val="24"/>
                          <w:rtl/>
                        </w:rPr>
                        <w:t>סדר</w:t>
                      </w:r>
                      <w:r w:rsidRPr="00ED10E1">
                        <w:rPr>
                          <w:rFonts w:cs="Tahoma"/>
                          <w:color w:val="0B5294"/>
                          <w:spacing w:val="-4"/>
                          <w:sz w:val="24"/>
                          <w:szCs w:val="24"/>
                          <w:rtl/>
                        </w:rPr>
                        <w:t xml:space="preserve"> </w:t>
                      </w:r>
                      <w:r w:rsidRPr="00ED10E1">
                        <w:rPr>
                          <w:rFonts w:cs="Tahoma" w:hint="eastAsia"/>
                          <w:color w:val="0B5294"/>
                          <w:spacing w:val="-4"/>
                          <w:sz w:val="24"/>
                          <w:szCs w:val="24"/>
                          <w:rtl/>
                        </w:rPr>
                        <w:t>העדיפויות</w:t>
                      </w:r>
                      <w:r w:rsidRPr="00ED10E1">
                        <w:rPr>
                          <w:rFonts w:cs="Tahoma"/>
                          <w:color w:val="0B5294"/>
                          <w:spacing w:val="-4"/>
                          <w:sz w:val="24"/>
                          <w:szCs w:val="24"/>
                          <w:rtl/>
                        </w:rPr>
                        <w:t xml:space="preserve"> </w:t>
                      </w:r>
                      <w:r w:rsidRPr="00ED10E1">
                        <w:rPr>
                          <w:rFonts w:cs="Tahoma" w:hint="eastAsia"/>
                          <w:color w:val="0B5294"/>
                          <w:spacing w:val="-4"/>
                          <w:sz w:val="24"/>
                          <w:szCs w:val="24"/>
                          <w:rtl/>
                        </w:rPr>
                        <w:t>שלו</w:t>
                      </w:r>
                      <w:r w:rsidRPr="00ED10E1">
                        <w:rPr>
                          <w:rFonts w:cs="Tahoma"/>
                          <w:color w:val="0B5294"/>
                          <w:spacing w:val="-4"/>
                          <w:sz w:val="24"/>
                          <w:szCs w:val="24"/>
                          <w:rtl/>
                        </w:rPr>
                        <w:t xml:space="preserve"> </w:t>
                      </w:r>
                      <w:r w:rsidRPr="00ED10E1">
                        <w:rPr>
                          <w:rFonts w:cs="Tahoma" w:hint="eastAsia"/>
                          <w:color w:val="0B5294"/>
                          <w:spacing w:val="-4"/>
                          <w:sz w:val="24"/>
                          <w:szCs w:val="24"/>
                          <w:rtl/>
                        </w:rPr>
                        <w:t>במשך</w:t>
                      </w:r>
                      <w:r w:rsidRPr="00ED10E1">
                        <w:rPr>
                          <w:rFonts w:cs="Tahoma"/>
                          <w:color w:val="0B5294"/>
                          <w:spacing w:val="-4"/>
                          <w:sz w:val="24"/>
                          <w:szCs w:val="24"/>
                          <w:rtl/>
                        </w:rPr>
                        <w:t xml:space="preserve"> </w:t>
                      </w:r>
                      <w:r w:rsidRPr="00ED10E1">
                        <w:rPr>
                          <w:rFonts w:cs="Tahoma" w:hint="eastAsia"/>
                          <w:color w:val="0B5294"/>
                          <w:spacing w:val="-4"/>
                          <w:sz w:val="24"/>
                          <w:szCs w:val="24"/>
                          <w:rtl/>
                        </w:rPr>
                        <w:t>השנים</w:t>
                      </w:r>
                    </w:p>
                    <w:p w:rsidR="00ED10E1" w:rsidRPr="00373C5D" w:rsidP="00ED10E1">
                      <w:pPr>
                        <w:spacing w:before="120" w:after="0" w:line="240" w:lineRule="atLeast"/>
                        <w:rPr>
                          <w:rFonts w:cs="Tahoma"/>
                          <w:b/>
                          <w:bCs/>
                          <w:color w:val="0B5294"/>
                          <w:sz w:val="48"/>
                          <w:szCs w:val="48"/>
                          <w:rtl/>
                        </w:rPr>
                      </w:pPr>
                      <w:drawing>
                        <wp:inline distT="0" distB="0" distL="0" distR="0">
                          <wp:extent cx="288000" cy="31337"/>
                          <wp:effectExtent l="0" t="0" r="0" b="6985"/>
                          <wp:docPr id="1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053764" name="line.png"/>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EF45C8" w:rsidRPr="00E556CD" w:rsidP="00E556CD">
      <w:pPr>
        <w:spacing w:line="240" w:lineRule="exact"/>
        <w:ind w:right="2268"/>
        <w:jc w:val="both"/>
        <w:rPr>
          <w:rFonts w:ascii="Tahoma" w:hAnsi="Tahoma" w:cs="Tahoma"/>
          <w:b/>
          <w:bCs/>
          <w:sz w:val="17"/>
          <w:szCs w:val="17"/>
          <w:rtl/>
        </w:rPr>
      </w:pPr>
    </w:p>
    <w:p w:rsidR="00EF45C8" w:rsidRPr="00897F3D" w:rsidP="006B7001">
      <w:pPr>
        <w:pStyle w:val="KOT5"/>
        <w:rPr>
          <w:rtl/>
        </w:rPr>
      </w:pPr>
      <w:r w:rsidRPr="00897F3D">
        <w:rPr>
          <w:rFonts w:hint="cs"/>
          <w:rtl/>
        </w:rPr>
        <w:t xml:space="preserve">היבטים בקבורה </w:t>
      </w:r>
      <w:r>
        <w:rPr>
          <w:rFonts w:hint="cs"/>
          <w:rtl/>
        </w:rPr>
        <w:t>ה</w:t>
      </w:r>
      <w:r w:rsidRPr="00897F3D">
        <w:rPr>
          <w:rFonts w:hint="cs"/>
          <w:rtl/>
        </w:rPr>
        <w:t>דתית ו</w:t>
      </w:r>
      <w:r>
        <w:rPr>
          <w:rFonts w:hint="cs"/>
          <w:rtl/>
        </w:rPr>
        <w:t>ה</w:t>
      </w:r>
      <w:r w:rsidRPr="00897F3D">
        <w:rPr>
          <w:rFonts w:hint="cs"/>
          <w:rtl/>
        </w:rPr>
        <w:t>אזרחית במגזר הלא יהודי</w:t>
      </w:r>
    </w:p>
    <w:p w:rsidR="00EF45C8" w:rsidRPr="00E556CD" w:rsidP="00E556CD">
      <w:pPr>
        <w:spacing w:line="240" w:lineRule="exact"/>
        <w:ind w:right="2268"/>
        <w:jc w:val="both"/>
        <w:rPr>
          <w:rFonts w:ascii="Tahoma" w:hAnsi="Tahoma" w:cs="Tahoma"/>
          <w:sz w:val="17"/>
          <w:szCs w:val="17"/>
          <w:rtl/>
        </w:rPr>
      </w:pPr>
      <w:r w:rsidRPr="00E556CD">
        <w:rPr>
          <w:rFonts w:ascii="Tahoma" w:hAnsi="Tahoma" w:cs="Tahoma" w:hint="cs"/>
          <w:sz w:val="17"/>
          <w:szCs w:val="17"/>
          <w:rtl/>
        </w:rPr>
        <w:t>עד תחילת שנת 2004 טיפל המשרד לענייני דתות במתן שירותי דת לכל הדתות; עם סגירתו של המשרד, סמכויותיו הועברו ל"רשות הארצית לשירותי דת" שהוכפפה למשרד ראש הממשלה. בינואר 2008 הוקם המשרד לשירותי דת, והוא הופקד על מתן שירותי דת לציבור היהודי בלבד, ואילו משרד הפנים הופקד על מתן שירותי דת לאוכלוסייה שאינה יהודית, ובכלל זה על קבורת בני עדות ודתות שאינם יהודים. אגף עדות דתיות במשרד זה אחראי לטיפול בנושאים האמורים.</w:t>
      </w:r>
    </w:p>
    <w:p w:rsidR="00EF45C8" w:rsidRPr="00E556CD" w:rsidP="00E556CD">
      <w:pPr>
        <w:spacing w:line="240" w:lineRule="exact"/>
        <w:ind w:right="2268"/>
        <w:jc w:val="both"/>
        <w:rPr>
          <w:rFonts w:ascii="Tahoma" w:hAnsi="Tahoma" w:cs="Tahoma"/>
          <w:sz w:val="17"/>
          <w:szCs w:val="17"/>
          <w:rtl/>
        </w:rPr>
      </w:pPr>
      <w:r w:rsidRPr="00E556CD">
        <w:rPr>
          <w:rFonts w:ascii="Tahoma" w:hAnsi="Tahoma" w:cs="Tahoma" w:hint="cs"/>
          <w:sz w:val="17"/>
          <w:szCs w:val="17"/>
          <w:rtl/>
        </w:rPr>
        <w:t>חוק שירותי הדת מסדיר כאמור את שירותי הקבורה הדתית למגזר היהודי, ולעומת זאת שירותי הקבורה הדתית לדתות ועדות לא יהודיות אינם מעוגנים בחוק, ולכן לא נקבעו תקנות בנושא זה. נושא הקבורה במגזר הלא יהודי נכלל בהחלטת ממשלה 3993 מאוגוסט 2008 שנושאה "הסדרת מערך הקבורה". בהחלטה האמורה נקבע, בין היתר, כי על מנכ"ל משרד הפנים לקדם, בתיאום עם הממונה על התקציבים, תכנית לפיתוח בתי עלמין במגזר הלא יהודי לשנים 2009 ו-2010.</w:t>
      </w:r>
    </w:p>
    <w:p w:rsidR="00EF45C8" w:rsidRPr="00E556CD" w:rsidP="005F3BD7">
      <w:pPr>
        <w:spacing w:after="240" w:line="240" w:lineRule="exact"/>
        <w:ind w:right="2268"/>
        <w:jc w:val="both"/>
        <w:rPr>
          <w:rFonts w:ascii="Tahoma" w:hAnsi="Tahoma" w:cs="Tahoma"/>
          <w:sz w:val="17"/>
          <w:szCs w:val="17"/>
          <w:rtl/>
        </w:rPr>
      </w:pPr>
      <w:r w:rsidRPr="00E556CD">
        <w:rPr>
          <w:rFonts w:ascii="Tahoma" w:hAnsi="Tahoma" w:cs="Tahoma" w:hint="cs"/>
          <w:sz w:val="17"/>
          <w:szCs w:val="17"/>
          <w:rtl/>
        </w:rPr>
        <w:t>כאמור, חוק הקבורה האזרחית מעגן את זכאותם של כל תושבי ישראל, ובכלל זה בני המגזר הלא יהודי, להיקבר על פי השקפתם בבית עלמין אזרחי חלופי אם בחרו בכך.</w:t>
      </w:r>
    </w:p>
    <w:p w:rsidR="00EF45C8" w:rsidRPr="00E556CD" w:rsidP="005F3BD7">
      <w:pPr>
        <w:pStyle w:val="RESHET"/>
      </w:pPr>
      <w:r w:rsidRPr="00E556CD">
        <w:rPr>
          <w:rFonts w:hint="cs"/>
          <w:rtl/>
        </w:rPr>
        <w:t>בביקורת עלה</w:t>
      </w:r>
      <w:r w:rsidRPr="00E556CD">
        <w:rPr>
          <w:rtl/>
        </w:rPr>
        <w:t xml:space="preserve"> כי </w:t>
      </w:r>
      <w:r w:rsidRPr="00E556CD">
        <w:rPr>
          <w:rFonts w:hint="cs"/>
          <w:rtl/>
        </w:rPr>
        <w:t>הנתון שצוין במסמך</w:t>
      </w:r>
      <w:r w:rsidRPr="00E556CD">
        <w:rPr>
          <w:rtl/>
        </w:rPr>
        <w:t xml:space="preserve"> הצוות </w:t>
      </w:r>
      <w:r w:rsidRPr="00E556CD">
        <w:rPr>
          <w:rFonts w:hint="cs"/>
          <w:rtl/>
        </w:rPr>
        <w:t>הבין-משרדי</w:t>
      </w:r>
      <w:r w:rsidRPr="00E556CD">
        <w:rPr>
          <w:rtl/>
        </w:rPr>
        <w:t xml:space="preserve"> </w:t>
      </w:r>
      <w:r w:rsidRPr="00E556CD">
        <w:rPr>
          <w:rFonts w:hint="cs"/>
          <w:rtl/>
        </w:rPr>
        <w:t>מינואר</w:t>
      </w:r>
      <w:r w:rsidRPr="00E556CD">
        <w:rPr>
          <w:rtl/>
        </w:rPr>
        <w:t xml:space="preserve"> 2016, </w:t>
      </w:r>
      <w:r w:rsidRPr="00E556CD">
        <w:rPr>
          <w:rFonts w:hint="cs"/>
          <w:rtl/>
        </w:rPr>
        <w:t>ולפיו הביקוש למקומות לקבורה אזרחית נאמד בכ-10%, התבסס</w:t>
      </w:r>
      <w:r w:rsidRPr="00E556CD">
        <w:rPr>
          <w:rtl/>
        </w:rPr>
        <w:t xml:space="preserve"> </w:t>
      </w:r>
      <w:r w:rsidRPr="00E556CD">
        <w:rPr>
          <w:rFonts w:hint="cs"/>
          <w:rtl/>
        </w:rPr>
        <w:t>על</w:t>
      </w:r>
      <w:r w:rsidRPr="00E556CD">
        <w:rPr>
          <w:rtl/>
        </w:rPr>
        <w:t xml:space="preserve"> </w:t>
      </w:r>
      <w:r w:rsidRPr="00E556CD">
        <w:rPr>
          <w:rFonts w:hint="cs"/>
          <w:rtl/>
        </w:rPr>
        <w:t>תרחיש ש</w:t>
      </w:r>
      <w:r w:rsidRPr="00E556CD">
        <w:rPr>
          <w:rtl/>
        </w:rPr>
        <w:t xml:space="preserve">כלל </w:t>
      </w:r>
      <w:r w:rsidRPr="00E556CD">
        <w:rPr>
          <w:rFonts w:hint="cs"/>
          <w:rtl/>
        </w:rPr>
        <w:t>רק</w:t>
      </w:r>
      <w:r w:rsidRPr="00E556CD">
        <w:rPr>
          <w:rtl/>
        </w:rPr>
        <w:t xml:space="preserve"> נפטרים יהודים, חסרי דת ונוצרים שאינם ערבים; מכאן </w:t>
      </w:r>
      <w:r w:rsidRPr="00E556CD">
        <w:rPr>
          <w:rFonts w:hint="cs"/>
          <w:rtl/>
        </w:rPr>
        <w:t>שהתרחיש</w:t>
      </w:r>
      <w:r w:rsidRPr="00E556CD">
        <w:rPr>
          <w:rtl/>
        </w:rPr>
        <w:t xml:space="preserve"> </w:t>
      </w:r>
      <w:r w:rsidRPr="00E556CD">
        <w:rPr>
          <w:rFonts w:hint="cs"/>
          <w:rtl/>
        </w:rPr>
        <w:t>לא</w:t>
      </w:r>
      <w:r w:rsidRPr="00E556CD">
        <w:rPr>
          <w:rtl/>
        </w:rPr>
        <w:t xml:space="preserve"> </w:t>
      </w:r>
      <w:r w:rsidRPr="00E556CD">
        <w:rPr>
          <w:rFonts w:hint="cs"/>
          <w:rtl/>
        </w:rPr>
        <w:t>הביא בחשבון את הצפי האפשרי בדבר ביקוש של יתר בני העדות הלא יהודיות להיקבר בקבורה אזרחית.</w:t>
      </w:r>
      <w:r w:rsidRPr="00E556CD">
        <w:rPr>
          <w:rtl/>
        </w:rPr>
        <w:t xml:space="preserve"> </w:t>
      </w:r>
      <w:r w:rsidRPr="00E556CD">
        <w:rPr>
          <w:rFonts w:hint="cs"/>
          <w:rtl/>
        </w:rPr>
        <w:t>מדובר בציבור</w:t>
      </w:r>
      <w:r w:rsidRPr="00E556CD">
        <w:rPr>
          <w:rtl/>
        </w:rPr>
        <w:t xml:space="preserve"> </w:t>
      </w:r>
      <w:r w:rsidRPr="00E556CD">
        <w:rPr>
          <w:rFonts w:hint="cs"/>
          <w:rtl/>
        </w:rPr>
        <w:t>שהיקפו</w:t>
      </w:r>
      <w:r w:rsidRPr="00E556CD">
        <w:rPr>
          <w:rtl/>
        </w:rPr>
        <w:t xml:space="preserve"> </w:t>
      </w:r>
      <w:r w:rsidRPr="00E556CD">
        <w:rPr>
          <w:rFonts w:hint="cs"/>
          <w:rtl/>
        </w:rPr>
        <w:t>כ</w:t>
      </w:r>
      <w:r w:rsidRPr="00E556CD">
        <w:rPr>
          <w:rtl/>
        </w:rPr>
        <w:t xml:space="preserve">-20% </w:t>
      </w:r>
      <w:r w:rsidRPr="00E556CD">
        <w:rPr>
          <w:rFonts w:hint="cs"/>
          <w:rtl/>
        </w:rPr>
        <w:t>מכלל</w:t>
      </w:r>
      <w:r w:rsidRPr="00E556CD">
        <w:rPr>
          <w:rtl/>
        </w:rPr>
        <w:t xml:space="preserve"> </w:t>
      </w:r>
      <w:r w:rsidRPr="00E556CD">
        <w:rPr>
          <w:rFonts w:hint="cs"/>
          <w:rtl/>
        </w:rPr>
        <w:t>האוכלוסייה</w:t>
      </w:r>
      <w:r w:rsidRPr="00E556CD">
        <w:rPr>
          <w:rtl/>
        </w:rPr>
        <w:t xml:space="preserve"> </w:t>
      </w:r>
      <w:r w:rsidRPr="00E556CD">
        <w:rPr>
          <w:rFonts w:hint="cs"/>
          <w:rtl/>
        </w:rPr>
        <w:t>בישראל</w:t>
      </w:r>
      <w:r w:rsidRPr="00E556CD">
        <w:rPr>
          <w:rtl/>
        </w:rPr>
        <w:t xml:space="preserve">, </w:t>
      </w:r>
      <w:r w:rsidRPr="00E556CD">
        <w:rPr>
          <w:rFonts w:hint="cs"/>
          <w:rtl/>
        </w:rPr>
        <w:t>הכולל</w:t>
      </w:r>
      <w:r w:rsidRPr="00E556CD">
        <w:rPr>
          <w:rtl/>
        </w:rPr>
        <w:t xml:space="preserve"> </w:t>
      </w:r>
      <w:r w:rsidRPr="00E556CD">
        <w:rPr>
          <w:rFonts w:hint="cs"/>
          <w:rtl/>
        </w:rPr>
        <w:t>את</w:t>
      </w:r>
      <w:r w:rsidRPr="00E556CD">
        <w:rPr>
          <w:rtl/>
        </w:rPr>
        <w:t xml:space="preserve"> </w:t>
      </w:r>
      <w:r w:rsidRPr="00E556CD">
        <w:rPr>
          <w:rFonts w:hint="cs"/>
          <w:rtl/>
        </w:rPr>
        <w:t>תושבי</w:t>
      </w:r>
      <w:r w:rsidRPr="00E556CD">
        <w:rPr>
          <w:rtl/>
        </w:rPr>
        <w:t xml:space="preserve"> </w:t>
      </w:r>
      <w:r w:rsidRPr="00E556CD">
        <w:rPr>
          <w:rFonts w:hint="cs"/>
          <w:rtl/>
        </w:rPr>
        <w:t>המדינה</w:t>
      </w:r>
      <w:r w:rsidRPr="00E556CD">
        <w:rPr>
          <w:rtl/>
        </w:rPr>
        <w:t xml:space="preserve"> </w:t>
      </w:r>
      <w:r w:rsidRPr="00E556CD">
        <w:rPr>
          <w:rFonts w:hint="cs"/>
          <w:rtl/>
        </w:rPr>
        <w:t>הערבים</w:t>
      </w:r>
      <w:r w:rsidRPr="00E556CD">
        <w:rPr>
          <w:rtl/>
        </w:rPr>
        <w:t xml:space="preserve">, </w:t>
      </w:r>
      <w:r w:rsidRPr="00E556CD">
        <w:rPr>
          <w:rFonts w:hint="cs"/>
          <w:rtl/>
        </w:rPr>
        <w:t>ה</w:t>
      </w:r>
      <w:r w:rsidRPr="00E556CD">
        <w:rPr>
          <w:rtl/>
        </w:rPr>
        <w:t xml:space="preserve">דרוזים, </w:t>
      </w:r>
      <w:r w:rsidRPr="00E556CD">
        <w:rPr>
          <w:rFonts w:hint="cs"/>
          <w:rtl/>
        </w:rPr>
        <w:t>ה</w:t>
      </w:r>
      <w:r w:rsidRPr="00E556CD">
        <w:rPr>
          <w:rtl/>
        </w:rPr>
        <w:t>צ'רקסים</w:t>
      </w:r>
      <w:r w:rsidRPr="00E556CD">
        <w:rPr>
          <w:rtl/>
        </w:rPr>
        <w:t xml:space="preserve"> ועוד.</w:t>
      </w:r>
    </w:p>
    <w:p w:rsidR="00EF45C8" w:rsidRPr="00E556CD" w:rsidP="005F3BD7">
      <w:pPr>
        <w:pStyle w:val="RESHET"/>
        <w:rPr>
          <w:rtl/>
        </w:rPr>
      </w:pPr>
      <w:r w:rsidRPr="00E556CD">
        <w:rPr>
          <w:rtl/>
        </w:rPr>
        <w:t xml:space="preserve">על משרד הפנים ועל </w:t>
      </w:r>
      <w:r w:rsidRPr="00E556CD">
        <w:rPr>
          <w:rFonts w:hint="cs"/>
          <w:rtl/>
        </w:rPr>
        <w:t>המשרד</w:t>
      </w:r>
      <w:r w:rsidRPr="00E556CD">
        <w:rPr>
          <w:rtl/>
        </w:rPr>
        <w:t xml:space="preserve"> </w:t>
      </w:r>
      <w:r w:rsidRPr="00E556CD">
        <w:rPr>
          <w:rFonts w:hint="cs"/>
          <w:rtl/>
        </w:rPr>
        <w:t>לשירותי</w:t>
      </w:r>
      <w:r w:rsidRPr="00E556CD">
        <w:rPr>
          <w:rtl/>
        </w:rPr>
        <w:t xml:space="preserve"> </w:t>
      </w:r>
      <w:r w:rsidRPr="00E556CD">
        <w:rPr>
          <w:rFonts w:hint="cs"/>
          <w:rtl/>
        </w:rPr>
        <w:t>דת,</w:t>
      </w:r>
      <w:r w:rsidRPr="00E556CD">
        <w:rPr>
          <w:rtl/>
        </w:rPr>
        <w:t xml:space="preserve"> האחראי </w:t>
      </w:r>
      <w:r w:rsidRPr="00E556CD">
        <w:rPr>
          <w:rFonts w:hint="cs"/>
          <w:rtl/>
        </w:rPr>
        <w:t>ליישום</w:t>
      </w:r>
      <w:r w:rsidRPr="00E556CD">
        <w:rPr>
          <w:rtl/>
        </w:rPr>
        <w:t xml:space="preserve"> </w:t>
      </w:r>
      <w:r w:rsidRPr="00E556CD">
        <w:rPr>
          <w:rFonts w:hint="cs"/>
          <w:rtl/>
        </w:rPr>
        <w:t>החוק</w:t>
      </w:r>
      <w:r w:rsidRPr="00E556CD">
        <w:rPr>
          <w:rtl/>
        </w:rPr>
        <w:t xml:space="preserve">, </w:t>
      </w:r>
      <w:r w:rsidRPr="00E556CD">
        <w:rPr>
          <w:rFonts w:hint="cs"/>
          <w:rtl/>
        </w:rPr>
        <w:t>לאמוד</w:t>
      </w:r>
      <w:r w:rsidRPr="00E556CD">
        <w:rPr>
          <w:rtl/>
        </w:rPr>
        <w:t xml:space="preserve"> </w:t>
      </w:r>
      <w:r w:rsidRPr="00E556CD">
        <w:rPr>
          <w:rFonts w:hint="cs"/>
          <w:rtl/>
        </w:rPr>
        <w:t>גם את</w:t>
      </w:r>
      <w:r w:rsidRPr="00E556CD">
        <w:rPr>
          <w:rtl/>
        </w:rPr>
        <w:t xml:space="preserve"> </w:t>
      </w:r>
      <w:r w:rsidRPr="00E556CD">
        <w:rPr>
          <w:rFonts w:hint="cs"/>
          <w:rtl/>
        </w:rPr>
        <w:t>צורכי</w:t>
      </w:r>
      <w:r w:rsidRPr="00E556CD">
        <w:rPr>
          <w:rtl/>
        </w:rPr>
        <w:t xml:space="preserve"> </w:t>
      </w:r>
      <w:r w:rsidRPr="00E556CD">
        <w:rPr>
          <w:rFonts w:hint="cs"/>
          <w:rtl/>
        </w:rPr>
        <w:t xml:space="preserve">בני כל </w:t>
      </w:r>
      <w:r w:rsidRPr="00E556CD">
        <w:rPr>
          <w:rtl/>
        </w:rPr>
        <w:t>ה</w:t>
      </w:r>
      <w:r w:rsidRPr="00E556CD">
        <w:rPr>
          <w:rFonts w:hint="cs"/>
          <w:rtl/>
        </w:rPr>
        <w:t>עדות</w:t>
      </w:r>
      <w:r w:rsidRPr="00E556CD">
        <w:rPr>
          <w:rtl/>
        </w:rPr>
        <w:t xml:space="preserve"> </w:t>
      </w:r>
      <w:r w:rsidRPr="00E556CD">
        <w:rPr>
          <w:rFonts w:hint="cs"/>
          <w:rtl/>
        </w:rPr>
        <w:t xml:space="preserve">והדתות </w:t>
      </w:r>
      <w:r w:rsidRPr="00E556CD">
        <w:rPr>
          <w:rtl/>
        </w:rPr>
        <w:t>הלא יהודי</w:t>
      </w:r>
      <w:r w:rsidRPr="00E556CD">
        <w:rPr>
          <w:rFonts w:hint="cs"/>
          <w:rtl/>
        </w:rPr>
        <w:t>ות</w:t>
      </w:r>
      <w:r w:rsidRPr="00E556CD">
        <w:rPr>
          <w:rtl/>
        </w:rPr>
        <w:t xml:space="preserve"> ל</w:t>
      </w:r>
      <w:r w:rsidRPr="00E556CD">
        <w:rPr>
          <w:rFonts w:hint="cs"/>
          <w:rtl/>
        </w:rPr>
        <w:t>עניין ה</w:t>
      </w:r>
      <w:r w:rsidRPr="00E556CD">
        <w:rPr>
          <w:rtl/>
        </w:rPr>
        <w:t xml:space="preserve">קבורה </w:t>
      </w:r>
      <w:r w:rsidRPr="00E556CD">
        <w:rPr>
          <w:rFonts w:hint="cs"/>
          <w:rtl/>
        </w:rPr>
        <w:t>ה</w:t>
      </w:r>
      <w:r w:rsidRPr="00E556CD">
        <w:rPr>
          <w:rtl/>
        </w:rPr>
        <w:t xml:space="preserve">אזרחית, </w:t>
      </w:r>
      <w:r w:rsidRPr="00E556CD">
        <w:rPr>
          <w:rFonts w:hint="cs"/>
          <w:rtl/>
        </w:rPr>
        <w:t>ולפעול למילוי צרכים</w:t>
      </w:r>
      <w:r w:rsidRPr="00E556CD">
        <w:rPr>
          <w:rtl/>
        </w:rPr>
        <w:t xml:space="preserve"> אלה, בהתאם לאומדני הביקוש.</w:t>
      </w:r>
    </w:p>
    <w:p w:rsidR="00EF45C8" w:rsidRPr="00E556CD" w:rsidP="005F3BD7">
      <w:pPr>
        <w:spacing w:before="180" w:line="240" w:lineRule="exact"/>
        <w:ind w:right="2268"/>
        <w:jc w:val="both"/>
        <w:rPr>
          <w:rFonts w:ascii="Tahoma" w:hAnsi="Tahoma" w:cs="Tahoma"/>
          <w:sz w:val="17"/>
          <w:szCs w:val="17"/>
          <w:rtl/>
        </w:rPr>
      </w:pPr>
      <w:r w:rsidRPr="00E556CD">
        <w:rPr>
          <w:rFonts w:ascii="Tahoma" w:hAnsi="Tahoma" w:cs="Tahoma" w:hint="cs"/>
          <w:sz w:val="17"/>
          <w:szCs w:val="17"/>
          <w:rtl/>
        </w:rPr>
        <w:t>בתשובתו של המשרד לשירותי דת נמסר כי לא הועברו לו תקציבים וסמכויות לצורך הסדרת הקבורה האזרחית במגזר הלא יהודי.</w:t>
      </w:r>
    </w:p>
    <w:p w:rsidR="00EF45C8" w:rsidRPr="00E556CD" w:rsidP="00E556CD">
      <w:pPr>
        <w:spacing w:line="240" w:lineRule="exact"/>
        <w:ind w:right="2268"/>
        <w:jc w:val="both"/>
        <w:rPr>
          <w:rFonts w:ascii="Tahoma" w:hAnsi="Tahoma" w:cs="Tahoma"/>
          <w:sz w:val="17"/>
          <w:szCs w:val="17"/>
          <w:rtl/>
        </w:rPr>
      </w:pPr>
    </w:p>
    <w:p w:rsidR="00EF45C8" w:rsidRPr="00E556CD" w:rsidP="005F3BD7">
      <w:pPr>
        <w:spacing w:before="180" w:after="240" w:line="240" w:lineRule="exact"/>
        <w:ind w:right="2268"/>
        <w:jc w:val="both"/>
        <w:rPr>
          <w:rFonts w:ascii="Tahoma" w:hAnsi="Tahoma" w:cs="Tahoma"/>
          <w:sz w:val="17"/>
          <w:szCs w:val="17"/>
          <w:rtl/>
        </w:rPr>
      </w:pPr>
      <w:r w:rsidRPr="00E556CD">
        <w:rPr>
          <w:rFonts w:ascii="Tahoma" w:hAnsi="Tahoma" w:cs="Tahoma" w:hint="cs"/>
          <w:sz w:val="17"/>
          <w:szCs w:val="17"/>
          <w:rtl/>
        </w:rPr>
        <w:t>משרד הפנים השיב כי "לא הייתה (ועדיין אין) הסדרה חוקית של קבורת בני העדות הלא יהודיות, וכך, אין חקיקה ראשית או חקיקת משנה העוסקת בכך ומקנה סמכות בנושא למי מן השרים. סמכותו של המשרד לשירותי הדת בנוגע לקבורת לא יהודים לא הוסדרה, וממילא לא עברה סמכות מוסדרת ממשרד זה למשרד הפנים".</w:t>
      </w:r>
    </w:p>
    <w:p w:rsidR="00EF45C8" w:rsidRPr="00E556CD" w:rsidP="005F3BD7">
      <w:pPr>
        <w:pStyle w:val="RESHET"/>
        <w:rPr>
          <w:rtl/>
        </w:rPr>
      </w:pPr>
      <w:r w:rsidRPr="00E556CD">
        <w:rPr>
          <w:rFonts w:hint="cs"/>
          <w:rtl/>
        </w:rPr>
        <w:t>משרד מבקר המדינה מעיר למשרד לשירותי דת ולמשרד הפנים כי חוק הקבורה האזרחית אינו מבדיל בין יהודים לבין בני דתות אחרות, וקובע כי השר לשירותי דת הוא הממונה על ביצועו. על כן, במסגרת החוק על המשרד לשירותי דת לפעול למילוי צורכיהם של כלל תושבי המדינה לקבורה אזרחית, ללא הבדלי דת, כמצוות החוק. נוכח העובדה, כי ככלל האחריות לקבורה מפוצלת בין המשרד לשירותי דת, האחראי לקבורת יהודים ולקבורה אזרחית, לבין משרד הפנים, האחראי בפועל לקבורת בני דתות אחרות, על שני משרדים אלה לתאם לאלתר פעולותיהם בתחום שירותי קבורה אזרחית לבני כל הדתות.</w:t>
      </w:r>
    </w:p>
    <w:p w:rsidR="00EF45C8" w:rsidRPr="00E556CD" w:rsidP="00E556CD">
      <w:pPr>
        <w:spacing w:line="240" w:lineRule="exact"/>
        <w:ind w:right="2268"/>
        <w:jc w:val="both"/>
        <w:rPr>
          <w:rFonts w:ascii="Tahoma" w:hAnsi="Tahoma" w:cs="Tahoma"/>
          <w:b/>
          <w:bCs/>
          <w:sz w:val="17"/>
          <w:szCs w:val="17"/>
          <w:rtl/>
        </w:rPr>
      </w:pPr>
    </w:p>
    <w:p w:rsidR="00EF45C8" w:rsidRPr="00897F3D" w:rsidP="006B7001">
      <w:pPr>
        <w:pStyle w:val="KOT2"/>
        <w:rPr>
          <w:rtl/>
        </w:rPr>
      </w:pPr>
      <w:r>
        <w:rPr>
          <w:rFonts w:hint="cs"/>
          <w:rtl/>
        </w:rPr>
        <w:t>המחסור</w:t>
      </w:r>
      <w:r w:rsidRPr="00897F3D">
        <w:rPr>
          <w:rtl/>
        </w:rPr>
        <w:t xml:space="preserve"> </w:t>
      </w:r>
      <w:r>
        <w:rPr>
          <w:rFonts w:hint="cs"/>
          <w:rtl/>
        </w:rPr>
        <w:t>ב</w:t>
      </w:r>
      <w:r w:rsidRPr="00897F3D">
        <w:rPr>
          <w:rFonts w:hint="eastAsia"/>
          <w:rtl/>
        </w:rPr>
        <w:t>מקומות</w:t>
      </w:r>
      <w:r w:rsidRPr="00897F3D">
        <w:rPr>
          <w:rtl/>
        </w:rPr>
        <w:t xml:space="preserve"> </w:t>
      </w:r>
      <w:r>
        <w:rPr>
          <w:rFonts w:hint="cs"/>
          <w:rtl/>
        </w:rPr>
        <w:t>ל</w:t>
      </w:r>
      <w:r w:rsidRPr="00897F3D">
        <w:rPr>
          <w:rFonts w:hint="eastAsia"/>
          <w:rtl/>
        </w:rPr>
        <w:t>קבורה</w:t>
      </w:r>
      <w:r w:rsidRPr="00897F3D">
        <w:rPr>
          <w:rtl/>
        </w:rPr>
        <w:t xml:space="preserve"> </w:t>
      </w:r>
      <w:r w:rsidRPr="00897F3D">
        <w:rPr>
          <w:rFonts w:hint="eastAsia"/>
          <w:rtl/>
        </w:rPr>
        <w:t>אזרחית</w:t>
      </w:r>
      <w:r w:rsidRPr="00897F3D">
        <w:rPr>
          <w:rtl/>
        </w:rPr>
        <w:t xml:space="preserve"> - תמונת מצב</w:t>
      </w:r>
    </w:p>
    <w:p w:rsidR="00EF45C8" w:rsidRPr="00897F3D" w:rsidP="006B7001">
      <w:pPr>
        <w:pStyle w:val="KOT4"/>
        <w:rPr>
          <w:rtl/>
        </w:rPr>
      </w:pPr>
      <w:r>
        <w:rPr>
          <w:rFonts w:hint="cs"/>
          <w:rtl/>
        </w:rPr>
        <w:t>היצע מקומות הקבורה</w:t>
      </w:r>
    </w:p>
    <w:p w:rsidR="00EF45C8" w:rsidRPr="00E556CD" w:rsidP="00E556CD">
      <w:pPr>
        <w:spacing w:line="240" w:lineRule="exact"/>
        <w:ind w:right="2268"/>
        <w:jc w:val="both"/>
        <w:rPr>
          <w:rFonts w:ascii="Tahoma" w:hAnsi="Tahoma" w:cs="Tahoma"/>
          <w:sz w:val="17"/>
          <w:szCs w:val="17"/>
          <w:rtl/>
        </w:rPr>
      </w:pPr>
      <w:r w:rsidRPr="00E556CD">
        <w:rPr>
          <w:rFonts w:ascii="Tahoma" w:hAnsi="Tahoma" w:cs="Tahoma" w:hint="cs"/>
          <w:sz w:val="17"/>
          <w:szCs w:val="17"/>
          <w:rtl/>
        </w:rPr>
        <w:t>על</w:t>
      </w:r>
      <w:r w:rsidRPr="00E556CD">
        <w:rPr>
          <w:rFonts w:ascii="Tahoma" w:hAnsi="Tahoma" w:cs="Tahoma"/>
          <w:sz w:val="17"/>
          <w:szCs w:val="17"/>
          <w:rtl/>
        </w:rPr>
        <w:t xml:space="preserve"> פי </w:t>
      </w:r>
      <w:r w:rsidRPr="00E556CD">
        <w:rPr>
          <w:rFonts w:ascii="Tahoma" w:hAnsi="Tahoma" w:cs="Tahoma" w:hint="cs"/>
          <w:sz w:val="17"/>
          <w:szCs w:val="17"/>
          <w:rtl/>
        </w:rPr>
        <w:t>מסמך</w:t>
      </w:r>
      <w:r w:rsidRPr="00E556CD">
        <w:rPr>
          <w:rFonts w:ascii="Tahoma" w:hAnsi="Tahoma" w:cs="Tahoma"/>
          <w:sz w:val="17"/>
          <w:szCs w:val="17"/>
          <w:rtl/>
        </w:rPr>
        <w:t xml:space="preserve"> הצוות </w:t>
      </w:r>
      <w:r w:rsidRPr="00E556CD">
        <w:rPr>
          <w:rFonts w:ascii="Tahoma" w:hAnsi="Tahoma" w:cs="Tahoma" w:hint="cs"/>
          <w:sz w:val="17"/>
          <w:szCs w:val="17"/>
          <w:rtl/>
        </w:rPr>
        <w:t>הבין-משרדי</w:t>
      </w:r>
      <w:r w:rsidRPr="00E556CD">
        <w:rPr>
          <w:rFonts w:ascii="Tahoma" w:hAnsi="Tahoma" w:cs="Tahoma"/>
          <w:sz w:val="17"/>
          <w:szCs w:val="17"/>
          <w:rtl/>
        </w:rPr>
        <w:t xml:space="preserve"> </w:t>
      </w:r>
      <w:r w:rsidRPr="00E556CD">
        <w:rPr>
          <w:rFonts w:ascii="Tahoma" w:hAnsi="Tahoma" w:cs="Tahoma" w:hint="cs"/>
          <w:sz w:val="17"/>
          <w:szCs w:val="17"/>
          <w:rtl/>
        </w:rPr>
        <w:t>מינואר</w:t>
      </w:r>
      <w:r w:rsidRPr="00E556CD">
        <w:rPr>
          <w:rFonts w:ascii="Tahoma" w:hAnsi="Tahoma" w:cs="Tahoma"/>
          <w:sz w:val="17"/>
          <w:szCs w:val="17"/>
          <w:rtl/>
        </w:rPr>
        <w:t xml:space="preserve"> 2016, </w:t>
      </w:r>
      <w:r w:rsidRPr="00E556CD">
        <w:rPr>
          <w:rFonts w:ascii="Tahoma" w:hAnsi="Tahoma" w:cs="Tahoma" w:hint="cs"/>
          <w:sz w:val="17"/>
          <w:szCs w:val="17"/>
          <w:rtl/>
        </w:rPr>
        <w:t>בישראל</w:t>
      </w:r>
      <w:r w:rsidRPr="00E556CD">
        <w:rPr>
          <w:rFonts w:ascii="Tahoma" w:hAnsi="Tahoma" w:cs="Tahoma"/>
          <w:sz w:val="17"/>
          <w:szCs w:val="17"/>
          <w:rtl/>
        </w:rPr>
        <w:t xml:space="preserve"> </w:t>
      </w:r>
      <w:r w:rsidRPr="00E556CD">
        <w:rPr>
          <w:rFonts w:ascii="Tahoma" w:hAnsi="Tahoma" w:cs="Tahoma" w:hint="cs"/>
          <w:sz w:val="17"/>
          <w:szCs w:val="17"/>
          <w:rtl/>
        </w:rPr>
        <w:t>יש</w:t>
      </w:r>
      <w:r w:rsidRPr="00E556CD">
        <w:rPr>
          <w:rFonts w:ascii="Tahoma" w:hAnsi="Tahoma" w:cs="Tahoma"/>
          <w:sz w:val="17"/>
          <w:szCs w:val="17"/>
          <w:rtl/>
        </w:rPr>
        <w:t xml:space="preserve"> </w:t>
      </w:r>
      <w:r w:rsidRPr="00E556CD">
        <w:rPr>
          <w:rFonts w:ascii="Tahoma" w:hAnsi="Tahoma" w:cs="Tahoma" w:hint="cs"/>
          <w:sz w:val="17"/>
          <w:szCs w:val="17"/>
          <w:rtl/>
        </w:rPr>
        <w:t>כ</w:t>
      </w:r>
      <w:r w:rsidRPr="00E556CD">
        <w:rPr>
          <w:rFonts w:ascii="Tahoma" w:hAnsi="Tahoma" w:cs="Tahoma"/>
          <w:sz w:val="17"/>
          <w:szCs w:val="17"/>
          <w:rtl/>
        </w:rPr>
        <w:t xml:space="preserve">-1,200 </w:t>
      </w:r>
      <w:r w:rsidRPr="00E556CD">
        <w:rPr>
          <w:rFonts w:ascii="Tahoma" w:hAnsi="Tahoma" w:cs="Tahoma" w:hint="cs"/>
          <w:sz w:val="17"/>
          <w:szCs w:val="17"/>
          <w:rtl/>
        </w:rPr>
        <w:t>בתי</w:t>
      </w:r>
      <w:r w:rsidRPr="00E556CD">
        <w:rPr>
          <w:rFonts w:ascii="Tahoma" w:hAnsi="Tahoma" w:cs="Tahoma"/>
          <w:sz w:val="17"/>
          <w:szCs w:val="17"/>
          <w:rtl/>
        </w:rPr>
        <w:t xml:space="preserve"> </w:t>
      </w:r>
      <w:r w:rsidRPr="00E556CD">
        <w:rPr>
          <w:rFonts w:ascii="Tahoma" w:hAnsi="Tahoma" w:cs="Tahoma" w:hint="cs"/>
          <w:sz w:val="17"/>
          <w:szCs w:val="17"/>
          <w:rtl/>
        </w:rPr>
        <w:t>עלמין,</w:t>
      </w:r>
      <w:r w:rsidRPr="00E556CD">
        <w:rPr>
          <w:rFonts w:ascii="Tahoma" w:hAnsi="Tahoma" w:cs="Tahoma"/>
          <w:sz w:val="17"/>
          <w:szCs w:val="17"/>
          <w:rtl/>
        </w:rPr>
        <w:t xml:space="preserve"> </w:t>
      </w:r>
      <w:r w:rsidRPr="00E556CD">
        <w:rPr>
          <w:rFonts w:ascii="Tahoma" w:hAnsi="Tahoma" w:cs="Tahoma" w:hint="cs"/>
          <w:sz w:val="17"/>
          <w:szCs w:val="17"/>
          <w:rtl/>
        </w:rPr>
        <w:t>ואותם מנהלים</w:t>
      </w:r>
      <w:r w:rsidRPr="00E556CD">
        <w:rPr>
          <w:rFonts w:ascii="Tahoma" w:hAnsi="Tahoma" w:cs="Tahoma"/>
          <w:sz w:val="17"/>
          <w:szCs w:val="17"/>
          <w:rtl/>
        </w:rPr>
        <w:t xml:space="preserve"> כ-500 גופי קבורה. </w:t>
      </w:r>
      <w:r w:rsidRPr="00E556CD">
        <w:rPr>
          <w:rFonts w:ascii="Tahoma" w:hAnsi="Tahoma" w:cs="Tahoma" w:hint="cs"/>
          <w:sz w:val="17"/>
          <w:szCs w:val="17"/>
          <w:rtl/>
        </w:rPr>
        <w:t>אשר</w:t>
      </w:r>
      <w:r w:rsidRPr="00E556CD">
        <w:rPr>
          <w:rFonts w:ascii="Tahoma" w:hAnsi="Tahoma" w:cs="Tahoma"/>
          <w:sz w:val="17"/>
          <w:szCs w:val="17"/>
          <w:rtl/>
        </w:rPr>
        <w:t xml:space="preserve"> </w:t>
      </w:r>
      <w:r w:rsidRPr="00E556CD">
        <w:rPr>
          <w:rFonts w:ascii="Tahoma" w:hAnsi="Tahoma" w:cs="Tahoma" w:hint="cs"/>
          <w:sz w:val="17"/>
          <w:szCs w:val="17"/>
          <w:rtl/>
        </w:rPr>
        <w:t>לנתונים על</w:t>
      </w:r>
      <w:r w:rsidRPr="00E556CD">
        <w:rPr>
          <w:rFonts w:ascii="Tahoma" w:hAnsi="Tahoma" w:cs="Tahoma"/>
          <w:sz w:val="17"/>
          <w:szCs w:val="17"/>
          <w:rtl/>
        </w:rPr>
        <w:t xml:space="preserve"> הקבורה האזרחית - על פי נתוני המשרד </w:t>
      </w:r>
      <w:r w:rsidRPr="00E556CD">
        <w:rPr>
          <w:rFonts w:ascii="Tahoma" w:hAnsi="Tahoma" w:cs="Tahoma" w:hint="cs"/>
          <w:sz w:val="17"/>
          <w:szCs w:val="17"/>
          <w:rtl/>
        </w:rPr>
        <w:t>שהוצגו</w:t>
      </w:r>
      <w:r w:rsidRPr="00E556CD">
        <w:rPr>
          <w:rFonts w:ascii="Tahoma" w:hAnsi="Tahoma" w:cs="Tahoma"/>
          <w:sz w:val="17"/>
          <w:szCs w:val="17"/>
          <w:rtl/>
        </w:rPr>
        <w:t xml:space="preserve"> באתר האינטרנט המשרדי, </w:t>
      </w:r>
      <w:r w:rsidRPr="00E556CD">
        <w:rPr>
          <w:rFonts w:ascii="Tahoma" w:hAnsi="Tahoma" w:cs="Tahoma" w:hint="cs"/>
          <w:sz w:val="17"/>
          <w:szCs w:val="17"/>
          <w:rtl/>
        </w:rPr>
        <w:t>באוקטובר</w:t>
      </w:r>
      <w:r w:rsidRPr="00E556CD">
        <w:rPr>
          <w:rFonts w:ascii="Tahoma" w:hAnsi="Tahoma" w:cs="Tahoma"/>
          <w:sz w:val="17"/>
          <w:szCs w:val="17"/>
          <w:rtl/>
        </w:rPr>
        <w:t xml:space="preserve"> 2016 </w:t>
      </w:r>
      <w:r w:rsidRPr="00E556CD">
        <w:rPr>
          <w:rFonts w:ascii="Tahoma" w:hAnsi="Tahoma" w:cs="Tahoma" w:hint="cs"/>
          <w:sz w:val="17"/>
          <w:szCs w:val="17"/>
          <w:rtl/>
        </w:rPr>
        <w:t>כ-</w:t>
      </w:r>
      <w:r w:rsidRPr="00E556CD">
        <w:rPr>
          <w:rFonts w:ascii="Tahoma" w:hAnsi="Tahoma" w:cs="Tahoma"/>
          <w:sz w:val="17"/>
          <w:szCs w:val="17"/>
          <w:rtl/>
        </w:rPr>
        <w:t xml:space="preserve">21 בתי עלמין </w:t>
      </w:r>
      <w:r w:rsidRPr="00E556CD">
        <w:rPr>
          <w:rFonts w:ascii="Tahoma" w:hAnsi="Tahoma" w:cs="Tahoma" w:hint="cs"/>
          <w:sz w:val="17"/>
          <w:szCs w:val="17"/>
          <w:rtl/>
        </w:rPr>
        <w:t xml:space="preserve">- </w:t>
      </w:r>
      <w:r w:rsidRPr="00E556CD">
        <w:rPr>
          <w:rFonts w:ascii="Tahoma" w:hAnsi="Tahoma" w:cs="Tahoma"/>
          <w:sz w:val="17"/>
          <w:szCs w:val="17"/>
          <w:rtl/>
        </w:rPr>
        <w:t>5 בתי עלמין אזרחיים נפרדים ו-16 בתי עלמין יהודיים</w:t>
      </w:r>
      <w:r w:rsidRPr="00E556CD">
        <w:rPr>
          <w:rFonts w:ascii="Tahoma" w:hAnsi="Tahoma" w:cs="Tahoma" w:hint="cs"/>
          <w:sz w:val="17"/>
          <w:szCs w:val="17"/>
          <w:rtl/>
        </w:rPr>
        <w:t xml:space="preserve"> ה</w:t>
      </w:r>
      <w:r w:rsidRPr="00E556CD">
        <w:rPr>
          <w:rFonts w:ascii="Tahoma" w:hAnsi="Tahoma" w:cs="Tahoma"/>
          <w:sz w:val="17"/>
          <w:szCs w:val="17"/>
          <w:rtl/>
        </w:rPr>
        <w:t>כוללים חלקות לקבורה אזרחית</w:t>
      </w:r>
      <w:r w:rsidR="00921671">
        <w:rPr>
          <w:rFonts w:ascii="Tahoma" w:hAnsi="Tahoma" w:cs="Tahoma" w:hint="cs"/>
          <w:sz w:val="17"/>
          <w:szCs w:val="17"/>
          <w:rtl/>
        </w:rPr>
        <w:t xml:space="preserve"> </w:t>
      </w:r>
      <w:r w:rsidRPr="00E556CD">
        <w:rPr>
          <w:rFonts w:ascii="Tahoma" w:hAnsi="Tahoma" w:cs="Tahoma" w:hint="cs"/>
          <w:sz w:val="17"/>
          <w:szCs w:val="17"/>
          <w:rtl/>
        </w:rPr>
        <w:t>-</w:t>
      </w:r>
      <w:r w:rsidRPr="00E556CD">
        <w:rPr>
          <w:rFonts w:ascii="Tahoma" w:hAnsi="Tahoma" w:cs="Tahoma"/>
          <w:sz w:val="17"/>
          <w:szCs w:val="17"/>
          <w:rtl/>
        </w:rPr>
        <w:t xml:space="preserve"> </w:t>
      </w:r>
      <w:r w:rsidRPr="00E556CD">
        <w:rPr>
          <w:rFonts w:ascii="Tahoma" w:hAnsi="Tahoma" w:cs="Tahoma" w:hint="cs"/>
          <w:sz w:val="17"/>
          <w:szCs w:val="17"/>
          <w:rtl/>
        </w:rPr>
        <w:t>מחזיקים</w:t>
      </w:r>
      <w:r w:rsidRPr="00E556CD">
        <w:rPr>
          <w:rFonts w:ascii="Tahoma" w:hAnsi="Tahoma" w:cs="Tahoma"/>
          <w:sz w:val="17"/>
          <w:szCs w:val="17"/>
          <w:rtl/>
        </w:rPr>
        <w:t xml:space="preserve"> </w:t>
      </w:r>
      <w:r w:rsidRPr="00E556CD">
        <w:rPr>
          <w:rFonts w:ascii="Tahoma" w:hAnsi="Tahoma" w:cs="Tahoma" w:hint="cs"/>
          <w:sz w:val="17"/>
          <w:szCs w:val="17"/>
          <w:rtl/>
        </w:rPr>
        <w:t>ברישיון</w:t>
      </w:r>
      <w:r w:rsidRPr="00E556CD">
        <w:rPr>
          <w:rFonts w:ascii="Tahoma" w:hAnsi="Tahoma" w:cs="Tahoma"/>
          <w:sz w:val="17"/>
          <w:szCs w:val="17"/>
          <w:rtl/>
        </w:rPr>
        <w:t xml:space="preserve"> </w:t>
      </w:r>
      <w:r w:rsidRPr="00E556CD">
        <w:rPr>
          <w:rFonts w:ascii="Tahoma" w:hAnsi="Tahoma" w:cs="Tahoma" w:hint="cs"/>
          <w:sz w:val="17"/>
          <w:szCs w:val="17"/>
          <w:rtl/>
        </w:rPr>
        <w:t>לקבורה</w:t>
      </w:r>
      <w:r w:rsidRPr="00E556CD">
        <w:rPr>
          <w:rFonts w:ascii="Tahoma" w:hAnsi="Tahoma" w:cs="Tahoma"/>
          <w:sz w:val="17"/>
          <w:szCs w:val="17"/>
          <w:rtl/>
        </w:rPr>
        <w:t xml:space="preserve"> </w:t>
      </w:r>
      <w:r w:rsidRPr="00E556CD">
        <w:rPr>
          <w:rFonts w:ascii="Tahoma" w:hAnsi="Tahoma" w:cs="Tahoma" w:hint="cs"/>
          <w:sz w:val="17"/>
          <w:szCs w:val="17"/>
          <w:rtl/>
        </w:rPr>
        <w:t>אזרחית</w:t>
      </w:r>
      <w:r w:rsidRPr="00E556CD">
        <w:rPr>
          <w:rFonts w:ascii="Tahoma" w:hAnsi="Tahoma" w:cs="Tahoma"/>
          <w:sz w:val="17"/>
          <w:szCs w:val="17"/>
          <w:rtl/>
        </w:rPr>
        <w:t xml:space="preserve">. </w:t>
      </w:r>
      <w:r w:rsidRPr="00E556CD">
        <w:rPr>
          <w:rFonts w:ascii="Tahoma" w:hAnsi="Tahoma" w:cs="Tahoma" w:hint="cs"/>
          <w:sz w:val="17"/>
          <w:szCs w:val="17"/>
          <w:rtl/>
        </w:rPr>
        <w:t>יצוין כי נוסף על כך, 15 יישובים חקלאיים מחזיקים ברישיון לקבורה אזרחית עבור בני אותם יישובים בלבד.</w:t>
      </w:r>
    </w:p>
    <w:p w:rsidR="00EF45C8" w:rsidRPr="00E556CD" w:rsidP="005F3BD7">
      <w:pPr>
        <w:spacing w:after="240" w:line="240" w:lineRule="exact"/>
        <w:ind w:right="2268"/>
        <w:jc w:val="both"/>
        <w:rPr>
          <w:rFonts w:ascii="Tahoma" w:hAnsi="Tahoma" w:cs="Tahoma"/>
          <w:sz w:val="17"/>
          <w:szCs w:val="17"/>
          <w:rtl/>
        </w:rPr>
      </w:pPr>
      <w:r w:rsidRPr="00E556CD">
        <w:rPr>
          <w:rFonts w:ascii="Tahoma" w:hAnsi="Tahoma" w:cs="Tahoma" w:hint="cs"/>
          <w:sz w:val="17"/>
          <w:szCs w:val="17"/>
          <w:rtl/>
        </w:rPr>
        <w:t xml:space="preserve">בשנים 2012 ו-2013 בוצע - בהזמנת </w:t>
      </w:r>
      <w:r w:rsidRPr="00E556CD">
        <w:rPr>
          <w:rFonts w:ascii="Tahoma" w:hAnsi="Tahoma" w:cs="Tahoma" w:hint="cs"/>
          <w:sz w:val="17"/>
          <w:szCs w:val="17"/>
          <w:rtl/>
        </w:rPr>
        <w:t>רמ"י</w:t>
      </w:r>
      <w:r w:rsidRPr="00E556CD">
        <w:rPr>
          <w:rFonts w:ascii="Tahoma" w:hAnsi="Tahoma" w:cs="Tahoma" w:hint="cs"/>
          <w:sz w:val="17"/>
          <w:szCs w:val="17"/>
          <w:rtl/>
        </w:rPr>
        <w:t xml:space="preserve"> ובהיגוי של צוות עבודה בין-משרדי - </w:t>
      </w:r>
      <w:r w:rsidRPr="00E556CD">
        <w:rPr>
          <w:rFonts w:ascii="Tahoma" w:hAnsi="Tahoma" w:cs="Tahoma"/>
          <w:sz w:val="17"/>
          <w:szCs w:val="17"/>
          <w:rtl/>
        </w:rPr>
        <w:t xml:space="preserve">סקר ארצי של אתרים לקבורה אזרחית </w:t>
      </w:r>
      <w:r w:rsidRPr="00E556CD">
        <w:rPr>
          <w:rFonts w:ascii="Tahoma" w:hAnsi="Tahoma" w:cs="Tahoma" w:hint="cs"/>
          <w:sz w:val="17"/>
          <w:szCs w:val="17"/>
          <w:rtl/>
        </w:rPr>
        <w:t>(להלן - הסקר הארצי). מממצאי הסקר עלה כי בשנים אלה הזמינות והנגישות של שירותי הקבורה האזרחית עבור מרבית האוכלוסייה המעוניינת בהם היו פחותות מהזמינות והנגישות של שירותי קבורה רגילה. אתרי קבורה אזרחית רבים לא היו פעילים, ומרחקי הנסיעה לאתרים הפעילים היו גדולים ממרחקי הנסיעה למקומות קבורה רגילים. נוסף על כך נדרש תשלום גבוה עבור קבורה אזרחית לנפטר שאינו מתגורר ביישוב שבו שוכן אתר הקבורה האזרחית. אחת ממסקנות הסקר הייתה כי כדי למלא את הביקוש לשירותי הקבורה האזרחית בשנים 2020-2013 ידרשו 38,000 מקומות קבורה לאוכלוסייה היהודית המעוניינת בקבורה אזרחית, לחסרי דת ולנפטרים שיהדותם מוטלת בספק; זאת בהנחה כי 10% מהאוכלוסייה היהודית מעוניינת בכך.</w:t>
      </w:r>
    </w:p>
    <w:p w:rsidR="00EF45C8" w:rsidRPr="00E556CD" w:rsidP="005F3BD7">
      <w:pPr>
        <w:pStyle w:val="RESHET"/>
        <w:numPr>
          <w:ilvl w:val="0"/>
          <w:numId w:val="9"/>
        </w:numPr>
        <w:ind w:left="567" w:hanging="340"/>
        <w:rPr>
          <w:rtl/>
        </w:rPr>
      </w:pPr>
      <w:r w:rsidRPr="00E556CD">
        <w:rPr>
          <w:rFonts w:hint="cs"/>
          <w:rtl/>
        </w:rPr>
        <w:t>נמצא</w:t>
      </w:r>
      <w:r w:rsidRPr="00E556CD">
        <w:rPr>
          <w:rtl/>
        </w:rPr>
        <w:t xml:space="preserve"> </w:t>
      </w:r>
      <w:r w:rsidRPr="00E556CD">
        <w:rPr>
          <w:rFonts w:hint="cs"/>
          <w:rtl/>
        </w:rPr>
        <w:t>כי</w:t>
      </w:r>
      <w:r w:rsidRPr="00E556CD">
        <w:rPr>
          <w:rtl/>
        </w:rPr>
        <w:t xml:space="preserve"> </w:t>
      </w:r>
      <w:r w:rsidRPr="00E556CD">
        <w:rPr>
          <w:rFonts w:hint="cs"/>
          <w:rtl/>
        </w:rPr>
        <w:t>המשרד</w:t>
      </w:r>
      <w:r w:rsidRPr="00E556CD">
        <w:rPr>
          <w:rtl/>
        </w:rPr>
        <w:t xml:space="preserve"> </w:t>
      </w:r>
      <w:r w:rsidRPr="00E556CD">
        <w:rPr>
          <w:rFonts w:hint="cs"/>
          <w:rtl/>
        </w:rPr>
        <w:t>לשירותי</w:t>
      </w:r>
      <w:r w:rsidRPr="00E556CD">
        <w:rPr>
          <w:rtl/>
        </w:rPr>
        <w:t xml:space="preserve"> </w:t>
      </w:r>
      <w:r w:rsidRPr="00E556CD">
        <w:rPr>
          <w:rFonts w:hint="cs"/>
          <w:rtl/>
        </w:rPr>
        <w:t>דת</w:t>
      </w:r>
      <w:r w:rsidRPr="00E556CD">
        <w:rPr>
          <w:rtl/>
        </w:rPr>
        <w:t xml:space="preserve"> </w:t>
      </w:r>
      <w:r w:rsidRPr="00E556CD">
        <w:rPr>
          <w:rFonts w:hint="cs"/>
          <w:rtl/>
        </w:rPr>
        <w:t>אינו</w:t>
      </w:r>
      <w:r w:rsidRPr="00E556CD">
        <w:rPr>
          <w:rtl/>
        </w:rPr>
        <w:t xml:space="preserve"> </w:t>
      </w:r>
      <w:r w:rsidRPr="00E556CD">
        <w:rPr>
          <w:rFonts w:hint="cs"/>
          <w:rtl/>
        </w:rPr>
        <w:t>מנהל</w:t>
      </w:r>
      <w:r w:rsidRPr="00E556CD">
        <w:rPr>
          <w:rtl/>
        </w:rPr>
        <w:t xml:space="preserve"> </w:t>
      </w:r>
      <w:r w:rsidRPr="00E556CD">
        <w:rPr>
          <w:rFonts w:hint="cs"/>
          <w:rtl/>
        </w:rPr>
        <w:t>מסד</w:t>
      </w:r>
      <w:r w:rsidRPr="00E556CD">
        <w:rPr>
          <w:rtl/>
        </w:rPr>
        <w:t xml:space="preserve"> </w:t>
      </w:r>
      <w:r w:rsidRPr="00E556CD">
        <w:rPr>
          <w:rFonts w:hint="cs"/>
          <w:rtl/>
        </w:rPr>
        <w:t>נתונים</w:t>
      </w:r>
      <w:r w:rsidRPr="00E556CD">
        <w:rPr>
          <w:rtl/>
        </w:rPr>
        <w:t xml:space="preserve"> </w:t>
      </w:r>
      <w:r w:rsidRPr="00E556CD">
        <w:rPr>
          <w:rFonts w:hint="cs"/>
          <w:rtl/>
        </w:rPr>
        <w:t>מפורט</w:t>
      </w:r>
      <w:r w:rsidRPr="00E556CD">
        <w:rPr>
          <w:rtl/>
        </w:rPr>
        <w:t xml:space="preserve"> </w:t>
      </w:r>
      <w:r w:rsidRPr="00E556CD">
        <w:rPr>
          <w:rFonts w:hint="cs"/>
          <w:rtl/>
        </w:rPr>
        <w:t>בנושא</w:t>
      </w:r>
      <w:r w:rsidRPr="00E556CD">
        <w:rPr>
          <w:rtl/>
        </w:rPr>
        <w:t xml:space="preserve"> </w:t>
      </w:r>
      <w:r w:rsidRPr="00E556CD">
        <w:rPr>
          <w:rFonts w:hint="cs"/>
          <w:rtl/>
        </w:rPr>
        <w:t>מצאי</w:t>
      </w:r>
      <w:r w:rsidRPr="00E556CD">
        <w:rPr>
          <w:rtl/>
        </w:rPr>
        <w:t xml:space="preserve"> </w:t>
      </w:r>
      <w:r w:rsidRPr="00E556CD">
        <w:rPr>
          <w:rFonts w:hint="cs"/>
          <w:rtl/>
        </w:rPr>
        <w:t>מקומות</w:t>
      </w:r>
      <w:r w:rsidRPr="00E556CD">
        <w:rPr>
          <w:rtl/>
        </w:rPr>
        <w:t xml:space="preserve"> </w:t>
      </w:r>
      <w:r w:rsidRPr="00E556CD">
        <w:rPr>
          <w:rFonts w:hint="cs"/>
          <w:rtl/>
        </w:rPr>
        <w:t>הקבורה</w:t>
      </w:r>
      <w:r w:rsidRPr="00E556CD">
        <w:rPr>
          <w:rtl/>
        </w:rPr>
        <w:t xml:space="preserve"> </w:t>
      </w:r>
      <w:r w:rsidRPr="00E556CD">
        <w:rPr>
          <w:rFonts w:hint="cs"/>
          <w:rtl/>
        </w:rPr>
        <w:t>האזרחית</w:t>
      </w:r>
      <w:r w:rsidRPr="00E556CD">
        <w:rPr>
          <w:rtl/>
        </w:rPr>
        <w:t xml:space="preserve">, </w:t>
      </w:r>
      <w:r w:rsidRPr="00E556CD">
        <w:rPr>
          <w:rFonts w:hint="cs"/>
          <w:rtl/>
        </w:rPr>
        <w:t>וכי</w:t>
      </w:r>
      <w:r w:rsidRPr="00E556CD">
        <w:rPr>
          <w:rtl/>
        </w:rPr>
        <w:t xml:space="preserve"> </w:t>
      </w:r>
      <w:r w:rsidRPr="00E556CD">
        <w:rPr>
          <w:rFonts w:hint="cs"/>
          <w:rtl/>
        </w:rPr>
        <w:t>אין</w:t>
      </w:r>
      <w:r w:rsidRPr="00E556CD">
        <w:rPr>
          <w:rtl/>
        </w:rPr>
        <w:t xml:space="preserve"> </w:t>
      </w:r>
      <w:r w:rsidRPr="00E556CD">
        <w:rPr>
          <w:rFonts w:hint="cs"/>
          <w:rtl/>
        </w:rPr>
        <w:t>בידיו</w:t>
      </w:r>
      <w:r w:rsidRPr="00E556CD">
        <w:rPr>
          <w:rtl/>
        </w:rPr>
        <w:t xml:space="preserve"> </w:t>
      </w:r>
      <w:r w:rsidRPr="00E556CD">
        <w:rPr>
          <w:rFonts w:hint="cs"/>
          <w:rtl/>
        </w:rPr>
        <w:t>נתונים</w:t>
      </w:r>
      <w:r w:rsidRPr="00E556CD">
        <w:rPr>
          <w:rtl/>
        </w:rPr>
        <w:t xml:space="preserve"> </w:t>
      </w:r>
      <w:r w:rsidRPr="00E556CD">
        <w:rPr>
          <w:rFonts w:hint="cs"/>
          <w:rtl/>
        </w:rPr>
        <w:t>תקפים</w:t>
      </w:r>
      <w:r w:rsidRPr="00E556CD">
        <w:rPr>
          <w:rtl/>
        </w:rPr>
        <w:t xml:space="preserve"> </w:t>
      </w:r>
      <w:r w:rsidRPr="00E556CD">
        <w:rPr>
          <w:rFonts w:hint="cs"/>
          <w:rtl/>
        </w:rPr>
        <w:t>ומהימנים</w:t>
      </w:r>
      <w:r w:rsidRPr="00E556CD">
        <w:rPr>
          <w:rtl/>
        </w:rPr>
        <w:t xml:space="preserve"> </w:t>
      </w:r>
      <w:r w:rsidRPr="00E556CD">
        <w:rPr>
          <w:rFonts w:hint="cs"/>
          <w:rtl/>
        </w:rPr>
        <w:t>על</w:t>
      </w:r>
      <w:r w:rsidRPr="00E556CD">
        <w:rPr>
          <w:rtl/>
        </w:rPr>
        <w:t xml:space="preserve"> </w:t>
      </w:r>
      <w:r w:rsidRPr="00E556CD">
        <w:rPr>
          <w:rFonts w:hint="cs"/>
          <w:rtl/>
        </w:rPr>
        <w:t>הקיבולת</w:t>
      </w:r>
      <w:r w:rsidRPr="00E556CD">
        <w:rPr>
          <w:rtl/>
        </w:rPr>
        <w:t xml:space="preserve"> </w:t>
      </w:r>
      <w:r w:rsidRPr="00E556CD">
        <w:rPr>
          <w:rFonts w:hint="cs"/>
          <w:rtl/>
        </w:rPr>
        <w:t>המתוכננת</w:t>
      </w:r>
      <w:r w:rsidRPr="00E556CD">
        <w:rPr>
          <w:rtl/>
        </w:rPr>
        <w:t xml:space="preserve"> </w:t>
      </w:r>
      <w:r w:rsidRPr="00E556CD">
        <w:rPr>
          <w:rFonts w:hint="cs"/>
          <w:rtl/>
        </w:rPr>
        <w:t>של</w:t>
      </w:r>
      <w:r w:rsidRPr="00E556CD">
        <w:rPr>
          <w:rtl/>
        </w:rPr>
        <w:t xml:space="preserve"> </w:t>
      </w:r>
      <w:r w:rsidRPr="00E556CD">
        <w:rPr>
          <w:rFonts w:hint="cs"/>
          <w:rtl/>
        </w:rPr>
        <w:t>מקומות</w:t>
      </w:r>
      <w:r w:rsidRPr="00E556CD">
        <w:rPr>
          <w:rtl/>
        </w:rPr>
        <w:t xml:space="preserve"> </w:t>
      </w:r>
      <w:r w:rsidRPr="00E556CD">
        <w:rPr>
          <w:rFonts w:hint="cs"/>
          <w:rtl/>
        </w:rPr>
        <w:t>הקבורה</w:t>
      </w:r>
      <w:r w:rsidRPr="00E556CD">
        <w:rPr>
          <w:rtl/>
        </w:rPr>
        <w:t xml:space="preserve"> </w:t>
      </w:r>
      <w:r w:rsidRPr="00E556CD">
        <w:rPr>
          <w:rFonts w:hint="cs"/>
          <w:rtl/>
        </w:rPr>
        <w:t>האזרחית</w:t>
      </w:r>
      <w:r w:rsidRPr="00E556CD">
        <w:rPr>
          <w:rtl/>
        </w:rPr>
        <w:t xml:space="preserve">, </w:t>
      </w:r>
      <w:r w:rsidRPr="00E556CD">
        <w:rPr>
          <w:rFonts w:hint="cs"/>
          <w:rtl/>
        </w:rPr>
        <w:t>על</w:t>
      </w:r>
      <w:r w:rsidRPr="00E556CD">
        <w:rPr>
          <w:rtl/>
        </w:rPr>
        <w:t xml:space="preserve"> </w:t>
      </w:r>
      <w:r w:rsidRPr="00E556CD">
        <w:rPr>
          <w:rFonts w:hint="cs"/>
          <w:rtl/>
        </w:rPr>
        <w:t>הניצול</w:t>
      </w:r>
      <w:r w:rsidRPr="00E556CD">
        <w:rPr>
          <w:rtl/>
        </w:rPr>
        <w:t xml:space="preserve"> </w:t>
      </w:r>
      <w:r w:rsidRPr="00E556CD">
        <w:rPr>
          <w:rFonts w:hint="cs"/>
          <w:rtl/>
        </w:rPr>
        <w:t>בפועל</w:t>
      </w:r>
      <w:r w:rsidRPr="00E556CD">
        <w:rPr>
          <w:rtl/>
        </w:rPr>
        <w:t xml:space="preserve"> </w:t>
      </w:r>
      <w:r w:rsidRPr="00E556CD">
        <w:rPr>
          <w:rFonts w:hint="cs"/>
          <w:rtl/>
        </w:rPr>
        <w:t>של</w:t>
      </w:r>
      <w:r w:rsidRPr="00E556CD">
        <w:rPr>
          <w:rtl/>
        </w:rPr>
        <w:t xml:space="preserve"> </w:t>
      </w:r>
      <w:r w:rsidRPr="00E556CD">
        <w:rPr>
          <w:rFonts w:hint="cs"/>
          <w:rtl/>
        </w:rPr>
        <w:t>מקומות</w:t>
      </w:r>
      <w:r w:rsidRPr="00E556CD">
        <w:rPr>
          <w:rtl/>
        </w:rPr>
        <w:t xml:space="preserve"> </w:t>
      </w:r>
      <w:r w:rsidRPr="00E556CD">
        <w:rPr>
          <w:rFonts w:hint="cs"/>
          <w:rtl/>
        </w:rPr>
        <w:t>הקבורה</w:t>
      </w:r>
      <w:r w:rsidRPr="00E556CD">
        <w:rPr>
          <w:rtl/>
        </w:rPr>
        <w:t xml:space="preserve">, </w:t>
      </w:r>
      <w:r w:rsidRPr="00E556CD">
        <w:rPr>
          <w:rFonts w:hint="cs"/>
          <w:rtl/>
        </w:rPr>
        <w:t>על</w:t>
      </w:r>
      <w:r w:rsidRPr="00E556CD">
        <w:rPr>
          <w:rtl/>
        </w:rPr>
        <w:t xml:space="preserve"> </w:t>
      </w:r>
      <w:r w:rsidRPr="00E556CD">
        <w:rPr>
          <w:rFonts w:hint="cs"/>
          <w:rtl/>
        </w:rPr>
        <w:t>מצאי</w:t>
      </w:r>
      <w:r w:rsidRPr="00E556CD">
        <w:rPr>
          <w:rtl/>
        </w:rPr>
        <w:t xml:space="preserve"> </w:t>
      </w:r>
      <w:r w:rsidRPr="00E556CD">
        <w:rPr>
          <w:rFonts w:hint="cs"/>
          <w:rtl/>
        </w:rPr>
        <w:t>של</w:t>
      </w:r>
      <w:r w:rsidRPr="00E556CD">
        <w:rPr>
          <w:rtl/>
        </w:rPr>
        <w:t xml:space="preserve"> </w:t>
      </w:r>
      <w:r w:rsidRPr="00E556CD">
        <w:rPr>
          <w:rFonts w:hint="cs"/>
          <w:rtl/>
        </w:rPr>
        <w:t>מקומות</w:t>
      </w:r>
      <w:r w:rsidRPr="00E556CD">
        <w:rPr>
          <w:rtl/>
        </w:rPr>
        <w:t xml:space="preserve"> </w:t>
      </w:r>
      <w:r w:rsidRPr="00E556CD">
        <w:rPr>
          <w:rFonts w:hint="cs"/>
          <w:rtl/>
        </w:rPr>
        <w:t>הקבורה</w:t>
      </w:r>
      <w:r w:rsidRPr="00E556CD">
        <w:rPr>
          <w:rtl/>
        </w:rPr>
        <w:t xml:space="preserve"> </w:t>
      </w:r>
      <w:r w:rsidRPr="00E556CD">
        <w:rPr>
          <w:rFonts w:hint="cs"/>
          <w:rtl/>
        </w:rPr>
        <w:t>הזמינים</w:t>
      </w:r>
      <w:r w:rsidRPr="00E556CD">
        <w:rPr>
          <w:rtl/>
        </w:rPr>
        <w:t xml:space="preserve"> </w:t>
      </w:r>
      <w:r w:rsidRPr="00E556CD">
        <w:rPr>
          <w:rFonts w:hint="cs"/>
          <w:rtl/>
        </w:rPr>
        <w:t>לקבורה</w:t>
      </w:r>
      <w:r w:rsidRPr="00E556CD">
        <w:rPr>
          <w:rtl/>
        </w:rPr>
        <w:t xml:space="preserve"> </w:t>
      </w:r>
      <w:r w:rsidRPr="00E556CD">
        <w:rPr>
          <w:rFonts w:hint="cs"/>
          <w:rtl/>
        </w:rPr>
        <w:t>עתידית</w:t>
      </w:r>
      <w:r w:rsidRPr="00E556CD">
        <w:rPr>
          <w:rtl/>
        </w:rPr>
        <w:t xml:space="preserve"> </w:t>
      </w:r>
      <w:r w:rsidRPr="00E556CD">
        <w:rPr>
          <w:rFonts w:hint="cs"/>
          <w:rtl/>
        </w:rPr>
        <w:t>וכד</w:t>
      </w:r>
      <w:r w:rsidRPr="00E556CD">
        <w:rPr>
          <w:rtl/>
        </w:rPr>
        <w:t xml:space="preserve">'. </w:t>
      </w:r>
      <w:r w:rsidRPr="00E556CD">
        <w:rPr>
          <w:rFonts w:hint="cs"/>
          <w:rtl/>
        </w:rPr>
        <w:t>בהיעדר</w:t>
      </w:r>
      <w:r w:rsidRPr="00E556CD">
        <w:rPr>
          <w:rtl/>
        </w:rPr>
        <w:t xml:space="preserve"> תשתית עובדתית נאותה </w:t>
      </w:r>
      <w:r w:rsidRPr="00E556CD">
        <w:rPr>
          <w:rFonts w:hint="cs"/>
          <w:rtl/>
        </w:rPr>
        <w:t>נבצר</w:t>
      </w:r>
      <w:r w:rsidRPr="00E556CD">
        <w:rPr>
          <w:rtl/>
        </w:rPr>
        <w:t xml:space="preserve"> </w:t>
      </w:r>
      <w:r w:rsidRPr="00E556CD">
        <w:rPr>
          <w:rFonts w:hint="cs"/>
          <w:rtl/>
        </w:rPr>
        <w:t>מהמשרד</w:t>
      </w:r>
      <w:r w:rsidRPr="00E556CD">
        <w:rPr>
          <w:rtl/>
        </w:rPr>
        <w:t xml:space="preserve"> להיערך להיקף הביקוש לקבורה אזרחית בשנים הבאות. יודגש כי גם </w:t>
      </w:r>
      <w:r w:rsidRPr="00E556CD">
        <w:rPr>
          <w:rFonts w:hint="cs"/>
          <w:rtl/>
        </w:rPr>
        <w:t>במסמך</w:t>
      </w:r>
      <w:r w:rsidRPr="00E556CD">
        <w:rPr>
          <w:rtl/>
        </w:rPr>
        <w:t xml:space="preserve"> הצוות הבין-משרדי מינואר 2016, שתכליתו - להציג ל</w:t>
      </w:r>
      <w:r w:rsidRPr="00E556CD">
        <w:rPr>
          <w:rFonts w:hint="cs"/>
          <w:rtl/>
        </w:rPr>
        <w:t>וועדת</w:t>
      </w:r>
      <w:r w:rsidRPr="00E556CD">
        <w:rPr>
          <w:rtl/>
        </w:rPr>
        <w:t xml:space="preserve"> </w:t>
      </w:r>
      <w:r w:rsidRPr="00E556CD">
        <w:rPr>
          <w:rFonts w:hint="cs"/>
          <w:rtl/>
        </w:rPr>
        <w:t>המנכ</w:t>
      </w:r>
      <w:r w:rsidRPr="00E556CD">
        <w:rPr>
          <w:rtl/>
        </w:rPr>
        <w:t xml:space="preserve">"לים המלצות בתחום הקבורה האזרחית שיוצגו לממשלה, לא צוינו נתונים בסיסיים </w:t>
      </w:r>
      <w:r w:rsidRPr="00E556CD">
        <w:rPr>
          <w:rFonts w:hint="cs"/>
          <w:rtl/>
        </w:rPr>
        <w:t>בנושא</w:t>
      </w:r>
      <w:r w:rsidRPr="00E556CD">
        <w:rPr>
          <w:rtl/>
        </w:rPr>
        <w:t xml:space="preserve"> </w:t>
      </w:r>
      <w:r w:rsidRPr="00E556CD">
        <w:rPr>
          <w:rFonts w:hint="cs"/>
          <w:rtl/>
        </w:rPr>
        <w:t>ה</w:t>
      </w:r>
      <w:r w:rsidRPr="00E556CD">
        <w:rPr>
          <w:rtl/>
        </w:rPr>
        <w:t xml:space="preserve">היצע של מקומות הקבורה </w:t>
      </w:r>
      <w:r w:rsidRPr="00E556CD">
        <w:rPr>
          <w:rFonts w:hint="cs"/>
          <w:rtl/>
        </w:rPr>
        <w:t>ה</w:t>
      </w:r>
      <w:r w:rsidRPr="00E556CD">
        <w:rPr>
          <w:rtl/>
        </w:rPr>
        <w:t>אזרחית הנדרשים לקביעת דרכי הפעולה ליישום חוק הקבורה האזרחית.</w:t>
      </w:r>
    </w:p>
    <w:p w:rsidR="00EF45C8" w:rsidRPr="00E556CD" w:rsidP="005F3BD7">
      <w:pPr>
        <w:spacing w:before="180" w:after="240" w:line="240" w:lineRule="exact"/>
        <w:ind w:left="340" w:right="2268"/>
        <w:jc w:val="both"/>
        <w:rPr>
          <w:rFonts w:ascii="Tahoma" w:hAnsi="Tahoma" w:cs="Tahoma"/>
          <w:sz w:val="17"/>
          <w:szCs w:val="17"/>
          <w:rtl/>
        </w:rPr>
      </w:pPr>
      <w:r w:rsidRPr="00E556CD">
        <w:rPr>
          <w:rFonts w:ascii="Tahoma" w:hAnsi="Tahoma" w:cs="Tahoma" w:hint="cs"/>
          <w:sz w:val="17"/>
          <w:szCs w:val="17"/>
          <w:rtl/>
        </w:rPr>
        <w:t xml:space="preserve">המשרד לשירותי דת השיב כי הקושי בניהול הנתונים לגבי מצאי מקומות הקבורה מקורו בכך שהוא אינו מוסמך לפעול מול גופי הקבורה שבידיהם נתונים בנדון (למשל, הסמכות לחתום על הסכמים עמם אינה נתונה בידיו אלא בידי הביטוח הלאומי). עוד ציין המשרד כי הוא נמצא בעיצומו של תהליך אפיון </w:t>
      </w:r>
      <w:r w:rsidRPr="00E556CD">
        <w:rPr>
          <w:rFonts w:ascii="Tahoma" w:hAnsi="Tahoma" w:cs="Tahoma" w:hint="cs"/>
          <w:sz w:val="17"/>
          <w:szCs w:val="17"/>
          <w:rtl/>
        </w:rPr>
        <w:t>והטמעה של פתרון מחשובי מרכזי שיאפשר מעקב מדויק אחר גופי קבורה מורשים לרבות אחר מצאי מקומות קבורה.</w:t>
      </w:r>
    </w:p>
    <w:p w:rsidR="00EF45C8" w:rsidRPr="00E556CD" w:rsidP="005F3BD7">
      <w:pPr>
        <w:pStyle w:val="RESHET"/>
        <w:ind w:left="567"/>
        <w:rPr>
          <w:rtl/>
        </w:rPr>
      </w:pPr>
      <w:r w:rsidRPr="00E556CD">
        <w:rPr>
          <w:rFonts w:hint="cs"/>
          <w:rtl/>
        </w:rPr>
        <w:t>משרד</w:t>
      </w:r>
      <w:r w:rsidRPr="00E556CD">
        <w:rPr>
          <w:rtl/>
        </w:rPr>
        <w:t xml:space="preserve"> מבקר המדינה מעיר למשרד לשירותי דת כי </w:t>
      </w:r>
      <w:r w:rsidRPr="00E556CD">
        <w:rPr>
          <w:rFonts w:hint="cs"/>
          <w:rtl/>
        </w:rPr>
        <w:t>יש</w:t>
      </w:r>
      <w:r w:rsidRPr="00E556CD">
        <w:rPr>
          <w:rtl/>
        </w:rPr>
        <w:t xml:space="preserve"> </w:t>
      </w:r>
      <w:r w:rsidRPr="00E556CD">
        <w:rPr>
          <w:rFonts w:hint="cs"/>
          <w:rtl/>
        </w:rPr>
        <w:t>בידיו</w:t>
      </w:r>
      <w:r w:rsidRPr="00E556CD">
        <w:rPr>
          <w:rtl/>
        </w:rPr>
        <w:t xml:space="preserve"> </w:t>
      </w:r>
      <w:r w:rsidRPr="00E556CD">
        <w:rPr>
          <w:rFonts w:hint="cs"/>
          <w:rtl/>
        </w:rPr>
        <w:t>סמכויות</w:t>
      </w:r>
      <w:r w:rsidRPr="00E556CD">
        <w:rPr>
          <w:rtl/>
        </w:rPr>
        <w:t xml:space="preserve"> </w:t>
      </w:r>
      <w:r w:rsidRPr="00E556CD">
        <w:rPr>
          <w:rFonts w:hint="cs"/>
          <w:rtl/>
        </w:rPr>
        <w:t>המאפשרות לו לפקח על</w:t>
      </w:r>
      <w:r w:rsidRPr="00E556CD">
        <w:rPr>
          <w:rtl/>
        </w:rPr>
        <w:t xml:space="preserve"> </w:t>
      </w:r>
      <w:r w:rsidRPr="00E556CD">
        <w:rPr>
          <w:rFonts w:hint="cs"/>
          <w:rtl/>
        </w:rPr>
        <w:t>גופי</w:t>
      </w:r>
      <w:r w:rsidRPr="00E556CD">
        <w:rPr>
          <w:rtl/>
        </w:rPr>
        <w:t xml:space="preserve"> </w:t>
      </w:r>
      <w:r w:rsidRPr="00E556CD">
        <w:rPr>
          <w:rFonts w:hint="cs"/>
          <w:rtl/>
        </w:rPr>
        <w:t>הקבורה,</w:t>
      </w:r>
      <w:r w:rsidRPr="00E556CD">
        <w:rPr>
          <w:rtl/>
        </w:rPr>
        <w:t xml:space="preserve"> </w:t>
      </w:r>
      <w:r w:rsidRPr="00E556CD">
        <w:rPr>
          <w:rFonts w:hint="cs"/>
          <w:rtl/>
        </w:rPr>
        <w:t>כגון</w:t>
      </w:r>
      <w:r w:rsidRPr="00E556CD">
        <w:rPr>
          <w:rtl/>
        </w:rPr>
        <w:t xml:space="preserve"> </w:t>
      </w:r>
      <w:r w:rsidRPr="00E556CD">
        <w:rPr>
          <w:rFonts w:hint="cs"/>
          <w:rtl/>
        </w:rPr>
        <w:t>הסמכות</w:t>
      </w:r>
      <w:r w:rsidRPr="00E556CD">
        <w:rPr>
          <w:rtl/>
        </w:rPr>
        <w:t xml:space="preserve"> </w:t>
      </w:r>
      <w:r w:rsidRPr="00E556CD">
        <w:rPr>
          <w:rFonts w:hint="cs"/>
          <w:rtl/>
        </w:rPr>
        <w:t>למתן</w:t>
      </w:r>
      <w:r w:rsidRPr="00E556CD">
        <w:rPr>
          <w:rtl/>
        </w:rPr>
        <w:t xml:space="preserve"> </w:t>
      </w:r>
      <w:r w:rsidRPr="00E556CD">
        <w:rPr>
          <w:rFonts w:hint="cs"/>
          <w:rtl/>
        </w:rPr>
        <w:t>רישיון</w:t>
      </w:r>
      <w:r w:rsidRPr="00E556CD">
        <w:rPr>
          <w:rtl/>
        </w:rPr>
        <w:t xml:space="preserve"> </w:t>
      </w:r>
      <w:r w:rsidRPr="00E556CD">
        <w:rPr>
          <w:rFonts w:hint="cs"/>
          <w:rtl/>
        </w:rPr>
        <w:t>לגופי</w:t>
      </w:r>
      <w:r w:rsidRPr="00E556CD">
        <w:rPr>
          <w:rtl/>
        </w:rPr>
        <w:t xml:space="preserve"> </w:t>
      </w:r>
      <w:r w:rsidRPr="00E556CD">
        <w:rPr>
          <w:rFonts w:hint="cs"/>
          <w:rtl/>
        </w:rPr>
        <w:t>קבורה</w:t>
      </w:r>
      <w:r w:rsidRPr="00E556CD">
        <w:rPr>
          <w:rtl/>
        </w:rPr>
        <w:t xml:space="preserve"> ו</w:t>
      </w:r>
      <w:r w:rsidRPr="00E556CD">
        <w:rPr>
          <w:rFonts w:hint="cs"/>
          <w:rtl/>
        </w:rPr>
        <w:t>לחידושו</w:t>
      </w:r>
      <w:r w:rsidRPr="00E556CD">
        <w:rPr>
          <w:rtl/>
        </w:rPr>
        <w:t>.</w:t>
      </w:r>
    </w:p>
    <w:p w:rsidR="00EF45C8" w:rsidRPr="00E556CD" w:rsidP="005F3BD7">
      <w:pPr>
        <w:pStyle w:val="ListParagraph"/>
        <w:numPr>
          <w:ilvl w:val="0"/>
          <w:numId w:val="6"/>
        </w:numPr>
        <w:autoSpaceDE/>
        <w:autoSpaceDN/>
        <w:adjustRightInd/>
        <w:spacing w:before="180" w:line="240" w:lineRule="exact"/>
        <w:ind w:left="340" w:right="2268" w:hanging="340"/>
        <w:contextualSpacing/>
        <w:rPr>
          <w:sz w:val="17"/>
          <w:szCs w:val="17"/>
          <w:rtl/>
        </w:rPr>
      </w:pPr>
      <w:r w:rsidRPr="00E556CD">
        <w:rPr>
          <w:sz w:val="17"/>
          <w:szCs w:val="17"/>
          <w:rtl/>
        </w:rPr>
        <w:t xml:space="preserve">בסיכום ישיבה </w:t>
      </w:r>
      <w:r w:rsidRPr="00E556CD">
        <w:rPr>
          <w:rFonts w:hint="cs"/>
          <w:sz w:val="17"/>
          <w:szCs w:val="17"/>
          <w:rtl/>
        </w:rPr>
        <w:t xml:space="preserve">שהתקיימה </w:t>
      </w:r>
      <w:r w:rsidRPr="00E556CD">
        <w:rPr>
          <w:sz w:val="17"/>
          <w:szCs w:val="17"/>
          <w:rtl/>
        </w:rPr>
        <w:t xml:space="preserve">ביוני 2016 במשרד לשירותי דת </w:t>
      </w:r>
      <w:r w:rsidRPr="00E556CD">
        <w:rPr>
          <w:rFonts w:hint="cs"/>
          <w:sz w:val="17"/>
          <w:szCs w:val="17"/>
          <w:rtl/>
        </w:rPr>
        <w:t>נרשם כי</w:t>
      </w:r>
      <w:r w:rsidRPr="00E556CD">
        <w:rPr>
          <w:sz w:val="17"/>
          <w:szCs w:val="17"/>
          <w:rtl/>
        </w:rPr>
        <w:t xml:space="preserve"> "</w:t>
      </w:r>
      <w:r w:rsidRPr="00E556CD">
        <w:rPr>
          <w:rFonts w:hint="cs"/>
          <w:sz w:val="17"/>
          <w:szCs w:val="17"/>
          <w:rtl/>
        </w:rPr>
        <w:t>ככלל</w:t>
      </w:r>
      <w:r w:rsidRPr="00E556CD">
        <w:rPr>
          <w:sz w:val="17"/>
          <w:szCs w:val="17"/>
          <w:rtl/>
        </w:rPr>
        <w:t xml:space="preserve">, </w:t>
      </w:r>
      <w:r w:rsidRPr="00E556CD">
        <w:rPr>
          <w:rFonts w:hint="cs"/>
          <w:sz w:val="17"/>
          <w:szCs w:val="17"/>
          <w:rtl/>
        </w:rPr>
        <w:t>המצב</w:t>
      </w:r>
      <w:r w:rsidRPr="00E556CD">
        <w:rPr>
          <w:sz w:val="17"/>
          <w:szCs w:val="17"/>
          <w:rtl/>
        </w:rPr>
        <w:t xml:space="preserve"> </w:t>
      </w:r>
      <w:r w:rsidRPr="00E556CD">
        <w:rPr>
          <w:rFonts w:hint="cs"/>
          <w:sz w:val="17"/>
          <w:szCs w:val="17"/>
          <w:rtl/>
        </w:rPr>
        <w:t>בקבורה</w:t>
      </w:r>
      <w:r w:rsidRPr="00E556CD">
        <w:rPr>
          <w:sz w:val="17"/>
          <w:szCs w:val="17"/>
          <w:rtl/>
        </w:rPr>
        <w:t xml:space="preserve"> </w:t>
      </w:r>
      <w:r w:rsidRPr="00E556CD">
        <w:rPr>
          <w:rFonts w:hint="cs"/>
          <w:sz w:val="17"/>
          <w:szCs w:val="17"/>
          <w:rtl/>
        </w:rPr>
        <w:t>אזרחית</w:t>
      </w:r>
      <w:r w:rsidRPr="00E556CD">
        <w:rPr>
          <w:sz w:val="17"/>
          <w:szCs w:val="17"/>
          <w:rtl/>
        </w:rPr>
        <w:t xml:space="preserve"> </w:t>
      </w:r>
      <w:r w:rsidRPr="00E556CD">
        <w:rPr>
          <w:rFonts w:hint="cs"/>
          <w:sz w:val="17"/>
          <w:szCs w:val="17"/>
          <w:rtl/>
        </w:rPr>
        <w:t>הוא</w:t>
      </w:r>
      <w:r w:rsidRPr="00E556CD">
        <w:rPr>
          <w:sz w:val="17"/>
          <w:szCs w:val="17"/>
          <w:rtl/>
        </w:rPr>
        <w:t xml:space="preserve"> </w:t>
      </w:r>
      <w:r w:rsidRPr="00E556CD">
        <w:rPr>
          <w:rFonts w:hint="cs"/>
          <w:sz w:val="17"/>
          <w:szCs w:val="17"/>
          <w:rtl/>
        </w:rPr>
        <w:t>כי</w:t>
      </w:r>
      <w:r w:rsidRPr="00E556CD">
        <w:rPr>
          <w:sz w:val="17"/>
          <w:szCs w:val="17"/>
          <w:rtl/>
        </w:rPr>
        <w:t xml:space="preserve"> </w:t>
      </w:r>
      <w:r w:rsidRPr="00E556CD">
        <w:rPr>
          <w:rFonts w:hint="cs"/>
          <w:sz w:val="17"/>
          <w:szCs w:val="17"/>
          <w:rtl/>
        </w:rPr>
        <w:t>יש</w:t>
      </w:r>
      <w:r w:rsidRPr="00E556CD">
        <w:rPr>
          <w:sz w:val="17"/>
          <w:szCs w:val="17"/>
          <w:rtl/>
        </w:rPr>
        <w:t xml:space="preserve"> </w:t>
      </w:r>
      <w:r w:rsidRPr="00E556CD">
        <w:rPr>
          <w:rFonts w:hint="cs"/>
          <w:sz w:val="17"/>
          <w:szCs w:val="17"/>
          <w:rtl/>
        </w:rPr>
        <w:t>ביקוש</w:t>
      </w:r>
      <w:r w:rsidRPr="00E556CD">
        <w:rPr>
          <w:sz w:val="17"/>
          <w:szCs w:val="17"/>
          <w:rtl/>
        </w:rPr>
        <w:t xml:space="preserve"> (גם </w:t>
      </w:r>
      <w:r w:rsidRPr="00E556CD">
        <w:rPr>
          <w:rFonts w:hint="cs"/>
          <w:sz w:val="17"/>
          <w:szCs w:val="17"/>
          <w:rtl/>
        </w:rPr>
        <w:t>אם</w:t>
      </w:r>
      <w:r w:rsidRPr="00E556CD">
        <w:rPr>
          <w:sz w:val="17"/>
          <w:szCs w:val="17"/>
          <w:rtl/>
        </w:rPr>
        <w:t xml:space="preserve"> </w:t>
      </w:r>
      <w:r w:rsidRPr="00E556CD">
        <w:rPr>
          <w:rFonts w:hint="cs"/>
          <w:sz w:val="17"/>
          <w:szCs w:val="17"/>
          <w:rtl/>
        </w:rPr>
        <w:t>הוא</w:t>
      </w:r>
      <w:r w:rsidRPr="00E556CD">
        <w:rPr>
          <w:sz w:val="17"/>
          <w:szCs w:val="17"/>
          <w:rtl/>
        </w:rPr>
        <w:t xml:space="preserve"> </w:t>
      </w:r>
      <w:r w:rsidRPr="00E556CD">
        <w:rPr>
          <w:rFonts w:hint="cs"/>
          <w:sz w:val="17"/>
          <w:szCs w:val="17"/>
          <w:rtl/>
        </w:rPr>
        <w:t>לא</w:t>
      </w:r>
      <w:r w:rsidRPr="00E556CD">
        <w:rPr>
          <w:sz w:val="17"/>
          <w:szCs w:val="17"/>
          <w:rtl/>
        </w:rPr>
        <w:t xml:space="preserve"> </w:t>
      </w:r>
      <w:r w:rsidRPr="00E556CD">
        <w:rPr>
          <w:rFonts w:hint="cs"/>
          <w:sz w:val="17"/>
          <w:szCs w:val="17"/>
          <w:rtl/>
        </w:rPr>
        <w:t>מאוד</w:t>
      </w:r>
      <w:r w:rsidRPr="00E556CD">
        <w:rPr>
          <w:sz w:val="17"/>
          <w:szCs w:val="17"/>
          <w:rtl/>
        </w:rPr>
        <w:t xml:space="preserve"> </w:t>
      </w:r>
      <w:r w:rsidRPr="00E556CD">
        <w:rPr>
          <w:rFonts w:hint="cs"/>
          <w:sz w:val="17"/>
          <w:szCs w:val="17"/>
          <w:rtl/>
        </w:rPr>
        <w:t>גבוה</w:t>
      </w:r>
      <w:r w:rsidRPr="00E556CD">
        <w:rPr>
          <w:sz w:val="17"/>
          <w:szCs w:val="17"/>
          <w:rtl/>
        </w:rPr>
        <w:t xml:space="preserve">) </w:t>
      </w:r>
      <w:r w:rsidRPr="00E556CD">
        <w:rPr>
          <w:rFonts w:hint="cs"/>
          <w:sz w:val="17"/>
          <w:szCs w:val="17"/>
          <w:rtl/>
        </w:rPr>
        <w:t>אך</w:t>
      </w:r>
      <w:r w:rsidRPr="00E556CD">
        <w:rPr>
          <w:sz w:val="17"/>
          <w:szCs w:val="17"/>
          <w:rtl/>
        </w:rPr>
        <w:t xml:space="preserve"> </w:t>
      </w:r>
      <w:r w:rsidRPr="00E556CD">
        <w:rPr>
          <w:rFonts w:hint="cs"/>
          <w:sz w:val="17"/>
          <w:szCs w:val="17"/>
          <w:rtl/>
        </w:rPr>
        <w:t>אין</w:t>
      </w:r>
      <w:r w:rsidRPr="00E556CD">
        <w:rPr>
          <w:sz w:val="17"/>
          <w:szCs w:val="17"/>
          <w:rtl/>
        </w:rPr>
        <w:t xml:space="preserve"> </w:t>
      </w:r>
      <w:r w:rsidRPr="00E556CD">
        <w:rPr>
          <w:rFonts w:hint="cs"/>
          <w:sz w:val="17"/>
          <w:szCs w:val="17"/>
          <w:rtl/>
        </w:rPr>
        <w:t>היצע</w:t>
      </w:r>
      <w:r w:rsidRPr="00E556CD">
        <w:rPr>
          <w:sz w:val="17"/>
          <w:szCs w:val="17"/>
          <w:rtl/>
        </w:rPr>
        <w:t xml:space="preserve">". </w:t>
      </w:r>
      <w:r w:rsidRPr="00E556CD">
        <w:rPr>
          <w:rFonts w:hint="cs"/>
          <w:sz w:val="17"/>
          <w:szCs w:val="17"/>
          <w:rtl/>
        </w:rPr>
        <w:t>מסיכום</w:t>
      </w:r>
      <w:r w:rsidRPr="00E556CD">
        <w:rPr>
          <w:sz w:val="17"/>
          <w:szCs w:val="17"/>
          <w:rtl/>
        </w:rPr>
        <w:t xml:space="preserve"> </w:t>
      </w:r>
      <w:r w:rsidRPr="00E556CD">
        <w:rPr>
          <w:rFonts w:hint="cs"/>
          <w:sz w:val="17"/>
          <w:szCs w:val="17"/>
          <w:rtl/>
        </w:rPr>
        <w:t>הישיבה</w:t>
      </w:r>
      <w:r w:rsidRPr="00E556CD">
        <w:rPr>
          <w:sz w:val="17"/>
          <w:szCs w:val="17"/>
          <w:rtl/>
        </w:rPr>
        <w:t xml:space="preserve"> </w:t>
      </w:r>
      <w:r w:rsidRPr="00E556CD">
        <w:rPr>
          <w:rFonts w:hint="cs"/>
          <w:sz w:val="17"/>
          <w:szCs w:val="17"/>
          <w:rtl/>
        </w:rPr>
        <w:t>עולה</w:t>
      </w:r>
      <w:r w:rsidRPr="00E556CD">
        <w:rPr>
          <w:sz w:val="17"/>
          <w:szCs w:val="17"/>
          <w:rtl/>
        </w:rPr>
        <w:t xml:space="preserve"> כי לא </w:t>
      </w:r>
      <w:r w:rsidRPr="00E556CD">
        <w:rPr>
          <w:rFonts w:hint="cs"/>
          <w:sz w:val="17"/>
          <w:szCs w:val="17"/>
          <w:rtl/>
        </w:rPr>
        <w:t>פורטו</w:t>
      </w:r>
      <w:r w:rsidRPr="00E556CD">
        <w:rPr>
          <w:sz w:val="17"/>
          <w:szCs w:val="17"/>
          <w:rtl/>
        </w:rPr>
        <w:t xml:space="preserve"> </w:t>
      </w:r>
      <w:r w:rsidRPr="00E556CD">
        <w:rPr>
          <w:rFonts w:hint="cs"/>
          <w:sz w:val="17"/>
          <w:szCs w:val="17"/>
          <w:rtl/>
        </w:rPr>
        <w:t>בה</w:t>
      </w:r>
      <w:r w:rsidRPr="00E556CD">
        <w:rPr>
          <w:sz w:val="17"/>
          <w:szCs w:val="17"/>
          <w:rtl/>
        </w:rPr>
        <w:t xml:space="preserve"> </w:t>
      </w:r>
      <w:r w:rsidRPr="00E556CD">
        <w:rPr>
          <w:rFonts w:hint="cs"/>
          <w:sz w:val="17"/>
          <w:szCs w:val="17"/>
          <w:rtl/>
        </w:rPr>
        <w:t>נתונים</w:t>
      </w:r>
      <w:r w:rsidRPr="00E556CD">
        <w:rPr>
          <w:sz w:val="17"/>
          <w:szCs w:val="17"/>
          <w:rtl/>
        </w:rPr>
        <w:t xml:space="preserve"> כמותיים בעניין שיעורי הביקוש </w:t>
      </w:r>
      <w:r w:rsidRPr="00E556CD">
        <w:rPr>
          <w:rFonts w:hint="cs"/>
          <w:sz w:val="17"/>
          <w:szCs w:val="17"/>
          <w:rtl/>
        </w:rPr>
        <w:t>וההיצע</w:t>
      </w:r>
      <w:r w:rsidRPr="00E556CD">
        <w:rPr>
          <w:sz w:val="17"/>
          <w:szCs w:val="17"/>
          <w:rtl/>
        </w:rPr>
        <w:t xml:space="preserve"> </w:t>
      </w:r>
      <w:r w:rsidRPr="00E556CD">
        <w:rPr>
          <w:rFonts w:hint="cs"/>
          <w:sz w:val="17"/>
          <w:szCs w:val="17"/>
          <w:rtl/>
        </w:rPr>
        <w:t>של</w:t>
      </w:r>
      <w:r w:rsidRPr="00E556CD">
        <w:rPr>
          <w:sz w:val="17"/>
          <w:szCs w:val="17"/>
          <w:rtl/>
        </w:rPr>
        <w:t xml:space="preserve"> </w:t>
      </w:r>
      <w:r w:rsidRPr="00E556CD">
        <w:rPr>
          <w:rFonts w:hint="cs"/>
          <w:sz w:val="17"/>
          <w:szCs w:val="17"/>
          <w:rtl/>
        </w:rPr>
        <w:t>מקומות</w:t>
      </w:r>
      <w:r w:rsidRPr="00E556CD">
        <w:rPr>
          <w:sz w:val="17"/>
          <w:szCs w:val="17"/>
          <w:rtl/>
        </w:rPr>
        <w:t xml:space="preserve"> </w:t>
      </w:r>
      <w:r w:rsidRPr="00E556CD">
        <w:rPr>
          <w:rFonts w:hint="cs"/>
          <w:sz w:val="17"/>
          <w:szCs w:val="17"/>
          <w:rtl/>
        </w:rPr>
        <w:t>הקבורה</w:t>
      </w:r>
      <w:r w:rsidRPr="00E556CD">
        <w:rPr>
          <w:sz w:val="17"/>
          <w:szCs w:val="17"/>
          <w:rtl/>
        </w:rPr>
        <w:t xml:space="preserve"> </w:t>
      </w:r>
      <w:r w:rsidRPr="00E556CD">
        <w:rPr>
          <w:rFonts w:hint="cs"/>
          <w:sz w:val="17"/>
          <w:szCs w:val="17"/>
          <w:rtl/>
        </w:rPr>
        <w:t>האזרחית</w:t>
      </w:r>
      <w:r w:rsidRPr="00E556CD">
        <w:rPr>
          <w:sz w:val="17"/>
          <w:szCs w:val="17"/>
          <w:rtl/>
        </w:rPr>
        <w:t xml:space="preserve">, </w:t>
      </w:r>
      <w:r w:rsidRPr="00E556CD">
        <w:rPr>
          <w:rFonts w:hint="cs"/>
          <w:sz w:val="17"/>
          <w:szCs w:val="17"/>
          <w:rtl/>
        </w:rPr>
        <w:t>שניתן</w:t>
      </w:r>
      <w:r w:rsidRPr="00E556CD">
        <w:rPr>
          <w:sz w:val="17"/>
          <w:szCs w:val="17"/>
          <w:rtl/>
        </w:rPr>
        <w:t xml:space="preserve"> </w:t>
      </w:r>
      <w:r w:rsidRPr="00E556CD">
        <w:rPr>
          <w:rFonts w:hint="cs"/>
          <w:sz w:val="17"/>
          <w:szCs w:val="17"/>
          <w:rtl/>
        </w:rPr>
        <w:t>להסיק</w:t>
      </w:r>
      <w:r w:rsidRPr="00E556CD">
        <w:rPr>
          <w:sz w:val="17"/>
          <w:szCs w:val="17"/>
          <w:rtl/>
        </w:rPr>
        <w:t xml:space="preserve"> </w:t>
      </w:r>
      <w:r w:rsidRPr="00E556CD">
        <w:rPr>
          <w:rFonts w:hint="cs"/>
          <w:sz w:val="17"/>
          <w:szCs w:val="17"/>
          <w:rtl/>
        </w:rPr>
        <w:t>מהם מהו</w:t>
      </w:r>
      <w:r w:rsidRPr="00E556CD">
        <w:rPr>
          <w:sz w:val="17"/>
          <w:szCs w:val="17"/>
          <w:rtl/>
        </w:rPr>
        <w:t xml:space="preserve"> </w:t>
      </w:r>
      <w:r w:rsidRPr="00E556CD">
        <w:rPr>
          <w:rFonts w:hint="cs"/>
          <w:sz w:val="17"/>
          <w:szCs w:val="17"/>
          <w:rtl/>
        </w:rPr>
        <w:t>הפער</w:t>
      </w:r>
      <w:r w:rsidRPr="00E556CD">
        <w:rPr>
          <w:sz w:val="17"/>
          <w:szCs w:val="17"/>
          <w:rtl/>
        </w:rPr>
        <w:t xml:space="preserve"> </w:t>
      </w:r>
      <w:r w:rsidRPr="00E556CD">
        <w:rPr>
          <w:rFonts w:hint="cs"/>
          <w:sz w:val="17"/>
          <w:szCs w:val="17"/>
          <w:rtl/>
        </w:rPr>
        <w:t>בין</w:t>
      </w:r>
      <w:r w:rsidRPr="00E556CD">
        <w:rPr>
          <w:sz w:val="17"/>
          <w:szCs w:val="17"/>
          <w:rtl/>
        </w:rPr>
        <w:t xml:space="preserve"> </w:t>
      </w:r>
      <w:r w:rsidRPr="00E556CD">
        <w:rPr>
          <w:rFonts w:hint="cs"/>
          <w:sz w:val="17"/>
          <w:szCs w:val="17"/>
          <w:rtl/>
        </w:rPr>
        <w:t>המצאי</w:t>
      </w:r>
      <w:r w:rsidRPr="00E556CD">
        <w:rPr>
          <w:sz w:val="17"/>
          <w:szCs w:val="17"/>
          <w:rtl/>
        </w:rPr>
        <w:t xml:space="preserve"> </w:t>
      </w:r>
      <w:r w:rsidRPr="00E556CD">
        <w:rPr>
          <w:rFonts w:hint="cs"/>
          <w:sz w:val="17"/>
          <w:szCs w:val="17"/>
          <w:rtl/>
        </w:rPr>
        <w:t>הקיים של מקומות</w:t>
      </w:r>
      <w:r w:rsidRPr="00E556CD">
        <w:rPr>
          <w:sz w:val="17"/>
          <w:szCs w:val="17"/>
          <w:rtl/>
        </w:rPr>
        <w:t xml:space="preserve"> </w:t>
      </w:r>
      <w:r w:rsidRPr="00E556CD">
        <w:rPr>
          <w:rFonts w:hint="cs"/>
          <w:sz w:val="17"/>
          <w:szCs w:val="17"/>
          <w:rtl/>
        </w:rPr>
        <w:t>הקבורה</w:t>
      </w:r>
      <w:r w:rsidRPr="00E556CD">
        <w:rPr>
          <w:sz w:val="17"/>
          <w:szCs w:val="17"/>
          <w:rtl/>
        </w:rPr>
        <w:t xml:space="preserve"> </w:t>
      </w:r>
      <w:r w:rsidRPr="00E556CD">
        <w:rPr>
          <w:rFonts w:hint="cs"/>
          <w:sz w:val="17"/>
          <w:szCs w:val="17"/>
          <w:rtl/>
        </w:rPr>
        <w:t>לבין</w:t>
      </w:r>
      <w:r w:rsidRPr="00E556CD">
        <w:rPr>
          <w:sz w:val="17"/>
          <w:szCs w:val="17"/>
          <w:rtl/>
        </w:rPr>
        <w:t xml:space="preserve"> </w:t>
      </w:r>
      <w:r w:rsidRPr="00E556CD">
        <w:rPr>
          <w:rFonts w:hint="cs"/>
          <w:sz w:val="17"/>
          <w:szCs w:val="17"/>
          <w:rtl/>
        </w:rPr>
        <w:t>הביקוש</w:t>
      </w:r>
      <w:r w:rsidRPr="00E556CD">
        <w:rPr>
          <w:sz w:val="17"/>
          <w:szCs w:val="17"/>
          <w:rtl/>
        </w:rPr>
        <w:t xml:space="preserve"> </w:t>
      </w:r>
      <w:r w:rsidRPr="00E556CD">
        <w:rPr>
          <w:rFonts w:hint="cs"/>
          <w:sz w:val="17"/>
          <w:szCs w:val="17"/>
          <w:rtl/>
        </w:rPr>
        <w:t>למקומות</w:t>
      </w:r>
      <w:r w:rsidRPr="00E556CD">
        <w:rPr>
          <w:sz w:val="17"/>
          <w:szCs w:val="17"/>
          <w:rtl/>
        </w:rPr>
        <w:t xml:space="preserve"> </w:t>
      </w:r>
      <w:r w:rsidRPr="00E556CD">
        <w:rPr>
          <w:rFonts w:hint="cs"/>
          <w:sz w:val="17"/>
          <w:szCs w:val="17"/>
          <w:rtl/>
        </w:rPr>
        <w:t>אלה, ולכן לא ניתן</w:t>
      </w:r>
      <w:r w:rsidRPr="00E556CD">
        <w:rPr>
          <w:sz w:val="17"/>
          <w:szCs w:val="17"/>
          <w:rtl/>
        </w:rPr>
        <w:t xml:space="preserve"> </w:t>
      </w:r>
      <w:r w:rsidRPr="00E556CD">
        <w:rPr>
          <w:rFonts w:hint="cs"/>
          <w:sz w:val="17"/>
          <w:szCs w:val="17"/>
          <w:rtl/>
        </w:rPr>
        <w:t>לקבוע את המסגרת</w:t>
      </w:r>
      <w:r w:rsidRPr="00E556CD">
        <w:rPr>
          <w:sz w:val="17"/>
          <w:szCs w:val="17"/>
          <w:rtl/>
        </w:rPr>
        <w:t xml:space="preserve"> </w:t>
      </w:r>
      <w:r w:rsidRPr="00E556CD">
        <w:rPr>
          <w:rFonts w:hint="cs"/>
          <w:sz w:val="17"/>
          <w:szCs w:val="17"/>
          <w:rtl/>
        </w:rPr>
        <w:t>התקציבית</w:t>
      </w:r>
      <w:r w:rsidRPr="00E556CD">
        <w:rPr>
          <w:sz w:val="17"/>
          <w:szCs w:val="17"/>
          <w:rtl/>
        </w:rPr>
        <w:t xml:space="preserve"> </w:t>
      </w:r>
      <w:r w:rsidRPr="00E556CD">
        <w:rPr>
          <w:rFonts w:hint="cs"/>
          <w:sz w:val="17"/>
          <w:szCs w:val="17"/>
          <w:rtl/>
        </w:rPr>
        <w:t>הנדרשת</w:t>
      </w:r>
      <w:r w:rsidRPr="00E556CD">
        <w:rPr>
          <w:sz w:val="17"/>
          <w:szCs w:val="17"/>
          <w:rtl/>
        </w:rPr>
        <w:t xml:space="preserve"> למימון מקומות הקבורה האזרחית </w:t>
      </w:r>
      <w:r w:rsidRPr="00E556CD">
        <w:rPr>
          <w:rFonts w:hint="cs"/>
          <w:sz w:val="17"/>
          <w:szCs w:val="17"/>
          <w:rtl/>
        </w:rPr>
        <w:t>בהיקף</w:t>
      </w:r>
      <w:r w:rsidRPr="00E556CD">
        <w:rPr>
          <w:sz w:val="17"/>
          <w:szCs w:val="17"/>
          <w:rtl/>
        </w:rPr>
        <w:t xml:space="preserve"> </w:t>
      </w:r>
      <w:r w:rsidRPr="00E556CD">
        <w:rPr>
          <w:rFonts w:hint="cs"/>
          <w:sz w:val="17"/>
          <w:szCs w:val="17"/>
          <w:rtl/>
        </w:rPr>
        <w:t>שיאפשר למלא את ה</w:t>
      </w:r>
      <w:r w:rsidRPr="00E556CD">
        <w:rPr>
          <w:sz w:val="17"/>
          <w:szCs w:val="17"/>
          <w:rtl/>
        </w:rPr>
        <w:t xml:space="preserve">ביקוש </w:t>
      </w:r>
      <w:r w:rsidRPr="00E556CD">
        <w:rPr>
          <w:rFonts w:hint="cs"/>
          <w:sz w:val="17"/>
          <w:szCs w:val="17"/>
          <w:rtl/>
        </w:rPr>
        <w:t>ה</w:t>
      </w:r>
      <w:r w:rsidRPr="00E556CD">
        <w:rPr>
          <w:sz w:val="17"/>
          <w:szCs w:val="17"/>
          <w:rtl/>
        </w:rPr>
        <w:t>קיים ו</w:t>
      </w:r>
      <w:r w:rsidRPr="00E556CD">
        <w:rPr>
          <w:rFonts w:hint="cs"/>
          <w:sz w:val="17"/>
          <w:szCs w:val="17"/>
          <w:rtl/>
        </w:rPr>
        <w:t>ה</w:t>
      </w:r>
      <w:r w:rsidRPr="00E556CD">
        <w:rPr>
          <w:sz w:val="17"/>
          <w:szCs w:val="17"/>
          <w:rtl/>
        </w:rPr>
        <w:t xml:space="preserve">עתידי </w:t>
      </w:r>
      <w:r w:rsidRPr="00E556CD">
        <w:rPr>
          <w:rFonts w:hint="cs"/>
          <w:sz w:val="17"/>
          <w:szCs w:val="17"/>
          <w:rtl/>
        </w:rPr>
        <w:t>למקומות</w:t>
      </w:r>
      <w:r w:rsidRPr="00E556CD">
        <w:rPr>
          <w:sz w:val="17"/>
          <w:szCs w:val="17"/>
          <w:rtl/>
        </w:rPr>
        <w:t xml:space="preserve"> </w:t>
      </w:r>
      <w:r w:rsidRPr="00E556CD">
        <w:rPr>
          <w:rFonts w:hint="cs"/>
          <w:sz w:val="17"/>
          <w:szCs w:val="17"/>
          <w:rtl/>
        </w:rPr>
        <w:t>אלה</w:t>
      </w:r>
      <w:r w:rsidRPr="00E556CD">
        <w:rPr>
          <w:sz w:val="17"/>
          <w:szCs w:val="17"/>
          <w:rtl/>
        </w:rPr>
        <w:t>.</w:t>
      </w:r>
    </w:p>
    <w:p w:rsidR="00EF45C8" w:rsidRPr="00E556CD" w:rsidP="005F3BD7">
      <w:pPr>
        <w:spacing w:after="240" w:line="240" w:lineRule="exact"/>
        <w:ind w:left="340" w:right="2268"/>
        <w:jc w:val="both"/>
        <w:rPr>
          <w:rFonts w:ascii="Tahoma" w:hAnsi="Tahoma" w:cs="Tahoma"/>
          <w:sz w:val="17"/>
          <w:szCs w:val="17"/>
          <w:rtl/>
        </w:rPr>
      </w:pPr>
      <w:r w:rsidRPr="00E556CD">
        <w:rPr>
          <w:rFonts w:ascii="Tahoma" w:hAnsi="Tahoma" w:cs="Tahoma" w:hint="cs"/>
          <w:sz w:val="17"/>
          <w:szCs w:val="17"/>
          <w:rtl/>
        </w:rPr>
        <w:t xml:space="preserve">בתשובתו מסר המשרד לשירותי דת כי החל משנת 2013 הוא ביצע סקר, המתעדכן מפעם לפעם ולאחרונה בדצמבר 2016, בשיתוף עם </w:t>
      </w:r>
      <w:r w:rsidRPr="00E556CD">
        <w:rPr>
          <w:rFonts w:ascii="Tahoma" w:hAnsi="Tahoma" w:cs="Tahoma" w:hint="cs"/>
          <w:sz w:val="17"/>
          <w:szCs w:val="17"/>
          <w:rtl/>
        </w:rPr>
        <w:t>רמ"י</w:t>
      </w:r>
      <w:r w:rsidRPr="00E556CD">
        <w:rPr>
          <w:rFonts w:ascii="Tahoma" w:hAnsi="Tahoma" w:cs="Tahoma" w:hint="cs"/>
          <w:sz w:val="17"/>
          <w:szCs w:val="17"/>
          <w:rtl/>
        </w:rPr>
        <w:t>, המשמש בסיס נתונים לקביעת המסגרת התקציבית למימון מקומות הקבורה האזרחית.</w:t>
      </w:r>
    </w:p>
    <w:p w:rsidR="00EF45C8" w:rsidRPr="00E556CD" w:rsidP="005F3BD7">
      <w:pPr>
        <w:pStyle w:val="RESHET"/>
        <w:rPr>
          <w:rtl/>
        </w:rPr>
      </w:pPr>
      <w:r w:rsidRPr="00E556CD">
        <w:rPr>
          <w:rFonts w:hint="cs"/>
          <w:rtl/>
        </w:rPr>
        <w:t>מבדיקת הסקר ועדכוניו עולה כי הנתונים שנכללו בו אינם משקפים את ההיצע הזמין לקבורה אזרחית</w:t>
      </w:r>
      <w:r>
        <w:rPr>
          <w:rStyle w:val="FootnoteReference0"/>
          <w:rtl/>
        </w:rPr>
        <w:footnoteReference w:id="15"/>
      </w:r>
      <w:r w:rsidRPr="00E556CD">
        <w:rPr>
          <w:rFonts w:hint="cs"/>
          <w:rtl/>
        </w:rPr>
        <w:t>, ומכאן שאי אפשר ללמוד מהם על הפער בין המצאי הקיים של מקומות קבורה למצאי הנדרש לפי הערכות הביקוש. מדובר בליקוי</w:t>
      </w:r>
      <w:r w:rsidRPr="00E556CD">
        <w:rPr>
          <w:rtl/>
        </w:rPr>
        <w:t xml:space="preserve"> מהותי </w:t>
      </w:r>
      <w:r w:rsidRPr="00E556CD">
        <w:rPr>
          <w:rFonts w:hint="cs"/>
          <w:rtl/>
        </w:rPr>
        <w:t>בעבודת המטה הנדרשת ל</w:t>
      </w:r>
      <w:r w:rsidRPr="00E556CD">
        <w:rPr>
          <w:rtl/>
        </w:rPr>
        <w:t xml:space="preserve">קביעת </w:t>
      </w:r>
      <w:r w:rsidRPr="00E556CD">
        <w:rPr>
          <w:rFonts w:hint="cs"/>
          <w:rtl/>
        </w:rPr>
        <w:t>ה</w:t>
      </w:r>
      <w:r w:rsidRPr="00E556CD">
        <w:rPr>
          <w:rtl/>
        </w:rPr>
        <w:t xml:space="preserve">מדיניות </w:t>
      </w:r>
      <w:r w:rsidRPr="00E556CD">
        <w:rPr>
          <w:rFonts w:hint="cs"/>
          <w:rtl/>
        </w:rPr>
        <w:t>ה</w:t>
      </w:r>
      <w:r w:rsidRPr="00E556CD">
        <w:rPr>
          <w:rtl/>
        </w:rPr>
        <w:t>ממשלתית בתחום הקבורה האזרחית.</w:t>
      </w:r>
    </w:p>
    <w:p w:rsidR="00EF45C8" w:rsidP="00E556CD">
      <w:pPr>
        <w:spacing w:line="240" w:lineRule="exact"/>
        <w:ind w:right="2268"/>
        <w:jc w:val="both"/>
        <w:rPr>
          <w:rFonts w:ascii="Tahoma" w:hAnsi="Tahoma" w:cs="Tahoma"/>
          <w:sz w:val="17"/>
          <w:szCs w:val="17"/>
          <w:rtl/>
        </w:rPr>
      </w:pPr>
    </w:p>
    <w:p w:rsidR="005F3BD7" w:rsidRPr="00E556CD" w:rsidP="00E556CD">
      <w:pPr>
        <w:spacing w:line="240" w:lineRule="exact"/>
        <w:ind w:right="2268"/>
        <w:jc w:val="both"/>
        <w:rPr>
          <w:rFonts w:ascii="Tahoma" w:hAnsi="Tahoma" w:cs="Tahoma"/>
          <w:sz w:val="17"/>
          <w:szCs w:val="17"/>
          <w:rtl/>
        </w:rPr>
      </w:pPr>
    </w:p>
    <w:p w:rsidR="00EF45C8" w:rsidP="006B7001">
      <w:pPr>
        <w:pStyle w:val="KOT4"/>
        <w:rPr>
          <w:rtl/>
        </w:rPr>
      </w:pPr>
      <w:r>
        <w:rPr>
          <w:rFonts w:hint="cs"/>
          <w:rtl/>
        </w:rPr>
        <w:t>אומדן הביקוש לקבורה אזרחית</w:t>
      </w:r>
    </w:p>
    <w:p w:rsidR="00EF45C8" w:rsidRPr="00E556CD" w:rsidP="00E556CD">
      <w:pPr>
        <w:spacing w:line="240" w:lineRule="exact"/>
        <w:ind w:right="2268"/>
        <w:jc w:val="both"/>
        <w:rPr>
          <w:rFonts w:ascii="Tahoma" w:hAnsi="Tahoma" w:cs="Tahoma"/>
          <w:sz w:val="17"/>
          <w:szCs w:val="17"/>
          <w:rtl/>
        </w:rPr>
      </w:pPr>
      <w:r w:rsidRPr="005F3BD7">
        <w:rPr>
          <w:rStyle w:val="Heading7Char"/>
          <w:rFonts w:ascii="Tahoma" w:hAnsi="Tahoma" w:cs="Tahoma" w:hint="cs"/>
          <w:sz w:val="17"/>
          <w:szCs w:val="17"/>
          <w:rtl/>
        </w:rPr>
        <w:t>אומדן הביקוש לקבורה אזרחית בשנת 2015:</w:t>
      </w:r>
      <w:r w:rsidRPr="00E556CD">
        <w:rPr>
          <w:rFonts w:ascii="Tahoma" w:hAnsi="Tahoma" w:cs="Tahoma" w:hint="cs"/>
          <w:sz w:val="17"/>
          <w:szCs w:val="17"/>
          <w:rtl/>
        </w:rPr>
        <w:t xml:space="preserve"> על</w:t>
      </w:r>
      <w:r w:rsidRPr="00E556CD">
        <w:rPr>
          <w:rFonts w:ascii="Tahoma" w:hAnsi="Tahoma" w:cs="Tahoma"/>
          <w:sz w:val="17"/>
          <w:szCs w:val="17"/>
          <w:rtl/>
        </w:rPr>
        <w:t xml:space="preserve"> פי נתוני הלשכה המרכזית לסטטיסטיקה (להלן - </w:t>
      </w:r>
      <w:r w:rsidRPr="00E556CD">
        <w:rPr>
          <w:rFonts w:ascii="Tahoma" w:hAnsi="Tahoma" w:cs="Tahoma" w:hint="cs"/>
          <w:sz w:val="17"/>
          <w:szCs w:val="17"/>
          <w:rtl/>
        </w:rPr>
        <w:t>למ</w:t>
      </w:r>
      <w:r w:rsidRPr="00E556CD">
        <w:rPr>
          <w:rFonts w:ascii="Tahoma" w:hAnsi="Tahoma" w:cs="Tahoma"/>
          <w:sz w:val="17"/>
          <w:szCs w:val="17"/>
          <w:rtl/>
        </w:rPr>
        <w:t>"ס</w:t>
      </w:r>
      <w:r w:rsidRPr="00E556CD">
        <w:rPr>
          <w:rFonts w:ascii="Tahoma" w:hAnsi="Tahoma" w:cs="Tahoma"/>
          <w:sz w:val="17"/>
          <w:szCs w:val="17"/>
          <w:rtl/>
        </w:rPr>
        <w:t xml:space="preserve">), </w:t>
      </w:r>
      <w:r w:rsidRPr="00E556CD">
        <w:rPr>
          <w:rFonts w:ascii="Tahoma" w:hAnsi="Tahoma" w:cs="Tahoma" w:hint="cs"/>
          <w:sz w:val="17"/>
          <w:szCs w:val="17"/>
          <w:rtl/>
        </w:rPr>
        <w:t>בשנת</w:t>
      </w:r>
      <w:r w:rsidRPr="00E556CD">
        <w:rPr>
          <w:rFonts w:ascii="Tahoma" w:hAnsi="Tahoma" w:cs="Tahoma"/>
          <w:sz w:val="17"/>
          <w:szCs w:val="17"/>
          <w:rtl/>
        </w:rPr>
        <w:t xml:space="preserve"> 2015 </w:t>
      </w:r>
      <w:r w:rsidRPr="00E556CD">
        <w:rPr>
          <w:rFonts w:ascii="Tahoma" w:hAnsi="Tahoma" w:cs="Tahoma" w:hint="cs"/>
          <w:sz w:val="17"/>
          <w:szCs w:val="17"/>
          <w:rtl/>
        </w:rPr>
        <w:t>נפטרו</w:t>
      </w:r>
      <w:r w:rsidRPr="00E556CD">
        <w:rPr>
          <w:rFonts w:ascii="Tahoma" w:hAnsi="Tahoma" w:cs="Tahoma"/>
          <w:sz w:val="17"/>
          <w:szCs w:val="17"/>
          <w:rtl/>
        </w:rPr>
        <w:t xml:space="preserve"> </w:t>
      </w:r>
      <w:r w:rsidRPr="00E556CD">
        <w:rPr>
          <w:rFonts w:ascii="Tahoma" w:hAnsi="Tahoma" w:cs="Tahoma" w:hint="cs"/>
          <w:sz w:val="17"/>
          <w:szCs w:val="17"/>
          <w:rtl/>
        </w:rPr>
        <w:t>בישראל</w:t>
      </w:r>
      <w:r w:rsidRPr="00E556CD">
        <w:rPr>
          <w:rFonts w:ascii="Tahoma" w:hAnsi="Tahoma" w:cs="Tahoma"/>
          <w:sz w:val="17"/>
          <w:szCs w:val="17"/>
          <w:rtl/>
        </w:rPr>
        <w:t xml:space="preserve"> 44,469 </w:t>
      </w:r>
      <w:r w:rsidRPr="00E556CD">
        <w:rPr>
          <w:rFonts w:ascii="Tahoma" w:hAnsi="Tahoma" w:cs="Tahoma" w:hint="cs"/>
          <w:sz w:val="17"/>
          <w:szCs w:val="17"/>
          <w:rtl/>
        </w:rPr>
        <w:t xml:space="preserve">איש - </w:t>
      </w:r>
      <w:r w:rsidRPr="00E556CD">
        <w:rPr>
          <w:rFonts w:ascii="Tahoma" w:hAnsi="Tahoma" w:cs="Tahoma"/>
          <w:sz w:val="17"/>
          <w:szCs w:val="17"/>
          <w:rtl/>
        </w:rPr>
        <w:t>39,374 יהודים</w:t>
      </w:r>
      <w:r w:rsidRPr="00E556CD">
        <w:rPr>
          <w:rFonts w:ascii="Tahoma" w:hAnsi="Tahoma" w:cs="Tahoma" w:hint="cs"/>
          <w:sz w:val="17"/>
          <w:szCs w:val="17"/>
          <w:rtl/>
        </w:rPr>
        <w:t>,</w:t>
      </w:r>
      <w:r w:rsidRPr="00E556CD">
        <w:rPr>
          <w:rFonts w:ascii="Tahoma" w:hAnsi="Tahoma" w:cs="Tahoma"/>
          <w:sz w:val="17"/>
          <w:szCs w:val="17"/>
          <w:rtl/>
        </w:rPr>
        <w:t xml:space="preserve"> </w:t>
      </w:r>
      <w:r w:rsidRPr="00E556CD">
        <w:rPr>
          <w:rFonts w:ascii="Tahoma" w:hAnsi="Tahoma" w:cs="Tahoma" w:hint="cs"/>
          <w:sz w:val="17"/>
          <w:szCs w:val="17"/>
          <w:rtl/>
        </w:rPr>
        <w:t>אוכלוסייה ללא סיווג דת ונוצרים שאינם ערבים,</w:t>
      </w:r>
      <w:r w:rsidRPr="00E556CD">
        <w:rPr>
          <w:rFonts w:ascii="Tahoma" w:hAnsi="Tahoma" w:cs="Tahoma"/>
          <w:sz w:val="17"/>
          <w:szCs w:val="17"/>
          <w:rtl/>
        </w:rPr>
        <w:t xml:space="preserve"> ו</w:t>
      </w:r>
      <w:r w:rsidRPr="00E556CD">
        <w:rPr>
          <w:rFonts w:ascii="Tahoma" w:hAnsi="Tahoma" w:cs="Tahoma" w:hint="cs"/>
          <w:sz w:val="17"/>
          <w:szCs w:val="17"/>
          <w:rtl/>
        </w:rPr>
        <w:t xml:space="preserve">השאר </w:t>
      </w:r>
      <w:r w:rsidRPr="00E556CD">
        <w:rPr>
          <w:rFonts w:ascii="Tahoma" w:hAnsi="Tahoma" w:cs="Tahoma"/>
          <w:sz w:val="17"/>
          <w:szCs w:val="17"/>
          <w:rtl/>
        </w:rPr>
        <w:t>-</w:t>
      </w:r>
      <w:r w:rsidRPr="00E556CD">
        <w:rPr>
          <w:rFonts w:ascii="Tahoma" w:hAnsi="Tahoma" w:cs="Tahoma" w:hint="cs"/>
          <w:sz w:val="17"/>
          <w:szCs w:val="17"/>
          <w:rtl/>
        </w:rPr>
        <w:t xml:space="preserve"> </w:t>
      </w:r>
      <w:r w:rsidRPr="00E556CD">
        <w:rPr>
          <w:rFonts w:ascii="Tahoma" w:hAnsi="Tahoma" w:cs="Tahoma"/>
          <w:sz w:val="17"/>
          <w:szCs w:val="17"/>
          <w:rtl/>
        </w:rPr>
        <w:t xml:space="preserve">5,095 </w:t>
      </w:r>
      <w:r w:rsidRPr="00E556CD">
        <w:rPr>
          <w:rFonts w:ascii="Tahoma" w:hAnsi="Tahoma" w:cs="Tahoma" w:hint="cs"/>
          <w:sz w:val="17"/>
          <w:szCs w:val="17"/>
          <w:rtl/>
        </w:rPr>
        <w:t>ערבים</w:t>
      </w:r>
      <w:r>
        <w:rPr>
          <w:rStyle w:val="FootnoteReference0"/>
          <w:rFonts w:ascii="Tahoma" w:hAnsi="Tahoma" w:cs="Tahoma"/>
          <w:sz w:val="17"/>
          <w:szCs w:val="17"/>
          <w:rtl/>
        </w:rPr>
        <w:footnoteReference w:id="16"/>
      </w:r>
      <w:r w:rsidRPr="00E556CD">
        <w:rPr>
          <w:rFonts w:ascii="Tahoma" w:hAnsi="Tahoma" w:cs="Tahoma"/>
          <w:sz w:val="17"/>
          <w:szCs w:val="17"/>
          <w:rtl/>
        </w:rPr>
        <w:t xml:space="preserve">. </w:t>
      </w:r>
      <w:r w:rsidRPr="00E556CD">
        <w:rPr>
          <w:rFonts w:ascii="Tahoma" w:hAnsi="Tahoma" w:cs="Tahoma" w:hint="cs"/>
          <w:sz w:val="17"/>
          <w:szCs w:val="17"/>
          <w:rtl/>
        </w:rPr>
        <w:t>אשר לקבורה אזרחית, על פי נתוני הביטוח הלאומי, מאז החלה הקבורה האזרחית חל גידול מתמיד במספר הנפטרים שנקברו בקבורה זו; למשל, בשנת 2010 נקברו בקבורה זו 813 נפטרים, ובשנת 2015 שיעורם כמעט הוכפל - 1,576 נפטרים.</w:t>
      </w:r>
    </w:p>
    <w:p w:rsidR="00EF45C8" w:rsidRPr="00E556CD" w:rsidP="005F3BD7">
      <w:pPr>
        <w:spacing w:after="240" w:line="240" w:lineRule="exact"/>
        <w:ind w:right="2268"/>
        <w:jc w:val="both"/>
        <w:rPr>
          <w:rFonts w:ascii="Tahoma" w:hAnsi="Tahoma" w:cs="Tahoma"/>
          <w:sz w:val="17"/>
          <w:szCs w:val="17"/>
          <w:rtl/>
        </w:rPr>
      </w:pPr>
      <w:r w:rsidRPr="00E556CD">
        <w:rPr>
          <w:rFonts w:ascii="Tahoma" w:hAnsi="Tahoma" w:cs="Tahoma" w:hint="cs"/>
          <w:sz w:val="17"/>
          <w:szCs w:val="17"/>
          <w:rtl/>
        </w:rPr>
        <w:t xml:space="preserve">בכל הנוגע לאמידת היקף הביקוש הפוטנציאלי להיקבר בקבורה אזרחית, מקורות המידע השונים נבדלים זה מזה במידה רבה. לדוגמה, על פי הסקר הארצי הוערך כי </w:t>
      </w:r>
      <w:r w:rsidRPr="00E556CD">
        <w:rPr>
          <w:rFonts w:ascii="Tahoma" w:hAnsi="Tahoma" w:cs="Tahoma" w:hint="cs"/>
          <w:sz w:val="17"/>
          <w:szCs w:val="17"/>
          <w:rtl/>
        </w:rPr>
        <w:t>17%-6% מהיהודים</w:t>
      </w:r>
      <w:r w:rsidRPr="00E556CD">
        <w:rPr>
          <w:rFonts w:ascii="Tahoma" w:hAnsi="Tahoma" w:cs="Tahoma"/>
          <w:sz w:val="17"/>
          <w:szCs w:val="17"/>
          <w:rtl/>
        </w:rPr>
        <w:t xml:space="preserve"> </w:t>
      </w:r>
      <w:r w:rsidRPr="00E556CD">
        <w:rPr>
          <w:rFonts w:ascii="Tahoma" w:hAnsi="Tahoma" w:cs="Tahoma" w:hint="cs"/>
          <w:sz w:val="17"/>
          <w:szCs w:val="17"/>
          <w:rtl/>
        </w:rPr>
        <w:t>יהיו</w:t>
      </w:r>
      <w:r w:rsidRPr="00E556CD">
        <w:rPr>
          <w:rFonts w:ascii="Tahoma" w:hAnsi="Tahoma" w:cs="Tahoma"/>
          <w:sz w:val="17"/>
          <w:szCs w:val="17"/>
          <w:rtl/>
        </w:rPr>
        <w:t xml:space="preserve"> </w:t>
      </w:r>
      <w:r w:rsidRPr="00E556CD">
        <w:rPr>
          <w:rFonts w:ascii="Tahoma" w:hAnsi="Tahoma" w:cs="Tahoma" w:hint="cs"/>
          <w:sz w:val="17"/>
          <w:szCs w:val="17"/>
          <w:rtl/>
        </w:rPr>
        <w:t>מעוניינים</w:t>
      </w:r>
      <w:r w:rsidRPr="00E556CD">
        <w:rPr>
          <w:rFonts w:ascii="Tahoma" w:hAnsi="Tahoma" w:cs="Tahoma"/>
          <w:sz w:val="17"/>
          <w:szCs w:val="17"/>
          <w:rtl/>
        </w:rPr>
        <w:t xml:space="preserve"> </w:t>
      </w:r>
      <w:r w:rsidRPr="00E556CD">
        <w:rPr>
          <w:rFonts w:ascii="Tahoma" w:hAnsi="Tahoma" w:cs="Tahoma" w:hint="cs"/>
          <w:sz w:val="17"/>
          <w:szCs w:val="17"/>
          <w:rtl/>
        </w:rPr>
        <w:t>בקבורה אזרחית. בדוח הצוות הבין-משרדי נכתב: "ישנן מס' תחזיות ואומדנים לצפי הדרישה [לקבורה אזרחית], הנעים סביב ה-10% מכלל הנפטרים</w:t>
      </w:r>
      <w:r>
        <w:rPr>
          <w:rStyle w:val="FootnoteReference0"/>
          <w:rFonts w:ascii="Tahoma" w:hAnsi="Tahoma" w:cs="Tahoma"/>
          <w:sz w:val="17"/>
          <w:szCs w:val="17"/>
          <w:rtl/>
        </w:rPr>
        <w:footnoteReference w:id="17"/>
      </w:r>
      <w:r w:rsidRPr="00E556CD">
        <w:rPr>
          <w:rFonts w:ascii="Tahoma" w:hAnsi="Tahoma" w:cs="Tahoma" w:hint="cs"/>
          <w:sz w:val="17"/>
          <w:szCs w:val="17"/>
          <w:rtl/>
        </w:rPr>
        <w:t xml:space="preserve"> המובאים לקבורה בארץ, וכ-6% מקרב היהודים בלבד".</w:t>
      </w:r>
    </w:p>
    <w:p w:rsidR="00EF45C8" w:rsidRPr="00E556CD" w:rsidP="005F3BD7">
      <w:pPr>
        <w:pStyle w:val="RESHET"/>
      </w:pPr>
      <w:r w:rsidRPr="00E556CD">
        <w:rPr>
          <w:rFonts w:hint="cs"/>
          <w:rtl/>
        </w:rPr>
        <w:t>בהתבסס</w:t>
      </w:r>
      <w:r w:rsidRPr="00E556CD">
        <w:rPr>
          <w:rtl/>
        </w:rPr>
        <w:t xml:space="preserve"> </w:t>
      </w:r>
      <w:r w:rsidRPr="00E556CD">
        <w:rPr>
          <w:rFonts w:hint="cs"/>
          <w:rtl/>
        </w:rPr>
        <w:t>על</w:t>
      </w:r>
      <w:r w:rsidRPr="00E556CD">
        <w:rPr>
          <w:rtl/>
        </w:rPr>
        <w:t xml:space="preserve"> </w:t>
      </w:r>
      <w:r w:rsidRPr="00E556CD">
        <w:rPr>
          <w:rFonts w:hint="cs"/>
          <w:rtl/>
        </w:rPr>
        <w:t>נתוני</w:t>
      </w:r>
      <w:r w:rsidRPr="00E556CD">
        <w:rPr>
          <w:rtl/>
        </w:rPr>
        <w:t xml:space="preserve"> הביטוח הלאומי, הערכות הסקר הארצי </w:t>
      </w:r>
      <w:r w:rsidRPr="00E556CD">
        <w:rPr>
          <w:rFonts w:hint="cs"/>
          <w:rtl/>
        </w:rPr>
        <w:t>ומסמך הצוות</w:t>
      </w:r>
      <w:r w:rsidRPr="00E556CD">
        <w:rPr>
          <w:rtl/>
        </w:rPr>
        <w:t xml:space="preserve"> </w:t>
      </w:r>
      <w:r w:rsidRPr="00E556CD">
        <w:rPr>
          <w:rFonts w:hint="cs"/>
          <w:rtl/>
        </w:rPr>
        <w:t>הבין-משרדי</w:t>
      </w:r>
      <w:r w:rsidRPr="00E556CD">
        <w:rPr>
          <w:rtl/>
        </w:rPr>
        <w:t xml:space="preserve">, </w:t>
      </w:r>
      <w:r w:rsidRPr="00E556CD">
        <w:rPr>
          <w:rFonts w:hint="cs"/>
          <w:rtl/>
        </w:rPr>
        <w:t>משרד מבקר המדינה חישב ומצא</w:t>
      </w:r>
      <w:r w:rsidRPr="00E556CD">
        <w:rPr>
          <w:rtl/>
        </w:rPr>
        <w:t xml:space="preserve"> כי היקף הביקוש בפועל לקבורה אזרחית בשנת 2015 </w:t>
      </w:r>
      <w:r w:rsidRPr="00E556CD">
        <w:rPr>
          <w:rFonts w:hint="cs"/>
          <w:rtl/>
        </w:rPr>
        <w:t>היה</w:t>
      </w:r>
      <w:r w:rsidRPr="00E556CD">
        <w:rPr>
          <w:rtl/>
        </w:rPr>
        <w:t xml:space="preserve"> </w:t>
      </w:r>
      <w:r w:rsidRPr="00E556CD">
        <w:rPr>
          <w:rFonts w:hint="cs"/>
          <w:rtl/>
        </w:rPr>
        <w:t>בין</w:t>
      </w:r>
      <w:r w:rsidRPr="00E556CD">
        <w:rPr>
          <w:rtl/>
        </w:rPr>
        <w:t xml:space="preserve"> </w:t>
      </w:r>
      <w:r w:rsidRPr="00E556CD">
        <w:rPr>
          <w:rFonts w:hint="cs"/>
          <w:rtl/>
        </w:rPr>
        <w:t>כ</w:t>
      </w:r>
      <w:r w:rsidRPr="00E556CD">
        <w:rPr>
          <w:rtl/>
        </w:rPr>
        <w:t xml:space="preserve">-2,360 </w:t>
      </w:r>
      <w:r w:rsidRPr="00E556CD">
        <w:rPr>
          <w:rFonts w:hint="cs"/>
          <w:rtl/>
        </w:rPr>
        <w:t>מקומות</w:t>
      </w:r>
      <w:r w:rsidRPr="00E556CD">
        <w:rPr>
          <w:rtl/>
        </w:rPr>
        <w:t xml:space="preserve"> </w:t>
      </w:r>
      <w:r w:rsidRPr="00E556CD">
        <w:rPr>
          <w:rFonts w:hint="cs"/>
          <w:rtl/>
        </w:rPr>
        <w:t>קבורה</w:t>
      </w:r>
      <w:r w:rsidRPr="00E556CD">
        <w:rPr>
          <w:rtl/>
        </w:rPr>
        <w:t xml:space="preserve"> (</w:t>
      </w:r>
      <w:r w:rsidRPr="00E556CD">
        <w:rPr>
          <w:rFonts w:hint="cs"/>
          <w:rtl/>
        </w:rPr>
        <w:t>בהתאם לאומדן ולפיו היקף הביקוש הוא</w:t>
      </w:r>
      <w:r w:rsidRPr="00E556CD">
        <w:rPr>
          <w:rtl/>
        </w:rPr>
        <w:t xml:space="preserve"> 6%) לבין 6,690 </w:t>
      </w:r>
      <w:r w:rsidRPr="00E556CD">
        <w:rPr>
          <w:rFonts w:hint="cs"/>
          <w:rtl/>
        </w:rPr>
        <w:t>מקומות</w:t>
      </w:r>
      <w:r w:rsidRPr="00E556CD">
        <w:rPr>
          <w:rtl/>
        </w:rPr>
        <w:t xml:space="preserve"> </w:t>
      </w:r>
      <w:r w:rsidRPr="00E556CD">
        <w:rPr>
          <w:rFonts w:hint="cs"/>
          <w:rtl/>
        </w:rPr>
        <w:t>קבורה</w:t>
      </w:r>
      <w:r w:rsidRPr="00E556CD">
        <w:rPr>
          <w:rtl/>
        </w:rPr>
        <w:t xml:space="preserve"> (</w:t>
      </w:r>
      <w:r w:rsidRPr="00E556CD">
        <w:rPr>
          <w:rFonts w:hint="cs"/>
          <w:rtl/>
        </w:rPr>
        <w:t>בהתאם לאומדן ולפיו היקף הביקוש הוא</w:t>
      </w:r>
      <w:r w:rsidRPr="00E556CD">
        <w:rPr>
          <w:rtl/>
        </w:rPr>
        <w:t xml:space="preserve"> 17%)</w:t>
      </w:r>
      <w:r w:rsidRPr="00E556CD">
        <w:rPr>
          <w:rFonts w:hint="cs"/>
          <w:rtl/>
        </w:rPr>
        <w:t>.</w:t>
      </w:r>
    </w:p>
    <w:p w:rsidR="00EF45C8" w:rsidRPr="00E556CD" w:rsidP="00ED10E1">
      <w:pPr>
        <w:pStyle w:val="RESHET"/>
        <w:rPr>
          <w:rtl/>
        </w:rPr>
      </w:pPr>
      <w:r w:rsidRPr="00ED10E1">
        <w:rPr>
          <w:rFonts w:hint="cs"/>
          <w:spacing w:val="-2"/>
          <w:rtl/>
        </w:rPr>
        <w:t>מכך משתמע כי ייתכן</w:t>
      </w:r>
      <w:r w:rsidRPr="00ED10E1">
        <w:rPr>
          <w:spacing w:val="-2"/>
          <w:rtl/>
        </w:rPr>
        <w:t xml:space="preserve"> שבשנת 2015 </w:t>
      </w:r>
      <w:r w:rsidRPr="00ED10E1">
        <w:rPr>
          <w:rFonts w:hint="cs"/>
          <w:spacing w:val="-2"/>
          <w:rtl/>
        </w:rPr>
        <w:t>כ-</w:t>
      </w:r>
      <w:r w:rsidRPr="00ED10E1">
        <w:rPr>
          <w:spacing w:val="-2"/>
          <w:rtl/>
        </w:rPr>
        <w:t xml:space="preserve">880 </w:t>
      </w:r>
      <w:r w:rsidRPr="00ED10E1">
        <w:rPr>
          <w:rFonts w:hint="cs"/>
          <w:spacing w:val="-2"/>
          <w:rtl/>
        </w:rPr>
        <w:t>נפטרים</w:t>
      </w:r>
      <w:r>
        <w:rPr>
          <w:rStyle w:val="FootnoteReference0"/>
          <w:spacing w:val="-2"/>
          <w:rtl/>
        </w:rPr>
        <w:footnoteReference w:id="18"/>
      </w:r>
      <w:r w:rsidRPr="00ED10E1">
        <w:rPr>
          <w:spacing w:val="-2"/>
          <w:rtl/>
        </w:rPr>
        <w:t xml:space="preserve"> (לפי אומדן 6%)</w:t>
      </w:r>
      <w:r w:rsidRPr="00ED10E1">
        <w:rPr>
          <w:rFonts w:hint="cs"/>
          <w:spacing w:val="-2"/>
          <w:rtl/>
        </w:rPr>
        <w:t>,</w:t>
      </w:r>
      <w:r w:rsidRPr="00ED10E1">
        <w:rPr>
          <w:spacing w:val="-2"/>
          <w:rtl/>
        </w:rPr>
        <w:t xml:space="preserve"> </w:t>
      </w:r>
      <w:r w:rsidRPr="00ED10E1">
        <w:rPr>
          <w:rFonts w:hint="cs"/>
          <w:spacing w:val="-2"/>
          <w:rtl/>
        </w:rPr>
        <w:t>כ</w:t>
      </w:r>
      <w:r w:rsidRPr="00ED10E1">
        <w:rPr>
          <w:spacing w:val="-2"/>
          <w:rtl/>
        </w:rPr>
        <w:t>-2,460</w:t>
      </w:r>
      <w:r w:rsidRPr="00E556CD">
        <w:rPr>
          <w:rtl/>
        </w:rPr>
        <w:t xml:space="preserve"> נפטרים (לפי אומדן 10%) או כ-5,110 נפטרים (לפי אומדן 17%) </w:t>
      </w:r>
      <w:r w:rsidRPr="00E556CD">
        <w:rPr>
          <w:rFonts w:hint="cs"/>
          <w:rtl/>
        </w:rPr>
        <w:t>היו</w:t>
      </w:r>
      <w:r w:rsidRPr="00E556CD">
        <w:rPr>
          <w:rtl/>
        </w:rPr>
        <w:t xml:space="preserve"> מעדיפים להיקבר בקבורה אזרחית </w:t>
      </w:r>
      <w:r w:rsidRPr="00E556CD">
        <w:rPr>
          <w:rFonts w:hint="cs"/>
          <w:rtl/>
        </w:rPr>
        <w:t>אולם נבצר מהם לממש את זכותם להיקבר באופן זה</w:t>
      </w:r>
      <w:r w:rsidRPr="00E556CD">
        <w:rPr>
          <w:rtl/>
        </w:rPr>
        <w:t>.</w:t>
      </w:r>
    </w:p>
    <w:p w:rsidR="00EF45C8" w:rsidRPr="00E556CD" w:rsidP="005F3BD7">
      <w:pPr>
        <w:spacing w:before="180" w:line="240" w:lineRule="exact"/>
        <w:ind w:right="2268"/>
        <w:jc w:val="both"/>
        <w:rPr>
          <w:rFonts w:ascii="Tahoma" w:hAnsi="Tahoma" w:cs="Tahoma"/>
          <w:sz w:val="17"/>
          <w:szCs w:val="17"/>
          <w:rtl/>
        </w:rPr>
      </w:pPr>
      <w:r w:rsidRPr="005F3BD7">
        <w:rPr>
          <w:rStyle w:val="Heading7Char"/>
          <w:rFonts w:ascii="Tahoma" w:hAnsi="Tahoma" w:cs="Tahoma" w:hint="cs"/>
          <w:sz w:val="17"/>
          <w:szCs w:val="17"/>
          <w:rtl/>
        </w:rPr>
        <w:t>אומדן</w:t>
      </w:r>
      <w:r w:rsidRPr="005F3BD7">
        <w:rPr>
          <w:rStyle w:val="Heading7Char"/>
          <w:rFonts w:ascii="Tahoma" w:hAnsi="Tahoma" w:cs="Tahoma"/>
          <w:sz w:val="17"/>
          <w:szCs w:val="17"/>
          <w:rtl/>
        </w:rPr>
        <w:t xml:space="preserve"> הביקוש לקבורה אזרחית </w:t>
      </w:r>
      <w:r w:rsidRPr="005F3BD7">
        <w:rPr>
          <w:rStyle w:val="Heading7Char"/>
          <w:rFonts w:ascii="Tahoma" w:hAnsi="Tahoma" w:cs="Tahoma" w:hint="cs"/>
          <w:sz w:val="17"/>
          <w:szCs w:val="17"/>
          <w:rtl/>
        </w:rPr>
        <w:t>עתידית</w:t>
      </w:r>
      <w:r w:rsidRPr="005F3BD7">
        <w:rPr>
          <w:rStyle w:val="Heading7Char"/>
          <w:rFonts w:ascii="Tahoma" w:hAnsi="Tahoma" w:cs="Tahoma"/>
          <w:sz w:val="17"/>
          <w:szCs w:val="17"/>
          <w:rtl/>
        </w:rPr>
        <w:t>:</w:t>
      </w:r>
      <w:r w:rsidRPr="00E556CD">
        <w:rPr>
          <w:rFonts w:ascii="Tahoma" w:hAnsi="Tahoma" w:cs="Tahoma" w:hint="cs"/>
          <w:sz w:val="17"/>
          <w:szCs w:val="17"/>
          <w:rtl/>
        </w:rPr>
        <w:t xml:space="preserve"> דוח של מרכז המחקר והמידע של הכנסת</w:t>
      </w:r>
      <w:r>
        <w:rPr>
          <w:rStyle w:val="FootnoteReference0"/>
          <w:rFonts w:ascii="Tahoma" w:hAnsi="Tahoma" w:cs="Tahoma"/>
          <w:sz w:val="17"/>
          <w:szCs w:val="17"/>
          <w:rtl/>
        </w:rPr>
        <w:footnoteReference w:id="19"/>
      </w:r>
      <w:r w:rsidRPr="00E556CD">
        <w:rPr>
          <w:rFonts w:ascii="Tahoma" w:hAnsi="Tahoma" w:cs="Tahoma" w:hint="cs"/>
          <w:sz w:val="17"/>
          <w:szCs w:val="17"/>
          <w:rtl/>
        </w:rPr>
        <w:t xml:space="preserve"> הציג נתונים על הביקוש לחלקות הקבורה האזרחית לשנים 2030-2016, בהתבסס על תחזית </w:t>
      </w:r>
      <w:r w:rsidRPr="00E556CD">
        <w:rPr>
          <w:rFonts w:ascii="Tahoma" w:hAnsi="Tahoma" w:cs="Tahoma" w:hint="cs"/>
          <w:sz w:val="17"/>
          <w:szCs w:val="17"/>
          <w:rtl/>
        </w:rPr>
        <w:t>הלמ"ס</w:t>
      </w:r>
      <w:r w:rsidRPr="00E556CD">
        <w:rPr>
          <w:rFonts w:ascii="Tahoma" w:hAnsi="Tahoma" w:cs="Tahoma" w:hint="cs"/>
          <w:sz w:val="17"/>
          <w:szCs w:val="17"/>
          <w:rtl/>
        </w:rPr>
        <w:t xml:space="preserve"> ועל הערכות הסקר הארצי. בדוח צוין כי </w:t>
      </w:r>
      <w:r w:rsidRPr="00E556CD">
        <w:rPr>
          <w:rFonts w:ascii="Tahoma" w:hAnsi="Tahoma" w:cs="Tahoma" w:hint="cs"/>
          <w:sz w:val="17"/>
          <w:szCs w:val="17"/>
          <w:rtl/>
        </w:rPr>
        <w:t>אומדניו</w:t>
      </w:r>
      <w:r w:rsidRPr="00E556CD">
        <w:rPr>
          <w:rFonts w:ascii="Tahoma" w:hAnsi="Tahoma" w:cs="Tahoma" w:hint="cs"/>
          <w:sz w:val="17"/>
          <w:szCs w:val="17"/>
          <w:rtl/>
        </w:rPr>
        <w:t xml:space="preserve"> "מבוססים על ההנחה, כי כל</w:t>
      </w:r>
      <w:r w:rsidRPr="00E556CD">
        <w:rPr>
          <w:rFonts w:ascii="Tahoma" w:hAnsi="Tahoma" w:cs="Tahoma"/>
          <w:sz w:val="17"/>
          <w:szCs w:val="17"/>
          <w:rtl/>
        </w:rPr>
        <w:t xml:space="preserve"> </w:t>
      </w:r>
      <w:r w:rsidRPr="00E556CD">
        <w:rPr>
          <w:rFonts w:ascii="Tahoma" w:hAnsi="Tahoma" w:cs="Tahoma" w:hint="cs"/>
          <w:sz w:val="17"/>
          <w:szCs w:val="17"/>
          <w:rtl/>
        </w:rPr>
        <w:t>הנפטרים</w:t>
      </w:r>
      <w:r w:rsidRPr="00E556CD">
        <w:rPr>
          <w:rFonts w:ascii="Tahoma" w:hAnsi="Tahoma" w:cs="Tahoma"/>
          <w:sz w:val="17"/>
          <w:szCs w:val="17"/>
          <w:rtl/>
        </w:rPr>
        <w:t xml:space="preserve"> </w:t>
      </w:r>
      <w:r w:rsidRPr="00E556CD">
        <w:rPr>
          <w:rFonts w:ascii="Tahoma" w:hAnsi="Tahoma" w:cs="Tahoma" w:hint="cs"/>
          <w:sz w:val="17"/>
          <w:szCs w:val="17"/>
          <w:rtl/>
        </w:rPr>
        <w:t>חסרי</w:t>
      </w:r>
      <w:r w:rsidRPr="00E556CD">
        <w:rPr>
          <w:rFonts w:ascii="Tahoma" w:hAnsi="Tahoma" w:cs="Tahoma"/>
          <w:sz w:val="17"/>
          <w:szCs w:val="17"/>
          <w:rtl/>
        </w:rPr>
        <w:t xml:space="preserve"> </w:t>
      </w:r>
      <w:r w:rsidRPr="00E556CD">
        <w:rPr>
          <w:rFonts w:ascii="Tahoma" w:hAnsi="Tahoma" w:cs="Tahoma" w:hint="cs"/>
          <w:sz w:val="17"/>
          <w:szCs w:val="17"/>
          <w:rtl/>
        </w:rPr>
        <w:t>הדת</w:t>
      </w:r>
      <w:r w:rsidRPr="00E556CD">
        <w:rPr>
          <w:rFonts w:ascii="Tahoma" w:hAnsi="Tahoma" w:cs="Tahoma"/>
          <w:sz w:val="17"/>
          <w:szCs w:val="17"/>
          <w:rtl/>
        </w:rPr>
        <w:t xml:space="preserve"> </w:t>
      </w:r>
      <w:r w:rsidRPr="00E556CD">
        <w:rPr>
          <w:rFonts w:ascii="Tahoma" w:hAnsi="Tahoma" w:cs="Tahoma" w:hint="cs"/>
          <w:sz w:val="17"/>
          <w:szCs w:val="17"/>
          <w:rtl/>
        </w:rPr>
        <w:t>וכל</w:t>
      </w:r>
      <w:r w:rsidRPr="00E556CD">
        <w:rPr>
          <w:rFonts w:ascii="Tahoma" w:hAnsi="Tahoma" w:cs="Tahoma"/>
          <w:sz w:val="17"/>
          <w:szCs w:val="17"/>
          <w:rtl/>
        </w:rPr>
        <w:t xml:space="preserve"> </w:t>
      </w:r>
      <w:r w:rsidRPr="00E556CD">
        <w:rPr>
          <w:rFonts w:ascii="Tahoma" w:hAnsi="Tahoma" w:cs="Tahoma" w:hint="cs"/>
          <w:sz w:val="17"/>
          <w:szCs w:val="17"/>
          <w:rtl/>
        </w:rPr>
        <w:t>הנוצרים</w:t>
      </w:r>
      <w:r w:rsidRPr="00E556CD">
        <w:rPr>
          <w:rFonts w:ascii="Tahoma" w:hAnsi="Tahoma" w:cs="Tahoma"/>
          <w:sz w:val="17"/>
          <w:szCs w:val="17"/>
          <w:rtl/>
        </w:rPr>
        <w:t xml:space="preserve"> </w:t>
      </w:r>
      <w:r w:rsidRPr="00E556CD">
        <w:rPr>
          <w:rFonts w:ascii="Tahoma" w:hAnsi="Tahoma" w:cs="Tahoma" w:hint="cs"/>
          <w:sz w:val="17"/>
          <w:szCs w:val="17"/>
          <w:rtl/>
        </w:rPr>
        <w:t>שאינם</w:t>
      </w:r>
      <w:r w:rsidRPr="00E556CD">
        <w:rPr>
          <w:rFonts w:ascii="Tahoma" w:hAnsi="Tahoma" w:cs="Tahoma"/>
          <w:sz w:val="17"/>
          <w:szCs w:val="17"/>
          <w:rtl/>
        </w:rPr>
        <w:t xml:space="preserve"> </w:t>
      </w:r>
      <w:r w:rsidRPr="00E556CD">
        <w:rPr>
          <w:rFonts w:ascii="Tahoma" w:hAnsi="Tahoma" w:cs="Tahoma" w:hint="cs"/>
          <w:sz w:val="17"/>
          <w:szCs w:val="17"/>
          <w:rtl/>
        </w:rPr>
        <w:t>ערבים</w:t>
      </w:r>
      <w:r w:rsidRPr="00E556CD">
        <w:rPr>
          <w:rFonts w:ascii="Tahoma" w:hAnsi="Tahoma" w:cs="Tahoma"/>
          <w:sz w:val="17"/>
          <w:szCs w:val="17"/>
          <w:rtl/>
        </w:rPr>
        <w:t xml:space="preserve"> </w:t>
      </w:r>
      <w:r w:rsidRPr="00E556CD">
        <w:rPr>
          <w:rFonts w:ascii="Tahoma" w:hAnsi="Tahoma" w:cs="Tahoma" w:hint="cs"/>
          <w:sz w:val="17"/>
          <w:szCs w:val="17"/>
          <w:rtl/>
        </w:rPr>
        <w:t>יהיו</w:t>
      </w:r>
      <w:r w:rsidRPr="00E556CD">
        <w:rPr>
          <w:rFonts w:ascii="Tahoma" w:hAnsi="Tahoma" w:cs="Tahoma"/>
          <w:sz w:val="17"/>
          <w:szCs w:val="17"/>
          <w:rtl/>
        </w:rPr>
        <w:t xml:space="preserve"> </w:t>
      </w:r>
      <w:r w:rsidRPr="00E556CD">
        <w:rPr>
          <w:rFonts w:ascii="Tahoma" w:hAnsi="Tahoma" w:cs="Tahoma" w:hint="cs"/>
          <w:sz w:val="17"/>
          <w:szCs w:val="17"/>
          <w:rtl/>
        </w:rPr>
        <w:t>מעוניינים</w:t>
      </w:r>
      <w:r w:rsidRPr="00E556CD">
        <w:rPr>
          <w:rFonts w:ascii="Tahoma" w:hAnsi="Tahoma" w:cs="Tahoma"/>
          <w:sz w:val="17"/>
          <w:szCs w:val="17"/>
          <w:rtl/>
        </w:rPr>
        <w:t xml:space="preserve"> </w:t>
      </w:r>
      <w:r w:rsidRPr="00E556CD">
        <w:rPr>
          <w:rFonts w:ascii="Tahoma" w:hAnsi="Tahoma" w:cs="Tahoma" w:hint="cs"/>
          <w:sz w:val="17"/>
          <w:szCs w:val="17"/>
          <w:rtl/>
        </w:rPr>
        <w:t>בקבורה</w:t>
      </w:r>
      <w:r w:rsidRPr="00E556CD">
        <w:rPr>
          <w:rFonts w:ascii="Tahoma" w:hAnsi="Tahoma" w:cs="Tahoma"/>
          <w:sz w:val="17"/>
          <w:szCs w:val="17"/>
          <w:rtl/>
        </w:rPr>
        <w:t xml:space="preserve"> </w:t>
      </w:r>
      <w:r w:rsidRPr="00E556CD">
        <w:rPr>
          <w:rFonts w:ascii="Tahoma" w:hAnsi="Tahoma" w:cs="Tahoma" w:hint="cs"/>
          <w:sz w:val="17"/>
          <w:szCs w:val="17"/>
          <w:rtl/>
        </w:rPr>
        <w:t>אזרחית, בעוד בקרב היהודים שיעור המעוניינים יהיה 6%-17%".</w:t>
      </w:r>
    </w:p>
    <w:p w:rsidR="00EF45C8" w:rsidRPr="00E556CD" w:rsidP="00ED10E1">
      <w:pPr>
        <w:spacing w:line="240" w:lineRule="exact"/>
        <w:ind w:right="2268"/>
        <w:jc w:val="both"/>
        <w:rPr>
          <w:rFonts w:ascii="Tahoma" w:hAnsi="Tahoma" w:cs="Tahoma"/>
          <w:sz w:val="17"/>
          <w:szCs w:val="17"/>
          <w:rtl/>
        </w:rPr>
      </w:pPr>
      <w:r w:rsidRPr="00E556CD">
        <w:rPr>
          <w:rFonts w:ascii="Tahoma" w:hAnsi="Tahoma" w:cs="Tahoma" w:hint="cs"/>
          <w:sz w:val="17"/>
          <w:szCs w:val="17"/>
          <w:rtl/>
        </w:rPr>
        <w:t xml:space="preserve">מאומדני הדוח עלה כי אם שיעור המעוניינים בקבורה אזרחית יהיה 6%, אזי בשנים 2020-2016 יגיע הביקוש ל-19,700 </w:t>
      </w:r>
      <w:r w:rsidR="00ED10E1">
        <w:rPr>
          <w:rFonts w:ascii="Tahoma" w:hAnsi="Tahoma" w:cs="Tahoma" w:hint="cs"/>
          <w:sz w:val="17"/>
          <w:szCs w:val="17"/>
          <w:rtl/>
        </w:rPr>
        <w:t>מקומות קבורה</w:t>
      </w:r>
      <w:r w:rsidRPr="00E556CD">
        <w:rPr>
          <w:rFonts w:ascii="Tahoma" w:hAnsi="Tahoma" w:cs="Tahoma" w:hint="cs"/>
          <w:sz w:val="17"/>
          <w:szCs w:val="17"/>
          <w:rtl/>
        </w:rPr>
        <w:t xml:space="preserve">, ובשנים 2030-2016 יגיע ל-66,100 </w:t>
      </w:r>
      <w:r w:rsidR="00ED10E1">
        <w:rPr>
          <w:rFonts w:ascii="Tahoma" w:hAnsi="Tahoma" w:cs="Tahoma" w:hint="cs"/>
          <w:sz w:val="17"/>
          <w:szCs w:val="17"/>
          <w:rtl/>
        </w:rPr>
        <w:t>מקומות קבורה</w:t>
      </w:r>
      <w:r w:rsidRPr="00E556CD">
        <w:rPr>
          <w:rFonts w:ascii="Tahoma" w:hAnsi="Tahoma" w:cs="Tahoma" w:hint="cs"/>
          <w:sz w:val="17"/>
          <w:szCs w:val="17"/>
          <w:rtl/>
        </w:rPr>
        <w:t xml:space="preserve">. אם שיעור המעוניינים בקבורה אזרחית יהיה 10%, אזי בשנים 2020-2016 יהיה ביקוש ל-27,500 מקומות קבורה ובשנים 2030-2016 יהיה ביקוש ל-90,700 מקומות קבורה. אם שיעור המעוניינים בקבורה אזרחית יהיה 17%, אזי בשנים 2020-2016 יהיה ביקוש ל-41,200 מקומות קבורה, ובשנים 2030-2016 יהיה ביקוש </w:t>
      </w:r>
      <w:r w:rsidR="005F3BD7">
        <w:rPr>
          <w:rFonts w:ascii="Tahoma" w:hAnsi="Tahoma" w:cs="Tahoma"/>
          <w:sz w:val="17"/>
          <w:szCs w:val="17"/>
          <w:rtl/>
        </w:rPr>
        <w:br/>
      </w:r>
      <w:r w:rsidRPr="00E556CD">
        <w:rPr>
          <w:rFonts w:ascii="Tahoma" w:hAnsi="Tahoma" w:cs="Tahoma" w:hint="cs"/>
          <w:sz w:val="17"/>
          <w:szCs w:val="17"/>
          <w:rtl/>
        </w:rPr>
        <w:t>ל-133,800 מקומות קבורה.</w:t>
      </w:r>
    </w:p>
    <w:p w:rsidR="00EF45C8" w:rsidRPr="00E556CD" w:rsidP="00E556CD">
      <w:pPr>
        <w:spacing w:line="240" w:lineRule="exact"/>
        <w:ind w:right="2268"/>
        <w:jc w:val="both"/>
        <w:rPr>
          <w:rFonts w:ascii="Tahoma" w:hAnsi="Tahoma" w:cs="Tahoma"/>
          <w:sz w:val="17"/>
          <w:szCs w:val="17"/>
          <w:rtl/>
        </w:rPr>
      </w:pPr>
      <w:r w:rsidRPr="00E556CD">
        <w:rPr>
          <w:rFonts w:ascii="Tahoma" w:hAnsi="Tahoma" w:cs="Tahoma" w:hint="cs"/>
          <w:sz w:val="17"/>
          <w:szCs w:val="17"/>
          <w:rtl/>
        </w:rPr>
        <w:t xml:space="preserve">בתשובתו של המשרד לשירותי דת נמסר כי לדעתו המתודולוגיה ששימשה לקביעת שיעור הביקוש אינה נכונה, וכי המענה של משפחות לסקר בנדון אינו משקף את התנהגותן בפועל. עוד מסר המשרד לשירותי דת כי לדעתו המדד המהימן לאמידת הביקוש אמור להיות היקף הקבורה האזרחית בפועל, אלא אם כן מתקבל מידע שעולה ממנו כי התקבלו פניות רבות שלא נענו. המשרד הוסיף כי טיפל בכל הפניות לסיוע בקבורה אזרחית שהוגשו לו. עוד מסר המשרד כי לדעתו גם שיעור הקבורה האזרחית בפועל קטן בהרבה מהשיעור שנאמד - 1,576 נפטרים (כ-4% בלבד) מכלל </w:t>
      </w:r>
      <w:r w:rsidRPr="00E556CD">
        <w:rPr>
          <w:rFonts w:ascii="Tahoma" w:hAnsi="Tahoma" w:cs="Tahoma"/>
          <w:sz w:val="17"/>
          <w:szCs w:val="17"/>
          <w:rtl/>
        </w:rPr>
        <w:t xml:space="preserve">39,374 </w:t>
      </w:r>
      <w:r w:rsidRPr="00E556CD">
        <w:rPr>
          <w:rFonts w:ascii="Tahoma" w:hAnsi="Tahoma" w:cs="Tahoma" w:hint="cs"/>
          <w:sz w:val="17"/>
          <w:szCs w:val="17"/>
          <w:rtl/>
        </w:rPr>
        <w:t>הנפטרים מקרב ה</w:t>
      </w:r>
      <w:r w:rsidRPr="00E556CD">
        <w:rPr>
          <w:rFonts w:ascii="Tahoma" w:hAnsi="Tahoma" w:cs="Tahoma"/>
          <w:sz w:val="17"/>
          <w:szCs w:val="17"/>
          <w:rtl/>
        </w:rPr>
        <w:t>יהודים</w:t>
      </w:r>
      <w:r w:rsidRPr="00E556CD">
        <w:rPr>
          <w:rFonts w:ascii="Tahoma" w:hAnsi="Tahoma" w:cs="Tahoma" w:hint="cs"/>
          <w:sz w:val="17"/>
          <w:szCs w:val="17"/>
          <w:rtl/>
        </w:rPr>
        <w:t>, הנוצרים שאינם ערבים</w:t>
      </w:r>
      <w:r w:rsidRPr="00E556CD">
        <w:rPr>
          <w:rFonts w:ascii="Tahoma" w:hAnsi="Tahoma" w:cs="Tahoma"/>
          <w:sz w:val="17"/>
          <w:szCs w:val="17"/>
          <w:rtl/>
        </w:rPr>
        <w:t xml:space="preserve"> </w:t>
      </w:r>
      <w:r w:rsidRPr="00E556CD">
        <w:rPr>
          <w:rFonts w:ascii="Tahoma" w:hAnsi="Tahoma" w:cs="Tahoma" w:hint="cs"/>
          <w:sz w:val="17"/>
          <w:szCs w:val="17"/>
          <w:rtl/>
        </w:rPr>
        <w:t>ואוכלוסייה ללא סיווג דת.</w:t>
      </w:r>
    </w:p>
    <w:p w:rsidR="00EF45C8" w:rsidRPr="00E556CD" w:rsidP="005F3BD7">
      <w:pPr>
        <w:spacing w:after="240" w:line="240" w:lineRule="exact"/>
        <w:ind w:right="2268"/>
        <w:jc w:val="both"/>
        <w:rPr>
          <w:rFonts w:ascii="Tahoma" w:hAnsi="Tahoma" w:cs="Tahoma"/>
          <w:sz w:val="17"/>
          <w:szCs w:val="17"/>
          <w:rtl/>
        </w:rPr>
      </w:pPr>
      <w:r w:rsidRPr="00E556CD">
        <w:rPr>
          <w:rFonts w:ascii="Tahoma" w:hAnsi="Tahoma" w:cs="Tahoma" w:hint="cs"/>
          <w:sz w:val="17"/>
          <w:szCs w:val="17"/>
          <w:rtl/>
        </w:rPr>
        <w:t>המשרד הוסיף בתשובתו כי לדעתו שיעור ניכר (כ-30% לפחות) מהביקוש לקבורה אזרחית הוא של יהודים המבקשים להיקבר בטקס ללא סממנים דתיים, וכי ביוזמת המשרד ובשיתוף חברות קדישא התקבל בשנת 2015 פסק הלכה המאפשר לקבור יהודים בטקס חילוני בחלקות נפרדות בשטחים שבהם מחזיקים גופי קבורה קיימים.</w:t>
      </w:r>
    </w:p>
    <w:p w:rsidR="00EF45C8" w:rsidRPr="00E556CD" w:rsidP="005F3BD7">
      <w:pPr>
        <w:pStyle w:val="RESHET"/>
        <w:rPr>
          <w:rtl/>
        </w:rPr>
      </w:pPr>
      <w:r w:rsidRPr="00E556CD">
        <w:rPr>
          <w:rFonts w:hint="cs"/>
          <w:rtl/>
        </w:rPr>
        <w:t>משרד מבקר המדינה מעיר למשרד לשירותי דת כי סקרים ומחקרים אינם תומכים בהנחה שמספר הנפטרים שהובאו בפועל לקבורה אזרחית משקף בהכרח את כל היקף הביקוש לקבורה אזרחית; להפך - הנחה זו אינה מתיישבת עם מסמך הצוות הבין-משרדי שבהכנתו השתתף המשרד לשירותי דת עצמו. אין להתעלם מההשפעות של החסמים הפוגעים באפשרות להיקבר בקבורה אזרחית על הביקוש לקבורה זו - הנגישות המועטה של בתי העלמין האזרחיים לעומת אלה המופעלים מכוח חוק שירותי הדת, עלויות הקבורה הגבוהות שמקורן בנגישות המועטה כמתואר לעיל, מידע חסר בנוגע לאפשרויות קבורה אזרחית וחסמים אחרים (ראו בהמשך) - כל אלו מצמצמים את הניצול בפועל של אפשרויות הקבורה האזרחית ומפחיתים את הביקוש לה.</w:t>
      </w:r>
    </w:p>
    <w:p w:rsidR="00EF45C8" w:rsidRPr="00E556CD" w:rsidP="005F3BD7">
      <w:pPr>
        <w:pStyle w:val="RESHET"/>
        <w:rPr>
          <w:rtl/>
        </w:rPr>
      </w:pPr>
      <w:r w:rsidRPr="00E556CD">
        <w:rPr>
          <w:rFonts w:hint="cs"/>
          <w:rtl/>
        </w:rPr>
        <w:t>אשר ליוזמת המשרד לשירותי דת בדבר ה</w:t>
      </w:r>
      <w:r w:rsidRPr="00E556CD">
        <w:rPr>
          <w:rtl/>
        </w:rPr>
        <w:t>אפשר</w:t>
      </w:r>
      <w:r w:rsidRPr="00E556CD">
        <w:rPr>
          <w:rFonts w:hint="cs"/>
          <w:rtl/>
        </w:rPr>
        <w:t>ות</w:t>
      </w:r>
      <w:r w:rsidRPr="00E556CD">
        <w:rPr>
          <w:rtl/>
        </w:rPr>
        <w:t xml:space="preserve"> לקבור יהודים בטקס חילוני בחלקות נפרדות בשטחים </w:t>
      </w:r>
      <w:r w:rsidRPr="00E556CD">
        <w:rPr>
          <w:rFonts w:hint="cs"/>
          <w:rtl/>
        </w:rPr>
        <w:t>שבהם מחזיקים</w:t>
      </w:r>
      <w:r w:rsidRPr="00E556CD">
        <w:rPr>
          <w:rtl/>
        </w:rPr>
        <w:t xml:space="preserve"> גופי קבורה קיימים</w:t>
      </w:r>
      <w:r w:rsidRPr="00E556CD">
        <w:rPr>
          <w:rFonts w:hint="cs"/>
          <w:rtl/>
        </w:rPr>
        <w:t xml:space="preserve">, על המשרד </w:t>
      </w:r>
      <w:r w:rsidRPr="00E556CD">
        <w:rPr>
          <w:rFonts w:hint="cs"/>
          <w:rtl/>
        </w:rPr>
        <w:t>להנגיש</w:t>
      </w:r>
      <w:r w:rsidRPr="00E556CD">
        <w:rPr>
          <w:rFonts w:hint="cs"/>
          <w:rtl/>
        </w:rPr>
        <w:t xml:space="preserve"> מידע זה לציבור אם בפרסומיו השונים, לרבות באתר האינטרנט של המשרד, ואם באמצעות הנחיית גופי הקבורה הקיימים </w:t>
      </w:r>
      <w:r w:rsidRPr="00E556CD">
        <w:rPr>
          <w:rFonts w:hint="cs"/>
          <w:rtl/>
        </w:rPr>
        <w:t>להנגיש</w:t>
      </w:r>
      <w:r w:rsidRPr="00E556CD">
        <w:rPr>
          <w:rFonts w:hint="cs"/>
          <w:rtl/>
        </w:rPr>
        <w:t xml:space="preserve"> את המידע</w:t>
      </w:r>
      <w:r w:rsidRPr="00E556CD">
        <w:rPr>
          <w:rtl/>
        </w:rPr>
        <w:t>.</w:t>
      </w:r>
    </w:p>
    <w:p w:rsidR="00EF45C8" w:rsidP="00E556CD">
      <w:pPr>
        <w:spacing w:line="240" w:lineRule="exact"/>
        <w:ind w:right="2268"/>
        <w:jc w:val="both"/>
        <w:rPr>
          <w:rFonts w:ascii="Tahoma" w:hAnsi="Tahoma" w:cs="Tahoma"/>
          <w:b/>
          <w:bCs/>
          <w:sz w:val="17"/>
          <w:szCs w:val="17"/>
          <w:rtl/>
        </w:rPr>
      </w:pPr>
    </w:p>
    <w:p w:rsidR="005F3BD7" w:rsidRPr="00E556CD" w:rsidP="00E556CD">
      <w:pPr>
        <w:spacing w:line="240" w:lineRule="exact"/>
        <w:ind w:right="2268"/>
        <w:jc w:val="both"/>
        <w:rPr>
          <w:rFonts w:ascii="Tahoma" w:hAnsi="Tahoma" w:cs="Tahoma"/>
          <w:b/>
          <w:bCs/>
          <w:sz w:val="17"/>
          <w:szCs w:val="17"/>
          <w:rtl/>
        </w:rPr>
      </w:pPr>
    </w:p>
    <w:p w:rsidR="00EF45C8" w:rsidRPr="00897F3D" w:rsidP="006B7001">
      <w:pPr>
        <w:pStyle w:val="KOT4"/>
        <w:rPr>
          <w:rtl/>
        </w:rPr>
      </w:pPr>
      <w:r>
        <w:rPr>
          <w:rFonts w:hint="cs"/>
          <w:rtl/>
        </w:rPr>
        <w:t>אומדן המחסור במקומות לקבורה אזרחית</w:t>
      </w:r>
    </w:p>
    <w:p w:rsidR="00EF45C8" w:rsidRPr="00E556CD" w:rsidP="00E556CD">
      <w:pPr>
        <w:spacing w:line="240" w:lineRule="exact"/>
        <w:ind w:right="2268"/>
        <w:jc w:val="both"/>
        <w:rPr>
          <w:rFonts w:ascii="Tahoma" w:hAnsi="Tahoma" w:cs="Tahoma"/>
          <w:sz w:val="17"/>
          <w:szCs w:val="17"/>
          <w:rtl/>
        </w:rPr>
      </w:pPr>
      <w:r w:rsidRPr="00E556CD">
        <w:rPr>
          <w:rFonts w:ascii="Tahoma" w:hAnsi="Tahoma" w:cs="Tahoma" w:hint="cs"/>
          <w:sz w:val="17"/>
          <w:szCs w:val="17"/>
          <w:rtl/>
        </w:rPr>
        <w:t>מאחר שאין בידי המשרד לשירותי דת נתונים תקפים וזמינים על ההיצע של מקומות הקבורה האזרחית, אסף משרד מבקר המדינה נתונים אלה ממקורות מידע שונים</w:t>
      </w:r>
      <w:r>
        <w:rPr>
          <w:rStyle w:val="FootnoteReference0"/>
          <w:rFonts w:ascii="Tahoma" w:hAnsi="Tahoma" w:cs="Tahoma"/>
          <w:sz w:val="17"/>
          <w:szCs w:val="17"/>
          <w:rtl/>
        </w:rPr>
        <w:footnoteReference w:id="20"/>
      </w:r>
      <w:r w:rsidRPr="00E556CD">
        <w:rPr>
          <w:rFonts w:ascii="Tahoma" w:hAnsi="Tahoma" w:cs="Tahoma" w:hint="cs"/>
          <w:sz w:val="17"/>
          <w:szCs w:val="17"/>
          <w:rtl/>
        </w:rPr>
        <w:t>. מהנתונים עולה כי הקיבולת המתוכננת של בתי עלמין אזרחיים בשנת 2016 הסתכמה בכ-29,050 מקומות קבורה, ובהם נקברו כ-14,990 נפטרים עד תחילת שנת 2016. על כן, ההיצע של מקומות הקבורה הזמינים לאותה השנה הסתכם בכ-14,060 מקומות (להלן - ההיצע הזמין), שמרביתם באזור באר שבע (כ-8,400).</w:t>
      </w:r>
    </w:p>
    <w:p w:rsidR="00EF45C8" w:rsidRPr="00E556CD" w:rsidP="00E556CD">
      <w:pPr>
        <w:spacing w:line="240" w:lineRule="exact"/>
        <w:ind w:right="2268"/>
        <w:jc w:val="both"/>
        <w:rPr>
          <w:rFonts w:ascii="Tahoma" w:hAnsi="Tahoma" w:cs="Tahoma"/>
          <w:sz w:val="17"/>
          <w:szCs w:val="17"/>
          <w:rtl/>
        </w:rPr>
      </w:pPr>
      <w:r w:rsidRPr="00E556CD">
        <w:rPr>
          <w:rFonts w:ascii="Tahoma" w:hAnsi="Tahoma" w:cs="Tahoma" w:hint="cs"/>
          <w:sz w:val="17"/>
          <w:szCs w:val="17"/>
          <w:rtl/>
        </w:rPr>
        <w:t>משרד מבקר המדינה ניתח את ההיצע הזמין של מקומות הקבורה האזרחית לשנים 2020-2016 לעומת אומדן הביקוש למקומות אלה לאותן שנים, לפי התחזית דלעיל, בהתפלגות לארבעת אזורי הקבורה המסומנים במפת התקנה. זאת על בסיס ההערכות שצוינו לעיל כי כל</w:t>
      </w:r>
      <w:r w:rsidRPr="00E556CD">
        <w:rPr>
          <w:rFonts w:ascii="Tahoma" w:hAnsi="Tahoma" w:cs="Tahoma"/>
          <w:sz w:val="17"/>
          <w:szCs w:val="17"/>
          <w:rtl/>
        </w:rPr>
        <w:t xml:space="preserve"> </w:t>
      </w:r>
      <w:r w:rsidRPr="00E556CD">
        <w:rPr>
          <w:rFonts w:ascii="Tahoma" w:hAnsi="Tahoma" w:cs="Tahoma" w:hint="cs"/>
          <w:sz w:val="17"/>
          <w:szCs w:val="17"/>
          <w:rtl/>
        </w:rPr>
        <w:t>הנפטרים</w:t>
      </w:r>
      <w:r w:rsidRPr="00E556CD">
        <w:rPr>
          <w:rFonts w:ascii="Tahoma" w:hAnsi="Tahoma" w:cs="Tahoma"/>
          <w:sz w:val="17"/>
          <w:szCs w:val="17"/>
          <w:rtl/>
        </w:rPr>
        <w:t xml:space="preserve"> </w:t>
      </w:r>
      <w:r w:rsidRPr="00E556CD">
        <w:rPr>
          <w:rFonts w:ascii="Tahoma" w:hAnsi="Tahoma" w:cs="Tahoma" w:hint="cs"/>
          <w:sz w:val="17"/>
          <w:szCs w:val="17"/>
          <w:rtl/>
        </w:rPr>
        <w:t>חסרי</w:t>
      </w:r>
      <w:r w:rsidRPr="00E556CD">
        <w:rPr>
          <w:rFonts w:ascii="Tahoma" w:hAnsi="Tahoma" w:cs="Tahoma"/>
          <w:sz w:val="17"/>
          <w:szCs w:val="17"/>
          <w:rtl/>
        </w:rPr>
        <w:t xml:space="preserve"> </w:t>
      </w:r>
      <w:r w:rsidRPr="00E556CD">
        <w:rPr>
          <w:rFonts w:ascii="Tahoma" w:hAnsi="Tahoma" w:cs="Tahoma" w:hint="cs"/>
          <w:sz w:val="17"/>
          <w:szCs w:val="17"/>
          <w:rtl/>
        </w:rPr>
        <w:t>הדת</w:t>
      </w:r>
      <w:r w:rsidRPr="00E556CD">
        <w:rPr>
          <w:rFonts w:ascii="Tahoma" w:hAnsi="Tahoma" w:cs="Tahoma"/>
          <w:sz w:val="17"/>
          <w:szCs w:val="17"/>
          <w:rtl/>
        </w:rPr>
        <w:t xml:space="preserve"> </w:t>
      </w:r>
      <w:r w:rsidRPr="00E556CD">
        <w:rPr>
          <w:rFonts w:ascii="Tahoma" w:hAnsi="Tahoma" w:cs="Tahoma" w:hint="cs"/>
          <w:sz w:val="17"/>
          <w:szCs w:val="17"/>
          <w:rtl/>
        </w:rPr>
        <w:t>וכל</w:t>
      </w:r>
      <w:r w:rsidRPr="00E556CD">
        <w:rPr>
          <w:rFonts w:ascii="Tahoma" w:hAnsi="Tahoma" w:cs="Tahoma"/>
          <w:sz w:val="17"/>
          <w:szCs w:val="17"/>
          <w:rtl/>
        </w:rPr>
        <w:t xml:space="preserve"> </w:t>
      </w:r>
      <w:r w:rsidRPr="00E556CD">
        <w:rPr>
          <w:rFonts w:ascii="Tahoma" w:hAnsi="Tahoma" w:cs="Tahoma" w:hint="cs"/>
          <w:sz w:val="17"/>
          <w:szCs w:val="17"/>
          <w:rtl/>
        </w:rPr>
        <w:t>הנוצרים</w:t>
      </w:r>
      <w:r w:rsidRPr="00E556CD">
        <w:rPr>
          <w:rFonts w:ascii="Tahoma" w:hAnsi="Tahoma" w:cs="Tahoma"/>
          <w:sz w:val="17"/>
          <w:szCs w:val="17"/>
          <w:rtl/>
        </w:rPr>
        <w:t xml:space="preserve"> </w:t>
      </w:r>
      <w:r w:rsidRPr="00E556CD">
        <w:rPr>
          <w:rFonts w:ascii="Tahoma" w:hAnsi="Tahoma" w:cs="Tahoma" w:hint="cs"/>
          <w:sz w:val="17"/>
          <w:szCs w:val="17"/>
          <w:rtl/>
        </w:rPr>
        <w:t>שאינם</w:t>
      </w:r>
      <w:r w:rsidRPr="00E556CD">
        <w:rPr>
          <w:rFonts w:ascii="Tahoma" w:hAnsi="Tahoma" w:cs="Tahoma"/>
          <w:sz w:val="17"/>
          <w:szCs w:val="17"/>
          <w:rtl/>
        </w:rPr>
        <w:t xml:space="preserve"> </w:t>
      </w:r>
      <w:r w:rsidRPr="00E556CD">
        <w:rPr>
          <w:rFonts w:ascii="Tahoma" w:hAnsi="Tahoma" w:cs="Tahoma" w:hint="cs"/>
          <w:sz w:val="17"/>
          <w:szCs w:val="17"/>
          <w:rtl/>
        </w:rPr>
        <w:t>ערבים</w:t>
      </w:r>
      <w:r w:rsidRPr="00E556CD">
        <w:rPr>
          <w:rFonts w:ascii="Tahoma" w:hAnsi="Tahoma" w:cs="Tahoma"/>
          <w:sz w:val="17"/>
          <w:szCs w:val="17"/>
          <w:rtl/>
        </w:rPr>
        <w:t xml:space="preserve"> </w:t>
      </w:r>
      <w:r w:rsidRPr="00E556CD">
        <w:rPr>
          <w:rFonts w:ascii="Tahoma" w:hAnsi="Tahoma" w:cs="Tahoma" w:hint="cs"/>
          <w:sz w:val="17"/>
          <w:szCs w:val="17"/>
          <w:rtl/>
        </w:rPr>
        <w:t>יהיו</w:t>
      </w:r>
      <w:r w:rsidRPr="00E556CD">
        <w:rPr>
          <w:rFonts w:ascii="Tahoma" w:hAnsi="Tahoma" w:cs="Tahoma"/>
          <w:sz w:val="17"/>
          <w:szCs w:val="17"/>
          <w:rtl/>
        </w:rPr>
        <w:t xml:space="preserve"> </w:t>
      </w:r>
      <w:r w:rsidRPr="00E556CD">
        <w:rPr>
          <w:rFonts w:ascii="Tahoma" w:hAnsi="Tahoma" w:cs="Tahoma" w:hint="cs"/>
          <w:sz w:val="17"/>
          <w:szCs w:val="17"/>
          <w:rtl/>
        </w:rPr>
        <w:t>מעוניינים</w:t>
      </w:r>
      <w:r w:rsidRPr="00E556CD">
        <w:rPr>
          <w:rFonts w:ascii="Tahoma" w:hAnsi="Tahoma" w:cs="Tahoma"/>
          <w:sz w:val="17"/>
          <w:szCs w:val="17"/>
          <w:rtl/>
        </w:rPr>
        <w:t xml:space="preserve"> </w:t>
      </w:r>
      <w:r w:rsidRPr="00E556CD">
        <w:rPr>
          <w:rFonts w:ascii="Tahoma" w:hAnsi="Tahoma" w:cs="Tahoma" w:hint="cs"/>
          <w:sz w:val="17"/>
          <w:szCs w:val="17"/>
          <w:rtl/>
        </w:rPr>
        <w:t>בקבורה</w:t>
      </w:r>
      <w:r w:rsidRPr="00E556CD">
        <w:rPr>
          <w:rFonts w:ascii="Tahoma" w:hAnsi="Tahoma" w:cs="Tahoma"/>
          <w:sz w:val="17"/>
          <w:szCs w:val="17"/>
          <w:rtl/>
        </w:rPr>
        <w:t xml:space="preserve"> </w:t>
      </w:r>
      <w:r w:rsidRPr="00E556CD">
        <w:rPr>
          <w:rFonts w:ascii="Tahoma" w:hAnsi="Tahoma" w:cs="Tahoma" w:hint="cs"/>
          <w:sz w:val="17"/>
          <w:szCs w:val="17"/>
          <w:rtl/>
        </w:rPr>
        <w:t>אזרחית, וכי 17%-6% מכלל אוכלוסיית היהודים מעוניינים</w:t>
      </w:r>
      <w:r w:rsidRPr="00E556CD">
        <w:rPr>
          <w:rFonts w:ascii="Tahoma" w:hAnsi="Tahoma" w:cs="Tahoma"/>
          <w:sz w:val="17"/>
          <w:szCs w:val="17"/>
          <w:rtl/>
        </w:rPr>
        <w:t xml:space="preserve"> </w:t>
      </w:r>
      <w:r w:rsidRPr="00E556CD">
        <w:rPr>
          <w:rFonts w:ascii="Tahoma" w:hAnsi="Tahoma" w:cs="Tahoma" w:hint="cs"/>
          <w:sz w:val="17"/>
          <w:szCs w:val="17"/>
          <w:rtl/>
        </w:rPr>
        <w:t xml:space="preserve">בקבורה אזרחית. הנתונים האמורים נותחו על בסיס ההנחות האלה: ראשית, אין צפי לשינוי ההיצע הזמין בטווח הקצר, דהיינו בשנים 2020-2016. שנית, הביקוש לקבורה אזרחית באזורים השונים חושב על פי היקף האוכלוסייה וההתפלגות שלה. שלישית, </w:t>
      </w:r>
      <w:r w:rsidRPr="00E556CD">
        <w:rPr>
          <w:rFonts w:ascii="Tahoma" w:hAnsi="Tahoma" w:cs="Tahoma" w:hint="cs"/>
          <w:sz w:val="17"/>
          <w:szCs w:val="17"/>
          <w:rtl/>
        </w:rPr>
        <w:t>להיצע הזמין של מקומות קבורה (14,060) יתווספו כ-20% מכלל מקומות הקבורה (כ-2,800) עקב שריון מקומות קבורה לצורך קבורה במכפלה</w:t>
      </w:r>
      <w:r>
        <w:rPr>
          <w:rStyle w:val="FootnoteReference0"/>
          <w:rFonts w:ascii="Tahoma" w:hAnsi="Tahoma" w:cs="Tahoma"/>
          <w:sz w:val="17"/>
          <w:szCs w:val="17"/>
          <w:rtl/>
        </w:rPr>
        <w:footnoteReference w:id="21"/>
      </w:r>
      <w:r w:rsidRPr="00E556CD">
        <w:rPr>
          <w:rFonts w:ascii="Tahoma" w:hAnsi="Tahoma" w:cs="Tahoma" w:hint="cs"/>
          <w:sz w:val="17"/>
          <w:szCs w:val="17"/>
          <w:rtl/>
        </w:rPr>
        <w:t>.</w:t>
      </w:r>
    </w:p>
    <w:p w:rsidR="00EF45C8" w:rsidRPr="00E556CD" w:rsidP="00E556CD">
      <w:pPr>
        <w:spacing w:line="240" w:lineRule="exact"/>
        <w:ind w:right="2268"/>
        <w:jc w:val="both"/>
        <w:rPr>
          <w:rFonts w:ascii="Tahoma" w:hAnsi="Tahoma" w:cs="Tahoma"/>
          <w:sz w:val="17"/>
          <w:szCs w:val="17"/>
          <w:rtl/>
        </w:rPr>
      </w:pPr>
      <w:r w:rsidRPr="00E556CD">
        <w:rPr>
          <w:rFonts w:ascii="Tahoma" w:hAnsi="Tahoma" w:cs="Tahoma" w:hint="cs"/>
          <w:sz w:val="17"/>
          <w:szCs w:val="17"/>
          <w:rtl/>
        </w:rPr>
        <w:t>ב</w:t>
      </w:r>
      <w:r w:rsidRPr="00E556CD">
        <w:rPr>
          <w:rFonts w:ascii="Tahoma" w:hAnsi="Tahoma" w:cs="Tahoma" w:hint="eastAsia"/>
          <w:sz w:val="17"/>
          <w:szCs w:val="17"/>
          <w:rtl/>
        </w:rPr>
        <w:t>תרשים</w:t>
      </w:r>
      <w:r w:rsidRPr="00E556CD">
        <w:rPr>
          <w:rFonts w:ascii="Tahoma" w:hAnsi="Tahoma" w:cs="Tahoma"/>
          <w:sz w:val="17"/>
          <w:szCs w:val="17"/>
          <w:rtl/>
        </w:rPr>
        <w:t xml:space="preserve"> 1</w:t>
      </w:r>
      <w:r w:rsidRPr="00E556CD">
        <w:rPr>
          <w:rFonts w:ascii="Tahoma" w:hAnsi="Tahoma" w:cs="Tahoma" w:hint="cs"/>
          <w:sz w:val="17"/>
          <w:szCs w:val="17"/>
          <w:rtl/>
        </w:rPr>
        <w:t xml:space="preserve"> שלהלן יוצגו</w:t>
      </w:r>
      <w:r w:rsidRPr="00E556CD">
        <w:rPr>
          <w:rFonts w:ascii="Tahoma" w:hAnsi="Tahoma" w:cs="Tahoma"/>
          <w:sz w:val="17"/>
          <w:szCs w:val="17"/>
          <w:rtl/>
        </w:rPr>
        <w:t xml:space="preserve"> </w:t>
      </w:r>
      <w:r w:rsidRPr="00E556CD">
        <w:rPr>
          <w:rFonts w:ascii="Tahoma" w:hAnsi="Tahoma" w:cs="Tahoma" w:hint="cs"/>
          <w:sz w:val="17"/>
          <w:szCs w:val="17"/>
          <w:rtl/>
        </w:rPr>
        <w:t>ה</w:t>
      </w:r>
      <w:r w:rsidRPr="00E556CD">
        <w:rPr>
          <w:rFonts w:ascii="Tahoma" w:hAnsi="Tahoma" w:cs="Tahoma"/>
          <w:sz w:val="17"/>
          <w:szCs w:val="17"/>
          <w:rtl/>
        </w:rPr>
        <w:t xml:space="preserve">פערים בין </w:t>
      </w:r>
      <w:r w:rsidRPr="00E556CD">
        <w:rPr>
          <w:rFonts w:ascii="Tahoma" w:hAnsi="Tahoma" w:cs="Tahoma" w:hint="eastAsia"/>
          <w:sz w:val="17"/>
          <w:szCs w:val="17"/>
          <w:rtl/>
        </w:rPr>
        <w:t>ה</w:t>
      </w:r>
      <w:r w:rsidRPr="00E556CD">
        <w:rPr>
          <w:rFonts w:ascii="Tahoma" w:hAnsi="Tahoma" w:cs="Tahoma"/>
          <w:sz w:val="17"/>
          <w:szCs w:val="17"/>
          <w:rtl/>
        </w:rPr>
        <w:t xml:space="preserve">היצע </w:t>
      </w:r>
      <w:r w:rsidRPr="00E556CD">
        <w:rPr>
          <w:rFonts w:ascii="Tahoma" w:hAnsi="Tahoma" w:cs="Tahoma" w:hint="eastAsia"/>
          <w:sz w:val="17"/>
          <w:szCs w:val="17"/>
          <w:rtl/>
        </w:rPr>
        <w:t>ה</w:t>
      </w:r>
      <w:r w:rsidRPr="00E556CD">
        <w:rPr>
          <w:rFonts w:ascii="Tahoma" w:hAnsi="Tahoma" w:cs="Tahoma"/>
          <w:sz w:val="17"/>
          <w:szCs w:val="17"/>
          <w:rtl/>
        </w:rPr>
        <w:t xml:space="preserve">זמין </w:t>
      </w:r>
      <w:r w:rsidRPr="00E556CD">
        <w:rPr>
          <w:rFonts w:ascii="Tahoma" w:hAnsi="Tahoma" w:cs="Tahoma" w:hint="eastAsia"/>
          <w:sz w:val="17"/>
          <w:szCs w:val="17"/>
          <w:rtl/>
        </w:rPr>
        <w:t>של</w:t>
      </w:r>
      <w:r w:rsidRPr="00E556CD">
        <w:rPr>
          <w:rFonts w:ascii="Tahoma" w:hAnsi="Tahoma" w:cs="Tahoma"/>
          <w:sz w:val="17"/>
          <w:szCs w:val="17"/>
          <w:rtl/>
        </w:rPr>
        <w:t xml:space="preserve"> </w:t>
      </w:r>
      <w:r w:rsidRPr="00E556CD">
        <w:rPr>
          <w:rFonts w:ascii="Tahoma" w:hAnsi="Tahoma" w:cs="Tahoma" w:hint="eastAsia"/>
          <w:sz w:val="17"/>
          <w:szCs w:val="17"/>
          <w:rtl/>
        </w:rPr>
        <w:t>מקומות</w:t>
      </w:r>
      <w:r w:rsidRPr="00E556CD">
        <w:rPr>
          <w:rFonts w:ascii="Tahoma" w:hAnsi="Tahoma" w:cs="Tahoma"/>
          <w:sz w:val="17"/>
          <w:szCs w:val="17"/>
          <w:rtl/>
        </w:rPr>
        <w:t xml:space="preserve"> </w:t>
      </w:r>
      <w:r w:rsidRPr="00E556CD">
        <w:rPr>
          <w:rFonts w:ascii="Tahoma" w:hAnsi="Tahoma" w:cs="Tahoma" w:hint="eastAsia"/>
          <w:sz w:val="17"/>
          <w:szCs w:val="17"/>
          <w:rtl/>
        </w:rPr>
        <w:t>ל</w:t>
      </w:r>
      <w:r w:rsidRPr="00E556CD">
        <w:rPr>
          <w:rFonts w:ascii="Tahoma" w:hAnsi="Tahoma" w:cs="Tahoma"/>
          <w:sz w:val="17"/>
          <w:szCs w:val="17"/>
          <w:rtl/>
        </w:rPr>
        <w:t>קבורה אזרחית לשנים 2020-2016 ובין הביקוש לכך לפי שלושה תרחישים אפשריים</w:t>
      </w:r>
      <w:r w:rsidRPr="00E556CD">
        <w:rPr>
          <w:rFonts w:ascii="Tahoma" w:hAnsi="Tahoma" w:cs="Tahoma" w:hint="cs"/>
          <w:sz w:val="17"/>
          <w:szCs w:val="17"/>
          <w:rtl/>
        </w:rPr>
        <w:t>.</w:t>
      </w:r>
    </w:p>
    <w:p w:rsidR="00EF45C8" w:rsidRPr="005F3BD7" w:rsidP="005F3BD7">
      <w:pPr>
        <w:pStyle w:val="tab-name"/>
        <w:rPr>
          <w:b/>
          <w:bCs/>
          <w:rtl/>
        </w:rPr>
      </w:pPr>
      <w:r w:rsidRPr="002E08AB">
        <w:rPr>
          <w:rFonts w:hint="eastAsia"/>
          <w:rtl/>
        </w:rPr>
        <w:t>תרשים</w:t>
      </w:r>
      <w:r w:rsidRPr="002E08AB">
        <w:rPr>
          <w:rtl/>
        </w:rPr>
        <w:t xml:space="preserve"> 1</w:t>
      </w:r>
      <w:r w:rsidR="005F3BD7">
        <w:rPr>
          <w:rFonts w:hint="cs"/>
          <w:rtl/>
        </w:rPr>
        <w:t xml:space="preserve">: </w:t>
      </w:r>
      <w:r w:rsidRPr="005F3BD7">
        <w:rPr>
          <w:b/>
          <w:bCs/>
          <w:rtl/>
        </w:rPr>
        <w:t xml:space="preserve">פערים בין היצע זמין </w:t>
      </w:r>
      <w:r w:rsidRPr="005F3BD7">
        <w:rPr>
          <w:rFonts w:hint="eastAsia"/>
          <w:b/>
          <w:bCs/>
          <w:rtl/>
        </w:rPr>
        <w:t>של</w:t>
      </w:r>
      <w:r w:rsidRPr="005F3BD7">
        <w:rPr>
          <w:b/>
          <w:bCs/>
          <w:rtl/>
        </w:rPr>
        <w:t xml:space="preserve"> </w:t>
      </w:r>
      <w:r w:rsidRPr="005F3BD7">
        <w:rPr>
          <w:rFonts w:hint="eastAsia"/>
          <w:b/>
          <w:bCs/>
          <w:rtl/>
        </w:rPr>
        <w:t>מקומות</w:t>
      </w:r>
      <w:r w:rsidRPr="005F3BD7">
        <w:rPr>
          <w:b/>
          <w:bCs/>
          <w:rtl/>
        </w:rPr>
        <w:t xml:space="preserve"> הקבורה האזרחית לשנים 2020-2016 ובין הביקוש לכך</w:t>
      </w:r>
      <w:r w:rsidRPr="005F3BD7">
        <w:rPr>
          <w:rFonts w:hint="cs"/>
          <w:b/>
          <w:bCs/>
          <w:rtl/>
        </w:rPr>
        <w:t xml:space="preserve"> לפי 3 תרחישים אפשריים</w:t>
      </w:r>
    </w:p>
    <w:p w:rsidR="00EF45C8" w:rsidRPr="00E556CD" w:rsidP="005F3BD7">
      <w:pPr>
        <w:spacing w:line="240" w:lineRule="atLeast"/>
        <w:ind w:right="2268"/>
        <w:rPr>
          <w:rFonts w:ascii="Tahoma" w:hAnsi="Tahoma" w:cs="Tahoma"/>
          <w:sz w:val="17"/>
          <w:szCs w:val="17"/>
          <w:highlight w:val="yellow"/>
          <w:rtl/>
        </w:rPr>
      </w:pPr>
      <w:r>
        <w:rPr>
          <w:rFonts w:ascii="Tahoma" w:hAnsi="Tahoma" w:cs="Tahoma"/>
          <w:noProof/>
          <w:sz w:val="17"/>
          <w:szCs w:val="17"/>
          <w:rtl/>
        </w:rPr>
        <w:drawing>
          <wp:inline distT="0" distB="0" distL="0" distR="0">
            <wp:extent cx="5400040" cy="48240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589219" name="תרשים 1 - 28.2.png"/>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a:xfrm>
                      <a:off x="0" y="0"/>
                      <a:ext cx="5400040" cy="4824095"/>
                    </a:xfrm>
                    <a:prstGeom prst="rect">
                      <a:avLst/>
                    </a:prstGeom>
                  </pic:spPr>
                </pic:pic>
              </a:graphicData>
            </a:graphic>
          </wp:inline>
        </w:drawing>
      </w:r>
    </w:p>
    <w:p w:rsidR="00EF45C8" w:rsidRPr="00E556CD" w:rsidP="005F3BD7">
      <w:pPr>
        <w:pStyle w:val="RESHET"/>
      </w:pPr>
      <w:r w:rsidRPr="00E556CD">
        <w:rPr>
          <w:rFonts w:hint="cs"/>
          <w:rtl/>
        </w:rPr>
        <w:t>מ</w:t>
      </w:r>
      <w:r w:rsidRPr="00E556CD">
        <w:rPr>
          <w:rtl/>
        </w:rPr>
        <w:t xml:space="preserve">תרשים </w:t>
      </w:r>
      <w:r w:rsidRPr="00E556CD">
        <w:rPr>
          <w:rFonts w:hint="cs"/>
          <w:rtl/>
        </w:rPr>
        <w:t>1</w:t>
      </w:r>
      <w:r w:rsidRPr="00E556CD">
        <w:rPr>
          <w:rtl/>
        </w:rPr>
        <w:t xml:space="preserve"> </w:t>
      </w:r>
      <w:r w:rsidRPr="00E556CD">
        <w:rPr>
          <w:rFonts w:hint="cs"/>
          <w:rtl/>
        </w:rPr>
        <w:t>עולה</w:t>
      </w:r>
      <w:r w:rsidRPr="00E556CD">
        <w:rPr>
          <w:rtl/>
        </w:rPr>
        <w:t xml:space="preserve"> </w:t>
      </w:r>
      <w:r w:rsidRPr="00E556CD">
        <w:rPr>
          <w:rFonts w:hint="cs"/>
          <w:rtl/>
        </w:rPr>
        <w:t xml:space="preserve">כי </w:t>
      </w:r>
      <w:r w:rsidRPr="00E556CD">
        <w:rPr>
          <w:rtl/>
        </w:rPr>
        <w:t>ב</w:t>
      </w:r>
      <w:r w:rsidRPr="00E556CD">
        <w:rPr>
          <w:rFonts w:hint="cs"/>
          <w:rtl/>
        </w:rPr>
        <w:t>הנחה</w:t>
      </w:r>
      <w:r w:rsidRPr="00E556CD">
        <w:rPr>
          <w:rtl/>
        </w:rPr>
        <w:t xml:space="preserve"> </w:t>
      </w:r>
      <w:r w:rsidRPr="00E556CD">
        <w:rPr>
          <w:rFonts w:hint="cs"/>
          <w:rtl/>
        </w:rPr>
        <w:t>ש</w:t>
      </w:r>
      <w:r w:rsidRPr="00E556CD">
        <w:rPr>
          <w:rtl/>
        </w:rPr>
        <w:t xml:space="preserve">שיעור </w:t>
      </w:r>
      <w:r w:rsidRPr="00E556CD">
        <w:rPr>
          <w:rFonts w:hint="cs"/>
          <w:rtl/>
        </w:rPr>
        <w:t>המעוניינים</w:t>
      </w:r>
      <w:r w:rsidRPr="00E556CD">
        <w:rPr>
          <w:rtl/>
        </w:rPr>
        <w:t xml:space="preserve"> בק</w:t>
      </w:r>
      <w:r w:rsidRPr="00E556CD">
        <w:rPr>
          <w:rFonts w:hint="cs"/>
          <w:rtl/>
        </w:rPr>
        <w:t>בורה</w:t>
      </w:r>
      <w:r w:rsidRPr="00E556CD">
        <w:rPr>
          <w:rtl/>
        </w:rPr>
        <w:t xml:space="preserve"> </w:t>
      </w:r>
      <w:r w:rsidRPr="00E556CD">
        <w:rPr>
          <w:rFonts w:hint="cs"/>
          <w:rtl/>
        </w:rPr>
        <w:t>אזרחית</w:t>
      </w:r>
      <w:r w:rsidRPr="00E556CD">
        <w:rPr>
          <w:rtl/>
        </w:rPr>
        <w:t xml:space="preserve"> </w:t>
      </w:r>
      <w:r w:rsidRPr="00E556CD">
        <w:rPr>
          <w:rFonts w:hint="cs"/>
          <w:rtl/>
        </w:rPr>
        <w:t>הוא</w:t>
      </w:r>
      <w:r w:rsidRPr="00E556CD">
        <w:rPr>
          <w:rtl/>
        </w:rPr>
        <w:t xml:space="preserve"> </w:t>
      </w:r>
      <w:r w:rsidRPr="00E556CD">
        <w:rPr>
          <w:rFonts w:hint="cs"/>
          <w:rtl/>
        </w:rPr>
        <w:t>10</w:t>
      </w:r>
      <w:r w:rsidRPr="00E556CD">
        <w:rPr>
          <w:rtl/>
        </w:rPr>
        <w:t>%</w:t>
      </w:r>
      <w:r w:rsidRPr="00E556CD">
        <w:rPr>
          <w:rFonts w:hint="cs"/>
          <w:rtl/>
        </w:rPr>
        <w:t xml:space="preserve"> מהנפטרים,</w:t>
      </w:r>
      <w:r w:rsidRPr="00E556CD">
        <w:rPr>
          <w:rtl/>
        </w:rPr>
        <w:t xml:space="preserve"> </w:t>
      </w:r>
      <w:r w:rsidRPr="00E556CD">
        <w:rPr>
          <w:rFonts w:hint="cs"/>
          <w:rtl/>
        </w:rPr>
        <w:t>יש מחסור כלל-ארצי ב-3,120 מקומות קבורה;</w:t>
      </w:r>
      <w:r w:rsidRPr="00E556CD">
        <w:rPr>
          <w:rtl/>
        </w:rPr>
        <w:t xml:space="preserve"> </w:t>
      </w:r>
      <w:r w:rsidRPr="00E556CD">
        <w:rPr>
          <w:rFonts w:hint="cs"/>
          <w:rtl/>
        </w:rPr>
        <w:t>ובהנחה</w:t>
      </w:r>
      <w:r w:rsidRPr="00E556CD">
        <w:rPr>
          <w:rtl/>
        </w:rPr>
        <w:t xml:space="preserve"> </w:t>
      </w:r>
      <w:r w:rsidRPr="00E556CD">
        <w:rPr>
          <w:rFonts w:hint="cs"/>
          <w:rtl/>
        </w:rPr>
        <w:t>ששיעור המעוניינים בכך הוא</w:t>
      </w:r>
      <w:r w:rsidRPr="00E556CD">
        <w:rPr>
          <w:rtl/>
        </w:rPr>
        <w:t xml:space="preserve"> 17% </w:t>
      </w:r>
      <w:r w:rsidRPr="00E556CD">
        <w:rPr>
          <w:rFonts w:hint="cs"/>
          <w:rtl/>
        </w:rPr>
        <w:t>- יש מחסור ב-</w:t>
      </w:r>
      <w:r w:rsidRPr="00E556CD">
        <w:rPr>
          <w:rtl/>
        </w:rPr>
        <w:t>17</w:t>
      </w:r>
      <w:r w:rsidRPr="00E556CD">
        <w:rPr>
          <w:rFonts w:hint="cs"/>
          <w:rtl/>
        </w:rPr>
        <w:t>,</w:t>
      </w:r>
      <w:r w:rsidRPr="00E556CD">
        <w:rPr>
          <w:rtl/>
        </w:rPr>
        <w:t>1</w:t>
      </w:r>
      <w:r w:rsidRPr="00E556CD">
        <w:rPr>
          <w:rFonts w:hint="cs"/>
          <w:rtl/>
        </w:rPr>
        <w:t>2</w:t>
      </w:r>
      <w:r w:rsidRPr="00E556CD">
        <w:rPr>
          <w:rtl/>
        </w:rPr>
        <w:t xml:space="preserve">0 </w:t>
      </w:r>
      <w:r w:rsidRPr="00E556CD">
        <w:rPr>
          <w:rFonts w:hint="cs"/>
          <w:rtl/>
        </w:rPr>
        <w:t>מקומות</w:t>
      </w:r>
      <w:r w:rsidRPr="00E556CD">
        <w:rPr>
          <w:rtl/>
        </w:rPr>
        <w:t xml:space="preserve"> </w:t>
      </w:r>
      <w:r w:rsidRPr="00E556CD">
        <w:rPr>
          <w:rFonts w:hint="cs"/>
          <w:rtl/>
        </w:rPr>
        <w:t>קבורה</w:t>
      </w:r>
      <w:r w:rsidRPr="00E556CD">
        <w:rPr>
          <w:rtl/>
        </w:rPr>
        <w:t xml:space="preserve">. זאת ועוד, </w:t>
      </w:r>
      <w:r w:rsidRPr="00E556CD">
        <w:rPr>
          <w:rFonts w:hint="cs"/>
          <w:rtl/>
        </w:rPr>
        <w:t>מ</w:t>
      </w:r>
      <w:r w:rsidRPr="00E556CD">
        <w:rPr>
          <w:rtl/>
        </w:rPr>
        <w:t xml:space="preserve">ניתוח בהתאם לאזורים </w:t>
      </w:r>
      <w:r w:rsidRPr="00E556CD">
        <w:rPr>
          <w:rFonts w:hint="cs"/>
          <w:rtl/>
        </w:rPr>
        <w:t>עולה</w:t>
      </w:r>
      <w:r w:rsidRPr="00E556CD">
        <w:rPr>
          <w:rtl/>
        </w:rPr>
        <w:t xml:space="preserve"> כי ההיצע הזמין של מקומות </w:t>
      </w:r>
      <w:r w:rsidRPr="00E556CD">
        <w:rPr>
          <w:rFonts w:hint="cs"/>
          <w:rtl/>
        </w:rPr>
        <w:t>ל</w:t>
      </w:r>
      <w:r w:rsidRPr="00E556CD">
        <w:rPr>
          <w:rtl/>
        </w:rPr>
        <w:t xml:space="preserve">קבורה הוא </w:t>
      </w:r>
      <w:r w:rsidRPr="00E556CD">
        <w:rPr>
          <w:rFonts w:hint="cs"/>
          <w:rtl/>
        </w:rPr>
        <w:t xml:space="preserve">בעיקר </w:t>
      </w:r>
      <w:r w:rsidRPr="00E556CD">
        <w:rPr>
          <w:rtl/>
        </w:rPr>
        <w:t>באזור באר שבע</w:t>
      </w:r>
      <w:r w:rsidRPr="00E556CD">
        <w:rPr>
          <w:rFonts w:hint="cs"/>
          <w:rtl/>
        </w:rPr>
        <w:t xml:space="preserve"> והדרום,</w:t>
      </w:r>
      <w:r w:rsidRPr="00E556CD">
        <w:rPr>
          <w:rtl/>
        </w:rPr>
        <w:t xml:space="preserve"> </w:t>
      </w:r>
      <w:r w:rsidRPr="00E556CD">
        <w:rPr>
          <w:rFonts w:hint="cs"/>
          <w:rtl/>
        </w:rPr>
        <w:t>אזור שבו יהיה</w:t>
      </w:r>
      <w:r w:rsidRPr="00E556CD">
        <w:rPr>
          <w:rtl/>
        </w:rPr>
        <w:t xml:space="preserve"> עודף היצע של </w:t>
      </w:r>
      <w:r w:rsidRPr="00E556CD">
        <w:rPr>
          <w:rFonts w:hint="cs"/>
          <w:rtl/>
        </w:rPr>
        <w:t xml:space="preserve">כ-7,000 </w:t>
      </w:r>
      <w:r w:rsidRPr="00E556CD">
        <w:rPr>
          <w:rtl/>
        </w:rPr>
        <w:t xml:space="preserve">מקומות </w:t>
      </w:r>
      <w:r w:rsidRPr="00E556CD">
        <w:rPr>
          <w:rFonts w:hint="cs"/>
          <w:rtl/>
        </w:rPr>
        <w:t>ל</w:t>
      </w:r>
      <w:r w:rsidRPr="00E556CD">
        <w:rPr>
          <w:rtl/>
        </w:rPr>
        <w:t xml:space="preserve">קבורה אזרחית </w:t>
      </w:r>
      <w:r w:rsidRPr="00E556CD">
        <w:rPr>
          <w:rFonts w:hint="cs"/>
          <w:rtl/>
        </w:rPr>
        <w:t>לכל היותר (לפי תרחיש של 10%); אולם בגוש דן המחסור יסתכם ב-4,700 מקומות (תרחיש של 10%</w:t>
      </w:r>
      <w:r>
        <w:rPr>
          <w:rStyle w:val="FootnoteReference0"/>
          <w:rtl/>
        </w:rPr>
        <w:footnoteReference w:id="22"/>
      </w:r>
      <w:r w:rsidRPr="00E556CD">
        <w:rPr>
          <w:rFonts w:hint="cs"/>
          <w:rtl/>
        </w:rPr>
        <w:t>). בייחוד יש להדגיש את חוסר ההיצע בירושלים</w:t>
      </w:r>
      <w:r w:rsidR="00ED10E1">
        <w:rPr>
          <w:rFonts w:hint="cs"/>
          <w:rtl/>
        </w:rPr>
        <w:t xml:space="preserve"> </w:t>
      </w:r>
      <w:r w:rsidRPr="00E556CD">
        <w:rPr>
          <w:rFonts w:hint="cs"/>
          <w:rtl/>
        </w:rPr>
        <w:t xml:space="preserve">- אף שהעיר </w:t>
      </w:r>
      <w:r w:rsidRPr="00E556CD">
        <w:rPr>
          <w:rFonts w:hint="eastAsia"/>
          <w:rtl/>
        </w:rPr>
        <w:t>מונה</w:t>
      </w:r>
      <w:r w:rsidRPr="00E556CD">
        <w:rPr>
          <w:rtl/>
        </w:rPr>
        <w:t xml:space="preserve"> כ-</w:t>
      </w:r>
      <w:r w:rsidRPr="00E556CD">
        <w:rPr>
          <w:rFonts w:hint="cs"/>
          <w:rtl/>
        </w:rPr>
        <w:t>870</w:t>
      </w:r>
      <w:r w:rsidRPr="00E556CD">
        <w:rPr>
          <w:rtl/>
        </w:rPr>
        <w:t xml:space="preserve">,000 תושבים, אין </w:t>
      </w:r>
      <w:r w:rsidRPr="00E556CD">
        <w:rPr>
          <w:rFonts w:hint="cs"/>
          <w:rtl/>
        </w:rPr>
        <w:t>להם כלל היצע זמין של מקומות</w:t>
      </w:r>
      <w:r w:rsidRPr="00E556CD">
        <w:rPr>
          <w:rtl/>
        </w:rPr>
        <w:t xml:space="preserve"> </w:t>
      </w:r>
      <w:r w:rsidRPr="00E556CD">
        <w:rPr>
          <w:rFonts w:hint="eastAsia"/>
          <w:rtl/>
        </w:rPr>
        <w:t>לקבורה</w:t>
      </w:r>
      <w:r w:rsidRPr="00E556CD">
        <w:rPr>
          <w:rtl/>
        </w:rPr>
        <w:t xml:space="preserve"> </w:t>
      </w:r>
      <w:r w:rsidRPr="00E556CD">
        <w:rPr>
          <w:rFonts w:hint="eastAsia"/>
          <w:rtl/>
        </w:rPr>
        <w:t>אזרחית</w:t>
      </w:r>
      <w:r w:rsidRPr="00E556CD">
        <w:rPr>
          <w:rtl/>
        </w:rPr>
        <w:t>.</w:t>
      </w:r>
    </w:p>
    <w:p w:rsidR="00EF45C8" w:rsidRPr="00E556CD" w:rsidP="005F3BD7">
      <w:pPr>
        <w:pStyle w:val="RESHET"/>
        <w:rPr>
          <w:rtl/>
        </w:rPr>
      </w:pPr>
      <w:r w:rsidRPr="00E556CD">
        <w:rPr>
          <w:rFonts w:hint="cs"/>
          <w:rtl/>
        </w:rPr>
        <w:t>יצוין</w:t>
      </w:r>
      <w:r w:rsidRPr="00E556CD">
        <w:rPr>
          <w:rtl/>
        </w:rPr>
        <w:t xml:space="preserve"> כי </w:t>
      </w:r>
      <w:r w:rsidRPr="00E556CD">
        <w:rPr>
          <w:rFonts w:hint="cs"/>
          <w:rtl/>
        </w:rPr>
        <w:t xml:space="preserve">ייתכן שהפער בין ההיצע לביקוש </w:t>
      </w:r>
      <w:r w:rsidRPr="00E556CD">
        <w:rPr>
          <w:rtl/>
        </w:rPr>
        <w:t>במקומות קבורה אזרחית</w:t>
      </w:r>
      <w:r w:rsidRPr="00E556CD">
        <w:rPr>
          <w:rFonts w:hint="cs"/>
          <w:rtl/>
        </w:rPr>
        <w:t xml:space="preserve"> עלול אף להיות גדול יותר</w:t>
      </w:r>
      <w:r w:rsidRPr="00E556CD">
        <w:rPr>
          <w:rtl/>
        </w:rPr>
        <w:t xml:space="preserve">, על פי שלושת התרחישים שצוינו לעיל, </w:t>
      </w:r>
      <w:r w:rsidRPr="00E556CD">
        <w:rPr>
          <w:rFonts w:hint="cs"/>
          <w:rtl/>
        </w:rPr>
        <w:t xml:space="preserve">מאחר שבמסגרת חישוב הנתונים לא הובא בחשבון הביקוש </w:t>
      </w:r>
      <w:r w:rsidRPr="00E556CD">
        <w:rPr>
          <w:rtl/>
        </w:rPr>
        <w:t>לקבורה אזרחית בקרב האוכלוסייה ה</w:t>
      </w:r>
      <w:r w:rsidRPr="00E556CD">
        <w:rPr>
          <w:rFonts w:hint="cs"/>
          <w:rtl/>
        </w:rPr>
        <w:t>ערבית,</w:t>
      </w:r>
      <w:r w:rsidRPr="00E556CD">
        <w:rPr>
          <w:rtl/>
        </w:rPr>
        <w:t xml:space="preserve"> </w:t>
      </w:r>
      <w:r w:rsidRPr="00E556CD">
        <w:rPr>
          <w:rFonts w:hint="cs"/>
          <w:rtl/>
        </w:rPr>
        <w:t>שהיקפה</w:t>
      </w:r>
      <w:r w:rsidRPr="00E556CD">
        <w:rPr>
          <w:rtl/>
        </w:rPr>
        <w:t xml:space="preserve"> </w:t>
      </w:r>
      <w:r w:rsidRPr="00E556CD">
        <w:rPr>
          <w:rFonts w:hint="cs"/>
          <w:rtl/>
        </w:rPr>
        <w:t>כ</w:t>
      </w:r>
      <w:r w:rsidRPr="00E556CD">
        <w:rPr>
          <w:rtl/>
        </w:rPr>
        <w:t xml:space="preserve">-20% </w:t>
      </w:r>
      <w:r w:rsidRPr="00E556CD">
        <w:rPr>
          <w:rFonts w:hint="cs"/>
          <w:rtl/>
        </w:rPr>
        <w:t>מכלל</w:t>
      </w:r>
      <w:r w:rsidRPr="00E556CD">
        <w:rPr>
          <w:rtl/>
        </w:rPr>
        <w:t xml:space="preserve"> </w:t>
      </w:r>
      <w:r w:rsidRPr="00E556CD">
        <w:rPr>
          <w:rFonts w:hint="cs"/>
          <w:rtl/>
        </w:rPr>
        <w:t>אוכלוסיית</w:t>
      </w:r>
      <w:r w:rsidRPr="00E556CD">
        <w:rPr>
          <w:rtl/>
        </w:rPr>
        <w:t xml:space="preserve"> </w:t>
      </w:r>
      <w:r w:rsidRPr="00E556CD">
        <w:rPr>
          <w:rFonts w:hint="cs"/>
          <w:rtl/>
        </w:rPr>
        <w:t>המדינה.</w:t>
      </w:r>
    </w:p>
    <w:p w:rsidR="00EF45C8" w:rsidRPr="00E556CD" w:rsidP="005F3BD7">
      <w:pPr>
        <w:spacing w:before="180" w:after="240" w:line="240" w:lineRule="exact"/>
        <w:ind w:right="2268"/>
        <w:jc w:val="both"/>
        <w:rPr>
          <w:rFonts w:ascii="Tahoma" w:hAnsi="Tahoma" w:cs="Tahoma"/>
          <w:b/>
          <w:bCs/>
          <w:sz w:val="17"/>
          <w:szCs w:val="17"/>
          <w:rtl/>
        </w:rPr>
      </w:pPr>
      <w:r w:rsidRPr="00E556CD">
        <w:rPr>
          <w:rFonts w:ascii="Tahoma" w:hAnsi="Tahoma" w:cs="Tahoma" w:hint="cs"/>
          <w:sz w:val="17"/>
          <w:szCs w:val="17"/>
          <w:rtl/>
        </w:rPr>
        <w:t>המחסור</w:t>
      </w:r>
      <w:r w:rsidRPr="00E556CD">
        <w:rPr>
          <w:rFonts w:ascii="Tahoma" w:hAnsi="Tahoma" w:cs="Tahoma"/>
          <w:sz w:val="17"/>
          <w:szCs w:val="17"/>
          <w:rtl/>
        </w:rPr>
        <w:t xml:space="preserve"> </w:t>
      </w:r>
      <w:r w:rsidRPr="00E556CD">
        <w:rPr>
          <w:rFonts w:ascii="Tahoma" w:hAnsi="Tahoma" w:cs="Tahoma" w:hint="cs"/>
          <w:sz w:val="17"/>
          <w:szCs w:val="17"/>
          <w:rtl/>
        </w:rPr>
        <w:t>במקומות</w:t>
      </w:r>
      <w:r w:rsidRPr="00E556CD">
        <w:rPr>
          <w:rFonts w:ascii="Tahoma" w:hAnsi="Tahoma" w:cs="Tahoma"/>
          <w:sz w:val="17"/>
          <w:szCs w:val="17"/>
          <w:rtl/>
        </w:rPr>
        <w:t xml:space="preserve"> </w:t>
      </w:r>
      <w:r w:rsidRPr="00E556CD">
        <w:rPr>
          <w:rFonts w:ascii="Tahoma" w:hAnsi="Tahoma" w:cs="Tahoma" w:hint="cs"/>
          <w:sz w:val="17"/>
          <w:szCs w:val="17"/>
          <w:rtl/>
        </w:rPr>
        <w:t>לקבורה</w:t>
      </w:r>
      <w:r w:rsidRPr="00E556CD">
        <w:rPr>
          <w:rFonts w:ascii="Tahoma" w:hAnsi="Tahoma" w:cs="Tahoma"/>
          <w:sz w:val="17"/>
          <w:szCs w:val="17"/>
          <w:rtl/>
        </w:rPr>
        <w:t xml:space="preserve"> </w:t>
      </w:r>
      <w:r w:rsidRPr="00E556CD">
        <w:rPr>
          <w:rFonts w:ascii="Tahoma" w:hAnsi="Tahoma" w:cs="Tahoma" w:hint="cs"/>
          <w:sz w:val="17"/>
          <w:szCs w:val="17"/>
          <w:rtl/>
        </w:rPr>
        <w:t>אזרחית</w:t>
      </w:r>
      <w:r w:rsidRPr="00E556CD">
        <w:rPr>
          <w:rFonts w:ascii="Tahoma" w:hAnsi="Tahoma" w:cs="Tahoma"/>
          <w:sz w:val="17"/>
          <w:szCs w:val="17"/>
          <w:rtl/>
        </w:rPr>
        <w:t xml:space="preserve"> </w:t>
      </w:r>
      <w:r w:rsidRPr="00E556CD">
        <w:rPr>
          <w:rFonts w:ascii="Tahoma" w:hAnsi="Tahoma" w:cs="Tahoma" w:hint="cs"/>
          <w:sz w:val="17"/>
          <w:szCs w:val="17"/>
          <w:rtl/>
        </w:rPr>
        <w:t>אינו</w:t>
      </w:r>
      <w:r w:rsidRPr="00E556CD">
        <w:rPr>
          <w:rFonts w:ascii="Tahoma" w:hAnsi="Tahoma" w:cs="Tahoma"/>
          <w:sz w:val="17"/>
          <w:szCs w:val="17"/>
          <w:rtl/>
        </w:rPr>
        <w:t xml:space="preserve"> </w:t>
      </w:r>
      <w:r w:rsidRPr="00E556CD">
        <w:rPr>
          <w:rFonts w:ascii="Tahoma" w:hAnsi="Tahoma" w:cs="Tahoma" w:hint="cs"/>
          <w:sz w:val="17"/>
          <w:szCs w:val="17"/>
          <w:rtl/>
        </w:rPr>
        <w:t>תרחיש</w:t>
      </w:r>
      <w:r w:rsidRPr="00E556CD">
        <w:rPr>
          <w:rFonts w:ascii="Tahoma" w:hAnsi="Tahoma" w:cs="Tahoma"/>
          <w:sz w:val="17"/>
          <w:szCs w:val="17"/>
          <w:rtl/>
        </w:rPr>
        <w:t xml:space="preserve"> </w:t>
      </w:r>
      <w:r w:rsidRPr="00E556CD">
        <w:rPr>
          <w:rFonts w:ascii="Tahoma" w:hAnsi="Tahoma" w:cs="Tahoma" w:hint="cs"/>
          <w:sz w:val="17"/>
          <w:szCs w:val="17"/>
          <w:rtl/>
        </w:rPr>
        <w:t>עתידי</w:t>
      </w:r>
      <w:r w:rsidRPr="00E556CD">
        <w:rPr>
          <w:rFonts w:ascii="Tahoma" w:hAnsi="Tahoma" w:cs="Tahoma"/>
          <w:sz w:val="17"/>
          <w:szCs w:val="17"/>
          <w:rtl/>
        </w:rPr>
        <w:t xml:space="preserve"> </w:t>
      </w:r>
      <w:r w:rsidRPr="00E556CD">
        <w:rPr>
          <w:rFonts w:ascii="Tahoma" w:hAnsi="Tahoma" w:cs="Tahoma" w:hint="cs"/>
          <w:sz w:val="17"/>
          <w:szCs w:val="17"/>
          <w:rtl/>
        </w:rPr>
        <w:t>אלא</w:t>
      </w:r>
      <w:r w:rsidRPr="00E556CD">
        <w:rPr>
          <w:rFonts w:ascii="Tahoma" w:hAnsi="Tahoma" w:cs="Tahoma"/>
          <w:sz w:val="17"/>
          <w:szCs w:val="17"/>
          <w:rtl/>
        </w:rPr>
        <w:t xml:space="preserve"> </w:t>
      </w:r>
      <w:r w:rsidRPr="00E556CD">
        <w:rPr>
          <w:rFonts w:ascii="Tahoma" w:hAnsi="Tahoma" w:cs="Tahoma" w:hint="cs"/>
          <w:sz w:val="17"/>
          <w:szCs w:val="17"/>
          <w:rtl/>
        </w:rPr>
        <w:t>מצוקה</w:t>
      </w:r>
      <w:r w:rsidRPr="00E556CD">
        <w:rPr>
          <w:rFonts w:ascii="Tahoma" w:hAnsi="Tahoma" w:cs="Tahoma"/>
          <w:sz w:val="17"/>
          <w:szCs w:val="17"/>
          <w:rtl/>
        </w:rPr>
        <w:t xml:space="preserve"> </w:t>
      </w:r>
      <w:r w:rsidRPr="00E556CD">
        <w:rPr>
          <w:rFonts w:ascii="Tahoma" w:hAnsi="Tahoma" w:cs="Tahoma" w:hint="cs"/>
          <w:sz w:val="17"/>
          <w:szCs w:val="17"/>
          <w:rtl/>
        </w:rPr>
        <w:t>ממשית שמתעוררת</w:t>
      </w:r>
      <w:r w:rsidRPr="00E556CD">
        <w:rPr>
          <w:rFonts w:ascii="Tahoma" w:hAnsi="Tahoma" w:cs="Tahoma"/>
          <w:sz w:val="17"/>
          <w:szCs w:val="17"/>
          <w:rtl/>
        </w:rPr>
        <w:t xml:space="preserve"> </w:t>
      </w:r>
      <w:r w:rsidRPr="00E556CD">
        <w:rPr>
          <w:rFonts w:ascii="Tahoma" w:hAnsi="Tahoma" w:cs="Tahoma" w:hint="cs"/>
          <w:sz w:val="17"/>
          <w:szCs w:val="17"/>
          <w:rtl/>
        </w:rPr>
        <w:t>כל אימת שמשפחות</w:t>
      </w:r>
      <w:r w:rsidRPr="00E556CD">
        <w:rPr>
          <w:rFonts w:ascii="Tahoma" w:hAnsi="Tahoma" w:cs="Tahoma"/>
          <w:sz w:val="17"/>
          <w:szCs w:val="17"/>
          <w:rtl/>
        </w:rPr>
        <w:t xml:space="preserve"> </w:t>
      </w:r>
      <w:r w:rsidRPr="00E556CD">
        <w:rPr>
          <w:rFonts w:ascii="Tahoma" w:hAnsi="Tahoma" w:cs="Tahoma" w:hint="cs"/>
          <w:sz w:val="17"/>
          <w:szCs w:val="17"/>
          <w:rtl/>
        </w:rPr>
        <w:t>של</w:t>
      </w:r>
      <w:r w:rsidRPr="00E556CD">
        <w:rPr>
          <w:rFonts w:ascii="Tahoma" w:hAnsi="Tahoma" w:cs="Tahoma"/>
          <w:sz w:val="17"/>
          <w:szCs w:val="17"/>
          <w:rtl/>
        </w:rPr>
        <w:t xml:space="preserve"> </w:t>
      </w:r>
      <w:r w:rsidRPr="00E556CD">
        <w:rPr>
          <w:rFonts w:ascii="Tahoma" w:hAnsi="Tahoma" w:cs="Tahoma" w:hint="cs"/>
          <w:sz w:val="17"/>
          <w:szCs w:val="17"/>
          <w:rtl/>
        </w:rPr>
        <w:t>נפטרים</w:t>
      </w:r>
      <w:r w:rsidRPr="00E556CD">
        <w:rPr>
          <w:rFonts w:ascii="Tahoma" w:hAnsi="Tahoma" w:cs="Tahoma"/>
          <w:sz w:val="17"/>
          <w:szCs w:val="17"/>
          <w:rtl/>
        </w:rPr>
        <w:t xml:space="preserve"> </w:t>
      </w:r>
      <w:r w:rsidRPr="00E556CD">
        <w:rPr>
          <w:rFonts w:ascii="Tahoma" w:hAnsi="Tahoma" w:cs="Tahoma" w:hint="cs"/>
          <w:sz w:val="17"/>
          <w:szCs w:val="17"/>
          <w:rtl/>
        </w:rPr>
        <w:t>מתקשות</w:t>
      </w:r>
      <w:r w:rsidRPr="00E556CD">
        <w:rPr>
          <w:rFonts w:ascii="Tahoma" w:hAnsi="Tahoma" w:cs="Tahoma"/>
          <w:sz w:val="17"/>
          <w:szCs w:val="17"/>
          <w:rtl/>
        </w:rPr>
        <w:t xml:space="preserve"> </w:t>
      </w:r>
      <w:r w:rsidRPr="00E556CD">
        <w:rPr>
          <w:rFonts w:ascii="Tahoma" w:hAnsi="Tahoma" w:cs="Tahoma" w:hint="cs"/>
          <w:sz w:val="17"/>
          <w:szCs w:val="17"/>
          <w:rtl/>
        </w:rPr>
        <w:t>לממש</w:t>
      </w:r>
      <w:r w:rsidRPr="00E556CD">
        <w:rPr>
          <w:rFonts w:ascii="Tahoma" w:hAnsi="Tahoma" w:cs="Tahoma"/>
          <w:sz w:val="17"/>
          <w:szCs w:val="17"/>
          <w:rtl/>
        </w:rPr>
        <w:t xml:space="preserve"> </w:t>
      </w:r>
      <w:r w:rsidRPr="00E556CD">
        <w:rPr>
          <w:rFonts w:ascii="Tahoma" w:hAnsi="Tahoma" w:cs="Tahoma" w:hint="cs"/>
          <w:sz w:val="17"/>
          <w:szCs w:val="17"/>
          <w:rtl/>
        </w:rPr>
        <w:t>את</w:t>
      </w:r>
      <w:r w:rsidRPr="00E556CD">
        <w:rPr>
          <w:rFonts w:ascii="Tahoma" w:hAnsi="Tahoma" w:cs="Tahoma"/>
          <w:sz w:val="17"/>
          <w:szCs w:val="17"/>
          <w:rtl/>
        </w:rPr>
        <w:t xml:space="preserve"> </w:t>
      </w:r>
      <w:r w:rsidRPr="00E556CD">
        <w:rPr>
          <w:rFonts w:ascii="Tahoma" w:hAnsi="Tahoma" w:cs="Tahoma" w:hint="cs"/>
          <w:sz w:val="17"/>
          <w:szCs w:val="17"/>
          <w:rtl/>
        </w:rPr>
        <w:t>זכותו של הנפטר</w:t>
      </w:r>
      <w:r w:rsidRPr="00E556CD">
        <w:rPr>
          <w:rFonts w:ascii="Tahoma" w:hAnsi="Tahoma" w:cs="Tahoma"/>
          <w:sz w:val="17"/>
          <w:szCs w:val="17"/>
          <w:rtl/>
        </w:rPr>
        <w:t xml:space="preserve"> </w:t>
      </w:r>
      <w:r w:rsidRPr="00E556CD">
        <w:rPr>
          <w:rFonts w:ascii="Tahoma" w:hAnsi="Tahoma" w:cs="Tahoma" w:hint="cs"/>
          <w:sz w:val="17"/>
          <w:szCs w:val="17"/>
          <w:rtl/>
        </w:rPr>
        <w:t>לקבורה</w:t>
      </w:r>
      <w:r w:rsidRPr="00E556CD">
        <w:rPr>
          <w:rFonts w:ascii="Tahoma" w:hAnsi="Tahoma" w:cs="Tahoma"/>
          <w:sz w:val="17"/>
          <w:szCs w:val="17"/>
          <w:rtl/>
        </w:rPr>
        <w:t xml:space="preserve"> </w:t>
      </w:r>
      <w:r w:rsidRPr="00E556CD">
        <w:rPr>
          <w:rFonts w:ascii="Tahoma" w:hAnsi="Tahoma" w:cs="Tahoma" w:hint="cs"/>
          <w:sz w:val="17"/>
          <w:szCs w:val="17"/>
          <w:rtl/>
        </w:rPr>
        <w:t>אזרחית.</w:t>
      </w:r>
      <w:r w:rsidRPr="00E556CD">
        <w:rPr>
          <w:rFonts w:ascii="Tahoma" w:hAnsi="Tahoma" w:cs="Tahoma"/>
          <w:sz w:val="17"/>
          <w:szCs w:val="17"/>
          <w:rtl/>
        </w:rPr>
        <w:t xml:space="preserve"> </w:t>
      </w:r>
      <w:r w:rsidRPr="00E556CD">
        <w:rPr>
          <w:rFonts w:ascii="Tahoma" w:hAnsi="Tahoma" w:cs="Tahoma" w:hint="cs"/>
          <w:sz w:val="17"/>
          <w:szCs w:val="17"/>
          <w:rtl/>
        </w:rPr>
        <w:t>בבית</w:t>
      </w:r>
      <w:r w:rsidRPr="00E556CD">
        <w:rPr>
          <w:rFonts w:ascii="Tahoma" w:hAnsi="Tahoma" w:cs="Tahoma"/>
          <w:sz w:val="17"/>
          <w:szCs w:val="17"/>
          <w:rtl/>
        </w:rPr>
        <w:t xml:space="preserve"> </w:t>
      </w:r>
      <w:r w:rsidRPr="00E556CD">
        <w:rPr>
          <w:rFonts w:ascii="Tahoma" w:hAnsi="Tahoma" w:cs="Tahoma" w:hint="cs"/>
          <w:sz w:val="17"/>
          <w:szCs w:val="17"/>
          <w:rtl/>
        </w:rPr>
        <w:t>משפט</w:t>
      </w:r>
      <w:r w:rsidRPr="00E556CD">
        <w:rPr>
          <w:rFonts w:ascii="Tahoma" w:hAnsi="Tahoma" w:cs="Tahoma"/>
          <w:sz w:val="17"/>
          <w:szCs w:val="17"/>
          <w:rtl/>
        </w:rPr>
        <w:t xml:space="preserve"> </w:t>
      </w:r>
      <w:r w:rsidRPr="00E556CD">
        <w:rPr>
          <w:rFonts w:ascii="Tahoma" w:hAnsi="Tahoma" w:cs="Tahoma" w:hint="cs"/>
          <w:sz w:val="17"/>
          <w:szCs w:val="17"/>
          <w:rtl/>
        </w:rPr>
        <w:t>השלום</w:t>
      </w:r>
      <w:r w:rsidRPr="00E556CD">
        <w:rPr>
          <w:rFonts w:ascii="Tahoma" w:hAnsi="Tahoma" w:cs="Tahoma"/>
          <w:sz w:val="17"/>
          <w:szCs w:val="17"/>
          <w:rtl/>
        </w:rPr>
        <w:t xml:space="preserve"> </w:t>
      </w:r>
      <w:r w:rsidRPr="00E556CD">
        <w:rPr>
          <w:rFonts w:ascii="Tahoma" w:hAnsi="Tahoma" w:cs="Tahoma" w:hint="cs"/>
          <w:sz w:val="17"/>
          <w:szCs w:val="17"/>
          <w:rtl/>
        </w:rPr>
        <w:t>בכפר</w:t>
      </w:r>
      <w:r w:rsidRPr="00E556CD">
        <w:rPr>
          <w:rFonts w:ascii="Tahoma" w:hAnsi="Tahoma" w:cs="Tahoma"/>
          <w:sz w:val="17"/>
          <w:szCs w:val="17"/>
          <w:rtl/>
        </w:rPr>
        <w:t xml:space="preserve"> </w:t>
      </w:r>
      <w:r w:rsidRPr="00E556CD">
        <w:rPr>
          <w:rFonts w:ascii="Tahoma" w:hAnsi="Tahoma" w:cs="Tahoma" w:hint="cs"/>
          <w:sz w:val="17"/>
          <w:szCs w:val="17"/>
          <w:rtl/>
        </w:rPr>
        <w:t xml:space="preserve">סבא נידונו תביעות בעניינם של שני נפטרים שלא מומשה זכותם להיקבר בקבורה אזרחית משום </w:t>
      </w:r>
      <w:r w:rsidRPr="00E556CD">
        <w:rPr>
          <w:rFonts w:ascii="Tahoma" w:hAnsi="Tahoma" w:cs="Tahoma"/>
          <w:sz w:val="17"/>
          <w:szCs w:val="17"/>
          <w:rtl/>
        </w:rPr>
        <w:t>שלא התגורר</w:t>
      </w:r>
      <w:r w:rsidRPr="00E556CD">
        <w:rPr>
          <w:rFonts w:ascii="Tahoma" w:hAnsi="Tahoma" w:cs="Tahoma" w:hint="cs"/>
          <w:sz w:val="17"/>
          <w:szCs w:val="17"/>
          <w:rtl/>
        </w:rPr>
        <w:t>ו</w:t>
      </w:r>
      <w:r w:rsidRPr="00E556CD">
        <w:rPr>
          <w:rFonts w:ascii="Tahoma" w:hAnsi="Tahoma" w:cs="Tahoma"/>
          <w:sz w:val="17"/>
          <w:szCs w:val="17"/>
          <w:rtl/>
        </w:rPr>
        <w:t xml:space="preserve"> בסמוך לפני פטירת</w:t>
      </w:r>
      <w:r w:rsidRPr="00E556CD">
        <w:rPr>
          <w:rFonts w:ascii="Tahoma" w:hAnsi="Tahoma" w:cs="Tahoma" w:hint="cs"/>
          <w:sz w:val="17"/>
          <w:szCs w:val="17"/>
          <w:rtl/>
        </w:rPr>
        <w:t>ם</w:t>
      </w:r>
      <w:r w:rsidRPr="00E556CD">
        <w:rPr>
          <w:rFonts w:ascii="Tahoma" w:hAnsi="Tahoma" w:cs="Tahoma"/>
          <w:sz w:val="17"/>
          <w:szCs w:val="17"/>
          <w:rtl/>
        </w:rPr>
        <w:t xml:space="preserve"> ביישוב </w:t>
      </w:r>
      <w:r w:rsidRPr="00E556CD">
        <w:rPr>
          <w:rFonts w:ascii="Tahoma" w:hAnsi="Tahoma" w:cs="Tahoma" w:hint="cs"/>
          <w:sz w:val="17"/>
          <w:szCs w:val="17"/>
          <w:rtl/>
        </w:rPr>
        <w:t>שבו שוכן</w:t>
      </w:r>
      <w:r w:rsidRPr="00E556CD">
        <w:rPr>
          <w:rFonts w:ascii="Tahoma" w:hAnsi="Tahoma" w:cs="Tahoma"/>
          <w:sz w:val="17"/>
          <w:szCs w:val="17"/>
          <w:rtl/>
        </w:rPr>
        <w:t xml:space="preserve"> בית עלמין אזרחי</w:t>
      </w:r>
      <w:r w:rsidRPr="00E556CD">
        <w:rPr>
          <w:rFonts w:ascii="Tahoma" w:hAnsi="Tahoma" w:cs="Tahoma" w:hint="cs"/>
          <w:sz w:val="17"/>
          <w:szCs w:val="17"/>
          <w:rtl/>
        </w:rPr>
        <w:t>, ובית המשפט קבע</w:t>
      </w:r>
      <w:r>
        <w:rPr>
          <w:rStyle w:val="FootnoteReference0"/>
          <w:rFonts w:ascii="Tahoma" w:hAnsi="Tahoma" w:cs="Tahoma"/>
          <w:sz w:val="17"/>
          <w:szCs w:val="17"/>
          <w:rtl/>
        </w:rPr>
        <w:footnoteReference w:id="23"/>
      </w:r>
      <w:r w:rsidRPr="00E556CD">
        <w:rPr>
          <w:rFonts w:ascii="Tahoma" w:hAnsi="Tahoma" w:cs="Tahoma"/>
          <w:sz w:val="17"/>
          <w:szCs w:val="17"/>
          <w:rtl/>
        </w:rPr>
        <w:t xml:space="preserve"> כי </w:t>
      </w:r>
      <w:r w:rsidRPr="00E556CD">
        <w:rPr>
          <w:rFonts w:ascii="Tahoma" w:hAnsi="Tahoma" w:cs="Tahoma" w:hint="cs"/>
          <w:sz w:val="17"/>
          <w:szCs w:val="17"/>
          <w:rtl/>
        </w:rPr>
        <w:t xml:space="preserve">הקושי לקבור נפטרים אלה בקבורה אזרחית מקורו במחדליו המתמשכים של </w:t>
      </w:r>
      <w:r w:rsidRPr="00E556CD">
        <w:rPr>
          <w:rFonts w:ascii="Tahoma" w:hAnsi="Tahoma" w:cs="Tahoma"/>
          <w:sz w:val="17"/>
          <w:szCs w:val="17"/>
          <w:rtl/>
        </w:rPr>
        <w:t xml:space="preserve">המשרד לשירותי דת </w:t>
      </w:r>
      <w:r w:rsidRPr="00E556CD">
        <w:rPr>
          <w:rFonts w:ascii="Tahoma" w:hAnsi="Tahoma" w:cs="Tahoma" w:hint="cs"/>
          <w:sz w:val="17"/>
          <w:szCs w:val="17"/>
          <w:rtl/>
        </w:rPr>
        <w:t>בכל הנוגע ל</w:t>
      </w:r>
      <w:r w:rsidRPr="00E556CD">
        <w:rPr>
          <w:rFonts w:ascii="Tahoma" w:hAnsi="Tahoma" w:cs="Tahoma"/>
          <w:sz w:val="17"/>
          <w:szCs w:val="17"/>
          <w:rtl/>
        </w:rPr>
        <w:t>יישום חוק הקבורה האזרחית</w:t>
      </w:r>
      <w:r w:rsidRPr="00E556CD">
        <w:rPr>
          <w:rFonts w:ascii="Tahoma" w:hAnsi="Tahoma" w:cs="Tahoma" w:hint="cs"/>
          <w:sz w:val="17"/>
          <w:szCs w:val="17"/>
          <w:rtl/>
        </w:rPr>
        <w:t xml:space="preserve">. בעקבות כך נפסק שעל </w:t>
      </w:r>
      <w:r w:rsidRPr="00E556CD">
        <w:rPr>
          <w:rFonts w:ascii="Tahoma" w:hAnsi="Tahoma" w:cs="Tahoma"/>
          <w:sz w:val="17"/>
          <w:szCs w:val="17"/>
          <w:rtl/>
        </w:rPr>
        <w:t>המשרד לשירותי דת לפצות את קרובי הנפטרים ולשאת בהוצאות משפטם.</w:t>
      </w:r>
      <w:r w:rsidRPr="004F4CFF" w:rsidR="004F4CFF">
        <w:rPr>
          <w:rFonts w:cs="Tahoma"/>
          <w:noProof/>
          <w:sz w:val="17"/>
          <w:szCs w:val="17"/>
          <w:rtl/>
        </w:rPr>
        <w:t xml:space="preserve"> </w:t>
      </w:r>
      <w:r w:rsidRPr="0012789B" w:rsidR="004F4CFF">
        <w:rPr>
          <w:rFonts w:cs="Tahoma"/>
          <w:noProof/>
          <w:sz w:val="17"/>
          <w:szCs w:val="17"/>
          <w:rtl/>
        </w:rPr>
        <mc:AlternateContent>
          <mc:Choice Requires="wps">
            <w:drawing>
              <wp:anchor distT="0" distB="0" distL="114300" distR="114300" simplePos="0" relativeHeight="251664384" behindDoc="1" locked="0" layoutInCell="1" allowOverlap="1">
                <wp:simplePos x="0" y="0"/>
                <wp:positionH relativeFrom="margin">
                  <wp:posOffset>-431800</wp:posOffset>
                </wp:positionH>
                <wp:positionV relativeFrom="margin">
                  <wp:align>top</wp:align>
                </wp:positionV>
                <wp:extent cx="1620000" cy="4140000"/>
                <wp:effectExtent l="0" t="0" r="0" b="0"/>
                <wp:wrapNone/>
                <wp:docPr id="13"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4F4CFF" w:rsidRPr="00373C5D" w:rsidP="004F4CFF">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96338227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213720" name="QUT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4F4CFF" w:rsidRPr="00881D99" w:rsidP="004F4CFF">
                            <w:pPr>
                              <w:spacing w:after="0" w:line="240" w:lineRule="auto"/>
                              <w:rPr>
                                <w:color w:val="0B5294"/>
                                <w:spacing w:val="-4"/>
                                <w:sz w:val="24"/>
                                <w:szCs w:val="24"/>
                                <w:rtl/>
                                <w:cs/>
                              </w:rPr>
                            </w:pPr>
                            <w:r w:rsidRPr="004F4CFF">
                              <w:rPr>
                                <w:rFonts w:cs="Tahoma" w:hint="eastAsia"/>
                                <w:color w:val="0B5294"/>
                                <w:spacing w:val="-4"/>
                                <w:sz w:val="24"/>
                                <w:szCs w:val="24"/>
                                <w:rtl/>
                              </w:rPr>
                              <w:t>המחסור</w:t>
                            </w:r>
                            <w:r w:rsidRPr="004F4CFF">
                              <w:rPr>
                                <w:rFonts w:cs="Tahoma"/>
                                <w:color w:val="0B5294"/>
                                <w:spacing w:val="-4"/>
                                <w:sz w:val="24"/>
                                <w:szCs w:val="24"/>
                                <w:rtl/>
                              </w:rPr>
                              <w:t xml:space="preserve"> </w:t>
                            </w:r>
                            <w:r w:rsidRPr="004F4CFF">
                              <w:rPr>
                                <w:rFonts w:cs="Tahoma" w:hint="eastAsia"/>
                                <w:color w:val="0B5294"/>
                                <w:spacing w:val="-4"/>
                                <w:sz w:val="24"/>
                                <w:szCs w:val="24"/>
                                <w:rtl/>
                              </w:rPr>
                              <w:t>במקומות</w:t>
                            </w:r>
                            <w:r w:rsidRPr="004F4CFF">
                              <w:rPr>
                                <w:rFonts w:cs="Tahoma"/>
                                <w:color w:val="0B5294"/>
                                <w:spacing w:val="-4"/>
                                <w:sz w:val="24"/>
                                <w:szCs w:val="24"/>
                                <w:rtl/>
                              </w:rPr>
                              <w:t xml:space="preserve"> </w:t>
                            </w:r>
                            <w:r w:rsidRPr="004F4CFF">
                              <w:rPr>
                                <w:rFonts w:cs="Tahoma" w:hint="eastAsia"/>
                                <w:color w:val="0B5294"/>
                                <w:spacing w:val="-4"/>
                                <w:sz w:val="24"/>
                                <w:szCs w:val="24"/>
                                <w:rtl/>
                              </w:rPr>
                              <w:t>לקבורה</w:t>
                            </w:r>
                            <w:r w:rsidRPr="004F4CFF">
                              <w:rPr>
                                <w:rFonts w:cs="Tahoma"/>
                                <w:color w:val="0B5294"/>
                                <w:spacing w:val="-4"/>
                                <w:sz w:val="24"/>
                                <w:szCs w:val="24"/>
                                <w:rtl/>
                              </w:rPr>
                              <w:t xml:space="preserve"> </w:t>
                            </w:r>
                            <w:r w:rsidRPr="004F4CFF">
                              <w:rPr>
                                <w:rFonts w:cs="Tahoma" w:hint="eastAsia"/>
                                <w:color w:val="0B5294"/>
                                <w:spacing w:val="-4"/>
                                <w:sz w:val="24"/>
                                <w:szCs w:val="24"/>
                                <w:rtl/>
                              </w:rPr>
                              <w:t>אזרחית</w:t>
                            </w:r>
                            <w:r w:rsidRPr="004F4CFF">
                              <w:rPr>
                                <w:rFonts w:cs="Tahoma"/>
                                <w:color w:val="0B5294"/>
                                <w:spacing w:val="-4"/>
                                <w:sz w:val="24"/>
                                <w:szCs w:val="24"/>
                                <w:rtl/>
                              </w:rPr>
                              <w:t xml:space="preserve"> </w:t>
                            </w:r>
                            <w:r w:rsidRPr="004F4CFF">
                              <w:rPr>
                                <w:rFonts w:cs="Tahoma" w:hint="eastAsia"/>
                                <w:color w:val="0B5294"/>
                                <w:spacing w:val="-4"/>
                                <w:sz w:val="24"/>
                                <w:szCs w:val="24"/>
                                <w:rtl/>
                              </w:rPr>
                              <w:t>אינו</w:t>
                            </w:r>
                            <w:r w:rsidRPr="004F4CFF">
                              <w:rPr>
                                <w:rFonts w:cs="Tahoma"/>
                                <w:color w:val="0B5294"/>
                                <w:spacing w:val="-4"/>
                                <w:sz w:val="24"/>
                                <w:szCs w:val="24"/>
                                <w:rtl/>
                              </w:rPr>
                              <w:t xml:space="preserve"> </w:t>
                            </w:r>
                            <w:r w:rsidRPr="004F4CFF">
                              <w:rPr>
                                <w:rFonts w:cs="Tahoma" w:hint="eastAsia"/>
                                <w:color w:val="0B5294"/>
                                <w:spacing w:val="-4"/>
                                <w:sz w:val="24"/>
                                <w:szCs w:val="24"/>
                                <w:rtl/>
                              </w:rPr>
                              <w:t>תרחיש</w:t>
                            </w:r>
                            <w:r w:rsidRPr="004F4CFF">
                              <w:rPr>
                                <w:rFonts w:cs="Tahoma"/>
                                <w:color w:val="0B5294"/>
                                <w:spacing w:val="-4"/>
                                <w:sz w:val="24"/>
                                <w:szCs w:val="24"/>
                                <w:rtl/>
                              </w:rPr>
                              <w:t xml:space="preserve"> </w:t>
                            </w:r>
                            <w:r w:rsidRPr="004F4CFF">
                              <w:rPr>
                                <w:rFonts w:cs="Tahoma" w:hint="eastAsia"/>
                                <w:color w:val="0B5294"/>
                                <w:spacing w:val="-4"/>
                                <w:sz w:val="24"/>
                                <w:szCs w:val="24"/>
                                <w:rtl/>
                              </w:rPr>
                              <w:t>עתידי</w:t>
                            </w:r>
                            <w:r w:rsidRPr="004F4CFF">
                              <w:rPr>
                                <w:rFonts w:cs="Tahoma"/>
                                <w:color w:val="0B5294"/>
                                <w:spacing w:val="-4"/>
                                <w:sz w:val="24"/>
                                <w:szCs w:val="24"/>
                                <w:rtl/>
                              </w:rPr>
                              <w:t xml:space="preserve"> </w:t>
                            </w:r>
                            <w:r w:rsidRPr="004F4CFF">
                              <w:rPr>
                                <w:rFonts w:cs="Tahoma" w:hint="eastAsia"/>
                                <w:color w:val="0B5294"/>
                                <w:spacing w:val="-4"/>
                                <w:sz w:val="24"/>
                                <w:szCs w:val="24"/>
                                <w:rtl/>
                              </w:rPr>
                              <w:t>אלא</w:t>
                            </w:r>
                            <w:r w:rsidRPr="004F4CFF">
                              <w:rPr>
                                <w:rFonts w:cs="Tahoma"/>
                                <w:color w:val="0B5294"/>
                                <w:spacing w:val="-4"/>
                                <w:sz w:val="24"/>
                                <w:szCs w:val="24"/>
                                <w:rtl/>
                              </w:rPr>
                              <w:t xml:space="preserve"> </w:t>
                            </w:r>
                            <w:r w:rsidRPr="004F4CFF">
                              <w:rPr>
                                <w:rFonts w:cs="Tahoma" w:hint="eastAsia"/>
                                <w:color w:val="0B5294"/>
                                <w:spacing w:val="-4"/>
                                <w:sz w:val="24"/>
                                <w:szCs w:val="24"/>
                                <w:rtl/>
                              </w:rPr>
                              <w:t>מצוקה</w:t>
                            </w:r>
                            <w:r w:rsidRPr="004F4CFF">
                              <w:rPr>
                                <w:rFonts w:cs="Tahoma"/>
                                <w:color w:val="0B5294"/>
                                <w:spacing w:val="-4"/>
                                <w:sz w:val="24"/>
                                <w:szCs w:val="24"/>
                                <w:rtl/>
                              </w:rPr>
                              <w:t xml:space="preserve"> </w:t>
                            </w:r>
                            <w:r w:rsidRPr="004F4CFF">
                              <w:rPr>
                                <w:rFonts w:cs="Tahoma" w:hint="eastAsia"/>
                                <w:color w:val="0B5294"/>
                                <w:spacing w:val="-4"/>
                                <w:sz w:val="24"/>
                                <w:szCs w:val="24"/>
                                <w:rtl/>
                              </w:rPr>
                              <w:t>ממשית</w:t>
                            </w:r>
                            <w:r w:rsidRPr="004F4CFF">
                              <w:rPr>
                                <w:rFonts w:cs="Tahoma"/>
                                <w:color w:val="0B5294"/>
                                <w:spacing w:val="-4"/>
                                <w:sz w:val="24"/>
                                <w:szCs w:val="24"/>
                                <w:rtl/>
                              </w:rPr>
                              <w:t xml:space="preserve"> </w:t>
                            </w:r>
                            <w:r w:rsidRPr="004F4CFF">
                              <w:rPr>
                                <w:rFonts w:cs="Tahoma" w:hint="eastAsia"/>
                                <w:color w:val="0B5294"/>
                                <w:spacing w:val="-4"/>
                                <w:sz w:val="24"/>
                                <w:szCs w:val="24"/>
                                <w:rtl/>
                              </w:rPr>
                              <w:t>שמתעוררת</w:t>
                            </w:r>
                            <w:r w:rsidRPr="004F4CFF">
                              <w:rPr>
                                <w:rFonts w:cs="Tahoma"/>
                                <w:color w:val="0B5294"/>
                                <w:spacing w:val="-4"/>
                                <w:sz w:val="24"/>
                                <w:szCs w:val="24"/>
                                <w:rtl/>
                              </w:rPr>
                              <w:t xml:space="preserve"> </w:t>
                            </w:r>
                            <w:r w:rsidRPr="004F4CFF">
                              <w:rPr>
                                <w:rFonts w:cs="Tahoma" w:hint="eastAsia"/>
                                <w:color w:val="0B5294"/>
                                <w:spacing w:val="-4"/>
                                <w:sz w:val="24"/>
                                <w:szCs w:val="24"/>
                                <w:rtl/>
                              </w:rPr>
                              <w:t>כל</w:t>
                            </w:r>
                            <w:r w:rsidRPr="004F4CFF">
                              <w:rPr>
                                <w:rFonts w:cs="Tahoma"/>
                                <w:color w:val="0B5294"/>
                                <w:spacing w:val="-4"/>
                                <w:sz w:val="24"/>
                                <w:szCs w:val="24"/>
                                <w:rtl/>
                              </w:rPr>
                              <w:t xml:space="preserve"> </w:t>
                            </w:r>
                            <w:r w:rsidRPr="004F4CFF">
                              <w:rPr>
                                <w:rFonts w:cs="Tahoma" w:hint="eastAsia"/>
                                <w:color w:val="0B5294"/>
                                <w:spacing w:val="-4"/>
                                <w:sz w:val="24"/>
                                <w:szCs w:val="24"/>
                                <w:rtl/>
                              </w:rPr>
                              <w:t>אימת</w:t>
                            </w:r>
                            <w:r w:rsidRPr="004F4CFF">
                              <w:rPr>
                                <w:rFonts w:cs="Tahoma"/>
                                <w:color w:val="0B5294"/>
                                <w:spacing w:val="-4"/>
                                <w:sz w:val="24"/>
                                <w:szCs w:val="24"/>
                                <w:rtl/>
                              </w:rPr>
                              <w:t xml:space="preserve"> </w:t>
                            </w:r>
                            <w:r w:rsidRPr="004F4CFF">
                              <w:rPr>
                                <w:rFonts w:cs="Tahoma" w:hint="eastAsia"/>
                                <w:color w:val="0B5294"/>
                                <w:spacing w:val="-4"/>
                                <w:sz w:val="24"/>
                                <w:szCs w:val="24"/>
                                <w:rtl/>
                              </w:rPr>
                              <w:t>שמשפחות</w:t>
                            </w:r>
                            <w:r w:rsidRPr="004F4CFF">
                              <w:rPr>
                                <w:rFonts w:cs="Tahoma"/>
                                <w:color w:val="0B5294"/>
                                <w:spacing w:val="-4"/>
                                <w:sz w:val="24"/>
                                <w:szCs w:val="24"/>
                                <w:rtl/>
                              </w:rPr>
                              <w:t xml:space="preserve"> </w:t>
                            </w:r>
                            <w:r w:rsidRPr="004F4CFF">
                              <w:rPr>
                                <w:rFonts w:cs="Tahoma" w:hint="eastAsia"/>
                                <w:color w:val="0B5294"/>
                                <w:spacing w:val="-4"/>
                                <w:sz w:val="24"/>
                                <w:szCs w:val="24"/>
                                <w:rtl/>
                              </w:rPr>
                              <w:t>של</w:t>
                            </w:r>
                            <w:r w:rsidRPr="004F4CFF">
                              <w:rPr>
                                <w:rFonts w:cs="Tahoma"/>
                                <w:color w:val="0B5294"/>
                                <w:spacing w:val="-4"/>
                                <w:sz w:val="24"/>
                                <w:szCs w:val="24"/>
                                <w:rtl/>
                              </w:rPr>
                              <w:t xml:space="preserve"> </w:t>
                            </w:r>
                            <w:r w:rsidRPr="004F4CFF">
                              <w:rPr>
                                <w:rFonts w:cs="Tahoma" w:hint="eastAsia"/>
                                <w:color w:val="0B5294"/>
                                <w:spacing w:val="-4"/>
                                <w:sz w:val="24"/>
                                <w:szCs w:val="24"/>
                                <w:rtl/>
                              </w:rPr>
                              <w:t>נפטרים</w:t>
                            </w:r>
                            <w:r w:rsidRPr="004F4CFF">
                              <w:rPr>
                                <w:rFonts w:cs="Tahoma"/>
                                <w:color w:val="0B5294"/>
                                <w:spacing w:val="-4"/>
                                <w:sz w:val="24"/>
                                <w:szCs w:val="24"/>
                                <w:rtl/>
                              </w:rPr>
                              <w:t xml:space="preserve"> </w:t>
                            </w:r>
                            <w:r w:rsidRPr="004F4CFF">
                              <w:rPr>
                                <w:rFonts w:cs="Tahoma" w:hint="eastAsia"/>
                                <w:color w:val="0B5294"/>
                                <w:spacing w:val="-4"/>
                                <w:sz w:val="24"/>
                                <w:szCs w:val="24"/>
                                <w:rtl/>
                              </w:rPr>
                              <w:t>מתקשות</w:t>
                            </w:r>
                            <w:r w:rsidRPr="004F4CFF">
                              <w:rPr>
                                <w:rFonts w:cs="Tahoma"/>
                                <w:color w:val="0B5294"/>
                                <w:spacing w:val="-4"/>
                                <w:sz w:val="24"/>
                                <w:szCs w:val="24"/>
                                <w:rtl/>
                              </w:rPr>
                              <w:t xml:space="preserve"> </w:t>
                            </w:r>
                            <w:r w:rsidRPr="004F4CFF">
                              <w:rPr>
                                <w:rFonts w:cs="Tahoma" w:hint="eastAsia"/>
                                <w:color w:val="0B5294"/>
                                <w:spacing w:val="-4"/>
                                <w:sz w:val="24"/>
                                <w:szCs w:val="24"/>
                                <w:rtl/>
                              </w:rPr>
                              <w:t>לממש</w:t>
                            </w:r>
                            <w:r w:rsidRPr="004F4CFF">
                              <w:rPr>
                                <w:rFonts w:cs="Tahoma"/>
                                <w:color w:val="0B5294"/>
                                <w:spacing w:val="-4"/>
                                <w:sz w:val="24"/>
                                <w:szCs w:val="24"/>
                                <w:rtl/>
                              </w:rPr>
                              <w:t xml:space="preserve"> </w:t>
                            </w:r>
                            <w:r w:rsidRPr="004F4CFF">
                              <w:rPr>
                                <w:rFonts w:cs="Tahoma" w:hint="eastAsia"/>
                                <w:color w:val="0B5294"/>
                                <w:spacing w:val="-4"/>
                                <w:sz w:val="24"/>
                                <w:szCs w:val="24"/>
                                <w:rtl/>
                              </w:rPr>
                              <w:t>את</w:t>
                            </w:r>
                            <w:r w:rsidRPr="004F4CFF">
                              <w:rPr>
                                <w:rFonts w:cs="Tahoma"/>
                                <w:color w:val="0B5294"/>
                                <w:spacing w:val="-4"/>
                                <w:sz w:val="24"/>
                                <w:szCs w:val="24"/>
                                <w:rtl/>
                              </w:rPr>
                              <w:t xml:space="preserve"> </w:t>
                            </w:r>
                            <w:r w:rsidRPr="004F4CFF">
                              <w:rPr>
                                <w:rFonts w:cs="Tahoma" w:hint="eastAsia"/>
                                <w:color w:val="0B5294"/>
                                <w:spacing w:val="-4"/>
                                <w:sz w:val="24"/>
                                <w:szCs w:val="24"/>
                                <w:rtl/>
                              </w:rPr>
                              <w:t>זכותו</w:t>
                            </w:r>
                            <w:r w:rsidRPr="004F4CFF">
                              <w:rPr>
                                <w:rFonts w:cs="Tahoma"/>
                                <w:color w:val="0B5294"/>
                                <w:spacing w:val="-4"/>
                                <w:sz w:val="24"/>
                                <w:szCs w:val="24"/>
                                <w:rtl/>
                              </w:rPr>
                              <w:t xml:space="preserve"> </w:t>
                            </w:r>
                            <w:r w:rsidRPr="004F4CFF">
                              <w:rPr>
                                <w:rFonts w:cs="Tahoma" w:hint="eastAsia"/>
                                <w:color w:val="0B5294"/>
                                <w:spacing w:val="-4"/>
                                <w:sz w:val="24"/>
                                <w:szCs w:val="24"/>
                                <w:rtl/>
                              </w:rPr>
                              <w:t>של</w:t>
                            </w:r>
                            <w:r w:rsidRPr="004F4CFF">
                              <w:rPr>
                                <w:rFonts w:cs="Tahoma"/>
                                <w:color w:val="0B5294"/>
                                <w:spacing w:val="-4"/>
                                <w:sz w:val="24"/>
                                <w:szCs w:val="24"/>
                                <w:rtl/>
                              </w:rPr>
                              <w:t xml:space="preserve"> </w:t>
                            </w:r>
                            <w:r w:rsidRPr="004F4CFF">
                              <w:rPr>
                                <w:rFonts w:cs="Tahoma" w:hint="eastAsia"/>
                                <w:color w:val="0B5294"/>
                                <w:spacing w:val="-4"/>
                                <w:sz w:val="24"/>
                                <w:szCs w:val="24"/>
                                <w:rtl/>
                              </w:rPr>
                              <w:t>הנפטר</w:t>
                            </w:r>
                            <w:r w:rsidRPr="004F4CFF">
                              <w:rPr>
                                <w:rFonts w:cs="Tahoma"/>
                                <w:color w:val="0B5294"/>
                                <w:spacing w:val="-4"/>
                                <w:sz w:val="24"/>
                                <w:szCs w:val="24"/>
                                <w:rtl/>
                              </w:rPr>
                              <w:t xml:space="preserve"> </w:t>
                            </w:r>
                            <w:r w:rsidRPr="004F4CFF">
                              <w:rPr>
                                <w:rFonts w:cs="Tahoma" w:hint="eastAsia"/>
                                <w:color w:val="0B5294"/>
                                <w:spacing w:val="-4"/>
                                <w:sz w:val="24"/>
                                <w:szCs w:val="24"/>
                                <w:rtl/>
                              </w:rPr>
                              <w:t>לקבורה</w:t>
                            </w:r>
                            <w:r w:rsidRPr="004F4CFF">
                              <w:rPr>
                                <w:rFonts w:cs="Tahoma"/>
                                <w:color w:val="0B5294"/>
                                <w:spacing w:val="-4"/>
                                <w:sz w:val="24"/>
                                <w:szCs w:val="24"/>
                                <w:rtl/>
                              </w:rPr>
                              <w:t xml:space="preserve"> </w:t>
                            </w:r>
                            <w:r w:rsidRPr="004F4CFF">
                              <w:rPr>
                                <w:rFonts w:cs="Tahoma" w:hint="eastAsia"/>
                                <w:color w:val="0B5294"/>
                                <w:spacing w:val="-4"/>
                                <w:sz w:val="24"/>
                                <w:szCs w:val="24"/>
                                <w:rtl/>
                              </w:rPr>
                              <w:t>אזרחית</w:t>
                            </w:r>
                          </w:p>
                          <w:p w:rsidR="004F4CFF" w:rsidRPr="00373C5D" w:rsidP="004F4CFF">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95712725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976614" name="lin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28"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51072" filled="f" stroked="f">
                <v:textbox>
                  <w:txbxContent>
                    <w:p w:rsidR="004F4CFF" w:rsidRPr="00373C5D" w:rsidP="004F4CFF">
                      <w:pPr>
                        <w:spacing w:line="240" w:lineRule="atLeast"/>
                        <w:rPr>
                          <w:rFonts w:cs="Tahoma"/>
                          <w:b/>
                          <w:bCs/>
                          <w:color w:val="0B5294"/>
                          <w:sz w:val="48"/>
                          <w:szCs w:val="48"/>
                          <w:rtl/>
                        </w:rPr>
                      </w:pPr>
                      <w:drawing>
                        <wp:inline distT="0" distB="0" distL="0" distR="0">
                          <wp:extent cx="311150" cy="256800"/>
                          <wp:effectExtent l="0" t="0" r="0" b="0"/>
                          <wp:docPr id="14"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773743" name="QUT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4F4CFF" w:rsidRPr="00881D99" w:rsidP="004F4CFF">
                      <w:pPr>
                        <w:spacing w:after="0" w:line="240" w:lineRule="auto"/>
                        <w:rPr>
                          <w:color w:val="0B5294"/>
                          <w:spacing w:val="-4"/>
                          <w:sz w:val="24"/>
                          <w:szCs w:val="24"/>
                          <w:rtl/>
                          <w:cs/>
                        </w:rPr>
                      </w:pPr>
                      <w:r w:rsidRPr="004F4CFF">
                        <w:rPr>
                          <w:rFonts w:cs="Tahoma" w:hint="eastAsia"/>
                          <w:color w:val="0B5294"/>
                          <w:spacing w:val="-4"/>
                          <w:sz w:val="24"/>
                          <w:szCs w:val="24"/>
                          <w:rtl/>
                        </w:rPr>
                        <w:t>המחסור</w:t>
                      </w:r>
                      <w:r w:rsidRPr="004F4CFF">
                        <w:rPr>
                          <w:rFonts w:cs="Tahoma"/>
                          <w:color w:val="0B5294"/>
                          <w:spacing w:val="-4"/>
                          <w:sz w:val="24"/>
                          <w:szCs w:val="24"/>
                          <w:rtl/>
                        </w:rPr>
                        <w:t xml:space="preserve"> </w:t>
                      </w:r>
                      <w:r w:rsidRPr="004F4CFF">
                        <w:rPr>
                          <w:rFonts w:cs="Tahoma" w:hint="eastAsia"/>
                          <w:color w:val="0B5294"/>
                          <w:spacing w:val="-4"/>
                          <w:sz w:val="24"/>
                          <w:szCs w:val="24"/>
                          <w:rtl/>
                        </w:rPr>
                        <w:t>במקומות</w:t>
                      </w:r>
                      <w:r w:rsidRPr="004F4CFF">
                        <w:rPr>
                          <w:rFonts w:cs="Tahoma"/>
                          <w:color w:val="0B5294"/>
                          <w:spacing w:val="-4"/>
                          <w:sz w:val="24"/>
                          <w:szCs w:val="24"/>
                          <w:rtl/>
                        </w:rPr>
                        <w:t xml:space="preserve"> </w:t>
                      </w:r>
                      <w:r w:rsidRPr="004F4CFF">
                        <w:rPr>
                          <w:rFonts w:cs="Tahoma" w:hint="eastAsia"/>
                          <w:color w:val="0B5294"/>
                          <w:spacing w:val="-4"/>
                          <w:sz w:val="24"/>
                          <w:szCs w:val="24"/>
                          <w:rtl/>
                        </w:rPr>
                        <w:t>לקבורה</w:t>
                      </w:r>
                      <w:r w:rsidRPr="004F4CFF">
                        <w:rPr>
                          <w:rFonts w:cs="Tahoma"/>
                          <w:color w:val="0B5294"/>
                          <w:spacing w:val="-4"/>
                          <w:sz w:val="24"/>
                          <w:szCs w:val="24"/>
                          <w:rtl/>
                        </w:rPr>
                        <w:t xml:space="preserve"> </w:t>
                      </w:r>
                      <w:r w:rsidRPr="004F4CFF">
                        <w:rPr>
                          <w:rFonts w:cs="Tahoma" w:hint="eastAsia"/>
                          <w:color w:val="0B5294"/>
                          <w:spacing w:val="-4"/>
                          <w:sz w:val="24"/>
                          <w:szCs w:val="24"/>
                          <w:rtl/>
                        </w:rPr>
                        <w:t>אזרחית</w:t>
                      </w:r>
                      <w:r w:rsidRPr="004F4CFF">
                        <w:rPr>
                          <w:rFonts w:cs="Tahoma"/>
                          <w:color w:val="0B5294"/>
                          <w:spacing w:val="-4"/>
                          <w:sz w:val="24"/>
                          <w:szCs w:val="24"/>
                          <w:rtl/>
                        </w:rPr>
                        <w:t xml:space="preserve"> </w:t>
                      </w:r>
                      <w:r w:rsidRPr="004F4CFF">
                        <w:rPr>
                          <w:rFonts w:cs="Tahoma" w:hint="eastAsia"/>
                          <w:color w:val="0B5294"/>
                          <w:spacing w:val="-4"/>
                          <w:sz w:val="24"/>
                          <w:szCs w:val="24"/>
                          <w:rtl/>
                        </w:rPr>
                        <w:t>אינו</w:t>
                      </w:r>
                      <w:r w:rsidRPr="004F4CFF">
                        <w:rPr>
                          <w:rFonts w:cs="Tahoma"/>
                          <w:color w:val="0B5294"/>
                          <w:spacing w:val="-4"/>
                          <w:sz w:val="24"/>
                          <w:szCs w:val="24"/>
                          <w:rtl/>
                        </w:rPr>
                        <w:t xml:space="preserve"> </w:t>
                      </w:r>
                      <w:r w:rsidRPr="004F4CFF">
                        <w:rPr>
                          <w:rFonts w:cs="Tahoma" w:hint="eastAsia"/>
                          <w:color w:val="0B5294"/>
                          <w:spacing w:val="-4"/>
                          <w:sz w:val="24"/>
                          <w:szCs w:val="24"/>
                          <w:rtl/>
                        </w:rPr>
                        <w:t>תרחיש</w:t>
                      </w:r>
                      <w:r w:rsidRPr="004F4CFF">
                        <w:rPr>
                          <w:rFonts w:cs="Tahoma"/>
                          <w:color w:val="0B5294"/>
                          <w:spacing w:val="-4"/>
                          <w:sz w:val="24"/>
                          <w:szCs w:val="24"/>
                          <w:rtl/>
                        </w:rPr>
                        <w:t xml:space="preserve"> </w:t>
                      </w:r>
                      <w:r w:rsidRPr="004F4CFF">
                        <w:rPr>
                          <w:rFonts w:cs="Tahoma" w:hint="eastAsia"/>
                          <w:color w:val="0B5294"/>
                          <w:spacing w:val="-4"/>
                          <w:sz w:val="24"/>
                          <w:szCs w:val="24"/>
                          <w:rtl/>
                        </w:rPr>
                        <w:t>עתידי</w:t>
                      </w:r>
                      <w:r w:rsidRPr="004F4CFF">
                        <w:rPr>
                          <w:rFonts w:cs="Tahoma"/>
                          <w:color w:val="0B5294"/>
                          <w:spacing w:val="-4"/>
                          <w:sz w:val="24"/>
                          <w:szCs w:val="24"/>
                          <w:rtl/>
                        </w:rPr>
                        <w:t xml:space="preserve"> </w:t>
                      </w:r>
                      <w:r w:rsidRPr="004F4CFF">
                        <w:rPr>
                          <w:rFonts w:cs="Tahoma" w:hint="eastAsia"/>
                          <w:color w:val="0B5294"/>
                          <w:spacing w:val="-4"/>
                          <w:sz w:val="24"/>
                          <w:szCs w:val="24"/>
                          <w:rtl/>
                        </w:rPr>
                        <w:t>אלא</w:t>
                      </w:r>
                      <w:r w:rsidRPr="004F4CFF">
                        <w:rPr>
                          <w:rFonts w:cs="Tahoma"/>
                          <w:color w:val="0B5294"/>
                          <w:spacing w:val="-4"/>
                          <w:sz w:val="24"/>
                          <w:szCs w:val="24"/>
                          <w:rtl/>
                        </w:rPr>
                        <w:t xml:space="preserve"> </w:t>
                      </w:r>
                      <w:r w:rsidRPr="004F4CFF">
                        <w:rPr>
                          <w:rFonts w:cs="Tahoma" w:hint="eastAsia"/>
                          <w:color w:val="0B5294"/>
                          <w:spacing w:val="-4"/>
                          <w:sz w:val="24"/>
                          <w:szCs w:val="24"/>
                          <w:rtl/>
                        </w:rPr>
                        <w:t>מצוקה</w:t>
                      </w:r>
                      <w:r w:rsidRPr="004F4CFF">
                        <w:rPr>
                          <w:rFonts w:cs="Tahoma"/>
                          <w:color w:val="0B5294"/>
                          <w:spacing w:val="-4"/>
                          <w:sz w:val="24"/>
                          <w:szCs w:val="24"/>
                          <w:rtl/>
                        </w:rPr>
                        <w:t xml:space="preserve"> </w:t>
                      </w:r>
                      <w:r w:rsidRPr="004F4CFF">
                        <w:rPr>
                          <w:rFonts w:cs="Tahoma" w:hint="eastAsia"/>
                          <w:color w:val="0B5294"/>
                          <w:spacing w:val="-4"/>
                          <w:sz w:val="24"/>
                          <w:szCs w:val="24"/>
                          <w:rtl/>
                        </w:rPr>
                        <w:t>ממשית</w:t>
                      </w:r>
                      <w:r w:rsidRPr="004F4CFF">
                        <w:rPr>
                          <w:rFonts w:cs="Tahoma"/>
                          <w:color w:val="0B5294"/>
                          <w:spacing w:val="-4"/>
                          <w:sz w:val="24"/>
                          <w:szCs w:val="24"/>
                          <w:rtl/>
                        </w:rPr>
                        <w:t xml:space="preserve"> </w:t>
                      </w:r>
                      <w:r w:rsidRPr="004F4CFF">
                        <w:rPr>
                          <w:rFonts w:cs="Tahoma" w:hint="eastAsia"/>
                          <w:color w:val="0B5294"/>
                          <w:spacing w:val="-4"/>
                          <w:sz w:val="24"/>
                          <w:szCs w:val="24"/>
                          <w:rtl/>
                        </w:rPr>
                        <w:t>שמתעוררת</w:t>
                      </w:r>
                      <w:r w:rsidRPr="004F4CFF">
                        <w:rPr>
                          <w:rFonts w:cs="Tahoma"/>
                          <w:color w:val="0B5294"/>
                          <w:spacing w:val="-4"/>
                          <w:sz w:val="24"/>
                          <w:szCs w:val="24"/>
                          <w:rtl/>
                        </w:rPr>
                        <w:t xml:space="preserve"> </w:t>
                      </w:r>
                      <w:r w:rsidRPr="004F4CFF">
                        <w:rPr>
                          <w:rFonts w:cs="Tahoma" w:hint="eastAsia"/>
                          <w:color w:val="0B5294"/>
                          <w:spacing w:val="-4"/>
                          <w:sz w:val="24"/>
                          <w:szCs w:val="24"/>
                          <w:rtl/>
                        </w:rPr>
                        <w:t>כל</w:t>
                      </w:r>
                      <w:r w:rsidRPr="004F4CFF">
                        <w:rPr>
                          <w:rFonts w:cs="Tahoma"/>
                          <w:color w:val="0B5294"/>
                          <w:spacing w:val="-4"/>
                          <w:sz w:val="24"/>
                          <w:szCs w:val="24"/>
                          <w:rtl/>
                        </w:rPr>
                        <w:t xml:space="preserve"> </w:t>
                      </w:r>
                      <w:r w:rsidRPr="004F4CFF">
                        <w:rPr>
                          <w:rFonts w:cs="Tahoma" w:hint="eastAsia"/>
                          <w:color w:val="0B5294"/>
                          <w:spacing w:val="-4"/>
                          <w:sz w:val="24"/>
                          <w:szCs w:val="24"/>
                          <w:rtl/>
                        </w:rPr>
                        <w:t>אימת</w:t>
                      </w:r>
                      <w:r w:rsidRPr="004F4CFF">
                        <w:rPr>
                          <w:rFonts w:cs="Tahoma"/>
                          <w:color w:val="0B5294"/>
                          <w:spacing w:val="-4"/>
                          <w:sz w:val="24"/>
                          <w:szCs w:val="24"/>
                          <w:rtl/>
                        </w:rPr>
                        <w:t xml:space="preserve"> </w:t>
                      </w:r>
                      <w:r w:rsidRPr="004F4CFF">
                        <w:rPr>
                          <w:rFonts w:cs="Tahoma" w:hint="eastAsia"/>
                          <w:color w:val="0B5294"/>
                          <w:spacing w:val="-4"/>
                          <w:sz w:val="24"/>
                          <w:szCs w:val="24"/>
                          <w:rtl/>
                        </w:rPr>
                        <w:t>שמשפחות</w:t>
                      </w:r>
                      <w:r w:rsidRPr="004F4CFF">
                        <w:rPr>
                          <w:rFonts w:cs="Tahoma"/>
                          <w:color w:val="0B5294"/>
                          <w:spacing w:val="-4"/>
                          <w:sz w:val="24"/>
                          <w:szCs w:val="24"/>
                          <w:rtl/>
                        </w:rPr>
                        <w:t xml:space="preserve"> </w:t>
                      </w:r>
                      <w:r w:rsidRPr="004F4CFF">
                        <w:rPr>
                          <w:rFonts w:cs="Tahoma" w:hint="eastAsia"/>
                          <w:color w:val="0B5294"/>
                          <w:spacing w:val="-4"/>
                          <w:sz w:val="24"/>
                          <w:szCs w:val="24"/>
                          <w:rtl/>
                        </w:rPr>
                        <w:t>של</w:t>
                      </w:r>
                      <w:r w:rsidRPr="004F4CFF">
                        <w:rPr>
                          <w:rFonts w:cs="Tahoma"/>
                          <w:color w:val="0B5294"/>
                          <w:spacing w:val="-4"/>
                          <w:sz w:val="24"/>
                          <w:szCs w:val="24"/>
                          <w:rtl/>
                        </w:rPr>
                        <w:t xml:space="preserve"> </w:t>
                      </w:r>
                      <w:r w:rsidRPr="004F4CFF">
                        <w:rPr>
                          <w:rFonts w:cs="Tahoma" w:hint="eastAsia"/>
                          <w:color w:val="0B5294"/>
                          <w:spacing w:val="-4"/>
                          <w:sz w:val="24"/>
                          <w:szCs w:val="24"/>
                          <w:rtl/>
                        </w:rPr>
                        <w:t>נפטרים</w:t>
                      </w:r>
                      <w:r w:rsidRPr="004F4CFF">
                        <w:rPr>
                          <w:rFonts w:cs="Tahoma"/>
                          <w:color w:val="0B5294"/>
                          <w:spacing w:val="-4"/>
                          <w:sz w:val="24"/>
                          <w:szCs w:val="24"/>
                          <w:rtl/>
                        </w:rPr>
                        <w:t xml:space="preserve"> </w:t>
                      </w:r>
                      <w:r w:rsidRPr="004F4CFF">
                        <w:rPr>
                          <w:rFonts w:cs="Tahoma" w:hint="eastAsia"/>
                          <w:color w:val="0B5294"/>
                          <w:spacing w:val="-4"/>
                          <w:sz w:val="24"/>
                          <w:szCs w:val="24"/>
                          <w:rtl/>
                        </w:rPr>
                        <w:t>מתקשות</w:t>
                      </w:r>
                      <w:r w:rsidRPr="004F4CFF">
                        <w:rPr>
                          <w:rFonts w:cs="Tahoma"/>
                          <w:color w:val="0B5294"/>
                          <w:spacing w:val="-4"/>
                          <w:sz w:val="24"/>
                          <w:szCs w:val="24"/>
                          <w:rtl/>
                        </w:rPr>
                        <w:t xml:space="preserve"> </w:t>
                      </w:r>
                      <w:r w:rsidRPr="004F4CFF">
                        <w:rPr>
                          <w:rFonts w:cs="Tahoma" w:hint="eastAsia"/>
                          <w:color w:val="0B5294"/>
                          <w:spacing w:val="-4"/>
                          <w:sz w:val="24"/>
                          <w:szCs w:val="24"/>
                          <w:rtl/>
                        </w:rPr>
                        <w:t>לממש</w:t>
                      </w:r>
                      <w:r w:rsidRPr="004F4CFF">
                        <w:rPr>
                          <w:rFonts w:cs="Tahoma"/>
                          <w:color w:val="0B5294"/>
                          <w:spacing w:val="-4"/>
                          <w:sz w:val="24"/>
                          <w:szCs w:val="24"/>
                          <w:rtl/>
                        </w:rPr>
                        <w:t xml:space="preserve"> </w:t>
                      </w:r>
                      <w:r w:rsidRPr="004F4CFF">
                        <w:rPr>
                          <w:rFonts w:cs="Tahoma" w:hint="eastAsia"/>
                          <w:color w:val="0B5294"/>
                          <w:spacing w:val="-4"/>
                          <w:sz w:val="24"/>
                          <w:szCs w:val="24"/>
                          <w:rtl/>
                        </w:rPr>
                        <w:t>את</w:t>
                      </w:r>
                      <w:r w:rsidRPr="004F4CFF">
                        <w:rPr>
                          <w:rFonts w:cs="Tahoma"/>
                          <w:color w:val="0B5294"/>
                          <w:spacing w:val="-4"/>
                          <w:sz w:val="24"/>
                          <w:szCs w:val="24"/>
                          <w:rtl/>
                        </w:rPr>
                        <w:t xml:space="preserve"> </w:t>
                      </w:r>
                      <w:r w:rsidRPr="004F4CFF">
                        <w:rPr>
                          <w:rFonts w:cs="Tahoma" w:hint="eastAsia"/>
                          <w:color w:val="0B5294"/>
                          <w:spacing w:val="-4"/>
                          <w:sz w:val="24"/>
                          <w:szCs w:val="24"/>
                          <w:rtl/>
                        </w:rPr>
                        <w:t>זכותו</w:t>
                      </w:r>
                      <w:r w:rsidRPr="004F4CFF">
                        <w:rPr>
                          <w:rFonts w:cs="Tahoma"/>
                          <w:color w:val="0B5294"/>
                          <w:spacing w:val="-4"/>
                          <w:sz w:val="24"/>
                          <w:szCs w:val="24"/>
                          <w:rtl/>
                        </w:rPr>
                        <w:t xml:space="preserve"> </w:t>
                      </w:r>
                      <w:r w:rsidRPr="004F4CFF">
                        <w:rPr>
                          <w:rFonts w:cs="Tahoma" w:hint="eastAsia"/>
                          <w:color w:val="0B5294"/>
                          <w:spacing w:val="-4"/>
                          <w:sz w:val="24"/>
                          <w:szCs w:val="24"/>
                          <w:rtl/>
                        </w:rPr>
                        <w:t>של</w:t>
                      </w:r>
                      <w:r w:rsidRPr="004F4CFF">
                        <w:rPr>
                          <w:rFonts w:cs="Tahoma"/>
                          <w:color w:val="0B5294"/>
                          <w:spacing w:val="-4"/>
                          <w:sz w:val="24"/>
                          <w:szCs w:val="24"/>
                          <w:rtl/>
                        </w:rPr>
                        <w:t xml:space="preserve"> </w:t>
                      </w:r>
                      <w:r w:rsidRPr="004F4CFF">
                        <w:rPr>
                          <w:rFonts w:cs="Tahoma" w:hint="eastAsia"/>
                          <w:color w:val="0B5294"/>
                          <w:spacing w:val="-4"/>
                          <w:sz w:val="24"/>
                          <w:szCs w:val="24"/>
                          <w:rtl/>
                        </w:rPr>
                        <w:t>הנפטר</w:t>
                      </w:r>
                      <w:r w:rsidRPr="004F4CFF">
                        <w:rPr>
                          <w:rFonts w:cs="Tahoma"/>
                          <w:color w:val="0B5294"/>
                          <w:spacing w:val="-4"/>
                          <w:sz w:val="24"/>
                          <w:szCs w:val="24"/>
                          <w:rtl/>
                        </w:rPr>
                        <w:t xml:space="preserve"> </w:t>
                      </w:r>
                      <w:r w:rsidRPr="004F4CFF">
                        <w:rPr>
                          <w:rFonts w:cs="Tahoma" w:hint="eastAsia"/>
                          <w:color w:val="0B5294"/>
                          <w:spacing w:val="-4"/>
                          <w:sz w:val="24"/>
                          <w:szCs w:val="24"/>
                          <w:rtl/>
                        </w:rPr>
                        <w:t>לקבורה</w:t>
                      </w:r>
                      <w:r w:rsidRPr="004F4CFF">
                        <w:rPr>
                          <w:rFonts w:cs="Tahoma"/>
                          <w:color w:val="0B5294"/>
                          <w:spacing w:val="-4"/>
                          <w:sz w:val="24"/>
                          <w:szCs w:val="24"/>
                          <w:rtl/>
                        </w:rPr>
                        <w:t xml:space="preserve"> </w:t>
                      </w:r>
                      <w:r w:rsidRPr="004F4CFF">
                        <w:rPr>
                          <w:rFonts w:cs="Tahoma" w:hint="eastAsia"/>
                          <w:color w:val="0B5294"/>
                          <w:spacing w:val="-4"/>
                          <w:sz w:val="24"/>
                          <w:szCs w:val="24"/>
                          <w:rtl/>
                        </w:rPr>
                        <w:t>אזרחית</w:t>
                      </w:r>
                    </w:p>
                    <w:p w:rsidR="004F4CFF" w:rsidRPr="00373C5D" w:rsidP="004F4CFF">
                      <w:pPr>
                        <w:spacing w:before="120" w:after="0" w:line="240" w:lineRule="atLeast"/>
                        <w:rPr>
                          <w:rFonts w:cs="Tahoma"/>
                          <w:b/>
                          <w:bCs/>
                          <w:color w:val="0B5294"/>
                          <w:sz w:val="48"/>
                          <w:szCs w:val="48"/>
                          <w:rtl/>
                        </w:rPr>
                      </w:pPr>
                      <w:drawing>
                        <wp:inline distT="0" distB="0" distL="0" distR="0">
                          <wp:extent cx="288000" cy="31337"/>
                          <wp:effectExtent l="0" t="0" r="0" b="6985"/>
                          <wp:docPr id="15"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157099" name="line.png"/>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EF45C8" w:rsidRPr="00E556CD" w:rsidP="005F3BD7">
      <w:pPr>
        <w:pStyle w:val="RESHET"/>
        <w:rPr>
          <w:rtl/>
        </w:rPr>
      </w:pPr>
      <w:r w:rsidRPr="00E556CD">
        <w:rPr>
          <w:rFonts w:hint="cs"/>
          <w:rtl/>
        </w:rPr>
        <w:t>כדי לקבל החלטות מיטביות הנוגעות למילוי צורכי האוכלוסייה מבחינת מקומות קבורה, ובכלל זה - הקבורה האזרחית, יש להסתמך על תשתית עובדתית בעניין מצאי מקומות הקבורה. על משרדי הממשלה הנוגעים בדבר, ובראשם - המשרד לשירותי דת האחראי ליישום החוק, לתת את דעתם על כך שהיעדר נתונים מהימנים על הפערים בין ההיצע של מקומות הקבורה האזרחית לבין הביקוש להם, הן בטווח הקרוב והן בטווח הרחוק, הוא פגם מהותי בעבודת המטה של משרדים אלה, אשר עלול לגרום לפגיעה חמורה בזכויות הפרט; על המשרד לשירותי דת ויתר משרדי הממשלה הנוגעים בדבר לפעול למיפוי הצרכים בכל אזורי הארץ כדי שיוכלו למלא את החובה שנקבעה בחוק - לספק את הזכות לקבורה אזרחית זמינה למי שמעוניין בכך.</w:t>
      </w:r>
    </w:p>
    <w:p w:rsidR="00EF45C8" w:rsidRPr="00E556CD" w:rsidP="005F3BD7">
      <w:pPr>
        <w:pStyle w:val="RESHET"/>
        <w:rPr>
          <w:rtl/>
        </w:rPr>
      </w:pPr>
      <w:r w:rsidRPr="00E556CD">
        <w:rPr>
          <w:rFonts w:hint="cs"/>
          <w:rtl/>
        </w:rPr>
        <w:t>אם יחמיר המחסור במקומות הקבורה האזרחית בשלושה (מבין ארבעה) אזורי הקבורה שהוגדרו במפת התקנה, תחמיר גם הפגיעה בנגישות ובזמינות של בתי העלמין האזרחיים. בגין פגיעה זו ייתכן שהנזקקים לשירותי הקבורה האזרחית ייאלצו לבחור בבתי עלמין אזרחיים מרוחקים, ובכך לשאת בעלויות הובלה גבוהות, והדבר עלול להקשות על קרובי הנפטר להגיע הן לטקס הקבורה והן לאזכרות. לחלופין, בני המשפחה נאלצים לפנות לגופים המספקים שירותי קבורה דתיים שלא בהתאם לרצון הנפטר, או לפנות לגורמים המספקים שירותי קבורה אזרחית באופן ובתנאים המנוגדים לחוק</w:t>
      </w:r>
      <w:r>
        <w:rPr>
          <w:rStyle w:val="FootnoteReference0"/>
          <w:rtl/>
        </w:rPr>
        <w:footnoteReference w:id="24"/>
      </w:r>
      <w:r w:rsidRPr="00E556CD">
        <w:rPr>
          <w:rFonts w:hint="cs"/>
          <w:rtl/>
        </w:rPr>
        <w:t>.</w:t>
      </w:r>
    </w:p>
    <w:p w:rsidR="00EF45C8" w:rsidP="00E556CD">
      <w:pPr>
        <w:spacing w:line="240" w:lineRule="exact"/>
        <w:ind w:right="2268"/>
        <w:jc w:val="both"/>
        <w:rPr>
          <w:rFonts w:ascii="Tahoma" w:hAnsi="Tahoma" w:cs="Tahoma"/>
          <w:b/>
          <w:bCs/>
          <w:sz w:val="17"/>
          <w:szCs w:val="17"/>
          <w:rtl/>
        </w:rPr>
      </w:pPr>
    </w:p>
    <w:p w:rsidR="005F3BD7" w:rsidRPr="00E556CD" w:rsidP="00E556CD">
      <w:pPr>
        <w:spacing w:line="240" w:lineRule="exact"/>
        <w:ind w:right="2268"/>
        <w:jc w:val="both"/>
        <w:rPr>
          <w:rFonts w:ascii="Tahoma" w:hAnsi="Tahoma" w:cs="Tahoma"/>
          <w:b/>
          <w:bCs/>
          <w:sz w:val="17"/>
          <w:szCs w:val="17"/>
          <w:rtl/>
        </w:rPr>
      </w:pPr>
    </w:p>
    <w:p w:rsidR="00EF45C8" w:rsidRPr="00897F3D" w:rsidP="006B7001">
      <w:pPr>
        <w:pStyle w:val="KOT4"/>
        <w:rPr>
          <w:rtl/>
        </w:rPr>
      </w:pPr>
      <w:r w:rsidRPr="00897F3D">
        <w:rPr>
          <w:rtl/>
        </w:rPr>
        <w:t xml:space="preserve">סדרי קבורה </w:t>
      </w:r>
      <w:r w:rsidRPr="00897F3D">
        <w:rPr>
          <w:rFonts w:hint="eastAsia"/>
          <w:rtl/>
        </w:rPr>
        <w:t>אזרחית</w:t>
      </w:r>
      <w:r w:rsidRPr="00897F3D">
        <w:rPr>
          <w:rtl/>
        </w:rPr>
        <w:t xml:space="preserve"> בבתי </w:t>
      </w:r>
      <w:r w:rsidRPr="00897F3D">
        <w:rPr>
          <w:rFonts w:hint="eastAsia"/>
          <w:rtl/>
        </w:rPr>
        <w:t>עלמין</w:t>
      </w:r>
      <w:r w:rsidRPr="00897F3D">
        <w:rPr>
          <w:rtl/>
        </w:rPr>
        <w:t xml:space="preserve"> צבאיים</w:t>
      </w:r>
    </w:p>
    <w:p w:rsidR="00EF45C8" w:rsidRPr="00E556CD" w:rsidP="005F3BD7">
      <w:pPr>
        <w:spacing w:after="240" w:line="240" w:lineRule="exact"/>
        <w:ind w:right="2268"/>
        <w:jc w:val="both"/>
        <w:rPr>
          <w:rFonts w:ascii="Tahoma" w:hAnsi="Tahoma" w:cs="Tahoma"/>
          <w:sz w:val="17"/>
          <w:szCs w:val="17"/>
          <w:rtl/>
        </w:rPr>
      </w:pPr>
      <w:r w:rsidRPr="00E556CD">
        <w:rPr>
          <w:rFonts w:ascii="Tahoma" w:hAnsi="Tahoma" w:cs="Tahoma" w:hint="cs"/>
          <w:sz w:val="17"/>
          <w:szCs w:val="17"/>
          <w:rtl/>
        </w:rPr>
        <w:t xml:space="preserve">הרבנות הצבאית פתרה את סוגיית הקבורה האזרחית בבתי העלמין הצבאיים באופן מכבד ופשוט יחסית - בני כל הלאומים וכל סוגי הקבורות יכולים להיקבר בבית עלמין אחד; החללים הנקברים בקבורה יהודית מקובצים יחדיו, ובמרחק ד' אמות (כשני מטרים) מהם מקובצים החללים בני הלאומים השונים, לרבות חללים שמשפחתם ביקשה </w:t>
      </w:r>
      <w:r w:rsidRPr="00E556CD">
        <w:rPr>
          <w:rFonts w:ascii="Tahoma" w:hAnsi="Tahoma" w:cs="Tahoma" w:hint="cs"/>
          <w:sz w:val="17"/>
          <w:szCs w:val="17"/>
          <w:rtl/>
        </w:rPr>
        <w:t>לקוברם</w:t>
      </w:r>
      <w:r w:rsidRPr="00E556CD">
        <w:rPr>
          <w:rFonts w:ascii="Tahoma" w:hAnsi="Tahoma" w:cs="Tahoma" w:hint="cs"/>
          <w:sz w:val="17"/>
          <w:szCs w:val="17"/>
          <w:rtl/>
        </w:rPr>
        <w:t xml:space="preserve"> בקבורה ללא טקס דתי. המרווח שנוצר מנוצל לנטיעות ולהצבת ספסלים ללא חיץ בולט. בכך ניתן כבוד מצד אחד לחללים שנקברו בקבורה יהודית ומצד אחר ליתר החללים, והדבר מבטא את היחס השוויוני לכל חייל וחייל ללא הבדל דת או אמונה.</w:t>
      </w:r>
    </w:p>
    <w:p w:rsidR="00EF45C8" w:rsidRPr="00E556CD" w:rsidP="005F3BD7">
      <w:pPr>
        <w:pStyle w:val="RESHET"/>
        <w:rPr>
          <w:rtl/>
        </w:rPr>
      </w:pPr>
      <w:r w:rsidRPr="00E556CD">
        <w:rPr>
          <w:rFonts w:hint="cs"/>
          <w:rtl/>
        </w:rPr>
        <w:t>ראוי שהמשרד לשירותי דת יבחן את ההיתכנות לאימוץ החלופה שבה משתמש צה"ל - להקצות לקבורה האזרחית, בבתי העלמין הקיימים, מקטע תחום ובמרחק ד' אמות בלבד מאזור הקבורה היהודית, אגב הקפדה על המרחקים שנקבעו בהלכה היהודית ובאמצעות שימוש באמצעי תכנון פיזיים-סביבתיים כדי לאזן בין התפיסות והרגשות של אזרחים בני העדות השונות.</w:t>
      </w:r>
    </w:p>
    <w:p w:rsidR="00EF45C8" w:rsidRPr="00E556CD" w:rsidP="005F3BD7">
      <w:pPr>
        <w:spacing w:before="180" w:after="240" w:line="240" w:lineRule="exact"/>
        <w:ind w:right="2268"/>
        <w:jc w:val="both"/>
        <w:rPr>
          <w:rFonts w:ascii="Tahoma" w:hAnsi="Tahoma" w:cs="Tahoma"/>
          <w:sz w:val="17"/>
          <w:szCs w:val="17"/>
          <w:rtl/>
        </w:rPr>
      </w:pPr>
      <w:r w:rsidRPr="00E556CD">
        <w:rPr>
          <w:rFonts w:ascii="Tahoma" w:hAnsi="Tahoma" w:cs="Tahoma" w:hint="cs"/>
          <w:sz w:val="17"/>
          <w:szCs w:val="17"/>
          <w:rtl/>
        </w:rPr>
        <w:t>המשרד לשירותי דת השיב כי הוא ער לאופן שבו נהוגה הקבורה בצה"ל. היתכנות פתרון זה תלויה בקיום משאבים מתאימים כגון חלקות ובתי עלמין שלא קודשו לקבורת יהודים. במקומות שבהם הדבר התאפשר, בחלקות שלא קודשו הלכתית, אכן מבוצעת קבורה אזרחית באופן דומה למתקיים בצה"ל, למשל בנתניה.</w:t>
      </w:r>
    </w:p>
    <w:p w:rsidR="00EF45C8" w:rsidRPr="00E556CD" w:rsidP="005F3BD7">
      <w:pPr>
        <w:pStyle w:val="RESHET"/>
        <w:rPr>
          <w:rtl/>
        </w:rPr>
      </w:pPr>
      <w:r w:rsidRPr="00E556CD">
        <w:rPr>
          <w:rFonts w:hint="cs"/>
          <w:rtl/>
        </w:rPr>
        <w:t>על המשרד לשירותי דת להגביר את מאמציו להקצאת חלקות לקבורה אזרחית באופן זה בכלל בתי העלמין הקיימים, בייחוד במקומות שבהם כבר מתקיימת קבורת נפטרים שיהדותם מוטלת בספק.</w:t>
      </w:r>
    </w:p>
    <w:p w:rsidR="00EF45C8" w:rsidRPr="00E556CD" w:rsidP="00E556CD">
      <w:pPr>
        <w:spacing w:line="240" w:lineRule="exact"/>
        <w:ind w:right="2268"/>
        <w:jc w:val="both"/>
        <w:rPr>
          <w:rFonts w:ascii="Tahoma" w:hAnsi="Tahoma" w:cs="Tahoma"/>
          <w:sz w:val="17"/>
          <w:szCs w:val="17"/>
          <w:rtl/>
        </w:rPr>
      </w:pPr>
    </w:p>
    <w:p w:rsidR="00EF45C8" w:rsidRPr="00897F3D" w:rsidP="006B7001">
      <w:pPr>
        <w:pStyle w:val="KOT4"/>
        <w:rPr>
          <w:rtl/>
        </w:rPr>
      </w:pPr>
      <w:r w:rsidRPr="00897F3D">
        <w:rPr>
          <w:rFonts w:hint="eastAsia"/>
          <w:rtl/>
        </w:rPr>
        <w:t>קבורה</w:t>
      </w:r>
      <w:r w:rsidRPr="00897F3D">
        <w:rPr>
          <w:rtl/>
        </w:rPr>
        <w:t xml:space="preserve"> </w:t>
      </w:r>
      <w:r w:rsidRPr="00897F3D">
        <w:rPr>
          <w:rFonts w:hint="eastAsia"/>
          <w:rtl/>
        </w:rPr>
        <w:t>אזרחית</w:t>
      </w:r>
      <w:r w:rsidRPr="00897F3D">
        <w:rPr>
          <w:rtl/>
        </w:rPr>
        <w:t xml:space="preserve"> </w:t>
      </w:r>
      <w:r w:rsidRPr="00897F3D">
        <w:rPr>
          <w:rFonts w:hint="eastAsia"/>
          <w:rtl/>
        </w:rPr>
        <w:t>בי</w:t>
      </w:r>
      <w:r w:rsidRPr="00897F3D">
        <w:rPr>
          <w:rFonts w:hint="cs"/>
          <w:rtl/>
        </w:rPr>
        <w:t>י</w:t>
      </w:r>
      <w:r w:rsidRPr="00897F3D">
        <w:rPr>
          <w:rFonts w:hint="eastAsia"/>
          <w:rtl/>
        </w:rPr>
        <w:t>שובים</w:t>
      </w:r>
      <w:r w:rsidRPr="00897F3D">
        <w:rPr>
          <w:rtl/>
        </w:rPr>
        <w:t xml:space="preserve"> </w:t>
      </w:r>
      <w:r w:rsidRPr="00897F3D">
        <w:rPr>
          <w:rFonts w:hint="eastAsia"/>
          <w:rtl/>
        </w:rPr>
        <w:t>חקלאיים</w:t>
      </w:r>
    </w:p>
    <w:p w:rsidR="00EF45C8" w:rsidRPr="00BF070A" w:rsidP="00BF070A">
      <w:pPr>
        <w:pStyle w:val="ListParagraph"/>
        <w:numPr>
          <w:ilvl w:val="0"/>
          <w:numId w:val="10"/>
        </w:numPr>
        <w:spacing w:line="240" w:lineRule="exact"/>
        <w:ind w:left="340" w:right="2268" w:hanging="340"/>
        <w:rPr>
          <w:sz w:val="17"/>
          <w:szCs w:val="17"/>
          <w:rtl/>
        </w:rPr>
      </w:pPr>
      <w:r w:rsidRPr="00BF070A">
        <w:rPr>
          <w:rFonts w:hint="cs"/>
          <w:sz w:val="17"/>
          <w:szCs w:val="17"/>
          <w:rtl/>
        </w:rPr>
        <w:t>בדוח</w:t>
      </w:r>
      <w:r w:rsidRPr="00BF070A">
        <w:rPr>
          <w:sz w:val="17"/>
          <w:szCs w:val="17"/>
          <w:rtl/>
        </w:rPr>
        <w:t xml:space="preserve"> </w:t>
      </w:r>
      <w:r w:rsidRPr="00BF070A">
        <w:rPr>
          <w:rFonts w:hint="cs"/>
          <w:sz w:val="17"/>
          <w:szCs w:val="17"/>
          <w:rtl/>
        </w:rPr>
        <w:t>של מבקר המדינה משנת 2010</w:t>
      </w:r>
      <w:r>
        <w:rPr>
          <w:rStyle w:val="FootnoteReference0"/>
          <w:sz w:val="17"/>
          <w:szCs w:val="17"/>
          <w:rtl/>
        </w:rPr>
        <w:footnoteReference w:id="25"/>
      </w:r>
      <w:r w:rsidRPr="00BF070A">
        <w:rPr>
          <w:rFonts w:hint="cs"/>
          <w:sz w:val="17"/>
          <w:szCs w:val="17"/>
          <w:rtl/>
        </w:rPr>
        <w:t xml:space="preserve"> נכתב:</w:t>
      </w:r>
      <w:r w:rsidRPr="00BF070A">
        <w:rPr>
          <w:sz w:val="17"/>
          <w:szCs w:val="17"/>
          <w:rtl/>
        </w:rPr>
        <w:t xml:space="preserve"> "בחלוף שלוש עשרה שנים מחקיקת חוק שבו מוכרת זכותו של אדם לקבורה אזרחית חלופית, משתרך יישומו בקצב איטי במיוחד. אפשר להניח שאי-מימוש החוק בהיקף הנדרש והעדר היצע של מקומות לקבורה אזרחית הגבירו את הביקוש לה ביישובים חקלאיים"; על פי הדוח התבצעה קבורה אזרחית באחד עשר יישובים חקלאיים שמכרו חלקות קבורה לנפטרים שאינם חברי היישוב החקלאי או בני משפחותיהם תמורת תשלום גבוה החורג מהתעריפים שנקבעו בתקנות. יישובים אלה השתמשו במקרקעין למטרה לא חוקית </w:t>
      </w:r>
      <w:r w:rsidRPr="00BF070A">
        <w:rPr>
          <w:rFonts w:hint="cs"/>
          <w:sz w:val="17"/>
          <w:szCs w:val="17"/>
          <w:rtl/>
        </w:rPr>
        <w:t>שלא לפי ההרשאה</w:t>
      </w:r>
      <w:r w:rsidRPr="00BF070A">
        <w:rPr>
          <w:sz w:val="17"/>
          <w:szCs w:val="17"/>
          <w:rtl/>
        </w:rPr>
        <w:t xml:space="preserve"> </w:t>
      </w:r>
      <w:r w:rsidRPr="00BF070A">
        <w:rPr>
          <w:rFonts w:hint="cs"/>
          <w:sz w:val="17"/>
          <w:szCs w:val="17"/>
          <w:rtl/>
        </w:rPr>
        <w:t>שניתנה</w:t>
      </w:r>
      <w:r w:rsidRPr="00BF070A">
        <w:rPr>
          <w:sz w:val="17"/>
          <w:szCs w:val="17"/>
          <w:rtl/>
        </w:rPr>
        <w:t xml:space="preserve"> </w:t>
      </w:r>
      <w:r w:rsidRPr="00BF070A">
        <w:rPr>
          <w:rFonts w:hint="cs"/>
          <w:sz w:val="17"/>
          <w:szCs w:val="17"/>
          <w:rtl/>
        </w:rPr>
        <w:t>להם,</w:t>
      </w:r>
      <w:r w:rsidRPr="00BF070A">
        <w:rPr>
          <w:sz w:val="17"/>
          <w:szCs w:val="17"/>
          <w:rtl/>
        </w:rPr>
        <w:t xml:space="preserve"> </w:t>
      </w:r>
      <w:r w:rsidRPr="00BF070A">
        <w:rPr>
          <w:rFonts w:hint="cs"/>
          <w:sz w:val="17"/>
          <w:szCs w:val="17"/>
          <w:rtl/>
        </w:rPr>
        <w:t>תוך</w:t>
      </w:r>
      <w:r w:rsidRPr="00BF070A">
        <w:rPr>
          <w:sz w:val="17"/>
          <w:szCs w:val="17"/>
          <w:rtl/>
        </w:rPr>
        <w:t xml:space="preserve"> </w:t>
      </w:r>
      <w:r w:rsidRPr="00BF070A">
        <w:rPr>
          <w:rFonts w:hint="cs"/>
          <w:sz w:val="17"/>
          <w:szCs w:val="17"/>
          <w:rtl/>
        </w:rPr>
        <w:t>הפקת</w:t>
      </w:r>
      <w:r w:rsidRPr="00BF070A">
        <w:rPr>
          <w:sz w:val="17"/>
          <w:szCs w:val="17"/>
          <w:rtl/>
        </w:rPr>
        <w:t xml:space="preserve"> </w:t>
      </w:r>
      <w:r w:rsidRPr="00BF070A">
        <w:rPr>
          <w:rFonts w:hint="cs"/>
          <w:sz w:val="17"/>
          <w:szCs w:val="17"/>
          <w:rtl/>
        </w:rPr>
        <w:t>רווחים</w:t>
      </w:r>
      <w:r w:rsidRPr="00BF070A">
        <w:rPr>
          <w:sz w:val="17"/>
          <w:szCs w:val="17"/>
          <w:rtl/>
        </w:rPr>
        <w:t xml:space="preserve"> </w:t>
      </w:r>
      <w:r w:rsidRPr="00BF070A">
        <w:rPr>
          <w:rFonts w:hint="cs"/>
          <w:sz w:val="17"/>
          <w:szCs w:val="17"/>
          <w:rtl/>
        </w:rPr>
        <w:t>מהשימוש</w:t>
      </w:r>
      <w:r w:rsidRPr="00BF070A">
        <w:rPr>
          <w:sz w:val="17"/>
          <w:szCs w:val="17"/>
          <w:rtl/>
        </w:rPr>
        <w:t xml:space="preserve"> </w:t>
      </w:r>
      <w:r w:rsidRPr="00BF070A">
        <w:rPr>
          <w:rFonts w:hint="cs"/>
          <w:sz w:val="17"/>
          <w:szCs w:val="17"/>
          <w:rtl/>
        </w:rPr>
        <w:t>האסור</w:t>
      </w:r>
      <w:r w:rsidRPr="00BF070A">
        <w:rPr>
          <w:sz w:val="17"/>
          <w:szCs w:val="17"/>
          <w:rtl/>
        </w:rPr>
        <w:t xml:space="preserve">. בעקבות </w:t>
      </w:r>
      <w:r w:rsidRPr="00BF070A">
        <w:rPr>
          <w:rFonts w:hint="cs"/>
          <w:sz w:val="17"/>
          <w:szCs w:val="17"/>
          <w:rtl/>
        </w:rPr>
        <w:t>פרסום דוח</w:t>
      </w:r>
      <w:r w:rsidRPr="00BF070A">
        <w:rPr>
          <w:sz w:val="17"/>
          <w:szCs w:val="17"/>
          <w:rtl/>
        </w:rPr>
        <w:t xml:space="preserve"> </w:t>
      </w:r>
      <w:r w:rsidRPr="00BF070A">
        <w:rPr>
          <w:rFonts w:hint="cs"/>
          <w:sz w:val="17"/>
          <w:szCs w:val="17"/>
          <w:rtl/>
        </w:rPr>
        <w:t>זה</w:t>
      </w:r>
      <w:r w:rsidRPr="00BF070A">
        <w:rPr>
          <w:sz w:val="17"/>
          <w:szCs w:val="17"/>
          <w:rtl/>
        </w:rPr>
        <w:t xml:space="preserve"> החליטה </w:t>
      </w:r>
      <w:r w:rsidRPr="00BF070A">
        <w:rPr>
          <w:rFonts w:hint="cs"/>
          <w:sz w:val="17"/>
          <w:szCs w:val="17"/>
          <w:rtl/>
        </w:rPr>
        <w:t>רמ</w:t>
      </w:r>
      <w:r w:rsidRPr="00BF070A">
        <w:rPr>
          <w:sz w:val="17"/>
          <w:szCs w:val="17"/>
          <w:rtl/>
        </w:rPr>
        <w:t>"י</w:t>
      </w:r>
      <w:r w:rsidRPr="00BF070A">
        <w:rPr>
          <w:sz w:val="17"/>
          <w:szCs w:val="17"/>
          <w:rtl/>
        </w:rPr>
        <w:t xml:space="preserve"> </w:t>
      </w:r>
      <w:r w:rsidRPr="00BF070A">
        <w:rPr>
          <w:rFonts w:hint="cs"/>
          <w:sz w:val="17"/>
          <w:szCs w:val="17"/>
          <w:rtl/>
        </w:rPr>
        <w:t>שלא תוכשר עוד</w:t>
      </w:r>
      <w:r w:rsidRPr="00BF070A">
        <w:rPr>
          <w:sz w:val="17"/>
          <w:szCs w:val="17"/>
          <w:rtl/>
        </w:rPr>
        <w:t xml:space="preserve"> הקמת בתי עלמין</w:t>
      </w:r>
      <w:r w:rsidRPr="00BF070A">
        <w:rPr>
          <w:rFonts w:hint="cs"/>
          <w:sz w:val="17"/>
          <w:szCs w:val="17"/>
          <w:rtl/>
        </w:rPr>
        <w:t xml:space="preserve"> אזרחיים</w:t>
      </w:r>
      <w:r w:rsidRPr="00BF070A">
        <w:rPr>
          <w:sz w:val="17"/>
          <w:szCs w:val="17"/>
          <w:rtl/>
        </w:rPr>
        <w:t xml:space="preserve"> </w:t>
      </w:r>
      <w:r w:rsidRPr="00BF070A">
        <w:rPr>
          <w:rFonts w:hint="cs"/>
          <w:sz w:val="17"/>
          <w:szCs w:val="17"/>
          <w:rtl/>
        </w:rPr>
        <w:t>ביישובים</w:t>
      </w:r>
      <w:r w:rsidRPr="00BF070A">
        <w:rPr>
          <w:sz w:val="17"/>
          <w:szCs w:val="17"/>
          <w:rtl/>
        </w:rPr>
        <w:t xml:space="preserve"> </w:t>
      </w:r>
      <w:r w:rsidRPr="00BF070A">
        <w:rPr>
          <w:rFonts w:hint="cs"/>
          <w:sz w:val="17"/>
          <w:szCs w:val="17"/>
          <w:rtl/>
        </w:rPr>
        <w:t>חקלאיים,</w:t>
      </w:r>
      <w:r w:rsidRPr="00BF070A">
        <w:rPr>
          <w:sz w:val="17"/>
          <w:szCs w:val="17"/>
          <w:rtl/>
        </w:rPr>
        <w:t xml:space="preserve"> </w:t>
      </w:r>
      <w:r w:rsidRPr="00BF070A">
        <w:rPr>
          <w:rFonts w:hint="cs"/>
          <w:sz w:val="17"/>
          <w:szCs w:val="17"/>
          <w:rtl/>
        </w:rPr>
        <w:t>וכי יופסק השימוש</w:t>
      </w:r>
      <w:r w:rsidRPr="00BF070A">
        <w:rPr>
          <w:sz w:val="17"/>
          <w:szCs w:val="17"/>
          <w:rtl/>
        </w:rPr>
        <w:t xml:space="preserve"> </w:t>
      </w:r>
      <w:r w:rsidRPr="00BF070A">
        <w:rPr>
          <w:rFonts w:hint="cs"/>
          <w:sz w:val="17"/>
          <w:szCs w:val="17"/>
          <w:rtl/>
        </w:rPr>
        <w:t>בבתי</w:t>
      </w:r>
      <w:r w:rsidRPr="00BF070A">
        <w:rPr>
          <w:sz w:val="17"/>
          <w:szCs w:val="17"/>
          <w:rtl/>
        </w:rPr>
        <w:t xml:space="preserve"> </w:t>
      </w:r>
      <w:r w:rsidRPr="00BF070A">
        <w:rPr>
          <w:rFonts w:hint="cs"/>
          <w:sz w:val="17"/>
          <w:szCs w:val="17"/>
          <w:rtl/>
        </w:rPr>
        <w:t>עלמין</w:t>
      </w:r>
      <w:r w:rsidRPr="00BF070A">
        <w:rPr>
          <w:sz w:val="17"/>
          <w:szCs w:val="17"/>
          <w:rtl/>
        </w:rPr>
        <w:t xml:space="preserve"> </w:t>
      </w:r>
      <w:r w:rsidRPr="00BF070A">
        <w:rPr>
          <w:rFonts w:hint="cs"/>
          <w:sz w:val="17"/>
          <w:szCs w:val="17"/>
          <w:rtl/>
        </w:rPr>
        <w:t>ביישובים</w:t>
      </w:r>
      <w:r w:rsidRPr="00BF070A">
        <w:rPr>
          <w:sz w:val="17"/>
          <w:szCs w:val="17"/>
          <w:rtl/>
        </w:rPr>
        <w:t xml:space="preserve"> </w:t>
      </w:r>
      <w:r w:rsidRPr="00BF070A">
        <w:rPr>
          <w:rFonts w:hint="cs"/>
          <w:sz w:val="17"/>
          <w:szCs w:val="17"/>
          <w:rtl/>
        </w:rPr>
        <w:t>חקלאיים</w:t>
      </w:r>
      <w:r w:rsidRPr="00BF070A">
        <w:rPr>
          <w:sz w:val="17"/>
          <w:szCs w:val="17"/>
          <w:rtl/>
        </w:rPr>
        <w:t xml:space="preserve"> </w:t>
      </w:r>
      <w:r w:rsidRPr="00BF070A">
        <w:rPr>
          <w:rFonts w:hint="cs"/>
          <w:sz w:val="17"/>
          <w:szCs w:val="17"/>
          <w:rtl/>
        </w:rPr>
        <w:t>לקבורת תושבים</w:t>
      </w:r>
      <w:r w:rsidRPr="00BF070A">
        <w:rPr>
          <w:sz w:val="17"/>
          <w:szCs w:val="17"/>
          <w:rtl/>
        </w:rPr>
        <w:t xml:space="preserve"> </w:t>
      </w:r>
      <w:r w:rsidRPr="00BF070A">
        <w:rPr>
          <w:rFonts w:hint="cs"/>
          <w:sz w:val="17"/>
          <w:szCs w:val="17"/>
          <w:rtl/>
        </w:rPr>
        <w:t>שאינם</w:t>
      </w:r>
      <w:r w:rsidRPr="00BF070A">
        <w:rPr>
          <w:sz w:val="17"/>
          <w:szCs w:val="17"/>
          <w:rtl/>
        </w:rPr>
        <w:t xml:space="preserve"> </w:t>
      </w:r>
      <w:r w:rsidRPr="00BF070A">
        <w:rPr>
          <w:rFonts w:hint="cs"/>
          <w:sz w:val="17"/>
          <w:szCs w:val="17"/>
          <w:rtl/>
        </w:rPr>
        <w:t>בני</w:t>
      </w:r>
      <w:r w:rsidRPr="00BF070A">
        <w:rPr>
          <w:sz w:val="17"/>
          <w:szCs w:val="17"/>
          <w:rtl/>
        </w:rPr>
        <w:t xml:space="preserve"> </w:t>
      </w:r>
      <w:r w:rsidRPr="00BF070A">
        <w:rPr>
          <w:rFonts w:hint="cs"/>
          <w:sz w:val="17"/>
          <w:szCs w:val="17"/>
          <w:rtl/>
        </w:rPr>
        <w:t>המקום</w:t>
      </w:r>
      <w:r w:rsidRPr="00BF070A">
        <w:rPr>
          <w:sz w:val="17"/>
          <w:szCs w:val="17"/>
          <w:rtl/>
        </w:rPr>
        <w:t>.</w:t>
      </w:r>
    </w:p>
    <w:p w:rsidR="00EF45C8" w:rsidRPr="00E556CD" w:rsidP="00BF070A">
      <w:pPr>
        <w:spacing w:after="240" w:line="240" w:lineRule="exact"/>
        <w:ind w:left="340" w:right="2268"/>
        <w:jc w:val="both"/>
        <w:rPr>
          <w:rFonts w:ascii="Tahoma" w:hAnsi="Tahoma" w:cs="Tahoma"/>
          <w:sz w:val="17"/>
          <w:szCs w:val="17"/>
          <w:rtl/>
        </w:rPr>
      </w:pPr>
      <w:r w:rsidRPr="00E556CD">
        <w:rPr>
          <w:rFonts w:ascii="Tahoma" w:hAnsi="Tahoma" w:cs="Tahoma" w:hint="cs"/>
          <w:sz w:val="17"/>
          <w:szCs w:val="17"/>
          <w:rtl/>
        </w:rPr>
        <w:t xml:space="preserve">בספטמבר 2016 מסרה </w:t>
      </w:r>
      <w:r w:rsidRPr="00E556CD">
        <w:rPr>
          <w:rFonts w:ascii="Tahoma" w:hAnsi="Tahoma" w:cs="Tahoma" w:hint="cs"/>
          <w:sz w:val="17"/>
          <w:szCs w:val="17"/>
          <w:rtl/>
        </w:rPr>
        <w:t>רמ"י</w:t>
      </w:r>
      <w:r w:rsidRPr="00E556CD">
        <w:rPr>
          <w:rFonts w:ascii="Tahoma" w:hAnsi="Tahoma" w:cs="Tahoma" w:hint="cs"/>
          <w:sz w:val="17"/>
          <w:szCs w:val="17"/>
          <w:rtl/>
        </w:rPr>
        <w:t xml:space="preserve"> למשרד מבקר המדינה דוח מעקב מאוקטובר 2011 שעודכן ביוני 2012. הדוח, שהכין אגף הפיקוח שלה, עסק בשימוש בבתי עלמין ב-14 יישובים חקלאיים. מהדוח עלה כי שלושה מהיישובים חדלו לקבור בבית העלמין שברשותם את מי שאינם בני המקום, שלושה יישובים אחרים נמצאו בהליכים להקצאת המקרקעין שברשותם למועצה האזורית, שישה יישובים אחרים נתבעו בגין שימוש שלא כדין במקרקעין, מתוכם חמישה הגיעו להסדר וניתן לו תוקף של פסק דין, ושני יישובים היו עדיין בטיפול משפטי.</w:t>
      </w:r>
    </w:p>
    <w:p w:rsidR="00EF45C8" w:rsidRPr="00E556CD" w:rsidP="00BF070A">
      <w:pPr>
        <w:pStyle w:val="RESHET"/>
        <w:numPr>
          <w:ilvl w:val="0"/>
          <w:numId w:val="10"/>
        </w:numPr>
        <w:ind w:left="567" w:hanging="340"/>
      </w:pPr>
      <w:r w:rsidRPr="00E556CD">
        <w:rPr>
          <w:rFonts w:hint="cs"/>
          <w:rtl/>
        </w:rPr>
        <w:t>הביטוח הלאומי נוהג לבצע באמצעות רואי</w:t>
      </w:r>
      <w:r w:rsidRPr="00E556CD">
        <w:rPr>
          <w:rtl/>
        </w:rPr>
        <w:t xml:space="preserve"> חשבון </w:t>
      </w:r>
      <w:r w:rsidRPr="00E556CD">
        <w:rPr>
          <w:rFonts w:hint="cs"/>
          <w:rtl/>
        </w:rPr>
        <w:t>חיצוניים</w:t>
      </w:r>
      <w:r w:rsidRPr="00E556CD">
        <w:rPr>
          <w:rtl/>
        </w:rPr>
        <w:t xml:space="preserve"> </w:t>
      </w:r>
      <w:r w:rsidRPr="00E556CD">
        <w:rPr>
          <w:rFonts w:hint="cs"/>
          <w:rtl/>
        </w:rPr>
        <w:t xml:space="preserve">בקרות על חברות הקבורה בישראל. מסיכום ממצאי בדיקות של רואי החשבון שהעביר הביטוח הלאומי למשרד מבקר המדינה ביולי 2016 בנוגע לקבורה ביישובים חקלאיים </w:t>
      </w:r>
      <w:r w:rsidRPr="00E556CD">
        <w:rPr>
          <w:rtl/>
        </w:rPr>
        <w:t xml:space="preserve">בשנים </w:t>
      </w:r>
      <w:r w:rsidRPr="00E556CD">
        <w:rPr>
          <w:rFonts w:hint="cs"/>
          <w:rtl/>
        </w:rPr>
        <w:t xml:space="preserve">2016-2011 עלה כי 16 מ-22 חברות שנבדקו </w:t>
      </w:r>
      <w:r w:rsidRPr="00E556CD">
        <w:rPr>
          <w:rtl/>
        </w:rPr>
        <w:t>גבו</w:t>
      </w:r>
      <w:r w:rsidRPr="00E556CD">
        <w:rPr>
          <w:rFonts w:hint="cs"/>
          <w:rtl/>
        </w:rPr>
        <w:t xml:space="preserve"> באותן שנים</w:t>
      </w:r>
      <w:r w:rsidRPr="00E556CD">
        <w:rPr>
          <w:rtl/>
        </w:rPr>
        <w:t xml:space="preserve"> תשלומים </w:t>
      </w:r>
      <w:r w:rsidRPr="00E556CD">
        <w:rPr>
          <w:rFonts w:hint="cs"/>
          <w:rtl/>
        </w:rPr>
        <w:t>עבור</w:t>
      </w:r>
      <w:r w:rsidRPr="00E556CD">
        <w:rPr>
          <w:rtl/>
        </w:rPr>
        <w:t xml:space="preserve"> מקומות קבורה לאחר פטירה או לרכישת קבר בחיים מעבר לתעריף </w:t>
      </w:r>
      <w:r w:rsidRPr="00E556CD">
        <w:rPr>
          <w:rFonts w:hint="cs"/>
          <w:rtl/>
        </w:rPr>
        <w:t xml:space="preserve">המותר, וכי תשע מהחברות </w:t>
      </w:r>
      <w:r w:rsidRPr="00E556CD">
        <w:rPr>
          <w:rtl/>
        </w:rPr>
        <w:t>החזירו את</w:t>
      </w:r>
      <w:r w:rsidRPr="00E556CD">
        <w:rPr>
          <w:rFonts w:hint="cs"/>
          <w:rtl/>
        </w:rPr>
        <w:t xml:space="preserve"> התשלום העודף</w:t>
      </w:r>
      <w:r w:rsidRPr="00E556CD">
        <w:rPr>
          <w:rtl/>
        </w:rPr>
        <w:t xml:space="preserve"> למשפח</w:t>
      </w:r>
      <w:r w:rsidRPr="00E556CD">
        <w:rPr>
          <w:rFonts w:hint="cs"/>
          <w:rtl/>
        </w:rPr>
        <w:t>ו</w:t>
      </w:r>
      <w:r w:rsidRPr="00E556CD">
        <w:rPr>
          <w:rtl/>
        </w:rPr>
        <w:t xml:space="preserve">ת </w:t>
      </w:r>
      <w:r w:rsidRPr="00E556CD">
        <w:rPr>
          <w:rFonts w:hint="cs"/>
          <w:rtl/>
        </w:rPr>
        <w:t>הנקברים</w:t>
      </w:r>
      <w:r w:rsidRPr="00E556CD">
        <w:rPr>
          <w:rtl/>
        </w:rPr>
        <w:t xml:space="preserve"> בעקבות </w:t>
      </w:r>
      <w:r w:rsidRPr="00E556CD">
        <w:rPr>
          <w:rFonts w:hint="cs"/>
          <w:rtl/>
        </w:rPr>
        <w:t>בדיקות</w:t>
      </w:r>
      <w:r w:rsidRPr="00E556CD">
        <w:rPr>
          <w:rtl/>
        </w:rPr>
        <w:t xml:space="preserve"> </w:t>
      </w:r>
      <w:r w:rsidRPr="00E556CD">
        <w:rPr>
          <w:rFonts w:hint="cs"/>
          <w:rtl/>
        </w:rPr>
        <w:t>רואי</w:t>
      </w:r>
      <w:r w:rsidRPr="00E556CD">
        <w:rPr>
          <w:rtl/>
        </w:rPr>
        <w:t xml:space="preserve"> </w:t>
      </w:r>
      <w:r w:rsidRPr="00E556CD">
        <w:rPr>
          <w:rFonts w:hint="cs"/>
          <w:rtl/>
        </w:rPr>
        <w:t>החשבון</w:t>
      </w:r>
      <w:r w:rsidRPr="00E556CD">
        <w:rPr>
          <w:rtl/>
        </w:rPr>
        <w:t xml:space="preserve">. </w:t>
      </w:r>
      <w:r w:rsidRPr="00E556CD">
        <w:rPr>
          <w:rFonts w:hint="cs"/>
          <w:rtl/>
        </w:rPr>
        <w:t>אשר לשבע החברות שלא החזירו את התשלום העודף, הביטוח</w:t>
      </w:r>
      <w:r w:rsidRPr="00E556CD">
        <w:rPr>
          <w:rtl/>
        </w:rPr>
        <w:t xml:space="preserve"> </w:t>
      </w:r>
      <w:r w:rsidRPr="00E556CD">
        <w:rPr>
          <w:rFonts w:hint="cs"/>
          <w:rtl/>
        </w:rPr>
        <w:t>הלאומי</w:t>
      </w:r>
      <w:r w:rsidRPr="00E556CD">
        <w:rPr>
          <w:rtl/>
        </w:rPr>
        <w:t xml:space="preserve"> </w:t>
      </w:r>
      <w:r w:rsidRPr="00E556CD">
        <w:rPr>
          <w:rFonts w:hint="cs"/>
          <w:rtl/>
        </w:rPr>
        <w:t>עיכב את</w:t>
      </w:r>
      <w:r w:rsidRPr="00E556CD">
        <w:rPr>
          <w:rtl/>
        </w:rPr>
        <w:t xml:space="preserve"> </w:t>
      </w:r>
      <w:r w:rsidRPr="00E556CD">
        <w:rPr>
          <w:rFonts w:hint="cs"/>
          <w:rtl/>
        </w:rPr>
        <w:t>דמי קבורה שנדרש לשלם</w:t>
      </w:r>
      <w:r w:rsidRPr="00E556CD">
        <w:rPr>
          <w:rtl/>
        </w:rPr>
        <w:t xml:space="preserve"> לחברות אלה</w:t>
      </w:r>
      <w:r w:rsidRPr="00E556CD">
        <w:rPr>
          <w:rFonts w:hint="cs"/>
          <w:rtl/>
        </w:rPr>
        <w:t>.</w:t>
      </w:r>
    </w:p>
    <w:p w:rsidR="00EF45C8" w:rsidRPr="00E556CD" w:rsidP="00BF070A">
      <w:pPr>
        <w:pStyle w:val="RESHET"/>
        <w:rPr>
          <w:rtl/>
        </w:rPr>
      </w:pPr>
      <w:r w:rsidRPr="00E556CD">
        <w:rPr>
          <w:rFonts w:hint="cs"/>
          <w:rtl/>
        </w:rPr>
        <w:t xml:space="preserve">הדבר מעורר אפוא חשש לכך שבתי העלמין שברשות יישובים חקלאיים עדיין מוכרים חלקות לקבורה אזרחית במחירים מופקעים או שלא כדין, לנוכח המחסור במקומות לקבורה אזרחית. בהתאם לכך על </w:t>
      </w:r>
      <w:r w:rsidRPr="00E556CD">
        <w:rPr>
          <w:rFonts w:hint="cs"/>
          <w:rtl/>
        </w:rPr>
        <w:t>רמ"י</w:t>
      </w:r>
      <w:r w:rsidRPr="00E556CD">
        <w:rPr>
          <w:rFonts w:hint="cs"/>
          <w:rtl/>
        </w:rPr>
        <w:t xml:space="preserve"> לחדש את מעקבה בנושא.</w:t>
      </w:r>
    </w:p>
    <w:p w:rsidR="00EF45C8" w:rsidRPr="00E556CD" w:rsidP="00E556CD">
      <w:pPr>
        <w:spacing w:line="240" w:lineRule="exact"/>
        <w:ind w:right="2268"/>
        <w:jc w:val="both"/>
        <w:rPr>
          <w:rFonts w:ascii="Tahoma" w:hAnsi="Tahoma" w:cs="Tahoma"/>
          <w:b/>
          <w:bCs/>
          <w:sz w:val="17"/>
          <w:szCs w:val="17"/>
        </w:rPr>
      </w:pPr>
    </w:p>
    <w:p w:rsidR="00EF45C8" w:rsidP="006B7001">
      <w:pPr>
        <w:pStyle w:val="KOT4"/>
        <w:rPr>
          <w:rtl/>
        </w:rPr>
      </w:pPr>
      <w:r w:rsidRPr="00FF7CFE">
        <w:rPr>
          <w:rFonts w:hint="cs"/>
          <w:rtl/>
        </w:rPr>
        <w:t>ליקויים ב</w:t>
      </w:r>
      <w:r w:rsidRPr="00FF7CFE">
        <w:rPr>
          <w:rFonts w:hint="eastAsia"/>
          <w:rtl/>
        </w:rPr>
        <w:t>סדרי</w:t>
      </w:r>
      <w:r w:rsidRPr="00FF7CFE">
        <w:rPr>
          <w:rtl/>
        </w:rPr>
        <w:t xml:space="preserve"> </w:t>
      </w:r>
      <w:r>
        <w:rPr>
          <w:rFonts w:hint="cs"/>
          <w:rtl/>
        </w:rPr>
        <w:t>ה</w:t>
      </w:r>
      <w:r w:rsidRPr="00FF7CFE">
        <w:rPr>
          <w:rFonts w:hint="eastAsia"/>
          <w:rtl/>
        </w:rPr>
        <w:t>תקצוב</w:t>
      </w:r>
      <w:r w:rsidRPr="00FF7CFE">
        <w:rPr>
          <w:rtl/>
        </w:rPr>
        <w:t xml:space="preserve"> </w:t>
      </w:r>
      <w:r w:rsidRPr="00FF7CFE">
        <w:rPr>
          <w:rFonts w:hint="eastAsia"/>
          <w:rtl/>
        </w:rPr>
        <w:t>ו</w:t>
      </w:r>
      <w:r>
        <w:rPr>
          <w:rFonts w:hint="cs"/>
          <w:rtl/>
        </w:rPr>
        <w:t>ה</w:t>
      </w:r>
      <w:r w:rsidRPr="00FF7CFE">
        <w:rPr>
          <w:rFonts w:hint="eastAsia"/>
          <w:rtl/>
        </w:rPr>
        <w:t>מימוש</w:t>
      </w:r>
      <w:r w:rsidRPr="00FF7CFE">
        <w:rPr>
          <w:rtl/>
        </w:rPr>
        <w:t xml:space="preserve"> </w:t>
      </w:r>
      <w:r>
        <w:rPr>
          <w:rFonts w:hint="cs"/>
          <w:rtl/>
        </w:rPr>
        <w:t xml:space="preserve">של </w:t>
      </w:r>
      <w:r w:rsidRPr="00FF7CFE">
        <w:rPr>
          <w:rtl/>
        </w:rPr>
        <w:t xml:space="preserve">תקציב </w:t>
      </w:r>
      <w:r w:rsidRPr="00FF7CFE">
        <w:rPr>
          <w:rFonts w:hint="eastAsia"/>
          <w:rtl/>
        </w:rPr>
        <w:t>הקבורה</w:t>
      </w:r>
      <w:r w:rsidRPr="00FF7CFE">
        <w:rPr>
          <w:rtl/>
        </w:rPr>
        <w:t xml:space="preserve"> </w:t>
      </w:r>
      <w:r w:rsidRPr="00FF7CFE">
        <w:rPr>
          <w:rFonts w:hint="eastAsia"/>
          <w:rtl/>
        </w:rPr>
        <w:t>האזרחית</w:t>
      </w:r>
    </w:p>
    <w:p w:rsidR="00EF45C8" w:rsidRPr="003D5143" w:rsidP="006B7001">
      <w:pPr>
        <w:pStyle w:val="KOT5"/>
        <w:rPr>
          <w:rtl/>
        </w:rPr>
      </w:pPr>
      <w:r w:rsidRPr="003D5143">
        <w:rPr>
          <w:rFonts w:hint="cs"/>
          <w:rtl/>
        </w:rPr>
        <w:t xml:space="preserve">תמיכות למועצות דתיות לעידוד הקבורה </w:t>
      </w:r>
      <w:r>
        <w:rPr>
          <w:rFonts w:hint="cs"/>
          <w:rtl/>
        </w:rPr>
        <w:t>האזרחית</w:t>
      </w:r>
    </w:p>
    <w:p w:rsidR="00EF45C8" w:rsidRPr="00E556CD" w:rsidP="00E556CD">
      <w:pPr>
        <w:spacing w:line="240" w:lineRule="exact"/>
        <w:ind w:right="2268"/>
        <w:jc w:val="both"/>
        <w:rPr>
          <w:rFonts w:ascii="Tahoma" w:hAnsi="Tahoma" w:cs="Tahoma"/>
          <w:sz w:val="17"/>
          <w:szCs w:val="17"/>
          <w:rtl/>
        </w:rPr>
      </w:pPr>
      <w:r w:rsidRPr="00E556CD">
        <w:rPr>
          <w:rFonts w:ascii="Tahoma" w:hAnsi="Tahoma" w:cs="Tahoma"/>
          <w:sz w:val="17"/>
          <w:szCs w:val="17"/>
          <w:rtl/>
        </w:rPr>
        <w:t xml:space="preserve">בשנת 2013 החליטה ועדת התמיכות במשרד לשירותי דת לאשר </w:t>
      </w:r>
      <w:r w:rsidRPr="00E556CD">
        <w:rPr>
          <w:rFonts w:ascii="Tahoma" w:hAnsi="Tahoma" w:cs="Tahoma" w:hint="cs"/>
          <w:sz w:val="17"/>
          <w:szCs w:val="17"/>
          <w:rtl/>
        </w:rPr>
        <w:t>כי</w:t>
      </w:r>
      <w:r w:rsidRPr="00E556CD">
        <w:rPr>
          <w:rFonts w:ascii="Tahoma" w:hAnsi="Tahoma" w:cs="Tahoma"/>
          <w:sz w:val="17"/>
          <w:szCs w:val="17"/>
          <w:rtl/>
        </w:rPr>
        <w:t xml:space="preserve"> 10% </w:t>
      </w:r>
      <w:r w:rsidRPr="00E556CD">
        <w:rPr>
          <w:rFonts w:ascii="Tahoma" w:hAnsi="Tahoma" w:cs="Tahoma" w:hint="cs"/>
          <w:sz w:val="17"/>
          <w:szCs w:val="17"/>
          <w:rtl/>
        </w:rPr>
        <w:t>מהתקציב</w:t>
      </w:r>
      <w:r w:rsidRPr="00E556CD">
        <w:rPr>
          <w:rFonts w:ascii="Tahoma" w:hAnsi="Tahoma" w:cs="Tahoma"/>
          <w:sz w:val="17"/>
          <w:szCs w:val="17"/>
          <w:rtl/>
        </w:rPr>
        <w:t xml:space="preserve"> </w:t>
      </w:r>
      <w:r w:rsidRPr="00E556CD">
        <w:rPr>
          <w:rFonts w:ascii="Tahoma" w:hAnsi="Tahoma" w:cs="Tahoma" w:hint="cs"/>
          <w:sz w:val="17"/>
          <w:szCs w:val="17"/>
          <w:rtl/>
        </w:rPr>
        <w:t>של</w:t>
      </w:r>
      <w:r w:rsidRPr="00E556CD">
        <w:rPr>
          <w:rFonts w:ascii="Tahoma" w:hAnsi="Tahoma" w:cs="Tahoma"/>
          <w:sz w:val="17"/>
          <w:szCs w:val="17"/>
          <w:rtl/>
        </w:rPr>
        <w:t xml:space="preserve"> </w:t>
      </w:r>
      <w:r w:rsidRPr="00E556CD">
        <w:rPr>
          <w:rFonts w:ascii="Tahoma" w:hAnsi="Tahoma" w:cs="Tahoma" w:hint="cs"/>
          <w:sz w:val="17"/>
          <w:szCs w:val="17"/>
          <w:rtl/>
        </w:rPr>
        <w:t>התקנה</w:t>
      </w:r>
      <w:r w:rsidRPr="00E556CD">
        <w:rPr>
          <w:rFonts w:ascii="Tahoma" w:hAnsi="Tahoma" w:cs="Tahoma"/>
          <w:sz w:val="17"/>
          <w:szCs w:val="17"/>
          <w:rtl/>
        </w:rPr>
        <w:t xml:space="preserve"> "פיתוח </w:t>
      </w:r>
      <w:r w:rsidRPr="00E556CD">
        <w:rPr>
          <w:rFonts w:ascii="Tahoma" w:hAnsi="Tahoma" w:cs="Tahoma" w:hint="cs"/>
          <w:sz w:val="17"/>
          <w:szCs w:val="17"/>
          <w:rtl/>
        </w:rPr>
        <w:t>בתי</w:t>
      </w:r>
      <w:r w:rsidRPr="00E556CD">
        <w:rPr>
          <w:rFonts w:ascii="Tahoma" w:hAnsi="Tahoma" w:cs="Tahoma"/>
          <w:sz w:val="17"/>
          <w:szCs w:val="17"/>
          <w:rtl/>
        </w:rPr>
        <w:t xml:space="preserve"> </w:t>
      </w:r>
      <w:r w:rsidRPr="00E556CD">
        <w:rPr>
          <w:rFonts w:ascii="Tahoma" w:hAnsi="Tahoma" w:cs="Tahoma" w:hint="cs"/>
          <w:sz w:val="17"/>
          <w:szCs w:val="17"/>
          <w:rtl/>
        </w:rPr>
        <w:t>עלמין</w:t>
      </w:r>
      <w:r w:rsidRPr="00E556CD">
        <w:rPr>
          <w:rFonts w:ascii="Tahoma" w:hAnsi="Tahoma" w:cs="Tahoma"/>
          <w:sz w:val="17"/>
          <w:szCs w:val="17"/>
          <w:rtl/>
        </w:rPr>
        <w:t xml:space="preserve">" יוקצו </w:t>
      </w:r>
      <w:r w:rsidRPr="00E556CD">
        <w:rPr>
          <w:rFonts w:ascii="Tahoma" w:hAnsi="Tahoma" w:cs="Tahoma" w:hint="cs"/>
          <w:sz w:val="17"/>
          <w:szCs w:val="17"/>
          <w:rtl/>
        </w:rPr>
        <w:t>למועצות</w:t>
      </w:r>
      <w:r w:rsidRPr="00E556CD">
        <w:rPr>
          <w:rFonts w:ascii="Tahoma" w:hAnsi="Tahoma" w:cs="Tahoma"/>
          <w:sz w:val="17"/>
          <w:szCs w:val="17"/>
          <w:rtl/>
        </w:rPr>
        <w:t xml:space="preserve"> </w:t>
      </w:r>
      <w:r w:rsidRPr="00E556CD">
        <w:rPr>
          <w:rFonts w:ascii="Tahoma" w:hAnsi="Tahoma" w:cs="Tahoma" w:hint="cs"/>
          <w:sz w:val="17"/>
          <w:szCs w:val="17"/>
          <w:rtl/>
        </w:rPr>
        <w:t>דתיות</w:t>
      </w:r>
      <w:r w:rsidRPr="00E556CD">
        <w:rPr>
          <w:rFonts w:ascii="Tahoma" w:hAnsi="Tahoma" w:cs="Tahoma"/>
          <w:sz w:val="17"/>
          <w:szCs w:val="17"/>
          <w:rtl/>
        </w:rPr>
        <w:t xml:space="preserve"> </w:t>
      </w:r>
      <w:r w:rsidRPr="00E556CD">
        <w:rPr>
          <w:rFonts w:ascii="Tahoma" w:hAnsi="Tahoma" w:cs="Tahoma" w:hint="cs"/>
          <w:sz w:val="17"/>
          <w:szCs w:val="17"/>
          <w:rtl/>
        </w:rPr>
        <w:t>שהביעו</w:t>
      </w:r>
      <w:r w:rsidRPr="00E556CD">
        <w:rPr>
          <w:rFonts w:ascii="Tahoma" w:hAnsi="Tahoma" w:cs="Tahoma"/>
          <w:sz w:val="17"/>
          <w:szCs w:val="17"/>
          <w:rtl/>
        </w:rPr>
        <w:t xml:space="preserve"> </w:t>
      </w:r>
      <w:r w:rsidRPr="00E556CD">
        <w:rPr>
          <w:rFonts w:ascii="Tahoma" w:hAnsi="Tahoma" w:cs="Tahoma" w:hint="cs"/>
          <w:sz w:val="17"/>
          <w:szCs w:val="17"/>
          <w:rtl/>
        </w:rPr>
        <w:t>נכונות</w:t>
      </w:r>
      <w:r w:rsidRPr="00E556CD">
        <w:rPr>
          <w:rFonts w:ascii="Tahoma" w:hAnsi="Tahoma" w:cs="Tahoma"/>
          <w:sz w:val="17"/>
          <w:szCs w:val="17"/>
          <w:rtl/>
        </w:rPr>
        <w:t xml:space="preserve"> לפתח קבורה אזרחית </w:t>
      </w:r>
      <w:r w:rsidRPr="00E556CD">
        <w:rPr>
          <w:rFonts w:ascii="Tahoma" w:hAnsi="Tahoma" w:cs="Tahoma" w:hint="cs"/>
          <w:sz w:val="17"/>
          <w:szCs w:val="17"/>
          <w:rtl/>
        </w:rPr>
        <w:t>בתחום</w:t>
      </w:r>
      <w:r w:rsidRPr="00E556CD">
        <w:rPr>
          <w:rFonts w:ascii="Tahoma" w:hAnsi="Tahoma" w:cs="Tahoma"/>
          <w:sz w:val="17"/>
          <w:szCs w:val="17"/>
          <w:rtl/>
        </w:rPr>
        <w:t xml:space="preserve"> </w:t>
      </w:r>
      <w:r w:rsidRPr="00E556CD">
        <w:rPr>
          <w:rFonts w:ascii="Tahoma" w:hAnsi="Tahoma" w:cs="Tahoma" w:hint="cs"/>
          <w:sz w:val="17"/>
          <w:szCs w:val="17"/>
          <w:rtl/>
        </w:rPr>
        <w:t>שיפוטן.</w:t>
      </w:r>
    </w:p>
    <w:p w:rsidR="00EF45C8" w:rsidRPr="00E556CD" w:rsidP="00E556CD">
      <w:pPr>
        <w:spacing w:line="240" w:lineRule="exact"/>
        <w:ind w:right="2268"/>
        <w:jc w:val="both"/>
        <w:rPr>
          <w:rFonts w:ascii="Tahoma" w:hAnsi="Tahoma" w:cs="Tahoma"/>
          <w:sz w:val="17"/>
          <w:szCs w:val="17"/>
          <w:rtl/>
        </w:rPr>
      </w:pPr>
      <w:r w:rsidRPr="00E556CD">
        <w:rPr>
          <w:rFonts w:ascii="Tahoma" w:hAnsi="Tahoma" w:cs="Tahoma"/>
          <w:sz w:val="17"/>
          <w:szCs w:val="17"/>
          <w:rtl/>
        </w:rPr>
        <w:t xml:space="preserve">בשנים 2013 </w:t>
      </w:r>
      <w:r w:rsidRPr="00E556CD">
        <w:rPr>
          <w:rFonts w:ascii="Tahoma" w:hAnsi="Tahoma" w:cs="Tahoma" w:hint="cs"/>
          <w:sz w:val="17"/>
          <w:szCs w:val="17"/>
          <w:rtl/>
        </w:rPr>
        <w:t>ו</w:t>
      </w:r>
      <w:r w:rsidRPr="00E556CD">
        <w:rPr>
          <w:rFonts w:ascii="Tahoma" w:hAnsi="Tahoma" w:cs="Tahoma"/>
          <w:sz w:val="17"/>
          <w:szCs w:val="17"/>
          <w:rtl/>
        </w:rPr>
        <w:t xml:space="preserve">-2014 </w:t>
      </w:r>
      <w:r w:rsidRPr="00E556CD">
        <w:rPr>
          <w:rFonts w:ascii="Tahoma" w:hAnsi="Tahoma" w:cs="Tahoma" w:hint="cs"/>
          <w:sz w:val="17"/>
          <w:szCs w:val="17"/>
          <w:rtl/>
        </w:rPr>
        <w:t>הסתכם תקציב התקנה "פיתוח בתי עלמין", על שינוייו, בסך 21.5 מיליון ש"ח ו-20 מיליון ש"ח, בהתאמה; אולם</w:t>
      </w:r>
      <w:r w:rsidRPr="00E556CD">
        <w:rPr>
          <w:rFonts w:ascii="Tahoma" w:hAnsi="Tahoma" w:cs="Tahoma"/>
          <w:sz w:val="17"/>
          <w:szCs w:val="17"/>
          <w:rtl/>
        </w:rPr>
        <w:t xml:space="preserve"> </w:t>
      </w:r>
      <w:r w:rsidRPr="00E556CD">
        <w:rPr>
          <w:rFonts w:ascii="Tahoma" w:hAnsi="Tahoma" w:cs="Tahoma" w:hint="cs"/>
          <w:sz w:val="17"/>
          <w:szCs w:val="17"/>
          <w:rtl/>
        </w:rPr>
        <w:t>המשרד</w:t>
      </w:r>
      <w:r w:rsidRPr="00E556CD">
        <w:rPr>
          <w:rFonts w:ascii="Tahoma" w:hAnsi="Tahoma" w:cs="Tahoma"/>
          <w:sz w:val="17"/>
          <w:szCs w:val="17"/>
          <w:rtl/>
        </w:rPr>
        <w:t xml:space="preserve"> </w:t>
      </w:r>
      <w:r w:rsidRPr="00E556CD">
        <w:rPr>
          <w:rFonts w:ascii="Tahoma" w:hAnsi="Tahoma" w:cs="Tahoma" w:hint="cs"/>
          <w:sz w:val="17"/>
          <w:szCs w:val="17"/>
          <w:rtl/>
        </w:rPr>
        <w:t>לשירותי</w:t>
      </w:r>
      <w:r w:rsidRPr="00E556CD">
        <w:rPr>
          <w:rFonts w:ascii="Tahoma" w:hAnsi="Tahoma" w:cs="Tahoma"/>
          <w:sz w:val="17"/>
          <w:szCs w:val="17"/>
          <w:rtl/>
        </w:rPr>
        <w:t xml:space="preserve"> </w:t>
      </w:r>
      <w:r w:rsidRPr="00E556CD">
        <w:rPr>
          <w:rFonts w:ascii="Tahoma" w:hAnsi="Tahoma" w:cs="Tahoma" w:hint="cs"/>
          <w:sz w:val="17"/>
          <w:szCs w:val="17"/>
          <w:rtl/>
        </w:rPr>
        <w:t>דת</w:t>
      </w:r>
      <w:r w:rsidRPr="00E556CD">
        <w:rPr>
          <w:rFonts w:ascii="Tahoma" w:hAnsi="Tahoma" w:cs="Tahoma"/>
          <w:sz w:val="17"/>
          <w:szCs w:val="17"/>
          <w:rtl/>
        </w:rPr>
        <w:t xml:space="preserve"> </w:t>
      </w:r>
      <w:r w:rsidRPr="00E556CD">
        <w:rPr>
          <w:rFonts w:ascii="Tahoma" w:hAnsi="Tahoma" w:cs="Tahoma" w:hint="cs"/>
          <w:sz w:val="17"/>
          <w:szCs w:val="17"/>
          <w:rtl/>
        </w:rPr>
        <w:t>העניק</w:t>
      </w:r>
      <w:r w:rsidRPr="00E556CD">
        <w:rPr>
          <w:rFonts w:ascii="Tahoma" w:hAnsi="Tahoma" w:cs="Tahoma"/>
          <w:sz w:val="17"/>
          <w:szCs w:val="17"/>
          <w:rtl/>
        </w:rPr>
        <w:t xml:space="preserve"> </w:t>
      </w:r>
      <w:r w:rsidRPr="00E556CD">
        <w:rPr>
          <w:rFonts w:ascii="Tahoma" w:hAnsi="Tahoma" w:cs="Tahoma" w:hint="cs"/>
          <w:sz w:val="17"/>
          <w:szCs w:val="17"/>
          <w:rtl/>
        </w:rPr>
        <w:t>מכוח תקנה</w:t>
      </w:r>
      <w:r w:rsidRPr="00E556CD">
        <w:rPr>
          <w:rFonts w:ascii="Tahoma" w:hAnsi="Tahoma" w:cs="Tahoma"/>
          <w:sz w:val="17"/>
          <w:szCs w:val="17"/>
          <w:rtl/>
        </w:rPr>
        <w:t xml:space="preserve"> זו </w:t>
      </w:r>
      <w:r w:rsidRPr="00E556CD">
        <w:rPr>
          <w:rFonts w:ascii="Tahoma" w:hAnsi="Tahoma" w:cs="Tahoma" w:hint="cs"/>
          <w:sz w:val="17"/>
          <w:szCs w:val="17"/>
          <w:rtl/>
        </w:rPr>
        <w:t>לארבע מועצות דתיות</w:t>
      </w:r>
      <w:r w:rsidRPr="00E556CD">
        <w:rPr>
          <w:rFonts w:ascii="Tahoma" w:hAnsi="Tahoma" w:cs="Tahoma"/>
          <w:sz w:val="17"/>
          <w:szCs w:val="17"/>
          <w:rtl/>
        </w:rPr>
        <w:t xml:space="preserve"> </w:t>
      </w:r>
      <w:r w:rsidRPr="00E556CD">
        <w:rPr>
          <w:rFonts w:ascii="Tahoma" w:hAnsi="Tahoma" w:cs="Tahoma" w:hint="cs"/>
          <w:sz w:val="17"/>
          <w:szCs w:val="17"/>
          <w:rtl/>
        </w:rPr>
        <w:t xml:space="preserve">תמיכה </w:t>
      </w:r>
      <w:r w:rsidRPr="00E556CD">
        <w:rPr>
          <w:rFonts w:ascii="Tahoma" w:hAnsi="Tahoma" w:cs="Tahoma"/>
          <w:sz w:val="17"/>
          <w:szCs w:val="17"/>
          <w:rtl/>
        </w:rPr>
        <w:t xml:space="preserve">בסך 715,000 </w:t>
      </w:r>
      <w:r w:rsidRPr="00E556CD">
        <w:rPr>
          <w:rFonts w:ascii="Tahoma" w:hAnsi="Tahoma" w:cs="Tahoma" w:hint="cs"/>
          <w:sz w:val="17"/>
          <w:szCs w:val="17"/>
          <w:rtl/>
        </w:rPr>
        <w:t>ש</w:t>
      </w:r>
      <w:r w:rsidRPr="00E556CD">
        <w:rPr>
          <w:rFonts w:ascii="Tahoma" w:hAnsi="Tahoma" w:cs="Tahoma"/>
          <w:sz w:val="17"/>
          <w:szCs w:val="17"/>
          <w:rtl/>
        </w:rPr>
        <w:t xml:space="preserve">"ח </w:t>
      </w:r>
      <w:r w:rsidRPr="00E556CD">
        <w:rPr>
          <w:rFonts w:ascii="Tahoma" w:hAnsi="Tahoma" w:cs="Tahoma" w:hint="cs"/>
          <w:sz w:val="17"/>
          <w:szCs w:val="17"/>
          <w:rtl/>
        </w:rPr>
        <w:t>ו-</w:t>
      </w:r>
      <w:r w:rsidRPr="00E556CD">
        <w:rPr>
          <w:rFonts w:ascii="Tahoma" w:hAnsi="Tahoma" w:cs="Tahoma"/>
          <w:sz w:val="17"/>
          <w:szCs w:val="17"/>
          <w:rtl/>
        </w:rPr>
        <w:t xml:space="preserve">733,000 </w:t>
      </w:r>
      <w:r w:rsidRPr="00E556CD">
        <w:rPr>
          <w:rFonts w:ascii="Tahoma" w:hAnsi="Tahoma" w:cs="Tahoma" w:hint="cs"/>
          <w:sz w:val="17"/>
          <w:szCs w:val="17"/>
          <w:rtl/>
        </w:rPr>
        <w:t>ש</w:t>
      </w:r>
      <w:r w:rsidRPr="00E556CD">
        <w:rPr>
          <w:rFonts w:ascii="Tahoma" w:hAnsi="Tahoma" w:cs="Tahoma"/>
          <w:sz w:val="17"/>
          <w:szCs w:val="17"/>
          <w:rtl/>
        </w:rPr>
        <w:t xml:space="preserve">"ח </w:t>
      </w:r>
      <w:r w:rsidRPr="00E556CD">
        <w:rPr>
          <w:rFonts w:ascii="Tahoma" w:hAnsi="Tahoma" w:cs="Tahoma" w:hint="cs"/>
          <w:sz w:val="17"/>
          <w:szCs w:val="17"/>
          <w:rtl/>
        </w:rPr>
        <w:t>באותן השנים, ששיעורן היה 3.3% ו-3.6% מהתקציב על שינוייו, בהתאמה.</w:t>
      </w:r>
      <w:r w:rsidRPr="00E556CD">
        <w:rPr>
          <w:rFonts w:ascii="Tahoma" w:hAnsi="Tahoma" w:cs="Tahoma"/>
          <w:sz w:val="17"/>
          <w:szCs w:val="17"/>
          <w:rtl/>
        </w:rPr>
        <w:t xml:space="preserve"> </w:t>
      </w:r>
      <w:r w:rsidRPr="00E556CD">
        <w:rPr>
          <w:rFonts w:ascii="Tahoma" w:hAnsi="Tahoma" w:cs="Tahoma" w:hint="cs"/>
          <w:sz w:val="17"/>
          <w:szCs w:val="17"/>
          <w:rtl/>
        </w:rPr>
        <w:t>בשנת</w:t>
      </w:r>
      <w:r w:rsidRPr="00E556CD">
        <w:rPr>
          <w:rFonts w:ascii="Tahoma" w:hAnsi="Tahoma" w:cs="Tahoma"/>
          <w:sz w:val="17"/>
          <w:szCs w:val="17"/>
          <w:rtl/>
        </w:rPr>
        <w:t xml:space="preserve"> 2015 </w:t>
      </w:r>
      <w:r w:rsidRPr="00E556CD">
        <w:rPr>
          <w:rFonts w:ascii="Tahoma" w:hAnsi="Tahoma" w:cs="Tahoma" w:hint="cs"/>
          <w:sz w:val="17"/>
          <w:szCs w:val="17"/>
          <w:rtl/>
        </w:rPr>
        <w:t>הפסיק</w:t>
      </w:r>
      <w:r w:rsidRPr="00E556CD">
        <w:rPr>
          <w:rFonts w:ascii="Tahoma" w:hAnsi="Tahoma" w:cs="Tahoma"/>
          <w:sz w:val="17"/>
          <w:szCs w:val="17"/>
          <w:rtl/>
        </w:rPr>
        <w:t xml:space="preserve"> </w:t>
      </w:r>
      <w:r w:rsidRPr="00E556CD">
        <w:rPr>
          <w:rFonts w:ascii="Tahoma" w:hAnsi="Tahoma" w:cs="Tahoma" w:hint="cs"/>
          <w:sz w:val="17"/>
          <w:szCs w:val="17"/>
          <w:rtl/>
        </w:rPr>
        <w:t>המשרד</w:t>
      </w:r>
      <w:r w:rsidRPr="00E556CD">
        <w:rPr>
          <w:rFonts w:ascii="Tahoma" w:hAnsi="Tahoma" w:cs="Tahoma"/>
          <w:sz w:val="17"/>
          <w:szCs w:val="17"/>
          <w:rtl/>
        </w:rPr>
        <w:t xml:space="preserve"> </w:t>
      </w:r>
      <w:r w:rsidRPr="00E556CD">
        <w:rPr>
          <w:rFonts w:ascii="Tahoma" w:hAnsi="Tahoma" w:cs="Tahoma" w:hint="cs"/>
          <w:sz w:val="17"/>
          <w:szCs w:val="17"/>
          <w:rtl/>
        </w:rPr>
        <w:t>את</w:t>
      </w:r>
      <w:r w:rsidRPr="00E556CD">
        <w:rPr>
          <w:rFonts w:ascii="Tahoma" w:hAnsi="Tahoma" w:cs="Tahoma"/>
          <w:sz w:val="17"/>
          <w:szCs w:val="17"/>
          <w:rtl/>
        </w:rPr>
        <w:t xml:space="preserve"> </w:t>
      </w:r>
      <w:r w:rsidRPr="00E556CD">
        <w:rPr>
          <w:rFonts w:ascii="Tahoma" w:hAnsi="Tahoma" w:cs="Tahoma" w:hint="cs"/>
          <w:sz w:val="17"/>
          <w:szCs w:val="17"/>
          <w:rtl/>
        </w:rPr>
        <w:t>הסיוע</w:t>
      </w:r>
      <w:r w:rsidRPr="00E556CD">
        <w:rPr>
          <w:rFonts w:ascii="Tahoma" w:hAnsi="Tahoma" w:cs="Tahoma"/>
          <w:sz w:val="17"/>
          <w:szCs w:val="17"/>
          <w:rtl/>
        </w:rPr>
        <w:t xml:space="preserve"> </w:t>
      </w:r>
      <w:r w:rsidRPr="00E556CD">
        <w:rPr>
          <w:rFonts w:ascii="Tahoma" w:hAnsi="Tahoma" w:cs="Tahoma" w:hint="cs"/>
          <w:sz w:val="17"/>
          <w:szCs w:val="17"/>
          <w:rtl/>
        </w:rPr>
        <w:t>מתקנה</w:t>
      </w:r>
      <w:r w:rsidRPr="00E556CD">
        <w:rPr>
          <w:rFonts w:ascii="Tahoma" w:hAnsi="Tahoma" w:cs="Tahoma"/>
          <w:sz w:val="17"/>
          <w:szCs w:val="17"/>
          <w:rtl/>
        </w:rPr>
        <w:t xml:space="preserve"> </w:t>
      </w:r>
      <w:r w:rsidRPr="00E556CD">
        <w:rPr>
          <w:rFonts w:ascii="Tahoma" w:hAnsi="Tahoma" w:cs="Tahoma" w:hint="cs"/>
          <w:sz w:val="17"/>
          <w:szCs w:val="17"/>
          <w:rtl/>
        </w:rPr>
        <w:t>זו</w:t>
      </w:r>
      <w:r w:rsidRPr="00E556CD">
        <w:rPr>
          <w:rFonts w:ascii="Tahoma" w:hAnsi="Tahoma" w:cs="Tahoma"/>
          <w:sz w:val="17"/>
          <w:szCs w:val="17"/>
          <w:rtl/>
        </w:rPr>
        <w:t xml:space="preserve"> </w:t>
      </w:r>
      <w:r w:rsidRPr="00E556CD">
        <w:rPr>
          <w:rFonts w:ascii="Tahoma" w:hAnsi="Tahoma" w:cs="Tahoma" w:hint="cs"/>
          <w:sz w:val="17"/>
          <w:szCs w:val="17"/>
          <w:rtl/>
        </w:rPr>
        <w:t>בטענה</w:t>
      </w:r>
      <w:r w:rsidRPr="00E556CD">
        <w:rPr>
          <w:rFonts w:ascii="Tahoma" w:hAnsi="Tahoma" w:cs="Tahoma"/>
          <w:sz w:val="17"/>
          <w:szCs w:val="17"/>
          <w:rtl/>
        </w:rPr>
        <w:t xml:space="preserve"> כי הקריטריונים לחלוקת הסיוע נמצאים ב</w:t>
      </w:r>
      <w:r w:rsidRPr="00E556CD">
        <w:rPr>
          <w:rFonts w:ascii="Tahoma" w:hAnsi="Tahoma" w:cs="Tahoma" w:hint="cs"/>
          <w:sz w:val="17"/>
          <w:szCs w:val="17"/>
          <w:rtl/>
        </w:rPr>
        <w:t>עיצומם</w:t>
      </w:r>
      <w:r w:rsidRPr="00E556CD">
        <w:rPr>
          <w:rFonts w:ascii="Tahoma" w:hAnsi="Tahoma" w:cs="Tahoma"/>
          <w:sz w:val="17"/>
          <w:szCs w:val="17"/>
          <w:rtl/>
        </w:rPr>
        <w:t xml:space="preserve"> של </w:t>
      </w:r>
      <w:r w:rsidRPr="00E556CD">
        <w:rPr>
          <w:rFonts w:ascii="Tahoma" w:hAnsi="Tahoma" w:cs="Tahoma" w:hint="cs"/>
          <w:sz w:val="17"/>
          <w:szCs w:val="17"/>
          <w:rtl/>
        </w:rPr>
        <w:t>תהליכי בדיקה</w:t>
      </w:r>
      <w:r w:rsidRPr="00E556CD">
        <w:rPr>
          <w:rFonts w:ascii="Tahoma" w:hAnsi="Tahoma" w:cs="Tahoma"/>
          <w:sz w:val="17"/>
          <w:szCs w:val="17"/>
          <w:rtl/>
        </w:rPr>
        <w:t xml:space="preserve"> </w:t>
      </w:r>
      <w:r w:rsidRPr="00E556CD">
        <w:rPr>
          <w:rFonts w:ascii="Tahoma" w:hAnsi="Tahoma" w:cs="Tahoma" w:hint="cs"/>
          <w:sz w:val="17"/>
          <w:szCs w:val="17"/>
          <w:rtl/>
        </w:rPr>
        <w:t>ואישור</w:t>
      </w:r>
      <w:r w:rsidRPr="00E556CD">
        <w:rPr>
          <w:rFonts w:ascii="Tahoma" w:hAnsi="Tahoma" w:cs="Tahoma"/>
          <w:sz w:val="17"/>
          <w:szCs w:val="17"/>
          <w:rtl/>
        </w:rPr>
        <w:t xml:space="preserve"> </w:t>
      </w:r>
      <w:r w:rsidRPr="00E556CD">
        <w:rPr>
          <w:rFonts w:ascii="Tahoma" w:hAnsi="Tahoma" w:cs="Tahoma" w:hint="cs"/>
          <w:sz w:val="17"/>
          <w:szCs w:val="17"/>
          <w:rtl/>
        </w:rPr>
        <w:t>במשרד</w:t>
      </w:r>
      <w:r w:rsidRPr="00E556CD">
        <w:rPr>
          <w:rFonts w:ascii="Tahoma" w:hAnsi="Tahoma" w:cs="Tahoma"/>
          <w:sz w:val="17"/>
          <w:szCs w:val="17"/>
          <w:rtl/>
        </w:rPr>
        <w:t xml:space="preserve"> </w:t>
      </w:r>
      <w:r w:rsidRPr="00E556CD">
        <w:rPr>
          <w:rFonts w:ascii="Tahoma" w:hAnsi="Tahoma" w:cs="Tahoma" w:hint="cs"/>
          <w:sz w:val="17"/>
          <w:szCs w:val="17"/>
          <w:rtl/>
        </w:rPr>
        <w:t>המשפטים</w:t>
      </w:r>
      <w:r w:rsidRPr="00E556CD">
        <w:rPr>
          <w:rFonts w:ascii="Tahoma" w:hAnsi="Tahoma" w:cs="Tahoma"/>
          <w:sz w:val="17"/>
          <w:szCs w:val="17"/>
          <w:rtl/>
        </w:rPr>
        <w:t>.</w:t>
      </w:r>
    </w:p>
    <w:p w:rsidR="00EF45C8" w:rsidRPr="00E556CD" w:rsidP="00E556CD">
      <w:pPr>
        <w:spacing w:line="240" w:lineRule="exact"/>
        <w:ind w:right="2268"/>
        <w:jc w:val="both"/>
        <w:rPr>
          <w:rFonts w:ascii="Tahoma" w:hAnsi="Tahoma" w:cs="Tahoma"/>
          <w:sz w:val="17"/>
          <w:szCs w:val="17"/>
          <w:rtl/>
        </w:rPr>
      </w:pPr>
      <w:r w:rsidRPr="00E556CD">
        <w:rPr>
          <w:rFonts w:ascii="Tahoma" w:hAnsi="Tahoma" w:cs="Tahoma" w:hint="cs"/>
          <w:sz w:val="17"/>
          <w:szCs w:val="17"/>
          <w:rtl/>
        </w:rPr>
        <w:t>בתשובתו מסר משרד המשפטים כי תיקון מבחני התמיכה, העומד על הפרק, אינו שולל את האפשרות להמשיך לממן את פיתוח הקבורה האזרחית באמצעות תקצוב המועצות הדתיות או באמצעות תמיכה במוסדות ציבור לפי המבחנים הקיימים, וכי הפסקת התמיכה בשנת 2015 לא בוצעה בהנחיית משרד המשפטים.</w:t>
      </w:r>
    </w:p>
    <w:p w:rsidR="00EF45C8" w:rsidRPr="00E556CD" w:rsidP="00BF070A">
      <w:pPr>
        <w:spacing w:after="240" w:line="240" w:lineRule="exact"/>
        <w:ind w:right="2268"/>
        <w:jc w:val="both"/>
        <w:rPr>
          <w:rFonts w:ascii="Tahoma" w:hAnsi="Tahoma" w:cs="Tahoma"/>
          <w:sz w:val="17"/>
          <w:szCs w:val="17"/>
          <w:rtl/>
        </w:rPr>
      </w:pPr>
      <w:r w:rsidRPr="00E556CD">
        <w:rPr>
          <w:rFonts w:ascii="Tahoma" w:hAnsi="Tahoma" w:cs="Tahoma" w:hint="cs"/>
          <w:sz w:val="17"/>
          <w:szCs w:val="17"/>
          <w:rtl/>
        </w:rPr>
        <w:t>המשרד לשירותי דת מסר כי הוא זיהה חסמים המקשים על תאגידי הקבורה האזרחית לנצל את התקציבים שהוקצו להם, ובעקבות כך קידם את שינוי הקריטריונים שאם משרדי האוצר והמשפטים יאשרו אותם, הם יותאמו לתיקון הליקויים שהועלו בדוח מבקר המדינה אשר נוגעים למקורות המימון וההון העצמי הדל של תאגידי קבורה חדשים. המשרד לשירותי דת ציין כי הוא פנה למשרד האוצר בבקשה לתת עדיפות לתאגידי קבורה אזרחיים בקביעת מבחני תמיכה, אולם בקשתו נדחתה.</w:t>
      </w:r>
    </w:p>
    <w:p w:rsidR="00EF45C8" w:rsidRPr="00E556CD" w:rsidP="00BF070A">
      <w:pPr>
        <w:pStyle w:val="RESHET"/>
        <w:rPr>
          <w:strike/>
          <w:rtl/>
        </w:rPr>
      </w:pPr>
      <w:r w:rsidRPr="00E556CD">
        <w:rPr>
          <w:rFonts w:hint="cs"/>
          <w:rtl/>
        </w:rPr>
        <w:t>שיעורו הקטן של ביצוע התקציבים, הפסקת הסיוע מתקנת פיתוח בתי עלמין, העשייה הדלה בכל הנוגע לניסיון למלא את הביקוש למקומות קבורה אזרחית, והמחסור המסתמן במקומות לקבורה אזרחית - כל אלה מעידים על מתן עדיפות נמוכה ליישום בפועל של הקבורה האזרחית; והדבר עלול לגרום לפגיעה בזכות הציבור המבקש לממש את זכותו לקבורה זו.</w:t>
      </w:r>
    </w:p>
    <w:p w:rsidR="00EF45C8" w:rsidRPr="00E556CD" w:rsidP="00BF070A">
      <w:pPr>
        <w:spacing w:before="180" w:line="240" w:lineRule="exact"/>
        <w:ind w:right="2268"/>
        <w:jc w:val="both"/>
        <w:rPr>
          <w:rFonts w:ascii="Tahoma" w:hAnsi="Tahoma" w:cs="Tahoma"/>
          <w:sz w:val="17"/>
          <w:szCs w:val="17"/>
          <w:rtl/>
        </w:rPr>
      </w:pPr>
      <w:r w:rsidRPr="00E556CD">
        <w:rPr>
          <w:rFonts w:ascii="Tahoma" w:hAnsi="Tahoma" w:cs="Tahoma" w:hint="cs"/>
          <w:sz w:val="17"/>
          <w:szCs w:val="17"/>
          <w:rtl/>
        </w:rPr>
        <w:t>המשרד לשירותי דת ואגף התקציבים במשרד האוצר מסרו בתגובותיהם כי לאחרונה גיבשו שני המשרדים האמורים מתווה לתקצוב ייעודי של כ-10 מיליון ש"ח לקבורה האזרחית לשנים 2017 ו-2018, וסכום זה אמור לשמש כהון ראשוני להקמה ולפיתוח של בתי עלמין באזורים שבהם הדבר מתאפשר.</w:t>
      </w:r>
    </w:p>
    <w:p w:rsidR="00EF45C8" w:rsidRPr="00E556CD" w:rsidP="00E556CD">
      <w:pPr>
        <w:spacing w:line="240" w:lineRule="exact"/>
        <w:ind w:right="2268"/>
        <w:jc w:val="both"/>
        <w:rPr>
          <w:rFonts w:ascii="Tahoma" w:hAnsi="Tahoma" w:cs="Tahoma"/>
          <w:sz w:val="17"/>
          <w:szCs w:val="17"/>
          <w:rtl/>
        </w:rPr>
      </w:pPr>
    </w:p>
    <w:p w:rsidR="00EF45C8" w:rsidRPr="00897F3D" w:rsidP="006B7001">
      <w:pPr>
        <w:pStyle w:val="KOT4"/>
        <w:rPr>
          <w:rtl/>
        </w:rPr>
      </w:pPr>
      <w:r w:rsidRPr="00897F3D">
        <w:rPr>
          <w:rFonts w:hint="cs"/>
          <w:rtl/>
        </w:rPr>
        <w:t>פעולות המשרד להקמת בתי עלמין אזרחיים ופיתוחם</w:t>
      </w:r>
    </w:p>
    <w:p w:rsidR="00EF45C8" w:rsidRPr="00E556CD" w:rsidP="00BF070A">
      <w:pPr>
        <w:pStyle w:val="ListParagraph"/>
        <w:numPr>
          <w:ilvl w:val="0"/>
          <w:numId w:val="7"/>
        </w:numPr>
        <w:autoSpaceDE/>
        <w:autoSpaceDN/>
        <w:adjustRightInd/>
        <w:spacing w:line="240" w:lineRule="exact"/>
        <w:ind w:left="340" w:right="2268" w:hanging="340"/>
        <w:contextualSpacing/>
        <w:rPr>
          <w:sz w:val="17"/>
          <w:szCs w:val="17"/>
          <w:rtl/>
        </w:rPr>
      </w:pPr>
      <w:r w:rsidRPr="00E556CD">
        <w:rPr>
          <w:rFonts w:hint="cs"/>
          <w:sz w:val="17"/>
          <w:szCs w:val="17"/>
          <w:rtl/>
        </w:rPr>
        <w:t>בסמוך</w:t>
      </w:r>
      <w:r w:rsidRPr="00E556CD">
        <w:rPr>
          <w:sz w:val="17"/>
          <w:szCs w:val="17"/>
          <w:rtl/>
        </w:rPr>
        <w:t xml:space="preserve"> ל</w:t>
      </w:r>
      <w:r w:rsidRPr="00E556CD">
        <w:rPr>
          <w:rFonts w:hint="cs"/>
          <w:sz w:val="17"/>
          <w:szCs w:val="17"/>
          <w:rtl/>
        </w:rPr>
        <w:t xml:space="preserve">מועד </w:t>
      </w:r>
      <w:r w:rsidRPr="00E556CD">
        <w:rPr>
          <w:sz w:val="17"/>
          <w:szCs w:val="17"/>
          <w:rtl/>
        </w:rPr>
        <w:t>חקיקת חוק הזכות לקבורה אזרחית חלופית, התשנ"ו-1996</w:t>
      </w:r>
      <w:r w:rsidRPr="00E556CD">
        <w:rPr>
          <w:rFonts w:hint="cs"/>
          <w:sz w:val="17"/>
          <w:szCs w:val="17"/>
          <w:rtl/>
        </w:rPr>
        <w:t>,</w:t>
      </w:r>
      <w:r w:rsidRPr="00E556CD">
        <w:rPr>
          <w:sz w:val="17"/>
          <w:szCs w:val="17"/>
          <w:rtl/>
        </w:rPr>
        <w:t xml:space="preserve"> </w:t>
      </w:r>
      <w:r w:rsidRPr="00E556CD">
        <w:rPr>
          <w:rFonts w:hint="cs"/>
          <w:sz w:val="17"/>
          <w:szCs w:val="17"/>
          <w:rtl/>
        </w:rPr>
        <w:t>קיבל</w:t>
      </w:r>
      <w:r w:rsidRPr="00E556CD">
        <w:rPr>
          <w:sz w:val="17"/>
          <w:szCs w:val="17"/>
          <w:rtl/>
        </w:rPr>
        <w:t xml:space="preserve"> השר לשירותי דת</w:t>
      </w:r>
      <w:r w:rsidRPr="00E556CD">
        <w:rPr>
          <w:rFonts w:hint="cs"/>
          <w:sz w:val="17"/>
          <w:szCs w:val="17"/>
          <w:rtl/>
        </w:rPr>
        <w:t xml:space="preserve"> דאז</w:t>
      </w:r>
      <w:r w:rsidRPr="00E556CD">
        <w:rPr>
          <w:sz w:val="17"/>
          <w:szCs w:val="17"/>
          <w:rtl/>
        </w:rPr>
        <w:t xml:space="preserve"> החלטה </w:t>
      </w:r>
      <w:r w:rsidRPr="00E556CD">
        <w:rPr>
          <w:sz w:val="17"/>
          <w:szCs w:val="17"/>
          <w:rtl/>
        </w:rPr>
        <w:t>מ</w:t>
      </w:r>
      <w:r w:rsidRPr="00E556CD">
        <w:rPr>
          <w:rFonts w:hint="cs"/>
          <w:sz w:val="17"/>
          <w:szCs w:val="17"/>
          <w:rtl/>
        </w:rPr>
        <w:t>י</w:t>
      </w:r>
      <w:r w:rsidRPr="00E556CD">
        <w:rPr>
          <w:sz w:val="17"/>
          <w:szCs w:val="17"/>
          <w:rtl/>
        </w:rPr>
        <w:t>נהלית</w:t>
      </w:r>
      <w:r w:rsidRPr="00E556CD">
        <w:rPr>
          <w:sz w:val="17"/>
          <w:szCs w:val="17"/>
          <w:rtl/>
        </w:rPr>
        <w:t xml:space="preserve"> </w:t>
      </w:r>
      <w:r w:rsidRPr="00E556CD">
        <w:rPr>
          <w:rFonts w:hint="cs"/>
          <w:sz w:val="17"/>
          <w:szCs w:val="17"/>
          <w:rtl/>
        </w:rPr>
        <w:t xml:space="preserve">ולפיה יוקמו </w:t>
      </w:r>
      <w:r w:rsidRPr="00E556CD">
        <w:rPr>
          <w:sz w:val="17"/>
          <w:szCs w:val="17"/>
          <w:rtl/>
        </w:rPr>
        <w:t>ארבעה בתי</w:t>
      </w:r>
      <w:r w:rsidRPr="00E556CD">
        <w:rPr>
          <w:rFonts w:hint="cs"/>
          <w:sz w:val="17"/>
          <w:szCs w:val="17"/>
          <w:rtl/>
        </w:rPr>
        <w:t xml:space="preserve"> </w:t>
      </w:r>
      <w:r w:rsidRPr="00E556CD">
        <w:rPr>
          <w:sz w:val="17"/>
          <w:szCs w:val="17"/>
          <w:rtl/>
        </w:rPr>
        <w:t>עלמין לקבורה אזרחית: בבאר</w:t>
      </w:r>
      <w:r w:rsidRPr="00E556CD">
        <w:rPr>
          <w:rFonts w:hint="cs"/>
          <w:sz w:val="17"/>
          <w:szCs w:val="17"/>
          <w:rtl/>
        </w:rPr>
        <w:t xml:space="preserve"> </w:t>
      </w:r>
      <w:r w:rsidRPr="00E556CD">
        <w:rPr>
          <w:sz w:val="17"/>
          <w:szCs w:val="17"/>
          <w:rtl/>
        </w:rPr>
        <w:t>שבע עבור אזור הדרום, בירושלים עבור ירושלים וסביבתה, בתל</w:t>
      </w:r>
      <w:r w:rsidRPr="00E556CD">
        <w:rPr>
          <w:rFonts w:hint="cs"/>
          <w:sz w:val="17"/>
          <w:szCs w:val="17"/>
          <w:rtl/>
        </w:rPr>
        <w:t xml:space="preserve"> </w:t>
      </w:r>
      <w:r w:rsidRPr="00E556CD">
        <w:rPr>
          <w:sz w:val="17"/>
          <w:szCs w:val="17"/>
          <w:rtl/>
        </w:rPr>
        <w:t>רגב עבור אזור הצפון, ובפתח תקווה עבור אזור תל אביב.</w:t>
      </w:r>
    </w:p>
    <w:p w:rsidR="00EF45C8" w:rsidRPr="00E556CD" w:rsidP="00BF070A">
      <w:pPr>
        <w:spacing w:after="240" w:line="240" w:lineRule="exact"/>
        <w:ind w:left="340" w:right="2268"/>
        <w:jc w:val="both"/>
        <w:rPr>
          <w:rFonts w:ascii="Tahoma" w:hAnsi="Tahoma" w:cs="Tahoma"/>
          <w:sz w:val="17"/>
          <w:szCs w:val="17"/>
          <w:rtl/>
        </w:rPr>
      </w:pPr>
      <w:r w:rsidRPr="00E556CD">
        <w:rPr>
          <w:rFonts w:ascii="Tahoma" w:hAnsi="Tahoma" w:cs="Tahoma" w:hint="cs"/>
          <w:sz w:val="17"/>
          <w:szCs w:val="17"/>
          <w:rtl/>
        </w:rPr>
        <w:t>בהחלטת ממשלה 2914 מפברואר 2001 נקבע כי "המדינה תממן את המשך פיתוח בתי העלמין לקבורה אזרחית חלופית ברחבי הארץ בהתאם לצרכים ולתקציב שיוגדרו על ידי השר [לשירותי דת] ושר האוצר".</w:t>
      </w:r>
    </w:p>
    <w:p w:rsidR="00EF45C8" w:rsidRPr="00E556CD" w:rsidP="00BF070A">
      <w:pPr>
        <w:pStyle w:val="RESHET"/>
        <w:ind w:left="567"/>
        <w:rPr>
          <w:rtl/>
        </w:rPr>
      </w:pPr>
      <w:r w:rsidRPr="00E556CD">
        <w:rPr>
          <w:rtl/>
        </w:rPr>
        <w:t xml:space="preserve">המדינה מימנה </w:t>
      </w:r>
      <w:r w:rsidRPr="00E556CD">
        <w:rPr>
          <w:rFonts w:hint="cs"/>
          <w:rtl/>
        </w:rPr>
        <w:t>בשנת 1998 את הקמת בית העלמין האזרחי הראשון של תאגיד קבורה ב</w:t>
      </w:r>
      <w:r w:rsidRPr="00E556CD">
        <w:rPr>
          <w:rtl/>
        </w:rPr>
        <w:t>באר שבע</w:t>
      </w:r>
      <w:r w:rsidRPr="00E556CD">
        <w:rPr>
          <w:rFonts w:hint="cs"/>
          <w:rtl/>
        </w:rPr>
        <w:t>,</w:t>
      </w:r>
      <w:r w:rsidRPr="00E556CD">
        <w:rPr>
          <w:rtl/>
        </w:rPr>
        <w:t xml:space="preserve"> בסכום של 2.3 מיליון </w:t>
      </w:r>
      <w:r w:rsidRPr="00E556CD">
        <w:rPr>
          <w:rFonts w:hint="cs"/>
          <w:rtl/>
        </w:rPr>
        <w:t>ש"ח,</w:t>
      </w:r>
      <w:r w:rsidRPr="00E556CD">
        <w:rPr>
          <w:rtl/>
        </w:rPr>
        <w:t xml:space="preserve"> </w:t>
      </w:r>
      <w:r w:rsidRPr="00E556CD">
        <w:rPr>
          <w:rFonts w:hint="cs"/>
          <w:rtl/>
        </w:rPr>
        <w:t>אולם</w:t>
      </w:r>
      <w:r w:rsidRPr="00E556CD">
        <w:rPr>
          <w:rtl/>
        </w:rPr>
        <w:t xml:space="preserve"> </w:t>
      </w:r>
      <w:r w:rsidRPr="00E556CD">
        <w:rPr>
          <w:rFonts w:hint="cs"/>
          <w:rtl/>
        </w:rPr>
        <w:t xml:space="preserve">החלטת השר להקים </w:t>
      </w:r>
      <w:r w:rsidRPr="00E556CD">
        <w:rPr>
          <w:rtl/>
        </w:rPr>
        <w:t>שלוש</w:t>
      </w:r>
      <w:r w:rsidRPr="00E556CD">
        <w:rPr>
          <w:rFonts w:hint="cs"/>
          <w:rtl/>
        </w:rPr>
        <w:t>ה</w:t>
      </w:r>
      <w:r w:rsidRPr="00E556CD">
        <w:rPr>
          <w:rtl/>
        </w:rPr>
        <w:t xml:space="preserve"> בתי עלמין נוספים </w:t>
      </w:r>
      <w:r w:rsidRPr="00E556CD">
        <w:rPr>
          <w:rFonts w:hint="cs"/>
          <w:rtl/>
        </w:rPr>
        <w:t>לא יושמה.</w:t>
      </w:r>
      <w:r w:rsidRPr="00E556CD">
        <w:rPr>
          <w:rtl/>
        </w:rPr>
        <w:t xml:space="preserve"> </w:t>
      </w:r>
      <w:r w:rsidRPr="00E556CD">
        <w:rPr>
          <w:rFonts w:hint="cs"/>
          <w:rtl/>
        </w:rPr>
        <w:t xml:space="preserve">מכאן שבמועד סיום הביקורת, </w:t>
      </w:r>
      <w:r w:rsidRPr="00E556CD">
        <w:rPr>
          <w:rtl/>
        </w:rPr>
        <w:t>כשני עשורים</w:t>
      </w:r>
      <w:r w:rsidRPr="00E556CD">
        <w:rPr>
          <w:rFonts w:hint="cs"/>
          <w:rtl/>
        </w:rPr>
        <w:t xml:space="preserve"> לאחר שמימנה הממשלה את הקמת בית העלמין האמור,</w:t>
      </w:r>
      <w:r w:rsidRPr="00E556CD">
        <w:rPr>
          <w:rtl/>
        </w:rPr>
        <w:t xml:space="preserve"> </w:t>
      </w:r>
      <w:r w:rsidRPr="00E556CD">
        <w:rPr>
          <w:rFonts w:hint="cs"/>
          <w:rtl/>
        </w:rPr>
        <w:t xml:space="preserve">עדיין </w:t>
      </w:r>
      <w:r w:rsidRPr="00E556CD">
        <w:rPr>
          <w:rtl/>
        </w:rPr>
        <w:t>לא הוקם ולו בית עלמין אזרחי אחד</w:t>
      </w:r>
      <w:r w:rsidRPr="00E556CD">
        <w:rPr>
          <w:rFonts w:hint="cs"/>
          <w:rtl/>
        </w:rPr>
        <w:t xml:space="preserve"> נוסף</w:t>
      </w:r>
      <w:r w:rsidRPr="00E556CD">
        <w:rPr>
          <w:rtl/>
        </w:rPr>
        <w:t xml:space="preserve"> במימון ממשלתי, כמפורט בהמשך.</w:t>
      </w:r>
      <w:r w:rsidRPr="004F4CFF" w:rsidR="004F4CFF">
        <w:rPr>
          <w:noProof/>
          <w:rtl/>
        </w:rPr>
        <w:t xml:space="preserve"> </w:t>
      </w:r>
      <w:r w:rsidRPr="0012789B" w:rsidR="004F4CFF">
        <w:rPr>
          <w:noProof/>
          <w:rtl/>
          <w:lang w:eastAsia="en-US"/>
        </w:rPr>
        <mc:AlternateContent>
          <mc:Choice Requires="wps">
            <w:drawing>
              <wp:anchor distT="0" distB="0" distL="114300" distR="114300" simplePos="0" relativeHeight="251666432" behindDoc="1" locked="0" layoutInCell="1" allowOverlap="1">
                <wp:simplePos x="0" y="0"/>
                <wp:positionH relativeFrom="margin">
                  <wp:posOffset>-431800</wp:posOffset>
                </wp:positionH>
                <wp:positionV relativeFrom="margin">
                  <wp:align>top</wp:align>
                </wp:positionV>
                <wp:extent cx="1620000" cy="4140000"/>
                <wp:effectExtent l="0" t="0" r="0" b="0"/>
                <wp:wrapNone/>
                <wp:docPr id="16"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4F4CFF" w:rsidRPr="00373C5D" w:rsidP="004F4CFF">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9409463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367993" name="QUT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4F4CFF" w:rsidRPr="00881D99" w:rsidP="004F4CFF">
                            <w:pPr>
                              <w:spacing w:after="0" w:line="240" w:lineRule="auto"/>
                              <w:rPr>
                                <w:color w:val="0B5294"/>
                                <w:spacing w:val="-4"/>
                                <w:sz w:val="24"/>
                                <w:szCs w:val="24"/>
                                <w:rtl/>
                                <w:cs/>
                              </w:rPr>
                            </w:pPr>
                            <w:r w:rsidRPr="004F4CFF">
                              <w:rPr>
                                <w:rFonts w:cs="Tahoma" w:hint="eastAsia"/>
                                <w:color w:val="0B5294"/>
                                <w:spacing w:val="-4"/>
                                <w:sz w:val="24"/>
                                <w:szCs w:val="24"/>
                                <w:rtl/>
                              </w:rPr>
                              <w:t>החלטת</w:t>
                            </w:r>
                            <w:r w:rsidRPr="004F4CFF">
                              <w:rPr>
                                <w:rFonts w:cs="Tahoma"/>
                                <w:color w:val="0B5294"/>
                                <w:spacing w:val="-4"/>
                                <w:sz w:val="24"/>
                                <w:szCs w:val="24"/>
                                <w:rtl/>
                              </w:rPr>
                              <w:t xml:space="preserve"> </w:t>
                            </w:r>
                            <w:r w:rsidRPr="004F4CFF">
                              <w:rPr>
                                <w:rFonts w:cs="Tahoma" w:hint="eastAsia"/>
                                <w:color w:val="0B5294"/>
                                <w:spacing w:val="-4"/>
                                <w:sz w:val="24"/>
                                <w:szCs w:val="24"/>
                                <w:rtl/>
                              </w:rPr>
                              <w:t>השר</w:t>
                            </w:r>
                            <w:r w:rsidRPr="004F4CFF">
                              <w:rPr>
                                <w:rFonts w:cs="Tahoma"/>
                                <w:color w:val="0B5294"/>
                                <w:spacing w:val="-4"/>
                                <w:sz w:val="24"/>
                                <w:szCs w:val="24"/>
                                <w:rtl/>
                              </w:rPr>
                              <w:t xml:space="preserve"> </w:t>
                            </w:r>
                            <w:r w:rsidRPr="004F4CFF">
                              <w:rPr>
                                <w:rFonts w:cs="Tahoma" w:hint="eastAsia"/>
                                <w:color w:val="0B5294"/>
                                <w:spacing w:val="-4"/>
                                <w:sz w:val="24"/>
                                <w:szCs w:val="24"/>
                                <w:rtl/>
                              </w:rPr>
                              <w:t>להקים</w:t>
                            </w:r>
                            <w:r w:rsidRPr="004F4CFF">
                              <w:rPr>
                                <w:rFonts w:cs="Tahoma"/>
                                <w:color w:val="0B5294"/>
                                <w:spacing w:val="-4"/>
                                <w:sz w:val="24"/>
                                <w:szCs w:val="24"/>
                                <w:rtl/>
                              </w:rPr>
                              <w:t xml:space="preserve"> </w:t>
                            </w:r>
                            <w:r w:rsidRPr="004F4CFF">
                              <w:rPr>
                                <w:rFonts w:cs="Tahoma" w:hint="eastAsia"/>
                                <w:color w:val="0B5294"/>
                                <w:spacing w:val="-4"/>
                                <w:sz w:val="24"/>
                                <w:szCs w:val="24"/>
                                <w:rtl/>
                              </w:rPr>
                              <w:t>שלושה</w:t>
                            </w:r>
                            <w:r w:rsidRPr="004F4CFF">
                              <w:rPr>
                                <w:rFonts w:cs="Tahoma"/>
                                <w:color w:val="0B5294"/>
                                <w:spacing w:val="-4"/>
                                <w:sz w:val="24"/>
                                <w:szCs w:val="24"/>
                                <w:rtl/>
                              </w:rPr>
                              <w:t xml:space="preserve"> </w:t>
                            </w:r>
                            <w:r w:rsidRPr="004F4CFF">
                              <w:rPr>
                                <w:rFonts w:cs="Tahoma" w:hint="eastAsia"/>
                                <w:color w:val="0B5294"/>
                                <w:spacing w:val="-4"/>
                                <w:sz w:val="24"/>
                                <w:szCs w:val="24"/>
                                <w:rtl/>
                              </w:rPr>
                              <w:t>בתי</w:t>
                            </w:r>
                            <w:r w:rsidRPr="004F4CFF">
                              <w:rPr>
                                <w:rFonts w:cs="Tahoma"/>
                                <w:color w:val="0B5294"/>
                                <w:spacing w:val="-4"/>
                                <w:sz w:val="24"/>
                                <w:szCs w:val="24"/>
                                <w:rtl/>
                              </w:rPr>
                              <w:t xml:space="preserve"> </w:t>
                            </w:r>
                            <w:r w:rsidRPr="004F4CFF">
                              <w:rPr>
                                <w:rFonts w:cs="Tahoma" w:hint="eastAsia"/>
                                <w:color w:val="0B5294"/>
                                <w:spacing w:val="-4"/>
                                <w:sz w:val="24"/>
                                <w:szCs w:val="24"/>
                                <w:rtl/>
                              </w:rPr>
                              <w:t>עלמין</w:t>
                            </w:r>
                            <w:r w:rsidRPr="004F4CFF">
                              <w:rPr>
                                <w:rFonts w:cs="Tahoma"/>
                                <w:color w:val="0B5294"/>
                                <w:spacing w:val="-4"/>
                                <w:sz w:val="24"/>
                                <w:szCs w:val="24"/>
                                <w:rtl/>
                              </w:rPr>
                              <w:t xml:space="preserve"> </w:t>
                            </w:r>
                            <w:r w:rsidRPr="004F4CFF">
                              <w:rPr>
                                <w:rFonts w:cs="Tahoma" w:hint="eastAsia"/>
                                <w:color w:val="0B5294"/>
                                <w:spacing w:val="-4"/>
                                <w:sz w:val="24"/>
                                <w:szCs w:val="24"/>
                                <w:rtl/>
                              </w:rPr>
                              <w:t>נוספים</w:t>
                            </w:r>
                            <w:r w:rsidRPr="004F4CFF">
                              <w:rPr>
                                <w:rFonts w:cs="Tahoma"/>
                                <w:color w:val="0B5294"/>
                                <w:spacing w:val="-4"/>
                                <w:sz w:val="24"/>
                                <w:szCs w:val="24"/>
                                <w:rtl/>
                              </w:rPr>
                              <w:t xml:space="preserve"> </w:t>
                            </w:r>
                            <w:r w:rsidRPr="004F4CFF">
                              <w:rPr>
                                <w:rFonts w:cs="Tahoma" w:hint="eastAsia"/>
                                <w:color w:val="0B5294"/>
                                <w:spacing w:val="-4"/>
                                <w:sz w:val="24"/>
                                <w:szCs w:val="24"/>
                                <w:rtl/>
                              </w:rPr>
                              <w:t>לא</w:t>
                            </w:r>
                            <w:r w:rsidRPr="004F4CFF">
                              <w:rPr>
                                <w:rFonts w:cs="Tahoma"/>
                                <w:color w:val="0B5294"/>
                                <w:spacing w:val="-4"/>
                                <w:sz w:val="24"/>
                                <w:szCs w:val="24"/>
                                <w:rtl/>
                              </w:rPr>
                              <w:t xml:space="preserve"> </w:t>
                            </w:r>
                            <w:r w:rsidRPr="004F4CFF">
                              <w:rPr>
                                <w:rFonts w:cs="Tahoma" w:hint="eastAsia"/>
                                <w:color w:val="0B5294"/>
                                <w:spacing w:val="-4"/>
                                <w:sz w:val="24"/>
                                <w:szCs w:val="24"/>
                                <w:rtl/>
                              </w:rPr>
                              <w:t>יושמה</w:t>
                            </w:r>
                          </w:p>
                          <w:p w:rsidR="004F4CFF" w:rsidRPr="00373C5D" w:rsidP="004F4CFF">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204227794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78850" name="lin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29"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9024" filled="f" stroked="f">
                <v:textbox>
                  <w:txbxContent>
                    <w:p w:rsidR="004F4CFF" w:rsidRPr="00373C5D" w:rsidP="004F4CFF">
                      <w:pPr>
                        <w:spacing w:line="240" w:lineRule="atLeast"/>
                        <w:rPr>
                          <w:rFonts w:cs="Tahoma"/>
                          <w:b/>
                          <w:bCs/>
                          <w:color w:val="0B5294"/>
                          <w:sz w:val="48"/>
                          <w:szCs w:val="48"/>
                          <w:rtl/>
                        </w:rPr>
                      </w:pPr>
                      <w:drawing>
                        <wp:inline distT="0" distB="0" distL="0" distR="0">
                          <wp:extent cx="311150" cy="256800"/>
                          <wp:effectExtent l="0" t="0" r="0" b="0"/>
                          <wp:docPr id="1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80501" name="QUT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4F4CFF" w:rsidRPr="00881D99" w:rsidP="004F4CFF">
                      <w:pPr>
                        <w:spacing w:after="0" w:line="240" w:lineRule="auto"/>
                        <w:rPr>
                          <w:color w:val="0B5294"/>
                          <w:spacing w:val="-4"/>
                          <w:sz w:val="24"/>
                          <w:szCs w:val="24"/>
                          <w:rtl/>
                          <w:cs/>
                        </w:rPr>
                      </w:pPr>
                      <w:r w:rsidRPr="004F4CFF">
                        <w:rPr>
                          <w:rFonts w:cs="Tahoma" w:hint="eastAsia"/>
                          <w:color w:val="0B5294"/>
                          <w:spacing w:val="-4"/>
                          <w:sz w:val="24"/>
                          <w:szCs w:val="24"/>
                          <w:rtl/>
                        </w:rPr>
                        <w:t>החלטת</w:t>
                      </w:r>
                      <w:r w:rsidRPr="004F4CFF">
                        <w:rPr>
                          <w:rFonts w:cs="Tahoma"/>
                          <w:color w:val="0B5294"/>
                          <w:spacing w:val="-4"/>
                          <w:sz w:val="24"/>
                          <w:szCs w:val="24"/>
                          <w:rtl/>
                        </w:rPr>
                        <w:t xml:space="preserve"> </w:t>
                      </w:r>
                      <w:r w:rsidRPr="004F4CFF">
                        <w:rPr>
                          <w:rFonts w:cs="Tahoma" w:hint="eastAsia"/>
                          <w:color w:val="0B5294"/>
                          <w:spacing w:val="-4"/>
                          <w:sz w:val="24"/>
                          <w:szCs w:val="24"/>
                          <w:rtl/>
                        </w:rPr>
                        <w:t>השר</w:t>
                      </w:r>
                      <w:r w:rsidRPr="004F4CFF">
                        <w:rPr>
                          <w:rFonts w:cs="Tahoma"/>
                          <w:color w:val="0B5294"/>
                          <w:spacing w:val="-4"/>
                          <w:sz w:val="24"/>
                          <w:szCs w:val="24"/>
                          <w:rtl/>
                        </w:rPr>
                        <w:t xml:space="preserve"> </w:t>
                      </w:r>
                      <w:r w:rsidRPr="004F4CFF">
                        <w:rPr>
                          <w:rFonts w:cs="Tahoma" w:hint="eastAsia"/>
                          <w:color w:val="0B5294"/>
                          <w:spacing w:val="-4"/>
                          <w:sz w:val="24"/>
                          <w:szCs w:val="24"/>
                          <w:rtl/>
                        </w:rPr>
                        <w:t>להקים</w:t>
                      </w:r>
                      <w:r w:rsidRPr="004F4CFF">
                        <w:rPr>
                          <w:rFonts w:cs="Tahoma"/>
                          <w:color w:val="0B5294"/>
                          <w:spacing w:val="-4"/>
                          <w:sz w:val="24"/>
                          <w:szCs w:val="24"/>
                          <w:rtl/>
                        </w:rPr>
                        <w:t xml:space="preserve"> </w:t>
                      </w:r>
                      <w:r w:rsidRPr="004F4CFF">
                        <w:rPr>
                          <w:rFonts w:cs="Tahoma" w:hint="eastAsia"/>
                          <w:color w:val="0B5294"/>
                          <w:spacing w:val="-4"/>
                          <w:sz w:val="24"/>
                          <w:szCs w:val="24"/>
                          <w:rtl/>
                        </w:rPr>
                        <w:t>שלושה</w:t>
                      </w:r>
                      <w:r w:rsidRPr="004F4CFF">
                        <w:rPr>
                          <w:rFonts w:cs="Tahoma"/>
                          <w:color w:val="0B5294"/>
                          <w:spacing w:val="-4"/>
                          <w:sz w:val="24"/>
                          <w:szCs w:val="24"/>
                          <w:rtl/>
                        </w:rPr>
                        <w:t xml:space="preserve"> </w:t>
                      </w:r>
                      <w:r w:rsidRPr="004F4CFF">
                        <w:rPr>
                          <w:rFonts w:cs="Tahoma" w:hint="eastAsia"/>
                          <w:color w:val="0B5294"/>
                          <w:spacing w:val="-4"/>
                          <w:sz w:val="24"/>
                          <w:szCs w:val="24"/>
                          <w:rtl/>
                        </w:rPr>
                        <w:t>בתי</w:t>
                      </w:r>
                      <w:r w:rsidRPr="004F4CFF">
                        <w:rPr>
                          <w:rFonts w:cs="Tahoma"/>
                          <w:color w:val="0B5294"/>
                          <w:spacing w:val="-4"/>
                          <w:sz w:val="24"/>
                          <w:szCs w:val="24"/>
                          <w:rtl/>
                        </w:rPr>
                        <w:t xml:space="preserve"> </w:t>
                      </w:r>
                      <w:r w:rsidRPr="004F4CFF">
                        <w:rPr>
                          <w:rFonts w:cs="Tahoma" w:hint="eastAsia"/>
                          <w:color w:val="0B5294"/>
                          <w:spacing w:val="-4"/>
                          <w:sz w:val="24"/>
                          <w:szCs w:val="24"/>
                          <w:rtl/>
                        </w:rPr>
                        <w:t>עלמין</w:t>
                      </w:r>
                      <w:r w:rsidRPr="004F4CFF">
                        <w:rPr>
                          <w:rFonts w:cs="Tahoma"/>
                          <w:color w:val="0B5294"/>
                          <w:spacing w:val="-4"/>
                          <w:sz w:val="24"/>
                          <w:szCs w:val="24"/>
                          <w:rtl/>
                        </w:rPr>
                        <w:t xml:space="preserve"> </w:t>
                      </w:r>
                      <w:r w:rsidRPr="004F4CFF">
                        <w:rPr>
                          <w:rFonts w:cs="Tahoma" w:hint="eastAsia"/>
                          <w:color w:val="0B5294"/>
                          <w:spacing w:val="-4"/>
                          <w:sz w:val="24"/>
                          <w:szCs w:val="24"/>
                          <w:rtl/>
                        </w:rPr>
                        <w:t>נוספים</w:t>
                      </w:r>
                      <w:r w:rsidRPr="004F4CFF">
                        <w:rPr>
                          <w:rFonts w:cs="Tahoma"/>
                          <w:color w:val="0B5294"/>
                          <w:spacing w:val="-4"/>
                          <w:sz w:val="24"/>
                          <w:szCs w:val="24"/>
                          <w:rtl/>
                        </w:rPr>
                        <w:t xml:space="preserve"> </w:t>
                      </w:r>
                      <w:r w:rsidRPr="004F4CFF">
                        <w:rPr>
                          <w:rFonts w:cs="Tahoma" w:hint="eastAsia"/>
                          <w:color w:val="0B5294"/>
                          <w:spacing w:val="-4"/>
                          <w:sz w:val="24"/>
                          <w:szCs w:val="24"/>
                          <w:rtl/>
                        </w:rPr>
                        <w:t>לא</w:t>
                      </w:r>
                      <w:r w:rsidRPr="004F4CFF">
                        <w:rPr>
                          <w:rFonts w:cs="Tahoma"/>
                          <w:color w:val="0B5294"/>
                          <w:spacing w:val="-4"/>
                          <w:sz w:val="24"/>
                          <w:szCs w:val="24"/>
                          <w:rtl/>
                        </w:rPr>
                        <w:t xml:space="preserve"> </w:t>
                      </w:r>
                      <w:r w:rsidRPr="004F4CFF">
                        <w:rPr>
                          <w:rFonts w:cs="Tahoma" w:hint="eastAsia"/>
                          <w:color w:val="0B5294"/>
                          <w:spacing w:val="-4"/>
                          <w:sz w:val="24"/>
                          <w:szCs w:val="24"/>
                          <w:rtl/>
                        </w:rPr>
                        <w:t>יושמה</w:t>
                      </w:r>
                    </w:p>
                    <w:p w:rsidR="004F4CFF" w:rsidRPr="00373C5D" w:rsidP="004F4CFF">
                      <w:pPr>
                        <w:spacing w:before="120" w:after="0" w:line="240" w:lineRule="atLeast"/>
                        <w:rPr>
                          <w:rFonts w:cs="Tahoma"/>
                          <w:b/>
                          <w:bCs/>
                          <w:color w:val="0B5294"/>
                          <w:sz w:val="48"/>
                          <w:szCs w:val="48"/>
                          <w:rtl/>
                        </w:rPr>
                      </w:pPr>
                      <w:drawing>
                        <wp:inline distT="0" distB="0" distL="0" distR="0">
                          <wp:extent cx="288000" cy="31337"/>
                          <wp:effectExtent l="0" t="0" r="0" b="6985"/>
                          <wp:docPr id="1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529694" name="line.png"/>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EF45C8" w:rsidRPr="00E556CD" w:rsidP="00BF070A">
      <w:pPr>
        <w:pStyle w:val="ListParagraph"/>
        <w:numPr>
          <w:ilvl w:val="0"/>
          <w:numId w:val="7"/>
        </w:numPr>
        <w:autoSpaceDE/>
        <w:autoSpaceDN/>
        <w:adjustRightInd/>
        <w:spacing w:before="180" w:line="240" w:lineRule="exact"/>
        <w:ind w:left="340" w:right="2268" w:hanging="340"/>
        <w:contextualSpacing/>
        <w:rPr>
          <w:b/>
          <w:bCs/>
          <w:sz w:val="17"/>
          <w:szCs w:val="17"/>
        </w:rPr>
      </w:pPr>
      <w:r w:rsidRPr="00E556CD">
        <w:rPr>
          <w:rFonts w:hint="cs"/>
          <w:sz w:val="17"/>
          <w:szCs w:val="17"/>
          <w:rtl/>
        </w:rPr>
        <w:t>מהמסמכים עלה כי חברות</w:t>
      </w:r>
      <w:r w:rsidRPr="00E556CD">
        <w:rPr>
          <w:sz w:val="17"/>
          <w:szCs w:val="17"/>
          <w:rtl/>
        </w:rPr>
        <w:t xml:space="preserve"> קבורה ותיק</w:t>
      </w:r>
      <w:r w:rsidRPr="00E556CD">
        <w:rPr>
          <w:rFonts w:hint="cs"/>
          <w:sz w:val="17"/>
          <w:szCs w:val="17"/>
          <w:rtl/>
        </w:rPr>
        <w:t>ות</w:t>
      </w:r>
      <w:r w:rsidRPr="00E556CD">
        <w:rPr>
          <w:sz w:val="17"/>
          <w:szCs w:val="17"/>
          <w:rtl/>
        </w:rPr>
        <w:t xml:space="preserve"> (חברות קדישא, מועצות דתיות ורשויות מקומיות) צברו </w:t>
      </w:r>
      <w:r w:rsidRPr="00E556CD">
        <w:rPr>
          <w:rFonts w:hint="cs"/>
          <w:sz w:val="17"/>
          <w:szCs w:val="17"/>
          <w:rtl/>
        </w:rPr>
        <w:t>במשך</w:t>
      </w:r>
      <w:r w:rsidRPr="00E556CD">
        <w:rPr>
          <w:sz w:val="17"/>
          <w:szCs w:val="17"/>
          <w:rtl/>
        </w:rPr>
        <w:t xml:space="preserve"> עשרות שנות פעילות</w:t>
      </w:r>
      <w:r w:rsidRPr="00E556CD">
        <w:rPr>
          <w:rFonts w:hint="cs"/>
          <w:sz w:val="17"/>
          <w:szCs w:val="17"/>
          <w:rtl/>
        </w:rPr>
        <w:t>ן</w:t>
      </w:r>
      <w:r w:rsidRPr="00E556CD">
        <w:rPr>
          <w:sz w:val="17"/>
          <w:szCs w:val="17"/>
          <w:rtl/>
        </w:rPr>
        <w:t xml:space="preserve"> משאבים כספיים ניכרים, המאפשרים להם לממן ממקורותיהם את הקמת בתי העלמין ופיתוחם, </w:t>
      </w:r>
      <w:r w:rsidRPr="00E556CD">
        <w:rPr>
          <w:rFonts w:hint="cs"/>
          <w:sz w:val="17"/>
          <w:szCs w:val="17"/>
          <w:rtl/>
        </w:rPr>
        <w:t xml:space="preserve">ואילו תאגידי </w:t>
      </w:r>
      <w:r w:rsidRPr="00E556CD">
        <w:rPr>
          <w:sz w:val="17"/>
          <w:szCs w:val="17"/>
          <w:rtl/>
        </w:rPr>
        <w:t xml:space="preserve">קבורה שעוסקים בקבורה אזרחית, </w:t>
      </w:r>
      <w:r w:rsidRPr="00E556CD">
        <w:rPr>
          <w:rFonts w:hint="cs"/>
          <w:sz w:val="17"/>
          <w:szCs w:val="17"/>
          <w:rtl/>
        </w:rPr>
        <w:t>ש</w:t>
      </w:r>
      <w:r w:rsidRPr="00E556CD">
        <w:rPr>
          <w:sz w:val="17"/>
          <w:szCs w:val="17"/>
          <w:rtl/>
        </w:rPr>
        <w:t xml:space="preserve">הם גופי קבורה חדשים </w:t>
      </w:r>
      <w:r w:rsidRPr="00E556CD">
        <w:rPr>
          <w:rFonts w:hint="cs"/>
          <w:sz w:val="17"/>
          <w:szCs w:val="17"/>
          <w:rtl/>
        </w:rPr>
        <w:t xml:space="preserve">ובעלי הון עצמי דל, מתקשים </w:t>
      </w:r>
      <w:r w:rsidRPr="00E556CD">
        <w:rPr>
          <w:sz w:val="17"/>
          <w:szCs w:val="17"/>
          <w:rtl/>
        </w:rPr>
        <w:t>לממן</w:t>
      </w:r>
      <w:r w:rsidRPr="00E556CD">
        <w:rPr>
          <w:rFonts w:hint="cs"/>
          <w:sz w:val="17"/>
          <w:szCs w:val="17"/>
          <w:rtl/>
        </w:rPr>
        <w:t xml:space="preserve"> ממקורותיהם</w:t>
      </w:r>
      <w:r w:rsidRPr="00E556CD">
        <w:rPr>
          <w:sz w:val="17"/>
          <w:szCs w:val="17"/>
          <w:rtl/>
        </w:rPr>
        <w:t xml:space="preserve"> הקמה ופיתוח </w:t>
      </w:r>
      <w:r w:rsidRPr="00E556CD">
        <w:rPr>
          <w:rFonts w:hint="cs"/>
          <w:sz w:val="17"/>
          <w:szCs w:val="17"/>
          <w:rtl/>
        </w:rPr>
        <w:t xml:space="preserve">של </w:t>
      </w:r>
      <w:r w:rsidRPr="00E556CD">
        <w:rPr>
          <w:sz w:val="17"/>
          <w:szCs w:val="17"/>
          <w:rtl/>
        </w:rPr>
        <w:t>בתי עלמין אזרחיים</w:t>
      </w:r>
      <w:r w:rsidRPr="00E556CD">
        <w:rPr>
          <w:rFonts w:hint="cs"/>
          <w:sz w:val="17"/>
          <w:szCs w:val="17"/>
          <w:rtl/>
        </w:rPr>
        <w:t>, ונוסף על כך אין בבעלותם</w:t>
      </w:r>
      <w:r w:rsidRPr="00E556CD">
        <w:rPr>
          <w:sz w:val="17"/>
          <w:szCs w:val="17"/>
          <w:rtl/>
        </w:rPr>
        <w:t xml:space="preserve"> נכסים שיוכלו להציע כבטוחות לצורך קבלת </w:t>
      </w:r>
      <w:r w:rsidRPr="00E556CD">
        <w:rPr>
          <w:rFonts w:hint="cs"/>
          <w:sz w:val="17"/>
          <w:szCs w:val="17"/>
          <w:rtl/>
        </w:rPr>
        <w:t>אשראי כ</w:t>
      </w:r>
      <w:r w:rsidRPr="00E556CD">
        <w:rPr>
          <w:sz w:val="17"/>
          <w:szCs w:val="17"/>
          <w:rtl/>
        </w:rPr>
        <w:t>מימון ביניים ממוסד פיננסי</w:t>
      </w:r>
      <w:r w:rsidRPr="00E556CD">
        <w:rPr>
          <w:rFonts w:hint="cs"/>
          <w:sz w:val="17"/>
          <w:szCs w:val="17"/>
          <w:rtl/>
        </w:rPr>
        <w:t>.</w:t>
      </w:r>
    </w:p>
    <w:p w:rsidR="00EF45C8" w:rsidRPr="00E556CD" w:rsidP="007E3D48">
      <w:pPr>
        <w:spacing w:line="240" w:lineRule="exact"/>
        <w:ind w:left="340" w:right="2268"/>
        <w:jc w:val="both"/>
        <w:rPr>
          <w:rFonts w:ascii="Tahoma" w:hAnsi="Tahoma" w:cs="Tahoma"/>
          <w:sz w:val="17"/>
          <w:szCs w:val="17"/>
          <w:rtl/>
        </w:rPr>
      </w:pPr>
      <w:r w:rsidRPr="00E556CD">
        <w:rPr>
          <w:rFonts w:ascii="Tahoma" w:hAnsi="Tahoma" w:cs="Tahoma" w:hint="cs"/>
          <w:sz w:val="17"/>
          <w:szCs w:val="17"/>
          <w:rtl/>
        </w:rPr>
        <w:t>המשרד לשירותי דת עמד על קושי זה של גופי קבורה אזרחית ועל כן, במסגרת עבודת המטה של הצוות הבין-משרדי, הוא פנה לאגף התקציבים בספטמבר 2014 והציג לו אומדן של עלות הקמת בתי עלמין אזרחיים ברחבי הארץ, ולצד זה - הערכת היקף התמיכה בעמותות הקבורה האזרחית. על פי אומדן זה, לכל אחת מהשנים 2018-2015 נדרש סכום של 25 מיליון ש"ח שאותו יש להקצות לגופי הקבורה שיעמדו בתבחינים, אם כתמיכה ואם כהלוואה ארוכת טווח. אולם בפועל עבודת המטה והפנייה לאגף התקציבים לא הניבו כל שינוי, ותקציב הקבורה האזרחית לשנים אלה נשאר אפסי כפי שהיה.</w:t>
      </w:r>
    </w:p>
    <w:p w:rsidR="00EF45C8" w:rsidRPr="00E556CD" w:rsidP="007E3D48">
      <w:pPr>
        <w:spacing w:line="240" w:lineRule="exact"/>
        <w:ind w:left="340" w:right="2268"/>
        <w:jc w:val="both"/>
        <w:rPr>
          <w:rFonts w:ascii="Tahoma" w:hAnsi="Tahoma" w:cs="Tahoma"/>
          <w:sz w:val="17"/>
          <w:szCs w:val="17"/>
          <w:rtl/>
        </w:rPr>
      </w:pPr>
      <w:r w:rsidRPr="00E556CD">
        <w:rPr>
          <w:rFonts w:ascii="Tahoma" w:hAnsi="Tahoma" w:cs="Tahoma" w:hint="cs"/>
          <w:sz w:val="17"/>
          <w:szCs w:val="17"/>
          <w:rtl/>
        </w:rPr>
        <w:t>בתשובתו למשרד מבקר המדינה ציין אגף התקציבים במשרד האוצר כי הפנייה האמורה לא הוגשה לו במסגרת הבקשות לסיכומים תקציביים, ובפועל כאשר עמדה לפני המשרד לשירותי דת האפשרות להגדלה תקציבית, הוא העדיף לתקצב צרכים אחרים, שאותם הציב בראש סדר העדיפויות שלו. עוד ציין כי במסגרת הערותיו לדוח הצוות הבין-משרדי נציגיו הציעו לבחון את האפשרות לתמוך בהקמת בתי עלמין אזרחיים באמצעות מתן הלוואה שתשמש הון ראשוני לביצוע פיתוח תשתיות, תוך מתן עדיפות לגופים שיקצו שטח לקבורה אזרחית אזורית.</w:t>
      </w:r>
    </w:p>
    <w:p w:rsidR="00EF45C8" w:rsidRPr="00E556CD" w:rsidP="00BF070A">
      <w:pPr>
        <w:pStyle w:val="ListParagraph"/>
        <w:numPr>
          <w:ilvl w:val="0"/>
          <w:numId w:val="7"/>
        </w:numPr>
        <w:autoSpaceDE/>
        <w:autoSpaceDN/>
        <w:adjustRightInd/>
        <w:spacing w:line="240" w:lineRule="exact"/>
        <w:ind w:left="340" w:right="2268" w:hanging="340"/>
        <w:contextualSpacing/>
        <w:rPr>
          <w:b/>
          <w:bCs/>
          <w:sz w:val="17"/>
          <w:szCs w:val="17"/>
          <w:rtl/>
        </w:rPr>
      </w:pPr>
      <w:r w:rsidRPr="00E556CD">
        <w:rPr>
          <w:rFonts w:hint="cs"/>
          <w:sz w:val="17"/>
          <w:szCs w:val="17"/>
          <w:rtl/>
        </w:rPr>
        <w:t>להלן דוגמאות לקשיים שבהם נתקלים גופי הקבורה האזרחית במסגרת ההקמה והפיתוח של בתי עלמין שהוקצתה להם קרקע להקמתם:</w:t>
      </w:r>
    </w:p>
    <w:p w:rsidR="00EF45C8" w:rsidRPr="00E556CD" w:rsidP="007E3D48">
      <w:pPr>
        <w:spacing w:line="240" w:lineRule="exact"/>
        <w:ind w:left="340" w:right="2268"/>
        <w:jc w:val="both"/>
        <w:rPr>
          <w:rFonts w:ascii="Tahoma" w:hAnsi="Tahoma" w:cs="Tahoma"/>
          <w:b/>
          <w:sz w:val="17"/>
          <w:szCs w:val="17"/>
          <w:rtl/>
        </w:rPr>
      </w:pPr>
      <w:r w:rsidRPr="00E556CD">
        <w:rPr>
          <w:rStyle w:val="Heading7Char"/>
          <w:rFonts w:ascii="Tahoma" w:hAnsi="Tahoma" w:cs="Tahoma" w:hint="eastAsia"/>
          <w:sz w:val="17"/>
          <w:szCs w:val="17"/>
          <w:rtl/>
        </w:rPr>
        <w:t>בית</w:t>
      </w:r>
      <w:r w:rsidRPr="00E556CD">
        <w:rPr>
          <w:rStyle w:val="Heading7Char"/>
          <w:rFonts w:ascii="Tahoma" w:hAnsi="Tahoma" w:cs="Tahoma"/>
          <w:sz w:val="17"/>
          <w:szCs w:val="17"/>
          <w:rtl/>
        </w:rPr>
        <w:t xml:space="preserve"> </w:t>
      </w:r>
      <w:r w:rsidRPr="00E556CD">
        <w:rPr>
          <w:rStyle w:val="Heading7Char"/>
          <w:rFonts w:ascii="Tahoma" w:hAnsi="Tahoma" w:cs="Tahoma" w:hint="eastAsia"/>
          <w:sz w:val="17"/>
          <w:szCs w:val="17"/>
          <w:rtl/>
        </w:rPr>
        <w:t>עלמין</w:t>
      </w:r>
      <w:r w:rsidRPr="00E556CD">
        <w:rPr>
          <w:rStyle w:val="Heading7Char"/>
          <w:rFonts w:ascii="Tahoma" w:hAnsi="Tahoma" w:cs="Tahoma"/>
          <w:sz w:val="17"/>
          <w:szCs w:val="17"/>
          <w:rtl/>
        </w:rPr>
        <w:t xml:space="preserve"> </w:t>
      </w:r>
      <w:r w:rsidRPr="00E556CD">
        <w:rPr>
          <w:rStyle w:val="Heading7Char"/>
          <w:rFonts w:ascii="Tahoma" w:hAnsi="Tahoma" w:cs="Tahoma" w:hint="eastAsia"/>
          <w:sz w:val="17"/>
          <w:szCs w:val="17"/>
          <w:rtl/>
        </w:rPr>
        <w:t>אזרחי</w:t>
      </w:r>
      <w:r w:rsidRPr="00E556CD">
        <w:rPr>
          <w:rStyle w:val="Heading7Char"/>
          <w:rFonts w:ascii="Tahoma" w:hAnsi="Tahoma" w:cs="Tahoma"/>
          <w:sz w:val="17"/>
          <w:szCs w:val="17"/>
          <w:rtl/>
        </w:rPr>
        <w:t xml:space="preserve"> </w:t>
      </w:r>
      <w:r w:rsidRPr="00E556CD">
        <w:rPr>
          <w:rStyle w:val="Heading7Char"/>
          <w:rFonts w:ascii="Tahoma" w:hAnsi="Tahoma" w:cs="Tahoma" w:hint="eastAsia"/>
          <w:sz w:val="17"/>
          <w:szCs w:val="17"/>
          <w:rtl/>
        </w:rPr>
        <w:t>בהר</w:t>
      </w:r>
      <w:r w:rsidRPr="00E556CD">
        <w:rPr>
          <w:rStyle w:val="Heading7Char"/>
          <w:rFonts w:ascii="Tahoma" w:hAnsi="Tahoma" w:cs="Tahoma"/>
          <w:sz w:val="17"/>
          <w:szCs w:val="17"/>
          <w:rtl/>
        </w:rPr>
        <w:t xml:space="preserve"> </w:t>
      </w:r>
      <w:r w:rsidRPr="00E556CD">
        <w:rPr>
          <w:rStyle w:val="Heading7Char"/>
          <w:rFonts w:ascii="Tahoma" w:hAnsi="Tahoma" w:cs="Tahoma" w:hint="eastAsia"/>
          <w:sz w:val="17"/>
          <w:szCs w:val="17"/>
          <w:rtl/>
        </w:rPr>
        <w:t>המנוחות</w:t>
      </w:r>
      <w:r w:rsidRPr="00E556CD">
        <w:rPr>
          <w:rStyle w:val="Heading7Char"/>
          <w:rFonts w:ascii="Tahoma" w:hAnsi="Tahoma" w:cs="Tahoma"/>
          <w:sz w:val="17"/>
          <w:szCs w:val="17"/>
          <w:rtl/>
        </w:rPr>
        <w:t xml:space="preserve"> -</w:t>
      </w:r>
      <w:r w:rsidR="004F4CFF">
        <w:rPr>
          <w:rStyle w:val="Heading7Char"/>
          <w:rFonts w:ascii="Tahoma" w:hAnsi="Tahoma" w:cs="Tahoma" w:hint="cs"/>
          <w:sz w:val="17"/>
          <w:szCs w:val="17"/>
          <w:rtl/>
        </w:rPr>
        <w:t xml:space="preserve"> </w:t>
      </w:r>
      <w:r w:rsidRPr="00E556CD">
        <w:rPr>
          <w:rStyle w:val="Heading7Char"/>
          <w:rFonts w:ascii="Tahoma" w:hAnsi="Tahoma" w:cs="Tahoma" w:hint="eastAsia"/>
          <w:sz w:val="17"/>
          <w:szCs w:val="17"/>
          <w:rtl/>
        </w:rPr>
        <w:t>ירושלים</w:t>
      </w:r>
      <w:r w:rsidRPr="00E556CD">
        <w:rPr>
          <w:rStyle w:val="Heading7Char"/>
          <w:rFonts w:ascii="Tahoma" w:hAnsi="Tahoma" w:cs="Tahoma"/>
          <w:sz w:val="17"/>
          <w:szCs w:val="17"/>
          <w:rtl/>
        </w:rPr>
        <w:t>:</w:t>
      </w:r>
      <w:r w:rsidRPr="00E556CD">
        <w:rPr>
          <w:rFonts w:ascii="Tahoma" w:hAnsi="Tahoma" w:cs="Tahoma"/>
          <w:b/>
          <w:sz w:val="17"/>
          <w:szCs w:val="17"/>
          <w:rtl/>
        </w:rPr>
        <w:t xml:space="preserve"> בשנת 2011 הקצתה </w:t>
      </w:r>
      <w:r w:rsidRPr="00E556CD">
        <w:rPr>
          <w:rFonts w:ascii="Tahoma" w:hAnsi="Tahoma" w:cs="Tahoma" w:hint="cs"/>
          <w:b/>
          <w:sz w:val="17"/>
          <w:szCs w:val="17"/>
          <w:rtl/>
        </w:rPr>
        <w:t>רמ</w:t>
      </w:r>
      <w:r w:rsidRPr="00E556CD">
        <w:rPr>
          <w:rFonts w:ascii="Tahoma" w:hAnsi="Tahoma" w:cs="Tahoma"/>
          <w:b/>
          <w:sz w:val="17"/>
          <w:szCs w:val="17"/>
          <w:rtl/>
        </w:rPr>
        <w:t>"י</w:t>
      </w:r>
      <w:r w:rsidRPr="00E556CD">
        <w:rPr>
          <w:rFonts w:ascii="Tahoma" w:hAnsi="Tahoma" w:cs="Tahoma"/>
          <w:b/>
          <w:sz w:val="17"/>
          <w:szCs w:val="17"/>
          <w:rtl/>
        </w:rPr>
        <w:t xml:space="preserve"> ל</w:t>
      </w:r>
      <w:r w:rsidRPr="00E556CD">
        <w:rPr>
          <w:rFonts w:ascii="Tahoma" w:hAnsi="Tahoma" w:cs="Tahoma" w:hint="cs"/>
          <w:b/>
          <w:sz w:val="17"/>
          <w:szCs w:val="17"/>
          <w:rtl/>
        </w:rPr>
        <w:t>תאגיד קבורה ב</w:t>
      </w:r>
      <w:r w:rsidRPr="00E556CD">
        <w:rPr>
          <w:rFonts w:ascii="Tahoma" w:hAnsi="Tahoma" w:cs="Tahoma"/>
          <w:b/>
          <w:sz w:val="17"/>
          <w:szCs w:val="17"/>
          <w:rtl/>
        </w:rPr>
        <w:t xml:space="preserve">ירושלים קרקע בשטח של כ-5 דונם במורד הר המנוחות לצורך הקמת בית עלמין אזרחי </w:t>
      </w:r>
      <w:r w:rsidRPr="00E556CD">
        <w:rPr>
          <w:rFonts w:ascii="Tahoma" w:hAnsi="Tahoma" w:cs="Tahoma" w:hint="cs"/>
          <w:b/>
          <w:sz w:val="17"/>
          <w:szCs w:val="17"/>
          <w:rtl/>
        </w:rPr>
        <w:t xml:space="preserve">ובו </w:t>
      </w:r>
      <w:r w:rsidRPr="00E556CD">
        <w:rPr>
          <w:rFonts w:ascii="Tahoma" w:hAnsi="Tahoma" w:cs="Tahoma"/>
          <w:b/>
          <w:sz w:val="17"/>
          <w:szCs w:val="17"/>
          <w:rtl/>
        </w:rPr>
        <w:t xml:space="preserve">כ-8,200 מקומות קבורה; </w:t>
      </w:r>
      <w:r w:rsidRPr="00E556CD">
        <w:rPr>
          <w:rFonts w:ascii="Tahoma" w:hAnsi="Tahoma" w:cs="Tahoma" w:hint="cs"/>
          <w:b/>
          <w:sz w:val="17"/>
          <w:szCs w:val="17"/>
          <w:rtl/>
        </w:rPr>
        <w:t>מדובר</w:t>
      </w:r>
      <w:r w:rsidRPr="00E556CD">
        <w:rPr>
          <w:rFonts w:ascii="Tahoma" w:hAnsi="Tahoma" w:cs="Tahoma"/>
          <w:b/>
          <w:sz w:val="17"/>
          <w:szCs w:val="17"/>
          <w:rtl/>
        </w:rPr>
        <w:t xml:space="preserve"> </w:t>
      </w:r>
      <w:r w:rsidRPr="00E556CD">
        <w:rPr>
          <w:rFonts w:ascii="Tahoma" w:hAnsi="Tahoma" w:cs="Tahoma" w:hint="cs"/>
          <w:b/>
          <w:sz w:val="17"/>
          <w:szCs w:val="17"/>
          <w:rtl/>
        </w:rPr>
        <w:t>בקרקע</w:t>
      </w:r>
      <w:r w:rsidRPr="00E556CD">
        <w:rPr>
          <w:rFonts w:ascii="Tahoma" w:hAnsi="Tahoma" w:cs="Tahoma"/>
          <w:b/>
          <w:sz w:val="17"/>
          <w:szCs w:val="17"/>
          <w:rtl/>
        </w:rPr>
        <w:t xml:space="preserve"> </w:t>
      </w:r>
      <w:r w:rsidRPr="00E556CD">
        <w:rPr>
          <w:rFonts w:ascii="Tahoma" w:hAnsi="Tahoma" w:cs="Tahoma" w:hint="cs"/>
          <w:b/>
          <w:sz w:val="17"/>
          <w:szCs w:val="17"/>
          <w:rtl/>
        </w:rPr>
        <w:t>על</w:t>
      </w:r>
      <w:r w:rsidRPr="00E556CD">
        <w:rPr>
          <w:rFonts w:ascii="Tahoma" w:hAnsi="Tahoma" w:cs="Tahoma"/>
          <w:b/>
          <w:sz w:val="17"/>
          <w:szCs w:val="17"/>
          <w:rtl/>
        </w:rPr>
        <w:t xml:space="preserve"> </w:t>
      </w:r>
      <w:r w:rsidRPr="00E556CD">
        <w:rPr>
          <w:rFonts w:ascii="Tahoma" w:hAnsi="Tahoma" w:cs="Tahoma" w:hint="cs"/>
          <w:b/>
          <w:sz w:val="17"/>
          <w:szCs w:val="17"/>
          <w:rtl/>
        </w:rPr>
        <w:t>צלע</w:t>
      </w:r>
      <w:r w:rsidRPr="00E556CD">
        <w:rPr>
          <w:rFonts w:ascii="Tahoma" w:hAnsi="Tahoma" w:cs="Tahoma"/>
          <w:b/>
          <w:sz w:val="17"/>
          <w:szCs w:val="17"/>
          <w:rtl/>
        </w:rPr>
        <w:t xml:space="preserve"> </w:t>
      </w:r>
      <w:r w:rsidRPr="00E556CD">
        <w:rPr>
          <w:rFonts w:ascii="Tahoma" w:hAnsi="Tahoma" w:cs="Tahoma" w:hint="cs"/>
          <w:b/>
          <w:sz w:val="17"/>
          <w:szCs w:val="17"/>
          <w:rtl/>
        </w:rPr>
        <w:t>ההר,</w:t>
      </w:r>
      <w:r w:rsidRPr="00E556CD">
        <w:rPr>
          <w:rFonts w:ascii="Tahoma" w:hAnsi="Tahoma" w:cs="Tahoma"/>
          <w:b/>
          <w:sz w:val="17"/>
          <w:szCs w:val="17"/>
          <w:rtl/>
        </w:rPr>
        <w:t xml:space="preserve"> </w:t>
      </w:r>
      <w:r w:rsidRPr="00E556CD">
        <w:rPr>
          <w:rFonts w:ascii="Tahoma" w:hAnsi="Tahoma" w:cs="Tahoma" w:hint="cs"/>
          <w:b/>
          <w:sz w:val="17"/>
          <w:szCs w:val="17"/>
          <w:rtl/>
        </w:rPr>
        <w:t>ועבודות</w:t>
      </w:r>
      <w:r w:rsidRPr="00E556CD">
        <w:rPr>
          <w:rFonts w:ascii="Tahoma" w:hAnsi="Tahoma" w:cs="Tahoma"/>
          <w:b/>
          <w:sz w:val="17"/>
          <w:szCs w:val="17"/>
          <w:rtl/>
        </w:rPr>
        <w:t xml:space="preserve"> </w:t>
      </w:r>
      <w:r w:rsidRPr="00E556CD">
        <w:rPr>
          <w:rFonts w:ascii="Tahoma" w:hAnsi="Tahoma" w:cs="Tahoma" w:hint="cs"/>
          <w:b/>
          <w:sz w:val="17"/>
          <w:szCs w:val="17"/>
          <w:rtl/>
        </w:rPr>
        <w:t>ההקמה</w:t>
      </w:r>
      <w:r w:rsidRPr="00E556CD">
        <w:rPr>
          <w:rFonts w:ascii="Tahoma" w:hAnsi="Tahoma" w:cs="Tahoma"/>
          <w:b/>
          <w:sz w:val="17"/>
          <w:szCs w:val="17"/>
          <w:rtl/>
        </w:rPr>
        <w:t xml:space="preserve"> </w:t>
      </w:r>
      <w:r w:rsidRPr="00E556CD">
        <w:rPr>
          <w:rFonts w:ascii="Tahoma" w:hAnsi="Tahoma" w:cs="Tahoma" w:hint="cs"/>
          <w:b/>
          <w:sz w:val="17"/>
          <w:szCs w:val="17"/>
          <w:rtl/>
        </w:rPr>
        <w:t>והפיתוח</w:t>
      </w:r>
      <w:r w:rsidRPr="00E556CD">
        <w:rPr>
          <w:rFonts w:ascii="Tahoma" w:hAnsi="Tahoma" w:cs="Tahoma"/>
          <w:b/>
          <w:sz w:val="17"/>
          <w:szCs w:val="17"/>
          <w:rtl/>
        </w:rPr>
        <w:t xml:space="preserve"> </w:t>
      </w:r>
      <w:r w:rsidRPr="00E556CD">
        <w:rPr>
          <w:rFonts w:ascii="Tahoma" w:hAnsi="Tahoma" w:cs="Tahoma" w:hint="cs"/>
          <w:b/>
          <w:sz w:val="17"/>
          <w:szCs w:val="17"/>
          <w:rtl/>
        </w:rPr>
        <w:t>של בית העלמין כוללות</w:t>
      </w:r>
      <w:r w:rsidRPr="00E556CD">
        <w:rPr>
          <w:rFonts w:ascii="Tahoma" w:hAnsi="Tahoma" w:cs="Tahoma"/>
          <w:b/>
          <w:sz w:val="17"/>
          <w:szCs w:val="17"/>
          <w:rtl/>
        </w:rPr>
        <w:t xml:space="preserve"> </w:t>
      </w:r>
      <w:r w:rsidRPr="00E556CD">
        <w:rPr>
          <w:rFonts w:ascii="Tahoma" w:hAnsi="Tahoma" w:cs="Tahoma" w:hint="cs"/>
          <w:b/>
          <w:sz w:val="17"/>
          <w:szCs w:val="17"/>
          <w:rtl/>
        </w:rPr>
        <w:t>חציבה</w:t>
      </w:r>
      <w:r w:rsidRPr="00E556CD">
        <w:rPr>
          <w:rFonts w:ascii="Tahoma" w:hAnsi="Tahoma" w:cs="Tahoma"/>
          <w:b/>
          <w:sz w:val="17"/>
          <w:szCs w:val="17"/>
          <w:rtl/>
        </w:rPr>
        <w:t xml:space="preserve"> בסלע ו</w:t>
      </w:r>
      <w:r w:rsidRPr="00E556CD">
        <w:rPr>
          <w:rFonts w:ascii="Tahoma" w:hAnsi="Tahoma" w:cs="Tahoma" w:hint="cs"/>
          <w:b/>
          <w:sz w:val="17"/>
          <w:szCs w:val="17"/>
          <w:rtl/>
        </w:rPr>
        <w:t>סלילת</w:t>
      </w:r>
      <w:r w:rsidRPr="00E556CD">
        <w:rPr>
          <w:rFonts w:ascii="Tahoma" w:hAnsi="Tahoma" w:cs="Tahoma"/>
          <w:b/>
          <w:sz w:val="17"/>
          <w:szCs w:val="17"/>
          <w:rtl/>
        </w:rPr>
        <w:t xml:space="preserve"> כביש גישה, שעלותן נאמדה בסך של כ-37 מיליון </w:t>
      </w:r>
      <w:r w:rsidRPr="00E556CD">
        <w:rPr>
          <w:rFonts w:ascii="Tahoma" w:hAnsi="Tahoma" w:cs="Tahoma" w:hint="cs"/>
          <w:b/>
          <w:sz w:val="17"/>
          <w:szCs w:val="17"/>
          <w:rtl/>
        </w:rPr>
        <w:t>ש</w:t>
      </w:r>
      <w:r w:rsidRPr="00E556CD">
        <w:rPr>
          <w:rFonts w:ascii="Tahoma" w:hAnsi="Tahoma" w:cs="Tahoma"/>
          <w:b/>
          <w:sz w:val="17"/>
          <w:szCs w:val="17"/>
          <w:rtl/>
        </w:rPr>
        <w:t xml:space="preserve">"ח. מאחר שלא </w:t>
      </w:r>
      <w:r w:rsidRPr="00E556CD">
        <w:rPr>
          <w:rFonts w:ascii="Tahoma" w:hAnsi="Tahoma" w:cs="Tahoma" w:hint="cs"/>
          <w:b/>
          <w:sz w:val="17"/>
          <w:szCs w:val="17"/>
          <w:rtl/>
        </w:rPr>
        <w:t>עמד ל</w:t>
      </w:r>
      <w:r w:rsidRPr="00E556CD">
        <w:rPr>
          <w:rFonts w:ascii="Tahoma" w:hAnsi="Tahoma" w:cs="Tahoma"/>
          <w:b/>
          <w:sz w:val="17"/>
          <w:szCs w:val="17"/>
          <w:rtl/>
        </w:rPr>
        <w:t>רשות ה</w:t>
      </w:r>
      <w:r w:rsidRPr="00E556CD">
        <w:rPr>
          <w:rFonts w:ascii="Tahoma" w:hAnsi="Tahoma" w:cs="Tahoma" w:hint="cs"/>
          <w:b/>
          <w:sz w:val="17"/>
          <w:szCs w:val="17"/>
          <w:rtl/>
        </w:rPr>
        <w:t>תאגיד סכום זה,</w:t>
      </w:r>
      <w:r w:rsidRPr="00E556CD">
        <w:rPr>
          <w:rFonts w:ascii="Tahoma" w:hAnsi="Tahoma" w:cs="Tahoma"/>
          <w:b/>
          <w:sz w:val="17"/>
          <w:szCs w:val="17"/>
          <w:rtl/>
        </w:rPr>
        <w:t xml:space="preserve"> ה</w:t>
      </w:r>
      <w:r w:rsidRPr="00E556CD">
        <w:rPr>
          <w:rFonts w:ascii="Tahoma" w:hAnsi="Tahoma" w:cs="Tahoma" w:hint="cs"/>
          <w:b/>
          <w:sz w:val="17"/>
          <w:szCs w:val="17"/>
          <w:rtl/>
        </w:rPr>
        <w:t>ו</w:t>
      </w:r>
      <w:r w:rsidRPr="00E556CD">
        <w:rPr>
          <w:rFonts w:ascii="Tahoma" w:hAnsi="Tahoma" w:cs="Tahoma"/>
          <w:b/>
          <w:sz w:val="17"/>
          <w:szCs w:val="17"/>
          <w:rtl/>
        </w:rPr>
        <w:t xml:space="preserve">א פנה למשרד לשירותי דת לקבלת סיוע תקציבי. </w:t>
      </w:r>
      <w:r w:rsidRPr="00E556CD">
        <w:rPr>
          <w:rFonts w:ascii="Tahoma" w:hAnsi="Tahoma" w:cs="Tahoma" w:hint="cs"/>
          <w:b/>
          <w:sz w:val="17"/>
          <w:szCs w:val="17"/>
          <w:rtl/>
        </w:rPr>
        <w:t xml:space="preserve">בדצמבר 2015 השיב </w:t>
      </w:r>
      <w:r w:rsidRPr="00E556CD">
        <w:rPr>
          <w:rFonts w:ascii="Tahoma" w:hAnsi="Tahoma" w:cs="Tahoma"/>
          <w:b/>
          <w:sz w:val="17"/>
          <w:szCs w:val="17"/>
          <w:rtl/>
        </w:rPr>
        <w:t xml:space="preserve">המשרד </w:t>
      </w:r>
      <w:r w:rsidRPr="00E556CD">
        <w:rPr>
          <w:rFonts w:ascii="Tahoma" w:hAnsi="Tahoma" w:cs="Tahoma" w:hint="cs"/>
          <w:b/>
          <w:sz w:val="17"/>
          <w:szCs w:val="17"/>
          <w:rtl/>
        </w:rPr>
        <w:t xml:space="preserve">לתאגיד </w:t>
      </w:r>
      <w:r w:rsidRPr="00E556CD">
        <w:rPr>
          <w:rFonts w:ascii="Tahoma" w:hAnsi="Tahoma" w:cs="Tahoma"/>
          <w:b/>
          <w:sz w:val="17"/>
          <w:szCs w:val="17"/>
          <w:rtl/>
        </w:rPr>
        <w:t xml:space="preserve">כי </w:t>
      </w:r>
      <w:r w:rsidRPr="00E556CD">
        <w:rPr>
          <w:rFonts w:ascii="Tahoma" w:hAnsi="Tahoma" w:cs="Tahoma" w:hint="cs"/>
          <w:b/>
          <w:sz w:val="17"/>
          <w:szCs w:val="17"/>
          <w:rtl/>
        </w:rPr>
        <w:t>הוא אינו מתקצב תאגידים לענייני</w:t>
      </w:r>
      <w:r w:rsidRPr="00E556CD">
        <w:rPr>
          <w:rFonts w:ascii="Tahoma" w:hAnsi="Tahoma" w:cs="Tahoma"/>
          <w:b/>
          <w:sz w:val="17"/>
          <w:szCs w:val="17"/>
          <w:rtl/>
        </w:rPr>
        <w:t xml:space="preserve"> </w:t>
      </w:r>
      <w:r w:rsidRPr="00E556CD">
        <w:rPr>
          <w:rFonts w:ascii="Tahoma" w:hAnsi="Tahoma" w:cs="Tahoma" w:hint="cs"/>
          <w:b/>
          <w:sz w:val="17"/>
          <w:szCs w:val="17"/>
          <w:rtl/>
        </w:rPr>
        <w:t>קבורה,</w:t>
      </w:r>
      <w:r w:rsidRPr="00E556CD">
        <w:rPr>
          <w:rFonts w:ascii="Tahoma" w:hAnsi="Tahoma" w:cs="Tahoma"/>
          <w:b/>
          <w:sz w:val="17"/>
          <w:szCs w:val="17"/>
          <w:rtl/>
        </w:rPr>
        <w:t xml:space="preserve"> </w:t>
      </w:r>
      <w:r w:rsidRPr="00E556CD">
        <w:rPr>
          <w:rFonts w:ascii="Tahoma" w:hAnsi="Tahoma" w:cs="Tahoma" w:hint="cs"/>
          <w:b/>
          <w:sz w:val="17"/>
          <w:szCs w:val="17"/>
          <w:rtl/>
        </w:rPr>
        <w:t>וכי</w:t>
      </w:r>
      <w:r w:rsidRPr="00E556CD">
        <w:rPr>
          <w:rFonts w:ascii="Tahoma" w:hAnsi="Tahoma" w:cs="Tahoma"/>
          <w:b/>
          <w:sz w:val="17"/>
          <w:szCs w:val="17"/>
          <w:rtl/>
        </w:rPr>
        <w:t xml:space="preserve"> </w:t>
      </w:r>
      <w:r w:rsidRPr="00E556CD">
        <w:rPr>
          <w:rFonts w:ascii="Tahoma" w:hAnsi="Tahoma" w:cs="Tahoma" w:hint="cs"/>
          <w:b/>
          <w:sz w:val="17"/>
          <w:szCs w:val="17"/>
          <w:rtl/>
        </w:rPr>
        <w:t>מועברים</w:t>
      </w:r>
      <w:r w:rsidRPr="00E556CD">
        <w:rPr>
          <w:rFonts w:ascii="Tahoma" w:hAnsi="Tahoma" w:cs="Tahoma"/>
          <w:b/>
          <w:sz w:val="17"/>
          <w:szCs w:val="17"/>
          <w:rtl/>
        </w:rPr>
        <w:t xml:space="preserve"> אליה</w:t>
      </w:r>
      <w:r w:rsidRPr="00E556CD">
        <w:rPr>
          <w:rFonts w:ascii="Tahoma" w:hAnsi="Tahoma" w:cs="Tahoma" w:hint="cs"/>
          <w:b/>
          <w:sz w:val="17"/>
          <w:szCs w:val="17"/>
          <w:rtl/>
        </w:rPr>
        <w:t>ם</w:t>
      </w:r>
      <w:r w:rsidRPr="00E556CD">
        <w:rPr>
          <w:rFonts w:ascii="Tahoma" w:hAnsi="Tahoma" w:cs="Tahoma"/>
          <w:b/>
          <w:sz w:val="17"/>
          <w:szCs w:val="17"/>
          <w:rtl/>
        </w:rPr>
        <w:t xml:space="preserve"> </w:t>
      </w:r>
      <w:r w:rsidRPr="00E556CD">
        <w:rPr>
          <w:rFonts w:ascii="Tahoma" w:hAnsi="Tahoma" w:cs="Tahoma" w:hint="cs"/>
          <w:b/>
          <w:sz w:val="17"/>
          <w:szCs w:val="17"/>
          <w:rtl/>
        </w:rPr>
        <w:t>כספים</w:t>
      </w:r>
      <w:r w:rsidRPr="00E556CD">
        <w:rPr>
          <w:rFonts w:ascii="Tahoma" w:hAnsi="Tahoma" w:cs="Tahoma"/>
          <w:b/>
          <w:sz w:val="17"/>
          <w:szCs w:val="17"/>
          <w:rtl/>
        </w:rPr>
        <w:t xml:space="preserve"> </w:t>
      </w:r>
      <w:r w:rsidRPr="00E556CD">
        <w:rPr>
          <w:rFonts w:ascii="Tahoma" w:hAnsi="Tahoma" w:cs="Tahoma" w:hint="cs"/>
          <w:b/>
          <w:sz w:val="17"/>
          <w:szCs w:val="17"/>
          <w:rtl/>
        </w:rPr>
        <w:t>במסגרת</w:t>
      </w:r>
      <w:r w:rsidRPr="00E556CD">
        <w:rPr>
          <w:rFonts w:ascii="Tahoma" w:hAnsi="Tahoma" w:cs="Tahoma"/>
          <w:b/>
          <w:sz w:val="17"/>
          <w:szCs w:val="17"/>
          <w:rtl/>
        </w:rPr>
        <w:t xml:space="preserve"> </w:t>
      </w:r>
      <w:r w:rsidRPr="00E556CD">
        <w:rPr>
          <w:rFonts w:ascii="Tahoma" w:hAnsi="Tahoma" w:cs="Tahoma" w:hint="cs"/>
          <w:b/>
          <w:sz w:val="17"/>
          <w:szCs w:val="17"/>
          <w:rtl/>
        </w:rPr>
        <w:t>תמיכות</w:t>
      </w:r>
      <w:r w:rsidRPr="00E556CD">
        <w:rPr>
          <w:rFonts w:ascii="Tahoma" w:hAnsi="Tahoma" w:cs="Tahoma"/>
          <w:b/>
          <w:sz w:val="17"/>
          <w:szCs w:val="17"/>
          <w:rtl/>
        </w:rPr>
        <w:t xml:space="preserve"> </w:t>
      </w:r>
      <w:r w:rsidRPr="00E556CD">
        <w:rPr>
          <w:rFonts w:ascii="Tahoma" w:hAnsi="Tahoma" w:cs="Tahoma" w:hint="cs"/>
          <w:b/>
          <w:sz w:val="17"/>
          <w:szCs w:val="17"/>
          <w:rtl/>
        </w:rPr>
        <w:t>בלבד</w:t>
      </w:r>
      <w:r>
        <w:rPr>
          <w:rStyle w:val="FootnoteReference0"/>
          <w:rFonts w:ascii="Tahoma" w:hAnsi="Tahoma" w:cs="Tahoma"/>
          <w:b/>
          <w:sz w:val="17"/>
          <w:szCs w:val="17"/>
          <w:rtl/>
        </w:rPr>
        <w:footnoteReference w:id="26"/>
      </w:r>
      <w:r w:rsidRPr="00E556CD">
        <w:rPr>
          <w:rFonts w:ascii="Tahoma" w:hAnsi="Tahoma" w:cs="Tahoma"/>
          <w:b/>
          <w:sz w:val="17"/>
          <w:szCs w:val="17"/>
          <w:rtl/>
        </w:rPr>
        <w:t xml:space="preserve">; המשרד הוסיף כי הוא </w:t>
      </w:r>
      <w:r w:rsidRPr="00E556CD">
        <w:rPr>
          <w:rFonts w:ascii="Tahoma" w:hAnsi="Tahoma" w:cs="Tahoma" w:hint="cs"/>
          <w:b/>
          <w:sz w:val="17"/>
          <w:szCs w:val="17"/>
          <w:rtl/>
        </w:rPr>
        <w:t>ער</w:t>
      </w:r>
      <w:r w:rsidRPr="00E556CD">
        <w:rPr>
          <w:rFonts w:ascii="Tahoma" w:hAnsi="Tahoma" w:cs="Tahoma"/>
          <w:b/>
          <w:sz w:val="17"/>
          <w:szCs w:val="17"/>
          <w:rtl/>
        </w:rPr>
        <w:t xml:space="preserve"> </w:t>
      </w:r>
      <w:r w:rsidRPr="00E556CD">
        <w:rPr>
          <w:rFonts w:ascii="Tahoma" w:hAnsi="Tahoma" w:cs="Tahoma" w:hint="cs"/>
          <w:b/>
          <w:sz w:val="17"/>
          <w:szCs w:val="17"/>
          <w:rtl/>
        </w:rPr>
        <w:t>להחלטת</w:t>
      </w:r>
      <w:r w:rsidRPr="00E556CD">
        <w:rPr>
          <w:rFonts w:ascii="Tahoma" w:hAnsi="Tahoma" w:cs="Tahoma"/>
          <w:b/>
          <w:sz w:val="17"/>
          <w:szCs w:val="17"/>
          <w:rtl/>
        </w:rPr>
        <w:t xml:space="preserve"> </w:t>
      </w:r>
      <w:r w:rsidRPr="00E556CD">
        <w:rPr>
          <w:rFonts w:ascii="Tahoma" w:hAnsi="Tahoma" w:cs="Tahoma" w:hint="cs"/>
          <w:b/>
          <w:sz w:val="17"/>
          <w:szCs w:val="17"/>
          <w:rtl/>
        </w:rPr>
        <w:t>הממשלה</w:t>
      </w:r>
      <w:r w:rsidRPr="00E556CD">
        <w:rPr>
          <w:rFonts w:ascii="Tahoma" w:hAnsi="Tahoma" w:cs="Tahoma"/>
          <w:b/>
          <w:sz w:val="17"/>
          <w:szCs w:val="17"/>
          <w:rtl/>
        </w:rPr>
        <w:t xml:space="preserve"> </w:t>
      </w:r>
      <w:r w:rsidRPr="00E556CD">
        <w:rPr>
          <w:rFonts w:ascii="Tahoma" w:hAnsi="Tahoma" w:cs="Tahoma" w:hint="cs"/>
          <w:b/>
          <w:sz w:val="17"/>
          <w:szCs w:val="17"/>
          <w:rtl/>
        </w:rPr>
        <w:t>מינואר</w:t>
      </w:r>
      <w:r w:rsidRPr="00E556CD">
        <w:rPr>
          <w:rFonts w:ascii="Tahoma" w:hAnsi="Tahoma" w:cs="Tahoma"/>
          <w:b/>
          <w:sz w:val="17"/>
          <w:szCs w:val="17"/>
          <w:rtl/>
        </w:rPr>
        <w:t xml:space="preserve"> 2001 </w:t>
      </w:r>
      <w:r w:rsidRPr="00E556CD">
        <w:rPr>
          <w:rFonts w:ascii="Tahoma" w:hAnsi="Tahoma" w:cs="Tahoma" w:hint="cs"/>
          <w:b/>
          <w:sz w:val="17"/>
          <w:szCs w:val="17"/>
          <w:rtl/>
        </w:rPr>
        <w:t>בדבר</w:t>
      </w:r>
      <w:r w:rsidRPr="00E556CD">
        <w:rPr>
          <w:rFonts w:ascii="Tahoma" w:hAnsi="Tahoma" w:cs="Tahoma"/>
          <w:b/>
          <w:sz w:val="17"/>
          <w:szCs w:val="17"/>
          <w:rtl/>
        </w:rPr>
        <w:t xml:space="preserve"> </w:t>
      </w:r>
      <w:r w:rsidRPr="00E556CD">
        <w:rPr>
          <w:rFonts w:ascii="Tahoma" w:hAnsi="Tahoma" w:cs="Tahoma" w:hint="cs"/>
          <w:b/>
          <w:sz w:val="17"/>
          <w:szCs w:val="17"/>
          <w:rtl/>
        </w:rPr>
        <w:t>קידום</w:t>
      </w:r>
      <w:r w:rsidRPr="00E556CD">
        <w:rPr>
          <w:rFonts w:ascii="Tahoma" w:hAnsi="Tahoma" w:cs="Tahoma"/>
          <w:b/>
          <w:sz w:val="17"/>
          <w:szCs w:val="17"/>
          <w:rtl/>
        </w:rPr>
        <w:t xml:space="preserve"> </w:t>
      </w:r>
      <w:r w:rsidRPr="00E556CD">
        <w:rPr>
          <w:rFonts w:ascii="Tahoma" w:hAnsi="Tahoma" w:cs="Tahoma" w:hint="cs"/>
          <w:b/>
          <w:sz w:val="17"/>
          <w:szCs w:val="17"/>
          <w:rtl/>
        </w:rPr>
        <w:t>קבורה</w:t>
      </w:r>
      <w:r w:rsidRPr="00E556CD">
        <w:rPr>
          <w:rFonts w:ascii="Tahoma" w:hAnsi="Tahoma" w:cs="Tahoma"/>
          <w:b/>
          <w:sz w:val="17"/>
          <w:szCs w:val="17"/>
          <w:rtl/>
        </w:rPr>
        <w:t xml:space="preserve"> </w:t>
      </w:r>
      <w:r w:rsidRPr="00E556CD">
        <w:rPr>
          <w:rFonts w:ascii="Tahoma" w:hAnsi="Tahoma" w:cs="Tahoma" w:hint="cs"/>
          <w:b/>
          <w:sz w:val="17"/>
          <w:szCs w:val="17"/>
          <w:rtl/>
        </w:rPr>
        <w:t>אזרחית</w:t>
      </w:r>
      <w:r w:rsidRPr="00E556CD">
        <w:rPr>
          <w:rFonts w:ascii="Tahoma" w:hAnsi="Tahoma" w:cs="Tahoma"/>
          <w:b/>
          <w:sz w:val="17"/>
          <w:szCs w:val="17"/>
          <w:rtl/>
        </w:rPr>
        <w:t xml:space="preserve">, </w:t>
      </w:r>
      <w:r w:rsidRPr="00E556CD">
        <w:rPr>
          <w:rFonts w:ascii="Tahoma" w:hAnsi="Tahoma" w:cs="Tahoma" w:hint="cs"/>
          <w:b/>
          <w:sz w:val="17"/>
          <w:szCs w:val="17"/>
          <w:rtl/>
        </w:rPr>
        <w:t>אולם</w:t>
      </w:r>
      <w:r w:rsidRPr="00E556CD">
        <w:rPr>
          <w:rFonts w:ascii="Tahoma" w:hAnsi="Tahoma" w:cs="Tahoma"/>
          <w:b/>
          <w:sz w:val="17"/>
          <w:szCs w:val="17"/>
          <w:rtl/>
        </w:rPr>
        <w:t xml:space="preserve"> </w:t>
      </w:r>
      <w:r w:rsidRPr="00E556CD">
        <w:rPr>
          <w:rFonts w:ascii="Tahoma" w:hAnsi="Tahoma" w:cs="Tahoma" w:hint="cs"/>
          <w:b/>
          <w:sz w:val="17"/>
          <w:szCs w:val="17"/>
          <w:rtl/>
        </w:rPr>
        <w:t>אין</w:t>
      </w:r>
      <w:r w:rsidRPr="00E556CD">
        <w:rPr>
          <w:rFonts w:ascii="Tahoma" w:hAnsi="Tahoma" w:cs="Tahoma"/>
          <w:b/>
          <w:sz w:val="17"/>
          <w:szCs w:val="17"/>
          <w:rtl/>
        </w:rPr>
        <w:t xml:space="preserve"> </w:t>
      </w:r>
      <w:r w:rsidRPr="00E556CD">
        <w:rPr>
          <w:rFonts w:ascii="Tahoma" w:hAnsi="Tahoma" w:cs="Tahoma" w:hint="cs"/>
          <w:b/>
          <w:sz w:val="17"/>
          <w:szCs w:val="17"/>
          <w:rtl/>
        </w:rPr>
        <w:t>באפשרותו</w:t>
      </w:r>
      <w:r w:rsidRPr="00E556CD">
        <w:rPr>
          <w:rFonts w:ascii="Tahoma" w:hAnsi="Tahoma" w:cs="Tahoma"/>
          <w:b/>
          <w:sz w:val="17"/>
          <w:szCs w:val="17"/>
          <w:rtl/>
        </w:rPr>
        <w:t xml:space="preserve"> </w:t>
      </w:r>
      <w:r w:rsidRPr="00E556CD">
        <w:rPr>
          <w:rFonts w:ascii="Tahoma" w:hAnsi="Tahoma" w:cs="Tahoma" w:hint="cs"/>
          <w:b/>
          <w:sz w:val="17"/>
          <w:szCs w:val="17"/>
          <w:rtl/>
        </w:rPr>
        <w:t>בשלב</w:t>
      </w:r>
      <w:r w:rsidRPr="00E556CD">
        <w:rPr>
          <w:rFonts w:ascii="Tahoma" w:hAnsi="Tahoma" w:cs="Tahoma"/>
          <w:b/>
          <w:sz w:val="17"/>
          <w:szCs w:val="17"/>
          <w:rtl/>
        </w:rPr>
        <w:t xml:space="preserve"> </w:t>
      </w:r>
      <w:r w:rsidRPr="00E556CD">
        <w:rPr>
          <w:rFonts w:ascii="Tahoma" w:hAnsi="Tahoma" w:cs="Tahoma" w:hint="cs"/>
          <w:b/>
          <w:sz w:val="17"/>
          <w:szCs w:val="17"/>
          <w:rtl/>
        </w:rPr>
        <w:t>זה</w:t>
      </w:r>
      <w:r w:rsidRPr="00E556CD">
        <w:rPr>
          <w:rFonts w:ascii="Tahoma" w:hAnsi="Tahoma" w:cs="Tahoma"/>
          <w:b/>
          <w:sz w:val="17"/>
          <w:szCs w:val="17"/>
          <w:rtl/>
        </w:rPr>
        <w:t xml:space="preserve"> "לממן </w:t>
      </w:r>
      <w:r w:rsidRPr="00E556CD">
        <w:rPr>
          <w:rFonts w:ascii="Tahoma" w:hAnsi="Tahoma" w:cs="Tahoma" w:hint="cs"/>
          <w:b/>
          <w:sz w:val="17"/>
          <w:szCs w:val="17"/>
          <w:rtl/>
        </w:rPr>
        <w:t>פיתוח</w:t>
      </w:r>
      <w:r w:rsidRPr="00E556CD">
        <w:rPr>
          <w:rFonts w:ascii="Tahoma" w:hAnsi="Tahoma" w:cs="Tahoma"/>
          <w:b/>
          <w:sz w:val="17"/>
          <w:szCs w:val="17"/>
          <w:rtl/>
        </w:rPr>
        <w:t xml:space="preserve"> </w:t>
      </w:r>
      <w:r w:rsidRPr="00E556CD">
        <w:rPr>
          <w:rFonts w:ascii="Tahoma" w:hAnsi="Tahoma" w:cs="Tahoma" w:hint="cs"/>
          <w:b/>
          <w:sz w:val="17"/>
          <w:szCs w:val="17"/>
          <w:rtl/>
        </w:rPr>
        <w:t>של</w:t>
      </w:r>
      <w:r w:rsidRPr="00E556CD">
        <w:rPr>
          <w:rFonts w:ascii="Tahoma" w:hAnsi="Tahoma" w:cs="Tahoma"/>
          <w:b/>
          <w:sz w:val="17"/>
          <w:szCs w:val="17"/>
          <w:rtl/>
        </w:rPr>
        <w:t xml:space="preserve"> </w:t>
      </w:r>
      <w:r w:rsidRPr="00E556CD">
        <w:rPr>
          <w:rFonts w:ascii="Tahoma" w:hAnsi="Tahoma" w:cs="Tahoma" w:hint="cs"/>
          <w:b/>
          <w:sz w:val="17"/>
          <w:szCs w:val="17"/>
          <w:rtl/>
        </w:rPr>
        <w:t>חלקות</w:t>
      </w:r>
      <w:r w:rsidRPr="00E556CD">
        <w:rPr>
          <w:rFonts w:ascii="Tahoma" w:hAnsi="Tahoma" w:cs="Tahoma"/>
          <w:b/>
          <w:sz w:val="17"/>
          <w:szCs w:val="17"/>
          <w:rtl/>
        </w:rPr>
        <w:t xml:space="preserve"> </w:t>
      </w:r>
      <w:r w:rsidRPr="00E556CD">
        <w:rPr>
          <w:rFonts w:ascii="Tahoma" w:hAnsi="Tahoma" w:cs="Tahoma" w:hint="cs"/>
          <w:b/>
          <w:sz w:val="17"/>
          <w:szCs w:val="17"/>
          <w:rtl/>
        </w:rPr>
        <w:t>המיועדות</w:t>
      </w:r>
      <w:r w:rsidRPr="00E556CD">
        <w:rPr>
          <w:rFonts w:ascii="Tahoma" w:hAnsi="Tahoma" w:cs="Tahoma"/>
          <w:b/>
          <w:sz w:val="17"/>
          <w:szCs w:val="17"/>
          <w:rtl/>
        </w:rPr>
        <w:t xml:space="preserve"> </w:t>
      </w:r>
      <w:r w:rsidRPr="00E556CD">
        <w:rPr>
          <w:rFonts w:ascii="Tahoma" w:hAnsi="Tahoma" w:cs="Tahoma" w:hint="cs"/>
          <w:b/>
          <w:sz w:val="17"/>
          <w:szCs w:val="17"/>
          <w:rtl/>
        </w:rPr>
        <w:t>לקבורה</w:t>
      </w:r>
      <w:r w:rsidRPr="00E556CD">
        <w:rPr>
          <w:rFonts w:ascii="Tahoma" w:hAnsi="Tahoma" w:cs="Tahoma"/>
          <w:b/>
          <w:sz w:val="17"/>
          <w:szCs w:val="17"/>
          <w:rtl/>
        </w:rPr>
        <w:t xml:space="preserve"> </w:t>
      </w:r>
      <w:r w:rsidRPr="00E556CD">
        <w:rPr>
          <w:rFonts w:ascii="Tahoma" w:hAnsi="Tahoma" w:cs="Tahoma" w:hint="cs"/>
          <w:b/>
          <w:sz w:val="17"/>
          <w:szCs w:val="17"/>
          <w:rtl/>
        </w:rPr>
        <w:t>אזרחית</w:t>
      </w:r>
      <w:r w:rsidRPr="00E556CD">
        <w:rPr>
          <w:rFonts w:ascii="Tahoma" w:hAnsi="Tahoma" w:cs="Tahoma"/>
          <w:b/>
          <w:sz w:val="17"/>
          <w:szCs w:val="17"/>
          <w:rtl/>
        </w:rPr>
        <w:t xml:space="preserve"> </w:t>
      </w:r>
      <w:r w:rsidRPr="00E556CD">
        <w:rPr>
          <w:rFonts w:ascii="Tahoma" w:hAnsi="Tahoma" w:cs="Tahoma" w:hint="cs"/>
          <w:b/>
          <w:sz w:val="17"/>
          <w:szCs w:val="17"/>
          <w:rtl/>
        </w:rPr>
        <w:t>באופן</w:t>
      </w:r>
      <w:r w:rsidRPr="00E556CD">
        <w:rPr>
          <w:rFonts w:ascii="Tahoma" w:hAnsi="Tahoma" w:cs="Tahoma"/>
          <w:b/>
          <w:sz w:val="17"/>
          <w:szCs w:val="17"/>
          <w:rtl/>
        </w:rPr>
        <w:t xml:space="preserve"> </w:t>
      </w:r>
      <w:r w:rsidRPr="00E556CD">
        <w:rPr>
          <w:rFonts w:ascii="Tahoma" w:hAnsi="Tahoma" w:cs="Tahoma" w:hint="cs"/>
          <w:b/>
          <w:sz w:val="17"/>
          <w:szCs w:val="17"/>
          <w:rtl/>
        </w:rPr>
        <w:t>מלא</w:t>
      </w:r>
      <w:r w:rsidRPr="00E556CD">
        <w:rPr>
          <w:rFonts w:ascii="Tahoma" w:hAnsi="Tahoma" w:cs="Tahoma"/>
          <w:b/>
          <w:sz w:val="17"/>
          <w:szCs w:val="17"/>
          <w:rtl/>
        </w:rPr>
        <w:t xml:space="preserve"> </w:t>
      </w:r>
      <w:r w:rsidRPr="00E556CD">
        <w:rPr>
          <w:rFonts w:ascii="Tahoma" w:hAnsi="Tahoma" w:cs="Tahoma" w:hint="cs"/>
          <w:b/>
          <w:sz w:val="17"/>
          <w:szCs w:val="17"/>
          <w:rtl/>
        </w:rPr>
        <w:t>ובוודאי</w:t>
      </w:r>
      <w:r w:rsidRPr="00E556CD">
        <w:rPr>
          <w:rFonts w:ascii="Tahoma" w:hAnsi="Tahoma" w:cs="Tahoma"/>
          <w:b/>
          <w:sz w:val="17"/>
          <w:szCs w:val="17"/>
          <w:rtl/>
        </w:rPr>
        <w:t xml:space="preserve"> </w:t>
      </w:r>
      <w:r w:rsidRPr="00E556CD">
        <w:rPr>
          <w:rFonts w:ascii="Tahoma" w:hAnsi="Tahoma" w:cs="Tahoma" w:hint="cs"/>
          <w:b/>
          <w:sz w:val="17"/>
          <w:szCs w:val="17"/>
          <w:rtl/>
        </w:rPr>
        <w:t>לא</w:t>
      </w:r>
      <w:r w:rsidRPr="00E556CD">
        <w:rPr>
          <w:rFonts w:ascii="Tahoma" w:hAnsi="Tahoma" w:cs="Tahoma"/>
          <w:b/>
          <w:sz w:val="17"/>
          <w:szCs w:val="17"/>
          <w:rtl/>
        </w:rPr>
        <w:t xml:space="preserve"> </w:t>
      </w:r>
      <w:r w:rsidRPr="00E556CD">
        <w:rPr>
          <w:rFonts w:ascii="Tahoma" w:hAnsi="Tahoma" w:cs="Tahoma" w:hint="cs"/>
          <w:b/>
          <w:sz w:val="17"/>
          <w:szCs w:val="17"/>
          <w:rtl/>
        </w:rPr>
        <w:t>כאשר</w:t>
      </w:r>
      <w:r w:rsidRPr="00E556CD">
        <w:rPr>
          <w:rFonts w:ascii="Tahoma" w:hAnsi="Tahoma" w:cs="Tahoma"/>
          <w:b/>
          <w:sz w:val="17"/>
          <w:szCs w:val="17"/>
          <w:rtl/>
        </w:rPr>
        <w:t xml:space="preserve"> </w:t>
      </w:r>
      <w:r w:rsidRPr="00E556CD">
        <w:rPr>
          <w:rFonts w:ascii="Tahoma" w:hAnsi="Tahoma" w:cs="Tahoma" w:hint="cs"/>
          <w:b/>
          <w:sz w:val="17"/>
          <w:szCs w:val="17"/>
          <w:rtl/>
        </w:rPr>
        <w:t>מדובר</w:t>
      </w:r>
      <w:r w:rsidRPr="00E556CD">
        <w:rPr>
          <w:rFonts w:ascii="Tahoma" w:hAnsi="Tahoma" w:cs="Tahoma"/>
          <w:b/>
          <w:sz w:val="17"/>
          <w:szCs w:val="17"/>
          <w:rtl/>
        </w:rPr>
        <w:t xml:space="preserve"> </w:t>
      </w:r>
      <w:r w:rsidRPr="00E556CD">
        <w:rPr>
          <w:rFonts w:ascii="Tahoma" w:hAnsi="Tahoma" w:cs="Tahoma" w:hint="cs"/>
          <w:b/>
          <w:sz w:val="17"/>
          <w:szCs w:val="17"/>
          <w:rtl/>
        </w:rPr>
        <w:t>בסכומים</w:t>
      </w:r>
      <w:r w:rsidRPr="00E556CD">
        <w:rPr>
          <w:rFonts w:ascii="Tahoma" w:hAnsi="Tahoma" w:cs="Tahoma"/>
          <w:b/>
          <w:sz w:val="17"/>
          <w:szCs w:val="17"/>
          <w:rtl/>
        </w:rPr>
        <w:t xml:space="preserve"> </w:t>
      </w:r>
      <w:r w:rsidRPr="00E556CD">
        <w:rPr>
          <w:rFonts w:ascii="Tahoma" w:hAnsi="Tahoma" w:cs="Tahoma" w:hint="cs"/>
          <w:b/>
          <w:sz w:val="17"/>
          <w:szCs w:val="17"/>
          <w:rtl/>
        </w:rPr>
        <w:t>נכבדים</w:t>
      </w:r>
      <w:r w:rsidRPr="00E556CD">
        <w:rPr>
          <w:rFonts w:ascii="Tahoma" w:hAnsi="Tahoma" w:cs="Tahoma"/>
          <w:b/>
          <w:sz w:val="17"/>
          <w:szCs w:val="17"/>
          <w:rtl/>
        </w:rPr>
        <w:t>...".</w:t>
      </w:r>
    </w:p>
    <w:p w:rsidR="00EF45C8" w:rsidRPr="00E556CD" w:rsidP="007E3D48">
      <w:pPr>
        <w:spacing w:line="240" w:lineRule="exact"/>
        <w:ind w:left="340" w:right="2268"/>
        <w:jc w:val="both"/>
        <w:rPr>
          <w:rFonts w:ascii="Tahoma" w:hAnsi="Tahoma" w:cs="Tahoma"/>
          <w:sz w:val="17"/>
          <w:szCs w:val="17"/>
          <w:rtl/>
        </w:rPr>
      </w:pPr>
      <w:r w:rsidRPr="00E556CD">
        <w:rPr>
          <w:rFonts w:ascii="Tahoma" w:hAnsi="Tahoma" w:cs="Tahoma" w:hint="cs"/>
          <w:sz w:val="17"/>
          <w:szCs w:val="17"/>
          <w:rtl/>
        </w:rPr>
        <w:t>בפברואר 2016 דיווח מנכ"ל המשרד לשירותי דת</w:t>
      </w:r>
      <w:r>
        <w:rPr>
          <w:rStyle w:val="FootnoteReference0"/>
          <w:rFonts w:ascii="Tahoma" w:hAnsi="Tahoma" w:cs="Tahoma"/>
          <w:sz w:val="17"/>
          <w:szCs w:val="17"/>
          <w:rtl/>
        </w:rPr>
        <w:footnoteReference w:id="27"/>
      </w:r>
      <w:r w:rsidRPr="00E556CD">
        <w:rPr>
          <w:rFonts w:ascii="Tahoma" w:hAnsi="Tahoma" w:cs="Tahoma" w:hint="cs"/>
          <w:sz w:val="17"/>
          <w:szCs w:val="17"/>
          <w:rtl/>
        </w:rPr>
        <w:t xml:space="preserve"> כי "הושגה הסכמה על הפעלת הקבורה האזרחית בירושלים על ידי חברות קבורה הפועלות היום בתחומי הר המנוחות... לפי המתווה המוסכם, הרישיון [רישיון הקבורה] יהיה של החברה שתיבחר לשם מטרה זו, כאשר נבחן את האפשרות שההפעלה בפועל תהיה על ידי נציגי עמותה ייעודית, כגוף מבצע. לשם מתווה זה תידרש הקצאה מחודשת של השטח לחברה לענייני קבורה, שתישא ברישיון הקבורה לאותה קרקע"; עוד ציין המנכ"ל כי יש לכנס ישיבה לקידום היישום המעשי של המתווה ולגבש מסקנות בנושא בתוך 45 יום.</w:t>
      </w:r>
    </w:p>
    <w:p w:rsidR="00EF45C8" w:rsidRPr="00E556CD" w:rsidP="007E3D48">
      <w:pPr>
        <w:spacing w:line="240" w:lineRule="exact"/>
        <w:ind w:left="340" w:right="2268"/>
        <w:jc w:val="both"/>
        <w:rPr>
          <w:rFonts w:ascii="Tahoma" w:hAnsi="Tahoma" w:cs="Tahoma"/>
          <w:b/>
          <w:sz w:val="17"/>
          <w:szCs w:val="17"/>
          <w:rtl/>
        </w:rPr>
      </w:pPr>
      <w:r w:rsidRPr="00E556CD">
        <w:rPr>
          <w:rStyle w:val="Heading7Char"/>
          <w:rFonts w:ascii="Tahoma" w:hAnsi="Tahoma" w:cs="Tahoma" w:hint="eastAsia"/>
          <w:sz w:val="17"/>
          <w:szCs w:val="17"/>
          <w:rtl/>
        </w:rPr>
        <w:t>בית</w:t>
      </w:r>
      <w:r w:rsidRPr="00E556CD">
        <w:rPr>
          <w:rStyle w:val="Heading7Char"/>
          <w:rFonts w:ascii="Tahoma" w:hAnsi="Tahoma" w:cs="Tahoma"/>
          <w:sz w:val="17"/>
          <w:szCs w:val="17"/>
          <w:rtl/>
        </w:rPr>
        <w:t xml:space="preserve"> </w:t>
      </w:r>
      <w:r w:rsidRPr="00E556CD">
        <w:rPr>
          <w:rStyle w:val="Heading7Char"/>
          <w:rFonts w:ascii="Tahoma" w:hAnsi="Tahoma" w:cs="Tahoma" w:hint="eastAsia"/>
          <w:sz w:val="17"/>
          <w:szCs w:val="17"/>
          <w:rtl/>
        </w:rPr>
        <w:t>עלמין</w:t>
      </w:r>
      <w:r w:rsidRPr="00E556CD">
        <w:rPr>
          <w:rStyle w:val="Heading7Char"/>
          <w:rFonts w:ascii="Tahoma" w:hAnsi="Tahoma" w:cs="Tahoma"/>
          <w:sz w:val="17"/>
          <w:szCs w:val="17"/>
          <w:rtl/>
        </w:rPr>
        <w:t xml:space="preserve"> </w:t>
      </w:r>
      <w:r w:rsidRPr="00E556CD">
        <w:rPr>
          <w:rStyle w:val="Heading7Char"/>
          <w:rFonts w:ascii="Tahoma" w:hAnsi="Tahoma" w:cs="Tahoma" w:hint="eastAsia"/>
          <w:sz w:val="17"/>
          <w:szCs w:val="17"/>
          <w:rtl/>
        </w:rPr>
        <w:t>אזרחי</w:t>
      </w:r>
      <w:r w:rsidRPr="00E556CD">
        <w:rPr>
          <w:rStyle w:val="Heading7Char"/>
          <w:rFonts w:ascii="Tahoma" w:hAnsi="Tahoma" w:cs="Tahoma"/>
          <w:sz w:val="17"/>
          <w:szCs w:val="17"/>
          <w:rtl/>
        </w:rPr>
        <w:t xml:space="preserve"> </w:t>
      </w:r>
      <w:r w:rsidRPr="00E556CD">
        <w:rPr>
          <w:rStyle w:val="Heading7Char"/>
          <w:rFonts w:ascii="Tahoma" w:hAnsi="Tahoma" w:cs="Tahoma" w:hint="eastAsia"/>
          <w:sz w:val="17"/>
          <w:szCs w:val="17"/>
          <w:rtl/>
        </w:rPr>
        <w:t>בירקון</w:t>
      </w:r>
      <w:r w:rsidRPr="00E556CD">
        <w:rPr>
          <w:rStyle w:val="Heading7Char"/>
          <w:rFonts w:ascii="Tahoma" w:hAnsi="Tahoma" w:cs="Tahoma"/>
          <w:sz w:val="17"/>
          <w:szCs w:val="17"/>
          <w:rtl/>
        </w:rPr>
        <w:t xml:space="preserve"> - </w:t>
      </w:r>
      <w:r w:rsidRPr="00E556CD">
        <w:rPr>
          <w:rStyle w:val="Heading7Char"/>
          <w:rFonts w:ascii="Tahoma" w:hAnsi="Tahoma" w:cs="Tahoma" w:hint="eastAsia"/>
          <w:sz w:val="17"/>
          <w:szCs w:val="17"/>
          <w:rtl/>
        </w:rPr>
        <w:t>פתח</w:t>
      </w:r>
      <w:r w:rsidRPr="00E556CD">
        <w:rPr>
          <w:rStyle w:val="Heading7Char"/>
          <w:rFonts w:ascii="Tahoma" w:hAnsi="Tahoma" w:cs="Tahoma"/>
          <w:sz w:val="17"/>
          <w:szCs w:val="17"/>
          <w:rtl/>
        </w:rPr>
        <w:t xml:space="preserve"> </w:t>
      </w:r>
      <w:r w:rsidRPr="00E556CD">
        <w:rPr>
          <w:rStyle w:val="Heading7Char"/>
          <w:rFonts w:ascii="Tahoma" w:hAnsi="Tahoma" w:cs="Tahoma" w:hint="eastAsia"/>
          <w:sz w:val="17"/>
          <w:szCs w:val="17"/>
          <w:rtl/>
        </w:rPr>
        <w:t>תקווה</w:t>
      </w:r>
      <w:r w:rsidRPr="00E556CD">
        <w:rPr>
          <w:rStyle w:val="Heading7Char"/>
          <w:rFonts w:ascii="Tahoma" w:hAnsi="Tahoma" w:cs="Tahoma"/>
          <w:sz w:val="17"/>
          <w:szCs w:val="17"/>
          <w:rtl/>
        </w:rPr>
        <w:t>:</w:t>
      </w:r>
      <w:r w:rsidRPr="00E556CD">
        <w:rPr>
          <w:rFonts w:ascii="Tahoma" w:hAnsi="Tahoma" w:cs="Tahoma"/>
          <w:b/>
          <w:sz w:val="17"/>
          <w:szCs w:val="17"/>
          <w:rtl/>
        </w:rPr>
        <w:t xml:space="preserve"> בשנת 2011 הקצתה </w:t>
      </w:r>
      <w:r w:rsidRPr="00E556CD">
        <w:rPr>
          <w:rFonts w:ascii="Tahoma" w:hAnsi="Tahoma" w:cs="Tahoma" w:hint="cs"/>
          <w:b/>
          <w:sz w:val="17"/>
          <w:szCs w:val="17"/>
          <w:rtl/>
        </w:rPr>
        <w:t>רמ</w:t>
      </w:r>
      <w:r w:rsidRPr="00E556CD">
        <w:rPr>
          <w:rFonts w:ascii="Tahoma" w:hAnsi="Tahoma" w:cs="Tahoma"/>
          <w:b/>
          <w:sz w:val="17"/>
          <w:szCs w:val="17"/>
          <w:rtl/>
        </w:rPr>
        <w:t>"י</w:t>
      </w:r>
      <w:r w:rsidRPr="00E556CD">
        <w:rPr>
          <w:rFonts w:ascii="Tahoma" w:hAnsi="Tahoma" w:cs="Tahoma"/>
          <w:b/>
          <w:sz w:val="17"/>
          <w:szCs w:val="17"/>
          <w:rtl/>
        </w:rPr>
        <w:t xml:space="preserve"> ל</w:t>
      </w:r>
      <w:r w:rsidRPr="00E556CD">
        <w:rPr>
          <w:rFonts w:ascii="Tahoma" w:hAnsi="Tahoma" w:cs="Tahoma" w:hint="cs"/>
          <w:b/>
          <w:sz w:val="17"/>
          <w:szCs w:val="17"/>
          <w:rtl/>
        </w:rPr>
        <w:t>חברת</w:t>
      </w:r>
      <w:r w:rsidRPr="00E556CD">
        <w:rPr>
          <w:rFonts w:ascii="Tahoma" w:hAnsi="Tahoma" w:cs="Tahoma"/>
          <w:b/>
          <w:sz w:val="17"/>
          <w:szCs w:val="17"/>
          <w:rtl/>
        </w:rPr>
        <w:t xml:space="preserve"> ק</w:t>
      </w:r>
      <w:r w:rsidRPr="00E556CD">
        <w:rPr>
          <w:rFonts w:ascii="Tahoma" w:hAnsi="Tahoma" w:cs="Tahoma" w:hint="cs"/>
          <w:b/>
          <w:sz w:val="17"/>
          <w:szCs w:val="17"/>
          <w:rtl/>
        </w:rPr>
        <w:t>בורה ב</w:t>
      </w:r>
      <w:r w:rsidRPr="00E556CD">
        <w:rPr>
          <w:rFonts w:ascii="Tahoma" w:hAnsi="Tahoma" w:cs="Tahoma"/>
          <w:b/>
          <w:sz w:val="17"/>
          <w:szCs w:val="17"/>
          <w:rtl/>
        </w:rPr>
        <w:t>פתח תקו</w:t>
      </w:r>
      <w:r w:rsidRPr="00E556CD">
        <w:rPr>
          <w:rFonts w:ascii="Tahoma" w:hAnsi="Tahoma" w:cs="Tahoma" w:hint="cs"/>
          <w:b/>
          <w:sz w:val="17"/>
          <w:szCs w:val="17"/>
          <w:rtl/>
        </w:rPr>
        <w:t>ו</w:t>
      </w:r>
      <w:r w:rsidRPr="00E556CD">
        <w:rPr>
          <w:rFonts w:ascii="Tahoma" w:hAnsi="Tahoma" w:cs="Tahoma"/>
          <w:b/>
          <w:sz w:val="17"/>
          <w:szCs w:val="17"/>
          <w:rtl/>
        </w:rPr>
        <w:t>ה שטח של 89 דונם</w:t>
      </w:r>
      <w:r w:rsidRPr="00E556CD">
        <w:rPr>
          <w:rFonts w:ascii="Tahoma" w:hAnsi="Tahoma" w:cs="Tahoma" w:hint="cs"/>
          <w:b/>
          <w:sz w:val="17"/>
          <w:szCs w:val="17"/>
          <w:rtl/>
        </w:rPr>
        <w:t>,</w:t>
      </w:r>
      <w:r w:rsidRPr="00E556CD">
        <w:rPr>
          <w:rFonts w:ascii="Tahoma" w:hAnsi="Tahoma" w:cs="Tahoma"/>
          <w:b/>
          <w:sz w:val="17"/>
          <w:szCs w:val="17"/>
          <w:rtl/>
        </w:rPr>
        <w:t xml:space="preserve"> </w:t>
      </w:r>
      <w:r w:rsidRPr="00E556CD">
        <w:rPr>
          <w:rFonts w:ascii="Tahoma" w:hAnsi="Tahoma" w:cs="Tahoma" w:hint="cs"/>
          <w:b/>
          <w:sz w:val="17"/>
          <w:szCs w:val="17"/>
          <w:rtl/>
        </w:rPr>
        <w:t>ומכלל זה</w:t>
      </w:r>
      <w:r w:rsidRPr="00E556CD">
        <w:rPr>
          <w:rFonts w:ascii="Tahoma" w:hAnsi="Tahoma" w:cs="Tahoma"/>
          <w:b/>
          <w:sz w:val="17"/>
          <w:szCs w:val="17"/>
          <w:rtl/>
        </w:rPr>
        <w:t xml:space="preserve"> 10 </w:t>
      </w:r>
      <w:r w:rsidRPr="00E556CD">
        <w:rPr>
          <w:rFonts w:ascii="Tahoma" w:hAnsi="Tahoma" w:cs="Tahoma" w:hint="cs"/>
          <w:b/>
          <w:sz w:val="17"/>
          <w:szCs w:val="17"/>
          <w:rtl/>
        </w:rPr>
        <w:t>דונם</w:t>
      </w:r>
      <w:r w:rsidRPr="00E556CD">
        <w:rPr>
          <w:rFonts w:ascii="Tahoma" w:hAnsi="Tahoma" w:cs="Tahoma"/>
          <w:b/>
          <w:sz w:val="17"/>
          <w:szCs w:val="17"/>
          <w:rtl/>
        </w:rPr>
        <w:t xml:space="preserve"> </w:t>
      </w:r>
      <w:r w:rsidRPr="00E556CD">
        <w:rPr>
          <w:rFonts w:ascii="Tahoma" w:hAnsi="Tahoma" w:cs="Tahoma" w:hint="cs"/>
          <w:b/>
          <w:sz w:val="17"/>
          <w:szCs w:val="17"/>
          <w:rtl/>
        </w:rPr>
        <w:t>נמסרו</w:t>
      </w:r>
      <w:r w:rsidRPr="00E556CD">
        <w:rPr>
          <w:rFonts w:ascii="Tahoma" w:hAnsi="Tahoma" w:cs="Tahoma"/>
          <w:b/>
          <w:sz w:val="17"/>
          <w:szCs w:val="17"/>
          <w:rtl/>
        </w:rPr>
        <w:t xml:space="preserve"> </w:t>
      </w:r>
      <w:r w:rsidRPr="00E556CD">
        <w:rPr>
          <w:rFonts w:ascii="Tahoma" w:hAnsi="Tahoma" w:cs="Tahoma" w:hint="cs"/>
          <w:b/>
          <w:sz w:val="17"/>
          <w:szCs w:val="17"/>
          <w:rtl/>
        </w:rPr>
        <w:t>בהסכם</w:t>
      </w:r>
      <w:r w:rsidRPr="00E556CD">
        <w:rPr>
          <w:rFonts w:ascii="Tahoma" w:hAnsi="Tahoma" w:cs="Tahoma"/>
          <w:b/>
          <w:sz w:val="17"/>
          <w:szCs w:val="17"/>
          <w:rtl/>
        </w:rPr>
        <w:t xml:space="preserve"> </w:t>
      </w:r>
      <w:r w:rsidRPr="00E556CD">
        <w:rPr>
          <w:rFonts w:ascii="Tahoma" w:hAnsi="Tahoma" w:cs="Tahoma" w:hint="cs"/>
          <w:b/>
          <w:sz w:val="17"/>
          <w:szCs w:val="17"/>
          <w:rtl/>
        </w:rPr>
        <w:t>בין</w:t>
      </w:r>
      <w:r w:rsidRPr="00E556CD">
        <w:rPr>
          <w:rFonts w:ascii="Tahoma" w:hAnsi="Tahoma" w:cs="Tahoma"/>
          <w:b/>
          <w:sz w:val="17"/>
          <w:szCs w:val="17"/>
          <w:rtl/>
        </w:rPr>
        <w:t xml:space="preserve"> </w:t>
      </w:r>
      <w:r w:rsidRPr="00E556CD">
        <w:rPr>
          <w:rFonts w:ascii="Tahoma" w:hAnsi="Tahoma" w:cs="Tahoma" w:hint="cs"/>
          <w:b/>
          <w:sz w:val="17"/>
          <w:szCs w:val="17"/>
          <w:rtl/>
        </w:rPr>
        <w:t>חברת</w:t>
      </w:r>
      <w:r w:rsidRPr="00E556CD">
        <w:rPr>
          <w:rFonts w:ascii="Tahoma" w:hAnsi="Tahoma" w:cs="Tahoma"/>
          <w:b/>
          <w:sz w:val="17"/>
          <w:szCs w:val="17"/>
          <w:rtl/>
        </w:rPr>
        <w:t xml:space="preserve"> </w:t>
      </w:r>
      <w:r w:rsidRPr="00E556CD">
        <w:rPr>
          <w:rFonts w:ascii="Tahoma" w:hAnsi="Tahoma" w:cs="Tahoma" w:hint="cs"/>
          <w:b/>
          <w:sz w:val="17"/>
          <w:szCs w:val="17"/>
          <w:rtl/>
        </w:rPr>
        <w:t>הקבורה</w:t>
      </w:r>
      <w:r w:rsidRPr="00E556CD">
        <w:rPr>
          <w:rFonts w:ascii="Tahoma" w:hAnsi="Tahoma" w:cs="Tahoma"/>
          <w:b/>
          <w:sz w:val="17"/>
          <w:szCs w:val="17"/>
          <w:rtl/>
        </w:rPr>
        <w:t xml:space="preserve"> ל</w:t>
      </w:r>
      <w:r w:rsidRPr="00E556CD">
        <w:rPr>
          <w:rFonts w:ascii="Tahoma" w:hAnsi="Tahoma" w:cs="Tahoma" w:hint="cs"/>
          <w:b/>
          <w:sz w:val="17"/>
          <w:szCs w:val="17"/>
          <w:rtl/>
        </w:rPr>
        <w:t>תאגיד קבורה (אזרחית) להקמת</w:t>
      </w:r>
      <w:r w:rsidRPr="00E556CD">
        <w:rPr>
          <w:rFonts w:ascii="Tahoma" w:hAnsi="Tahoma" w:cs="Tahoma"/>
          <w:b/>
          <w:sz w:val="17"/>
          <w:szCs w:val="17"/>
          <w:rtl/>
        </w:rPr>
        <w:t xml:space="preserve"> </w:t>
      </w:r>
      <w:r w:rsidRPr="00E556CD">
        <w:rPr>
          <w:rFonts w:ascii="Tahoma" w:hAnsi="Tahoma" w:cs="Tahoma" w:hint="cs"/>
          <w:b/>
          <w:sz w:val="17"/>
          <w:szCs w:val="17"/>
          <w:rtl/>
        </w:rPr>
        <w:t>כ</w:t>
      </w:r>
      <w:r w:rsidRPr="00E556CD">
        <w:rPr>
          <w:rFonts w:ascii="Tahoma" w:hAnsi="Tahoma" w:cs="Tahoma"/>
          <w:b/>
          <w:sz w:val="17"/>
          <w:szCs w:val="17"/>
          <w:rtl/>
        </w:rPr>
        <w:t xml:space="preserve">-10,000 </w:t>
      </w:r>
      <w:r w:rsidRPr="00E556CD">
        <w:rPr>
          <w:rFonts w:ascii="Tahoma" w:hAnsi="Tahoma" w:cs="Tahoma" w:hint="cs"/>
          <w:b/>
          <w:sz w:val="17"/>
          <w:szCs w:val="17"/>
          <w:rtl/>
        </w:rPr>
        <w:t>מקומות</w:t>
      </w:r>
      <w:r w:rsidRPr="00E556CD">
        <w:rPr>
          <w:rFonts w:ascii="Tahoma" w:hAnsi="Tahoma" w:cs="Tahoma"/>
          <w:b/>
          <w:sz w:val="17"/>
          <w:szCs w:val="17"/>
          <w:rtl/>
        </w:rPr>
        <w:t xml:space="preserve"> </w:t>
      </w:r>
      <w:r w:rsidRPr="00E556CD">
        <w:rPr>
          <w:rFonts w:ascii="Tahoma" w:hAnsi="Tahoma" w:cs="Tahoma" w:hint="cs"/>
          <w:b/>
          <w:sz w:val="17"/>
          <w:szCs w:val="17"/>
          <w:rtl/>
        </w:rPr>
        <w:t>קבורה</w:t>
      </w:r>
      <w:r w:rsidRPr="00E556CD">
        <w:rPr>
          <w:rFonts w:ascii="Tahoma" w:hAnsi="Tahoma" w:cs="Tahoma"/>
          <w:b/>
          <w:sz w:val="17"/>
          <w:szCs w:val="17"/>
          <w:rtl/>
        </w:rPr>
        <w:t xml:space="preserve">. </w:t>
      </w:r>
      <w:r w:rsidRPr="00E556CD">
        <w:rPr>
          <w:rFonts w:ascii="Tahoma" w:hAnsi="Tahoma" w:cs="Tahoma" w:hint="cs"/>
          <w:b/>
          <w:sz w:val="17"/>
          <w:szCs w:val="17"/>
          <w:rtl/>
        </w:rPr>
        <w:t>העלות</w:t>
      </w:r>
      <w:r w:rsidRPr="00E556CD">
        <w:rPr>
          <w:rFonts w:ascii="Tahoma" w:hAnsi="Tahoma" w:cs="Tahoma"/>
          <w:b/>
          <w:sz w:val="17"/>
          <w:szCs w:val="17"/>
          <w:rtl/>
        </w:rPr>
        <w:t xml:space="preserve"> </w:t>
      </w:r>
      <w:r w:rsidRPr="00E556CD">
        <w:rPr>
          <w:rFonts w:ascii="Tahoma" w:hAnsi="Tahoma" w:cs="Tahoma" w:hint="cs"/>
          <w:b/>
          <w:sz w:val="17"/>
          <w:szCs w:val="17"/>
          <w:rtl/>
        </w:rPr>
        <w:t>של</w:t>
      </w:r>
      <w:r w:rsidRPr="00E556CD">
        <w:rPr>
          <w:rFonts w:ascii="Tahoma" w:hAnsi="Tahoma" w:cs="Tahoma"/>
          <w:b/>
          <w:sz w:val="17"/>
          <w:szCs w:val="17"/>
          <w:rtl/>
        </w:rPr>
        <w:t xml:space="preserve"> </w:t>
      </w:r>
      <w:r w:rsidRPr="00E556CD">
        <w:rPr>
          <w:rFonts w:ascii="Tahoma" w:hAnsi="Tahoma" w:cs="Tahoma" w:hint="cs"/>
          <w:b/>
          <w:sz w:val="17"/>
          <w:szCs w:val="17"/>
          <w:rtl/>
        </w:rPr>
        <w:t>הקמת</w:t>
      </w:r>
      <w:r w:rsidRPr="00E556CD">
        <w:rPr>
          <w:rFonts w:ascii="Tahoma" w:hAnsi="Tahoma" w:cs="Tahoma"/>
          <w:b/>
          <w:sz w:val="17"/>
          <w:szCs w:val="17"/>
          <w:rtl/>
        </w:rPr>
        <w:t xml:space="preserve"> </w:t>
      </w:r>
      <w:r w:rsidRPr="00E556CD">
        <w:rPr>
          <w:rFonts w:ascii="Tahoma" w:hAnsi="Tahoma" w:cs="Tahoma" w:hint="cs"/>
          <w:b/>
          <w:sz w:val="17"/>
          <w:szCs w:val="17"/>
          <w:rtl/>
        </w:rPr>
        <w:t>בית</w:t>
      </w:r>
      <w:r w:rsidRPr="00E556CD">
        <w:rPr>
          <w:rFonts w:ascii="Tahoma" w:hAnsi="Tahoma" w:cs="Tahoma"/>
          <w:b/>
          <w:sz w:val="17"/>
          <w:szCs w:val="17"/>
          <w:rtl/>
        </w:rPr>
        <w:t xml:space="preserve"> </w:t>
      </w:r>
      <w:r w:rsidRPr="00E556CD">
        <w:rPr>
          <w:rFonts w:ascii="Tahoma" w:hAnsi="Tahoma" w:cs="Tahoma" w:hint="cs"/>
          <w:b/>
          <w:sz w:val="17"/>
          <w:szCs w:val="17"/>
          <w:rtl/>
        </w:rPr>
        <w:t>העלמין</w:t>
      </w:r>
      <w:r w:rsidRPr="00E556CD">
        <w:rPr>
          <w:rFonts w:ascii="Tahoma" w:hAnsi="Tahoma" w:cs="Tahoma"/>
          <w:b/>
          <w:sz w:val="17"/>
          <w:szCs w:val="17"/>
          <w:rtl/>
        </w:rPr>
        <w:t xml:space="preserve"> </w:t>
      </w:r>
      <w:r w:rsidRPr="00E556CD">
        <w:rPr>
          <w:rFonts w:ascii="Tahoma" w:hAnsi="Tahoma" w:cs="Tahoma" w:hint="cs"/>
          <w:b/>
          <w:sz w:val="17"/>
          <w:szCs w:val="17"/>
          <w:rtl/>
        </w:rPr>
        <w:t>האזרחי</w:t>
      </w:r>
      <w:r w:rsidRPr="00E556CD">
        <w:rPr>
          <w:rFonts w:ascii="Tahoma" w:hAnsi="Tahoma" w:cs="Tahoma"/>
          <w:b/>
          <w:sz w:val="17"/>
          <w:szCs w:val="17"/>
          <w:rtl/>
        </w:rPr>
        <w:t xml:space="preserve"> </w:t>
      </w:r>
      <w:r w:rsidRPr="00E556CD">
        <w:rPr>
          <w:rFonts w:ascii="Tahoma" w:hAnsi="Tahoma" w:cs="Tahoma" w:hint="cs"/>
          <w:b/>
          <w:sz w:val="17"/>
          <w:szCs w:val="17"/>
          <w:rtl/>
        </w:rPr>
        <w:t>נאמדה</w:t>
      </w:r>
      <w:r w:rsidRPr="00E556CD">
        <w:rPr>
          <w:rFonts w:ascii="Tahoma" w:hAnsi="Tahoma" w:cs="Tahoma"/>
          <w:b/>
          <w:sz w:val="17"/>
          <w:szCs w:val="17"/>
          <w:rtl/>
        </w:rPr>
        <w:t xml:space="preserve"> </w:t>
      </w:r>
      <w:r w:rsidRPr="00E556CD">
        <w:rPr>
          <w:rFonts w:ascii="Tahoma" w:hAnsi="Tahoma" w:cs="Tahoma" w:hint="cs"/>
          <w:b/>
          <w:sz w:val="17"/>
          <w:szCs w:val="17"/>
          <w:rtl/>
        </w:rPr>
        <w:t>בכ</w:t>
      </w:r>
      <w:r w:rsidRPr="00E556CD">
        <w:rPr>
          <w:rFonts w:ascii="Tahoma" w:hAnsi="Tahoma" w:cs="Tahoma"/>
          <w:b/>
          <w:sz w:val="17"/>
          <w:szCs w:val="17"/>
          <w:rtl/>
        </w:rPr>
        <w:t xml:space="preserve">-60 </w:t>
      </w:r>
      <w:r w:rsidRPr="00E556CD">
        <w:rPr>
          <w:rFonts w:ascii="Tahoma" w:hAnsi="Tahoma" w:cs="Tahoma" w:hint="cs"/>
          <w:b/>
          <w:sz w:val="17"/>
          <w:szCs w:val="17"/>
          <w:rtl/>
        </w:rPr>
        <w:t>מיליון</w:t>
      </w:r>
      <w:r w:rsidRPr="00E556CD">
        <w:rPr>
          <w:rFonts w:ascii="Tahoma" w:hAnsi="Tahoma" w:cs="Tahoma"/>
          <w:b/>
          <w:sz w:val="17"/>
          <w:szCs w:val="17"/>
          <w:rtl/>
        </w:rPr>
        <w:t xml:space="preserve"> </w:t>
      </w:r>
      <w:r w:rsidRPr="00E556CD">
        <w:rPr>
          <w:rFonts w:ascii="Tahoma" w:hAnsi="Tahoma" w:cs="Tahoma" w:hint="cs"/>
          <w:b/>
          <w:sz w:val="17"/>
          <w:szCs w:val="17"/>
          <w:rtl/>
        </w:rPr>
        <w:t>ש</w:t>
      </w:r>
      <w:r w:rsidRPr="00E556CD">
        <w:rPr>
          <w:rFonts w:ascii="Tahoma" w:hAnsi="Tahoma" w:cs="Tahoma"/>
          <w:b/>
          <w:sz w:val="17"/>
          <w:szCs w:val="17"/>
          <w:rtl/>
        </w:rPr>
        <w:t xml:space="preserve">"ח, </w:t>
      </w:r>
      <w:r w:rsidRPr="00E556CD">
        <w:rPr>
          <w:rFonts w:ascii="Tahoma" w:hAnsi="Tahoma" w:cs="Tahoma" w:hint="cs"/>
          <w:b/>
          <w:sz w:val="17"/>
          <w:szCs w:val="17"/>
          <w:rtl/>
        </w:rPr>
        <w:t>לרבות</w:t>
      </w:r>
      <w:r w:rsidRPr="00E556CD">
        <w:rPr>
          <w:rFonts w:ascii="Tahoma" w:hAnsi="Tahoma" w:cs="Tahoma"/>
          <w:b/>
          <w:sz w:val="17"/>
          <w:szCs w:val="17"/>
          <w:rtl/>
        </w:rPr>
        <w:t xml:space="preserve"> </w:t>
      </w:r>
      <w:r w:rsidRPr="00E556CD">
        <w:rPr>
          <w:rFonts w:ascii="Tahoma" w:hAnsi="Tahoma" w:cs="Tahoma" w:hint="cs"/>
          <w:b/>
          <w:sz w:val="17"/>
          <w:szCs w:val="17"/>
          <w:rtl/>
        </w:rPr>
        <w:t>עלות הקמתו של גשר</w:t>
      </w:r>
      <w:r w:rsidRPr="00E556CD">
        <w:rPr>
          <w:rFonts w:ascii="Tahoma" w:hAnsi="Tahoma" w:cs="Tahoma"/>
          <w:b/>
          <w:sz w:val="17"/>
          <w:szCs w:val="17"/>
          <w:rtl/>
        </w:rPr>
        <w:t xml:space="preserve"> </w:t>
      </w:r>
      <w:r w:rsidRPr="00E556CD">
        <w:rPr>
          <w:rFonts w:ascii="Tahoma" w:hAnsi="Tahoma" w:cs="Tahoma" w:hint="cs"/>
          <w:b/>
          <w:sz w:val="17"/>
          <w:szCs w:val="17"/>
          <w:rtl/>
        </w:rPr>
        <w:t>שנאמדה</w:t>
      </w:r>
      <w:r w:rsidRPr="00E556CD">
        <w:rPr>
          <w:rFonts w:ascii="Tahoma" w:hAnsi="Tahoma" w:cs="Tahoma"/>
          <w:b/>
          <w:sz w:val="17"/>
          <w:szCs w:val="17"/>
          <w:rtl/>
        </w:rPr>
        <w:t xml:space="preserve"> </w:t>
      </w:r>
      <w:r w:rsidRPr="00E556CD">
        <w:rPr>
          <w:rFonts w:ascii="Tahoma" w:hAnsi="Tahoma" w:cs="Tahoma" w:hint="cs"/>
          <w:b/>
          <w:sz w:val="17"/>
          <w:szCs w:val="17"/>
          <w:rtl/>
        </w:rPr>
        <w:t>ב</w:t>
      </w:r>
      <w:r w:rsidRPr="00E556CD">
        <w:rPr>
          <w:rFonts w:ascii="Tahoma" w:hAnsi="Tahoma" w:cs="Tahoma"/>
          <w:b/>
          <w:sz w:val="17"/>
          <w:szCs w:val="17"/>
          <w:rtl/>
        </w:rPr>
        <w:t xml:space="preserve">-7.4 </w:t>
      </w:r>
      <w:r w:rsidRPr="00E556CD">
        <w:rPr>
          <w:rFonts w:ascii="Tahoma" w:hAnsi="Tahoma" w:cs="Tahoma" w:hint="cs"/>
          <w:b/>
          <w:sz w:val="17"/>
          <w:szCs w:val="17"/>
          <w:rtl/>
        </w:rPr>
        <w:t>מיליון</w:t>
      </w:r>
      <w:r w:rsidRPr="00E556CD">
        <w:rPr>
          <w:rFonts w:ascii="Tahoma" w:hAnsi="Tahoma" w:cs="Tahoma"/>
          <w:b/>
          <w:sz w:val="17"/>
          <w:szCs w:val="17"/>
          <w:rtl/>
        </w:rPr>
        <w:t xml:space="preserve"> </w:t>
      </w:r>
      <w:r w:rsidRPr="00E556CD">
        <w:rPr>
          <w:rFonts w:ascii="Tahoma" w:hAnsi="Tahoma" w:cs="Tahoma" w:hint="cs"/>
          <w:b/>
          <w:sz w:val="17"/>
          <w:szCs w:val="17"/>
          <w:rtl/>
        </w:rPr>
        <w:t>ש</w:t>
      </w:r>
      <w:r w:rsidRPr="00E556CD">
        <w:rPr>
          <w:rFonts w:ascii="Tahoma" w:hAnsi="Tahoma" w:cs="Tahoma"/>
          <w:b/>
          <w:sz w:val="17"/>
          <w:szCs w:val="17"/>
          <w:rtl/>
        </w:rPr>
        <w:t xml:space="preserve">"ח. </w:t>
      </w:r>
      <w:r w:rsidRPr="00E556CD">
        <w:rPr>
          <w:rFonts w:ascii="Tahoma" w:hAnsi="Tahoma" w:cs="Tahoma" w:hint="cs"/>
          <w:b/>
          <w:sz w:val="17"/>
          <w:szCs w:val="17"/>
          <w:rtl/>
        </w:rPr>
        <w:t>עקב</w:t>
      </w:r>
      <w:r w:rsidRPr="00E556CD">
        <w:rPr>
          <w:rFonts w:ascii="Tahoma" w:hAnsi="Tahoma" w:cs="Tahoma"/>
          <w:b/>
          <w:sz w:val="17"/>
          <w:szCs w:val="17"/>
          <w:rtl/>
        </w:rPr>
        <w:t xml:space="preserve"> </w:t>
      </w:r>
      <w:r w:rsidRPr="00E556CD">
        <w:rPr>
          <w:rFonts w:ascii="Tahoma" w:hAnsi="Tahoma" w:cs="Tahoma" w:hint="cs"/>
          <w:b/>
          <w:sz w:val="17"/>
          <w:szCs w:val="17"/>
          <w:rtl/>
        </w:rPr>
        <w:t>חוסר</w:t>
      </w:r>
      <w:r w:rsidRPr="00E556CD">
        <w:rPr>
          <w:rFonts w:ascii="Tahoma" w:hAnsi="Tahoma" w:cs="Tahoma"/>
          <w:b/>
          <w:sz w:val="17"/>
          <w:szCs w:val="17"/>
          <w:rtl/>
        </w:rPr>
        <w:t xml:space="preserve"> </w:t>
      </w:r>
      <w:r w:rsidRPr="00E556CD">
        <w:rPr>
          <w:rFonts w:ascii="Tahoma" w:hAnsi="Tahoma" w:cs="Tahoma" w:hint="cs"/>
          <w:b/>
          <w:sz w:val="17"/>
          <w:szCs w:val="17"/>
          <w:rtl/>
        </w:rPr>
        <w:t>במקורות</w:t>
      </w:r>
      <w:r w:rsidRPr="00E556CD">
        <w:rPr>
          <w:rFonts w:ascii="Tahoma" w:hAnsi="Tahoma" w:cs="Tahoma"/>
          <w:b/>
          <w:sz w:val="17"/>
          <w:szCs w:val="17"/>
          <w:rtl/>
        </w:rPr>
        <w:t xml:space="preserve"> </w:t>
      </w:r>
      <w:r w:rsidRPr="00E556CD">
        <w:rPr>
          <w:rFonts w:ascii="Tahoma" w:hAnsi="Tahoma" w:cs="Tahoma" w:hint="cs"/>
          <w:b/>
          <w:sz w:val="17"/>
          <w:szCs w:val="17"/>
          <w:rtl/>
        </w:rPr>
        <w:t>מימון</w:t>
      </w:r>
      <w:r w:rsidRPr="00E556CD">
        <w:rPr>
          <w:rFonts w:ascii="Tahoma" w:hAnsi="Tahoma" w:cs="Tahoma"/>
          <w:b/>
          <w:sz w:val="17"/>
          <w:szCs w:val="17"/>
          <w:rtl/>
        </w:rPr>
        <w:t xml:space="preserve"> </w:t>
      </w:r>
      <w:r w:rsidRPr="00E556CD">
        <w:rPr>
          <w:rFonts w:ascii="Tahoma" w:hAnsi="Tahoma" w:cs="Tahoma" w:hint="cs"/>
          <w:b/>
          <w:sz w:val="17"/>
          <w:szCs w:val="17"/>
          <w:rtl/>
        </w:rPr>
        <w:t>לתאגיד</w:t>
      </w:r>
      <w:r w:rsidRPr="00E556CD">
        <w:rPr>
          <w:rFonts w:ascii="Tahoma" w:hAnsi="Tahoma" w:cs="Tahoma"/>
          <w:b/>
          <w:sz w:val="17"/>
          <w:szCs w:val="17"/>
          <w:rtl/>
        </w:rPr>
        <w:t xml:space="preserve">, </w:t>
      </w:r>
      <w:r w:rsidRPr="00E556CD">
        <w:rPr>
          <w:rFonts w:ascii="Tahoma" w:hAnsi="Tahoma" w:cs="Tahoma" w:hint="cs"/>
          <w:b/>
          <w:sz w:val="17"/>
          <w:szCs w:val="17"/>
          <w:rtl/>
        </w:rPr>
        <w:t>העריך</w:t>
      </w:r>
      <w:r w:rsidRPr="00E556CD">
        <w:rPr>
          <w:rFonts w:ascii="Tahoma" w:hAnsi="Tahoma" w:cs="Tahoma"/>
          <w:b/>
          <w:sz w:val="17"/>
          <w:szCs w:val="17"/>
          <w:rtl/>
        </w:rPr>
        <w:t xml:space="preserve"> </w:t>
      </w:r>
      <w:r w:rsidRPr="00E556CD">
        <w:rPr>
          <w:rFonts w:ascii="Tahoma" w:hAnsi="Tahoma" w:cs="Tahoma" w:hint="cs"/>
          <w:b/>
          <w:sz w:val="17"/>
          <w:szCs w:val="17"/>
          <w:rtl/>
        </w:rPr>
        <w:t>הצוות</w:t>
      </w:r>
      <w:r w:rsidRPr="00E556CD">
        <w:rPr>
          <w:rFonts w:ascii="Tahoma" w:hAnsi="Tahoma" w:cs="Tahoma"/>
          <w:b/>
          <w:sz w:val="17"/>
          <w:szCs w:val="17"/>
          <w:rtl/>
        </w:rPr>
        <w:t xml:space="preserve"> </w:t>
      </w:r>
      <w:r w:rsidRPr="00E556CD">
        <w:rPr>
          <w:rFonts w:ascii="Tahoma" w:hAnsi="Tahoma" w:cs="Tahoma" w:hint="cs"/>
          <w:b/>
          <w:sz w:val="17"/>
          <w:szCs w:val="17"/>
          <w:rtl/>
        </w:rPr>
        <w:t>הבין-משרדי</w:t>
      </w:r>
      <w:r w:rsidRPr="00E556CD">
        <w:rPr>
          <w:rFonts w:ascii="Tahoma" w:hAnsi="Tahoma" w:cs="Tahoma"/>
          <w:b/>
          <w:sz w:val="17"/>
          <w:szCs w:val="17"/>
          <w:rtl/>
        </w:rPr>
        <w:t xml:space="preserve"> </w:t>
      </w:r>
      <w:r w:rsidRPr="00E556CD">
        <w:rPr>
          <w:rFonts w:ascii="Tahoma" w:hAnsi="Tahoma" w:cs="Tahoma" w:hint="cs"/>
          <w:b/>
          <w:sz w:val="17"/>
          <w:szCs w:val="17"/>
          <w:rtl/>
        </w:rPr>
        <w:t>בפנייתו</w:t>
      </w:r>
      <w:r w:rsidRPr="00E556CD">
        <w:rPr>
          <w:rFonts w:ascii="Tahoma" w:hAnsi="Tahoma" w:cs="Tahoma"/>
          <w:b/>
          <w:sz w:val="17"/>
          <w:szCs w:val="17"/>
          <w:rtl/>
        </w:rPr>
        <w:t xml:space="preserve"> </w:t>
      </w:r>
      <w:r w:rsidRPr="00E556CD">
        <w:rPr>
          <w:rFonts w:ascii="Tahoma" w:hAnsi="Tahoma" w:cs="Tahoma" w:hint="cs"/>
          <w:b/>
          <w:sz w:val="17"/>
          <w:szCs w:val="17"/>
          <w:rtl/>
        </w:rPr>
        <w:t>לאגף</w:t>
      </w:r>
      <w:r w:rsidRPr="00E556CD">
        <w:rPr>
          <w:rFonts w:ascii="Tahoma" w:hAnsi="Tahoma" w:cs="Tahoma"/>
          <w:b/>
          <w:sz w:val="17"/>
          <w:szCs w:val="17"/>
          <w:rtl/>
        </w:rPr>
        <w:t xml:space="preserve"> </w:t>
      </w:r>
      <w:r w:rsidRPr="00E556CD">
        <w:rPr>
          <w:rFonts w:ascii="Tahoma" w:hAnsi="Tahoma" w:cs="Tahoma" w:hint="cs"/>
          <w:b/>
          <w:sz w:val="17"/>
          <w:szCs w:val="17"/>
          <w:rtl/>
        </w:rPr>
        <w:t>התקציבים</w:t>
      </w:r>
      <w:r w:rsidRPr="00E556CD">
        <w:rPr>
          <w:rFonts w:ascii="Tahoma" w:hAnsi="Tahoma" w:cs="Tahoma"/>
          <w:b/>
          <w:sz w:val="17"/>
          <w:szCs w:val="17"/>
          <w:rtl/>
        </w:rPr>
        <w:t xml:space="preserve"> </w:t>
      </w:r>
      <w:r w:rsidRPr="00E556CD">
        <w:rPr>
          <w:rFonts w:ascii="Tahoma" w:hAnsi="Tahoma" w:cs="Tahoma" w:hint="cs"/>
          <w:b/>
          <w:sz w:val="17"/>
          <w:szCs w:val="17"/>
          <w:rtl/>
        </w:rPr>
        <w:t>מספטמבר</w:t>
      </w:r>
      <w:r w:rsidRPr="00E556CD">
        <w:rPr>
          <w:rFonts w:ascii="Tahoma" w:hAnsi="Tahoma" w:cs="Tahoma"/>
          <w:b/>
          <w:sz w:val="17"/>
          <w:szCs w:val="17"/>
          <w:rtl/>
        </w:rPr>
        <w:t xml:space="preserve"> 2014 </w:t>
      </w:r>
      <w:r w:rsidRPr="00E556CD">
        <w:rPr>
          <w:rFonts w:ascii="Tahoma" w:hAnsi="Tahoma" w:cs="Tahoma" w:hint="cs"/>
          <w:b/>
          <w:sz w:val="17"/>
          <w:szCs w:val="17"/>
          <w:rtl/>
        </w:rPr>
        <w:t>כי יש סבירות נמוכה שהתאגיד יצליח להקים את בית העלמין</w:t>
      </w:r>
      <w:r w:rsidRPr="00E556CD">
        <w:rPr>
          <w:rFonts w:ascii="Tahoma" w:hAnsi="Tahoma" w:cs="Tahoma"/>
          <w:b/>
          <w:sz w:val="17"/>
          <w:szCs w:val="17"/>
          <w:rtl/>
        </w:rPr>
        <w:t>.</w:t>
      </w:r>
    </w:p>
    <w:p w:rsidR="00EF45C8" w:rsidRPr="00E556CD" w:rsidP="00BF070A">
      <w:pPr>
        <w:spacing w:after="240" w:line="240" w:lineRule="exact"/>
        <w:ind w:left="340" w:right="2268"/>
        <w:jc w:val="both"/>
        <w:rPr>
          <w:rFonts w:ascii="Tahoma" w:hAnsi="Tahoma" w:cs="Tahoma"/>
          <w:b/>
          <w:sz w:val="17"/>
          <w:szCs w:val="17"/>
          <w:rtl/>
        </w:rPr>
      </w:pPr>
      <w:r w:rsidRPr="00E556CD">
        <w:rPr>
          <w:rStyle w:val="Heading7Char"/>
          <w:rFonts w:ascii="Tahoma" w:hAnsi="Tahoma" w:cs="Tahoma" w:hint="eastAsia"/>
          <w:sz w:val="17"/>
          <w:szCs w:val="17"/>
          <w:rtl/>
        </w:rPr>
        <w:t>בית</w:t>
      </w:r>
      <w:r w:rsidRPr="00E556CD">
        <w:rPr>
          <w:rStyle w:val="Heading7Char"/>
          <w:rFonts w:ascii="Tahoma" w:hAnsi="Tahoma" w:cs="Tahoma"/>
          <w:sz w:val="17"/>
          <w:szCs w:val="17"/>
          <w:rtl/>
        </w:rPr>
        <w:t xml:space="preserve"> </w:t>
      </w:r>
      <w:r w:rsidRPr="00E556CD">
        <w:rPr>
          <w:rStyle w:val="Heading7Char"/>
          <w:rFonts w:ascii="Tahoma" w:hAnsi="Tahoma" w:cs="Tahoma" w:hint="eastAsia"/>
          <w:sz w:val="17"/>
          <w:szCs w:val="17"/>
          <w:rtl/>
        </w:rPr>
        <w:t>עלמין</w:t>
      </w:r>
      <w:r w:rsidRPr="00E556CD">
        <w:rPr>
          <w:rStyle w:val="Heading7Char"/>
          <w:rFonts w:ascii="Tahoma" w:hAnsi="Tahoma" w:cs="Tahoma"/>
          <w:sz w:val="17"/>
          <w:szCs w:val="17"/>
          <w:rtl/>
        </w:rPr>
        <w:t xml:space="preserve"> </w:t>
      </w:r>
      <w:r w:rsidRPr="00E556CD">
        <w:rPr>
          <w:rStyle w:val="Heading7Char"/>
          <w:rFonts w:ascii="Tahoma" w:hAnsi="Tahoma" w:cs="Tahoma" w:hint="eastAsia"/>
          <w:sz w:val="17"/>
          <w:szCs w:val="17"/>
          <w:rtl/>
        </w:rPr>
        <w:t>אזרחי</w:t>
      </w:r>
      <w:r w:rsidRPr="00E556CD">
        <w:rPr>
          <w:rStyle w:val="Heading7Char"/>
          <w:rFonts w:ascii="Tahoma" w:hAnsi="Tahoma" w:cs="Tahoma"/>
          <w:sz w:val="17"/>
          <w:szCs w:val="17"/>
          <w:rtl/>
        </w:rPr>
        <w:t xml:space="preserve"> </w:t>
      </w:r>
      <w:r w:rsidRPr="00E556CD">
        <w:rPr>
          <w:rStyle w:val="Heading7Char"/>
          <w:rFonts w:ascii="Tahoma" w:hAnsi="Tahoma" w:cs="Tahoma" w:hint="eastAsia"/>
          <w:sz w:val="17"/>
          <w:szCs w:val="17"/>
          <w:rtl/>
        </w:rPr>
        <w:t>בתל</w:t>
      </w:r>
      <w:r w:rsidRPr="00E556CD">
        <w:rPr>
          <w:rStyle w:val="Heading7Char"/>
          <w:rFonts w:ascii="Tahoma" w:hAnsi="Tahoma" w:cs="Tahoma"/>
          <w:sz w:val="17"/>
          <w:szCs w:val="17"/>
          <w:rtl/>
        </w:rPr>
        <w:t xml:space="preserve"> </w:t>
      </w:r>
      <w:r w:rsidRPr="00E556CD">
        <w:rPr>
          <w:rStyle w:val="Heading7Char"/>
          <w:rFonts w:ascii="Tahoma" w:hAnsi="Tahoma" w:cs="Tahoma" w:hint="eastAsia"/>
          <w:sz w:val="17"/>
          <w:szCs w:val="17"/>
          <w:rtl/>
        </w:rPr>
        <w:t>רגב</w:t>
      </w:r>
      <w:r w:rsidRPr="00E556CD">
        <w:rPr>
          <w:rStyle w:val="Heading7Char"/>
          <w:rFonts w:ascii="Tahoma" w:hAnsi="Tahoma" w:cs="Tahoma"/>
          <w:sz w:val="17"/>
          <w:szCs w:val="17"/>
          <w:rtl/>
        </w:rPr>
        <w:t xml:space="preserve"> - </w:t>
      </w:r>
      <w:r w:rsidRPr="00E556CD">
        <w:rPr>
          <w:rStyle w:val="Heading7Char"/>
          <w:rFonts w:ascii="Tahoma" w:hAnsi="Tahoma" w:cs="Tahoma" w:hint="eastAsia"/>
          <w:sz w:val="17"/>
          <w:szCs w:val="17"/>
          <w:rtl/>
        </w:rPr>
        <w:t>חיפה</w:t>
      </w:r>
      <w:r w:rsidRPr="00E556CD">
        <w:rPr>
          <w:rStyle w:val="Heading7Char"/>
          <w:rFonts w:ascii="Tahoma" w:hAnsi="Tahoma" w:cs="Tahoma"/>
          <w:sz w:val="17"/>
          <w:szCs w:val="17"/>
          <w:rtl/>
        </w:rPr>
        <w:t>:</w:t>
      </w:r>
      <w:r w:rsidRPr="00E556CD">
        <w:rPr>
          <w:rFonts w:ascii="Tahoma" w:hAnsi="Tahoma" w:cs="Tahoma"/>
          <w:b/>
          <w:sz w:val="17"/>
          <w:szCs w:val="17"/>
          <w:rtl/>
        </w:rPr>
        <w:t xml:space="preserve"> בשנת 2007 הקצתה </w:t>
      </w:r>
      <w:r w:rsidRPr="00E556CD">
        <w:rPr>
          <w:rFonts w:ascii="Tahoma" w:hAnsi="Tahoma" w:cs="Tahoma" w:hint="cs"/>
          <w:b/>
          <w:sz w:val="17"/>
          <w:szCs w:val="17"/>
          <w:rtl/>
        </w:rPr>
        <w:t>רמ</w:t>
      </w:r>
      <w:r w:rsidRPr="00E556CD">
        <w:rPr>
          <w:rFonts w:ascii="Tahoma" w:hAnsi="Tahoma" w:cs="Tahoma"/>
          <w:b/>
          <w:sz w:val="17"/>
          <w:szCs w:val="17"/>
          <w:rtl/>
        </w:rPr>
        <w:t>"י</w:t>
      </w:r>
      <w:r w:rsidRPr="00E556CD">
        <w:rPr>
          <w:rFonts w:ascii="Tahoma" w:hAnsi="Tahoma" w:cs="Tahoma"/>
          <w:b/>
          <w:sz w:val="17"/>
          <w:szCs w:val="17"/>
          <w:rtl/>
        </w:rPr>
        <w:t xml:space="preserve"> ל</w:t>
      </w:r>
      <w:r w:rsidRPr="00E556CD">
        <w:rPr>
          <w:rFonts w:ascii="Tahoma" w:hAnsi="Tahoma" w:cs="Tahoma" w:hint="cs"/>
          <w:b/>
          <w:sz w:val="17"/>
          <w:szCs w:val="17"/>
          <w:rtl/>
        </w:rPr>
        <w:t xml:space="preserve">תאגיד קבורה בחיפה </w:t>
      </w:r>
      <w:r w:rsidRPr="00E556CD">
        <w:rPr>
          <w:rFonts w:ascii="Tahoma" w:hAnsi="Tahoma" w:cs="Tahoma"/>
          <w:b/>
          <w:sz w:val="17"/>
          <w:szCs w:val="17"/>
          <w:rtl/>
        </w:rPr>
        <w:t xml:space="preserve">קרקע בשטח של כ-50 </w:t>
      </w:r>
      <w:r w:rsidRPr="00E556CD">
        <w:rPr>
          <w:rFonts w:ascii="Tahoma" w:hAnsi="Tahoma" w:cs="Tahoma" w:hint="cs"/>
          <w:b/>
          <w:sz w:val="17"/>
          <w:szCs w:val="17"/>
          <w:rtl/>
        </w:rPr>
        <w:t>דונם</w:t>
      </w:r>
      <w:r w:rsidRPr="00E556CD">
        <w:rPr>
          <w:rFonts w:ascii="Tahoma" w:hAnsi="Tahoma" w:cs="Tahoma"/>
          <w:b/>
          <w:sz w:val="17"/>
          <w:szCs w:val="17"/>
          <w:rtl/>
        </w:rPr>
        <w:t xml:space="preserve"> </w:t>
      </w:r>
      <w:r w:rsidRPr="00E556CD">
        <w:rPr>
          <w:rFonts w:ascii="Tahoma" w:hAnsi="Tahoma" w:cs="Tahoma" w:hint="cs"/>
          <w:b/>
          <w:sz w:val="17"/>
          <w:szCs w:val="17"/>
          <w:rtl/>
        </w:rPr>
        <w:t>ל</w:t>
      </w:r>
      <w:r w:rsidRPr="00E556CD">
        <w:rPr>
          <w:rFonts w:ascii="Tahoma" w:hAnsi="Tahoma" w:cs="Tahoma"/>
          <w:b/>
          <w:sz w:val="17"/>
          <w:szCs w:val="17"/>
          <w:rtl/>
        </w:rPr>
        <w:t xml:space="preserve">הקמת בית עלמין אזרחי </w:t>
      </w:r>
      <w:r w:rsidRPr="00E556CD">
        <w:rPr>
          <w:rFonts w:ascii="Tahoma" w:hAnsi="Tahoma" w:cs="Tahoma" w:hint="cs"/>
          <w:b/>
          <w:sz w:val="17"/>
          <w:szCs w:val="17"/>
          <w:rtl/>
        </w:rPr>
        <w:t>ובו כ</w:t>
      </w:r>
      <w:r w:rsidRPr="00E556CD">
        <w:rPr>
          <w:rFonts w:ascii="Tahoma" w:hAnsi="Tahoma" w:cs="Tahoma"/>
          <w:b/>
          <w:sz w:val="17"/>
          <w:szCs w:val="17"/>
          <w:rtl/>
        </w:rPr>
        <w:t>-10,000 מקומות קבורה. בינואר 2008</w:t>
      </w:r>
      <w:r w:rsidRPr="00E556CD">
        <w:rPr>
          <w:rFonts w:ascii="Tahoma" w:hAnsi="Tahoma" w:cs="Tahoma" w:hint="cs"/>
          <w:b/>
          <w:sz w:val="17"/>
          <w:szCs w:val="17"/>
          <w:rtl/>
        </w:rPr>
        <w:t xml:space="preserve"> העניק</w:t>
      </w:r>
      <w:r w:rsidRPr="00E556CD">
        <w:rPr>
          <w:rFonts w:ascii="Tahoma" w:hAnsi="Tahoma" w:cs="Tahoma"/>
          <w:b/>
          <w:sz w:val="17"/>
          <w:szCs w:val="17"/>
          <w:rtl/>
        </w:rPr>
        <w:t xml:space="preserve"> המשרד ל</w:t>
      </w:r>
      <w:r w:rsidRPr="00E556CD">
        <w:rPr>
          <w:rFonts w:ascii="Tahoma" w:hAnsi="Tahoma" w:cs="Tahoma" w:hint="cs"/>
          <w:b/>
          <w:sz w:val="17"/>
          <w:szCs w:val="17"/>
          <w:rtl/>
        </w:rPr>
        <w:t xml:space="preserve">תאגיד </w:t>
      </w:r>
      <w:r w:rsidRPr="00E556CD">
        <w:rPr>
          <w:rFonts w:ascii="Tahoma" w:hAnsi="Tahoma" w:cs="Tahoma"/>
          <w:b/>
          <w:sz w:val="17"/>
          <w:szCs w:val="17"/>
          <w:rtl/>
        </w:rPr>
        <w:t xml:space="preserve">תמיכה בסך 1.75 מיליון </w:t>
      </w:r>
      <w:r w:rsidRPr="00E556CD">
        <w:rPr>
          <w:rFonts w:ascii="Tahoma" w:hAnsi="Tahoma" w:cs="Tahoma" w:hint="cs"/>
          <w:b/>
          <w:sz w:val="17"/>
          <w:szCs w:val="17"/>
          <w:rtl/>
        </w:rPr>
        <w:t>ש"ח</w:t>
      </w:r>
      <w:r w:rsidRPr="00E556CD">
        <w:rPr>
          <w:rFonts w:ascii="Tahoma" w:hAnsi="Tahoma" w:cs="Tahoma"/>
          <w:b/>
          <w:sz w:val="17"/>
          <w:szCs w:val="17"/>
          <w:rtl/>
        </w:rPr>
        <w:t xml:space="preserve"> להקמת הפרויקט. </w:t>
      </w:r>
      <w:r w:rsidRPr="00E556CD">
        <w:rPr>
          <w:rFonts w:ascii="Tahoma" w:hAnsi="Tahoma" w:cs="Tahoma" w:hint="cs"/>
          <w:b/>
          <w:sz w:val="17"/>
          <w:szCs w:val="17"/>
          <w:rtl/>
        </w:rPr>
        <w:t>לאחר</w:t>
      </w:r>
      <w:r w:rsidRPr="00E556CD">
        <w:rPr>
          <w:rFonts w:ascii="Tahoma" w:hAnsi="Tahoma" w:cs="Tahoma"/>
          <w:b/>
          <w:sz w:val="17"/>
          <w:szCs w:val="17"/>
          <w:rtl/>
        </w:rPr>
        <w:t xml:space="preserve"> </w:t>
      </w:r>
      <w:r w:rsidRPr="00E556CD">
        <w:rPr>
          <w:rFonts w:ascii="Tahoma" w:hAnsi="Tahoma" w:cs="Tahoma" w:hint="cs"/>
          <w:b/>
          <w:sz w:val="17"/>
          <w:szCs w:val="17"/>
          <w:rtl/>
        </w:rPr>
        <w:t>שנוצל</w:t>
      </w:r>
      <w:r w:rsidRPr="00E556CD">
        <w:rPr>
          <w:rFonts w:ascii="Tahoma" w:hAnsi="Tahoma" w:cs="Tahoma"/>
          <w:b/>
          <w:sz w:val="17"/>
          <w:szCs w:val="17"/>
          <w:rtl/>
        </w:rPr>
        <w:t xml:space="preserve"> </w:t>
      </w:r>
      <w:r w:rsidRPr="00E556CD">
        <w:rPr>
          <w:rFonts w:ascii="Tahoma" w:hAnsi="Tahoma" w:cs="Tahoma" w:hint="cs"/>
          <w:b/>
          <w:sz w:val="17"/>
          <w:szCs w:val="17"/>
          <w:rtl/>
        </w:rPr>
        <w:t>חלק</w:t>
      </w:r>
      <w:r w:rsidRPr="00E556CD">
        <w:rPr>
          <w:rFonts w:ascii="Tahoma" w:hAnsi="Tahoma" w:cs="Tahoma"/>
          <w:b/>
          <w:sz w:val="17"/>
          <w:szCs w:val="17"/>
          <w:rtl/>
        </w:rPr>
        <w:t xml:space="preserve"> </w:t>
      </w:r>
      <w:r w:rsidRPr="00E556CD">
        <w:rPr>
          <w:rFonts w:ascii="Tahoma" w:hAnsi="Tahoma" w:cs="Tahoma" w:hint="cs"/>
          <w:b/>
          <w:sz w:val="17"/>
          <w:szCs w:val="17"/>
          <w:rtl/>
        </w:rPr>
        <w:t>מ</w:t>
      </w:r>
      <w:r w:rsidRPr="00E556CD">
        <w:rPr>
          <w:rFonts w:ascii="Tahoma" w:hAnsi="Tahoma" w:cs="Tahoma"/>
          <w:b/>
          <w:sz w:val="17"/>
          <w:szCs w:val="17"/>
          <w:rtl/>
        </w:rPr>
        <w:t xml:space="preserve">התקציב הממשלתי שקיבל </w:t>
      </w:r>
      <w:r w:rsidRPr="00E556CD">
        <w:rPr>
          <w:rFonts w:ascii="Tahoma" w:hAnsi="Tahoma" w:cs="Tahoma" w:hint="cs"/>
          <w:b/>
          <w:sz w:val="17"/>
          <w:szCs w:val="17"/>
          <w:rtl/>
        </w:rPr>
        <w:t>התאגיד למימון</w:t>
      </w:r>
      <w:r w:rsidRPr="00E556CD">
        <w:rPr>
          <w:rFonts w:ascii="Tahoma" w:hAnsi="Tahoma" w:cs="Tahoma"/>
          <w:b/>
          <w:sz w:val="17"/>
          <w:szCs w:val="17"/>
          <w:rtl/>
        </w:rPr>
        <w:t xml:space="preserve"> הוצאות התכנון, </w:t>
      </w:r>
      <w:r w:rsidRPr="00E556CD">
        <w:rPr>
          <w:rFonts w:ascii="Tahoma" w:hAnsi="Tahoma" w:cs="Tahoma" w:hint="cs"/>
          <w:b/>
          <w:sz w:val="17"/>
          <w:szCs w:val="17"/>
          <w:rtl/>
        </w:rPr>
        <w:t>ל</w:t>
      </w:r>
      <w:r w:rsidRPr="00E556CD">
        <w:rPr>
          <w:rFonts w:ascii="Tahoma" w:hAnsi="Tahoma" w:cs="Tahoma"/>
          <w:b/>
          <w:sz w:val="17"/>
          <w:szCs w:val="17"/>
          <w:rtl/>
        </w:rPr>
        <w:t xml:space="preserve">א </w:t>
      </w:r>
      <w:r w:rsidRPr="00E556CD">
        <w:rPr>
          <w:rFonts w:ascii="Tahoma" w:hAnsi="Tahoma" w:cs="Tahoma" w:hint="cs"/>
          <w:b/>
          <w:sz w:val="17"/>
          <w:szCs w:val="17"/>
          <w:rtl/>
        </w:rPr>
        <w:t>נותר</w:t>
      </w:r>
      <w:r w:rsidRPr="00E556CD">
        <w:rPr>
          <w:rFonts w:ascii="Tahoma" w:hAnsi="Tahoma" w:cs="Tahoma"/>
          <w:b/>
          <w:sz w:val="17"/>
          <w:szCs w:val="17"/>
          <w:rtl/>
        </w:rPr>
        <w:t xml:space="preserve"> </w:t>
      </w:r>
      <w:r w:rsidRPr="00E556CD">
        <w:rPr>
          <w:rFonts w:ascii="Tahoma" w:hAnsi="Tahoma" w:cs="Tahoma" w:hint="cs"/>
          <w:b/>
          <w:sz w:val="17"/>
          <w:szCs w:val="17"/>
          <w:rtl/>
        </w:rPr>
        <w:t xml:space="preserve">בקופתו סכום שדי בו </w:t>
      </w:r>
      <w:r w:rsidRPr="00E556CD">
        <w:rPr>
          <w:rFonts w:ascii="Tahoma" w:hAnsi="Tahoma" w:cs="Tahoma"/>
          <w:b/>
          <w:sz w:val="17"/>
          <w:szCs w:val="17"/>
          <w:rtl/>
        </w:rPr>
        <w:t>לממן את הקמת</w:t>
      </w:r>
      <w:r w:rsidRPr="00E556CD">
        <w:rPr>
          <w:rFonts w:ascii="Tahoma" w:hAnsi="Tahoma" w:cs="Tahoma" w:hint="cs"/>
          <w:b/>
          <w:sz w:val="17"/>
          <w:szCs w:val="17"/>
          <w:rtl/>
        </w:rPr>
        <w:t>ו</w:t>
      </w:r>
      <w:r w:rsidRPr="00E556CD">
        <w:rPr>
          <w:rFonts w:ascii="Tahoma" w:hAnsi="Tahoma" w:cs="Tahoma"/>
          <w:b/>
          <w:sz w:val="17"/>
          <w:szCs w:val="17"/>
          <w:rtl/>
        </w:rPr>
        <w:t xml:space="preserve"> </w:t>
      </w:r>
      <w:r w:rsidRPr="00E556CD">
        <w:rPr>
          <w:rFonts w:ascii="Tahoma" w:hAnsi="Tahoma" w:cs="Tahoma" w:hint="cs"/>
          <w:b/>
          <w:sz w:val="17"/>
          <w:szCs w:val="17"/>
          <w:rtl/>
        </w:rPr>
        <w:t>בפועל</w:t>
      </w:r>
      <w:r w:rsidRPr="00E556CD">
        <w:rPr>
          <w:rFonts w:ascii="Tahoma" w:hAnsi="Tahoma" w:cs="Tahoma"/>
          <w:b/>
          <w:sz w:val="17"/>
          <w:szCs w:val="17"/>
          <w:rtl/>
        </w:rPr>
        <w:t xml:space="preserve"> </w:t>
      </w:r>
      <w:r w:rsidRPr="00E556CD">
        <w:rPr>
          <w:rFonts w:ascii="Tahoma" w:hAnsi="Tahoma" w:cs="Tahoma" w:hint="cs"/>
          <w:b/>
          <w:sz w:val="17"/>
          <w:szCs w:val="17"/>
          <w:rtl/>
        </w:rPr>
        <w:t>של</w:t>
      </w:r>
      <w:r w:rsidRPr="00E556CD">
        <w:rPr>
          <w:rFonts w:ascii="Tahoma" w:hAnsi="Tahoma" w:cs="Tahoma"/>
          <w:b/>
          <w:sz w:val="17"/>
          <w:szCs w:val="17"/>
          <w:rtl/>
        </w:rPr>
        <w:t xml:space="preserve"> בית העלמין האזרחי</w:t>
      </w:r>
      <w:r w:rsidRPr="00E556CD">
        <w:rPr>
          <w:rFonts w:ascii="Tahoma" w:hAnsi="Tahoma" w:cs="Tahoma" w:hint="cs"/>
          <w:b/>
          <w:sz w:val="17"/>
          <w:szCs w:val="17"/>
          <w:rtl/>
        </w:rPr>
        <w:t>. באפריל 2013,</w:t>
      </w:r>
      <w:r w:rsidRPr="00E556CD">
        <w:rPr>
          <w:rFonts w:ascii="Tahoma" w:hAnsi="Tahoma" w:cs="Tahoma"/>
          <w:b/>
          <w:sz w:val="17"/>
          <w:szCs w:val="17"/>
          <w:rtl/>
        </w:rPr>
        <w:t xml:space="preserve"> </w:t>
      </w:r>
      <w:r w:rsidRPr="00E556CD">
        <w:rPr>
          <w:rFonts w:ascii="Tahoma" w:hAnsi="Tahoma" w:cs="Tahoma" w:hint="cs"/>
          <w:b/>
          <w:sz w:val="17"/>
          <w:szCs w:val="17"/>
          <w:rtl/>
        </w:rPr>
        <w:t xml:space="preserve">לאחר </w:t>
      </w:r>
      <w:r w:rsidRPr="00E556CD">
        <w:rPr>
          <w:rFonts w:ascii="Tahoma" w:hAnsi="Tahoma" w:cs="Tahoma" w:hint="cs"/>
          <w:b/>
          <w:sz w:val="17"/>
          <w:szCs w:val="17"/>
          <w:rtl/>
        </w:rPr>
        <w:t>שרמ"י</w:t>
      </w:r>
      <w:r w:rsidRPr="00E556CD">
        <w:rPr>
          <w:rFonts w:ascii="Tahoma" w:hAnsi="Tahoma" w:cs="Tahoma" w:hint="cs"/>
          <w:b/>
          <w:sz w:val="17"/>
          <w:szCs w:val="17"/>
          <w:rtl/>
        </w:rPr>
        <w:t xml:space="preserve"> נוכחה בכך</w:t>
      </w:r>
      <w:r w:rsidRPr="00E556CD">
        <w:rPr>
          <w:rFonts w:ascii="Tahoma" w:hAnsi="Tahoma" w:cs="Tahoma"/>
          <w:b/>
          <w:sz w:val="17"/>
          <w:szCs w:val="17"/>
          <w:rtl/>
        </w:rPr>
        <w:t xml:space="preserve"> </w:t>
      </w:r>
      <w:r w:rsidRPr="00E556CD">
        <w:rPr>
          <w:rFonts w:ascii="Tahoma" w:hAnsi="Tahoma" w:cs="Tahoma" w:hint="cs"/>
          <w:b/>
          <w:sz w:val="17"/>
          <w:szCs w:val="17"/>
          <w:rtl/>
        </w:rPr>
        <w:t>שהתאגיד לא</w:t>
      </w:r>
      <w:r w:rsidRPr="00E556CD">
        <w:rPr>
          <w:rFonts w:ascii="Tahoma" w:hAnsi="Tahoma" w:cs="Tahoma"/>
          <w:b/>
          <w:sz w:val="17"/>
          <w:szCs w:val="17"/>
          <w:rtl/>
        </w:rPr>
        <w:t xml:space="preserve"> </w:t>
      </w:r>
      <w:r w:rsidRPr="00E556CD">
        <w:rPr>
          <w:rFonts w:ascii="Tahoma" w:hAnsi="Tahoma" w:cs="Tahoma" w:hint="cs"/>
          <w:b/>
          <w:sz w:val="17"/>
          <w:szCs w:val="17"/>
          <w:rtl/>
        </w:rPr>
        <w:t>עמד</w:t>
      </w:r>
      <w:r w:rsidRPr="00E556CD">
        <w:rPr>
          <w:rFonts w:ascii="Tahoma" w:hAnsi="Tahoma" w:cs="Tahoma"/>
          <w:b/>
          <w:sz w:val="17"/>
          <w:szCs w:val="17"/>
          <w:rtl/>
        </w:rPr>
        <w:t xml:space="preserve"> </w:t>
      </w:r>
      <w:r w:rsidRPr="00E556CD">
        <w:rPr>
          <w:rFonts w:ascii="Tahoma" w:hAnsi="Tahoma" w:cs="Tahoma" w:hint="cs"/>
          <w:b/>
          <w:sz w:val="17"/>
          <w:szCs w:val="17"/>
          <w:rtl/>
        </w:rPr>
        <w:t>בתנאי</w:t>
      </w:r>
      <w:r w:rsidRPr="00E556CD">
        <w:rPr>
          <w:rFonts w:ascii="Tahoma" w:hAnsi="Tahoma" w:cs="Tahoma"/>
          <w:b/>
          <w:sz w:val="17"/>
          <w:szCs w:val="17"/>
          <w:rtl/>
        </w:rPr>
        <w:t xml:space="preserve"> </w:t>
      </w:r>
      <w:r w:rsidRPr="00E556CD">
        <w:rPr>
          <w:rFonts w:ascii="Tahoma" w:hAnsi="Tahoma" w:cs="Tahoma" w:hint="cs"/>
          <w:b/>
          <w:sz w:val="17"/>
          <w:szCs w:val="17"/>
          <w:rtl/>
        </w:rPr>
        <w:t>ההקצאה</w:t>
      </w:r>
      <w:r w:rsidRPr="00E556CD">
        <w:rPr>
          <w:rFonts w:ascii="Tahoma" w:hAnsi="Tahoma" w:cs="Tahoma"/>
          <w:b/>
          <w:sz w:val="17"/>
          <w:szCs w:val="17"/>
          <w:rtl/>
        </w:rPr>
        <w:t xml:space="preserve"> </w:t>
      </w:r>
      <w:r w:rsidRPr="00E556CD">
        <w:rPr>
          <w:rFonts w:ascii="Tahoma" w:hAnsi="Tahoma" w:cs="Tahoma" w:hint="cs"/>
          <w:b/>
          <w:sz w:val="17"/>
          <w:szCs w:val="17"/>
          <w:rtl/>
        </w:rPr>
        <w:t>ובתנאי</w:t>
      </w:r>
      <w:r w:rsidRPr="00E556CD">
        <w:rPr>
          <w:rFonts w:ascii="Tahoma" w:hAnsi="Tahoma" w:cs="Tahoma"/>
          <w:b/>
          <w:sz w:val="17"/>
          <w:szCs w:val="17"/>
          <w:rtl/>
        </w:rPr>
        <w:t xml:space="preserve"> </w:t>
      </w:r>
      <w:r w:rsidRPr="00E556CD">
        <w:rPr>
          <w:rFonts w:ascii="Tahoma" w:hAnsi="Tahoma" w:cs="Tahoma" w:hint="cs"/>
          <w:b/>
          <w:sz w:val="17"/>
          <w:szCs w:val="17"/>
          <w:rtl/>
        </w:rPr>
        <w:t>הסכם</w:t>
      </w:r>
      <w:r w:rsidRPr="00E556CD">
        <w:rPr>
          <w:rFonts w:ascii="Tahoma" w:hAnsi="Tahoma" w:cs="Tahoma"/>
          <w:b/>
          <w:sz w:val="17"/>
          <w:szCs w:val="17"/>
          <w:rtl/>
        </w:rPr>
        <w:t xml:space="preserve"> </w:t>
      </w:r>
      <w:r w:rsidRPr="00E556CD">
        <w:rPr>
          <w:rFonts w:ascii="Tahoma" w:hAnsi="Tahoma" w:cs="Tahoma" w:hint="cs"/>
          <w:b/>
          <w:sz w:val="17"/>
          <w:szCs w:val="17"/>
          <w:rtl/>
        </w:rPr>
        <w:t>החכירה</w:t>
      </w:r>
      <w:r w:rsidRPr="00E556CD">
        <w:rPr>
          <w:rFonts w:ascii="Tahoma" w:hAnsi="Tahoma" w:cs="Tahoma"/>
          <w:b/>
          <w:sz w:val="17"/>
          <w:szCs w:val="17"/>
          <w:rtl/>
        </w:rPr>
        <w:t xml:space="preserve"> </w:t>
      </w:r>
      <w:r w:rsidRPr="00E556CD">
        <w:rPr>
          <w:rFonts w:ascii="Tahoma" w:hAnsi="Tahoma" w:cs="Tahoma" w:hint="cs"/>
          <w:b/>
          <w:sz w:val="17"/>
          <w:szCs w:val="17"/>
          <w:rtl/>
        </w:rPr>
        <w:t>ולא</w:t>
      </w:r>
      <w:r w:rsidRPr="00E556CD">
        <w:rPr>
          <w:rFonts w:ascii="Tahoma" w:hAnsi="Tahoma" w:cs="Tahoma"/>
          <w:b/>
          <w:sz w:val="17"/>
          <w:szCs w:val="17"/>
          <w:rtl/>
        </w:rPr>
        <w:t xml:space="preserve"> </w:t>
      </w:r>
      <w:r w:rsidRPr="00E556CD">
        <w:rPr>
          <w:rFonts w:ascii="Tahoma" w:hAnsi="Tahoma" w:cs="Tahoma" w:hint="cs"/>
          <w:b/>
          <w:sz w:val="17"/>
          <w:szCs w:val="17"/>
          <w:rtl/>
        </w:rPr>
        <w:t>פיתח</w:t>
      </w:r>
      <w:r w:rsidRPr="00E556CD">
        <w:rPr>
          <w:rFonts w:ascii="Tahoma" w:hAnsi="Tahoma" w:cs="Tahoma"/>
          <w:b/>
          <w:sz w:val="17"/>
          <w:szCs w:val="17"/>
          <w:rtl/>
        </w:rPr>
        <w:t xml:space="preserve"> </w:t>
      </w:r>
      <w:r w:rsidRPr="00E556CD">
        <w:rPr>
          <w:rFonts w:ascii="Tahoma" w:hAnsi="Tahoma" w:cs="Tahoma" w:hint="cs"/>
          <w:b/>
          <w:sz w:val="17"/>
          <w:szCs w:val="17"/>
          <w:rtl/>
        </w:rPr>
        <w:t>את</w:t>
      </w:r>
      <w:r w:rsidRPr="00E556CD">
        <w:rPr>
          <w:rFonts w:ascii="Tahoma" w:hAnsi="Tahoma" w:cs="Tahoma"/>
          <w:b/>
          <w:sz w:val="17"/>
          <w:szCs w:val="17"/>
          <w:rtl/>
        </w:rPr>
        <w:t xml:space="preserve"> </w:t>
      </w:r>
      <w:r w:rsidRPr="00E556CD">
        <w:rPr>
          <w:rFonts w:ascii="Tahoma" w:hAnsi="Tahoma" w:cs="Tahoma" w:hint="cs"/>
          <w:b/>
          <w:sz w:val="17"/>
          <w:szCs w:val="17"/>
          <w:rtl/>
        </w:rPr>
        <w:t>המקרקעין</w:t>
      </w:r>
      <w:r w:rsidRPr="00E556CD">
        <w:rPr>
          <w:rFonts w:ascii="Tahoma" w:hAnsi="Tahoma" w:cs="Tahoma"/>
          <w:b/>
          <w:sz w:val="17"/>
          <w:szCs w:val="17"/>
          <w:rtl/>
        </w:rPr>
        <w:t xml:space="preserve">, </w:t>
      </w:r>
      <w:r w:rsidRPr="00E556CD">
        <w:rPr>
          <w:rFonts w:ascii="Tahoma" w:hAnsi="Tahoma" w:cs="Tahoma" w:hint="cs"/>
          <w:b/>
          <w:sz w:val="17"/>
          <w:szCs w:val="17"/>
          <w:rtl/>
        </w:rPr>
        <w:t>היא ביטלה</w:t>
      </w:r>
      <w:r w:rsidRPr="00E556CD">
        <w:rPr>
          <w:rFonts w:ascii="Tahoma" w:hAnsi="Tahoma" w:cs="Tahoma"/>
          <w:b/>
          <w:sz w:val="17"/>
          <w:szCs w:val="17"/>
          <w:rtl/>
        </w:rPr>
        <w:t xml:space="preserve"> את הסכם החכירה עם ה</w:t>
      </w:r>
      <w:r w:rsidRPr="00E556CD">
        <w:rPr>
          <w:rFonts w:ascii="Tahoma" w:hAnsi="Tahoma" w:cs="Tahoma" w:hint="cs"/>
          <w:b/>
          <w:sz w:val="17"/>
          <w:szCs w:val="17"/>
          <w:rtl/>
        </w:rPr>
        <w:t>תאגיד</w:t>
      </w:r>
      <w:r w:rsidRPr="00E556CD">
        <w:rPr>
          <w:rFonts w:ascii="Tahoma" w:hAnsi="Tahoma" w:cs="Tahoma"/>
          <w:b/>
          <w:sz w:val="17"/>
          <w:szCs w:val="17"/>
          <w:rtl/>
        </w:rPr>
        <w:t>.</w:t>
      </w:r>
    </w:p>
    <w:p w:rsidR="00EF45C8" w:rsidRPr="00E556CD" w:rsidP="00BF070A">
      <w:pPr>
        <w:pStyle w:val="RESHET"/>
        <w:ind w:left="567"/>
        <w:rPr>
          <w:rtl/>
        </w:rPr>
      </w:pPr>
      <w:r w:rsidRPr="00E556CD">
        <w:rPr>
          <w:rFonts w:hint="cs"/>
          <w:rtl/>
        </w:rPr>
        <w:t>נמצא כי במועד סיום הביקורת טרם נקבעו סיכומים אופרטיביים לגבי היישום המעשי של המתווה בירושלים ולא חלה התקדמות בנוגע לבית העלמין ירקון.</w:t>
      </w:r>
    </w:p>
    <w:p w:rsidR="00EF45C8" w:rsidRPr="00E556CD" w:rsidP="00BF070A">
      <w:pPr>
        <w:pStyle w:val="RESHET"/>
        <w:ind w:left="567"/>
        <w:rPr>
          <w:rtl/>
        </w:rPr>
      </w:pPr>
      <w:r w:rsidRPr="00E556CD">
        <w:rPr>
          <w:rFonts w:hint="cs"/>
          <w:rtl/>
        </w:rPr>
        <w:t xml:space="preserve">עולה כי המתווה שלפיו פועלת המדינה לצורך הקמת בתי עלמין אזרחיים אינו מגשים את מטרתו, וגורם לקושי של ממש בהקמה ובפיתוח של בתי עלמין אזרחיים בפועל; אמנם המדינה מוכנה להקצות קרקע, באמצעות </w:t>
      </w:r>
      <w:r w:rsidRPr="00E556CD">
        <w:rPr>
          <w:rFonts w:hint="cs"/>
          <w:rtl/>
        </w:rPr>
        <w:t>רמ"י</w:t>
      </w:r>
      <w:r w:rsidRPr="00E556CD">
        <w:rPr>
          <w:rFonts w:hint="cs"/>
          <w:rtl/>
        </w:rPr>
        <w:t>, ואף להשתתף במימון עלויות ההקמה והפיתוח של בתי עלמין אלה, אולם תאגידי הקבורה מתקשים לא פעם לנצל את הקרקע שהוקצתה להם, מאחר שההון העצמי הדל שברשותם קטן בהרבה מההון הנדרש להקמה ולפיתוח ראשוני של בתי העלמין. הדברים אמורים בעיקר באתרים שיועדו לקבורה אזרחית, שבהם עלויות ההקמה והפיתוח גבוהות במיוחד, כפי שהומחש לעיל. על משרדי הממשלה הנוגעים בדבר, ובראשם המשרד לשירותי דת, לבחון את האפשרות לפתח מנגנון ניהולי-פיננסי, דוגמת אלה הנהוגים במיזמים משותפים בין המגזר הציבורי ומגזרים אחרים, כדי להתגבר על חסם מהותי זה.</w:t>
      </w:r>
      <w:r w:rsidRPr="000941C6" w:rsidR="000941C6">
        <w:rPr>
          <w:noProof/>
          <w:rtl/>
        </w:rPr>
        <w:t xml:space="preserve"> </w:t>
      </w:r>
      <w:r w:rsidRPr="0012789B" w:rsidR="000941C6">
        <w:rPr>
          <w:noProof/>
          <w:rtl/>
          <w:lang w:eastAsia="en-US"/>
        </w:rPr>
        <mc:AlternateContent>
          <mc:Choice Requires="wps">
            <w:drawing>
              <wp:anchor distT="0" distB="0" distL="114300" distR="114300" simplePos="0" relativeHeight="251668480" behindDoc="1" locked="0" layoutInCell="1" allowOverlap="1">
                <wp:simplePos x="0" y="0"/>
                <wp:positionH relativeFrom="margin">
                  <wp:posOffset>-431800</wp:posOffset>
                </wp:positionH>
                <wp:positionV relativeFrom="margin">
                  <wp:align>top</wp:align>
                </wp:positionV>
                <wp:extent cx="1620000" cy="4140000"/>
                <wp:effectExtent l="0" t="0" r="0" b="0"/>
                <wp:wrapNone/>
                <wp:docPr id="19"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0941C6" w:rsidRPr="00373C5D" w:rsidP="000941C6">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29721410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295601" name="QUT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0941C6" w:rsidRPr="00881D99" w:rsidP="000941C6">
                            <w:pPr>
                              <w:spacing w:after="0" w:line="240" w:lineRule="auto"/>
                              <w:rPr>
                                <w:color w:val="0B5294"/>
                                <w:spacing w:val="-4"/>
                                <w:sz w:val="24"/>
                                <w:szCs w:val="24"/>
                                <w:rtl/>
                                <w:cs/>
                              </w:rPr>
                            </w:pPr>
                            <w:r w:rsidRPr="000941C6">
                              <w:rPr>
                                <w:rFonts w:cs="Tahoma" w:hint="eastAsia"/>
                                <w:color w:val="0B5294"/>
                                <w:spacing w:val="-4"/>
                                <w:sz w:val="24"/>
                                <w:szCs w:val="24"/>
                                <w:rtl/>
                              </w:rPr>
                              <w:t>המתווה</w:t>
                            </w:r>
                            <w:r w:rsidRPr="000941C6">
                              <w:rPr>
                                <w:rFonts w:cs="Tahoma"/>
                                <w:color w:val="0B5294"/>
                                <w:spacing w:val="-4"/>
                                <w:sz w:val="24"/>
                                <w:szCs w:val="24"/>
                                <w:rtl/>
                              </w:rPr>
                              <w:t xml:space="preserve"> </w:t>
                            </w:r>
                            <w:r w:rsidRPr="000941C6">
                              <w:rPr>
                                <w:rFonts w:cs="Tahoma" w:hint="eastAsia"/>
                                <w:color w:val="0B5294"/>
                                <w:spacing w:val="-4"/>
                                <w:sz w:val="24"/>
                                <w:szCs w:val="24"/>
                                <w:rtl/>
                              </w:rPr>
                              <w:t>שלפיו</w:t>
                            </w:r>
                            <w:r w:rsidRPr="000941C6">
                              <w:rPr>
                                <w:rFonts w:cs="Tahoma"/>
                                <w:color w:val="0B5294"/>
                                <w:spacing w:val="-4"/>
                                <w:sz w:val="24"/>
                                <w:szCs w:val="24"/>
                                <w:rtl/>
                              </w:rPr>
                              <w:t xml:space="preserve"> </w:t>
                            </w:r>
                            <w:r w:rsidRPr="000941C6">
                              <w:rPr>
                                <w:rFonts w:cs="Tahoma" w:hint="eastAsia"/>
                                <w:color w:val="0B5294"/>
                                <w:spacing w:val="-4"/>
                                <w:sz w:val="24"/>
                                <w:szCs w:val="24"/>
                                <w:rtl/>
                              </w:rPr>
                              <w:t>פועלת</w:t>
                            </w:r>
                            <w:r w:rsidRPr="000941C6">
                              <w:rPr>
                                <w:rFonts w:cs="Tahoma"/>
                                <w:color w:val="0B5294"/>
                                <w:spacing w:val="-4"/>
                                <w:sz w:val="24"/>
                                <w:szCs w:val="24"/>
                                <w:rtl/>
                              </w:rPr>
                              <w:t xml:space="preserve"> </w:t>
                            </w:r>
                            <w:r w:rsidRPr="000941C6">
                              <w:rPr>
                                <w:rFonts w:cs="Tahoma" w:hint="eastAsia"/>
                                <w:color w:val="0B5294"/>
                                <w:spacing w:val="-4"/>
                                <w:sz w:val="24"/>
                                <w:szCs w:val="24"/>
                                <w:rtl/>
                              </w:rPr>
                              <w:t>המדינה</w:t>
                            </w:r>
                            <w:r w:rsidRPr="000941C6">
                              <w:rPr>
                                <w:rFonts w:cs="Tahoma"/>
                                <w:color w:val="0B5294"/>
                                <w:spacing w:val="-4"/>
                                <w:sz w:val="24"/>
                                <w:szCs w:val="24"/>
                                <w:rtl/>
                              </w:rPr>
                              <w:t xml:space="preserve"> </w:t>
                            </w:r>
                            <w:r w:rsidRPr="000941C6">
                              <w:rPr>
                                <w:rFonts w:cs="Tahoma" w:hint="eastAsia"/>
                                <w:color w:val="0B5294"/>
                                <w:spacing w:val="-4"/>
                                <w:sz w:val="24"/>
                                <w:szCs w:val="24"/>
                                <w:rtl/>
                              </w:rPr>
                              <w:t>לצורך</w:t>
                            </w:r>
                            <w:r w:rsidRPr="000941C6">
                              <w:rPr>
                                <w:rFonts w:cs="Tahoma"/>
                                <w:color w:val="0B5294"/>
                                <w:spacing w:val="-4"/>
                                <w:sz w:val="24"/>
                                <w:szCs w:val="24"/>
                                <w:rtl/>
                              </w:rPr>
                              <w:t xml:space="preserve"> </w:t>
                            </w:r>
                            <w:r w:rsidRPr="000941C6">
                              <w:rPr>
                                <w:rFonts w:cs="Tahoma" w:hint="eastAsia"/>
                                <w:color w:val="0B5294"/>
                                <w:spacing w:val="-4"/>
                                <w:sz w:val="24"/>
                                <w:szCs w:val="24"/>
                                <w:rtl/>
                              </w:rPr>
                              <w:t>הקמת</w:t>
                            </w:r>
                            <w:r w:rsidRPr="000941C6">
                              <w:rPr>
                                <w:rFonts w:cs="Tahoma"/>
                                <w:color w:val="0B5294"/>
                                <w:spacing w:val="-4"/>
                                <w:sz w:val="24"/>
                                <w:szCs w:val="24"/>
                                <w:rtl/>
                              </w:rPr>
                              <w:t xml:space="preserve"> </w:t>
                            </w:r>
                            <w:r w:rsidRPr="000941C6">
                              <w:rPr>
                                <w:rFonts w:cs="Tahoma" w:hint="eastAsia"/>
                                <w:color w:val="0B5294"/>
                                <w:spacing w:val="-4"/>
                                <w:sz w:val="24"/>
                                <w:szCs w:val="24"/>
                                <w:rtl/>
                              </w:rPr>
                              <w:t>בתי</w:t>
                            </w:r>
                            <w:r w:rsidRPr="000941C6">
                              <w:rPr>
                                <w:rFonts w:cs="Tahoma"/>
                                <w:color w:val="0B5294"/>
                                <w:spacing w:val="-4"/>
                                <w:sz w:val="24"/>
                                <w:szCs w:val="24"/>
                                <w:rtl/>
                              </w:rPr>
                              <w:t xml:space="preserve"> </w:t>
                            </w:r>
                            <w:r w:rsidRPr="000941C6">
                              <w:rPr>
                                <w:rFonts w:cs="Tahoma" w:hint="eastAsia"/>
                                <w:color w:val="0B5294"/>
                                <w:spacing w:val="-4"/>
                                <w:sz w:val="24"/>
                                <w:szCs w:val="24"/>
                                <w:rtl/>
                              </w:rPr>
                              <w:t>עלמין</w:t>
                            </w:r>
                            <w:r w:rsidRPr="000941C6">
                              <w:rPr>
                                <w:rFonts w:cs="Tahoma"/>
                                <w:color w:val="0B5294"/>
                                <w:spacing w:val="-4"/>
                                <w:sz w:val="24"/>
                                <w:szCs w:val="24"/>
                                <w:rtl/>
                              </w:rPr>
                              <w:t xml:space="preserve"> </w:t>
                            </w:r>
                            <w:r w:rsidRPr="000941C6">
                              <w:rPr>
                                <w:rFonts w:cs="Tahoma" w:hint="eastAsia"/>
                                <w:color w:val="0B5294"/>
                                <w:spacing w:val="-4"/>
                                <w:sz w:val="24"/>
                                <w:szCs w:val="24"/>
                                <w:rtl/>
                              </w:rPr>
                              <w:t>אזרחיים</w:t>
                            </w:r>
                            <w:r w:rsidRPr="000941C6">
                              <w:rPr>
                                <w:rFonts w:cs="Tahoma"/>
                                <w:color w:val="0B5294"/>
                                <w:spacing w:val="-4"/>
                                <w:sz w:val="24"/>
                                <w:szCs w:val="24"/>
                                <w:rtl/>
                              </w:rPr>
                              <w:t xml:space="preserve"> </w:t>
                            </w:r>
                            <w:r w:rsidRPr="000941C6">
                              <w:rPr>
                                <w:rFonts w:cs="Tahoma" w:hint="eastAsia"/>
                                <w:color w:val="0B5294"/>
                                <w:spacing w:val="-4"/>
                                <w:sz w:val="24"/>
                                <w:szCs w:val="24"/>
                                <w:rtl/>
                              </w:rPr>
                              <w:t>אינו</w:t>
                            </w:r>
                            <w:r w:rsidRPr="000941C6">
                              <w:rPr>
                                <w:rFonts w:cs="Tahoma"/>
                                <w:color w:val="0B5294"/>
                                <w:spacing w:val="-4"/>
                                <w:sz w:val="24"/>
                                <w:szCs w:val="24"/>
                                <w:rtl/>
                              </w:rPr>
                              <w:t xml:space="preserve"> </w:t>
                            </w:r>
                            <w:r w:rsidRPr="000941C6">
                              <w:rPr>
                                <w:rFonts w:cs="Tahoma" w:hint="eastAsia"/>
                                <w:color w:val="0B5294"/>
                                <w:spacing w:val="-4"/>
                                <w:sz w:val="24"/>
                                <w:szCs w:val="24"/>
                                <w:rtl/>
                              </w:rPr>
                              <w:t>מגשים</w:t>
                            </w:r>
                            <w:r w:rsidRPr="000941C6">
                              <w:rPr>
                                <w:rFonts w:cs="Tahoma"/>
                                <w:color w:val="0B5294"/>
                                <w:spacing w:val="-4"/>
                                <w:sz w:val="24"/>
                                <w:szCs w:val="24"/>
                                <w:rtl/>
                              </w:rPr>
                              <w:t xml:space="preserve"> </w:t>
                            </w:r>
                            <w:r w:rsidRPr="000941C6">
                              <w:rPr>
                                <w:rFonts w:cs="Tahoma" w:hint="eastAsia"/>
                                <w:color w:val="0B5294"/>
                                <w:spacing w:val="-4"/>
                                <w:sz w:val="24"/>
                                <w:szCs w:val="24"/>
                                <w:rtl/>
                              </w:rPr>
                              <w:t>את</w:t>
                            </w:r>
                            <w:r w:rsidRPr="000941C6">
                              <w:rPr>
                                <w:rFonts w:cs="Tahoma"/>
                                <w:color w:val="0B5294"/>
                                <w:spacing w:val="-4"/>
                                <w:sz w:val="24"/>
                                <w:szCs w:val="24"/>
                                <w:rtl/>
                              </w:rPr>
                              <w:t xml:space="preserve"> </w:t>
                            </w:r>
                            <w:r w:rsidRPr="000941C6">
                              <w:rPr>
                                <w:rFonts w:cs="Tahoma" w:hint="eastAsia"/>
                                <w:color w:val="0B5294"/>
                                <w:spacing w:val="-4"/>
                                <w:sz w:val="24"/>
                                <w:szCs w:val="24"/>
                                <w:rtl/>
                              </w:rPr>
                              <w:t>מטרתו</w:t>
                            </w:r>
                            <w:r w:rsidRPr="000941C6">
                              <w:rPr>
                                <w:rFonts w:cs="Tahoma"/>
                                <w:color w:val="0B5294"/>
                                <w:spacing w:val="-4"/>
                                <w:sz w:val="24"/>
                                <w:szCs w:val="24"/>
                                <w:rtl/>
                              </w:rPr>
                              <w:t xml:space="preserve">, </w:t>
                            </w:r>
                            <w:r w:rsidRPr="000941C6">
                              <w:rPr>
                                <w:rFonts w:cs="Tahoma" w:hint="eastAsia"/>
                                <w:color w:val="0B5294"/>
                                <w:spacing w:val="-4"/>
                                <w:sz w:val="24"/>
                                <w:szCs w:val="24"/>
                                <w:rtl/>
                              </w:rPr>
                              <w:t>וגורם</w:t>
                            </w:r>
                            <w:r w:rsidRPr="000941C6">
                              <w:rPr>
                                <w:rFonts w:cs="Tahoma"/>
                                <w:color w:val="0B5294"/>
                                <w:spacing w:val="-4"/>
                                <w:sz w:val="24"/>
                                <w:szCs w:val="24"/>
                                <w:rtl/>
                              </w:rPr>
                              <w:t xml:space="preserve"> </w:t>
                            </w:r>
                            <w:r w:rsidRPr="000941C6">
                              <w:rPr>
                                <w:rFonts w:cs="Tahoma" w:hint="eastAsia"/>
                                <w:color w:val="0B5294"/>
                                <w:spacing w:val="-4"/>
                                <w:sz w:val="24"/>
                                <w:szCs w:val="24"/>
                                <w:rtl/>
                              </w:rPr>
                              <w:t>לקושי</w:t>
                            </w:r>
                            <w:r w:rsidRPr="000941C6">
                              <w:rPr>
                                <w:rFonts w:cs="Tahoma"/>
                                <w:color w:val="0B5294"/>
                                <w:spacing w:val="-4"/>
                                <w:sz w:val="24"/>
                                <w:szCs w:val="24"/>
                                <w:rtl/>
                              </w:rPr>
                              <w:t xml:space="preserve"> </w:t>
                            </w:r>
                            <w:r w:rsidRPr="000941C6">
                              <w:rPr>
                                <w:rFonts w:cs="Tahoma" w:hint="eastAsia"/>
                                <w:color w:val="0B5294"/>
                                <w:spacing w:val="-4"/>
                                <w:sz w:val="24"/>
                                <w:szCs w:val="24"/>
                                <w:rtl/>
                              </w:rPr>
                              <w:t>של</w:t>
                            </w:r>
                            <w:r w:rsidRPr="000941C6">
                              <w:rPr>
                                <w:rFonts w:cs="Tahoma"/>
                                <w:color w:val="0B5294"/>
                                <w:spacing w:val="-4"/>
                                <w:sz w:val="24"/>
                                <w:szCs w:val="24"/>
                                <w:rtl/>
                              </w:rPr>
                              <w:t xml:space="preserve"> </w:t>
                            </w:r>
                            <w:r w:rsidRPr="000941C6">
                              <w:rPr>
                                <w:rFonts w:cs="Tahoma" w:hint="eastAsia"/>
                                <w:color w:val="0B5294"/>
                                <w:spacing w:val="-4"/>
                                <w:sz w:val="24"/>
                                <w:szCs w:val="24"/>
                                <w:rtl/>
                              </w:rPr>
                              <w:t>ממש</w:t>
                            </w:r>
                            <w:r w:rsidRPr="000941C6">
                              <w:rPr>
                                <w:rFonts w:cs="Tahoma"/>
                                <w:color w:val="0B5294"/>
                                <w:spacing w:val="-4"/>
                                <w:sz w:val="24"/>
                                <w:szCs w:val="24"/>
                                <w:rtl/>
                              </w:rPr>
                              <w:t xml:space="preserve"> </w:t>
                            </w:r>
                            <w:r w:rsidRPr="000941C6">
                              <w:rPr>
                                <w:rFonts w:cs="Tahoma" w:hint="eastAsia"/>
                                <w:color w:val="0B5294"/>
                                <w:spacing w:val="-4"/>
                                <w:sz w:val="24"/>
                                <w:szCs w:val="24"/>
                                <w:rtl/>
                              </w:rPr>
                              <w:t>בהקמה</w:t>
                            </w:r>
                            <w:r w:rsidRPr="000941C6">
                              <w:rPr>
                                <w:rFonts w:cs="Tahoma"/>
                                <w:color w:val="0B5294"/>
                                <w:spacing w:val="-4"/>
                                <w:sz w:val="24"/>
                                <w:szCs w:val="24"/>
                                <w:rtl/>
                              </w:rPr>
                              <w:t xml:space="preserve"> </w:t>
                            </w:r>
                            <w:r w:rsidRPr="000941C6">
                              <w:rPr>
                                <w:rFonts w:cs="Tahoma" w:hint="eastAsia"/>
                                <w:color w:val="0B5294"/>
                                <w:spacing w:val="-4"/>
                                <w:sz w:val="24"/>
                                <w:szCs w:val="24"/>
                                <w:rtl/>
                              </w:rPr>
                              <w:t>ובפיתוח</w:t>
                            </w:r>
                            <w:r w:rsidRPr="000941C6">
                              <w:rPr>
                                <w:rFonts w:cs="Tahoma"/>
                                <w:color w:val="0B5294"/>
                                <w:spacing w:val="-4"/>
                                <w:sz w:val="24"/>
                                <w:szCs w:val="24"/>
                                <w:rtl/>
                              </w:rPr>
                              <w:t xml:space="preserve"> </w:t>
                            </w:r>
                            <w:r w:rsidRPr="000941C6">
                              <w:rPr>
                                <w:rFonts w:cs="Tahoma" w:hint="eastAsia"/>
                                <w:color w:val="0B5294"/>
                                <w:spacing w:val="-4"/>
                                <w:sz w:val="24"/>
                                <w:szCs w:val="24"/>
                                <w:rtl/>
                              </w:rPr>
                              <w:t>של</w:t>
                            </w:r>
                            <w:r w:rsidRPr="000941C6">
                              <w:rPr>
                                <w:rFonts w:cs="Tahoma"/>
                                <w:color w:val="0B5294"/>
                                <w:spacing w:val="-4"/>
                                <w:sz w:val="24"/>
                                <w:szCs w:val="24"/>
                                <w:rtl/>
                              </w:rPr>
                              <w:t xml:space="preserve"> </w:t>
                            </w:r>
                            <w:r w:rsidRPr="000941C6">
                              <w:rPr>
                                <w:rFonts w:cs="Tahoma" w:hint="eastAsia"/>
                                <w:color w:val="0B5294"/>
                                <w:spacing w:val="-4"/>
                                <w:sz w:val="24"/>
                                <w:szCs w:val="24"/>
                                <w:rtl/>
                              </w:rPr>
                              <w:t>בתי</w:t>
                            </w:r>
                            <w:r w:rsidRPr="000941C6">
                              <w:rPr>
                                <w:rFonts w:cs="Tahoma"/>
                                <w:color w:val="0B5294"/>
                                <w:spacing w:val="-4"/>
                                <w:sz w:val="24"/>
                                <w:szCs w:val="24"/>
                                <w:rtl/>
                              </w:rPr>
                              <w:t xml:space="preserve"> </w:t>
                            </w:r>
                            <w:r w:rsidRPr="000941C6">
                              <w:rPr>
                                <w:rFonts w:cs="Tahoma" w:hint="eastAsia"/>
                                <w:color w:val="0B5294"/>
                                <w:spacing w:val="-4"/>
                                <w:sz w:val="24"/>
                                <w:szCs w:val="24"/>
                                <w:rtl/>
                              </w:rPr>
                              <w:t>עלמין</w:t>
                            </w:r>
                            <w:r w:rsidRPr="000941C6">
                              <w:rPr>
                                <w:rFonts w:cs="Tahoma"/>
                                <w:color w:val="0B5294"/>
                                <w:spacing w:val="-4"/>
                                <w:sz w:val="24"/>
                                <w:szCs w:val="24"/>
                                <w:rtl/>
                              </w:rPr>
                              <w:t xml:space="preserve"> </w:t>
                            </w:r>
                            <w:r w:rsidRPr="000941C6">
                              <w:rPr>
                                <w:rFonts w:cs="Tahoma" w:hint="eastAsia"/>
                                <w:color w:val="0B5294"/>
                                <w:spacing w:val="-4"/>
                                <w:sz w:val="24"/>
                                <w:szCs w:val="24"/>
                                <w:rtl/>
                              </w:rPr>
                              <w:t>אזרחיים</w:t>
                            </w:r>
                            <w:r w:rsidRPr="000941C6">
                              <w:rPr>
                                <w:rFonts w:cs="Tahoma"/>
                                <w:color w:val="0B5294"/>
                                <w:spacing w:val="-4"/>
                                <w:sz w:val="24"/>
                                <w:szCs w:val="24"/>
                                <w:rtl/>
                              </w:rPr>
                              <w:t xml:space="preserve"> </w:t>
                            </w:r>
                            <w:r w:rsidRPr="000941C6">
                              <w:rPr>
                                <w:rFonts w:cs="Tahoma" w:hint="eastAsia"/>
                                <w:color w:val="0B5294"/>
                                <w:spacing w:val="-4"/>
                                <w:sz w:val="24"/>
                                <w:szCs w:val="24"/>
                                <w:rtl/>
                              </w:rPr>
                              <w:t>בפועל</w:t>
                            </w:r>
                          </w:p>
                          <w:p w:rsidR="000941C6" w:rsidRPr="00373C5D" w:rsidP="000941C6">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80169235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929799" name="lin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0"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6976" filled="f" stroked="f">
                <v:textbox>
                  <w:txbxContent>
                    <w:p w:rsidR="000941C6" w:rsidRPr="00373C5D" w:rsidP="000941C6">
                      <w:pPr>
                        <w:spacing w:line="240" w:lineRule="atLeast"/>
                        <w:rPr>
                          <w:rFonts w:cs="Tahoma"/>
                          <w:b/>
                          <w:bCs/>
                          <w:color w:val="0B5294"/>
                          <w:sz w:val="48"/>
                          <w:szCs w:val="48"/>
                          <w:rtl/>
                        </w:rPr>
                      </w:pPr>
                      <w:drawing>
                        <wp:inline distT="0" distB="0" distL="0" distR="0">
                          <wp:extent cx="311150" cy="256800"/>
                          <wp:effectExtent l="0" t="0" r="0" b="0"/>
                          <wp:docPr id="2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59320" name="QUT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0941C6" w:rsidRPr="00881D99" w:rsidP="000941C6">
                      <w:pPr>
                        <w:spacing w:after="0" w:line="240" w:lineRule="auto"/>
                        <w:rPr>
                          <w:color w:val="0B5294"/>
                          <w:spacing w:val="-4"/>
                          <w:sz w:val="24"/>
                          <w:szCs w:val="24"/>
                          <w:rtl/>
                          <w:cs/>
                        </w:rPr>
                      </w:pPr>
                      <w:r w:rsidRPr="000941C6">
                        <w:rPr>
                          <w:rFonts w:cs="Tahoma" w:hint="eastAsia"/>
                          <w:color w:val="0B5294"/>
                          <w:spacing w:val="-4"/>
                          <w:sz w:val="24"/>
                          <w:szCs w:val="24"/>
                          <w:rtl/>
                        </w:rPr>
                        <w:t>המתווה</w:t>
                      </w:r>
                      <w:r w:rsidRPr="000941C6">
                        <w:rPr>
                          <w:rFonts w:cs="Tahoma"/>
                          <w:color w:val="0B5294"/>
                          <w:spacing w:val="-4"/>
                          <w:sz w:val="24"/>
                          <w:szCs w:val="24"/>
                          <w:rtl/>
                        </w:rPr>
                        <w:t xml:space="preserve"> </w:t>
                      </w:r>
                      <w:r w:rsidRPr="000941C6">
                        <w:rPr>
                          <w:rFonts w:cs="Tahoma" w:hint="eastAsia"/>
                          <w:color w:val="0B5294"/>
                          <w:spacing w:val="-4"/>
                          <w:sz w:val="24"/>
                          <w:szCs w:val="24"/>
                          <w:rtl/>
                        </w:rPr>
                        <w:t>שלפיו</w:t>
                      </w:r>
                      <w:r w:rsidRPr="000941C6">
                        <w:rPr>
                          <w:rFonts w:cs="Tahoma"/>
                          <w:color w:val="0B5294"/>
                          <w:spacing w:val="-4"/>
                          <w:sz w:val="24"/>
                          <w:szCs w:val="24"/>
                          <w:rtl/>
                        </w:rPr>
                        <w:t xml:space="preserve"> </w:t>
                      </w:r>
                      <w:r w:rsidRPr="000941C6">
                        <w:rPr>
                          <w:rFonts w:cs="Tahoma" w:hint="eastAsia"/>
                          <w:color w:val="0B5294"/>
                          <w:spacing w:val="-4"/>
                          <w:sz w:val="24"/>
                          <w:szCs w:val="24"/>
                          <w:rtl/>
                        </w:rPr>
                        <w:t>פועלת</w:t>
                      </w:r>
                      <w:r w:rsidRPr="000941C6">
                        <w:rPr>
                          <w:rFonts w:cs="Tahoma"/>
                          <w:color w:val="0B5294"/>
                          <w:spacing w:val="-4"/>
                          <w:sz w:val="24"/>
                          <w:szCs w:val="24"/>
                          <w:rtl/>
                        </w:rPr>
                        <w:t xml:space="preserve"> </w:t>
                      </w:r>
                      <w:r w:rsidRPr="000941C6">
                        <w:rPr>
                          <w:rFonts w:cs="Tahoma" w:hint="eastAsia"/>
                          <w:color w:val="0B5294"/>
                          <w:spacing w:val="-4"/>
                          <w:sz w:val="24"/>
                          <w:szCs w:val="24"/>
                          <w:rtl/>
                        </w:rPr>
                        <w:t>המדינה</w:t>
                      </w:r>
                      <w:r w:rsidRPr="000941C6">
                        <w:rPr>
                          <w:rFonts w:cs="Tahoma"/>
                          <w:color w:val="0B5294"/>
                          <w:spacing w:val="-4"/>
                          <w:sz w:val="24"/>
                          <w:szCs w:val="24"/>
                          <w:rtl/>
                        </w:rPr>
                        <w:t xml:space="preserve"> </w:t>
                      </w:r>
                      <w:r w:rsidRPr="000941C6">
                        <w:rPr>
                          <w:rFonts w:cs="Tahoma" w:hint="eastAsia"/>
                          <w:color w:val="0B5294"/>
                          <w:spacing w:val="-4"/>
                          <w:sz w:val="24"/>
                          <w:szCs w:val="24"/>
                          <w:rtl/>
                        </w:rPr>
                        <w:t>לצורך</w:t>
                      </w:r>
                      <w:r w:rsidRPr="000941C6">
                        <w:rPr>
                          <w:rFonts w:cs="Tahoma"/>
                          <w:color w:val="0B5294"/>
                          <w:spacing w:val="-4"/>
                          <w:sz w:val="24"/>
                          <w:szCs w:val="24"/>
                          <w:rtl/>
                        </w:rPr>
                        <w:t xml:space="preserve"> </w:t>
                      </w:r>
                      <w:r w:rsidRPr="000941C6">
                        <w:rPr>
                          <w:rFonts w:cs="Tahoma" w:hint="eastAsia"/>
                          <w:color w:val="0B5294"/>
                          <w:spacing w:val="-4"/>
                          <w:sz w:val="24"/>
                          <w:szCs w:val="24"/>
                          <w:rtl/>
                        </w:rPr>
                        <w:t>הקמת</w:t>
                      </w:r>
                      <w:r w:rsidRPr="000941C6">
                        <w:rPr>
                          <w:rFonts w:cs="Tahoma"/>
                          <w:color w:val="0B5294"/>
                          <w:spacing w:val="-4"/>
                          <w:sz w:val="24"/>
                          <w:szCs w:val="24"/>
                          <w:rtl/>
                        </w:rPr>
                        <w:t xml:space="preserve"> </w:t>
                      </w:r>
                      <w:r w:rsidRPr="000941C6">
                        <w:rPr>
                          <w:rFonts w:cs="Tahoma" w:hint="eastAsia"/>
                          <w:color w:val="0B5294"/>
                          <w:spacing w:val="-4"/>
                          <w:sz w:val="24"/>
                          <w:szCs w:val="24"/>
                          <w:rtl/>
                        </w:rPr>
                        <w:t>בתי</w:t>
                      </w:r>
                      <w:r w:rsidRPr="000941C6">
                        <w:rPr>
                          <w:rFonts w:cs="Tahoma"/>
                          <w:color w:val="0B5294"/>
                          <w:spacing w:val="-4"/>
                          <w:sz w:val="24"/>
                          <w:szCs w:val="24"/>
                          <w:rtl/>
                        </w:rPr>
                        <w:t xml:space="preserve"> </w:t>
                      </w:r>
                      <w:r w:rsidRPr="000941C6">
                        <w:rPr>
                          <w:rFonts w:cs="Tahoma" w:hint="eastAsia"/>
                          <w:color w:val="0B5294"/>
                          <w:spacing w:val="-4"/>
                          <w:sz w:val="24"/>
                          <w:szCs w:val="24"/>
                          <w:rtl/>
                        </w:rPr>
                        <w:t>עלמין</w:t>
                      </w:r>
                      <w:r w:rsidRPr="000941C6">
                        <w:rPr>
                          <w:rFonts w:cs="Tahoma"/>
                          <w:color w:val="0B5294"/>
                          <w:spacing w:val="-4"/>
                          <w:sz w:val="24"/>
                          <w:szCs w:val="24"/>
                          <w:rtl/>
                        </w:rPr>
                        <w:t xml:space="preserve"> </w:t>
                      </w:r>
                      <w:r w:rsidRPr="000941C6">
                        <w:rPr>
                          <w:rFonts w:cs="Tahoma" w:hint="eastAsia"/>
                          <w:color w:val="0B5294"/>
                          <w:spacing w:val="-4"/>
                          <w:sz w:val="24"/>
                          <w:szCs w:val="24"/>
                          <w:rtl/>
                        </w:rPr>
                        <w:t>אזרחיים</w:t>
                      </w:r>
                      <w:r w:rsidRPr="000941C6">
                        <w:rPr>
                          <w:rFonts w:cs="Tahoma"/>
                          <w:color w:val="0B5294"/>
                          <w:spacing w:val="-4"/>
                          <w:sz w:val="24"/>
                          <w:szCs w:val="24"/>
                          <w:rtl/>
                        </w:rPr>
                        <w:t xml:space="preserve"> </w:t>
                      </w:r>
                      <w:r w:rsidRPr="000941C6">
                        <w:rPr>
                          <w:rFonts w:cs="Tahoma" w:hint="eastAsia"/>
                          <w:color w:val="0B5294"/>
                          <w:spacing w:val="-4"/>
                          <w:sz w:val="24"/>
                          <w:szCs w:val="24"/>
                          <w:rtl/>
                        </w:rPr>
                        <w:t>אינו</w:t>
                      </w:r>
                      <w:r w:rsidRPr="000941C6">
                        <w:rPr>
                          <w:rFonts w:cs="Tahoma"/>
                          <w:color w:val="0B5294"/>
                          <w:spacing w:val="-4"/>
                          <w:sz w:val="24"/>
                          <w:szCs w:val="24"/>
                          <w:rtl/>
                        </w:rPr>
                        <w:t xml:space="preserve"> </w:t>
                      </w:r>
                      <w:r w:rsidRPr="000941C6">
                        <w:rPr>
                          <w:rFonts w:cs="Tahoma" w:hint="eastAsia"/>
                          <w:color w:val="0B5294"/>
                          <w:spacing w:val="-4"/>
                          <w:sz w:val="24"/>
                          <w:szCs w:val="24"/>
                          <w:rtl/>
                        </w:rPr>
                        <w:t>מגשים</w:t>
                      </w:r>
                      <w:r w:rsidRPr="000941C6">
                        <w:rPr>
                          <w:rFonts w:cs="Tahoma"/>
                          <w:color w:val="0B5294"/>
                          <w:spacing w:val="-4"/>
                          <w:sz w:val="24"/>
                          <w:szCs w:val="24"/>
                          <w:rtl/>
                        </w:rPr>
                        <w:t xml:space="preserve"> </w:t>
                      </w:r>
                      <w:r w:rsidRPr="000941C6">
                        <w:rPr>
                          <w:rFonts w:cs="Tahoma" w:hint="eastAsia"/>
                          <w:color w:val="0B5294"/>
                          <w:spacing w:val="-4"/>
                          <w:sz w:val="24"/>
                          <w:szCs w:val="24"/>
                          <w:rtl/>
                        </w:rPr>
                        <w:t>את</w:t>
                      </w:r>
                      <w:r w:rsidRPr="000941C6">
                        <w:rPr>
                          <w:rFonts w:cs="Tahoma"/>
                          <w:color w:val="0B5294"/>
                          <w:spacing w:val="-4"/>
                          <w:sz w:val="24"/>
                          <w:szCs w:val="24"/>
                          <w:rtl/>
                        </w:rPr>
                        <w:t xml:space="preserve"> </w:t>
                      </w:r>
                      <w:r w:rsidRPr="000941C6">
                        <w:rPr>
                          <w:rFonts w:cs="Tahoma" w:hint="eastAsia"/>
                          <w:color w:val="0B5294"/>
                          <w:spacing w:val="-4"/>
                          <w:sz w:val="24"/>
                          <w:szCs w:val="24"/>
                          <w:rtl/>
                        </w:rPr>
                        <w:t>מטרתו</w:t>
                      </w:r>
                      <w:r w:rsidRPr="000941C6">
                        <w:rPr>
                          <w:rFonts w:cs="Tahoma"/>
                          <w:color w:val="0B5294"/>
                          <w:spacing w:val="-4"/>
                          <w:sz w:val="24"/>
                          <w:szCs w:val="24"/>
                          <w:rtl/>
                        </w:rPr>
                        <w:t xml:space="preserve">, </w:t>
                      </w:r>
                      <w:r w:rsidRPr="000941C6">
                        <w:rPr>
                          <w:rFonts w:cs="Tahoma" w:hint="eastAsia"/>
                          <w:color w:val="0B5294"/>
                          <w:spacing w:val="-4"/>
                          <w:sz w:val="24"/>
                          <w:szCs w:val="24"/>
                          <w:rtl/>
                        </w:rPr>
                        <w:t>וגורם</w:t>
                      </w:r>
                      <w:r w:rsidRPr="000941C6">
                        <w:rPr>
                          <w:rFonts w:cs="Tahoma"/>
                          <w:color w:val="0B5294"/>
                          <w:spacing w:val="-4"/>
                          <w:sz w:val="24"/>
                          <w:szCs w:val="24"/>
                          <w:rtl/>
                        </w:rPr>
                        <w:t xml:space="preserve"> </w:t>
                      </w:r>
                      <w:r w:rsidRPr="000941C6">
                        <w:rPr>
                          <w:rFonts w:cs="Tahoma" w:hint="eastAsia"/>
                          <w:color w:val="0B5294"/>
                          <w:spacing w:val="-4"/>
                          <w:sz w:val="24"/>
                          <w:szCs w:val="24"/>
                          <w:rtl/>
                        </w:rPr>
                        <w:t>לקושי</w:t>
                      </w:r>
                      <w:r w:rsidRPr="000941C6">
                        <w:rPr>
                          <w:rFonts w:cs="Tahoma"/>
                          <w:color w:val="0B5294"/>
                          <w:spacing w:val="-4"/>
                          <w:sz w:val="24"/>
                          <w:szCs w:val="24"/>
                          <w:rtl/>
                        </w:rPr>
                        <w:t xml:space="preserve"> </w:t>
                      </w:r>
                      <w:r w:rsidRPr="000941C6">
                        <w:rPr>
                          <w:rFonts w:cs="Tahoma" w:hint="eastAsia"/>
                          <w:color w:val="0B5294"/>
                          <w:spacing w:val="-4"/>
                          <w:sz w:val="24"/>
                          <w:szCs w:val="24"/>
                          <w:rtl/>
                        </w:rPr>
                        <w:t>של</w:t>
                      </w:r>
                      <w:r w:rsidRPr="000941C6">
                        <w:rPr>
                          <w:rFonts w:cs="Tahoma"/>
                          <w:color w:val="0B5294"/>
                          <w:spacing w:val="-4"/>
                          <w:sz w:val="24"/>
                          <w:szCs w:val="24"/>
                          <w:rtl/>
                        </w:rPr>
                        <w:t xml:space="preserve"> </w:t>
                      </w:r>
                      <w:r w:rsidRPr="000941C6">
                        <w:rPr>
                          <w:rFonts w:cs="Tahoma" w:hint="eastAsia"/>
                          <w:color w:val="0B5294"/>
                          <w:spacing w:val="-4"/>
                          <w:sz w:val="24"/>
                          <w:szCs w:val="24"/>
                          <w:rtl/>
                        </w:rPr>
                        <w:t>ממש</w:t>
                      </w:r>
                      <w:r w:rsidRPr="000941C6">
                        <w:rPr>
                          <w:rFonts w:cs="Tahoma"/>
                          <w:color w:val="0B5294"/>
                          <w:spacing w:val="-4"/>
                          <w:sz w:val="24"/>
                          <w:szCs w:val="24"/>
                          <w:rtl/>
                        </w:rPr>
                        <w:t xml:space="preserve"> </w:t>
                      </w:r>
                      <w:r w:rsidRPr="000941C6">
                        <w:rPr>
                          <w:rFonts w:cs="Tahoma" w:hint="eastAsia"/>
                          <w:color w:val="0B5294"/>
                          <w:spacing w:val="-4"/>
                          <w:sz w:val="24"/>
                          <w:szCs w:val="24"/>
                          <w:rtl/>
                        </w:rPr>
                        <w:t>בהקמה</w:t>
                      </w:r>
                      <w:r w:rsidRPr="000941C6">
                        <w:rPr>
                          <w:rFonts w:cs="Tahoma"/>
                          <w:color w:val="0B5294"/>
                          <w:spacing w:val="-4"/>
                          <w:sz w:val="24"/>
                          <w:szCs w:val="24"/>
                          <w:rtl/>
                        </w:rPr>
                        <w:t xml:space="preserve"> </w:t>
                      </w:r>
                      <w:r w:rsidRPr="000941C6">
                        <w:rPr>
                          <w:rFonts w:cs="Tahoma" w:hint="eastAsia"/>
                          <w:color w:val="0B5294"/>
                          <w:spacing w:val="-4"/>
                          <w:sz w:val="24"/>
                          <w:szCs w:val="24"/>
                          <w:rtl/>
                        </w:rPr>
                        <w:t>ובפיתוח</w:t>
                      </w:r>
                      <w:r w:rsidRPr="000941C6">
                        <w:rPr>
                          <w:rFonts w:cs="Tahoma"/>
                          <w:color w:val="0B5294"/>
                          <w:spacing w:val="-4"/>
                          <w:sz w:val="24"/>
                          <w:szCs w:val="24"/>
                          <w:rtl/>
                        </w:rPr>
                        <w:t xml:space="preserve"> </w:t>
                      </w:r>
                      <w:r w:rsidRPr="000941C6">
                        <w:rPr>
                          <w:rFonts w:cs="Tahoma" w:hint="eastAsia"/>
                          <w:color w:val="0B5294"/>
                          <w:spacing w:val="-4"/>
                          <w:sz w:val="24"/>
                          <w:szCs w:val="24"/>
                          <w:rtl/>
                        </w:rPr>
                        <w:t>של</w:t>
                      </w:r>
                      <w:r w:rsidRPr="000941C6">
                        <w:rPr>
                          <w:rFonts w:cs="Tahoma"/>
                          <w:color w:val="0B5294"/>
                          <w:spacing w:val="-4"/>
                          <w:sz w:val="24"/>
                          <w:szCs w:val="24"/>
                          <w:rtl/>
                        </w:rPr>
                        <w:t xml:space="preserve"> </w:t>
                      </w:r>
                      <w:r w:rsidRPr="000941C6">
                        <w:rPr>
                          <w:rFonts w:cs="Tahoma" w:hint="eastAsia"/>
                          <w:color w:val="0B5294"/>
                          <w:spacing w:val="-4"/>
                          <w:sz w:val="24"/>
                          <w:szCs w:val="24"/>
                          <w:rtl/>
                        </w:rPr>
                        <w:t>בתי</w:t>
                      </w:r>
                      <w:r w:rsidRPr="000941C6">
                        <w:rPr>
                          <w:rFonts w:cs="Tahoma"/>
                          <w:color w:val="0B5294"/>
                          <w:spacing w:val="-4"/>
                          <w:sz w:val="24"/>
                          <w:szCs w:val="24"/>
                          <w:rtl/>
                        </w:rPr>
                        <w:t xml:space="preserve"> </w:t>
                      </w:r>
                      <w:r w:rsidRPr="000941C6">
                        <w:rPr>
                          <w:rFonts w:cs="Tahoma" w:hint="eastAsia"/>
                          <w:color w:val="0B5294"/>
                          <w:spacing w:val="-4"/>
                          <w:sz w:val="24"/>
                          <w:szCs w:val="24"/>
                          <w:rtl/>
                        </w:rPr>
                        <w:t>עלמין</w:t>
                      </w:r>
                      <w:r w:rsidRPr="000941C6">
                        <w:rPr>
                          <w:rFonts w:cs="Tahoma"/>
                          <w:color w:val="0B5294"/>
                          <w:spacing w:val="-4"/>
                          <w:sz w:val="24"/>
                          <w:szCs w:val="24"/>
                          <w:rtl/>
                        </w:rPr>
                        <w:t xml:space="preserve"> </w:t>
                      </w:r>
                      <w:r w:rsidRPr="000941C6">
                        <w:rPr>
                          <w:rFonts w:cs="Tahoma" w:hint="eastAsia"/>
                          <w:color w:val="0B5294"/>
                          <w:spacing w:val="-4"/>
                          <w:sz w:val="24"/>
                          <w:szCs w:val="24"/>
                          <w:rtl/>
                        </w:rPr>
                        <w:t>אזרחיים</w:t>
                      </w:r>
                      <w:r w:rsidRPr="000941C6">
                        <w:rPr>
                          <w:rFonts w:cs="Tahoma"/>
                          <w:color w:val="0B5294"/>
                          <w:spacing w:val="-4"/>
                          <w:sz w:val="24"/>
                          <w:szCs w:val="24"/>
                          <w:rtl/>
                        </w:rPr>
                        <w:t xml:space="preserve"> </w:t>
                      </w:r>
                      <w:r w:rsidRPr="000941C6">
                        <w:rPr>
                          <w:rFonts w:cs="Tahoma" w:hint="eastAsia"/>
                          <w:color w:val="0B5294"/>
                          <w:spacing w:val="-4"/>
                          <w:sz w:val="24"/>
                          <w:szCs w:val="24"/>
                          <w:rtl/>
                        </w:rPr>
                        <w:t>בפועל</w:t>
                      </w:r>
                    </w:p>
                    <w:p w:rsidR="000941C6" w:rsidRPr="00373C5D" w:rsidP="000941C6">
                      <w:pPr>
                        <w:spacing w:before="120" w:after="0" w:line="240" w:lineRule="atLeast"/>
                        <w:rPr>
                          <w:rFonts w:cs="Tahoma"/>
                          <w:b/>
                          <w:bCs/>
                          <w:color w:val="0B5294"/>
                          <w:sz w:val="48"/>
                          <w:szCs w:val="48"/>
                          <w:rtl/>
                        </w:rPr>
                      </w:pPr>
                      <w:drawing>
                        <wp:inline distT="0" distB="0" distL="0" distR="0">
                          <wp:extent cx="288000" cy="31337"/>
                          <wp:effectExtent l="0" t="0" r="0" b="6985"/>
                          <wp:docPr id="2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948738" name="line.png"/>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EF45C8" w:rsidRPr="00E556CD" w:rsidP="00BF070A">
      <w:pPr>
        <w:spacing w:before="180" w:line="240" w:lineRule="exact"/>
        <w:ind w:left="340" w:right="2268"/>
        <w:jc w:val="both"/>
        <w:rPr>
          <w:rFonts w:ascii="Tahoma" w:hAnsi="Tahoma" w:cs="Tahoma"/>
          <w:sz w:val="17"/>
          <w:szCs w:val="17"/>
          <w:rtl/>
        </w:rPr>
      </w:pPr>
      <w:r w:rsidRPr="00E556CD">
        <w:rPr>
          <w:rFonts w:ascii="Tahoma" w:hAnsi="Tahoma" w:cs="Tahoma" w:hint="cs"/>
          <w:sz w:val="17"/>
          <w:szCs w:val="17"/>
          <w:rtl/>
        </w:rPr>
        <w:t>בתשובתו של המשרד לשירותי דת נמסר כי סמוך למתן תשובתו הוא הקצה 300,000 ש"ח מתקציבו למימון תכנון והערכת עלויות לפיתוח בית העלמין האזרחי בהר המנוחות. עוד מסר כי הוא פועל לביצוע תהליך דומה לפיתוח בית עלמין אזרחי באזור המרכז. כמו כן ציין המשרד כי הוא הגיע להסכמה עם משרד האוצר ולפיה גופי קבורה חדשים, שאין ברשותם מקורות הון עצמיים, יוכלו להקים בתי עלמין אזרחיים באמצעות תקציב ייעודי שיוקצה להם, באופן שהממשלה תממן את רוב התקציב הנדרש, והוסיף כי "בשנים 2018-2017 יוקצה תקציב משמעותי בגובה של כ-10 מיליון ש"ח לפיתוח קבורה אזרחית".</w:t>
      </w:r>
    </w:p>
    <w:p w:rsidR="00EF45C8" w:rsidRPr="00E556CD" w:rsidP="00BF070A">
      <w:pPr>
        <w:pStyle w:val="ListParagraph"/>
        <w:numPr>
          <w:ilvl w:val="0"/>
          <w:numId w:val="7"/>
        </w:numPr>
        <w:autoSpaceDE/>
        <w:autoSpaceDN/>
        <w:adjustRightInd/>
        <w:spacing w:line="240" w:lineRule="exact"/>
        <w:ind w:left="340" w:right="2268" w:hanging="340"/>
        <w:contextualSpacing/>
        <w:rPr>
          <w:sz w:val="17"/>
          <w:szCs w:val="17"/>
          <w:rtl/>
        </w:rPr>
      </w:pPr>
      <w:r w:rsidRPr="00E556CD">
        <w:rPr>
          <w:rStyle w:val="Heading7Char"/>
          <w:rFonts w:ascii="Tahoma" w:hAnsi="Tahoma" w:cs="Tahoma" w:hint="cs"/>
          <w:sz w:val="17"/>
          <w:szCs w:val="17"/>
          <w:rtl/>
        </w:rPr>
        <w:t>עיכוב</w:t>
      </w:r>
      <w:r w:rsidRPr="00E556CD">
        <w:rPr>
          <w:rStyle w:val="Heading7Char"/>
          <w:rFonts w:ascii="Tahoma" w:hAnsi="Tahoma" w:cs="Tahoma"/>
          <w:sz w:val="17"/>
          <w:szCs w:val="17"/>
          <w:rtl/>
        </w:rPr>
        <w:t xml:space="preserve"> </w:t>
      </w:r>
      <w:r w:rsidRPr="00E556CD">
        <w:rPr>
          <w:rStyle w:val="Heading7Char"/>
          <w:rFonts w:ascii="Tahoma" w:hAnsi="Tahoma" w:cs="Tahoma" w:hint="cs"/>
          <w:sz w:val="17"/>
          <w:szCs w:val="17"/>
          <w:rtl/>
        </w:rPr>
        <w:t>בהקמת</w:t>
      </w:r>
      <w:r w:rsidRPr="00E556CD">
        <w:rPr>
          <w:rStyle w:val="Heading7Char"/>
          <w:rFonts w:ascii="Tahoma" w:hAnsi="Tahoma" w:cs="Tahoma"/>
          <w:sz w:val="17"/>
          <w:szCs w:val="17"/>
          <w:rtl/>
        </w:rPr>
        <w:t xml:space="preserve"> </w:t>
      </w:r>
      <w:r w:rsidRPr="00E556CD">
        <w:rPr>
          <w:rStyle w:val="Heading7Char"/>
          <w:rFonts w:ascii="Tahoma" w:hAnsi="Tahoma" w:cs="Tahoma" w:hint="cs"/>
          <w:sz w:val="17"/>
          <w:szCs w:val="17"/>
          <w:rtl/>
        </w:rPr>
        <w:t>בית</w:t>
      </w:r>
      <w:r w:rsidRPr="00E556CD">
        <w:rPr>
          <w:rStyle w:val="Heading7Char"/>
          <w:rFonts w:ascii="Tahoma" w:hAnsi="Tahoma" w:cs="Tahoma"/>
          <w:sz w:val="17"/>
          <w:szCs w:val="17"/>
          <w:rtl/>
        </w:rPr>
        <w:t xml:space="preserve"> </w:t>
      </w:r>
      <w:r w:rsidRPr="00E556CD">
        <w:rPr>
          <w:rStyle w:val="Heading7Char"/>
          <w:rFonts w:ascii="Tahoma" w:hAnsi="Tahoma" w:cs="Tahoma" w:hint="cs"/>
          <w:sz w:val="17"/>
          <w:szCs w:val="17"/>
          <w:rtl/>
        </w:rPr>
        <w:t>עלמין</w:t>
      </w:r>
      <w:r w:rsidRPr="00E556CD">
        <w:rPr>
          <w:rStyle w:val="Heading7Char"/>
          <w:rFonts w:ascii="Tahoma" w:hAnsi="Tahoma" w:cs="Tahoma"/>
          <w:sz w:val="17"/>
          <w:szCs w:val="17"/>
          <w:rtl/>
        </w:rPr>
        <w:t xml:space="preserve"> </w:t>
      </w:r>
      <w:r w:rsidRPr="00E556CD">
        <w:rPr>
          <w:rStyle w:val="Heading7Char"/>
          <w:rFonts w:ascii="Tahoma" w:hAnsi="Tahoma" w:cs="Tahoma" w:hint="cs"/>
          <w:sz w:val="17"/>
          <w:szCs w:val="17"/>
          <w:rtl/>
        </w:rPr>
        <w:t>בברקת</w:t>
      </w:r>
      <w:r w:rsidRPr="00E556CD">
        <w:rPr>
          <w:rStyle w:val="Heading7Char"/>
          <w:rFonts w:ascii="Tahoma" w:hAnsi="Tahoma" w:cs="Tahoma"/>
          <w:sz w:val="17"/>
          <w:szCs w:val="17"/>
          <w:rtl/>
        </w:rPr>
        <w:t>:</w:t>
      </w:r>
      <w:r w:rsidRPr="00E556CD">
        <w:rPr>
          <w:rFonts w:hint="cs"/>
          <w:sz w:val="17"/>
          <w:szCs w:val="17"/>
          <w:rtl/>
        </w:rPr>
        <w:t xml:space="preserve"> בדוח קודם של מבקר המדינה בנושא שירותי הקבורה</w:t>
      </w:r>
      <w:r>
        <w:rPr>
          <w:rStyle w:val="FootnoteReference0"/>
          <w:sz w:val="17"/>
          <w:szCs w:val="17"/>
          <w:rtl/>
        </w:rPr>
        <w:footnoteReference w:id="28"/>
      </w:r>
      <w:r w:rsidRPr="00E556CD">
        <w:rPr>
          <w:rFonts w:hint="cs"/>
          <w:sz w:val="17"/>
          <w:szCs w:val="17"/>
          <w:rtl/>
        </w:rPr>
        <w:t xml:space="preserve"> תוארו הליכי הקמת בית עלמין ברקת בסמוך ליישוב ברקת; מטרת התכנית</w:t>
      </w:r>
      <w:r>
        <w:rPr>
          <w:rStyle w:val="FootnoteReference0"/>
          <w:sz w:val="17"/>
          <w:szCs w:val="17"/>
          <w:rtl/>
        </w:rPr>
        <w:footnoteReference w:id="29"/>
      </w:r>
      <w:r w:rsidRPr="00E556CD">
        <w:rPr>
          <w:rFonts w:hint="cs"/>
          <w:sz w:val="17"/>
          <w:szCs w:val="17"/>
          <w:rtl/>
        </w:rPr>
        <w:t>, שאושרה ביוני 2003, הייתה לפתור את בעיית הקבורה בגוש דן לשלושת העשורים הבאים ולאפשר הקמת כ-270,000 מקומות קבורה בשטח של 380 דונם שיהיה אפשר להרחיבו, מהם 12%-10% מיועדים לקבורה אזרחית. בספטמבר 2002 התקין השר לשירותי דת דאז את תקנות שירותי הדת היהודיים (מועצת בתי העלמין היהודיים בברקת), התשס"ג-2002, שמכוחן הוקמה מועצה שתפקידיה היו, בין היתר, לתכנן, להקים, להחזיק, לנהל ולפתח בתי עלמין בברקת ודרכי גישה אליהם וכן לפקח על בתי העלמין.</w:t>
      </w:r>
    </w:p>
    <w:p w:rsidR="00EF45C8" w:rsidRPr="00E556CD" w:rsidP="007E3D48">
      <w:pPr>
        <w:spacing w:line="240" w:lineRule="exact"/>
        <w:ind w:left="340" w:right="2268"/>
        <w:jc w:val="both"/>
        <w:rPr>
          <w:rFonts w:ascii="Tahoma" w:hAnsi="Tahoma" w:cs="Tahoma"/>
          <w:sz w:val="17"/>
          <w:szCs w:val="17"/>
          <w:rtl/>
        </w:rPr>
      </w:pPr>
      <w:r w:rsidRPr="00E556CD">
        <w:rPr>
          <w:rFonts w:ascii="Tahoma" w:hAnsi="Tahoma" w:cs="Tahoma" w:hint="cs"/>
          <w:sz w:val="17"/>
          <w:szCs w:val="17"/>
          <w:rtl/>
        </w:rPr>
        <w:t xml:space="preserve">באוקטובר 2014 דנה הוועדה המקומית לתכנון ובנייה חבל מודיעין, שבתחום שיפוטה נמצא בית העלמין המיועד, בבקשה להיתר שהגישה מועצת בתי העלמין ברקת לביצוע עבודות עפר, סלילת מערכת כבישים, תשתיות וקירות תומכים לצורך הקמת בית העלמין. הוועדה המקומית התנתה את מתן היתר </w:t>
      </w:r>
      <w:r w:rsidRPr="00E556CD">
        <w:rPr>
          <w:rFonts w:ascii="Tahoma" w:hAnsi="Tahoma" w:cs="Tahoma" w:hint="cs"/>
          <w:sz w:val="17"/>
          <w:szCs w:val="17"/>
          <w:rtl/>
        </w:rPr>
        <w:t>הבנייה בכמה תנאים, ובכלל זה התנתה אותו בהסדרת הנחל הסמוך ובהסדרת התנועה באזור, נושאים המחייבים השקעת משאבים ניכרים.</w:t>
      </w:r>
      <w:r w:rsidRPr="00E556CD">
        <w:rPr>
          <w:rFonts w:ascii="Tahoma" w:hAnsi="Tahoma" w:cs="Tahoma" w:hint="cs"/>
          <w:color w:val="0070C0"/>
          <w:sz w:val="17"/>
          <w:szCs w:val="17"/>
          <w:rtl/>
        </w:rPr>
        <w:t xml:space="preserve"> </w:t>
      </w:r>
      <w:r w:rsidRPr="00E556CD">
        <w:rPr>
          <w:rFonts w:ascii="Tahoma" w:hAnsi="Tahoma" w:cs="Tahoma" w:hint="cs"/>
          <w:sz w:val="17"/>
          <w:szCs w:val="17"/>
          <w:rtl/>
        </w:rPr>
        <w:t>עקב כך פנתה המועצה לוועדה המחוזית, וזו החליטה במאי 2016 לאפשר דחייה של חלק מהתנאים האמורים (אך לא את הסדרת הנחל) לשלב מאוחר יותר והקציבה לוועדה המקומית ולמועצה חצי שנה להשגת פתרון מוסכם לעניין הסדרת הנחל.</w:t>
      </w:r>
    </w:p>
    <w:p w:rsidR="00EF45C8" w:rsidRPr="00E556CD" w:rsidP="007E3D48">
      <w:pPr>
        <w:spacing w:line="240" w:lineRule="exact"/>
        <w:ind w:left="340" w:right="2268"/>
        <w:jc w:val="both"/>
        <w:rPr>
          <w:rFonts w:ascii="Tahoma" w:hAnsi="Tahoma" w:cs="Tahoma"/>
          <w:sz w:val="17"/>
          <w:szCs w:val="17"/>
          <w:rtl/>
        </w:rPr>
      </w:pPr>
      <w:r w:rsidRPr="00E556CD">
        <w:rPr>
          <w:rFonts w:ascii="Tahoma" w:hAnsi="Tahoma" w:cs="Tahoma" w:hint="cs"/>
          <w:sz w:val="17"/>
          <w:szCs w:val="17"/>
          <w:rtl/>
        </w:rPr>
        <w:t xml:space="preserve">בתשובתו של יו"ר הוועדה המקומית לתכנון ובניה חבל מודיעין למשרד מבקר המדינה מדצמבר 2016 נמסר כי רק יותר מעשור לאחר הקמתה של מועצת בתי עלמין ברקת, היא הגישה לוועדה את בקשתה להיתר בנייה, וכי הבקשה לא עמדה בתנאי </w:t>
      </w:r>
      <w:r w:rsidRPr="00E556CD">
        <w:rPr>
          <w:rFonts w:ascii="Tahoma" w:hAnsi="Tahoma" w:cs="Tahoma" w:hint="cs"/>
          <w:sz w:val="17"/>
          <w:szCs w:val="17"/>
          <w:rtl/>
        </w:rPr>
        <w:t>התב"ע</w:t>
      </w:r>
      <w:r w:rsidRPr="00E556CD">
        <w:rPr>
          <w:rFonts w:ascii="Tahoma" w:hAnsi="Tahoma" w:cs="Tahoma" w:hint="cs"/>
          <w:sz w:val="17"/>
          <w:szCs w:val="17"/>
          <w:rtl/>
        </w:rPr>
        <w:t xml:space="preserve"> הרלוונטית, ובהתאם להחלטת הוועדה המחוזית יש לבצע את העבודות להסדרת הנחל לפני הקמת בית העלמין.</w:t>
      </w:r>
    </w:p>
    <w:p w:rsidR="00EF45C8" w:rsidRPr="00E556CD" w:rsidP="007E3D48">
      <w:pPr>
        <w:spacing w:line="240" w:lineRule="exact"/>
        <w:ind w:left="340" w:right="2268"/>
        <w:jc w:val="both"/>
        <w:rPr>
          <w:rFonts w:ascii="Tahoma" w:hAnsi="Tahoma" w:cs="Tahoma"/>
          <w:sz w:val="17"/>
          <w:szCs w:val="17"/>
          <w:rtl/>
        </w:rPr>
      </w:pPr>
      <w:r w:rsidRPr="00E556CD">
        <w:rPr>
          <w:rFonts w:ascii="Tahoma" w:hAnsi="Tahoma" w:cs="Tahoma" w:hint="cs"/>
          <w:sz w:val="17"/>
          <w:szCs w:val="17"/>
          <w:rtl/>
        </w:rPr>
        <w:t>המשרד לשירותי דת השיב כי פיתוח האתר מתעכב שנים רבות עקב התנגדות הרשות המקומית בהתאם לסמכויותיה, וכי למשרד לשירותי דת אין סמכות וכלים שבאמצעותם יוכל לחייבה להסדיר את נושא היתר הבנייה. בה בעת הוא פועל באמצעות מועצת בתי העלמין ברקת בניסיון לאשר תיקון לחוק התכנון והבנייה על מנת שבית העלמין יוכר כתשתית לאומית ויהיה בסמכות אישור של הוועדה לתשתיות לאומיות וכך יהיה פטור מהליכים בירוקרטיים מסורבלים.</w:t>
      </w:r>
    </w:p>
    <w:p w:rsidR="00EF45C8" w:rsidRPr="00E556CD" w:rsidP="00BF070A">
      <w:pPr>
        <w:spacing w:after="240" w:line="240" w:lineRule="exact"/>
        <w:ind w:left="340" w:right="2268"/>
        <w:jc w:val="both"/>
        <w:rPr>
          <w:rFonts w:ascii="Tahoma" w:hAnsi="Tahoma" w:cs="Tahoma"/>
          <w:sz w:val="17"/>
          <w:szCs w:val="17"/>
          <w:rtl/>
        </w:rPr>
      </w:pPr>
      <w:r w:rsidRPr="00E556CD">
        <w:rPr>
          <w:rFonts w:ascii="Tahoma" w:hAnsi="Tahoma" w:cs="Tahoma" w:hint="cs"/>
          <w:sz w:val="17"/>
          <w:szCs w:val="17"/>
          <w:rtl/>
        </w:rPr>
        <w:t xml:space="preserve">בתשובתו של יו"ר מועצת בתי העלמין היהודיים בברקת למשרד מבקר המדינה מדצמבר 2016 נמסר כי לדעתו "עד שלא יעבירו את סמכות האישור </w:t>
      </w:r>
      <w:r w:rsidRPr="00E556CD">
        <w:rPr>
          <w:rFonts w:ascii="Tahoma" w:hAnsi="Tahoma" w:cs="Tahoma" w:hint="cs"/>
          <w:sz w:val="17"/>
          <w:szCs w:val="17"/>
          <w:rtl/>
        </w:rPr>
        <w:t>לות"ל</w:t>
      </w:r>
      <w:r w:rsidRPr="00E556CD">
        <w:rPr>
          <w:rFonts w:ascii="Tahoma" w:hAnsi="Tahoma" w:cs="Tahoma" w:hint="cs"/>
          <w:sz w:val="17"/>
          <w:szCs w:val="17"/>
          <w:rtl/>
        </w:rPr>
        <w:t xml:space="preserve"> (ועדה לתכנון לאומי) הסיכוי לקבל היתר בניה שואף ל-0...".</w:t>
      </w:r>
    </w:p>
    <w:p w:rsidR="00EF45C8" w:rsidRPr="00E556CD" w:rsidP="00BF070A">
      <w:pPr>
        <w:pStyle w:val="RESHET"/>
        <w:ind w:left="567"/>
        <w:rPr>
          <w:rtl/>
        </w:rPr>
      </w:pPr>
      <w:r w:rsidRPr="00E556CD">
        <w:rPr>
          <w:rFonts w:hint="cs"/>
          <w:rtl/>
        </w:rPr>
        <w:t xml:space="preserve">במועד סיום הביקורת, דהיינו 13 שנים (!) לאחר שאושרה התכנית להקמת בית עלמין ברקת, עדיין לא החלו העבודות להקמתו ואף טרם הושגו ההיתרים לכך, וכפועל יוצא לא נראה באופק הפתרון שיאפשר לספק מקומות קבורה לכל </w:t>
      </w:r>
      <w:r w:rsidRPr="00E556CD">
        <w:rPr>
          <w:rtl/>
        </w:rPr>
        <w:t>גוש דן ל</w:t>
      </w:r>
      <w:r w:rsidRPr="00E556CD">
        <w:rPr>
          <w:rFonts w:hint="cs"/>
          <w:rtl/>
        </w:rPr>
        <w:t xml:space="preserve">משך </w:t>
      </w:r>
      <w:r w:rsidRPr="00E556CD">
        <w:rPr>
          <w:rtl/>
        </w:rPr>
        <w:t>30 שנה</w:t>
      </w:r>
      <w:r w:rsidRPr="00E556CD">
        <w:rPr>
          <w:rFonts w:hint="cs"/>
          <w:rtl/>
        </w:rPr>
        <w:t>, לרבות במסגרת קבורה אזרחית.</w:t>
      </w:r>
    </w:p>
    <w:p w:rsidR="00EF45C8" w:rsidP="00E556CD">
      <w:pPr>
        <w:spacing w:line="240" w:lineRule="exact"/>
        <w:ind w:right="2268"/>
        <w:jc w:val="both"/>
        <w:rPr>
          <w:rFonts w:ascii="Tahoma" w:hAnsi="Tahoma" w:cs="Tahoma"/>
          <w:sz w:val="17"/>
          <w:szCs w:val="17"/>
          <w:rtl/>
        </w:rPr>
      </w:pPr>
    </w:p>
    <w:p w:rsidR="00BF070A" w:rsidRPr="00E556CD" w:rsidP="00E556CD">
      <w:pPr>
        <w:spacing w:line="240" w:lineRule="exact"/>
        <w:ind w:right="2268"/>
        <w:jc w:val="both"/>
        <w:rPr>
          <w:rFonts w:ascii="Tahoma" w:hAnsi="Tahoma" w:cs="Tahoma"/>
          <w:sz w:val="17"/>
          <w:szCs w:val="17"/>
          <w:rtl/>
        </w:rPr>
      </w:pPr>
    </w:p>
    <w:p w:rsidR="00EF45C8" w:rsidRPr="003D5143" w:rsidP="006B7001">
      <w:pPr>
        <w:pStyle w:val="KOT4"/>
        <w:rPr>
          <w:rtl/>
        </w:rPr>
      </w:pPr>
      <w:r w:rsidRPr="003D5143">
        <w:rPr>
          <w:rFonts w:hint="cs"/>
          <w:rtl/>
        </w:rPr>
        <w:t>הסקר הארצי</w:t>
      </w:r>
    </w:p>
    <w:p w:rsidR="00EF45C8" w:rsidRPr="00E556CD" w:rsidP="00E556CD">
      <w:pPr>
        <w:spacing w:line="240" w:lineRule="exact"/>
        <w:ind w:right="2268"/>
        <w:jc w:val="both"/>
        <w:rPr>
          <w:rFonts w:ascii="Tahoma" w:hAnsi="Tahoma" w:cs="Tahoma"/>
          <w:sz w:val="17"/>
          <w:szCs w:val="17"/>
          <w:rtl/>
        </w:rPr>
      </w:pPr>
      <w:r w:rsidRPr="00E556CD">
        <w:rPr>
          <w:rFonts w:ascii="Tahoma" w:hAnsi="Tahoma" w:cs="Tahoma"/>
          <w:sz w:val="17"/>
          <w:szCs w:val="17"/>
          <w:rtl/>
        </w:rPr>
        <w:t xml:space="preserve">משנת 2012, כ-16 שנה </w:t>
      </w:r>
      <w:r w:rsidRPr="00E556CD">
        <w:rPr>
          <w:rFonts w:ascii="Tahoma" w:hAnsi="Tahoma" w:cs="Tahoma" w:hint="cs"/>
          <w:sz w:val="17"/>
          <w:szCs w:val="17"/>
          <w:rtl/>
        </w:rPr>
        <w:t>לאחר שחוקק</w:t>
      </w:r>
      <w:r w:rsidRPr="00E556CD">
        <w:rPr>
          <w:rFonts w:ascii="Tahoma" w:hAnsi="Tahoma" w:cs="Tahoma"/>
          <w:sz w:val="17"/>
          <w:szCs w:val="17"/>
          <w:rtl/>
        </w:rPr>
        <w:t xml:space="preserve"> </w:t>
      </w:r>
      <w:r w:rsidRPr="00E556CD">
        <w:rPr>
          <w:rFonts w:ascii="Tahoma" w:hAnsi="Tahoma" w:cs="Tahoma" w:hint="cs"/>
          <w:sz w:val="17"/>
          <w:szCs w:val="17"/>
          <w:rtl/>
        </w:rPr>
        <w:t>החוק</w:t>
      </w:r>
      <w:r w:rsidRPr="00E556CD">
        <w:rPr>
          <w:rFonts w:ascii="Tahoma" w:hAnsi="Tahoma" w:cs="Tahoma"/>
          <w:sz w:val="17"/>
          <w:szCs w:val="17"/>
          <w:rtl/>
        </w:rPr>
        <w:t xml:space="preserve">, </w:t>
      </w:r>
      <w:r w:rsidRPr="00E556CD">
        <w:rPr>
          <w:rFonts w:ascii="Tahoma" w:hAnsi="Tahoma" w:cs="Tahoma" w:hint="cs"/>
          <w:sz w:val="17"/>
          <w:szCs w:val="17"/>
          <w:rtl/>
        </w:rPr>
        <w:t>ביצעו</w:t>
      </w:r>
      <w:r w:rsidRPr="00E556CD">
        <w:rPr>
          <w:rFonts w:ascii="Tahoma" w:hAnsi="Tahoma" w:cs="Tahoma"/>
          <w:sz w:val="17"/>
          <w:szCs w:val="17"/>
          <w:rtl/>
        </w:rPr>
        <w:t xml:space="preserve">, </w:t>
      </w:r>
      <w:r w:rsidRPr="00E556CD">
        <w:rPr>
          <w:rFonts w:ascii="Tahoma" w:hAnsi="Tahoma" w:cs="Tahoma" w:hint="cs"/>
          <w:sz w:val="17"/>
          <w:szCs w:val="17"/>
          <w:rtl/>
        </w:rPr>
        <w:t>כאמור</w:t>
      </w:r>
      <w:r w:rsidRPr="00E556CD">
        <w:rPr>
          <w:rFonts w:ascii="Tahoma" w:hAnsi="Tahoma" w:cs="Tahoma"/>
          <w:sz w:val="17"/>
          <w:szCs w:val="17"/>
          <w:rtl/>
        </w:rPr>
        <w:t xml:space="preserve">, המשרד לשירותי דת </w:t>
      </w:r>
      <w:r w:rsidRPr="00E556CD">
        <w:rPr>
          <w:rFonts w:ascii="Tahoma" w:hAnsi="Tahoma" w:cs="Tahoma" w:hint="cs"/>
          <w:sz w:val="17"/>
          <w:szCs w:val="17"/>
          <w:rtl/>
        </w:rPr>
        <w:t>ומינהל</w:t>
      </w:r>
      <w:r w:rsidRPr="00E556CD">
        <w:rPr>
          <w:rFonts w:ascii="Tahoma" w:hAnsi="Tahoma" w:cs="Tahoma"/>
          <w:sz w:val="17"/>
          <w:szCs w:val="17"/>
          <w:rtl/>
        </w:rPr>
        <w:t xml:space="preserve"> התכנון </w:t>
      </w:r>
      <w:r w:rsidRPr="00E556CD">
        <w:rPr>
          <w:rFonts w:ascii="Tahoma" w:hAnsi="Tahoma" w:cs="Tahoma" w:hint="cs"/>
          <w:sz w:val="17"/>
          <w:szCs w:val="17"/>
          <w:rtl/>
        </w:rPr>
        <w:t>סקר</w:t>
      </w:r>
      <w:r w:rsidRPr="00E556CD">
        <w:rPr>
          <w:rFonts w:ascii="Tahoma" w:hAnsi="Tahoma" w:cs="Tahoma"/>
          <w:sz w:val="17"/>
          <w:szCs w:val="17"/>
          <w:rtl/>
        </w:rPr>
        <w:t xml:space="preserve"> ארצי </w:t>
      </w:r>
      <w:r w:rsidRPr="00E556CD">
        <w:rPr>
          <w:rFonts w:ascii="Tahoma" w:hAnsi="Tahoma" w:cs="Tahoma" w:hint="cs"/>
          <w:sz w:val="17"/>
          <w:szCs w:val="17"/>
          <w:rtl/>
        </w:rPr>
        <w:t>למיפוי</w:t>
      </w:r>
      <w:r w:rsidRPr="00E556CD">
        <w:rPr>
          <w:rFonts w:ascii="Tahoma" w:hAnsi="Tahoma" w:cs="Tahoma"/>
          <w:sz w:val="17"/>
          <w:szCs w:val="17"/>
          <w:rtl/>
        </w:rPr>
        <w:t xml:space="preserve"> בתי העלמין האזרחיים הקיימים </w:t>
      </w:r>
      <w:r w:rsidRPr="00E556CD">
        <w:rPr>
          <w:rFonts w:ascii="Tahoma" w:hAnsi="Tahoma" w:cs="Tahoma" w:hint="cs"/>
          <w:sz w:val="17"/>
          <w:szCs w:val="17"/>
          <w:rtl/>
        </w:rPr>
        <w:t>ולזיהוי</w:t>
      </w:r>
      <w:r w:rsidRPr="00E556CD">
        <w:rPr>
          <w:rFonts w:ascii="Tahoma" w:hAnsi="Tahoma" w:cs="Tahoma"/>
          <w:sz w:val="17"/>
          <w:szCs w:val="17"/>
          <w:rtl/>
        </w:rPr>
        <w:t xml:space="preserve"> </w:t>
      </w:r>
      <w:r w:rsidRPr="00E556CD">
        <w:rPr>
          <w:rFonts w:ascii="Tahoma" w:hAnsi="Tahoma" w:cs="Tahoma" w:hint="cs"/>
          <w:sz w:val="17"/>
          <w:szCs w:val="17"/>
          <w:rtl/>
        </w:rPr>
        <w:t>אתרים</w:t>
      </w:r>
      <w:r w:rsidRPr="00E556CD">
        <w:rPr>
          <w:rFonts w:ascii="Tahoma" w:hAnsi="Tahoma" w:cs="Tahoma"/>
          <w:sz w:val="17"/>
          <w:szCs w:val="17"/>
          <w:rtl/>
        </w:rPr>
        <w:t xml:space="preserve"> </w:t>
      </w:r>
      <w:r w:rsidRPr="00E556CD">
        <w:rPr>
          <w:rFonts w:ascii="Tahoma" w:hAnsi="Tahoma" w:cs="Tahoma" w:hint="cs"/>
          <w:sz w:val="17"/>
          <w:szCs w:val="17"/>
          <w:rtl/>
        </w:rPr>
        <w:t>חדשים</w:t>
      </w:r>
      <w:r w:rsidRPr="00E556CD">
        <w:rPr>
          <w:rFonts w:ascii="Tahoma" w:hAnsi="Tahoma" w:cs="Tahoma"/>
          <w:sz w:val="17"/>
          <w:szCs w:val="17"/>
          <w:rtl/>
        </w:rPr>
        <w:t xml:space="preserve"> </w:t>
      </w:r>
      <w:r w:rsidRPr="00E556CD">
        <w:rPr>
          <w:rFonts w:ascii="Tahoma" w:hAnsi="Tahoma" w:cs="Tahoma" w:hint="cs"/>
          <w:sz w:val="17"/>
          <w:szCs w:val="17"/>
          <w:rtl/>
        </w:rPr>
        <w:t>לקבורה</w:t>
      </w:r>
      <w:r w:rsidRPr="00E556CD">
        <w:rPr>
          <w:rFonts w:ascii="Tahoma" w:hAnsi="Tahoma" w:cs="Tahoma"/>
          <w:sz w:val="17"/>
          <w:szCs w:val="17"/>
          <w:rtl/>
        </w:rPr>
        <w:t xml:space="preserve"> </w:t>
      </w:r>
      <w:r w:rsidRPr="00E556CD">
        <w:rPr>
          <w:rFonts w:ascii="Tahoma" w:hAnsi="Tahoma" w:cs="Tahoma" w:hint="cs"/>
          <w:sz w:val="17"/>
          <w:szCs w:val="17"/>
          <w:rtl/>
        </w:rPr>
        <w:t>אזרחית.</w:t>
      </w:r>
      <w:r w:rsidRPr="00E556CD">
        <w:rPr>
          <w:rFonts w:ascii="Tahoma" w:hAnsi="Tahoma" w:cs="Tahoma"/>
          <w:sz w:val="17"/>
          <w:szCs w:val="17"/>
          <w:rtl/>
        </w:rPr>
        <w:t xml:space="preserve"> </w:t>
      </w:r>
      <w:r w:rsidRPr="00E556CD">
        <w:rPr>
          <w:rFonts w:ascii="Tahoma" w:hAnsi="Tahoma" w:cs="Tahoma" w:hint="cs"/>
          <w:sz w:val="17"/>
          <w:szCs w:val="17"/>
          <w:rtl/>
        </w:rPr>
        <w:t>באמצעות ממצאי הסקר</w:t>
      </w:r>
      <w:r w:rsidRPr="00E556CD">
        <w:rPr>
          <w:rFonts w:ascii="Tahoma" w:hAnsi="Tahoma" w:cs="Tahoma"/>
          <w:sz w:val="17"/>
          <w:szCs w:val="17"/>
          <w:rtl/>
        </w:rPr>
        <w:t xml:space="preserve"> אותרו 13 אתרים </w:t>
      </w:r>
      <w:r w:rsidRPr="00E556CD">
        <w:rPr>
          <w:rFonts w:ascii="Tahoma" w:hAnsi="Tahoma" w:cs="Tahoma" w:hint="cs"/>
          <w:sz w:val="17"/>
          <w:szCs w:val="17"/>
          <w:rtl/>
        </w:rPr>
        <w:t>שניתן</w:t>
      </w:r>
      <w:r w:rsidRPr="00E556CD">
        <w:rPr>
          <w:rFonts w:ascii="Tahoma" w:hAnsi="Tahoma" w:cs="Tahoma"/>
          <w:sz w:val="17"/>
          <w:szCs w:val="17"/>
          <w:rtl/>
        </w:rPr>
        <w:t xml:space="preserve"> להכריז עליהם כבתי עלמין אזוריים</w:t>
      </w:r>
      <w:r w:rsidRPr="00E556CD">
        <w:rPr>
          <w:rFonts w:ascii="Tahoma" w:hAnsi="Tahoma" w:cs="Tahoma" w:hint="cs"/>
          <w:sz w:val="17"/>
          <w:szCs w:val="17"/>
          <w:rtl/>
        </w:rPr>
        <w:t xml:space="preserve"> - המיועדים</w:t>
      </w:r>
      <w:r w:rsidRPr="00E556CD">
        <w:rPr>
          <w:rFonts w:ascii="Tahoma" w:hAnsi="Tahoma" w:cs="Tahoma"/>
          <w:sz w:val="17"/>
          <w:szCs w:val="17"/>
          <w:rtl/>
        </w:rPr>
        <w:t xml:space="preserve"> לשרת שני יישובים או יותר </w:t>
      </w:r>
      <w:r w:rsidRPr="00E556CD">
        <w:rPr>
          <w:rFonts w:ascii="Tahoma" w:hAnsi="Tahoma" w:cs="Tahoma" w:hint="cs"/>
          <w:sz w:val="17"/>
          <w:szCs w:val="17"/>
          <w:rtl/>
        </w:rPr>
        <w:t>הסמוכים זה לזה</w:t>
      </w:r>
      <w:r w:rsidRPr="00E556CD">
        <w:rPr>
          <w:rFonts w:ascii="Tahoma" w:hAnsi="Tahoma" w:cs="Tahoma"/>
          <w:sz w:val="17"/>
          <w:szCs w:val="17"/>
          <w:rtl/>
        </w:rPr>
        <w:t xml:space="preserve">. </w:t>
      </w:r>
      <w:r w:rsidRPr="00E556CD">
        <w:rPr>
          <w:rFonts w:ascii="Tahoma" w:hAnsi="Tahoma" w:cs="Tahoma" w:hint="cs"/>
          <w:sz w:val="17"/>
          <w:szCs w:val="17"/>
          <w:rtl/>
        </w:rPr>
        <w:t>בשנים</w:t>
      </w:r>
      <w:r w:rsidRPr="00E556CD">
        <w:rPr>
          <w:rFonts w:ascii="Tahoma" w:hAnsi="Tahoma" w:cs="Tahoma"/>
          <w:sz w:val="17"/>
          <w:szCs w:val="17"/>
          <w:rtl/>
        </w:rPr>
        <w:t xml:space="preserve"> </w:t>
      </w:r>
      <w:r w:rsidRPr="00E556CD">
        <w:rPr>
          <w:rFonts w:ascii="Tahoma" w:hAnsi="Tahoma" w:cs="Tahoma" w:hint="cs"/>
          <w:sz w:val="17"/>
          <w:szCs w:val="17"/>
          <w:rtl/>
        </w:rPr>
        <w:t>2014 ו-2015</w:t>
      </w:r>
      <w:r w:rsidRPr="00E556CD">
        <w:rPr>
          <w:rFonts w:ascii="Tahoma" w:hAnsi="Tahoma" w:cs="Tahoma"/>
          <w:sz w:val="17"/>
          <w:szCs w:val="17"/>
          <w:rtl/>
        </w:rPr>
        <w:t xml:space="preserve"> </w:t>
      </w:r>
      <w:r w:rsidRPr="00E556CD">
        <w:rPr>
          <w:rFonts w:ascii="Tahoma" w:hAnsi="Tahoma" w:cs="Tahoma" w:hint="cs"/>
          <w:sz w:val="17"/>
          <w:szCs w:val="17"/>
          <w:rtl/>
        </w:rPr>
        <w:t>ביצע</w:t>
      </w:r>
      <w:r w:rsidRPr="00E556CD">
        <w:rPr>
          <w:rFonts w:ascii="Tahoma" w:hAnsi="Tahoma" w:cs="Tahoma"/>
          <w:sz w:val="17"/>
          <w:szCs w:val="17"/>
          <w:rtl/>
        </w:rPr>
        <w:t xml:space="preserve"> </w:t>
      </w:r>
      <w:r w:rsidRPr="00E556CD">
        <w:rPr>
          <w:rFonts w:ascii="Tahoma" w:hAnsi="Tahoma" w:cs="Tahoma" w:hint="cs"/>
          <w:sz w:val="17"/>
          <w:szCs w:val="17"/>
          <w:rtl/>
        </w:rPr>
        <w:t>המשרד</w:t>
      </w:r>
      <w:r w:rsidRPr="00E556CD">
        <w:rPr>
          <w:rFonts w:ascii="Tahoma" w:hAnsi="Tahoma" w:cs="Tahoma"/>
          <w:sz w:val="17"/>
          <w:szCs w:val="17"/>
          <w:rtl/>
        </w:rPr>
        <w:t xml:space="preserve"> לשירותי דת מיפוי באמצעות חברה חיצונית </w:t>
      </w:r>
      <w:r w:rsidRPr="00E556CD">
        <w:rPr>
          <w:rFonts w:ascii="Tahoma" w:hAnsi="Tahoma" w:cs="Tahoma" w:hint="cs"/>
          <w:sz w:val="17"/>
          <w:szCs w:val="17"/>
          <w:rtl/>
        </w:rPr>
        <w:t>שבחנה</w:t>
      </w:r>
      <w:r w:rsidRPr="00E556CD">
        <w:rPr>
          <w:rFonts w:ascii="Tahoma" w:hAnsi="Tahoma" w:cs="Tahoma"/>
          <w:sz w:val="17"/>
          <w:szCs w:val="17"/>
          <w:rtl/>
        </w:rPr>
        <w:t xml:space="preserve"> </w:t>
      </w:r>
      <w:r w:rsidRPr="00E556CD">
        <w:rPr>
          <w:rFonts w:ascii="Tahoma" w:hAnsi="Tahoma" w:cs="Tahoma" w:hint="cs"/>
          <w:sz w:val="17"/>
          <w:szCs w:val="17"/>
          <w:rtl/>
        </w:rPr>
        <w:t>את</w:t>
      </w:r>
      <w:r w:rsidRPr="00E556CD">
        <w:rPr>
          <w:rFonts w:ascii="Tahoma" w:hAnsi="Tahoma" w:cs="Tahoma"/>
          <w:sz w:val="17"/>
          <w:szCs w:val="17"/>
          <w:rtl/>
        </w:rPr>
        <w:t xml:space="preserve"> </w:t>
      </w:r>
      <w:r w:rsidRPr="00E556CD">
        <w:rPr>
          <w:rFonts w:ascii="Tahoma" w:hAnsi="Tahoma" w:cs="Tahoma" w:hint="cs"/>
          <w:sz w:val="17"/>
          <w:szCs w:val="17"/>
          <w:rtl/>
        </w:rPr>
        <w:t>הה</w:t>
      </w:r>
      <w:r w:rsidRPr="00E556CD">
        <w:rPr>
          <w:rFonts w:ascii="Tahoma" w:hAnsi="Tahoma" w:cs="Tahoma"/>
          <w:sz w:val="17"/>
          <w:szCs w:val="17"/>
          <w:rtl/>
        </w:rPr>
        <w:t xml:space="preserve">יתכנות </w:t>
      </w:r>
      <w:r w:rsidRPr="00E556CD">
        <w:rPr>
          <w:rFonts w:ascii="Tahoma" w:hAnsi="Tahoma" w:cs="Tahoma" w:hint="cs"/>
          <w:sz w:val="17"/>
          <w:szCs w:val="17"/>
          <w:rtl/>
        </w:rPr>
        <w:t>ה</w:t>
      </w:r>
      <w:r w:rsidRPr="00E556CD">
        <w:rPr>
          <w:rFonts w:ascii="Tahoma" w:hAnsi="Tahoma" w:cs="Tahoma"/>
          <w:sz w:val="17"/>
          <w:szCs w:val="17"/>
          <w:rtl/>
        </w:rPr>
        <w:t xml:space="preserve">סטטוטורית, </w:t>
      </w:r>
      <w:r w:rsidRPr="00E556CD">
        <w:rPr>
          <w:rFonts w:ascii="Tahoma" w:hAnsi="Tahoma" w:cs="Tahoma" w:hint="cs"/>
          <w:sz w:val="17"/>
          <w:szCs w:val="17"/>
          <w:rtl/>
        </w:rPr>
        <w:t>ה</w:t>
      </w:r>
      <w:r w:rsidRPr="00E556CD">
        <w:rPr>
          <w:rFonts w:ascii="Tahoma" w:hAnsi="Tahoma" w:cs="Tahoma"/>
          <w:sz w:val="17"/>
          <w:szCs w:val="17"/>
          <w:rtl/>
        </w:rPr>
        <w:t>משפטית ו</w:t>
      </w:r>
      <w:r w:rsidRPr="00E556CD">
        <w:rPr>
          <w:rFonts w:ascii="Tahoma" w:hAnsi="Tahoma" w:cs="Tahoma" w:hint="cs"/>
          <w:sz w:val="17"/>
          <w:szCs w:val="17"/>
          <w:rtl/>
        </w:rPr>
        <w:t>ה</w:t>
      </w:r>
      <w:r w:rsidRPr="00E556CD">
        <w:rPr>
          <w:rFonts w:ascii="Tahoma" w:hAnsi="Tahoma" w:cs="Tahoma"/>
          <w:sz w:val="17"/>
          <w:szCs w:val="17"/>
          <w:rtl/>
        </w:rPr>
        <w:t>תכנונית ל</w:t>
      </w:r>
      <w:r w:rsidRPr="00E556CD">
        <w:rPr>
          <w:rFonts w:ascii="Tahoma" w:hAnsi="Tahoma" w:cs="Tahoma" w:hint="cs"/>
          <w:sz w:val="17"/>
          <w:szCs w:val="17"/>
          <w:rtl/>
        </w:rPr>
        <w:t>הקמת</w:t>
      </w:r>
      <w:r w:rsidRPr="00E556CD">
        <w:rPr>
          <w:rFonts w:ascii="Tahoma" w:hAnsi="Tahoma" w:cs="Tahoma"/>
          <w:sz w:val="17"/>
          <w:szCs w:val="17"/>
          <w:rtl/>
        </w:rPr>
        <w:t xml:space="preserve"> </w:t>
      </w:r>
      <w:r w:rsidRPr="00E556CD">
        <w:rPr>
          <w:rFonts w:ascii="Tahoma" w:hAnsi="Tahoma" w:cs="Tahoma" w:hint="cs"/>
          <w:sz w:val="17"/>
          <w:szCs w:val="17"/>
          <w:rtl/>
        </w:rPr>
        <w:t>בתי</w:t>
      </w:r>
      <w:r w:rsidRPr="00E556CD">
        <w:rPr>
          <w:rFonts w:ascii="Tahoma" w:hAnsi="Tahoma" w:cs="Tahoma"/>
          <w:sz w:val="17"/>
          <w:szCs w:val="17"/>
          <w:rtl/>
        </w:rPr>
        <w:t xml:space="preserve"> </w:t>
      </w:r>
      <w:r w:rsidRPr="00E556CD">
        <w:rPr>
          <w:rFonts w:ascii="Tahoma" w:hAnsi="Tahoma" w:cs="Tahoma" w:hint="cs"/>
          <w:sz w:val="17"/>
          <w:szCs w:val="17"/>
          <w:rtl/>
        </w:rPr>
        <w:t>עלמין</w:t>
      </w:r>
      <w:r w:rsidRPr="00E556CD">
        <w:rPr>
          <w:rFonts w:ascii="Tahoma" w:hAnsi="Tahoma" w:cs="Tahoma"/>
          <w:sz w:val="17"/>
          <w:szCs w:val="17"/>
          <w:rtl/>
        </w:rPr>
        <w:t xml:space="preserve"> </w:t>
      </w:r>
      <w:r w:rsidRPr="00E556CD">
        <w:rPr>
          <w:rFonts w:ascii="Tahoma" w:hAnsi="Tahoma" w:cs="Tahoma" w:hint="cs"/>
          <w:sz w:val="17"/>
          <w:szCs w:val="17"/>
          <w:rtl/>
        </w:rPr>
        <w:t>אזרחיים</w:t>
      </w:r>
      <w:r w:rsidRPr="00E556CD">
        <w:rPr>
          <w:rFonts w:ascii="Tahoma" w:hAnsi="Tahoma" w:cs="Tahoma"/>
          <w:sz w:val="17"/>
          <w:szCs w:val="17"/>
          <w:rtl/>
        </w:rPr>
        <w:t xml:space="preserve"> </w:t>
      </w:r>
      <w:r w:rsidRPr="00E556CD">
        <w:rPr>
          <w:rFonts w:ascii="Tahoma" w:hAnsi="Tahoma" w:cs="Tahoma" w:hint="cs"/>
          <w:sz w:val="17"/>
          <w:szCs w:val="17"/>
          <w:rtl/>
        </w:rPr>
        <w:t>ב</w:t>
      </w:r>
      <w:r w:rsidRPr="00E556CD">
        <w:rPr>
          <w:rFonts w:ascii="Tahoma" w:hAnsi="Tahoma" w:cs="Tahoma"/>
          <w:sz w:val="17"/>
          <w:szCs w:val="17"/>
          <w:rtl/>
        </w:rPr>
        <w:t xml:space="preserve">ארבעה </w:t>
      </w:r>
      <w:r w:rsidRPr="00E556CD">
        <w:rPr>
          <w:rFonts w:ascii="Tahoma" w:hAnsi="Tahoma" w:cs="Tahoma" w:hint="cs"/>
          <w:sz w:val="17"/>
          <w:szCs w:val="17"/>
          <w:rtl/>
        </w:rPr>
        <w:t>מ</w:t>
      </w:r>
      <w:r w:rsidRPr="00E556CD">
        <w:rPr>
          <w:rFonts w:ascii="Tahoma" w:hAnsi="Tahoma" w:cs="Tahoma"/>
          <w:sz w:val="17"/>
          <w:szCs w:val="17"/>
          <w:rtl/>
        </w:rPr>
        <w:t xml:space="preserve">-13 </w:t>
      </w:r>
      <w:r w:rsidRPr="00E556CD">
        <w:rPr>
          <w:rFonts w:ascii="Tahoma" w:hAnsi="Tahoma" w:cs="Tahoma" w:hint="cs"/>
          <w:sz w:val="17"/>
          <w:szCs w:val="17"/>
          <w:rtl/>
        </w:rPr>
        <w:t>האתרים שברשימה</w:t>
      </w:r>
      <w:r w:rsidRPr="00E556CD">
        <w:rPr>
          <w:rFonts w:ascii="Tahoma" w:hAnsi="Tahoma" w:cs="Tahoma"/>
          <w:sz w:val="17"/>
          <w:szCs w:val="17"/>
          <w:rtl/>
        </w:rPr>
        <w:t>: בעכו, בטבריה, בעמק חפר ובגבעת ברנר. במאי 2015 התווסף לסק</w:t>
      </w:r>
      <w:r w:rsidRPr="00E556CD">
        <w:rPr>
          <w:rFonts w:ascii="Tahoma" w:hAnsi="Tahoma" w:cs="Tahoma" w:hint="cs"/>
          <w:sz w:val="17"/>
          <w:szCs w:val="17"/>
          <w:rtl/>
        </w:rPr>
        <w:t>ר</w:t>
      </w:r>
      <w:r w:rsidRPr="00E556CD">
        <w:rPr>
          <w:rFonts w:ascii="Tahoma" w:hAnsi="Tahoma" w:cs="Tahoma"/>
          <w:sz w:val="17"/>
          <w:szCs w:val="17"/>
          <w:rtl/>
        </w:rPr>
        <w:t xml:space="preserve"> </w:t>
      </w:r>
      <w:r w:rsidRPr="00E556CD">
        <w:rPr>
          <w:rFonts w:ascii="Tahoma" w:hAnsi="Tahoma" w:cs="Tahoma" w:hint="cs"/>
          <w:sz w:val="17"/>
          <w:szCs w:val="17"/>
          <w:rtl/>
        </w:rPr>
        <w:t>עוד</w:t>
      </w:r>
      <w:r w:rsidRPr="00E556CD">
        <w:rPr>
          <w:rFonts w:ascii="Tahoma" w:hAnsi="Tahoma" w:cs="Tahoma"/>
          <w:sz w:val="17"/>
          <w:szCs w:val="17"/>
          <w:rtl/>
        </w:rPr>
        <w:t xml:space="preserve"> בית עלמין, בפתח תק</w:t>
      </w:r>
      <w:r w:rsidRPr="00E556CD">
        <w:rPr>
          <w:rFonts w:ascii="Tahoma" w:hAnsi="Tahoma" w:cs="Tahoma" w:hint="cs"/>
          <w:sz w:val="17"/>
          <w:szCs w:val="17"/>
          <w:rtl/>
        </w:rPr>
        <w:t>ו</w:t>
      </w:r>
      <w:r w:rsidRPr="00E556CD">
        <w:rPr>
          <w:rFonts w:ascii="Tahoma" w:hAnsi="Tahoma" w:cs="Tahoma"/>
          <w:sz w:val="17"/>
          <w:szCs w:val="17"/>
          <w:rtl/>
        </w:rPr>
        <w:t>וה.</w:t>
      </w:r>
    </w:p>
    <w:p w:rsidR="00EF45C8" w:rsidRPr="00E556CD" w:rsidP="00E556CD">
      <w:pPr>
        <w:spacing w:line="240" w:lineRule="exact"/>
        <w:ind w:left="-48" w:right="2268"/>
        <w:jc w:val="both"/>
        <w:rPr>
          <w:rFonts w:ascii="Tahoma" w:hAnsi="Tahoma" w:cs="Tahoma"/>
          <w:sz w:val="17"/>
          <w:szCs w:val="17"/>
          <w:rtl/>
        </w:rPr>
      </w:pPr>
      <w:r w:rsidRPr="00E556CD">
        <w:rPr>
          <w:rFonts w:ascii="Tahoma" w:hAnsi="Tahoma" w:cs="Tahoma"/>
          <w:sz w:val="17"/>
          <w:szCs w:val="17"/>
          <w:rtl/>
        </w:rPr>
        <w:t xml:space="preserve">באוקטובר 2015 </w:t>
      </w:r>
      <w:r w:rsidRPr="00E556CD">
        <w:rPr>
          <w:rFonts w:ascii="Tahoma" w:hAnsi="Tahoma" w:cs="Tahoma" w:hint="cs"/>
          <w:sz w:val="17"/>
          <w:szCs w:val="17"/>
          <w:rtl/>
        </w:rPr>
        <w:t>הגישה</w:t>
      </w:r>
      <w:r w:rsidRPr="00E556CD">
        <w:rPr>
          <w:rFonts w:ascii="Tahoma" w:hAnsi="Tahoma" w:cs="Tahoma"/>
          <w:sz w:val="17"/>
          <w:szCs w:val="17"/>
          <w:rtl/>
        </w:rPr>
        <w:t xml:space="preserve"> </w:t>
      </w:r>
      <w:r w:rsidRPr="00E556CD">
        <w:rPr>
          <w:rFonts w:ascii="Tahoma" w:hAnsi="Tahoma" w:cs="Tahoma" w:hint="cs"/>
          <w:sz w:val="17"/>
          <w:szCs w:val="17"/>
          <w:rtl/>
        </w:rPr>
        <w:t>עורכת הסקר הארצי ל</w:t>
      </w:r>
      <w:r w:rsidRPr="00E556CD">
        <w:rPr>
          <w:rFonts w:ascii="Tahoma" w:hAnsi="Tahoma" w:cs="Tahoma"/>
          <w:sz w:val="17"/>
          <w:szCs w:val="17"/>
          <w:rtl/>
        </w:rPr>
        <w:t xml:space="preserve">משרד לשירותי דת, הצעה לקידום </w:t>
      </w:r>
      <w:r w:rsidRPr="00E556CD">
        <w:rPr>
          <w:rFonts w:ascii="Tahoma" w:hAnsi="Tahoma" w:cs="Tahoma" w:hint="cs"/>
          <w:sz w:val="17"/>
          <w:szCs w:val="17"/>
          <w:rtl/>
        </w:rPr>
        <w:t xml:space="preserve">ההכרזה על בתי עלמין לקבורה אזרחית אזורית </w:t>
      </w:r>
      <w:r w:rsidRPr="00E556CD">
        <w:rPr>
          <w:rFonts w:ascii="Tahoma" w:hAnsi="Tahoma" w:cs="Tahoma"/>
          <w:sz w:val="17"/>
          <w:szCs w:val="17"/>
          <w:rtl/>
        </w:rPr>
        <w:t xml:space="preserve">בשלושה </w:t>
      </w:r>
      <w:r w:rsidRPr="00E556CD">
        <w:rPr>
          <w:rFonts w:ascii="Tahoma" w:hAnsi="Tahoma" w:cs="Tahoma" w:hint="cs"/>
          <w:sz w:val="17"/>
          <w:szCs w:val="17"/>
          <w:rtl/>
        </w:rPr>
        <w:t>מארבעת ה</w:t>
      </w:r>
      <w:r w:rsidRPr="00E556CD">
        <w:rPr>
          <w:rFonts w:ascii="Tahoma" w:hAnsi="Tahoma" w:cs="Tahoma"/>
          <w:sz w:val="17"/>
          <w:szCs w:val="17"/>
          <w:rtl/>
        </w:rPr>
        <w:t>אתרים</w:t>
      </w:r>
      <w:r w:rsidRPr="00E556CD">
        <w:rPr>
          <w:rFonts w:ascii="Tahoma" w:hAnsi="Tahoma" w:cs="Tahoma" w:hint="cs"/>
          <w:sz w:val="17"/>
          <w:szCs w:val="17"/>
          <w:rtl/>
        </w:rPr>
        <w:t xml:space="preserve"> שנקבע שיש לבחון את ה</w:t>
      </w:r>
      <w:r w:rsidRPr="00E556CD">
        <w:rPr>
          <w:rFonts w:ascii="Tahoma" w:hAnsi="Tahoma" w:cs="Tahoma"/>
          <w:sz w:val="17"/>
          <w:szCs w:val="17"/>
          <w:rtl/>
        </w:rPr>
        <w:t>היתכנות להקמת בתי עלמין</w:t>
      </w:r>
      <w:r w:rsidRPr="00E556CD">
        <w:rPr>
          <w:rFonts w:ascii="Tahoma" w:hAnsi="Tahoma" w:cs="Tahoma" w:hint="cs"/>
          <w:sz w:val="17"/>
          <w:szCs w:val="17"/>
          <w:rtl/>
        </w:rPr>
        <w:t xml:space="preserve"> אזרחיים בתחומם</w:t>
      </w:r>
      <w:r w:rsidRPr="00E556CD">
        <w:rPr>
          <w:rFonts w:ascii="Tahoma" w:hAnsi="Tahoma" w:cs="Tahoma"/>
          <w:sz w:val="17"/>
          <w:szCs w:val="17"/>
          <w:rtl/>
        </w:rPr>
        <w:t>: טבריה</w:t>
      </w:r>
      <w:r w:rsidRPr="00E556CD">
        <w:rPr>
          <w:rFonts w:ascii="Tahoma" w:hAnsi="Tahoma" w:cs="Tahoma" w:hint="cs"/>
          <w:sz w:val="17"/>
          <w:szCs w:val="17"/>
          <w:rtl/>
        </w:rPr>
        <w:t xml:space="preserve"> </w:t>
      </w:r>
      <w:r w:rsidRPr="00E556CD">
        <w:rPr>
          <w:rFonts w:ascii="Tahoma" w:hAnsi="Tahoma" w:cs="Tahoma"/>
          <w:sz w:val="17"/>
          <w:szCs w:val="17"/>
          <w:rtl/>
        </w:rPr>
        <w:t xml:space="preserve">הזורעים, </w:t>
      </w:r>
      <w:r w:rsidRPr="00E556CD">
        <w:rPr>
          <w:rFonts w:ascii="Tahoma" w:hAnsi="Tahoma" w:cs="Tahoma" w:hint="cs"/>
          <w:sz w:val="17"/>
          <w:szCs w:val="17"/>
          <w:rtl/>
        </w:rPr>
        <w:t>המסילה ב</w:t>
      </w:r>
      <w:r w:rsidRPr="00E556CD">
        <w:rPr>
          <w:rFonts w:ascii="Tahoma" w:hAnsi="Tahoma" w:cs="Tahoma"/>
          <w:sz w:val="17"/>
          <w:szCs w:val="17"/>
          <w:rtl/>
        </w:rPr>
        <w:t xml:space="preserve">עמק חפר וגבעת ברנר. במאי 2016 </w:t>
      </w:r>
      <w:r w:rsidRPr="00E556CD">
        <w:rPr>
          <w:rFonts w:ascii="Tahoma" w:hAnsi="Tahoma" w:cs="Tahoma" w:hint="cs"/>
          <w:sz w:val="17"/>
          <w:szCs w:val="17"/>
          <w:rtl/>
        </w:rPr>
        <w:t xml:space="preserve">הציגה עורכת הסקר למשרד </w:t>
      </w:r>
      <w:r w:rsidRPr="00E556CD">
        <w:rPr>
          <w:rFonts w:ascii="Tahoma" w:hAnsi="Tahoma" w:cs="Tahoma"/>
          <w:sz w:val="17"/>
          <w:szCs w:val="17"/>
          <w:rtl/>
        </w:rPr>
        <w:t xml:space="preserve">את החסמים </w:t>
      </w:r>
      <w:r w:rsidRPr="00E556CD">
        <w:rPr>
          <w:rFonts w:ascii="Tahoma" w:hAnsi="Tahoma" w:cs="Tahoma" w:hint="cs"/>
          <w:sz w:val="17"/>
          <w:szCs w:val="17"/>
          <w:rtl/>
        </w:rPr>
        <w:t xml:space="preserve">המעכבים את ההכרזה על בתי עלמין אזרחיים אזוריים: במסילה בעמק חפר נדרש לבדוק את אפשרויות הרחבתו לרבות הזמנת </w:t>
      </w:r>
      <w:r w:rsidRPr="00E556CD">
        <w:rPr>
          <w:rFonts w:ascii="Tahoma" w:hAnsi="Tahoma" w:cs="Tahoma" w:hint="cs"/>
          <w:sz w:val="17"/>
          <w:szCs w:val="17"/>
          <w:rtl/>
        </w:rPr>
        <w:t>תב"ע</w:t>
      </w:r>
      <w:r w:rsidRPr="00E556CD">
        <w:rPr>
          <w:rFonts w:ascii="Tahoma" w:hAnsi="Tahoma" w:cs="Tahoma" w:hint="cs"/>
          <w:sz w:val="17"/>
          <w:szCs w:val="17"/>
          <w:rtl/>
        </w:rPr>
        <w:t xml:space="preserve"> ואישורה; בטבריה הזורעים נדרש להעריך את הצרכים העתידיים לקבורה אזרחית באזור זה ולהגדיר את השטח המיועד לכך ולבדוק אם שיוך הקרקע לשני תחומי שיפוט מגביל את הכרזתו; בגבעת ברנר נדרשה הסכמת </w:t>
      </w:r>
      <w:r w:rsidRPr="00E556CD">
        <w:rPr>
          <w:rFonts w:ascii="Tahoma" w:hAnsi="Tahoma" w:cs="Tahoma" w:hint="cs"/>
          <w:sz w:val="17"/>
          <w:szCs w:val="17"/>
          <w:rtl/>
        </w:rPr>
        <w:t>רמ"י</w:t>
      </w:r>
      <w:r w:rsidRPr="00E556CD">
        <w:rPr>
          <w:rFonts w:ascii="Tahoma" w:hAnsi="Tahoma" w:cs="Tahoma" w:hint="cs"/>
          <w:sz w:val="17"/>
          <w:szCs w:val="17"/>
          <w:rtl/>
        </w:rPr>
        <w:t xml:space="preserve"> לקבורה אזורית ולשינוי ייעוד הקרקע בחוזה חכירה בין </w:t>
      </w:r>
      <w:r w:rsidRPr="00E556CD">
        <w:rPr>
          <w:rFonts w:ascii="Tahoma" w:hAnsi="Tahoma" w:cs="Tahoma" w:hint="cs"/>
          <w:sz w:val="17"/>
          <w:szCs w:val="17"/>
          <w:rtl/>
        </w:rPr>
        <w:t>רמ"י</w:t>
      </w:r>
      <w:r w:rsidRPr="00E556CD">
        <w:rPr>
          <w:rFonts w:ascii="Tahoma" w:hAnsi="Tahoma" w:cs="Tahoma" w:hint="cs"/>
          <w:sz w:val="17"/>
          <w:szCs w:val="17"/>
          <w:rtl/>
        </w:rPr>
        <w:t xml:space="preserve"> לקיבוץ, מייעוד של "תעסוקה ושטחי חקלאות" לייעוד "בית עלמין".</w:t>
      </w:r>
    </w:p>
    <w:p w:rsidR="00EF45C8" w:rsidRPr="00E556CD" w:rsidP="00BF070A">
      <w:pPr>
        <w:spacing w:after="240" w:line="240" w:lineRule="exact"/>
        <w:ind w:right="2268"/>
        <w:jc w:val="both"/>
        <w:rPr>
          <w:rFonts w:ascii="Tahoma" w:hAnsi="Tahoma" w:cs="Tahoma"/>
          <w:sz w:val="17"/>
          <w:szCs w:val="17"/>
          <w:rtl/>
        </w:rPr>
      </w:pPr>
      <w:r w:rsidRPr="00E556CD">
        <w:rPr>
          <w:rFonts w:ascii="Tahoma" w:hAnsi="Tahoma" w:cs="Tahoma"/>
          <w:sz w:val="17"/>
          <w:szCs w:val="17"/>
          <w:rtl/>
        </w:rPr>
        <w:t xml:space="preserve">ביוני 2016 </w:t>
      </w:r>
      <w:r w:rsidRPr="00E556CD">
        <w:rPr>
          <w:rFonts w:ascii="Tahoma" w:hAnsi="Tahoma" w:cs="Tahoma" w:hint="cs"/>
          <w:sz w:val="17"/>
          <w:szCs w:val="17"/>
          <w:rtl/>
        </w:rPr>
        <w:t>התקיימה ישיבה בהשתתפות</w:t>
      </w:r>
      <w:r w:rsidRPr="00E556CD">
        <w:rPr>
          <w:rFonts w:ascii="Tahoma" w:hAnsi="Tahoma" w:cs="Tahoma"/>
          <w:sz w:val="17"/>
          <w:szCs w:val="17"/>
          <w:rtl/>
        </w:rPr>
        <w:t xml:space="preserve"> נציגי</w:t>
      </w:r>
      <w:r w:rsidRPr="00E556CD">
        <w:rPr>
          <w:rFonts w:ascii="Tahoma" w:hAnsi="Tahoma" w:cs="Tahoma" w:hint="cs"/>
          <w:sz w:val="17"/>
          <w:szCs w:val="17"/>
          <w:rtl/>
        </w:rPr>
        <w:t>ם</w:t>
      </w:r>
      <w:r w:rsidRPr="00E556CD">
        <w:rPr>
          <w:rFonts w:ascii="Tahoma" w:hAnsi="Tahoma" w:cs="Tahoma"/>
          <w:sz w:val="17"/>
          <w:szCs w:val="17"/>
          <w:rtl/>
        </w:rPr>
        <w:t xml:space="preserve"> </w:t>
      </w:r>
      <w:r w:rsidRPr="00E556CD">
        <w:rPr>
          <w:rFonts w:ascii="Tahoma" w:hAnsi="Tahoma" w:cs="Tahoma" w:hint="cs"/>
          <w:sz w:val="17"/>
          <w:szCs w:val="17"/>
          <w:rtl/>
        </w:rPr>
        <w:t>מ</w:t>
      </w:r>
      <w:r w:rsidRPr="00E556CD">
        <w:rPr>
          <w:rFonts w:ascii="Tahoma" w:hAnsi="Tahoma" w:cs="Tahoma"/>
          <w:sz w:val="17"/>
          <w:szCs w:val="17"/>
          <w:rtl/>
        </w:rPr>
        <w:t>המשרד</w:t>
      </w:r>
      <w:r w:rsidRPr="00E556CD">
        <w:rPr>
          <w:rFonts w:ascii="Tahoma" w:hAnsi="Tahoma" w:cs="Tahoma" w:hint="cs"/>
          <w:sz w:val="17"/>
          <w:szCs w:val="17"/>
          <w:rtl/>
        </w:rPr>
        <w:t xml:space="preserve"> לשירותי דת</w:t>
      </w:r>
      <w:r w:rsidRPr="00E556CD">
        <w:rPr>
          <w:rFonts w:ascii="Tahoma" w:hAnsi="Tahoma" w:cs="Tahoma"/>
          <w:sz w:val="17"/>
          <w:szCs w:val="17"/>
          <w:rtl/>
        </w:rPr>
        <w:t xml:space="preserve">, </w:t>
      </w:r>
      <w:r w:rsidRPr="00E556CD">
        <w:rPr>
          <w:rFonts w:ascii="Tahoma" w:hAnsi="Tahoma" w:cs="Tahoma" w:hint="cs"/>
          <w:sz w:val="17"/>
          <w:szCs w:val="17"/>
          <w:rtl/>
        </w:rPr>
        <w:t>מ</w:t>
      </w:r>
      <w:r w:rsidRPr="00E556CD">
        <w:rPr>
          <w:rFonts w:ascii="Tahoma" w:hAnsi="Tahoma" w:cs="Tahoma"/>
          <w:sz w:val="17"/>
          <w:szCs w:val="17"/>
          <w:rtl/>
        </w:rPr>
        <w:t>רמ"י</w:t>
      </w:r>
      <w:r w:rsidRPr="00E556CD">
        <w:rPr>
          <w:rFonts w:ascii="Tahoma" w:hAnsi="Tahoma" w:cs="Tahoma"/>
          <w:sz w:val="17"/>
          <w:szCs w:val="17"/>
          <w:rtl/>
        </w:rPr>
        <w:t xml:space="preserve"> ו</w:t>
      </w:r>
      <w:r w:rsidRPr="00E556CD">
        <w:rPr>
          <w:rFonts w:ascii="Tahoma" w:hAnsi="Tahoma" w:cs="Tahoma" w:hint="cs"/>
          <w:sz w:val="17"/>
          <w:szCs w:val="17"/>
          <w:rtl/>
        </w:rPr>
        <w:t>מ</w:t>
      </w:r>
      <w:r w:rsidRPr="00E556CD">
        <w:rPr>
          <w:rFonts w:ascii="Tahoma" w:hAnsi="Tahoma" w:cs="Tahoma"/>
          <w:sz w:val="17"/>
          <w:szCs w:val="17"/>
          <w:rtl/>
        </w:rPr>
        <w:t xml:space="preserve">צוות </w:t>
      </w:r>
      <w:r w:rsidRPr="00E556CD">
        <w:rPr>
          <w:rFonts w:ascii="Tahoma" w:hAnsi="Tahoma" w:cs="Tahoma" w:hint="cs"/>
          <w:sz w:val="17"/>
          <w:szCs w:val="17"/>
          <w:rtl/>
        </w:rPr>
        <w:t>הסקר הארצי בנושא "בתי עלמין אזוריים לקבורה אזרחית"</w:t>
      </w:r>
      <w:r w:rsidRPr="00E556CD">
        <w:rPr>
          <w:rFonts w:ascii="Tahoma" w:hAnsi="Tahoma" w:cs="Tahoma"/>
          <w:sz w:val="17"/>
          <w:szCs w:val="17"/>
          <w:rtl/>
        </w:rPr>
        <w:t xml:space="preserve">, </w:t>
      </w:r>
      <w:r w:rsidRPr="00E556CD">
        <w:rPr>
          <w:rFonts w:ascii="Tahoma" w:hAnsi="Tahoma" w:cs="Tahoma" w:hint="cs"/>
          <w:sz w:val="17"/>
          <w:szCs w:val="17"/>
          <w:rtl/>
        </w:rPr>
        <w:t>ו</w:t>
      </w:r>
      <w:r w:rsidRPr="00E556CD">
        <w:rPr>
          <w:rFonts w:ascii="Tahoma" w:hAnsi="Tahoma" w:cs="Tahoma"/>
          <w:sz w:val="17"/>
          <w:szCs w:val="17"/>
          <w:rtl/>
        </w:rPr>
        <w:t>ב</w:t>
      </w:r>
      <w:r w:rsidRPr="00E556CD">
        <w:rPr>
          <w:rFonts w:ascii="Tahoma" w:hAnsi="Tahoma" w:cs="Tahoma" w:hint="cs"/>
          <w:sz w:val="17"/>
          <w:szCs w:val="17"/>
          <w:rtl/>
        </w:rPr>
        <w:t>ה</w:t>
      </w:r>
      <w:r w:rsidRPr="00E556CD">
        <w:rPr>
          <w:rFonts w:ascii="Tahoma" w:hAnsi="Tahoma" w:cs="Tahoma"/>
          <w:sz w:val="17"/>
          <w:szCs w:val="17"/>
          <w:rtl/>
        </w:rPr>
        <w:t xml:space="preserve"> </w:t>
      </w:r>
      <w:r w:rsidRPr="00E556CD">
        <w:rPr>
          <w:rFonts w:ascii="Tahoma" w:hAnsi="Tahoma" w:cs="Tahoma" w:hint="cs"/>
          <w:sz w:val="17"/>
          <w:szCs w:val="17"/>
          <w:rtl/>
        </w:rPr>
        <w:t>נידונו</w:t>
      </w:r>
      <w:r w:rsidRPr="00E556CD">
        <w:rPr>
          <w:rFonts w:ascii="Tahoma" w:hAnsi="Tahoma" w:cs="Tahoma"/>
          <w:sz w:val="17"/>
          <w:szCs w:val="17"/>
          <w:rtl/>
        </w:rPr>
        <w:t xml:space="preserve"> </w:t>
      </w:r>
      <w:r w:rsidRPr="00E556CD">
        <w:rPr>
          <w:rFonts w:ascii="Tahoma" w:hAnsi="Tahoma" w:cs="Tahoma" w:hint="cs"/>
          <w:sz w:val="17"/>
          <w:szCs w:val="17"/>
          <w:rtl/>
        </w:rPr>
        <w:t>ה</w:t>
      </w:r>
      <w:r w:rsidRPr="00E556CD">
        <w:rPr>
          <w:rFonts w:ascii="Tahoma" w:hAnsi="Tahoma" w:cs="Tahoma"/>
          <w:sz w:val="17"/>
          <w:szCs w:val="17"/>
          <w:rtl/>
        </w:rPr>
        <w:t xml:space="preserve">פעולות </w:t>
      </w:r>
      <w:r w:rsidRPr="00E556CD">
        <w:rPr>
          <w:rFonts w:ascii="Tahoma" w:hAnsi="Tahoma" w:cs="Tahoma" w:hint="cs"/>
          <w:sz w:val="17"/>
          <w:szCs w:val="17"/>
          <w:rtl/>
        </w:rPr>
        <w:t>הנדרשות לקידום ה</w:t>
      </w:r>
      <w:r w:rsidRPr="00E556CD">
        <w:rPr>
          <w:rFonts w:ascii="Tahoma" w:hAnsi="Tahoma" w:cs="Tahoma"/>
          <w:sz w:val="17"/>
          <w:szCs w:val="17"/>
          <w:rtl/>
        </w:rPr>
        <w:t xml:space="preserve">הכרזה על בתי </w:t>
      </w:r>
      <w:r w:rsidRPr="00E556CD">
        <w:rPr>
          <w:rFonts w:ascii="Tahoma" w:hAnsi="Tahoma" w:cs="Tahoma" w:hint="cs"/>
          <w:sz w:val="17"/>
          <w:szCs w:val="17"/>
          <w:rtl/>
        </w:rPr>
        <w:t>ה</w:t>
      </w:r>
      <w:r w:rsidRPr="00E556CD">
        <w:rPr>
          <w:rFonts w:ascii="Tahoma" w:hAnsi="Tahoma" w:cs="Tahoma"/>
          <w:sz w:val="17"/>
          <w:szCs w:val="17"/>
          <w:rtl/>
        </w:rPr>
        <w:t xml:space="preserve">עלמין </w:t>
      </w:r>
      <w:r w:rsidRPr="00E556CD">
        <w:rPr>
          <w:rFonts w:ascii="Tahoma" w:hAnsi="Tahoma" w:cs="Tahoma" w:hint="cs"/>
          <w:sz w:val="17"/>
          <w:szCs w:val="17"/>
          <w:rtl/>
        </w:rPr>
        <w:t xml:space="preserve">האזרחיים האזוריים שנכללו בהצעה מאוקטובר 2015. מסיכום הישיבה עולה כי הפעולות העיקריות שהוחלט לבצען היו: הכנת תכנית מול הרשות המקומית, בחינת הליכים תכנוניים נדרשים, והסדרת שינוי ייעודם של השטחים מתעסוקה וחקלאות לבית עלמין במסגרת חוזה עם </w:t>
      </w:r>
      <w:r w:rsidRPr="00E556CD">
        <w:rPr>
          <w:rFonts w:ascii="Tahoma" w:hAnsi="Tahoma" w:cs="Tahoma" w:hint="cs"/>
          <w:sz w:val="17"/>
          <w:szCs w:val="17"/>
          <w:rtl/>
        </w:rPr>
        <w:t>רמ"י</w:t>
      </w:r>
      <w:r w:rsidRPr="00E556CD">
        <w:rPr>
          <w:rFonts w:ascii="Tahoma" w:hAnsi="Tahoma" w:cs="Tahoma" w:hint="cs"/>
          <w:sz w:val="17"/>
          <w:szCs w:val="17"/>
          <w:rtl/>
        </w:rPr>
        <w:t>. בסיכום לא נקבעו לוחות זמנים לביצוע.</w:t>
      </w:r>
    </w:p>
    <w:p w:rsidR="00EF45C8" w:rsidRPr="00E556CD" w:rsidP="00BF070A">
      <w:pPr>
        <w:pStyle w:val="RESHET"/>
        <w:rPr>
          <w:rtl/>
        </w:rPr>
      </w:pPr>
      <w:r w:rsidRPr="00E556CD">
        <w:rPr>
          <w:rFonts w:hint="cs"/>
          <w:rtl/>
        </w:rPr>
        <w:t xml:space="preserve">אף שהמשרד לשירותי דת ציין בסיכום ישיבה מאפריל 2013 בנוגע לסקר הארצי כי אין כל מניעה להכריז מיד על אתרי הקבורה בטבריה ובאר שבע כעל אתרי קבורה אזרחית, המשרד טרם פעל לכך שהם יוכרזו ככאלה. משרד מבקר המדינה מעיר למשרד לשירותי דת </w:t>
      </w:r>
      <w:r w:rsidRPr="00E556CD">
        <w:rPr>
          <w:rFonts w:hint="cs"/>
          <w:rtl/>
        </w:rPr>
        <w:t>ולרמ"י</w:t>
      </w:r>
      <w:r w:rsidRPr="00E556CD">
        <w:rPr>
          <w:rFonts w:hint="cs"/>
          <w:rtl/>
        </w:rPr>
        <w:t xml:space="preserve"> כי במועד סיום הביקורת טרם נעשה שימוש מעשי בממצאי הסקרים שבוצעו בשנים 2015-2012 לאיתור האתרים עבור בתי עלמין אזרחיים אזוריים.</w:t>
      </w:r>
    </w:p>
    <w:p w:rsidR="00EF45C8" w:rsidRPr="00E556CD" w:rsidP="00BF070A">
      <w:pPr>
        <w:spacing w:before="180" w:line="240" w:lineRule="exact"/>
        <w:ind w:right="2268"/>
        <w:jc w:val="both"/>
        <w:rPr>
          <w:rFonts w:ascii="Tahoma" w:hAnsi="Tahoma" w:cs="Tahoma"/>
          <w:sz w:val="17"/>
          <w:szCs w:val="17"/>
          <w:rtl/>
        </w:rPr>
      </w:pPr>
      <w:r w:rsidRPr="00E556CD">
        <w:rPr>
          <w:rFonts w:ascii="Tahoma" w:hAnsi="Tahoma" w:cs="Tahoma" w:hint="cs"/>
          <w:sz w:val="17"/>
          <w:szCs w:val="17"/>
          <w:rtl/>
        </w:rPr>
        <w:t>רמ"י</w:t>
      </w:r>
      <w:r w:rsidRPr="00E556CD">
        <w:rPr>
          <w:rFonts w:ascii="Tahoma" w:hAnsi="Tahoma" w:cs="Tahoma" w:hint="cs"/>
          <w:sz w:val="17"/>
          <w:szCs w:val="17"/>
          <w:rtl/>
        </w:rPr>
        <w:t xml:space="preserve"> השיבה למשרד מבקר המדינה כי היא מסייעת "בכלים המצויים בידה. במקרה זה הזמנת הסקרים שנועדו לאתר שטחים ליעוד המבוקש...</w:t>
      </w:r>
      <w:r w:rsidR="000941C6">
        <w:rPr>
          <w:rFonts w:ascii="Tahoma" w:hAnsi="Tahoma" w:cs="Tahoma" w:hint="cs"/>
          <w:sz w:val="17"/>
          <w:szCs w:val="17"/>
          <w:rtl/>
        </w:rPr>
        <w:t xml:space="preserve"> </w:t>
      </w:r>
      <w:r w:rsidRPr="00E556CD">
        <w:rPr>
          <w:rFonts w:ascii="Tahoma" w:hAnsi="Tahoma" w:cs="Tahoma" w:hint="cs"/>
          <w:sz w:val="17"/>
          <w:szCs w:val="17"/>
          <w:rtl/>
        </w:rPr>
        <w:t xml:space="preserve">רק לאחר ההליך התכנוני והאישור הסטטוטורי תפעל </w:t>
      </w:r>
      <w:r w:rsidRPr="00E556CD">
        <w:rPr>
          <w:rFonts w:ascii="Tahoma" w:hAnsi="Tahoma" w:cs="Tahoma" w:hint="cs"/>
          <w:sz w:val="17"/>
          <w:szCs w:val="17"/>
          <w:rtl/>
        </w:rPr>
        <w:t>רמ"י</w:t>
      </w:r>
      <w:r w:rsidRPr="00E556CD">
        <w:rPr>
          <w:rFonts w:ascii="Tahoma" w:hAnsi="Tahoma" w:cs="Tahoma" w:hint="cs"/>
          <w:sz w:val="17"/>
          <w:szCs w:val="17"/>
          <w:rtl/>
        </w:rPr>
        <w:t xml:space="preserve"> להקצות המקרקעין למטרה זו".</w:t>
      </w:r>
    </w:p>
    <w:p w:rsidR="00EF45C8" w:rsidRPr="00E556CD" w:rsidP="00BF070A">
      <w:pPr>
        <w:spacing w:after="240" w:line="240" w:lineRule="exact"/>
        <w:ind w:right="2268"/>
        <w:jc w:val="both"/>
        <w:rPr>
          <w:rFonts w:ascii="Tahoma" w:hAnsi="Tahoma" w:cs="Tahoma"/>
          <w:sz w:val="17"/>
          <w:szCs w:val="17"/>
          <w:rtl/>
        </w:rPr>
      </w:pPr>
      <w:r w:rsidRPr="00E556CD">
        <w:rPr>
          <w:rFonts w:ascii="Tahoma" w:hAnsi="Tahoma" w:cs="Tahoma" w:hint="cs"/>
          <w:sz w:val="17"/>
          <w:szCs w:val="17"/>
          <w:rtl/>
        </w:rPr>
        <w:t>המשרד לשירותי דת השיב כי בעקבות הסקרים אותרו 13 אתרים שנמצא כי יש סיכויים גבוהים להכריז עליהם כבתי עלמין אזוריים: נהריה, טבריה, עכו, תל רגב, פרדס חנה, עמק חפר, כפר סבא, פתח תקווה, מודיעין, ירושלים, ברקת, גבעת ברנר ובאר שבע. עם זאת, נבצר ממנו לפעול בנדון ללא שיתוף פעולה עם הרשויות המקומיות.</w:t>
      </w:r>
    </w:p>
    <w:p w:rsidR="00EF45C8" w:rsidRPr="00E556CD" w:rsidP="00BF070A">
      <w:pPr>
        <w:pStyle w:val="RESHET"/>
        <w:rPr>
          <w:rtl/>
        </w:rPr>
      </w:pPr>
      <w:r w:rsidRPr="00E556CD">
        <w:rPr>
          <w:rFonts w:hint="cs"/>
          <w:rtl/>
        </w:rPr>
        <w:t>על המשרד לשירותי דת לבצע עבודת מטה בשיתוף גופי הממשלה הרלוונטיים כדי לקבוע את היעדים בנדון ואת לוחות הזמנים להשגתם. הדבר יאפשר להסיר חסמים להכרזה על בתי עלמין אזרחיים אזוריים, כפי שמוטל על השר על פי החוק.</w:t>
      </w:r>
    </w:p>
    <w:p w:rsidR="00EF45C8" w:rsidRPr="00E556CD" w:rsidP="00E556CD">
      <w:pPr>
        <w:spacing w:line="240" w:lineRule="exact"/>
        <w:ind w:right="2268"/>
        <w:jc w:val="both"/>
        <w:rPr>
          <w:rFonts w:ascii="Tahoma" w:hAnsi="Tahoma" w:cs="Tahoma"/>
          <w:sz w:val="17"/>
          <w:szCs w:val="17"/>
          <w:rtl/>
        </w:rPr>
      </w:pPr>
    </w:p>
    <w:p w:rsidR="00EF45C8" w:rsidRPr="00910827" w:rsidP="006B7001">
      <w:pPr>
        <w:pStyle w:val="KOT4"/>
        <w:rPr>
          <w:rtl/>
        </w:rPr>
      </w:pPr>
      <w:r w:rsidRPr="00910827">
        <w:rPr>
          <w:rFonts w:hint="cs"/>
          <w:rtl/>
        </w:rPr>
        <w:t>אי</w:t>
      </w:r>
      <w:r>
        <w:rPr>
          <w:rFonts w:hint="cs"/>
          <w:rtl/>
        </w:rPr>
        <w:t>-</w:t>
      </w:r>
      <w:r w:rsidRPr="00910827">
        <w:rPr>
          <w:rFonts w:hint="cs"/>
          <w:rtl/>
        </w:rPr>
        <w:t xml:space="preserve">תקצוב משרה ייעודית לנושא </w:t>
      </w:r>
      <w:r w:rsidR="00BF070A">
        <w:rPr>
          <w:rtl/>
        </w:rPr>
        <w:br/>
      </w:r>
      <w:r w:rsidRPr="00910827">
        <w:rPr>
          <w:rFonts w:hint="cs"/>
          <w:rtl/>
        </w:rPr>
        <w:t>הקבורה האזרחית</w:t>
      </w:r>
    </w:p>
    <w:p w:rsidR="00EF45C8" w:rsidRPr="00E556CD" w:rsidP="00E556CD">
      <w:pPr>
        <w:spacing w:line="240" w:lineRule="exact"/>
        <w:ind w:left="-2" w:right="2268"/>
        <w:jc w:val="both"/>
        <w:rPr>
          <w:rFonts w:ascii="Tahoma" w:hAnsi="Tahoma" w:cs="Tahoma"/>
          <w:sz w:val="17"/>
          <w:szCs w:val="17"/>
          <w:rtl/>
        </w:rPr>
      </w:pPr>
      <w:r w:rsidRPr="00E556CD">
        <w:rPr>
          <w:rFonts w:ascii="Tahoma" w:hAnsi="Tahoma" w:cs="Tahoma" w:hint="cs"/>
          <w:sz w:val="17"/>
          <w:szCs w:val="17"/>
          <w:rtl/>
        </w:rPr>
        <w:t>באגף הקבורה במשרד לשירותי דת מועסקים חמישה בעלי תפקידים ומזכירה; אגף זה מטפל גם בקבורה האזרחית. בעקבות החלטת ממשלה 1484 ממרץ 2014 המליצה ועדת המנכ"לים שהמשרד לשירותי דת יבוא בדברים עם האוצר לצורך הקצאת תקנים ייעודיים לטיפול בנושא הקבורה האזרחית במסגרת התקציב לשנת 2015.</w:t>
      </w:r>
    </w:p>
    <w:p w:rsidR="00EF45C8" w:rsidRPr="00E556CD" w:rsidP="00E556CD">
      <w:pPr>
        <w:spacing w:line="240" w:lineRule="exact"/>
        <w:ind w:left="-2" w:right="2268"/>
        <w:jc w:val="both"/>
        <w:rPr>
          <w:rFonts w:ascii="Tahoma" w:hAnsi="Tahoma" w:cs="Tahoma"/>
          <w:sz w:val="17"/>
          <w:szCs w:val="17"/>
          <w:rtl/>
        </w:rPr>
      </w:pPr>
      <w:r w:rsidRPr="00E556CD">
        <w:rPr>
          <w:rFonts w:ascii="Tahoma" w:hAnsi="Tahoma" w:cs="Tahoma" w:hint="cs"/>
          <w:sz w:val="17"/>
          <w:szCs w:val="17"/>
          <w:rtl/>
        </w:rPr>
        <w:t>נמצא כי בדרישות תקציב כוח האדם של המשרד לשירותי דת לשנת 2015 נכללה משרה ייעודית לריכוז תחום הקבורה האזרחית, אולם לתקצובה נקבע סדר עדיפות נמוך, ובפועל המשרד לא תקצב את המשרה והיא לא אוישה.</w:t>
      </w:r>
    </w:p>
    <w:p w:rsidR="00EF45C8" w:rsidRPr="00E556CD" w:rsidP="00BF070A">
      <w:pPr>
        <w:spacing w:after="240" w:line="240" w:lineRule="exact"/>
        <w:ind w:left="-2" w:right="2268"/>
        <w:jc w:val="both"/>
        <w:rPr>
          <w:rFonts w:ascii="Tahoma" w:hAnsi="Tahoma" w:cs="Tahoma"/>
          <w:sz w:val="17"/>
          <w:szCs w:val="17"/>
          <w:rtl/>
        </w:rPr>
      </w:pPr>
      <w:r w:rsidRPr="00E556CD">
        <w:rPr>
          <w:rFonts w:ascii="Tahoma" w:hAnsi="Tahoma" w:cs="Tahoma" w:hint="cs"/>
          <w:sz w:val="17"/>
          <w:szCs w:val="17"/>
          <w:rtl/>
        </w:rPr>
        <w:t xml:space="preserve">בתשובת המשרד לשירותי דת נמסר כי בקבורה האזרחית טיפלו אנשי הצוות המקצועי העוסק בתחום הקבורה הדתית. עוד נמסר כי עוזר הסמנכ"ל יעסוק בנושא באופן מלא תוך מתן עדיפות לנושא הקבורה האזרחית, נוסף על כל שאר משימותיו. המשרד העריך כי </w:t>
      </w:r>
      <w:r w:rsidRPr="00E556CD">
        <w:rPr>
          <w:rFonts w:ascii="Tahoma" w:hAnsi="Tahoma" w:cs="Tahoma"/>
          <w:sz w:val="17"/>
          <w:szCs w:val="17"/>
          <w:rtl/>
        </w:rPr>
        <w:t>הוא מקצה זמן רב לטיפול בנושא הקבורה האזרחית יחסית לשיעור הביקוש לקבורה זו</w:t>
      </w:r>
      <w:r w:rsidRPr="00E556CD">
        <w:rPr>
          <w:rFonts w:ascii="Tahoma" w:hAnsi="Tahoma" w:cs="Tahoma" w:hint="cs"/>
          <w:sz w:val="17"/>
          <w:szCs w:val="17"/>
          <w:rtl/>
        </w:rPr>
        <w:t>, וכי היעדר התקן אינו מעיד על עדיפות נמוכה שנותן המשרד לנושא הקבורה האזרחית. עם זאת, ככל שתהיה החלטת ממשלה על מתן עדיפות לנושא הקבורה האזרחית לרבות תוספת תקנים ייעודיים לה, המשרד בתיאום עם אגף התקציבים באוצר יבחן הקצאת תקן ייעודי לנושא.</w:t>
      </w:r>
    </w:p>
    <w:p w:rsidR="00EF45C8" w:rsidRPr="00E556CD" w:rsidP="00BF070A">
      <w:pPr>
        <w:pStyle w:val="RESHET"/>
        <w:rPr>
          <w:rtl/>
        </w:rPr>
      </w:pPr>
      <w:r w:rsidRPr="00E556CD">
        <w:rPr>
          <w:rFonts w:hint="cs"/>
          <w:rtl/>
        </w:rPr>
        <w:t>יוצא איפה כי במועד סיום הביקורת אין במשרד לשירותי דת שום גורם שתפקידו הבלעדי הוא קידום נושא הקבורה האזרחית, ובפועל המשימות מבוזרות בין כמה בעלי תפקידים במשרד שעוסקים בעניינים נוספים. משמע שהמשרד לא מייחד את תשומת הלב הראויה לנושא רגיש ומורכב זה במסגרת סדר יומו.</w:t>
      </w:r>
    </w:p>
    <w:p w:rsidR="00EF45C8" w:rsidP="00E556CD">
      <w:pPr>
        <w:spacing w:line="240" w:lineRule="exact"/>
        <w:ind w:left="-2" w:right="2268"/>
        <w:jc w:val="both"/>
        <w:rPr>
          <w:rFonts w:ascii="Tahoma" w:hAnsi="Tahoma" w:cs="Tahoma"/>
          <w:b/>
          <w:bCs/>
          <w:sz w:val="17"/>
          <w:szCs w:val="17"/>
          <w:rtl/>
        </w:rPr>
      </w:pPr>
    </w:p>
    <w:p w:rsidR="00BF070A" w:rsidRPr="00E556CD" w:rsidP="00E556CD">
      <w:pPr>
        <w:spacing w:line="240" w:lineRule="exact"/>
        <w:ind w:left="-2" w:right="2268"/>
        <w:jc w:val="both"/>
        <w:rPr>
          <w:rFonts w:ascii="Tahoma" w:hAnsi="Tahoma" w:cs="Tahoma"/>
          <w:b/>
          <w:bCs/>
          <w:sz w:val="17"/>
          <w:szCs w:val="17"/>
          <w:rtl/>
        </w:rPr>
      </w:pPr>
    </w:p>
    <w:p w:rsidR="00EF45C8" w:rsidRPr="003D5143" w:rsidP="006B7001">
      <w:pPr>
        <w:pStyle w:val="KOT4"/>
        <w:rPr>
          <w:rtl/>
        </w:rPr>
      </w:pPr>
      <w:r w:rsidRPr="003D5143">
        <w:rPr>
          <w:rFonts w:hint="eastAsia"/>
          <w:rtl/>
        </w:rPr>
        <w:t>ליקויים</w:t>
      </w:r>
      <w:r w:rsidRPr="003D5143">
        <w:rPr>
          <w:rtl/>
        </w:rPr>
        <w:t xml:space="preserve"> </w:t>
      </w:r>
      <w:r w:rsidRPr="003D5143">
        <w:rPr>
          <w:rFonts w:hint="cs"/>
          <w:rtl/>
        </w:rPr>
        <w:t xml:space="preserve">באיכות </w:t>
      </w:r>
      <w:r w:rsidRPr="003D5143">
        <w:rPr>
          <w:rFonts w:hint="eastAsia"/>
          <w:rtl/>
        </w:rPr>
        <w:t>המידע</w:t>
      </w:r>
      <w:r w:rsidRPr="003D5143">
        <w:rPr>
          <w:rtl/>
        </w:rPr>
        <w:t xml:space="preserve"> </w:t>
      </w:r>
      <w:r w:rsidRPr="003D5143">
        <w:rPr>
          <w:rFonts w:hint="cs"/>
          <w:rtl/>
        </w:rPr>
        <w:t>בנושא</w:t>
      </w:r>
      <w:r w:rsidRPr="003D5143">
        <w:rPr>
          <w:rtl/>
        </w:rPr>
        <w:t xml:space="preserve"> </w:t>
      </w:r>
      <w:r w:rsidRPr="003D5143">
        <w:rPr>
          <w:rFonts w:hint="eastAsia"/>
          <w:rtl/>
        </w:rPr>
        <w:t>הקבורה</w:t>
      </w:r>
      <w:r w:rsidRPr="003D5143">
        <w:rPr>
          <w:rtl/>
        </w:rPr>
        <w:t xml:space="preserve"> </w:t>
      </w:r>
      <w:r w:rsidRPr="003D5143">
        <w:rPr>
          <w:rFonts w:hint="eastAsia"/>
          <w:rtl/>
        </w:rPr>
        <w:t>האזרחית</w:t>
      </w:r>
      <w:r w:rsidRPr="003D5143">
        <w:rPr>
          <w:rtl/>
        </w:rPr>
        <w:t xml:space="preserve"> </w:t>
      </w:r>
      <w:r w:rsidRPr="003D5143">
        <w:rPr>
          <w:rFonts w:hint="cs"/>
          <w:rtl/>
        </w:rPr>
        <w:t xml:space="preserve">ובזמינות המידע </w:t>
      </w:r>
      <w:r w:rsidRPr="003D5143">
        <w:rPr>
          <w:rFonts w:hint="eastAsia"/>
          <w:rtl/>
        </w:rPr>
        <w:t>לציבור</w:t>
      </w:r>
    </w:p>
    <w:p w:rsidR="00EF45C8" w:rsidRPr="00E556CD" w:rsidP="00E556CD">
      <w:pPr>
        <w:spacing w:line="240" w:lineRule="exact"/>
        <w:ind w:right="2268"/>
        <w:jc w:val="both"/>
        <w:rPr>
          <w:rFonts w:ascii="Tahoma" w:hAnsi="Tahoma" w:cs="Tahoma"/>
          <w:sz w:val="17"/>
          <w:szCs w:val="17"/>
          <w:rtl/>
        </w:rPr>
      </w:pPr>
      <w:r w:rsidRPr="00E556CD">
        <w:rPr>
          <w:rFonts w:ascii="Tahoma" w:hAnsi="Tahoma" w:cs="Tahoma" w:hint="cs"/>
          <w:sz w:val="17"/>
          <w:szCs w:val="17"/>
          <w:rtl/>
        </w:rPr>
        <w:t xml:space="preserve">כפי שכבר הובהר והודגש בדוח מבקר המדינה בנושא </w:t>
      </w:r>
      <w:r w:rsidRPr="00E556CD">
        <w:rPr>
          <w:rFonts w:ascii="Tahoma" w:hAnsi="Tahoma" w:cs="Tahoma"/>
          <w:sz w:val="17"/>
          <w:szCs w:val="17"/>
          <w:rtl/>
        </w:rPr>
        <w:t>אי-מיצוי זכויות חברתיות</w:t>
      </w:r>
      <w:r>
        <w:rPr>
          <w:rStyle w:val="FootnoteReference0"/>
          <w:rFonts w:ascii="Tahoma" w:hAnsi="Tahoma" w:cs="Tahoma"/>
          <w:sz w:val="17"/>
          <w:szCs w:val="17"/>
          <w:rtl/>
        </w:rPr>
        <w:footnoteReference w:id="30"/>
      </w:r>
      <w:r w:rsidRPr="00E556CD">
        <w:rPr>
          <w:rFonts w:ascii="Tahoma" w:hAnsi="Tahoma" w:cs="Tahoma" w:hint="cs"/>
          <w:sz w:val="17"/>
          <w:szCs w:val="17"/>
          <w:rtl/>
        </w:rPr>
        <w:t>, "</w:t>
      </w:r>
      <w:r w:rsidRPr="00E556CD">
        <w:rPr>
          <w:rFonts w:ascii="Tahoma" w:hAnsi="Tahoma" w:cs="Tahoma"/>
          <w:sz w:val="17"/>
          <w:szCs w:val="17"/>
          <w:rtl/>
        </w:rPr>
        <w:t>הבטחת הצדק החברתי אינה תלויה רק בעצם קיומן של זכויות חברתיות בחוקים ובתקנות, אלא גם במימושן של הזכויות הללו ובהענקתן לכלל הזכאים להן</w:t>
      </w:r>
      <w:r w:rsidRPr="00E556CD">
        <w:rPr>
          <w:rFonts w:ascii="Tahoma" w:hAnsi="Tahoma" w:cs="Tahoma" w:hint="cs"/>
          <w:sz w:val="17"/>
          <w:szCs w:val="17"/>
          <w:rtl/>
        </w:rPr>
        <w:t>"</w:t>
      </w:r>
      <w:r w:rsidRPr="00E556CD">
        <w:rPr>
          <w:rFonts w:ascii="Tahoma" w:hAnsi="Tahoma" w:cs="Tahoma"/>
          <w:sz w:val="17"/>
          <w:szCs w:val="17"/>
          <w:rtl/>
        </w:rPr>
        <w:t xml:space="preserve">. כדי להבטיח כי כלל הציבור </w:t>
      </w:r>
      <w:r w:rsidRPr="00E556CD">
        <w:rPr>
          <w:rFonts w:ascii="Tahoma" w:hAnsi="Tahoma" w:cs="Tahoma" w:hint="cs"/>
          <w:sz w:val="17"/>
          <w:szCs w:val="17"/>
          <w:rtl/>
        </w:rPr>
        <w:t xml:space="preserve">יוכל למצות זכות זו </w:t>
      </w:r>
      <w:r w:rsidRPr="00E556CD">
        <w:rPr>
          <w:rFonts w:ascii="Tahoma" w:hAnsi="Tahoma" w:cs="Tahoma"/>
          <w:sz w:val="17"/>
          <w:szCs w:val="17"/>
          <w:rtl/>
        </w:rPr>
        <w:t>באופן שוויוני</w:t>
      </w:r>
      <w:r w:rsidRPr="00E556CD">
        <w:rPr>
          <w:rFonts w:ascii="Tahoma" w:hAnsi="Tahoma" w:cs="Tahoma" w:hint="cs"/>
          <w:sz w:val="17"/>
          <w:szCs w:val="17"/>
          <w:rtl/>
        </w:rPr>
        <w:t>,</w:t>
      </w:r>
      <w:r w:rsidRPr="00E556CD">
        <w:rPr>
          <w:rFonts w:ascii="Tahoma" w:hAnsi="Tahoma" w:cs="Tahoma"/>
          <w:sz w:val="17"/>
          <w:szCs w:val="17"/>
          <w:rtl/>
        </w:rPr>
        <w:t xml:space="preserve"> ראוי שהמדינה </w:t>
      </w:r>
      <w:r w:rsidRPr="00E556CD">
        <w:rPr>
          <w:rFonts w:ascii="Tahoma" w:hAnsi="Tahoma" w:cs="Tahoma" w:hint="cs"/>
          <w:sz w:val="17"/>
          <w:szCs w:val="17"/>
          <w:rtl/>
        </w:rPr>
        <w:t>תנגיש</w:t>
      </w:r>
      <w:r w:rsidRPr="00E556CD">
        <w:rPr>
          <w:rFonts w:ascii="Tahoma" w:hAnsi="Tahoma" w:cs="Tahoma" w:hint="cs"/>
          <w:sz w:val="17"/>
          <w:szCs w:val="17"/>
          <w:rtl/>
        </w:rPr>
        <w:t xml:space="preserve"> באופן</w:t>
      </w:r>
      <w:r w:rsidRPr="00E556CD">
        <w:rPr>
          <w:rFonts w:ascii="Tahoma" w:hAnsi="Tahoma" w:cs="Tahoma"/>
          <w:sz w:val="17"/>
          <w:szCs w:val="17"/>
          <w:rtl/>
        </w:rPr>
        <w:t xml:space="preserve"> מלא ושקוף</w:t>
      </w:r>
      <w:r w:rsidRPr="00E556CD">
        <w:rPr>
          <w:rFonts w:ascii="Tahoma" w:hAnsi="Tahoma" w:cs="Tahoma" w:hint="cs"/>
          <w:sz w:val="17"/>
          <w:szCs w:val="17"/>
          <w:rtl/>
        </w:rPr>
        <w:t xml:space="preserve"> את</w:t>
      </w:r>
      <w:r w:rsidRPr="00E556CD">
        <w:rPr>
          <w:rFonts w:ascii="Tahoma" w:hAnsi="Tahoma" w:cs="Tahoma"/>
          <w:sz w:val="17"/>
          <w:szCs w:val="17"/>
          <w:rtl/>
        </w:rPr>
        <w:t xml:space="preserve"> </w:t>
      </w:r>
      <w:r w:rsidRPr="00E556CD">
        <w:rPr>
          <w:rFonts w:ascii="Tahoma" w:hAnsi="Tahoma" w:cs="Tahoma" w:hint="cs"/>
          <w:sz w:val="17"/>
          <w:szCs w:val="17"/>
          <w:rtl/>
        </w:rPr>
        <w:t>ה</w:t>
      </w:r>
      <w:r w:rsidRPr="00E556CD">
        <w:rPr>
          <w:rFonts w:ascii="Tahoma" w:hAnsi="Tahoma" w:cs="Tahoma"/>
          <w:sz w:val="17"/>
          <w:szCs w:val="17"/>
          <w:rtl/>
        </w:rPr>
        <w:t xml:space="preserve">מידע </w:t>
      </w:r>
      <w:r w:rsidRPr="00E556CD">
        <w:rPr>
          <w:rFonts w:ascii="Tahoma" w:hAnsi="Tahoma" w:cs="Tahoma" w:hint="cs"/>
          <w:sz w:val="17"/>
          <w:szCs w:val="17"/>
          <w:rtl/>
        </w:rPr>
        <w:t>בדבר</w:t>
      </w:r>
      <w:r w:rsidRPr="00E556CD">
        <w:rPr>
          <w:rFonts w:ascii="Tahoma" w:hAnsi="Tahoma" w:cs="Tahoma"/>
          <w:sz w:val="17"/>
          <w:szCs w:val="17"/>
          <w:rtl/>
        </w:rPr>
        <w:t xml:space="preserve"> עצם קיום הזכות ו</w:t>
      </w:r>
      <w:r w:rsidRPr="00E556CD">
        <w:rPr>
          <w:rFonts w:ascii="Tahoma" w:hAnsi="Tahoma" w:cs="Tahoma" w:hint="cs"/>
          <w:sz w:val="17"/>
          <w:szCs w:val="17"/>
          <w:rtl/>
        </w:rPr>
        <w:t>בדבר</w:t>
      </w:r>
      <w:r w:rsidRPr="00E556CD">
        <w:rPr>
          <w:rFonts w:ascii="Tahoma" w:hAnsi="Tahoma" w:cs="Tahoma"/>
          <w:sz w:val="17"/>
          <w:szCs w:val="17"/>
          <w:rtl/>
        </w:rPr>
        <w:t xml:space="preserve"> התנאים ל</w:t>
      </w:r>
      <w:r w:rsidRPr="00E556CD">
        <w:rPr>
          <w:rFonts w:ascii="Tahoma" w:hAnsi="Tahoma" w:cs="Tahoma" w:hint="cs"/>
          <w:sz w:val="17"/>
          <w:szCs w:val="17"/>
          <w:rtl/>
        </w:rPr>
        <w:t>מימושה</w:t>
      </w:r>
      <w:r w:rsidRPr="00E556CD">
        <w:rPr>
          <w:rFonts w:ascii="Tahoma" w:hAnsi="Tahoma" w:cs="Tahoma"/>
          <w:sz w:val="17"/>
          <w:szCs w:val="17"/>
          <w:rtl/>
        </w:rPr>
        <w:t>.</w:t>
      </w:r>
    </w:p>
    <w:p w:rsidR="00EF45C8" w:rsidRPr="00E556CD" w:rsidP="00BF070A">
      <w:pPr>
        <w:spacing w:after="240" w:line="240" w:lineRule="exact"/>
        <w:ind w:right="2268"/>
        <w:jc w:val="both"/>
        <w:rPr>
          <w:rFonts w:ascii="Tahoma" w:hAnsi="Tahoma" w:cs="Tahoma"/>
          <w:sz w:val="17"/>
          <w:szCs w:val="17"/>
          <w:rtl/>
        </w:rPr>
      </w:pPr>
      <w:r w:rsidRPr="00E556CD">
        <w:rPr>
          <w:rFonts w:ascii="Tahoma" w:hAnsi="Tahoma" w:cs="Tahoma"/>
          <w:sz w:val="17"/>
          <w:szCs w:val="17"/>
          <w:rtl/>
        </w:rPr>
        <w:t xml:space="preserve">על כן ראוי שרשות ציבורית אשר בידיה הסמכות </w:t>
      </w:r>
      <w:r w:rsidRPr="00E556CD">
        <w:rPr>
          <w:rFonts w:ascii="Tahoma" w:hAnsi="Tahoma" w:cs="Tahoma" w:hint="cs"/>
          <w:sz w:val="17"/>
          <w:szCs w:val="17"/>
          <w:rtl/>
        </w:rPr>
        <w:t>הרלוונטית למימוש</w:t>
      </w:r>
      <w:r w:rsidRPr="00E556CD">
        <w:rPr>
          <w:rFonts w:ascii="Tahoma" w:hAnsi="Tahoma" w:cs="Tahoma"/>
          <w:sz w:val="17"/>
          <w:szCs w:val="17"/>
          <w:rtl/>
        </w:rPr>
        <w:t xml:space="preserve"> </w:t>
      </w:r>
      <w:r w:rsidRPr="00E556CD">
        <w:rPr>
          <w:rFonts w:ascii="Tahoma" w:hAnsi="Tahoma" w:cs="Tahoma" w:hint="cs"/>
          <w:sz w:val="17"/>
          <w:szCs w:val="17"/>
          <w:rtl/>
        </w:rPr>
        <w:t>ה</w:t>
      </w:r>
      <w:r w:rsidRPr="00E556CD">
        <w:rPr>
          <w:rFonts w:ascii="Tahoma" w:hAnsi="Tahoma" w:cs="Tahoma"/>
          <w:sz w:val="17"/>
          <w:szCs w:val="17"/>
          <w:rtl/>
        </w:rPr>
        <w:t xml:space="preserve">זכות </w:t>
      </w:r>
      <w:r w:rsidRPr="00E556CD">
        <w:rPr>
          <w:rFonts w:ascii="Tahoma" w:hAnsi="Tahoma" w:cs="Tahoma" w:hint="cs"/>
          <w:sz w:val="17"/>
          <w:szCs w:val="17"/>
          <w:rtl/>
        </w:rPr>
        <w:t>תפעל ל</w:t>
      </w:r>
      <w:r w:rsidRPr="00E556CD">
        <w:rPr>
          <w:rFonts w:ascii="Tahoma" w:hAnsi="Tahoma" w:cs="Tahoma"/>
          <w:sz w:val="17"/>
          <w:szCs w:val="17"/>
          <w:rtl/>
        </w:rPr>
        <w:t xml:space="preserve">הסרת חסמים </w:t>
      </w:r>
      <w:r w:rsidRPr="00E556CD">
        <w:rPr>
          <w:rFonts w:ascii="Tahoma" w:hAnsi="Tahoma" w:cs="Tahoma" w:hint="cs"/>
          <w:sz w:val="17"/>
          <w:szCs w:val="17"/>
          <w:rtl/>
        </w:rPr>
        <w:t>המקשים על הזכאי</w:t>
      </w:r>
      <w:r w:rsidRPr="00E556CD">
        <w:rPr>
          <w:rFonts w:ascii="Tahoma" w:hAnsi="Tahoma" w:cs="Tahoma"/>
          <w:sz w:val="17"/>
          <w:szCs w:val="17"/>
          <w:rtl/>
        </w:rPr>
        <w:t xml:space="preserve"> לממש את זכויותיו</w:t>
      </w:r>
      <w:r w:rsidRPr="00E556CD">
        <w:rPr>
          <w:rFonts w:ascii="Tahoma" w:hAnsi="Tahoma" w:cs="Tahoma" w:hint="cs"/>
          <w:sz w:val="17"/>
          <w:szCs w:val="17"/>
          <w:rtl/>
        </w:rPr>
        <w:t xml:space="preserve">, ובענייננו - זכותו לקבורה </w:t>
      </w:r>
      <w:r w:rsidRPr="00E556CD">
        <w:rPr>
          <w:rFonts w:ascii="Tahoma" w:hAnsi="Tahoma" w:cs="Tahoma" w:hint="cs"/>
          <w:sz w:val="17"/>
          <w:szCs w:val="17"/>
          <w:rtl/>
        </w:rPr>
        <w:t>אזרחית, לרבות הזכות לקבלת מידע נגיש, תקף ומהימן בנושא תאגידי הקבורה האזרחית ובתי עלמין אזרחיים, כגון מידע על מקומם ועל מצאי מקומות הקבורה בהם. מדובר במידע חיוני ביותר עבור משפחות הנפטרים בשעותיהן הקשות, שאמור לסייע להן למצות את זכותו של הנפטר לקבורה אזרחית, על פי החוק.</w:t>
      </w:r>
    </w:p>
    <w:p w:rsidR="00EF45C8" w:rsidRPr="00E556CD" w:rsidP="00BF070A">
      <w:pPr>
        <w:pStyle w:val="RESHET"/>
        <w:numPr>
          <w:ilvl w:val="0"/>
          <w:numId w:val="11"/>
        </w:numPr>
        <w:ind w:left="567" w:hanging="340"/>
        <w:rPr>
          <w:rtl/>
        </w:rPr>
      </w:pPr>
      <w:r w:rsidRPr="00E556CD">
        <w:rPr>
          <w:rFonts w:hint="cs"/>
          <w:rtl/>
        </w:rPr>
        <w:t>עלה</w:t>
      </w:r>
      <w:r w:rsidRPr="00E556CD">
        <w:rPr>
          <w:rtl/>
        </w:rPr>
        <w:t xml:space="preserve"> כי אף שהמשרד לשירותי דת אחראי ליישום חוק הקבורה האזרחית, אין הוא פועל ביוזמתו כדי </w:t>
      </w:r>
      <w:r w:rsidRPr="00E556CD">
        <w:rPr>
          <w:rFonts w:hint="cs"/>
          <w:rtl/>
        </w:rPr>
        <w:t>להביא</w:t>
      </w:r>
      <w:r w:rsidRPr="00E556CD">
        <w:rPr>
          <w:rtl/>
        </w:rPr>
        <w:t xml:space="preserve"> לידיעת </w:t>
      </w:r>
      <w:r w:rsidRPr="00E556CD">
        <w:rPr>
          <w:rFonts w:hint="cs"/>
          <w:rtl/>
        </w:rPr>
        <w:t>הציבור</w:t>
      </w:r>
      <w:r w:rsidRPr="00E556CD">
        <w:rPr>
          <w:rtl/>
        </w:rPr>
        <w:t xml:space="preserve"> </w:t>
      </w:r>
      <w:r w:rsidRPr="00E556CD">
        <w:rPr>
          <w:rFonts w:hint="cs"/>
          <w:rtl/>
        </w:rPr>
        <w:t>שכל</w:t>
      </w:r>
      <w:r w:rsidRPr="00E556CD">
        <w:rPr>
          <w:rtl/>
        </w:rPr>
        <w:t xml:space="preserve"> </w:t>
      </w:r>
      <w:r w:rsidRPr="00E556CD">
        <w:rPr>
          <w:rFonts w:hint="cs"/>
          <w:rtl/>
        </w:rPr>
        <w:t>אזרח</w:t>
      </w:r>
      <w:r w:rsidRPr="00E556CD">
        <w:rPr>
          <w:rtl/>
        </w:rPr>
        <w:t xml:space="preserve"> </w:t>
      </w:r>
      <w:r w:rsidRPr="00E556CD">
        <w:rPr>
          <w:rFonts w:hint="cs"/>
          <w:rtl/>
        </w:rPr>
        <w:t>רשאי</w:t>
      </w:r>
      <w:r w:rsidRPr="00E556CD">
        <w:rPr>
          <w:rtl/>
        </w:rPr>
        <w:t xml:space="preserve"> </w:t>
      </w:r>
      <w:r w:rsidRPr="00E556CD">
        <w:rPr>
          <w:rFonts w:hint="cs"/>
          <w:rtl/>
        </w:rPr>
        <w:t>להיקבר</w:t>
      </w:r>
      <w:r w:rsidRPr="00E556CD">
        <w:rPr>
          <w:rtl/>
        </w:rPr>
        <w:t xml:space="preserve"> </w:t>
      </w:r>
      <w:r w:rsidRPr="00E556CD">
        <w:rPr>
          <w:rFonts w:hint="cs"/>
          <w:rtl/>
        </w:rPr>
        <w:t>בקבורה</w:t>
      </w:r>
      <w:r w:rsidRPr="00E556CD">
        <w:rPr>
          <w:rtl/>
        </w:rPr>
        <w:t xml:space="preserve"> </w:t>
      </w:r>
      <w:r w:rsidRPr="00E556CD">
        <w:rPr>
          <w:rFonts w:hint="cs"/>
          <w:rtl/>
        </w:rPr>
        <w:t>אזרחית</w:t>
      </w:r>
      <w:r w:rsidRPr="00E556CD">
        <w:rPr>
          <w:rtl/>
        </w:rPr>
        <w:t xml:space="preserve">, </w:t>
      </w:r>
      <w:r w:rsidRPr="00E556CD">
        <w:rPr>
          <w:rFonts w:hint="cs"/>
          <w:rtl/>
        </w:rPr>
        <w:t>אם</w:t>
      </w:r>
      <w:r w:rsidRPr="00E556CD">
        <w:rPr>
          <w:rtl/>
        </w:rPr>
        <w:t xml:space="preserve"> </w:t>
      </w:r>
      <w:r w:rsidRPr="00E556CD">
        <w:rPr>
          <w:rFonts w:hint="cs"/>
          <w:rtl/>
        </w:rPr>
        <w:t>על</w:t>
      </w:r>
      <w:r w:rsidRPr="00E556CD">
        <w:rPr>
          <w:rtl/>
        </w:rPr>
        <w:t xml:space="preserve"> </w:t>
      </w:r>
      <w:r w:rsidRPr="00E556CD">
        <w:rPr>
          <w:rFonts w:hint="cs"/>
          <w:rtl/>
        </w:rPr>
        <w:t>פי</w:t>
      </w:r>
      <w:r w:rsidRPr="00E556CD">
        <w:rPr>
          <w:rtl/>
        </w:rPr>
        <w:t xml:space="preserve"> </w:t>
      </w:r>
      <w:r w:rsidRPr="00E556CD">
        <w:rPr>
          <w:rFonts w:hint="cs"/>
          <w:rtl/>
        </w:rPr>
        <w:t>השקפת</w:t>
      </w:r>
      <w:r w:rsidRPr="00E556CD">
        <w:rPr>
          <w:rtl/>
        </w:rPr>
        <w:t xml:space="preserve"> </w:t>
      </w:r>
      <w:r w:rsidRPr="00E556CD">
        <w:rPr>
          <w:rFonts w:hint="cs"/>
          <w:rtl/>
        </w:rPr>
        <w:t>עולמו</w:t>
      </w:r>
      <w:r w:rsidRPr="00E556CD">
        <w:rPr>
          <w:rtl/>
        </w:rPr>
        <w:t xml:space="preserve"> </w:t>
      </w:r>
      <w:r w:rsidRPr="00E556CD">
        <w:rPr>
          <w:rFonts w:hint="cs"/>
          <w:rtl/>
        </w:rPr>
        <w:t>ואם</w:t>
      </w:r>
      <w:r w:rsidRPr="00E556CD">
        <w:rPr>
          <w:rtl/>
        </w:rPr>
        <w:t xml:space="preserve"> </w:t>
      </w:r>
      <w:r w:rsidRPr="00E556CD">
        <w:rPr>
          <w:rFonts w:hint="cs"/>
          <w:rtl/>
        </w:rPr>
        <w:t>מסיבות</w:t>
      </w:r>
      <w:r w:rsidRPr="00E556CD">
        <w:rPr>
          <w:rtl/>
        </w:rPr>
        <w:t xml:space="preserve"> </w:t>
      </w:r>
      <w:r w:rsidRPr="00E556CD">
        <w:rPr>
          <w:rFonts w:hint="cs"/>
          <w:rtl/>
        </w:rPr>
        <w:t>אחרות</w:t>
      </w:r>
      <w:r w:rsidRPr="00E556CD">
        <w:rPr>
          <w:rtl/>
        </w:rPr>
        <w:t xml:space="preserve">. </w:t>
      </w:r>
      <w:r w:rsidRPr="00E556CD">
        <w:rPr>
          <w:rFonts w:hint="cs"/>
          <w:rtl/>
        </w:rPr>
        <w:t>כמו</w:t>
      </w:r>
      <w:r w:rsidRPr="00E556CD">
        <w:rPr>
          <w:rtl/>
        </w:rPr>
        <w:t xml:space="preserve"> </w:t>
      </w:r>
      <w:r w:rsidRPr="00E556CD">
        <w:rPr>
          <w:rFonts w:hint="cs"/>
          <w:rtl/>
        </w:rPr>
        <w:t>כן</w:t>
      </w:r>
      <w:r w:rsidRPr="00E556CD">
        <w:rPr>
          <w:rtl/>
        </w:rPr>
        <w:t>, רשימת הטלפונים של תאגידי הקבורה המתפרסמת באתר של המשרד איננה מעודכנת.</w:t>
      </w:r>
    </w:p>
    <w:p w:rsidR="00EF45C8" w:rsidRPr="00E556CD" w:rsidP="00BF070A">
      <w:pPr>
        <w:spacing w:before="180" w:line="240" w:lineRule="exact"/>
        <w:ind w:left="340" w:right="2268"/>
        <w:jc w:val="both"/>
        <w:rPr>
          <w:rFonts w:ascii="Tahoma" w:hAnsi="Tahoma" w:cs="Tahoma"/>
          <w:sz w:val="17"/>
          <w:szCs w:val="17"/>
          <w:rtl/>
        </w:rPr>
      </w:pPr>
      <w:r w:rsidRPr="00E556CD">
        <w:rPr>
          <w:rFonts w:ascii="Tahoma" w:hAnsi="Tahoma" w:cs="Tahoma" w:hint="cs"/>
          <w:sz w:val="17"/>
          <w:szCs w:val="17"/>
          <w:rtl/>
        </w:rPr>
        <w:t>בתשובתו של המשרד לשירותי דת נמסר כי הוא יזם בשיתוף פורום חברות קדישא הקמת מוקד טלפוני ושמו "כוכבית 120" שיחל לפעול בשנת 2017, אשר יספק מידע מלא ורלוונטי בכל ימות השנה ושעות היממה על שירותי הקבורה, גופי הקבורה ופינוי נפטרים. נתוני גופי הקבורה המפורסמים באתר המשרד עודכנו באופן שוטף והתבססו על נתונים שמסרו גופי הקבורה עצמם.</w:t>
      </w:r>
    </w:p>
    <w:p w:rsidR="00EF45C8" w:rsidRPr="00E556CD" w:rsidP="00BF070A">
      <w:pPr>
        <w:pStyle w:val="ListParagraph"/>
        <w:numPr>
          <w:ilvl w:val="0"/>
          <w:numId w:val="8"/>
        </w:numPr>
        <w:autoSpaceDE/>
        <w:autoSpaceDN/>
        <w:adjustRightInd/>
        <w:spacing w:line="240" w:lineRule="exact"/>
        <w:ind w:left="340" w:right="2268" w:hanging="340"/>
        <w:contextualSpacing/>
        <w:rPr>
          <w:sz w:val="17"/>
          <w:szCs w:val="17"/>
          <w:rtl/>
        </w:rPr>
      </w:pPr>
      <w:r w:rsidRPr="00E556CD">
        <w:rPr>
          <w:rFonts w:hint="cs"/>
          <w:sz w:val="17"/>
          <w:szCs w:val="17"/>
          <w:rtl/>
        </w:rPr>
        <w:t xml:space="preserve">באתר האינטרנט של הביטוח הלאומי מוצג </w:t>
      </w:r>
      <w:r w:rsidRPr="00E556CD">
        <w:rPr>
          <w:sz w:val="17"/>
          <w:szCs w:val="17"/>
          <w:rtl/>
        </w:rPr>
        <w:t xml:space="preserve">מחשבון </w:t>
      </w:r>
      <w:r w:rsidRPr="00E556CD">
        <w:rPr>
          <w:rFonts w:hint="cs"/>
          <w:sz w:val="17"/>
          <w:szCs w:val="17"/>
          <w:rtl/>
        </w:rPr>
        <w:t>דמי קבורה (להלן - המחשבון) שנועד לאפשר</w:t>
      </w:r>
      <w:r w:rsidRPr="00E556CD">
        <w:rPr>
          <w:sz w:val="17"/>
          <w:szCs w:val="17"/>
          <w:rtl/>
        </w:rPr>
        <w:t xml:space="preserve"> </w:t>
      </w:r>
      <w:r w:rsidRPr="00E556CD">
        <w:rPr>
          <w:rFonts w:hint="cs"/>
          <w:sz w:val="17"/>
          <w:szCs w:val="17"/>
          <w:rtl/>
        </w:rPr>
        <w:t>ל</w:t>
      </w:r>
      <w:r w:rsidRPr="00E556CD">
        <w:rPr>
          <w:sz w:val="17"/>
          <w:szCs w:val="17"/>
          <w:rtl/>
        </w:rPr>
        <w:t>משפחות ו</w:t>
      </w:r>
      <w:r w:rsidRPr="00E556CD">
        <w:rPr>
          <w:rFonts w:hint="cs"/>
          <w:sz w:val="17"/>
          <w:szCs w:val="17"/>
          <w:rtl/>
        </w:rPr>
        <w:t>ל</w:t>
      </w:r>
      <w:r w:rsidRPr="00E556CD">
        <w:rPr>
          <w:sz w:val="17"/>
          <w:szCs w:val="17"/>
          <w:rtl/>
        </w:rPr>
        <w:t xml:space="preserve">מכרים של נפטרים </w:t>
      </w:r>
      <w:r w:rsidRPr="00E556CD">
        <w:rPr>
          <w:rFonts w:hint="cs"/>
          <w:sz w:val="17"/>
          <w:szCs w:val="17"/>
          <w:rtl/>
        </w:rPr>
        <w:t>לאתר</w:t>
      </w:r>
      <w:r w:rsidRPr="00E556CD">
        <w:rPr>
          <w:sz w:val="17"/>
          <w:szCs w:val="17"/>
          <w:rtl/>
        </w:rPr>
        <w:t xml:space="preserve"> חברות קבורה ובתי עלמין שהקבורה בהם אינה כרוכה בתשלום</w:t>
      </w:r>
      <w:r w:rsidRPr="00E556CD">
        <w:rPr>
          <w:rFonts w:hint="cs"/>
          <w:sz w:val="17"/>
          <w:szCs w:val="17"/>
          <w:rtl/>
        </w:rPr>
        <w:t>.</w:t>
      </w:r>
    </w:p>
    <w:p w:rsidR="00EF45C8" w:rsidRPr="00E556CD" w:rsidP="00BF070A">
      <w:pPr>
        <w:spacing w:after="240" w:line="240" w:lineRule="exact"/>
        <w:ind w:left="340" w:right="2268"/>
        <w:jc w:val="both"/>
        <w:rPr>
          <w:rFonts w:ascii="Tahoma" w:hAnsi="Tahoma" w:cs="Tahoma"/>
          <w:b/>
          <w:bCs/>
          <w:sz w:val="17"/>
          <w:szCs w:val="17"/>
          <w:rtl/>
        </w:rPr>
      </w:pPr>
      <w:r w:rsidRPr="00E556CD">
        <w:rPr>
          <w:rFonts w:ascii="Tahoma" w:hAnsi="Tahoma" w:cs="Tahoma" w:hint="cs"/>
          <w:sz w:val="17"/>
          <w:szCs w:val="17"/>
          <w:rtl/>
        </w:rPr>
        <w:t>ב</w:t>
      </w:r>
      <w:r w:rsidRPr="00E556CD">
        <w:rPr>
          <w:rFonts w:ascii="Tahoma" w:hAnsi="Tahoma" w:cs="Tahoma"/>
          <w:sz w:val="17"/>
          <w:szCs w:val="17"/>
          <w:rtl/>
        </w:rPr>
        <w:t>בדיק</w:t>
      </w:r>
      <w:r w:rsidRPr="00E556CD">
        <w:rPr>
          <w:rFonts w:ascii="Tahoma" w:hAnsi="Tahoma" w:cs="Tahoma" w:hint="cs"/>
          <w:sz w:val="17"/>
          <w:szCs w:val="17"/>
          <w:rtl/>
        </w:rPr>
        <w:t>ות</w:t>
      </w:r>
      <w:r w:rsidRPr="00E556CD">
        <w:rPr>
          <w:rFonts w:ascii="Tahoma" w:hAnsi="Tahoma" w:cs="Tahoma"/>
          <w:sz w:val="17"/>
          <w:szCs w:val="17"/>
          <w:rtl/>
        </w:rPr>
        <w:t xml:space="preserve"> </w:t>
      </w:r>
      <w:r w:rsidRPr="00E556CD">
        <w:rPr>
          <w:rFonts w:ascii="Tahoma" w:hAnsi="Tahoma" w:cs="Tahoma" w:hint="cs"/>
          <w:sz w:val="17"/>
          <w:szCs w:val="17"/>
          <w:rtl/>
        </w:rPr>
        <w:t>שעשה</w:t>
      </w:r>
      <w:r w:rsidRPr="00E556CD">
        <w:rPr>
          <w:rFonts w:ascii="Tahoma" w:hAnsi="Tahoma" w:cs="Tahoma"/>
          <w:sz w:val="17"/>
          <w:szCs w:val="17"/>
          <w:rtl/>
        </w:rPr>
        <w:t xml:space="preserve"> </w:t>
      </w:r>
      <w:r w:rsidRPr="00E556CD">
        <w:rPr>
          <w:rFonts w:ascii="Tahoma" w:hAnsi="Tahoma" w:cs="Tahoma" w:hint="cs"/>
          <w:sz w:val="17"/>
          <w:szCs w:val="17"/>
          <w:rtl/>
        </w:rPr>
        <w:t xml:space="preserve">צוות </w:t>
      </w:r>
      <w:r w:rsidRPr="00E556CD">
        <w:rPr>
          <w:rFonts w:ascii="Tahoma" w:hAnsi="Tahoma" w:cs="Tahoma"/>
          <w:sz w:val="17"/>
          <w:szCs w:val="17"/>
          <w:rtl/>
        </w:rPr>
        <w:t xml:space="preserve">הביקורת במאי ובאוגוסט 2016 </w:t>
      </w:r>
      <w:r w:rsidRPr="00E556CD">
        <w:rPr>
          <w:rFonts w:ascii="Tahoma" w:hAnsi="Tahoma" w:cs="Tahoma" w:hint="cs"/>
          <w:sz w:val="17"/>
          <w:szCs w:val="17"/>
          <w:rtl/>
        </w:rPr>
        <w:t>הוא ניסה לאתר</w:t>
      </w:r>
      <w:r w:rsidRPr="00E556CD">
        <w:rPr>
          <w:rFonts w:ascii="Tahoma" w:hAnsi="Tahoma" w:cs="Tahoma"/>
          <w:sz w:val="17"/>
          <w:szCs w:val="17"/>
          <w:rtl/>
        </w:rPr>
        <w:t xml:space="preserve">, באמצעות המחשבון, </w:t>
      </w:r>
      <w:r w:rsidRPr="00E556CD">
        <w:rPr>
          <w:rFonts w:ascii="Tahoma" w:hAnsi="Tahoma" w:cs="Tahoma" w:hint="cs"/>
          <w:sz w:val="17"/>
          <w:szCs w:val="17"/>
          <w:rtl/>
        </w:rPr>
        <w:t xml:space="preserve">בתי עלמין אזרחיים </w:t>
      </w:r>
      <w:r w:rsidRPr="00E556CD">
        <w:rPr>
          <w:rFonts w:ascii="Tahoma" w:hAnsi="Tahoma" w:cs="Tahoma"/>
          <w:sz w:val="17"/>
          <w:szCs w:val="17"/>
          <w:rtl/>
        </w:rPr>
        <w:t>באזור ירושלים ובאזור תל אביב שהקבורה בהם אינה כרוכה בתשלום</w:t>
      </w:r>
      <w:r w:rsidRPr="00E556CD">
        <w:rPr>
          <w:rFonts w:ascii="Tahoma" w:hAnsi="Tahoma" w:cs="Tahoma" w:hint="cs"/>
          <w:sz w:val="17"/>
          <w:szCs w:val="17"/>
          <w:rtl/>
        </w:rPr>
        <w:t>. מאחר שבאזורים אלה אין בתי עלמין אזרחיים, המחשבון הציע רשימה של 33 גופי קבורה העוסקים בקבורה אזרחית בכלל אזורי המדינה.</w:t>
      </w:r>
    </w:p>
    <w:p w:rsidR="00EF45C8" w:rsidRPr="00E556CD" w:rsidP="00BF070A">
      <w:pPr>
        <w:pStyle w:val="RESHET"/>
        <w:ind w:left="567"/>
        <w:rPr>
          <w:rtl/>
        </w:rPr>
      </w:pPr>
      <w:r w:rsidRPr="00E556CD">
        <w:rPr>
          <w:rFonts w:hint="cs"/>
          <w:rtl/>
        </w:rPr>
        <w:t>מבדיקת הרשימה עלה כי נכלל בה גוף קבורה שתוקף רישיונו פג במרץ 2015. אשר ל-32 גופי הקבורה הנותרים, שרישיונם תקף, נמצא כי 15 מהם שייכים ליישובים חקלאיים - ומכאן שעל פי חוק מותר לקבור בבתי העלמין שברשותם את נפטרי היישוב בלבד - וכי 14 גופים אחרים עוסקים בקבורה אזרחית של תושבי רשות מקומית אחת בלבד או של היישובים הסמוכים לה. יוצא אפוא שרק שלושה מגופי הקבורה שהציע המחשבון היו רלוונטיים לבקשות החיפוש.</w:t>
      </w:r>
    </w:p>
    <w:p w:rsidR="00EF45C8" w:rsidRPr="00E556CD" w:rsidP="00BF070A">
      <w:pPr>
        <w:pStyle w:val="RESHET"/>
        <w:ind w:left="567"/>
        <w:rPr>
          <w:rtl/>
        </w:rPr>
      </w:pPr>
      <w:r w:rsidRPr="00E556CD">
        <w:rPr>
          <w:rFonts w:hint="cs"/>
          <w:rtl/>
        </w:rPr>
        <w:t>הליקויים שנמצאו במסד הנתונים של המחשבון הם חמורים, היות שתוצאות החיפוש באמצעותו מציגות נתונים שגויים ומטעים לציבור המבקש לממש את זכותו של נפטר לקבורה אזרחית, מאחר שהוא מציג למחפשים חלופות לקבורה האזרחית שבפועל אינן זמינות עבורם. על הביטוח הלאומי לפעול ללא דיחוי לתיקון הליקויים, באופן שיוצג המידע הרלוונטי בנושא</w:t>
      </w:r>
      <w:r w:rsidRPr="00E556CD">
        <w:rPr>
          <w:rFonts w:hint="cs"/>
          <w:rtl/>
        </w:rPr>
        <w:t xml:space="preserve"> </w:t>
      </w:r>
      <w:r w:rsidRPr="00E556CD">
        <w:rPr>
          <w:rFonts w:hint="cs"/>
          <w:rtl/>
        </w:rPr>
        <w:t>המשקף אל נכון את האפשרויות שעומדות לפני משפחות הנפטרים.</w:t>
      </w:r>
    </w:p>
    <w:p w:rsidR="00EF45C8" w:rsidRPr="00E556CD" w:rsidP="00BF070A">
      <w:pPr>
        <w:spacing w:before="180" w:after="240" w:line="240" w:lineRule="exact"/>
        <w:ind w:left="340" w:right="2268"/>
        <w:jc w:val="both"/>
        <w:rPr>
          <w:rFonts w:ascii="Tahoma" w:hAnsi="Tahoma" w:cs="Tahoma"/>
          <w:sz w:val="17"/>
          <w:szCs w:val="17"/>
          <w:rtl/>
        </w:rPr>
      </w:pPr>
      <w:r w:rsidRPr="00E556CD">
        <w:rPr>
          <w:rFonts w:ascii="Tahoma" w:hAnsi="Tahoma" w:cs="Tahoma" w:hint="cs"/>
          <w:sz w:val="17"/>
          <w:szCs w:val="17"/>
          <w:rtl/>
        </w:rPr>
        <w:t>בתשובתו של הביטוח הלאומי הוא ציין כי רק כמה חברות מספקות שירותי קבורה אזרחית, וזאת ביישובים מעטים. לכן אם ברשות המקומית של מגורי הנפטר אין פתרון לקבורה אזרחית, המחשבון מציג את כל גופי הקבורה העוסקים בקבורה אזרחית על מנת לאפשר למשפחת הנפטר לברר עמם ישירות אם ניתן באמצעותם להביא לקבורה את יקירם שנפטר. כמו כן אתר הביטוח הלאומי מפנה למוקד המשרד לשירותי דת לצורך בירור נושא הקבורה האזרחית. הביטוח הלאומי הוסיף כי הוסרה מהרשימה גוף הקבורה שרישיונו פג.</w:t>
      </w:r>
    </w:p>
    <w:p w:rsidR="00EF45C8" w:rsidRPr="00E556CD" w:rsidP="00BF070A">
      <w:pPr>
        <w:pStyle w:val="RESHET"/>
        <w:ind w:left="567"/>
        <w:rPr>
          <w:rtl/>
        </w:rPr>
      </w:pPr>
      <w:r w:rsidRPr="00E556CD">
        <w:rPr>
          <w:rFonts w:hint="cs"/>
          <w:rtl/>
        </w:rPr>
        <w:t>בדצמבר 2016 בדק צוות הביקורת את המחשבון, ומצא כי שמו של גוף הקבורה שרישיונו פג אכן הוסר, וכי הוסרו גם שמות 15 גופי הקבורה השייכים ליישובים חקלאיים. עם זאת, המידע על 20 תאגידי הקבורה האזרחית אשר מתפרסם באתר הביטוח הלאומי אינו מעודכן ואינו מלא. על הביטוח הלאומי והמשרד לשירותי דת לפעול באופן מתואם יותר בנדון כדי שהנתונים המוצגים לציבור יהיו אמינים ועדכניים.</w:t>
      </w:r>
    </w:p>
    <w:p w:rsidR="00EF45C8" w:rsidP="007E3D48">
      <w:pPr>
        <w:spacing w:line="240" w:lineRule="exact"/>
        <w:ind w:left="340" w:right="2268"/>
        <w:jc w:val="both"/>
        <w:rPr>
          <w:rFonts w:ascii="Tahoma" w:hAnsi="Tahoma" w:cs="Tahoma"/>
          <w:b/>
          <w:bCs/>
          <w:sz w:val="17"/>
          <w:szCs w:val="17"/>
          <w:rtl/>
        </w:rPr>
      </w:pPr>
    </w:p>
    <w:p w:rsidR="00BF070A" w:rsidRPr="00E556CD" w:rsidP="007E3D48">
      <w:pPr>
        <w:spacing w:line="240" w:lineRule="exact"/>
        <w:ind w:left="340" w:right="2268"/>
        <w:jc w:val="both"/>
        <w:rPr>
          <w:rFonts w:ascii="Tahoma" w:hAnsi="Tahoma" w:cs="Tahoma"/>
          <w:b/>
          <w:bCs/>
          <w:sz w:val="17"/>
          <w:szCs w:val="17"/>
          <w:rtl/>
        </w:rPr>
      </w:pPr>
    </w:p>
    <w:p w:rsidR="00EF45C8" w:rsidRPr="00897F3D" w:rsidP="006B7001">
      <w:pPr>
        <w:pStyle w:val="KOT4"/>
        <w:rPr>
          <w:rtl/>
        </w:rPr>
      </w:pPr>
      <w:r w:rsidRPr="00897F3D">
        <w:rPr>
          <w:rFonts w:hint="eastAsia"/>
          <w:rtl/>
        </w:rPr>
        <w:t>תחומי</w:t>
      </w:r>
      <w:r w:rsidRPr="00897F3D">
        <w:rPr>
          <w:rtl/>
        </w:rPr>
        <w:t xml:space="preserve"> </w:t>
      </w:r>
      <w:r>
        <w:rPr>
          <w:rFonts w:hint="cs"/>
          <w:rtl/>
        </w:rPr>
        <w:t>ה</w:t>
      </w:r>
      <w:r w:rsidRPr="00897F3D">
        <w:rPr>
          <w:rFonts w:hint="eastAsia"/>
          <w:rtl/>
        </w:rPr>
        <w:t>סמכות</w:t>
      </w:r>
      <w:r w:rsidRPr="00897F3D">
        <w:rPr>
          <w:rtl/>
        </w:rPr>
        <w:t xml:space="preserve"> </w:t>
      </w:r>
      <w:r w:rsidRPr="00897F3D">
        <w:rPr>
          <w:rFonts w:hint="eastAsia"/>
          <w:rtl/>
        </w:rPr>
        <w:t>ו</w:t>
      </w:r>
      <w:r>
        <w:rPr>
          <w:rFonts w:hint="cs"/>
          <w:rtl/>
        </w:rPr>
        <w:t>ה</w:t>
      </w:r>
      <w:r w:rsidRPr="00897F3D">
        <w:rPr>
          <w:rFonts w:hint="eastAsia"/>
          <w:rtl/>
        </w:rPr>
        <w:t>אחריות</w:t>
      </w:r>
      <w:r w:rsidRPr="00897F3D">
        <w:rPr>
          <w:rtl/>
        </w:rPr>
        <w:t xml:space="preserve"> </w:t>
      </w:r>
      <w:r w:rsidRPr="00897F3D">
        <w:rPr>
          <w:rFonts w:hint="eastAsia"/>
          <w:rtl/>
        </w:rPr>
        <w:t>של</w:t>
      </w:r>
      <w:r w:rsidRPr="00897F3D">
        <w:rPr>
          <w:rtl/>
        </w:rPr>
        <w:t xml:space="preserve"> </w:t>
      </w:r>
      <w:r w:rsidRPr="00897F3D">
        <w:rPr>
          <w:rFonts w:hint="eastAsia"/>
          <w:rtl/>
        </w:rPr>
        <w:t>המשרד</w:t>
      </w:r>
      <w:r w:rsidRPr="00897F3D">
        <w:rPr>
          <w:rtl/>
        </w:rPr>
        <w:t xml:space="preserve"> </w:t>
      </w:r>
      <w:r w:rsidRPr="00897F3D">
        <w:rPr>
          <w:rFonts w:hint="eastAsia"/>
          <w:rtl/>
        </w:rPr>
        <w:t>לשירותי</w:t>
      </w:r>
      <w:r w:rsidRPr="00897F3D">
        <w:rPr>
          <w:rtl/>
        </w:rPr>
        <w:t xml:space="preserve"> </w:t>
      </w:r>
      <w:r w:rsidRPr="00897F3D">
        <w:rPr>
          <w:rFonts w:hint="eastAsia"/>
          <w:rtl/>
        </w:rPr>
        <w:t>דת</w:t>
      </w:r>
      <w:r w:rsidRPr="00897F3D">
        <w:rPr>
          <w:rtl/>
        </w:rPr>
        <w:t xml:space="preserve"> </w:t>
      </w:r>
      <w:r w:rsidRPr="00897F3D">
        <w:rPr>
          <w:rFonts w:hint="eastAsia"/>
          <w:rtl/>
        </w:rPr>
        <w:t>בתחום</w:t>
      </w:r>
      <w:r w:rsidRPr="00897F3D">
        <w:rPr>
          <w:rtl/>
        </w:rPr>
        <w:t xml:space="preserve"> </w:t>
      </w:r>
      <w:r w:rsidRPr="00897F3D">
        <w:rPr>
          <w:rFonts w:hint="eastAsia"/>
          <w:rtl/>
        </w:rPr>
        <w:t>הקבורה</w:t>
      </w:r>
      <w:r w:rsidRPr="00897F3D">
        <w:rPr>
          <w:rtl/>
        </w:rPr>
        <w:t xml:space="preserve"> </w:t>
      </w:r>
      <w:r w:rsidRPr="00897F3D">
        <w:rPr>
          <w:rFonts w:hint="eastAsia"/>
          <w:rtl/>
        </w:rPr>
        <w:t>האזרחית</w:t>
      </w:r>
    </w:p>
    <w:p w:rsidR="00EF45C8" w:rsidRPr="00E556CD" w:rsidP="00E556CD">
      <w:pPr>
        <w:tabs>
          <w:tab w:val="left" w:pos="282"/>
          <w:tab w:val="left" w:pos="565"/>
        </w:tabs>
        <w:spacing w:line="240" w:lineRule="exact"/>
        <w:ind w:right="2268"/>
        <w:jc w:val="both"/>
        <w:rPr>
          <w:rFonts w:ascii="Tahoma" w:hAnsi="Tahoma" w:cs="Tahoma"/>
          <w:sz w:val="17"/>
          <w:szCs w:val="17"/>
        </w:rPr>
      </w:pPr>
      <w:r w:rsidRPr="00E556CD">
        <w:rPr>
          <w:rFonts w:ascii="Tahoma" w:hAnsi="Tahoma" w:cs="Tahoma" w:hint="cs"/>
          <w:sz w:val="17"/>
          <w:szCs w:val="17"/>
          <w:rtl/>
        </w:rPr>
        <w:t>בשנת 1996, המועד שבו נכנס לתוקפו החוק לקבורה אזרחית, נשא המשרד לענייני דתות באחריות ליישומו. באוקטובר 2003, בעקבות החלטת ממשלה</w:t>
      </w:r>
      <w:r>
        <w:rPr>
          <w:rStyle w:val="FootnoteReference0"/>
          <w:rFonts w:ascii="Tahoma" w:hAnsi="Tahoma" w:cs="Tahoma"/>
          <w:sz w:val="17"/>
          <w:szCs w:val="17"/>
          <w:rtl/>
        </w:rPr>
        <w:footnoteReference w:id="31"/>
      </w:r>
      <w:r w:rsidRPr="00E556CD">
        <w:rPr>
          <w:rFonts w:ascii="Tahoma" w:hAnsi="Tahoma" w:cs="Tahoma" w:hint="cs"/>
          <w:sz w:val="17"/>
          <w:szCs w:val="17"/>
          <w:rtl/>
        </w:rPr>
        <w:t>, חלו במשרד שינויים מבניים-ארגוניים: המשרד בוטל, יחידותיו פוזרו בין משרדי ממשלה שונים והוא הוסב לרשות הארצית לשירותי דת שהוכפפה למשרד ראש הממשלה. בינואר 2008 החליטה הממשלה לבטל את הרשות הארצית, להקים מחדש את המשרד ולהחליף את שמו למשרד לשירותי דת.</w:t>
      </w:r>
    </w:p>
    <w:p w:rsidR="00EF45C8" w:rsidRPr="00E556CD" w:rsidP="00E556CD">
      <w:pPr>
        <w:spacing w:line="240" w:lineRule="exact"/>
        <w:ind w:right="2268"/>
        <w:jc w:val="both"/>
        <w:rPr>
          <w:rFonts w:ascii="Tahoma" w:hAnsi="Tahoma" w:cs="Tahoma"/>
          <w:sz w:val="17"/>
          <w:szCs w:val="17"/>
          <w:rtl/>
        </w:rPr>
      </w:pPr>
      <w:r w:rsidRPr="00E556CD">
        <w:rPr>
          <w:rFonts w:ascii="Tahoma" w:hAnsi="Tahoma" w:cs="Tahoma" w:hint="cs"/>
          <w:sz w:val="17"/>
          <w:szCs w:val="17"/>
          <w:rtl/>
        </w:rPr>
        <w:t>כאמור, ביוני 2014, בעקבות החלטת ממשלה 1484, המליצה ועדת המנכ"לים לוועדת השרים שהטיפול בקבורה אזרחית חלופית יישאר בידי המשרד לשירותי דת, בנימוק כי "המשרד לשירותי דת עושה עבודה טובה בכל הקשור לנושא הקבורה האזרחית החלופית".</w:t>
      </w:r>
    </w:p>
    <w:p w:rsidR="00EF45C8" w:rsidRPr="00E556CD" w:rsidP="00E556CD">
      <w:pPr>
        <w:spacing w:line="240" w:lineRule="exact"/>
        <w:ind w:left="-2" w:right="2268"/>
        <w:jc w:val="both"/>
        <w:rPr>
          <w:rFonts w:ascii="Tahoma" w:hAnsi="Tahoma" w:cs="Tahoma"/>
          <w:sz w:val="17"/>
          <w:szCs w:val="17"/>
          <w:rtl/>
        </w:rPr>
      </w:pPr>
      <w:r w:rsidRPr="00E556CD">
        <w:rPr>
          <w:rFonts w:ascii="Tahoma" w:hAnsi="Tahoma" w:cs="Tahoma" w:hint="cs"/>
          <w:sz w:val="17"/>
          <w:szCs w:val="17"/>
          <w:rtl/>
        </w:rPr>
        <w:t>לעומת המלצת ועדת המנכ"לים, במסמך הצוות הבין-משרדי מינואר 2016 צוין כי "האחריות ליישום החוק נתונה אמנם לשר לשירותי דת, אך קיימים קשיים במימוש סמכות זו, בין היתר בשל התשתית הנורמטיבית הקיימת ובהיעדר סמכויות ביצוע והצורך בתיאום מול גופים כמו אגף התקציבים במשרד האוצר, רשות מקרקעי ישראל, מנהל התכנון, משרד הפנים, המוסד לביטוח לאומי, וגופי הקבורה".</w:t>
      </w:r>
    </w:p>
    <w:p w:rsidR="00EF45C8" w:rsidRPr="00E556CD" w:rsidP="00BF070A">
      <w:pPr>
        <w:spacing w:after="240" w:line="240" w:lineRule="exact"/>
        <w:ind w:right="2268"/>
        <w:jc w:val="both"/>
        <w:rPr>
          <w:rFonts w:ascii="Tahoma" w:hAnsi="Tahoma" w:cs="Tahoma"/>
          <w:sz w:val="17"/>
          <w:szCs w:val="17"/>
          <w:rtl/>
        </w:rPr>
      </w:pPr>
      <w:r w:rsidRPr="00E556CD">
        <w:rPr>
          <w:rFonts w:ascii="Tahoma" w:hAnsi="Tahoma" w:cs="Tahoma" w:hint="cs"/>
          <w:sz w:val="17"/>
          <w:szCs w:val="17"/>
          <w:rtl/>
        </w:rPr>
        <w:t>באחד מ</w:t>
      </w:r>
      <w:r w:rsidRPr="00E556CD">
        <w:rPr>
          <w:rFonts w:ascii="Tahoma" w:hAnsi="Tahoma" w:cs="Tahoma"/>
          <w:sz w:val="17"/>
          <w:szCs w:val="17"/>
          <w:rtl/>
        </w:rPr>
        <w:t xml:space="preserve">דיוני ועדת החוקה, חוק ומשפט של הכנסת </w:t>
      </w:r>
      <w:r w:rsidRPr="00E556CD">
        <w:rPr>
          <w:rFonts w:ascii="Tahoma" w:hAnsi="Tahoma" w:cs="Tahoma" w:hint="cs"/>
          <w:sz w:val="17"/>
          <w:szCs w:val="17"/>
          <w:rtl/>
        </w:rPr>
        <w:t>בשנת</w:t>
      </w:r>
      <w:r w:rsidRPr="00E556CD">
        <w:rPr>
          <w:rFonts w:ascii="Tahoma" w:hAnsi="Tahoma" w:cs="Tahoma"/>
          <w:sz w:val="17"/>
          <w:szCs w:val="17"/>
          <w:rtl/>
        </w:rPr>
        <w:t xml:space="preserve"> 1996 לקראת אישור חוק הקבורה האזרחית</w:t>
      </w:r>
      <w:r w:rsidRPr="00E556CD">
        <w:rPr>
          <w:rFonts w:ascii="Tahoma" w:hAnsi="Tahoma" w:cs="Tahoma" w:hint="cs"/>
          <w:sz w:val="17"/>
          <w:szCs w:val="17"/>
          <w:rtl/>
        </w:rPr>
        <w:t xml:space="preserve"> אמר המשנה ליועץ המשפטי לממשלה דאז, עו"ד מני מזוז:</w:t>
      </w:r>
      <w:r w:rsidRPr="00E556CD">
        <w:rPr>
          <w:rFonts w:ascii="Tahoma" w:hAnsi="Tahoma" w:cs="Tahoma"/>
          <w:sz w:val="17"/>
          <w:szCs w:val="17"/>
          <w:rtl/>
        </w:rPr>
        <w:t xml:space="preserve"> "יש </w:t>
      </w:r>
      <w:r w:rsidRPr="00E556CD">
        <w:rPr>
          <w:rFonts w:ascii="Tahoma" w:hAnsi="Tahoma" w:cs="Tahoma"/>
          <w:sz w:val="17"/>
          <w:szCs w:val="17"/>
          <w:rtl/>
        </w:rPr>
        <w:t xml:space="preserve">סתירה פנימית בין הרעיון לבנות מסלול חליפי של קבורה לא דתית לבין העובדה שמטילים את זה על שר </w:t>
      </w:r>
      <w:r w:rsidRPr="00E556CD">
        <w:rPr>
          <w:rFonts w:ascii="Tahoma" w:hAnsi="Tahoma" w:cs="Tahoma" w:hint="cs"/>
          <w:sz w:val="17"/>
          <w:szCs w:val="17"/>
          <w:rtl/>
        </w:rPr>
        <w:t>[לשירותי דת]</w:t>
      </w:r>
      <w:r w:rsidRPr="00E556CD">
        <w:rPr>
          <w:rFonts w:ascii="Tahoma" w:hAnsi="Tahoma" w:cs="Tahoma"/>
          <w:sz w:val="17"/>
          <w:szCs w:val="17"/>
          <w:rtl/>
        </w:rPr>
        <w:t xml:space="preserve">... מצד אחד חשבנו שבכל זאת יש יתרון בכך שהשר </w:t>
      </w:r>
      <w:r w:rsidRPr="00E556CD">
        <w:rPr>
          <w:rFonts w:ascii="Tahoma" w:hAnsi="Tahoma" w:cs="Tahoma" w:hint="cs"/>
          <w:sz w:val="17"/>
          <w:szCs w:val="17"/>
          <w:rtl/>
        </w:rPr>
        <w:t>[לשירותי דת]</w:t>
      </w:r>
      <w:r w:rsidRPr="00E556CD">
        <w:rPr>
          <w:rFonts w:ascii="Tahoma" w:hAnsi="Tahoma" w:cs="Tahoma"/>
          <w:sz w:val="17"/>
          <w:szCs w:val="17"/>
          <w:rtl/>
        </w:rPr>
        <w:t xml:space="preserve"> יעסוק בזה משום שיש כבר אדמיניסטרציה ומנגנון שמטפלים בנושא... יכול להיות שבשלב ראשון הממשלה תטיל את הנושא על שר הדתות, כדי להריץ אותו כמה שיותר מהר. לטווח הארוך אני חושב שזה לא מתאים ששר הדתות יהיה ממונה על הקבורה הלא דתית, יותר ראוי שזה יהיה שר הפנים או שר אחר".</w:t>
      </w:r>
    </w:p>
    <w:p w:rsidR="00EF45C8" w:rsidRPr="00E556CD" w:rsidP="00BF070A">
      <w:pPr>
        <w:pStyle w:val="RESHET"/>
        <w:rPr>
          <w:rtl/>
        </w:rPr>
      </w:pPr>
      <w:r w:rsidRPr="00E556CD">
        <w:rPr>
          <w:rFonts w:hint="cs"/>
          <w:rtl/>
        </w:rPr>
        <w:t>ממצאי הביקורת מלמדים שבמשך השנים כשלו הפעולות שנקטו הגופים הממשלתיים, ובראשם המשרד לשירותי דת, ליישום חוק הקבורה האזרחית, ונושא הקבורה האזרחית לא זכה לקידום של ממש. מכל האמור לעיל עולה כי על הממשלה לבחון מחדש אם המשרד לשירותי דת הוא אכן הגורם המתאים לשאת באחריות ליישומו של חוק זה.</w:t>
      </w:r>
      <w:r w:rsidRPr="00327F3F" w:rsidR="00327F3F">
        <w:rPr>
          <w:noProof/>
          <w:rtl/>
        </w:rPr>
        <w:t xml:space="preserve"> </w:t>
      </w:r>
      <w:r w:rsidRPr="0012789B" w:rsidR="00327F3F">
        <w:rPr>
          <w:noProof/>
          <w:rtl/>
          <w:lang w:eastAsia="en-US"/>
        </w:rPr>
        <mc:AlternateContent>
          <mc:Choice Requires="wps">
            <w:drawing>
              <wp:anchor distT="0" distB="0" distL="114300" distR="114300" simplePos="0" relativeHeight="251670528" behindDoc="1" locked="0" layoutInCell="1" allowOverlap="1">
                <wp:simplePos x="0" y="0"/>
                <wp:positionH relativeFrom="margin">
                  <wp:posOffset>-431800</wp:posOffset>
                </wp:positionH>
                <wp:positionV relativeFrom="margin">
                  <wp:align>top</wp:align>
                </wp:positionV>
                <wp:extent cx="1620000" cy="4140000"/>
                <wp:effectExtent l="0" t="0" r="0" b="0"/>
                <wp:wrapNone/>
                <wp:docPr id="22"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327F3F" w:rsidRPr="00373C5D" w:rsidP="00327F3F">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77160226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991923" name="QUT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327F3F" w:rsidRPr="00881D99" w:rsidP="00327F3F">
                            <w:pPr>
                              <w:spacing w:after="0" w:line="240" w:lineRule="auto"/>
                              <w:rPr>
                                <w:color w:val="0B5294"/>
                                <w:spacing w:val="-4"/>
                                <w:sz w:val="24"/>
                                <w:szCs w:val="24"/>
                                <w:rtl/>
                                <w:cs/>
                              </w:rPr>
                            </w:pPr>
                            <w:r w:rsidRPr="00327F3F">
                              <w:rPr>
                                <w:rFonts w:cs="Tahoma" w:hint="eastAsia"/>
                                <w:color w:val="0B5294"/>
                                <w:spacing w:val="-4"/>
                                <w:sz w:val="24"/>
                                <w:szCs w:val="24"/>
                                <w:rtl/>
                              </w:rPr>
                              <w:t>במשך</w:t>
                            </w:r>
                            <w:r w:rsidRPr="00327F3F">
                              <w:rPr>
                                <w:rFonts w:cs="Tahoma"/>
                                <w:color w:val="0B5294"/>
                                <w:spacing w:val="-4"/>
                                <w:sz w:val="24"/>
                                <w:szCs w:val="24"/>
                                <w:rtl/>
                              </w:rPr>
                              <w:t xml:space="preserve"> </w:t>
                            </w:r>
                            <w:r w:rsidRPr="00327F3F">
                              <w:rPr>
                                <w:rFonts w:cs="Tahoma" w:hint="eastAsia"/>
                                <w:color w:val="0B5294"/>
                                <w:spacing w:val="-4"/>
                                <w:sz w:val="24"/>
                                <w:szCs w:val="24"/>
                                <w:rtl/>
                              </w:rPr>
                              <w:t>השנים</w:t>
                            </w:r>
                            <w:r w:rsidRPr="00327F3F">
                              <w:rPr>
                                <w:rFonts w:cs="Tahoma"/>
                                <w:color w:val="0B5294"/>
                                <w:spacing w:val="-4"/>
                                <w:sz w:val="24"/>
                                <w:szCs w:val="24"/>
                                <w:rtl/>
                              </w:rPr>
                              <w:t xml:space="preserve"> </w:t>
                            </w:r>
                            <w:r w:rsidRPr="00327F3F">
                              <w:rPr>
                                <w:rFonts w:cs="Tahoma" w:hint="eastAsia"/>
                                <w:color w:val="0B5294"/>
                                <w:spacing w:val="-4"/>
                                <w:sz w:val="24"/>
                                <w:szCs w:val="24"/>
                                <w:rtl/>
                              </w:rPr>
                              <w:t>כשלו</w:t>
                            </w:r>
                            <w:r w:rsidRPr="00327F3F">
                              <w:rPr>
                                <w:rFonts w:cs="Tahoma"/>
                                <w:color w:val="0B5294"/>
                                <w:spacing w:val="-4"/>
                                <w:sz w:val="24"/>
                                <w:szCs w:val="24"/>
                                <w:rtl/>
                              </w:rPr>
                              <w:t xml:space="preserve"> </w:t>
                            </w:r>
                            <w:r w:rsidRPr="00327F3F">
                              <w:rPr>
                                <w:rFonts w:cs="Tahoma" w:hint="eastAsia"/>
                                <w:color w:val="0B5294"/>
                                <w:spacing w:val="-4"/>
                                <w:sz w:val="24"/>
                                <w:szCs w:val="24"/>
                                <w:rtl/>
                              </w:rPr>
                              <w:t>הפעולות</w:t>
                            </w:r>
                            <w:r w:rsidRPr="00327F3F">
                              <w:rPr>
                                <w:rFonts w:cs="Tahoma"/>
                                <w:color w:val="0B5294"/>
                                <w:spacing w:val="-4"/>
                                <w:sz w:val="24"/>
                                <w:szCs w:val="24"/>
                                <w:rtl/>
                              </w:rPr>
                              <w:t xml:space="preserve"> </w:t>
                            </w:r>
                            <w:r w:rsidRPr="00327F3F">
                              <w:rPr>
                                <w:rFonts w:cs="Tahoma" w:hint="eastAsia"/>
                                <w:color w:val="0B5294"/>
                                <w:spacing w:val="-4"/>
                                <w:sz w:val="24"/>
                                <w:szCs w:val="24"/>
                                <w:rtl/>
                              </w:rPr>
                              <w:t>שנקטו</w:t>
                            </w:r>
                            <w:r w:rsidRPr="00327F3F">
                              <w:rPr>
                                <w:rFonts w:cs="Tahoma"/>
                                <w:color w:val="0B5294"/>
                                <w:spacing w:val="-4"/>
                                <w:sz w:val="24"/>
                                <w:szCs w:val="24"/>
                                <w:rtl/>
                              </w:rPr>
                              <w:t xml:space="preserve"> </w:t>
                            </w:r>
                            <w:r w:rsidRPr="00327F3F">
                              <w:rPr>
                                <w:rFonts w:cs="Tahoma" w:hint="eastAsia"/>
                                <w:color w:val="0B5294"/>
                                <w:spacing w:val="-4"/>
                                <w:sz w:val="24"/>
                                <w:szCs w:val="24"/>
                                <w:rtl/>
                              </w:rPr>
                              <w:t>הגופים</w:t>
                            </w:r>
                            <w:r w:rsidRPr="00327F3F">
                              <w:rPr>
                                <w:rFonts w:cs="Tahoma"/>
                                <w:color w:val="0B5294"/>
                                <w:spacing w:val="-4"/>
                                <w:sz w:val="24"/>
                                <w:szCs w:val="24"/>
                                <w:rtl/>
                              </w:rPr>
                              <w:t xml:space="preserve"> </w:t>
                            </w:r>
                            <w:r w:rsidRPr="00327F3F">
                              <w:rPr>
                                <w:rFonts w:cs="Tahoma" w:hint="eastAsia"/>
                                <w:color w:val="0B5294"/>
                                <w:spacing w:val="-4"/>
                                <w:sz w:val="24"/>
                                <w:szCs w:val="24"/>
                                <w:rtl/>
                              </w:rPr>
                              <w:t>הממשלתיים</w:t>
                            </w:r>
                            <w:r w:rsidRPr="00327F3F">
                              <w:rPr>
                                <w:rFonts w:cs="Tahoma"/>
                                <w:color w:val="0B5294"/>
                                <w:spacing w:val="-4"/>
                                <w:sz w:val="24"/>
                                <w:szCs w:val="24"/>
                                <w:rtl/>
                              </w:rPr>
                              <w:t xml:space="preserve">, </w:t>
                            </w:r>
                            <w:r w:rsidRPr="00327F3F">
                              <w:rPr>
                                <w:rFonts w:cs="Tahoma" w:hint="eastAsia"/>
                                <w:color w:val="0B5294"/>
                                <w:spacing w:val="-4"/>
                                <w:sz w:val="24"/>
                                <w:szCs w:val="24"/>
                                <w:rtl/>
                              </w:rPr>
                              <w:t>ובראשם</w:t>
                            </w:r>
                            <w:r w:rsidRPr="00327F3F">
                              <w:rPr>
                                <w:rFonts w:cs="Tahoma"/>
                                <w:color w:val="0B5294"/>
                                <w:spacing w:val="-4"/>
                                <w:sz w:val="24"/>
                                <w:szCs w:val="24"/>
                                <w:rtl/>
                              </w:rPr>
                              <w:t xml:space="preserve"> </w:t>
                            </w:r>
                            <w:r w:rsidRPr="00327F3F">
                              <w:rPr>
                                <w:rFonts w:cs="Tahoma" w:hint="eastAsia"/>
                                <w:color w:val="0B5294"/>
                                <w:spacing w:val="-4"/>
                                <w:sz w:val="24"/>
                                <w:szCs w:val="24"/>
                                <w:rtl/>
                              </w:rPr>
                              <w:t>המשרד</w:t>
                            </w:r>
                            <w:r w:rsidRPr="00327F3F">
                              <w:rPr>
                                <w:rFonts w:cs="Tahoma"/>
                                <w:color w:val="0B5294"/>
                                <w:spacing w:val="-4"/>
                                <w:sz w:val="24"/>
                                <w:szCs w:val="24"/>
                                <w:rtl/>
                              </w:rPr>
                              <w:t xml:space="preserve"> </w:t>
                            </w:r>
                            <w:r w:rsidRPr="00327F3F">
                              <w:rPr>
                                <w:rFonts w:cs="Tahoma" w:hint="eastAsia"/>
                                <w:color w:val="0B5294"/>
                                <w:spacing w:val="-4"/>
                                <w:sz w:val="24"/>
                                <w:szCs w:val="24"/>
                                <w:rtl/>
                              </w:rPr>
                              <w:t>לשירותי</w:t>
                            </w:r>
                            <w:r w:rsidRPr="00327F3F">
                              <w:rPr>
                                <w:rFonts w:cs="Tahoma"/>
                                <w:color w:val="0B5294"/>
                                <w:spacing w:val="-4"/>
                                <w:sz w:val="24"/>
                                <w:szCs w:val="24"/>
                                <w:rtl/>
                              </w:rPr>
                              <w:t xml:space="preserve"> </w:t>
                            </w:r>
                            <w:r w:rsidRPr="00327F3F">
                              <w:rPr>
                                <w:rFonts w:cs="Tahoma" w:hint="eastAsia"/>
                                <w:color w:val="0B5294"/>
                                <w:spacing w:val="-4"/>
                                <w:sz w:val="24"/>
                                <w:szCs w:val="24"/>
                                <w:rtl/>
                              </w:rPr>
                              <w:t>דת</w:t>
                            </w:r>
                            <w:r w:rsidRPr="00327F3F">
                              <w:rPr>
                                <w:rFonts w:cs="Tahoma"/>
                                <w:color w:val="0B5294"/>
                                <w:spacing w:val="-4"/>
                                <w:sz w:val="24"/>
                                <w:szCs w:val="24"/>
                                <w:rtl/>
                              </w:rPr>
                              <w:t xml:space="preserve">, </w:t>
                            </w:r>
                            <w:r w:rsidRPr="00327F3F">
                              <w:rPr>
                                <w:rFonts w:cs="Tahoma" w:hint="eastAsia"/>
                                <w:color w:val="0B5294"/>
                                <w:spacing w:val="-4"/>
                                <w:sz w:val="24"/>
                                <w:szCs w:val="24"/>
                                <w:rtl/>
                              </w:rPr>
                              <w:t>ליישום</w:t>
                            </w:r>
                            <w:r w:rsidRPr="00327F3F">
                              <w:rPr>
                                <w:rFonts w:cs="Tahoma"/>
                                <w:color w:val="0B5294"/>
                                <w:spacing w:val="-4"/>
                                <w:sz w:val="24"/>
                                <w:szCs w:val="24"/>
                                <w:rtl/>
                              </w:rPr>
                              <w:t xml:space="preserve"> </w:t>
                            </w:r>
                            <w:r w:rsidRPr="00327F3F">
                              <w:rPr>
                                <w:rFonts w:cs="Tahoma" w:hint="eastAsia"/>
                                <w:color w:val="0B5294"/>
                                <w:spacing w:val="-4"/>
                                <w:sz w:val="24"/>
                                <w:szCs w:val="24"/>
                                <w:rtl/>
                              </w:rPr>
                              <w:t>חוק</w:t>
                            </w:r>
                            <w:r w:rsidRPr="00327F3F">
                              <w:rPr>
                                <w:rFonts w:cs="Tahoma"/>
                                <w:color w:val="0B5294"/>
                                <w:spacing w:val="-4"/>
                                <w:sz w:val="24"/>
                                <w:szCs w:val="24"/>
                                <w:rtl/>
                              </w:rPr>
                              <w:t xml:space="preserve"> </w:t>
                            </w:r>
                            <w:r w:rsidRPr="00327F3F">
                              <w:rPr>
                                <w:rFonts w:cs="Tahoma" w:hint="eastAsia"/>
                                <w:color w:val="0B5294"/>
                                <w:spacing w:val="-4"/>
                                <w:sz w:val="24"/>
                                <w:szCs w:val="24"/>
                                <w:rtl/>
                              </w:rPr>
                              <w:t>הקבורה</w:t>
                            </w:r>
                            <w:r w:rsidRPr="00327F3F">
                              <w:rPr>
                                <w:rFonts w:cs="Tahoma"/>
                                <w:color w:val="0B5294"/>
                                <w:spacing w:val="-4"/>
                                <w:sz w:val="24"/>
                                <w:szCs w:val="24"/>
                                <w:rtl/>
                              </w:rPr>
                              <w:t xml:space="preserve"> </w:t>
                            </w:r>
                            <w:r w:rsidRPr="00327F3F">
                              <w:rPr>
                                <w:rFonts w:cs="Tahoma" w:hint="eastAsia"/>
                                <w:color w:val="0B5294"/>
                                <w:spacing w:val="-4"/>
                                <w:sz w:val="24"/>
                                <w:szCs w:val="24"/>
                                <w:rtl/>
                              </w:rPr>
                              <w:t>האזרחית</w:t>
                            </w:r>
                            <w:r w:rsidRPr="00327F3F">
                              <w:rPr>
                                <w:rFonts w:cs="Tahoma"/>
                                <w:color w:val="0B5294"/>
                                <w:spacing w:val="-4"/>
                                <w:sz w:val="24"/>
                                <w:szCs w:val="24"/>
                                <w:rtl/>
                              </w:rPr>
                              <w:t xml:space="preserve">, </w:t>
                            </w:r>
                            <w:r w:rsidRPr="00327F3F">
                              <w:rPr>
                                <w:rFonts w:cs="Tahoma" w:hint="eastAsia"/>
                                <w:color w:val="0B5294"/>
                                <w:spacing w:val="-4"/>
                                <w:sz w:val="24"/>
                                <w:szCs w:val="24"/>
                                <w:rtl/>
                              </w:rPr>
                              <w:t>ונושא</w:t>
                            </w:r>
                            <w:r w:rsidRPr="00327F3F">
                              <w:rPr>
                                <w:rFonts w:cs="Tahoma"/>
                                <w:color w:val="0B5294"/>
                                <w:spacing w:val="-4"/>
                                <w:sz w:val="24"/>
                                <w:szCs w:val="24"/>
                                <w:rtl/>
                              </w:rPr>
                              <w:t xml:space="preserve"> </w:t>
                            </w:r>
                            <w:r w:rsidRPr="00327F3F">
                              <w:rPr>
                                <w:rFonts w:cs="Tahoma" w:hint="eastAsia"/>
                                <w:color w:val="0B5294"/>
                                <w:spacing w:val="-4"/>
                                <w:sz w:val="24"/>
                                <w:szCs w:val="24"/>
                                <w:rtl/>
                              </w:rPr>
                              <w:t>הקבורה</w:t>
                            </w:r>
                            <w:r w:rsidRPr="00327F3F">
                              <w:rPr>
                                <w:rFonts w:cs="Tahoma"/>
                                <w:color w:val="0B5294"/>
                                <w:spacing w:val="-4"/>
                                <w:sz w:val="24"/>
                                <w:szCs w:val="24"/>
                                <w:rtl/>
                              </w:rPr>
                              <w:t xml:space="preserve"> </w:t>
                            </w:r>
                            <w:r w:rsidRPr="00327F3F">
                              <w:rPr>
                                <w:rFonts w:cs="Tahoma" w:hint="eastAsia"/>
                                <w:color w:val="0B5294"/>
                                <w:spacing w:val="-4"/>
                                <w:sz w:val="24"/>
                                <w:szCs w:val="24"/>
                                <w:rtl/>
                              </w:rPr>
                              <w:t>האזרחית</w:t>
                            </w:r>
                            <w:r w:rsidRPr="00327F3F">
                              <w:rPr>
                                <w:rFonts w:cs="Tahoma"/>
                                <w:color w:val="0B5294"/>
                                <w:spacing w:val="-4"/>
                                <w:sz w:val="24"/>
                                <w:szCs w:val="24"/>
                                <w:rtl/>
                              </w:rPr>
                              <w:t xml:space="preserve"> </w:t>
                            </w:r>
                            <w:r w:rsidRPr="00327F3F">
                              <w:rPr>
                                <w:rFonts w:cs="Tahoma" w:hint="eastAsia"/>
                                <w:color w:val="0B5294"/>
                                <w:spacing w:val="-4"/>
                                <w:sz w:val="24"/>
                                <w:szCs w:val="24"/>
                                <w:rtl/>
                              </w:rPr>
                              <w:t>לא</w:t>
                            </w:r>
                            <w:r w:rsidRPr="00327F3F">
                              <w:rPr>
                                <w:rFonts w:cs="Tahoma"/>
                                <w:color w:val="0B5294"/>
                                <w:spacing w:val="-4"/>
                                <w:sz w:val="24"/>
                                <w:szCs w:val="24"/>
                                <w:rtl/>
                              </w:rPr>
                              <w:t xml:space="preserve"> </w:t>
                            </w:r>
                            <w:r w:rsidRPr="00327F3F">
                              <w:rPr>
                                <w:rFonts w:cs="Tahoma" w:hint="eastAsia"/>
                                <w:color w:val="0B5294"/>
                                <w:spacing w:val="-4"/>
                                <w:sz w:val="24"/>
                                <w:szCs w:val="24"/>
                                <w:rtl/>
                              </w:rPr>
                              <w:t>זכה</w:t>
                            </w:r>
                            <w:r w:rsidRPr="00327F3F">
                              <w:rPr>
                                <w:rFonts w:cs="Tahoma"/>
                                <w:color w:val="0B5294"/>
                                <w:spacing w:val="-4"/>
                                <w:sz w:val="24"/>
                                <w:szCs w:val="24"/>
                                <w:rtl/>
                              </w:rPr>
                              <w:t xml:space="preserve"> </w:t>
                            </w:r>
                            <w:r w:rsidRPr="00327F3F">
                              <w:rPr>
                                <w:rFonts w:cs="Tahoma" w:hint="eastAsia"/>
                                <w:color w:val="0B5294"/>
                                <w:spacing w:val="-4"/>
                                <w:sz w:val="24"/>
                                <w:szCs w:val="24"/>
                                <w:rtl/>
                              </w:rPr>
                              <w:t>לקידום</w:t>
                            </w:r>
                            <w:r w:rsidRPr="00327F3F">
                              <w:rPr>
                                <w:rFonts w:cs="Tahoma"/>
                                <w:color w:val="0B5294"/>
                                <w:spacing w:val="-4"/>
                                <w:sz w:val="24"/>
                                <w:szCs w:val="24"/>
                                <w:rtl/>
                              </w:rPr>
                              <w:t xml:space="preserve"> </w:t>
                            </w:r>
                            <w:r w:rsidRPr="00327F3F">
                              <w:rPr>
                                <w:rFonts w:cs="Tahoma" w:hint="eastAsia"/>
                                <w:color w:val="0B5294"/>
                                <w:spacing w:val="-4"/>
                                <w:sz w:val="24"/>
                                <w:szCs w:val="24"/>
                                <w:rtl/>
                              </w:rPr>
                              <w:t>של</w:t>
                            </w:r>
                            <w:r w:rsidRPr="00327F3F">
                              <w:rPr>
                                <w:rFonts w:cs="Tahoma"/>
                                <w:color w:val="0B5294"/>
                                <w:spacing w:val="-4"/>
                                <w:sz w:val="24"/>
                                <w:szCs w:val="24"/>
                                <w:rtl/>
                              </w:rPr>
                              <w:t xml:space="preserve"> </w:t>
                            </w:r>
                            <w:r w:rsidRPr="00327F3F">
                              <w:rPr>
                                <w:rFonts w:cs="Tahoma" w:hint="eastAsia"/>
                                <w:color w:val="0B5294"/>
                                <w:spacing w:val="-4"/>
                                <w:sz w:val="24"/>
                                <w:szCs w:val="24"/>
                                <w:rtl/>
                              </w:rPr>
                              <w:t>ממש</w:t>
                            </w:r>
                          </w:p>
                          <w:p w:rsidR="00327F3F" w:rsidRPr="00373C5D" w:rsidP="00327F3F">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208198938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650303" name="lin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1"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4928" filled="f" stroked="f">
                <v:textbox>
                  <w:txbxContent>
                    <w:p w:rsidR="00327F3F" w:rsidRPr="00373C5D" w:rsidP="00327F3F">
                      <w:pPr>
                        <w:spacing w:line="240" w:lineRule="atLeast"/>
                        <w:rPr>
                          <w:rFonts w:cs="Tahoma"/>
                          <w:b/>
                          <w:bCs/>
                          <w:color w:val="0B5294"/>
                          <w:sz w:val="48"/>
                          <w:szCs w:val="48"/>
                          <w:rtl/>
                        </w:rPr>
                      </w:pPr>
                      <w:drawing>
                        <wp:inline distT="0" distB="0" distL="0" distR="0">
                          <wp:extent cx="311150" cy="256800"/>
                          <wp:effectExtent l="0" t="0" r="0" b="0"/>
                          <wp:docPr id="2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60289" name="QUT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327F3F" w:rsidRPr="00881D99" w:rsidP="00327F3F">
                      <w:pPr>
                        <w:spacing w:after="0" w:line="240" w:lineRule="auto"/>
                        <w:rPr>
                          <w:color w:val="0B5294"/>
                          <w:spacing w:val="-4"/>
                          <w:sz w:val="24"/>
                          <w:szCs w:val="24"/>
                          <w:rtl/>
                          <w:cs/>
                        </w:rPr>
                      </w:pPr>
                      <w:r w:rsidRPr="00327F3F">
                        <w:rPr>
                          <w:rFonts w:cs="Tahoma" w:hint="eastAsia"/>
                          <w:color w:val="0B5294"/>
                          <w:spacing w:val="-4"/>
                          <w:sz w:val="24"/>
                          <w:szCs w:val="24"/>
                          <w:rtl/>
                        </w:rPr>
                        <w:t>במשך</w:t>
                      </w:r>
                      <w:r w:rsidRPr="00327F3F">
                        <w:rPr>
                          <w:rFonts w:cs="Tahoma"/>
                          <w:color w:val="0B5294"/>
                          <w:spacing w:val="-4"/>
                          <w:sz w:val="24"/>
                          <w:szCs w:val="24"/>
                          <w:rtl/>
                        </w:rPr>
                        <w:t xml:space="preserve"> </w:t>
                      </w:r>
                      <w:r w:rsidRPr="00327F3F">
                        <w:rPr>
                          <w:rFonts w:cs="Tahoma" w:hint="eastAsia"/>
                          <w:color w:val="0B5294"/>
                          <w:spacing w:val="-4"/>
                          <w:sz w:val="24"/>
                          <w:szCs w:val="24"/>
                          <w:rtl/>
                        </w:rPr>
                        <w:t>השנים</w:t>
                      </w:r>
                      <w:r w:rsidRPr="00327F3F">
                        <w:rPr>
                          <w:rFonts w:cs="Tahoma"/>
                          <w:color w:val="0B5294"/>
                          <w:spacing w:val="-4"/>
                          <w:sz w:val="24"/>
                          <w:szCs w:val="24"/>
                          <w:rtl/>
                        </w:rPr>
                        <w:t xml:space="preserve"> </w:t>
                      </w:r>
                      <w:r w:rsidRPr="00327F3F">
                        <w:rPr>
                          <w:rFonts w:cs="Tahoma" w:hint="eastAsia"/>
                          <w:color w:val="0B5294"/>
                          <w:spacing w:val="-4"/>
                          <w:sz w:val="24"/>
                          <w:szCs w:val="24"/>
                          <w:rtl/>
                        </w:rPr>
                        <w:t>כשלו</w:t>
                      </w:r>
                      <w:r w:rsidRPr="00327F3F">
                        <w:rPr>
                          <w:rFonts w:cs="Tahoma"/>
                          <w:color w:val="0B5294"/>
                          <w:spacing w:val="-4"/>
                          <w:sz w:val="24"/>
                          <w:szCs w:val="24"/>
                          <w:rtl/>
                        </w:rPr>
                        <w:t xml:space="preserve"> </w:t>
                      </w:r>
                      <w:r w:rsidRPr="00327F3F">
                        <w:rPr>
                          <w:rFonts w:cs="Tahoma" w:hint="eastAsia"/>
                          <w:color w:val="0B5294"/>
                          <w:spacing w:val="-4"/>
                          <w:sz w:val="24"/>
                          <w:szCs w:val="24"/>
                          <w:rtl/>
                        </w:rPr>
                        <w:t>הפעולות</w:t>
                      </w:r>
                      <w:r w:rsidRPr="00327F3F">
                        <w:rPr>
                          <w:rFonts w:cs="Tahoma"/>
                          <w:color w:val="0B5294"/>
                          <w:spacing w:val="-4"/>
                          <w:sz w:val="24"/>
                          <w:szCs w:val="24"/>
                          <w:rtl/>
                        </w:rPr>
                        <w:t xml:space="preserve"> </w:t>
                      </w:r>
                      <w:r w:rsidRPr="00327F3F">
                        <w:rPr>
                          <w:rFonts w:cs="Tahoma" w:hint="eastAsia"/>
                          <w:color w:val="0B5294"/>
                          <w:spacing w:val="-4"/>
                          <w:sz w:val="24"/>
                          <w:szCs w:val="24"/>
                          <w:rtl/>
                        </w:rPr>
                        <w:t>שנקטו</w:t>
                      </w:r>
                      <w:r w:rsidRPr="00327F3F">
                        <w:rPr>
                          <w:rFonts w:cs="Tahoma"/>
                          <w:color w:val="0B5294"/>
                          <w:spacing w:val="-4"/>
                          <w:sz w:val="24"/>
                          <w:szCs w:val="24"/>
                          <w:rtl/>
                        </w:rPr>
                        <w:t xml:space="preserve"> </w:t>
                      </w:r>
                      <w:r w:rsidRPr="00327F3F">
                        <w:rPr>
                          <w:rFonts w:cs="Tahoma" w:hint="eastAsia"/>
                          <w:color w:val="0B5294"/>
                          <w:spacing w:val="-4"/>
                          <w:sz w:val="24"/>
                          <w:szCs w:val="24"/>
                          <w:rtl/>
                        </w:rPr>
                        <w:t>הגופים</w:t>
                      </w:r>
                      <w:r w:rsidRPr="00327F3F">
                        <w:rPr>
                          <w:rFonts w:cs="Tahoma"/>
                          <w:color w:val="0B5294"/>
                          <w:spacing w:val="-4"/>
                          <w:sz w:val="24"/>
                          <w:szCs w:val="24"/>
                          <w:rtl/>
                        </w:rPr>
                        <w:t xml:space="preserve"> </w:t>
                      </w:r>
                      <w:r w:rsidRPr="00327F3F">
                        <w:rPr>
                          <w:rFonts w:cs="Tahoma" w:hint="eastAsia"/>
                          <w:color w:val="0B5294"/>
                          <w:spacing w:val="-4"/>
                          <w:sz w:val="24"/>
                          <w:szCs w:val="24"/>
                          <w:rtl/>
                        </w:rPr>
                        <w:t>הממשלתיים</w:t>
                      </w:r>
                      <w:r w:rsidRPr="00327F3F">
                        <w:rPr>
                          <w:rFonts w:cs="Tahoma"/>
                          <w:color w:val="0B5294"/>
                          <w:spacing w:val="-4"/>
                          <w:sz w:val="24"/>
                          <w:szCs w:val="24"/>
                          <w:rtl/>
                        </w:rPr>
                        <w:t xml:space="preserve">, </w:t>
                      </w:r>
                      <w:r w:rsidRPr="00327F3F">
                        <w:rPr>
                          <w:rFonts w:cs="Tahoma" w:hint="eastAsia"/>
                          <w:color w:val="0B5294"/>
                          <w:spacing w:val="-4"/>
                          <w:sz w:val="24"/>
                          <w:szCs w:val="24"/>
                          <w:rtl/>
                        </w:rPr>
                        <w:t>ובראשם</w:t>
                      </w:r>
                      <w:r w:rsidRPr="00327F3F">
                        <w:rPr>
                          <w:rFonts w:cs="Tahoma"/>
                          <w:color w:val="0B5294"/>
                          <w:spacing w:val="-4"/>
                          <w:sz w:val="24"/>
                          <w:szCs w:val="24"/>
                          <w:rtl/>
                        </w:rPr>
                        <w:t xml:space="preserve"> </w:t>
                      </w:r>
                      <w:r w:rsidRPr="00327F3F">
                        <w:rPr>
                          <w:rFonts w:cs="Tahoma" w:hint="eastAsia"/>
                          <w:color w:val="0B5294"/>
                          <w:spacing w:val="-4"/>
                          <w:sz w:val="24"/>
                          <w:szCs w:val="24"/>
                          <w:rtl/>
                        </w:rPr>
                        <w:t>המשרד</w:t>
                      </w:r>
                      <w:r w:rsidRPr="00327F3F">
                        <w:rPr>
                          <w:rFonts w:cs="Tahoma"/>
                          <w:color w:val="0B5294"/>
                          <w:spacing w:val="-4"/>
                          <w:sz w:val="24"/>
                          <w:szCs w:val="24"/>
                          <w:rtl/>
                        </w:rPr>
                        <w:t xml:space="preserve"> </w:t>
                      </w:r>
                      <w:r w:rsidRPr="00327F3F">
                        <w:rPr>
                          <w:rFonts w:cs="Tahoma" w:hint="eastAsia"/>
                          <w:color w:val="0B5294"/>
                          <w:spacing w:val="-4"/>
                          <w:sz w:val="24"/>
                          <w:szCs w:val="24"/>
                          <w:rtl/>
                        </w:rPr>
                        <w:t>לשירותי</w:t>
                      </w:r>
                      <w:r w:rsidRPr="00327F3F">
                        <w:rPr>
                          <w:rFonts w:cs="Tahoma"/>
                          <w:color w:val="0B5294"/>
                          <w:spacing w:val="-4"/>
                          <w:sz w:val="24"/>
                          <w:szCs w:val="24"/>
                          <w:rtl/>
                        </w:rPr>
                        <w:t xml:space="preserve"> </w:t>
                      </w:r>
                      <w:r w:rsidRPr="00327F3F">
                        <w:rPr>
                          <w:rFonts w:cs="Tahoma" w:hint="eastAsia"/>
                          <w:color w:val="0B5294"/>
                          <w:spacing w:val="-4"/>
                          <w:sz w:val="24"/>
                          <w:szCs w:val="24"/>
                          <w:rtl/>
                        </w:rPr>
                        <w:t>דת</w:t>
                      </w:r>
                      <w:r w:rsidRPr="00327F3F">
                        <w:rPr>
                          <w:rFonts w:cs="Tahoma"/>
                          <w:color w:val="0B5294"/>
                          <w:spacing w:val="-4"/>
                          <w:sz w:val="24"/>
                          <w:szCs w:val="24"/>
                          <w:rtl/>
                        </w:rPr>
                        <w:t xml:space="preserve">, </w:t>
                      </w:r>
                      <w:r w:rsidRPr="00327F3F">
                        <w:rPr>
                          <w:rFonts w:cs="Tahoma" w:hint="eastAsia"/>
                          <w:color w:val="0B5294"/>
                          <w:spacing w:val="-4"/>
                          <w:sz w:val="24"/>
                          <w:szCs w:val="24"/>
                          <w:rtl/>
                        </w:rPr>
                        <w:t>ליישום</w:t>
                      </w:r>
                      <w:r w:rsidRPr="00327F3F">
                        <w:rPr>
                          <w:rFonts w:cs="Tahoma"/>
                          <w:color w:val="0B5294"/>
                          <w:spacing w:val="-4"/>
                          <w:sz w:val="24"/>
                          <w:szCs w:val="24"/>
                          <w:rtl/>
                        </w:rPr>
                        <w:t xml:space="preserve"> </w:t>
                      </w:r>
                      <w:r w:rsidRPr="00327F3F">
                        <w:rPr>
                          <w:rFonts w:cs="Tahoma" w:hint="eastAsia"/>
                          <w:color w:val="0B5294"/>
                          <w:spacing w:val="-4"/>
                          <w:sz w:val="24"/>
                          <w:szCs w:val="24"/>
                          <w:rtl/>
                        </w:rPr>
                        <w:t>חוק</w:t>
                      </w:r>
                      <w:r w:rsidRPr="00327F3F">
                        <w:rPr>
                          <w:rFonts w:cs="Tahoma"/>
                          <w:color w:val="0B5294"/>
                          <w:spacing w:val="-4"/>
                          <w:sz w:val="24"/>
                          <w:szCs w:val="24"/>
                          <w:rtl/>
                        </w:rPr>
                        <w:t xml:space="preserve"> </w:t>
                      </w:r>
                      <w:r w:rsidRPr="00327F3F">
                        <w:rPr>
                          <w:rFonts w:cs="Tahoma" w:hint="eastAsia"/>
                          <w:color w:val="0B5294"/>
                          <w:spacing w:val="-4"/>
                          <w:sz w:val="24"/>
                          <w:szCs w:val="24"/>
                          <w:rtl/>
                        </w:rPr>
                        <w:t>הקבורה</w:t>
                      </w:r>
                      <w:r w:rsidRPr="00327F3F">
                        <w:rPr>
                          <w:rFonts w:cs="Tahoma"/>
                          <w:color w:val="0B5294"/>
                          <w:spacing w:val="-4"/>
                          <w:sz w:val="24"/>
                          <w:szCs w:val="24"/>
                          <w:rtl/>
                        </w:rPr>
                        <w:t xml:space="preserve"> </w:t>
                      </w:r>
                      <w:r w:rsidRPr="00327F3F">
                        <w:rPr>
                          <w:rFonts w:cs="Tahoma" w:hint="eastAsia"/>
                          <w:color w:val="0B5294"/>
                          <w:spacing w:val="-4"/>
                          <w:sz w:val="24"/>
                          <w:szCs w:val="24"/>
                          <w:rtl/>
                        </w:rPr>
                        <w:t>האזרחית</w:t>
                      </w:r>
                      <w:r w:rsidRPr="00327F3F">
                        <w:rPr>
                          <w:rFonts w:cs="Tahoma"/>
                          <w:color w:val="0B5294"/>
                          <w:spacing w:val="-4"/>
                          <w:sz w:val="24"/>
                          <w:szCs w:val="24"/>
                          <w:rtl/>
                        </w:rPr>
                        <w:t xml:space="preserve">, </w:t>
                      </w:r>
                      <w:r w:rsidRPr="00327F3F">
                        <w:rPr>
                          <w:rFonts w:cs="Tahoma" w:hint="eastAsia"/>
                          <w:color w:val="0B5294"/>
                          <w:spacing w:val="-4"/>
                          <w:sz w:val="24"/>
                          <w:szCs w:val="24"/>
                          <w:rtl/>
                        </w:rPr>
                        <w:t>ונושא</w:t>
                      </w:r>
                      <w:r w:rsidRPr="00327F3F">
                        <w:rPr>
                          <w:rFonts w:cs="Tahoma"/>
                          <w:color w:val="0B5294"/>
                          <w:spacing w:val="-4"/>
                          <w:sz w:val="24"/>
                          <w:szCs w:val="24"/>
                          <w:rtl/>
                        </w:rPr>
                        <w:t xml:space="preserve"> </w:t>
                      </w:r>
                      <w:r w:rsidRPr="00327F3F">
                        <w:rPr>
                          <w:rFonts w:cs="Tahoma" w:hint="eastAsia"/>
                          <w:color w:val="0B5294"/>
                          <w:spacing w:val="-4"/>
                          <w:sz w:val="24"/>
                          <w:szCs w:val="24"/>
                          <w:rtl/>
                        </w:rPr>
                        <w:t>הקבורה</w:t>
                      </w:r>
                      <w:r w:rsidRPr="00327F3F">
                        <w:rPr>
                          <w:rFonts w:cs="Tahoma"/>
                          <w:color w:val="0B5294"/>
                          <w:spacing w:val="-4"/>
                          <w:sz w:val="24"/>
                          <w:szCs w:val="24"/>
                          <w:rtl/>
                        </w:rPr>
                        <w:t xml:space="preserve"> </w:t>
                      </w:r>
                      <w:r w:rsidRPr="00327F3F">
                        <w:rPr>
                          <w:rFonts w:cs="Tahoma" w:hint="eastAsia"/>
                          <w:color w:val="0B5294"/>
                          <w:spacing w:val="-4"/>
                          <w:sz w:val="24"/>
                          <w:szCs w:val="24"/>
                          <w:rtl/>
                        </w:rPr>
                        <w:t>האזרחית</w:t>
                      </w:r>
                      <w:r w:rsidRPr="00327F3F">
                        <w:rPr>
                          <w:rFonts w:cs="Tahoma"/>
                          <w:color w:val="0B5294"/>
                          <w:spacing w:val="-4"/>
                          <w:sz w:val="24"/>
                          <w:szCs w:val="24"/>
                          <w:rtl/>
                        </w:rPr>
                        <w:t xml:space="preserve"> </w:t>
                      </w:r>
                      <w:r w:rsidRPr="00327F3F">
                        <w:rPr>
                          <w:rFonts w:cs="Tahoma" w:hint="eastAsia"/>
                          <w:color w:val="0B5294"/>
                          <w:spacing w:val="-4"/>
                          <w:sz w:val="24"/>
                          <w:szCs w:val="24"/>
                          <w:rtl/>
                        </w:rPr>
                        <w:t>לא</w:t>
                      </w:r>
                      <w:r w:rsidRPr="00327F3F">
                        <w:rPr>
                          <w:rFonts w:cs="Tahoma"/>
                          <w:color w:val="0B5294"/>
                          <w:spacing w:val="-4"/>
                          <w:sz w:val="24"/>
                          <w:szCs w:val="24"/>
                          <w:rtl/>
                        </w:rPr>
                        <w:t xml:space="preserve"> </w:t>
                      </w:r>
                      <w:r w:rsidRPr="00327F3F">
                        <w:rPr>
                          <w:rFonts w:cs="Tahoma" w:hint="eastAsia"/>
                          <w:color w:val="0B5294"/>
                          <w:spacing w:val="-4"/>
                          <w:sz w:val="24"/>
                          <w:szCs w:val="24"/>
                          <w:rtl/>
                        </w:rPr>
                        <w:t>זכה</w:t>
                      </w:r>
                      <w:r w:rsidRPr="00327F3F">
                        <w:rPr>
                          <w:rFonts w:cs="Tahoma"/>
                          <w:color w:val="0B5294"/>
                          <w:spacing w:val="-4"/>
                          <w:sz w:val="24"/>
                          <w:szCs w:val="24"/>
                          <w:rtl/>
                        </w:rPr>
                        <w:t xml:space="preserve"> </w:t>
                      </w:r>
                      <w:r w:rsidRPr="00327F3F">
                        <w:rPr>
                          <w:rFonts w:cs="Tahoma" w:hint="eastAsia"/>
                          <w:color w:val="0B5294"/>
                          <w:spacing w:val="-4"/>
                          <w:sz w:val="24"/>
                          <w:szCs w:val="24"/>
                          <w:rtl/>
                        </w:rPr>
                        <w:t>לקידום</w:t>
                      </w:r>
                      <w:r w:rsidRPr="00327F3F">
                        <w:rPr>
                          <w:rFonts w:cs="Tahoma"/>
                          <w:color w:val="0B5294"/>
                          <w:spacing w:val="-4"/>
                          <w:sz w:val="24"/>
                          <w:szCs w:val="24"/>
                          <w:rtl/>
                        </w:rPr>
                        <w:t xml:space="preserve"> </w:t>
                      </w:r>
                      <w:r w:rsidRPr="00327F3F">
                        <w:rPr>
                          <w:rFonts w:cs="Tahoma" w:hint="eastAsia"/>
                          <w:color w:val="0B5294"/>
                          <w:spacing w:val="-4"/>
                          <w:sz w:val="24"/>
                          <w:szCs w:val="24"/>
                          <w:rtl/>
                        </w:rPr>
                        <w:t>של</w:t>
                      </w:r>
                      <w:r w:rsidRPr="00327F3F">
                        <w:rPr>
                          <w:rFonts w:cs="Tahoma"/>
                          <w:color w:val="0B5294"/>
                          <w:spacing w:val="-4"/>
                          <w:sz w:val="24"/>
                          <w:szCs w:val="24"/>
                          <w:rtl/>
                        </w:rPr>
                        <w:t xml:space="preserve"> </w:t>
                      </w:r>
                      <w:r w:rsidRPr="00327F3F">
                        <w:rPr>
                          <w:rFonts w:cs="Tahoma" w:hint="eastAsia"/>
                          <w:color w:val="0B5294"/>
                          <w:spacing w:val="-4"/>
                          <w:sz w:val="24"/>
                          <w:szCs w:val="24"/>
                          <w:rtl/>
                        </w:rPr>
                        <w:t>ממש</w:t>
                      </w:r>
                    </w:p>
                    <w:p w:rsidR="00327F3F" w:rsidRPr="00373C5D" w:rsidP="00327F3F">
                      <w:pPr>
                        <w:spacing w:before="120" w:after="0" w:line="240" w:lineRule="atLeast"/>
                        <w:rPr>
                          <w:rFonts w:cs="Tahoma"/>
                          <w:b/>
                          <w:bCs/>
                          <w:color w:val="0B5294"/>
                          <w:sz w:val="48"/>
                          <w:szCs w:val="48"/>
                          <w:rtl/>
                        </w:rPr>
                      </w:pPr>
                      <w:drawing>
                        <wp:inline distT="0" distB="0" distL="0" distR="0">
                          <wp:extent cx="288000" cy="31337"/>
                          <wp:effectExtent l="0" t="0" r="0" b="6985"/>
                          <wp:docPr id="24"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507212" name="line.png"/>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EF45C8" w:rsidRPr="00E556CD" w:rsidP="00BF070A">
      <w:pPr>
        <w:spacing w:before="180" w:line="240" w:lineRule="exact"/>
        <w:ind w:left="-2" w:right="2268"/>
        <w:jc w:val="both"/>
        <w:rPr>
          <w:rFonts w:ascii="Tahoma" w:hAnsi="Tahoma" w:cs="Tahoma"/>
          <w:sz w:val="17"/>
          <w:szCs w:val="17"/>
          <w:rtl/>
        </w:rPr>
      </w:pPr>
      <w:r w:rsidRPr="00E556CD">
        <w:rPr>
          <w:rFonts w:ascii="Tahoma" w:hAnsi="Tahoma" w:cs="Tahoma" w:hint="cs"/>
          <w:sz w:val="17"/>
          <w:szCs w:val="17"/>
          <w:rtl/>
        </w:rPr>
        <w:t>המשרד לשירותי דת השיב כי מרב הידע הנוגע לנוהלי הקבורה נמצא כיום בידיו, ולמרות מאמציו, המשרדים האחרים מתנגדים להעביר את סמכויותיהם בתחום הקבורה אליו. כמו כן מסר המשרד כי אם הסמכויות המוקנות לו מתוקף החוק שהוא מופקד על יישומו יישארו ריקות מתוכן ואותם משרדים לא יעבירו אליו את הסמכויות הנדרשות, לא ניתן יהיה לחולל שינוי משמעותי במתן שירותי הקבורה, לרבות שירותי הקבורה האזרחית.</w:t>
      </w:r>
    </w:p>
    <w:p w:rsidR="00EF45C8" w:rsidRPr="00E556CD" w:rsidP="00BF070A">
      <w:pPr>
        <w:spacing w:after="240" w:line="240" w:lineRule="exact"/>
        <w:ind w:right="2268"/>
        <w:jc w:val="both"/>
        <w:rPr>
          <w:rFonts w:ascii="Tahoma" w:hAnsi="Tahoma" w:cs="Tahoma"/>
          <w:sz w:val="17"/>
          <w:szCs w:val="17"/>
          <w:rtl/>
        </w:rPr>
      </w:pPr>
      <w:r w:rsidRPr="00E556CD">
        <w:rPr>
          <w:rFonts w:ascii="Tahoma" w:hAnsi="Tahoma" w:cs="Tahoma" w:hint="cs"/>
          <w:sz w:val="17"/>
          <w:szCs w:val="17"/>
          <w:rtl/>
        </w:rPr>
        <w:t>המשרד לשירותי דת ציין כי בשנים האחרונות הוא השקיע מאמצים רבים לטיפול בנושא הקבורה האזרחית, ובזכות זאת הושג שיפור של ממש בנושא - חל גידול ניכר בהיקף הפתרונות לקבורה האזרחית מבחינת מספר בתי העלמין האזרחיים ומבחינת הפריסה האזורית שלהם. עוד ציין המשרד כי בכוונתו להמשיך במגמת השיפור, ובכלל זה בכוונתו להשלים את פריסת בתי העלמין האזרחיים ברחבי הארץ בשנים הקרובות. המשרד הוסיף כי היקף התשומות המוקצות לקבורה האזרחית גדול בהרבה מחלקו היחסי של הביקוש לה, כי יחסית לשאר גופי הממשלה עומדים לרשותו הידע והמומחיות הרבים ביותר בנושא זה, וכי הוא ימשיך לפעול לקבלת המשאבים, הסמכויות והתשתית החוקית המתאימה הנדרשים ליישום חוק הקבורה האזרחית.</w:t>
      </w:r>
    </w:p>
    <w:p w:rsidR="00EF45C8" w:rsidRPr="00E556CD" w:rsidP="00BF070A">
      <w:pPr>
        <w:pStyle w:val="RESHET"/>
        <w:rPr>
          <w:rtl/>
        </w:rPr>
      </w:pPr>
      <w:bookmarkStart w:id="5" w:name="tempMark"/>
      <w:bookmarkEnd w:id="5"/>
      <w:r w:rsidRPr="00E556CD">
        <w:rPr>
          <w:rFonts w:hint="cs"/>
          <w:rtl/>
        </w:rPr>
        <w:t>משרד מבקר המדינה מעיר למשרד לשירותי דת כי גם בתחום הקבורה היהודית לא מופקדות בידיו כל הסמכויות הנוגעות בדבר, כגון הסמכות להקצות קרקע; מכל מקום, אם לדעתו נדרשים שינויים כלשהם בנושא, אזי בתור הגורם שאחראי לתחום על פי חוק, עליו לפעול בנחישות הראויה מול מקבלי ההחלטות על מנת לקדם את השינויים הנדרשים לצורך מילוי תפקידו. עד אז, על המשרד לנסות לפעול בתיאום המרבי עם בעלי הסמכויות האחרים, ובוודאי שלא ראוי שהוא יאפשר עיכובים כה משמעותיים בקידום העניין וביישום החלטות הממשלה בנושא.</w:t>
      </w:r>
    </w:p>
    <w:p w:rsidR="00EF45C8" w:rsidRPr="00E556CD" w:rsidP="00BF070A">
      <w:pPr>
        <w:pStyle w:val="RESHET"/>
        <w:rPr>
          <w:rtl/>
        </w:rPr>
      </w:pPr>
      <w:r w:rsidRPr="00E556CD">
        <w:rPr>
          <w:rFonts w:hint="cs"/>
          <w:rtl/>
        </w:rPr>
        <w:t>על</w:t>
      </w:r>
      <w:r w:rsidRPr="00E556CD">
        <w:rPr>
          <w:rtl/>
        </w:rPr>
        <w:t xml:space="preserve"> </w:t>
      </w:r>
      <w:r w:rsidRPr="00E556CD">
        <w:rPr>
          <w:rFonts w:hint="cs"/>
          <w:rtl/>
        </w:rPr>
        <w:t>ועדת</w:t>
      </w:r>
      <w:r w:rsidRPr="00E556CD">
        <w:rPr>
          <w:rtl/>
        </w:rPr>
        <w:t xml:space="preserve"> </w:t>
      </w:r>
      <w:r w:rsidRPr="00E556CD">
        <w:rPr>
          <w:rFonts w:hint="cs"/>
          <w:rtl/>
        </w:rPr>
        <w:t>המנכ</w:t>
      </w:r>
      <w:r w:rsidRPr="00E556CD">
        <w:rPr>
          <w:rtl/>
        </w:rPr>
        <w:t xml:space="preserve">"לים </w:t>
      </w:r>
      <w:r w:rsidRPr="00E556CD">
        <w:rPr>
          <w:rFonts w:hint="cs"/>
          <w:rtl/>
        </w:rPr>
        <w:t>להשלים</w:t>
      </w:r>
      <w:r w:rsidRPr="00E556CD">
        <w:rPr>
          <w:rtl/>
        </w:rPr>
        <w:t xml:space="preserve"> </w:t>
      </w:r>
      <w:r w:rsidRPr="00E556CD">
        <w:rPr>
          <w:rFonts w:hint="cs"/>
          <w:rtl/>
        </w:rPr>
        <w:t>ללא</w:t>
      </w:r>
      <w:r w:rsidRPr="00E556CD">
        <w:rPr>
          <w:rtl/>
        </w:rPr>
        <w:t xml:space="preserve"> </w:t>
      </w:r>
      <w:r w:rsidRPr="00E556CD">
        <w:rPr>
          <w:rFonts w:hint="cs"/>
          <w:rtl/>
        </w:rPr>
        <w:t>דיחוי</w:t>
      </w:r>
      <w:r w:rsidRPr="00E556CD">
        <w:rPr>
          <w:rtl/>
        </w:rPr>
        <w:t xml:space="preserve"> </w:t>
      </w:r>
      <w:r w:rsidRPr="00E556CD">
        <w:rPr>
          <w:rFonts w:hint="cs"/>
          <w:rtl/>
        </w:rPr>
        <w:t>את</w:t>
      </w:r>
      <w:r w:rsidRPr="00E556CD">
        <w:rPr>
          <w:rtl/>
        </w:rPr>
        <w:t xml:space="preserve"> </w:t>
      </w:r>
      <w:r w:rsidRPr="00E556CD">
        <w:rPr>
          <w:rFonts w:hint="cs"/>
          <w:rtl/>
        </w:rPr>
        <w:t>בחינת</w:t>
      </w:r>
      <w:r w:rsidRPr="00E556CD">
        <w:rPr>
          <w:rtl/>
        </w:rPr>
        <w:t xml:space="preserve"> "הצעדים </w:t>
      </w:r>
      <w:r w:rsidRPr="00E556CD">
        <w:rPr>
          <w:rFonts w:hint="cs"/>
          <w:rtl/>
        </w:rPr>
        <w:t>הנדרשים</w:t>
      </w:r>
      <w:r w:rsidRPr="00E556CD">
        <w:rPr>
          <w:rtl/>
        </w:rPr>
        <w:t xml:space="preserve"> </w:t>
      </w:r>
      <w:r w:rsidRPr="00E556CD">
        <w:rPr>
          <w:rFonts w:hint="cs"/>
          <w:rtl/>
        </w:rPr>
        <w:t>בהיבטים</w:t>
      </w:r>
      <w:r w:rsidRPr="00E556CD">
        <w:rPr>
          <w:rtl/>
        </w:rPr>
        <w:t xml:space="preserve"> </w:t>
      </w:r>
      <w:r w:rsidRPr="00E556CD">
        <w:rPr>
          <w:rFonts w:hint="cs"/>
          <w:rtl/>
        </w:rPr>
        <w:t>של</w:t>
      </w:r>
      <w:r w:rsidRPr="00E556CD">
        <w:rPr>
          <w:rtl/>
        </w:rPr>
        <w:t xml:space="preserve"> </w:t>
      </w:r>
      <w:r w:rsidRPr="00E556CD">
        <w:rPr>
          <w:rFonts w:hint="cs"/>
          <w:rtl/>
        </w:rPr>
        <w:t>סמכויות</w:t>
      </w:r>
      <w:r w:rsidRPr="00E556CD">
        <w:rPr>
          <w:rtl/>
        </w:rPr>
        <w:t xml:space="preserve">, </w:t>
      </w:r>
      <w:r w:rsidRPr="00E556CD">
        <w:rPr>
          <w:rFonts w:hint="cs"/>
          <w:rtl/>
        </w:rPr>
        <w:t>הקצאת</w:t>
      </w:r>
      <w:r w:rsidRPr="00E556CD">
        <w:rPr>
          <w:rtl/>
        </w:rPr>
        <w:t xml:space="preserve"> </w:t>
      </w:r>
      <w:r w:rsidRPr="00E556CD">
        <w:rPr>
          <w:rFonts w:hint="cs"/>
          <w:rtl/>
        </w:rPr>
        <w:t>תקציבים</w:t>
      </w:r>
      <w:r w:rsidRPr="00E556CD">
        <w:rPr>
          <w:rtl/>
        </w:rPr>
        <w:t xml:space="preserve"> </w:t>
      </w:r>
      <w:r w:rsidRPr="00E556CD">
        <w:rPr>
          <w:rFonts w:hint="cs"/>
          <w:rtl/>
        </w:rPr>
        <w:t>ותיאום</w:t>
      </w:r>
      <w:r w:rsidRPr="00E556CD">
        <w:rPr>
          <w:rtl/>
        </w:rPr>
        <w:t xml:space="preserve"> </w:t>
      </w:r>
      <w:r w:rsidRPr="00E556CD">
        <w:rPr>
          <w:rFonts w:hint="cs"/>
          <w:rtl/>
        </w:rPr>
        <w:t>בין</w:t>
      </w:r>
      <w:r w:rsidRPr="00E556CD">
        <w:rPr>
          <w:rtl/>
        </w:rPr>
        <w:t xml:space="preserve"> </w:t>
      </w:r>
      <w:r w:rsidRPr="00E556CD">
        <w:rPr>
          <w:rFonts w:hint="cs"/>
          <w:rtl/>
        </w:rPr>
        <w:t>משרדי</w:t>
      </w:r>
      <w:r w:rsidRPr="00E556CD">
        <w:rPr>
          <w:rtl/>
        </w:rPr>
        <w:t xml:space="preserve"> </w:t>
      </w:r>
      <w:r w:rsidRPr="00E556CD">
        <w:rPr>
          <w:rFonts w:hint="cs"/>
          <w:rtl/>
        </w:rPr>
        <w:t>הממשלה</w:t>
      </w:r>
      <w:r w:rsidRPr="00E556CD">
        <w:rPr>
          <w:rtl/>
        </w:rPr>
        <w:t xml:space="preserve"> </w:t>
      </w:r>
      <w:r w:rsidRPr="00E556CD">
        <w:rPr>
          <w:rFonts w:hint="cs"/>
          <w:rtl/>
        </w:rPr>
        <w:t>הנוגעים</w:t>
      </w:r>
      <w:r w:rsidRPr="00E556CD">
        <w:rPr>
          <w:rtl/>
        </w:rPr>
        <w:t xml:space="preserve"> </w:t>
      </w:r>
      <w:r w:rsidRPr="00E556CD">
        <w:rPr>
          <w:rFonts w:hint="cs"/>
          <w:rtl/>
        </w:rPr>
        <w:t>לנושא</w:t>
      </w:r>
      <w:r w:rsidRPr="00E556CD">
        <w:rPr>
          <w:rtl/>
        </w:rPr>
        <w:t xml:space="preserve"> </w:t>
      </w:r>
      <w:r w:rsidRPr="00E556CD">
        <w:rPr>
          <w:rFonts w:hint="cs"/>
          <w:rtl/>
        </w:rPr>
        <w:t>למתן</w:t>
      </w:r>
      <w:r w:rsidRPr="00E556CD">
        <w:rPr>
          <w:rtl/>
        </w:rPr>
        <w:t xml:space="preserve"> </w:t>
      </w:r>
      <w:r w:rsidRPr="00E556CD">
        <w:rPr>
          <w:rFonts w:hint="cs"/>
          <w:rtl/>
        </w:rPr>
        <w:t>מענה</w:t>
      </w:r>
      <w:r w:rsidRPr="00E556CD">
        <w:rPr>
          <w:rtl/>
        </w:rPr>
        <w:t xml:space="preserve"> </w:t>
      </w:r>
      <w:r w:rsidRPr="00E556CD">
        <w:rPr>
          <w:rFonts w:hint="cs"/>
          <w:rtl/>
        </w:rPr>
        <w:t>מיטבי</w:t>
      </w:r>
      <w:r w:rsidRPr="00E556CD">
        <w:rPr>
          <w:rtl/>
        </w:rPr>
        <w:t xml:space="preserve"> </w:t>
      </w:r>
      <w:r w:rsidRPr="00E556CD">
        <w:rPr>
          <w:rFonts w:hint="cs"/>
          <w:rtl/>
        </w:rPr>
        <w:t>בכל</w:t>
      </w:r>
      <w:r w:rsidRPr="00E556CD">
        <w:rPr>
          <w:rtl/>
        </w:rPr>
        <w:t xml:space="preserve"> </w:t>
      </w:r>
      <w:r w:rsidRPr="00E556CD">
        <w:rPr>
          <w:rFonts w:hint="cs"/>
          <w:rtl/>
        </w:rPr>
        <w:t>הנוגע</w:t>
      </w:r>
      <w:r w:rsidRPr="00E556CD">
        <w:rPr>
          <w:rtl/>
        </w:rPr>
        <w:t xml:space="preserve"> </w:t>
      </w:r>
      <w:r w:rsidRPr="00E556CD">
        <w:rPr>
          <w:rFonts w:hint="cs"/>
          <w:rtl/>
        </w:rPr>
        <w:t>לקבורה</w:t>
      </w:r>
      <w:r w:rsidRPr="00E556CD">
        <w:rPr>
          <w:rtl/>
        </w:rPr>
        <w:t xml:space="preserve"> </w:t>
      </w:r>
      <w:r w:rsidRPr="00E556CD">
        <w:rPr>
          <w:rFonts w:hint="cs"/>
          <w:rtl/>
        </w:rPr>
        <w:t>אזרחית</w:t>
      </w:r>
      <w:r w:rsidRPr="00E556CD">
        <w:rPr>
          <w:rtl/>
        </w:rPr>
        <w:t xml:space="preserve"> חלופית", שהוטלה עליה מכוח ההחלטה</w:t>
      </w:r>
      <w:r w:rsidRPr="00E556CD">
        <w:rPr>
          <w:rFonts w:hint="cs"/>
          <w:rtl/>
        </w:rPr>
        <w:t>, ולהציג את ממצאי הבחינה לוועדת השרים</w:t>
      </w:r>
      <w:r w:rsidRPr="00E556CD">
        <w:rPr>
          <w:rtl/>
        </w:rPr>
        <w:t xml:space="preserve">. </w:t>
      </w:r>
      <w:r w:rsidRPr="00E556CD">
        <w:rPr>
          <w:rFonts w:hint="cs"/>
          <w:rtl/>
        </w:rPr>
        <w:t xml:space="preserve">המשך </w:t>
      </w:r>
      <w:r w:rsidRPr="00E556CD">
        <w:rPr>
          <w:rtl/>
        </w:rPr>
        <w:t xml:space="preserve">השיהוי </w:t>
      </w:r>
      <w:r w:rsidRPr="00E556CD">
        <w:rPr>
          <w:rFonts w:hint="cs"/>
          <w:rtl/>
        </w:rPr>
        <w:t>בנדון</w:t>
      </w:r>
      <w:r w:rsidRPr="00E556CD">
        <w:rPr>
          <w:rtl/>
        </w:rPr>
        <w:t xml:space="preserve"> </w:t>
      </w:r>
      <w:r w:rsidRPr="00E556CD">
        <w:rPr>
          <w:rFonts w:hint="cs"/>
          <w:rtl/>
        </w:rPr>
        <w:t>גורם בסופו של דבר ל</w:t>
      </w:r>
      <w:r w:rsidRPr="00E556CD">
        <w:rPr>
          <w:rtl/>
        </w:rPr>
        <w:t>החמרת המחסור במקומות לקבורה אזרחית, ו</w:t>
      </w:r>
      <w:r w:rsidRPr="00E556CD">
        <w:rPr>
          <w:rFonts w:hint="cs"/>
          <w:rtl/>
        </w:rPr>
        <w:t>ל</w:t>
      </w:r>
      <w:r w:rsidRPr="00E556CD">
        <w:rPr>
          <w:rtl/>
        </w:rPr>
        <w:t>פג</w:t>
      </w:r>
      <w:r w:rsidRPr="00E556CD">
        <w:rPr>
          <w:rFonts w:hint="cs"/>
          <w:rtl/>
        </w:rPr>
        <w:t>י</w:t>
      </w:r>
      <w:r w:rsidRPr="00E556CD">
        <w:rPr>
          <w:rtl/>
        </w:rPr>
        <w:t>ע</w:t>
      </w:r>
      <w:r w:rsidRPr="00E556CD">
        <w:rPr>
          <w:rFonts w:hint="cs"/>
          <w:rtl/>
        </w:rPr>
        <w:t>ה</w:t>
      </w:r>
      <w:r w:rsidRPr="00E556CD">
        <w:rPr>
          <w:rtl/>
        </w:rPr>
        <w:t xml:space="preserve"> </w:t>
      </w:r>
      <w:r w:rsidRPr="00E556CD">
        <w:rPr>
          <w:rFonts w:hint="cs"/>
          <w:rtl/>
        </w:rPr>
        <w:t>ביכולתם של</w:t>
      </w:r>
      <w:r w:rsidRPr="00E556CD">
        <w:rPr>
          <w:rtl/>
        </w:rPr>
        <w:t xml:space="preserve"> </w:t>
      </w:r>
      <w:r w:rsidRPr="00E556CD">
        <w:rPr>
          <w:rFonts w:hint="cs"/>
          <w:rtl/>
        </w:rPr>
        <w:t>תושבי</w:t>
      </w:r>
      <w:r w:rsidRPr="00E556CD">
        <w:rPr>
          <w:rtl/>
        </w:rPr>
        <w:t xml:space="preserve"> המדינה </w:t>
      </w:r>
      <w:r w:rsidRPr="00E556CD">
        <w:rPr>
          <w:rFonts w:hint="cs"/>
          <w:rtl/>
        </w:rPr>
        <w:t xml:space="preserve">לממש את זכותם </w:t>
      </w:r>
      <w:r w:rsidRPr="00E556CD">
        <w:rPr>
          <w:rtl/>
        </w:rPr>
        <w:t xml:space="preserve">לקבורה </w:t>
      </w:r>
      <w:r w:rsidRPr="00E556CD">
        <w:rPr>
          <w:rFonts w:hint="cs"/>
          <w:rtl/>
        </w:rPr>
        <w:t>בהתאם להשקפת עולמם.</w:t>
      </w:r>
    </w:p>
    <w:p w:rsidR="00EF45C8" w:rsidRPr="00E556CD" w:rsidP="00E556CD">
      <w:pPr>
        <w:spacing w:line="240" w:lineRule="exact"/>
        <w:ind w:left="-2" w:right="2268"/>
        <w:jc w:val="both"/>
        <w:rPr>
          <w:rFonts w:ascii="Tahoma" w:hAnsi="Tahoma" w:cs="Tahoma"/>
          <w:sz w:val="17"/>
          <w:szCs w:val="17"/>
          <w:rtl/>
        </w:rPr>
      </w:pPr>
    </w:p>
    <w:p w:rsidR="00BF070A">
      <w:pPr>
        <w:bidi w:val="0"/>
        <w:rPr>
          <w:rFonts w:ascii="Tahoma" w:eastAsia="Times New Roman" w:hAnsi="Tahoma" w:cs="Tahoma"/>
          <w:color w:val="009692"/>
          <w:sz w:val="32"/>
          <w:szCs w:val="32"/>
          <w:rtl/>
        </w:rPr>
      </w:pPr>
      <w:r>
        <w:rPr>
          <w:rtl/>
        </w:rPr>
        <w:br w:type="page"/>
      </w:r>
    </w:p>
    <w:p w:rsidR="00EF45C8" w:rsidRPr="00BC5508" w:rsidP="006B7001">
      <w:pPr>
        <w:pStyle w:val="KOT4"/>
        <w:rPr>
          <w:rtl/>
        </w:rPr>
      </w:pPr>
      <w:r w:rsidRPr="00BC5508">
        <w:rPr>
          <w:rFonts w:hint="eastAsia"/>
          <w:rtl/>
        </w:rPr>
        <w:t>סיכום</w:t>
      </w:r>
    </w:p>
    <w:p w:rsidR="00EF45C8" w:rsidRPr="00A12EBF" w:rsidP="00A12EBF">
      <w:pPr>
        <w:pStyle w:val="RESHET"/>
        <w:rPr>
          <w:rtl/>
        </w:rPr>
      </w:pPr>
      <w:r w:rsidRPr="00A12EBF">
        <w:rPr>
          <w:rFonts w:hint="cs"/>
          <w:rtl/>
        </w:rPr>
        <w:t>מממצאי הביקורת בנושא יישום חוק הקבורה האזרחית, שנחקק לפני כעשרים שנה, עולה כי פעילותם של גופי</w:t>
      </w:r>
      <w:r w:rsidRPr="00A12EBF">
        <w:rPr>
          <w:rtl/>
        </w:rPr>
        <w:t xml:space="preserve"> הממשלה </w:t>
      </w:r>
      <w:r w:rsidRPr="00A12EBF">
        <w:rPr>
          <w:rFonts w:hint="cs"/>
          <w:rtl/>
        </w:rPr>
        <w:t xml:space="preserve">- </w:t>
      </w:r>
      <w:r w:rsidRPr="00A12EBF">
        <w:rPr>
          <w:rtl/>
        </w:rPr>
        <w:t>ובראשם המשרד לשירותי דת,</w:t>
      </w:r>
      <w:r w:rsidRPr="00A12EBF">
        <w:rPr>
          <w:rFonts w:hint="cs"/>
          <w:rtl/>
        </w:rPr>
        <w:t xml:space="preserve"> האחראי ליישום החוק - התאפיינה ב</w:t>
      </w:r>
      <w:r w:rsidRPr="00A12EBF">
        <w:rPr>
          <w:rtl/>
        </w:rPr>
        <w:t>אוזלת יד מתמשכת</w:t>
      </w:r>
      <w:r w:rsidRPr="00A12EBF">
        <w:rPr>
          <w:rFonts w:hint="cs"/>
          <w:rtl/>
        </w:rPr>
        <w:t>.</w:t>
      </w:r>
      <w:r w:rsidRPr="00A12EBF">
        <w:rPr>
          <w:rtl/>
        </w:rPr>
        <w:t xml:space="preserve"> </w:t>
      </w:r>
      <w:r w:rsidRPr="00A12EBF">
        <w:rPr>
          <w:rFonts w:hint="cs"/>
          <w:rtl/>
        </w:rPr>
        <w:t>על אי יישום החוק כנדרש כבר העיר מבקר המדינה בשנת 2010</w:t>
      </w:r>
      <w:r w:rsidRPr="00A12EBF">
        <w:rPr>
          <w:rFonts w:hint="cs"/>
          <w:rtl/>
        </w:rPr>
        <w:t xml:space="preserve"> </w:t>
      </w:r>
      <w:r w:rsidRPr="00A12EBF">
        <w:rPr>
          <w:rFonts w:hint="cs"/>
          <w:rtl/>
        </w:rPr>
        <w:t xml:space="preserve">אך מאז הנושא לא זכה לקידום של ממש. </w:t>
      </w:r>
      <w:r w:rsidRPr="00A12EBF">
        <w:rPr>
          <w:rtl/>
        </w:rPr>
        <w:t>בכך כשלה המדינה בהבטחת מיצוי אחת הזכויות הבסיסיות של אזרחיה - זכות הקבורה בכבוד באופן התואם את השקפת עולמם, תפיסתם ואמונתם.</w:t>
      </w:r>
    </w:p>
    <w:p w:rsidR="00EF45C8" w:rsidRPr="00A12EBF" w:rsidP="00A12EBF">
      <w:pPr>
        <w:pStyle w:val="RESHET"/>
        <w:rPr>
          <w:rtl/>
        </w:rPr>
      </w:pPr>
      <w:r w:rsidRPr="00A12EBF">
        <w:rPr>
          <w:rFonts w:hint="cs"/>
          <w:rtl/>
        </w:rPr>
        <w:t>על המשרד לשירותי דת לגבש מדיניות ממשלתית אחודה, בעלת יעדים מוגדרים, מתואמים ומחייבים כדי לטפל בסוגיית המחסור החמור במקומות קבורה ברוב אזורי המדינה, ובכלל זה בעיר הבירה - ירושלים, ולהגביר את נגישות בתי העלמין האזרחיים לאוכלוסייה. יודגש כי כ</w:t>
      </w:r>
      <w:r w:rsidRPr="00A12EBF">
        <w:rPr>
          <w:rtl/>
        </w:rPr>
        <w:t>כל שיחמיר המחסור</w:t>
      </w:r>
      <w:r w:rsidRPr="00A12EBF">
        <w:rPr>
          <w:rFonts w:hint="cs"/>
          <w:rtl/>
        </w:rPr>
        <w:t xml:space="preserve"> במקומות קבורה אזרחיים</w:t>
      </w:r>
      <w:r w:rsidRPr="00A12EBF">
        <w:rPr>
          <w:rtl/>
        </w:rPr>
        <w:t xml:space="preserve"> תחריף הפגיעה בנגישות ובזמינות של בתי עלמין אזרחיים</w:t>
      </w:r>
      <w:r w:rsidRPr="00A12EBF">
        <w:rPr>
          <w:rFonts w:hint="cs"/>
          <w:rtl/>
        </w:rPr>
        <w:t xml:space="preserve"> ואף ה</w:t>
      </w:r>
      <w:r w:rsidRPr="00A12EBF">
        <w:rPr>
          <w:rtl/>
        </w:rPr>
        <w:t xml:space="preserve">פגיעה בזכויות אדם, </w:t>
      </w:r>
      <w:r w:rsidRPr="00A12EBF">
        <w:rPr>
          <w:rFonts w:hint="cs"/>
          <w:rtl/>
        </w:rPr>
        <w:t>ו</w:t>
      </w:r>
      <w:r w:rsidRPr="00A12EBF">
        <w:rPr>
          <w:rtl/>
        </w:rPr>
        <w:t xml:space="preserve">ייתכן כי </w:t>
      </w:r>
      <w:r w:rsidRPr="00A12EBF">
        <w:rPr>
          <w:rFonts w:hint="cs"/>
          <w:rtl/>
        </w:rPr>
        <w:t>בגין המחסור האמור</w:t>
      </w:r>
      <w:r w:rsidRPr="00A12EBF">
        <w:rPr>
          <w:rtl/>
        </w:rPr>
        <w:t xml:space="preserve"> הנזקקים לשירותי קבורה אזרחית ייאלצו לבחור בבתי עלמין אזרחיים מרוחקים </w:t>
      </w:r>
      <w:r w:rsidRPr="00A12EBF">
        <w:rPr>
          <w:rFonts w:hint="cs"/>
          <w:rtl/>
        </w:rPr>
        <w:t xml:space="preserve">ואף ייאלצו </w:t>
      </w:r>
      <w:r w:rsidRPr="00A12EBF">
        <w:rPr>
          <w:rtl/>
        </w:rPr>
        <w:t>לוותר על מיצוי זכותם לקבורה על פי השקפתם.</w:t>
      </w:r>
    </w:p>
    <w:p w:rsidR="00EF45C8" w:rsidRPr="00E556CD" w:rsidP="00A12EBF">
      <w:pPr>
        <w:pStyle w:val="RESHET"/>
        <w:rPr>
          <w:rtl/>
        </w:rPr>
      </w:pPr>
      <w:r w:rsidRPr="00A12EBF">
        <w:rPr>
          <w:rFonts w:hint="cs"/>
          <w:rtl/>
        </w:rPr>
        <w:t>הליקויים שעלו בדוח זה, ובכלל זה הסחבת המתמשכת לאורך שנים רבות ביישומו של החוק מעלים ספק אם נכון שהמשרד לשירותי דת ימשיך להיות הגורם האחראי על הקבורה האזרחית במדינה. עולה החשש ש"מה שהיה הוא שיהיה ומה שנעשה הוא שייעשה ואין כל חדש תחת השמש</w:t>
      </w:r>
      <w:r>
        <w:rPr>
          <w:vertAlign w:val="superscript"/>
          <w:rtl/>
        </w:rPr>
        <w:footnoteReference w:id="32"/>
      </w:r>
      <w:r w:rsidRPr="00A12EBF">
        <w:rPr>
          <w:rFonts w:hint="cs"/>
          <w:rtl/>
        </w:rPr>
        <w:t>".</w:t>
      </w:r>
    </w:p>
    <w:p w:rsidR="00EF45C8" w:rsidP="00E556CD">
      <w:pPr>
        <w:spacing w:line="240" w:lineRule="exact"/>
        <w:ind w:right="2268"/>
        <w:jc w:val="both"/>
        <w:rPr>
          <w:rFonts w:ascii="Tahoma" w:hAnsi="Tahoma" w:cs="Tahoma"/>
          <w:sz w:val="17"/>
          <w:szCs w:val="17"/>
          <w:rtl/>
        </w:rPr>
      </w:pPr>
    </w:p>
    <w:p w:rsidR="00327F3F" w:rsidP="00E556CD">
      <w:pPr>
        <w:spacing w:line="240" w:lineRule="exact"/>
        <w:ind w:right="2268"/>
        <w:jc w:val="both"/>
        <w:rPr>
          <w:rFonts w:ascii="Tahoma" w:hAnsi="Tahoma" w:cs="Tahoma"/>
          <w:sz w:val="17"/>
          <w:szCs w:val="17"/>
          <w:rtl/>
        </w:rPr>
        <w:sectPr w:rsidSect="00C20745">
          <w:headerReference w:type="even" r:id="rId17"/>
          <w:headerReference w:type="default" r:id="rId18"/>
          <w:pgSz w:w="11906" w:h="16838" w:code="9"/>
          <w:pgMar w:top="3119" w:right="1701" w:bottom="3119" w:left="1701" w:header="1559" w:footer="709" w:gutter="0"/>
          <w:cols w:space="708"/>
          <w:bidi/>
          <w:rtlGutter/>
          <w:docGrid w:linePitch="360"/>
        </w:sectPr>
      </w:pPr>
    </w:p>
    <w:p w:rsidR="00327F3F" w:rsidRPr="00E556CD" w:rsidP="00E556CD">
      <w:pPr>
        <w:spacing w:line="240" w:lineRule="exact"/>
        <w:ind w:right="2268"/>
        <w:jc w:val="both"/>
        <w:rPr>
          <w:rFonts w:ascii="Tahoma" w:hAnsi="Tahoma" w:cs="Tahoma"/>
          <w:sz w:val="17"/>
          <w:szCs w:val="17"/>
          <w:rtl/>
        </w:rPr>
      </w:pPr>
      <w:bookmarkStart w:id="6" w:name="_GoBack"/>
      <w:bookmarkEnd w:id="6"/>
    </w:p>
    <w:sectPr w:rsidSect="00C20745">
      <w:headerReference w:type="even" r:id="rId19"/>
      <w:pgSz w:w="11906" w:h="16838" w:code="9"/>
      <w:pgMar w:top="3119" w:right="1701" w:bottom="3119" w:left="1701" w:header="155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isha">
    <w:panose1 w:val="020B0502040204020203"/>
    <w:charset w:val="00"/>
    <w:family w:val="swiss"/>
    <w:pitch w:val="variable"/>
    <w:sig w:usb0="80000807" w:usb1="40000042" w:usb2="00000000" w:usb3="00000000" w:csb0="0000002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Rockwell">
    <w:panose1 w:val="020606030202050204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6081F" w:rsidRPr="008A007A" w:rsidP="008A007A">
      <w:pPr>
        <w:pStyle w:val="Footer"/>
      </w:pPr>
    </w:p>
  </w:footnote>
  <w:footnote w:type="continuationSeparator" w:id="1">
    <w:p w:rsidR="0016081F" w:rsidP="00CB3322">
      <w:pPr>
        <w:spacing w:after="0" w:line="240" w:lineRule="auto"/>
      </w:pPr>
      <w:r>
        <w:continuationSeparator/>
      </w:r>
    </w:p>
    <w:p w:rsidR="0016081F"/>
  </w:footnote>
  <w:footnote w:id="2">
    <w:p w:rsidR="00F43467" w:rsidRPr="00FC3BA9" w:rsidP="00F43467">
      <w:pPr>
        <w:pStyle w:val="FootnoteText"/>
        <w:rPr>
          <w:rtl/>
        </w:rPr>
      </w:pPr>
      <w:r w:rsidRPr="00FC3BA9">
        <w:rPr>
          <w:rStyle w:val="FootnoteReference0"/>
          <w:vertAlign w:val="baseline"/>
        </w:rPr>
        <w:footnoteRef/>
      </w:r>
      <w:r w:rsidRPr="00FC3BA9">
        <w:rPr>
          <w:rtl/>
        </w:rPr>
        <w:t xml:space="preserve"> </w:t>
      </w:r>
      <w:r w:rsidRPr="00FC3BA9">
        <w:rPr>
          <w:rFonts w:hint="cs"/>
          <w:rtl/>
        </w:rPr>
        <w:tab/>
        <w:t>כפי שהוגדר בדברי ההסבר לחוק.</w:t>
      </w:r>
    </w:p>
  </w:footnote>
  <w:footnote w:id="3">
    <w:p w:rsidR="00F43467" w:rsidRPr="00FC3BA9" w:rsidP="00F43467">
      <w:pPr>
        <w:pStyle w:val="FootnoteText"/>
      </w:pPr>
      <w:r w:rsidRPr="00FC3BA9">
        <w:rPr>
          <w:rStyle w:val="FootnoteReference0"/>
          <w:vertAlign w:val="baseline"/>
        </w:rPr>
        <w:footnoteRef/>
      </w:r>
      <w:r w:rsidRPr="00FC3BA9">
        <w:rPr>
          <w:rtl/>
        </w:rPr>
        <w:t xml:space="preserve"> </w:t>
      </w:r>
      <w:r w:rsidRPr="00FC3BA9">
        <w:rPr>
          <w:rFonts w:hint="cs"/>
          <w:rtl/>
        </w:rPr>
        <w:tab/>
        <w:t>קהלת פרק א' פסוק ט'.</w:t>
      </w:r>
    </w:p>
  </w:footnote>
  <w:footnote w:id="4">
    <w:p w:rsidR="00EF45C8" w:rsidRPr="00FC3BA9" w:rsidP="00EF45C8">
      <w:pPr>
        <w:pStyle w:val="FootnoteText"/>
      </w:pPr>
      <w:r w:rsidRPr="00FC3BA9">
        <w:rPr>
          <w:rStyle w:val="FootnoteReference0"/>
          <w:vertAlign w:val="baseline"/>
        </w:rPr>
        <w:footnoteRef/>
      </w:r>
      <w:r w:rsidRPr="00FC3BA9">
        <w:rPr>
          <w:rtl/>
        </w:rPr>
        <w:t xml:space="preserve"> </w:t>
      </w:r>
      <w:r w:rsidRPr="00FC3BA9">
        <w:rPr>
          <w:rFonts w:hint="cs"/>
          <w:rtl/>
        </w:rPr>
        <w:tab/>
        <w:t>חוק הקבורה האזרחית, סעיף 2.</w:t>
      </w:r>
    </w:p>
  </w:footnote>
  <w:footnote w:id="5">
    <w:p w:rsidR="00EF45C8" w:rsidRPr="00FC3BA9" w:rsidP="00EF45C8">
      <w:pPr>
        <w:pStyle w:val="FootnoteText"/>
      </w:pPr>
      <w:r w:rsidRPr="00FC3BA9">
        <w:rPr>
          <w:rStyle w:val="FootnoteReference0"/>
          <w:vertAlign w:val="baseline"/>
        </w:rPr>
        <w:footnoteRef/>
      </w:r>
      <w:r w:rsidRPr="00FC3BA9">
        <w:rPr>
          <w:rtl/>
        </w:rPr>
        <w:t xml:space="preserve"> </w:t>
      </w:r>
      <w:r w:rsidRPr="00FC3BA9">
        <w:rPr>
          <w:rFonts w:hint="cs"/>
          <w:rtl/>
        </w:rPr>
        <w:tab/>
        <w:t>על פי מסמך של הרשות הארצית לשירותי דת מנובמבר 2006 בנושא "</w:t>
      </w:r>
      <w:r w:rsidRPr="00FC3BA9">
        <w:rPr>
          <w:rFonts w:hint="cs"/>
          <w:rtl/>
        </w:rPr>
        <w:t>רענון</w:t>
      </w:r>
      <w:r w:rsidRPr="00FC3BA9">
        <w:rPr>
          <w:rFonts w:hint="cs"/>
          <w:rtl/>
        </w:rPr>
        <w:t xml:space="preserve"> הוראות והנחיות בניהול בתי עלמין", "דמי הקבורה" כוללים את התשלום עבור העברת הנפטר מבית החולים לבית הלוויות הנמצא בתחום השיפוט של היישוב שבו התגורר הנפטר, וכן תשלום עבור טהרה, תכריכים פשוטים, כריית קבר, בניית דפנות הבור, כיסוי ושילוט.</w:t>
      </w:r>
    </w:p>
  </w:footnote>
  <w:footnote w:id="6">
    <w:p w:rsidR="00EF45C8" w:rsidRPr="00FC3BA9" w:rsidP="00EF45C8">
      <w:pPr>
        <w:pStyle w:val="FootnoteText"/>
      </w:pPr>
      <w:r w:rsidRPr="00FC3BA9">
        <w:rPr>
          <w:rStyle w:val="FootnoteReference0"/>
          <w:vertAlign w:val="baseline"/>
        </w:rPr>
        <w:footnoteRef/>
      </w:r>
      <w:r w:rsidRPr="00FC3BA9">
        <w:rPr>
          <w:rtl/>
        </w:rPr>
        <w:t xml:space="preserve"> </w:t>
      </w:r>
      <w:r w:rsidRPr="00FC3BA9">
        <w:rPr>
          <w:rFonts w:hint="cs"/>
          <w:rtl/>
        </w:rPr>
        <w:tab/>
        <w:t>בדוח זה - שם כולל לחברות קבורה ותאגידי קבורה.</w:t>
      </w:r>
    </w:p>
  </w:footnote>
  <w:footnote w:id="7">
    <w:p w:rsidR="00EF45C8" w:rsidRPr="00FC3BA9" w:rsidP="00EF45C8">
      <w:pPr>
        <w:pStyle w:val="FootnoteText"/>
      </w:pPr>
      <w:r w:rsidRPr="00FC3BA9">
        <w:rPr>
          <w:rStyle w:val="FootnoteReference0"/>
          <w:vertAlign w:val="baseline"/>
        </w:rPr>
        <w:footnoteRef/>
      </w:r>
      <w:r w:rsidRPr="00FC3BA9">
        <w:rPr>
          <w:rtl/>
        </w:rPr>
        <w:t xml:space="preserve"> </w:t>
      </w:r>
      <w:r w:rsidRPr="00FC3BA9">
        <w:rPr>
          <w:rFonts w:hint="cs"/>
          <w:rtl/>
        </w:rPr>
        <w:tab/>
        <w:t>אדם רשאי לרכוש חלקת קבר בעבור עצמו או בעבור בן זוגו או הורהו.</w:t>
      </w:r>
    </w:p>
  </w:footnote>
  <w:footnote w:id="8">
    <w:p w:rsidR="00EF45C8" w:rsidRPr="00FC3BA9" w:rsidP="00EF45C8">
      <w:pPr>
        <w:pStyle w:val="FootnoteText"/>
        <w:rPr>
          <w:rtl/>
        </w:rPr>
      </w:pPr>
      <w:r w:rsidRPr="00FC3BA9">
        <w:rPr>
          <w:rStyle w:val="FootnoteReference0"/>
          <w:vertAlign w:val="baseline"/>
        </w:rPr>
        <w:footnoteRef/>
      </w:r>
      <w:r w:rsidRPr="00FC3BA9">
        <w:rPr>
          <w:rtl/>
        </w:rPr>
        <w:t xml:space="preserve"> </w:t>
      </w:r>
      <w:r w:rsidRPr="00FC3BA9">
        <w:rPr>
          <w:rtl/>
        </w:rPr>
        <w:tab/>
      </w:r>
      <w:r w:rsidRPr="00FC3BA9">
        <w:rPr>
          <w:rFonts w:hint="cs"/>
          <w:rtl/>
        </w:rPr>
        <w:t xml:space="preserve">ראו: משרד מבקר המדינה, </w:t>
      </w:r>
      <w:r w:rsidRPr="00FC3BA9">
        <w:rPr>
          <w:rFonts w:hint="cs"/>
          <w:b/>
          <w:bCs/>
          <w:rtl/>
        </w:rPr>
        <w:t xml:space="preserve">דוח שנתי 59ב' </w:t>
      </w:r>
      <w:r w:rsidRPr="00FC3BA9">
        <w:rPr>
          <w:rFonts w:hint="cs"/>
          <w:rtl/>
        </w:rPr>
        <w:t>(2009), בפרק "שירותי קבורה ליהודים ומצוקת הקבורה בגוש דן", עמ' 1007; ו</w:t>
      </w:r>
      <w:r w:rsidRPr="00FC3BA9">
        <w:rPr>
          <w:rFonts w:hint="cs"/>
          <w:b/>
          <w:bCs/>
          <w:rtl/>
        </w:rPr>
        <w:t>דוח שנתי</w:t>
      </w:r>
      <w:r w:rsidR="003C2C06">
        <w:rPr>
          <w:rFonts w:hint="cs"/>
          <w:b/>
          <w:bCs/>
          <w:rtl/>
        </w:rPr>
        <w:t xml:space="preserve"> </w:t>
      </w:r>
      <w:r w:rsidRPr="00FC3BA9">
        <w:rPr>
          <w:rFonts w:hint="cs"/>
          <w:b/>
          <w:bCs/>
          <w:rtl/>
        </w:rPr>
        <w:t>60ב'</w:t>
      </w:r>
      <w:r w:rsidRPr="00FC3BA9">
        <w:rPr>
          <w:rFonts w:hint="cs"/>
          <w:rtl/>
        </w:rPr>
        <w:t xml:space="preserve"> (2010), בפרק "קבורה אזרחית ביישובים חקלאיים", עמ' 383.</w:t>
      </w:r>
    </w:p>
  </w:footnote>
  <w:footnote w:id="9">
    <w:p w:rsidR="00EF45C8" w:rsidRPr="00FC3BA9" w:rsidP="00EF45C8">
      <w:pPr>
        <w:pStyle w:val="FootnoteText"/>
        <w:rPr>
          <w:rtl/>
        </w:rPr>
      </w:pPr>
      <w:r w:rsidRPr="00FC3BA9">
        <w:rPr>
          <w:rStyle w:val="FootnoteReference0"/>
          <w:vertAlign w:val="baseline"/>
        </w:rPr>
        <w:footnoteRef/>
      </w:r>
      <w:r w:rsidRPr="00FC3BA9">
        <w:rPr>
          <w:rtl/>
        </w:rPr>
        <w:t xml:space="preserve"> </w:t>
      </w:r>
      <w:r w:rsidRPr="00FC3BA9">
        <w:rPr>
          <w:rtl/>
        </w:rPr>
        <w:tab/>
      </w:r>
      <w:r w:rsidRPr="00FC3BA9">
        <w:rPr>
          <w:rFonts w:hint="cs"/>
          <w:rtl/>
        </w:rPr>
        <w:t>לפי תקנות</w:t>
      </w:r>
      <w:r w:rsidRPr="00FC3BA9">
        <w:t xml:space="preserve"> </w:t>
      </w:r>
      <w:r w:rsidRPr="00FC3BA9">
        <w:rPr>
          <w:rFonts w:hint="cs"/>
          <w:rtl/>
        </w:rPr>
        <w:t>הביטוח</w:t>
      </w:r>
      <w:r w:rsidRPr="00FC3BA9">
        <w:t xml:space="preserve"> </w:t>
      </w:r>
      <w:r w:rsidRPr="00FC3BA9">
        <w:rPr>
          <w:rFonts w:hint="cs"/>
          <w:rtl/>
        </w:rPr>
        <w:t>הלאומי</w:t>
      </w:r>
      <w:r w:rsidRPr="00FC3BA9">
        <w:t xml:space="preserve"> </w:t>
      </w:r>
      <w:r w:rsidRPr="00FC3BA9">
        <w:rPr>
          <w:rFonts w:hint="cs"/>
          <w:rtl/>
        </w:rPr>
        <w:t>(דמי</w:t>
      </w:r>
      <w:r w:rsidRPr="00FC3BA9">
        <w:t xml:space="preserve"> </w:t>
      </w:r>
      <w:r w:rsidRPr="00FC3BA9">
        <w:rPr>
          <w:rFonts w:hint="cs"/>
          <w:rtl/>
        </w:rPr>
        <w:t xml:space="preserve">קבורה), </w:t>
      </w:r>
      <w:r w:rsidRPr="00FC3BA9">
        <w:rPr>
          <w:rFonts w:hint="cs"/>
          <w:rtl/>
        </w:rPr>
        <w:t>התשל</w:t>
      </w:r>
      <w:r w:rsidRPr="00FC3BA9">
        <w:t>"</w:t>
      </w:r>
      <w:r w:rsidRPr="00FC3BA9">
        <w:rPr>
          <w:rFonts w:hint="cs"/>
          <w:rtl/>
        </w:rPr>
        <w:t>ו-</w:t>
      </w:r>
      <w:r w:rsidRPr="00FC3BA9">
        <w:t>1976</w:t>
      </w:r>
      <w:r w:rsidRPr="00FC3BA9">
        <w:rPr>
          <w:rFonts w:hint="cs"/>
          <w:rtl/>
        </w:rPr>
        <w:t>, חברת קבורה היא: חברה</w:t>
      </w:r>
      <w:r w:rsidRPr="00FC3BA9">
        <w:t xml:space="preserve"> </w:t>
      </w:r>
      <w:r w:rsidRPr="00FC3BA9">
        <w:rPr>
          <w:rFonts w:hint="cs"/>
          <w:rtl/>
        </w:rPr>
        <w:t>קדישא;</w:t>
      </w:r>
      <w:r w:rsidRPr="00FC3BA9">
        <w:t xml:space="preserve"> </w:t>
      </w:r>
      <w:r w:rsidRPr="00FC3BA9">
        <w:rPr>
          <w:rFonts w:hint="cs"/>
          <w:rtl/>
        </w:rPr>
        <w:t>מועצה</w:t>
      </w:r>
      <w:r w:rsidRPr="00FC3BA9">
        <w:t xml:space="preserve"> </w:t>
      </w:r>
      <w:r w:rsidRPr="00FC3BA9">
        <w:rPr>
          <w:rFonts w:hint="cs"/>
          <w:rtl/>
        </w:rPr>
        <w:t>דתית;</w:t>
      </w:r>
      <w:r w:rsidRPr="00FC3BA9">
        <w:t xml:space="preserve"> </w:t>
      </w:r>
      <w:r w:rsidRPr="00FC3BA9">
        <w:rPr>
          <w:rFonts w:hint="cs"/>
          <w:rtl/>
        </w:rPr>
        <w:t>רשות</w:t>
      </w:r>
      <w:r w:rsidRPr="00FC3BA9">
        <w:t xml:space="preserve"> </w:t>
      </w:r>
      <w:r w:rsidRPr="00FC3BA9">
        <w:rPr>
          <w:rFonts w:hint="cs"/>
          <w:rtl/>
        </w:rPr>
        <w:t>מקומית;</w:t>
      </w:r>
      <w:r w:rsidRPr="00FC3BA9">
        <w:t xml:space="preserve"> </w:t>
      </w:r>
      <w:r w:rsidRPr="00FC3BA9">
        <w:rPr>
          <w:rFonts w:hint="cs"/>
          <w:rtl/>
        </w:rPr>
        <w:t>ועד</w:t>
      </w:r>
      <w:r w:rsidRPr="00FC3BA9">
        <w:t xml:space="preserve"> </w:t>
      </w:r>
      <w:r w:rsidRPr="00FC3BA9">
        <w:rPr>
          <w:rFonts w:hint="cs"/>
          <w:rtl/>
        </w:rPr>
        <w:t>מקומי</w:t>
      </w:r>
      <w:r w:rsidRPr="00FC3BA9">
        <w:t xml:space="preserve"> </w:t>
      </w:r>
      <w:r w:rsidRPr="00FC3BA9">
        <w:rPr>
          <w:rFonts w:hint="cs"/>
          <w:rtl/>
        </w:rPr>
        <w:t>ביישוב</w:t>
      </w:r>
      <w:r w:rsidRPr="00FC3BA9">
        <w:t xml:space="preserve"> </w:t>
      </w:r>
      <w:r w:rsidRPr="00FC3BA9">
        <w:rPr>
          <w:rFonts w:hint="cs"/>
          <w:rtl/>
        </w:rPr>
        <w:t>שיתופי</w:t>
      </w:r>
      <w:r w:rsidRPr="00FC3BA9">
        <w:t xml:space="preserve"> </w:t>
      </w:r>
      <w:r w:rsidRPr="00FC3BA9">
        <w:rPr>
          <w:rFonts w:hint="cs"/>
          <w:rtl/>
        </w:rPr>
        <w:t>כמשמעותו</w:t>
      </w:r>
      <w:r w:rsidRPr="00FC3BA9">
        <w:t xml:space="preserve"> </w:t>
      </w:r>
      <w:r w:rsidRPr="00FC3BA9">
        <w:rPr>
          <w:rFonts w:hint="cs"/>
          <w:rtl/>
        </w:rPr>
        <w:t>בסעיף 91 לצו המועצות</w:t>
      </w:r>
      <w:r w:rsidRPr="00FC3BA9">
        <w:t xml:space="preserve"> </w:t>
      </w:r>
      <w:r w:rsidRPr="00FC3BA9">
        <w:rPr>
          <w:rFonts w:hint="cs"/>
          <w:rtl/>
        </w:rPr>
        <w:t>המקומיות (מועצות</w:t>
      </w:r>
      <w:r w:rsidRPr="00FC3BA9">
        <w:t xml:space="preserve"> </w:t>
      </w:r>
      <w:r w:rsidRPr="00FC3BA9">
        <w:rPr>
          <w:rFonts w:hint="cs"/>
          <w:rtl/>
        </w:rPr>
        <w:t>אזוריות),</w:t>
      </w:r>
      <w:r w:rsidRPr="00FC3BA9">
        <w:t xml:space="preserve"> </w:t>
      </w:r>
      <w:r w:rsidRPr="00FC3BA9">
        <w:rPr>
          <w:rFonts w:hint="cs"/>
          <w:rtl/>
        </w:rPr>
        <w:t>התשי</w:t>
      </w:r>
      <w:r w:rsidRPr="00FC3BA9">
        <w:t>"</w:t>
      </w:r>
      <w:r w:rsidRPr="00FC3BA9">
        <w:rPr>
          <w:rFonts w:hint="cs"/>
          <w:rtl/>
        </w:rPr>
        <w:t>ח-</w:t>
      </w:r>
      <w:r w:rsidRPr="00FC3BA9">
        <w:t>1958</w:t>
      </w:r>
      <w:r w:rsidRPr="00FC3BA9">
        <w:rPr>
          <w:rFonts w:hint="cs"/>
          <w:rtl/>
        </w:rPr>
        <w:t>; מוסד</w:t>
      </w:r>
      <w:r w:rsidRPr="00FC3BA9">
        <w:t xml:space="preserve"> </w:t>
      </w:r>
      <w:r w:rsidRPr="00FC3BA9">
        <w:rPr>
          <w:rFonts w:hint="cs"/>
          <w:rtl/>
        </w:rPr>
        <w:t>ציבורי</w:t>
      </w:r>
      <w:r w:rsidRPr="00FC3BA9">
        <w:t xml:space="preserve"> </w:t>
      </w:r>
      <w:r w:rsidRPr="00FC3BA9">
        <w:rPr>
          <w:rFonts w:hint="cs"/>
          <w:rtl/>
        </w:rPr>
        <w:t>אחר; מי</w:t>
      </w:r>
      <w:r w:rsidRPr="00FC3BA9">
        <w:t xml:space="preserve"> </w:t>
      </w:r>
      <w:r w:rsidRPr="00FC3BA9">
        <w:rPr>
          <w:rFonts w:hint="cs"/>
          <w:rtl/>
        </w:rPr>
        <w:t>שעוסק בקבורת</w:t>
      </w:r>
      <w:r w:rsidRPr="00FC3BA9">
        <w:t xml:space="preserve"> </w:t>
      </w:r>
      <w:r w:rsidRPr="00FC3BA9">
        <w:rPr>
          <w:rFonts w:hint="cs"/>
          <w:rtl/>
        </w:rPr>
        <w:t>נפטרים</w:t>
      </w:r>
      <w:r w:rsidRPr="00FC3BA9">
        <w:t xml:space="preserve"> </w:t>
      </w:r>
      <w:r w:rsidRPr="00FC3BA9">
        <w:rPr>
          <w:rFonts w:hint="cs"/>
          <w:rtl/>
        </w:rPr>
        <w:t>על</w:t>
      </w:r>
      <w:r w:rsidRPr="00FC3BA9">
        <w:t xml:space="preserve"> </w:t>
      </w:r>
      <w:r w:rsidRPr="00FC3BA9">
        <w:rPr>
          <w:rFonts w:hint="cs"/>
          <w:rtl/>
        </w:rPr>
        <w:t>פי</w:t>
      </w:r>
      <w:r w:rsidRPr="00FC3BA9">
        <w:t xml:space="preserve"> </w:t>
      </w:r>
      <w:r w:rsidRPr="00FC3BA9">
        <w:rPr>
          <w:rFonts w:hint="cs"/>
          <w:rtl/>
        </w:rPr>
        <w:t>רישיון</w:t>
      </w:r>
      <w:r w:rsidRPr="00FC3BA9">
        <w:t xml:space="preserve"> </w:t>
      </w:r>
      <w:r w:rsidRPr="00FC3BA9">
        <w:rPr>
          <w:rFonts w:hint="cs"/>
          <w:rtl/>
        </w:rPr>
        <w:t>מאת</w:t>
      </w:r>
      <w:r w:rsidRPr="00FC3BA9">
        <w:t xml:space="preserve"> </w:t>
      </w:r>
      <w:r w:rsidRPr="00FC3BA9">
        <w:rPr>
          <w:rFonts w:hint="cs"/>
          <w:rtl/>
        </w:rPr>
        <w:t>שר</w:t>
      </w:r>
      <w:r w:rsidRPr="00FC3BA9">
        <w:t xml:space="preserve"> </w:t>
      </w:r>
      <w:r w:rsidRPr="00FC3BA9">
        <w:rPr>
          <w:rFonts w:hint="cs"/>
          <w:rtl/>
        </w:rPr>
        <w:t>הדתות</w:t>
      </w:r>
      <w:r w:rsidRPr="00FC3BA9">
        <w:t xml:space="preserve"> </w:t>
      </w:r>
      <w:r w:rsidRPr="00FC3BA9">
        <w:rPr>
          <w:rFonts w:hint="cs"/>
          <w:rtl/>
        </w:rPr>
        <w:t>בהתאם</w:t>
      </w:r>
      <w:r w:rsidRPr="00FC3BA9">
        <w:t xml:space="preserve"> </w:t>
      </w:r>
      <w:r w:rsidRPr="00FC3BA9">
        <w:rPr>
          <w:rFonts w:hint="cs"/>
          <w:rtl/>
        </w:rPr>
        <w:t>לתקנות</w:t>
      </w:r>
      <w:r w:rsidRPr="00FC3BA9">
        <w:t xml:space="preserve"> </w:t>
      </w:r>
      <w:r w:rsidRPr="00FC3BA9">
        <w:rPr>
          <w:rFonts w:hint="cs"/>
          <w:rtl/>
        </w:rPr>
        <w:t>חברות</w:t>
      </w:r>
      <w:r w:rsidRPr="00FC3BA9">
        <w:t xml:space="preserve"> </w:t>
      </w:r>
      <w:r w:rsidRPr="00FC3BA9">
        <w:rPr>
          <w:rFonts w:hint="cs"/>
          <w:rtl/>
        </w:rPr>
        <w:t>לענייני</w:t>
      </w:r>
      <w:r w:rsidRPr="00FC3BA9">
        <w:t xml:space="preserve"> </w:t>
      </w:r>
      <w:r w:rsidRPr="00FC3BA9">
        <w:rPr>
          <w:rFonts w:hint="cs"/>
          <w:rtl/>
        </w:rPr>
        <w:t>קבורה</w:t>
      </w:r>
      <w:r w:rsidRPr="00FC3BA9">
        <w:t xml:space="preserve"> </w:t>
      </w:r>
      <w:r w:rsidRPr="00FC3BA9">
        <w:rPr>
          <w:rFonts w:hint="cs"/>
          <w:rtl/>
        </w:rPr>
        <w:t>של</w:t>
      </w:r>
      <w:r w:rsidRPr="00FC3BA9">
        <w:t xml:space="preserve"> </w:t>
      </w:r>
      <w:r w:rsidRPr="00FC3BA9">
        <w:rPr>
          <w:rFonts w:hint="cs"/>
          <w:rtl/>
        </w:rPr>
        <w:t xml:space="preserve">יהודים, </w:t>
      </w:r>
      <w:r w:rsidRPr="00FC3BA9">
        <w:rPr>
          <w:rFonts w:hint="cs"/>
          <w:rtl/>
        </w:rPr>
        <w:t>התשכ</w:t>
      </w:r>
      <w:r w:rsidRPr="00FC3BA9">
        <w:t>"</w:t>
      </w:r>
      <w:r w:rsidRPr="00FC3BA9">
        <w:rPr>
          <w:rFonts w:hint="cs"/>
          <w:rtl/>
        </w:rPr>
        <w:t>ז</w:t>
      </w:r>
      <w:r w:rsidRPr="00FC3BA9">
        <w:t>1966-</w:t>
      </w:r>
      <w:r w:rsidRPr="00FC3BA9">
        <w:rPr>
          <w:rFonts w:hint="cs"/>
          <w:rtl/>
        </w:rPr>
        <w:t>;</w:t>
      </w:r>
      <w:r w:rsidRPr="00FC3BA9">
        <w:t xml:space="preserve"> </w:t>
      </w:r>
      <w:r w:rsidRPr="00FC3BA9">
        <w:rPr>
          <w:rFonts w:hint="cs"/>
          <w:rtl/>
        </w:rPr>
        <w:t>וכן</w:t>
      </w:r>
      <w:r w:rsidRPr="00FC3BA9">
        <w:t xml:space="preserve"> </w:t>
      </w:r>
      <w:r w:rsidRPr="00FC3BA9">
        <w:rPr>
          <w:rFonts w:hint="cs"/>
          <w:rtl/>
        </w:rPr>
        <w:t>אדם</w:t>
      </w:r>
      <w:r w:rsidRPr="00FC3BA9">
        <w:t xml:space="preserve"> </w:t>
      </w:r>
      <w:r w:rsidRPr="00FC3BA9">
        <w:rPr>
          <w:rFonts w:hint="cs"/>
          <w:rtl/>
        </w:rPr>
        <w:t>אחר</w:t>
      </w:r>
      <w:r w:rsidRPr="00FC3BA9">
        <w:t xml:space="preserve"> </w:t>
      </w:r>
      <w:r w:rsidRPr="00FC3BA9">
        <w:rPr>
          <w:rFonts w:hint="cs"/>
          <w:rtl/>
        </w:rPr>
        <w:t>המורשה</w:t>
      </w:r>
      <w:r w:rsidRPr="00FC3BA9">
        <w:t xml:space="preserve"> </w:t>
      </w:r>
      <w:r w:rsidRPr="00FC3BA9">
        <w:rPr>
          <w:rFonts w:hint="cs"/>
          <w:rtl/>
        </w:rPr>
        <w:t>כדין</w:t>
      </w:r>
      <w:r w:rsidRPr="00FC3BA9">
        <w:t xml:space="preserve"> </w:t>
      </w:r>
      <w:r w:rsidRPr="00FC3BA9">
        <w:rPr>
          <w:rFonts w:hint="cs"/>
          <w:rtl/>
        </w:rPr>
        <w:t>לעסוק</w:t>
      </w:r>
      <w:r w:rsidRPr="00FC3BA9">
        <w:t xml:space="preserve"> </w:t>
      </w:r>
      <w:r w:rsidRPr="00FC3BA9">
        <w:rPr>
          <w:rFonts w:hint="cs"/>
          <w:rtl/>
        </w:rPr>
        <w:t>בקבורת</w:t>
      </w:r>
      <w:r w:rsidRPr="00FC3BA9">
        <w:t xml:space="preserve"> </w:t>
      </w:r>
      <w:r w:rsidRPr="00FC3BA9">
        <w:rPr>
          <w:rFonts w:hint="cs"/>
          <w:rtl/>
        </w:rPr>
        <w:t>נפטרים.</w:t>
      </w:r>
    </w:p>
  </w:footnote>
  <w:footnote w:id="10">
    <w:p w:rsidR="00EF45C8" w:rsidRPr="00FC3BA9" w:rsidP="00EF45C8">
      <w:pPr>
        <w:pStyle w:val="FootnoteText"/>
      </w:pPr>
      <w:r w:rsidRPr="00FC3BA9">
        <w:rPr>
          <w:rStyle w:val="FootnoteReference0"/>
          <w:vertAlign w:val="baseline"/>
        </w:rPr>
        <w:footnoteRef/>
      </w:r>
      <w:r w:rsidRPr="00FC3BA9">
        <w:rPr>
          <w:rtl/>
        </w:rPr>
        <w:t xml:space="preserve"> </w:t>
      </w:r>
      <w:r w:rsidRPr="00FC3BA9">
        <w:rPr>
          <w:rFonts w:hint="cs"/>
          <w:rtl/>
        </w:rPr>
        <w:tab/>
        <w:t>השר לענייני דתות, כתוארו אז. במסגרת דוח זה המשרד האחראי לנושא יכונה המשרד לשירותי דת, והשר העומד בראשו יכונה בהתאם לכך.</w:t>
      </w:r>
    </w:p>
  </w:footnote>
  <w:footnote w:id="11">
    <w:p w:rsidR="00EF45C8" w:rsidRPr="00FC3BA9" w:rsidP="00EF45C8">
      <w:pPr>
        <w:pStyle w:val="FootnoteText"/>
        <w:rPr>
          <w:rtl/>
        </w:rPr>
      </w:pPr>
      <w:r w:rsidRPr="00FC3BA9">
        <w:rPr>
          <w:rStyle w:val="FootnoteReference0"/>
          <w:vertAlign w:val="baseline"/>
        </w:rPr>
        <w:footnoteRef/>
      </w:r>
      <w:r w:rsidRPr="00FC3BA9">
        <w:rPr>
          <w:rtl/>
        </w:rPr>
        <w:t xml:space="preserve"> </w:t>
      </w:r>
      <w:r w:rsidRPr="00FC3BA9">
        <w:rPr>
          <w:rFonts w:hint="cs"/>
          <w:rtl/>
        </w:rPr>
        <w:tab/>
        <w:t>המחוזות והנפות כהגדרתם במשרד הפנים.</w:t>
      </w:r>
    </w:p>
  </w:footnote>
  <w:footnote w:id="12">
    <w:p w:rsidR="00EF45C8" w:rsidRPr="00FC3BA9" w:rsidP="00EF45C8">
      <w:pPr>
        <w:pStyle w:val="FootnoteText"/>
        <w:rPr>
          <w:rtl/>
        </w:rPr>
      </w:pPr>
      <w:r w:rsidRPr="00FC3BA9">
        <w:rPr>
          <w:rStyle w:val="FootnoteReference0"/>
          <w:vertAlign w:val="baseline"/>
        </w:rPr>
        <w:footnoteRef/>
      </w:r>
      <w:r w:rsidRPr="00FC3BA9">
        <w:rPr>
          <w:rtl/>
        </w:rPr>
        <w:t xml:space="preserve"> </w:t>
      </w:r>
      <w:r w:rsidRPr="00FC3BA9">
        <w:rPr>
          <w:rtl/>
        </w:rPr>
        <w:tab/>
      </w:r>
      <w:r w:rsidRPr="00FC3BA9">
        <w:rPr>
          <w:rFonts w:hint="cs"/>
          <w:rtl/>
        </w:rPr>
        <w:t xml:space="preserve">החלטה מס' </w:t>
      </w:r>
      <w:r w:rsidRPr="00FC3BA9">
        <w:rPr>
          <w:rFonts w:hint="cs"/>
          <w:rtl/>
        </w:rPr>
        <w:t>פש</w:t>
      </w:r>
      <w:r w:rsidRPr="00FC3BA9">
        <w:rPr>
          <w:rFonts w:hint="cs"/>
          <w:rtl/>
        </w:rPr>
        <w:t>/34 של ועדת השרים לענייני פנים, שירותים ושלטון מקומי, שקיבלה תוקף של החלטת ממשלה ב-20.3.14.</w:t>
      </w:r>
    </w:p>
  </w:footnote>
  <w:footnote w:id="13">
    <w:p w:rsidR="00EF45C8" w:rsidRPr="00FC3BA9" w:rsidP="00EF45C8">
      <w:pPr>
        <w:pStyle w:val="FootnoteText"/>
      </w:pPr>
      <w:r w:rsidRPr="00FC3BA9">
        <w:rPr>
          <w:rStyle w:val="FootnoteReference0"/>
          <w:vertAlign w:val="baseline"/>
        </w:rPr>
        <w:footnoteRef/>
      </w:r>
      <w:r w:rsidRPr="00FC3BA9">
        <w:rPr>
          <w:rtl/>
        </w:rPr>
        <w:t xml:space="preserve"> </w:t>
      </w:r>
      <w:r w:rsidRPr="00FC3BA9">
        <w:rPr>
          <w:rFonts w:hint="cs"/>
          <w:rtl/>
        </w:rPr>
        <w:tab/>
        <w:t>הסכם בין סיעת הליכוד לבין סיעת יהדות התורה, שנחתם באפריל 2015, ערב הקמת הממשלה ה-34.</w:t>
      </w:r>
    </w:p>
  </w:footnote>
  <w:footnote w:id="14">
    <w:p w:rsidR="00EF45C8" w:rsidRPr="00FC3BA9" w:rsidP="00EF45C8">
      <w:pPr>
        <w:pStyle w:val="FootnoteText"/>
        <w:rPr>
          <w:rtl/>
        </w:rPr>
      </w:pPr>
      <w:r w:rsidRPr="00FC3BA9">
        <w:rPr>
          <w:rStyle w:val="FootnoteReference0"/>
          <w:vertAlign w:val="baseline"/>
        </w:rPr>
        <w:footnoteRef/>
      </w:r>
      <w:r w:rsidRPr="00FC3BA9">
        <w:rPr>
          <w:rtl/>
        </w:rPr>
        <w:t xml:space="preserve"> </w:t>
      </w:r>
      <w:r w:rsidRPr="00FC3BA9">
        <w:rPr>
          <w:rFonts w:hint="cs"/>
          <w:rtl/>
        </w:rPr>
        <w:tab/>
      </w:r>
      <w:r w:rsidRPr="00FC3BA9">
        <w:rPr>
          <w:rtl/>
        </w:rPr>
        <w:t xml:space="preserve">שיטת קבורה </w:t>
      </w:r>
      <w:r w:rsidRPr="00FC3BA9">
        <w:rPr>
          <w:rFonts w:hint="cs"/>
          <w:rtl/>
        </w:rPr>
        <w:t xml:space="preserve">שבה </w:t>
      </w:r>
      <w:r w:rsidRPr="00FC3BA9">
        <w:rPr>
          <w:rtl/>
        </w:rPr>
        <w:t xml:space="preserve">הקברים </w:t>
      </w:r>
      <w:r w:rsidRPr="00FC3BA9">
        <w:rPr>
          <w:rFonts w:hint="cs"/>
          <w:rtl/>
        </w:rPr>
        <w:t xml:space="preserve">מסודרים במשטח אופקי ישר </w:t>
      </w:r>
      <w:r w:rsidRPr="00FC3BA9">
        <w:rPr>
          <w:rtl/>
        </w:rPr>
        <w:t xml:space="preserve">זה לצד זה במרחקים קבועים, </w:t>
      </w:r>
      <w:r w:rsidRPr="00FC3BA9">
        <w:rPr>
          <w:rFonts w:hint="cs"/>
          <w:rtl/>
        </w:rPr>
        <w:t>ו</w:t>
      </w:r>
      <w:r w:rsidRPr="00FC3BA9">
        <w:rPr>
          <w:rtl/>
        </w:rPr>
        <w:t>לכל נקבר חלקת קבר משלו. בקבורת שדה נקברים כ-270 נפטרים בדונם</w:t>
      </w:r>
      <w:r w:rsidRPr="00FC3BA9">
        <w:rPr>
          <w:rFonts w:hint="cs"/>
          <w:rtl/>
        </w:rPr>
        <w:t xml:space="preserve"> לעומת עד כ-1,500 בדונם בשיטת הקבורה הרבודה</w:t>
      </w:r>
      <w:r w:rsidRPr="00FC3BA9">
        <w:rPr>
          <w:rtl/>
        </w:rPr>
        <w:t>.</w:t>
      </w:r>
    </w:p>
  </w:footnote>
  <w:footnote w:id="15">
    <w:p w:rsidR="00FC3BA9" w:rsidRPr="00FC3BA9" w:rsidP="00EF45C8">
      <w:pPr>
        <w:pStyle w:val="FootnoteText"/>
        <w:rPr>
          <w:rtl/>
        </w:rPr>
      </w:pPr>
      <w:r w:rsidRPr="00FC3BA9">
        <w:rPr>
          <w:rStyle w:val="FootnoteReference0"/>
          <w:vertAlign w:val="baseline"/>
        </w:rPr>
        <w:footnoteRef/>
      </w:r>
      <w:r w:rsidRPr="00FC3BA9">
        <w:rPr>
          <w:rtl/>
        </w:rPr>
        <w:t xml:space="preserve"> </w:t>
      </w:r>
      <w:r w:rsidRPr="00FC3BA9">
        <w:rPr>
          <w:rtl/>
        </w:rPr>
        <w:tab/>
      </w:r>
      <w:r w:rsidRPr="00FC3BA9">
        <w:rPr>
          <w:rFonts w:hint="cs"/>
          <w:rtl/>
        </w:rPr>
        <w:t>למשל, הם אינם מתייחסים לכלל בתי העלמין שהוקמו, ולעומת זאת הם מתייחסים לבתי עלמין שטרם הוקמו, כגון בברקת.</w:t>
      </w:r>
    </w:p>
  </w:footnote>
  <w:footnote w:id="16">
    <w:p w:rsidR="00EF45C8" w:rsidRPr="00FC3BA9" w:rsidP="00EF45C8">
      <w:pPr>
        <w:pStyle w:val="FootnoteText"/>
      </w:pPr>
      <w:r w:rsidRPr="00FC3BA9">
        <w:rPr>
          <w:rStyle w:val="FootnoteReference0"/>
          <w:vertAlign w:val="baseline"/>
        </w:rPr>
        <w:footnoteRef/>
      </w:r>
      <w:r w:rsidRPr="00FC3BA9">
        <w:rPr>
          <w:rtl/>
        </w:rPr>
        <w:t xml:space="preserve"> </w:t>
      </w:r>
      <w:r w:rsidRPr="00FC3BA9">
        <w:rPr>
          <w:rFonts w:hint="cs"/>
          <w:rtl/>
        </w:rPr>
        <w:tab/>
        <w:t xml:space="preserve">ראו לעניין זה </w:t>
      </w:r>
      <w:r w:rsidRPr="00FC3BA9">
        <w:rPr>
          <w:rFonts w:hint="cs"/>
          <w:rtl/>
        </w:rPr>
        <w:t>למ"ס</w:t>
      </w:r>
      <w:r w:rsidRPr="00FC3BA9">
        <w:rPr>
          <w:rFonts w:hint="cs"/>
          <w:rtl/>
        </w:rPr>
        <w:t xml:space="preserve">, </w:t>
      </w:r>
      <w:r w:rsidRPr="00FC3BA9">
        <w:rPr>
          <w:rFonts w:hint="cs"/>
          <w:b/>
          <w:bCs/>
          <w:rtl/>
        </w:rPr>
        <w:t>הירחון</w:t>
      </w:r>
      <w:r w:rsidRPr="00FC3BA9">
        <w:rPr>
          <w:b/>
          <w:bCs/>
          <w:rtl/>
        </w:rPr>
        <w:t xml:space="preserve"> </w:t>
      </w:r>
      <w:r w:rsidRPr="00FC3BA9">
        <w:rPr>
          <w:rFonts w:hint="cs"/>
          <w:b/>
          <w:bCs/>
          <w:rtl/>
        </w:rPr>
        <w:t>הסטטיסטי</w:t>
      </w:r>
      <w:r w:rsidRPr="00FC3BA9">
        <w:rPr>
          <w:b/>
          <w:bCs/>
          <w:rtl/>
        </w:rPr>
        <w:t xml:space="preserve"> </w:t>
      </w:r>
      <w:r w:rsidRPr="00FC3BA9">
        <w:rPr>
          <w:rFonts w:hint="cs"/>
          <w:b/>
          <w:bCs/>
          <w:rtl/>
        </w:rPr>
        <w:t>לישראל</w:t>
      </w:r>
      <w:r w:rsidRPr="00FC3BA9">
        <w:rPr>
          <w:rFonts w:hint="cs"/>
          <w:rtl/>
        </w:rPr>
        <w:t>, לוח ג/2 - פטירות, לפי קבוצת אוכלוסייה ודת.</w:t>
      </w:r>
    </w:p>
  </w:footnote>
  <w:footnote w:id="17">
    <w:p w:rsidR="00EF45C8" w:rsidRPr="00FC3BA9" w:rsidP="00EF45C8">
      <w:pPr>
        <w:pStyle w:val="FootnoteText"/>
      </w:pPr>
      <w:r w:rsidRPr="00FC3BA9">
        <w:rPr>
          <w:rStyle w:val="FootnoteReference0"/>
          <w:vertAlign w:val="baseline"/>
        </w:rPr>
        <w:footnoteRef/>
      </w:r>
      <w:r w:rsidRPr="00FC3BA9">
        <w:rPr>
          <w:rtl/>
        </w:rPr>
        <w:t xml:space="preserve"> </w:t>
      </w:r>
      <w:r w:rsidRPr="00FC3BA9">
        <w:rPr>
          <w:rFonts w:hint="cs"/>
          <w:sz w:val="16"/>
          <w:szCs w:val="16"/>
          <w:rtl/>
        </w:rPr>
        <w:tab/>
      </w:r>
      <w:r w:rsidRPr="00FC3BA9">
        <w:rPr>
          <w:rFonts w:hint="cs"/>
          <w:rtl/>
        </w:rPr>
        <w:t>אם מביאים</w:t>
      </w:r>
      <w:r w:rsidRPr="00FC3BA9">
        <w:rPr>
          <w:rtl/>
        </w:rPr>
        <w:t xml:space="preserve"> בחשבון קבורת נפטרים חסרי דת, יהודים ונוצרים שאינם ערבים</w:t>
      </w:r>
      <w:r w:rsidRPr="00FC3BA9">
        <w:rPr>
          <w:rFonts w:hint="cs"/>
          <w:rtl/>
        </w:rPr>
        <w:t xml:space="preserve"> לפי נתוני </w:t>
      </w:r>
      <w:r w:rsidRPr="00FC3BA9">
        <w:rPr>
          <w:rFonts w:hint="cs"/>
          <w:rtl/>
        </w:rPr>
        <w:t>למ"ס</w:t>
      </w:r>
      <w:r w:rsidRPr="00FC3BA9">
        <w:rPr>
          <w:rFonts w:hint="cs"/>
          <w:rtl/>
        </w:rPr>
        <w:t>.</w:t>
      </w:r>
    </w:p>
  </w:footnote>
  <w:footnote w:id="18">
    <w:p w:rsidR="00FC3BA9" w:rsidRPr="00FC3BA9" w:rsidP="00EF45C8">
      <w:pPr>
        <w:pStyle w:val="FootnoteText"/>
        <w:rPr>
          <w:rtl/>
        </w:rPr>
      </w:pPr>
      <w:r w:rsidRPr="00FC3BA9">
        <w:rPr>
          <w:rStyle w:val="FootnoteReference0"/>
          <w:vertAlign w:val="baseline"/>
        </w:rPr>
        <w:footnoteRef/>
      </w:r>
      <w:r w:rsidRPr="00FC3BA9">
        <w:rPr>
          <w:rFonts w:hint="cs"/>
          <w:rtl/>
        </w:rPr>
        <w:tab/>
        <w:t xml:space="preserve">הנתון בדבר </w:t>
      </w:r>
      <w:r w:rsidR="003C2C06">
        <w:rPr>
          <w:rFonts w:hint="cs"/>
          <w:rtl/>
        </w:rPr>
        <w:t>כ-</w:t>
      </w:r>
      <w:r w:rsidRPr="00FC3BA9">
        <w:rPr>
          <w:rFonts w:hint="cs"/>
          <w:rtl/>
        </w:rPr>
        <w:t>880 נפטרים מתקבל מההפרש שבין 2,460 נפטרים (לפי אומדן של 6% מכלל מקומות הקבורה) לבין 1,576 הנפטרים שנקברו בקבורה אזרחית בשנת 2015.</w:t>
      </w:r>
    </w:p>
  </w:footnote>
  <w:footnote w:id="19">
    <w:p w:rsidR="00EF45C8" w:rsidRPr="00FC3BA9" w:rsidP="00EF45C8">
      <w:pPr>
        <w:pStyle w:val="FootnoteText"/>
      </w:pPr>
      <w:r w:rsidRPr="00FC3BA9">
        <w:rPr>
          <w:rStyle w:val="FootnoteReference0"/>
          <w:vertAlign w:val="baseline"/>
        </w:rPr>
        <w:footnoteRef/>
      </w:r>
      <w:r w:rsidRPr="00FC3BA9">
        <w:rPr>
          <w:rtl/>
        </w:rPr>
        <w:t xml:space="preserve"> </w:t>
      </w:r>
      <w:r w:rsidRPr="00FC3BA9">
        <w:rPr>
          <w:rFonts w:hint="cs"/>
          <w:rtl/>
        </w:rPr>
        <w:tab/>
        <w:t xml:space="preserve">מרכז המחקר והמידע, </w:t>
      </w:r>
      <w:r w:rsidRPr="00FC3BA9">
        <w:rPr>
          <w:rFonts w:hint="cs"/>
          <w:b/>
          <w:bCs/>
          <w:rtl/>
        </w:rPr>
        <w:t>קבורה אזרחית בישראל</w:t>
      </w:r>
      <w:r w:rsidRPr="00FC3BA9">
        <w:rPr>
          <w:rFonts w:hint="cs"/>
          <w:rtl/>
        </w:rPr>
        <w:t>, יולי 2013; הוגש לוועדת העלייה, הקליטה והתפוצות בכנסת.</w:t>
      </w:r>
    </w:p>
  </w:footnote>
  <w:footnote w:id="20">
    <w:p w:rsidR="00EF45C8" w:rsidRPr="00FC3BA9" w:rsidP="00EF45C8">
      <w:pPr>
        <w:pStyle w:val="FootnoteText"/>
      </w:pPr>
      <w:r w:rsidRPr="00FC3BA9">
        <w:rPr>
          <w:rStyle w:val="FootnoteReference0"/>
          <w:vertAlign w:val="baseline"/>
        </w:rPr>
        <w:footnoteRef/>
      </w:r>
      <w:r w:rsidRPr="00FC3BA9">
        <w:rPr>
          <w:rFonts w:hint="cs"/>
          <w:rtl/>
        </w:rPr>
        <w:tab/>
        <w:t xml:space="preserve">בין המקורות: ביטוח לאומי, תאגידי הקבורה, מרכז המחקר והמידע של הכנסת, הסקר הארצי שנערך בהזמנת </w:t>
      </w:r>
      <w:r w:rsidRPr="00FC3BA9">
        <w:rPr>
          <w:rFonts w:hint="cs"/>
          <w:rtl/>
        </w:rPr>
        <w:t>רמ"י</w:t>
      </w:r>
      <w:r w:rsidRPr="00FC3BA9">
        <w:rPr>
          <w:rFonts w:hint="cs"/>
          <w:rtl/>
        </w:rPr>
        <w:t>.</w:t>
      </w:r>
    </w:p>
  </w:footnote>
  <w:footnote w:id="21">
    <w:p w:rsidR="00EF45C8" w:rsidRPr="00FC3BA9" w:rsidP="00EF45C8">
      <w:pPr>
        <w:pStyle w:val="FootnoteText"/>
        <w:rPr>
          <w:rtl/>
        </w:rPr>
      </w:pPr>
      <w:r w:rsidRPr="00FC3BA9">
        <w:rPr>
          <w:rStyle w:val="FootnoteReference0"/>
          <w:vertAlign w:val="baseline"/>
        </w:rPr>
        <w:footnoteRef/>
      </w:r>
      <w:r w:rsidRPr="00FC3BA9">
        <w:rPr>
          <w:rtl/>
        </w:rPr>
        <w:t xml:space="preserve"> </w:t>
      </w:r>
      <w:r w:rsidRPr="00FC3BA9">
        <w:rPr>
          <w:rFonts w:hint="cs"/>
          <w:rtl/>
        </w:rPr>
        <w:tab/>
        <w:t>מאחר שהקבורה במכפלה מתאפשרת כאשר מקום הקבורה נרכש לחיים, ובשים לב שמימוש או ניצול של המקומות שנרכשו בפועל נמשך שנים, הנחת היסוד של צוות הביקורת הייתה כי ב-20% מסך מקומות הקבורה תתבצע הקבורה במכפלה, וזאת בהתבסס על דיווח המשרד לשירותי דת ולפיו שיעור מקומות הקבורה הנרכשים לחיים הוא 30-25%.</w:t>
      </w:r>
    </w:p>
  </w:footnote>
  <w:footnote w:id="22">
    <w:p w:rsidR="00FC3BA9" w:rsidRPr="00FC3BA9" w:rsidP="00EF45C8">
      <w:pPr>
        <w:pStyle w:val="FootnoteText"/>
        <w:rPr>
          <w:rtl/>
        </w:rPr>
      </w:pPr>
      <w:r w:rsidRPr="00FC3BA9">
        <w:rPr>
          <w:rStyle w:val="FootnoteReference0"/>
          <w:vertAlign w:val="baseline"/>
        </w:rPr>
        <w:footnoteRef/>
      </w:r>
      <w:r w:rsidRPr="00FC3BA9">
        <w:rPr>
          <w:rtl/>
        </w:rPr>
        <w:t xml:space="preserve"> </w:t>
      </w:r>
      <w:r w:rsidRPr="00FC3BA9">
        <w:rPr>
          <w:rFonts w:hint="cs"/>
          <w:rtl/>
        </w:rPr>
        <w:tab/>
        <w:t>זהו "תרחיש ביניים" המבוסס על ההנחה ששיעור הביקוש יהיה גדול מהשיעור המזערי (6%) וקטן מהשיעור המרבי (17%). תרחיש זה נידון במסמך המלצות הצוות הבין-משרדי לקבורה אזרחית מ-19.1.16.</w:t>
      </w:r>
    </w:p>
  </w:footnote>
  <w:footnote w:id="23">
    <w:p w:rsidR="00EF45C8" w:rsidRPr="00FC3BA9" w:rsidP="00EF45C8">
      <w:pPr>
        <w:pStyle w:val="FootnoteText"/>
      </w:pPr>
      <w:r w:rsidRPr="00FC3BA9">
        <w:rPr>
          <w:rStyle w:val="FootnoteReference0"/>
          <w:vertAlign w:val="baseline"/>
        </w:rPr>
        <w:footnoteRef/>
      </w:r>
      <w:r w:rsidRPr="00FC3BA9">
        <w:rPr>
          <w:rtl/>
        </w:rPr>
        <w:t xml:space="preserve"> </w:t>
      </w:r>
      <w:r w:rsidRPr="00FC3BA9">
        <w:rPr>
          <w:rFonts w:hint="cs"/>
          <w:rtl/>
        </w:rPr>
        <w:tab/>
      </w:r>
      <w:r w:rsidRPr="00FC3BA9">
        <w:rPr>
          <w:rFonts w:hint="cs"/>
          <w:rtl/>
        </w:rPr>
        <w:t>תא"מ</w:t>
      </w:r>
      <w:r w:rsidRPr="00FC3BA9">
        <w:rPr>
          <w:rFonts w:hint="cs"/>
          <w:rtl/>
        </w:rPr>
        <w:t xml:space="preserve"> 29187-05-12, </w:t>
      </w:r>
      <w:r w:rsidRPr="00FC3BA9">
        <w:rPr>
          <w:rFonts w:hint="cs"/>
          <w:rtl/>
        </w:rPr>
        <w:t>תא"מ</w:t>
      </w:r>
      <w:r w:rsidRPr="00FC3BA9">
        <w:rPr>
          <w:rFonts w:hint="cs"/>
          <w:rtl/>
        </w:rPr>
        <w:t xml:space="preserve"> 29907-02-12, </w:t>
      </w:r>
      <w:r w:rsidRPr="00FC3BA9">
        <w:rPr>
          <w:rFonts w:hint="cs"/>
          <w:b/>
          <w:bCs/>
          <w:rtl/>
        </w:rPr>
        <w:t>גינזבורג</w:t>
      </w:r>
      <w:r w:rsidRPr="00FC3BA9">
        <w:rPr>
          <w:rFonts w:hint="cs"/>
          <w:b/>
          <w:bCs/>
          <w:rtl/>
        </w:rPr>
        <w:t xml:space="preserve"> ולב </w:t>
      </w:r>
      <w:r w:rsidRPr="00FC3BA9">
        <w:rPr>
          <w:rFonts w:hint="cs"/>
          <w:rtl/>
        </w:rPr>
        <w:t>נ</w:t>
      </w:r>
      <w:r w:rsidRPr="00FC3BA9">
        <w:rPr>
          <w:rtl/>
        </w:rPr>
        <w:t>'</w:t>
      </w:r>
      <w:r w:rsidRPr="00FC3BA9">
        <w:rPr>
          <w:rFonts w:hint="cs"/>
          <w:b/>
          <w:bCs/>
          <w:rtl/>
        </w:rPr>
        <w:t xml:space="preserve"> המשרד לשירותי דת</w:t>
      </w:r>
      <w:r w:rsidRPr="00FC3BA9">
        <w:rPr>
          <w:rFonts w:hint="cs"/>
          <w:rtl/>
        </w:rPr>
        <w:t xml:space="preserve">, </w:t>
      </w:r>
      <w:r w:rsidRPr="00FC3BA9">
        <w:rPr>
          <w:rFonts w:hint="cs"/>
          <w:rtl/>
        </w:rPr>
        <w:t>פדאור</w:t>
      </w:r>
      <w:r w:rsidRPr="00FC3BA9">
        <w:rPr>
          <w:rFonts w:hint="cs"/>
          <w:rtl/>
        </w:rPr>
        <w:t xml:space="preserve"> 14 (88) 210 (2014).</w:t>
      </w:r>
    </w:p>
  </w:footnote>
  <w:footnote w:id="24">
    <w:p w:rsidR="00FC3BA9" w:rsidRPr="00FC3BA9" w:rsidP="00EF45C8">
      <w:pPr>
        <w:pStyle w:val="FootnoteText"/>
        <w:rPr>
          <w:b/>
          <w:bCs/>
          <w:rtl/>
        </w:rPr>
      </w:pPr>
      <w:r w:rsidRPr="00FC3BA9">
        <w:rPr>
          <w:rStyle w:val="FootnoteReference0"/>
          <w:vertAlign w:val="baseline"/>
        </w:rPr>
        <w:footnoteRef/>
      </w:r>
      <w:r w:rsidRPr="00FC3BA9">
        <w:rPr>
          <w:rtl/>
        </w:rPr>
        <w:t xml:space="preserve"> </w:t>
      </w:r>
      <w:r w:rsidRPr="00FC3BA9">
        <w:rPr>
          <w:rtl/>
        </w:rPr>
        <w:tab/>
      </w:r>
      <w:r w:rsidRPr="00FC3BA9">
        <w:rPr>
          <w:rFonts w:hint="cs"/>
          <w:rtl/>
        </w:rPr>
        <w:t xml:space="preserve">למשל, ללא אישורים מתאימים או במחירים הגבוהים מכפי שנקבע בחוק. ראו מבקר המדינה, </w:t>
      </w:r>
      <w:r w:rsidRPr="00FC3BA9">
        <w:rPr>
          <w:rFonts w:hint="cs"/>
          <w:b/>
          <w:bCs/>
          <w:rtl/>
        </w:rPr>
        <w:t xml:space="preserve">דוח שנתי 60ב' </w:t>
      </w:r>
      <w:r w:rsidRPr="00FC3BA9">
        <w:rPr>
          <w:rFonts w:hint="cs"/>
          <w:rtl/>
        </w:rPr>
        <w:t>(2010), בפרק "קבורה אזרחית ביישובים חקלאיים", עמ' 403-383.</w:t>
      </w:r>
    </w:p>
  </w:footnote>
  <w:footnote w:id="25">
    <w:p w:rsidR="00EF45C8" w:rsidRPr="00FC3BA9" w:rsidP="00EF45C8">
      <w:pPr>
        <w:pStyle w:val="FootnoteText"/>
        <w:rPr>
          <w:rtl/>
        </w:rPr>
      </w:pPr>
      <w:r w:rsidRPr="00FC3BA9">
        <w:rPr>
          <w:rStyle w:val="FootnoteReference0"/>
          <w:vertAlign w:val="baseline"/>
        </w:rPr>
        <w:footnoteRef/>
      </w:r>
      <w:r w:rsidRPr="00FC3BA9">
        <w:rPr>
          <w:rtl/>
        </w:rPr>
        <w:t xml:space="preserve"> </w:t>
      </w:r>
      <w:r w:rsidRPr="00FC3BA9">
        <w:rPr>
          <w:rtl/>
        </w:rPr>
        <w:tab/>
      </w:r>
      <w:r w:rsidRPr="00FC3BA9">
        <w:rPr>
          <w:rFonts w:hint="cs"/>
          <w:rtl/>
        </w:rPr>
        <w:t xml:space="preserve">מבקר המדינה, </w:t>
      </w:r>
      <w:r w:rsidRPr="00FC3BA9">
        <w:rPr>
          <w:rFonts w:hint="cs"/>
          <w:b/>
          <w:bCs/>
          <w:rtl/>
        </w:rPr>
        <w:t>דוח שנתי 60ב'</w:t>
      </w:r>
      <w:r w:rsidRPr="00FC3BA9">
        <w:rPr>
          <w:rFonts w:hint="cs"/>
          <w:rtl/>
        </w:rPr>
        <w:t xml:space="preserve"> (2010), בפרק "קבורה אזרחית ביישובים חקלאיים", עמ' 383.</w:t>
      </w:r>
    </w:p>
  </w:footnote>
  <w:footnote w:id="26">
    <w:p w:rsidR="00EF45C8" w:rsidRPr="00FC3BA9" w:rsidP="00EF45C8">
      <w:pPr>
        <w:pStyle w:val="FootnoteText"/>
        <w:rPr>
          <w:rtl/>
        </w:rPr>
      </w:pPr>
      <w:r w:rsidRPr="00FC3BA9">
        <w:rPr>
          <w:rStyle w:val="FootnoteReference0"/>
          <w:vertAlign w:val="baseline"/>
        </w:rPr>
        <w:footnoteRef/>
      </w:r>
      <w:r w:rsidRPr="00FC3BA9">
        <w:rPr>
          <w:rtl/>
        </w:rPr>
        <w:t xml:space="preserve"> </w:t>
      </w:r>
      <w:r w:rsidRPr="00FC3BA9">
        <w:rPr>
          <w:rFonts w:hint="cs"/>
          <w:rtl/>
        </w:rPr>
        <w:tab/>
        <w:t xml:space="preserve">יצוין כי על פי מבחנים למתן תמיכות של המשרד לשירותי דת למוסדות ציבור, שיעורן המרבי של התמיכות הוא 90% מהעלות הכוללת. כספי התמיכות מועברים </w:t>
      </w:r>
      <w:r w:rsidRPr="00FC3BA9">
        <w:rPr>
          <w:rtl/>
        </w:rPr>
        <w:t xml:space="preserve">רק לאחר </w:t>
      </w:r>
      <w:r w:rsidRPr="00FC3BA9">
        <w:rPr>
          <w:rFonts w:hint="cs"/>
          <w:rtl/>
        </w:rPr>
        <w:t>ביצוע העבודות וכנגד אסמכתאות המעידות על סכום ההוצאה הכספית.</w:t>
      </w:r>
    </w:p>
  </w:footnote>
  <w:footnote w:id="27">
    <w:p w:rsidR="00EF45C8" w:rsidRPr="00FC3BA9" w:rsidP="00EF45C8">
      <w:pPr>
        <w:pStyle w:val="FootnoteText"/>
        <w:rPr>
          <w:rtl/>
        </w:rPr>
      </w:pPr>
      <w:r w:rsidRPr="00FC3BA9">
        <w:rPr>
          <w:rStyle w:val="FootnoteReference0"/>
          <w:vertAlign w:val="baseline"/>
        </w:rPr>
        <w:footnoteRef/>
      </w:r>
      <w:r w:rsidRPr="00FC3BA9">
        <w:rPr>
          <w:rtl/>
        </w:rPr>
        <w:t xml:space="preserve"> </w:t>
      </w:r>
      <w:r w:rsidRPr="00FC3BA9">
        <w:rPr>
          <w:rFonts w:hint="cs"/>
          <w:rtl/>
        </w:rPr>
        <w:tab/>
        <w:t>בדיון משרדי בנושא הקבורה האזרחית בירושלים.</w:t>
      </w:r>
    </w:p>
  </w:footnote>
  <w:footnote w:id="28">
    <w:p w:rsidR="00EF45C8" w:rsidRPr="00FC3BA9" w:rsidP="00EF45C8">
      <w:pPr>
        <w:pStyle w:val="FootnoteText"/>
      </w:pPr>
      <w:r w:rsidRPr="00FC3BA9">
        <w:rPr>
          <w:rStyle w:val="FootnoteReference0"/>
          <w:vertAlign w:val="baseline"/>
        </w:rPr>
        <w:footnoteRef/>
      </w:r>
      <w:r w:rsidRPr="00FC3BA9">
        <w:rPr>
          <w:rtl/>
        </w:rPr>
        <w:t xml:space="preserve"> </w:t>
      </w:r>
      <w:r w:rsidRPr="00FC3BA9">
        <w:rPr>
          <w:rFonts w:hint="cs"/>
          <w:rtl/>
        </w:rPr>
        <w:tab/>
        <w:t xml:space="preserve">מבקר המדינה, </w:t>
      </w:r>
      <w:r w:rsidRPr="00FC3BA9">
        <w:rPr>
          <w:rFonts w:hint="cs"/>
          <w:b/>
          <w:bCs/>
          <w:rtl/>
        </w:rPr>
        <w:t>דוח</w:t>
      </w:r>
      <w:r w:rsidRPr="00FC3BA9">
        <w:rPr>
          <w:b/>
          <w:bCs/>
          <w:rtl/>
        </w:rPr>
        <w:t xml:space="preserve"> </w:t>
      </w:r>
      <w:r w:rsidRPr="00FC3BA9">
        <w:rPr>
          <w:rFonts w:hint="cs"/>
          <w:b/>
          <w:bCs/>
          <w:rtl/>
        </w:rPr>
        <w:t>שנתי</w:t>
      </w:r>
      <w:r w:rsidRPr="00FC3BA9">
        <w:rPr>
          <w:b/>
          <w:bCs/>
          <w:rtl/>
        </w:rPr>
        <w:t xml:space="preserve"> 59</w:t>
      </w:r>
      <w:r w:rsidRPr="00FC3BA9">
        <w:rPr>
          <w:rFonts w:hint="cs"/>
          <w:b/>
          <w:bCs/>
          <w:rtl/>
        </w:rPr>
        <w:t>ב</w:t>
      </w:r>
      <w:r w:rsidRPr="00FC3BA9">
        <w:rPr>
          <w:b/>
          <w:bCs/>
          <w:rtl/>
        </w:rPr>
        <w:t>'</w:t>
      </w:r>
      <w:r w:rsidRPr="00FC3BA9">
        <w:rPr>
          <w:rFonts w:hint="cs"/>
          <w:rtl/>
        </w:rPr>
        <w:t xml:space="preserve"> (2009), "שירותי קבורה ליהודים ומצוקת הקבורה בגוש דן", עמ' 1047-1007.</w:t>
      </w:r>
    </w:p>
  </w:footnote>
  <w:footnote w:id="29">
    <w:p w:rsidR="00EF45C8" w:rsidRPr="00FC3BA9" w:rsidP="00EF45C8">
      <w:pPr>
        <w:pStyle w:val="FootnoteText"/>
        <w:rPr>
          <w:rtl/>
        </w:rPr>
      </w:pPr>
      <w:r w:rsidRPr="00FC3BA9">
        <w:rPr>
          <w:rStyle w:val="FootnoteReference0"/>
          <w:vertAlign w:val="baseline"/>
        </w:rPr>
        <w:footnoteRef/>
      </w:r>
      <w:r w:rsidRPr="00FC3BA9">
        <w:rPr>
          <w:rtl/>
        </w:rPr>
        <w:t xml:space="preserve"> </w:t>
      </w:r>
      <w:r w:rsidRPr="00FC3BA9">
        <w:rPr>
          <w:rFonts w:hint="cs"/>
          <w:rtl/>
        </w:rPr>
        <w:tab/>
        <w:t>תכנית המתאר לבית העלמין - מח/143.</w:t>
      </w:r>
    </w:p>
  </w:footnote>
  <w:footnote w:id="30">
    <w:p w:rsidR="00EF45C8" w:rsidRPr="00FC3BA9" w:rsidP="00EF45C8">
      <w:pPr>
        <w:pStyle w:val="FootnoteText"/>
      </w:pPr>
      <w:r w:rsidRPr="00FC3BA9">
        <w:rPr>
          <w:rStyle w:val="FootnoteReference0"/>
          <w:vertAlign w:val="baseline"/>
        </w:rPr>
        <w:footnoteRef/>
      </w:r>
      <w:r w:rsidRPr="00FC3BA9">
        <w:rPr>
          <w:rtl/>
        </w:rPr>
        <w:t xml:space="preserve"> </w:t>
      </w:r>
      <w:r w:rsidRPr="00FC3BA9">
        <w:rPr>
          <w:rFonts w:hint="cs"/>
          <w:rtl/>
        </w:rPr>
        <w:tab/>
        <w:t xml:space="preserve">מבקר המדינה, </w:t>
      </w:r>
      <w:r w:rsidRPr="00FC3BA9">
        <w:rPr>
          <w:rFonts w:hint="cs"/>
          <w:b/>
          <w:bCs/>
          <w:rtl/>
        </w:rPr>
        <w:t>דוח</w:t>
      </w:r>
      <w:r w:rsidRPr="00FC3BA9">
        <w:rPr>
          <w:b/>
          <w:bCs/>
          <w:rtl/>
        </w:rPr>
        <w:t xml:space="preserve"> </w:t>
      </w:r>
      <w:r w:rsidRPr="00FC3BA9">
        <w:rPr>
          <w:rFonts w:hint="cs"/>
          <w:b/>
          <w:bCs/>
          <w:rtl/>
        </w:rPr>
        <w:t>שנתי</w:t>
      </w:r>
      <w:r w:rsidRPr="00FC3BA9">
        <w:rPr>
          <w:b/>
          <w:bCs/>
          <w:rtl/>
        </w:rPr>
        <w:t xml:space="preserve"> 65 </w:t>
      </w:r>
      <w:r w:rsidRPr="00FC3BA9">
        <w:rPr>
          <w:rFonts w:hint="cs"/>
          <w:b/>
          <w:bCs/>
          <w:rtl/>
        </w:rPr>
        <w:t>ג</w:t>
      </w:r>
      <w:r w:rsidRPr="00FC3BA9">
        <w:rPr>
          <w:b/>
          <w:bCs/>
          <w:rtl/>
        </w:rPr>
        <w:t>'</w:t>
      </w:r>
      <w:r w:rsidRPr="00FC3BA9">
        <w:rPr>
          <w:rFonts w:hint="cs"/>
          <w:rtl/>
        </w:rPr>
        <w:t xml:space="preserve"> (2015), בפרק "</w:t>
      </w:r>
      <w:r w:rsidRPr="00FC3BA9">
        <w:rPr>
          <w:rtl/>
        </w:rPr>
        <w:t>אי-מיצוי של זכויות חברתיות</w:t>
      </w:r>
      <w:r w:rsidRPr="00FC3BA9">
        <w:rPr>
          <w:rFonts w:hint="cs"/>
          <w:rtl/>
        </w:rPr>
        <w:t>", עמ' 9.</w:t>
      </w:r>
    </w:p>
  </w:footnote>
  <w:footnote w:id="31">
    <w:p w:rsidR="00EF45C8" w:rsidRPr="00FC3BA9" w:rsidP="00EF45C8">
      <w:pPr>
        <w:pStyle w:val="FootnoteText"/>
        <w:rPr>
          <w:rtl/>
        </w:rPr>
      </w:pPr>
      <w:r w:rsidRPr="00FC3BA9">
        <w:rPr>
          <w:rStyle w:val="FootnoteReference0"/>
          <w:vertAlign w:val="baseline"/>
        </w:rPr>
        <w:footnoteRef/>
      </w:r>
      <w:r w:rsidRPr="00FC3BA9">
        <w:rPr>
          <w:rtl/>
        </w:rPr>
        <w:t xml:space="preserve"> </w:t>
      </w:r>
      <w:r w:rsidRPr="00FC3BA9">
        <w:rPr>
          <w:rtl/>
        </w:rPr>
        <w:tab/>
      </w:r>
      <w:r w:rsidRPr="00FC3BA9">
        <w:rPr>
          <w:rFonts w:hint="cs"/>
          <w:rtl/>
        </w:rPr>
        <w:t>מס' 900.</w:t>
      </w:r>
    </w:p>
  </w:footnote>
  <w:footnote w:id="32">
    <w:p w:rsidR="00EF45C8" w:rsidRPr="00FC3BA9" w:rsidP="00EF45C8">
      <w:pPr>
        <w:pStyle w:val="FootnoteText"/>
      </w:pPr>
      <w:r w:rsidRPr="00FC3BA9">
        <w:rPr>
          <w:rStyle w:val="FootnoteReference0"/>
          <w:vertAlign w:val="baseline"/>
        </w:rPr>
        <w:footnoteRef/>
      </w:r>
      <w:r w:rsidRPr="00FC3BA9">
        <w:rPr>
          <w:rtl/>
        </w:rPr>
        <w:t xml:space="preserve"> </w:t>
      </w:r>
      <w:r w:rsidRPr="00FC3BA9">
        <w:rPr>
          <w:rFonts w:hint="cs"/>
          <w:rtl/>
        </w:rPr>
        <w:tab/>
        <w:t>קהלת פרק א' פסוק ט'.</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2E08" w:rsidRPr="000536D4" w:rsidP="003D09D3">
    <w:pPr>
      <w:pStyle w:val="Heading1"/>
      <w:pBdr>
        <w:bottom w:val="none" w:sz="0" w:space="0" w:color="auto"/>
      </w:pBdr>
      <w:tabs>
        <w:tab w:val="center" w:pos="4536"/>
        <w:tab w:val="right" w:pos="9072"/>
      </w:tabs>
      <w:ind w:left="0" w:firstLine="0"/>
      <w:rPr>
        <w:rFonts w:ascii="Arial Bold" w:hAnsi="Arial Bold" w:cs="Tahoma"/>
        <w:b w:val="0"/>
        <w:bCs w:val="0"/>
        <w:sz w:val="16"/>
        <w:szCs w:val="16"/>
      </w:rPr>
    </w:pPr>
    <w:r w:rsidRPr="000536D4">
      <w:rPr>
        <w:rFonts w:ascii="Arial Bold" w:hAnsi="Arial Bold" w:cs="Tahoma"/>
        <w:sz w:val="16"/>
        <w:szCs w:val="16"/>
      </w:rPr>
      <w:fldChar w:fldCharType="begin"/>
    </w:r>
    <w:r w:rsidRPr="000536D4">
      <w:rPr>
        <w:rFonts w:ascii="Arial Bold" w:hAnsi="Arial Bold" w:cs="Tahoma"/>
        <w:sz w:val="16"/>
        <w:szCs w:val="16"/>
      </w:rPr>
      <w:instrText xml:space="preserve"> PAGE   \* MERGEFORMAT </w:instrText>
    </w:r>
    <w:r w:rsidRPr="000536D4">
      <w:rPr>
        <w:rFonts w:ascii="Arial Bold" w:hAnsi="Arial Bold" w:cs="Tahoma"/>
        <w:sz w:val="16"/>
        <w:szCs w:val="16"/>
      </w:rPr>
      <w:fldChar w:fldCharType="separate"/>
    </w:r>
    <w:r>
      <w:rPr>
        <w:rFonts w:ascii="Arial Bold" w:hAnsi="Arial Bold" w:cs="Tahoma"/>
        <w:noProof/>
        <w:sz w:val="16"/>
        <w:szCs w:val="16"/>
        <w:rtl/>
      </w:rPr>
      <w:t>168</w:t>
    </w:r>
    <w:r w:rsidRPr="000536D4">
      <w:rPr>
        <w:rFonts w:ascii="Arial Bold" w:hAnsi="Arial Bold" w:cs="Tahoma"/>
        <w:noProof/>
        <w:sz w:val="16"/>
        <w:szCs w:val="16"/>
      </w:rPr>
      <w:fldChar w:fldCharType="end"/>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hint="cs"/>
        <w:b w:val="0"/>
        <w:bCs w:val="0"/>
        <w:spacing w:val="-40"/>
        <w:sz w:val="16"/>
        <w:szCs w:val="16"/>
        <w:rtl/>
      </w:rPr>
      <w:t>|</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hint="eastAsia"/>
        <w:b w:val="0"/>
        <w:bCs w:val="0"/>
        <w:sz w:val="16"/>
        <w:szCs w:val="16"/>
        <w:rtl/>
      </w:rPr>
      <w:t>דוח</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שנתי</w:t>
    </w:r>
    <w:r w:rsidRPr="000536D4">
      <w:rPr>
        <w:rFonts w:ascii="Arial Bold" w:hAnsi="Arial Bold" w:cs="Tahoma"/>
        <w:b w:val="0"/>
        <w:bCs w:val="0"/>
        <w:sz w:val="16"/>
        <w:szCs w:val="16"/>
        <w:rtl/>
      </w:rPr>
      <w:t xml:space="preserve"> 65</w:t>
    </w:r>
    <w:r w:rsidRPr="000536D4">
      <w:rPr>
        <w:rFonts w:ascii="Arial Bold" w:hAnsi="Arial Bold" w:cs="Tahoma" w:hint="eastAsia"/>
        <w:b w:val="0"/>
        <w:bCs w:val="0"/>
        <w:sz w:val="16"/>
        <w:szCs w:val="16"/>
        <w:rtl/>
      </w:rPr>
      <w:t>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2E08" w:rsidRPr="000536D4" w:rsidP="003D09D3">
    <w:pPr>
      <w:pStyle w:val="Heading1"/>
      <w:pBdr>
        <w:bottom w:val="none" w:sz="0" w:space="0" w:color="auto"/>
      </w:pBdr>
      <w:tabs>
        <w:tab w:val="center" w:pos="4536"/>
        <w:tab w:val="right" w:pos="9072"/>
      </w:tabs>
      <w:ind w:left="0" w:firstLine="0"/>
      <w:jc w:val="right"/>
      <w:rPr>
        <w:rFonts w:ascii="Arial Bold" w:hAnsi="Arial Bold" w:cs="Tahoma"/>
        <w:sz w:val="16"/>
        <w:szCs w:val="16"/>
      </w:rPr>
    </w:pPr>
    <w:r w:rsidRPr="000536D4">
      <w:rPr>
        <w:rFonts w:ascii="Arial Bold" w:hAnsi="Arial Bold" w:cs="Tahoma" w:hint="eastAsia"/>
        <w:b w:val="0"/>
        <w:bCs w:val="0"/>
        <w:sz w:val="16"/>
        <w:szCs w:val="16"/>
        <w:rtl/>
      </w:rPr>
      <w:t>אבדן</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מזון</w:t>
    </w:r>
    <w:r w:rsidRPr="000536D4">
      <w:rPr>
        <w:rFonts w:ascii="Arial Bold" w:hAnsi="Arial Bold" w:cs="Tahoma"/>
        <w:b w:val="0"/>
        <w:bCs w:val="0"/>
        <w:sz w:val="16"/>
        <w:szCs w:val="16"/>
        <w:rtl/>
      </w:rPr>
      <w:t xml:space="preserve"> - </w:t>
    </w:r>
    <w:r w:rsidRPr="000536D4">
      <w:rPr>
        <w:rFonts w:ascii="Arial Bold" w:hAnsi="Arial Bold" w:cs="Tahoma" w:hint="eastAsia"/>
        <w:b w:val="0"/>
        <w:bCs w:val="0"/>
        <w:sz w:val="16"/>
        <w:szCs w:val="16"/>
        <w:rtl/>
      </w:rPr>
      <w:t>השלכות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חברתיות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סביבתיות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וכלכליות</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hint="cs"/>
        <w:b w:val="0"/>
        <w:bCs w:val="0"/>
        <w:spacing w:val="-40"/>
        <w:sz w:val="16"/>
        <w:szCs w:val="16"/>
        <w:rtl/>
      </w:rPr>
      <w:t>|</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sz w:val="16"/>
        <w:szCs w:val="16"/>
      </w:rPr>
      <w:fldChar w:fldCharType="begin"/>
    </w:r>
    <w:r w:rsidRPr="000536D4">
      <w:rPr>
        <w:rFonts w:ascii="Arial Bold" w:hAnsi="Arial Bold" w:cs="Tahoma"/>
        <w:sz w:val="16"/>
        <w:szCs w:val="16"/>
      </w:rPr>
      <w:instrText xml:space="preserve"> PAGE   \* MERGEFORMAT </w:instrText>
    </w:r>
    <w:r w:rsidRPr="000536D4">
      <w:rPr>
        <w:rFonts w:ascii="Arial Bold" w:hAnsi="Arial Bold" w:cs="Tahoma"/>
        <w:sz w:val="16"/>
        <w:szCs w:val="16"/>
      </w:rPr>
      <w:fldChar w:fldCharType="separate"/>
    </w:r>
    <w:r>
      <w:rPr>
        <w:rFonts w:ascii="Arial Bold" w:hAnsi="Arial Bold" w:cs="Tahoma"/>
        <w:noProof/>
        <w:sz w:val="16"/>
        <w:szCs w:val="16"/>
        <w:rtl/>
      </w:rPr>
      <w:t>167</w:t>
    </w:r>
    <w:r w:rsidRPr="000536D4">
      <w:rPr>
        <w:rFonts w:ascii="Arial Bold" w:hAnsi="Arial Bold" w:cs="Tahoma"/>
        <w:noProof/>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2E08" w:rsidRPr="007F1A39" w:rsidP="007F1A39">
    <w:pPr>
      <w:pStyle w:val="Header"/>
      <w:spacing w:before="240" w:after="180"/>
      <w:rPr>
        <w:rFonts w:ascii="Tahoma" w:hAnsi="Tahoma" w:eastAsiaTheme="majorEastAsia" w:cs="Tahoma"/>
        <w:noProof/>
        <w:color w:val="0B5294" w:themeColor="accent1" w:themeShade="BF"/>
        <w:sz w:val="16"/>
        <w:szCs w:val="16"/>
      </w:rPr>
    </w:pPr>
    <w:r w:rsidRPr="007F1A39">
      <w:rPr>
        <w:rFonts w:ascii="Tahoma" w:hAnsi="Tahoma" w:eastAsiaTheme="majorEastAsia" w:cs="Tahoma"/>
        <w:b/>
        <w:bCs/>
        <w:noProof/>
        <w:color w:val="0B5294" w:themeColor="accent1" w:themeShade="BF"/>
        <w:sz w:val="16"/>
        <w:szCs w:val="16"/>
      </w:rPr>
      <w:fldChar w:fldCharType="begin"/>
    </w:r>
    <w:r w:rsidRPr="007F1A39">
      <w:rPr>
        <w:rFonts w:ascii="Tahoma" w:hAnsi="Tahoma" w:eastAsiaTheme="majorEastAsia" w:cs="Tahoma"/>
        <w:b/>
        <w:bCs/>
        <w:noProof/>
        <w:color w:val="0B5294" w:themeColor="accent1" w:themeShade="BF"/>
        <w:sz w:val="16"/>
        <w:szCs w:val="16"/>
      </w:rPr>
      <w:instrText xml:space="preserve"> PAGE   \* MERGEFORMAT </w:instrText>
    </w:r>
    <w:r w:rsidRPr="007F1A39">
      <w:rPr>
        <w:rFonts w:ascii="Tahoma" w:hAnsi="Tahoma" w:eastAsiaTheme="majorEastAsia" w:cs="Tahoma"/>
        <w:b/>
        <w:bCs/>
        <w:noProof/>
        <w:color w:val="0B5294" w:themeColor="accent1" w:themeShade="BF"/>
        <w:sz w:val="16"/>
        <w:szCs w:val="16"/>
      </w:rPr>
      <w:fldChar w:fldCharType="separate"/>
    </w:r>
    <w:r w:rsidR="00F34F33">
      <w:rPr>
        <w:rFonts w:ascii="Tahoma" w:hAnsi="Tahoma" w:eastAsiaTheme="majorEastAsia" w:cs="Tahoma"/>
        <w:b/>
        <w:bCs/>
        <w:noProof/>
        <w:color w:val="0B5294" w:themeColor="accent1" w:themeShade="BF"/>
        <w:sz w:val="16"/>
        <w:szCs w:val="16"/>
        <w:rtl/>
      </w:rPr>
      <w:t>794</w:t>
    </w:r>
    <w:r w:rsidRPr="007F1A39">
      <w:rPr>
        <w:rFonts w:ascii="Tahoma" w:hAnsi="Tahoma" w:eastAsiaTheme="majorEastAsia" w:cs="Tahoma"/>
        <w:b/>
        <w:bCs/>
        <w:noProof/>
        <w:color w:val="0B5294" w:themeColor="accent1" w:themeShade="BF"/>
        <w:sz w:val="16"/>
        <w:szCs w:val="16"/>
      </w:rPr>
      <w:fldChar w:fldCharType="end"/>
    </w:r>
    <w:r w:rsidRPr="007F1A39">
      <w:rPr>
        <w:rFonts w:ascii="Tahoma" w:hAnsi="Tahoma" w:eastAsiaTheme="majorEastAsia" w:cs="Tahoma" w:hint="cs"/>
        <w:noProof/>
        <w:color w:val="0B5294" w:themeColor="accent1" w:themeShade="BF"/>
        <w:sz w:val="16"/>
        <w:szCs w:val="16"/>
        <w:rtl/>
      </w:rPr>
      <w:t xml:space="preserve">  |  </w:t>
    </w:r>
    <w:r w:rsidRPr="007F1A39">
      <w:rPr>
        <w:rFonts w:ascii="Tahoma" w:hAnsi="Tahoma" w:eastAsiaTheme="majorEastAsia" w:cs="Tahoma" w:hint="eastAsia"/>
        <w:noProof/>
        <w:color w:val="0B5294" w:themeColor="accent1" w:themeShade="BF"/>
        <w:sz w:val="16"/>
        <w:szCs w:val="16"/>
        <w:rtl/>
      </w:rPr>
      <mc:AlternateContent>
        <mc:Choice Requires="wps">
          <w:drawing>
            <wp:anchor distT="0" distB="0" distL="114300" distR="114300" simplePos="0" relativeHeight="251660288" behindDoc="1" locked="0" layoutInCell="1" allowOverlap="1">
              <wp:simplePos x="0" y="0"/>
              <wp:positionH relativeFrom="page">
                <wp:align>center</wp:align>
              </wp:positionH>
              <wp:positionV relativeFrom="page">
                <wp:align>center</wp:align>
              </wp:positionV>
              <wp:extent cx="7560000" cy="9720000"/>
              <wp:effectExtent l="0" t="0" r="22225" b="14605"/>
              <wp:wrapNone/>
              <wp:docPr id="9" name="Rectangle 9"/>
              <wp:cNvGraphicFramePr/>
              <a:graphic xmlns:a="http://schemas.openxmlformats.org/drawingml/2006/main">
                <a:graphicData uri="http://schemas.microsoft.com/office/word/2010/wordprocessingShape">
                  <wps:wsp xmlns:wps="http://schemas.microsoft.com/office/word/2010/wordprocessingShape">
                    <wps:cNvSpPr/>
                    <wps:spPr>
                      <a:xfrm>
                        <a:off x="0" y="0"/>
                        <a:ext cx="7560000" cy="9720000"/>
                      </a:xfrm>
                      <a:prstGeom prst="rect">
                        <a:avLst/>
                      </a:prstGeom>
                      <a:solidFill>
                        <a:srgbClr val="FEF7EA"/>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9" o:spid="_x0000_s2049" style="width:595.3pt;height:765.35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55168" fillcolor="#fef7ea" strokecolor="white" strokeweight="1.5pt">
              <v:stroke endcap="round"/>
            </v:rect>
          </w:pict>
        </mc:Fallback>
      </mc:AlternateContent>
    </w:r>
    <w:r w:rsidRPr="007F1A39" w:rsidR="00D36781">
      <w:rPr>
        <w:rFonts w:ascii="Tahoma" w:hAnsi="Tahoma" w:eastAsiaTheme="majorEastAsia" w:cs="Tahoma" w:hint="cs"/>
        <w:noProof/>
        <w:color w:val="0B5294" w:themeColor="accent1" w:themeShade="BF"/>
        <w:sz w:val="16"/>
        <w:szCs w:val="16"/>
        <w:rtl/>
      </w:rPr>
      <w:t>מסגרת הפרסום</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2E08" w:rsidRPr="007F1A39" w:rsidP="00771B61">
    <w:pPr>
      <w:pStyle w:val="Header"/>
      <w:spacing w:before="240" w:after="180"/>
      <w:jc w:val="right"/>
      <w:rPr>
        <w:rFonts w:ascii="Tahoma" w:hAnsi="Tahoma" w:eastAsiaTheme="majorEastAsia" w:cs="Tahoma"/>
        <w:noProof/>
        <w:color w:val="0B5294" w:themeColor="accent1" w:themeShade="BF"/>
        <w:sz w:val="16"/>
        <w:szCs w:val="16"/>
      </w:rPr>
    </w:pPr>
    <w:r w:rsidRPr="007F1A39">
      <w:rPr>
        <w:rFonts w:ascii="Tahoma" w:hAnsi="Tahoma" w:eastAsiaTheme="majorEastAsia" w:cs="Tahoma" w:hint="eastAsia"/>
        <w:noProof/>
        <w:color w:val="0B5294" w:themeColor="accent1" w:themeShade="BF"/>
        <w:sz w:val="16"/>
        <w:szCs w:val="16"/>
        <w:rtl/>
      </w:rPr>
      <mc:AlternateContent>
        <mc:Choice Requires="wps">
          <w:drawing>
            <wp:anchor distT="0" distB="0" distL="114300" distR="114300" simplePos="0" relativeHeight="251658240" behindDoc="1" locked="0" layoutInCell="1" allowOverlap="1">
              <wp:simplePos x="0" y="0"/>
              <wp:positionH relativeFrom="page">
                <wp:align>center</wp:align>
              </wp:positionH>
              <wp:positionV relativeFrom="page">
                <wp:align>center</wp:align>
              </wp:positionV>
              <wp:extent cx="7560000" cy="9720000"/>
              <wp:effectExtent l="0" t="0" r="22225" b="14605"/>
              <wp:wrapNone/>
              <wp:docPr id="8"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7560000" cy="9720000"/>
                      </a:xfrm>
                      <a:prstGeom prst="rect">
                        <a:avLst/>
                      </a:prstGeom>
                      <a:solidFill>
                        <a:srgbClr val="FEF7EA"/>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 o:spid="_x0000_s2050" style="width:595.3pt;height:765.35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57216" fillcolor="#fef7ea" strokecolor="white" strokeweight="1.5pt">
              <v:stroke endcap="round"/>
            </v:rect>
          </w:pict>
        </mc:Fallback>
      </mc:AlternateContent>
    </w:r>
    <w:r w:rsidRPr="00771B61" w:rsidR="00771B61">
      <w:rPr>
        <w:rFonts w:ascii="Tahoma" w:hAnsi="Tahoma" w:eastAsiaTheme="majorEastAsia" w:cs="Tahoma" w:hint="eastAsia"/>
        <w:noProof/>
        <w:color w:val="0B5294" w:themeColor="accent1" w:themeShade="BF"/>
        <w:sz w:val="16"/>
        <w:szCs w:val="16"/>
        <w:rtl/>
      </w:rPr>
      <w:t>המשרד</w:t>
    </w:r>
    <w:r w:rsidRPr="00771B61" w:rsidR="00771B61">
      <w:rPr>
        <w:rFonts w:ascii="Tahoma" w:hAnsi="Tahoma" w:eastAsiaTheme="majorEastAsia" w:cs="Tahoma"/>
        <w:noProof/>
        <w:color w:val="0B5294" w:themeColor="accent1" w:themeShade="BF"/>
        <w:sz w:val="16"/>
        <w:szCs w:val="16"/>
        <w:rtl/>
      </w:rPr>
      <w:t xml:space="preserve"> </w:t>
    </w:r>
    <w:r w:rsidRPr="00771B61" w:rsidR="00771B61">
      <w:rPr>
        <w:rFonts w:ascii="Tahoma" w:hAnsi="Tahoma" w:eastAsiaTheme="majorEastAsia" w:cs="Tahoma" w:hint="eastAsia"/>
        <w:noProof/>
        <w:color w:val="0B5294" w:themeColor="accent1" w:themeShade="BF"/>
        <w:sz w:val="16"/>
        <w:szCs w:val="16"/>
        <w:rtl/>
      </w:rPr>
      <w:t>לשירותי</w:t>
    </w:r>
    <w:r w:rsidRPr="00771B61" w:rsidR="00771B61">
      <w:rPr>
        <w:rFonts w:ascii="Tahoma" w:hAnsi="Tahoma" w:eastAsiaTheme="majorEastAsia" w:cs="Tahoma"/>
        <w:noProof/>
        <w:color w:val="0B5294" w:themeColor="accent1" w:themeShade="BF"/>
        <w:sz w:val="16"/>
        <w:szCs w:val="16"/>
        <w:rtl/>
      </w:rPr>
      <w:t xml:space="preserve"> </w:t>
    </w:r>
    <w:r w:rsidRPr="00771B61" w:rsidR="00771B61">
      <w:rPr>
        <w:rFonts w:ascii="Tahoma" w:hAnsi="Tahoma" w:eastAsiaTheme="majorEastAsia" w:cs="Tahoma" w:hint="eastAsia"/>
        <w:noProof/>
        <w:color w:val="0B5294" w:themeColor="accent1" w:themeShade="BF"/>
        <w:sz w:val="16"/>
        <w:szCs w:val="16"/>
        <w:rtl/>
      </w:rPr>
      <w:t>דת</w:t>
    </w:r>
    <w:r w:rsidRPr="007F1A39">
      <w:rPr>
        <w:rFonts w:ascii="Tahoma" w:hAnsi="Tahoma" w:eastAsiaTheme="majorEastAsia" w:cs="Tahoma" w:hint="cs"/>
        <w:noProof/>
        <w:color w:val="0B5294" w:themeColor="accent1" w:themeShade="BF"/>
        <w:sz w:val="16"/>
        <w:szCs w:val="16"/>
        <w:rtl/>
      </w:rPr>
      <w:t xml:space="preserve">  |  </w:t>
    </w:r>
    <w:r w:rsidRPr="007F1A39">
      <w:rPr>
        <w:rFonts w:ascii="Tahoma" w:hAnsi="Tahoma" w:eastAsiaTheme="majorEastAsia" w:cs="Tahoma"/>
        <w:b/>
        <w:bCs/>
        <w:noProof/>
        <w:color w:val="0B5294" w:themeColor="accent1" w:themeShade="BF"/>
        <w:sz w:val="16"/>
        <w:szCs w:val="16"/>
      </w:rPr>
      <w:fldChar w:fldCharType="begin"/>
    </w:r>
    <w:r w:rsidRPr="007F1A39">
      <w:rPr>
        <w:rFonts w:ascii="Tahoma" w:hAnsi="Tahoma" w:eastAsiaTheme="majorEastAsia" w:cs="Tahoma"/>
        <w:b/>
        <w:bCs/>
        <w:noProof/>
        <w:color w:val="0B5294" w:themeColor="accent1" w:themeShade="BF"/>
        <w:sz w:val="16"/>
        <w:szCs w:val="16"/>
      </w:rPr>
      <w:instrText xml:space="preserve"> PAGE   \* MERGEFORMAT </w:instrText>
    </w:r>
    <w:r w:rsidRPr="007F1A39">
      <w:rPr>
        <w:rFonts w:ascii="Tahoma" w:hAnsi="Tahoma" w:eastAsiaTheme="majorEastAsia" w:cs="Tahoma"/>
        <w:b/>
        <w:bCs/>
        <w:noProof/>
        <w:color w:val="0B5294" w:themeColor="accent1" w:themeShade="BF"/>
        <w:sz w:val="16"/>
        <w:szCs w:val="16"/>
      </w:rPr>
      <w:fldChar w:fldCharType="separate"/>
    </w:r>
    <w:r w:rsidR="00F34F33">
      <w:rPr>
        <w:rFonts w:ascii="Tahoma" w:hAnsi="Tahoma" w:eastAsiaTheme="majorEastAsia" w:cs="Tahoma"/>
        <w:b/>
        <w:bCs/>
        <w:noProof/>
        <w:color w:val="0B5294" w:themeColor="accent1" w:themeShade="BF"/>
        <w:sz w:val="16"/>
        <w:szCs w:val="16"/>
        <w:rtl/>
      </w:rPr>
      <w:t>795</w:t>
    </w:r>
    <w:r w:rsidRPr="007F1A39">
      <w:rPr>
        <w:rFonts w:ascii="Tahoma" w:hAnsi="Tahoma" w:eastAsiaTheme="majorEastAsia" w:cs="Tahoma"/>
        <w:b/>
        <w:bCs/>
        <w:noProof/>
        <w:color w:val="0B5294" w:themeColor="accent1" w:themeShade="BF"/>
        <w:sz w:val="16"/>
        <w:szCs w:val="16"/>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2E08" w:rsidRPr="000536D4" w:rsidP="006C5F46">
    <w:pPr>
      <w:pStyle w:val="Heading1"/>
      <w:pBdr>
        <w:bottom w:val="none" w:sz="0" w:space="0" w:color="auto"/>
      </w:pBdr>
      <w:tabs>
        <w:tab w:val="center" w:pos="4536"/>
        <w:tab w:val="right" w:pos="9072"/>
      </w:tabs>
      <w:ind w:left="0" w:firstLine="0"/>
      <w:jc w:val="right"/>
      <w:rPr>
        <w:rFonts w:ascii="Arial Bold" w:hAnsi="Arial Bold" w:cs="Tahoma"/>
        <w:sz w:val="16"/>
        <w:szCs w:val="16"/>
      </w:rPr>
    </w:pPr>
    <w:r w:rsidRPr="000536D4">
      <w:rPr>
        <w:rFonts w:ascii="Arial Bold" w:hAnsi="Arial Bold" w:cs="Tahoma" w:hint="eastAsia"/>
        <w:b w:val="0"/>
        <w:bCs w:val="0"/>
        <w:sz w:val="16"/>
        <w:szCs w:val="16"/>
        <w:rtl/>
      </w:rPr>
      <w:t>אבדן</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מזון</w:t>
    </w:r>
    <w:r w:rsidRPr="000536D4">
      <w:rPr>
        <w:rFonts w:ascii="Arial Bold" w:hAnsi="Arial Bold" w:cs="Tahoma"/>
        <w:b w:val="0"/>
        <w:bCs w:val="0"/>
        <w:sz w:val="16"/>
        <w:szCs w:val="16"/>
        <w:rtl/>
      </w:rPr>
      <w:t xml:space="preserve"> - </w:t>
    </w:r>
    <w:r w:rsidRPr="000536D4">
      <w:rPr>
        <w:rFonts w:ascii="Arial Bold" w:hAnsi="Arial Bold" w:cs="Tahoma" w:hint="eastAsia"/>
        <w:b w:val="0"/>
        <w:bCs w:val="0"/>
        <w:sz w:val="16"/>
        <w:szCs w:val="16"/>
        <w:rtl/>
      </w:rPr>
      <w:t>השלכות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חברתיות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סביבתיות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וכלכליות</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hint="cs"/>
        <w:b w:val="0"/>
        <w:bCs w:val="0"/>
        <w:spacing w:val="-40"/>
        <w:sz w:val="16"/>
        <w:szCs w:val="16"/>
        <w:rtl/>
      </w:rPr>
      <w:t>|</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sz w:val="16"/>
        <w:szCs w:val="16"/>
      </w:rPr>
      <w:fldChar w:fldCharType="begin"/>
    </w:r>
    <w:r w:rsidRPr="000536D4">
      <w:rPr>
        <w:rFonts w:ascii="Arial Bold" w:hAnsi="Arial Bold" w:cs="Tahoma"/>
        <w:sz w:val="16"/>
        <w:szCs w:val="16"/>
      </w:rPr>
      <w:instrText xml:space="preserve"> PAGE   \* MERGEFORMAT </w:instrText>
    </w:r>
    <w:r w:rsidRPr="000536D4">
      <w:rPr>
        <w:rFonts w:ascii="Arial Bold" w:hAnsi="Arial Bold" w:cs="Tahoma"/>
        <w:sz w:val="16"/>
        <w:szCs w:val="16"/>
      </w:rPr>
      <w:fldChar w:fldCharType="separate"/>
    </w:r>
    <w:r>
      <w:rPr>
        <w:rFonts w:ascii="Arial Bold" w:hAnsi="Arial Bold" w:cs="Tahoma"/>
        <w:noProof/>
        <w:sz w:val="16"/>
        <w:szCs w:val="16"/>
        <w:rtl/>
      </w:rPr>
      <w:t>163</w:t>
    </w:r>
    <w:r w:rsidRPr="000536D4">
      <w:rPr>
        <w:rFonts w:ascii="Arial Bold" w:hAnsi="Arial Bold" w:cs="Tahoma"/>
        <w:noProof/>
        <w:sz w:val="16"/>
        <w:szCs w:val="16"/>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501E" w:rsidRPr="00B4501E" w:rsidP="00B4501E">
    <w:pPr>
      <w:pStyle w:val="Header"/>
      <w:spacing w:before="240" w:after="180"/>
      <w:rPr>
        <w:rFonts w:ascii="Tahoma" w:hAnsi="Tahoma" w:eastAsiaTheme="majorEastAsia" w:cs="Tahoma"/>
        <w:color w:val="0B5294" w:themeColor="accent1" w:themeShade="BF"/>
        <w:sz w:val="16"/>
        <w:szCs w:val="16"/>
      </w:rPr>
    </w:pPr>
    <w:r w:rsidRPr="00B4501E">
      <w:rPr>
        <w:rFonts w:ascii="Tahoma" w:hAnsi="Tahoma" w:eastAsiaTheme="majorEastAsia" w:cs="Tahoma"/>
        <w:b/>
        <w:bCs/>
        <w:color w:val="0B5294" w:themeColor="accent1" w:themeShade="BF"/>
        <w:sz w:val="16"/>
        <w:szCs w:val="16"/>
      </w:rPr>
      <w:fldChar w:fldCharType="begin"/>
    </w:r>
    <w:r w:rsidRPr="00B4501E">
      <w:rPr>
        <w:rFonts w:ascii="Tahoma" w:hAnsi="Tahoma" w:eastAsiaTheme="majorEastAsia" w:cs="Tahoma"/>
        <w:b/>
        <w:bCs/>
        <w:color w:val="0B5294" w:themeColor="accent1" w:themeShade="BF"/>
        <w:sz w:val="16"/>
        <w:szCs w:val="16"/>
      </w:rPr>
      <w:instrText xml:space="preserve"> PAGE   \* MERGEFORMAT </w:instrText>
    </w:r>
    <w:r w:rsidRPr="00B4501E">
      <w:rPr>
        <w:rFonts w:ascii="Tahoma" w:hAnsi="Tahoma" w:eastAsiaTheme="majorEastAsia" w:cs="Tahoma"/>
        <w:b/>
        <w:bCs/>
        <w:color w:val="0B5294" w:themeColor="accent1" w:themeShade="BF"/>
        <w:sz w:val="16"/>
        <w:szCs w:val="16"/>
      </w:rPr>
      <w:fldChar w:fldCharType="separate"/>
    </w:r>
    <w:r w:rsidR="00F34F33">
      <w:rPr>
        <w:rFonts w:ascii="Tahoma" w:hAnsi="Tahoma" w:eastAsiaTheme="majorEastAsia" w:cs="Tahoma"/>
        <w:b/>
        <w:bCs/>
        <w:noProof/>
        <w:color w:val="0B5294" w:themeColor="accent1" w:themeShade="BF"/>
        <w:sz w:val="16"/>
        <w:szCs w:val="16"/>
        <w:rtl/>
      </w:rPr>
      <w:t>828</w:t>
    </w:r>
    <w:r w:rsidRPr="00B4501E">
      <w:rPr>
        <w:rFonts w:ascii="Tahoma" w:hAnsi="Tahoma" w:eastAsiaTheme="majorEastAsia" w:cs="Tahoma"/>
        <w:b/>
        <w:bCs/>
        <w:color w:val="0B5294" w:themeColor="accent1" w:themeShade="BF"/>
        <w:sz w:val="16"/>
        <w:szCs w:val="16"/>
      </w:rPr>
      <w:fldChar w:fldCharType="end"/>
    </w:r>
    <w:r w:rsidRPr="00B4501E">
      <w:rPr>
        <w:rFonts w:ascii="Tahoma" w:hAnsi="Tahoma" w:eastAsiaTheme="majorEastAsia" w:cs="Tahoma"/>
        <w:color w:val="0B5294" w:themeColor="accent1" w:themeShade="BF"/>
        <w:sz w:val="16"/>
        <w:szCs w:val="16"/>
        <w:rtl/>
      </w:rPr>
      <w:t xml:space="preserve">  |  מסגרת הפרסום</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501E" w:rsidRPr="007F1A39" w:rsidP="007F1A39">
    <w:pPr>
      <w:pStyle w:val="Header"/>
      <w:spacing w:before="240" w:after="180"/>
      <w:jc w:val="right"/>
      <w:rPr>
        <w:rFonts w:ascii="Tahoma" w:hAnsi="Tahoma" w:eastAsiaTheme="majorEastAsia" w:cs="Tahoma"/>
        <w:noProof/>
        <w:color w:val="0B5294" w:themeColor="accent1" w:themeShade="BF"/>
        <w:sz w:val="16"/>
        <w:szCs w:val="16"/>
      </w:rPr>
    </w:pPr>
    <w:r w:rsidRPr="00771B61">
      <w:rPr>
        <w:rFonts w:ascii="Tahoma" w:hAnsi="Tahoma" w:eastAsiaTheme="majorEastAsia" w:cs="Tahoma" w:hint="eastAsia"/>
        <w:noProof/>
        <w:color w:val="0B5294" w:themeColor="accent1" w:themeShade="BF"/>
        <w:sz w:val="16"/>
        <w:szCs w:val="16"/>
        <w:rtl/>
      </w:rPr>
      <w:t>המשרד</w:t>
    </w:r>
    <w:r w:rsidRPr="00771B61">
      <w:rPr>
        <w:rFonts w:ascii="Tahoma" w:hAnsi="Tahoma" w:eastAsiaTheme="majorEastAsia" w:cs="Tahoma"/>
        <w:noProof/>
        <w:color w:val="0B5294" w:themeColor="accent1" w:themeShade="BF"/>
        <w:sz w:val="16"/>
        <w:szCs w:val="16"/>
        <w:rtl/>
      </w:rPr>
      <w:t xml:space="preserve"> </w:t>
    </w:r>
    <w:r w:rsidRPr="00771B61">
      <w:rPr>
        <w:rFonts w:ascii="Tahoma" w:hAnsi="Tahoma" w:eastAsiaTheme="majorEastAsia" w:cs="Tahoma" w:hint="eastAsia"/>
        <w:noProof/>
        <w:color w:val="0B5294" w:themeColor="accent1" w:themeShade="BF"/>
        <w:sz w:val="16"/>
        <w:szCs w:val="16"/>
        <w:rtl/>
      </w:rPr>
      <w:t>לשירותי</w:t>
    </w:r>
    <w:r w:rsidRPr="00771B61">
      <w:rPr>
        <w:rFonts w:ascii="Tahoma" w:hAnsi="Tahoma" w:eastAsiaTheme="majorEastAsia" w:cs="Tahoma"/>
        <w:noProof/>
        <w:color w:val="0B5294" w:themeColor="accent1" w:themeShade="BF"/>
        <w:sz w:val="16"/>
        <w:szCs w:val="16"/>
        <w:rtl/>
      </w:rPr>
      <w:t xml:space="preserve"> </w:t>
    </w:r>
    <w:r w:rsidRPr="00771B61">
      <w:rPr>
        <w:rFonts w:ascii="Tahoma" w:hAnsi="Tahoma" w:eastAsiaTheme="majorEastAsia" w:cs="Tahoma" w:hint="eastAsia"/>
        <w:noProof/>
        <w:color w:val="0B5294" w:themeColor="accent1" w:themeShade="BF"/>
        <w:sz w:val="16"/>
        <w:szCs w:val="16"/>
        <w:rtl/>
      </w:rPr>
      <w:t>דת</w:t>
    </w:r>
    <w:r w:rsidRPr="007F1A39">
      <w:rPr>
        <w:rFonts w:ascii="Tahoma" w:hAnsi="Tahoma" w:eastAsiaTheme="majorEastAsia" w:cs="Tahoma" w:hint="cs"/>
        <w:noProof/>
        <w:color w:val="0B5294" w:themeColor="accent1" w:themeShade="BF"/>
        <w:sz w:val="16"/>
        <w:szCs w:val="16"/>
        <w:rtl/>
      </w:rPr>
      <w:t xml:space="preserve">  |  </w:t>
    </w:r>
    <w:r w:rsidRPr="007F1A39">
      <w:rPr>
        <w:rFonts w:ascii="Tahoma" w:hAnsi="Tahoma" w:eastAsiaTheme="majorEastAsia" w:cs="Tahoma"/>
        <w:b/>
        <w:bCs/>
        <w:noProof/>
        <w:color w:val="0B5294" w:themeColor="accent1" w:themeShade="BF"/>
        <w:sz w:val="16"/>
        <w:szCs w:val="16"/>
      </w:rPr>
      <w:fldChar w:fldCharType="begin"/>
    </w:r>
    <w:r w:rsidRPr="007F1A39">
      <w:rPr>
        <w:rFonts w:ascii="Tahoma" w:hAnsi="Tahoma" w:eastAsiaTheme="majorEastAsia" w:cs="Tahoma"/>
        <w:b/>
        <w:bCs/>
        <w:noProof/>
        <w:color w:val="0B5294" w:themeColor="accent1" w:themeShade="BF"/>
        <w:sz w:val="16"/>
        <w:szCs w:val="16"/>
      </w:rPr>
      <w:instrText xml:space="preserve"> PAGE   \* MERGEFORMAT </w:instrText>
    </w:r>
    <w:r w:rsidRPr="007F1A39">
      <w:rPr>
        <w:rFonts w:ascii="Tahoma" w:hAnsi="Tahoma" w:eastAsiaTheme="majorEastAsia" w:cs="Tahoma"/>
        <w:b/>
        <w:bCs/>
        <w:noProof/>
        <w:color w:val="0B5294" w:themeColor="accent1" w:themeShade="BF"/>
        <w:sz w:val="16"/>
        <w:szCs w:val="16"/>
      </w:rPr>
      <w:fldChar w:fldCharType="separate"/>
    </w:r>
    <w:r w:rsidR="00F34F33">
      <w:rPr>
        <w:rFonts w:ascii="Tahoma" w:hAnsi="Tahoma" w:eastAsiaTheme="majorEastAsia" w:cs="Tahoma"/>
        <w:b/>
        <w:bCs/>
        <w:noProof/>
        <w:color w:val="0B5294" w:themeColor="accent1" w:themeShade="BF"/>
        <w:sz w:val="16"/>
        <w:szCs w:val="16"/>
        <w:rtl/>
      </w:rPr>
      <w:t>829</w:t>
    </w:r>
    <w:r w:rsidRPr="007F1A39">
      <w:rPr>
        <w:rFonts w:ascii="Tahoma" w:hAnsi="Tahoma" w:eastAsiaTheme="majorEastAsia" w:cs="Tahoma"/>
        <w:b/>
        <w:bCs/>
        <w:noProof/>
        <w:color w:val="0B5294" w:themeColor="accent1" w:themeShade="BF"/>
        <w:sz w:val="16"/>
        <w:szCs w:val="16"/>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F3F" w:rsidRPr="00327F3F" w:rsidP="00327F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0C2B2D"/>
    <w:multiLevelType w:val="hybridMultilevel"/>
    <w:tmpl w:val="68667FA2"/>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0DF4A07"/>
    <w:multiLevelType w:val="hybridMultilevel"/>
    <w:tmpl w:val="537A00B0"/>
    <w:lvl w:ilvl="0">
      <w:start w:val="1"/>
      <w:numFmt w:val="decimal"/>
      <w:pStyle w:val="takzir-list-paragraph"/>
      <w:lvlText w:val="%1."/>
      <w:lvlJc w:val="left"/>
      <w:pPr>
        <w:ind w:left="890" w:hanging="360"/>
      </w:pPr>
    </w:lvl>
    <w:lvl w:ilvl="1" w:tentative="1">
      <w:start w:val="1"/>
      <w:numFmt w:val="lowerLetter"/>
      <w:lvlText w:val="%2."/>
      <w:lvlJc w:val="left"/>
      <w:pPr>
        <w:ind w:left="1610" w:hanging="360"/>
      </w:pPr>
    </w:lvl>
    <w:lvl w:ilvl="2" w:tentative="1">
      <w:start w:val="1"/>
      <w:numFmt w:val="lowerRoman"/>
      <w:lvlText w:val="%3."/>
      <w:lvlJc w:val="right"/>
      <w:pPr>
        <w:ind w:left="2330" w:hanging="180"/>
      </w:pPr>
    </w:lvl>
    <w:lvl w:ilvl="3" w:tentative="1">
      <w:start w:val="1"/>
      <w:numFmt w:val="decimal"/>
      <w:lvlText w:val="%4."/>
      <w:lvlJc w:val="left"/>
      <w:pPr>
        <w:ind w:left="3050" w:hanging="360"/>
      </w:pPr>
    </w:lvl>
    <w:lvl w:ilvl="4" w:tentative="1">
      <w:start w:val="1"/>
      <w:numFmt w:val="lowerLetter"/>
      <w:lvlText w:val="%5."/>
      <w:lvlJc w:val="left"/>
      <w:pPr>
        <w:ind w:left="3770" w:hanging="360"/>
      </w:pPr>
    </w:lvl>
    <w:lvl w:ilvl="5" w:tentative="1">
      <w:start w:val="1"/>
      <w:numFmt w:val="lowerRoman"/>
      <w:lvlText w:val="%6."/>
      <w:lvlJc w:val="right"/>
      <w:pPr>
        <w:ind w:left="4490" w:hanging="180"/>
      </w:pPr>
    </w:lvl>
    <w:lvl w:ilvl="6" w:tentative="1">
      <w:start w:val="1"/>
      <w:numFmt w:val="decimal"/>
      <w:lvlText w:val="%7."/>
      <w:lvlJc w:val="left"/>
      <w:pPr>
        <w:ind w:left="5210" w:hanging="360"/>
      </w:pPr>
    </w:lvl>
    <w:lvl w:ilvl="7" w:tentative="1">
      <w:start w:val="1"/>
      <w:numFmt w:val="lowerLetter"/>
      <w:lvlText w:val="%8."/>
      <w:lvlJc w:val="left"/>
      <w:pPr>
        <w:ind w:left="5930" w:hanging="360"/>
      </w:pPr>
    </w:lvl>
    <w:lvl w:ilvl="8" w:tentative="1">
      <w:start w:val="1"/>
      <w:numFmt w:val="lowerRoman"/>
      <w:lvlText w:val="%9."/>
      <w:lvlJc w:val="right"/>
      <w:pPr>
        <w:ind w:left="6650" w:hanging="180"/>
      </w:pPr>
    </w:lvl>
  </w:abstractNum>
  <w:abstractNum w:abstractNumId="2">
    <w:nsid w:val="235F1CDB"/>
    <w:multiLevelType w:val="hybridMultilevel"/>
    <w:tmpl w:val="8284614E"/>
    <w:lvl w:ilvl="0">
      <w:start w:val="1"/>
      <w:numFmt w:val="decimal"/>
      <w:pStyle w:val="ListParagraph"/>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B767EEB"/>
    <w:multiLevelType w:val="hybridMultilevel"/>
    <w:tmpl w:val="68667FA2"/>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2907E6D"/>
    <w:multiLevelType w:val="multilevel"/>
    <w:tmpl w:val="AD6C91BE"/>
    <w:lvl w:ilvl="0">
      <w:start w:val="1"/>
      <w:numFmt w:val="decimal"/>
      <w:lvlText w:val="%1"/>
      <w:lvlJc w:val="left"/>
      <w:pPr>
        <w:ind w:left="432" w:hanging="432"/>
      </w:pPr>
    </w:lvl>
    <w:lvl w:ilvl="1">
      <w:start w:val="1"/>
      <w:numFmt w:val="decimal"/>
      <w:lvlText w:val="%1.%2"/>
      <w:lvlJc w:val="left"/>
      <w:pPr>
        <w:ind w:left="1002" w:hanging="576"/>
      </w:pPr>
      <w:rPr>
        <w:b w:val="0"/>
        <w:bCs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37C254BB"/>
    <w:multiLevelType w:val="hybridMultilevel"/>
    <w:tmpl w:val="133437F8"/>
    <w:lvl w:ilvl="0">
      <w:start w:val="2"/>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38A845DF"/>
    <w:multiLevelType w:val="hybridMultilevel"/>
    <w:tmpl w:val="D2BC3054"/>
    <w:lvl w:ilvl="0">
      <w:start w:val="1"/>
      <w:numFmt w:val="decimal"/>
      <w:lvlText w:val="%1."/>
      <w:lvlJc w:val="left"/>
      <w:pPr>
        <w:ind w:left="312" w:hanging="360"/>
      </w:pPr>
      <w:rPr>
        <w:rFonts w:hint="default"/>
        <w:b w:val="0"/>
        <w:bCs w:val="0"/>
      </w:rPr>
    </w:lvl>
    <w:lvl w:ilvl="1" w:tentative="1">
      <w:start w:val="1"/>
      <w:numFmt w:val="lowerLetter"/>
      <w:lvlText w:val="%2."/>
      <w:lvlJc w:val="left"/>
      <w:pPr>
        <w:ind w:left="1032" w:hanging="360"/>
      </w:pPr>
    </w:lvl>
    <w:lvl w:ilvl="2" w:tentative="1">
      <w:start w:val="1"/>
      <w:numFmt w:val="lowerRoman"/>
      <w:lvlText w:val="%3."/>
      <w:lvlJc w:val="right"/>
      <w:pPr>
        <w:ind w:left="1752" w:hanging="180"/>
      </w:pPr>
    </w:lvl>
    <w:lvl w:ilvl="3" w:tentative="1">
      <w:start w:val="1"/>
      <w:numFmt w:val="decimal"/>
      <w:lvlText w:val="%4."/>
      <w:lvlJc w:val="left"/>
      <w:pPr>
        <w:ind w:left="2472" w:hanging="360"/>
      </w:pPr>
    </w:lvl>
    <w:lvl w:ilvl="4" w:tentative="1">
      <w:start w:val="1"/>
      <w:numFmt w:val="lowerLetter"/>
      <w:lvlText w:val="%5."/>
      <w:lvlJc w:val="left"/>
      <w:pPr>
        <w:ind w:left="3192" w:hanging="360"/>
      </w:pPr>
    </w:lvl>
    <w:lvl w:ilvl="5" w:tentative="1">
      <w:start w:val="1"/>
      <w:numFmt w:val="lowerRoman"/>
      <w:lvlText w:val="%6."/>
      <w:lvlJc w:val="right"/>
      <w:pPr>
        <w:ind w:left="3912" w:hanging="180"/>
      </w:pPr>
    </w:lvl>
    <w:lvl w:ilvl="6" w:tentative="1">
      <w:start w:val="1"/>
      <w:numFmt w:val="decimal"/>
      <w:lvlText w:val="%7."/>
      <w:lvlJc w:val="left"/>
      <w:pPr>
        <w:ind w:left="4632" w:hanging="360"/>
      </w:pPr>
    </w:lvl>
    <w:lvl w:ilvl="7" w:tentative="1">
      <w:start w:val="1"/>
      <w:numFmt w:val="lowerLetter"/>
      <w:lvlText w:val="%8."/>
      <w:lvlJc w:val="left"/>
      <w:pPr>
        <w:ind w:left="5352" w:hanging="360"/>
      </w:pPr>
    </w:lvl>
    <w:lvl w:ilvl="8" w:tentative="1">
      <w:start w:val="1"/>
      <w:numFmt w:val="lowerRoman"/>
      <w:lvlText w:val="%9."/>
      <w:lvlJc w:val="right"/>
      <w:pPr>
        <w:ind w:left="6072" w:hanging="180"/>
      </w:pPr>
    </w:lvl>
  </w:abstractNum>
  <w:abstractNum w:abstractNumId="7">
    <w:nsid w:val="66342C83"/>
    <w:multiLevelType w:val="hybridMultilevel"/>
    <w:tmpl w:val="543E2E22"/>
    <w:lvl w:ilvl="0">
      <w:start w:val="2"/>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67BF5139"/>
    <w:multiLevelType w:val="multilevel"/>
    <w:tmpl w:val="DC6C961C"/>
    <w:lvl w:ilvl="0">
      <w:start w:val="1"/>
      <w:numFmt w:val="decimal"/>
      <w:pStyle w:val="a3"/>
      <w:lvlText w:val="%1."/>
      <w:lvlJc w:val="right"/>
      <w:pPr>
        <w:tabs>
          <w:tab w:val="num" w:pos="2721"/>
        </w:tabs>
        <w:ind w:left="2721" w:hanging="397"/>
      </w:pPr>
      <w:rPr>
        <w:rFonts w:cs="FrankRuehl" w:hint="cs"/>
        <w:bCs w:val="0"/>
        <w:iCs w:val="0"/>
        <w:sz w:val="24"/>
        <w:szCs w:val="24"/>
      </w:rPr>
    </w:lvl>
    <w:lvl w:ilvl="1">
      <w:start w:val="1"/>
      <w:numFmt w:val="hebrew1"/>
      <w:lvlText w:val="(%2)"/>
      <w:lvlJc w:val="right"/>
      <w:pPr>
        <w:tabs>
          <w:tab w:val="num" w:pos="2001"/>
        </w:tabs>
        <w:ind w:left="2001" w:hanging="397"/>
      </w:pPr>
      <w:rPr>
        <w:rFonts w:cs="Times New Roman" w:hint="default"/>
        <w:sz w:val="2"/>
        <w:szCs w:val="24"/>
      </w:rPr>
    </w:lvl>
    <w:lvl w:ilvl="2">
      <w:start w:val="1"/>
      <w:numFmt w:val="decimal"/>
      <w:lvlRestart w:val="0"/>
      <w:lvlText w:val="%3)"/>
      <w:lvlJc w:val="right"/>
      <w:pPr>
        <w:tabs>
          <w:tab w:val="num" w:pos="2001"/>
        </w:tabs>
        <w:ind w:left="2001" w:hanging="397"/>
      </w:pPr>
      <w:rPr>
        <w:rFonts w:cs="Times New Roman" w:hint="default"/>
      </w:rPr>
    </w:lvl>
    <w:lvl w:ilvl="3">
      <w:start w:val="1"/>
      <w:numFmt w:val="decimal"/>
      <w:lvlText w:val="(%4)"/>
      <w:lvlJc w:val="right"/>
      <w:pPr>
        <w:tabs>
          <w:tab w:val="num" w:pos="2001"/>
        </w:tabs>
        <w:ind w:left="2001" w:hanging="397"/>
      </w:pPr>
      <w:rPr>
        <w:rFonts w:cs="Times New Roman" w:hint="default"/>
        <w:bCs w:val="0"/>
        <w:iCs w:val="0"/>
      </w:rPr>
    </w:lvl>
    <w:lvl w:ilvl="4">
      <w:start w:val="1"/>
      <w:numFmt w:val="lowerLetter"/>
      <w:lvlText w:val="(%5)"/>
      <w:lvlJc w:val="left"/>
      <w:pPr>
        <w:tabs>
          <w:tab w:val="num" w:pos="2553"/>
        </w:tabs>
        <w:ind w:left="2553" w:hanging="360"/>
      </w:pPr>
      <w:rPr>
        <w:rFonts w:cs="Times New Roman" w:hint="default"/>
      </w:rPr>
    </w:lvl>
    <w:lvl w:ilvl="5">
      <w:start w:val="1"/>
      <w:numFmt w:val="lowerRoman"/>
      <w:lvlText w:val="(%6)"/>
      <w:lvlJc w:val="left"/>
      <w:pPr>
        <w:tabs>
          <w:tab w:val="num" w:pos="2913"/>
        </w:tabs>
        <w:ind w:left="2913" w:hanging="360"/>
      </w:pPr>
      <w:rPr>
        <w:rFonts w:cs="Times New Roman" w:hint="default"/>
      </w:rPr>
    </w:lvl>
    <w:lvl w:ilvl="6">
      <w:start w:val="1"/>
      <w:numFmt w:val="decimal"/>
      <w:lvlText w:val="%7."/>
      <w:lvlJc w:val="left"/>
      <w:pPr>
        <w:tabs>
          <w:tab w:val="num" w:pos="3273"/>
        </w:tabs>
        <w:ind w:left="3273" w:hanging="360"/>
      </w:pPr>
      <w:rPr>
        <w:rFonts w:cs="Times New Roman" w:hint="default"/>
      </w:rPr>
    </w:lvl>
    <w:lvl w:ilvl="7">
      <w:start w:val="1"/>
      <w:numFmt w:val="lowerLetter"/>
      <w:lvlText w:val="%8."/>
      <w:lvlJc w:val="left"/>
      <w:pPr>
        <w:tabs>
          <w:tab w:val="num" w:pos="3633"/>
        </w:tabs>
        <w:ind w:left="3633" w:hanging="360"/>
      </w:pPr>
      <w:rPr>
        <w:rFonts w:cs="Times New Roman" w:hint="default"/>
      </w:rPr>
    </w:lvl>
    <w:lvl w:ilvl="8">
      <w:start w:val="1"/>
      <w:numFmt w:val="lowerRoman"/>
      <w:lvlText w:val="%9."/>
      <w:lvlJc w:val="left"/>
      <w:pPr>
        <w:tabs>
          <w:tab w:val="num" w:pos="3993"/>
        </w:tabs>
        <w:ind w:left="3993" w:hanging="360"/>
      </w:pPr>
      <w:rPr>
        <w:rFonts w:cs="Times New Roman" w:hint="default"/>
      </w:rPr>
    </w:lvl>
  </w:abstractNum>
  <w:abstractNum w:abstractNumId="9">
    <w:nsid w:val="6A812C87"/>
    <w:multiLevelType w:val="multilevel"/>
    <w:tmpl w:val="E7A098D0"/>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0">
    <w:nsid w:val="757A161E"/>
    <w:multiLevelType w:val="hybridMultilevel"/>
    <w:tmpl w:val="735CF9E8"/>
    <w:lvl w:ilvl="0">
      <w:start w:val="1"/>
      <w:numFmt w:val="decimal"/>
      <w:lvlText w:val="%1."/>
      <w:lvlJc w:val="left"/>
      <w:pPr>
        <w:ind w:left="947" w:hanging="360"/>
      </w:pPr>
      <w:rPr>
        <w:rFonts w:ascii="David" w:hAnsi="David" w:cs="David" w:hint="cs"/>
        <w:bCs w:val="0"/>
        <w:iCs w:val="0"/>
        <w:sz w:val="22"/>
        <w:szCs w:val="22"/>
      </w:rPr>
    </w:lvl>
    <w:lvl w:ilvl="1" w:tentative="1">
      <w:start w:val="1"/>
      <w:numFmt w:val="lowerLetter"/>
      <w:lvlText w:val="%2."/>
      <w:lvlJc w:val="left"/>
      <w:pPr>
        <w:ind w:left="1667" w:hanging="360"/>
      </w:pPr>
    </w:lvl>
    <w:lvl w:ilvl="2" w:tentative="1">
      <w:start w:val="1"/>
      <w:numFmt w:val="lowerRoman"/>
      <w:lvlText w:val="%3."/>
      <w:lvlJc w:val="right"/>
      <w:pPr>
        <w:ind w:left="2387" w:hanging="180"/>
      </w:pPr>
    </w:lvl>
    <w:lvl w:ilvl="3" w:tentative="1">
      <w:start w:val="1"/>
      <w:numFmt w:val="decimal"/>
      <w:lvlText w:val="%4."/>
      <w:lvlJc w:val="left"/>
      <w:pPr>
        <w:ind w:left="3107" w:hanging="360"/>
      </w:pPr>
    </w:lvl>
    <w:lvl w:ilvl="4" w:tentative="1">
      <w:start w:val="1"/>
      <w:numFmt w:val="lowerLetter"/>
      <w:lvlText w:val="%5."/>
      <w:lvlJc w:val="left"/>
      <w:pPr>
        <w:ind w:left="3827" w:hanging="360"/>
      </w:pPr>
    </w:lvl>
    <w:lvl w:ilvl="5" w:tentative="1">
      <w:start w:val="1"/>
      <w:numFmt w:val="lowerRoman"/>
      <w:lvlText w:val="%6."/>
      <w:lvlJc w:val="right"/>
      <w:pPr>
        <w:ind w:left="4547" w:hanging="180"/>
      </w:pPr>
    </w:lvl>
    <w:lvl w:ilvl="6" w:tentative="1">
      <w:start w:val="1"/>
      <w:numFmt w:val="decimal"/>
      <w:lvlText w:val="%7."/>
      <w:lvlJc w:val="left"/>
      <w:pPr>
        <w:ind w:left="5267" w:hanging="360"/>
      </w:pPr>
    </w:lvl>
    <w:lvl w:ilvl="7" w:tentative="1">
      <w:start w:val="1"/>
      <w:numFmt w:val="lowerLetter"/>
      <w:lvlText w:val="%8."/>
      <w:lvlJc w:val="left"/>
      <w:pPr>
        <w:ind w:left="5987" w:hanging="360"/>
      </w:pPr>
    </w:lvl>
    <w:lvl w:ilvl="8" w:tentative="1">
      <w:start w:val="1"/>
      <w:numFmt w:val="lowerRoman"/>
      <w:lvlText w:val="%9."/>
      <w:lvlJc w:val="right"/>
      <w:pPr>
        <w:ind w:left="6707" w:hanging="180"/>
      </w:pPr>
    </w:lvl>
  </w:abstractNum>
  <w:num w:numId="1">
    <w:abstractNumId w:val="4"/>
  </w:num>
  <w:num w:numId="2">
    <w:abstractNumId w:val="8"/>
  </w:num>
  <w:num w:numId="3">
    <w:abstractNumId w:val="2"/>
  </w:num>
  <w:num w:numId="4">
    <w:abstractNumId w:val="9"/>
  </w:num>
  <w:num w:numId="5">
    <w:abstractNumId w:val="1"/>
  </w:num>
  <w:num w:numId="6">
    <w:abstractNumId w:val="7"/>
  </w:num>
  <w:num w:numId="7">
    <w:abstractNumId w:val="6"/>
  </w:num>
  <w:num w:numId="8">
    <w:abstractNumId w:val="5"/>
  </w:num>
  <w:num w:numId="9">
    <w:abstractNumId w:val="10"/>
  </w:num>
  <w:num w:numId="10">
    <w:abstractNumId w:val="0"/>
  </w:num>
  <w:num w:numId="11">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proofState w:spelling="clean" w:grammar="clean"/>
  <w:defaultTabStop w:val="397"/>
  <w:evenAndOddHeaders/>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3AF"/>
    <w:rsid w:val="0000095B"/>
    <w:rsid w:val="00002000"/>
    <w:rsid w:val="000021BD"/>
    <w:rsid w:val="0000362C"/>
    <w:rsid w:val="000047FD"/>
    <w:rsid w:val="00005D49"/>
    <w:rsid w:val="00006C22"/>
    <w:rsid w:val="000073CC"/>
    <w:rsid w:val="000105AD"/>
    <w:rsid w:val="000114F5"/>
    <w:rsid w:val="00011508"/>
    <w:rsid w:val="000123B5"/>
    <w:rsid w:val="00012511"/>
    <w:rsid w:val="00012E42"/>
    <w:rsid w:val="00012FC5"/>
    <w:rsid w:val="00013127"/>
    <w:rsid w:val="00015333"/>
    <w:rsid w:val="00015D42"/>
    <w:rsid w:val="00017099"/>
    <w:rsid w:val="000174BC"/>
    <w:rsid w:val="00017854"/>
    <w:rsid w:val="00021662"/>
    <w:rsid w:val="000217C4"/>
    <w:rsid w:val="000225D3"/>
    <w:rsid w:val="000249E2"/>
    <w:rsid w:val="00025440"/>
    <w:rsid w:val="00025650"/>
    <w:rsid w:val="0002681A"/>
    <w:rsid w:val="0002689B"/>
    <w:rsid w:val="00027245"/>
    <w:rsid w:val="000315F5"/>
    <w:rsid w:val="00031938"/>
    <w:rsid w:val="00032126"/>
    <w:rsid w:val="000331D3"/>
    <w:rsid w:val="0003470F"/>
    <w:rsid w:val="00034F3F"/>
    <w:rsid w:val="000350BF"/>
    <w:rsid w:val="000356A7"/>
    <w:rsid w:val="00035AA3"/>
    <w:rsid w:val="00035BD0"/>
    <w:rsid w:val="00036469"/>
    <w:rsid w:val="00036B1B"/>
    <w:rsid w:val="00037596"/>
    <w:rsid w:val="00040CFC"/>
    <w:rsid w:val="00044478"/>
    <w:rsid w:val="00044647"/>
    <w:rsid w:val="00044A44"/>
    <w:rsid w:val="000461F4"/>
    <w:rsid w:val="00046B8C"/>
    <w:rsid w:val="00046DDB"/>
    <w:rsid w:val="00046F96"/>
    <w:rsid w:val="000473A2"/>
    <w:rsid w:val="0004763A"/>
    <w:rsid w:val="000504A0"/>
    <w:rsid w:val="00051008"/>
    <w:rsid w:val="000523CB"/>
    <w:rsid w:val="000536D4"/>
    <w:rsid w:val="0005686C"/>
    <w:rsid w:val="00057227"/>
    <w:rsid w:val="00057394"/>
    <w:rsid w:val="00057941"/>
    <w:rsid w:val="00057DBB"/>
    <w:rsid w:val="00060A1A"/>
    <w:rsid w:val="00061AC6"/>
    <w:rsid w:val="00061BAA"/>
    <w:rsid w:val="00061F85"/>
    <w:rsid w:val="00063866"/>
    <w:rsid w:val="0006471A"/>
    <w:rsid w:val="00064B2A"/>
    <w:rsid w:val="00064CC2"/>
    <w:rsid w:val="00064F00"/>
    <w:rsid w:val="000668F3"/>
    <w:rsid w:val="00067E4F"/>
    <w:rsid w:val="00067F8D"/>
    <w:rsid w:val="000700BA"/>
    <w:rsid w:val="00070DF2"/>
    <w:rsid w:val="00072DC7"/>
    <w:rsid w:val="000760A4"/>
    <w:rsid w:val="00076160"/>
    <w:rsid w:val="000761E8"/>
    <w:rsid w:val="00076C3B"/>
    <w:rsid w:val="00076C6A"/>
    <w:rsid w:val="000771FA"/>
    <w:rsid w:val="000772F2"/>
    <w:rsid w:val="000812BC"/>
    <w:rsid w:val="0008321A"/>
    <w:rsid w:val="00083F4F"/>
    <w:rsid w:val="000841FE"/>
    <w:rsid w:val="000847F9"/>
    <w:rsid w:val="00084F1F"/>
    <w:rsid w:val="0008572D"/>
    <w:rsid w:val="000868BD"/>
    <w:rsid w:val="00090AB0"/>
    <w:rsid w:val="00092220"/>
    <w:rsid w:val="00092F71"/>
    <w:rsid w:val="00093068"/>
    <w:rsid w:val="000941C6"/>
    <w:rsid w:val="00095581"/>
    <w:rsid w:val="0009699F"/>
    <w:rsid w:val="000A0FC0"/>
    <w:rsid w:val="000A16EF"/>
    <w:rsid w:val="000A18FC"/>
    <w:rsid w:val="000A2903"/>
    <w:rsid w:val="000A2BC9"/>
    <w:rsid w:val="000A34B5"/>
    <w:rsid w:val="000A3DC6"/>
    <w:rsid w:val="000A47E6"/>
    <w:rsid w:val="000A57AD"/>
    <w:rsid w:val="000A5B7B"/>
    <w:rsid w:val="000A60EB"/>
    <w:rsid w:val="000A62A7"/>
    <w:rsid w:val="000A659E"/>
    <w:rsid w:val="000A6BFF"/>
    <w:rsid w:val="000A6DBB"/>
    <w:rsid w:val="000A7C62"/>
    <w:rsid w:val="000B0EA1"/>
    <w:rsid w:val="000B0EAD"/>
    <w:rsid w:val="000B10B2"/>
    <w:rsid w:val="000B1876"/>
    <w:rsid w:val="000B2128"/>
    <w:rsid w:val="000B291F"/>
    <w:rsid w:val="000B2D78"/>
    <w:rsid w:val="000B3659"/>
    <w:rsid w:val="000B4E54"/>
    <w:rsid w:val="000B544F"/>
    <w:rsid w:val="000B565F"/>
    <w:rsid w:val="000B6085"/>
    <w:rsid w:val="000B62E6"/>
    <w:rsid w:val="000B6799"/>
    <w:rsid w:val="000B7227"/>
    <w:rsid w:val="000B73A9"/>
    <w:rsid w:val="000C0334"/>
    <w:rsid w:val="000C0F9D"/>
    <w:rsid w:val="000C19F9"/>
    <w:rsid w:val="000C1BB0"/>
    <w:rsid w:val="000C1F02"/>
    <w:rsid w:val="000C2E22"/>
    <w:rsid w:val="000C4DEF"/>
    <w:rsid w:val="000C5425"/>
    <w:rsid w:val="000C57FF"/>
    <w:rsid w:val="000C6708"/>
    <w:rsid w:val="000C7018"/>
    <w:rsid w:val="000D18BB"/>
    <w:rsid w:val="000D2DD0"/>
    <w:rsid w:val="000D3360"/>
    <w:rsid w:val="000D4784"/>
    <w:rsid w:val="000D5240"/>
    <w:rsid w:val="000D59A4"/>
    <w:rsid w:val="000D649A"/>
    <w:rsid w:val="000D6EAA"/>
    <w:rsid w:val="000D7D5B"/>
    <w:rsid w:val="000E03FF"/>
    <w:rsid w:val="000E0EF4"/>
    <w:rsid w:val="000E1559"/>
    <w:rsid w:val="000E1A45"/>
    <w:rsid w:val="000E1B3C"/>
    <w:rsid w:val="000E1E7D"/>
    <w:rsid w:val="000E28D1"/>
    <w:rsid w:val="000E37F3"/>
    <w:rsid w:val="000E42E0"/>
    <w:rsid w:val="000E46D3"/>
    <w:rsid w:val="000E5B6C"/>
    <w:rsid w:val="000E5C35"/>
    <w:rsid w:val="000E642B"/>
    <w:rsid w:val="000E6B72"/>
    <w:rsid w:val="000E6D1A"/>
    <w:rsid w:val="000E761F"/>
    <w:rsid w:val="000E7FC4"/>
    <w:rsid w:val="000F0117"/>
    <w:rsid w:val="000F0D79"/>
    <w:rsid w:val="000F3B27"/>
    <w:rsid w:val="000F41D0"/>
    <w:rsid w:val="000F4951"/>
    <w:rsid w:val="000F4997"/>
    <w:rsid w:val="000F49B9"/>
    <w:rsid w:val="000F4C6C"/>
    <w:rsid w:val="000F4E31"/>
    <w:rsid w:val="000F51B7"/>
    <w:rsid w:val="000F68CD"/>
    <w:rsid w:val="000F69B0"/>
    <w:rsid w:val="000F6B40"/>
    <w:rsid w:val="000F722D"/>
    <w:rsid w:val="000F7E18"/>
    <w:rsid w:val="0010121F"/>
    <w:rsid w:val="001012CC"/>
    <w:rsid w:val="00101DD5"/>
    <w:rsid w:val="0010229A"/>
    <w:rsid w:val="001024AF"/>
    <w:rsid w:val="001033B3"/>
    <w:rsid w:val="00103971"/>
    <w:rsid w:val="00103CED"/>
    <w:rsid w:val="00103D42"/>
    <w:rsid w:val="00103FBC"/>
    <w:rsid w:val="00104839"/>
    <w:rsid w:val="00104E94"/>
    <w:rsid w:val="0010599F"/>
    <w:rsid w:val="00105A73"/>
    <w:rsid w:val="00105B88"/>
    <w:rsid w:val="00105ED4"/>
    <w:rsid w:val="00106FBF"/>
    <w:rsid w:val="00106FC5"/>
    <w:rsid w:val="00107938"/>
    <w:rsid w:val="00111817"/>
    <w:rsid w:val="00111D0B"/>
    <w:rsid w:val="0011261E"/>
    <w:rsid w:val="00112B7B"/>
    <w:rsid w:val="00112D83"/>
    <w:rsid w:val="00113A65"/>
    <w:rsid w:val="00113BEC"/>
    <w:rsid w:val="00114587"/>
    <w:rsid w:val="001156F5"/>
    <w:rsid w:val="00115F32"/>
    <w:rsid w:val="00116EC6"/>
    <w:rsid w:val="00117163"/>
    <w:rsid w:val="00117668"/>
    <w:rsid w:val="00120C15"/>
    <w:rsid w:val="00121460"/>
    <w:rsid w:val="001215F4"/>
    <w:rsid w:val="001221B2"/>
    <w:rsid w:val="00124D10"/>
    <w:rsid w:val="00125732"/>
    <w:rsid w:val="00126FB8"/>
    <w:rsid w:val="00127083"/>
    <w:rsid w:val="00127204"/>
    <w:rsid w:val="001275EC"/>
    <w:rsid w:val="00130912"/>
    <w:rsid w:val="00130ABF"/>
    <w:rsid w:val="00130E45"/>
    <w:rsid w:val="0013170A"/>
    <w:rsid w:val="00131A11"/>
    <w:rsid w:val="00131AAF"/>
    <w:rsid w:val="00132921"/>
    <w:rsid w:val="00132FFC"/>
    <w:rsid w:val="00134716"/>
    <w:rsid w:val="00135EB9"/>
    <w:rsid w:val="00136B9E"/>
    <w:rsid w:val="00141E28"/>
    <w:rsid w:val="00143613"/>
    <w:rsid w:val="00144786"/>
    <w:rsid w:val="00145DAD"/>
    <w:rsid w:val="00146345"/>
    <w:rsid w:val="00150E90"/>
    <w:rsid w:val="001510CF"/>
    <w:rsid w:val="0015132E"/>
    <w:rsid w:val="001519D2"/>
    <w:rsid w:val="00152684"/>
    <w:rsid w:val="0015283B"/>
    <w:rsid w:val="00152C39"/>
    <w:rsid w:val="00153D39"/>
    <w:rsid w:val="00154886"/>
    <w:rsid w:val="00154C30"/>
    <w:rsid w:val="00154C71"/>
    <w:rsid w:val="001551EA"/>
    <w:rsid w:val="001553E4"/>
    <w:rsid w:val="00156292"/>
    <w:rsid w:val="001563D0"/>
    <w:rsid w:val="0015686E"/>
    <w:rsid w:val="00156A81"/>
    <w:rsid w:val="00160149"/>
    <w:rsid w:val="0016081F"/>
    <w:rsid w:val="00160DE1"/>
    <w:rsid w:val="00161297"/>
    <w:rsid w:val="00161324"/>
    <w:rsid w:val="0016160F"/>
    <w:rsid w:val="00161CBD"/>
    <w:rsid w:val="0016215A"/>
    <w:rsid w:val="00162D9B"/>
    <w:rsid w:val="001632AB"/>
    <w:rsid w:val="0016419A"/>
    <w:rsid w:val="001643E8"/>
    <w:rsid w:val="0016445C"/>
    <w:rsid w:val="00165197"/>
    <w:rsid w:val="001666D8"/>
    <w:rsid w:val="00166EE9"/>
    <w:rsid w:val="00170C02"/>
    <w:rsid w:val="00171743"/>
    <w:rsid w:val="00171E57"/>
    <w:rsid w:val="0017229D"/>
    <w:rsid w:val="001740DF"/>
    <w:rsid w:val="00175C43"/>
    <w:rsid w:val="00175DFF"/>
    <w:rsid w:val="00176E39"/>
    <w:rsid w:val="00177295"/>
    <w:rsid w:val="001772DD"/>
    <w:rsid w:val="00177493"/>
    <w:rsid w:val="0018090E"/>
    <w:rsid w:val="00180C76"/>
    <w:rsid w:val="001816A1"/>
    <w:rsid w:val="00181B5A"/>
    <w:rsid w:val="001856B7"/>
    <w:rsid w:val="0018650A"/>
    <w:rsid w:val="001866EE"/>
    <w:rsid w:val="00186FA6"/>
    <w:rsid w:val="0018762D"/>
    <w:rsid w:val="0018773C"/>
    <w:rsid w:val="001877CA"/>
    <w:rsid w:val="0019127D"/>
    <w:rsid w:val="001927CC"/>
    <w:rsid w:val="00192DC4"/>
    <w:rsid w:val="001933DD"/>
    <w:rsid w:val="0019373E"/>
    <w:rsid w:val="00193C51"/>
    <w:rsid w:val="00194AD1"/>
    <w:rsid w:val="00194FE0"/>
    <w:rsid w:val="00196762"/>
    <w:rsid w:val="00196B27"/>
    <w:rsid w:val="00196D01"/>
    <w:rsid w:val="001A06FA"/>
    <w:rsid w:val="001A14B8"/>
    <w:rsid w:val="001A1832"/>
    <w:rsid w:val="001A1A35"/>
    <w:rsid w:val="001A1D8E"/>
    <w:rsid w:val="001A214C"/>
    <w:rsid w:val="001A2E4B"/>
    <w:rsid w:val="001A2F80"/>
    <w:rsid w:val="001A39E5"/>
    <w:rsid w:val="001A3DA4"/>
    <w:rsid w:val="001A417A"/>
    <w:rsid w:val="001A559D"/>
    <w:rsid w:val="001A5864"/>
    <w:rsid w:val="001A7760"/>
    <w:rsid w:val="001A7A97"/>
    <w:rsid w:val="001A7E91"/>
    <w:rsid w:val="001B011A"/>
    <w:rsid w:val="001B0380"/>
    <w:rsid w:val="001B0381"/>
    <w:rsid w:val="001B04A4"/>
    <w:rsid w:val="001B0961"/>
    <w:rsid w:val="001B18C7"/>
    <w:rsid w:val="001B19A1"/>
    <w:rsid w:val="001B21ED"/>
    <w:rsid w:val="001B257E"/>
    <w:rsid w:val="001B2867"/>
    <w:rsid w:val="001B3A3F"/>
    <w:rsid w:val="001B40DE"/>
    <w:rsid w:val="001B476F"/>
    <w:rsid w:val="001C0ABC"/>
    <w:rsid w:val="001C125C"/>
    <w:rsid w:val="001C265D"/>
    <w:rsid w:val="001C29CD"/>
    <w:rsid w:val="001C3D63"/>
    <w:rsid w:val="001C3F29"/>
    <w:rsid w:val="001C4789"/>
    <w:rsid w:val="001C4FC8"/>
    <w:rsid w:val="001C5E08"/>
    <w:rsid w:val="001C6058"/>
    <w:rsid w:val="001C617B"/>
    <w:rsid w:val="001C65F5"/>
    <w:rsid w:val="001C7644"/>
    <w:rsid w:val="001D200A"/>
    <w:rsid w:val="001D220E"/>
    <w:rsid w:val="001D3B88"/>
    <w:rsid w:val="001D409D"/>
    <w:rsid w:val="001D4460"/>
    <w:rsid w:val="001D458D"/>
    <w:rsid w:val="001D5906"/>
    <w:rsid w:val="001D7F39"/>
    <w:rsid w:val="001E070A"/>
    <w:rsid w:val="001E179C"/>
    <w:rsid w:val="001E21EA"/>
    <w:rsid w:val="001E25A0"/>
    <w:rsid w:val="001E3D2B"/>
    <w:rsid w:val="001E5A0D"/>
    <w:rsid w:val="001E5BF1"/>
    <w:rsid w:val="001E5C22"/>
    <w:rsid w:val="001E7054"/>
    <w:rsid w:val="001E7248"/>
    <w:rsid w:val="001E732D"/>
    <w:rsid w:val="001E7790"/>
    <w:rsid w:val="001F042F"/>
    <w:rsid w:val="001F184D"/>
    <w:rsid w:val="001F249E"/>
    <w:rsid w:val="001F2D9E"/>
    <w:rsid w:val="001F30C9"/>
    <w:rsid w:val="001F3894"/>
    <w:rsid w:val="001F3A92"/>
    <w:rsid w:val="001F449D"/>
    <w:rsid w:val="001F4B27"/>
    <w:rsid w:val="001F4FD0"/>
    <w:rsid w:val="001F540E"/>
    <w:rsid w:val="001F573D"/>
    <w:rsid w:val="001F60D3"/>
    <w:rsid w:val="001F6433"/>
    <w:rsid w:val="001F6D2B"/>
    <w:rsid w:val="001F7132"/>
    <w:rsid w:val="00201773"/>
    <w:rsid w:val="00201C60"/>
    <w:rsid w:val="002020AF"/>
    <w:rsid w:val="00203A69"/>
    <w:rsid w:val="00204FD5"/>
    <w:rsid w:val="00206427"/>
    <w:rsid w:val="00206B50"/>
    <w:rsid w:val="00206E89"/>
    <w:rsid w:val="00206F80"/>
    <w:rsid w:val="0020737B"/>
    <w:rsid w:val="00211542"/>
    <w:rsid w:val="002115E2"/>
    <w:rsid w:val="00211890"/>
    <w:rsid w:val="00211CD5"/>
    <w:rsid w:val="00212C70"/>
    <w:rsid w:val="00212CC9"/>
    <w:rsid w:val="00214667"/>
    <w:rsid w:val="002164D6"/>
    <w:rsid w:val="00216564"/>
    <w:rsid w:val="00216CE4"/>
    <w:rsid w:val="00216E18"/>
    <w:rsid w:val="00217002"/>
    <w:rsid w:val="00217D25"/>
    <w:rsid w:val="00220150"/>
    <w:rsid w:val="00220B1E"/>
    <w:rsid w:val="00220D93"/>
    <w:rsid w:val="00221B6D"/>
    <w:rsid w:val="00222EFD"/>
    <w:rsid w:val="00223E18"/>
    <w:rsid w:val="00225614"/>
    <w:rsid w:val="00225E4F"/>
    <w:rsid w:val="00226BE5"/>
    <w:rsid w:val="00226D6C"/>
    <w:rsid w:val="002303B8"/>
    <w:rsid w:val="00230D48"/>
    <w:rsid w:val="0023147E"/>
    <w:rsid w:val="002314C8"/>
    <w:rsid w:val="002330D7"/>
    <w:rsid w:val="00233EF1"/>
    <w:rsid w:val="002348BC"/>
    <w:rsid w:val="0023632E"/>
    <w:rsid w:val="00236CF1"/>
    <w:rsid w:val="0023718D"/>
    <w:rsid w:val="002373DF"/>
    <w:rsid w:val="00240202"/>
    <w:rsid w:val="0024074B"/>
    <w:rsid w:val="00240B64"/>
    <w:rsid w:val="00240FF7"/>
    <w:rsid w:val="002415B8"/>
    <w:rsid w:val="0024225C"/>
    <w:rsid w:val="002422F3"/>
    <w:rsid w:val="00242B03"/>
    <w:rsid w:val="00242DD2"/>
    <w:rsid w:val="002438EA"/>
    <w:rsid w:val="00243FB3"/>
    <w:rsid w:val="00244F89"/>
    <w:rsid w:val="00245388"/>
    <w:rsid w:val="002455D9"/>
    <w:rsid w:val="002511A2"/>
    <w:rsid w:val="002518DB"/>
    <w:rsid w:val="002530C2"/>
    <w:rsid w:val="00255959"/>
    <w:rsid w:val="00255CC3"/>
    <w:rsid w:val="00260172"/>
    <w:rsid w:val="002630E9"/>
    <w:rsid w:val="002634FC"/>
    <w:rsid w:val="00264588"/>
    <w:rsid w:val="002647FF"/>
    <w:rsid w:val="00264915"/>
    <w:rsid w:val="00265813"/>
    <w:rsid w:val="002665EC"/>
    <w:rsid w:val="00266740"/>
    <w:rsid w:val="0026692E"/>
    <w:rsid w:val="0027002F"/>
    <w:rsid w:val="00270AD8"/>
    <w:rsid w:val="002712C2"/>
    <w:rsid w:val="002717B8"/>
    <w:rsid w:val="00271BBF"/>
    <w:rsid w:val="002722F1"/>
    <w:rsid w:val="00272DCB"/>
    <w:rsid w:val="002735DC"/>
    <w:rsid w:val="00273C82"/>
    <w:rsid w:val="00274D7E"/>
    <w:rsid w:val="00277717"/>
    <w:rsid w:val="00277BC2"/>
    <w:rsid w:val="00277E0B"/>
    <w:rsid w:val="002805E4"/>
    <w:rsid w:val="00280A33"/>
    <w:rsid w:val="00280F37"/>
    <w:rsid w:val="00281CA7"/>
    <w:rsid w:val="00281E80"/>
    <w:rsid w:val="002821A4"/>
    <w:rsid w:val="0028253B"/>
    <w:rsid w:val="00283C5E"/>
    <w:rsid w:val="00284052"/>
    <w:rsid w:val="0028477B"/>
    <w:rsid w:val="002861DE"/>
    <w:rsid w:val="00286F9F"/>
    <w:rsid w:val="00287413"/>
    <w:rsid w:val="0028785B"/>
    <w:rsid w:val="002908EC"/>
    <w:rsid w:val="002917D1"/>
    <w:rsid w:val="00293651"/>
    <w:rsid w:val="00293C1D"/>
    <w:rsid w:val="00294765"/>
    <w:rsid w:val="0029606C"/>
    <w:rsid w:val="002963FC"/>
    <w:rsid w:val="0029657A"/>
    <w:rsid w:val="00296C96"/>
    <w:rsid w:val="002975FB"/>
    <w:rsid w:val="00297F9D"/>
    <w:rsid w:val="002A0F5E"/>
    <w:rsid w:val="002A11BD"/>
    <w:rsid w:val="002A122A"/>
    <w:rsid w:val="002A38DF"/>
    <w:rsid w:val="002A4062"/>
    <w:rsid w:val="002A4C50"/>
    <w:rsid w:val="002A51A3"/>
    <w:rsid w:val="002A7A49"/>
    <w:rsid w:val="002A7A4A"/>
    <w:rsid w:val="002A7C14"/>
    <w:rsid w:val="002B0204"/>
    <w:rsid w:val="002B064A"/>
    <w:rsid w:val="002B0758"/>
    <w:rsid w:val="002B07BA"/>
    <w:rsid w:val="002B0A10"/>
    <w:rsid w:val="002B1D68"/>
    <w:rsid w:val="002B285B"/>
    <w:rsid w:val="002B3C5B"/>
    <w:rsid w:val="002B5441"/>
    <w:rsid w:val="002B5517"/>
    <w:rsid w:val="002B5743"/>
    <w:rsid w:val="002B6920"/>
    <w:rsid w:val="002B6B84"/>
    <w:rsid w:val="002C0374"/>
    <w:rsid w:val="002C0D01"/>
    <w:rsid w:val="002C167F"/>
    <w:rsid w:val="002C1805"/>
    <w:rsid w:val="002C3001"/>
    <w:rsid w:val="002C3A61"/>
    <w:rsid w:val="002C53F1"/>
    <w:rsid w:val="002C5D25"/>
    <w:rsid w:val="002C6165"/>
    <w:rsid w:val="002C6364"/>
    <w:rsid w:val="002C68CB"/>
    <w:rsid w:val="002C6F0A"/>
    <w:rsid w:val="002D1462"/>
    <w:rsid w:val="002D1F63"/>
    <w:rsid w:val="002D2002"/>
    <w:rsid w:val="002D238D"/>
    <w:rsid w:val="002D239D"/>
    <w:rsid w:val="002D2A02"/>
    <w:rsid w:val="002D2A09"/>
    <w:rsid w:val="002D2B39"/>
    <w:rsid w:val="002D41DC"/>
    <w:rsid w:val="002D4324"/>
    <w:rsid w:val="002D54F5"/>
    <w:rsid w:val="002D644D"/>
    <w:rsid w:val="002E08AB"/>
    <w:rsid w:val="002E19D0"/>
    <w:rsid w:val="002E2762"/>
    <w:rsid w:val="002E317F"/>
    <w:rsid w:val="002E395E"/>
    <w:rsid w:val="002E4809"/>
    <w:rsid w:val="002E4AD0"/>
    <w:rsid w:val="002E4B6B"/>
    <w:rsid w:val="002E4D18"/>
    <w:rsid w:val="002E6C36"/>
    <w:rsid w:val="002E7650"/>
    <w:rsid w:val="002E7F4E"/>
    <w:rsid w:val="002F0C58"/>
    <w:rsid w:val="002F1280"/>
    <w:rsid w:val="002F165F"/>
    <w:rsid w:val="002F195C"/>
    <w:rsid w:val="002F1A0D"/>
    <w:rsid w:val="002F2133"/>
    <w:rsid w:val="002F2319"/>
    <w:rsid w:val="002F2754"/>
    <w:rsid w:val="002F3251"/>
    <w:rsid w:val="003006EA"/>
    <w:rsid w:val="00300E9F"/>
    <w:rsid w:val="00301280"/>
    <w:rsid w:val="003027AA"/>
    <w:rsid w:val="00302CDA"/>
    <w:rsid w:val="003044D4"/>
    <w:rsid w:val="00304A28"/>
    <w:rsid w:val="00305501"/>
    <w:rsid w:val="00306333"/>
    <w:rsid w:val="00310CE8"/>
    <w:rsid w:val="00311D24"/>
    <w:rsid w:val="00312650"/>
    <w:rsid w:val="003133FC"/>
    <w:rsid w:val="00313EC4"/>
    <w:rsid w:val="003150B1"/>
    <w:rsid w:val="00316C90"/>
    <w:rsid w:val="003173E0"/>
    <w:rsid w:val="00320159"/>
    <w:rsid w:val="00321D1B"/>
    <w:rsid w:val="003243AF"/>
    <w:rsid w:val="00325332"/>
    <w:rsid w:val="00325469"/>
    <w:rsid w:val="00327C2A"/>
    <w:rsid w:val="00327F3F"/>
    <w:rsid w:val="00327FBF"/>
    <w:rsid w:val="0033032D"/>
    <w:rsid w:val="00330465"/>
    <w:rsid w:val="00330697"/>
    <w:rsid w:val="0033100C"/>
    <w:rsid w:val="00331522"/>
    <w:rsid w:val="00331A56"/>
    <w:rsid w:val="00331DAB"/>
    <w:rsid w:val="00333FB0"/>
    <w:rsid w:val="00334BBC"/>
    <w:rsid w:val="00335960"/>
    <w:rsid w:val="00335F65"/>
    <w:rsid w:val="00336A22"/>
    <w:rsid w:val="00336A9C"/>
    <w:rsid w:val="00341EDA"/>
    <w:rsid w:val="00342E41"/>
    <w:rsid w:val="00342F9F"/>
    <w:rsid w:val="003437E8"/>
    <w:rsid w:val="00344900"/>
    <w:rsid w:val="00345A36"/>
    <w:rsid w:val="003466C7"/>
    <w:rsid w:val="00346DF9"/>
    <w:rsid w:val="003504AD"/>
    <w:rsid w:val="00351463"/>
    <w:rsid w:val="00352F48"/>
    <w:rsid w:val="00353326"/>
    <w:rsid w:val="0035361A"/>
    <w:rsid w:val="003541A3"/>
    <w:rsid w:val="0035442A"/>
    <w:rsid w:val="00354900"/>
    <w:rsid w:val="00357D06"/>
    <w:rsid w:val="003609E2"/>
    <w:rsid w:val="00361B78"/>
    <w:rsid w:val="00361B81"/>
    <w:rsid w:val="00361CD3"/>
    <w:rsid w:val="0036393B"/>
    <w:rsid w:val="00363DBE"/>
    <w:rsid w:val="00364230"/>
    <w:rsid w:val="00364FDF"/>
    <w:rsid w:val="00366DF1"/>
    <w:rsid w:val="00367BD8"/>
    <w:rsid w:val="00370725"/>
    <w:rsid w:val="003707D3"/>
    <w:rsid w:val="00373C5D"/>
    <w:rsid w:val="00373C76"/>
    <w:rsid w:val="0037422E"/>
    <w:rsid w:val="0037507E"/>
    <w:rsid w:val="00375407"/>
    <w:rsid w:val="003757ED"/>
    <w:rsid w:val="00375D53"/>
    <w:rsid w:val="00377C93"/>
    <w:rsid w:val="003807F4"/>
    <w:rsid w:val="00380913"/>
    <w:rsid w:val="00381451"/>
    <w:rsid w:val="00381B6E"/>
    <w:rsid w:val="00381C43"/>
    <w:rsid w:val="00381C86"/>
    <w:rsid w:val="00381F88"/>
    <w:rsid w:val="0038206D"/>
    <w:rsid w:val="00382614"/>
    <w:rsid w:val="00383BAA"/>
    <w:rsid w:val="00384065"/>
    <w:rsid w:val="00384B2A"/>
    <w:rsid w:val="003850F7"/>
    <w:rsid w:val="00385249"/>
    <w:rsid w:val="00386540"/>
    <w:rsid w:val="00386671"/>
    <w:rsid w:val="003875EE"/>
    <w:rsid w:val="00387A0C"/>
    <w:rsid w:val="00390616"/>
    <w:rsid w:val="00390F86"/>
    <w:rsid w:val="003923EB"/>
    <w:rsid w:val="00392980"/>
    <w:rsid w:val="00392AA4"/>
    <w:rsid w:val="00392AA6"/>
    <w:rsid w:val="0039302F"/>
    <w:rsid w:val="0039384A"/>
    <w:rsid w:val="00393B5E"/>
    <w:rsid w:val="00393B7D"/>
    <w:rsid w:val="00393D36"/>
    <w:rsid w:val="003954BF"/>
    <w:rsid w:val="00396C01"/>
    <w:rsid w:val="003976F4"/>
    <w:rsid w:val="003A082D"/>
    <w:rsid w:val="003A0B69"/>
    <w:rsid w:val="003A0F7A"/>
    <w:rsid w:val="003A10E7"/>
    <w:rsid w:val="003A16B7"/>
    <w:rsid w:val="003A1745"/>
    <w:rsid w:val="003A1899"/>
    <w:rsid w:val="003A2E56"/>
    <w:rsid w:val="003A3862"/>
    <w:rsid w:val="003A436D"/>
    <w:rsid w:val="003B0565"/>
    <w:rsid w:val="003B1E8D"/>
    <w:rsid w:val="003B1FEC"/>
    <w:rsid w:val="003B348F"/>
    <w:rsid w:val="003B4D44"/>
    <w:rsid w:val="003B5B95"/>
    <w:rsid w:val="003B69D2"/>
    <w:rsid w:val="003B6EA3"/>
    <w:rsid w:val="003B7DC9"/>
    <w:rsid w:val="003C0020"/>
    <w:rsid w:val="003C02EE"/>
    <w:rsid w:val="003C1185"/>
    <w:rsid w:val="003C11B6"/>
    <w:rsid w:val="003C2223"/>
    <w:rsid w:val="003C2C06"/>
    <w:rsid w:val="003C317B"/>
    <w:rsid w:val="003C3AD5"/>
    <w:rsid w:val="003C4D6C"/>
    <w:rsid w:val="003C57DC"/>
    <w:rsid w:val="003C5926"/>
    <w:rsid w:val="003C5929"/>
    <w:rsid w:val="003C67A4"/>
    <w:rsid w:val="003D04FC"/>
    <w:rsid w:val="003D0701"/>
    <w:rsid w:val="003D09D3"/>
    <w:rsid w:val="003D14AF"/>
    <w:rsid w:val="003D15EC"/>
    <w:rsid w:val="003D4208"/>
    <w:rsid w:val="003D4441"/>
    <w:rsid w:val="003D4A2A"/>
    <w:rsid w:val="003D4DAC"/>
    <w:rsid w:val="003D4FDE"/>
    <w:rsid w:val="003D5143"/>
    <w:rsid w:val="003D5F15"/>
    <w:rsid w:val="003D7986"/>
    <w:rsid w:val="003E04AC"/>
    <w:rsid w:val="003E06C7"/>
    <w:rsid w:val="003E0C5E"/>
    <w:rsid w:val="003E1352"/>
    <w:rsid w:val="003E1383"/>
    <w:rsid w:val="003E323C"/>
    <w:rsid w:val="003E5430"/>
    <w:rsid w:val="003E709A"/>
    <w:rsid w:val="003F0A5C"/>
    <w:rsid w:val="003F0C3A"/>
    <w:rsid w:val="003F112F"/>
    <w:rsid w:val="003F2367"/>
    <w:rsid w:val="003F2615"/>
    <w:rsid w:val="003F2902"/>
    <w:rsid w:val="003F2CA1"/>
    <w:rsid w:val="003F2E86"/>
    <w:rsid w:val="003F2FA6"/>
    <w:rsid w:val="003F4201"/>
    <w:rsid w:val="003F566D"/>
    <w:rsid w:val="003F5CC7"/>
    <w:rsid w:val="003F5E93"/>
    <w:rsid w:val="003F6C4B"/>
    <w:rsid w:val="003F6E1A"/>
    <w:rsid w:val="0040161B"/>
    <w:rsid w:val="004018FE"/>
    <w:rsid w:val="00402710"/>
    <w:rsid w:val="00403B07"/>
    <w:rsid w:val="00403F22"/>
    <w:rsid w:val="00404D52"/>
    <w:rsid w:val="00405C49"/>
    <w:rsid w:val="00406649"/>
    <w:rsid w:val="00406A0E"/>
    <w:rsid w:val="004101F3"/>
    <w:rsid w:val="00410B08"/>
    <w:rsid w:val="004113F4"/>
    <w:rsid w:val="00411D15"/>
    <w:rsid w:val="00412094"/>
    <w:rsid w:val="004128AD"/>
    <w:rsid w:val="00413AE2"/>
    <w:rsid w:val="004145F3"/>
    <w:rsid w:val="00417BE8"/>
    <w:rsid w:val="00417E58"/>
    <w:rsid w:val="0042074F"/>
    <w:rsid w:val="00420EE4"/>
    <w:rsid w:val="0042187F"/>
    <w:rsid w:val="00421913"/>
    <w:rsid w:val="00422464"/>
    <w:rsid w:val="0042253C"/>
    <w:rsid w:val="00422CF1"/>
    <w:rsid w:val="0042326E"/>
    <w:rsid w:val="00423366"/>
    <w:rsid w:val="004238F9"/>
    <w:rsid w:val="00423AB4"/>
    <w:rsid w:val="004248CA"/>
    <w:rsid w:val="00424B82"/>
    <w:rsid w:val="0042536D"/>
    <w:rsid w:val="00425447"/>
    <w:rsid w:val="004255E3"/>
    <w:rsid w:val="00425D49"/>
    <w:rsid w:val="00426A12"/>
    <w:rsid w:val="00427615"/>
    <w:rsid w:val="004278E5"/>
    <w:rsid w:val="00427DE9"/>
    <w:rsid w:val="00430526"/>
    <w:rsid w:val="004309C5"/>
    <w:rsid w:val="00431864"/>
    <w:rsid w:val="00431E6E"/>
    <w:rsid w:val="00432DBC"/>
    <w:rsid w:val="004334FD"/>
    <w:rsid w:val="004335F4"/>
    <w:rsid w:val="00434573"/>
    <w:rsid w:val="00434979"/>
    <w:rsid w:val="00436B3D"/>
    <w:rsid w:val="00436DAE"/>
    <w:rsid w:val="00437A8F"/>
    <w:rsid w:val="00437CA8"/>
    <w:rsid w:val="00441319"/>
    <w:rsid w:val="00441A9F"/>
    <w:rsid w:val="00442153"/>
    <w:rsid w:val="00442E1F"/>
    <w:rsid w:val="00444737"/>
    <w:rsid w:val="00445112"/>
    <w:rsid w:val="00445C07"/>
    <w:rsid w:val="00445CE5"/>
    <w:rsid w:val="00446104"/>
    <w:rsid w:val="0044687F"/>
    <w:rsid w:val="00446C74"/>
    <w:rsid w:val="00447EBD"/>
    <w:rsid w:val="004505D6"/>
    <w:rsid w:val="00450E59"/>
    <w:rsid w:val="00451F72"/>
    <w:rsid w:val="00451F8B"/>
    <w:rsid w:val="004535E7"/>
    <w:rsid w:val="004557A8"/>
    <w:rsid w:val="00456430"/>
    <w:rsid w:val="0045656B"/>
    <w:rsid w:val="0045684E"/>
    <w:rsid w:val="00456CEF"/>
    <w:rsid w:val="00460993"/>
    <w:rsid w:val="004618B5"/>
    <w:rsid w:val="00461FDC"/>
    <w:rsid w:val="00462875"/>
    <w:rsid w:val="004638C4"/>
    <w:rsid w:val="00464628"/>
    <w:rsid w:val="004649FA"/>
    <w:rsid w:val="004660F8"/>
    <w:rsid w:val="0046631D"/>
    <w:rsid w:val="0046700E"/>
    <w:rsid w:val="00467F06"/>
    <w:rsid w:val="00470F05"/>
    <w:rsid w:val="00472462"/>
    <w:rsid w:val="00472670"/>
    <w:rsid w:val="00472C02"/>
    <w:rsid w:val="00472DBD"/>
    <w:rsid w:val="00473314"/>
    <w:rsid w:val="0047349A"/>
    <w:rsid w:val="004739CF"/>
    <w:rsid w:val="00473C08"/>
    <w:rsid w:val="00475484"/>
    <w:rsid w:val="00475740"/>
    <w:rsid w:val="004768DA"/>
    <w:rsid w:val="004800D1"/>
    <w:rsid w:val="0048083D"/>
    <w:rsid w:val="00480E15"/>
    <w:rsid w:val="00480F04"/>
    <w:rsid w:val="004813E6"/>
    <w:rsid w:val="0048191F"/>
    <w:rsid w:val="00484C76"/>
    <w:rsid w:val="004859FE"/>
    <w:rsid w:val="004862E9"/>
    <w:rsid w:val="0048660B"/>
    <w:rsid w:val="00487C38"/>
    <w:rsid w:val="00487D38"/>
    <w:rsid w:val="00487D6F"/>
    <w:rsid w:val="0049073A"/>
    <w:rsid w:val="004912FC"/>
    <w:rsid w:val="00491500"/>
    <w:rsid w:val="00491D9E"/>
    <w:rsid w:val="00492BEB"/>
    <w:rsid w:val="00492C38"/>
    <w:rsid w:val="004936A3"/>
    <w:rsid w:val="0049381F"/>
    <w:rsid w:val="00493A82"/>
    <w:rsid w:val="00494463"/>
    <w:rsid w:val="00494F20"/>
    <w:rsid w:val="00494FCB"/>
    <w:rsid w:val="0049571D"/>
    <w:rsid w:val="004957E6"/>
    <w:rsid w:val="004958EF"/>
    <w:rsid w:val="00497B53"/>
    <w:rsid w:val="004A0293"/>
    <w:rsid w:val="004A083D"/>
    <w:rsid w:val="004A1648"/>
    <w:rsid w:val="004A36ED"/>
    <w:rsid w:val="004A4AA6"/>
    <w:rsid w:val="004A4B65"/>
    <w:rsid w:val="004A5646"/>
    <w:rsid w:val="004A7324"/>
    <w:rsid w:val="004A7AFD"/>
    <w:rsid w:val="004B02B5"/>
    <w:rsid w:val="004B1AC6"/>
    <w:rsid w:val="004B2AE7"/>
    <w:rsid w:val="004B2F00"/>
    <w:rsid w:val="004B4F74"/>
    <w:rsid w:val="004B5BE6"/>
    <w:rsid w:val="004B6CE7"/>
    <w:rsid w:val="004B781B"/>
    <w:rsid w:val="004B7EE2"/>
    <w:rsid w:val="004C1982"/>
    <w:rsid w:val="004C24BD"/>
    <w:rsid w:val="004C2BED"/>
    <w:rsid w:val="004C41A4"/>
    <w:rsid w:val="004C5249"/>
    <w:rsid w:val="004C646D"/>
    <w:rsid w:val="004C777F"/>
    <w:rsid w:val="004D04A5"/>
    <w:rsid w:val="004D2DF8"/>
    <w:rsid w:val="004D4132"/>
    <w:rsid w:val="004D496C"/>
    <w:rsid w:val="004D54CD"/>
    <w:rsid w:val="004D650D"/>
    <w:rsid w:val="004D67A8"/>
    <w:rsid w:val="004D78FF"/>
    <w:rsid w:val="004D7DDE"/>
    <w:rsid w:val="004E018A"/>
    <w:rsid w:val="004E0FD4"/>
    <w:rsid w:val="004E106A"/>
    <w:rsid w:val="004E1BCE"/>
    <w:rsid w:val="004E2013"/>
    <w:rsid w:val="004E382E"/>
    <w:rsid w:val="004E3B8C"/>
    <w:rsid w:val="004E44CC"/>
    <w:rsid w:val="004E55BE"/>
    <w:rsid w:val="004E5760"/>
    <w:rsid w:val="004E5C99"/>
    <w:rsid w:val="004E7AEF"/>
    <w:rsid w:val="004F0150"/>
    <w:rsid w:val="004F08EA"/>
    <w:rsid w:val="004F287A"/>
    <w:rsid w:val="004F2A5F"/>
    <w:rsid w:val="004F3A7A"/>
    <w:rsid w:val="004F417B"/>
    <w:rsid w:val="004F41E1"/>
    <w:rsid w:val="004F44AB"/>
    <w:rsid w:val="004F47FA"/>
    <w:rsid w:val="004F4842"/>
    <w:rsid w:val="004F49B8"/>
    <w:rsid w:val="004F4CFF"/>
    <w:rsid w:val="004F4D11"/>
    <w:rsid w:val="004F52F1"/>
    <w:rsid w:val="004F58FF"/>
    <w:rsid w:val="004F5A33"/>
    <w:rsid w:val="004F6702"/>
    <w:rsid w:val="005000F1"/>
    <w:rsid w:val="00501EBE"/>
    <w:rsid w:val="00503016"/>
    <w:rsid w:val="00503346"/>
    <w:rsid w:val="00503914"/>
    <w:rsid w:val="00505054"/>
    <w:rsid w:val="00505951"/>
    <w:rsid w:val="00505E67"/>
    <w:rsid w:val="00505EE4"/>
    <w:rsid w:val="00505EE7"/>
    <w:rsid w:val="00506823"/>
    <w:rsid w:val="005072C0"/>
    <w:rsid w:val="005073A4"/>
    <w:rsid w:val="00510C73"/>
    <w:rsid w:val="00511771"/>
    <w:rsid w:val="00511D75"/>
    <w:rsid w:val="00512355"/>
    <w:rsid w:val="005124C7"/>
    <w:rsid w:val="00512C90"/>
    <w:rsid w:val="00512CF1"/>
    <w:rsid w:val="00513FBC"/>
    <w:rsid w:val="00514E43"/>
    <w:rsid w:val="00515123"/>
    <w:rsid w:val="0051556D"/>
    <w:rsid w:val="0052041C"/>
    <w:rsid w:val="00521E20"/>
    <w:rsid w:val="00522AB2"/>
    <w:rsid w:val="00523A2E"/>
    <w:rsid w:val="00523C45"/>
    <w:rsid w:val="0052427E"/>
    <w:rsid w:val="005256F3"/>
    <w:rsid w:val="0052621D"/>
    <w:rsid w:val="00527462"/>
    <w:rsid w:val="00527873"/>
    <w:rsid w:val="00530040"/>
    <w:rsid w:val="005302AB"/>
    <w:rsid w:val="00530A7F"/>
    <w:rsid w:val="00531652"/>
    <w:rsid w:val="00532AAB"/>
    <w:rsid w:val="00532B27"/>
    <w:rsid w:val="00535208"/>
    <w:rsid w:val="00536356"/>
    <w:rsid w:val="005377A6"/>
    <w:rsid w:val="00540FE0"/>
    <w:rsid w:val="0054263B"/>
    <w:rsid w:val="0054264F"/>
    <w:rsid w:val="00542ACA"/>
    <w:rsid w:val="005437E8"/>
    <w:rsid w:val="005438E7"/>
    <w:rsid w:val="00543BD2"/>
    <w:rsid w:val="00543F87"/>
    <w:rsid w:val="00544C20"/>
    <w:rsid w:val="00544E40"/>
    <w:rsid w:val="00545D3C"/>
    <w:rsid w:val="00551A41"/>
    <w:rsid w:val="00552038"/>
    <w:rsid w:val="005529D8"/>
    <w:rsid w:val="00553692"/>
    <w:rsid w:val="00554A39"/>
    <w:rsid w:val="00555B3E"/>
    <w:rsid w:val="005560EB"/>
    <w:rsid w:val="0055660D"/>
    <w:rsid w:val="00557333"/>
    <w:rsid w:val="00557DD2"/>
    <w:rsid w:val="0056030C"/>
    <w:rsid w:val="00561B31"/>
    <w:rsid w:val="00562A5B"/>
    <w:rsid w:val="00563438"/>
    <w:rsid w:val="005634A6"/>
    <w:rsid w:val="005638B0"/>
    <w:rsid w:val="00563A26"/>
    <w:rsid w:val="00563B11"/>
    <w:rsid w:val="005643A3"/>
    <w:rsid w:val="005656C4"/>
    <w:rsid w:val="0056610F"/>
    <w:rsid w:val="0056734E"/>
    <w:rsid w:val="005679A6"/>
    <w:rsid w:val="005711E1"/>
    <w:rsid w:val="005721C0"/>
    <w:rsid w:val="005733A6"/>
    <w:rsid w:val="005733F3"/>
    <w:rsid w:val="00575075"/>
    <w:rsid w:val="00575AD1"/>
    <w:rsid w:val="005765C7"/>
    <w:rsid w:val="00576828"/>
    <w:rsid w:val="00577182"/>
    <w:rsid w:val="0057796D"/>
    <w:rsid w:val="00580C39"/>
    <w:rsid w:val="005818ED"/>
    <w:rsid w:val="00582EEE"/>
    <w:rsid w:val="0058546D"/>
    <w:rsid w:val="0058562D"/>
    <w:rsid w:val="00586C76"/>
    <w:rsid w:val="0059097C"/>
    <w:rsid w:val="00590AF8"/>
    <w:rsid w:val="00592176"/>
    <w:rsid w:val="0059367A"/>
    <w:rsid w:val="005943AE"/>
    <w:rsid w:val="00595206"/>
    <w:rsid w:val="00595D31"/>
    <w:rsid w:val="00595EE3"/>
    <w:rsid w:val="005968D1"/>
    <w:rsid w:val="00597D43"/>
    <w:rsid w:val="005A00A1"/>
    <w:rsid w:val="005A01C8"/>
    <w:rsid w:val="005A0264"/>
    <w:rsid w:val="005A02D4"/>
    <w:rsid w:val="005A15A4"/>
    <w:rsid w:val="005A169C"/>
    <w:rsid w:val="005A1CF1"/>
    <w:rsid w:val="005A1F68"/>
    <w:rsid w:val="005A28E7"/>
    <w:rsid w:val="005A4DBF"/>
    <w:rsid w:val="005B0219"/>
    <w:rsid w:val="005B07DE"/>
    <w:rsid w:val="005B0DFE"/>
    <w:rsid w:val="005B12E9"/>
    <w:rsid w:val="005B1713"/>
    <w:rsid w:val="005B2281"/>
    <w:rsid w:val="005B2537"/>
    <w:rsid w:val="005B3350"/>
    <w:rsid w:val="005B426A"/>
    <w:rsid w:val="005B463B"/>
    <w:rsid w:val="005B515A"/>
    <w:rsid w:val="005B59FC"/>
    <w:rsid w:val="005B5C8A"/>
    <w:rsid w:val="005B622B"/>
    <w:rsid w:val="005B7EBA"/>
    <w:rsid w:val="005C0F41"/>
    <w:rsid w:val="005C593E"/>
    <w:rsid w:val="005C7407"/>
    <w:rsid w:val="005D0510"/>
    <w:rsid w:val="005D142B"/>
    <w:rsid w:val="005D2DCD"/>
    <w:rsid w:val="005D2F13"/>
    <w:rsid w:val="005D4091"/>
    <w:rsid w:val="005D4105"/>
    <w:rsid w:val="005D42F8"/>
    <w:rsid w:val="005D4696"/>
    <w:rsid w:val="005D5D01"/>
    <w:rsid w:val="005D5EA2"/>
    <w:rsid w:val="005D6AA1"/>
    <w:rsid w:val="005D6EC7"/>
    <w:rsid w:val="005D713A"/>
    <w:rsid w:val="005D7B4E"/>
    <w:rsid w:val="005D7FE0"/>
    <w:rsid w:val="005E05AF"/>
    <w:rsid w:val="005E2557"/>
    <w:rsid w:val="005E441D"/>
    <w:rsid w:val="005E4B81"/>
    <w:rsid w:val="005E50FE"/>
    <w:rsid w:val="005E62CC"/>
    <w:rsid w:val="005E65B0"/>
    <w:rsid w:val="005E6BCA"/>
    <w:rsid w:val="005E7520"/>
    <w:rsid w:val="005E7F2B"/>
    <w:rsid w:val="005F0AA4"/>
    <w:rsid w:val="005F1009"/>
    <w:rsid w:val="005F1021"/>
    <w:rsid w:val="005F18F1"/>
    <w:rsid w:val="005F1CD3"/>
    <w:rsid w:val="005F295F"/>
    <w:rsid w:val="005F29F8"/>
    <w:rsid w:val="005F3BAC"/>
    <w:rsid w:val="005F3BD7"/>
    <w:rsid w:val="005F4396"/>
    <w:rsid w:val="005F4618"/>
    <w:rsid w:val="005F620B"/>
    <w:rsid w:val="005F665B"/>
    <w:rsid w:val="005F6FCA"/>
    <w:rsid w:val="0060059B"/>
    <w:rsid w:val="00601C39"/>
    <w:rsid w:val="00601FC8"/>
    <w:rsid w:val="00602B4F"/>
    <w:rsid w:val="0060384E"/>
    <w:rsid w:val="00605EF8"/>
    <w:rsid w:val="00606EC8"/>
    <w:rsid w:val="00607172"/>
    <w:rsid w:val="00607298"/>
    <w:rsid w:val="00610160"/>
    <w:rsid w:val="00611F89"/>
    <w:rsid w:val="0061200A"/>
    <w:rsid w:val="0061213D"/>
    <w:rsid w:val="00612492"/>
    <w:rsid w:val="00613B94"/>
    <w:rsid w:val="0061400C"/>
    <w:rsid w:val="00614331"/>
    <w:rsid w:val="006152BC"/>
    <w:rsid w:val="00615BC7"/>
    <w:rsid w:val="006162C2"/>
    <w:rsid w:val="00616A04"/>
    <w:rsid w:val="00622048"/>
    <w:rsid w:val="00622944"/>
    <w:rsid w:val="00624217"/>
    <w:rsid w:val="00624795"/>
    <w:rsid w:val="00624B91"/>
    <w:rsid w:val="0062578F"/>
    <w:rsid w:val="00625EFD"/>
    <w:rsid w:val="00626741"/>
    <w:rsid w:val="006274AF"/>
    <w:rsid w:val="00627BBF"/>
    <w:rsid w:val="006339F3"/>
    <w:rsid w:val="00633BB2"/>
    <w:rsid w:val="00634119"/>
    <w:rsid w:val="0063470B"/>
    <w:rsid w:val="0063519E"/>
    <w:rsid w:val="0063632E"/>
    <w:rsid w:val="00640298"/>
    <w:rsid w:val="00641FC6"/>
    <w:rsid w:val="006423C5"/>
    <w:rsid w:val="0064502B"/>
    <w:rsid w:val="006453AA"/>
    <w:rsid w:val="006458A2"/>
    <w:rsid w:val="00646CF4"/>
    <w:rsid w:val="006474EC"/>
    <w:rsid w:val="00650187"/>
    <w:rsid w:val="0065147A"/>
    <w:rsid w:val="00651AFD"/>
    <w:rsid w:val="00652312"/>
    <w:rsid w:val="00652A0E"/>
    <w:rsid w:val="00652ADF"/>
    <w:rsid w:val="006548CE"/>
    <w:rsid w:val="00655A3C"/>
    <w:rsid w:val="00655C9A"/>
    <w:rsid w:val="006562BE"/>
    <w:rsid w:val="00656936"/>
    <w:rsid w:val="00656EF1"/>
    <w:rsid w:val="006571FD"/>
    <w:rsid w:val="006600F0"/>
    <w:rsid w:val="00660683"/>
    <w:rsid w:val="006620DC"/>
    <w:rsid w:val="006638D7"/>
    <w:rsid w:val="00663E81"/>
    <w:rsid w:val="0066553D"/>
    <w:rsid w:val="006655A1"/>
    <w:rsid w:val="00665F32"/>
    <w:rsid w:val="006706C3"/>
    <w:rsid w:val="006716C5"/>
    <w:rsid w:val="00672A57"/>
    <w:rsid w:val="0067322C"/>
    <w:rsid w:val="00674685"/>
    <w:rsid w:val="00674B39"/>
    <w:rsid w:val="00674CB4"/>
    <w:rsid w:val="00676370"/>
    <w:rsid w:val="00677315"/>
    <w:rsid w:val="006779F2"/>
    <w:rsid w:val="00677C89"/>
    <w:rsid w:val="00680880"/>
    <w:rsid w:val="0068493A"/>
    <w:rsid w:val="00685F36"/>
    <w:rsid w:val="006864D0"/>
    <w:rsid w:val="006869CE"/>
    <w:rsid w:val="00686AC9"/>
    <w:rsid w:val="006879DE"/>
    <w:rsid w:val="006915EC"/>
    <w:rsid w:val="006917A2"/>
    <w:rsid w:val="00692071"/>
    <w:rsid w:val="0069266B"/>
    <w:rsid w:val="00692787"/>
    <w:rsid w:val="006928C5"/>
    <w:rsid w:val="00692AB8"/>
    <w:rsid w:val="006953FC"/>
    <w:rsid w:val="00696B9F"/>
    <w:rsid w:val="00696D29"/>
    <w:rsid w:val="006977B2"/>
    <w:rsid w:val="00697BF1"/>
    <w:rsid w:val="00697F56"/>
    <w:rsid w:val="006A019B"/>
    <w:rsid w:val="006A257A"/>
    <w:rsid w:val="006A2939"/>
    <w:rsid w:val="006A5F76"/>
    <w:rsid w:val="006A639B"/>
    <w:rsid w:val="006A77B5"/>
    <w:rsid w:val="006B1191"/>
    <w:rsid w:val="006B1C39"/>
    <w:rsid w:val="006B3631"/>
    <w:rsid w:val="006B5117"/>
    <w:rsid w:val="006B5429"/>
    <w:rsid w:val="006B59CA"/>
    <w:rsid w:val="006B5D69"/>
    <w:rsid w:val="006B6B3C"/>
    <w:rsid w:val="006B6E97"/>
    <w:rsid w:val="006B7001"/>
    <w:rsid w:val="006B77AC"/>
    <w:rsid w:val="006B78C5"/>
    <w:rsid w:val="006C3610"/>
    <w:rsid w:val="006C3674"/>
    <w:rsid w:val="006C3E19"/>
    <w:rsid w:val="006C47F6"/>
    <w:rsid w:val="006C4AC5"/>
    <w:rsid w:val="006C5F46"/>
    <w:rsid w:val="006C6EFC"/>
    <w:rsid w:val="006C7D34"/>
    <w:rsid w:val="006D0320"/>
    <w:rsid w:val="006D07E5"/>
    <w:rsid w:val="006D0882"/>
    <w:rsid w:val="006D093A"/>
    <w:rsid w:val="006D3F2A"/>
    <w:rsid w:val="006D497F"/>
    <w:rsid w:val="006D50D8"/>
    <w:rsid w:val="006D5D93"/>
    <w:rsid w:val="006D6574"/>
    <w:rsid w:val="006D738E"/>
    <w:rsid w:val="006D7F0F"/>
    <w:rsid w:val="006E139E"/>
    <w:rsid w:val="006E1EA3"/>
    <w:rsid w:val="006E32AD"/>
    <w:rsid w:val="006E4CAE"/>
    <w:rsid w:val="006E53DD"/>
    <w:rsid w:val="006E6A69"/>
    <w:rsid w:val="006E6BDB"/>
    <w:rsid w:val="006E78D2"/>
    <w:rsid w:val="006F011F"/>
    <w:rsid w:val="006F06E2"/>
    <w:rsid w:val="006F3869"/>
    <w:rsid w:val="006F4319"/>
    <w:rsid w:val="006F5088"/>
    <w:rsid w:val="006F52D7"/>
    <w:rsid w:val="006F580D"/>
    <w:rsid w:val="006F6AA7"/>
    <w:rsid w:val="006F738C"/>
    <w:rsid w:val="006F75B9"/>
    <w:rsid w:val="006F7845"/>
    <w:rsid w:val="00700AAE"/>
    <w:rsid w:val="00701BD8"/>
    <w:rsid w:val="007020A2"/>
    <w:rsid w:val="00702D9F"/>
    <w:rsid w:val="007034C9"/>
    <w:rsid w:val="00703639"/>
    <w:rsid w:val="00703667"/>
    <w:rsid w:val="00703D4D"/>
    <w:rsid w:val="007046B8"/>
    <w:rsid w:val="007050EE"/>
    <w:rsid w:val="007052DE"/>
    <w:rsid w:val="0070658D"/>
    <w:rsid w:val="00707B71"/>
    <w:rsid w:val="0071065C"/>
    <w:rsid w:val="00710A24"/>
    <w:rsid w:val="00710B0D"/>
    <w:rsid w:val="00710F9E"/>
    <w:rsid w:val="0071172E"/>
    <w:rsid w:val="00711A26"/>
    <w:rsid w:val="007121A5"/>
    <w:rsid w:val="00712AAD"/>
    <w:rsid w:val="0071362B"/>
    <w:rsid w:val="00714130"/>
    <w:rsid w:val="0071436C"/>
    <w:rsid w:val="007151B8"/>
    <w:rsid w:val="0071538E"/>
    <w:rsid w:val="00715C5C"/>
    <w:rsid w:val="00717591"/>
    <w:rsid w:val="007177E4"/>
    <w:rsid w:val="007215EA"/>
    <w:rsid w:val="007256CC"/>
    <w:rsid w:val="00725709"/>
    <w:rsid w:val="00726A8E"/>
    <w:rsid w:val="00726E7C"/>
    <w:rsid w:val="007310D1"/>
    <w:rsid w:val="00731C66"/>
    <w:rsid w:val="00731F92"/>
    <w:rsid w:val="0073258E"/>
    <w:rsid w:val="007334C1"/>
    <w:rsid w:val="0073386A"/>
    <w:rsid w:val="00733F84"/>
    <w:rsid w:val="00734514"/>
    <w:rsid w:val="007345A2"/>
    <w:rsid w:val="007349B8"/>
    <w:rsid w:val="007359A3"/>
    <w:rsid w:val="00736A81"/>
    <w:rsid w:val="00737811"/>
    <w:rsid w:val="0073787B"/>
    <w:rsid w:val="00737F3F"/>
    <w:rsid w:val="00737F8A"/>
    <w:rsid w:val="00740459"/>
    <w:rsid w:val="00741B41"/>
    <w:rsid w:val="00741B9F"/>
    <w:rsid w:val="00742351"/>
    <w:rsid w:val="00742EB6"/>
    <w:rsid w:val="00743011"/>
    <w:rsid w:val="007443E2"/>
    <w:rsid w:val="00744AB2"/>
    <w:rsid w:val="00745414"/>
    <w:rsid w:val="007457FE"/>
    <w:rsid w:val="00745E61"/>
    <w:rsid w:val="00745EA3"/>
    <w:rsid w:val="00747605"/>
    <w:rsid w:val="007478C9"/>
    <w:rsid w:val="00747A16"/>
    <w:rsid w:val="00747C60"/>
    <w:rsid w:val="00747FE0"/>
    <w:rsid w:val="007508DF"/>
    <w:rsid w:val="007509FE"/>
    <w:rsid w:val="00750CA6"/>
    <w:rsid w:val="00751401"/>
    <w:rsid w:val="0075152D"/>
    <w:rsid w:val="00751CE2"/>
    <w:rsid w:val="00752D9A"/>
    <w:rsid w:val="00754C8A"/>
    <w:rsid w:val="00755174"/>
    <w:rsid w:val="00755361"/>
    <w:rsid w:val="0075563D"/>
    <w:rsid w:val="007568D6"/>
    <w:rsid w:val="00757121"/>
    <w:rsid w:val="007579EE"/>
    <w:rsid w:val="0076145B"/>
    <w:rsid w:val="007621B6"/>
    <w:rsid w:val="00762B63"/>
    <w:rsid w:val="00763840"/>
    <w:rsid w:val="00763FE4"/>
    <w:rsid w:val="0076417E"/>
    <w:rsid w:val="00764C43"/>
    <w:rsid w:val="00766F23"/>
    <w:rsid w:val="00767C08"/>
    <w:rsid w:val="0077052B"/>
    <w:rsid w:val="00770607"/>
    <w:rsid w:val="00770C49"/>
    <w:rsid w:val="00770FE5"/>
    <w:rsid w:val="00771B61"/>
    <w:rsid w:val="00772DF5"/>
    <w:rsid w:val="007763DB"/>
    <w:rsid w:val="00777AED"/>
    <w:rsid w:val="00781580"/>
    <w:rsid w:val="00781B8F"/>
    <w:rsid w:val="007825F8"/>
    <w:rsid w:val="00783C28"/>
    <w:rsid w:val="0078411D"/>
    <w:rsid w:val="0078455B"/>
    <w:rsid w:val="00784CEF"/>
    <w:rsid w:val="007855D3"/>
    <w:rsid w:val="00785B8C"/>
    <w:rsid w:val="00786289"/>
    <w:rsid w:val="00786677"/>
    <w:rsid w:val="007870D3"/>
    <w:rsid w:val="00790729"/>
    <w:rsid w:val="00790BAE"/>
    <w:rsid w:val="0079102F"/>
    <w:rsid w:val="00791D84"/>
    <w:rsid w:val="00792192"/>
    <w:rsid w:val="00792257"/>
    <w:rsid w:val="00792932"/>
    <w:rsid w:val="00793681"/>
    <w:rsid w:val="00796B9C"/>
    <w:rsid w:val="00796C2E"/>
    <w:rsid w:val="007A071F"/>
    <w:rsid w:val="007A1C50"/>
    <w:rsid w:val="007A2601"/>
    <w:rsid w:val="007A6F7E"/>
    <w:rsid w:val="007A73F1"/>
    <w:rsid w:val="007A76BA"/>
    <w:rsid w:val="007B1194"/>
    <w:rsid w:val="007B1532"/>
    <w:rsid w:val="007B24B1"/>
    <w:rsid w:val="007B2A3E"/>
    <w:rsid w:val="007B3E10"/>
    <w:rsid w:val="007B4ADC"/>
    <w:rsid w:val="007B55B2"/>
    <w:rsid w:val="007B654B"/>
    <w:rsid w:val="007B7880"/>
    <w:rsid w:val="007C08FF"/>
    <w:rsid w:val="007C1B63"/>
    <w:rsid w:val="007C206C"/>
    <w:rsid w:val="007C270F"/>
    <w:rsid w:val="007C2B52"/>
    <w:rsid w:val="007C375F"/>
    <w:rsid w:val="007C4083"/>
    <w:rsid w:val="007C444C"/>
    <w:rsid w:val="007C52C8"/>
    <w:rsid w:val="007C62E0"/>
    <w:rsid w:val="007C657C"/>
    <w:rsid w:val="007C6F21"/>
    <w:rsid w:val="007D0B84"/>
    <w:rsid w:val="007D0CD4"/>
    <w:rsid w:val="007D12CB"/>
    <w:rsid w:val="007D156D"/>
    <w:rsid w:val="007D1E41"/>
    <w:rsid w:val="007D20AC"/>
    <w:rsid w:val="007D3698"/>
    <w:rsid w:val="007D3D17"/>
    <w:rsid w:val="007D3E7B"/>
    <w:rsid w:val="007D4375"/>
    <w:rsid w:val="007D5A8B"/>
    <w:rsid w:val="007D5EA7"/>
    <w:rsid w:val="007D65FD"/>
    <w:rsid w:val="007D7362"/>
    <w:rsid w:val="007E10DE"/>
    <w:rsid w:val="007E13D8"/>
    <w:rsid w:val="007E2125"/>
    <w:rsid w:val="007E277B"/>
    <w:rsid w:val="007E38A7"/>
    <w:rsid w:val="007E3D48"/>
    <w:rsid w:val="007E3DC8"/>
    <w:rsid w:val="007E5CB0"/>
    <w:rsid w:val="007E7DCC"/>
    <w:rsid w:val="007F0371"/>
    <w:rsid w:val="007F1528"/>
    <w:rsid w:val="007F1A39"/>
    <w:rsid w:val="007F1C80"/>
    <w:rsid w:val="007F25D7"/>
    <w:rsid w:val="007F2E2C"/>
    <w:rsid w:val="007F3DD9"/>
    <w:rsid w:val="007F4D25"/>
    <w:rsid w:val="007F58F7"/>
    <w:rsid w:val="007F5F57"/>
    <w:rsid w:val="007F6279"/>
    <w:rsid w:val="007F7121"/>
    <w:rsid w:val="007F7833"/>
    <w:rsid w:val="00800A36"/>
    <w:rsid w:val="008011FB"/>
    <w:rsid w:val="00801750"/>
    <w:rsid w:val="00801B26"/>
    <w:rsid w:val="00805601"/>
    <w:rsid w:val="0081005B"/>
    <w:rsid w:val="00810C64"/>
    <w:rsid w:val="00810F32"/>
    <w:rsid w:val="008116BD"/>
    <w:rsid w:val="008120B2"/>
    <w:rsid w:val="00812495"/>
    <w:rsid w:val="00812889"/>
    <w:rsid w:val="0081405F"/>
    <w:rsid w:val="0081431F"/>
    <w:rsid w:val="008145FF"/>
    <w:rsid w:val="008149D8"/>
    <w:rsid w:val="00814F32"/>
    <w:rsid w:val="00815050"/>
    <w:rsid w:val="0081575E"/>
    <w:rsid w:val="0081584B"/>
    <w:rsid w:val="00816193"/>
    <w:rsid w:val="00816EF0"/>
    <w:rsid w:val="008170D9"/>
    <w:rsid w:val="008173FC"/>
    <w:rsid w:val="00817431"/>
    <w:rsid w:val="00817709"/>
    <w:rsid w:val="00817DC4"/>
    <w:rsid w:val="00820812"/>
    <w:rsid w:val="00822AC6"/>
    <w:rsid w:val="008231DC"/>
    <w:rsid w:val="0082398B"/>
    <w:rsid w:val="00824815"/>
    <w:rsid w:val="00824E8B"/>
    <w:rsid w:val="00824F71"/>
    <w:rsid w:val="00825707"/>
    <w:rsid w:val="008266BB"/>
    <w:rsid w:val="008269D5"/>
    <w:rsid w:val="00827C3F"/>
    <w:rsid w:val="0083167E"/>
    <w:rsid w:val="00831F16"/>
    <w:rsid w:val="00832EA1"/>
    <w:rsid w:val="00833570"/>
    <w:rsid w:val="008341F0"/>
    <w:rsid w:val="00835A31"/>
    <w:rsid w:val="00837D6E"/>
    <w:rsid w:val="008405E1"/>
    <w:rsid w:val="00840A50"/>
    <w:rsid w:val="00841411"/>
    <w:rsid w:val="008435D2"/>
    <w:rsid w:val="00843AF4"/>
    <w:rsid w:val="00843FC0"/>
    <w:rsid w:val="0084415B"/>
    <w:rsid w:val="008446DF"/>
    <w:rsid w:val="008460DC"/>
    <w:rsid w:val="00846236"/>
    <w:rsid w:val="00850CF8"/>
    <w:rsid w:val="00850D48"/>
    <w:rsid w:val="00850FF6"/>
    <w:rsid w:val="008510EB"/>
    <w:rsid w:val="00851C2F"/>
    <w:rsid w:val="00852B4D"/>
    <w:rsid w:val="008536FF"/>
    <w:rsid w:val="0085406D"/>
    <w:rsid w:val="008541DD"/>
    <w:rsid w:val="0085492B"/>
    <w:rsid w:val="00854FDC"/>
    <w:rsid w:val="00855126"/>
    <w:rsid w:val="008562A8"/>
    <w:rsid w:val="0085690A"/>
    <w:rsid w:val="00856FB0"/>
    <w:rsid w:val="008572A2"/>
    <w:rsid w:val="00857574"/>
    <w:rsid w:val="008577DA"/>
    <w:rsid w:val="00860D6C"/>
    <w:rsid w:val="00862168"/>
    <w:rsid w:val="0086284D"/>
    <w:rsid w:val="008635A7"/>
    <w:rsid w:val="00865CCF"/>
    <w:rsid w:val="00865D67"/>
    <w:rsid w:val="00865F8B"/>
    <w:rsid w:val="00866E36"/>
    <w:rsid w:val="008672D0"/>
    <w:rsid w:val="00870102"/>
    <w:rsid w:val="00874CE4"/>
    <w:rsid w:val="00875335"/>
    <w:rsid w:val="0087623D"/>
    <w:rsid w:val="008769A8"/>
    <w:rsid w:val="008809B1"/>
    <w:rsid w:val="00881ACD"/>
    <w:rsid w:val="00881D99"/>
    <w:rsid w:val="00882BBF"/>
    <w:rsid w:val="00882DEC"/>
    <w:rsid w:val="00884819"/>
    <w:rsid w:val="00884846"/>
    <w:rsid w:val="00885759"/>
    <w:rsid w:val="008862D2"/>
    <w:rsid w:val="0088680D"/>
    <w:rsid w:val="00886893"/>
    <w:rsid w:val="008917FE"/>
    <w:rsid w:val="00891992"/>
    <w:rsid w:val="00891FD5"/>
    <w:rsid w:val="0089389E"/>
    <w:rsid w:val="00893B2F"/>
    <w:rsid w:val="008947B7"/>
    <w:rsid w:val="00894B47"/>
    <w:rsid w:val="008952A5"/>
    <w:rsid w:val="008968F5"/>
    <w:rsid w:val="00896F60"/>
    <w:rsid w:val="00897663"/>
    <w:rsid w:val="00897B6A"/>
    <w:rsid w:val="00897F3D"/>
    <w:rsid w:val="008A007A"/>
    <w:rsid w:val="008A0E23"/>
    <w:rsid w:val="008A0E45"/>
    <w:rsid w:val="008A1DA2"/>
    <w:rsid w:val="008A281D"/>
    <w:rsid w:val="008A3686"/>
    <w:rsid w:val="008A3BB9"/>
    <w:rsid w:val="008A3FF2"/>
    <w:rsid w:val="008A4077"/>
    <w:rsid w:val="008A4453"/>
    <w:rsid w:val="008A6F4C"/>
    <w:rsid w:val="008A74DD"/>
    <w:rsid w:val="008A76FB"/>
    <w:rsid w:val="008B059F"/>
    <w:rsid w:val="008B1A71"/>
    <w:rsid w:val="008B3389"/>
    <w:rsid w:val="008B5613"/>
    <w:rsid w:val="008B5617"/>
    <w:rsid w:val="008B57E5"/>
    <w:rsid w:val="008B6FFC"/>
    <w:rsid w:val="008C03D1"/>
    <w:rsid w:val="008C1E66"/>
    <w:rsid w:val="008C25DE"/>
    <w:rsid w:val="008C26B7"/>
    <w:rsid w:val="008C37DE"/>
    <w:rsid w:val="008C3BD6"/>
    <w:rsid w:val="008C438F"/>
    <w:rsid w:val="008C43F1"/>
    <w:rsid w:val="008C51A0"/>
    <w:rsid w:val="008C590F"/>
    <w:rsid w:val="008C6B96"/>
    <w:rsid w:val="008C6DE4"/>
    <w:rsid w:val="008D0753"/>
    <w:rsid w:val="008D14B1"/>
    <w:rsid w:val="008D1C34"/>
    <w:rsid w:val="008D3AE9"/>
    <w:rsid w:val="008D405B"/>
    <w:rsid w:val="008D629E"/>
    <w:rsid w:val="008D6F63"/>
    <w:rsid w:val="008D7A33"/>
    <w:rsid w:val="008E0A00"/>
    <w:rsid w:val="008E1DB9"/>
    <w:rsid w:val="008E20FC"/>
    <w:rsid w:val="008E3AF7"/>
    <w:rsid w:val="008E405A"/>
    <w:rsid w:val="008E4C02"/>
    <w:rsid w:val="008E6454"/>
    <w:rsid w:val="008E71D2"/>
    <w:rsid w:val="008E76BF"/>
    <w:rsid w:val="008F0135"/>
    <w:rsid w:val="008F1460"/>
    <w:rsid w:val="008F2459"/>
    <w:rsid w:val="008F2C31"/>
    <w:rsid w:val="008F3566"/>
    <w:rsid w:val="008F4DD2"/>
    <w:rsid w:val="008F4F78"/>
    <w:rsid w:val="008F5564"/>
    <w:rsid w:val="008F5897"/>
    <w:rsid w:val="008F6EB4"/>
    <w:rsid w:val="008F6EFC"/>
    <w:rsid w:val="008F7A3A"/>
    <w:rsid w:val="00901329"/>
    <w:rsid w:val="009016E3"/>
    <w:rsid w:val="00902085"/>
    <w:rsid w:val="009023E8"/>
    <w:rsid w:val="00902426"/>
    <w:rsid w:val="00903071"/>
    <w:rsid w:val="00903450"/>
    <w:rsid w:val="009053DA"/>
    <w:rsid w:val="009059FF"/>
    <w:rsid w:val="009060FE"/>
    <w:rsid w:val="00910747"/>
    <w:rsid w:val="00910827"/>
    <w:rsid w:val="00910E3B"/>
    <w:rsid w:val="009122D0"/>
    <w:rsid w:val="009125B7"/>
    <w:rsid w:val="00912CFB"/>
    <w:rsid w:val="009139E6"/>
    <w:rsid w:val="009175E4"/>
    <w:rsid w:val="00917AF0"/>
    <w:rsid w:val="00917C5F"/>
    <w:rsid w:val="00920A37"/>
    <w:rsid w:val="00920ACC"/>
    <w:rsid w:val="00920F8A"/>
    <w:rsid w:val="00921671"/>
    <w:rsid w:val="00922D49"/>
    <w:rsid w:val="009243D2"/>
    <w:rsid w:val="0092481E"/>
    <w:rsid w:val="00927CFC"/>
    <w:rsid w:val="00927DF8"/>
    <w:rsid w:val="00930567"/>
    <w:rsid w:val="00930E5C"/>
    <w:rsid w:val="0093159F"/>
    <w:rsid w:val="00931974"/>
    <w:rsid w:val="009319B4"/>
    <w:rsid w:val="00931A16"/>
    <w:rsid w:val="0093264A"/>
    <w:rsid w:val="00932776"/>
    <w:rsid w:val="00932A90"/>
    <w:rsid w:val="00933096"/>
    <w:rsid w:val="00934385"/>
    <w:rsid w:val="009350D0"/>
    <w:rsid w:val="00935FD5"/>
    <w:rsid w:val="0093607D"/>
    <w:rsid w:val="0093614F"/>
    <w:rsid w:val="009366F7"/>
    <w:rsid w:val="00936799"/>
    <w:rsid w:val="009370FC"/>
    <w:rsid w:val="009374D4"/>
    <w:rsid w:val="0094087B"/>
    <w:rsid w:val="0094352E"/>
    <w:rsid w:val="00944100"/>
    <w:rsid w:val="00946587"/>
    <w:rsid w:val="0094720D"/>
    <w:rsid w:val="0094772D"/>
    <w:rsid w:val="009511E5"/>
    <w:rsid w:val="0095149D"/>
    <w:rsid w:val="009521C1"/>
    <w:rsid w:val="00952A15"/>
    <w:rsid w:val="009534C9"/>
    <w:rsid w:val="00953EF6"/>
    <w:rsid w:val="0095402B"/>
    <w:rsid w:val="00955290"/>
    <w:rsid w:val="00955EBD"/>
    <w:rsid w:val="009568B5"/>
    <w:rsid w:val="00962F77"/>
    <w:rsid w:val="00963193"/>
    <w:rsid w:val="00964AA4"/>
    <w:rsid w:val="00964DE9"/>
    <w:rsid w:val="00965598"/>
    <w:rsid w:val="009665B5"/>
    <w:rsid w:val="0096660F"/>
    <w:rsid w:val="009677C7"/>
    <w:rsid w:val="00967855"/>
    <w:rsid w:val="009712EA"/>
    <w:rsid w:val="009729A9"/>
    <w:rsid w:val="009752BE"/>
    <w:rsid w:val="009752D4"/>
    <w:rsid w:val="0097535C"/>
    <w:rsid w:val="00975A23"/>
    <w:rsid w:val="009761D3"/>
    <w:rsid w:val="009762F4"/>
    <w:rsid w:val="00976F28"/>
    <w:rsid w:val="009822AB"/>
    <w:rsid w:val="00982A00"/>
    <w:rsid w:val="00983048"/>
    <w:rsid w:val="0098318A"/>
    <w:rsid w:val="0098335A"/>
    <w:rsid w:val="00983B82"/>
    <w:rsid w:val="00986127"/>
    <w:rsid w:val="009864F0"/>
    <w:rsid w:val="00986D7B"/>
    <w:rsid w:val="00987481"/>
    <w:rsid w:val="00987864"/>
    <w:rsid w:val="00987BF2"/>
    <w:rsid w:val="00990141"/>
    <w:rsid w:val="00993242"/>
    <w:rsid w:val="00993CF6"/>
    <w:rsid w:val="009943FA"/>
    <w:rsid w:val="009960EE"/>
    <w:rsid w:val="00996ACF"/>
    <w:rsid w:val="00997F29"/>
    <w:rsid w:val="009A01B1"/>
    <w:rsid w:val="009A29D8"/>
    <w:rsid w:val="009A29E9"/>
    <w:rsid w:val="009A2D45"/>
    <w:rsid w:val="009A56C0"/>
    <w:rsid w:val="009A6C25"/>
    <w:rsid w:val="009A6D2A"/>
    <w:rsid w:val="009A7FF9"/>
    <w:rsid w:val="009B015F"/>
    <w:rsid w:val="009B04E6"/>
    <w:rsid w:val="009B0883"/>
    <w:rsid w:val="009B0AD1"/>
    <w:rsid w:val="009B0AF0"/>
    <w:rsid w:val="009B0CDF"/>
    <w:rsid w:val="009B2515"/>
    <w:rsid w:val="009B2CE1"/>
    <w:rsid w:val="009B3AFA"/>
    <w:rsid w:val="009B3B5C"/>
    <w:rsid w:val="009B7053"/>
    <w:rsid w:val="009B7CBB"/>
    <w:rsid w:val="009C0063"/>
    <w:rsid w:val="009C030B"/>
    <w:rsid w:val="009C0321"/>
    <w:rsid w:val="009C29DF"/>
    <w:rsid w:val="009C3181"/>
    <w:rsid w:val="009C555E"/>
    <w:rsid w:val="009C7936"/>
    <w:rsid w:val="009D0074"/>
    <w:rsid w:val="009D1A50"/>
    <w:rsid w:val="009D2E7D"/>
    <w:rsid w:val="009D491B"/>
    <w:rsid w:val="009D65BC"/>
    <w:rsid w:val="009D7C5D"/>
    <w:rsid w:val="009D7F07"/>
    <w:rsid w:val="009D7F36"/>
    <w:rsid w:val="009E124C"/>
    <w:rsid w:val="009E2122"/>
    <w:rsid w:val="009E2628"/>
    <w:rsid w:val="009E2729"/>
    <w:rsid w:val="009E29EC"/>
    <w:rsid w:val="009E2E72"/>
    <w:rsid w:val="009E2FC5"/>
    <w:rsid w:val="009E343C"/>
    <w:rsid w:val="009E4504"/>
    <w:rsid w:val="009E49A6"/>
    <w:rsid w:val="009E4F58"/>
    <w:rsid w:val="009E5242"/>
    <w:rsid w:val="009E7227"/>
    <w:rsid w:val="009E7C4C"/>
    <w:rsid w:val="009E7D67"/>
    <w:rsid w:val="009F0666"/>
    <w:rsid w:val="009F0ED9"/>
    <w:rsid w:val="009F1368"/>
    <w:rsid w:val="009F140E"/>
    <w:rsid w:val="009F1852"/>
    <w:rsid w:val="009F1AC6"/>
    <w:rsid w:val="009F1F39"/>
    <w:rsid w:val="009F1F98"/>
    <w:rsid w:val="009F2EE1"/>
    <w:rsid w:val="009F35CA"/>
    <w:rsid w:val="009F3698"/>
    <w:rsid w:val="009F3D37"/>
    <w:rsid w:val="009F6428"/>
    <w:rsid w:val="009F64DC"/>
    <w:rsid w:val="009F766D"/>
    <w:rsid w:val="00A0092D"/>
    <w:rsid w:val="00A00AB9"/>
    <w:rsid w:val="00A014DF"/>
    <w:rsid w:val="00A018DB"/>
    <w:rsid w:val="00A018F9"/>
    <w:rsid w:val="00A01C8C"/>
    <w:rsid w:val="00A02A8E"/>
    <w:rsid w:val="00A02BE8"/>
    <w:rsid w:val="00A0304E"/>
    <w:rsid w:val="00A0323A"/>
    <w:rsid w:val="00A05E5D"/>
    <w:rsid w:val="00A069A8"/>
    <w:rsid w:val="00A079A4"/>
    <w:rsid w:val="00A1046C"/>
    <w:rsid w:val="00A123E9"/>
    <w:rsid w:val="00A12A8C"/>
    <w:rsid w:val="00A12D45"/>
    <w:rsid w:val="00A12EBF"/>
    <w:rsid w:val="00A13326"/>
    <w:rsid w:val="00A134DC"/>
    <w:rsid w:val="00A137EE"/>
    <w:rsid w:val="00A15114"/>
    <w:rsid w:val="00A15EAB"/>
    <w:rsid w:val="00A1667B"/>
    <w:rsid w:val="00A16854"/>
    <w:rsid w:val="00A16A80"/>
    <w:rsid w:val="00A178DD"/>
    <w:rsid w:val="00A20610"/>
    <w:rsid w:val="00A21BFE"/>
    <w:rsid w:val="00A21ED8"/>
    <w:rsid w:val="00A22EA6"/>
    <w:rsid w:val="00A239BC"/>
    <w:rsid w:val="00A25379"/>
    <w:rsid w:val="00A25895"/>
    <w:rsid w:val="00A26B14"/>
    <w:rsid w:val="00A27B7B"/>
    <w:rsid w:val="00A3003D"/>
    <w:rsid w:val="00A30122"/>
    <w:rsid w:val="00A30FE4"/>
    <w:rsid w:val="00A31BFA"/>
    <w:rsid w:val="00A36F15"/>
    <w:rsid w:val="00A371B5"/>
    <w:rsid w:val="00A41377"/>
    <w:rsid w:val="00A413BE"/>
    <w:rsid w:val="00A428DD"/>
    <w:rsid w:val="00A43126"/>
    <w:rsid w:val="00A4464E"/>
    <w:rsid w:val="00A44AA1"/>
    <w:rsid w:val="00A44DE9"/>
    <w:rsid w:val="00A460E1"/>
    <w:rsid w:val="00A479C4"/>
    <w:rsid w:val="00A50246"/>
    <w:rsid w:val="00A51691"/>
    <w:rsid w:val="00A51EC8"/>
    <w:rsid w:val="00A52274"/>
    <w:rsid w:val="00A52DF0"/>
    <w:rsid w:val="00A53A47"/>
    <w:rsid w:val="00A548C5"/>
    <w:rsid w:val="00A54FBC"/>
    <w:rsid w:val="00A5509C"/>
    <w:rsid w:val="00A55649"/>
    <w:rsid w:val="00A557A7"/>
    <w:rsid w:val="00A56559"/>
    <w:rsid w:val="00A56B64"/>
    <w:rsid w:val="00A6114C"/>
    <w:rsid w:val="00A6310F"/>
    <w:rsid w:val="00A63741"/>
    <w:rsid w:val="00A63E2A"/>
    <w:rsid w:val="00A6494D"/>
    <w:rsid w:val="00A64AFA"/>
    <w:rsid w:val="00A64BC4"/>
    <w:rsid w:val="00A64E0C"/>
    <w:rsid w:val="00A65B5B"/>
    <w:rsid w:val="00A65E42"/>
    <w:rsid w:val="00A67EE2"/>
    <w:rsid w:val="00A67F8F"/>
    <w:rsid w:val="00A71215"/>
    <w:rsid w:val="00A71736"/>
    <w:rsid w:val="00A71870"/>
    <w:rsid w:val="00A72A97"/>
    <w:rsid w:val="00A73EAD"/>
    <w:rsid w:val="00A740B1"/>
    <w:rsid w:val="00A74325"/>
    <w:rsid w:val="00A76915"/>
    <w:rsid w:val="00A80991"/>
    <w:rsid w:val="00A8099A"/>
    <w:rsid w:val="00A8199B"/>
    <w:rsid w:val="00A827F3"/>
    <w:rsid w:val="00A82A69"/>
    <w:rsid w:val="00A8379B"/>
    <w:rsid w:val="00A84A7A"/>
    <w:rsid w:val="00A863C1"/>
    <w:rsid w:val="00A8660E"/>
    <w:rsid w:val="00A879CC"/>
    <w:rsid w:val="00A9017C"/>
    <w:rsid w:val="00A90478"/>
    <w:rsid w:val="00A91319"/>
    <w:rsid w:val="00A913C6"/>
    <w:rsid w:val="00A9188B"/>
    <w:rsid w:val="00A92764"/>
    <w:rsid w:val="00A92AB8"/>
    <w:rsid w:val="00A92DE6"/>
    <w:rsid w:val="00A93164"/>
    <w:rsid w:val="00A93AA6"/>
    <w:rsid w:val="00A93E9A"/>
    <w:rsid w:val="00A95011"/>
    <w:rsid w:val="00A9575F"/>
    <w:rsid w:val="00A95CBE"/>
    <w:rsid w:val="00A9601D"/>
    <w:rsid w:val="00A97FC6"/>
    <w:rsid w:val="00AA01F2"/>
    <w:rsid w:val="00AA030E"/>
    <w:rsid w:val="00AA0707"/>
    <w:rsid w:val="00AA0C8A"/>
    <w:rsid w:val="00AA0E9F"/>
    <w:rsid w:val="00AA1012"/>
    <w:rsid w:val="00AA1253"/>
    <w:rsid w:val="00AA1C9B"/>
    <w:rsid w:val="00AA2564"/>
    <w:rsid w:val="00AA2627"/>
    <w:rsid w:val="00AA2C77"/>
    <w:rsid w:val="00AA3E65"/>
    <w:rsid w:val="00AA4691"/>
    <w:rsid w:val="00AA4DC0"/>
    <w:rsid w:val="00AA5C59"/>
    <w:rsid w:val="00AA5D8A"/>
    <w:rsid w:val="00AA673E"/>
    <w:rsid w:val="00AA69B7"/>
    <w:rsid w:val="00AA6EDE"/>
    <w:rsid w:val="00AA77AB"/>
    <w:rsid w:val="00AB1B9B"/>
    <w:rsid w:val="00AB37FE"/>
    <w:rsid w:val="00AB3B26"/>
    <w:rsid w:val="00AB4D98"/>
    <w:rsid w:val="00AB51DF"/>
    <w:rsid w:val="00AB54B2"/>
    <w:rsid w:val="00AB598D"/>
    <w:rsid w:val="00AB598E"/>
    <w:rsid w:val="00AB59EB"/>
    <w:rsid w:val="00AB62DA"/>
    <w:rsid w:val="00AC0359"/>
    <w:rsid w:val="00AC0DBD"/>
    <w:rsid w:val="00AC3E3F"/>
    <w:rsid w:val="00AC428D"/>
    <w:rsid w:val="00AC4547"/>
    <w:rsid w:val="00AC4609"/>
    <w:rsid w:val="00AC4636"/>
    <w:rsid w:val="00AC49A9"/>
    <w:rsid w:val="00AC4E14"/>
    <w:rsid w:val="00AC58FF"/>
    <w:rsid w:val="00AC6194"/>
    <w:rsid w:val="00AC6547"/>
    <w:rsid w:val="00AC67E4"/>
    <w:rsid w:val="00AC76EA"/>
    <w:rsid w:val="00AC7BC7"/>
    <w:rsid w:val="00AC7CAA"/>
    <w:rsid w:val="00AD028A"/>
    <w:rsid w:val="00AD1019"/>
    <w:rsid w:val="00AD13F3"/>
    <w:rsid w:val="00AD1C51"/>
    <w:rsid w:val="00AD1CB2"/>
    <w:rsid w:val="00AD262A"/>
    <w:rsid w:val="00AD380D"/>
    <w:rsid w:val="00AD38D9"/>
    <w:rsid w:val="00AD39BA"/>
    <w:rsid w:val="00AD4FCA"/>
    <w:rsid w:val="00AD7241"/>
    <w:rsid w:val="00AE0583"/>
    <w:rsid w:val="00AE1E4E"/>
    <w:rsid w:val="00AE2012"/>
    <w:rsid w:val="00AE387A"/>
    <w:rsid w:val="00AE3E83"/>
    <w:rsid w:val="00AE473B"/>
    <w:rsid w:val="00AE547B"/>
    <w:rsid w:val="00AE5987"/>
    <w:rsid w:val="00AE5ABB"/>
    <w:rsid w:val="00AE5B9F"/>
    <w:rsid w:val="00AE627E"/>
    <w:rsid w:val="00AE67E3"/>
    <w:rsid w:val="00AE6B27"/>
    <w:rsid w:val="00AE6B76"/>
    <w:rsid w:val="00AE712D"/>
    <w:rsid w:val="00AE7B89"/>
    <w:rsid w:val="00AF0C95"/>
    <w:rsid w:val="00AF21F0"/>
    <w:rsid w:val="00AF2CFE"/>
    <w:rsid w:val="00AF2F84"/>
    <w:rsid w:val="00AF31E9"/>
    <w:rsid w:val="00AF3B28"/>
    <w:rsid w:val="00AF4BB2"/>
    <w:rsid w:val="00AF7C38"/>
    <w:rsid w:val="00B00474"/>
    <w:rsid w:val="00B00878"/>
    <w:rsid w:val="00B0276C"/>
    <w:rsid w:val="00B0286F"/>
    <w:rsid w:val="00B030C8"/>
    <w:rsid w:val="00B043D6"/>
    <w:rsid w:val="00B050C4"/>
    <w:rsid w:val="00B05327"/>
    <w:rsid w:val="00B066D3"/>
    <w:rsid w:val="00B068A4"/>
    <w:rsid w:val="00B06C9B"/>
    <w:rsid w:val="00B07121"/>
    <w:rsid w:val="00B07D20"/>
    <w:rsid w:val="00B07ED2"/>
    <w:rsid w:val="00B104B5"/>
    <w:rsid w:val="00B1068B"/>
    <w:rsid w:val="00B1079F"/>
    <w:rsid w:val="00B1096F"/>
    <w:rsid w:val="00B10C4B"/>
    <w:rsid w:val="00B10F65"/>
    <w:rsid w:val="00B11E1B"/>
    <w:rsid w:val="00B121B5"/>
    <w:rsid w:val="00B12DE1"/>
    <w:rsid w:val="00B12E08"/>
    <w:rsid w:val="00B130FD"/>
    <w:rsid w:val="00B13320"/>
    <w:rsid w:val="00B13D0A"/>
    <w:rsid w:val="00B1464A"/>
    <w:rsid w:val="00B14D75"/>
    <w:rsid w:val="00B15605"/>
    <w:rsid w:val="00B160CB"/>
    <w:rsid w:val="00B172F9"/>
    <w:rsid w:val="00B20507"/>
    <w:rsid w:val="00B2219E"/>
    <w:rsid w:val="00B2285D"/>
    <w:rsid w:val="00B237F8"/>
    <w:rsid w:val="00B243C7"/>
    <w:rsid w:val="00B245CD"/>
    <w:rsid w:val="00B26A10"/>
    <w:rsid w:val="00B278EC"/>
    <w:rsid w:val="00B30AF1"/>
    <w:rsid w:val="00B30C3B"/>
    <w:rsid w:val="00B3356E"/>
    <w:rsid w:val="00B3392D"/>
    <w:rsid w:val="00B33F95"/>
    <w:rsid w:val="00B353A7"/>
    <w:rsid w:val="00B367CB"/>
    <w:rsid w:val="00B37757"/>
    <w:rsid w:val="00B40D7B"/>
    <w:rsid w:val="00B4220B"/>
    <w:rsid w:val="00B42E84"/>
    <w:rsid w:val="00B42FD8"/>
    <w:rsid w:val="00B43740"/>
    <w:rsid w:val="00B43D6C"/>
    <w:rsid w:val="00B44488"/>
    <w:rsid w:val="00B4501E"/>
    <w:rsid w:val="00B4512C"/>
    <w:rsid w:val="00B45828"/>
    <w:rsid w:val="00B45F4D"/>
    <w:rsid w:val="00B477C0"/>
    <w:rsid w:val="00B47EDD"/>
    <w:rsid w:val="00B5059C"/>
    <w:rsid w:val="00B50AB6"/>
    <w:rsid w:val="00B50C14"/>
    <w:rsid w:val="00B51222"/>
    <w:rsid w:val="00B514C6"/>
    <w:rsid w:val="00B51761"/>
    <w:rsid w:val="00B51829"/>
    <w:rsid w:val="00B51968"/>
    <w:rsid w:val="00B52936"/>
    <w:rsid w:val="00B529B9"/>
    <w:rsid w:val="00B52D6D"/>
    <w:rsid w:val="00B52F79"/>
    <w:rsid w:val="00B55203"/>
    <w:rsid w:val="00B55C79"/>
    <w:rsid w:val="00B56002"/>
    <w:rsid w:val="00B570C1"/>
    <w:rsid w:val="00B572E8"/>
    <w:rsid w:val="00B57514"/>
    <w:rsid w:val="00B57CE4"/>
    <w:rsid w:val="00B616D3"/>
    <w:rsid w:val="00B634DD"/>
    <w:rsid w:val="00B638B6"/>
    <w:rsid w:val="00B6458A"/>
    <w:rsid w:val="00B658C4"/>
    <w:rsid w:val="00B66841"/>
    <w:rsid w:val="00B670B3"/>
    <w:rsid w:val="00B671C2"/>
    <w:rsid w:val="00B67321"/>
    <w:rsid w:val="00B70997"/>
    <w:rsid w:val="00B70ECE"/>
    <w:rsid w:val="00B71012"/>
    <w:rsid w:val="00B712E1"/>
    <w:rsid w:val="00B716B1"/>
    <w:rsid w:val="00B71CE4"/>
    <w:rsid w:val="00B7213D"/>
    <w:rsid w:val="00B72996"/>
    <w:rsid w:val="00B7346C"/>
    <w:rsid w:val="00B73685"/>
    <w:rsid w:val="00B75E92"/>
    <w:rsid w:val="00B760DE"/>
    <w:rsid w:val="00B77C41"/>
    <w:rsid w:val="00B80292"/>
    <w:rsid w:val="00B80343"/>
    <w:rsid w:val="00B81D46"/>
    <w:rsid w:val="00B82069"/>
    <w:rsid w:val="00B8249F"/>
    <w:rsid w:val="00B85616"/>
    <w:rsid w:val="00B90C3E"/>
    <w:rsid w:val="00B914C7"/>
    <w:rsid w:val="00B9160E"/>
    <w:rsid w:val="00B9248D"/>
    <w:rsid w:val="00B92AC7"/>
    <w:rsid w:val="00B95615"/>
    <w:rsid w:val="00B96064"/>
    <w:rsid w:val="00B96F64"/>
    <w:rsid w:val="00B972EE"/>
    <w:rsid w:val="00B97A74"/>
    <w:rsid w:val="00BA051B"/>
    <w:rsid w:val="00BA08DC"/>
    <w:rsid w:val="00BA18EC"/>
    <w:rsid w:val="00BA2C23"/>
    <w:rsid w:val="00BA3299"/>
    <w:rsid w:val="00BA358D"/>
    <w:rsid w:val="00BA4104"/>
    <w:rsid w:val="00BA4CF3"/>
    <w:rsid w:val="00BA5F0A"/>
    <w:rsid w:val="00BA6595"/>
    <w:rsid w:val="00BA6B90"/>
    <w:rsid w:val="00BA6DE9"/>
    <w:rsid w:val="00BA74E6"/>
    <w:rsid w:val="00BA76BF"/>
    <w:rsid w:val="00BA797C"/>
    <w:rsid w:val="00BA7C7A"/>
    <w:rsid w:val="00BB0D0A"/>
    <w:rsid w:val="00BB0DD3"/>
    <w:rsid w:val="00BB143A"/>
    <w:rsid w:val="00BB162C"/>
    <w:rsid w:val="00BB4C95"/>
    <w:rsid w:val="00BB58FC"/>
    <w:rsid w:val="00BB6D1C"/>
    <w:rsid w:val="00BC0FC9"/>
    <w:rsid w:val="00BC4504"/>
    <w:rsid w:val="00BC54FE"/>
    <w:rsid w:val="00BC5508"/>
    <w:rsid w:val="00BC6C3B"/>
    <w:rsid w:val="00BC6F81"/>
    <w:rsid w:val="00BD0182"/>
    <w:rsid w:val="00BD01FC"/>
    <w:rsid w:val="00BD1505"/>
    <w:rsid w:val="00BD178B"/>
    <w:rsid w:val="00BD296C"/>
    <w:rsid w:val="00BD2B58"/>
    <w:rsid w:val="00BD38C5"/>
    <w:rsid w:val="00BD675C"/>
    <w:rsid w:val="00BD6C42"/>
    <w:rsid w:val="00BD71E6"/>
    <w:rsid w:val="00BE03E9"/>
    <w:rsid w:val="00BE0988"/>
    <w:rsid w:val="00BE37E0"/>
    <w:rsid w:val="00BE531E"/>
    <w:rsid w:val="00BE5EA7"/>
    <w:rsid w:val="00BE630D"/>
    <w:rsid w:val="00BF044F"/>
    <w:rsid w:val="00BF070A"/>
    <w:rsid w:val="00BF1F74"/>
    <w:rsid w:val="00BF3CC5"/>
    <w:rsid w:val="00BF42A4"/>
    <w:rsid w:val="00BF6CCE"/>
    <w:rsid w:val="00BF7116"/>
    <w:rsid w:val="00BF7EF8"/>
    <w:rsid w:val="00C00A84"/>
    <w:rsid w:val="00C010F3"/>
    <w:rsid w:val="00C01558"/>
    <w:rsid w:val="00C02754"/>
    <w:rsid w:val="00C03083"/>
    <w:rsid w:val="00C03C73"/>
    <w:rsid w:val="00C040D9"/>
    <w:rsid w:val="00C04A0A"/>
    <w:rsid w:val="00C05394"/>
    <w:rsid w:val="00C07A4C"/>
    <w:rsid w:val="00C10A0D"/>
    <w:rsid w:val="00C11811"/>
    <w:rsid w:val="00C11A43"/>
    <w:rsid w:val="00C11B96"/>
    <w:rsid w:val="00C127DB"/>
    <w:rsid w:val="00C12A34"/>
    <w:rsid w:val="00C13C3C"/>
    <w:rsid w:val="00C13EF4"/>
    <w:rsid w:val="00C1490B"/>
    <w:rsid w:val="00C15051"/>
    <w:rsid w:val="00C15108"/>
    <w:rsid w:val="00C15687"/>
    <w:rsid w:val="00C15B25"/>
    <w:rsid w:val="00C162F8"/>
    <w:rsid w:val="00C17387"/>
    <w:rsid w:val="00C176C8"/>
    <w:rsid w:val="00C20217"/>
    <w:rsid w:val="00C20745"/>
    <w:rsid w:val="00C21781"/>
    <w:rsid w:val="00C22E13"/>
    <w:rsid w:val="00C22EB5"/>
    <w:rsid w:val="00C243CF"/>
    <w:rsid w:val="00C244FC"/>
    <w:rsid w:val="00C24A39"/>
    <w:rsid w:val="00C257A6"/>
    <w:rsid w:val="00C257E1"/>
    <w:rsid w:val="00C25ABF"/>
    <w:rsid w:val="00C277E0"/>
    <w:rsid w:val="00C3070D"/>
    <w:rsid w:val="00C308C8"/>
    <w:rsid w:val="00C31D0F"/>
    <w:rsid w:val="00C320E7"/>
    <w:rsid w:val="00C353BF"/>
    <w:rsid w:val="00C35EE4"/>
    <w:rsid w:val="00C4085B"/>
    <w:rsid w:val="00C409CD"/>
    <w:rsid w:val="00C41220"/>
    <w:rsid w:val="00C41706"/>
    <w:rsid w:val="00C43668"/>
    <w:rsid w:val="00C43CDD"/>
    <w:rsid w:val="00C443B1"/>
    <w:rsid w:val="00C45621"/>
    <w:rsid w:val="00C4624B"/>
    <w:rsid w:val="00C46382"/>
    <w:rsid w:val="00C46854"/>
    <w:rsid w:val="00C47F61"/>
    <w:rsid w:val="00C47FB9"/>
    <w:rsid w:val="00C5074B"/>
    <w:rsid w:val="00C51E75"/>
    <w:rsid w:val="00C524A1"/>
    <w:rsid w:val="00C52CB1"/>
    <w:rsid w:val="00C54AF8"/>
    <w:rsid w:val="00C564D6"/>
    <w:rsid w:val="00C57862"/>
    <w:rsid w:val="00C5799C"/>
    <w:rsid w:val="00C60040"/>
    <w:rsid w:val="00C61068"/>
    <w:rsid w:val="00C61467"/>
    <w:rsid w:val="00C62529"/>
    <w:rsid w:val="00C63553"/>
    <w:rsid w:val="00C64599"/>
    <w:rsid w:val="00C658F0"/>
    <w:rsid w:val="00C65C4E"/>
    <w:rsid w:val="00C66A56"/>
    <w:rsid w:val="00C66B15"/>
    <w:rsid w:val="00C7227D"/>
    <w:rsid w:val="00C72405"/>
    <w:rsid w:val="00C73D25"/>
    <w:rsid w:val="00C74B43"/>
    <w:rsid w:val="00C755DA"/>
    <w:rsid w:val="00C7701F"/>
    <w:rsid w:val="00C80CDA"/>
    <w:rsid w:val="00C8105B"/>
    <w:rsid w:val="00C81E8F"/>
    <w:rsid w:val="00C8274E"/>
    <w:rsid w:val="00C830F4"/>
    <w:rsid w:val="00C83C29"/>
    <w:rsid w:val="00C83EC4"/>
    <w:rsid w:val="00C84EB4"/>
    <w:rsid w:val="00C85E9F"/>
    <w:rsid w:val="00C86438"/>
    <w:rsid w:val="00C86E09"/>
    <w:rsid w:val="00C86FBB"/>
    <w:rsid w:val="00C873AE"/>
    <w:rsid w:val="00C90B47"/>
    <w:rsid w:val="00C9124C"/>
    <w:rsid w:val="00C92423"/>
    <w:rsid w:val="00C95789"/>
    <w:rsid w:val="00C95D08"/>
    <w:rsid w:val="00C96091"/>
    <w:rsid w:val="00C969A5"/>
    <w:rsid w:val="00C96B43"/>
    <w:rsid w:val="00C97EE5"/>
    <w:rsid w:val="00CA02EF"/>
    <w:rsid w:val="00CA07ED"/>
    <w:rsid w:val="00CA1595"/>
    <w:rsid w:val="00CA1A7A"/>
    <w:rsid w:val="00CA2809"/>
    <w:rsid w:val="00CA39BF"/>
    <w:rsid w:val="00CA4073"/>
    <w:rsid w:val="00CA43A3"/>
    <w:rsid w:val="00CA44DA"/>
    <w:rsid w:val="00CA4558"/>
    <w:rsid w:val="00CA47FD"/>
    <w:rsid w:val="00CA4E2D"/>
    <w:rsid w:val="00CA54D1"/>
    <w:rsid w:val="00CA761A"/>
    <w:rsid w:val="00CA77B7"/>
    <w:rsid w:val="00CB13D3"/>
    <w:rsid w:val="00CB1E24"/>
    <w:rsid w:val="00CB232B"/>
    <w:rsid w:val="00CB2820"/>
    <w:rsid w:val="00CB3322"/>
    <w:rsid w:val="00CB44FB"/>
    <w:rsid w:val="00CB4798"/>
    <w:rsid w:val="00CB53A9"/>
    <w:rsid w:val="00CB60B0"/>
    <w:rsid w:val="00CB72B9"/>
    <w:rsid w:val="00CB7B7E"/>
    <w:rsid w:val="00CC28DB"/>
    <w:rsid w:val="00CC2CB6"/>
    <w:rsid w:val="00CC3425"/>
    <w:rsid w:val="00CC3662"/>
    <w:rsid w:val="00CC407A"/>
    <w:rsid w:val="00CC4549"/>
    <w:rsid w:val="00CC4947"/>
    <w:rsid w:val="00CC6E6D"/>
    <w:rsid w:val="00CC710B"/>
    <w:rsid w:val="00CD133E"/>
    <w:rsid w:val="00CD1B85"/>
    <w:rsid w:val="00CD2727"/>
    <w:rsid w:val="00CD293F"/>
    <w:rsid w:val="00CD3559"/>
    <w:rsid w:val="00CD3FC9"/>
    <w:rsid w:val="00CD632A"/>
    <w:rsid w:val="00CD63F0"/>
    <w:rsid w:val="00CE1025"/>
    <w:rsid w:val="00CE172B"/>
    <w:rsid w:val="00CE1CCD"/>
    <w:rsid w:val="00CE28D6"/>
    <w:rsid w:val="00CE3019"/>
    <w:rsid w:val="00CE30E3"/>
    <w:rsid w:val="00CE312E"/>
    <w:rsid w:val="00CE3D12"/>
    <w:rsid w:val="00CE3E46"/>
    <w:rsid w:val="00CE4847"/>
    <w:rsid w:val="00CE5877"/>
    <w:rsid w:val="00CE7203"/>
    <w:rsid w:val="00CE7948"/>
    <w:rsid w:val="00CF0094"/>
    <w:rsid w:val="00CF2005"/>
    <w:rsid w:val="00CF31C2"/>
    <w:rsid w:val="00CF3645"/>
    <w:rsid w:val="00CF3EF0"/>
    <w:rsid w:val="00CF3FF4"/>
    <w:rsid w:val="00CF455A"/>
    <w:rsid w:val="00CF6A48"/>
    <w:rsid w:val="00CF7D0D"/>
    <w:rsid w:val="00CF7D0F"/>
    <w:rsid w:val="00D00580"/>
    <w:rsid w:val="00D005FD"/>
    <w:rsid w:val="00D015BA"/>
    <w:rsid w:val="00D01782"/>
    <w:rsid w:val="00D02C6D"/>
    <w:rsid w:val="00D02D97"/>
    <w:rsid w:val="00D03561"/>
    <w:rsid w:val="00D03764"/>
    <w:rsid w:val="00D03998"/>
    <w:rsid w:val="00D0513D"/>
    <w:rsid w:val="00D074AE"/>
    <w:rsid w:val="00D0792B"/>
    <w:rsid w:val="00D10410"/>
    <w:rsid w:val="00D10817"/>
    <w:rsid w:val="00D108DB"/>
    <w:rsid w:val="00D114FE"/>
    <w:rsid w:val="00D11AF0"/>
    <w:rsid w:val="00D13727"/>
    <w:rsid w:val="00D15224"/>
    <w:rsid w:val="00D17D22"/>
    <w:rsid w:val="00D21745"/>
    <w:rsid w:val="00D228C5"/>
    <w:rsid w:val="00D228EE"/>
    <w:rsid w:val="00D2438E"/>
    <w:rsid w:val="00D255A3"/>
    <w:rsid w:val="00D25F82"/>
    <w:rsid w:val="00D27368"/>
    <w:rsid w:val="00D3198F"/>
    <w:rsid w:val="00D31CB3"/>
    <w:rsid w:val="00D33781"/>
    <w:rsid w:val="00D33D8A"/>
    <w:rsid w:val="00D343EC"/>
    <w:rsid w:val="00D36781"/>
    <w:rsid w:val="00D373E5"/>
    <w:rsid w:val="00D37527"/>
    <w:rsid w:val="00D3772C"/>
    <w:rsid w:val="00D40268"/>
    <w:rsid w:val="00D40382"/>
    <w:rsid w:val="00D40B22"/>
    <w:rsid w:val="00D40DD4"/>
    <w:rsid w:val="00D4121F"/>
    <w:rsid w:val="00D452E5"/>
    <w:rsid w:val="00D4689F"/>
    <w:rsid w:val="00D46996"/>
    <w:rsid w:val="00D46ECB"/>
    <w:rsid w:val="00D47438"/>
    <w:rsid w:val="00D47B16"/>
    <w:rsid w:val="00D50466"/>
    <w:rsid w:val="00D527BD"/>
    <w:rsid w:val="00D5367E"/>
    <w:rsid w:val="00D5428E"/>
    <w:rsid w:val="00D54395"/>
    <w:rsid w:val="00D54DF6"/>
    <w:rsid w:val="00D5644A"/>
    <w:rsid w:val="00D56955"/>
    <w:rsid w:val="00D5717C"/>
    <w:rsid w:val="00D5730E"/>
    <w:rsid w:val="00D57418"/>
    <w:rsid w:val="00D575ED"/>
    <w:rsid w:val="00D57DA6"/>
    <w:rsid w:val="00D6123D"/>
    <w:rsid w:val="00D615BB"/>
    <w:rsid w:val="00D61C87"/>
    <w:rsid w:val="00D61CAC"/>
    <w:rsid w:val="00D63A85"/>
    <w:rsid w:val="00D63A93"/>
    <w:rsid w:val="00D6487C"/>
    <w:rsid w:val="00D64BAB"/>
    <w:rsid w:val="00D6685C"/>
    <w:rsid w:val="00D70430"/>
    <w:rsid w:val="00D707E1"/>
    <w:rsid w:val="00D714D0"/>
    <w:rsid w:val="00D7180F"/>
    <w:rsid w:val="00D719EC"/>
    <w:rsid w:val="00D71DD0"/>
    <w:rsid w:val="00D7311C"/>
    <w:rsid w:val="00D73FED"/>
    <w:rsid w:val="00D74906"/>
    <w:rsid w:val="00D74C73"/>
    <w:rsid w:val="00D74F71"/>
    <w:rsid w:val="00D762C2"/>
    <w:rsid w:val="00D770B2"/>
    <w:rsid w:val="00D77E06"/>
    <w:rsid w:val="00D80113"/>
    <w:rsid w:val="00D80DC8"/>
    <w:rsid w:val="00D814E6"/>
    <w:rsid w:val="00D81C35"/>
    <w:rsid w:val="00D81DDF"/>
    <w:rsid w:val="00D824AE"/>
    <w:rsid w:val="00D82986"/>
    <w:rsid w:val="00D82A10"/>
    <w:rsid w:val="00D82BD3"/>
    <w:rsid w:val="00D83408"/>
    <w:rsid w:val="00D83AE7"/>
    <w:rsid w:val="00D84D68"/>
    <w:rsid w:val="00D864F9"/>
    <w:rsid w:val="00D86A15"/>
    <w:rsid w:val="00D86B3D"/>
    <w:rsid w:val="00D86FC5"/>
    <w:rsid w:val="00D87793"/>
    <w:rsid w:val="00D90BFD"/>
    <w:rsid w:val="00D90EA9"/>
    <w:rsid w:val="00D91633"/>
    <w:rsid w:val="00D91DAA"/>
    <w:rsid w:val="00D91F36"/>
    <w:rsid w:val="00D92695"/>
    <w:rsid w:val="00D92CD5"/>
    <w:rsid w:val="00D93F3B"/>
    <w:rsid w:val="00D944FD"/>
    <w:rsid w:val="00D94743"/>
    <w:rsid w:val="00D94783"/>
    <w:rsid w:val="00D949DF"/>
    <w:rsid w:val="00D94B67"/>
    <w:rsid w:val="00D94BA9"/>
    <w:rsid w:val="00D951D8"/>
    <w:rsid w:val="00D9567C"/>
    <w:rsid w:val="00D96534"/>
    <w:rsid w:val="00D96D5A"/>
    <w:rsid w:val="00D96F58"/>
    <w:rsid w:val="00D973E8"/>
    <w:rsid w:val="00DA00E3"/>
    <w:rsid w:val="00DA1383"/>
    <w:rsid w:val="00DA1594"/>
    <w:rsid w:val="00DA1E5D"/>
    <w:rsid w:val="00DA35D6"/>
    <w:rsid w:val="00DA4F09"/>
    <w:rsid w:val="00DA5A48"/>
    <w:rsid w:val="00DA607F"/>
    <w:rsid w:val="00DA6850"/>
    <w:rsid w:val="00DA6C5B"/>
    <w:rsid w:val="00DB1106"/>
    <w:rsid w:val="00DB12CA"/>
    <w:rsid w:val="00DB19C5"/>
    <w:rsid w:val="00DB1D55"/>
    <w:rsid w:val="00DB212F"/>
    <w:rsid w:val="00DB348A"/>
    <w:rsid w:val="00DB514B"/>
    <w:rsid w:val="00DB553B"/>
    <w:rsid w:val="00DB6C5A"/>
    <w:rsid w:val="00DC00AE"/>
    <w:rsid w:val="00DC01A4"/>
    <w:rsid w:val="00DC0951"/>
    <w:rsid w:val="00DC0DE9"/>
    <w:rsid w:val="00DC20F7"/>
    <w:rsid w:val="00DC2820"/>
    <w:rsid w:val="00DC3224"/>
    <w:rsid w:val="00DC445E"/>
    <w:rsid w:val="00DC4B1B"/>
    <w:rsid w:val="00DC5533"/>
    <w:rsid w:val="00DC59F9"/>
    <w:rsid w:val="00DC5DD9"/>
    <w:rsid w:val="00DC7FAB"/>
    <w:rsid w:val="00DD0BE7"/>
    <w:rsid w:val="00DD1477"/>
    <w:rsid w:val="00DD29E9"/>
    <w:rsid w:val="00DD31F3"/>
    <w:rsid w:val="00DD3938"/>
    <w:rsid w:val="00DD5D7C"/>
    <w:rsid w:val="00DD7E98"/>
    <w:rsid w:val="00DD7F36"/>
    <w:rsid w:val="00DD7F4E"/>
    <w:rsid w:val="00DE0589"/>
    <w:rsid w:val="00DE1685"/>
    <w:rsid w:val="00DE1AE0"/>
    <w:rsid w:val="00DE1C0C"/>
    <w:rsid w:val="00DE3984"/>
    <w:rsid w:val="00DE3B4A"/>
    <w:rsid w:val="00DE3C4A"/>
    <w:rsid w:val="00DE4168"/>
    <w:rsid w:val="00DE447F"/>
    <w:rsid w:val="00DE575A"/>
    <w:rsid w:val="00DE5E8E"/>
    <w:rsid w:val="00DE63CA"/>
    <w:rsid w:val="00DE7757"/>
    <w:rsid w:val="00DE7947"/>
    <w:rsid w:val="00DF009A"/>
    <w:rsid w:val="00DF0608"/>
    <w:rsid w:val="00DF0A38"/>
    <w:rsid w:val="00DF0FE3"/>
    <w:rsid w:val="00DF13A8"/>
    <w:rsid w:val="00DF21D0"/>
    <w:rsid w:val="00DF34C1"/>
    <w:rsid w:val="00DF41D1"/>
    <w:rsid w:val="00DF6172"/>
    <w:rsid w:val="00DF77EF"/>
    <w:rsid w:val="00E00223"/>
    <w:rsid w:val="00E00972"/>
    <w:rsid w:val="00E01FC1"/>
    <w:rsid w:val="00E02286"/>
    <w:rsid w:val="00E027B1"/>
    <w:rsid w:val="00E03346"/>
    <w:rsid w:val="00E0354C"/>
    <w:rsid w:val="00E0378F"/>
    <w:rsid w:val="00E038E3"/>
    <w:rsid w:val="00E0471C"/>
    <w:rsid w:val="00E04B57"/>
    <w:rsid w:val="00E04E62"/>
    <w:rsid w:val="00E055FA"/>
    <w:rsid w:val="00E05B99"/>
    <w:rsid w:val="00E05BCE"/>
    <w:rsid w:val="00E0603A"/>
    <w:rsid w:val="00E0693F"/>
    <w:rsid w:val="00E077B7"/>
    <w:rsid w:val="00E10A13"/>
    <w:rsid w:val="00E11DD7"/>
    <w:rsid w:val="00E11F05"/>
    <w:rsid w:val="00E12809"/>
    <w:rsid w:val="00E12EE0"/>
    <w:rsid w:val="00E12F4E"/>
    <w:rsid w:val="00E12FFB"/>
    <w:rsid w:val="00E13798"/>
    <w:rsid w:val="00E138C6"/>
    <w:rsid w:val="00E14358"/>
    <w:rsid w:val="00E14804"/>
    <w:rsid w:val="00E15AE5"/>
    <w:rsid w:val="00E167E6"/>
    <w:rsid w:val="00E170B7"/>
    <w:rsid w:val="00E1723C"/>
    <w:rsid w:val="00E2018D"/>
    <w:rsid w:val="00E205EB"/>
    <w:rsid w:val="00E2089B"/>
    <w:rsid w:val="00E21918"/>
    <w:rsid w:val="00E220A2"/>
    <w:rsid w:val="00E23066"/>
    <w:rsid w:val="00E250CE"/>
    <w:rsid w:val="00E26BCB"/>
    <w:rsid w:val="00E270D3"/>
    <w:rsid w:val="00E27274"/>
    <w:rsid w:val="00E2744B"/>
    <w:rsid w:val="00E27572"/>
    <w:rsid w:val="00E27A76"/>
    <w:rsid w:val="00E27F7E"/>
    <w:rsid w:val="00E3002F"/>
    <w:rsid w:val="00E309D7"/>
    <w:rsid w:val="00E30DEE"/>
    <w:rsid w:val="00E317B9"/>
    <w:rsid w:val="00E321AA"/>
    <w:rsid w:val="00E32B95"/>
    <w:rsid w:val="00E3316F"/>
    <w:rsid w:val="00E335E0"/>
    <w:rsid w:val="00E343D4"/>
    <w:rsid w:val="00E358D2"/>
    <w:rsid w:val="00E36E76"/>
    <w:rsid w:val="00E3779D"/>
    <w:rsid w:val="00E40305"/>
    <w:rsid w:val="00E40ADE"/>
    <w:rsid w:val="00E41D67"/>
    <w:rsid w:val="00E43F01"/>
    <w:rsid w:val="00E46189"/>
    <w:rsid w:val="00E46878"/>
    <w:rsid w:val="00E46C28"/>
    <w:rsid w:val="00E50BA5"/>
    <w:rsid w:val="00E5284F"/>
    <w:rsid w:val="00E53108"/>
    <w:rsid w:val="00E53841"/>
    <w:rsid w:val="00E53BBE"/>
    <w:rsid w:val="00E549F2"/>
    <w:rsid w:val="00E54EB6"/>
    <w:rsid w:val="00E5529E"/>
    <w:rsid w:val="00E556CD"/>
    <w:rsid w:val="00E56791"/>
    <w:rsid w:val="00E56EA4"/>
    <w:rsid w:val="00E57291"/>
    <w:rsid w:val="00E6240F"/>
    <w:rsid w:val="00E657A9"/>
    <w:rsid w:val="00E66DCA"/>
    <w:rsid w:val="00E67056"/>
    <w:rsid w:val="00E67E7C"/>
    <w:rsid w:val="00E721AF"/>
    <w:rsid w:val="00E72DE0"/>
    <w:rsid w:val="00E7492C"/>
    <w:rsid w:val="00E74E55"/>
    <w:rsid w:val="00E76C73"/>
    <w:rsid w:val="00E81429"/>
    <w:rsid w:val="00E81824"/>
    <w:rsid w:val="00E8357C"/>
    <w:rsid w:val="00E83B42"/>
    <w:rsid w:val="00E87438"/>
    <w:rsid w:val="00E901AF"/>
    <w:rsid w:val="00E90BF4"/>
    <w:rsid w:val="00E91008"/>
    <w:rsid w:val="00E91741"/>
    <w:rsid w:val="00E91833"/>
    <w:rsid w:val="00E96931"/>
    <w:rsid w:val="00E97C36"/>
    <w:rsid w:val="00EA0079"/>
    <w:rsid w:val="00EA0837"/>
    <w:rsid w:val="00EA16CA"/>
    <w:rsid w:val="00EA2F91"/>
    <w:rsid w:val="00EA3740"/>
    <w:rsid w:val="00EA4173"/>
    <w:rsid w:val="00EA4174"/>
    <w:rsid w:val="00EA423E"/>
    <w:rsid w:val="00EA4A3B"/>
    <w:rsid w:val="00EA4D8E"/>
    <w:rsid w:val="00EA4F5A"/>
    <w:rsid w:val="00EA5DE9"/>
    <w:rsid w:val="00EA62D3"/>
    <w:rsid w:val="00EA6D15"/>
    <w:rsid w:val="00EA7E5E"/>
    <w:rsid w:val="00EA7F23"/>
    <w:rsid w:val="00EB048C"/>
    <w:rsid w:val="00EB081A"/>
    <w:rsid w:val="00EB098C"/>
    <w:rsid w:val="00EB216C"/>
    <w:rsid w:val="00EB2255"/>
    <w:rsid w:val="00EB2A81"/>
    <w:rsid w:val="00EB3BB1"/>
    <w:rsid w:val="00EB4C23"/>
    <w:rsid w:val="00EB50A0"/>
    <w:rsid w:val="00EB52FE"/>
    <w:rsid w:val="00EB568A"/>
    <w:rsid w:val="00EB57A3"/>
    <w:rsid w:val="00EB5E88"/>
    <w:rsid w:val="00EB6CAF"/>
    <w:rsid w:val="00EB7BDE"/>
    <w:rsid w:val="00EC106E"/>
    <w:rsid w:val="00EC38E4"/>
    <w:rsid w:val="00EC4B5F"/>
    <w:rsid w:val="00EC6320"/>
    <w:rsid w:val="00EC6340"/>
    <w:rsid w:val="00EC6FC1"/>
    <w:rsid w:val="00EC7513"/>
    <w:rsid w:val="00ED00B0"/>
    <w:rsid w:val="00ED01F1"/>
    <w:rsid w:val="00ED0E81"/>
    <w:rsid w:val="00ED10E1"/>
    <w:rsid w:val="00ED1385"/>
    <w:rsid w:val="00ED15C2"/>
    <w:rsid w:val="00ED347F"/>
    <w:rsid w:val="00ED37A2"/>
    <w:rsid w:val="00ED4BB5"/>
    <w:rsid w:val="00ED5E40"/>
    <w:rsid w:val="00ED6E15"/>
    <w:rsid w:val="00EE04E7"/>
    <w:rsid w:val="00EE083D"/>
    <w:rsid w:val="00EE0DB2"/>
    <w:rsid w:val="00EE0E9A"/>
    <w:rsid w:val="00EE12A7"/>
    <w:rsid w:val="00EE2409"/>
    <w:rsid w:val="00EE3042"/>
    <w:rsid w:val="00EE30FD"/>
    <w:rsid w:val="00EE3C5A"/>
    <w:rsid w:val="00EE4547"/>
    <w:rsid w:val="00EE45A6"/>
    <w:rsid w:val="00EE4D72"/>
    <w:rsid w:val="00EE5292"/>
    <w:rsid w:val="00EE658F"/>
    <w:rsid w:val="00EE6649"/>
    <w:rsid w:val="00EE6B18"/>
    <w:rsid w:val="00EE7D3F"/>
    <w:rsid w:val="00EF020B"/>
    <w:rsid w:val="00EF2B60"/>
    <w:rsid w:val="00EF2C79"/>
    <w:rsid w:val="00EF3241"/>
    <w:rsid w:val="00EF41CD"/>
    <w:rsid w:val="00EF45C8"/>
    <w:rsid w:val="00EF524B"/>
    <w:rsid w:val="00EF58D8"/>
    <w:rsid w:val="00EF6212"/>
    <w:rsid w:val="00F00459"/>
    <w:rsid w:val="00F00FDE"/>
    <w:rsid w:val="00F01D75"/>
    <w:rsid w:val="00F0213D"/>
    <w:rsid w:val="00F03DA1"/>
    <w:rsid w:val="00F03DBB"/>
    <w:rsid w:val="00F03FDB"/>
    <w:rsid w:val="00F047CB"/>
    <w:rsid w:val="00F04852"/>
    <w:rsid w:val="00F067DC"/>
    <w:rsid w:val="00F0684A"/>
    <w:rsid w:val="00F07CF1"/>
    <w:rsid w:val="00F1131D"/>
    <w:rsid w:val="00F114C3"/>
    <w:rsid w:val="00F11816"/>
    <w:rsid w:val="00F119F0"/>
    <w:rsid w:val="00F11B52"/>
    <w:rsid w:val="00F11C0B"/>
    <w:rsid w:val="00F12294"/>
    <w:rsid w:val="00F1230D"/>
    <w:rsid w:val="00F12B23"/>
    <w:rsid w:val="00F1368B"/>
    <w:rsid w:val="00F13E32"/>
    <w:rsid w:val="00F142D0"/>
    <w:rsid w:val="00F16057"/>
    <w:rsid w:val="00F20BD8"/>
    <w:rsid w:val="00F20EBB"/>
    <w:rsid w:val="00F2229D"/>
    <w:rsid w:val="00F22B38"/>
    <w:rsid w:val="00F22C95"/>
    <w:rsid w:val="00F23538"/>
    <w:rsid w:val="00F2356D"/>
    <w:rsid w:val="00F24631"/>
    <w:rsid w:val="00F2504F"/>
    <w:rsid w:val="00F2553B"/>
    <w:rsid w:val="00F25B9A"/>
    <w:rsid w:val="00F268B5"/>
    <w:rsid w:val="00F30756"/>
    <w:rsid w:val="00F308C8"/>
    <w:rsid w:val="00F30D7F"/>
    <w:rsid w:val="00F313AE"/>
    <w:rsid w:val="00F314F5"/>
    <w:rsid w:val="00F32AFF"/>
    <w:rsid w:val="00F32B41"/>
    <w:rsid w:val="00F340BA"/>
    <w:rsid w:val="00F34506"/>
    <w:rsid w:val="00F34F33"/>
    <w:rsid w:val="00F34FA4"/>
    <w:rsid w:val="00F3514E"/>
    <w:rsid w:val="00F3577A"/>
    <w:rsid w:val="00F36A56"/>
    <w:rsid w:val="00F3702E"/>
    <w:rsid w:val="00F379A8"/>
    <w:rsid w:val="00F404B0"/>
    <w:rsid w:val="00F40C61"/>
    <w:rsid w:val="00F413CE"/>
    <w:rsid w:val="00F42536"/>
    <w:rsid w:val="00F42F16"/>
    <w:rsid w:val="00F43467"/>
    <w:rsid w:val="00F43906"/>
    <w:rsid w:val="00F44AFB"/>
    <w:rsid w:val="00F46AFB"/>
    <w:rsid w:val="00F46BF5"/>
    <w:rsid w:val="00F47170"/>
    <w:rsid w:val="00F47BD3"/>
    <w:rsid w:val="00F47FF3"/>
    <w:rsid w:val="00F50B37"/>
    <w:rsid w:val="00F514E1"/>
    <w:rsid w:val="00F521FE"/>
    <w:rsid w:val="00F52D85"/>
    <w:rsid w:val="00F52E56"/>
    <w:rsid w:val="00F535ED"/>
    <w:rsid w:val="00F5471B"/>
    <w:rsid w:val="00F55B59"/>
    <w:rsid w:val="00F56BEB"/>
    <w:rsid w:val="00F6171E"/>
    <w:rsid w:val="00F62F4B"/>
    <w:rsid w:val="00F64120"/>
    <w:rsid w:val="00F646CD"/>
    <w:rsid w:val="00F65293"/>
    <w:rsid w:val="00F65969"/>
    <w:rsid w:val="00F65E52"/>
    <w:rsid w:val="00F65E5D"/>
    <w:rsid w:val="00F66C8C"/>
    <w:rsid w:val="00F6776F"/>
    <w:rsid w:val="00F70F31"/>
    <w:rsid w:val="00F71CB3"/>
    <w:rsid w:val="00F72A6B"/>
    <w:rsid w:val="00F73DC1"/>
    <w:rsid w:val="00F744C3"/>
    <w:rsid w:val="00F75043"/>
    <w:rsid w:val="00F7554E"/>
    <w:rsid w:val="00F76CF7"/>
    <w:rsid w:val="00F77502"/>
    <w:rsid w:val="00F77CE9"/>
    <w:rsid w:val="00F8029A"/>
    <w:rsid w:val="00F80A42"/>
    <w:rsid w:val="00F829DA"/>
    <w:rsid w:val="00F8432A"/>
    <w:rsid w:val="00F8705E"/>
    <w:rsid w:val="00F870DE"/>
    <w:rsid w:val="00F87698"/>
    <w:rsid w:val="00F87ED6"/>
    <w:rsid w:val="00F901E3"/>
    <w:rsid w:val="00F90409"/>
    <w:rsid w:val="00F90FEF"/>
    <w:rsid w:val="00F9180A"/>
    <w:rsid w:val="00F91BEA"/>
    <w:rsid w:val="00F92254"/>
    <w:rsid w:val="00F926D1"/>
    <w:rsid w:val="00F92DC1"/>
    <w:rsid w:val="00F92FE3"/>
    <w:rsid w:val="00F939CC"/>
    <w:rsid w:val="00F93B4A"/>
    <w:rsid w:val="00F93FE7"/>
    <w:rsid w:val="00F94E21"/>
    <w:rsid w:val="00F94F2E"/>
    <w:rsid w:val="00F951FA"/>
    <w:rsid w:val="00F95FB8"/>
    <w:rsid w:val="00F96DDE"/>
    <w:rsid w:val="00F96EE0"/>
    <w:rsid w:val="00F9763C"/>
    <w:rsid w:val="00F97E99"/>
    <w:rsid w:val="00FA0323"/>
    <w:rsid w:val="00FA19CA"/>
    <w:rsid w:val="00FA2663"/>
    <w:rsid w:val="00FA296C"/>
    <w:rsid w:val="00FA5231"/>
    <w:rsid w:val="00FA62B3"/>
    <w:rsid w:val="00FA6956"/>
    <w:rsid w:val="00FA6BD5"/>
    <w:rsid w:val="00FA6F1D"/>
    <w:rsid w:val="00FA744D"/>
    <w:rsid w:val="00FA75FA"/>
    <w:rsid w:val="00FA783C"/>
    <w:rsid w:val="00FB0A48"/>
    <w:rsid w:val="00FB0EF2"/>
    <w:rsid w:val="00FB0F14"/>
    <w:rsid w:val="00FB1367"/>
    <w:rsid w:val="00FB1DA9"/>
    <w:rsid w:val="00FB301D"/>
    <w:rsid w:val="00FB3070"/>
    <w:rsid w:val="00FB3B5A"/>
    <w:rsid w:val="00FB4797"/>
    <w:rsid w:val="00FB5D10"/>
    <w:rsid w:val="00FC0A33"/>
    <w:rsid w:val="00FC10A2"/>
    <w:rsid w:val="00FC11B6"/>
    <w:rsid w:val="00FC149D"/>
    <w:rsid w:val="00FC1512"/>
    <w:rsid w:val="00FC1B41"/>
    <w:rsid w:val="00FC2CE7"/>
    <w:rsid w:val="00FC2E4B"/>
    <w:rsid w:val="00FC3BA9"/>
    <w:rsid w:val="00FC4D11"/>
    <w:rsid w:val="00FC5175"/>
    <w:rsid w:val="00FC6B5B"/>
    <w:rsid w:val="00FC6C0B"/>
    <w:rsid w:val="00FC778C"/>
    <w:rsid w:val="00FC7EC0"/>
    <w:rsid w:val="00FD0A22"/>
    <w:rsid w:val="00FD0CA5"/>
    <w:rsid w:val="00FD1009"/>
    <w:rsid w:val="00FD15E8"/>
    <w:rsid w:val="00FD32D1"/>
    <w:rsid w:val="00FD3AAE"/>
    <w:rsid w:val="00FD3F95"/>
    <w:rsid w:val="00FD4271"/>
    <w:rsid w:val="00FE1FB9"/>
    <w:rsid w:val="00FE2588"/>
    <w:rsid w:val="00FE28E3"/>
    <w:rsid w:val="00FE31DC"/>
    <w:rsid w:val="00FE50EC"/>
    <w:rsid w:val="00FE5CC4"/>
    <w:rsid w:val="00FE6451"/>
    <w:rsid w:val="00FE745F"/>
    <w:rsid w:val="00FE761A"/>
    <w:rsid w:val="00FE7AF1"/>
    <w:rsid w:val="00FE7B7D"/>
    <w:rsid w:val="00FF08E1"/>
    <w:rsid w:val="00FF092B"/>
    <w:rsid w:val="00FF2D97"/>
    <w:rsid w:val="00FF2F42"/>
    <w:rsid w:val="00FF4B7F"/>
    <w:rsid w:val="00FF524C"/>
    <w:rsid w:val="00FF63B2"/>
    <w:rsid w:val="00FF64A6"/>
    <w:rsid w:val="00FF6974"/>
    <w:rsid w:val="00FF7073"/>
    <w:rsid w:val="00FF749B"/>
    <w:rsid w:val="00FF75CC"/>
    <w:rsid w:val="00FF7CFE"/>
  </w:rsids>
  <w:docVars>
    <w:docVar w:name="sivug" w:val="0"/>
  </w:docVars>
  <m:mathPr>
    <m:mathFont m:val="Cambria Math"/>
    <m:smallFrac/>
  </m:mathPr>
  <w:themeFontLang w:val="en-US" w:bidi="he-I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he-IL"/>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F41"/>
    <w:pPr>
      <w:bidi/>
    </w:pPr>
  </w:style>
  <w:style w:type="paragraph" w:styleId="Heading1">
    <w:name w:val="heading 1"/>
    <w:basedOn w:val="Normal"/>
    <w:next w:val="Normal"/>
    <w:link w:val="Heading1Char"/>
    <w:uiPriority w:val="1"/>
    <w:qFormat/>
    <w:rsid w:val="007B7880"/>
    <w:pPr>
      <w:keepNext/>
      <w:keepLines/>
      <w:pBdr>
        <w:bottom w:val="single" w:sz="4" w:space="2" w:color="009DD9" w:themeColor="accent2"/>
      </w:pBdr>
      <w:spacing w:before="240" w:after="180" w:line="240" w:lineRule="auto"/>
      <w:ind w:left="431" w:hanging="431"/>
      <w:outlineLvl w:val="0"/>
    </w:pPr>
    <w:rPr>
      <w:rFonts w:ascii="Arial" w:hAnsi="Arial" w:eastAsiaTheme="majorEastAsia" w:cs="Arial"/>
      <w:b/>
      <w:bCs/>
      <w:color w:val="0B5294" w:themeColor="accent1" w:themeShade="BF"/>
      <w:sz w:val="36"/>
      <w:szCs w:val="36"/>
    </w:rPr>
  </w:style>
  <w:style w:type="paragraph" w:styleId="Heading2">
    <w:name w:val="heading 2"/>
    <w:basedOn w:val="Normal"/>
    <w:next w:val="Normal"/>
    <w:link w:val="Heading2Char"/>
    <w:uiPriority w:val="1"/>
    <w:unhideWhenUsed/>
    <w:qFormat/>
    <w:rsid w:val="00AC4547"/>
    <w:pPr>
      <w:keepNext/>
      <w:keepLines/>
      <w:spacing w:after="60" w:line="240" w:lineRule="auto"/>
      <w:ind w:left="510" w:hanging="567"/>
      <w:jc w:val="both"/>
      <w:outlineLvl w:val="1"/>
    </w:pPr>
    <w:rPr>
      <w:rFonts w:ascii="Arial Bold" w:hAnsi="Arial Bold" w:eastAsiaTheme="majorEastAsia" w:cs="Arial"/>
      <w:b/>
      <w:bCs/>
      <w:color w:val="387026" w:themeColor="accent5" w:themeShade="80"/>
      <w:sz w:val="29"/>
      <w:szCs w:val="30"/>
    </w:rPr>
  </w:style>
  <w:style w:type="paragraph" w:styleId="Heading3">
    <w:name w:val="heading 3"/>
    <w:basedOn w:val="Normal"/>
    <w:next w:val="Normal"/>
    <w:link w:val="Heading3Char"/>
    <w:uiPriority w:val="1"/>
    <w:unhideWhenUsed/>
    <w:qFormat/>
    <w:rsid w:val="00C43CDD"/>
    <w:pPr>
      <w:keepNext/>
      <w:keepLines/>
      <w:numPr>
        <w:ilvl w:val="2"/>
        <w:numId w:val="1"/>
      </w:numPr>
      <w:spacing w:before="40" w:after="40" w:line="240" w:lineRule="auto"/>
      <w:outlineLvl w:val="2"/>
    </w:pPr>
    <w:rPr>
      <w:rFonts w:asciiTheme="majorHAnsi" w:eastAsiaTheme="majorEastAsia" w:hAnsiTheme="majorHAnsi" w:cs="Arial"/>
      <w:b/>
      <w:bCs/>
      <w:color w:val="660066"/>
      <w:sz w:val="24"/>
      <w:szCs w:val="26"/>
    </w:rPr>
  </w:style>
  <w:style w:type="paragraph" w:styleId="Heading4">
    <w:name w:val="heading 4"/>
    <w:basedOn w:val="Normal"/>
    <w:next w:val="Normal"/>
    <w:link w:val="Heading4Char"/>
    <w:uiPriority w:val="1"/>
    <w:unhideWhenUsed/>
    <w:qFormat/>
    <w:rsid w:val="005C0F41"/>
    <w:pPr>
      <w:keepNext/>
      <w:keepLines/>
      <w:numPr>
        <w:ilvl w:val="3"/>
        <w:numId w:val="1"/>
      </w:numPr>
      <w:spacing w:before="80" w:after="0" w:line="240" w:lineRule="auto"/>
      <w:outlineLvl w:val="3"/>
    </w:pPr>
    <w:rPr>
      <w:rFonts w:asciiTheme="majorHAnsi" w:eastAsiaTheme="majorEastAsia" w:hAnsiTheme="majorHAnsi" w:cstheme="majorBidi"/>
      <w:i/>
      <w:iCs/>
      <w:color w:val="004E6C" w:themeColor="accent2" w:themeShade="80"/>
      <w:sz w:val="28"/>
      <w:szCs w:val="28"/>
    </w:rPr>
  </w:style>
  <w:style w:type="paragraph" w:styleId="Heading5">
    <w:name w:val="heading 5"/>
    <w:basedOn w:val="Normal"/>
    <w:next w:val="Normal"/>
    <w:link w:val="Heading5Char"/>
    <w:uiPriority w:val="1"/>
    <w:unhideWhenUsed/>
    <w:qFormat/>
    <w:rsid w:val="005C0F41"/>
    <w:pPr>
      <w:keepNext/>
      <w:keepLines/>
      <w:numPr>
        <w:ilvl w:val="4"/>
        <w:numId w:val="1"/>
      </w:numPr>
      <w:bidi w:val="0"/>
      <w:spacing w:before="80" w:after="0" w:line="240" w:lineRule="auto"/>
      <w:outlineLvl w:val="4"/>
    </w:pPr>
    <w:rPr>
      <w:rFonts w:asciiTheme="majorHAnsi" w:eastAsiaTheme="majorEastAsia" w:hAnsiTheme="majorHAnsi" w:cstheme="majorBidi"/>
      <w:color w:val="0075A2" w:themeColor="accent2" w:themeShade="BF"/>
      <w:sz w:val="24"/>
      <w:szCs w:val="24"/>
    </w:rPr>
  </w:style>
  <w:style w:type="paragraph" w:styleId="Heading6">
    <w:name w:val="heading 6"/>
    <w:basedOn w:val="Normal"/>
    <w:next w:val="Normal"/>
    <w:link w:val="Heading6Char"/>
    <w:uiPriority w:val="1"/>
    <w:unhideWhenUsed/>
    <w:qFormat/>
    <w:rsid w:val="005C0F41"/>
    <w:pPr>
      <w:keepNext/>
      <w:keepLines/>
      <w:numPr>
        <w:ilvl w:val="5"/>
        <w:numId w:val="1"/>
      </w:numPr>
      <w:bidi w:val="0"/>
      <w:spacing w:before="80" w:after="0" w:line="240" w:lineRule="auto"/>
      <w:outlineLvl w:val="5"/>
    </w:pPr>
    <w:rPr>
      <w:rFonts w:asciiTheme="majorHAnsi" w:eastAsiaTheme="majorEastAsia" w:hAnsiTheme="majorHAnsi" w:cstheme="majorBidi"/>
      <w:i/>
      <w:iCs/>
      <w:color w:val="004E6C" w:themeColor="accent2" w:themeShade="80"/>
      <w:sz w:val="24"/>
      <w:szCs w:val="24"/>
    </w:rPr>
  </w:style>
  <w:style w:type="paragraph" w:styleId="Heading7">
    <w:name w:val="heading 7"/>
    <w:basedOn w:val="Normal"/>
    <w:next w:val="Normal"/>
    <w:link w:val="Heading7Char"/>
    <w:uiPriority w:val="1"/>
    <w:unhideWhenUsed/>
    <w:qFormat/>
    <w:rsid w:val="005C0F41"/>
    <w:pPr>
      <w:keepNext/>
      <w:keepLines/>
      <w:numPr>
        <w:ilvl w:val="6"/>
        <w:numId w:val="1"/>
      </w:numPr>
      <w:bidi w:val="0"/>
      <w:spacing w:before="80" w:after="0" w:line="240" w:lineRule="auto"/>
      <w:outlineLvl w:val="6"/>
    </w:pPr>
    <w:rPr>
      <w:rFonts w:asciiTheme="majorHAnsi" w:eastAsiaTheme="majorEastAsia" w:hAnsiTheme="majorHAnsi" w:cstheme="majorBidi"/>
      <w:b/>
      <w:bCs/>
      <w:color w:val="004E6C" w:themeColor="accent2" w:themeShade="80"/>
      <w:sz w:val="22"/>
      <w:szCs w:val="22"/>
    </w:rPr>
  </w:style>
  <w:style w:type="paragraph" w:styleId="Heading8">
    <w:name w:val="heading 8"/>
    <w:basedOn w:val="Normal"/>
    <w:next w:val="Normal"/>
    <w:link w:val="Heading8Char"/>
    <w:uiPriority w:val="1"/>
    <w:unhideWhenUsed/>
    <w:qFormat/>
    <w:rsid w:val="005C0F41"/>
    <w:pPr>
      <w:keepNext/>
      <w:keepLines/>
      <w:numPr>
        <w:ilvl w:val="7"/>
        <w:numId w:val="1"/>
      </w:numPr>
      <w:bidi w:val="0"/>
      <w:spacing w:before="80" w:after="0" w:line="240" w:lineRule="auto"/>
      <w:outlineLvl w:val="7"/>
    </w:pPr>
    <w:rPr>
      <w:rFonts w:asciiTheme="majorHAnsi" w:eastAsiaTheme="majorEastAsia" w:hAnsiTheme="majorHAnsi" w:cstheme="majorBidi"/>
      <w:color w:val="004E6C" w:themeColor="accent2" w:themeShade="80"/>
      <w:sz w:val="22"/>
      <w:szCs w:val="22"/>
    </w:rPr>
  </w:style>
  <w:style w:type="paragraph" w:styleId="Heading9">
    <w:name w:val="heading 9"/>
    <w:basedOn w:val="Normal"/>
    <w:next w:val="Normal"/>
    <w:link w:val="Heading9Char"/>
    <w:unhideWhenUsed/>
    <w:qFormat/>
    <w:rsid w:val="005C0F41"/>
    <w:pPr>
      <w:keepNext/>
      <w:keepLines/>
      <w:numPr>
        <w:ilvl w:val="8"/>
        <w:numId w:val="1"/>
      </w:numPr>
      <w:bidi w:val="0"/>
      <w:spacing w:before="80" w:after="0" w:line="240" w:lineRule="auto"/>
      <w:outlineLvl w:val="8"/>
    </w:pPr>
    <w:rPr>
      <w:rFonts w:asciiTheme="majorHAnsi" w:eastAsiaTheme="majorEastAsia" w:hAnsiTheme="majorHAnsi" w:cstheme="majorBidi"/>
      <w:i/>
      <w:iCs/>
      <w:color w:val="004E6C"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B7880"/>
    <w:rPr>
      <w:rFonts w:ascii="Arial" w:hAnsi="Arial" w:eastAsiaTheme="majorEastAsia" w:cs="Arial"/>
      <w:b/>
      <w:bCs/>
      <w:color w:val="0B5294" w:themeColor="accent1" w:themeShade="BF"/>
      <w:sz w:val="36"/>
      <w:szCs w:val="36"/>
    </w:rPr>
  </w:style>
  <w:style w:type="character" w:customStyle="1" w:styleId="Heading2Char">
    <w:name w:val="Heading 2 Char"/>
    <w:basedOn w:val="DefaultParagraphFont"/>
    <w:link w:val="Heading2"/>
    <w:uiPriority w:val="1"/>
    <w:rsid w:val="00AC4547"/>
    <w:rPr>
      <w:rFonts w:ascii="Arial Bold" w:hAnsi="Arial Bold" w:eastAsiaTheme="majorEastAsia" w:cs="Arial"/>
      <w:b/>
      <w:bCs/>
      <w:color w:val="387026" w:themeColor="accent5" w:themeShade="80"/>
      <w:sz w:val="29"/>
      <w:szCs w:val="30"/>
    </w:rPr>
  </w:style>
  <w:style w:type="character" w:customStyle="1" w:styleId="Heading3Char">
    <w:name w:val="Heading 3 Char"/>
    <w:basedOn w:val="DefaultParagraphFont"/>
    <w:link w:val="Heading3"/>
    <w:uiPriority w:val="1"/>
    <w:rsid w:val="00C43CDD"/>
    <w:rPr>
      <w:rFonts w:asciiTheme="majorHAnsi" w:eastAsiaTheme="majorEastAsia" w:hAnsiTheme="majorHAnsi" w:cs="Arial"/>
      <w:b/>
      <w:bCs/>
      <w:color w:val="660066"/>
      <w:sz w:val="24"/>
      <w:szCs w:val="26"/>
    </w:rPr>
  </w:style>
  <w:style w:type="character" w:customStyle="1" w:styleId="Heading4Char">
    <w:name w:val="Heading 4 Char"/>
    <w:basedOn w:val="DefaultParagraphFont"/>
    <w:link w:val="Heading4"/>
    <w:uiPriority w:val="1"/>
    <w:rsid w:val="005C0F41"/>
    <w:rPr>
      <w:rFonts w:asciiTheme="majorHAnsi" w:eastAsiaTheme="majorEastAsia" w:hAnsiTheme="majorHAnsi" w:cstheme="majorBidi"/>
      <w:i/>
      <w:iCs/>
      <w:color w:val="004E6C" w:themeColor="accent2" w:themeShade="80"/>
      <w:sz w:val="28"/>
      <w:szCs w:val="28"/>
    </w:rPr>
  </w:style>
  <w:style w:type="character" w:customStyle="1" w:styleId="Heading5Char">
    <w:name w:val="Heading 5 Char"/>
    <w:basedOn w:val="DefaultParagraphFont"/>
    <w:link w:val="Heading5"/>
    <w:uiPriority w:val="1"/>
    <w:rsid w:val="005C0F41"/>
    <w:rPr>
      <w:rFonts w:asciiTheme="majorHAnsi" w:eastAsiaTheme="majorEastAsia" w:hAnsiTheme="majorHAnsi" w:cstheme="majorBidi"/>
      <w:color w:val="0075A2" w:themeColor="accent2" w:themeShade="BF"/>
      <w:sz w:val="24"/>
      <w:szCs w:val="24"/>
    </w:rPr>
  </w:style>
  <w:style w:type="character" w:customStyle="1" w:styleId="Heading6Char">
    <w:name w:val="Heading 6 Char"/>
    <w:basedOn w:val="DefaultParagraphFont"/>
    <w:link w:val="Heading6"/>
    <w:uiPriority w:val="1"/>
    <w:rsid w:val="005C0F41"/>
    <w:rPr>
      <w:rFonts w:asciiTheme="majorHAnsi" w:eastAsiaTheme="majorEastAsia" w:hAnsiTheme="majorHAnsi" w:cstheme="majorBidi"/>
      <w:i/>
      <w:iCs/>
      <w:color w:val="004E6C" w:themeColor="accent2" w:themeShade="80"/>
      <w:sz w:val="24"/>
      <w:szCs w:val="24"/>
    </w:rPr>
  </w:style>
  <w:style w:type="character" w:customStyle="1" w:styleId="Heading7Char">
    <w:name w:val="Heading 7 Char"/>
    <w:basedOn w:val="DefaultParagraphFont"/>
    <w:link w:val="Heading7"/>
    <w:uiPriority w:val="1"/>
    <w:rsid w:val="005C0F41"/>
    <w:rPr>
      <w:rFonts w:asciiTheme="majorHAnsi" w:eastAsiaTheme="majorEastAsia" w:hAnsiTheme="majorHAnsi" w:cstheme="majorBidi"/>
      <w:b/>
      <w:bCs/>
      <w:color w:val="004E6C" w:themeColor="accent2" w:themeShade="80"/>
      <w:sz w:val="22"/>
      <w:szCs w:val="22"/>
    </w:rPr>
  </w:style>
  <w:style w:type="character" w:customStyle="1" w:styleId="Heading8Char">
    <w:name w:val="Heading 8 Char"/>
    <w:basedOn w:val="DefaultParagraphFont"/>
    <w:link w:val="Heading8"/>
    <w:uiPriority w:val="1"/>
    <w:rsid w:val="005C0F41"/>
    <w:rPr>
      <w:rFonts w:asciiTheme="majorHAnsi" w:eastAsiaTheme="majorEastAsia" w:hAnsiTheme="majorHAnsi" w:cstheme="majorBidi"/>
      <w:color w:val="004E6C" w:themeColor="accent2" w:themeShade="80"/>
      <w:sz w:val="22"/>
      <w:szCs w:val="22"/>
    </w:rPr>
  </w:style>
  <w:style w:type="character" w:customStyle="1" w:styleId="Heading9Char">
    <w:name w:val="Heading 9 Char"/>
    <w:basedOn w:val="DefaultParagraphFont"/>
    <w:link w:val="Heading9"/>
    <w:rsid w:val="005C0F41"/>
    <w:rPr>
      <w:rFonts w:asciiTheme="majorHAnsi" w:eastAsiaTheme="majorEastAsia" w:hAnsiTheme="majorHAnsi" w:cstheme="majorBidi"/>
      <w:i/>
      <w:iCs/>
      <w:color w:val="004E6C" w:themeColor="accent2" w:themeShade="80"/>
      <w:sz w:val="22"/>
      <w:szCs w:val="22"/>
    </w:rPr>
  </w:style>
  <w:style w:type="paragraph" w:styleId="TableofFigures">
    <w:name w:val="table of figures"/>
    <w:basedOn w:val="Normal"/>
    <w:next w:val="Normal"/>
    <w:uiPriority w:val="99"/>
    <w:unhideWhenUsed/>
    <w:rsid w:val="0027002F"/>
    <w:rPr>
      <w:lang w:eastAsia="ja-JP"/>
    </w:rPr>
  </w:style>
  <w:style w:type="paragraph" w:styleId="ListParagraph">
    <w:name w:val="List Paragraph"/>
    <w:basedOn w:val="Normal"/>
    <w:link w:val="ListParagraphChar"/>
    <w:uiPriority w:val="34"/>
    <w:qFormat/>
    <w:rsid w:val="004F49B8"/>
    <w:pPr>
      <w:numPr>
        <w:numId w:val="3"/>
      </w:numPr>
      <w:autoSpaceDE w:val="0"/>
      <w:autoSpaceDN w:val="0"/>
      <w:adjustRightInd w:val="0"/>
      <w:spacing w:line="320" w:lineRule="exact"/>
      <w:jc w:val="both"/>
    </w:pPr>
    <w:rPr>
      <w:rFonts w:ascii="Tahoma" w:hAnsi="Tahoma" w:cs="Tahoma"/>
      <w:sz w:val="20"/>
    </w:rPr>
  </w:style>
  <w:style w:type="character" w:customStyle="1" w:styleId="ListParagraphChar">
    <w:name w:val="List Paragraph Char"/>
    <w:link w:val="ListParagraph"/>
    <w:uiPriority w:val="34"/>
    <w:rsid w:val="004F49B8"/>
    <w:rPr>
      <w:rFonts w:ascii="Tahoma" w:hAnsi="Tahoma" w:cs="Tahoma"/>
      <w:sz w:val="20"/>
    </w:rPr>
  </w:style>
  <w:style w:type="character" w:customStyle="1" w:styleId="Heading1Char1">
    <w:name w:val="Heading 1 Char1"/>
    <w:rsid w:val="00AC4E14"/>
    <w:rPr>
      <w:rFonts w:ascii="Gisha" w:eastAsia="Times New Roman" w:hAnsi="Gisha" w:cs="Gisha"/>
      <w:b/>
      <w:bCs/>
      <w:color w:val="000000"/>
      <w:kern w:val="32"/>
      <w:sz w:val="40"/>
      <w:szCs w:val="40"/>
    </w:rPr>
  </w:style>
  <w:style w:type="paragraph" w:styleId="Header">
    <w:name w:val="header"/>
    <w:basedOn w:val="Normal"/>
    <w:link w:val="HeaderChar"/>
    <w:unhideWhenUsed/>
    <w:rsid w:val="00CB3322"/>
    <w:pPr>
      <w:tabs>
        <w:tab w:val="center" w:pos="4320"/>
        <w:tab w:val="right" w:pos="8640"/>
      </w:tabs>
      <w:spacing w:after="0" w:line="240" w:lineRule="auto"/>
    </w:pPr>
  </w:style>
  <w:style w:type="character" w:customStyle="1" w:styleId="HeaderChar">
    <w:name w:val="Header Char"/>
    <w:basedOn w:val="DefaultParagraphFont"/>
    <w:link w:val="Header"/>
    <w:rsid w:val="00CB3322"/>
    <w:rPr>
      <w:rFonts w:cs="David"/>
      <w:sz w:val="24"/>
      <w:szCs w:val="24"/>
    </w:rPr>
  </w:style>
  <w:style w:type="paragraph" w:styleId="Footer">
    <w:name w:val="footer"/>
    <w:basedOn w:val="Normal"/>
    <w:link w:val="FooterChar"/>
    <w:uiPriority w:val="99"/>
    <w:unhideWhenUsed/>
    <w:rsid w:val="00CB3322"/>
    <w:pPr>
      <w:tabs>
        <w:tab w:val="center" w:pos="4320"/>
        <w:tab w:val="right" w:pos="8640"/>
      </w:tabs>
      <w:spacing w:after="0" w:line="240" w:lineRule="auto"/>
    </w:pPr>
  </w:style>
  <w:style w:type="character" w:customStyle="1" w:styleId="FooterChar">
    <w:name w:val="Footer Char"/>
    <w:basedOn w:val="DefaultParagraphFont"/>
    <w:link w:val="Footer"/>
    <w:uiPriority w:val="99"/>
    <w:rsid w:val="00CB3322"/>
    <w:rPr>
      <w:rFonts w:cs="David"/>
      <w:sz w:val="24"/>
      <w:szCs w:val="24"/>
    </w:rPr>
  </w:style>
  <w:style w:type="character" w:styleId="CommentReference">
    <w:name w:val="annotation reference"/>
    <w:basedOn w:val="DefaultParagraphFont"/>
    <w:uiPriority w:val="99"/>
    <w:semiHidden/>
    <w:unhideWhenUsed/>
    <w:rsid w:val="00702D9F"/>
    <w:rPr>
      <w:sz w:val="16"/>
      <w:szCs w:val="16"/>
    </w:rPr>
  </w:style>
  <w:style w:type="paragraph" w:styleId="CommentText">
    <w:name w:val="annotation text"/>
    <w:basedOn w:val="Normal"/>
    <w:link w:val="CommentTextChar"/>
    <w:uiPriority w:val="99"/>
    <w:unhideWhenUsed/>
    <w:rsid w:val="00702D9F"/>
    <w:pPr>
      <w:spacing w:line="240" w:lineRule="auto"/>
    </w:pPr>
    <w:rPr>
      <w:sz w:val="20"/>
      <w:szCs w:val="20"/>
    </w:rPr>
  </w:style>
  <w:style w:type="character" w:customStyle="1" w:styleId="CommentTextChar">
    <w:name w:val="Comment Text Char"/>
    <w:basedOn w:val="DefaultParagraphFont"/>
    <w:link w:val="CommentText"/>
    <w:uiPriority w:val="99"/>
    <w:rsid w:val="00702D9F"/>
    <w:rPr>
      <w:rFonts w:cs="David"/>
    </w:rPr>
  </w:style>
  <w:style w:type="paragraph" w:styleId="CommentSubject">
    <w:name w:val="annotation subject"/>
    <w:basedOn w:val="CommentText"/>
    <w:next w:val="CommentText"/>
    <w:link w:val="CommentSubjectChar"/>
    <w:uiPriority w:val="99"/>
    <w:semiHidden/>
    <w:unhideWhenUsed/>
    <w:rsid w:val="00702D9F"/>
    <w:rPr>
      <w:b/>
      <w:bCs/>
    </w:rPr>
  </w:style>
  <w:style w:type="character" w:customStyle="1" w:styleId="CommentSubjectChar">
    <w:name w:val="Comment Subject Char"/>
    <w:basedOn w:val="CommentTextChar"/>
    <w:link w:val="CommentSubject"/>
    <w:uiPriority w:val="99"/>
    <w:semiHidden/>
    <w:rsid w:val="00702D9F"/>
    <w:rPr>
      <w:rFonts w:cs="David"/>
      <w:b/>
      <w:bCs/>
    </w:rPr>
  </w:style>
  <w:style w:type="paragraph" w:styleId="BalloonText">
    <w:name w:val="Balloon Text"/>
    <w:basedOn w:val="Normal"/>
    <w:link w:val="BalloonTextChar"/>
    <w:uiPriority w:val="99"/>
    <w:semiHidden/>
    <w:unhideWhenUsed/>
    <w:rsid w:val="00702D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9F"/>
    <w:rPr>
      <w:rFonts w:ascii="Segoe UI" w:hAnsi="Segoe UI" w:cs="Segoe UI"/>
      <w:sz w:val="18"/>
      <w:szCs w:val="18"/>
    </w:rPr>
  </w:style>
  <w:style w:type="paragraph" w:styleId="Revision">
    <w:name w:val="Revision"/>
    <w:hidden/>
    <w:uiPriority w:val="99"/>
    <w:semiHidden/>
    <w:rsid w:val="00702D9F"/>
    <w:rPr>
      <w:rFonts w:cs="David"/>
      <w:sz w:val="24"/>
      <w:szCs w:val="24"/>
    </w:rPr>
  </w:style>
  <w:style w:type="table" w:styleId="TableGrid">
    <w:name w:val="Table Grid"/>
    <w:basedOn w:val="TableNormal"/>
    <w:uiPriority w:val="59"/>
    <w:rsid w:val="004253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Char,FOOTNOTES,Footnote Text - Sharp,Footnote Text - Sharp Char,Footnote Text - Sharp Char Char,Footnote Text Char Char Char Char Char,Footnote reference,Sharp - Footnote Text,Sharp - Footnote Text1 Char,fn,footnote text,single space"/>
    <w:basedOn w:val="Normal"/>
    <w:link w:val="FootnoteTextChar"/>
    <w:uiPriority w:val="99"/>
    <w:unhideWhenUsed/>
    <w:rsid w:val="00D36781"/>
    <w:pPr>
      <w:keepLines/>
      <w:spacing w:after="40" w:line="200" w:lineRule="exact"/>
      <w:ind w:left="397" w:right="2268" w:hanging="397"/>
      <w:jc w:val="both"/>
    </w:pPr>
    <w:rPr>
      <w:rFonts w:ascii="Tahoma" w:hAnsi="Tahoma" w:cs="Tahoma"/>
      <w:sz w:val="14"/>
      <w:szCs w:val="14"/>
    </w:rPr>
  </w:style>
  <w:style w:type="character" w:customStyle="1" w:styleId="FootnoteTextChar">
    <w:name w:val="Footnote Text Char"/>
    <w:aliases w:val=" Char Char1,FOOTNOTES Char1,Footnote Text - Sharp Char Char Char1,Footnote Text - Sharp Char Char2,Footnote Text - Sharp Char2,Footnote Text Char Char Char Char Char Char1,Footnote reference Char1,Sharp - Footnote Text Char1,fn Char1"/>
    <w:basedOn w:val="DefaultParagraphFont"/>
    <w:link w:val="FootnoteText"/>
    <w:uiPriority w:val="99"/>
    <w:rsid w:val="00D36781"/>
    <w:rPr>
      <w:rFonts w:ascii="Tahoma" w:hAnsi="Tahoma" w:cs="Tahoma"/>
      <w:sz w:val="14"/>
      <w:szCs w:val="14"/>
    </w:rPr>
  </w:style>
  <w:style w:type="character" w:styleId="FootnoteReference0">
    <w:name w:val="footnote reference"/>
    <w:basedOn w:val="DefaultParagraphFont"/>
    <w:uiPriority w:val="99"/>
    <w:unhideWhenUsed/>
    <w:rsid w:val="00AC4E14"/>
    <w:rPr>
      <w:vertAlign w:val="superscript"/>
    </w:rPr>
  </w:style>
  <w:style w:type="paragraph" w:styleId="NormalWeb">
    <w:name w:val="Normal (Web)"/>
    <w:basedOn w:val="Normal"/>
    <w:uiPriority w:val="99"/>
    <w:semiHidden/>
    <w:unhideWhenUsed/>
    <w:rsid w:val="00C66B15"/>
    <w:pPr>
      <w:bidi w:val="0"/>
      <w:spacing w:before="100" w:beforeAutospacing="1" w:after="100" w:afterAutospacing="1" w:line="240" w:lineRule="auto"/>
    </w:pPr>
    <w:rPr>
      <w:rFonts w:ascii="Times New Roman" w:hAnsi="Times New Roman" w:cs="Times New Roman"/>
    </w:rPr>
  </w:style>
  <w:style w:type="table" w:customStyle="1" w:styleId="ListTable7Colorful-Accent41">
    <w:name w:val="List Table 7 Colorful - Accent 41"/>
    <w:basedOn w:val="TableNormal"/>
    <w:uiPriority w:val="52"/>
    <w:rsid w:val="00C41220"/>
    <w:rPr>
      <w:color w:val="0C9A73" w:themeColor="accent4" w:themeShade="BF"/>
    </w:rPr>
    <w:tblPr>
      <w:tblStyleRowBandSize w:val="1"/>
      <w:tblStyleColBandSize w:val="1"/>
    </w:tblPr>
    <w:tblStylePr w:type="firstRow">
      <w:rPr>
        <w:rFonts w:asciiTheme="majorHAnsi" w:eastAsiaTheme="majorEastAsia" w:hAnsiTheme="majorHAnsi" w:cstheme="majorBidi" w:hint="default"/>
        <w:i/>
        <w:iCs/>
        <w:sz w:val="26"/>
        <w:szCs w:val="26"/>
      </w:rPr>
      <w:tblPr/>
      <w:tcPr>
        <w:tcBorders>
          <w:bottom w:val="single" w:sz="4" w:space="0" w:color="10CF9B" w:themeColor="accent4"/>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10CF9B" w:themeColor="accent4"/>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10CF9B" w:themeColor="accent4"/>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10CF9B" w:themeColor="accent4"/>
        </w:tcBorders>
        <w:shd w:val="clear" w:color="auto" w:fill="FFFFFF" w:themeFill="background1"/>
      </w:tcPr>
    </w:tblStylePr>
    <w:tblStylePr w:type="band1Vert">
      <w:tblPr/>
      <w:tcPr>
        <w:shd w:val="clear" w:color="auto" w:fill="C9FBED" w:themeFill="accent4" w:themeFillTint="33"/>
      </w:tcPr>
    </w:tblStylePr>
    <w:tblStylePr w:type="band1Horz">
      <w:tblPr/>
      <w:tcPr>
        <w:shd w:val="clear" w:color="auto" w:fill="C9FB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pple-converted-space">
    <w:name w:val="apple-converted-space"/>
    <w:basedOn w:val="DefaultParagraphFont"/>
    <w:rsid w:val="00E46878"/>
  </w:style>
  <w:style w:type="character" w:styleId="Strong">
    <w:name w:val="Strong"/>
    <w:basedOn w:val="DefaultParagraphFont"/>
    <w:uiPriority w:val="22"/>
    <w:qFormat/>
    <w:rsid w:val="005C0F41"/>
    <w:rPr>
      <w:b/>
      <w:bCs/>
    </w:rPr>
  </w:style>
  <w:style w:type="character" w:styleId="Hyperlink">
    <w:name w:val="Hyperlink"/>
    <w:basedOn w:val="DefaultParagraphFont"/>
    <w:unhideWhenUsed/>
    <w:rsid w:val="00E46878"/>
    <w:rPr>
      <w:color w:val="0000FF"/>
      <w:u w:val="single"/>
    </w:rPr>
  </w:style>
  <w:style w:type="paragraph" w:styleId="TOCHeading">
    <w:name w:val="TOC Heading"/>
    <w:basedOn w:val="Heading1"/>
    <w:next w:val="Normal"/>
    <w:uiPriority w:val="39"/>
    <w:unhideWhenUsed/>
    <w:qFormat/>
    <w:rsid w:val="005C0F41"/>
    <w:pPr>
      <w:outlineLvl w:val="9"/>
    </w:pPr>
  </w:style>
  <w:style w:type="paragraph" w:styleId="TOC1">
    <w:name w:val="toc 1"/>
    <w:basedOn w:val="Normal"/>
    <w:next w:val="Normal"/>
    <w:autoRedefine/>
    <w:uiPriority w:val="39"/>
    <w:unhideWhenUsed/>
    <w:rsid w:val="006B5429"/>
    <w:pPr>
      <w:spacing w:after="100"/>
    </w:pPr>
  </w:style>
  <w:style w:type="paragraph" w:styleId="TOC2">
    <w:name w:val="toc 2"/>
    <w:basedOn w:val="Normal"/>
    <w:next w:val="Normal"/>
    <w:autoRedefine/>
    <w:uiPriority w:val="39"/>
    <w:unhideWhenUsed/>
    <w:rsid w:val="002A51A3"/>
    <w:pPr>
      <w:tabs>
        <w:tab w:val="right" w:leader="dot" w:pos="8296"/>
      </w:tabs>
      <w:spacing w:after="100"/>
      <w:ind w:left="240"/>
    </w:pPr>
    <w:rPr>
      <w:noProof/>
    </w:rPr>
  </w:style>
  <w:style w:type="character" w:styleId="FollowedHyperlink">
    <w:name w:val="FollowedHyperlink"/>
    <w:basedOn w:val="DefaultParagraphFont"/>
    <w:uiPriority w:val="99"/>
    <w:semiHidden/>
    <w:unhideWhenUsed/>
    <w:rsid w:val="000473A2"/>
    <w:rPr>
      <w:color w:val="85DFD0" w:themeColor="followedHyperlink"/>
      <w:u w:val="single"/>
    </w:rPr>
  </w:style>
  <w:style w:type="paragraph" w:styleId="NoSpacing">
    <w:name w:val="No Spacing"/>
    <w:uiPriority w:val="1"/>
    <w:qFormat/>
    <w:rsid w:val="005C0F41"/>
    <w:pPr>
      <w:bidi/>
      <w:spacing w:after="0" w:line="240" w:lineRule="auto"/>
    </w:pPr>
  </w:style>
  <w:style w:type="paragraph" w:styleId="Caption">
    <w:name w:val="caption"/>
    <w:basedOn w:val="Normal"/>
    <w:next w:val="Normal"/>
    <w:unhideWhenUsed/>
    <w:qFormat/>
    <w:rsid w:val="005C0F41"/>
    <w:pPr>
      <w:bidi w:val="0"/>
      <w:spacing w:line="240" w:lineRule="auto"/>
    </w:pPr>
    <w:rPr>
      <w:b/>
      <w:bCs/>
      <w:color w:val="404040" w:themeColor="text1" w:themeTint="BF"/>
      <w:sz w:val="16"/>
      <w:szCs w:val="16"/>
    </w:rPr>
  </w:style>
  <w:style w:type="paragraph" w:styleId="Title">
    <w:name w:val="Title"/>
    <w:basedOn w:val="Normal"/>
    <w:next w:val="Normal"/>
    <w:link w:val="TitleChar"/>
    <w:qFormat/>
    <w:rsid w:val="005C0F41"/>
    <w:pPr>
      <w:bidi w:val="0"/>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5C0F41"/>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5C0F41"/>
    <w:pPr>
      <w:numPr>
        <w:ilvl w:val="1"/>
      </w:numPr>
      <w:bidi w:val="0"/>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5C0F41"/>
    <w:rPr>
      <w:caps/>
      <w:color w:val="404040" w:themeColor="text1" w:themeTint="BF"/>
      <w:spacing w:val="20"/>
      <w:sz w:val="28"/>
      <w:szCs w:val="28"/>
    </w:rPr>
  </w:style>
  <w:style w:type="character" w:styleId="Emphasis">
    <w:name w:val="Emphasis"/>
    <w:basedOn w:val="DefaultParagraphFont"/>
    <w:uiPriority w:val="20"/>
    <w:qFormat/>
    <w:rsid w:val="005C0F41"/>
    <w:rPr>
      <w:i/>
      <w:iCs/>
      <w:color w:val="000000" w:themeColor="text1"/>
    </w:rPr>
  </w:style>
  <w:style w:type="paragraph" w:styleId="Quote">
    <w:name w:val="Quote"/>
    <w:basedOn w:val="Normal"/>
    <w:next w:val="Normal"/>
    <w:link w:val="QuoteChar"/>
    <w:uiPriority w:val="29"/>
    <w:qFormat/>
    <w:rsid w:val="005C0F41"/>
    <w:pPr>
      <w:bidi w:val="0"/>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5C0F41"/>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5C0F41"/>
    <w:pPr>
      <w:pBdr>
        <w:top w:val="single" w:sz="24" w:space="4" w:color="009DD9" w:themeColor="accent2"/>
      </w:pBdr>
      <w:bidi w:val="0"/>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5C0F41"/>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5C0F41"/>
    <w:rPr>
      <w:i/>
      <w:iCs/>
      <w:color w:val="595959" w:themeColor="text1" w:themeTint="A6"/>
    </w:rPr>
  </w:style>
  <w:style w:type="character" w:styleId="IntenseEmphasis">
    <w:name w:val="Intense Emphasis"/>
    <w:basedOn w:val="DefaultParagraphFont"/>
    <w:uiPriority w:val="21"/>
    <w:qFormat/>
    <w:rsid w:val="005C0F41"/>
    <w:rPr>
      <w:b/>
      <w:bCs/>
      <w:i/>
      <w:iCs/>
      <w:caps w:val="0"/>
      <w:smallCaps w:val="0"/>
      <w:strike w:val="0"/>
      <w:dstrike w:val="0"/>
      <w:color w:val="009DD9" w:themeColor="accent2"/>
    </w:rPr>
  </w:style>
  <w:style w:type="character" w:styleId="SubtleReference">
    <w:name w:val="Subtle Reference"/>
    <w:basedOn w:val="DefaultParagraphFont"/>
    <w:uiPriority w:val="31"/>
    <w:qFormat/>
    <w:rsid w:val="005C0F41"/>
    <w:rPr>
      <w:caps w:val="0"/>
      <w:smallCaps/>
      <w:color w:val="404040" w:themeColor="text1" w:themeTint="BF"/>
      <w:spacing w:val="0"/>
      <w:u w:val="single" w:color="7F7F7F"/>
    </w:rPr>
  </w:style>
  <w:style w:type="character" w:styleId="IntenseReference">
    <w:name w:val="Intense Reference"/>
    <w:basedOn w:val="DefaultParagraphFont"/>
    <w:uiPriority w:val="32"/>
    <w:qFormat/>
    <w:rsid w:val="005C0F41"/>
    <w:rPr>
      <w:b/>
      <w:bCs/>
      <w:caps w:val="0"/>
      <w:smallCaps/>
      <w:color w:val="auto"/>
      <w:spacing w:val="0"/>
      <w:u w:val="single"/>
    </w:rPr>
  </w:style>
  <w:style w:type="character" w:styleId="BookTitle">
    <w:name w:val="Book Title"/>
    <w:basedOn w:val="DefaultParagraphFont"/>
    <w:uiPriority w:val="33"/>
    <w:qFormat/>
    <w:rsid w:val="005C0F41"/>
    <w:rPr>
      <w:b/>
      <w:bCs/>
      <w:caps w:val="0"/>
      <w:smallCaps/>
      <w:spacing w:val="0"/>
    </w:rPr>
  </w:style>
  <w:style w:type="paragraph" w:customStyle="1" w:styleId="tableheading">
    <w:name w:val="table heading"/>
    <w:basedOn w:val="Normal"/>
    <w:next w:val="Normal"/>
    <w:qFormat/>
    <w:rsid w:val="003A10E7"/>
    <w:pPr>
      <w:keepNext/>
      <w:spacing w:line="288" w:lineRule="auto"/>
      <w:ind w:left="924" w:hanging="924"/>
    </w:pPr>
    <w:rPr>
      <w:rFonts w:ascii="Times New Roman" w:eastAsia="Times New Roman" w:hAnsi="Times New Roman" w:cs="David"/>
      <w:b/>
      <w:bCs/>
      <w:sz w:val="24"/>
      <w:szCs w:val="26"/>
      <w:lang w:eastAsia="he-IL"/>
    </w:rPr>
  </w:style>
  <w:style w:type="paragraph" w:customStyle="1" w:styleId="chart">
    <w:name w:val="chart"/>
    <w:basedOn w:val="Normal"/>
    <w:qFormat/>
    <w:rsid w:val="00576828"/>
    <w:pPr>
      <w:keepNext/>
      <w:spacing w:after="0"/>
      <w:ind w:left="922" w:hanging="922"/>
      <w:jc w:val="both"/>
    </w:pPr>
    <w:rPr>
      <w:rFonts w:ascii="Times New Roman" w:eastAsia="Times New Roman" w:hAnsi="Times New Roman" w:cs="David"/>
      <w:b/>
      <w:bCs/>
      <w:sz w:val="24"/>
      <w:szCs w:val="26"/>
      <w:lang w:eastAsia="he-IL"/>
    </w:rPr>
  </w:style>
  <w:style w:type="paragraph" w:styleId="TOC3">
    <w:name w:val="toc 3"/>
    <w:basedOn w:val="Normal"/>
    <w:next w:val="Normal"/>
    <w:autoRedefine/>
    <w:uiPriority w:val="39"/>
    <w:unhideWhenUsed/>
    <w:rsid w:val="004A36ED"/>
    <w:pPr>
      <w:spacing w:after="100" w:line="259" w:lineRule="auto"/>
      <w:ind w:left="440"/>
    </w:pPr>
    <w:rPr>
      <w:sz w:val="22"/>
      <w:szCs w:val="22"/>
    </w:rPr>
  </w:style>
  <w:style w:type="paragraph" w:styleId="TOC4">
    <w:name w:val="toc 4"/>
    <w:basedOn w:val="Normal"/>
    <w:next w:val="Normal"/>
    <w:autoRedefine/>
    <w:uiPriority w:val="39"/>
    <w:unhideWhenUsed/>
    <w:rsid w:val="004A36ED"/>
    <w:pPr>
      <w:spacing w:after="100" w:line="259" w:lineRule="auto"/>
      <w:ind w:left="660"/>
    </w:pPr>
    <w:rPr>
      <w:sz w:val="22"/>
      <w:szCs w:val="22"/>
    </w:rPr>
  </w:style>
  <w:style w:type="paragraph" w:styleId="TOC5">
    <w:name w:val="toc 5"/>
    <w:basedOn w:val="Normal"/>
    <w:next w:val="Normal"/>
    <w:autoRedefine/>
    <w:uiPriority w:val="39"/>
    <w:unhideWhenUsed/>
    <w:rsid w:val="004A36ED"/>
    <w:pPr>
      <w:spacing w:after="100" w:line="259" w:lineRule="auto"/>
      <w:ind w:left="880"/>
    </w:pPr>
    <w:rPr>
      <w:sz w:val="22"/>
      <w:szCs w:val="22"/>
    </w:rPr>
  </w:style>
  <w:style w:type="paragraph" w:styleId="TOC6">
    <w:name w:val="toc 6"/>
    <w:basedOn w:val="Normal"/>
    <w:next w:val="Normal"/>
    <w:autoRedefine/>
    <w:uiPriority w:val="39"/>
    <w:unhideWhenUsed/>
    <w:rsid w:val="004A36ED"/>
    <w:pPr>
      <w:spacing w:after="100" w:line="259" w:lineRule="auto"/>
      <w:ind w:left="1100"/>
    </w:pPr>
    <w:rPr>
      <w:sz w:val="22"/>
      <w:szCs w:val="22"/>
    </w:rPr>
  </w:style>
  <w:style w:type="paragraph" w:styleId="TOC7">
    <w:name w:val="toc 7"/>
    <w:basedOn w:val="Normal"/>
    <w:next w:val="Normal"/>
    <w:autoRedefine/>
    <w:uiPriority w:val="39"/>
    <w:unhideWhenUsed/>
    <w:rsid w:val="004A36ED"/>
    <w:pPr>
      <w:spacing w:after="100" w:line="259" w:lineRule="auto"/>
      <w:ind w:left="1320"/>
    </w:pPr>
    <w:rPr>
      <w:sz w:val="22"/>
      <w:szCs w:val="22"/>
    </w:rPr>
  </w:style>
  <w:style w:type="paragraph" w:styleId="TOC8">
    <w:name w:val="toc 8"/>
    <w:basedOn w:val="Normal"/>
    <w:next w:val="Normal"/>
    <w:autoRedefine/>
    <w:uiPriority w:val="39"/>
    <w:unhideWhenUsed/>
    <w:rsid w:val="004A36ED"/>
    <w:pPr>
      <w:spacing w:after="100" w:line="259" w:lineRule="auto"/>
      <w:ind w:left="1540"/>
    </w:pPr>
    <w:rPr>
      <w:sz w:val="22"/>
      <w:szCs w:val="22"/>
    </w:rPr>
  </w:style>
  <w:style w:type="paragraph" w:styleId="TOC9">
    <w:name w:val="toc 9"/>
    <w:basedOn w:val="Normal"/>
    <w:next w:val="Normal"/>
    <w:autoRedefine/>
    <w:uiPriority w:val="39"/>
    <w:unhideWhenUsed/>
    <w:rsid w:val="004A36ED"/>
    <w:pPr>
      <w:spacing w:after="100" w:line="259" w:lineRule="auto"/>
      <w:ind w:left="1760"/>
    </w:pPr>
    <w:rPr>
      <w:sz w:val="22"/>
      <w:szCs w:val="22"/>
    </w:rPr>
  </w:style>
  <w:style w:type="paragraph" w:styleId="BodyText">
    <w:name w:val="Body Text"/>
    <w:basedOn w:val="Normal"/>
    <w:link w:val="BodyTextChar"/>
    <w:unhideWhenUsed/>
    <w:rsid w:val="00AC58FF"/>
    <w:pPr>
      <w:framePr w:hSpace="180" w:wrap="around" w:vAnchor="text" w:hAnchor="margin" w:y="450"/>
      <w:spacing w:before="120" w:after="0" w:line="276" w:lineRule="auto"/>
      <w:suppressOverlap/>
      <w:jc w:val="center"/>
    </w:pPr>
    <w:rPr>
      <w:rFonts w:ascii="Tahoma" w:hAnsi="Tahoma" w:cs="Tahoma"/>
      <w:color w:val="0B5294" w:themeColor="accent1" w:themeShade="BF"/>
      <w:sz w:val="22"/>
      <w:szCs w:val="22"/>
    </w:rPr>
  </w:style>
  <w:style w:type="character" w:customStyle="1" w:styleId="BodyTextChar">
    <w:name w:val="Body Text Char"/>
    <w:basedOn w:val="DefaultParagraphFont"/>
    <w:link w:val="BodyText"/>
    <w:uiPriority w:val="99"/>
    <w:rsid w:val="00AC58FF"/>
    <w:rPr>
      <w:rFonts w:ascii="Tahoma" w:hAnsi="Tahoma" w:cs="Tahoma"/>
      <w:color w:val="0B5294" w:themeColor="accent1" w:themeShade="BF"/>
      <w:sz w:val="22"/>
      <w:szCs w:val="22"/>
    </w:rPr>
  </w:style>
  <w:style w:type="paragraph" w:styleId="BodyText2">
    <w:name w:val="Body Text 2"/>
    <w:basedOn w:val="Normal"/>
    <w:link w:val="BodyText2Char"/>
    <w:unhideWhenUsed/>
    <w:rsid w:val="00DB1D55"/>
    <w:pPr>
      <w:tabs>
        <w:tab w:val="left" w:pos="340"/>
      </w:tabs>
      <w:spacing w:line="360" w:lineRule="exact"/>
      <w:jc w:val="both"/>
    </w:pPr>
    <w:rPr>
      <w:rFonts w:ascii="Tahoma" w:hAnsi="Tahoma" w:cs="Tahoma"/>
      <w:sz w:val="22"/>
      <w:szCs w:val="22"/>
    </w:rPr>
  </w:style>
  <w:style w:type="character" w:customStyle="1" w:styleId="BodyText2Char">
    <w:name w:val="Body Text 2 Char"/>
    <w:basedOn w:val="DefaultParagraphFont"/>
    <w:link w:val="BodyText2"/>
    <w:uiPriority w:val="99"/>
    <w:rsid w:val="00DB1D55"/>
    <w:rPr>
      <w:rFonts w:ascii="Tahoma" w:hAnsi="Tahoma" w:cs="Tahoma"/>
      <w:sz w:val="22"/>
      <w:szCs w:val="22"/>
    </w:rPr>
  </w:style>
  <w:style w:type="character" w:customStyle="1" w:styleId="1">
    <w:name w:val="כותרת 1 תו"/>
    <w:locked/>
    <w:rsid w:val="00F1368B"/>
    <w:rPr>
      <w:rFonts w:ascii="Cambria" w:hAnsi="Cambria" w:cs="Times New Roman"/>
      <w:b/>
      <w:bCs/>
      <w:kern w:val="32"/>
      <w:sz w:val="32"/>
      <w:szCs w:val="32"/>
    </w:rPr>
  </w:style>
  <w:style w:type="character" w:customStyle="1" w:styleId="2">
    <w:name w:val="כותרת 2 תו"/>
    <w:locked/>
    <w:rsid w:val="00F1368B"/>
    <w:rPr>
      <w:rFonts w:ascii="Cambria" w:hAnsi="Cambria" w:cs="Times New Roman"/>
      <w:b/>
      <w:bCs/>
      <w:i/>
      <w:iCs/>
      <w:sz w:val="28"/>
      <w:szCs w:val="28"/>
    </w:rPr>
  </w:style>
  <w:style w:type="character" w:customStyle="1" w:styleId="3">
    <w:name w:val="כותרת 3 תו"/>
    <w:locked/>
    <w:rsid w:val="00F1368B"/>
    <w:rPr>
      <w:rFonts w:ascii="Cambria" w:hAnsi="Cambria" w:cs="Times New Roman"/>
      <w:b/>
      <w:bCs/>
      <w:sz w:val="26"/>
      <w:szCs w:val="26"/>
    </w:rPr>
  </w:style>
  <w:style w:type="character" w:customStyle="1" w:styleId="4">
    <w:name w:val="כותרת 4 תו"/>
    <w:locked/>
    <w:rsid w:val="00F1368B"/>
    <w:rPr>
      <w:rFonts w:ascii="Calibri" w:hAnsi="Calibri" w:cs="Arial"/>
      <w:b/>
      <w:bCs/>
      <w:sz w:val="28"/>
      <w:szCs w:val="28"/>
    </w:rPr>
  </w:style>
  <w:style w:type="character" w:customStyle="1" w:styleId="5">
    <w:name w:val="כותרת 5 תו"/>
    <w:locked/>
    <w:rsid w:val="00F1368B"/>
    <w:rPr>
      <w:rFonts w:ascii="Calibri" w:hAnsi="Calibri" w:cs="Arial"/>
      <w:b/>
      <w:bCs/>
      <w:i/>
      <w:iCs/>
      <w:sz w:val="26"/>
      <w:szCs w:val="26"/>
    </w:rPr>
  </w:style>
  <w:style w:type="character" w:customStyle="1" w:styleId="6">
    <w:name w:val="כותרת 6 תו"/>
    <w:locked/>
    <w:rsid w:val="00F1368B"/>
    <w:rPr>
      <w:rFonts w:ascii="Calibri" w:hAnsi="Calibri" w:cs="Arial"/>
      <w:b/>
      <w:bCs/>
    </w:rPr>
  </w:style>
  <w:style w:type="character" w:customStyle="1" w:styleId="7">
    <w:name w:val="כותרת 7 תו"/>
    <w:locked/>
    <w:rsid w:val="00F1368B"/>
    <w:rPr>
      <w:rFonts w:ascii="Calibri" w:hAnsi="Calibri" w:cs="Arial"/>
      <w:sz w:val="24"/>
      <w:szCs w:val="24"/>
    </w:rPr>
  </w:style>
  <w:style w:type="character" w:customStyle="1" w:styleId="8">
    <w:name w:val="כותרת 8 תו"/>
    <w:locked/>
    <w:rsid w:val="00F1368B"/>
    <w:rPr>
      <w:rFonts w:ascii="Calibri" w:hAnsi="Calibri" w:cs="Arial"/>
      <w:i/>
      <w:iCs/>
      <w:sz w:val="24"/>
      <w:szCs w:val="24"/>
    </w:rPr>
  </w:style>
  <w:style w:type="character" w:customStyle="1" w:styleId="9">
    <w:name w:val="כותרת 9 תו"/>
    <w:locked/>
    <w:rsid w:val="00F1368B"/>
    <w:rPr>
      <w:rFonts w:ascii="Cambria" w:hAnsi="Cambria" w:cs="Times New Roman"/>
    </w:rPr>
  </w:style>
  <w:style w:type="character" w:customStyle="1" w:styleId="a">
    <w:name w:val="כותרת טקסט תו"/>
    <w:locked/>
    <w:rsid w:val="00F1368B"/>
    <w:rPr>
      <w:rFonts w:ascii="Cambria" w:hAnsi="Cambria" w:cs="Times New Roman"/>
      <w:b/>
      <w:bCs/>
      <w:kern w:val="28"/>
      <w:sz w:val="32"/>
      <w:szCs w:val="32"/>
    </w:rPr>
  </w:style>
  <w:style w:type="paragraph" w:customStyle="1" w:styleId="KOT1">
    <w:name w:val="KOT1"/>
    <w:basedOn w:val="Normal"/>
    <w:rsid w:val="00F1368B"/>
    <w:pPr>
      <w:keepNext/>
      <w:spacing w:after="360" w:line="400" w:lineRule="exact"/>
      <w:jc w:val="center"/>
    </w:pPr>
    <w:rPr>
      <w:rFonts w:ascii="Times New Roman" w:eastAsia="Times New Roman" w:hAnsi="Times New Roman" w:cs="David"/>
      <w:b/>
      <w:bCs/>
      <w:sz w:val="36"/>
      <w:szCs w:val="36"/>
      <w:lang w:eastAsia="he-IL"/>
    </w:rPr>
  </w:style>
  <w:style w:type="paragraph" w:customStyle="1" w:styleId="KOT2">
    <w:name w:val="KOT2"/>
    <w:basedOn w:val="Normal"/>
    <w:rsid w:val="00E7492C"/>
    <w:pPr>
      <w:keepNext/>
      <w:pageBreakBefore/>
      <w:spacing w:before="360" w:after="240" w:line="480" w:lineRule="exact"/>
      <w:ind w:right="2268"/>
      <w:outlineLvl w:val="0"/>
    </w:pPr>
    <w:rPr>
      <w:rFonts w:ascii="Arial Bold" w:hAnsi="Arial Bold" w:eastAsiaTheme="majorEastAsia" w:cs="Tahoma"/>
      <w:color w:val="0B5294" w:themeColor="accent1" w:themeShade="BF"/>
      <w:sz w:val="36"/>
      <w:szCs w:val="36"/>
    </w:rPr>
  </w:style>
  <w:style w:type="paragraph" w:customStyle="1" w:styleId="30">
    <w:name w:val="כותרת 3_0"/>
    <w:basedOn w:val="Normal"/>
    <w:next w:val="Normal"/>
    <w:rsid w:val="00F1368B"/>
    <w:pPr>
      <w:spacing w:before="100" w:beforeAutospacing="1" w:after="0" w:line="288" w:lineRule="auto"/>
      <w:outlineLvl w:val="2"/>
    </w:pPr>
    <w:rPr>
      <w:rFonts w:ascii="Times New Roman" w:eastAsia="Times New Roman" w:hAnsi="Times New Roman" w:cs="David"/>
      <w:b/>
      <w:bCs/>
      <w:sz w:val="24"/>
      <w:szCs w:val="28"/>
      <w:u w:val="single"/>
    </w:rPr>
  </w:style>
  <w:style w:type="paragraph" w:customStyle="1" w:styleId="40">
    <w:name w:val="כותרת 4_0"/>
    <w:basedOn w:val="Normal"/>
    <w:next w:val="Normal"/>
    <w:rsid w:val="00F1368B"/>
    <w:pPr>
      <w:spacing w:before="100" w:beforeAutospacing="1" w:after="0" w:line="264" w:lineRule="auto"/>
      <w:outlineLvl w:val="3"/>
    </w:pPr>
    <w:rPr>
      <w:rFonts w:ascii="Times New Roman" w:eastAsia="Times New Roman" w:hAnsi="Times New Roman" w:cs="David"/>
      <w:b/>
      <w:bCs/>
      <w:sz w:val="22"/>
      <w:szCs w:val="26"/>
    </w:rPr>
  </w:style>
  <w:style w:type="paragraph" w:customStyle="1" w:styleId="a0">
    <w:name w:val="נבנצלים"/>
    <w:basedOn w:val="Normal"/>
    <w:next w:val="Normal"/>
    <w:rsid w:val="00F1368B"/>
    <w:pPr>
      <w:widowControl w:val="0"/>
      <w:spacing w:after="0" w:line="269" w:lineRule="auto"/>
      <w:ind w:left="-567"/>
      <w:jc w:val="both"/>
    </w:pPr>
    <w:rPr>
      <w:rFonts w:ascii="Times New Roman" w:eastAsia="Times New Roman" w:hAnsi="Times New Roman" w:cs="David"/>
      <w:sz w:val="20"/>
      <w:szCs w:val="20"/>
      <w:lang w:eastAsia="he-IL"/>
    </w:rPr>
  </w:style>
  <w:style w:type="character" w:customStyle="1" w:styleId="a1">
    <w:name w:val="כותרת עליונה תו"/>
    <w:locked/>
    <w:rsid w:val="00F1368B"/>
    <w:rPr>
      <w:rFonts w:cs="David"/>
      <w:sz w:val="24"/>
      <w:szCs w:val="24"/>
      <w:lang w:bidi="he-IL"/>
    </w:rPr>
  </w:style>
  <w:style w:type="character" w:customStyle="1" w:styleId="a2">
    <w:name w:val="כותרת תחתונה תו"/>
    <w:locked/>
    <w:rsid w:val="00F1368B"/>
    <w:rPr>
      <w:rFonts w:cs="David"/>
      <w:sz w:val="24"/>
      <w:szCs w:val="24"/>
      <w:lang w:bidi="he-IL"/>
    </w:rPr>
  </w:style>
  <w:style w:type="character" w:customStyle="1" w:styleId="EndnoteTextChar">
    <w:name w:val="Endnote Text Char"/>
    <w:basedOn w:val="DefaultParagraphFont"/>
    <w:link w:val="EndnoteText"/>
    <w:uiPriority w:val="99"/>
    <w:semiHidden/>
    <w:rsid w:val="00F1368B"/>
    <w:rPr>
      <w:rFonts w:ascii="Times New Roman" w:eastAsia="Times New Roman" w:hAnsi="Times New Roman" w:cs="David"/>
      <w:sz w:val="24"/>
      <w:szCs w:val="20"/>
    </w:rPr>
  </w:style>
  <w:style w:type="paragraph" w:styleId="EndnoteText">
    <w:name w:val="endnote text"/>
    <w:basedOn w:val="Normal"/>
    <w:link w:val="EndnoteTextChar"/>
    <w:uiPriority w:val="99"/>
    <w:semiHidden/>
    <w:rsid w:val="00F1368B"/>
    <w:pPr>
      <w:spacing w:after="0" w:line="240" w:lineRule="exact"/>
      <w:jc w:val="both"/>
    </w:pPr>
    <w:rPr>
      <w:rFonts w:ascii="Times New Roman" w:eastAsia="Times New Roman" w:hAnsi="Times New Roman" w:cs="David"/>
      <w:sz w:val="24"/>
      <w:szCs w:val="20"/>
    </w:rPr>
  </w:style>
  <w:style w:type="character" w:styleId="EndnoteReference">
    <w:name w:val="endnote reference"/>
    <w:uiPriority w:val="99"/>
    <w:semiHidden/>
    <w:rsid w:val="00F1368B"/>
    <w:rPr>
      <w:rFonts w:cs="Times New Roman"/>
      <w:vertAlign w:val="superscript"/>
    </w:rPr>
  </w:style>
  <w:style w:type="character" w:customStyle="1" w:styleId="BodyText3Char">
    <w:name w:val="Body Text 3 Char"/>
    <w:basedOn w:val="DefaultParagraphFont"/>
    <w:link w:val="BodyText3"/>
    <w:semiHidden/>
    <w:rsid w:val="00F1368B"/>
    <w:rPr>
      <w:rFonts w:ascii="Times New Roman" w:eastAsia="Times New Roman" w:hAnsi="Times New Roman" w:cs="David"/>
      <w:sz w:val="24"/>
      <w:szCs w:val="24"/>
    </w:rPr>
  </w:style>
  <w:style w:type="paragraph" w:styleId="BodyText3">
    <w:name w:val="Body Text 3"/>
    <w:basedOn w:val="Normal"/>
    <w:link w:val="BodyText3Char"/>
    <w:semiHidden/>
    <w:rsid w:val="00F1368B"/>
    <w:pPr>
      <w:widowControl w:val="0"/>
      <w:spacing w:after="0" w:line="240" w:lineRule="exact"/>
      <w:jc w:val="both"/>
    </w:pPr>
    <w:rPr>
      <w:rFonts w:ascii="Times New Roman" w:eastAsia="Times New Roman" w:hAnsi="Times New Roman" w:cs="David"/>
      <w:sz w:val="24"/>
      <w:szCs w:val="24"/>
    </w:rPr>
  </w:style>
  <w:style w:type="paragraph" w:customStyle="1" w:styleId="KOT3A">
    <w:name w:val="KOT3A"/>
    <w:basedOn w:val="Normal"/>
    <w:rsid w:val="00F1368B"/>
    <w:pPr>
      <w:spacing w:line="360" w:lineRule="exact"/>
    </w:pPr>
    <w:rPr>
      <w:rFonts w:ascii="Times New Roman" w:eastAsia="Times New Roman" w:hAnsi="Times New Roman" w:cs="David"/>
      <w:b/>
      <w:bCs/>
      <w:spacing w:val="40"/>
      <w:sz w:val="24"/>
      <w:szCs w:val="30"/>
    </w:rPr>
  </w:style>
  <w:style w:type="paragraph" w:customStyle="1" w:styleId="KOT3">
    <w:name w:val="KOT3"/>
    <w:basedOn w:val="KOT3A"/>
    <w:rsid w:val="00F1368B"/>
    <w:pPr>
      <w:keepNext/>
      <w:spacing w:after="360"/>
      <w:jc w:val="center"/>
    </w:pPr>
    <w:rPr>
      <w:spacing w:val="0"/>
      <w:szCs w:val="28"/>
    </w:rPr>
  </w:style>
  <w:style w:type="paragraph" w:customStyle="1" w:styleId="KOT4">
    <w:name w:val="KOT4"/>
    <w:basedOn w:val="KOT3"/>
    <w:rsid w:val="00E7492C"/>
    <w:pPr>
      <w:spacing w:before="120" w:after="120"/>
      <w:ind w:right="2268"/>
      <w:jc w:val="left"/>
      <w:outlineLvl w:val="1"/>
    </w:pPr>
    <w:rPr>
      <w:rFonts w:ascii="Tahoma" w:hAnsi="Tahoma" w:cs="Tahoma"/>
      <w:b w:val="0"/>
      <w:bCs w:val="0"/>
      <w:color w:val="009692"/>
      <w:sz w:val="32"/>
      <w:szCs w:val="32"/>
    </w:rPr>
  </w:style>
  <w:style w:type="paragraph" w:customStyle="1" w:styleId="KOT5">
    <w:name w:val="KOT5"/>
    <w:basedOn w:val="KOT4"/>
    <w:rsid w:val="00F8029A"/>
    <w:pPr>
      <w:spacing w:line="320" w:lineRule="exact"/>
      <w:outlineLvl w:val="2"/>
    </w:pPr>
    <w:rPr>
      <w:rFonts w:eastAsiaTheme="majorEastAsia"/>
      <w:color w:val="387026"/>
      <w:sz w:val="26"/>
      <w:szCs w:val="26"/>
    </w:rPr>
  </w:style>
  <w:style w:type="character" w:customStyle="1" w:styleId="10">
    <w:name w:val="סגנון (עברית ושפות אחרות) ‏10 נק'"/>
    <w:rsid w:val="00F1368B"/>
    <w:rPr>
      <w:rFonts w:ascii="Times New Roman" w:hAnsi="Times New Roman"/>
      <w:sz w:val="24"/>
      <w:vertAlign w:val="baseline"/>
    </w:rPr>
  </w:style>
  <w:style w:type="paragraph" w:customStyle="1" w:styleId="NAME">
    <w:name w:val="NAME"/>
    <w:basedOn w:val="Normal"/>
    <w:rsid w:val="00E077B7"/>
    <w:pPr>
      <w:spacing w:before="2000" w:line="312" w:lineRule="auto"/>
      <w:jc w:val="center"/>
      <w:outlineLvl w:val="0"/>
    </w:pPr>
    <w:rPr>
      <w:rFonts w:ascii="Tahoma" w:eastAsia="Times New Roman" w:hAnsi="Tahoma" w:cs="Tahoma"/>
      <w:color w:val="2A2AA6"/>
      <w:sz w:val="42"/>
      <w:szCs w:val="42"/>
      <w:lang w:eastAsia="he-IL"/>
    </w:rPr>
  </w:style>
  <w:style w:type="paragraph" w:customStyle="1" w:styleId="PATIAH">
    <w:name w:val="PATIAH"/>
    <w:basedOn w:val="Normal"/>
    <w:rsid w:val="00F1368B"/>
    <w:pPr>
      <w:spacing w:line="260" w:lineRule="exact"/>
      <w:jc w:val="both"/>
    </w:pPr>
    <w:rPr>
      <w:rFonts w:ascii="Times New Roman" w:eastAsia="Times New Roman" w:hAnsi="Times New Roman" w:cs="David"/>
      <w:sz w:val="20"/>
      <w:szCs w:val="24"/>
      <w:lang w:eastAsia="he-IL"/>
    </w:rPr>
  </w:style>
  <w:style w:type="paragraph" w:customStyle="1" w:styleId="RESHET">
    <w:name w:val="RESHET"/>
    <w:basedOn w:val="Normal"/>
    <w:rsid w:val="00A12EBF"/>
    <w:pPr>
      <w:keepLines/>
      <w:pBdr>
        <w:top w:val="single" w:sz="12" w:space="4" w:color="CEEAF5"/>
        <w:left w:val="single" w:sz="12" w:space="11" w:color="CEEAF5"/>
        <w:bottom w:val="single" w:sz="12" w:space="6" w:color="CEEAF5"/>
        <w:right w:val="single" w:sz="12" w:space="11" w:color="CEEAF5"/>
      </w:pBdr>
      <w:shd w:val="solid" w:color="CEEAF5" w:fill="auto"/>
      <w:tabs>
        <w:tab w:val="left" w:pos="624"/>
      </w:tabs>
      <w:spacing w:line="240" w:lineRule="exact"/>
      <w:ind w:left="227" w:right="2495"/>
      <w:jc w:val="both"/>
    </w:pPr>
    <w:rPr>
      <w:rFonts w:ascii="Tahoma" w:eastAsia="Times New Roman" w:hAnsi="Tahoma" w:cs="Tahoma"/>
      <w:sz w:val="17"/>
      <w:szCs w:val="17"/>
      <w:lang w:eastAsia="he-IL"/>
    </w:rPr>
  </w:style>
  <w:style w:type="paragraph" w:customStyle="1" w:styleId="takzir">
    <w:name w:val="takzir"/>
    <w:basedOn w:val="Normal"/>
    <w:uiPriority w:val="99"/>
    <w:rsid w:val="00F1368B"/>
    <w:pPr>
      <w:spacing w:line="240" w:lineRule="exact"/>
      <w:jc w:val="both"/>
    </w:pPr>
    <w:rPr>
      <w:rFonts w:ascii="Times New Roman" w:eastAsia="Times New Roman" w:hAnsi="Times New Roman" w:cs="David"/>
      <w:b/>
      <w:bCs/>
      <w:noProof/>
      <w:sz w:val="22"/>
      <w:szCs w:val="22"/>
      <w:lang w:eastAsia="he-IL"/>
    </w:rPr>
  </w:style>
  <w:style w:type="paragraph" w:styleId="PlainText">
    <w:name w:val="Plain Text"/>
    <w:basedOn w:val="Normal"/>
    <w:link w:val="PlainTextChar"/>
    <w:uiPriority w:val="99"/>
    <w:semiHidden/>
    <w:rsid w:val="00F1368B"/>
    <w:pPr>
      <w:widowControl w:val="0"/>
      <w:spacing w:after="0" w:line="312" w:lineRule="auto"/>
      <w:jc w:val="both"/>
    </w:pPr>
    <w:rPr>
      <w:rFonts w:ascii="Courier New" w:eastAsia="Times New Roman" w:hAnsi="Courier New" w:cs="Courier New"/>
      <w:sz w:val="20"/>
      <w:szCs w:val="20"/>
      <w:lang w:eastAsia="he-IL"/>
    </w:rPr>
  </w:style>
  <w:style w:type="character" w:customStyle="1" w:styleId="PlainTextChar">
    <w:name w:val="Plain Text Char"/>
    <w:basedOn w:val="DefaultParagraphFont"/>
    <w:link w:val="PlainText"/>
    <w:uiPriority w:val="99"/>
    <w:semiHidden/>
    <w:rsid w:val="00F1368B"/>
    <w:rPr>
      <w:rFonts w:ascii="Courier New" w:eastAsia="Times New Roman" w:hAnsi="Courier New" w:cs="Courier New"/>
      <w:sz w:val="20"/>
      <w:szCs w:val="20"/>
      <w:lang w:eastAsia="he-IL"/>
    </w:rPr>
  </w:style>
  <w:style w:type="character" w:customStyle="1" w:styleId="51">
    <w:name w:val="כותרת 51"/>
    <w:rsid w:val="00F1368B"/>
    <w:rPr>
      <w:rFonts w:ascii="Times New Roman" w:hAnsi="Times New Roman"/>
      <w:b/>
      <w:color w:val="auto"/>
      <w:spacing w:val="40"/>
      <w:w w:val="100"/>
      <w:position w:val="0"/>
      <w:sz w:val="24"/>
      <w:u w:val="none"/>
      <w:vertAlign w:val="baseline"/>
    </w:rPr>
  </w:style>
  <w:style w:type="character" w:customStyle="1" w:styleId="61">
    <w:name w:val="כותרת 61"/>
    <w:rsid w:val="00F1368B"/>
    <w:rPr>
      <w:rFonts w:ascii="Times New Roman" w:hAnsi="Times New Roman"/>
      <w:color w:val="auto"/>
      <w:spacing w:val="40"/>
      <w:w w:val="100"/>
      <w:position w:val="0"/>
      <w:sz w:val="24"/>
      <w:u w:val="none"/>
    </w:rPr>
  </w:style>
  <w:style w:type="character" w:customStyle="1" w:styleId="PersonalComposeStyle">
    <w:name w:val="Personal Compose Style"/>
    <w:rsid w:val="00F1368B"/>
    <w:rPr>
      <w:rFonts w:ascii="Arial" w:hAnsi="Arial"/>
      <w:color w:val="auto"/>
      <w:sz w:val="20"/>
    </w:rPr>
  </w:style>
  <w:style w:type="character" w:customStyle="1" w:styleId="PersonalReplyStyle">
    <w:name w:val="Personal Reply Style"/>
    <w:rsid w:val="00F1368B"/>
    <w:rPr>
      <w:rFonts w:ascii="Arial" w:hAnsi="Arial"/>
      <w:color w:val="auto"/>
      <w:sz w:val="20"/>
    </w:rPr>
  </w:style>
  <w:style w:type="character" w:customStyle="1" w:styleId="52">
    <w:name w:val="כותרת 52"/>
    <w:rsid w:val="00F1368B"/>
    <w:rPr>
      <w:rFonts w:ascii="Times New Roman" w:hAnsi="Times New Roman"/>
      <w:b/>
      <w:color w:val="auto"/>
      <w:spacing w:val="40"/>
      <w:w w:val="100"/>
      <w:position w:val="0"/>
      <w:sz w:val="24"/>
      <w:u w:val="none"/>
      <w:vertAlign w:val="baseline"/>
    </w:rPr>
  </w:style>
  <w:style w:type="character" w:customStyle="1" w:styleId="520">
    <w:name w:val="כותרת 5 תו2"/>
    <w:rsid w:val="00F1368B"/>
    <w:rPr>
      <w:b/>
      <w:spacing w:val="40"/>
      <w:sz w:val="24"/>
      <w:lang w:val="en-US" w:eastAsia="he-IL" w:bidi="he-IL"/>
    </w:rPr>
  </w:style>
  <w:style w:type="character" w:customStyle="1" w:styleId="71">
    <w:name w:val="כותרת 7 תו1"/>
    <w:rsid w:val="00F1368B"/>
    <w:rPr>
      <w:b/>
      <w:spacing w:val="40"/>
      <w:sz w:val="24"/>
      <w:lang w:val="en-US" w:eastAsia="he-IL" w:bidi="he-IL"/>
    </w:rPr>
  </w:style>
  <w:style w:type="paragraph" w:customStyle="1" w:styleId="a3">
    <w:name w:val="ממוספר"/>
    <w:basedOn w:val="Normal"/>
    <w:rsid w:val="00F1368B"/>
    <w:pPr>
      <w:numPr>
        <w:numId w:val="2"/>
      </w:numPr>
      <w:spacing w:after="240" w:line="312" w:lineRule="auto"/>
      <w:ind w:right="397"/>
      <w:jc w:val="both"/>
    </w:pPr>
    <w:rPr>
      <w:rFonts w:ascii="Times New Roman" w:eastAsia="Times New Roman" w:hAnsi="Times New Roman" w:cs="FrankRuehl"/>
      <w:sz w:val="24"/>
      <w:szCs w:val="24"/>
      <w:lang w:eastAsia="he-IL"/>
    </w:rPr>
  </w:style>
  <w:style w:type="paragraph" w:customStyle="1" w:styleId="a4">
    <w:name w:val="טקסט מודגש"/>
    <w:basedOn w:val="Normal"/>
    <w:rsid w:val="00F1368B"/>
    <w:pPr>
      <w:spacing w:after="240" w:line="312" w:lineRule="auto"/>
      <w:jc w:val="both"/>
    </w:pPr>
    <w:rPr>
      <w:rFonts w:ascii="Times New Roman" w:eastAsia="Times New Roman" w:hAnsi="Times New Roman" w:cs="David"/>
      <w:b/>
      <w:bCs/>
      <w:sz w:val="22"/>
      <w:szCs w:val="22"/>
      <w:lang w:eastAsia="he-IL"/>
    </w:rPr>
  </w:style>
  <w:style w:type="paragraph" w:customStyle="1" w:styleId="11">
    <w:name w:val="ציטוט1"/>
    <w:basedOn w:val="Normal"/>
    <w:rsid w:val="00F1368B"/>
    <w:pPr>
      <w:spacing w:after="240" w:line="240" w:lineRule="auto"/>
      <w:ind w:left="851" w:right="851"/>
      <w:jc w:val="both"/>
    </w:pPr>
    <w:rPr>
      <w:rFonts w:ascii="Times New Roman" w:eastAsia="Times New Roman" w:hAnsi="Times New Roman" w:cs="FrankRuehl"/>
      <w:sz w:val="24"/>
      <w:szCs w:val="24"/>
      <w:lang w:eastAsia="he-IL"/>
    </w:rPr>
  </w:style>
  <w:style w:type="character" w:customStyle="1" w:styleId="BodyTextIndent2Char">
    <w:name w:val="Body Text Indent 2 Char"/>
    <w:basedOn w:val="DefaultParagraphFont"/>
    <w:link w:val="BodyTextIndent2"/>
    <w:semiHidden/>
    <w:rsid w:val="00F1368B"/>
    <w:rPr>
      <w:rFonts w:ascii="Times New Roman" w:eastAsia="Times New Roman" w:hAnsi="Times New Roman" w:cs="FrankRuehl"/>
      <w:sz w:val="24"/>
      <w:szCs w:val="24"/>
      <w:lang w:eastAsia="he-IL"/>
    </w:rPr>
  </w:style>
  <w:style w:type="paragraph" w:styleId="BodyTextIndent2">
    <w:name w:val="Body Text Indent 2"/>
    <w:basedOn w:val="Normal"/>
    <w:link w:val="BodyTextIndent2Char"/>
    <w:semiHidden/>
    <w:rsid w:val="00F1368B"/>
    <w:pPr>
      <w:spacing w:after="240" w:line="240" w:lineRule="auto"/>
      <w:ind w:left="540" w:hanging="540"/>
      <w:jc w:val="both"/>
    </w:pPr>
    <w:rPr>
      <w:rFonts w:ascii="Times New Roman" w:eastAsia="Times New Roman" w:hAnsi="Times New Roman" w:cs="FrankRuehl"/>
      <w:sz w:val="24"/>
      <w:szCs w:val="24"/>
      <w:lang w:eastAsia="he-IL"/>
    </w:rPr>
  </w:style>
  <w:style w:type="character" w:customStyle="1" w:styleId="notes">
    <w:name w:val="notes"/>
    <w:rsid w:val="00F1368B"/>
  </w:style>
  <w:style w:type="character" w:customStyle="1" w:styleId="a5">
    <w:name w:val="טקסט הערות שוליים תו"/>
    <w:rsid w:val="00F1368B"/>
    <w:rPr>
      <w:lang w:val="en-US" w:eastAsia="en-US"/>
    </w:rPr>
  </w:style>
  <w:style w:type="character" w:customStyle="1" w:styleId="a6">
    <w:name w:val="טקסט הערת שוליים תו"/>
    <w:locked/>
    <w:rsid w:val="00F1368B"/>
    <w:rPr>
      <w:lang w:val="en-US" w:eastAsia="en-US"/>
    </w:rPr>
  </w:style>
  <w:style w:type="character" w:customStyle="1" w:styleId="BodyTextIndent3Char">
    <w:name w:val="Body Text Indent 3 Char"/>
    <w:basedOn w:val="DefaultParagraphFont"/>
    <w:link w:val="BodyTextIndent3"/>
    <w:semiHidden/>
    <w:rsid w:val="00F1368B"/>
    <w:rPr>
      <w:rFonts w:ascii="Times New Roman" w:eastAsia="Times New Roman" w:hAnsi="Times New Roman" w:cs="David"/>
      <w:sz w:val="16"/>
      <w:szCs w:val="16"/>
    </w:rPr>
  </w:style>
  <w:style w:type="paragraph" w:styleId="BodyTextIndent3">
    <w:name w:val="Body Text Indent 3"/>
    <w:basedOn w:val="Normal"/>
    <w:link w:val="BodyTextIndent3Char"/>
    <w:semiHidden/>
    <w:rsid w:val="00F1368B"/>
    <w:pPr>
      <w:spacing w:line="240" w:lineRule="exact"/>
      <w:ind w:left="283"/>
    </w:pPr>
    <w:rPr>
      <w:rFonts w:ascii="Times New Roman" w:eastAsia="Times New Roman" w:hAnsi="Times New Roman" w:cs="David"/>
      <w:sz w:val="16"/>
      <w:szCs w:val="16"/>
    </w:rPr>
  </w:style>
  <w:style w:type="paragraph" w:customStyle="1" w:styleId="12">
    <w:name w:val="פיסקת רשימה1"/>
    <w:basedOn w:val="Normal"/>
    <w:rsid w:val="00F1368B"/>
    <w:pPr>
      <w:spacing w:after="0" w:line="240" w:lineRule="exact"/>
      <w:ind w:left="720"/>
    </w:pPr>
    <w:rPr>
      <w:rFonts w:ascii="Times New Roman" w:eastAsia="Times New Roman" w:hAnsi="Times New Roman" w:cs="David"/>
      <w:sz w:val="24"/>
      <w:szCs w:val="24"/>
    </w:rPr>
  </w:style>
  <w:style w:type="character" w:customStyle="1" w:styleId="BodyTextIndentChar">
    <w:name w:val="Body Text Indent Char"/>
    <w:basedOn w:val="DefaultParagraphFont"/>
    <w:link w:val="BodyTextIndent"/>
    <w:semiHidden/>
    <w:rsid w:val="00F1368B"/>
    <w:rPr>
      <w:rFonts w:ascii="Times New Roman" w:eastAsia="Times New Roman" w:hAnsi="Times New Roman" w:cs="David"/>
      <w:sz w:val="24"/>
      <w:szCs w:val="24"/>
    </w:rPr>
  </w:style>
  <w:style w:type="paragraph" w:styleId="BodyTextIndent">
    <w:name w:val="Body Text Indent"/>
    <w:basedOn w:val="Normal"/>
    <w:link w:val="BodyTextIndentChar"/>
    <w:semiHidden/>
    <w:rsid w:val="00F1368B"/>
    <w:pPr>
      <w:spacing w:line="240" w:lineRule="exact"/>
      <w:ind w:left="283"/>
    </w:pPr>
    <w:rPr>
      <w:rFonts w:ascii="Times New Roman" w:eastAsia="Times New Roman" w:hAnsi="Times New Roman" w:cs="David"/>
      <w:sz w:val="24"/>
      <w:szCs w:val="24"/>
    </w:rPr>
  </w:style>
  <w:style w:type="paragraph" w:customStyle="1" w:styleId="31">
    <w:name w:val="כותרת 31"/>
    <w:basedOn w:val="Normal"/>
    <w:next w:val="Normal"/>
    <w:rsid w:val="00F1368B"/>
    <w:pPr>
      <w:spacing w:before="100" w:beforeAutospacing="1" w:after="0" w:line="288" w:lineRule="auto"/>
      <w:outlineLvl w:val="2"/>
    </w:pPr>
    <w:rPr>
      <w:rFonts w:ascii="Times New Roman" w:eastAsia="Times New Roman" w:hAnsi="Times New Roman" w:cs="David"/>
      <w:b/>
      <w:bCs/>
      <w:sz w:val="24"/>
      <w:szCs w:val="28"/>
      <w:u w:val="single"/>
    </w:rPr>
  </w:style>
  <w:style w:type="paragraph" w:customStyle="1" w:styleId="41">
    <w:name w:val="כותרת 41"/>
    <w:basedOn w:val="Normal"/>
    <w:next w:val="Normal"/>
    <w:rsid w:val="00F1368B"/>
    <w:pPr>
      <w:spacing w:before="100" w:beforeAutospacing="1" w:after="0" w:line="264" w:lineRule="auto"/>
      <w:outlineLvl w:val="3"/>
    </w:pPr>
    <w:rPr>
      <w:rFonts w:ascii="Times New Roman" w:eastAsia="Times New Roman" w:hAnsi="Times New Roman" w:cs="David"/>
      <w:b/>
      <w:bCs/>
      <w:sz w:val="22"/>
      <w:szCs w:val="26"/>
    </w:rPr>
  </w:style>
  <w:style w:type="character" w:customStyle="1" w:styleId="default">
    <w:name w:val="default"/>
    <w:rsid w:val="00F1368B"/>
    <w:rPr>
      <w:rFonts w:ascii="Times New Roman" w:hAnsi="Times New Roman"/>
      <w:sz w:val="26"/>
    </w:rPr>
  </w:style>
  <w:style w:type="character" w:customStyle="1" w:styleId="510">
    <w:name w:val="כותרת 5 תו1"/>
    <w:locked/>
    <w:rsid w:val="00F1368B"/>
    <w:rPr>
      <w:rFonts w:cs="David"/>
      <w:b/>
      <w:bCs/>
      <w:sz w:val="32"/>
      <w:szCs w:val="32"/>
      <w:lang w:eastAsia="he-IL"/>
    </w:rPr>
  </w:style>
  <w:style w:type="character" w:customStyle="1" w:styleId="72">
    <w:name w:val="כותרת 7 תו2"/>
    <w:locked/>
    <w:rsid w:val="00F1368B"/>
    <w:rPr>
      <w:rFonts w:cs="David"/>
      <w:sz w:val="36"/>
      <w:szCs w:val="36"/>
      <w:lang w:eastAsia="he-IL"/>
    </w:rPr>
  </w:style>
  <w:style w:type="paragraph" w:customStyle="1" w:styleId="Arial10">
    <w:name w:val="סגנון (לטיני) Arial (עברית ושפות אחרות) ‏10 נק' שמאל מרווח בין ש..."/>
    <w:basedOn w:val="Normal"/>
    <w:rsid w:val="00F1368B"/>
    <w:pPr>
      <w:widowControl w:val="0"/>
      <w:spacing w:after="0"/>
      <w:jc w:val="right"/>
    </w:pPr>
    <w:rPr>
      <w:rFonts w:ascii="David" w:eastAsia="Times New Roman" w:hAnsi="David" w:cs="David"/>
      <w:sz w:val="20"/>
      <w:szCs w:val="20"/>
      <w:lang w:eastAsia="he-IL"/>
    </w:rPr>
  </w:style>
  <w:style w:type="character" w:customStyle="1" w:styleId="20">
    <w:name w:val="תו תו2"/>
    <w:rsid w:val="00F1368B"/>
    <w:rPr>
      <w:b/>
      <w:spacing w:val="40"/>
      <w:sz w:val="24"/>
      <w:lang w:val="en-US" w:eastAsia="he-IL" w:bidi="he-IL"/>
    </w:rPr>
  </w:style>
  <w:style w:type="paragraph" w:customStyle="1" w:styleId="KOT6">
    <w:name w:val="KOT6"/>
    <w:basedOn w:val="KOT5"/>
    <w:locked/>
    <w:rsid w:val="001B19A1"/>
    <w:pPr>
      <w:outlineLvl w:val="3"/>
    </w:pPr>
    <w:rPr>
      <w:sz w:val="21"/>
      <w:szCs w:val="21"/>
    </w:rPr>
  </w:style>
  <w:style w:type="paragraph" w:customStyle="1" w:styleId="KOT7">
    <w:name w:val="KOT7"/>
    <w:basedOn w:val="KOT6"/>
    <w:locked/>
    <w:rsid w:val="00E7492C"/>
    <w:pPr>
      <w:outlineLvl w:val="4"/>
    </w:pPr>
    <w:rPr>
      <w:sz w:val="20"/>
      <w:szCs w:val="20"/>
    </w:rPr>
  </w:style>
  <w:style w:type="character" w:customStyle="1" w:styleId="610">
    <w:name w:val="כותרת 6 תו1"/>
    <w:rsid w:val="00F1368B"/>
    <w:rPr>
      <w:rFonts w:cs="David"/>
      <w:spacing w:val="40"/>
      <w:szCs w:val="24"/>
      <w:lang w:val="en-US" w:eastAsia="he-IL" w:bidi="he-IL"/>
    </w:rPr>
  </w:style>
  <w:style w:type="paragraph" w:customStyle="1" w:styleId="32">
    <w:name w:val="כותרת 32"/>
    <w:basedOn w:val="Normal"/>
    <w:next w:val="Normal"/>
    <w:rsid w:val="00F1368B"/>
    <w:pPr>
      <w:widowControl w:val="0"/>
      <w:spacing w:before="100" w:beforeAutospacing="1" w:after="0" w:line="288" w:lineRule="auto"/>
      <w:outlineLvl w:val="2"/>
    </w:pPr>
    <w:rPr>
      <w:rFonts w:ascii="Times New Roman" w:eastAsia="Times New Roman" w:hAnsi="Times New Roman" w:cs="David"/>
      <w:b/>
      <w:bCs/>
      <w:sz w:val="24"/>
      <w:szCs w:val="28"/>
      <w:u w:val="single"/>
      <w:lang w:eastAsia="he-IL"/>
    </w:rPr>
  </w:style>
  <w:style w:type="paragraph" w:customStyle="1" w:styleId="42">
    <w:name w:val="כותרת 42"/>
    <w:basedOn w:val="Normal"/>
    <w:next w:val="Normal"/>
    <w:rsid w:val="00F1368B"/>
    <w:pPr>
      <w:widowControl w:val="0"/>
      <w:spacing w:before="100" w:beforeAutospacing="1" w:after="0" w:line="264" w:lineRule="auto"/>
      <w:outlineLvl w:val="3"/>
    </w:pPr>
    <w:rPr>
      <w:rFonts w:ascii="Times New Roman" w:eastAsia="Times New Roman" w:hAnsi="Times New Roman" w:cs="David"/>
      <w:b/>
      <w:bCs/>
      <w:sz w:val="22"/>
      <w:szCs w:val="26"/>
      <w:lang w:eastAsia="he-IL"/>
    </w:rPr>
  </w:style>
  <w:style w:type="character" w:customStyle="1" w:styleId="410">
    <w:name w:val="כותרת 41 תו"/>
    <w:rsid w:val="00F1368B"/>
    <w:rPr>
      <w:rFonts w:cs="David"/>
      <w:b/>
      <w:bCs/>
      <w:sz w:val="22"/>
      <w:szCs w:val="26"/>
    </w:rPr>
  </w:style>
  <w:style w:type="character" w:customStyle="1" w:styleId="DocumentMapChar">
    <w:name w:val="Document Map Char"/>
    <w:basedOn w:val="DefaultParagraphFont"/>
    <w:link w:val="DocumentMap"/>
    <w:semiHidden/>
    <w:rsid w:val="00F1368B"/>
    <w:rPr>
      <w:rFonts w:ascii="Tahoma" w:eastAsia="Times New Roman" w:hAnsi="Tahoma" w:cs="Tahoma"/>
      <w:sz w:val="20"/>
      <w:szCs w:val="20"/>
      <w:shd w:val="clear" w:color="auto" w:fill="000080"/>
      <w:lang w:eastAsia="he-IL"/>
    </w:rPr>
  </w:style>
  <w:style w:type="paragraph" w:styleId="DocumentMap">
    <w:name w:val="Document Map"/>
    <w:basedOn w:val="Normal"/>
    <w:link w:val="DocumentMapChar"/>
    <w:semiHidden/>
    <w:rsid w:val="00F1368B"/>
    <w:pPr>
      <w:widowControl w:val="0"/>
      <w:shd w:val="clear" w:color="auto" w:fill="000080"/>
      <w:spacing w:after="0" w:line="312" w:lineRule="auto"/>
      <w:jc w:val="both"/>
    </w:pPr>
    <w:rPr>
      <w:rFonts w:ascii="Tahoma" w:eastAsia="Times New Roman" w:hAnsi="Tahoma" w:cs="Tahoma"/>
      <w:sz w:val="20"/>
      <w:szCs w:val="20"/>
      <w:lang w:eastAsia="he-IL"/>
    </w:rPr>
  </w:style>
  <w:style w:type="paragraph" w:customStyle="1" w:styleId="a7">
    <w:name w:val="נבנצאל"/>
    <w:basedOn w:val="Normal"/>
    <w:next w:val="Normal"/>
    <w:uiPriority w:val="99"/>
    <w:rsid w:val="00F1368B"/>
    <w:pPr>
      <w:spacing w:after="200" w:line="276" w:lineRule="auto"/>
      <w:ind w:left="-567"/>
    </w:pPr>
    <w:rPr>
      <w:rFonts w:ascii="Rockwell" w:eastAsia="Rockwell" w:hAnsi="Rockwell" w:cs="David"/>
      <w:sz w:val="22"/>
      <w:szCs w:val="20"/>
    </w:rPr>
  </w:style>
  <w:style w:type="character" w:customStyle="1" w:styleId="a8">
    <w:name w:val="נבנצאל תו"/>
    <w:uiPriority w:val="99"/>
    <w:locked/>
    <w:rsid w:val="00F1368B"/>
    <w:rPr>
      <w:rFonts w:ascii="Rockwell" w:eastAsia="Rockwell" w:hAnsi="Rockwell" w:cs="David"/>
      <w:sz w:val="22"/>
    </w:rPr>
  </w:style>
  <w:style w:type="paragraph" w:styleId="Date">
    <w:name w:val="Date"/>
    <w:basedOn w:val="Normal"/>
    <w:next w:val="Normal"/>
    <w:link w:val="DateChar"/>
    <w:uiPriority w:val="99"/>
    <w:rsid w:val="00F1368B"/>
    <w:pPr>
      <w:spacing w:before="120" w:after="200" w:line="240" w:lineRule="auto"/>
    </w:pPr>
    <w:rPr>
      <w:rFonts w:ascii="Rockwell" w:eastAsia="Rockwell" w:hAnsi="Rockwell" w:cs="David"/>
      <w:sz w:val="22"/>
      <w:szCs w:val="22"/>
    </w:rPr>
  </w:style>
  <w:style w:type="character" w:customStyle="1" w:styleId="DateChar">
    <w:name w:val="Date Char"/>
    <w:basedOn w:val="DefaultParagraphFont"/>
    <w:link w:val="Date"/>
    <w:uiPriority w:val="99"/>
    <w:rsid w:val="00F1368B"/>
    <w:rPr>
      <w:rFonts w:ascii="Rockwell" w:eastAsia="Rockwell" w:hAnsi="Rockwell" w:cs="David"/>
      <w:sz w:val="22"/>
      <w:szCs w:val="22"/>
    </w:rPr>
  </w:style>
  <w:style w:type="character" w:customStyle="1" w:styleId="a9">
    <w:name w:val="תאריך תו"/>
    <w:rsid w:val="00F1368B"/>
    <w:rPr>
      <w:rFonts w:ascii="Rockwell" w:eastAsia="Rockwell" w:hAnsi="Rockwell" w:cs="David"/>
      <w:sz w:val="22"/>
      <w:szCs w:val="22"/>
    </w:rPr>
  </w:style>
  <w:style w:type="paragraph" w:customStyle="1" w:styleId="tab-name">
    <w:name w:val="tab-name"/>
    <w:basedOn w:val="KOT5"/>
    <w:qFormat/>
    <w:rsid w:val="00132FFC"/>
    <w:pPr>
      <w:outlineLvl w:val="9"/>
    </w:pPr>
    <w:rPr>
      <w:rFonts w:eastAsiaTheme="minorEastAsia"/>
      <w:color w:val="0B5294" w:themeColor="accent1" w:themeShade="BF"/>
      <w:sz w:val="18"/>
      <w:szCs w:val="18"/>
    </w:rPr>
  </w:style>
  <w:style w:type="paragraph" w:customStyle="1" w:styleId="chap-name">
    <w:name w:val="chap-name"/>
    <w:basedOn w:val="Footer"/>
    <w:qFormat/>
    <w:rsid w:val="00E077B7"/>
    <w:pPr>
      <w:spacing w:before="2000" w:after="240" w:line="800" w:lineRule="atLeast"/>
      <w:jc w:val="center"/>
    </w:pPr>
    <w:rPr>
      <w:rFonts w:ascii="Tahoma" w:hAnsi="Tahoma" w:cs="Tahoma"/>
      <w:color w:val="2A2AA6"/>
      <w:sz w:val="32"/>
      <w:szCs w:val="36"/>
    </w:rPr>
  </w:style>
  <w:style w:type="paragraph" w:customStyle="1" w:styleId="KOT3T">
    <w:name w:val="KOT3T"/>
    <w:basedOn w:val="KOT3"/>
    <w:qFormat/>
    <w:rsid w:val="00D94BA9"/>
    <w:pPr>
      <w:spacing w:after="240" w:line="240" w:lineRule="atLeast"/>
      <w:outlineLvl w:val="0"/>
    </w:pPr>
    <w:rPr>
      <w:rFonts w:ascii="Tahoma" w:hAnsi="Tahoma" w:cs="Tahoma"/>
      <w:b w:val="0"/>
      <w:bCs w:val="0"/>
      <w:color w:val="2A2AA6"/>
      <w:sz w:val="48"/>
      <w:szCs w:val="52"/>
    </w:rPr>
  </w:style>
  <w:style w:type="paragraph" w:customStyle="1" w:styleId="KOT4T">
    <w:name w:val="KOT4T"/>
    <w:basedOn w:val="KOT4"/>
    <w:qFormat/>
    <w:rsid w:val="00D94BA9"/>
    <w:pPr>
      <w:spacing w:line="240" w:lineRule="atLeast"/>
    </w:pPr>
    <w:rPr>
      <w:color w:val="2A2AA6"/>
      <w:sz w:val="36"/>
      <w:szCs w:val="36"/>
    </w:rPr>
  </w:style>
  <w:style w:type="paragraph" w:customStyle="1" w:styleId="KOT4S">
    <w:name w:val="KOT4S"/>
    <w:basedOn w:val="KOT4"/>
    <w:qFormat/>
    <w:rsid w:val="00D94BA9"/>
    <w:pPr>
      <w:spacing w:line="240" w:lineRule="atLeast"/>
    </w:pPr>
    <w:rPr>
      <w:color w:val="6B2757"/>
      <w:sz w:val="36"/>
      <w:szCs w:val="36"/>
    </w:rPr>
  </w:style>
  <w:style w:type="paragraph" w:customStyle="1" w:styleId="KOT5T">
    <w:name w:val="KOT5T"/>
    <w:basedOn w:val="KOT5"/>
    <w:qFormat/>
    <w:rsid w:val="00D36781"/>
    <w:pPr>
      <w:jc w:val="center"/>
    </w:pPr>
    <w:rPr>
      <w:b/>
      <w:bCs/>
      <w:sz w:val="24"/>
      <w:szCs w:val="24"/>
      <w:u w:color="FF0000"/>
    </w:rPr>
  </w:style>
  <w:style w:type="paragraph" w:customStyle="1" w:styleId="KOT6T">
    <w:name w:val="KOT6T"/>
    <w:basedOn w:val="KOT6"/>
    <w:qFormat/>
    <w:rsid w:val="00D94BA9"/>
    <w:pPr>
      <w:spacing w:after="60"/>
    </w:pPr>
    <w:rPr>
      <w:sz w:val="20"/>
      <w:szCs w:val="20"/>
    </w:rPr>
  </w:style>
  <w:style w:type="paragraph" w:styleId="BlockText">
    <w:name w:val="Block Text"/>
    <w:basedOn w:val="Normal"/>
    <w:unhideWhenUsed/>
    <w:rsid w:val="00E67E7C"/>
    <w:pPr>
      <w:pBdr>
        <w:top w:val="single" w:sz="12" w:space="1" w:color="2A2AA6"/>
        <w:left w:val="single" w:sz="12" w:space="4" w:color="2A2AA6"/>
        <w:bottom w:val="single" w:sz="12" w:space="1" w:color="2A2AA6"/>
        <w:right w:val="single" w:sz="12" w:space="4" w:color="2A2AA6"/>
      </w:pBdr>
      <w:spacing w:line="240" w:lineRule="exact"/>
      <w:ind w:left="170" w:right="2268"/>
      <w:jc w:val="both"/>
    </w:pPr>
    <w:rPr>
      <w:rFonts w:ascii="Tahoma" w:hAnsi="Tahoma" w:cs="Tahoma"/>
      <w:sz w:val="17"/>
      <w:szCs w:val="17"/>
    </w:rPr>
  </w:style>
  <w:style w:type="paragraph" w:customStyle="1" w:styleId="name-sub">
    <w:name w:val="name-sub"/>
    <w:basedOn w:val="NAME"/>
    <w:qFormat/>
    <w:rsid w:val="00C20745"/>
    <w:pPr>
      <w:spacing w:before="0" w:after="240"/>
    </w:pPr>
    <w:rPr>
      <w:sz w:val="32"/>
      <w:szCs w:val="32"/>
    </w:rPr>
  </w:style>
  <w:style w:type="character" w:customStyle="1" w:styleId="Heading5Char1">
    <w:name w:val="Heading 5 Char1"/>
    <w:basedOn w:val="DefaultParagraphFont"/>
    <w:uiPriority w:val="1"/>
    <w:rsid w:val="000F41D0"/>
    <w:rPr>
      <w:rFonts w:eastAsiaTheme="majorEastAsia"/>
      <w:bCs/>
      <w:spacing w:val="40"/>
    </w:rPr>
  </w:style>
  <w:style w:type="character" w:customStyle="1" w:styleId="FootnoteTextChar1">
    <w:name w:val="Footnote Text Char1"/>
    <w:aliases w:val=" Char Char,FOOTNOTES Char,Footnote Text - Sharp Char Char Char,Footnote Text - Sharp Char Char1,Footnote Text - Sharp Char1,Footnote Text Char Char Char Char Char Char,Footnote reference Char,Sharp - Footnote Text Char,fn Char"/>
    <w:basedOn w:val="DefaultParagraphFont"/>
    <w:rsid w:val="000F41D0"/>
    <w:rPr>
      <w:szCs w:val="20"/>
    </w:rPr>
  </w:style>
  <w:style w:type="paragraph" w:customStyle="1" w:styleId="P00">
    <w:name w:val="P00"/>
    <w:link w:val="P000"/>
    <w:rsid w:val="000F41D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st1">
    <w:name w:val="st1"/>
    <w:basedOn w:val="DefaultParagraphFont"/>
    <w:rsid w:val="000F41D0"/>
  </w:style>
  <w:style w:type="paragraph" w:customStyle="1" w:styleId="sub-name-2">
    <w:name w:val="sub-name-2"/>
    <w:basedOn w:val="name-sub"/>
    <w:qFormat/>
    <w:rsid w:val="00C20745"/>
    <w:pPr>
      <w:outlineLvl w:val="9"/>
    </w:pPr>
    <w:rPr>
      <w:sz w:val="24"/>
      <w:szCs w:val="24"/>
    </w:rPr>
  </w:style>
  <w:style w:type="paragraph" w:customStyle="1" w:styleId="name-sub-2">
    <w:name w:val="name-sub-2"/>
    <w:basedOn w:val="sub-name-2"/>
    <w:qFormat/>
    <w:rsid w:val="00C20745"/>
    <w:pPr>
      <w:spacing w:after="120"/>
    </w:pPr>
  </w:style>
  <w:style w:type="paragraph" w:customStyle="1" w:styleId="takzir-text">
    <w:name w:val="takzir-text"/>
    <w:qFormat/>
    <w:rsid w:val="00D36781"/>
    <w:pPr>
      <w:pBdr>
        <w:top w:val="single" w:sz="8" w:space="4" w:color="2A2AA6"/>
        <w:left w:val="single" w:sz="8" w:space="4" w:color="2A2AA6"/>
        <w:bottom w:val="single" w:sz="8" w:space="6" w:color="2A2AA6"/>
        <w:right w:val="single" w:sz="8" w:space="4" w:color="2A2AA6"/>
      </w:pBdr>
      <w:spacing w:line="240" w:lineRule="exact"/>
      <w:ind w:left="170" w:right="2268"/>
      <w:jc w:val="both"/>
    </w:pPr>
    <w:rPr>
      <w:rFonts w:ascii="Tahoma" w:hAnsi="Tahoma" w:cs="Tahoma"/>
      <w:sz w:val="17"/>
      <w:szCs w:val="17"/>
    </w:rPr>
  </w:style>
  <w:style w:type="paragraph" w:customStyle="1" w:styleId="takzir-list-paragraph">
    <w:name w:val="takzir-list-paragraph"/>
    <w:basedOn w:val="ListParagraph"/>
    <w:next w:val="takzir-text"/>
    <w:qFormat/>
    <w:rsid w:val="00E40ADE"/>
    <w:pPr>
      <w:numPr>
        <w:numId w:val="5"/>
      </w:numPr>
      <w:pBdr>
        <w:top w:val="single" w:sz="8" w:space="4" w:color="2A2AA6"/>
        <w:left w:val="single" w:sz="8" w:space="4" w:color="2A2AA6"/>
        <w:bottom w:val="single" w:sz="8" w:space="6" w:color="2A2AA6"/>
        <w:right w:val="single" w:sz="8" w:space="4" w:color="2A2AA6"/>
      </w:pBdr>
      <w:spacing w:line="240" w:lineRule="exact"/>
      <w:ind w:right="2268"/>
    </w:pPr>
    <w:rPr>
      <w:sz w:val="17"/>
      <w:szCs w:val="17"/>
    </w:rPr>
  </w:style>
  <w:style w:type="paragraph" w:customStyle="1" w:styleId="running-text">
    <w:name w:val="running-text"/>
    <w:qFormat/>
    <w:rsid w:val="00E40ADE"/>
    <w:pPr>
      <w:spacing w:line="240" w:lineRule="exact"/>
      <w:ind w:right="2268"/>
      <w:jc w:val="both"/>
    </w:pPr>
    <w:rPr>
      <w:rFonts w:ascii="Tahoma" w:hAnsi="Tahoma" w:cs="Tahoma"/>
      <w:sz w:val="17"/>
      <w:szCs w:val="17"/>
    </w:rPr>
  </w:style>
  <w:style w:type="paragraph" w:customStyle="1" w:styleId="text-source">
    <w:name w:val="text-source"/>
    <w:basedOn w:val="Normal"/>
    <w:next w:val="takzir-text"/>
    <w:qFormat/>
    <w:rsid w:val="00E7492C"/>
    <w:pPr>
      <w:shd w:val="clear" w:color="auto" w:fill="FFFFFF"/>
      <w:spacing w:before="120" w:after="240" w:line="200" w:lineRule="exact"/>
      <w:ind w:right="2268"/>
    </w:pPr>
    <w:rPr>
      <w:rFonts w:ascii="Tahoma" w:eastAsia="Times New Roman" w:hAnsi="Tahoma" w:cs="Tahoma"/>
      <w:color w:val="222222"/>
      <w:sz w:val="14"/>
      <w:szCs w:val="14"/>
    </w:rPr>
  </w:style>
  <w:style w:type="paragraph" w:customStyle="1" w:styleId="13">
    <w:name w:val="רמה 1"/>
    <w:basedOn w:val="Normal"/>
    <w:link w:val="14"/>
    <w:rsid w:val="00EF45C8"/>
    <w:pPr>
      <w:spacing w:before="240" w:after="0"/>
      <w:jc w:val="both"/>
    </w:pPr>
    <w:rPr>
      <w:rFonts w:ascii="Times New Roman" w:eastAsia="Times New Roman" w:hAnsi="Times New Roman" w:cs="David"/>
      <w:sz w:val="24"/>
      <w:szCs w:val="24"/>
    </w:rPr>
  </w:style>
  <w:style w:type="character" w:customStyle="1" w:styleId="14">
    <w:name w:val="רמה 1 תו"/>
    <w:link w:val="13"/>
    <w:locked/>
    <w:rsid w:val="00EF45C8"/>
    <w:rPr>
      <w:rFonts w:ascii="Times New Roman" w:eastAsia="Times New Roman" w:hAnsi="Times New Roman" w:cs="David"/>
      <w:sz w:val="24"/>
      <w:szCs w:val="24"/>
    </w:rPr>
  </w:style>
  <w:style w:type="paragraph" w:customStyle="1" w:styleId="a10">
    <w:name w:val="כות_ללא מספור"/>
    <w:basedOn w:val="Normal"/>
    <w:rsid w:val="00EF45C8"/>
    <w:pPr>
      <w:spacing w:before="240"/>
      <w:jc w:val="both"/>
    </w:pPr>
    <w:rPr>
      <w:rFonts w:ascii="Times New Roman" w:eastAsia="Times New Roman" w:hAnsi="Times New Roman" w:cs="David"/>
      <w:b/>
      <w:bCs/>
      <w:sz w:val="28"/>
      <w:szCs w:val="28"/>
      <w:lang w:eastAsia="he-IL"/>
    </w:rPr>
  </w:style>
  <w:style w:type="character" w:customStyle="1" w:styleId="P000">
    <w:name w:val="P00 תו"/>
    <w:link w:val="P00"/>
    <w:rsid w:val="00EF45C8"/>
    <w:rPr>
      <w:rFonts w:ascii="Times New Roman" w:eastAsia="Times New Roman" w:hAnsi="Times New Roman" w:cs="Times New Roman"/>
      <w:noProof/>
      <w:sz w:val="20"/>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eader" Target="header7.xml"/><Relationship Id="rId8" Type="http://schemas.openxmlformats.org/officeDocument/2006/relationships/header" Target="header3.xml"/><Relationship Id="rId21" Type="http://schemas.openxmlformats.org/officeDocument/2006/relationships/numbering" Target="numbering.xml"/><Relationship Id="rId3"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eader" Target="header6.xml"/><Relationship Id="rId7" Type="http://schemas.openxmlformats.org/officeDocument/2006/relationships/header" Target="header2.xml"/><Relationship Id="rId25" Type="http://schemas.openxmlformats.org/officeDocument/2006/relationships/customXml" Target="../customXml/item4.xml"/><Relationship Id="rId16" Type="http://schemas.openxmlformats.org/officeDocument/2006/relationships/image" Target="media/image6.jpeg"/><Relationship Id="rId2" Type="http://schemas.openxmlformats.org/officeDocument/2006/relationships/settings" Target="settings.xml"/><Relationship Id="rId20" Type="http://schemas.openxmlformats.org/officeDocument/2006/relationships/theme" Target="theme/theme1.xml"/><Relationship Id="rId1" Type="http://schemas.openxmlformats.org/officeDocument/2006/relationships/footnotes" Target="footnotes.xml"/><Relationship Id="rId11" Type="http://schemas.openxmlformats.org/officeDocument/2006/relationships/image" Target="media/image1.jpeg"/><Relationship Id="rId6" Type="http://schemas.openxmlformats.org/officeDocument/2006/relationships/header" Target="header1.xml"/><Relationship Id="rId24" Type="http://schemas.openxmlformats.org/officeDocument/2006/relationships/customXml" Target="../customXml/item3.xml"/><Relationship Id="rId15" Type="http://schemas.openxmlformats.org/officeDocument/2006/relationships/image" Target="media/image5.png"/><Relationship Id="rId5" Type="http://schemas.openxmlformats.org/officeDocument/2006/relationships/customXml" Target="../customXml/item1.xml"/><Relationship Id="rId23" Type="http://schemas.openxmlformats.org/officeDocument/2006/relationships/customXml" Target="../customXml/item2.xml"/><Relationship Id="rId10" Type="http://schemas.openxmlformats.org/officeDocument/2006/relationships/header" Target="header5.xml"/><Relationship Id="rId19" Type="http://schemas.openxmlformats.org/officeDocument/2006/relationships/header" Target="header8.xml"/><Relationship Id="rId14" Type="http://schemas.openxmlformats.org/officeDocument/2006/relationships/image" Target="media/image4.png"/><Relationship Id="rId22" Type="http://schemas.openxmlformats.org/officeDocument/2006/relationships/styles" Target="styles.xml"/><Relationship Id="rId4" Type="http://schemas.openxmlformats.org/officeDocument/2006/relationships/fontTable" Target="fontTable.xml"/><Relationship Id="rId9" Type="http://schemas.openxmlformats.org/officeDocument/2006/relationships/header" Target="header4.xml"/></Relationships>
</file>

<file path=word/theme/_rels/theme1.xml.rels>&#65279;<?xml version="1.0" encoding="utf-8" standalone="yes"?><Relationships xmlns="http://schemas.openxmlformats.org/package/2006/relationships"><Relationship Id="rId1" Type="http://schemas.openxmlformats.org/officeDocument/2006/relationships/image" Target="../media/image5.jpeg" /></Relationships>
</file>

<file path=word/theme/theme1.xml><?xml version="1.0" encoding="utf-8"?>
<a:theme xmlns:a="http://schemas.openxmlformats.org/drawingml/2006/main" name="Ion">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 xmlns:thm15="http://schemas.microsoft.com/office/thememl/2012/main" name="Ion" id="{B8441ADB-2E43-4AF7-B97A-BD870242C6A8}" vid="{292E63A9-BB86-4E3D-B92A-7223C6510D2E}"/>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Props1.xml><?xml version="1.0" encoding="utf-8"?>
<ds:datastoreItem xmlns:ds="http://schemas.openxmlformats.org/officeDocument/2006/customXml" ds:itemID="{AD1CFF49-B69F-4059-8126-C7420B1E3160}">
  <ds:schemaRefs>
    <ds:schemaRef ds:uri="http://schemas.openxmlformats.org/officeDocument/2006/bibliography"/>
  </ds:schemaRefs>
</ds:datastoreItem>
</file>

<file path=customXml/itemProps2.xml><?xml version="1.0" encoding="utf-8"?>
<ds:datastoreItem xmlns:ds="http://schemas.openxmlformats.org/officeDocument/2006/customXml" ds:itemID="{F7092638-C5D6-4936-A573-7C53B88CC7EE}"/>
</file>

<file path=customXml/itemProps3.xml><?xml version="1.0" encoding="utf-8"?>
<ds:datastoreItem xmlns:ds="http://schemas.openxmlformats.org/officeDocument/2006/customXml" ds:itemID="{DAD481B6-36F1-41D0-8F18-02E60F879D41}"/>
</file>

<file path=customXml/itemProps4.xml><?xml version="1.0" encoding="utf-8"?>
<ds:datastoreItem xmlns:ds="http://schemas.openxmlformats.org/officeDocument/2006/customXml" ds:itemID="{3E1960DF-8B04-4A62-B7EE-15BB497B29F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