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diagrams/data10.xml" ContentType="application/vnd.openxmlformats-officedocument.drawingml.diagramData+xml"/>
  <Override PartName="/word/diagrams/data9.xml" ContentType="application/vnd.openxmlformats-officedocument.drawingml.diagramData+xml"/>
  <Override PartName="/word/diagrams/data8.xml" ContentType="application/vnd.openxmlformats-officedocument.drawingml.diagramData+xml"/>
  <Override PartName="/word/diagrams/data7.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diagrams/data6.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2.xml" ContentType="application/vnd.openxmlformats-officedocument.drawingml.diagramData+xml"/>
  <Override PartName="/word/diagrams/data11.xml" ContentType="application/vnd.openxmlformats-officedocument.drawingml.diagramData+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theme/theme1.xml" ContentType="application/vnd.openxmlformats-officedocument.theme+xml"/>
  <Override PartName="/word/charts/chart8.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bookmarkStart w:id="0" w:name="_Hlk34545720"/>
      <w:bookmarkEnd w:id="0"/>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6C2FC692" w:rsidR="00E35DF9" w:rsidRPr="00DE1ACD" w:rsidRDefault="0057308A" w:rsidP="00BA23AE">
      <w:pPr>
        <w:pStyle w:val="121"/>
        <w:rPr>
          <w:rtl/>
        </w:rPr>
      </w:pPr>
      <w:bookmarkStart w:id="1" w:name="_Hlk33962351"/>
      <w:r w:rsidRPr="0057308A">
        <w:rPr>
          <w:rtl/>
        </w:rPr>
        <w:t>הדוחות הכספיים של מדינת ישראל</w:t>
      </w:r>
      <w:r>
        <w:rPr>
          <w:rtl/>
        </w:rPr>
        <w:br/>
      </w:r>
      <w:r w:rsidRPr="0057308A">
        <w:rPr>
          <w:rtl/>
        </w:rPr>
        <w:t>ליום 31.12.18</w:t>
      </w:r>
    </w:p>
    <w:bookmarkEnd w:id="1"/>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3EFCD545" w14:textId="77777777" w:rsidR="0057308A" w:rsidRDefault="0057308A"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2E1D993" w14:textId="77777777" w:rsidR="006E2333" w:rsidRDefault="006E2333" w:rsidP="006E2333">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2109698B"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2EFABD05">
            <wp:extent cx="5220000" cy="6765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765413"/>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4BAA10FF"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29156D69">
            <wp:extent cx="5219700" cy="637630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648" cy="6377465"/>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32CF0573"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228C6559">
            <wp:extent cx="5220000" cy="67654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76541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3DBB1AFC"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03E80863">
            <wp:extent cx="5220000" cy="5259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5259481"/>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14D28F88" w14:textId="77777777" w:rsidR="0057308A" w:rsidRPr="00DE1ACD" w:rsidRDefault="0057308A" w:rsidP="0057308A">
      <w:pPr>
        <w:pStyle w:val="121"/>
        <w:rPr>
          <w:rtl/>
        </w:rPr>
      </w:pPr>
      <w:r w:rsidRPr="0057308A">
        <w:rPr>
          <w:rtl/>
        </w:rPr>
        <w:lastRenderedPageBreak/>
        <w:t>הדוחות הכספיים של מדינת ישראל</w:t>
      </w:r>
      <w:r>
        <w:rPr>
          <w:rtl/>
        </w:rPr>
        <w:br/>
      </w:r>
      <w:r w:rsidRPr="0057308A">
        <w:rPr>
          <w:rtl/>
        </w:rPr>
        <w:t>ליום 31.12.18</w:t>
      </w:r>
    </w:p>
    <w:p w14:paraId="0C808F28" w14:textId="173599CD" w:rsidR="00CF1EB5" w:rsidRDefault="006D5CCE" w:rsidP="00A2617B">
      <w:pPr>
        <w:pStyle w:val="316"/>
        <w:rPr>
          <w:rtl/>
        </w:rPr>
      </w:pPr>
      <w:r w:rsidRPr="001C72B2">
        <w:rPr>
          <w:rtl/>
        </w:rPr>
        <w:t>מבוא</w:t>
      </w:r>
      <w:bookmarkStart w:id="2" w:name="_Toc24624820"/>
      <w:bookmarkStart w:id="3" w:name="_Toc23159657"/>
      <w:bookmarkStart w:id="4" w:name="_Toc23160155"/>
    </w:p>
    <w:p w14:paraId="2EDD885D" w14:textId="77777777" w:rsidR="00867DA1" w:rsidRPr="006D68A8" w:rsidRDefault="00867DA1" w:rsidP="0028158D">
      <w:pPr>
        <w:pStyle w:val="100"/>
        <w:rPr>
          <w:rtl/>
        </w:rPr>
      </w:pPr>
      <w:bookmarkStart w:id="5" w:name="_Toc14955276"/>
      <w:bookmarkStart w:id="6" w:name="copyNevSelection"/>
      <w:r>
        <w:rPr>
          <w:rFonts w:hint="cs"/>
          <w:rtl/>
        </w:rPr>
        <w:t xml:space="preserve">בסעיף 12 לחוק מבקר המדינה, התשי"ח-1958 [נוסח משולב], נקבע כי מדי שנה, במועד שיקבע המבקר, אולם לא יאוחר משישה חודשים לאחר תום שנת הכספים של המדינה, ימציא שר האוצר למבקר המדינה "דין וחשבון כולל על ההכנסות וההוצאות של המדינה באותה שנה". עוד נקבע כי במועד שיקבע המבקר, אולם לא יאוחר מתשעה חודשים לאחר תום שנת הכספים של המדינה, ימציא שר האוצר למבקר המדינה את "מאזן זכויותיה והתחייבויותיה של המדינה למועד תום שנת הכספים". </w:t>
      </w:r>
      <w:r w:rsidRPr="007658AD">
        <w:rPr>
          <w:rFonts w:hint="cs"/>
          <w:rtl/>
        </w:rPr>
        <w:t>ב-30.6.</w:t>
      </w:r>
      <w:r>
        <w:rPr>
          <w:rFonts w:hint="cs"/>
          <w:rtl/>
        </w:rPr>
        <w:t>19</w:t>
      </w:r>
      <w:r w:rsidRPr="007658AD">
        <w:rPr>
          <w:rFonts w:hint="cs"/>
          <w:rtl/>
        </w:rPr>
        <w:t xml:space="preserve"> הגיש שר האוצר למבקר </w:t>
      </w:r>
      <w:r w:rsidRPr="006D68A8">
        <w:rPr>
          <w:rFonts w:hint="cs"/>
          <w:rtl/>
        </w:rPr>
        <w:t xml:space="preserve">המדינה את הדוחות הכספיים ל- 31.12.18 (להלן - הדוחות הכספיים ל-31.12.18). </w:t>
      </w:r>
      <w:r w:rsidRPr="00EF4818">
        <w:rPr>
          <w:rFonts w:hint="eastAsia"/>
          <w:rtl/>
        </w:rPr>
        <w:t>הדוחות</w:t>
      </w:r>
      <w:r w:rsidRPr="00EF4818">
        <w:rPr>
          <w:rtl/>
        </w:rPr>
        <w:t xml:space="preserve"> </w:t>
      </w:r>
      <w:r w:rsidRPr="00EF4818">
        <w:rPr>
          <w:rFonts w:hint="eastAsia"/>
          <w:rtl/>
        </w:rPr>
        <w:t>הכספיים</w:t>
      </w:r>
      <w:r w:rsidRPr="00EF4818">
        <w:rPr>
          <w:rtl/>
        </w:rPr>
        <w:t xml:space="preserve"> </w:t>
      </w:r>
      <w:r w:rsidRPr="00EF4818">
        <w:rPr>
          <w:rFonts w:hint="eastAsia"/>
          <w:rtl/>
        </w:rPr>
        <w:t>ל</w:t>
      </w:r>
      <w:r w:rsidRPr="00EF4818">
        <w:rPr>
          <w:rtl/>
        </w:rPr>
        <w:t xml:space="preserve">-31.12.18 </w:t>
      </w:r>
      <w:r w:rsidRPr="00EF4818">
        <w:rPr>
          <w:rFonts w:hint="eastAsia"/>
          <w:rtl/>
        </w:rPr>
        <w:t>אינם</w:t>
      </w:r>
      <w:r w:rsidRPr="00EF4818">
        <w:rPr>
          <w:rtl/>
        </w:rPr>
        <w:t xml:space="preserve"> </w:t>
      </w:r>
      <w:r w:rsidRPr="00EF4818">
        <w:rPr>
          <w:rFonts w:hint="eastAsia"/>
          <w:rtl/>
        </w:rPr>
        <w:t>מבוקרים</w:t>
      </w:r>
      <w:r>
        <w:rPr>
          <w:rFonts w:hint="cs"/>
          <w:rtl/>
        </w:rPr>
        <w:t>,</w:t>
      </w:r>
      <w:r w:rsidRPr="00EF4818">
        <w:rPr>
          <w:rtl/>
        </w:rPr>
        <w:t xml:space="preserve"> </w:t>
      </w:r>
      <w:r>
        <w:rPr>
          <w:rFonts w:hint="cs"/>
          <w:rtl/>
        </w:rPr>
        <w:t>ויש בהם</w:t>
      </w:r>
      <w:r w:rsidRPr="00EF4818">
        <w:rPr>
          <w:rtl/>
        </w:rPr>
        <w:t xml:space="preserve"> </w:t>
      </w:r>
      <w:r w:rsidRPr="00EF4818">
        <w:rPr>
          <w:rFonts w:hint="eastAsia"/>
          <w:rtl/>
        </w:rPr>
        <w:t>הסתייגויות</w:t>
      </w:r>
      <w:r w:rsidRPr="00EF4818">
        <w:rPr>
          <w:rtl/>
        </w:rPr>
        <w:t xml:space="preserve"> </w:t>
      </w:r>
      <w:r w:rsidRPr="00EF4818">
        <w:rPr>
          <w:rFonts w:hint="eastAsia"/>
          <w:rtl/>
        </w:rPr>
        <w:t>רבות</w:t>
      </w:r>
      <w:r w:rsidRPr="00EF4818">
        <w:rPr>
          <w:rtl/>
        </w:rPr>
        <w:t xml:space="preserve"> </w:t>
      </w:r>
      <w:r w:rsidRPr="00EF4818">
        <w:rPr>
          <w:rFonts w:hint="eastAsia"/>
          <w:rtl/>
        </w:rPr>
        <w:t>בדבר</w:t>
      </w:r>
      <w:r w:rsidRPr="00EF4818">
        <w:rPr>
          <w:rtl/>
        </w:rPr>
        <w:t xml:space="preserve"> </w:t>
      </w:r>
      <w:r w:rsidRPr="00EF4818">
        <w:rPr>
          <w:rFonts w:hint="eastAsia"/>
          <w:rtl/>
        </w:rPr>
        <w:t>המידע</w:t>
      </w:r>
      <w:r w:rsidRPr="00EF4818">
        <w:rPr>
          <w:rtl/>
        </w:rPr>
        <w:t xml:space="preserve"> </w:t>
      </w:r>
      <w:r w:rsidRPr="00EF4818">
        <w:rPr>
          <w:rFonts w:hint="eastAsia"/>
          <w:rtl/>
        </w:rPr>
        <w:t>המוצג</w:t>
      </w:r>
      <w:r w:rsidRPr="00EF4818">
        <w:rPr>
          <w:rtl/>
        </w:rPr>
        <w:t xml:space="preserve"> </w:t>
      </w:r>
      <w:r w:rsidRPr="00EF4818">
        <w:rPr>
          <w:rFonts w:hint="eastAsia"/>
          <w:rtl/>
        </w:rPr>
        <w:t>בהם</w:t>
      </w:r>
      <w:r w:rsidRPr="00EF4818">
        <w:rPr>
          <w:rtl/>
        </w:rPr>
        <w:t xml:space="preserve"> </w:t>
      </w:r>
      <w:r w:rsidRPr="00EF4818">
        <w:rPr>
          <w:rFonts w:hint="eastAsia"/>
          <w:rtl/>
        </w:rPr>
        <w:t>וכן</w:t>
      </w:r>
      <w:r w:rsidRPr="00EF4818">
        <w:rPr>
          <w:rtl/>
        </w:rPr>
        <w:t xml:space="preserve"> </w:t>
      </w:r>
      <w:r w:rsidRPr="00EF4818">
        <w:rPr>
          <w:rFonts w:hint="eastAsia"/>
          <w:rtl/>
        </w:rPr>
        <w:t>בדבר</w:t>
      </w:r>
      <w:r w:rsidRPr="00EF4818">
        <w:rPr>
          <w:rtl/>
        </w:rPr>
        <w:t xml:space="preserve"> </w:t>
      </w:r>
      <w:r w:rsidRPr="00EF4818">
        <w:rPr>
          <w:rFonts w:hint="eastAsia"/>
          <w:rtl/>
        </w:rPr>
        <w:t>מידע</w:t>
      </w:r>
      <w:r w:rsidRPr="00EF4818">
        <w:rPr>
          <w:rtl/>
        </w:rPr>
        <w:t xml:space="preserve"> </w:t>
      </w:r>
      <w:r w:rsidRPr="00EF4818">
        <w:rPr>
          <w:rFonts w:hint="eastAsia"/>
          <w:rtl/>
        </w:rPr>
        <w:t>חסר</w:t>
      </w:r>
      <w:r w:rsidRPr="00EF4818">
        <w:rPr>
          <w:rtl/>
        </w:rPr>
        <w:t>.</w:t>
      </w:r>
    </w:p>
    <w:p w14:paraId="3FAE918E" w14:textId="77777777" w:rsidR="00867DA1" w:rsidRDefault="00867DA1" w:rsidP="00D914FD">
      <w:pPr>
        <w:pStyle w:val="100"/>
        <w:rPr>
          <w:rtl/>
        </w:rPr>
      </w:pPr>
      <w:r>
        <w:rPr>
          <w:rFonts w:hint="cs"/>
          <w:rtl/>
        </w:rPr>
        <w:t>להלן תמצית הנתונים הכספיים העיקריים של מדינת ישראל (במיליארד ש"ח):</w:t>
      </w:r>
    </w:p>
    <w:p w14:paraId="2712CD61" w14:textId="77777777" w:rsidR="00867DA1" w:rsidRDefault="00867DA1" w:rsidP="00867DA1">
      <w:pPr>
        <w:spacing w:line="269" w:lineRule="auto"/>
        <w:rPr>
          <w:rtl/>
        </w:rPr>
      </w:pPr>
    </w:p>
    <w:p w14:paraId="175DBF15" w14:textId="148CB099" w:rsidR="00867DA1" w:rsidRPr="005711AD" w:rsidRDefault="00867DA1" w:rsidP="0028158D">
      <w:pPr>
        <w:pStyle w:val="aa"/>
        <w:rPr>
          <w:b/>
          <w:bCs/>
          <w:rtl/>
        </w:rPr>
      </w:pPr>
      <w:r w:rsidRPr="0028158D">
        <w:rPr>
          <w:rFonts w:hint="cs"/>
          <w:rtl/>
        </w:rPr>
        <w:t>לוח</w:t>
      </w:r>
      <w:r w:rsidRPr="0028158D">
        <w:rPr>
          <w:rtl/>
        </w:rPr>
        <w:t xml:space="preserve"> </w:t>
      </w:r>
      <w:fldSimple w:instr=" SEQ טבלה \* ARABIC ">
        <w:r w:rsidR="003E1673">
          <w:rPr>
            <w:noProof/>
          </w:rPr>
          <w:t>1</w:t>
        </w:r>
      </w:fldSimple>
      <w:r w:rsidRPr="0028158D">
        <w:rPr>
          <w:rFonts w:hint="cs"/>
          <w:rtl/>
        </w:rPr>
        <w:t>:</w:t>
      </w:r>
      <w:r w:rsidRPr="0028158D">
        <w:rPr>
          <w:rtl/>
        </w:rPr>
        <w:t xml:space="preserve"> </w:t>
      </w:r>
      <w:r w:rsidRPr="005711AD">
        <w:rPr>
          <w:b/>
          <w:bCs/>
          <w:rtl/>
        </w:rPr>
        <w:t>נתוני הביצוע הכספי</w:t>
      </w:r>
      <w:r w:rsidRPr="005711AD">
        <w:rPr>
          <w:rFonts w:hint="cs"/>
          <w:b/>
          <w:bCs/>
          <w:rtl/>
        </w:rPr>
        <w:t>,</w:t>
      </w:r>
      <w:r w:rsidRPr="005711AD">
        <w:rPr>
          <w:b/>
          <w:bCs/>
          <w:rtl/>
        </w:rPr>
        <w:t xml:space="preserve"> 2015</w:t>
      </w:r>
      <w:r w:rsidRPr="005711AD">
        <w:rPr>
          <w:rFonts w:hint="cs"/>
          <w:b/>
          <w:bCs/>
          <w:rtl/>
        </w:rPr>
        <w:t xml:space="preserve"> </w:t>
      </w:r>
      <w:r w:rsidRPr="005711AD">
        <w:rPr>
          <w:b/>
          <w:bCs/>
          <w:rtl/>
        </w:rPr>
        <w:t>-</w:t>
      </w:r>
      <w:r w:rsidRPr="005711AD">
        <w:rPr>
          <w:rFonts w:hint="cs"/>
          <w:b/>
          <w:bCs/>
          <w:rtl/>
        </w:rPr>
        <w:t xml:space="preserve"> </w:t>
      </w:r>
      <w:r w:rsidRPr="005711AD">
        <w:rPr>
          <w:b/>
          <w:bCs/>
          <w:rtl/>
        </w:rPr>
        <w:t xml:space="preserve">2018 </w:t>
      </w:r>
    </w:p>
    <w:tbl>
      <w:tblPr>
        <w:tblStyle w:val="TableGrid"/>
        <w:bidiVisual/>
        <w:tblW w:w="6714" w:type="dxa"/>
        <w:jc w:val="center"/>
        <w:tblLook w:val="04A0" w:firstRow="1" w:lastRow="0" w:firstColumn="1" w:lastColumn="0" w:noHBand="0" w:noVBand="1"/>
      </w:tblPr>
      <w:tblGrid>
        <w:gridCol w:w="3310"/>
        <w:gridCol w:w="850"/>
        <w:gridCol w:w="851"/>
        <w:gridCol w:w="850"/>
        <w:gridCol w:w="853"/>
      </w:tblGrid>
      <w:tr w:rsidR="00867DA1" w:rsidRPr="00090873" w14:paraId="5EDB8A3A" w14:textId="77777777" w:rsidTr="008519E8">
        <w:trPr>
          <w:tblHeader/>
          <w:jc w:val="center"/>
        </w:trPr>
        <w:tc>
          <w:tcPr>
            <w:tcW w:w="3310" w:type="dxa"/>
            <w:shd w:val="clear" w:color="auto" w:fill="C6D9F1"/>
            <w:vAlign w:val="bottom"/>
          </w:tcPr>
          <w:p w14:paraId="02784EFE" w14:textId="77777777" w:rsidR="00867DA1" w:rsidRPr="00AC4E38" w:rsidRDefault="00867DA1" w:rsidP="00AC4E38">
            <w:pPr>
              <w:pStyle w:val="af1"/>
              <w:rPr>
                <w:rtl/>
              </w:rPr>
            </w:pPr>
          </w:p>
        </w:tc>
        <w:tc>
          <w:tcPr>
            <w:tcW w:w="3404" w:type="dxa"/>
            <w:gridSpan w:val="4"/>
            <w:shd w:val="clear" w:color="auto" w:fill="C6D9F1"/>
            <w:vAlign w:val="bottom"/>
          </w:tcPr>
          <w:p w14:paraId="5C7B08E4" w14:textId="77777777" w:rsidR="00867DA1" w:rsidRPr="00AC4E38" w:rsidRDefault="00867DA1" w:rsidP="00AC4E38">
            <w:pPr>
              <w:pStyle w:val="af1"/>
              <w:rPr>
                <w:rtl/>
              </w:rPr>
            </w:pPr>
            <w:r w:rsidRPr="00AC4E38">
              <w:rPr>
                <w:rFonts w:hint="cs"/>
                <w:rtl/>
              </w:rPr>
              <w:t xml:space="preserve">מדינת ישראל, דוח מאוחד </w:t>
            </w:r>
          </w:p>
          <w:p w14:paraId="7710E985" w14:textId="77777777" w:rsidR="00867DA1" w:rsidRPr="00AC4E38" w:rsidRDefault="00867DA1" w:rsidP="00AC4E38">
            <w:pPr>
              <w:pStyle w:val="af1"/>
              <w:rPr>
                <w:rtl/>
              </w:rPr>
            </w:pPr>
            <w:r w:rsidRPr="00AC4E38">
              <w:rPr>
                <w:rFonts w:hint="cs"/>
                <w:rtl/>
              </w:rPr>
              <w:t xml:space="preserve">לשנה שהסתיימה ביום 31 בדצמבר </w:t>
            </w:r>
          </w:p>
        </w:tc>
      </w:tr>
      <w:tr w:rsidR="00867DA1" w:rsidRPr="00090873" w14:paraId="2192AFFD" w14:textId="77777777" w:rsidTr="008519E8">
        <w:trPr>
          <w:tblHeader/>
          <w:jc w:val="center"/>
        </w:trPr>
        <w:tc>
          <w:tcPr>
            <w:tcW w:w="3310" w:type="dxa"/>
            <w:shd w:val="clear" w:color="auto" w:fill="C6D9F1"/>
            <w:vAlign w:val="bottom"/>
          </w:tcPr>
          <w:p w14:paraId="2752B71A" w14:textId="77777777" w:rsidR="00867DA1" w:rsidRPr="00AC4E38" w:rsidRDefault="00867DA1" w:rsidP="00AC4E38">
            <w:pPr>
              <w:pStyle w:val="af1"/>
              <w:rPr>
                <w:rtl/>
              </w:rPr>
            </w:pPr>
          </w:p>
        </w:tc>
        <w:tc>
          <w:tcPr>
            <w:tcW w:w="850" w:type="dxa"/>
            <w:shd w:val="clear" w:color="auto" w:fill="C6D9F1"/>
            <w:vAlign w:val="bottom"/>
          </w:tcPr>
          <w:p w14:paraId="2B4726BB" w14:textId="77777777" w:rsidR="00867DA1" w:rsidRPr="00AC4E38" w:rsidRDefault="00867DA1" w:rsidP="00AC4E38">
            <w:pPr>
              <w:pStyle w:val="af1"/>
              <w:rPr>
                <w:rtl/>
              </w:rPr>
            </w:pPr>
            <w:r w:rsidRPr="00AC4E38">
              <w:rPr>
                <w:rFonts w:hint="cs"/>
                <w:rtl/>
              </w:rPr>
              <w:t>2015</w:t>
            </w:r>
          </w:p>
        </w:tc>
        <w:tc>
          <w:tcPr>
            <w:tcW w:w="851" w:type="dxa"/>
            <w:shd w:val="clear" w:color="auto" w:fill="C6D9F1"/>
            <w:vAlign w:val="bottom"/>
          </w:tcPr>
          <w:p w14:paraId="63A595F2" w14:textId="77777777" w:rsidR="00867DA1" w:rsidRPr="00AC4E38" w:rsidRDefault="00867DA1" w:rsidP="00AC4E38">
            <w:pPr>
              <w:pStyle w:val="af1"/>
              <w:rPr>
                <w:rtl/>
              </w:rPr>
            </w:pPr>
            <w:r w:rsidRPr="00AC4E38">
              <w:rPr>
                <w:rFonts w:hint="cs"/>
                <w:rtl/>
              </w:rPr>
              <w:t>2016</w:t>
            </w:r>
          </w:p>
        </w:tc>
        <w:tc>
          <w:tcPr>
            <w:tcW w:w="850" w:type="dxa"/>
            <w:shd w:val="clear" w:color="auto" w:fill="C6D9F1"/>
            <w:vAlign w:val="bottom"/>
          </w:tcPr>
          <w:p w14:paraId="62763FBA" w14:textId="77777777" w:rsidR="00867DA1" w:rsidRPr="00AC4E38" w:rsidRDefault="00867DA1" w:rsidP="00AC4E38">
            <w:pPr>
              <w:pStyle w:val="af1"/>
              <w:rPr>
                <w:rtl/>
              </w:rPr>
            </w:pPr>
            <w:r w:rsidRPr="00AC4E38">
              <w:rPr>
                <w:rtl/>
              </w:rPr>
              <w:t>2017</w:t>
            </w:r>
          </w:p>
        </w:tc>
        <w:tc>
          <w:tcPr>
            <w:tcW w:w="853" w:type="dxa"/>
            <w:shd w:val="clear" w:color="auto" w:fill="C6D9F1"/>
            <w:vAlign w:val="bottom"/>
          </w:tcPr>
          <w:p w14:paraId="6D77A21A" w14:textId="77777777" w:rsidR="00867DA1" w:rsidRPr="00AC4E38" w:rsidRDefault="00867DA1" w:rsidP="00AC4E38">
            <w:pPr>
              <w:pStyle w:val="af1"/>
              <w:rPr>
                <w:rtl/>
              </w:rPr>
            </w:pPr>
            <w:r w:rsidRPr="00AC4E38">
              <w:rPr>
                <w:rtl/>
              </w:rPr>
              <w:t>2018</w:t>
            </w:r>
          </w:p>
        </w:tc>
      </w:tr>
      <w:tr w:rsidR="00867DA1" w:rsidRPr="00090873" w14:paraId="0CD60340" w14:textId="77777777" w:rsidTr="00CC2678">
        <w:trPr>
          <w:jc w:val="center"/>
        </w:trPr>
        <w:tc>
          <w:tcPr>
            <w:tcW w:w="3310" w:type="dxa"/>
            <w:shd w:val="clear" w:color="auto" w:fill="auto"/>
            <w:vAlign w:val="bottom"/>
          </w:tcPr>
          <w:p w14:paraId="13765029" w14:textId="77777777" w:rsidR="00867DA1" w:rsidRPr="000A4088" w:rsidRDefault="00867DA1" w:rsidP="000A4088">
            <w:pPr>
              <w:pStyle w:val="B"/>
              <w:rPr>
                <w:szCs w:val="20"/>
                <w:rtl/>
              </w:rPr>
            </w:pPr>
            <w:r w:rsidRPr="000A4088">
              <w:rPr>
                <w:rFonts w:hint="eastAsia"/>
                <w:szCs w:val="20"/>
                <w:rtl/>
              </w:rPr>
              <w:t>הביצוע</w:t>
            </w:r>
            <w:r w:rsidRPr="000A4088">
              <w:rPr>
                <w:szCs w:val="20"/>
                <w:rtl/>
              </w:rPr>
              <w:t xml:space="preserve"> </w:t>
            </w:r>
            <w:r w:rsidRPr="000A4088">
              <w:rPr>
                <w:rFonts w:hint="eastAsia"/>
                <w:szCs w:val="20"/>
                <w:rtl/>
              </w:rPr>
              <w:t>הכספי</w:t>
            </w:r>
          </w:p>
        </w:tc>
        <w:tc>
          <w:tcPr>
            <w:tcW w:w="3404" w:type="dxa"/>
            <w:gridSpan w:val="4"/>
            <w:shd w:val="clear" w:color="auto" w:fill="auto"/>
            <w:vAlign w:val="bottom"/>
          </w:tcPr>
          <w:p w14:paraId="3CEDE0CE" w14:textId="77777777" w:rsidR="00867DA1" w:rsidRPr="00090873" w:rsidRDefault="00867DA1" w:rsidP="00CC2678">
            <w:pPr>
              <w:spacing w:line="269" w:lineRule="auto"/>
              <w:rPr>
                <w:b/>
                <w:bCs/>
                <w:sz w:val="22"/>
                <w:szCs w:val="22"/>
                <w:rtl/>
              </w:rPr>
            </w:pPr>
          </w:p>
        </w:tc>
      </w:tr>
      <w:tr w:rsidR="00867DA1" w:rsidRPr="00090873" w14:paraId="0D7A54F8" w14:textId="77777777" w:rsidTr="00CC2678">
        <w:trPr>
          <w:jc w:val="center"/>
        </w:trPr>
        <w:tc>
          <w:tcPr>
            <w:tcW w:w="3310" w:type="dxa"/>
            <w:shd w:val="clear" w:color="auto" w:fill="auto"/>
            <w:vAlign w:val="bottom"/>
          </w:tcPr>
          <w:p w14:paraId="09475B83" w14:textId="77777777" w:rsidR="00867DA1" w:rsidRPr="000A4088" w:rsidRDefault="00867DA1" w:rsidP="000A4088">
            <w:pPr>
              <w:pStyle w:val="B"/>
              <w:rPr>
                <w:szCs w:val="20"/>
                <w:rtl/>
              </w:rPr>
            </w:pPr>
            <w:r w:rsidRPr="000A4088">
              <w:rPr>
                <w:rFonts w:hint="eastAsia"/>
                <w:szCs w:val="20"/>
                <w:rtl/>
              </w:rPr>
              <w:t>הכנסות</w:t>
            </w:r>
            <w:r w:rsidRPr="000A4088">
              <w:rPr>
                <w:szCs w:val="20"/>
                <w:rtl/>
              </w:rPr>
              <w:t xml:space="preserve"> </w:t>
            </w:r>
            <w:r w:rsidRPr="000A4088">
              <w:rPr>
                <w:rFonts w:hint="eastAsia"/>
                <w:szCs w:val="20"/>
                <w:rtl/>
              </w:rPr>
              <w:t>ממ</w:t>
            </w:r>
            <w:r w:rsidRPr="000A4088">
              <w:rPr>
                <w:rFonts w:hint="cs"/>
                <w:szCs w:val="20"/>
                <w:rtl/>
              </w:rPr>
              <w:t>י</w:t>
            </w:r>
            <w:r w:rsidRPr="000A4088">
              <w:rPr>
                <w:rFonts w:hint="eastAsia"/>
                <w:szCs w:val="20"/>
                <w:rtl/>
              </w:rPr>
              <w:t>סים</w:t>
            </w:r>
            <w:r w:rsidRPr="000A4088">
              <w:rPr>
                <w:szCs w:val="20"/>
                <w:rtl/>
              </w:rPr>
              <w:t xml:space="preserve"> </w:t>
            </w:r>
            <w:r w:rsidRPr="000A4088">
              <w:rPr>
                <w:rFonts w:hint="eastAsia"/>
                <w:szCs w:val="20"/>
                <w:rtl/>
              </w:rPr>
              <w:t>ו</w:t>
            </w:r>
            <w:r w:rsidRPr="000A4088">
              <w:rPr>
                <w:rFonts w:hint="cs"/>
                <w:szCs w:val="20"/>
                <w:rtl/>
              </w:rPr>
              <w:t>מ</w:t>
            </w:r>
            <w:r w:rsidRPr="000A4088">
              <w:rPr>
                <w:rFonts w:hint="eastAsia"/>
                <w:szCs w:val="20"/>
                <w:rtl/>
              </w:rPr>
              <w:t>אגרות</w:t>
            </w:r>
          </w:p>
        </w:tc>
        <w:tc>
          <w:tcPr>
            <w:tcW w:w="850" w:type="dxa"/>
            <w:shd w:val="clear" w:color="auto" w:fill="auto"/>
            <w:vAlign w:val="bottom"/>
          </w:tcPr>
          <w:p w14:paraId="118E58FB" w14:textId="77777777" w:rsidR="00867DA1" w:rsidRPr="000A4088" w:rsidRDefault="00867DA1" w:rsidP="000A4088">
            <w:pPr>
              <w:pStyle w:val="R"/>
              <w:rPr>
                <w:rtl/>
              </w:rPr>
            </w:pPr>
            <w:r w:rsidRPr="000A4088">
              <w:rPr>
                <w:rFonts w:hint="cs"/>
                <w:rtl/>
              </w:rPr>
              <w:t>336</w:t>
            </w:r>
          </w:p>
        </w:tc>
        <w:tc>
          <w:tcPr>
            <w:tcW w:w="851" w:type="dxa"/>
            <w:shd w:val="clear" w:color="auto" w:fill="auto"/>
            <w:vAlign w:val="bottom"/>
          </w:tcPr>
          <w:p w14:paraId="1CF844FE" w14:textId="77777777" w:rsidR="00867DA1" w:rsidRPr="000A4088" w:rsidRDefault="00867DA1" w:rsidP="000A4088">
            <w:pPr>
              <w:pStyle w:val="R"/>
              <w:rPr>
                <w:rtl/>
              </w:rPr>
            </w:pPr>
            <w:r w:rsidRPr="000A4088">
              <w:rPr>
                <w:rFonts w:hint="cs"/>
                <w:rtl/>
              </w:rPr>
              <w:t>351</w:t>
            </w:r>
          </w:p>
        </w:tc>
        <w:tc>
          <w:tcPr>
            <w:tcW w:w="850" w:type="dxa"/>
            <w:shd w:val="clear" w:color="auto" w:fill="auto"/>
            <w:vAlign w:val="bottom"/>
          </w:tcPr>
          <w:p w14:paraId="7B7B7366" w14:textId="77777777" w:rsidR="00867DA1" w:rsidRPr="000A4088" w:rsidRDefault="00867DA1" w:rsidP="000A4088">
            <w:pPr>
              <w:pStyle w:val="R"/>
              <w:rPr>
                <w:rtl/>
              </w:rPr>
            </w:pPr>
            <w:r w:rsidRPr="000A4088">
              <w:rPr>
                <w:rtl/>
              </w:rPr>
              <w:t>384</w:t>
            </w:r>
          </w:p>
        </w:tc>
        <w:tc>
          <w:tcPr>
            <w:tcW w:w="853" w:type="dxa"/>
            <w:shd w:val="clear" w:color="auto" w:fill="auto"/>
            <w:vAlign w:val="bottom"/>
          </w:tcPr>
          <w:p w14:paraId="4A0719EC" w14:textId="77777777" w:rsidR="00867DA1" w:rsidRPr="000A4088" w:rsidRDefault="00867DA1" w:rsidP="000A4088">
            <w:pPr>
              <w:pStyle w:val="R"/>
              <w:rPr>
                <w:rtl/>
              </w:rPr>
            </w:pPr>
            <w:r w:rsidRPr="000A4088">
              <w:rPr>
                <w:rtl/>
              </w:rPr>
              <w:t>379</w:t>
            </w:r>
          </w:p>
        </w:tc>
      </w:tr>
      <w:tr w:rsidR="00867DA1" w:rsidRPr="00090873" w14:paraId="206F03E7" w14:textId="77777777" w:rsidTr="00CC2678">
        <w:trPr>
          <w:jc w:val="center"/>
        </w:trPr>
        <w:tc>
          <w:tcPr>
            <w:tcW w:w="3310" w:type="dxa"/>
            <w:shd w:val="clear" w:color="auto" w:fill="auto"/>
            <w:vAlign w:val="bottom"/>
          </w:tcPr>
          <w:p w14:paraId="291A6697" w14:textId="77777777" w:rsidR="00867DA1" w:rsidRPr="000A4088" w:rsidRDefault="00867DA1" w:rsidP="000A4088">
            <w:pPr>
              <w:pStyle w:val="B"/>
              <w:rPr>
                <w:szCs w:val="20"/>
                <w:rtl/>
              </w:rPr>
            </w:pPr>
            <w:r w:rsidRPr="000A4088">
              <w:rPr>
                <w:rFonts w:hint="eastAsia"/>
                <w:szCs w:val="20"/>
                <w:rtl/>
              </w:rPr>
              <w:t>הכנסות</w:t>
            </w:r>
            <w:r w:rsidRPr="000A4088">
              <w:rPr>
                <w:szCs w:val="20"/>
                <w:rtl/>
              </w:rPr>
              <w:t xml:space="preserve"> </w:t>
            </w:r>
            <w:r w:rsidRPr="000A4088">
              <w:rPr>
                <w:rFonts w:hint="eastAsia"/>
                <w:szCs w:val="20"/>
                <w:rtl/>
              </w:rPr>
              <w:t>מהעברות</w:t>
            </w:r>
          </w:p>
        </w:tc>
        <w:tc>
          <w:tcPr>
            <w:tcW w:w="850" w:type="dxa"/>
            <w:shd w:val="clear" w:color="auto" w:fill="auto"/>
            <w:vAlign w:val="bottom"/>
          </w:tcPr>
          <w:p w14:paraId="74DE870B" w14:textId="77777777" w:rsidR="00867DA1" w:rsidRPr="000A4088" w:rsidRDefault="00867DA1" w:rsidP="000A4088">
            <w:pPr>
              <w:pStyle w:val="R"/>
              <w:rPr>
                <w:rtl/>
              </w:rPr>
            </w:pPr>
            <w:r w:rsidRPr="000A4088">
              <w:rPr>
                <w:rFonts w:hint="cs"/>
                <w:rtl/>
              </w:rPr>
              <w:t>15</w:t>
            </w:r>
          </w:p>
        </w:tc>
        <w:tc>
          <w:tcPr>
            <w:tcW w:w="851" w:type="dxa"/>
            <w:shd w:val="clear" w:color="auto" w:fill="auto"/>
            <w:vAlign w:val="bottom"/>
          </w:tcPr>
          <w:p w14:paraId="17EFA92F" w14:textId="77777777" w:rsidR="00867DA1" w:rsidRPr="000A4088" w:rsidRDefault="00867DA1" w:rsidP="000A4088">
            <w:pPr>
              <w:pStyle w:val="R"/>
              <w:rPr>
                <w:rtl/>
              </w:rPr>
            </w:pPr>
            <w:r w:rsidRPr="000A4088">
              <w:rPr>
                <w:rFonts w:hint="cs"/>
                <w:rtl/>
              </w:rPr>
              <w:t>16</w:t>
            </w:r>
          </w:p>
        </w:tc>
        <w:tc>
          <w:tcPr>
            <w:tcW w:w="850" w:type="dxa"/>
            <w:shd w:val="clear" w:color="auto" w:fill="auto"/>
            <w:vAlign w:val="bottom"/>
          </w:tcPr>
          <w:p w14:paraId="603A3109" w14:textId="77777777" w:rsidR="00867DA1" w:rsidRPr="000A4088" w:rsidRDefault="00867DA1" w:rsidP="000A4088">
            <w:pPr>
              <w:pStyle w:val="R"/>
              <w:rPr>
                <w:rtl/>
              </w:rPr>
            </w:pPr>
            <w:r w:rsidRPr="000A4088">
              <w:rPr>
                <w:rtl/>
              </w:rPr>
              <w:t>13</w:t>
            </w:r>
          </w:p>
        </w:tc>
        <w:tc>
          <w:tcPr>
            <w:tcW w:w="853" w:type="dxa"/>
            <w:shd w:val="clear" w:color="auto" w:fill="auto"/>
            <w:vAlign w:val="bottom"/>
          </w:tcPr>
          <w:p w14:paraId="3378129E" w14:textId="77777777" w:rsidR="00867DA1" w:rsidRPr="000A4088" w:rsidRDefault="00867DA1" w:rsidP="000A4088">
            <w:pPr>
              <w:pStyle w:val="R"/>
              <w:rPr>
                <w:rtl/>
              </w:rPr>
            </w:pPr>
            <w:r w:rsidRPr="000A4088">
              <w:rPr>
                <w:rtl/>
              </w:rPr>
              <w:t>13</w:t>
            </w:r>
          </w:p>
        </w:tc>
      </w:tr>
      <w:tr w:rsidR="00867DA1" w:rsidRPr="00090873" w14:paraId="10F0ABB6" w14:textId="77777777" w:rsidTr="00CC2678">
        <w:trPr>
          <w:jc w:val="center"/>
        </w:trPr>
        <w:tc>
          <w:tcPr>
            <w:tcW w:w="3310" w:type="dxa"/>
            <w:shd w:val="clear" w:color="auto" w:fill="auto"/>
            <w:vAlign w:val="bottom"/>
          </w:tcPr>
          <w:p w14:paraId="5DF579DA" w14:textId="77777777" w:rsidR="00867DA1" w:rsidRPr="000A4088" w:rsidRDefault="00867DA1" w:rsidP="000A4088">
            <w:pPr>
              <w:pStyle w:val="B"/>
              <w:rPr>
                <w:szCs w:val="20"/>
                <w:rtl/>
              </w:rPr>
            </w:pPr>
            <w:r w:rsidRPr="000A4088">
              <w:rPr>
                <w:rFonts w:hint="eastAsia"/>
                <w:szCs w:val="20"/>
                <w:rtl/>
              </w:rPr>
              <w:t>הכנסות</w:t>
            </w:r>
            <w:r w:rsidRPr="000A4088">
              <w:rPr>
                <w:szCs w:val="20"/>
                <w:rtl/>
              </w:rPr>
              <w:t xml:space="preserve"> </w:t>
            </w:r>
            <w:r w:rsidRPr="000A4088">
              <w:rPr>
                <w:rFonts w:hint="eastAsia"/>
                <w:szCs w:val="20"/>
                <w:rtl/>
              </w:rPr>
              <w:t>מעסקאות</w:t>
            </w:r>
            <w:r w:rsidRPr="000A4088">
              <w:rPr>
                <w:szCs w:val="20"/>
                <w:rtl/>
              </w:rPr>
              <w:t xml:space="preserve"> </w:t>
            </w:r>
            <w:r w:rsidRPr="000A4088">
              <w:rPr>
                <w:rFonts w:hint="eastAsia"/>
                <w:szCs w:val="20"/>
                <w:rtl/>
              </w:rPr>
              <w:t>חליפין</w:t>
            </w:r>
          </w:p>
        </w:tc>
        <w:tc>
          <w:tcPr>
            <w:tcW w:w="850" w:type="dxa"/>
            <w:shd w:val="clear" w:color="auto" w:fill="auto"/>
            <w:vAlign w:val="bottom"/>
          </w:tcPr>
          <w:p w14:paraId="2D507E3B" w14:textId="77777777" w:rsidR="00867DA1" w:rsidRPr="000A4088" w:rsidRDefault="00867DA1" w:rsidP="000A4088">
            <w:pPr>
              <w:pStyle w:val="R"/>
              <w:rPr>
                <w:rtl/>
              </w:rPr>
            </w:pPr>
            <w:r w:rsidRPr="000A4088">
              <w:rPr>
                <w:rFonts w:hint="cs"/>
                <w:rtl/>
              </w:rPr>
              <w:t>83</w:t>
            </w:r>
          </w:p>
        </w:tc>
        <w:tc>
          <w:tcPr>
            <w:tcW w:w="851" w:type="dxa"/>
            <w:shd w:val="clear" w:color="auto" w:fill="auto"/>
            <w:vAlign w:val="bottom"/>
          </w:tcPr>
          <w:p w14:paraId="040775B4" w14:textId="77777777" w:rsidR="00867DA1" w:rsidRPr="000A4088" w:rsidRDefault="00867DA1" w:rsidP="000A4088">
            <w:pPr>
              <w:pStyle w:val="R"/>
              <w:rPr>
                <w:rtl/>
              </w:rPr>
            </w:pPr>
            <w:r w:rsidRPr="000A4088">
              <w:rPr>
                <w:rFonts w:hint="cs"/>
                <w:rtl/>
              </w:rPr>
              <w:t>83</w:t>
            </w:r>
          </w:p>
        </w:tc>
        <w:tc>
          <w:tcPr>
            <w:tcW w:w="850" w:type="dxa"/>
            <w:shd w:val="clear" w:color="auto" w:fill="auto"/>
            <w:vAlign w:val="bottom"/>
          </w:tcPr>
          <w:p w14:paraId="2D3B2CD2" w14:textId="77777777" w:rsidR="00867DA1" w:rsidRPr="000A4088" w:rsidRDefault="00867DA1" w:rsidP="000A4088">
            <w:pPr>
              <w:pStyle w:val="R"/>
              <w:rPr>
                <w:rtl/>
              </w:rPr>
            </w:pPr>
            <w:r w:rsidRPr="000A4088">
              <w:rPr>
                <w:rtl/>
              </w:rPr>
              <w:t>89</w:t>
            </w:r>
          </w:p>
        </w:tc>
        <w:tc>
          <w:tcPr>
            <w:tcW w:w="853" w:type="dxa"/>
            <w:shd w:val="clear" w:color="auto" w:fill="auto"/>
            <w:vAlign w:val="bottom"/>
          </w:tcPr>
          <w:p w14:paraId="52333121" w14:textId="77777777" w:rsidR="00867DA1" w:rsidRPr="000A4088" w:rsidRDefault="00867DA1" w:rsidP="000A4088">
            <w:pPr>
              <w:pStyle w:val="R"/>
              <w:rPr>
                <w:rtl/>
              </w:rPr>
            </w:pPr>
            <w:r w:rsidRPr="000A4088">
              <w:rPr>
                <w:rtl/>
              </w:rPr>
              <w:t>91</w:t>
            </w:r>
          </w:p>
        </w:tc>
      </w:tr>
      <w:tr w:rsidR="00867DA1" w:rsidRPr="00090873" w14:paraId="3FA215F7" w14:textId="77777777" w:rsidTr="00CC2678">
        <w:trPr>
          <w:jc w:val="center"/>
        </w:trPr>
        <w:tc>
          <w:tcPr>
            <w:tcW w:w="3310" w:type="dxa"/>
            <w:shd w:val="clear" w:color="auto" w:fill="auto"/>
            <w:vAlign w:val="bottom"/>
          </w:tcPr>
          <w:p w14:paraId="7BF82E18" w14:textId="77777777" w:rsidR="00867DA1" w:rsidRPr="000A4088" w:rsidRDefault="00867DA1" w:rsidP="000A4088">
            <w:pPr>
              <w:pStyle w:val="B"/>
              <w:rPr>
                <w:szCs w:val="20"/>
                <w:rtl/>
              </w:rPr>
            </w:pPr>
            <w:r w:rsidRPr="000A4088">
              <w:rPr>
                <w:rFonts w:hint="eastAsia"/>
                <w:szCs w:val="20"/>
                <w:rtl/>
              </w:rPr>
              <w:t>הכנסות</w:t>
            </w:r>
            <w:r w:rsidRPr="000A4088">
              <w:rPr>
                <w:szCs w:val="20"/>
                <w:rtl/>
              </w:rPr>
              <w:t xml:space="preserve"> </w:t>
            </w:r>
            <w:r w:rsidRPr="000A4088">
              <w:rPr>
                <w:rFonts w:hint="eastAsia"/>
                <w:szCs w:val="20"/>
                <w:rtl/>
              </w:rPr>
              <w:t>אחרות</w:t>
            </w:r>
          </w:p>
        </w:tc>
        <w:tc>
          <w:tcPr>
            <w:tcW w:w="850" w:type="dxa"/>
            <w:shd w:val="clear" w:color="auto" w:fill="auto"/>
            <w:vAlign w:val="bottom"/>
          </w:tcPr>
          <w:p w14:paraId="7B0D4BC5" w14:textId="77777777" w:rsidR="00867DA1" w:rsidRPr="000A4088" w:rsidRDefault="00867DA1" w:rsidP="000A4088">
            <w:pPr>
              <w:pStyle w:val="R"/>
              <w:rPr>
                <w:rtl/>
              </w:rPr>
            </w:pPr>
            <w:r w:rsidRPr="000A4088">
              <w:rPr>
                <w:rFonts w:hint="cs"/>
                <w:rtl/>
              </w:rPr>
              <w:t>4</w:t>
            </w:r>
          </w:p>
        </w:tc>
        <w:tc>
          <w:tcPr>
            <w:tcW w:w="851" w:type="dxa"/>
            <w:shd w:val="clear" w:color="auto" w:fill="auto"/>
            <w:vAlign w:val="bottom"/>
          </w:tcPr>
          <w:p w14:paraId="4820CAEA" w14:textId="77777777" w:rsidR="00867DA1" w:rsidRPr="000A4088" w:rsidRDefault="00867DA1" w:rsidP="000A4088">
            <w:pPr>
              <w:pStyle w:val="R"/>
              <w:rPr>
                <w:rtl/>
              </w:rPr>
            </w:pPr>
            <w:r w:rsidRPr="000A4088">
              <w:rPr>
                <w:rFonts w:hint="cs"/>
                <w:rtl/>
              </w:rPr>
              <w:t>5</w:t>
            </w:r>
          </w:p>
        </w:tc>
        <w:tc>
          <w:tcPr>
            <w:tcW w:w="850" w:type="dxa"/>
            <w:shd w:val="clear" w:color="auto" w:fill="auto"/>
            <w:vAlign w:val="bottom"/>
          </w:tcPr>
          <w:p w14:paraId="2D1540B6" w14:textId="77777777" w:rsidR="00867DA1" w:rsidRPr="000A4088" w:rsidRDefault="00867DA1" w:rsidP="000A4088">
            <w:pPr>
              <w:pStyle w:val="R"/>
              <w:rPr>
                <w:rtl/>
              </w:rPr>
            </w:pPr>
            <w:r w:rsidRPr="000A4088">
              <w:rPr>
                <w:rtl/>
              </w:rPr>
              <w:t>9</w:t>
            </w:r>
          </w:p>
        </w:tc>
        <w:tc>
          <w:tcPr>
            <w:tcW w:w="853" w:type="dxa"/>
            <w:shd w:val="clear" w:color="auto" w:fill="auto"/>
            <w:vAlign w:val="bottom"/>
          </w:tcPr>
          <w:p w14:paraId="23604775" w14:textId="77777777" w:rsidR="00867DA1" w:rsidRPr="000A4088" w:rsidRDefault="00867DA1" w:rsidP="000A4088">
            <w:pPr>
              <w:pStyle w:val="R"/>
              <w:rPr>
                <w:rtl/>
              </w:rPr>
            </w:pPr>
            <w:r w:rsidRPr="000A4088">
              <w:rPr>
                <w:rtl/>
              </w:rPr>
              <w:t>12</w:t>
            </w:r>
          </w:p>
        </w:tc>
      </w:tr>
      <w:tr w:rsidR="00867DA1" w:rsidRPr="00090873" w14:paraId="54EEC5A6" w14:textId="77777777" w:rsidTr="00AC4E38">
        <w:trPr>
          <w:jc w:val="center"/>
        </w:trPr>
        <w:tc>
          <w:tcPr>
            <w:tcW w:w="3310" w:type="dxa"/>
            <w:shd w:val="clear" w:color="auto" w:fill="C6D9F1"/>
            <w:vAlign w:val="bottom"/>
          </w:tcPr>
          <w:p w14:paraId="483182FD" w14:textId="77777777" w:rsidR="00867DA1" w:rsidRPr="000A4088" w:rsidRDefault="00867DA1" w:rsidP="000A4088">
            <w:pPr>
              <w:pStyle w:val="B"/>
              <w:rPr>
                <w:szCs w:val="20"/>
                <w:rtl/>
              </w:rPr>
            </w:pPr>
            <w:r w:rsidRPr="000A4088">
              <w:rPr>
                <w:rFonts w:hint="eastAsia"/>
                <w:szCs w:val="20"/>
                <w:rtl/>
              </w:rPr>
              <w:t>סך</w:t>
            </w:r>
            <w:r w:rsidRPr="000A4088">
              <w:rPr>
                <w:szCs w:val="20"/>
                <w:rtl/>
              </w:rPr>
              <w:t xml:space="preserve"> </w:t>
            </w:r>
            <w:r w:rsidRPr="000A4088">
              <w:rPr>
                <w:rFonts w:hint="eastAsia"/>
                <w:szCs w:val="20"/>
                <w:rtl/>
              </w:rPr>
              <w:t>הכול</w:t>
            </w:r>
            <w:r w:rsidRPr="000A4088">
              <w:rPr>
                <w:szCs w:val="20"/>
                <w:rtl/>
              </w:rPr>
              <w:t xml:space="preserve"> </w:t>
            </w:r>
            <w:r w:rsidRPr="000A4088">
              <w:rPr>
                <w:rFonts w:hint="eastAsia"/>
                <w:szCs w:val="20"/>
                <w:rtl/>
              </w:rPr>
              <w:t>הכנסות</w:t>
            </w:r>
          </w:p>
        </w:tc>
        <w:tc>
          <w:tcPr>
            <w:tcW w:w="850" w:type="dxa"/>
            <w:shd w:val="clear" w:color="auto" w:fill="C6D9F1"/>
            <w:vAlign w:val="bottom"/>
          </w:tcPr>
          <w:p w14:paraId="2E7B1115" w14:textId="77777777" w:rsidR="00867DA1" w:rsidRPr="000A4088" w:rsidRDefault="00867DA1" w:rsidP="000A4088">
            <w:pPr>
              <w:pStyle w:val="B"/>
              <w:rPr>
                <w:szCs w:val="20"/>
                <w:rtl/>
              </w:rPr>
            </w:pPr>
            <w:r w:rsidRPr="000A4088">
              <w:rPr>
                <w:rFonts w:hint="cs"/>
                <w:szCs w:val="20"/>
                <w:rtl/>
              </w:rPr>
              <w:t>438</w:t>
            </w:r>
          </w:p>
        </w:tc>
        <w:tc>
          <w:tcPr>
            <w:tcW w:w="851" w:type="dxa"/>
            <w:shd w:val="clear" w:color="auto" w:fill="C6D9F1"/>
            <w:vAlign w:val="bottom"/>
          </w:tcPr>
          <w:p w14:paraId="424B1F0E" w14:textId="77777777" w:rsidR="00867DA1" w:rsidRPr="000A4088" w:rsidRDefault="00867DA1" w:rsidP="000A4088">
            <w:pPr>
              <w:pStyle w:val="B"/>
              <w:rPr>
                <w:szCs w:val="20"/>
                <w:rtl/>
              </w:rPr>
            </w:pPr>
            <w:r w:rsidRPr="000A4088">
              <w:rPr>
                <w:rFonts w:hint="cs"/>
                <w:szCs w:val="20"/>
                <w:rtl/>
              </w:rPr>
              <w:t>455</w:t>
            </w:r>
          </w:p>
        </w:tc>
        <w:tc>
          <w:tcPr>
            <w:tcW w:w="850" w:type="dxa"/>
            <w:shd w:val="clear" w:color="auto" w:fill="C6D9F1"/>
            <w:vAlign w:val="bottom"/>
          </w:tcPr>
          <w:p w14:paraId="56F3406A" w14:textId="77777777" w:rsidR="00867DA1" w:rsidRPr="000A4088" w:rsidRDefault="00867DA1" w:rsidP="000A4088">
            <w:pPr>
              <w:pStyle w:val="B"/>
              <w:rPr>
                <w:szCs w:val="20"/>
                <w:rtl/>
              </w:rPr>
            </w:pPr>
            <w:r w:rsidRPr="000A4088">
              <w:rPr>
                <w:rFonts w:hint="cs"/>
                <w:szCs w:val="20"/>
                <w:rtl/>
              </w:rPr>
              <w:t>495</w:t>
            </w:r>
          </w:p>
        </w:tc>
        <w:tc>
          <w:tcPr>
            <w:tcW w:w="853" w:type="dxa"/>
            <w:shd w:val="clear" w:color="auto" w:fill="C6D9F1"/>
            <w:vAlign w:val="bottom"/>
          </w:tcPr>
          <w:p w14:paraId="4CFB04AA" w14:textId="77777777" w:rsidR="00867DA1" w:rsidRPr="000A4088" w:rsidRDefault="00867DA1" w:rsidP="000A4088">
            <w:pPr>
              <w:pStyle w:val="B"/>
              <w:rPr>
                <w:szCs w:val="20"/>
                <w:rtl/>
              </w:rPr>
            </w:pPr>
            <w:r w:rsidRPr="000A4088">
              <w:rPr>
                <w:rFonts w:hint="cs"/>
                <w:szCs w:val="20"/>
                <w:rtl/>
              </w:rPr>
              <w:t>495</w:t>
            </w:r>
          </w:p>
        </w:tc>
      </w:tr>
      <w:tr w:rsidR="00867DA1" w:rsidRPr="00090873" w14:paraId="17B2522D" w14:textId="77777777" w:rsidTr="00CC2678">
        <w:trPr>
          <w:jc w:val="center"/>
        </w:trPr>
        <w:tc>
          <w:tcPr>
            <w:tcW w:w="3310" w:type="dxa"/>
            <w:shd w:val="clear" w:color="auto" w:fill="auto"/>
            <w:vAlign w:val="bottom"/>
          </w:tcPr>
          <w:p w14:paraId="67214D9D" w14:textId="77777777" w:rsidR="00867DA1" w:rsidRPr="000A4088" w:rsidRDefault="00867DA1" w:rsidP="000A4088">
            <w:pPr>
              <w:pStyle w:val="B"/>
              <w:rPr>
                <w:szCs w:val="20"/>
                <w:rtl/>
              </w:rPr>
            </w:pPr>
            <w:r w:rsidRPr="000A4088">
              <w:rPr>
                <w:rFonts w:hint="eastAsia"/>
                <w:szCs w:val="20"/>
                <w:rtl/>
              </w:rPr>
              <w:t>שכר</w:t>
            </w:r>
            <w:r w:rsidRPr="000A4088">
              <w:rPr>
                <w:szCs w:val="20"/>
                <w:rtl/>
              </w:rPr>
              <w:t xml:space="preserve"> </w:t>
            </w:r>
            <w:r w:rsidRPr="000A4088">
              <w:rPr>
                <w:rFonts w:hint="eastAsia"/>
                <w:szCs w:val="20"/>
                <w:rtl/>
              </w:rPr>
              <w:t>עבודה</w:t>
            </w:r>
            <w:r w:rsidRPr="000A4088">
              <w:rPr>
                <w:szCs w:val="20"/>
                <w:rtl/>
              </w:rPr>
              <w:t xml:space="preserve"> </w:t>
            </w:r>
            <w:r w:rsidRPr="000A4088">
              <w:rPr>
                <w:rFonts w:hint="eastAsia"/>
                <w:szCs w:val="20"/>
                <w:rtl/>
              </w:rPr>
              <w:t>והטבות</w:t>
            </w:r>
            <w:r w:rsidRPr="000A4088">
              <w:rPr>
                <w:szCs w:val="20"/>
                <w:rtl/>
              </w:rPr>
              <w:t xml:space="preserve"> </w:t>
            </w:r>
            <w:r w:rsidRPr="000A4088">
              <w:rPr>
                <w:rFonts w:hint="eastAsia"/>
                <w:szCs w:val="20"/>
                <w:rtl/>
              </w:rPr>
              <w:t>לעובדים</w:t>
            </w:r>
          </w:p>
        </w:tc>
        <w:tc>
          <w:tcPr>
            <w:tcW w:w="850" w:type="dxa"/>
            <w:shd w:val="clear" w:color="auto" w:fill="auto"/>
            <w:vAlign w:val="bottom"/>
          </w:tcPr>
          <w:p w14:paraId="03AB77D9" w14:textId="77777777" w:rsidR="00867DA1" w:rsidRPr="000A4088" w:rsidRDefault="00867DA1" w:rsidP="000A4088">
            <w:pPr>
              <w:pStyle w:val="R"/>
              <w:rPr>
                <w:rtl/>
              </w:rPr>
            </w:pPr>
            <w:r w:rsidRPr="000A4088">
              <w:rPr>
                <w:rFonts w:hint="cs"/>
                <w:rtl/>
              </w:rPr>
              <w:t>113</w:t>
            </w:r>
          </w:p>
        </w:tc>
        <w:tc>
          <w:tcPr>
            <w:tcW w:w="851" w:type="dxa"/>
            <w:shd w:val="clear" w:color="auto" w:fill="auto"/>
            <w:vAlign w:val="bottom"/>
          </w:tcPr>
          <w:p w14:paraId="64218451" w14:textId="77777777" w:rsidR="00867DA1" w:rsidRPr="000A4088" w:rsidRDefault="00867DA1" w:rsidP="000A4088">
            <w:pPr>
              <w:pStyle w:val="R"/>
              <w:rPr>
                <w:rtl/>
              </w:rPr>
            </w:pPr>
            <w:r w:rsidRPr="000A4088">
              <w:rPr>
                <w:rFonts w:hint="cs"/>
                <w:rtl/>
              </w:rPr>
              <w:t>129</w:t>
            </w:r>
          </w:p>
        </w:tc>
        <w:tc>
          <w:tcPr>
            <w:tcW w:w="850" w:type="dxa"/>
            <w:shd w:val="clear" w:color="auto" w:fill="auto"/>
            <w:vAlign w:val="bottom"/>
          </w:tcPr>
          <w:p w14:paraId="74DDF203" w14:textId="77777777" w:rsidR="00867DA1" w:rsidRPr="000A4088" w:rsidRDefault="00867DA1" w:rsidP="000A4088">
            <w:pPr>
              <w:pStyle w:val="R"/>
              <w:rPr>
                <w:rtl/>
              </w:rPr>
            </w:pPr>
            <w:r w:rsidRPr="000A4088">
              <w:rPr>
                <w:rFonts w:hint="cs"/>
                <w:rtl/>
              </w:rPr>
              <w:t>145</w:t>
            </w:r>
          </w:p>
        </w:tc>
        <w:tc>
          <w:tcPr>
            <w:tcW w:w="853" w:type="dxa"/>
            <w:shd w:val="clear" w:color="auto" w:fill="auto"/>
            <w:vAlign w:val="bottom"/>
          </w:tcPr>
          <w:p w14:paraId="019A4E16" w14:textId="77777777" w:rsidR="00867DA1" w:rsidRPr="000A4088" w:rsidRDefault="00867DA1" w:rsidP="000A4088">
            <w:pPr>
              <w:pStyle w:val="R"/>
              <w:rPr>
                <w:rtl/>
              </w:rPr>
            </w:pPr>
            <w:r w:rsidRPr="000A4088">
              <w:rPr>
                <w:rFonts w:hint="cs"/>
                <w:rtl/>
              </w:rPr>
              <w:t>92</w:t>
            </w:r>
          </w:p>
        </w:tc>
      </w:tr>
      <w:tr w:rsidR="00867DA1" w:rsidRPr="00090873" w14:paraId="03C3C85E" w14:textId="77777777" w:rsidTr="00CC2678">
        <w:trPr>
          <w:jc w:val="center"/>
        </w:trPr>
        <w:tc>
          <w:tcPr>
            <w:tcW w:w="3310" w:type="dxa"/>
            <w:shd w:val="clear" w:color="auto" w:fill="auto"/>
            <w:vAlign w:val="bottom"/>
          </w:tcPr>
          <w:p w14:paraId="2F0733F5" w14:textId="77777777" w:rsidR="00867DA1" w:rsidRPr="000A4088" w:rsidRDefault="00867DA1" w:rsidP="000A4088">
            <w:pPr>
              <w:pStyle w:val="B"/>
              <w:rPr>
                <w:szCs w:val="20"/>
                <w:rtl/>
              </w:rPr>
            </w:pPr>
            <w:r w:rsidRPr="000A4088">
              <w:rPr>
                <w:rFonts w:hint="eastAsia"/>
                <w:szCs w:val="20"/>
                <w:rtl/>
              </w:rPr>
              <w:lastRenderedPageBreak/>
              <w:t>תמיכות</w:t>
            </w:r>
            <w:r w:rsidRPr="000A4088">
              <w:rPr>
                <w:szCs w:val="20"/>
                <w:rtl/>
              </w:rPr>
              <w:t xml:space="preserve">, </w:t>
            </w:r>
            <w:r w:rsidRPr="000A4088">
              <w:rPr>
                <w:rFonts w:hint="eastAsia"/>
                <w:szCs w:val="20"/>
                <w:rtl/>
              </w:rPr>
              <w:t>הקצבות</w:t>
            </w:r>
            <w:r w:rsidRPr="000A4088">
              <w:rPr>
                <w:szCs w:val="20"/>
                <w:rtl/>
              </w:rPr>
              <w:t xml:space="preserve"> </w:t>
            </w:r>
            <w:r w:rsidRPr="000A4088">
              <w:rPr>
                <w:rFonts w:hint="eastAsia"/>
                <w:szCs w:val="20"/>
                <w:rtl/>
              </w:rPr>
              <w:t>והעברות</w:t>
            </w:r>
          </w:p>
        </w:tc>
        <w:tc>
          <w:tcPr>
            <w:tcW w:w="850" w:type="dxa"/>
            <w:shd w:val="clear" w:color="auto" w:fill="auto"/>
            <w:vAlign w:val="bottom"/>
          </w:tcPr>
          <w:p w14:paraId="42611868" w14:textId="77777777" w:rsidR="00867DA1" w:rsidRPr="000A4088" w:rsidRDefault="00867DA1" w:rsidP="000A4088">
            <w:pPr>
              <w:pStyle w:val="R"/>
              <w:rPr>
                <w:rtl/>
              </w:rPr>
            </w:pPr>
            <w:r w:rsidRPr="000A4088">
              <w:rPr>
                <w:rFonts w:hint="cs"/>
                <w:rtl/>
              </w:rPr>
              <w:t>225</w:t>
            </w:r>
          </w:p>
        </w:tc>
        <w:tc>
          <w:tcPr>
            <w:tcW w:w="851" w:type="dxa"/>
            <w:shd w:val="clear" w:color="auto" w:fill="auto"/>
            <w:vAlign w:val="bottom"/>
          </w:tcPr>
          <w:p w14:paraId="21F21A2C" w14:textId="77777777" w:rsidR="00867DA1" w:rsidRPr="000A4088" w:rsidRDefault="00867DA1" w:rsidP="000A4088">
            <w:pPr>
              <w:pStyle w:val="R"/>
              <w:rPr>
                <w:rtl/>
              </w:rPr>
            </w:pPr>
            <w:r w:rsidRPr="000A4088">
              <w:rPr>
                <w:rFonts w:hint="cs"/>
                <w:rtl/>
              </w:rPr>
              <w:t>293</w:t>
            </w:r>
          </w:p>
        </w:tc>
        <w:tc>
          <w:tcPr>
            <w:tcW w:w="850" w:type="dxa"/>
            <w:shd w:val="clear" w:color="auto" w:fill="auto"/>
            <w:vAlign w:val="bottom"/>
          </w:tcPr>
          <w:p w14:paraId="5FE2D79C" w14:textId="77777777" w:rsidR="00867DA1" w:rsidRPr="000A4088" w:rsidRDefault="00867DA1" w:rsidP="000A4088">
            <w:pPr>
              <w:pStyle w:val="R"/>
              <w:rPr>
                <w:rtl/>
              </w:rPr>
            </w:pPr>
            <w:r w:rsidRPr="000A4088">
              <w:rPr>
                <w:rFonts w:hint="cs"/>
                <w:rtl/>
              </w:rPr>
              <w:t>283</w:t>
            </w:r>
          </w:p>
        </w:tc>
        <w:tc>
          <w:tcPr>
            <w:tcW w:w="853" w:type="dxa"/>
            <w:shd w:val="clear" w:color="auto" w:fill="auto"/>
            <w:vAlign w:val="bottom"/>
          </w:tcPr>
          <w:p w14:paraId="1C765C68" w14:textId="77777777" w:rsidR="00867DA1" w:rsidRPr="000A4088" w:rsidRDefault="00867DA1" w:rsidP="000A4088">
            <w:pPr>
              <w:pStyle w:val="R"/>
              <w:rPr>
                <w:rtl/>
              </w:rPr>
            </w:pPr>
            <w:r w:rsidRPr="000A4088">
              <w:rPr>
                <w:rFonts w:hint="cs"/>
                <w:rtl/>
              </w:rPr>
              <w:t>248</w:t>
            </w:r>
          </w:p>
        </w:tc>
      </w:tr>
      <w:tr w:rsidR="00867DA1" w:rsidRPr="00090873" w14:paraId="6A2AC313" w14:textId="77777777" w:rsidTr="00CC2678">
        <w:trPr>
          <w:jc w:val="center"/>
        </w:trPr>
        <w:tc>
          <w:tcPr>
            <w:tcW w:w="3310" w:type="dxa"/>
            <w:shd w:val="clear" w:color="auto" w:fill="auto"/>
            <w:vAlign w:val="bottom"/>
          </w:tcPr>
          <w:p w14:paraId="08EA75AD" w14:textId="77777777" w:rsidR="00867DA1" w:rsidRPr="000A4088" w:rsidRDefault="00867DA1" w:rsidP="000A4088">
            <w:pPr>
              <w:pStyle w:val="B"/>
              <w:rPr>
                <w:szCs w:val="20"/>
                <w:rtl/>
              </w:rPr>
            </w:pPr>
            <w:r w:rsidRPr="000A4088">
              <w:rPr>
                <w:rFonts w:hint="eastAsia"/>
                <w:szCs w:val="20"/>
                <w:rtl/>
              </w:rPr>
              <w:t>הוצאות</w:t>
            </w:r>
            <w:r w:rsidRPr="000A4088">
              <w:rPr>
                <w:szCs w:val="20"/>
                <w:rtl/>
              </w:rPr>
              <w:t xml:space="preserve"> תפעוליות </w:t>
            </w:r>
          </w:p>
        </w:tc>
        <w:tc>
          <w:tcPr>
            <w:tcW w:w="850" w:type="dxa"/>
            <w:shd w:val="clear" w:color="auto" w:fill="auto"/>
            <w:vAlign w:val="bottom"/>
          </w:tcPr>
          <w:p w14:paraId="25B111D1" w14:textId="77777777" w:rsidR="00867DA1" w:rsidRPr="000A4088" w:rsidRDefault="00867DA1" w:rsidP="000A4088">
            <w:pPr>
              <w:pStyle w:val="R"/>
              <w:rPr>
                <w:rtl/>
              </w:rPr>
            </w:pPr>
            <w:r w:rsidRPr="000A4088">
              <w:rPr>
                <w:rFonts w:hint="cs"/>
                <w:rtl/>
              </w:rPr>
              <w:t>101</w:t>
            </w:r>
          </w:p>
        </w:tc>
        <w:tc>
          <w:tcPr>
            <w:tcW w:w="851" w:type="dxa"/>
            <w:shd w:val="clear" w:color="auto" w:fill="auto"/>
            <w:vAlign w:val="bottom"/>
          </w:tcPr>
          <w:p w14:paraId="15053999" w14:textId="77777777" w:rsidR="00867DA1" w:rsidRPr="000A4088" w:rsidRDefault="00867DA1" w:rsidP="000A4088">
            <w:pPr>
              <w:pStyle w:val="R"/>
              <w:rPr>
                <w:rtl/>
              </w:rPr>
            </w:pPr>
            <w:r w:rsidRPr="000A4088">
              <w:rPr>
                <w:rFonts w:hint="cs"/>
                <w:rtl/>
              </w:rPr>
              <w:t>105</w:t>
            </w:r>
          </w:p>
        </w:tc>
        <w:tc>
          <w:tcPr>
            <w:tcW w:w="850" w:type="dxa"/>
            <w:shd w:val="clear" w:color="auto" w:fill="auto"/>
            <w:vAlign w:val="bottom"/>
          </w:tcPr>
          <w:p w14:paraId="047F5EAE" w14:textId="77777777" w:rsidR="00867DA1" w:rsidRPr="000A4088" w:rsidRDefault="00867DA1" w:rsidP="000A4088">
            <w:pPr>
              <w:pStyle w:val="R"/>
              <w:rPr>
                <w:rtl/>
              </w:rPr>
            </w:pPr>
            <w:r w:rsidRPr="000A4088">
              <w:rPr>
                <w:rFonts w:hint="cs"/>
                <w:rtl/>
              </w:rPr>
              <w:t>111</w:t>
            </w:r>
          </w:p>
        </w:tc>
        <w:tc>
          <w:tcPr>
            <w:tcW w:w="853" w:type="dxa"/>
            <w:shd w:val="clear" w:color="auto" w:fill="auto"/>
            <w:vAlign w:val="bottom"/>
          </w:tcPr>
          <w:p w14:paraId="255FE040" w14:textId="77777777" w:rsidR="00867DA1" w:rsidRPr="000A4088" w:rsidRDefault="00867DA1" w:rsidP="000A4088">
            <w:pPr>
              <w:pStyle w:val="R"/>
              <w:rPr>
                <w:rtl/>
              </w:rPr>
            </w:pPr>
            <w:r w:rsidRPr="000A4088">
              <w:rPr>
                <w:rFonts w:hint="cs"/>
                <w:rtl/>
              </w:rPr>
              <w:t>119</w:t>
            </w:r>
          </w:p>
        </w:tc>
      </w:tr>
      <w:tr w:rsidR="00867DA1" w:rsidRPr="00090873" w14:paraId="60AEC69B" w14:textId="77777777" w:rsidTr="00CC2678">
        <w:trPr>
          <w:jc w:val="center"/>
        </w:trPr>
        <w:tc>
          <w:tcPr>
            <w:tcW w:w="3310" w:type="dxa"/>
            <w:shd w:val="clear" w:color="auto" w:fill="auto"/>
            <w:vAlign w:val="bottom"/>
          </w:tcPr>
          <w:p w14:paraId="058AA937" w14:textId="77777777" w:rsidR="00867DA1" w:rsidRPr="000A4088" w:rsidRDefault="00867DA1" w:rsidP="000A4088">
            <w:pPr>
              <w:pStyle w:val="B"/>
              <w:rPr>
                <w:szCs w:val="20"/>
                <w:rtl/>
              </w:rPr>
            </w:pPr>
            <w:r w:rsidRPr="000A4088">
              <w:rPr>
                <w:rFonts w:hint="eastAsia"/>
                <w:szCs w:val="20"/>
                <w:rtl/>
              </w:rPr>
              <w:t>הוצאות</w:t>
            </w:r>
            <w:r w:rsidRPr="000A4088">
              <w:rPr>
                <w:szCs w:val="20"/>
                <w:rtl/>
              </w:rPr>
              <w:t xml:space="preserve"> </w:t>
            </w:r>
            <w:r w:rsidRPr="000A4088">
              <w:rPr>
                <w:rFonts w:hint="eastAsia"/>
                <w:szCs w:val="20"/>
                <w:rtl/>
              </w:rPr>
              <w:t>הנהלה</w:t>
            </w:r>
            <w:r w:rsidRPr="000A4088">
              <w:rPr>
                <w:szCs w:val="20"/>
                <w:rtl/>
              </w:rPr>
              <w:t xml:space="preserve"> </w:t>
            </w:r>
            <w:r w:rsidRPr="000A4088">
              <w:rPr>
                <w:rFonts w:hint="eastAsia"/>
                <w:szCs w:val="20"/>
                <w:rtl/>
              </w:rPr>
              <w:t>ואחרות</w:t>
            </w:r>
          </w:p>
        </w:tc>
        <w:tc>
          <w:tcPr>
            <w:tcW w:w="850" w:type="dxa"/>
            <w:shd w:val="clear" w:color="auto" w:fill="auto"/>
            <w:vAlign w:val="bottom"/>
          </w:tcPr>
          <w:p w14:paraId="338A5961" w14:textId="77777777" w:rsidR="00867DA1" w:rsidRPr="000A4088" w:rsidRDefault="00867DA1" w:rsidP="000A4088">
            <w:pPr>
              <w:pStyle w:val="R"/>
              <w:rPr>
                <w:rtl/>
              </w:rPr>
            </w:pPr>
            <w:r w:rsidRPr="000A4088">
              <w:rPr>
                <w:rFonts w:hint="cs"/>
                <w:rtl/>
              </w:rPr>
              <w:t>13</w:t>
            </w:r>
          </w:p>
        </w:tc>
        <w:tc>
          <w:tcPr>
            <w:tcW w:w="851" w:type="dxa"/>
            <w:shd w:val="clear" w:color="auto" w:fill="auto"/>
            <w:vAlign w:val="bottom"/>
          </w:tcPr>
          <w:p w14:paraId="5D93B321" w14:textId="77777777" w:rsidR="00867DA1" w:rsidRPr="000A4088" w:rsidRDefault="00867DA1" w:rsidP="000A4088">
            <w:pPr>
              <w:pStyle w:val="R"/>
              <w:rPr>
                <w:rtl/>
              </w:rPr>
            </w:pPr>
            <w:r w:rsidRPr="000A4088">
              <w:rPr>
                <w:rFonts w:hint="cs"/>
                <w:rtl/>
              </w:rPr>
              <w:t>15</w:t>
            </w:r>
          </w:p>
        </w:tc>
        <w:tc>
          <w:tcPr>
            <w:tcW w:w="850" w:type="dxa"/>
            <w:shd w:val="clear" w:color="auto" w:fill="auto"/>
            <w:vAlign w:val="bottom"/>
          </w:tcPr>
          <w:p w14:paraId="064BF17A" w14:textId="77777777" w:rsidR="00867DA1" w:rsidRPr="000A4088" w:rsidRDefault="00867DA1" w:rsidP="000A4088">
            <w:pPr>
              <w:pStyle w:val="R"/>
              <w:rPr>
                <w:rtl/>
              </w:rPr>
            </w:pPr>
            <w:r w:rsidRPr="000A4088">
              <w:rPr>
                <w:rFonts w:hint="cs"/>
                <w:rtl/>
              </w:rPr>
              <w:t>14</w:t>
            </w:r>
          </w:p>
        </w:tc>
        <w:tc>
          <w:tcPr>
            <w:tcW w:w="853" w:type="dxa"/>
            <w:shd w:val="clear" w:color="auto" w:fill="auto"/>
            <w:vAlign w:val="bottom"/>
          </w:tcPr>
          <w:p w14:paraId="2A7B8BCB" w14:textId="77777777" w:rsidR="00867DA1" w:rsidRPr="000A4088" w:rsidRDefault="00867DA1" w:rsidP="000A4088">
            <w:pPr>
              <w:pStyle w:val="R"/>
              <w:rPr>
                <w:rtl/>
              </w:rPr>
            </w:pPr>
            <w:r w:rsidRPr="000A4088">
              <w:rPr>
                <w:rFonts w:hint="cs"/>
                <w:rtl/>
              </w:rPr>
              <w:t>13</w:t>
            </w:r>
          </w:p>
        </w:tc>
      </w:tr>
      <w:tr w:rsidR="00867DA1" w:rsidRPr="00090873" w14:paraId="43759B37" w14:textId="77777777" w:rsidTr="00CC2678">
        <w:trPr>
          <w:jc w:val="center"/>
        </w:trPr>
        <w:tc>
          <w:tcPr>
            <w:tcW w:w="3310" w:type="dxa"/>
            <w:shd w:val="clear" w:color="auto" w:fill="auto"/>
            <w:vAlign w:val="bottom"/>
          </w:tcPr>
          <w:p w14:paraId="2C061CAC" w14:textId="77777777" w:rsidR="00867DA1" w:rsidRPr="000A4088" w:rsidRDefault="00867DA1" w:rsidP="000A4088">
            <w:pPr>
              <w:pStyle w:val="B"/>
              <w:rPr>
                <w:szCs w:val="20"/>
                <w:rtl/>
              </w:rPr>
            </w:pPr>
            <w:r w:rsidRPr="000A4088">
              <w:rPr>
                <w:rFonts w:hint="eastAsia"/>
                <w:szCs w:val="20"/>
                <w:rtl/>
              </w:rPr>
              <w:t>הוצאות</w:t>
            </w:r>
            <w:r w:rsidRPr="000A4088">
              <w:rPr>
                <w:szCs w:val="20"/>
                <w:rtl/>
              </w:rPr>
              <w:t xml:space="preserve"> </w:t>
            </w:r>
            <w:r w:rsidRPr="000A4088">
              <w:rPr>
                <w:rFonts w:hint="eastAsia"/>
                <w:szCs w:val="20"/>
                <w:rtl/>
              </w:rPr>
              <w:t>מימון</w:t>
            </w:r>
            <w:r w:rsidRPr="000A4088">
              <w:rPr>
                <w:szCs w:val="20"/>
                <w:rtl/>
              </w:rPr>
              <w:t xml:space="preserve">, </w:t>
            </w:r>
            <w:r w:rsidRPr="000A4088">
              <w:rPr>
                <w:rFonts w:hint="eastAsia"/>
                <w:szCs w:val="20"/>
                <w:rtl/>
              </w:rPr>
              <w:t>נטו</w:t>
            </w:r>
          </w:p>
        </w:tc>
        <w:tc>
          <w:tcPr>
            <w:tcW w:w="850" w:type="dxa"/>
            <w:shd w:val="clear" w:color="auto" w:fill="auto"/>
            <w:vAlign w:val="bottom"/>
          </w:tcPr>
          <w:p w14:paraId="0186CFB3" w14:textId="77777777" w:rsidR="00867DA1" w:rsidRPr="000A4088" w:rsidRDefault="00867DA1" w:rsidP="000A4088">
            <w:pPr>
              <w:pStyle w:val="R"/>
              <w:rPr>
                <w:rtl/>
              </w:rPr>
            </w:pPr>
            <w:r w:rsidRPr="000A4088">
              <w:rPr>
                <w:rFonts w:hint="cs"/>
                <w:rtl/>
              </w:rPr>
              <w:t>20</w:t>
            </w:r>
          </w:p>
        </w:tc>
        <w:tc>
          <w:tcPr>
            <w:tcW w:w="851" w:type="dxa"/>
            <w:shd w:val="clear" w:color="auto" w:fill="auto"/>
            <w:vAlign w:val="bottom"/>
          </w:tcPr>
          <w:p w14:paraId="2BDAB802" w14:textId="77777777" w:rsidR="00867DA1" w:rsidRPr="000A4088" w:rsidRDefault="00867DA1" w:rsidP="000A4088">
            <w:pPr>
              <w:pStyle w:val="R"/>
              <w:rPr>
                <w:rtl/>
              </w:rPr>
            </w:pPr>
            <w:r w:rsidRPr="000A4088">
              <w:rPr>
                <w:rFonts w:hint="cs"/>
                <w:rtl/>
              </w:rPr>
              <w:t>26</w:t>
            </w:r>
          </w:p>
        </w:tc>
        <w:tc>
          <w:tcPr>
            <w:tcW w:w="850" w:type="dxa"/>
            <w:shd w:val="clear" w:color="auto" w:fill="auto"/>
            <w:vAlign w:val="bottom"/>
          </w:tcPr>
          <w:p w14:paraId="00D1DE21" w14:textId="77777777" w:rsidR="00867DA1" w:rsidRPr="000A4088" w:rsidRDefault="00867DA1" w:rsidP="000A4088">
            <w:pPr>
              <w:pStyle w:val="R"/>
              <w:rPr>
                <w:rtl/>
              </w:rPr>
            </w:pPr>
            <w:r w:rsidRPr="000A4088">
              <w:rPr>
                <w:rFonts w:hint="cs"/>
                <w:rtl/>
              </w:rPr>
              <w:t>25</w:t>
            </w:r>
          </w:p>
        </w:tc>
        <w:tc>
          <w:tcPr>
            <w:tcW w:w="853" w:type="dxa"/>
            <w:shd w:val="clear" w:color="auto" w:fill="auto"/>
            <w:vAlign w:val="bottom"/>
          </w:tcPr>
          <w:p w14:paraId="0E4335DA" w14:textId="77777777" w:rsidR="00867DA1" w:rsidRPr="000A4088" w:rsidRDefault="00867DA1" w:rsidP="000A4088">
            <w:pPr>
              <w:pStyle w:val="R"/>
              <w:rPr>
                <w:rtl/>
              </w:rPr>
            </w:pPr>
            <w:r w:rsidRPr="000A4088">
              <w:rPr>
                <w:rFonts w:hint="cs"/>
                <w:rtl/>
              </w:rPr>
              <w:t>39</w:t>
            </w:r>
          </w:p>
        </w:tc>
      </w:tr>
      <w:tr w:rsidR="00867DA1" w:rsidRPr="00090873" w14:paraId="29D84D4A" w14:textId="77777777" w:rsidTr="00AC4E38">
        <w:trPr>
          <w:jc w:val="center"/>
        </w:trPr>
        <w:tc>
          <w:tcPr>
            <w:tcW w:w="3310" w:type="dxa"/>
            <w:shd w:val="clear" w:color="auto" w:fill="C6D9F1"/>
            <w:vAlign w:val="bottom"/>
          </w:tcPr>
          <w:p w14:paraId="11D05E5B" w14:textId="77777777" w:rsidR="00867DA1" w:rsidRPr="000A4088" w:rsidRDefault="00867DA1" w:rsidP="000A4088">
            <w:pPr>
              <w:pStyle w:val="B"/>
              <w:rPr>
                <w:szCs w:val="20"/>
                <w:rtl/>
              </w:rPr>
            </w:pPr>
            <w:r w:rsidRPr="000A4088">
              <w:rPr>
                <w:rFonts w:hint="eastAsia"/>
                <w:szCs w:val="20"/>
                <w:rtl/>
              </w:rPr>
              <w:t>סך</w:t>
            </w:r>
            <w:r w:rsidRPr="000A4088">
              <w:rPr>
                <w:szCs w:val="20"/>
                <w:rtl/>
              </w:rPr>
              <w:t xml:space="preserve"> </w:t>
            </w:r>
            <w:r w:rsidRPr="000A4088">
              <w:rPr>
                <w:rFonts w:hint="eastAsia"/>
                <w:szCs w:val="20"/>
                <w:rtl/>
              </w:rPr>
              <w:t>הכול</w:t>
            </w:r>
            <w:r w:rsidRPr="000A4088">
              <w:rPr>
                <w:szCs w:val="20"/>
                <w:rtl/>
              </w:rPr>
              <w:t xml:space="preserve"> </w:t>
            </w:r>
            <w:r w:rsidRPr="000A4088">
              <w:rPr>
                <w:rFonts w:hint="eastAsia"/>
                <w:szCs w:val="20"/>
                <w:rtl/>
              </w:rPr>
              <w:t>הוצאות</w:t>
            </w:r>
          </w:p>
        </w:tc>
        <w:tc>
          <w:tcPr>
            <w:tcW w:w="850" w:type="dxa"/>
            <w:shd w:val="clear" w:color="auto" w:fill="C6D9F1"/>
            <w:vAlign w:val="bottom"/>
          </w:tcPr>
          <w:p w14:paraId="01C08694" w14:textId="77777777" w:rsidR="00867DA1" w:rsidRPr="000A4088" w:rsidRDefault="00867DA1" w:rsidP="000A4088">
            <w:pPr>
              <w:pStyle w:val="B"/>
              <w:rPr>
                <w:szCs w:val="20"/>
                <w:rtl/>
              </w:rPr>
            </w:pPr>
            <w:r w:rsidRPr="000A4088">
              <w:rPr>
                <w:rFonts w:hint="cs"/>
                <w:szCs w:val="20"/>
                <w:rtl/>
              </w:rPr>
              <w:t>472</w:t>
            </w:r>
          </w:p>
        </w:tc>
        <w:tc>
          <w:tcPr>
            <w:tcW w:w="851" w:type="dxa"/>
            <w:shd w:val="clear" w:color="auto" w:fill="C6D9F1"/>
            <w:vAlign w:val="bottom"/>
          </w:tcPr>
          <w:p w14:paraId="51F7941C" w14:textId="77777777" w:rsidR="00867DA1" w:rsidRPr="000A4088" w:rsidRDefault="00867DA1" w:rsidP="000A4088">
            <w:pPr>
              <w:pStyle w:val="B"/>
              <w:rPr>
                <w:szCs w:val="20"/>
                <w:rtl/>
              </w:rPr>
            </w:pPr>
            <w:r w:rsidRPr="000A4088">
              <w:rPr>
                <w:rFonts w:hint="cs"/>
                <w:szCs w:val="20"/>
                <w:rtl/>
              </w:rPr>
              <w:t>568</w:t>
            </w:r>
          </w:p>
        </w:tc>
        <w:tc>
          <w:tcPr>
            <w:tcW w:w="850" w:type="dxa"/>
            <w:shd w:val="clear" w:color="auto" w:fill="C6D9F1"/>
            <w:vAlign w:val="bottom"/>
          </w:tcPr>
          <w:p w14:paraId="21F9E6CB" w14:textId="77777777" w:rsidR="00867DA1" w:rsidRPr="000A4088" w:rsidRDefault="00867DA1" w:rsidP="000A4088">
            <w:pPr>
              <w:pStyle w:val="B"/>
              <w:rPr>
                <w:szCs w:val="20"/>
                <w:rtl/>
              </w:rPr>
            </w:pPr>
            <w:r w:rsidRPr="000A4088">
              <w:rPr>
                <w:rFonts w:hint="cs"/>
                <w:szCs w:val="20"/>
                <w:rtl/>
              </w:rPr>
              <w:t>578</w:t>
            </w:r>
          </w:p>
        </w:tc>
        <w:tc>
          <w:tcPr>
            <w:tcW w:w="853" w:type="dxa"/>
            <w:shd w:val="clear" w:color="auto" w:fill="C6D9F1"/>
            <w:vAlign w:val="bottom"/>
          </w:tcPr>
          <w:p w14:paraId="0B17C474" w14:textId="77777777" w:rsidR="00867DA1" w:rsidRPr="000A4088" w:rsidRDefault="00867DA1" w:rsidP="000A4088">
            <w:pPr>
              <w:pStyle w:val="B"/>
              <w:rPr>
                <w:szCs w:val="20"/>
                <w:rtl/>
              </w:rPr>
            </w:pPr>
            <w:r w:rsidRPr="000A4088">
              <w:rPr>
                <w:rFonts w:hint="cs"/>
                <w:szCs w:val="20"/>
                <w:rtl/>
              </w:rPr>
              <w:t>511</w:t>
            </w:r>
          </w:p>
        </w:tc>
      </w:tr>
      <w:tr w:rsidR="00867DA1" w:rsidRPr="00090873" w14:paraId="2217CA23" w14:textId="77777777" w:rsidTr="00CC2678">
        <w:trPr>
          <w:jc w:val="center"/>
        </w:trPr>
        <w:tc>
          <w:tcPr>
            <w:tcW w:w="3310" w:type="dxa"/>
            <w:shd w:val="clear" w:color="auto" w:fill="auto"/>
            <w:vAlign w:val="bottom"/>
          </w:tcPr>
          <w:p w14:paraId="6A19DDBB" w14:textId="77777777" w:rsidR="00867DA1" w:rsidRPr="000A4088" w:rsidRDefault="00867DA1" w:rsidP="000A4088">
            <w:pPr>
              <w:pStyle w:val="B"/>
              <w:rPr>
                <w:szCs w:val="20"/>
                <w:rtl/>
              </w:rPr>
            </w:pPr>
            <w:r w:rsidRPr="000A4088">
              <w:rPr>
                <w:rFonts w:hint="eastAsia"/>
                <w:szCs w:val="20"/>
                <w:rtl/>
              </w:rPr>
              <w:t>חלק</w:t>
            </w:r>
            <w:r w:rsidRPr="000A4088">
              <w:rPr>
                <w:szCs w:val="20"/>
                <w:rtl/>
              </w:rPr>
              <w:t xml:space="preserve"> בהפסדי ישויות מוחזקות </w:t>
            </w:r>
          </w:p>
        </w:tc>
        <w:tc>
          <w:tcPr>
            <w:tcW w:w="850" w:type="dxa"/>
            <w:shd w:val="clear" w:color="auto" w:fill="auto"/>
            <w:vAlign w:val="bottom"/>
          </w:tcPr>
          <w:p w14:paraId="7D5C4491" w14:textId="77777777" w:rsidR="00867DA1" w:rsidRPr="00090873" w:rsidRDefault="00867DA1" w:rsidP="000A4088">
            <w:pPr>
              <w:pStyle w:val="R"/>
              <w:rPr>
                <w:rtl/>
              </w:rPr>
            </w:pPr>
            <w:r w:rsidRPr="00090873">
              <w:rPr>
                <w:rFonts w:hint="cs"/>
                <w:rtl/>
              </w:rPr>
              <w:t>1-</w:t>
            </w:r>
          </w:p>
        </w:tc>
        <w:tc>
          <w:tcPr>
            <w:tcW w:w="851" w:type="dxa"/>
            <w:shd w:val="clear" w:color="auto" w:fill="auto"/>
            <w:vAlign w:val="bottom"/>
          </w:tcPr>
          <w:p w14:paraId="57BF759F" w14:textId="77777777" w:rsidR="00867DA1" w:rsidRPr="00090873" w:rsidRDefault="00867DA1" w:rsidP="000A4088">
            <w:pPr>
              <w:pStyle w:val="R"/>
              <w:rPr>
                <w:rtl/>
              </w:rPr>
            </w:pPr>
            <w:r w:rsidRPr="00090873">
              <w:rPr>
                <w:rFonts w:hint="cs"/>
                <w:rtl/>
              </w:rPr>
              <w:t>-</w:t>
            </w:r>
          </w:p>
        </w:tc>
        <w:tc>
          <w:tcPr>
            <w:tcW w:w="850" w:type="dxa"/>
            <w:shd w:val="clear" w:color="auto" w:fill="auto"/>
            <w:vAlign w:val="bottom"/>
          </w:tcPr>
          <w:p w14:paraId="671033D8" w14:textId="77777777" w:rsidR="00867DA1" w:rsidRPr="00090873" w:rsidRDefault="00867DA1" w:rsidP="000A4088">
            <w:pPr>
              <w:pStyle w:val="R"/>
              <w:rPr>
                <w:rtl/>
              </w:rPr>
            </w:pPr>
            <w:r w:rsidRPr="00090873">
              <w:rPr>
                <w:rFonts w:hint="cs"/>
                <w:rtl/>
              </w:rPr>
              <w:t>-</w:t>
            </w:r>
          </w:p>
        </w:tc>
        <w:tc>
          <w:tcPr>
            <w:tcW w:w="853" w:type="dxa"/>
            <w:shd w:val="clear" w:color="auto" w:fill="auto"/>
            <w:vAlign w:val="bottom"/>
          </w:tcPr>
          <w:p w14:paraId="73A1D290" w14:textId="77777777" w:rsidR="00867DA1" w:rsidRPr="00090873" w:rsidRDefault="00867DA1" w:rsidP="000A4088">
            <w:pPr>
              <w:pStyle w:val="R"/>
              <w:rPr>
                <w:rtl/>
              </w:rPr>
            </w:pPr>
            <w:r w:rsidRPr="00090873">
              <w:rPr>
                <w:rFonts w:hint="cs"/>
                <w:rtl/>
              </w:rPr>
              <w:t>-</w:t>
            </w:r>
          </w:p>
        </w:tc>
      </w:tr>
      <w:tr w:rsidR="00867DA1" w:rsidRPr="00090873" w14:paraId="31E11C1B" w14:textId="77777777" w:rsidTr="00CC2678">
        <w:trPr>
          <w:jc w:val="center"/>
        </w:trPr>
        <w:tc>
          <w:tcPr>
            <w:tcW w:w="3310" w:type="dxa"/>
            <w:shd w:val="clear" w:color="auto" w:fill="auto"/>
            <w:vAlign w:val="bottom"/>
          </w:tcPr>
          <w:p w14:paraId="05B262E1" w14:textId="77777777" w:rsidR="00867DA1" w:rsidRPr="000A4088" w:rsidRDefault="00867DA1" w:rsidP="000A4088">
            <w:pPr>
              <w:pStyle w:val="B"/>
              <w:rPr>
                <w:szCs w:val="20"/>
                <w:rtl/>
              </w:rPr>
            </w:pPr>
            <w:r w:rsidRPr="000A4088">
              <w:rPr>
                <w:rFonts w:hint="eastAsia"/>
                <w:szCs w:val="20"/>
                <w:rtl/>
              </w:rPr>
              <w:t>גירעון</w:t>
            </w:r>
            <w:r w:rsidRPr="000A4088">
              <w:rPr>
                <w:szCs w:val="20"/>
                <w:rtl/>
              </w:rPr>
              <w:t xml:space="preserve"> חשבונאי נטו </w:t>
            </w:r>
          </w:p>
        </w:tc>
        <w:tc>
          <w:tcPr>
            <w:tcW w:w="850" w:type="dxa"/>
            <w:shd w:val="clear" w:color="auto" w:fill="auto"/>
            <w:vAlign w:val="bottom"/>
          </w:tcPr>
          <w:p w14:paraId="27881420" w14:textId="77777777" w:rsidR="00867DA1" w:rsidRPr="00090873" w:rsidRDefault="00867DA1" w:rsidP="000A4088">
            <w:pPr>
              <w:pStyle w:val="R"/>
              <w:rPr>
                <w:rtl/>
              </w:rPr>
            </w:pPr>
            <w:r w:rsidRPr="00090873">
              <w:rPr>
                <w:rFonts w:hint="cs"/>
                <w:rtl/>
              </w:rPr>
              <w:t>35-</w:t>
            </w:r>
          </w:p>
        </w:tc>
        <w:tc>
          <w:tcPr>
            <w:tcW w:w="851" w:type="dxa"/>
            <w:shd w:val="clear" w:color="auto" w:fill="auto"/>
            <w:vAlign w:val="bottom"/>
          </w:tcPr>
          <w:p w14:paraId="2A78E6EB" w14:textId="77777777" w:rsidR="00867DA1" w:rsidRPr="00090873" w:rsidRDefault="00867DA1" w:rsidP="000A4088">
            <w:pPr>
              <w:pStyle w:val="R"/>
              <w:rPr>
                <w:rtl/>
              </w:rPr>
            </w:pPr>
            <w:r w:rsidRPr="00090873">
              <w:rPr>
                <w:rFonts w:hint="cs"/>
                <w:rtl/>
              </w:rPr>
              <w:t>113-</w:t>
            </w:r>
          </w:p>
        </w:tc>
        <w:tc>
          <w:tcPr>
            <w:tcW w:w="850" w:type="dxa"/>
            <w:shd w:val="clear" w:color="auto" w:fill="auto"/>
            <w:vAlign w:val="bottom"/>
          </w:tcPr>
          <w:p w14:paraId="7B3F904C" w14:textId="77777777" w:rsidR="00867DA1" w:rsidRPr="00090873" w:rsidRDefault="00867DA1" w:rsidP="000A4088">
            <w:pPr>
              <w:pStyle w:val="R"/>
              <w:rPr>
                <w:rtl/>
              </w:rPr>
            </w:pPr>
            <w:r w:rsidRPr="00090873">
              <w:rPr>
                <w:rFonts w:hint="cs"/>
                <w:rtl/>
              </w:rPr>
              <w:t>83-</w:t>
            </w:r>
          </w:p>
        </w:tc>
        <w:tc>
          <w:tcPr>
            <w:tcW w:w="853" w:type="dxa"/>
            <w:shd w:val="clear" w:color="auto" w:fill="auto"/>
            <w:vAlign w:val="bottom"/>
          </w:tcPr>
          <w:p w14:paraId="508FA606" w14:textId="77777777" w:rsidR="00867DA1" w:rsidRPr="00090873" w:rsidRDefault="00867DA1" w:rsidP="000A4088">
            <w:pPr>
              <w:pStyle w:val="R"/>
              <w:rPr>
                <w:rtl/>
              </w:rPr>
            </w:pPr>
            <w:r w:rsidRPr="00090873">
              <w:rPr>
                <w:rFonts w:hint="cs"/>
                <w:rtl/>
              </w:rPr>
              <w:t>16-</w:t>
            </w:r>
          </w:p>
        </w:tc>
      </w:tr>
    </w:tbl>
    <w:p w14:paraId="24000F2D" w14:textId="77777777" w:rsidR="00867DA1" w:rsidRDefault="00867DA1" w:rsidP="000A4088">
      <w:pPr>
        <w:pStyle w:val="ac"/>
        <w:rPr>
          <w:rtl/>
        </w:rPr>
      </w:pPr>
      <w:r w:rsidRPr="00D268A4">
        <w:rPr>
          <w:rFonts w:hint="eastAsia"/>
          <w:rtl/>
        </w:rPr>
        <w:t>המקור</w:t>
      </w:r>
      <w:r w:rsidRPr="00D268A4">
        <w:rPr>
          <w:rtl/>
        </w:rPr>
        <w:t xml:space="preserve">: </w:t>
      </w:r>
      <w:r w:rsidRPr="00D268A4">
        <w:rPr>
          <w:rFonts w:hint="eastAsia"/>
          <w:rtl/>
        </w:rPr>
        <w:t>המדריך</w:t>
      </w:r>
      <w:r w:rsidRPr="00D268A4">
        <w:rPr>
          <w:rtl/>
        </w:rPr>
        <w:t xml:space="preserve"> </w:t>
      </w:r>
      <w:r w:rsidRPr="00D268A4">
        <w:rPr>
          <w:rFonts w:hint="eastAsia"/>
          <w:rtl/>
        </w:rPr>
        <w:t>לאזרח</w:t>
      </w:r>
      <w:r w:rsidRPr="00D268A4">
        <w:rPr>
          <w:rtl/>
        </w:rPr>
        <w:t xml:space="preserve"> </w:t>
      </w:r>
      <w:r w:rsidRPr="00D268A4">
        <w:rPr>
          <w:rFonts w:hint="eastAsia"/>
          <w:rtl/>
        </w:rPr>
        <w:t>לדוחות</w:t>
      </w:r>
      <w:r w:rsidRPr="00D268A4">
        <w:rPr>
          <w:rtl/>
        </w:rPr>
        <w:t xml:space="preserve"> </w:t>
      </w:r>
      <w:r w:rsidRPr="00D268A4">
        <w:rPr>
          <w:rFonts w:hint="eastAsia"/>
          <w:rtl/>
        </w:rPr>
        <w:t>הכספיים</w:t>
      </w:r>
      <w:r w:rsidRPr="00D268A4">
        <w:rPr>
          <w:rtl/>
        </w:rPr>
        <w:t xml:space="preserve"> </w:t>
      </w:r>
      <w:r w:rsidRPr="00D268A4">
        <w:rPr>
          <w:rFonts w:hint="eastAsia"/>
          <w:rtl/>
        </w:rPr>
        <w:t>של</w:t>
      </w:r>
      <w:r w:rsidRPr="00D268A4">
        <w:rPr>
          <w:rtl/>
        </w:rPr>
        <w:t xml:space="preserve"> </w:t>
      </w:r>
      <w:r>
        <w:rPr>
          <w:rFonts w:hint="cs"/>
          <w:rtl/>
        </w:rPr>
        <w:t>מדינת</w:t>
      </w:r>
      <w:r w:rsidRPr="00D268A4">
        <w:rPr>
          <w:rtl/>
        </w:rPr>
        <w:t xml:space="preserve"> </w:t>
      </w:r>
      <w:r w:rsidRPr="00D268A4">
        <w:rPr>
          <w:rFonts w:hint="eastAsia"/>
          <w:rtl/>
        </w:rPr>
        <w:t>ישראל</w:t>
      </w:r>
      <w:r w:rsidRPr="00D268A4">
        <w:rPr>
          <w:rtl/>
        </w:rPr>
        <w:t xml:space="preserve"> </w:t>
      </w:r>
      <w:r w:rsidRPr="00D268A4">
        <w:rPr>
          <w:rFonts w:hint="eastAsia"/>
          <w:rtl/>
        </w:rPr>
        <w:t>לשנת</w:t>
      </w:r>
      <w:r w:rsidRPr="00D268A4">
        <w:rPr>
          <w:rtl/>
        </w:rPr>
        <w:t xml:space="preserve"> 2018, </w:t>
      </w:r>
      <w:r w:rsidRPr="00D268A4">
        <w:rPr>
          <w:rFonts w:hint="eastAsia"/>
          <w:rtl/>
        </w:rPr>
        <w:t>משרד</w:t>
      </w:r>
      <w:r w:rsidRPr="00D268A4">
        <w:rPr>
          <w:rtl/>
        </w:rPr>
        <w:t xml:space="preserve"> </w:t>
      </w:r>
      <w:r w:rsidRPr="00D268A4">
        <w:rPr>
          <w:rFonts w:hint="eastAsia"/>
          <w:rtl/>
        </w:rPr>
        <w:t>האוצר</w:t>
      </w:r>
      <w:r w:rsidRPr="00D268A4">
        <w:rPr>
          <w:rtl/>
        </w:rPr>
        <w:t xml:space="preserve">. </w:t>
      </w:r>
    </w:p>
    <w:p w14:paraId="7EF2ED26" w14:textId="2B6F39DA" w:rsidR="00867DA1" w:rsidRPr="0092193C" w:rsidRDefault="00867DA1" w:rsidP="0092193C">
      <w:pPr>
        <w:pStyle w:val="aa"/>
        <w:rPr>
          <w:b/>
          <w:bCs/>
          <w:rtl/>
        </w:rPr>
      </w:pPr>
      <w:r w:rsidRPr="0092193C">
        <w:rPr>
          <w:rFonts w:hint="cs"/>
          <w:rtl/>
        </w:rPr>
        <w:t>לוח</w:t>
      </w:r>
      <w:r w:rsidRPr="0092193C">
        <w:rPr>
          <w:rtl/>
        </w:rPr>
        <w:t xml:space="preserve"> </w:t>
      </w:r>
      <w:fldSimple w:instr=" SEQ טבלה \* ARABIC ">
        <w:r w:rsidR="003E1673">
          <w:rPr>
            <w:noProof/>
          </w:rPr>
          <w:t>2</w:t>
        </w:r>
      </w:fldSimple>
      <w:r w:rsidRPr="0092193C">
        <w:rPr>
          <w:rFonts w:hint="cs"/>
          <w:rtl/>
        </w:rPr>
        <w:t xml:space="preserve">: </w:t>
      </w:r>
      <w:r w:rsidRPr="0092193C">
        <w:rPr>
          <w:rFonts w:hint="cs"/>
          <w:b/>
          <w:bCs/>
          <w:rtl/>
        </w:rPr>
        <w:t>המצב הכספי, 2015 - 2018</w:t>
      </w:r>
    </w:p>
    <w:tbl>
      <w:tblPr>
        <w:tblStyle w:val="TableGrid"/>
        <w:bidiVisual/>
        <w:tblW w:w="6690" w:type="dxa"/>
        <w:jc w:val="center"/>
        <w:tblLook w:val="04A0" w:firstRow="1" w:lastRow="0" w:firstColumn="1" w:lastColumn="0" w:noHBand="0" w:noVBand="1"/>
      </w:tblPr>
      <w:tblGrid>
        <w:gridCol w:w="3190"/>
        <w:gridCol w:w="875"/>
        <w:gridCol w:w="875"/>
        <w:gridCol w:w="875"/>
        <w:gridCol w:w="875"/>
      </w:tblGrid>
      <w:tr w:rsidR="00867DA1" w:rsidRPr="00090873" w14:paraId="6BEB6357" w14:textId="77777777" w:rsidTr="003D2295">
        <w:trPr>
          <w:jc w:val="center"/>
        </w:trPr>
        <w:tc>
          <w:tcPr>
            <w:tcW w:w="3289" w:type="dxa"/>
            <w:shd w:val="clear" w:color="auto" w:fill="C6D9F1"/>
          </w:tcPr>
          <w:p w14:paraId="4880BE0B" w14:textId="77777777" w:rsidR="00867DA1" w:rsidRPr="00090873" w:rsidRDefault="00867DA1" w:rsidP="003D2295">
            <w:pPr>
              <w:pStyle w:val="af1"/>
              <w:rPr>
                <w:rtl/>
              </w:rPr>
            </w:pPr>
            <w:r w:rsidRPr="00090873">
              <w:rPr>
                <w:rFonts w:hint="cs"/>
                <w:rtl/>
              </w:rPr>
              <w:t xml:space="preserve"> </w:t>
            </w:r>
          </w:p>
        </w:tc>
        <w:tc>
          <w:tcPr>
            <w:tcW w:w="3401" w:type="dxa"/>
            <w:gridSpan w:val="4"/>
            <w:shd w:val="clear" w:color="auto" w:fill="C6D9F1"/>
          </w:tcPr>
          <w:p w14:paraId="0E0793ED" w14:textId="77777777" w:rsidR="00867DA1" w:rsidRPr="00090873" w:rsidRDefault="00867DA1" w:rsidP="003D2295">
            <w:pPr>
              <w:pStyle w:val="af1"/>
              <w:rPr>
                <w:rtl/>
              </w:rPr>
            </w:pPr>
            <w:r w:rsidRPr="00090873">
              <w:rPr>
                <w:rFonts w:hint="cs"/>
                <w:rtl/>
              </w:rPr>
              <w:t xml:space="preserve">מדינת ישראל, דוח מאוחד </w:t>
            </w:r>
          </w:p>
          <w:p w14:paraId="53C29C1A" w14:textId="77777777" w:rsidR="00867DA1" w:rsidRPr="00090873" w:rsidRDefault="00867DA1" w:rsidP="003D2295">
            <w:pPr>
              <w:pStyle w:val="af1"/>
              <w:rPr>
                <w:rtl/>
              </w:rPr>
            </w:pPr>
            <w:r w:rsidRPr="00090873">
              <w:rPr>
                <w:rFonts w:hint="cs"/>
                <w:rtl/>
              </w:rPr>
              <w:t>לשנה שהסתיימה ביום 31 בדצמבר</w:t>
            </w:r>
          </w:p>
        </w:tc>
      </w:tr>
      <w:tr w:rsidR="00867DA1" w:rsidRPr="00090873" w14:paraId="6F514200" w14:textId="77777777" w:rsidTr="003D2295">
        <w:trPr>
          <w:jc w:val="center"/>
        </w:trPr>
        <w:tc>
          <w:tcPr>
            <w:tcW w:w="3289" w:type="dxa"/>
            <w:shd w:val="clear" w:color="auto" w:fill="C6D9F1"/>
          </w:tcPr>
          <w:p w14:paraId="404EEEE6" w14:textId="77777777" w:rsidR="00867DA1" w:rsidRPr="00090873" w:rsidRDefault="00867DA1" w:rsidP="002B18FE">
            <w:pPr>
              <w:pStyle w:val="af1"/>
              <w:rPr>
                <w:rtl/>
              </w:rPr>
            </w:pPr>
          </w:p>
        </w:tc>
        <w:tc>
          <w:tcPr>
            <w:tcW w:w="850" w:type="dxa"/>
            <w:shd w:val="clear" w:color="auto" w:fill="C6D9F1"/>
          </w:tcPr>
          <w:p w14:paraId="2F2FD5C8" w14:textId="77777777" w:rsidR="00867DA1" w:rsidRPr="00090873" w:rsidRDefault="00867DA1" w:rsidP="002B18FE">
            <w:pPr>
              <w:pStyle w:val="af1"/>
              <w:rPr>
                <w:rtl/>
              </w:rPr>
            </w:pPr>
            <w:r w:rsidRPr="00090873">
              <w:rPr>
                <w:rtl/>
              </w:rPr>
              <w:t>2015</w:t>
            </w:r>
          </w:p>
        </w:tc>
        <w:tc>
          <w:tcPr>
            <w:tcW w:w="850" w:type="dxa"/>
            <w:shd w:val="clear" w:color="auto" w:fill="C6D9F1"/>
          </w:tcPr>
          <w:p w14:paraId="59292688" w14:textId="77777777" w:rsidR="00867DA1" w:rsidRPr="00090873" w:rsidRDefault="00867DA1" w:rsidP="002B18FE">
            <w:pPr>
              <w:pStyle w:val="af1"/>
              <w:rPr>
                <w:rtl/>
              </w:rPr>
            </w:pPr>
            <w:r w:rsidRPr="00090873">
              <w:rPr>
                <w:rtl/>
              </w:rPr>
              <w:t>2016</w:t>
            </w:r>
          </w:p>
        </w:tc>
        <w:tc>
          <w:tcPr>
            <w:tcW w:w="850" w:type="dxa"/>
            <w:shd w:val="clear" w:color="auto" w:fill="C6D9F1"/>
          </w:tcPr>
          <w:p w14:paraId="1AB8172F" w14:textId="77777777" w:rsidR="00867DA1" w:rsidRPr="00090873" w:rsidRDefault="00867DA1" w:rsidP="002B18FE">
            <w:pPr>
              <w:pStyle w:val="af1"/>
              <w:rPr>
                <w:rtl/>
              </w:rPr>
            </w:pPr>
            <w:r w:rsidRPr="00090873">
              <w:rPr>
                <w:rtl/>
              </w:rPr>
              <w:t>2017</w:t>
            </w:r>
          </w:p>
        </w:tc>
        <w:tc>
          <w:tcPr>
            <w:tcW w:w="851" w:type="dxa"/>
            <w:shd w:val="clear" w:color="auto" w:fill="C6D9F1"/>
          </w:tcPr>
          <w:p w14:paraId="235E2F82" w14:textId="77777777" w:rsidR="00867DA1" w:rsidRPr="00090873" w:rsidRDefault="00867DA1" w:rsidP="002B18FE">
            <w:pPr>
              <w:pStyle w:val="af1"/>
              <w:rPr>
                <w:rtl/>
              </w:rPr>
            </w:pPr>
            <w:r w:rsidRPr="00090873">
              <w:rPr>
                <w:rtl/>
              </w:rPr>
              <w:t>2018</w:t>
            </w:r>
          </w:p>
        </w:tc>
      </w:tr>
      <w:tr w:rsidR="00867DA1" w:rsidRPr="00090873" w14:paraId="22AB24AC" w14:textId="77777777" w:rsidTr="00CC2678">
        <w:trPr>
          <w:jc w:val="center"/>
        </w:trPr>
        <w:tc>
          <w:tcPr>
            <w:tcW w:w="3289" w:type="dxa"/>
            <w:shd w:val="clear" w:color="auto" w:fill="auto"/>
          </w:tcPr>
          <w:p w14:paraId="1B5DE78C" w14:textId="77777777" w:rsidR="00867DA1" w:rsidRPr="00090873" w:rsidRDefault="00867DA1" w:rsidP="002B18FE">
            <w:pPr>
              <w:pStyle w:val="R"/>
              <w:rPr>
                <w:rtl/>
              </w:rPr>
            </w:pPr>
            <w:r w:rsidRPr="00090873">
              <w:rPr>
                <w:rFonts w:hint="cs"/>
                <w:rtl/>
              </w:rPr>
              <w:t>המצב הכספי</w:t>
            </w:r>
          </w:p>
        </w:tc>
        <w:tc>
          <w:tcPr>
            <w:tcW w:w="3401" w:type="dxa"/>
            <w:gridSpan w:val="4"/>
            <w:shd w:val="clear" w:color="auto" w:fill="auto"/>
          </w:tcPr>
          <w:p w14:paraId="7C88AEE9" w14:textId="77777777" w:rsidR="00867DA1" w:rsidRPr="00090873" w:rsidRDefault="00867DA1" w:rsidP="002B18FE">
            <w:pPr>
              <w:pStyle w:val="R"/>
              <w:rPr>
                <w:rtl/>
              </w:rPr>
            </w:pPr>
          </w:p>
        </w:tc>
      </w:tr>
      <w:tr w:rsidR="00867DA1" w:rsidRPr="00090873" w14:paraId="2BE55B21" w14:textId="77777777" w:rsidTr="00CC2678">
        <w:trPr>
          <w:jc w:val="center"/>
        </w:trPr>
        <w:tc>
          <w:tcPr>
            <w:tcW w:w="3289" w:type="dxa"/>
            <w:shd w:val="clear" w:color="auto" w:fill="auto"/>
          </w:tcPr>
          <w:p w14:paraId="1AAA9010" w14:textId="77777777" w:rsidR="00867DA1" w:rsidRPr="00090873" w:rsidRDefault="00867DA1" w:rsidP="002B18FE">
            <w:pPr>
              <w:pStyle w:val="R"/>
              <w:rPr>
                <w:rtl/>
              </w:rPr>
            </w:pPr>
            <w:r w:rsidRPr="00090873">
              <w:rPr>
                <w:rFonts w:hint="cs"/>
                <w:rtl/>
              </w:rPr>
              <w:t>נכסים שוטפים</w:t>
            </w:r>
          </w:p>
        </w:tc>
        <w:tc>
          <w:tcPr>
            <w:tcW w:w="850" w:type="dxa"/>
            <w:shd w:val="clear" w:color="auto" w:fill="auto"/>
          </w:tcPr>
          <w:p w14:paraId="1C65646C" w14:textId="77777777" w:rsidR="00867DA1" w:rsidRPr="00090873" w:rsidRDefault="00867DA1" w:rsidP="002B18FE">
            <w:pPr>
              <w:pStyle w:val="R"/>
              <w:rPr>
                <w:rtl/>
              </w:rPr>
            </w:pPr>
            <w:r w:rsidRPr="00090873">
              <w:rPr>
                <w:rFonts w:hint="cs"/>
                <w:rtl/>
              </w:rPr>
              <w:t>113</w:t>
            </w:r>
          </w:p>
        </w:tc>
        <w:tc>
          <w:tcPr>
            <w:tcW w:w="850" w:type="dxa"/>
            <w:shd w:val="clear" w:color="auto" w:fill="auto"/>
          </w:tcPr>
          <w:p w14:paraId="78CA35F5" w14:textId="77777777" w:rsidR="00867DA1" w:rsidRPr="00090873" w:rsidRDefault="00867DA1" w:rsidP="002B18FE">
            <w:pPr>
              <w:pStyle w:val="R"/>
              <w:rPr>
                <w:rtl/>
              </w:rPr>
            </w:pPr>
            <w:r w:rsidRPr="00090873">
              <w:rPr>
                <w:rFonts w:hint="cs"/>
                <w:rtl/>
              </w:rPr>
              <w:t>125</w:t>
            </w:r>
          </w:p>
        </w:tc>
        <w:tc>
          <w:tcPr>
            <w:tcW w:w="850" w:type="dxa"/>
            <w:shd w:val="clear" w:color="auto" w:fill="auto"/>
          </w:tcPr>
          <w:p w14:paraId="0084F716" w14:textId="77777777" w:rsidR="00867DA1" w:rsidRPr="00090873" w:rsidRDefault="00867DA1" w:rsidP="002B18FE">
            <w:pPr>
              <w:pStyle w:val="R"/>
              <w:rPr>
                <w:rtl/>
              </w:rPr>
            </w:pPr>
            <w:r w:rsidRPr="00090873">
              <w:rPr>
                <w:rFonts w:hint="cs"/>
                <w:rtl/>
              </w:rPr>
              <w:t>135</w:t>
            </w:r>
          </w:p>
        </w:tc>
        <w:tc>
          <w:tcPr>
            <w:tcW w:w="851" w:type="dxa"/>
            <w:shd w:val="clear" w:color="auto" w:fill="auto"/>
          </w:tcPr>
          <w:p w14:paraId="0807BCDF" w14:textId="77777777" w:rsidR="00867DA1" w:rsidRPr="00090873" w:rsidRDefault="00867DA1" w:rsidP="002B18FE">
            <w:pPr>
              <w:pStyle w:val="R"/>
              <w:rPr>
                <w:rtl/>
              </w:rPr>
            </w:pPr>
            <w:r w:rsidRPr="00090873">
              <w:rPr>
                <w:rFonts w:hint="cs"/>
                <w:rtl/>
              </w:rPr>
              <w:t>133</w:t>
            </w:r>
          </w:p>
        </w:tc>
      </w:tr>
      <w:tr w:rsidR="00867DA1" w:rsidRPr="00090873" w14:paraId="5B8771F2" w14:textId="77777777" w:rsidTr="00CC2678">
        <w:trPr>
          <w:jc w:val="center"/>
        </w:trPr>
        <w:tc>
          <w:tcPr>
            <w:tcW w:w="3289" w:type="dxa"/>
            <w:shd w:val="clear" w:color="auto" w:fill="auto"/>
          </w:tcPr>
          <w:p w14:paraId="18E5D519" w14:textId="77777777" w:rsidR="00867DA1" w:rsidRPr="00090873" w:rsidRDefault="00867DA1" w:rsidP="002B18FE">
            <w:pPr>
              <w:pStyle w:val="R"/>
              <w:rPr>
                <w:rtl/>
              </w:rPr>
            </w:pPr>
            <w:r w:rsidRPr="00090873">
              <w:rPr>
                <w:rFonts w:hint="cs"/>
                <w:rtl/>
              </w:rPr>
              <w:t>השקעות פיננסיות והלוואות</w:t>
            </w:r>
          </w:p>
        </w:tc>
        <w:tc>
          <w:tcPr>
            <w:tcW w:w="850" w:type="dxa"/>
            <w:shd w:val="clear" w:color="auto" w:fill="auto"/>
          </w:tcPr>
          <w:p w14:paraId="442CE295" w14:textId="77777777" w:rsidR="00867DA1" w:rsidRPr="00090873" w:rsidRDefault="00867DA1" w:rsidP="002B18FE">
            <w:pPr>
              <w:pStyle w:val="R"/>
              <w:rPr>
                <w:rtl/>
              </w:rPr>
            </w:pPr>
            <w:r w:rsidRPr="00090873">
              <w:rPr>
                <w:rFonts w:hint="cs"/>
                <w:rtl/>
              </w:rPr>
              <w:t>54</w:t>
            </w:r>
          </w:p>
        </w:tc>
        <w:tc>
          <w:tcPr>
            <w:tcW w:w="850" w:type="dxa"/>
            <w:shd w:val="clear" w:color="auto" w:fill="auto"/>
          </w:tcPr>
          <w:p w14:paraId="08FD3CB2" w14:textId="77777777" w:rsidR="00867DA1" w:rsidRPr="00090873" w:rsidRDefault="00867DA1" w:rsidP="002B18FE">
            <w:pPr>
              <w:pStyle w:val="R"/>
              <w:rPr>
                <w:rtl/>
              </w:rPr>
            </w:pPr>
            <w:r w:rsidRPr="00090873">
              <w:rPr>
                <w:rFonts w:hint="cs"/>
                <w:rtl/>
              </w:rPr>
              <w:t>59</w:t>
            </w:r>
          </w:p>
        </w:tc>
        <w:tc>
          <w:tcPr>
            <w:tcW w:w="850" w:type="dxa"/>
            <w:shd w:val="clear" w:color="auto" w:fill="auto"/>
          </w:tcPr>
          <w:p w14:paraId="760E2A43" w14:textId="77777777" w:rsidR="00867DA1" w:rsidRPr="00090873" w:rsidRDefault="00867DA1" w:rsidP="002B18FE">
            <w:pPr>
              <w:pStyle w:val="R"/>
              <w:rPr>
                <w:rtl/>
              </w:rPr>
            </w:pPr>
            <w:r w:rsidRPr="00090873">
              <w:rPr>
                <w:rFonts w:hint="cs"/>
                <w:rtl/>
              </w:rPr>
              <w:t>58</w:t>
            </w:r>
          </w:p>
        </w:tc>
        <w:tc>
          <w:tcPr>
            <w:tcW w:w="851" w:type="dxa"/>
            <w:shd w:val="clear" w:color="auto" w:fill="auto"/>
          </w:tcPr>
          <w:p w14:paraId="187855FC" w14:textId="77777777" w:rsidR="00867DA1" w:rsidRPr="00090873" w:rsidRDefault="00867DA1" w:rsidP="002B18FE">
            <w:pPr>
              <w:pStyle w:val="R"/>
              <w:rPr>
                <w:rtl/>
              </w:rPr>
            </w:pPr>
            <w:r w:rsidRPr="00090873">
              <w:rPr>
                <w:rFonts w:hint="cs"/>
                <w:rtl/>
              </w:rPr>
              <w:t>58</w:t>
            </w:r>
          </w:p>
        </w:tc>
      </w:tr>
      <w:tr w:rsidR="00867DA1" w:rsidRPr="00090873" w14:paraId="624BF05E" w14:textId="77777777" w:rsidTr="00CC2678">
        <w:trPr>
          <w:jc w:val="center"/>
        </w:trPr>
        <w:tc>
          <w:tcPr>
            <w:tcW w:w="3289" w:type="dxa"/>
            <w:shd w:val="clear" w:color="auto" w:fill="auto"/>
          </w:tcPr>
          <w:p w14:paraId="762B431A" w14:textId="77777777" w:rsidR="00867DA1" w:rsidRPr="00090873" w:rsidRDefault="00867DA1" w:rsidP="002B18FE">
            <w:pPr>
              <w:pStyle w:val="R"/>
              <w:rPr>
                <w:rtl/>
              </w:rPr>
            </w:pPr>
            <w:r w:rsidRPr="00090873">
              <w:rPr>
                <w:rFonts w:hint="cs"/>
                <w:rtl/>
              </w:rPr>
              <w:t>רכוש קבוע</w:t>
            </w:r>
          </w:p>
        </w:tc>
        <w:tc>
          <w:tcPr>
            <w:tcW w:w="850" w:type="dxa"/>
            <w:shd w:val="clear" w:color="auto" w:fill="auto"/>
          </w:tcPr>
          <w:p w14:paraId="74BA35C0" w14:textId="77777777" w:rsidR="00867DA1" w:rsidRPr="00090873" w:rsidRDefault="00867DA1" w:rsidP="002B18FE">
            <w:pPr>
              <w:pStyle w:val="R"/>
              <w:rPr>
                <w:rtl/>
              </w:rPr>
            </w:pPr>
            <w:r w:rsidRPr="00090873">
              <w:rPr>
                <w:rFonts w:hint="cs"/>
                <w:rtl/>
              </w:rPr>
              <w:t>351</w:t>
            </w:r>
          </w:p>
        </w:tc>
        <w:tc>
          <w:tcPr>
            <w:tcW w:w="850" w:type="dxa"/>
            <w:shd w:val="clear" w:color="auto" w:fill="auto"/>
          </w:tcPr>
          <w:p w14:paraId="26AD09F4" w14:textId="77777777" w:rsidR="00867DA1" w:rsidRPr="00090873" w:rsidRDefault="00867DA1" w:rsidP="002B18FE">
            <w:pPr>
              <w:pStyle w:val="R"/>
              <w:rPr>
                <w:rtl/>
              </w:rPr>
            </w:pPr>
            <w:r w:rsidRPr="00090873">
              <w:rPr>
                <w:rFonts w:hint="cs"/>
                <w:rtl/>
              </w:rPr>
              <w:t>364</w:t>
            </w:r>
          </w:p>
        </w:tc>
        <w:tc>
          <w:tcPr>
            <w:tcW w:w="850" w:type="dxa"/>
            <w:shd w:val="clear" w:color="auto" w:fill="auto"/>
          </w:tcPr>
          <w:p w14:paraId="57638B37" w14:textId="77777777" w:rsidR="00867DA1" w:rsidRPr="00090873" w:rsidRDefault="00867DA1" w:rsidP="002B18FE">
            <w:pPr>
              <w:pStyle w:val="R"/>
              <w:rPr>
                <w:rtl/>
              </w:rPr>
            </w:pPr>
            <w:r w:rsidRPr="00090873">
              <w:rPr>
                <w:rFonts w:hint="cs"/>
                <w:rtl/>
              </w:rPr>
              <w:t>387</w:t>
            </w:r>
          </w:p>
        </w:tc>
        <w:tc>
          <w:tcPr>
            <w:tcW w:w="851" w:type="dxa"/>
            <w:shd w:val="clear" w:color="auto" w:fill="auto"/>
          </w:tcPr>
          <w:p w14:paraId="20E091F4" w14:textId="77777777" w:rsidR="00867DA1" w:rsidRPr="00090873" w:rsidRDefault="00867DA1" w:rsidP="002B18FE">
            <w:pPr>
              <w:pStyle w:val="R"/>
              <w:rPr>
                <w:rtl/>
              </w:rPr>
            </w:pPr>
            <w:r w:rsidRPr="00090873">
              <w:rPr>
                <w:rFonts w:hint="cs"/>
                <w:rtl/>
              </w:rPr>
              <w:t>398</w:t>
            </w:r>
          </w:p>
        </w:tc>
      </w:tr>
      <w:tr w:rsidR="00867DA1" w:rsidRPr="00090873" w14:paraId="56EC72A1" w14:textId="77777777" w:rsidTr="00CC2678">
        <w:trPr>
          <w:jc w:val="center"/>
        </w:trPr>
        <w:tc>
          <w:tcPr>
            <w:tcW w:w="3289" w:type="dxa"/>
            <w:shd w:val="clear" w:color="auto" w:fill="auto"/>
          </w:tcPr>
          <w:p w14:paraId="16511EDE" w14:textId="77777777" w:rsidR="00867DA1" w:rsidRPr="00090873" w:rsidRDefault="00867DA1" w:rsidP="002B18FE">
            <w:pPr>
              <w:pStyle w:val="R"/>
              <w:rPr>
                <w:rtl/>
              </w:rPr>
            </w:pPr>
            <w:r w:rsidRPr="00090873">
              <w:rPr>
                <w:rFonts w:hint="cs"/>
                <w:rtl/>
              </w:rPr>
              <w:t>נכסים ואחרים</w:t>
            </w:r>
          </w:p>
        </w:tc>
        <w:tc>
          <w:tcPr>
            <w:tcW w:w="850" w:type="dxa"/>
            <w:shd w:val="clear" w:color="auto" w:fill="auto"/>
          </w:tcPr>
          <w:p w14:paraId="4119E086" w14:textId="77777777" w:rsidR="00867DA1" w:rsidRPr="00090873" w:rsidRDefault="00867DA1" w:rsidP="002B18FE">
            <w:pPr>
              <w:pStyle w:val="R"/>
              <w:rPr>
                <w:rtl/>
              </w:rPr>
            </w:pPr>
            <w:r w:rsidRPr="00090873">
              <w:rPr>
                <w:rFonts w:hint="cs"/>
                <w:rtl/>
              </w:rPr>
              <w:t>7</w:t>
            </w:r>
          </w:p>
        </w:tc>
        <w:tc>
          <w:tcPr>
            <w:tcW w:w="850" w:type="dxa"/>
            <w:shd w:val="clear" w:color="auto" w:fill="auto"/>
          </w:tcPr>
          <w:p w14:paraId="18C73F29" w14:textId="77777777" w:rsidR="00867DA1" w:rsidRPr="00090873" w:rsidRDefault="00867DA1" w:rsidP="002B18FE">
            <w:pPr>
              <w:pStyle w:val="R"/>
              <w:rPr>
                <w:rtl/>
              </w:rPr>
            </w:pPr>
            <w:r w:rsidRPr="00090873">
              <w:rPr>
                <w:rFonts w:hint="cs"/>
                <w:rtl/>
              </w:rPr>
              <w:t>7</w:t>
            </w:r>
          </w:p>
        </w:tc>
        <w:tc>
          <w:tcPr>
            <w:tcW w:w="850" w:type="dxa"/>
            <w:shd w:val="clear" w:color="auto" w:fill="auto"/>
          </w:tcPr>
          <w:p w14:paraId="2ECED080" w14:textId="77777777" w:rsidR="00867DA1" w:rsidRPr="00090873" w:rsidRDefault="00867DA1" w:rsidP="002B18FE">
            <w:pPr>
              <w:pStyle w:val="R"/>
              <w:rPr>
                <w:rtl/>
              </w:rPr>
            </w:pPr>
            <w:r w:rsidRPr="00090873">
              <w:rPr>
                <w:rFonts w:hint="cs"/>
                <w:rtl/>
              </w:rPr>
              <w:t>8</w:t>
            </w:r>
          </w:p>
        </w:tc>
        <w:tc>
          <w:tcPr>
            <w:tcW w:w="851" w:type="dxa"/>
            <w:shd w:val="clear" w:color="auto" w:fill="auto"/>
          </w:tcPr>
          <w:p w14:paraId="4F2198B7" w14:textId="77777777" w:rsidR="00867DA1" w:rsidRPr="00090873" w:rsidRDefault="00867DA1" w:rsidP="002B18FE">
            <w:pPr>
              <w:pStyle w:val="R"/>
              <w:rPr>
                <w:rtl/>
              </w:rPr>
            </w:pPr>
            <w:r w:rsidRPr="00090873">
              <w:rPr>
                <w:rFonts w:hint="cs"/>
                <w:rtl/>
              </w:rPr>
              <w:t>9</w:t>
            </w:r>
          </w:p>
        </w:tc>
      </w:tr>
      <w:tr w:rsidR="00867DA1" w:rsidRPr="002B18FE" w14:paraId="4782E628" w14:textId="77777777" w:rsidTr="002B18FE">
        <w:trPr>
          <w:jc w:val="center"/>
        </w:trPr>
        <w:tc>
          <w:tcPr>
            <w:tcW w:w="3289" w:type="dxa"/>
            <w:shd w:val="clear" w:color="auto" w:fill="C6D9F1"/>
          </w:tcPr>
          <w:p w14:paraId="47F675A3" w14:textId="77777777" w:rsidR="00867DA1" w:rsidRPr="002B18FE" w:rsidRDefault="00867DA1" w:rsidP="002B18FE">
            <w:pPr>
              <w:pStyle w:val="B"/>
              <w:rPr>
                <w:szCs w:val="20"/>
                <w:rtl/>
              </w:rPr>
            </w:pPr>
            <w:r w:rsidRPr="002B18FE">
              <w:rPr>
                <w:rFonts w:hint="cs"/>
                <w:szCs w:val="20"/>
                <w:rtl/>
              </w:rPr>
              <w:t>סך הכול נכסים</w:t>
            </w:r>
          </w:p>
        </w:tc>
        <w:tc>
          <w:tcPr>
            <w:tcW w:w="850" w:type="dxa"/>
            <w:shd w:val="clear" w:color="auto" w:fill="C6D9F1"/>
          </w:tcPr>
          <w:p w14:paraId="550BBE50" w14:textId="77777777" w:rsidR="00867DA1" w:rsidRPr="002B18FE" w:rsidRDefault="00867DA1" w:rsidP="002B18FE">
            <w:pPr>
              <w:pStyle w:val="B"/>
              <w:rPr>
                <w:szCs w:val="20"/>
                <w:rtl/>
              </w:rPr>
            </w:pPr>
            <w:r w:rsidRPr="002B18FE">
              <w:rPr>
                <w:rFonts w:hint="cs"/>
                <w:szCs w:val="20"/>
                <w:rtl/>
              </w:rPr>
              <w:t>525</w:t>
            </w:r>
          </w:p>
        </w:tc>
        <w:tc>
          <w:tcPr>
            <w:tcW w:w="850" w:type="dxa"/>
            <w:shd w:val="clear" w:color="auto" w:fill="C6D9F1"/>
          </w:tcPr>
          <w:p w14:paraId="3E90E392" w14:textId="77777777" w:rsidR="00867DA1" w:rsidRPr="002B18FE" w:rsidRDefault="00867DA1" w:rsidP="002B18FE">
            <w:pPr>
              <w:pStyle w:val="B"/>
              <w:rPr>
                <w:szCs w:val="20"/>
                <w:rtl/>
              </w:rPr>
            </w:pPr>
            <w:r w:rsidRPr="002B18FE">
              <w:rPr>
                <w:rFonts w:hint="cs"/>
                <w:szCs w:val="20"/>
                <w:rtl/>
              </w:rPr>
              <w:t>555</w:t>
            </w:r>
          </w:p>
        </w:tc>
        <w:tc>
          <w:tcPr>
            <w:tcW w:w="850" w:type="dxa"/>
            <w:shd w:val="clear" w:color="auto" w:fill="C6D9F1"/>
          </w:tcPr>
          <w:p w14:paraId="57773014" w14:textId="77777777" w:rsidR="00867DA1" w:rsidRPr="002B18FE" w:rsidRDefault="00867DA1" w:rsidP="002B18FE">
            <w:pPr>
              <w:pStyle w:val="B"/>
              <w:rPr>
                <w:szCs w:val="20"/>
                <w:rtl/>
              </w:rPr>
            </w:pPr>
            <w:r w:rsidRPr="002B18FE">
              <w:rPr>
                <w:rFonts w:hint="cs"/>
                <w:szCs w:val="20"/>
                <w:rtl/>
              </w:rPr>
              <w:t>588</w:t>
            </w:r>
          </w:p>
        </w:tc>
        <w:tc>
          <w:tcPr>
            <w:tcW w:w="851" w:type="dxa"/>
            <w:shd w:val="clear" w:color="auto" w:fill="C6D9F1"/>
          </w:tcPr>
          <w:p w14:paraId="127C5984" w14:textId="77777777" w:rsidR="00867DA1" w:rsidRPr="002B18FE" w:rsidRDefault="00867DA1" w:rsidP="002B18FE">
            <w:pPr>
              <w:pStyle w:val="B"/>
              <w:rPr>
                <w:szCs w:val="20"/>
                <w:rtl/>
              </w:rPr>
            </w:pPr>
            <w:r w:rsidRPr="002B18FE">
              <w:rPr>
                <w:rFonts w:hint="cs"/>
                <w:szCs w:val="20"/>
                <w:rtl/>
              </w:rPr>
              <w:t>598</w:t>
            </w:r>
          </w:p>
        </w:tc>
      </w:tr>
      <w:tr w:rsidR="00867DA1" w:rsidRPr="00090873" w14:paraId="4F9A6FC8" w14:textId="77777777" w:rsidTr="00CC2678">
        <w:trPr>
          <w:jc w:val="center"/>
        </w:trPr>
        <w:tc>
          <w:tcPr>
            <w:tcW w:w="3289" w:type="dxa"/>
            <w:shd w:val="clear" w:color="auto" w:fill="auto"/>
          </w:tcPr>
          <w:p w14:paraId="03C47822" w14:textId="77777777" w:rsidR="00867DA1" w:rsidRPr="00090873" w:rsidRDefault="00867DA1" w:rsidP="002B18FE">
            <w:pPr>
              <w:pStyle w:val="R"/>
              <w:rPr>
                <w:rtl/>
              </w:rPr>
            </w:pPr>
            <w:r w:rsidRPr="00090873">
              <w:rPr>
                <w:rFonts w:hint="cs"/>
                <w:rtl/>
              </w:rPr>
              <w:t xml:space="preserve">התחייבויות שוטפות </w:t>
            </w:r>
          </w:p>
        </w:tc>
        <w:tc>
          <w:tcPr>
            <w:tcW w:w="850" w:type="dxa"/>
            <w:shd w:val="clear" w:color="auto" w:fill="auto"/>
          </w:tcPr>
          <w:p w14:paraId="23415D89" w14:textId="77777777" w:rsidR="00867DA1" w:rsidRPr="00090873" w:rsidRDefault="00867DA1" w:rsidP="002B18FE">
            <w:pPr>
              <w:pStyle w:val="R"/>
              <w:rPr>
                <w:rtl/>
              </w:rPr>
            </w:pPr>
            <w:r w:rsidRPr="00090873">
              <w:rPr>
                <w:rFonts w:hint="cs"/>
                <w:rtl/>
              </w:rPr>
              <w:t>152</w:t>
            </w:r>
          </w:p>
        </w:tc>
        <w:tc>
          <w:tcPr>
            <w:tcW w:w="850" w:type="dxa"/>
            <w:shd w:val="clear" w:color="auto" w:fill="auto"/>
          </w:tcPr>
          <w:p w14:paraId="1DAE188E" w14:textId="77777777" w:rsidR="00867DA1" w:rsidRPr="00090873" w:rsidRDefault="00867DA1" w:rsidP="002B18FE">
            <w:pPr>
              <w:pStyle w:val="R"/>
              <w:rPr>
                <w:rtl/>
              </w:rPr>
            </w:pPr>
            <w:r w:rsidRPr="00090873">
              <w:rPr>
                <w:rFonts w:hint="cs"/>
                <w:rtl/>
              </w:rPr>
              <w:t>166</w:t>
            </w:r>
          </w:p>
        </w:tc>
        <w:tc>
          <w:tcPr>
            <w:tcW w:w="850" w:type="dxa"/>
            <w:shd w:val="clear" w:color="auto" w:fill="auto"/>
          </w:tcPr>
          <w:p w14:paraId="3AF0B383" w14:textId="77777777" w:rsidR="00867DA1" w:rsidRPr="00090873" w:rsidRDefault="00867DA1" w:rsidP="002B18FE">
            <w:pPr>
              <w:pStyle w:val="R"/>
              <w:rPr>
                <w:rtl/>
              </w:rPr>
            </w:pPr>
            <w:r w:rsidRPr="00090873">
              <w:rPr>
                <w:rFonts w:hint="cs"/>
                <w:rtl/>
              </w:rPr>
              <w:t>161</w:t>
            </w:r>
          </w:p>
        </w:tc>
        <w:tc>
          <w:tcPr>
            <w:tcW w:w="851" w:type="dxa"/>
            <w:shd w:val="clear" w:color="auto" w:fill="auto"/>
          </w:tcPr>
          <w:p w14:paraId="3F237DB5" w14:textId="77777777" w:rsidR="00867DA1" w:rsidRPr="00090873" w:rsidRDefault="00867DA1" w:rsidP="002B18FE">
            <w:pPr>
              <w:pStyle w:val="R"/>
              <w:rPr>
                <w:rtl/>
              </w:rPr>
            </w:pPr>
            <w:r w:rsidRPr="00090873">
              <w:rPr>
                <w:rFonts w:hint="cs"/>
                <w:rtl/>
              </w:rPr>
              <w:t>172</w:t>
            </w:r>
          </w:p>
        </w:tc>
      </w:tr>
      <w:tr w:rsidR="00867DA1" w:rsidRPr="00090873" w14:paraId="5C8A947A" w14:textId="77777777" w:rsidTr="00CC2678">
        <w:trPr>
          <w:jc w:val="center"/>
        </w:trPr>
        <w:tc>
          <w:tcPr>
            <w:tcW w:w="3289" w:type="dxa"/>
            <w:shd w:val="clear" w:color="auto" w:fill="auto"/>
          </w:tcPr>
          <w:p w14:paraId="72BF1C20" w14:textId="77777777" w:rsidR="00867DA1" w:rsidRPr="00090873" w:rsidRDefault="00867DA1" w:rsidP="002B18FE">
            <w:pPr>
              <w:pStyle w:val="R"/>
              <w:rPr>
                <w:rtl/>
              </w:rPr>
            </w:pPr>
            <w:r w:rsidRPr="00090873">
              <w:rPr>
                <w:rFonts w:hint="cs"/>
                <w:rtl/>
              </w:rPr>
              <w:t>מלוות פנים וחוץ לזמן ארוך</w:t>
            </w:r>
          </w:p>
        </w:tc>
        <w:tc>
          <w:tcPr>
            <w:tcW w:w="850" w:type="dxa"/>
            <w:shd w:val="clear" w:color="auto" w:fill="auto"/>
          </w:tcPr>
          <w:p w14:paraId="28A6FAFA" w14:textId="77777777" w:rsidR="00867DA1" w:rsidRPr="00090873" w:rsidRDefault="00867DA1" w:rsidP="002B18FE">
            <w:pPr>
              <w:pStyle w:val="R"/>
              <w:rPr>
                <w:rtl/>
              </w:rPr>
            </w:pPr>
            <w:r w:rsidRPr="00090873">
              <w:rPr>
                <w:rFonts w:hint="cs"/>
                <w:rtl/>
              </w:rPr>
              <w:t>716</w:t>
            </w:r>
          </w:p>
        </w:tc>
        <w:tc>
          <w:tcPr>
            <w:tcW w:w="850" w:type="dxa"/>
            <w:shd w:val="clear" w:color="auto" w:fill="auto"/>
          </w:tcPr>
          <w:p w14:paraId="28F70C55" w14:textId="77777777" w:rsidR="00867DA1" w:rsidRPr="00090873" w:rsidRDefault="00867DA1" w:rsidP="002B18FE">
            <w:pPr>
              <w:pStyle w:val="R"/>
              <w:rPr>
                <w:rtl/>
              </w:rPr>
            </w:pPr>
            <w:r w:rsidRPr="00090873">
              <w:rPr>
                <w:rFonts w:hint="cs"/>
                <w:rtl/>
              </w:rPr>
              <w:t>724</w:t>
            </w:r>
          </w:p>
        </w:tc>
        <w:tc>
          <w:tcPr>
            <w:tcW w:w="850" w:type="dxa"/>
            <w:shd w:val="clear" w:color="auto" w:fill="auto"/>
          </w:tcPr>
          <w:p w14:paraId="28A0E59B" w14:textId="77777777" w:rsidR="00867DA1" w:rsidRPr="00090873" w:rsidRDefault="00867DA1" w:rsidP="002B18FE">
            <w:pPr>
              <w:pStyle w:val="R"/>
              <w:rPr>
                <w:rtl/>
              </w:rPr>
            </w:pPr>
            <w:r w:rsidRPr="00090873">
              <w:rPr>
                <w:rFonts w:hint="cs"/>
                <w:rtl/>
              </w:rPr>
              <w:t>744</w:t>
            </w:r>
          </w:p>
        </w:tc>
        <w:tc>
          <w:tcPr>
            <w:tcW w:w="851" w:type="dxa"/>
            <w:shd w:val="clear" w:color="auto" w:fill="auto"/>
          </w:tcPr>
          <w:p w14:paraId="3F954526" w14:textId="77777777" w:rsidR="00867DA1" w:rsidRPr="00090873" w:rsidRDefault="00867DA1" w:rsidP="002B18FE">
            <w:pPr>
              <w:pStyle w:val="R"/>
              <w:rPr>
                <w:rtl/>
              </w:rPr>
            </w:pPr>
            <w:r w:rsidRPr="00090873">
              <w:rPr>
                <w:rFonts w:hint="cs"/>
                <w:rtl/>
              </w:rPr>
              <w:t>780</w:t>
            </w:r>
          </w:p>
        </w:tc>
      </w:tr>
      <w:tr w:rsidR="00867DA1" w:rsidRPr="00090873" w14:paraId="38CBFD90" w14:textId="77777777" w:rsidTr="00CC2678">
        <w:trPr>
          <w:jc w:val="center"/>
        </w:trPr>
        <w:tc>
          <w:tcPr>
            <w:tcW w:w="3289" w:type="dxa"/>
            <w:shd w:val="clear" w:color="auto" w:fill="auto"/>
          </w:tcPr>
          <w:p w14:paraId="4B6EE5B6" w14:textId="77777777" w:rsidR="00867DA1" w:rsidRPr="00090873" w:rsidRDefault="00867DA1" w:rsidP="002B18FE">
            <w:pPr>
              <w:pStyle w:val="R"/>
              <w:rPr>
                <w:rtl/>
              </w:rPr>
            </w:pPr>
            <w:r w:rsidRPr="00090873">
              <w:rPr>
                <w:rFonts w:hint="cs"/>
                <w:rtl/>
              </w:rPr>
              <w:t>התחייבויות בגין זכויות עובדים</w:t>
            </w:r>
          </w:p>
        </w:tc>
        <w:tc>
          <w:tcPr>
            <w:tcW w:w="850" w:type="dxa"/>
            <w:shd w:val="clear" w:color="auto" w:fill="auto"/>
          </w:tcPr>
          <w:p w14:paraId="786F4557" w14:textId="77777777" w:rsidR="00867DA1" w:rsidRPr="00090873" w:rsidRDefault="00867DA1" w:rsidP="002B18FE">
            <w:pPr>
              <w:pStyle w:val="R"/>
              <w:rPr>
                <w:rtl/>
              </w:rPr>
            </w:pPr>
            <w:r w:rsidRPr="00090873">
              <w:rPr>
                <w:rFonts w:hint="cs"/>
                <w:rtl/>
              </w:rPr>
              <w:t>678</w:t>
            </w:r>
          </w:p>
        </w:tc>
        <w:tc>
          <w:tcPr>
            <w:tcW w:w="850" w:type="dxa"/>
            <w:shd w:val="clear" w:color="auto" w:fill="auto"/>
          </w:tcPr>
          <w:p w14:paraId="5FC40CB8" w14:textId="77777777" w:rsidR="00867DA1" w:rsidRPr="00090873" w:rsidRDefault="00867DA1" w:rsidP="002B18FE">
            <w:pPr>
              <w:pStyle w:val="R"/>
              <w:rPr>
                <w:rtl/>
              </w:rPr>
            </w:pPr>
            <w:r w:rsidRPr="00090873">
              <w:rPr>
                <w:rFonts w:hint="cs"/>
                <w:rtl/>
              </w:rPr>
              <w:t>695</w:t>
            </w:r>
          </w:p>
        </w:tc>
        <w:tc>
          <w:tcPr>
            <w:tcW w:w="850" w:type="dxa"/>
            <w:shd w:val="clear" w:color="auto" w:fill="auto"/>
          </w:tcPr>
          <w:p w14:paraId="7F28E141" w14:textId="77777777" w:rsidR="00867DA1" w:rsidRPr="00090873" w:rsidRDefault="00867DA1" w:rsidP="002B18FE">
            <w:pPr>
              <w:pStyle w:val="R"/>
              <w:rPr>
                <w:rtl/>
              </w:rPr>
            </w:pPr>
            <w:r w:rsidRPr="00090873">
              <w:rPr>
                <w:rFonts w:hint="cs"/>
                <w:rtl/>
              </w:rPr>
              <w:t>717</w:t>
            </w:r>
          </w:p>
        </w:tc>
        <w:tc>
          <w:tcPr>
            <w:tcW w:w="851" w:type="dxa"/>
            <w:shd w:val="clear" w:color="auto" w:fill="auto"/>
          </w:tcPr>
          <w:p w14:paraId="5E5688D3" w14:textId="77777777" w:rsidR="00867DA1" w:rsidRPr="00090873" w:rsidRDefault="00867DA1" w:rsidP="002B18FE">
            <w:pPr>
              <w:pStyle w:val="R"/>
              <w:rPr>
                <w:rtl/>
              </w:rPr>
            </w:pPr>
            <w:r w:rsidRPr="00090873">
              <w:rPr>
                <w:rFonts w:hint="cs"/>
                <w:rtl/>
              </w:rPr>
              <w:t>682</w:t>
            </w:r>
          </w:p>
        </w:tc>
      </w:tr>
      <w:tr w:rsidR="00867DA1" w:rsidRPr="00090873" w14:paraId="730B907A" w14:textId="77777777" w:rsidTr="00CC2678">
        <w:trPr>
          <w:jc w:val="center"/>
        </w:trPr>
        <w:tc>
          <w:tcPr>
            <w:tcW w:w="3289" w:type="dxa"/>
            <w:shd w:val="clear" w:color="auto" w:fill="auto"/>
          </w:tcPr>
          <w:p w14:paraId="04CB6145" w14:textId="77777777" w:rsidR="00867DA1" w:rsidRPr="00090873" w:rsidRDefault="00867DA1" w:rsidP="002B18FE">
            <w:pPr>
              <w:pStyle w:val="R"/>
              <w:rPr>
                <w:rtl/>
              </w:rPr>
            </w:pPr>
            <w:r w:rsidRPr="00090873">
              <w:rPr>
                <w:rFonts w:hint="cs"/>
                <w:rtl/>
              </w:rPr>
              <w:t>עתודות בגין אירועי ביטוח</w:t>
            </w:r>
          </w:p>
        </w:tc>
        <w:tc>
          <w:tcPr>
            <w:tcW w:w="850" w:type="dxa"/>
            <w:shd w:val="clear" w:color="auto" w:fill="auto"/>
          </w:tcPr>
          <w:p w14:paraId="095F5362" w14:textId="77777777" w:rsidR="00867DA1" w:rsidRPr="00090873" w:rsidRDefault="00867DA1" w:rsidP="002B18FE">
            <w:pPr>
              <w:pStyle w:val="R"/>
              <w:rPr>
                <w:rtl/>
              </w:rPr>
            </w:pPr>
            <w:r w:rsidRPr="00090873">
              <w:rPr>
                <w:rFonts w:hint="cs"/>
                <w:rtl/>
              </w:rPr>
              <w:t>559</w:t>
            </w:r>
          </w:p>
        </w:tc>
        <w:tc>
          <w:tcPr>
            <w:tcW w:w="850" w:type="dxa"/>
            <w:shd w:val="clear" w:color="auto" w:fill="auto"/>
          </w:tcPr>
          <w:p w14:paraId="290E9CBC" w14:textId="77777777" w:rsidR="00867DA1" w:rsidRPr="00090873" w:rsidRDefault="00867DA1" w:rsidP="002B18FE">
            <w:pPr>
              <w:pStyle w:val="R"/>
              <w:rPr>
                <w:rtl/>
              </w:rPr>
            </w:pPr>
            <w:r w:rsidRPr="00090873">
              <w:rPr>
                <w:rFonts w:hint="cs"/>
                <w:rtl/>
              </w:rPr>
              <w:t>650</w:t>
            </w:r>
          </w:p>
        </w:tc>
        <w:tc>
          <w:tcPr>
            <w:tcW w:w="850" w:type="dxa"/>
            <w:shd w:val="clear" w:color="auto" w:fill="auto"/>
          </w:tcPr>
          <w:p w14:paraId="309FB2BD" w14:textId="77777777" w:rsidR="00867DA1" w:rsidRPr="00090873" w:rsidRDefault="00867DA1" w:rsidP="002B18FE">
            <w:pPr>
              <w:pStyle w:val="R"/>
              <w:rPr>
                <w:rtl/>
              </w:rPr>
            </w:pPr>
            <w:r w:rsidRPr="00090873">
              <w:rPr>
                <w:rFonts w:hint="cs"/>
                <w:rtl/>
              </w:rPr>
              <w:t>712</w:t>
            </w:r>
          </w:p>
        </w:tc>
        <w:tc>
          <w:tcPr>
            <w:tcW w:w="851" w:type="dxa"/>
            <w:shd w:val="clear" w:color="auto" w:fill="auto"/>
          </w:tcPr>
          <w:p w14:paraId="7998B959" w14:textId="77777777" w:rsidR="00867DA1" w:rsidRPr="00090873" w:rsidRDefault="00867DA1" w:rsidP="002B18FE">
            <w:pPr>
              <w:pStyle w:val="R"/>
              <w:rPr>
                <w:rtl/>
              </w:rPr>
            </w:pPr>
            <w:r w:rsidRPr="00090873">
              <w:rPr>
                <w:rFonts w:hint="cs"/>
                <w:rtl/>
              </w:rPr>
              <w:t>729</w:t>
            </w:r>
          </w:p>
        </w:tc>
      </w:tr>
      <w:tr w:rsidR="00867DA1" w:rsidRPr="00090873" w14:paraId="7DE09D17" w14:textId="77777777" w:rsidTr="00CC2678">
        <w:trPr>
          <w:jc w:val="center"/>
        </w:trPr>
        <w:tc>
          <w:tcPr>
            <w:tcW w:w="3289" w:type="dxa"/>
            <w:shd w:val="clear" w:color="auto" w:fill="auto"/>
          </w:tcPr>
          <w:p w14:paraId="1DB28FFC" w14:textId="77777777" w:rsidR="00867DA1" w:rsidRPr="00090873" w:rsidRDefault="00867DA1" w:rsidP="002B18FE">
            <w:pPr>
              <w:pStyle w:val="R"/>
              <w:rPr>
                <w:rtl/>
              </w:rPr>
            </w:pPr>
            <w:r w:rsidRPr="00090873">
              <w:rPr>
                <w:rFonts w:hint="cs"/>
                <w:rtl/>
              </w:rPr>
              <w:t>התחייבויות אחרות לזמן ארוך</w:t>
            </w:r>
          </w:p>
        </w:tc>
        <w:tc>
          <w:tcPr>
            <w:tcW w:w="850" w:type="dxa"/>
            <w:shd w:val="clear" w:color="auto" w:fill="auto"/>
          </w:tcPr>
          <w:p w14:paraId="664A6D2B" w14:textId="77777777" w:rsidR="00867DA1" w:rsidRPr="00090873" w:rsidRDefault="00867DA1" w:rsidP="002B18FE">
            <w:pPr>
              <w:pStyle w:val="R"/>
              <w:rPr>
                <w:rtl/>
              </w:rPr>
            </w:pPr>
            <w:r w:rsidRPr="00090873">
              <w:rPr>
                <w:rFonts w:hint="cs"/>
                <w:rtl/>
              </w:rPr>
              <w:t>182</w:t>
            </w:r>
          </w:p>
        </w:tc>
        <w:tc>
          <w:tcPr>
            <w:tcW w:w="850" w:type="dxa"/>
            <w:shd w:val="clear" w:color="auto" w:fill="auto"/>
          </w:tcPr>
          <w:p w14:paraId="504AF46B" w14:textId="77777777" w:rsidR="00867DA1" w:rsidRPr="00090873" w:rsidRDefault="00867DA1" w:rsidP="002B18FE">
            <w:pPr>
              <w:pStyle w:val="R"/>
              <w:rPr>
                <w:rtl/>
              </w:rPr>
            </w:pPr>
            <w:r w:rsidRPr="00090873">
              <w:rPr>
                <w:rFonts w:hint="cs"/>
                <w:rtl/>
              </w:rPr>
              <w:t>188</w:t>
            </w:r>
          </w:p>
        </w:tc>
        <w:tc>
          <w:tcPr>
            <w:tcW w:w="850" w:type="dxa"/>
            <w:shd w:val="clear" w:color="auto" w:fill="auto"/>
          </w:tcPr>
          <w:p w14:paraId="668F98FE" w14:textId="77777777" w:rsidR="00867DA1" w:rsidRPr="00090873" w:rsidRDefault="00867DA1" w:rsidP="002B18FE">
            <w:pPr>
              <w:pStyle w:val="R"/>
              <w:rPr>
                <w:rtl/>
              </w:rPr>
            </w:pPr>
            <w:r w:rsidRPr="00090873">
              <w:rPr>
                <w:rFonts w:hint="cs"/>
                <w:rtl/>
              </w:rPr>
              <w:t>192</w:t>
            </w:r>
          </w:p>
        </w:tc>
        <w:tc>
          <w:tcPr>
            <w:tcW w:w="851" w:type="dxa"/>
            <w:shd w:val="clear" w:color="auto" w:fill="auto"/>
          </w:tcPr>
          <w:p w14:paraId="2DED263C" w14:textId="77777777" w:rsidR="00867DA1" w:rsidRPr="00090873" w:rsidRDefault="00867DA1" w:rsidP="002B18FE">
            <w:pPr>
              <w:pStyle w:val="R"/>
              <w:rPr>
                <w:rtl/>
              </w:rPr>
            </w:pPr>
            <w:r w:rsidRPr="00090873">
              <w:rPr>
                <w:rFonts w:hint="cs"/>
                <w:rtl/>
              </w:rPr>
              <w:t>196</w:t>
            </w:r>
          </w:p>
        </w:tc>
      </w:tr>
      <w:tr w:rsidR="00867DA1" w:rsidRPr="002B18FE" w14:paraId="1FCBF36E" w14:textId="77777777" w:rsidTr="002B18FE">
        <w:trPr>
          <w:jc w:val="center"/>
        </w:trPr>
        <w:tc>
          <w:tcPr>
            <w:tcW w:w="3289" w:type="dxa"/>
            <w:shd w:val="clear" w:color="auto" w:fill="C6D9F1"/>
          </w:tcPr>
          <w:p w14:paraId="2CF77EA2" w14:textId="77777777" w:rsidR="00867DA1" w:rsidRPr="002B18FE" w:rsidRDefault="00867DA1" w:rsidP="002B18FE">
            <w:pPr>
              <w:pStyle w:val="B"/>
              <w:rPr>
                <w:szCs w:val="20"/>
                <w:rtl/>
              </w:rPr>
            </w:pPr>
            <w:r w:rsidRPr="002B18FE">
              <w:rPr>
                <w:rFonts w:hint="cs"/>
                <w:szCs w:val="20"/>
                <w:rtl/>
              </w:rPr>
              <w:t>סך הכול התחייבויות</w:t>
            </w:r>
          </w:p>
        </w:tc>
        <w:tc>
          <w:tcPr>
            <w:tcW w:w="850" w:type="dxa"/>
            <w:shd w:val="clear" w:color="auto" w:fill="C6D9F1"/>
          </w:tcPr>
          <w:p w14:paraId="2DC1C952" w14:textId="77777777" w:rsidR="00867DA1" w:rsidRPr="002B18FE" w:rsidRDefault="00867DA1" w:rsidP="002B18FE">
            <w:pPr>
              <w:pStyle w:val="B"/>
              <w:rPr>
                <w:szCs w:val="20"/>
                <w:rtl/>
              </w:rPr>
            </w:pPr>
            <w:r w:rsidRPr="002B18FE">
              <w:rPr>
                <w:rFonts w:hint="cs"/>
                <w:szCs w:val="20"/>
                <w:rtl/>
              </w:rPr>
              <w:t>2,287</w:t>
            </w:r>
          </w:p>
        </w:tc>
        <w:tc>
          <w:tcPr>
            <w:tcW w:w="850" w:type="dxa"/>
            <w:shd w:val="clear" w:color="auto" w:fill="C6D9F1"/>
          </w:tcPr>
          <w:p w14:paraId="7E5518AA" w14:textId="77777777" w:rsidR="00867DA1" w:rsidRPr="002B18FE" w:rsidRDefault="00867DA1" w:rsidP="002B18FE">
            <w:pPr>
              <w:pStyle w:val="B"/>
              <w:rPr>
                <w:szCs w:val="20"/>
                <w:rtl/>
              </w:rPr>
            </w:pPr>
            <w:r w:rsidRPr="002B18FE">
              <w:rPr>
                <w:rFonts w:hint="cs"/>
                <w:szCs w:val="20"/>
                <w:rtl/>
              </w:rPr>
              <w:t>2,423</w:t>
            </w:r>
          </w:p>
        </w:tc>
        <w:tc>
          <w:tcPr>
            <w:tcW w:w="850" w:type="dxa"/>
            <w:shd w:val="clear" w:color="auto" w:fill="C6D9F1"/>
          </w:tcPr>
          <w:p w14:paraId="21A035B5" w14:textId="77777777" w:rsidR="00867DA1" w:rsidRPr="002B18FE" w:rsidRDefault="00867DA1" w:rsidP="002B18FE">
            <w:pPr>
              <w:pStyle w:val="B"/>
              <w:rPr>
                <w:szCs w:val="20"/>
                <w:rtl/>
              </w:rPr>
            </w:pPr>
            <w:r w:rsidRPr="002B18FE">
              <w:rPr>
                <w:rFonts w:hint="cs"/>
                <w:szCs w:val="20"/>
                <w:rtl/>
              </w:rPr>
              <w:t>2,526</w:t>
            </w:r>
          </w:p>
        </w:tc>
        <w:tc>
          <w:tcPr>
            <w:tcW w:w="851" w:type="dxa"/>
            <w:shd w:val="clear" w:color="auto" w:fill="C6D9F1"/>
          </w:tcPr>
          <w:p w14:paraId="1A3935A6" w14:textId="77777777" w:rsidR="00867DA1" w:rsidRPr="002B18FE" w:rsidRDefault="00867DA1" w:rsidP="002B18FE">
            <w:pPr>
              <w:pStyle w:val="B"/>
              <w:rPr>
                <w:szCs w:val="20"/>
                <w:rtl/>
              </w:rPr>
            </w:pPr>
            <w:r w:rsidRPr="002B18FE">
              <w:rPr>
                <w:rFonts w:hint="cs"/>
                <w:szCs w:val="20"/>
                <w:rtl/>
              </w:rPr>
              <w:t>2,559</w:t>
            </w:r>
          </w:p>
        </w:tc>
      </w:tr>
      <w:tr w:rsidR="00867DA1" w:rsidRPr="002B18FE" w14:paraId="7A44EF6D" w14:textId="77777777" w:rsidTr="002B18FE">
        <w:trPr>
          <w:jc w:val="center"/>
        </w:trPr>
        <w:tc>
          <w:tcPr>
            <w:tcW w:w="3289" w:type="dxa"/>
            <w:shd w:val="clear" w:color="auto" w:fill="C6D9F1"/>
          </w:tcPr>
          <w:p w14:paraId="6E46796E" w14:textId="77777777" w:rsidR="00867DA1" w:rsidRPr="002B18FE" w:rsidRDefault="00867DA1" w:rsidP="002B18FE">
            <w:pPr>
              <w:pStyle w:val="B"/>
              <w:rPr>
                <w:szCs w:val="20"/>
                <w:rtl/>
              </w:rPr>
            </w:pPr>
            <w:r w:rsidRPr="002B18FE">
              <w:rPr>
                <w:rFonts w:hint="cs"/>
                <w:szCs w:val="20"/>
                <w:rtl/>
              </w:rPr>
              <w:t xml:space="preserve">התחייבויות נטו / גירעון בהון </w:t>
            </w:r>
          </w:p>
        </w:tc>
        <w:tc>
          <w:tcPr>
            <w:tcW w:w="850" w:type="dxa"/>
            <w:shd w:val="clear" w:color="auto" w:fill="C6D9F1"/>
          </w:tcPr>
          <w:p w14:paraId="20AD7330" w14:textId="77777777" w:rsidR="00867DA1" w:rsidRPr="002B18FE" w:rsidRDefault="00867DA1" w:rsidP="002B18FE">
            <w:pPr>
              <w:pStyle w:val="B"/>
              <w:rPr>
                <w:szCs w:val="20"/>
                <w:rtl/>
              </w:rPr>
            </w:pPr>
            <w:r w:rsidRPr="002B18FE">
              <w:rPr>
                <w:rFonts w:hint="cs"/>
                <w:szCs w:val="20"/>
                <w:rtl/>
              </w:rPr>
              <w:t>1,762-</w:t>
            </w:r>
          </w:p>
        </w:tc>
        <w:tc>
          <w:tcPr>
            <w:tcW w:w="850" w:type="dxa"/>
            <w:shd w:val="clear" w:color="auto" w:fill="C6D9F1"/>
          </w:tcPr>
          <w:p w14:paraId="3928C697" w14:textId="77777777" w:rsidR="00867DA1" w:rsidRPr="002B18FE" w:rsidRDefault="00867DA1" w:rsidP="002B18FE">
            <w:pPr>
              <w:pStyle w:val="B"/>
              <w:rPr>
                <w:szCs w:val="20"/>
                <w:rtl/>
              </w:rPr>
            </w:pPr>
            <w:r w:rsidRPr="002B18FE">
              <w:rPr>
                <w:rFonts w:hint="cs"/>
                <w:szCs w:val="20"/>
                <w:rtl/>
              </w:rPr>
              <w:t>1,868-</w:t>
            </w:r>
          </w:p>
        </w:tc>
        <w:tc>
          <w:tcPr>
            <w:tcW w:w="850" w:type="dxa"/>
            <w:shd w:val="clear" w:color="auto" w:fill="C6D9F1"/>
          </w:tcPr>
          <w:p w14:paraId="6C5753A3" w14:textId="77777777" w:rsidR="00867DA1" w:rsidRPr="002B18FE" w:rsidRDefault="00867DA1" w:rsidP="002B18FE">
            <w:pPr>
              <w:pStyle w:val="B"/>
              <w:rPr>
                <w:szCs w:val="20"/>
                <w:rtl/>
              </w:rPr>
            </w:pPr>
            <w:r w:rsidRPr="002B18FE">
              <w:rPr>
                <w:rFonts w:hint="cs"/>
                <w:szCs w:val="20"/>
                <w:rtl/>
              </w:rPr>
              <w:t>1,938-</w:t>
            </w:r>
          </w:p>
        </w:tc>
        <w:tc>
          <w:tcPr>
            <w:tcW w:w="851" w:type="dxa"/>
            <w:shd w:val="clear" w:color="auto" w:fill="C6D9F1"/>
          </w:tcPr>
          <w:p w14:paraId="6D308AAD" w14:textId="77777777" w:rsidR="00867DA1" w:rsidRPr="002B18FE" w:rsidRDefault="00867DA1" w:rsidP="002B18FE">
            <w:pPr>
              <w:pStyle w:val="B"/>
              <w:rPr>
                <w:szCs w:val="20"/>
                <w:rtl/>
              </w:rPr>
            </w:pPr>
            <w:r w:rsidRPr="002B18FE">
              <w:rPr>
                <w:rFonts w:hint="cs"/>
                <w:szCs w:val="20"/>
                <w:rtl/>
              </w:rPr>
              <w:t>1,961-</w:t>
            </w:r>
          </w:p>
        </w:tc>
      </w:tr>
    </w:tbl>
    <w:p w14:paraId="41A22E0C" w14:textId="77777777" w:rsidR="00867DA1" w:rsidRPr="00D268A4" w:rsidRDefault="00867DA1" w:rsidP="005E5A5D">
      <w:pPr>
        <w:pStyle w:val="ac"/>
        <w:rPr>
          <w:rtl/>
        </w:rPr>
      </w:pPr>
      <w:r w:rsidRPr="00D268A4">
        <w:rPr>
          <w:rFonts w:hint="eastAsia"/>
          <w:rtl/>
        </w:rPr>
        <w:t>המקור</w:t>
      </w:r>
      <w:r w:rsidRPr="00D268A4">
        <w:rPr>
          <w:rtl/>
        </w:rPr>
        <w:t xml:space="preserve">: </w:t>
      </w:r>
      <w:r w:rsidRPr="00D268A4">
        <w:rPr>
          <w:rFonts w:hint="eastAsia"/>
          <w:rtl/>
        </w:rPr>
        <w:t>המדריך</w:t>
      </w:r>
      <w:r w:rsidRPr="00D268A4">
        <w:rPr>
          <w:rtl/>
        </w:rPr>
        <w:t xml:space="preserve"> </w:t>
      </w:r>
      <w:r w:rsidRPr="00D268A4">
        <w:rPr>
          <w:rFonts w:hint="eastAsia"/>
          <w:rtl/>
        </w:rPr>
        <w:t>לאזרח</w:t>
      </w:r>
      <w:r w:rsidRPr="00D268A4">
        <w:rPr>
          <w:rtl/>
        </w:rPr>
        <w:t xml:space="preserve"> </w:t>
      </w:r>
      <w:r w:rsidRPr="00D268A4">
        <w:rPr>
          <w:rFonts w:hint="eastAsia"/>
          <w:rtl/>
        </w:rPr>
        <w:t>לדוחות</w:t>
      </w:r>
      <w:r w:rsidRPr="00D268A4">
        <w:rPr>
          <w:rtl/>
        </w:rPr>
        <w:t xml:space="preserve"> </w:t>
      </w:r>
      <w:r w:rsidRPr="00D268A4">
        <w:rPr>
          <w:rFonts w:hint="eastAsia"/>
          <w:rtl/>
        </w:rPr>
        <w:t>הכספיים</w:t>
      </w:r>
      <w:r w:rsidRPr="00D268A4">
        <w:rPr>
          <w:rtl/>
        </w:rPr>
        <w:t xml:space="preserve"> </w:t>
      </w:r>
      <w:r w:rsidRPr="00D268A4">
        <w:rPr>
          <w:rFonts w:hint="eastAsia"/>
          <w:rtl/>
        </w:rPr>
        <w:t>של</w:t>
      </w:r>
      <w:r w:rsidRPr="00D268A4">
        <w:rPr>
          <w:rtl/>
        </w:rPr>
        <w:t xml:space="preserve"> </w:t>
      </w:r>
      <w:r>
        <w:rPr>
          <w:rFonts w:hint="cs"/>
          <w:rtl/>
        </w:rPr>
        <w:t>מדינת</w:t>
      </w:r>
      <w:r w:rsidRPr="00D268A4">
        <w:rPr>
          <w:rtl/>
        </w:rPr>
        <w:t xml:space="preserve"> </w:t>
      </w:r>
      <w:r w:rsidRPr="00D268A4">
        <w:rPr>
          <w:rFonts w:hint="eastAsia"/>
          <w:rtl/>
        </w:rPr>
        <w:t>ישראל</w:t>
      </w:r>
      <w:r w:rsidRPr="00D268A4">
        <w:rPr>
          <w:rtl/>
        </w:rPr>
        <w:t xml:space="preserve"> </w:t>
      </w:r>
      <w:r w:rsidRPr="00D268A4">
        <w:rPr>
          <w:rFonts w:hint="eastAsia"/>
          <w:rtl/>
        </w:rPr>
        <w:t>לשנת</w:t>
      </w:r>
      <w:r w:rsidRPr="00D268A4">
        <w:rPr>
          <w:rtl/>
        </w:rPr>
        <w:t xml:space="preserve"> 2018, </w:t>
      </w:r>
      <w:r w:rsidRPr="00D268A4">
        <w:rPr>
          <w:rFonts w:hint="eastAsia"/>
          <w:rtl/>
        </w:rPr>
        <w:t>משרד</w:t>
      </w:r>
      <w:r w:rsidRPr="00D268A4">
        <w:rPr>
          <w:rtl/>
        </w:rPr>
        <w:t xml:space="preserve"> </w:t>
      </w:r>
      <w:r w:rsidRPr="00D268A4">
        <w:rPr>
          <w:rFonts w:hint="eastAsia"/>
          <w:rtl/>
        </w:rPr>
        <w:t>האוצר</w:t>
      </w:r>
      <w:r w:rsidRPr="00D268A4">
        <w:rPr>
          <w:rtl/>
        </w:rPr>
        <w:t xml:space="preserve">. </w:t>
      </w:r>
    </w:p>
    <w:p w14:paraId="05CD492C" w14:textId="5E62E92B" w:rsidR="00867DA1" w:rsidRDefault="00867DA1" w:rsidP="005E5A5D">
      <w:pPr>
        <w:pStyle w:val="100"/>
        <w:rPr>
          <w:rtl/>
        </w:rPr>
      </w:pPr>
    </w:p>
    <w:p w14:paraId="2F7CC30D" w14:textId="77777777" w:rsidR="00867DA1" w:rsidRPr="005A2525" w:rsidRDefault="00867DA1" w:rsidP="001C5D33">
      <w:pPr>
        <w:pStyle w:val="100"/>
      </w:pPr>
      <w:r w:rsidRPr="0017713C">
        <w:rPr>
          <w:rFonts w:hint="cs"/>
          <w:rtl/>
        </w:rPr>
        <w:t xml:space="preserve">הדוחות הכספיים של </w:t>
      </w:r>
      <w:r>
        <w:rPr>
          <w:rFonts w:hint="cs"/>
          <w:rtl/>
        </w:rPr>
        <w:t>המדינה</w:t>
      </w:r>
      <w:r w:rsidRPr="0017713C">
        <w:rPr>
          <w:rFonts w:hint="cs"/>
          <w:rtl/>
        </w:rPr>
        <w:t xml:space="preserve"> אמורים לספק תמונה רחבה </w:t>
      </w:r>
      <w:r>
        <w:rPr>
          <w:rFonts w:hint="cs"/>
          <w:rtl/>
        </w:rPr>
        <w:t>של</w:t>
      </w:r>
      <w:r w:rsidRPr="0017713C">
        <w:rPr>
          <w:rFonts w:hint="cs"/>
          <w:rtl/>
        </w:rPr>
        <w:t xml:space="preserve"> פעילותה, </w:t>
      </w:r>
      <w:r>
        <w:rPr>
          <w:rFonts w:hint="cs"/>
          <w:rtl/>
        </w:rPr>
        <w:t>של</w:t>
      </w:r>
      <w:r w:rsidRPr="0017713C">
        <w:rPr>
          <w:rFonts w:hint="cs"/>
          <w:rtl/>
        </w:rPr>
        <w:t xml:space="preserve"> נכסיה </w:t>
      </w:r>
      <w:r>
        <w:rPr>
          <w:rFonts w:hint="cs"/>
          <w:rtl/>
        </w:rPr>
        <w:t>ושל</w:t>
      </w:r>
      <w:r w:rsidRPr="0017713C">
        <w:rPr>
          <w:rFonts w:hint="cs"/>
          <w:rtl/>
        </w:rPr>
        <w:t xml:space="preserve"> התחייבויותיה, והם הכלי המרכזי המאפשר שקיפות וגילוי נאות בכל הנוגע לפעילות הכספית של משרדי הממשלה והישויות שהיא מחזיקה בהן</w:t>
      </w:r>
      <w:r>
        <w:rPr>
          <w:rFonts w:hint="cs"/>
          <w:rtl/>
        </w:rPr>
        <w:t>. כן משמשים הדוחות הכספיים ככלי בידי מקבלי ההחל</w:t>
      </w:r>
      <w:r w:rsidRPr="005F610A">
        <w:rPr>
          <w:rFonts w:hint="cs"/>
          <w:rtl/>
        </w:rPr>
        <w:t>טות בנוגע להקצאת המשאבים.</w:t>
      </w:r>
      <w:r w:rsidRPr="0017713C">
        <w:rPr>
          <w:rFonts w:hint="cs"/>
          <w:rtl/>
        </w:rPr>
        <w:t xml:space="preserve"> כדי להשיג</w:t>
      </w:r>
      <w:r>
        <w:rPr>
          <w:rFonts w:hint="cs"/>
          <w:rtl/>
        </w:rPr>
        <w:t xml:space="preserve"> את</w:t>
      </w:r>
      <w:r w:rsidRPr="0017713C">
        <w:rPr>
          <w:rFonts w:hint="cs"/>
          <w:rtl/>
        </w:rPr>
        <w:t xml:space="preserve"> מטרות אלו</w:t>
      </w:r>
      <w:r>
        <w:rPr>
          <w:rFonts w:hint="cs"/>
          <w:rtl/>
        </w:rPr>
        <w:t>,</w:t>
      </w:r>
      <w:r w:rsidRPr="0017713C">
        <w:rPr>
          <w:rFonts w:hint="cs"/>
          <w:rtl/>
        </w:rPr>
        <w:t xml:space="preserve"> על הדוחות הכספיים של </w:t>
      </w:r>
      <w:r>
        <w:rPr>
          <w:rFonts w:hint="cs"/>
          <w:rtl/>
        </w:rPr>
        <w:t>המדינה</w:t>
      </w:r>
      <w:r w:rsidRPr="0017713C">
        <w:rPr>
          <w:rFonts w:hint="cs"/>
          <w:rtl/>
        </w:rPr>
        <w:t xml:space="preserve"> להיות מלאים, מהימנים ומבוקרים</w:t>
      </w:r>
      <w:r w:rsidRPr="0017713C">
        <w:rPr>
          <w:rStyle w:val="FootnoteReference"/>
          <w:rtl/>
        </w:rPr>
        <w:footnoteReference w:id="1"/>
      </w:r>
      <w:r w:rsidRPr="0017713C">
        <w:rPr>
          <w:rFonts w:hint="cs"/>
          <w:rtl/>
        </w:rPr>
        <w:t>.</w:t>
      </w:r>
      <w:r>
        <w:rPr>
          <w:rFonts w:hint="cs"/>
          <w:rtl/>
        </w:rPr>
        <w:t xml:space="preserve"> תקן חשבונאות ממשלתי מספר 1 קובע כי האחריות לעריכת דוחות כספיים מאוחדים של הממשלה בכללותה, מוטלת במדינת ישראל על החשב הכללי. </w:t>
      </w:r>
    </w:p>
    <w:p w14:paraId="7F894D17" w14:textId="77777777" w:rsidR="00867DA1" w:rsidRDefault="00867DA1" w:rsidP="001C5D33">
      <w:pPr>
        <w:pStyle w:val="100"/>
        <w:rPr>
          <w:rtl/>
        </w:rPr>
      </w:pPr>
      <w:r>
        <w:rPr>
          <w:rFonts w:hint="cs"/>
          <w:rtl/>
        </w:rPr>
        <w:t>במבוא לדוחות הכספיים ליום 31.12.18, מצוין: "</w:t>
      </w:r>
      <w:r w:rsidRPr="005E37BB">
        <w:rPr>
          <w:rFonts w:hint="cs"/>
          <w:rtl/>
        </w:rPr>
        <w:t>הדוחות</w:t>
      </w:r>
      <w:r>
        <w:rPr>
          <w:rtl/>
        </w:rPr>
        <w:t xml:space="preserve"> </w:t>
      </w:r>
      <w:r w:rsidRPr="005E37BB">
        <w:rPr>
          <w:rFonts w:hint="cs"/>
          <w:rtl/>
        </w:rPr>
        <w:t>הכספיים</w:t>
      </w:r>
      <w:r>
        <w:rPr>
          <w:rtl/>
        </w:rPr>
        <w:t xml:space="preserve"> </w:t>
      </w:r>
      <w:r w:rsidRPr="005E37BB">
        <w:rPr>
          <w:rFonts w:hint="cs"/>
          <w:rtl/>
        </w:rPr>
        <w:t>מספקים</w:t>
      </w:r>
      <w:r>
        <w:rPr>
          <w:rtl/>
        </w:rPr>
        <w:t xml:space="preserve"> </w:t>
      </w:r>
      <w:r w:rsidRPr="005E37BB">
        <w:rPr>
          <w:rFonts w:hint="cs"/>
          <w:rtl/>
        </w:rPr>
        <w:t>לממשלה</w:t>
      </w:r>
      <w:r>
        <w:rPr>
          <w:rFonts w:hint="cs"/>
          <w:rtl/>
        </w:rPr>
        <w:t xml:space="preserve">, </w:t>
      </w:r>
      <w:r w:rsidRPr="005E37BB">
        <w:rPr>
          <w:rFonts w:hint="cs"/>
          <w:rtl/>
        </w:rPr>
        <w:t>לכנסת</w:t>
      </w:r>
      <w:r>
        <w:rPr>
          <w:rtl/>
        </w:rPr>
        <w:t xml:space="preserve"> </w:t>
      </w:r>
      <w:r w:rsidRPr="005E37BB">
        <w:rPr>
          <w:rFonts w:hint="cs"/>
          <w:rtl/>
        </w:rPr>
        <w:t>ולכלל</w:t>
      </w:r>
      <w:r>
        <w:rPr>
          <w:rtl/>
        </w:rPr>
        <w:t xml:space="preserve"> </w:t>
      </w:r>
      <w:r w:rsidRPr="005E37BB">
        <w:rPr>
          <w:rFonts w:hint="cs"/>
          <w:rtl/>
        </w:rPr>
        <w:t>הציבור</w:t>
      </w:r>
      <w:r>
        <w:rPr>
          <w:rFonts w:hint="cs"/>
          <w:rtl/>
        </w:rPr>
        <w:t xml:space="preserve">, </w:t>
      </w:r>
      <w:r w:rsidRPr="005E37BB">
        <w:rPr>
          <w:rFonts w:hint="cs"/>
          <w:rtl/>
        </w:rPr>
        <w:t>תמונת</w:t>
      </w:r>
      <w:r>
        <w:rPr>
          <w:rtl/>
        </w:rPr>
        <w:t xml:space="preserve"> </w:t>
      </w:r>
      <w:r w:rsidRPr="005E37BB">
        <w:rPr>
          <w:rFonts w:hint="cs"/>
          <w:rtl/>
        </w:rPr>
        <w:t>מצב</w:t>
      </w:r>
      <w:r>
        <w:rPr>
          <w:rtl/>
        </w:rPr>
        <w:t xml:space="preserve"> </w:t>
      </w:r>
      <w:r w:rsidRPr="005E37BB">
        <w:rPr>
          <w:rFonts w:hint="cs"/>
          <w:rtl/>
        </w:rPr>
        <w:t>מקיפה</w:t>
      </w:r>
      <w:r>
        <w:rPr>
          <w:rtl/>
        </w:rPr>
        <w:t xml:space="preserve"> </w:t>
      </w:r>
      <w:r w:rsidRPr="005E37BB">
        <w:rPr>
          <w:rFonts w:hint="cs"/>
          <w:rtl/>
        </w:rPr>
        <w:t>על</w:t>
      </w:r>
      <w:r>
        <w:rPr>
          <w:rtl/>
        </w:rPr>
        <w:t xml:space="preserve"> </w:t>
      </w:r>
      <w:r w:rsidRPr="005E37BB">
        <w:rPr>
          <w:rFonts w:hint="cs"/>
          <w:rtl/>
        </w:rPr>
        <w:t>האופן</w:t>
      </w:r>
      <w:r>
        <w:rPr>
          <w:rtl/>
        </w:rPr>
        <w:t xml:space="preserve"> </w:t>
      </w:r>
      <w:r w:rsidRPr="005E37BB">
        <w:rPr>
          <w:rFonts w:hint="cs"/>
          <w:rtl/>
        </w:rPr>
        <w:t>בו</w:t>
      </w:r>
      <w:r>
        <w:rPr>
          <w:rtl/>
        </w:rPr>
        <w:t xml:space="preserve"> </w:t>
      </w:r>
      <w:r w:rsidRPr="005E37BB">
        <w:rPr>
          <w:rFonts w:hint="cs"/>
          <w:rtl/>
        </w:rPr>
        <w:t>הרשות</w:t>
      </w:r>
      <w:r>
        <w:rPr>
          <w:rtl/>
        </w:rPr>
        <w:t xml:space="preserve"> </w:t>
      </w:r>
      <w:r w:rsidRPr="005E37BB">
        <w:rPr>
          <w:rFonts w:hint="cs"/>
          <w:rtl/>
        </w:rPr>
        <w:t>המבצעת</w:t>
      </w:r>
      <w:r>
        <w:rPr>
          <w:rFonts w:hint="cs"/>
          <w:rtl/>
        </w:rPr>
        <w:t xml:space="preserve"> </w:t>
      </w:r>
      <w:r w:rsidRPr="005E37BB">
        <w:rPr>
          <w:rFonts w:hint="cs"/>
          <w:rtl/>
        </w:rPr>
        <w:t>מנהלת</w:t>
      </w:r>
      <w:r>
        <w:rPr>
          <w:rtl/>
        </w:rPr>
        <w:t xml:space="preserve"> </w:t>
      </w:r>
      <w:r w:rsidRPr="005E37BB">
        <w:rPr>
          <w:rFonts w:hint="cs"/>
          <w:rtl/>
        </w:rPr>
        <w:t>את</w:t>
      </w:r>
      <w:r>
        <w:rPr>
          <w:rtl/>
        </w:rPr>
        <w:t xml:space="preserve"> </w:t>
      </w:r>
      <w:r w:rsidRPr="005E37BB">
        <w:rPr>
          <w:rFonts w:hint="cs"/>
          <w:rtl/>
        </w:rPr>
        <w:t>כלל</w:t>
      </w:r>
      <w:r>
        <w:rPr>
          <w:rtl/>
        </w:rPr>
        <w:t xml:space="preserve"> </w:t>
      </w:r>
      <w:r w:rsidRPr="005E37BB">
        <w:rPr>
          <w:rFonts w:hint="cs"/>
          <w:rtl/>
        </w:rPr>
        <w:t>משאביה</w:t>
      </w:r>
      <w:r>
        <w:rPr>
          <w:rFonts w:hint="cs"/>
          <w:rtl/>
        </w:rPr>
        <w:t xml:space="preserve">. </w:t>
      </w:r>
      <w:r w:rsidRPr="005E37BB">
        <w:rPr>
          <w:rFonts w:hint="cs"/>
          <w:rtl/>
        </w:rPr>
        <w:t>פעילותה</w:t>
      </w:r>
      <w:r>
        <w:rPr>
          <w:rtl/>
        </w:rPr>
        <w:t xml:space="preserve"> </w:t>
      </w:r>
      <w:r w:rsidRPr="005E37BB">
        <w:rPr>
          <w:rFonts w:hint="cs"/>
          <w:rtl/>
        </w:rPr>
        <w:t>של</w:t>
      </w:r>
      <w:r>
        <w:rPr>
          <w:rtl/>
        </w:rPr>
        <w:t xml:space="preserve"> </w:t>
      </w:r>
      <w:r w:rsidRPr="005E37BB">
        <w:rPr>
          <w:rFonts w:hint="cs"/>
          <w:rtl/>
        </w:rPr>
        <w:t>ממשלת</w:t>
      </w:r>
      <w:r>
        <w:rPr>
          <w:rtl/>
        </w:rPr>
        <w:t xml:space="preserve"> </w:t>
      </w:r>
      <w:r w:rsidRPr="005E37BB">
        <w:rPr>
          <w:rFonts w:hint="cs"/>
          <w:rtl/>
        </w:rPr>
        <w:t>ישראל</w:t>
      </w:r>
      <w:r>
        <w:rPr>
          <w:rtl/>
        </w:rPr>
        <w:t xml:space="preserve"> </w:t>
      </w:r>
      <w:r w:rsidRPr="005E37BB">
        <w:rPr>
          <w:rFonts w:hint="cs"/>
          <w:rtl/>
        </w:rPr>
        <w:t>ממומנת</w:t>
      </w:r>
      <w:r>
        <w:rPr>
          <w:rtl/>
        </w:rPr>
        <w:t xml:space="preserve"> </w:t>
      </w:r>
      <w:r w:rsidRPr="005E37BB">
        <w:rPr>
          <w:rFonts w:hint="cs"/>
          <w:rtl/>
        </w:rPr>
        <w:t>בעיקר</w:t>
      </w:r>
      <w:r>
        <w:rPr>
          <w:rtl/>
        </w:rPr>
        <w:t xml:space="preserve"> </w:t>
      </w:r>
      <w:r w:rsidRPr="005E37BB">
        <w:rPr>
          <w:rFonts w:hint="cs"/>
          <w:rtl/>
        </w:rPr>
        <w:t>מכספי</w:t>
      </w:r>
      <w:r>
        <w:rPr>
          <w:rtl/>
        </w:rPr>
        <w:t xml:space="preserve"> </w:t>
      </w:r>
      <w:r w:rsidRPr="005E37BB">
        <w:rPr>
          <w:rFonts w:hint="cs"/>
          <w:rtl/>
        </w:rPr>
        <w:t>מסים</w:t>
      </w:r>
      <w:r>
        <w:rPr>
          <w:rFonts w:hint="cs"/>
          <w:rtl/>
        </w:rPr>
        <w:t>, ה</w:t>
      </w:r>
      <w:r w:rsidRPr="005E37BB">
        <w:rPr>
          <w:rFonts w:hint="cs"/>
          <w:rtl/>
        </w:rPr>
        <w:t>משמשים</w:t>
      </w:r>
      <w:r>
        <w:rPr>
          <w:rtl/>
        </w:rPr>
        <w:t xml:space="preserve"> </w:t>
      </w:r>
      <w:r w:rsidRPr="005E37BB">
        <w:rPr>
          <w:rFonts w:hint="cs"/>
          <w:rtl/>
        </w:rPr>
        <w:t>למימוש</w:t>
      </w:r>
      <w:r>
        <w:rPr>
          <w:rFonts w:hint="cs"/>
          <w:rtl/>
        </w:rPr>
        <w:t xml:space="preserve"> </w:t>
      </w:r>
      <w:r w:rsidRPr="005E37BB">
        <w:rPr>
          <w:rFonts w:hint="cs"/>
          <w:rtl/>
        </w:rPr>
        <w:t>מדיניותה</w:t>
      </w:r>
      <w:r>
        <w:rPr>
          <w:rtl/>
        </w:rPr>
        <w:t xml:space="preserve"> </w:t>
      </w:r>
      <w:r w:rsidRPr="005E37BB">
        <w:rPr>
          <w:rFonts w:hint="cs"/>
          <w:rtl/>
        </w:rPr>
        <w:t>בתחומי</w:t>
      </w:r>
      <w:r>
        <w:rPr>
          <w:rtl/>
        </w:rPr>
        <w:t xml:space="preserve"> </w:t>
      </w:r>
      <w:r w:rsidRPr="005E37BB">
        <w:rPr>
          <w:rFonts w:hint="cs"/>
          <w:rtl/>
        </w:rPr>
        <w:t>הפעילות</w:t>
      </w:r>
      <w:r>
        <w:rPr>
          <w:rtl/>
        </w:rPr>
        <w:t xml:space="preserve"> </w:t>
      </w:r>
      <w:r>
        <w:rPr>
          <w:rFonts w:hint="cs"/>
          <w:rtl/>
        </w:rPr>
        <w:t>הבאים: ממש</w:t>
      </w:r>
      <w:r w:rsidRPr="005E37BB">
        <w:rPr>
          <w:rFonts w:hint="cs"/>
          <w:rtl/>
        </w:rPr>
        <w:t>ל</w:t>
      </w:r>
      <w:r>
        <w:rPr>
          <w:rtl/>
        </w:rPr>
        <w:t xml:space="preserve"> </w:t>
      </w:r>
      <w:r w:rsidRPr="005E37BB">
        <w:rPr>
          <w:rFonts w:hint="cs"/>
          <w:rtl/>
        </w:rPr>
        <w:t>ומינהל</w:t>
      </w:r>
      <w:r>
        <w:rPr>
          <w:rFonts w:hint="cs"/>
          <w:rtl/>
        </w:rPr>
        <w:t xml:space="preserve">, </w:t>
      </w:r>
      <w:r w:rsidRPr="005E37BB">
        <w:rPr>
          <w:rFonts w:hint="cs"/>
          <w:rtl/>
        </w:rPr>
        <w:t>חברה</w:t>
      </w:r>
      <w:r>
        <w:rPr>
          <w:rtl/>
        </w:rPr>
        <w:t xml:space="preserve"> </w:t>
      </w:r>
      <w:r>
        <w:rPr>
          <w:rFonts w:hint="cs"/>
          <w:rtl/>
        </w:rPr>
        <w:t xml:space="preserve">ורווחה, </w:t>
      </w:r>
      <w:r w:rsidRPr="005E37BB">
        <w:rPr>
          <w:rFonts w:hint="cs"/>
          <w:rtl/>
        </w:rPr>
        <w:t>תשתיות</w:t>
      </w:r>
      <w:r>
        <w:rPr>
          <w:rFonts w:hint="cs"/>
          <w:rtl/>
        </w:rPr>
        <w:t>,</w:t>
      </w:r>
      <w:r>
        <w:rPr>
          <w:rtl/>
        </w:rPr>
        <w:t xml:space="preserve"> </w:t>
      </w:r>
      <w:r w:rsidRPr="005E37BB">
        <w:rPr>
          <w:rFonts w:hint="cs"/>
          <w:rtl/>
        </w:rPr>
        <w:t>ביטחון</w:t>
      </w:r>
      <w:r>
        <w:rPr>
          <w:rtl/>
        </w:rPr>
        <w:t xml:space="preserve"> </w:t>
      </w:r>
      <w:r w:rsidRPr="005E37BB">
        <w:rPr>
          <w:rFonts w:hint="cs"/>
          <w:rtl/>
        </w:rPr>
        <w:t>וביטחון</w:t>
      </w:r>
      <w:r>
        <w:rPr>
          <w:rtl/>
        </w:rPr>
        <w:t xml:space="preserve"> </w:t>
      </w:r>
      <w:r w:rsidRPr="005E37BB">
        <w:rPr>
          <w:rFonts w:hint="cs"/>
          <w:rtl/>
        </w:rPr>
        <w:t>פנים</w:t>
      </w:r>
      <w:r>
        <w:rPr>
          <w:rFonts w:hint="cs"/>
          <w:rtl/>
        </w:rPr>
        <w:t xml:space="preserve">. מידע מפורט </w:t>
      </w:r>
      <w:r w:rsidRPr="005E37BB">
        <w:rPr>
          <w:rFonts w:hint="cs"/>
          <w:rtl/>
        </w:rPr>
        <w:t>בדבר</w:t>
      </w:r>
      <w:r>
        <w:rPr>
          <w:rtl/>
        </w:rPr>
        <w:t xml:space="preserve"> </w:t>
      </w:r>
      <w:r w:rsidRPr="005E37BB">
        <w:rPr>
          <w:rFonts w:hint="cs"/>
          <w:rtl/>
        </w:rPr>
        <w:t>הכנסותיה</w:t>
      </w:r>
      <w:r>
        <w:rPr>
          <w:rtl/>
        </w:rPr>
        <w:t xml:space="preserve"> </w:t>
      </w:r>
      <w:r w:rsidRPr="005E37BB">
        <w:rPr>
          <w:rFonts w:hint="cs"/>
          <w:rtl/>
        </w:rPr>
        <w:t>והוצאותיה</w:t>
      </w:r>
      <w:r>
        <w:rPr>
          <w:rFonts w:hint="cs"/>
          <w:rtl/>
        </w:rPr>
        <w:t>, נכסיה והתחייבויותיה יחד עם נושאים כספיים חשובים אחרים מוצג במסגרת הדוחות הכספיים ובביאורים הנלווים אליהם. מידע כאמור, עשוי לתרום להבנה טובה יותר של תהליכים כלכליים בממשלה בעלי השפעה על המדינה ואזרחיה, ומתוך כך, גם לשיפורם ולייעולם".</w:t>
      </w:r>
    </w:p>
    <w:p w14:paraId="5463620F" w14:textId="77777777" w:rsidR="00867DA1" w:rsidRDefault="00867DA1" w:rsidP="001C5D33">
      <w:pPr>
        <w:pStyle w:val="100"/>
        <w:rPr>
          <w:rtl/>
        </w:rPr>
      </w:pPr>
      <w:r>
        <w:rPr>
          <w:rtl/>
        </w:rPr>
        <w:t xml:space="preserve">משרד מבקר המדינה </w:t>
      </w:r>
      <w:r>
        <w:rPr>
          <w:rFonts w:hint="cs"/>
          <w:rtl/>
        </w:rPr>
        <w:t xml:space="preserve">בדק </w:t>
      </w:r>
      <w:r>
        <w:rPr>
          <w:rtl/>
        </w:rPr>
        <w:t>במבט</w:t>
      </w:r>
      <w:r w:rsidRPr="003A76C3">
        <w:rPr>
          <w:rtl/>
        </w:rPr>
        <w:t xml:space="preserve"> חשבונאי כולל ובראייה רחבה את הרפורמה החשבונאית הממשלתית, את התקינה החשבונאית </w:t>
      </w:r>
      <w:r>
        <w:rPr>
          <w:rFonts w:hint="cs"/>
          <w:rtl/>
        </w:rPr>
        <w:t>ש</w:t>
      </w:r>
      <w:r w:rsidRPr="003A76C3">
        <w:rPr>
          <w:rtl/>
        </w:rPr>
        <w:t xml:space="preserve">על פיה הדוחות הכספיים של </w:t>
      </w:r>
      <w:r>
        <w:rPr>
          <w:rFonts w:hint="cs"/>
          <w:rtl/>
        </w:rPr>
        <w:t>המדינה ערוכים</w:t>
      </w:r>
      <w:r w:rsidRPr="003A76C3">
        <w:rPr>
          <w:rtl/>
        </w:rPr>
        <w:t xml:space="preserve">, את אמינות </w:t>
      </w:r>
      <w:r>
        <w:rPr>
          <w:rFonts w:hint="cs"/>
          <w:rtl/>
        </w:rPr>
        <w:t xml:space="preserve">הנתונים שבדוחות, את </w:t>
      </w:r>
      <w:r w:rsidRPr="003A76C3">
        <w:rPr>
          <w:rtl/>
        </w:rPr>
        <w:t>שלמות</w:t>
      </w:r>
      <w:r>
        <w:rPr>
          <w:rFonts w:hint="cs"/>
          <w:rtl/>
        </w:rPr>
        <w:t>ם</w:t>
      </w:r>
      <w:r w:rsidRPr="003A76C3">
        <w:rPr>
          <w:rtl/>
        </w:rPr>
        <w:t xml:space="preserve"> ו</w:t>
      </w:r>
      <w:r>
        <w:rPr>
          <w:rFonts w:hint="cs"/>
          <w:rtl/>
        </w:rPr>
        <w:t>את ה</w:t>
      </w:r>
      <w:r w:rsidRPr="003A76C3">
        <w:rPr>
          <w:rtl/>
        </w:rPr>
        <w:t>בקר</w:t>
      </w:r>
      <w:r>
        <w:rPr>
          <w:rFonts w:hint="cs"/>
          <w:rtl/>
        </w:rPr>
        <w:t>ה</w:t>
      </w:r>
      <w:r w:rsidRPr="003A76C3">
        <w:rPr>
          <w:rtl/>
        </w:rPr>
        <w:t xml:space="preserve"> </w:t>
      </w:r>
      <w:r>
        <w:rPr>
          <w:rFonts w:hint="cs"/>
          <w:rtl/>
        </w:rPr>
        <w:t>עליהם,</w:t>
      </w:r>
      <w:r w:rsidRPr="003A76C3">
        <w:rPr>
          <w:rtl/>
        </w:rPr>
        <w:t xml:space="preserve"> וכן מגמות וסיכונים העולים </w:t>
      </w:r>
      <w:r>
        <w:rPr>
          <w:rFonts w:hint="cs"/>
          <w:rtl/>
        </w:rPr>
        <w:t>מהם</w:t>
      </w:r>
      <w:r w:rsidRPr="003A76C3">
        <w:rPr>
          <w:rtl/>
        </w:rPr>
        <w:t>.</w:t>
      </w:r>
      <w:r>
        <w:rPr>
          <w:rFonts w:hint="cs"/>
          <w:rtl/>
        </w:rPr>
        <w:t xml:space="preserve"> </w:t>
      </w:r>
      <w:r>
        <w:rPr>
          <w:rFonts w:asciiTheme="minorBidi" w:hAnsiTheme="minorBidi" w:hint="cs"/>
          <w:sz w:val="24"/>
          <w:rtl/>
        </w:rPr>
        <w:t>הביקורת נעשתה בעיקרה באגף החשב הכללי במשרד האוצר.</w:t>
      </w:r>
    </w:p>
    <w:p w14:paraId="6C755202" w14:textId="77777777" w:rsidR="00867DA1" w:rsidRDefault="00867DA1" w:rsidP="001C5D33">
      <w:pPr>
        <w:pStyle w:val="100"/>
        <w:rPr>
          <w:rtl/>
        </w:rPr>
      </w:pPr>
      <w:r>
        <w:rPr>
          <w:rFonts w:hint="cs"/>
          <w:sz w:val="24"/>
          <w:rtl/>
        </w:rPr>
        <w:t xml:space="preserve">בדצמבר 2019 שלח משרד מבקר המדינה שאלונים בנושא זה לכל החשבונאים הראשיים במשרדי ממשלה, ביחידות סמך ובישויות ממשלתיות אחרות (להלן - ישויות ממשלתיות). השאלון נועד לספק מידע </w:t>
      </w:r>
      <w:r w:rsidRPr="00B966B3">
        <w:rPr>
          <w:sz w:val="24"/>
          <w:rtl/>
        </w:rPr>
        <w:t>רלוונטי</w:t>
      </w:r>
      <w:r>
        <w:rPr>
          <w:rFonts w:hint="cs"/>
          <w:sz w:val="24"/>
          <w:rtl/>
        </w:rPr>
        <w:t xml:space="preserve"> על התקינה החשבונאית הממשלתית</w:t>
      </w:r>
      <w:r w:rsidRPr="00B966B3">
        <w:rPr>
          <w:sz w:val="24"/>
          <w:rtl/>
        </w:rPr>
        <w:t xml:space="preserve"> </w:t>
      </w:r>
      <w:r>
        <w:rPr>
          <w:rFonts w:hint="cs"/>
          <w:sz w:val="24"/>
          <w:rtl/>
        </w:rPr>
        <w:t>ועל שיתוף</w:t>
      </w:r>
      <w:r w:rsidRPr="00B966B3">
        <w:rPr>
          <w:sz w:val="24"/>
          <w:rtl/>
        </w:rPr>
        <w:t xml:space="preserve"> צוות הביקורת בהיבטים השונים הנוגעים לנושא זה.</w:t>
      </w:r>
      <w:r>
        <w:rPr>
          <w:rFonts w:hint="cs"/>
          <w:rtl/>
        </w:rPr>
        <w:t xml:space="preserve"> </w:t>
      </w:r>
      <w:r>
        <w:rPr>
          <w:rFonts w:hint="cs"/>
          <w:sz w:val="24"/>
          <w:rtl/>
        </w:rPr>
        <w:t>עד ינואר 2020 הגיעו למשרד מבקר המדינה תשובות מ-36 חשבונאיים ראשיים מתוך 58 (להלן - המידע שהתקבל מהחשבונאים הראשים במסגרת השאלון).</w:t>
      </w:r>
    </w:p>
    <w:p w14:paraId="432437EB" w14:textId="77777777" w:rsidR="00867DA1" w:rsidRDefault="00867DA1" w:rsidP="001C5D33">
      <w:pPr>
        <w:pStyle w:val="218"/>
        <w:rPr>
          <w:noProof/>
          <w:rtl/>
        </w:rPr>
      </w:pPr>
      <w:r>
        <w:rPr>
          <w:rFonts w:hint="cs"/>
          <w:noProof/>
          <w:rtl/>
        </w:rPr>
        <w:t>הרפורמה</w:t>
      </w:r>
      <w:r w:rsidRPr="004065E8">
        <w:rPr>
          <w:rFonts w:hint="cs"/>
          <w:noProof/>
          <w:rtl/>
        </w:rPr>
        <w:t xml:space="preserve"> החשב</w:t>
      </w:r>
      <w:r>
        <w:rPr>
          <w:rFonts w:hint="cs"/>
          <w:noProof/>
          <w:rtl/>
        </w:rPr>
        <w:t>ו</w:t>
      </w:r>
      <w:r w:rsidRPr="004065E8">
        <w:rPr>
          <w:rFonts w:hint="cs"/>
          <w:noProof/>
          <w:rtl/>
        </w:rPr>
        <w:t>נאית</w:t>
      </w:r>
      <w:r>
        <w:rPr>
          <w:rFonts w:hint="cs"/>
          <w:noProof/>
          <w:rtl/>
        </w:rPr>
        <w:t xml:space="preserve"> הממשלתית </w:t>
      </w:r>
    </w:p>
    <w:p w14:paraId="1A0471D6" w14:textId="77777777" w:rsidR="00867DA1" w:rsidRDefault="00867DA1" w:rsidP="001C5D33">
      <w:pPr>
        <w:pStyle w:val="100"/>
        <w:rPr>
          <w:rtl/>
        </w:rPr>
      </w:pPr>
      <w:r>
        <w:rPr>
          <w:rFonts w:hint="cs"/>
          <w:rtl/>
        </w:rPr>
        <w:t>חשבונאות ממשלתית, אמורה לתת למקבלי ההחלטות בממשלה, לציבור הרחב, לאנשי המקצוע, ולכל בעל עניין תמונת מצב עדכנית על מצבם הכספי הגופיים הממשלתיים (משרדי ממשלה</w:t>
      </w:r>
      <w:r w:rsidRPr="0051726A">
        <w:rPr>
          <w:rFonts w:hint="cs"/>
          <w:rtl/>
        </w:rPr>
        <w:t>, רשויות המדינה ויחידות סמך, חברות ממשלתיות ותאגידים סטטוטוריים</w:t>
      </w:r>
      <w:r>
        <w:rPr>
          <w:rStyle w:val="FootnoteReference"/>
          <w:rFonts w:cs="David"/>
          <w:rtl/>
        </w:rPr>
        <w:footnoteReference w:id="2"/>
      </w:r>
      <w:r w:rsidRPr="0051726A">
        <w:rPr>
          <w:rFonts w:hint="cs"/>
          <w:rtl/>
        </w:rPr>
        <w:t>)</w:t>
      </w:r>
      <w:r>
        <w:rPr>
          <w:rFonts w:hint="cs"/>
          <w:rtl/>
        </w:rPr>
        <w:t xml:space="preserve"> ועל תוצאות </w:t>
      </w:r>
      <w:r>
        <w:rPr>
          <w:rFonts w:hint="cs"/>
          <w:rtl/>
        </w:rPr>
        <w:lastRenderedPageBreak/>
        <w:t>פעולותיהם.</w:t>
      </w:r>
      <w:r w:rsidRPr="003D5F60">
        <w:rPr>
          <w:rFonts w:hint="cs"/>
          <w:rtl/>
        </w:rPr>
        <w:t xml:space="preserve"> </w:t>
      </w:r>
      <w:r w:rsidRPr="0051726A">
        <w:rPr>
          <w:rFonts w:hint="cs"/>
          <w:rtl/>
        </w:rPr>
        <w:t xml:space="preserve">תקני החשבונאות הממשלתיים </w:t>
      </w:r>
      <w:r>
        <w:rPr>
          <w:rFonts w:hint="cs"/>
          <w:rtl/>
        </w:rPr>
        <w:t>מנחים את עורכי הדוחות הכספיים ב</w:t>
      </w:r>
      <w:r w:rsidRPr="0051726A">
        <w:rPr>
          <w:rFonts w:hint="cs"/>
          <w:rtl/>
        </w:rPr>
        <w:t xml:space="preserve">סיווג, </w:t>
      </w:r>
      <w:r>
        <w:rPr>
          <w:rFonts w:hint="cs"/>
          <w:rtl/>
        </w:rPr>
        <w:t>ב</w:t>
      </w:r>
      <w:r w:rsidRPr="0051726A">
        <w:rPr>
          <w:rFonts w:hint="cs"/>
          <w:rtl/>
        </w:rPr>
        <w:t>גילוי ו</w:t>
      </w:r>
      <w:r>
        <w:rPr>
          <w:rFonts w:hint="cs"/>
          <w:rtl/>
        </w:rPr>
        <w:t>ב</w:t>
      </w:r>
      <w:r w:rsidRPr="0051726A">
        <w:rPr>
          <w:rFonts w:hint="cs"/>
          <w:rtl/>
        </w:rPr>
        <w:t xml:space="preserve">טיפול החשבונאי בפריטים מסוימים בדוחות הכספיים </w:t>
      </w:r>
      <w:r>
        <w:rPr>
          <w:rFonts w:hint="cs"/>
          <w:rtl/>
        </w:rPr>
        <w:t>ויוצרים תבנית קבועה</w:t>
      </w:r>
      <w:r w:rsidRPr="0051726A">
        <w:rPr>
          <w:rFonts w:hint="cs"/>
          <w:rtl/>
        </w:rPr>
        <w:t xml:space="preserve"> להצגת המידע</w:t>
      </w:r>
      <w:r>
        <w:rPr>
          <w:rFonts w:hint="cs"/>
          <w:rtl/>
        </w:rPr>
        <w:t xml:space="preserve"> הכספי</w:t>
      </w:r>
      <w:r w:rsidRPr="0051726A">
        <w:rPr>
          <w:rFonts w:hint="cs"/>
          <w:rtl/>
        </w:rPr>
        <w:t>.</w:t>
      </w:r>
      <w:r>
        <w:rPr>
          <w:rFonts w:hint="cs"/>
          <w:rtl/>
        </w:rPr>
        <w:t xml:space="preserve"> </w:t>
      </w:r>
      <w:r w:rsidRPr="0051726A">
        <w:rPr>
          <w:rFonts w:hint="cs"/>
          <w:rtl/>
        </w:rPr>
        <w:t>כך</w:t>
      </w:r>
      <w:r>
        <w:rPr>
          <w:rFonts w:hint="cs"/>
          <w:rtl/>
        </w:rPr>
        <w:t xml:space="preserve"> אפשר</w:t>
      </w:r>
      <w:r w:rsidRPr="0051726A">
        <w:rPr>
          <w:rFonts w:hint="cs"/>
          <w:rtl/>
        </w:rPr>
        <w:t xml:space="preserve"> להשוות </w:t>
      </w:r>
      <w:r>
        <w:rPr>
          <w:rFonts w:hint="cs"/>
          <w:rtl/>
        </w:rPr>
        <w:t>בין</w:t>
      </w:r>
      <w:r w:rsidRPr="0051726A">
        <w:rPr>
          <w:rFonts w:hint="cs"/>
          <w:rtl/>
        </w:rPr>
        <w:t xml:space="preserve"> דוחות כספיים לדוחות מתקופות </w:t>
      </w:r>
      <w:r>
        <w:rPr>
          <w:rFonts w:hint="cs"/>
          <w:rtl/>
        </w:rPr>
        <w:t xml:space="preserve">אחרות, </w:t>
      </w:r>
      <w:r w:rsidRPr="0051726A">
        <w:rPr>
          <w:rFonts w:hint="cs"/>
          <w:rtl/>
        </w:rPr>
        <w:t xml:space="preserve">לדוחות של </w:t>
      </w:r>
      <w:r>
        <w:rPr>
          <w:rFonts w:hint="cs"/>
          <w:rtl/>
        </w:rPr>
        <w:t>ישויות אחרות</w:t>
      </w:r>
      <w:r w:rsidRPr="0051726A">
        <w:rPr>
          <w:rFonts w:hint="cs"/>
          <w:rtl/>
        </w:rPr>
        <w:t>.</w:t>
      </w:r>
      <w:r w:rsidRPr="0051726A">
        <w:t>​​​</w:t>
      </w:r>
    </w:p>
    <w:p w14:paraId="25D944FD" w14:textId="77777777" w:rsidR="00867DA1" w:rsidRDefault="00867DA1" w:rsidP="001C5D33">
      <w:pPr>
        <w:pStyle w:val="100"/>
        <w:rPr>
          <w:rtl/>
        </w:rPr>
      </w:pPr>
      <w:r>
        <w:rPr>
          <w:rFonts w:hint="cs"/>
          <w:rtl/>
        </w:rPr>
        <w:t xml:space="preserve">בסוף המאה העשרים החלו ממשלות של מדינות מובילות בעולם המערבי לבצע רפורמות בחשבונאות הממשלתית כדי לספק למשתמשים השונים בדיווח הכספי הממשלתי גילוי נאות על תוצאות פעילותן ומידע מלא, שלם ומועיל עליהן. עם הראשונות שבמדינות העולם שביצעו רפורמה בחשבונאות הממשלתית נמנות ארצות הברית, קנדה, ניו זילנד ואנגלייה. </w:t>
      </w:r>
    </w:p>
    <w:p w14:paraId="5DAD9112" w14:textId="77777777" w:rsidR="00867DA1" w:rsidRPr="00E73311" w:rsidRDefault="00867DA1" w:rsidP="001C5D33">
      <w:pPr>
        <w:pStyle w:val="100"/>
        <w:rPr>
          <w:rtl/>
        </w:rPr>
      </w:pPr>
      <w:r>
        <w:rPr>
          <w:rFonts w:hint="cs"/>
          <w:rtl/>
        </w:rPr>
        <w:t>לפני כשני עשורים החלה גם ממשלת ישראל ב</w:t>
      </w:r>
      <w:r w:rsidRPr="00E73311">
        <w:rPr>
          <w:rFonts w:hint="cs"/>
          <w:rtl/>
        </w:rPr>
        <w:t>תהליך</w:t>
      </w:r>
      <w:r w:rsidRPr="00E73311">
        <w:rPr>
          <w:rtl/>
        </w:rPr>
        <w:t xml:space="preserve"> </w:t>
      </w:r>
      <w:r w:rsidRPr="00E73311">
        <w:rPr>
          <w:rFonts w:hint="cs"/>
          <w:rtl/>
        </w:rPr>
        <w:t>של</w:t>
      </w:r>
      <w:r w:rsidRPr="00E73311">
        <w:rPr>
          <w:rtl/>
        </w:rPr>
        <w:t xml:space="preserve"> </w:t>
      </w:r>
      <w:r w:rsidRPr="00E73311">
        <w:rPr>
          <w:rFonts w:hint="cs"/>
          <w:rtl/>
        </w:rPr>
        <w:t>רפורמה</w:t>
      </w:r>
      <w:r w:rsidRPr="00E73311">
        <w:rPr>
          <w:rtl/>
        </w:rPr>
        <w:t xml:space="preserve"> </w:t>
      </w:r>
      <w:r w:rsidRPr="00E73311">
        <w:rPr>
          <w:rFonts w:hint="cs"/>
          <w:rtl/>
        </w:rPr>
        <w:t>מקיפה</w:t>
      </w:r>
      <w:r w:rsidRPr="00E73311">
        <w:rPr>
          <w:rtl/>
        </w:rPr>
        <w:t xml:space="preserve"> </w:t>
      </w:r>
      <w:r w:rsidRPr="00E73311">
        <w:rPr>
          <w:rFonts w:hint="cs"/>
          <w:rtl/>
        </w:rPr>
        <w:t>בחשבונאות</w:t>
      </w:r>
      <w:r w:rsidRPr="00E73311">
        <w:rPr>
          <w:rtl/>
        </w:rPr>
        <w:t xml:space="preserve"> </w:t>
      </w:r>
      <w:r w:rsidRPr="00E73311">
        <w:rPr>
          <w:rFonts w:hint="cs"/>
          <w:rtl/>
        </w:rPr>
        <w:t>הממשלתית</w:t>
      </w:r>
      <w:r>
        <w:rPr>
          <w:rStyle w:val="FootnoteReference"/>
          <w:sz w:val="24"/>
          <w:rtl/>
        </w:rPr>
        <w:footnoteReference w:id="3"/>
      </w:r>
      <w:r w:rsidRPr="00E73311">
        <w:rPr>
          <w:rtl/>
        </w:rPr>
        <w:t xml:space="preserve">, </w:t>
      </w:r>
      <w:r w:rsidRPr="00E73311">
        <w:rPr>
          <w:rFonts w:hint="cs"/>
          <w:rtl/>
        </w:rPr>
        <w:t>שעיקרה</w:t>
      </w:r>
      <w:r w:rsidRPr="00E73311">
        <w:rPr>
          <w:rtl/>
        </w:rPr>
        <w:t xml:space="preserve"> </w:t>
      </w:r>
      <w:r w:rsidRPr="00E73311">
        <w:rPr>
          <w:rFonts w:hint="cs"/>
          <w:rtl/>
        </w:rPr>
        <w:t>אימוץ</w:t>
      </w:r>
      <w:r w:rsidRPr="00E73311">
        <w:rPr>
          <w:rtl/>
        </w:rPr>
        <w:t xml:space="preserve"> </w:t>
      </w:r>
      <w:r w:rsidRPr="00E73311">
        <w:rPr>
          <w:rFonts w:hint="cs"/>
          <w:rtl/>
        </w:rPr>
        <w:t>הדרגתי</w:t>
      </w:r>
      <w:r w:rsidRPr="00E73311">
        <w:rPr>
          <w:rtl/>
        </w:rPr>
        <w:t xml:space="preserve"> </w:t>
      </w:r>
      <w:r w:rsidRPr="00E73311">
        <w:rPr>
          <w:rFonts w:hint="cs"/>
          <w:rtl/>
        </w:rPr>
        <w:t>של</w:t>
      </w:r>
      <w:r w:rsidRPr="00E73311">
        <w:rPr>
          <w:rtl/>
        </w:rPr>
        <w:t xml:space="preserve"> </w:t>
      </w:r>
      <w:r w:rsidRPr="00E73311">
        <w:rPr>
          <w:rFonts w:hint="cs"/>
          <w:rtl/>
        </w:rPr>
        <w:t>התקינה</w:t>
      </w:r>
      <w:r w:rsidRPr="00E73311">
        <w:rPr>
          <w:rtl/>
        </w:rPr>
        <w:t xml:space="preserve"> </w:t>
      </w:r>
      <w:r w:rsidRPr="00E73311">
        <w:rPr>
          <w:rFonts w:hint="cs"/>
          <w:rtl/>
        </w:rPr>
        <w:t>החשבונאית</w:t>
      </w:r>
      <w:r w:rsidRPr="00E73311">
        <w:rPr>
          <w:rtl/>
        </w:rPr>
        <w:t xml:space="preserve"> </w:t>
      </w:r>
      <w:r w:rsidRPr="00E73311">
        <w:rPr>
          <w:rFonts w:hint="cs"/>
          <w:rtl/>
        </w:rPr>
        <w:t>ה</w:t>
      </w:r>
      <w:r>
        <w:rPr>
          <w:rFonts w:hint="cs"/>
          <w:rtl/>
        </w:rPr>
        <w:t xml:space="preserve">בין-לאומית </w:t>
      </w:r>
      <w:r w:rsidRPr="00E73311">
        <w:rPr>
          <w:rFonts w:hint="cs"/>
          <w:rtl/>
        </w:rPr>
        <w:t>למגזר</w:t>
      </w:r>
      <w:r w:rsidRPr="00E73311">
        <w:rPr>
          <w:rtl/>
        </w:rPr>
        <w:t xml:space="preserve"> </w:t>
      </w:r>
      <w:r w:rsidRPr="00E73311">
        <w:rPr>
          <w:rFonts w:hint="cs"/>
          <w:rtl/>
        </w:rPr>
        <w:t>הצ</w:t>
      </w:r>
      <w:r w:rsidRPr="00E73311">
        <w:rPr>
          <w:rtl/>
        </w:rPr>
        <w:t xml:space="preserve">יבורי, ניהול חשבונאי של נכסי המדינה והתחייבויותיה תוך מעבר </w:t>
      </w:r>
      <w:r>
        <w:rPr>
          <w:rFonts w:hint="cs"/>
          <w:rtl/>
        </w:rPr>
        <w:t xml:space="preserve">של </w:t>
      </w:r>
      <w:r w:rsidRPr="00E73311">
        <w:rPr>
          <w:rtl/>
        </w:rPr>
        <w:t>הדיווח החשבונאי מבסיס מזומן לבסיס מצטבר</w:t>
      </w:r>
      <w:r>
        <w:rPr>
          <w:rStyle w:val="FootnoteReference"/>
          <w:rtl/>
        </w:rPr>
        <w:footnoteReference w:id="4"/>
      </w:r>
      <w:r w:rsidRPr="00E73311">
        <w:rPr>
          <w:rtl/>
        </w:rPr>
        <w:t>, והגברת אמינותו של הדיווח הכספי באמצעות ביקורת חיצונית על הדוחות הכספיים</w:t>
      </w:r>
      <w:r w:rsidRPr="00E73311">
        <w:rPr>
          <w:rFonts w:ascii="Arial" w:hAnsi="Arial" w:cs="Arial" w:hint="cs"/>
          <w:rtl/>
        </w:rPr>
        <w:t>​</w:t>
      </w:r>
      <w:r w:rsidRPr="00E73311">
        <w:t>.</w:t>
      </w:r>
      <w:r>
        <w:rPr>
          <w:rFonts w:hint="cs"/>
          <w:rtl/>
        </w:rPr>
        <w:t xml:space="preserve"> עם השלמת התהליך, יותאמו נורמות הדיווח והשקיפות במגזר הציבורי לאלה המקובלות במגזר העסקי. על הרפורמה האמורה אחראי החשבונאי הראשי, העומד בראש החטיבה לחשבונאות ודיווח באגף החשב הכללי שבמשרד האוצר. </w:t>
      </w:r>
    </w:p>
    <w:p w14:paraId="216F524C" w14:textId="77777777" w:rsidR="00867DA1" w:rsidRDefault="00867DA1" w:rsidP="001C5D33">
      <w:pPr>
        <w:pStyle w:val="100"/>
        <w:rPr>
          <w:rtl/>
        </w:rPr>
      </w:pPr>
      <w:r>
        <w:rPr>
          <w:rFonts w:hint="cs"/>
          <w:rtl/>
        </w:rPr>
        <w:t>ה</w:t>
      </w:r>
      <w:r w:rsidRPr="00144386">
        <w:rPr>
          <w:rtl/>
        </w:rPr>
        <w:t>חטיב</w:t>
      </w:r>
      <w:r>
        <w:rPr>
          <w:rFonts w:hint="cs"/>
          <w:rtl/>
        </w:rPr>
        <w:t>ה</w:t>
      </w:r>
      <w:r w:rsidRPr="00144386">
        <w:rPr>
          <w:rtl/>
        </w:rPr>
        <w:t xml:space="preserve"> </w:t>
      </w:r>
      <w:r>
        <w:rPr>
          <w:rFonts w:hint="cs"/>
          <w:rtl/>
        </w:rPr>
        <w:t>ל</w:t>
      </w:r>
      <w:r>
        <w:rPr>
          <w:rtl/>
        </w:rPr>
        <w:t>חשבונאות ו</w:t>
      </w:r>
      <w:r>
        <w:rPr>
          <w:rFonts w:hint="cs"/>
          <w:rtl/>
        </w:rPr>
        <w:t>דיווח אחראית על עריכת הדוחות הכספיים המאוחדים</w:t>
      </w:r>
      <w:r>
        <w:rPr>
          <w:rStyle w:val="FootnoteReference"/>
          <w:rFonts w:eastAsia="Calibri"/>
          <w:sz w:val="24"/>
          <w:rtl/>
        </w:rPr>
        <w:footnoteReference w:id="5"/>
      </w:r>
      <w:r>
        <w:rPr>
          <w:rFonts w:hint="cs"/>
          <w:rtl/>
        </w:rPr>
        <w:t xml:space="preserve"> ודוח ביצוע התקציב של מדינת ישראל ועל ופרסומם; על </w:t>
      </w:r>
      <w:r w:rsidRPr="00144386">
        <w:rPr>
          <w:rtl/>
        </w:rPr>
        <w:t>ניהול הרפורמה בחשבונאות הממשלתית</w:t>
      </w:r>
      <w:r>
        <w:rPr>
          <w:rFonts w:hint="cs"/>
          <w:rtl/>
        </w:rPr>
        <w:t xml:space="preserve"> והטמעתה </w:t>
      </w:r>
      <w:r w:rsidRPr="00144386">
        <w:rPr>
          <w:rtl/>
        </w:rPr>
        <w:t>תוך אימוץ</w:t>
      </w:r>
      <w:r>
        <w:rPr>
          <w:rFonts w:hint="cs"/>
          <w:rtl/>
        </w:rPr>
        <w:t xml:space="preserve"> של</w:t>
      </w:r>
      <w:r w:rsidRPr="00144386">
        <w:rPr>
          <w:rtl/>
        </w:rPr>
        <w:t xml:space="preserve"> התקינה החשבונאית ה</w:t>
      </w:r>
      <w:r>
        <w:rPr>
          <w:rtl/>
        </w:rPr>
        <w:t>בין-לאומית</w:t>
      </w:r>
      <w:r w:rsidRPr="00144386">
        <w:rPr>
          <w:rtl/>
        </w:rPr>
        <w:t xml:space="preserve"> למגזר הציבורי</w:t>
      </w:r>
      <w:r>
        <w:rPr>
          <w:rFonts w:hint="cs"/>
          <w:rtl/>
        </w:rPr>
        <w:t>; על ניהול מערך</w:t>
      </w:r>
      <w:r w:rsidRPr="00144386">
        <w:rPr>
          <w:rtl/>
        </w:rPr>
        <w:t xml:space="preserve"> </w:t>
      </w:r>
      <w:r>
        <w:rPr>
          <w:rFonts w:hint="cs"/>
          <w:rtl/>
        </w:rPr>
        <w:t>ה</w:t>
      </w:r>
      <w:r w:rsidRPr="00144386">
        <w:rPr>
          <w:rtl/>
        </w:rPr>
        <w:t xml:space="preserve">ביקורת </w:t>
      </w:r>
      <w:r>
        <w:rPr>
          <w:rFonts w:hint="cs"/>
          <w:rtl/>
        </w:rPr>
        <w:t>ה</w:t>
      </w:r>
      <w:r w:rsidRPr="00144386">
        <w:rPr>
          <w:rtl/>
        </w:rPr>
        <w:t>חיצונית על הדוחות הכספיים של משרדי הממשל</w:t>
      </w:r>
      <w:r w:rsidRPr="00144386">
        <w:rPr>
          <w:rFonts w:hint="cs"/>
          <w:rtl/>
        </w:rPr>
        <w:t xml:space="preserve">ה; </w:t>
      </w:r>
      <w:r>
        <w:rPr>
          <w:rFonts w:hint="cs"/>
          <w:rtl/>
        </w:rPr>
        <w:t xml:space="preserve">על ניתוח נתוני הדוחות הכספיים ועל </w:t>
      </w:r>
      <w:r w:rsidRPr="00144386">
        <w:rPr>
          <w:rtl/>
        </w:rPr>
        <w:t>ניהול מאגר רואי החשבון הממשלתי.</w:t>
      </w:r>
      <w:r>
        <w:rPr>
          <w:rFonts w:hint="cs"/>
          <w:rtl/>
        </w:rPr>
        <w:t xml:space="preserve"> </w:t>
      </w:r>
      <w:r w:rsidRPr="00144386">
        <w:rPr>
          <w:rtl/>
        </w:rPr>
        <w:t xml:space="preserve">החטיבה </w:t>
      </w:r>
      <w:r>
        <w:rPr>
          <w:rFonts w:hint="cs"/>
          <w:rtl/>
        </w:rPr>
        <w:t>היא</w:t>
      </w:r>
      <w:r w:rsidRPr="00144386">
        <w:rPr>
          <w:rtl/>
        </w:rPr>
        <w:t xml:space="preserve"> הגורם החשבונאי הראשי בממשלה,</w:t>
      </w:r>
      <w:r>
        <w:rPr>
          <w:rFonts w:hint="cs"/>
          <w:rtl/>
        </w:rPr>
        <w:t xml:space="preserve"> ומוטל עליה להנחות מבחינה</w:t>
      </w:r>
      <w:r w:rsidRPr="00144386">
        <w:rPr>
          <w:rtl/>
        </w:rPr>
        <w:t xml:space="preserve"> מקצועית את כל משרדי הממשלה ויחידות הסמך שלה בנושאי חשבונאות ודיווח כספי. </w:t>
      </w:r>
    </w:p>
    <w:p w14:paraId="2667E0EE" w14:textId="77777777" w:rsidR="00867DA1" w:rsidRDefault="00867DA1" w:rsidP="001C5D33">
      <w:pPr>
        <w:pStyle w:val="100"/>
        <w:rPr>
          <w:rtl/>
        </w:rPr>
      </w:pPr>
      <w:r>
        <w:rPr>
          <w:rFonts w:hint="cs"/>
          <w:rtl/>
        </w:rPr>
        <w:t xml:space="preserve">לציבור הרחב, למקבלי ההחלטות ולשאר משתמשי הדוחות הכספיים תועלת מהותית מיישום מלא של הרפורמה החשבונאית הממשלתית: בהשוואתיות, שקיפות, אחריותיות, ושיפור בתהליכי קבלת החלטות, כפי שמפורט בתרשים שלהלן: </w:t>
      </w:r>
    </w:p>
    <w:p w14:paraId="25032962" w14:textId="3B86F4A8" w:rsidR="00867DA1" w:rsidRDefault="00867DA1" w:rsidP="001C5D33">
      <w:pPr>
        <w:bidi w:val="0"/>
        <w:spacing w:after="200" w:line="276" w:lineRule="auto"/>
        <w:rPr>
          <w:rtl/>
        </w:rPr>
      </w:pPr>
      <w:r>
        <w:rPr>
          <w:rtl/>
        </w:rPr>
        <w:br w:type="page"/>
      </w:r>
    </w:p>
    <w:p w14:paraId="0557562B" w14:textId="77777777" w:rsidR="00867DA1" w:rsidRDefault="00867DA1" w:rsidP="001C5D33">
      <w:pPr>
        <w:pStyle w:val="aa"/>
        <w:rPr>
          <w:rtl/>
        </w:rPr>
      </w:pPr>
      <w:r>
        <w:rPr>
          <w:rFonts w:hint="cs"/>
          <w:rtl/>
        </w:rPr>
        <w:lastRenderedPageBreak/>
        <w:t xml:space="preserve">תרשים 1: </w:t>
      </w:r>
      <w:r w:rsidRPr="001C5D33">
        <w:rPr>
          <w:rFonts w:hint="cs"/>
          <w:b/>
          <w:bCs/>
          <w:rtl/>
        </w:rPr>
        <w:t>יתרונות הרפורמה החשבונאית הממשלתית</w:t>
      </w:r>
    </w:p>
    <w:p w14:paraId="029160A1" w14:textId="77777777" w:rsidR="00867DA1" w:rsidRDefault="00867DA1" w:rsidP="00867DA1">
      <w:pPr>
        <w:spacing w:line="269" w:lineRule="auto"/>
        <w:rPr>
          <w:sz w:val="24"/>
        </w:rPr>
      </w:pPr>
      <w:r w:rsidRPr="004065E8">
        <w:rPr>
          <w:rFonts w:hint="cs"/>
          <w:noProof/>
          <w:sz w:val="24"/>
        </w:rPr>
        <w:drawing>
          <wp:inline distT="0" distB="0" distL="0" distR="0" wp14:anchorId="443E495E" wp14:editId="24917A16">
            <wp:extent cx="5219700" cy="1200004"/>
            <wp:effectExtent l="0" t="38100" r="19050" b="19685"/>
            <wp:docPr id="37" name="דיאגרמה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4065E8">
        <w:rPr>
          <w:rFonts w:hint="cs"/>
          <w:noProof/>
          <w:sz w:val="24"/>
        </w:rPr>
        <w:drawing>
          <wp:inline distT="0" distB="0" distL="0" distR="0" wp14:anchorId="7C0556C9" wp14:editId="73DF5115">
            <wp:extent cx="5219700" cy="1161909"/>
            <wp:effectExtent l="0" t="0" r="57150" b="19685"/>
            <wp:docPr id="4"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4065E8">
        <w:rPr>
          <w:rFonts w:hint="cs"/>
          <w:noProof/>
          <w:sz w:val="24"/>
        </w:rPr>
        <w:drawing>
          <wp:inline distT="0" distB="0" distL="0" distR="0" wp14:anchorId="59367A67" wp14:editId="1A02B14A">
            <wp:extent cx="5219700" cy="1200004"/>
            <wp:effectExtent l="0" t="0" r="19050" b="19685"/>
            <wp:docPr id="5" name="דיאגרמה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4065E8">
        <w:rPr>
          <w:rFonts w:hint="cs"/>
          <w:noProof/>
          <w:sz w:val="24"/>
        </w:rPr>
        <w:drawing>
          <wp:inline distT="0" distB="0" distL="0" distR="0" wp14:anchorId="74581EA0" wp14:editId="739BC98C">
            <wp:extent cx="5220335" cy="1200150"/>
            <wp:effectExtent l="0" t="0" r="18415" b="0"/>
            <wp:docPr id="16"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5B82A1C" w14:textId="77777777" w:rsidR="00867DA1" w:rsidRDefault="00867DA1" w:rsidP="004F1D97">
      <w:pPr>
        <w:pStyle w:val="316"/>
        <w:rPr>
          <w:rtl/>
        </w:rPr>
      </w:pPr>
      <w:r>
        <w:rPr>
          <w:rFonts w:hint="cs"/>
          <w:rtl/>
        </w:rPr>
        <w:t xml:space="preserve">בסיס הדיווח החשבונאי בדוחות הכספיים של מדינת ישראל </w:t>
      </w:r>
    </w:p>
    <w:p w14:paraId="283BFA3B" w14:textId="77777777" w:rsidR="00867DA1" w:rsidRDefault="00867DA1" w:rsidP="004F1D97">
      <w:pPr>
        <w:pStyle w:val="100"/>
        <w:rPr>
          <w:rtl/>
        </w:rPr>
      </w:pPr>
      <w:r w:rsidRPr="00FD64E5">
        <w:rPr>
          <w:rtl/>
        </w:rPr>
        <w:t xml:space="preserve">דוחות כספיים </w:t>
      </w:r>
      <w:r>
        <w:rPr>
          <w:rFonts w:hint="cs"/>
          <w:rtl/>
        </w:rPr>
        <w:t>הערוכים</w:t>
      </w:r>
      <w:r w:rsidRPr="00FD64E5">
        <w:rPr>
          <w:rtl/>
        </w:rPr>
        <w:t xml:space="preserve"> על בסיס</w:t>
      </w:r>
      <w:r>
        <w:rPr>
          <w:rFonts w:hint="cs"/>
          <w:rtl/>
        </w:rPr>
        <w:t xml:space="preserve"> דיווח</w:t>
      </w:r>
      <w:r w:rsidRPr="00FD64E5">
        <w:rPr>
          <w:rtl/>
        </w:rPr>
        <w:t xml:space="preserve"> מצטבר </w:t>
      </w:r>
      <w:r>
        <w:rPr>
          <w:rFonts w:hint="cs"/>
          <w:rtl/>
        </w:rPr>
        <w:t>מספקים מידע</w:t>
      </w:r>
      <w:r w:rsidRPr="00FD64E5">
        <w:rPr>
          <w:rtl/>
        </w:rPr>
        <w:t xml:space="preserve"> על עסקאות עבר </w:t>
      </w:r>
      <w:r>
        <w:rPr>
          <w:rFonts w:hint="cs"/>
          <w:rtl/>
        </w:rPr>
        <w:t>הכרוכות</w:t>
      </w:r>
      <w:r w:rsidRPr="00FD64E5">
        <w:rPr>
          <w:rtl/>
        </w:rPr>
        <w:t xml:space="preserve"> </w:t>
      </w:r>
      <w:r>
        <w:rPr>
          <w:rFonts w:hint="cs"/>
          <w:rtl/>
        </w:rPr>
        <w:t>ב</w:t>
      </w:r>
      <w:r w:rsidRPr="00FD64E5">
        <w:rPr>
          <w:rtl/>
        </w:rPr>
        <w:t>תשלום</w:t>
      </w:r>
      <w:r>
        <w:rPr>
          <w:rFonts w:hint="cs"/>
          <w:rtl/>
        </w:rPr>
        <w:t xml:space="preserve"> </w:t>
      </w:r>
      <w:r w:rsidRPr="00FD64E5">
        <w:rPr>
          <w:rtl/>
        </w:rPr>
        <w:t>ו</w:t>
      </w:r>
      <w:r>
        <w:rPr>
          <w:rFonts w:hint="cs"/>
          <w:rtl/>
        </w:rPr>
        <w:t>ב</w:t>
      </w:r>
      <w:r w:rsidRPr="00FD64E5">
        <w:rPr>
          <w:rtl/>
        </w:rPr>
        <w:t>קבלה של מזומ</w:t>
      </w:r>
      <w:r>
        <w:rPr>
          <w:rFonts w:hint="cs"/>
          <w:rtl/>
        </w:rPr>
        <w:t>נים</w:t>
      </w:r>
      <w:r w:rsidRPr="00FD64E5">
        <w:rPr>
          <w:rtl/>
        </w:rPr>
        <w:t xml:space="preserve"> בתקופת הדיווח, </w:t>
      </w:r>
      <w:r>
        <w:rPr>
          <w:rFonts w:hint="cs"/>
          <w:rtl/>
        </w:rPr>
        <w:t xml:space="preserve">על </w:t>
      </w:r>
      <w:r w:rsidRPr="00FD64E5">
        <w:rPr>
          <w:rtl/>
        </w:rPr>
        <w:t>מחויבויות לשלם בעתיד מזומ</w:t>
      </w:r>
      <w:r>
        <w:rPr>
          <w:rFonts w:hint="cs"/>
          <w:rtl/>
        </w:rPr>
        <w:t>נים</w:t>
      </w:r>
      <w:r w:rsidRPr="00FD64E5">
        <w:rPr>
          <w:rtl/>
        </w:rPr>
        <w:t xml:space="preserve"> או </w:t>
      </w:r>
      <w:r>
        <w:rPr>
          <w:rFonts w:hint="cs"/>
          <w:rtl/>
        </w:rPr>
        <w:t>למסור</w:t>
      </w:r>
      <w:r w:rsidRPr="00FD64E5">
        <w:rPr>
          <w:rtl/>
        </w:rPr>
        <w:t xml:space="preserve"> משאבים אחרים של הישות, </w:t>
      </w:r>
      <w:r>
        <w:rPr>
          <w:rFonts w:hint="cs"/>
          <w:rtl/>
        </w:rPr>
        <w:t xml:space="preserve">על </w:t>
      </w:r>
      <w:r w:rsidRPr="00FD64E5">
        <w:rPr>
          <w:rtl/>
        </w:rPr>
        <w:t>משאבי הישות במועד הדיווח ו</w:t>
      </w:r>
      <w:r>
        <w:rPr>
          <w:rFonts w:hint="cs"/>
          <w:rtl/>
        </w:rPr>
        <w:t xml:space="preserve">על </w:t>
      </w:r>
      <w:r w:rsidRPr="00FD64E5">
        <w:rPr>
          <w:rtl/>
        </w:rPr>
        <w:t xml:space="preserve">שינויים באותם מחויבויות ומשאבים בתקופת הדיווח. לפיכך, </w:t>
      </w:r>
      <w:r>
        <w:rPr>
          <w:rFonts w:hint="cs"/>
          <w:rtl/>
        </w:rPr>
        <w:t>מידע שהם מספקים</w:t>
      </w:r>
      <w:r w:rsidRPr="00FD64E5">
        <w:rPr>
          <w:rtl/>
        </w:rPr>
        <w:t xml:space="preserve"> </w:t>
      </w:r>
      <w:r>
        <w:rPr>
          <w:rFonts w:hint="cs"/>
          <w:rtl/>
        </w:rPr>
        <w:t>על</w:t>
      </w:r>
      <w:r>
        <w:rPr>
          <w:rtl/>
        </w:rPr>
        <w:t xml:space="preserve"> עסקאות עבר ו</w:t>
      </w:r>
      <w:r>
        <w:rPr>
          <w:rFonts w:hint="cs"/>
          <w:rtl/>
        </w:rPr>
        <w:t xml:space="preserve">על </w:t>
      </w:r>
      <w:r>
        <w:rPr>
          <w:rtl/>
        </w:rPr>
        <w:t>אירועים אחרים</w:t>
      </w:r>
      <w:r>
        <w:rPr>
          <w:rFonts w:hint="cs"/>
          <w:rtl/>
        </w:rPr>
        <w:t xml:space="preserve"> </w:t>
      </w:r>
      <w:r>
        <w:rPr>
          <w:rFonts w:hint="cs"/>
          <w:rtl/>
        </w:rPr>
        <w:lastRenderedPageBreak/>
        <w:t>מלמד את ה</w:t>
      </w:r>
      <w:r w:rsidRPr="00FD64E5">
        <w:rPr>
          <w:rtl/>
        </w:rPr>
        <w:t xml:space="preserve">משתמשים </w:t>
      </w:r>
      <w:r>
        <w:rPr>
          <w:rFonts w:hint="cs"/>
          <w:rtl/>
        </w:rPr>
        <w:t>ע</w:t>
      </w:r>
      <w:r w:rsidRPr="00FD64E5">
        <w:rPr>
          <w:rtl/>
        </w:rPr>
        <w:t>ל</w:t>
      </w:r>
      <w:r>
        <w:rPr>
          <w:rFonts w:hint="cs"/>
          <w:rtl/>
        </w:rPr>
        <w:t xml:space="preserve"> עמידה</w:t>
      </w:r>
      <w:r w:rsidRPr="00FD64E5">
        <w:rPr>
          <w:rtl/>
        </w:rPr>
        <w:t xml:space="preserve"> </w:t>
      </w:r>
      <w:r>
        <w:rPr>
          <w:rFonts w:hint="cs"/>
          <w:rtl/>
        </w:rPr>
        <w:t>במחויבות ציבורית</w:t>
      </w:r>
      <w:r w:rsidRPr="00FD64E5">
        <w:rPr>
          <w:rtl/>
        </w:rPr>
        <w:t xml:space="preserve"> (</w:t>
      </w:r>
      <w:r>
        <w:rPr>
          <w:rFonts w:hint="cs"/>
        </w:rPr>
        <w:t>A</w:t>
      </w:r>
      <w:r w:rsidRPr="00FD64E5">
        <w:t>ccountability</w:t>
      </w:r>
      <w:r w:rsidRPr="00FD64E5">
        <w:rPr>
          <w:rtl/>
        </w:rPr>
        <w:t xml:space="preserve">) </w:t>
      </w:r>
      <w:r>
        <w:rPr>
          <w:rFonts w:hint="cs"/>
          <w:rtl/>
        </w:rPr>
        <w:t xml:space="preserve">ועל </w:t>
      </w:r>
      <w:r w:rsidRPr="00FD64E5">
        <w:rPr>
          <w:rtl/>
        </w:rPr>
        <w:t>קבלת החלטות</w:t>
      </w:r>
      <w:r>
        <w:rPr>
          <w:rFonts w:hint="cs"/>
          <w:rtl/>
        </w:rPr>
        <w:t xml:space="preserve"> יותר</w:t>
      </w:r>
      <w:r w:rsidRPr="00FD64E5">
        <w:rPr>
          <w:rtl/>
        </w:rPr>
        <w:t xml:space="preserve"> מאשר מידע המסופק על בסיס מזומן</w:t>
      </w:r>
      <w:r>
        <w:rPr>
          <w:rStyle w:val="FootnoteReference"/>
          <w:rtl/>
        </w:rPr>
        <w:footnoteReference w:id="6"/>
      </w:r>
      <w:r w:rsidRPr="00FD64E5">
        <w:rPr>
          <w:rtl/>
        </w:rPr>
        <w:t xml:space="preserve"> או </w:t>
      </w:r>
      <w:r>
        <w:rPr>
          <w:rFonts w:hint="cs"/>
          <w:rtl/>
        </w:rPr>
        <w:t xml:space="preserve">על </w:t>
      </w:r>
      <w:r w:rsidRPr="00FD64E5">
        <w:rPr>
          <w:rtl/>
        </w:rPr>
        <w:t>בסיסי חשבונאות או דיווח כספי אחרים.</w:t>
      </w:r>
    </w:p>
    <w:p w14:paraId="0B5E6ED8" w14:textId="77777777" w:rsidR="00867DA1" w:rsidRDefault="00867DA1" w:rsidP="004F1D97">
      <w:pPr>
        <w:pStyle w:val="100"/>
        <w:rPr>
          <w:rtl/>
        </w:rPr>
      </w:pPr>
      <w:r>
        <w:rPr>
          <w:rFonts w:hint="cs"/>
          <w:rtl/>
        </w:rPr>
        <w:t xml:space="preserve">על פי נתוני </w:t>
      </w:r>
      <w:r>
        <w:rPr>
          <w:rFonts w:hint="cs"/>
          <w:sz w:val="24"/>
          <w:rtl/>
        </w:rPr>
        <w:t>ארגון</w:t>
      </w:r>
      <w:r>
        <w:rPr>
          <w:rFonts w:hint="cs"/>
          <w:rtl/>
        </w:rPr>
        <w:t xml:space="preserve"> הפדרציה הבינלאומית של רואי חשבון (</w:t>
      </w:r>
      <w:r w:rsidRPr="0018433C">
        <w:rPr>
          <w:rFonts w:hint="cs"/>
          <w:sz w:val="24"/>
        </w:rPr>
        <w:t>IFAC</w:t>
      </w:r>
      <w:r>
        <w:rPr>
          <w:rStyle w:val="FootnoteReference"/>
          <w:sz w:val="24"/>
          <w:rtl/>
        </w:rPr>
        <w:footnoteReference w:id="7"/>
      </w:r>
      <w:r>
        <w:rPr>
          <w:rFonts w:hint="cs"/>
          <w:sz w:val="24"/>
          <w:rtl/>
        </w:rPr>
        <w:t>)</w:t>
      </w:r>
      <w:r>
        <w:rPr>
          <w:rFonts w:hint="cs"/>
          <w:rtl/>
        </w:rPr>
        <w:t xml:space="preserve">, 45% מממשלות העולם (צבועות במפה בצבע סגול כהה) מדווחות כי הן נמצאות בתהליך מעבר מבסיס דיווח מזומן לבסיס דיווח מצטבר, 25% מהממשלות (צבועות במפה בצבע סגול בהיר) מדווחות על בסיס מצטבר, ו-30% מהממשלות בעולם (צבועות במפה בצבע שחור) מדווחות על בסיס מזומן. להלן הנתונים: </w:t>
      </w:r>
    </w:p>
    <w:p w14:paraId="6070CC18" w14:textId="3918CBEF" w:rsidR="00867DA1" w:rsidRPr="004F1D97" w:rsidRDefault="00867DA1" w:rsidP="004F1D97">
      <w:pPr>
        <w:pStyle w:val="aa"/>
        <w:rPr>
          <w:rtl/>
        </w:rPr>
      </w:pPr>
      <w:r w:rsidRPr="004F1D97">
        <w:rPr>
          <w:rtl/>
        </w:rPr>
        <w:t xml:space="preserve">תמונה </w:t>
      </w:r>
      <w:fldSimple w:instr=" SEQ תמונה \* ARABIC ">
        <w:r w:rsidR="003E1673">
          <w:rPr>
            <w:noProof/>
          </w:rPr>
          <w:t>1</w:t>
        </w:r>
      </w:fldSimple>
      <w:r w:rsidRPr="004F1D97">
        <w:rPr>
          <w:rFonts w:hint="cs"/>
          <w:rtl/>
        </w:rPr>
        <w:t xml:space="preserve">: </w:t>
      </w:r>
      <w:r w:rsidRPr="004F1D97">
        <w:rPr>
          <w:rFonts w:hint="cs"/>
          <w:b/>
          <w:bCs/>
          <w:rtl/>
        </w:rPr>
        <w:t>פילוח מדינות העולם בהתאם לבסיס הדיווח החשבונאי בדוחות הכספיים</w:t>
      </w:r>
    </w:p>
    <w:p w14:paraId="6252A39C" w14:textId="77777777" w:rsidR="00867DA1" w:rsidRPr="009517B5" w:rsidRDefault="00867DA1" w:rsidP="00867DA1">
      <w:pPr>
        <w:spacing w:line="269" w:lineRule="auto"/>
        <w:rPr>
          <w:rtl/>
        </w:rPr>
      </w:pPr>
      <w:r>
        <w:rPr>
          <w:noProof/>
          <w:rtl/>
        </w:rPr>
        <w:drawing>
          <wp:inline distT="0" distB="0" distL="0" distR="0" wp14:anchorId="3A8FEF94" wp14:editId="3EE6D403">
            <wp:extent cx="5219700" cy="347091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1.JPG"/>
                    <pic:cNvPicPr/>
                  </pic:nvPicPr>
                  <pic:blipFill>
                    <a:blip r:embed="rId36">
                      <a:extLst>
                        <a:ext uri="{28A0092B-C50C-407E-A947-70E740481C1C}">
                          <a14:useLocalDpi xmlns:a14="http://schemas.microsoft.com/office/drawing/2010/main" val="0"/>
                        </a:ext>
                      </a:extLst>
                    </a:blip>
                    <a:stretch>
                      <a:fillRect/>
                    </a:stretch>
                  </pic:blipFill>
                  <pic:spPr>
                    <a:xfrm>
                      <a:off x="0" y="0"/>
                      <a:ext cx="5219700" cy="3470910"/>
                    </a:xfrm>
                    <a:prstGeom prst="rect">
                      <a:avLst/>
                    </a:prstGeom>
                  </pic:spPr>
                </pic:pic>
              </a:graphicData>
            </a:graphic>
          </wp:inline>
        </w:drawing>
      </w:r>
    </w:p>
    <w:p w14:paraId="175B9149" w14:textId="77777777" w:rsidR="00867DA1" w:rsidRPr="004254E2" w:rsidRDefault="00867DA1" w:rsidP="004F1D97">
      <w:pPr>
        <w:pStyle w:val="ac"/>
        <w:rPr>
          <w:bCs/>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w:t>
      </w:r>
      <w:r w:rsidRPr="004254E2">
        <w:rPr>
          <w:rFonts w:hint="eastAsia"/>
          <w:rtl/>
        </w:rPr>
        <w:t>מאגר</w:t>
      </w:r>
      <w:r w:rsidRPr="004254E2">
        <w:rPr>
          <w:rtl/>
        </w:rPr>
        <w:t xml:space="preserve"> </w:t>
      </w:r>
      <w:r w:rsidRPr="004254E2">
        <w:rPr>
          <w:rFonts w:hint="eastAsia"/>
          <w:rtl/>
        </w:rPr>
        <w:t>מידע</w:t>
      </w:r>
      <w:r w:rsidRPr="004254E2">
        <w:rPr>
          <w:rtl/>
        </w:rPr>
        <w:t xml:space="preserve"> </w:t>
      </w:r>
      <w:r w:rsidRPr="004254E2">
        <w:rPr>
          <w:rFonts w:hint="eastAsia"/>
          <w:rtl/>
        </w:rPr>
        <w:t>של</w:t>
      </w:r>
      <w:r w:rsidRPr="004254E2">
        <w:rPr>
          <w:rtl/>
        </w:rPr>
        <w:t xml:space="preserve"> </w:t>
      </w:r>
      <w:r w:rsidRPr="004254E2">
        <w:rPr>
          <w:rFonts w:hint="eastAsia"/>
          <w:rtl/>
        </w:rPr>
        <w:t>ארגון</w:t>
      </w:r>
      <w:r w:rsidRPr="004254E2">
        <w:rPr>
          <w:rtl/>
        </w:rPr>
        <w:t xml:space="preserve"> </w:t>
      </w:r>
      <w:r w:rsidRPr="004254E2">
        <w:rPr>
          <w:rFonts w:hint="eastAsia"/>
          <w:rtl/>
        </w:rPr>
        <w:t>הפדרציה</w:t>
      </w:r>
      <w:r w:rsidRPr="004254E2">
        <w:rPr>
          <w:rtl/>
        </w:rPr>
        <w:t xml:space="preserve"> </w:t>
      </w:r>
      <w:r w:rsidRPr="004254E2">
        <w:rPr>
          <w:rFonts w:hint="eastAsia"/>
          <w:rtl/>
        </w:rPr>
        <w:t>הבין</w:t>
      </w:r>
      <w:r w:rsidRPr="004254E2">
        <w:rPr>
          <w:rtl/>
        </w:rPr>
        <w:t>-</w:t>
      </w:r>
      <w:r w:rsidRPr="004254E2">
        <w:rPr>
          <w:rFonts w:hint="eastAsia"/>
          <w:rtl/>
        </w:rPr>
        <w:t>לאומית</w:t>
      </w:r>
      <w:r w:rsidRPr="004254E2">
        <w:rPr>
          <w:rtl/>
        </w:rPr>
        <w:t xml:space="preserve"> </w:t>
      </w:r>
      <w:r w:rsidRPr="004254E2">
        <w:rPr>
          <w:rFonts w:hint="eastAsia"/>
          <w:rtl/>
        </w:rPr>
        <w:t>של</w:t>
      </w:r>
      <w:r w:rsidRPr="004254E2">
        <w:rPr>
          <w:rtl/>
        </w:rPr>
        <w:t xml:space="preserve"> </w:t>
      </w:r>
      <w:r w:rsidRPr="004254E2">
        <w:rPr>
          <w:rFonts w:hint="eastAsia"/>
          <w:rtl/>
        </w:rPr>
        <w:t>רואי</w:t>
      </w:r>
      <w:r w:rsidRPr="004254E2">
        <w:rPr>
          <w:rtl/>
        </w:rPr>
        <w:t xml:space="preserve"> </w:t>
      </w:r>
      <w:r w:rsidRPr="004254E2">
        <w:rPr>
          <w:rFonts w:hint="eastAsia"/>
          <w:rtl/>
        </w:rPr>
        <w:t>החשבון</w:t>
      </w:r>
      <w:r w:rsidRPr="004254E2">
        <w:rPr>
          <w:rtl/>
        </w:rPr>
        <w:t xml:space="preserve"> (28.2.19), בעיבוד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p>
    <w:p w14:paraId="2EE1496E" w14:textId="154D73F9" w:rsidR="00867DA1" w:rsidRDefault="00867DA1" w:rsidP="00867DA1">
      <w:pPr>
        <w:spacing w:line="269" w:lineRule="auto"/>
        <w:rPr>
          <w:rtl/>
        </w:rPr>
      </w:pPr>
    </w:p>
    <w:p w14:paraId="13CAC560" w14:textId="77777777" w:rsidR="00867DA1" w:rsidRDefault="00867DA1" w:rsidP="004F1D97">
      <w:pPr>
        <w:pStyle w:val="100"/>
        <w:rPr>
          <w:rtl/>
        </w:rPr>
      </w:pPr>
      <w:r>
        <w:rPr>
          <w:rFonts w:hint="cs"/>
          <w:rtl/>
        </w:rPr>
        <w:t>על פי סקר שערכה בשנת 2018 הפדרציה הבינלאומית של רואי החשבון, צפוי שעד 2023, מספר הממשלות שידווחו על בסיס דיווח מצטבר יוכפל יותר מפי שניים - ל-98 (כ-65% מהמדינות הנבדקות). כלומר, מרבית ממשלות העולם עוברות לדווח על בסיס מצטבר. להלן הנתונים:</w:t>
      </w:r>
    </w:p>
    <w:p w14:paraId="6502A121" w14:textId="77777777" w:rsidR="00867DA1" w:rsidRPr="00EF4818" w:rsidRDefault="00867DA1" w:rsidP="00867DA1">
      <w:pPr>
        <w:spacing w:line="269" w:lineRule="auto"/>
        <w:jc w:val="center"/>
        <w:rPr>
          <w:b/>
          <w:bCs/>
          <w:rtl/>
        </w:rPr>
      </w:pPr>
    </w:p>
    <w:p w14:paraId="57FC4FAF" w14:textId="77777777" w:rsidR="00C73FE7" w:rsidRDefault="00C73FE7" w:rsidP="00867DA1">
      <w:pPr>
        <w:pStyle w:val="Caption"/>
        <w:spacing w:line="269" w:lineRule="auto"/>
        <w:rPr>
          <w:rtl/>
        </w:rPr>
      </w:pPr>
    </w:p>
    <w:p w14:paraId="116563FE" w14:textId="77777777" w:rsidR="00C73FE7" w:rsidRPr="00C73FE7" w:rsidRDefault="00867DA1" w:rsidP="00C73FE7">
      <w:pPr>
        <w:pStyle w:val="aa"/>
        <w:rPr>
          <w:b/>
          <w:bCs/>
          <w:rtl/>
        </w:rPr>
      </w:pPr>
      <w:r w:rsidRPr="00F4500D">
        <w:rPr>
          <w:rFonts w:hint="cs"/>
          <w:rtl/>
        </w:rPr>
        <w:lastRenderedPageBreak/>
        <w:t>תרשים 2</w:t>
      </w:r>
      <w:r>
        <w:rPr>
          <w:rFonts w:hint="cs"/>
          <w:rtl/>
        </w:rPr>
        <w:t>:</w:t>
      </w:r>
      <w:r w:rsidRPr="00F4500D">
        <w:rPr>
          <w:rFonts w:hint="cs"/>
          <w:rtl/>
        </w:rPr>
        <w:t xml:space="preserve"> </w:t>
      </w:r>
      <w:r w:rsidRPr="00C73FE7">
        <w:rPr>
          <w:rFonts w:hint="cs"/>
          <w:b/>
          <w:bCs/>
          <w:rtl/>
        </w:rPr>
        <w:t>פילוח מדינות העולם בהתאם לבסיס הדיווח החשבונאי המדווח הצפוי בשנת 2023</w:t>
      </w:r>
    </w:p>
    <w:p w14:paraId="30EC641A" w14:textId="0589C55E" w:rsidR="00867DA1" w:rsidRDefault="00867DA1" w:rsidP="00867DA1">
      <w:pPr>
        <w:pStyle w:val="Caption"/>
        <w:spacing w:line="269" w:lineRule="auto"/>
        <w:rPr>
          <w:szCs w:val="20"/>
          <w:rtl/>
        </w:rPr>
      </w:pPr>
      <w:r>
        <w:rPr>
          <w:noProof/>
          <w:szCs w:val="20"/>
          <w:rtl/>
        </w:rPr>
        <w:drawing>
          <wp:inline distT="0" distB="0" distL="0" distR="0" wp14:anchorId="3860495D" wp14:editId="60EB3931">
            <wp:extent cx="5220335" cy="2250374"/>
            <wp:effectExtent l="0" t="0" r="18415" b="17145"/>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C90F9C" w14:textId="77777777" w:rsidR="00867DA1" w:rsidRDefault="00867DA1" w:rsidP="00C73FE7">
      <w:pPr>
        <w:pStyle w:val="ac"/>
        <w:rPr>
          <w:rtl/>
        </w:rPr>
      </w:pPr>
      <w:r>
        <w:rPr>
          <w:rFonts w:hint="cs"/>
          <w:rtl/>
        </w:rPr>
        <w:t xml:space="preserve">על פי נתוני </w:t>
      </w:r>
      <w:r w:rsidRPr="004254E2">
        <w:rPr>
          <w:rFonts w:hint="eastAsia"/>
          <w:rtl/>
        </w:rPr>
        <w:t>מאגר</w:t>
      </w:r>
      <w:r w:rsidRPr="004254E2">
        <w:rPr>
          <w:rtl/>
        </w:rPr>
        <w:t xml:space="preserve"> </w:t>
      </w:r>
      <w:r w:rsidRPr="004254E2">
        <w:rPr>
          <w:rFonts w:hint="eastAsia"/>
          <w:rtl/>
        </w:rPr>
        <w:t>מידע</w:t>
      </w:r>
      <w:r w:rsidRPr="004254E2">
        <w:rPr>
          <w:rtl/>
        </w:rPr>
        <w:t xml:space="preserve"> </w:t>
      </w:r>
      <w:r w:rsidRPr="004254E2">
        <w:rPr>
          <w:rFonts w:hint="eastAsia"/>
          <w:rtl/>
        </w:rPr>
        <w:t>של</w:t>
      </w:r>
      <w:r w:rsidRPr="004254E2">
        <w:rPr>
          <w:rtl/>
        </w:rPr>
        <w:t xml:space="preserve"> </w:t>
      </w:r>
      <w:r w:rsidRPr="004254E2">
        <w:rPr>
          <w:rFonts w:hint="eastAsia"/>
          <w:rtl/>
        </w:rPr>
        <w:t>ארגון</w:t>
      </w:r>
      <w:r w:rsidRPr="004254E2">
        <w:rPr>
          <w:rtl/>
        </w:rPr>
        <w:t xml:space="preserve"> </w:t>
      </w:r>
      <w:r w:rsidRPr="004254E2">
        <w:rPr>
          <w:rFonts w:hint="eastAsia"/>
          <w:rtl/>
        </w:rPr>
        <w:t>הפדרציה</w:t>
      </w:r>
      <w:r w:rsidRPr="004254E2">
        <w:rPr>
          <w:rtl/>
        </w:rPr>
        <w:t xml:space="preserve"> </w:t>
      </w:r>
      <w:r w:rsidRPr="004254E2">
        <w:rPr>
          <w:rFonts w:hint="eastAsia"/>
          <w:rtl/>
        </w:rPr>
        <w:t>הבינלאומית</w:t>
      </w:r>
      <w:r w:rsidRPr="004254E2">
        <w:rPr>
          <w:rtl/>
        </w:rPr>
        <w:t xml:space="preserve"> </w:t>
      </w:r>
      <w:r w:rsidRPr="004254E2">
        <w:rPr>
          <w:rFonts w:hint="eastAsia"/>
          <w:rtl/>
        </w:rPr>
        <w:t>של</w:t>
      </w:r>
      <w:r w:rsidRPr="004254E2">
        <w:rPr>
          <w:rtl/>
        </w:rPr>
        <w:t xml:space="preserve"> </w:t>
      </w:r>
      <w:r w:rsidRPr="004254E2">
        <w:rPr>
          <w:rFonts w:hint="eastAsia"/>
          <w:rtl/>
        </w:rPr>
        <w:t>רואי</w:t>
      </w:r>
      <w:r w:rsidRPr="004254E2">
        <w:rPr>
          <w:rtl/>
        </w:rPr>
        <w:t xml:space="preserve"> </w:t>
      </w:r>
      <w:r w:rsidRPr="004254E2">
        <w:rPr>
          <w:rFonts w:hint="eastAsia"/>
          <w:rtl/>
        </w:rPr>
        <w:t>החשבון</w:t>
      </w:r>
      <w:r w:rsidRPr="004254E2">
        <w:rPr>
          <w:rtl/>
        </w:rPr>
        <w:t xml:space="preserve"> </w:t>
      </w:r>
      <w:r>
        <w:rPr>
          <w:rFonts w:hint="cs"/>
          <w:rtl/>
        </w:rPr>
        <w:t>(</w:t>
      </w:r>
      <w:r w:rsidRPr="004254E2">
        <w:rPr>
          <w:rtl/>
        </w:rPr>
        <w:t>28.02.19</w:t>
      </w:r>
      <w:r>
        <w:rPr>
          <w:rFonts w:hint="cs"/>
          <w:rtl/>
        </w:rPr>
        <w:t>)</w:t>
      </w:r>
      <w:r w:rsidRPr="004254E2">
        <w:rPr>
          <w:rtl/>
        </w:rPr>
        <w:t xml:space="preserve">,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p>
    <w:p w14:paraId="7768CF86" w14:textId="77777777" w:rsidR="00867DA1" w:rsidRDefault="00867DA1" w:rsidP="00867DA1">
      <w:pPr>
        <w:spacing w:line="269" w:lineRule="auto"/>
        <w:rPr>
          <w:sz w:val="18"/>
          <w:szCs w:val="22"/>
          <w:rtl/>
        </w:rPr>
      </w:pPr>
    </w:p>
    <w:p w14:paraId="6A029A60" w14:textId="62BBD234" w:rsidR="00867DA1" w:rsidRPr="004964C8" w:rsidRDefault="00867DA1" w:rsidP="004964C8">
      <w:pPr>
        <w:pStyle w:val="aa"/>
        <w:rPr>
          <w:b/>
          <w:bCs/>
        </w:rPr>
      </w:pPr>
      <w:r w:rsidRPr="004964C8">
        <w:rPr>
          <w:rFonts w:hint="cs"/>
          <w:rtl/>
        </w:rPr>
        <w:t>לוח</w:t>
      </w:r>
      <w:r w:rsidRPr="004964C8">
        <w:rPr>
          <w:rtl/>
        </w:rPr>
        <w:t xml:space="preserve"> </w:t>
      </w:r>
      <w:fldSimple w:instr=" SEQ טבלה \* ARABIC ">
        <w:r w:rsidR="003E1673">
          <w:rPr>
            <w:noProof/>
          </w:rPr>
          <w:t>3</w:t>
        </w:r>
      </w:fldSimple>
      <w:r w:rsidRPr="004964C8">
        <w:rPr>
          <w:rFonts w:hint="cs"/>
          <w:rtl/>
        </w:rPr>
        <w:t>:</w:t>
      </w:r>
      <w:r w:rsidRPr="004964C8">
        <w:rPr>
          <w:rtl/>
        </w:rPr>
        <w:t xml:space="preserve"> </w:t>
      </w:r>
      <w:r w:rsidRPr="004964C8">
        <w:rPr>
          <w:b/>
          <w:bCs/>
          <w:rtl/>
        </w:rPr>
        <w:t xml:space="preserve">פירוט בסיס הדיווח החשבונאי המדווח הצפוי בשנת 2023 </w:t>
      </w:r>
      <w:r w:rsidRPr="004964C8">
        <w:rPr>
          <w:rFonts w:hint="cs"/>
          <w:b/>
          <w:bCs/>
          <w:rtl/>
        </w:rPr>
        <w:t xml:space="preserve">במדינות נבחרות </w:t>
      </w:r>
    </w:p>
    <w:tbl>
      <w:tblPr>
        <w:tblStyle w:val="LightShading-Accent1"/>
        <w:bidiVisual/>
        <w:tblW w:w="3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2051"/>
        <w:gridCol w:w="2146"/>
        <w:gridCol w:w="2258"/>
      </w:tblGrid>
      <w:tr w:rsidR="00867DA1" w:rsidRPr="003D2295" w14:paraId="605B13B3" w14:textId="77777777" w:rsidTr="004964C8">
        <w:trPr>
          <w:cnfStyle w:val="100000000000" w:firstRow="1" w:lastRow="0" w:firstColumn="0" w:lastColumn="0" w:oddVBand="0" w:evenVBand="0" w:oddHBand="0" w:evenHBand="0" w:firstRowFirstColumn="0" w:firstRowLastColumn="0" w:lastRowFirstColumn="0" w:lastRowLastColumn="0"/>
          <w:jc w:val="center"/>
        </w:trPr>
        <w:tc>
          <w:tcPr>
            <w:tcW w:w="1589" w:type="pct"/>
            <w:tcBorders>
              <w:top w:val="none" w:sz="0" w:space="0" w:color="auto"/>
              <w:left w:val="none" w:sz="0" w:space="0" w:color="auto"/>
              <w:bottom w:val="none" w:sz="0" w:space="0" w:color="auto"/>
              <w:right w:val="none" w:sz="0" w:space="0" w:color="auto"/>
            </w:tcBorders>
            <w:shd w:val="clear" w:color="auto" w:fill="C6D9F1"/>
            <w:noWrap/>
            <w:vAlign w:val="bottom"/>
          </w:tcPr>
          <w:p w14:paraId="00E94A71" w14:textId="77777777" w:rsidR="00867DA1" w:rsidRPr="003D2295" w:rsidRDefault="00867DA1" w:rsidP="004964C8">
            <w:pPr>
              <w:pStyle w:val="af1"/>
              <w:rPr>
                <w:b/>
                <w:bCs/>
                <w:sz w:val="20"/>
              </w:rPr>
            </w:pPr>
            <w:r w:rsidRPr="003D2295">
              <w:rPr>
                <w:rFonts w:hint="cs"/>
                <w:b/>
                <w:bCs/>
                <w:sz w:val="20"/>
              </w:rPr>
              <w:t>ה</w:t>
            </w:r>
            <w:r w:rsidRPr="003D2295">
              <w:rPr>
                <w:rFonts w:hint="eastAsia"/>
                <w:b/>
                <w:bCs/>
                <w:sz w:val="20"/>
              </w:rPr>
              <w:t>מדינה</w:t>
            </w:r>
            <w:r w:rsidRPr="003D2295">
              <w:rPr>
                <w:b/>
                <w:bCs/>
                <w:sz w:val="20"/>
              </w:rPr>
              <w:t xml:space="preserve"> </w:t>
            </w:r>
          </w:p>
        </w:tc>
        <w:tc>
          <w:tcPr>
            <w:tcW w:w="1662" w:type="pct"/>
            <w:tcBorders>
              <w:top w:val="none" w:sz="0" w:space="0" w:color="auto"/>
              <w:left w:val="none" w:sz="0" w:space="0" w:color="auto"/>
              <w:bottom w:val="none" w:sz="0" w:space="0" w:color="auto"/>
              <w:right w:val="none" w:sz="0" w:space="0" w:color="auto"/>
            </w:tcBorders>
            <w:shd w:val="clear" w:color="auto" w:fill="C6D9F1"/>
            <w:vAlign w:val="bottom"/>
          </w:tcPr>
          <w:p w14:paraId="10D9844E" w14:textId="77777777" w:rsidR="00867DA1" w:rsidRPr="003D2295" w:rsidRDefault="00867DA1" w:rsidP="004964C8">
            <w:pPr>
              <w:pStyle w:val="af1"/>
              <w:rPr>
                <w:b/>
                <w:bCs/>
                <w:sz w:val="20"/>
              </w:rPr>
            </w:pPr>
            <w:r w:rsidRPr="003D2295">
              <w:rPr>
                <w:rFonts w:hint="eastAsia"/>
                <w:b/>
                <w:bCs/>
                <w:sz w:val="20"/>
              </w:rPr>
              <w:t>בסיס</w:t>
            </w:r>
            <w:r w:rsidRPr="003D2295">
              <w:rPr>
                <w:b/>
                <w:bCs/>
                <w:sz w:val="20"/>
              </w:rPr>
              <w:t xml:space="preserve"> </w:t>
            </w:r>
            <w:r w:rsidRPr="003D2295">
              <w:rPr>
                <w:rFonts w:hint="eastAsia"/>
                <w:b/>
                <w:bCs/>
                <w:sz w:val="20"/>
              </w:rPr>
              <w:t>דיווח</w:t>
            </w:r>
            <w:r w:rsidRPr="003D2295">
              <w:rPr>
                <w:b/>
                <w:bCs/>
                <w:sz w:val="20"/>
              </w:rPr>
              <w:t xml:space="preserve"> </w:t>
            </w:r>
            <w:r w:rsidRPr="003D2295">
              <w:rPr>
                <w:rFonts w:hint="eastAsia"/>
                <w:b/>
                <w:bCs/>
                <w:sz w:val="20"/>
              </w:rPr>
              <w:t>מזומן</w:t>
            </w:r>
          </w:p>
        </w:tc>
        <w:tc>
          <w:tcPr>
            <w:tcW w:w="1749" w:type="pct"/>
            <w:tcBorders>
              <w:top w:val="none" w:sz="0" w:space="0" w:color="auto"/>
              <w:left w:val="none" w:sz="0" w:space="0" w:color="auto"/>
              <w:bottom w:val="none" w:sz="0" w:space="0" w:color="auto"/>
              <w:right w:val="none" w:sz="0" w:space="0" w:color="auto"/>
            </w:tcBorders>
            <w:shd w:val="clear" w:color="auto" w:fill="C6D9F1"/>
            <w:vAlign w:val="bottom"/>
          </w:tcPr>
          <w:p w14:paraId="03B5611C" w14:textId="77777777" w:rsidR="00867DA1" w:rsidRPr="003D2295" w:rsidRDefault="00867DA1" w:rsidP="004964C8">
            <w:pPr>
              <w:pStyle w:val="af1"/>
              <w:rPr>
                <w:b/>
                <w:bCs/>
                <w:sz w:val="20"/>
              </w:rPr>
            </w:pPr>
            <w:r w:rsidRPr="003D2295">
              <w:rPr>
                <w:rFonts w:hint="eastAsia"/>
                <w:b/>
                <w:bCs/>
                <w:sz w:val="20"/>
              </w:rPr>
              <w:t>בסיס</w:t>
            </w:r>
            <w:r w:rsidRPr="003D2295">
              <w:rPr>
                <w:b/>
                <w:bCs/>
                <w:sz w:val="20"/>
              </w:rPr>
              <w:t xml:space="preserve"> </w:t>
            </w:r>
            <w:r w:rsidRPr="003D2295">
              <w:rPr>
                <w:rFonts w:hint="eastAsia"/>
                <w:b/>
                <w:bCs/>
                <w:sz w:val="20"/>
              </w:rPr>
              <w:t>דיווח</w:t>
            </w:r>
            <w:r w:rsidRPr="003D2295">
              <w:rPr>
                <w:b/>
                <w:bCs/>
                <w:sz w:val="20"/>
              </w:rPr>
              <w:t xml:space="preserve"> </w:t>
            </w:r>
            <w:r w:rsidRPr="003D2295">
              <w:rPr>
                <w:rFonts w:hint="eastAsia"/>
                <w:b/>
                <w:bCs/>
                <w:sz w:val="20"/>
              </w:rPr>
              <w:t>מצטבר</w:t>
            </w:r>
          </w:p>
        </w:tc>
      </w:tr>
      <w:tr w:rsidR="00867DA1" w:rsidRPr="00A064E4" w14:paraId="3A37C121" w14:textId="77777777" w:rsidTr="004964C8">
        <w:trPr>
          <w:jc w:val="center"/>
        </w:trPr>
        <w:tc>
          <w:tcPr>
            <w:tcW w:w="1589" w:type="pct"/>
            <w:shd w:val="clear" w:color="auto" w:fill="auto"/>
            <w:noWrap/>
            <w:vAlign w:val="bottom"/>
          </w:tcPr>
          <w:p w14:paraId="210F95C7" w14:textId="77777777" w:rsidR="00867DA1" w:rsidRPr="004964C8" w:rsidRDefault="00867DA1" w:rsidP="004964C8">
            <w:pPr>
              <w:pStyle w:val="R"/>
              <w:rPr>
                <w:color w:val="auto"/>
                <w:szCs w:val="22"/>
              </w:rPr>
            </w:pPr>
            <w:r w:rsidRPr="004964C8">
              <w:rPr>
                <w:rFonts w:hint="eastAsia"/>
                <w:color w:val="auto"/>
                <w:szCs w:val="22"/>
              </w:rPr>
              <w:t>אוסטרליה</w:t>
            </w:r>
          </w:p>
        </w:tc>
        <w:tc>
          <w:tcPr>
            <w:tcW w:w="1662" w:type="pct"/>
            <w:shd w:val="clear" w:color="auto" w:fill="auto"/>
            <w:vAlign w:val="bottom"/>
          </w:tcPr>
          <w:p w14:paraId="6DF1CA0F" w14:textId="77777777" w:rsidR="00867DA1" w:rsidRPr="004964C8" w:rsidRDefault="00867DA1" w:rsidP="004964C8">
            <w:pPr>
              <w:pStyle w:val="R"/>
              <w:rPr>
                <w:color w:val="auto"/>
                <w:szCs w:val="22"/>
              </w:rPr>
            </w:pPr>
          </w:p>
        </w:tc>
        <w:tc>
          <w:tcPr>
            <w:tcW w:w="1749" w:type="pct"/>
            <w:shd w:val="clear" w:color="auto" w:fill="auto"/>
            <w:vAlign w:val="bottom"/>
          </w:tcPr>
          <w:p w14:paraId="6FE18853" w14:textId="77777777" w:rsidR="00867DA1" w:rsidRPr="004964C8" w:rsidRDefault="00867DA1" w:rsidP="004964C8">
            <w:pPr>
              <w:pStyle w:val="R"/>
              <w:rPr>
                <w:color w:val="auto"/>
                <w:szCs w:val="22"/>
              </w:rPr>
            </w:pPr>
            <w:r w:rsidRPr="004964C8">
              <w:rPr>
                <w:color w:val="auto"/>
                <w:szCs w:val="22"/>
              </w:rPr>
              <w:t>X</w:t>
            </w:r>
          </w:p>
        </w:tc>
      </w:tr>
      <w:tr w:rsidR="00867DA1" w:rsidRPr="00A064E4" w14:paraId="5D6011E1" w14:textId="77777777" w:rsidTr="004964C8">
        <w:trPr>
          <w:jc w:val="center"/>
        </w:trPr>
        <w:tc>
          <w:tcPr>
            <w:tcW w:w="1589" w:type="pct"/>
            <w:shd w:val="clear" w:color="auto" w:fill="auto"/>
            <w:noWrap/>
            <w:vAlign w:val="bottom"/>
          </w:tcPr>
          <w:p w14:paraId="07F8D4E6" w14:textId="77777777" w:rsidR="00867DA1" w:rsidRPr="004964C8" w:rsidRDefault="00867DA1" w:rsidP="004964C8">
            <w:pPr>
              <w:pStyle w:val="R"/>
              <w:rPr>
                <w:color w:val="auto"/>
                <w:szCs w:val="22"/>
              </w:rPr>
            </w:pPr>
            <w:r w:rsidRPr="004964C8">
              <w:rPr>
                <w:rFonts w:hint="eastAsia"/>
                <w:color w:val="auto"/>
                <w:szCs w:val="22"/>
              </w:rPr>
              <w:t>אוסטרי</w:t>
            </w:r>
            <w:r w:rsidRPr="004964C8">
              <w:rPr>
                <w:rFonts w:hint="cs"/>
                <w:color w:val="auto"/>
                <w:szCs w:val="22"/>
              </w:rPr>
              <w:t>י</w:t>
            </w:r>
            <w:r w:rsidRPr="004964C8">
              <w:rPr>
                <w:rFonts w:hint="eastAsia"/>
                <w:color w:val="auto"/>
                <w:szCs w:val="22"/>
              </w:rPr>
              <w:t>ה</w:t>
            </w:r>
          </w:p>
        </w:tc>
        <w:tc>
          <w:tcPr>
            <w:tcW w:w="1662" w:type="pct"/>
            <w:shd w:val="clear" w:color="auto" w:fill="auto"/>
            <w:vAlign w:val="bottom"/>
          </w:tcPr>
          <w:p w14:paraId="700C4116" w14:textId="77777777" w:rsidR="00867DA1" w:rsidRPr="004964C8" w:rsidRDefault="00867DA1" w:rsidP="004964C8">
            <w:pPr>
              <w:pStyle w:val="R"/>
              <w:rPr>
                <w:color w:val="auto"/>
                <w:szCs w:val="22"/>
              </w:rPr>
            </w:pPr>
          </w:p>
        </w:tc>
        <w:tc>
          <w:tcPr>
            <w:tcW w:w="1749" w:type="pct"/>
            <w:shd w:val="clear" w:color="auto" w:fill="auto"/>
            <w:vAlign w:val="bottom"/>
          </w:tcPr>
          <w:p w14:paraId="2129D86A" w14:textId="77777777" w:rsidR="00867DA1" w:rsidRPr="004964C8" w:rsidRDefault="00867DA1" w:rsidP="004964C8">
            <w:pPr>
              <w:pStyle w:val="R"/>
              <w:rPr>
                <w:color w:val="auto"/>
                <w:szCs w:val="22"/>
              </w:rPr>
            </w:pPr>
            <w:r w:rsidRPr="004964C8">
              <w:rPr>
                <w:color w:val="auto"/>
                <w:szCs w:val="22"/>
              </w:rPr>
              <w:t>X</w:t>
            </w:r>
          </w:p>
        </w:tc>
      </w:tr>
      <w:tr w:rsidR="00867DA1" w:rsidRPr="00A064E4" w14:paraId="378BDC9F" w14:textId="77777777" w:rsidTr="004964C8">
        <w:trPr>
          <w:jc w:val="center"/>
        </w:trPr>
        <w:tc>
          <w:tcPr>
            <w:tcW w:w="1589" w:type="pct"/>
            <w:shd w:val="clear" w:color="auto" w:fill="auto"/>
            <w:noWrap/>
            <w:vAlign w:val="bottom"/>
          </w:tcPr>
          <w:p w14:paraId="499AC77E" w14:textId="77777777" w:rsidR="00867DA1" w:rsidRPr="004964C8" w:rsidRDefault="00867DA1" w:rsidP="004964C8">
            <w:pPr>
              <w:pStyle w:val="R"/>
              <w:rPr>
                <w:color w:val="auto"/>
                <w:szCs w:val="22"/>
              </w:rPr>
            </w:pPr>
            <w:r w:rsidRPr="004964C8">
              <w:rPr>
                <w:rFonts w:hint="cs"/>
                <w:color w:val="auto"/>
                <w:szCs w:val="22"/>
              </w:rPr>
              <w:t xml:space="preserve">בריטניה </w:t>
            </w:r>
          </w:p>
        </w:tc>
        <w:tc>
          <w:tcPr>
            <w:tcW w:w="1662" w:type="pct"/>
            <w:shd w:val="clear" w:color="auto" w:fill="auto"/>
            <w:vAlign w:val="bottom"/>
          </w:tcPr>
          <w:p w14:paraId="51E4160C" w14:textId="77777777" w:rsidR="00867DA1" w:rsidRPr="004964C8" w:rsidRDefault="00867DA1" w:rsidP="004964C8">
            <w:pPr>
              <w:pStyle w:val="R"/>
              <w:rPr>
                <w:color w:val="auto"/>
                <w:szCs w:val="22"/>
              </w:rPr>
            </w:pPr>
          </w:p>
        </w:tc>
        <w:tc>
          <w:tcPr>
            <w:tcW w:w="1749" w:type="pct"/>
            <w:shd w:val="clear" w:color="auto" w:fill="auto"/>
            <w:vAlign w:val="bottom"/>
          </w:tcPr>
          <w:p w14:paraId="362EAC11" w14:textId="77777777" w:rsidR="00867DA1" w:rsidRPr="004964C8" w:rsidRDefault="00867DA1" w:rsidP="004964C8">
            <w:pPr>
              <w:pStyle w:val="R"/>
              <w:rPr>
                <w:color w:val="auto"/>
                <w:szCs w:val="22"/>
              </w:rPr>
            </w:pPr>
            <w:r w:rsidRPr="004964C8">
              <w:rPr>
                <w:color w:val="auto"/>
                <w:szCs w:val="22"/>
              </w:rPr>
              <w:t>X</w:t>
            </w:r>
          </w:p>
        </w:tc>
      </w:tr>
      <w:tr w:rsidR="00867DA1" w:rsidRPr="00A064E4" w14:paraId="06BADD66" w14:textId="77777777" w:rsidTr="004964C8">
        <w:trPr>
          <w:jc w:val="center"/>
        </w:trPr>
        <w:tc>
          <w:tcPr>
            <w:tcW w:w="1589" w:type="pct"/>
            <w:shd w:val="clear" w:color="auto" w:fill="auto"/>
            <w:noWrap/>
            <w:vAlign w:val="bottom"/>
          </w:tcPr>
          <w:p w14:paraId="0B9B8E71" w14:textId="77777777" w:rsidR="00867DA1" w:rsidRPr="004964C8" w:rsidRDefault="00867DA1" w:rsidP="004964C8">
            <w:pPr>
              <w:pStyle w:val="R"/>
              <w:rPr>
                <w:color w:val="auto"/>
                <w:szCs w:val="22"/>
              </w:rPr>
            </w:pPr>
            <w:r w:rsidRPr="004964C8">
              <w:rPr>
                <w:rFonts w:hint="eastAsia"/>
                <w:color w:val="auto"/>
                <w:szCs w:val="22"/>
              </w:rPr>
              <w:t>ארצות</w:t>
            </w:r>
            <w:r w:rsidRPr="004964C8">
              <w:rPr>
                <w:color w:val="auto"/>
                <w:szCs w:val="22"/>
              </w:rPr>
              <w:t xml:space="preserve"> </w:t>
            </w:r>
            <w:r w:rsidRPr="004964C8">
              <w:rPr>
                <w:rFonts w:hint="eastAsia"/>
                <w:color w:val="auto"/>
                <w:szCs w:val="22"/>
              </w:rPr>
              <w:t>הברית</w:t>
            </w:r>
          </w:p>
        </w:tc>
        <w:tc>
          <w:tcPr>
            <w:tcW w:w="1662" w:type="pct"/>
            <w:shd w:val="clear" w:color="auto" w:fill="auto"/>
            <w:vAlign w:val="bottom"/>
          </w:tcPr>
          <w:p w14:paraId="69B42DE2" w14:textId="77777777" w:rsidR="00867DA1" w:rsidRPr="004964C8" w:rsidRDefault="00867DA1" w:rsidP="004964C8">
            <w:pPr>
              <w:pStyle w:val="R"/>
              <w:rPr>
                <w:color w:val="auto"/>
                <w:szCs w:val="22"/>
              </w:rPr>
            </w:pPr>
          </w:p>
        </w:tc>
        <w:tc>
          <w:tcPr>
            <w:tcW w:w="1749" w:type="pct"/>
            <w:shd w:val="clear" w:color="auto" w:fill="auto"/>
            <w:vAlign w:val="bottom"/>
          </w:tcPr>
          <w:p w14:paraId="40513714" w14:textId="77777777" w:rsidR="00867DA1" w:rsidRPr="004964C8" w:rsidRDefault="00867DA1" w:rsidP="004964C8">
            <w:pPr>
              <w:pStyle w:val="R"/>
              <w:rPr>
                <w:color w:val="auto"/>
                <w:szCs w:val="22"/>
              </w:rPr>
            </w:pPr>
            <w:r w:rsidRPr="004964C8">
              <w:rPr>
                <w:color w:val="auto"/>
                <w:szCs w:val="22"/>
              </w:rPr>
              <w:t>X</w:t>
            </w:r>
          </w:p>
        </w:tc>
      </w:tr>
      <w:tr w:rsidR="00867DA1" w:rsidRPr="00A064E4" w14:paraId="18FAA780" w14:textId="77777777" w:rsidTr="004964C8">
        <w:trPr>
          <w:jc w:val="center"/>
        </w:trPr>
        <w:tc>
          <w:tcPr>
            <w:tcW w:w="1589" w:type="pct"/>
            <w:shd w:val="clear" w:color="auto" w:fill="auto"/>
            <w:noWrap/>
            <w:vAlign w:val="bottom"/>
          </w:tcPr>
          <w:p w14:paraId="49CC5172" w14:textId="77777777" w:rsidR="00867DA1" w:rsidRPr="004964C8" w:rsidRDefault="00867DA1" w:rsidP="004964C8">
            <w:pPr>
              <w:pStyle w:val="R"/>
              <w:rPr>
                <w:color w:val="auto"/>
                <w:szCs w:val="22"/>
              </w:rPr>
            </w:pPr>
            <w:r w:rsidRPr="004964C8">
              <w:rPr>
                <w:rFonts w:hint="eastAsia"/>
                <w:color w:val="auto"/>
                <w:szCs w:val="22"/>
              </w:rPr>
              <w:t>גרמניה</w:t>
            </w:r>
          </w:p>
        </w:tc>
        <w:tc>
          <w:tcPr>
            <w:tcW w:w="1662" w:type="pct"/>
            <w:shd w:val="clear" w:color="auto" w:fill="auto"/>
            <w:vAlign w:val="bottom"/>
          </w:tcPr>
          <w:p w14:paraId="3E5D4F84" w14:textId="77777777" w:rsidR="00867DA1" w:rsidRPr="004964C8" w:rsidRDefault="00867DA1" w:rsidP="004964C8">
            <w:pPr>
              <w:pStyle w:val="R"/>
              <w:rPr>
                <w:color w:val="auto"/>
                <w:szCs w:val="22"/>
              </w:rPr>
            </w:pPr>
            <w:r w:rsidRPr="004964C8">
              <w:rPr>
                <w:color w:val="auto"/>
                <w:szCs w:val="22"/>
              </w:rPr>
              <w:t>X</w:t>
            </w:r>
          </w:p>
        </w:tc>
        <w:tc>
          <w:tcPr>
            <w:tcW w:w="1749" w:type="pct"/>
            <w:shd w:val="clear" w:color="auto" w:fill="auto"/>
            <w:vAlign w:val="bottom"/>
          </w:tcPr>
          <w:p w14:paraId="1CC05146" w14:textId="77777777" w:rsidR="00867DA1" w:rsidRPr="004964C8" w:rsidRDefault="00867DA1" w:rsidP="004964C8">
            <w:pPr>
              <w:pStyle w:val="R"/>
              <w:rPr>
                <w:color w:val="auto"/>
                <w:szCs w:val="22"/>
              </w:rPr>
            </w:pPr>
          </w:p>
        </w:tc>
      </w:tr>
      <w:tr w:rsidR="00867DA1" w:rsidRPr="00A064E4" w14:paraId="1BE34057" w14:textId="77777777" w:rsidTr="004964C8">
        <w:trPr>
          <w:jc w:val="center"/>
        </w:trPr>
        <w:tc>
          <w:tcPr>
            <w:tcW w:w="1589" w:type="pct"/>
            <w:shd w:val="clear" w:color="auto" w:fill="auto"/>
            <w:noWrap/>
            <w:vAlign w:val="bottom"/>
          </w:tcPr>
          <w:p w14:paraId="62F88E66" w14:textId="77777777" w:rsidR="00867DA1" w:rsidRPr="004964C8" w:rsidRDefault="00867DA1" w:rsidP="004964C8">
            <w:pPr>
              <w:pStyle w:val="R"/>
              <w:rPr>
                <w:color w:val="auto"/>
                <w:szCs w:val="22"/>
              </w:rPr>
            </w:pPr>
            <w:r w:rsidRPr="004964C8">
              <w:rPr>
                <w:rFonts w:hint="eastAsia"/>
                <w:color w:val="auto"/>
                <w:szCs w:val="22"/>
              </w:rPr>
              <w:t>דנמרק</w:t>
            </w:r>
          </w:p>
        </w:tc>
        <w:tc>
          <w:tcPr>
            <w:tcW w:w="1662" w:type="pct"/>
            <w:shd w:val="clear" w:color="auto" w:fill="auto"/>
            <w:vAlign w:val="bottom"/>
          </w:tcPr>
          <w:p w14:paraId="747BC208" w14:textId="77777777" w:rsidR="00867DA1" w:rsidRPr="004964C8" w:rsidRDefault="00867DA1" w:rsidP="004964C8">
            <w:pPr>
              <w:pStyle w:val="R"/>
              <w:rPr>
                <w:color w:val="auto"/>
                <w:szCs w:val="22"/>
              </w:rPr>
            </w:pPr>
          </w:p>
        </w:tc>
        <w:tc>
          <w:tcPr>
            <w:tcW w:w="1749" w:type="pct"/>
            <w:shd w:val="clear" w:color="auto" w:fill="auto"/>
            <w:vAlign w:val="bottom"/>
          </w:tcPr>
          <w:p w14:paraId="4ACFAB16" w14:textId="77777777" w:rsidR="00867DA1" w:rsidRPr="004964C8" w:rsidRDefault="00867DA1" w:rsidP="004964C8">
            <w:pPr>
              <w:pStyle w:val="R"/>
              <w:rPr>
                <w:color w:val="auto"/>
                <w:szCs w:val="22"/>
              </w:rPr>
            </w:pPr>
            <w:r w:rsidRPr="004964C8">
              <w:rPr>
                <w:color w:val="auto"/>
                <w:szCs w:val="22"/>
              </w:rPr>
              <w:t>X</w:t>
            </w:r>
          </w:p>
        </w:tc>
      </w:tr>
      <w:tr w:rsidR="00867DA1" w:rsidRPr="00A064E4" w14:paraId="45019953" w14:textId="77777777" w:rsidTr="004964C8">
        <w:trPr>
          <w:jc w:val="center"/>
        </w:trPr>
        <w:tc>
          <w:tcPr>
            <w:tcW w:w="1589" w:type="pct"/>
            <w:shd w:val="clear" w:color="auto" w:fill="auto"/>
            <w:noWrap/>
            <w:vAlign w:val="bottom"/>
          </w:tcPr>
          <w:p w14:paraId="7827F8CF" w14:textId="77777777" w:rsidR="00867DA1" w:rsidRPr="004964C8" w:rsidRDefault="00867DA1" w:rsidP="004964C8">
            <w:pPr>
              <w:pStyle w:val="R"/>
              <w:rPr>
                <w:color w:val="auto"/>
                <w:szCs w:val="22"/>
              </w:rPr>
            </w:pPr>
            <w:r w:rsidRPr="004964C8">
              <w:rPr>
                <w:rFonts w:hint="eastAsia"/>
                <w:color w:val="auto"/>
                <w:szCs w:val="22"/>
              </w:rPr>
              <w:t>הולנד</w:t>
            </w:r>
          </w:p>
        </w:tc>
        <w:tc>
          <w:tcPr>
            <w:tcW w:w="1662" w:type="pct"/>
            <w:shd w:val="clear" w:color="auto" w:fill="auto"/>
            <w:vAlign w:val="bottom"/>
          </w:tcPr>
          <w:p w14:paraId="308107AC" w14:textId="77777777" w:rsidR="00867DA1" w:rsidRPr="004964C8" w:rsidRDefault="00867DA1" w:rsidP="004964C8">
            <w:pPr>
              <w:pStyle w:val="R"/>
              <w:rPr>
                <w:color w:val="auto"/>
                <w:szCs w:val="22"/>
              </w:rPr>
            </w:pPr>
            <w:r w:rsidRPr="004964C8">
              <w:rPr>
                <w:color w:val="auto"/>
                <w:szCs w:val="22"/>
              </w:rPr>
              <w:t>X</w:t>
            </w:r>
          </w:p>
        </w:tc>
        <w:tc>
          <w:tcPr>
            <w:tcW w:w="1749" w:type="pct"/>
            <w:shd w:val="clear" w:color="auto" w:fill="auto"/>
            <w:vAlign w:val="bottom"/>
          </w:tcPr>
          <w:p w14:paraId="61102FAB" w14:textId="77777777" w:rsidR="00867DA1" w:rsidRPr="004964C8" w:rsidRDefault="00867DA1" w:rsidP="004964C8">
            <w:pPr>
              <w:pStyle w:val="R"/>
              <w:rPr>
                <w:color w:val="auto"/>
                <w:szCs w:val="22"/>
              </w:rPr>
            </w:pPr>
          </w:p>
        </w:tc>
      </w:tr>
      <w:tr w:rsidR="00867DA1" w:rsidRPr="00A064E4" w14:paraId="05BA2D6C" w14:textId="77777777" w:rsidTr="004964C8">
        <w:trPr>
          <w:jc w:val="center"/>
        </w:trPr>
        <w:tc>
          <w:tcPr>
            <w:tcW w:w="1589" w:type="pct"/>
            <w:shd w:val="clear" w:color="auto" w:fill="auto"/>
            <w:noWrap/>
            <w:vAlign w:val="bottom"/>
          </w:tcPr>
          <w:p w14:paraId="6963D5B3" w14:textId="77777777" w:rsidR="00867DA1" w:rsidRPr="004964C8" w:rsidRDefault="00867DA1" w:rsidP="004964C8">
            <w:pPr>
              <w:pStyle w:val="R"/>
              <w:rPr>
                <w:color w:val="auto"/>
                <w:szCs w:val="22"/>
              </w:rPr>
            </w:pPr>
            <w:r w:rsidRPr="004964C8">
              <w:rPr>
                <w:rFonts w:hint="eastAsia"/>
                <w:color w:val="auto"/>
                <w:szCs w:val="22"/>
              </w:rPr>
              <w:t>ניו</w:t>
            </w:r>
            <w:r w:rsidRPr="004964C8">
              <w:rPr>
                <w:color w:val="auto"/>
                <w:szCs w:val="22"/>
              </w:rPr>
              <w:t xml:space="preserve"> </w:t>
            </w:r>
            <w:r w:rsidRPr="004964C8">
              <w:rPr>
                <w:rFonts w:hint="eastAsia"/>
                <w:color w:val="auto"/>
                <w:szCs w:val="22"/>
              </w:rPr>
              <w:t>זילנד</w:t>
            </w:r>
          </w:p>
        </w:tc>
        <w:tc>
          <w:tcPr>
            <w:tcW w:w="1662" w:type="pct"/>
            <w:shd w:val="clear" w:color="auto" w:fill="auto"/>
            <w:vAlign w:val="bottom"/>
          </w:tcPr>
          <w:p w14:paraId="360A17FC" w14:textId="77777777" w:rsidR="00867DA1" w:rsidRPr="004964C8" w:rsidRDefault="00867DA1" w:rsidP="004964C8">
            <w:pPr>
              <w:pStyle w:val="R"/>
              <w:rPr>
                <w:color w:val="auto"/>
                <w:szCs w:val="22"/>
              </w:rPr>
            </w:pPr>
          </w:p>
        </w:tc>
        <w:tc>
          <w:tcPr>
            <w:tcW w:w="1749" w:type="pct"/>
            <w:shd w:val="clear" w:color="auto" w:fill="auto"/>
            <w:vAlign w:val="bottom"/>
          </w:tcPr>
          <w:p w14:paraId="3C46DDDD" w14:textId="77777777" w:rsidR="00867DA1" w:rsidRPr="004964C8" w:rsidRDefault="00867DA1" w:rsidP="004964C8">
            <w:pPr>
              <w:pStyle w:val="R"/>
              <w:rPr>
                <w:color w:val="auto"/>
                <w:szCs w:val="22"/>
              </w:rPr>
            </w:pPr>
            <w:r w:rsidRPr="004964C8">
              <w:rPr>
                <w:color w:val="auto"/>
                <w:szCs w:val="22"/>
              </w:rPr>
              <w:t>X</w:t>
            </w:r>
          </w:p>
        </w:tc>
      </w:tr>
      <w:tr w:rsidR="00867DA1" w:rsidRPr="00A064E4" w14:paraId="225A17C7" w14:textId="77777777" w:rsidTr="004964C8">
        <w:trPr>
          <w:jc w:val="center"/>
        </w:trPr>
        <w:tc>
          <w:tcPr>
            <w:tcW w:w="1589" w:type="pct"/>
            <w:shd w:val="clear" w:color="auto" w:fill="auto"/>
            <w:noWrap/>
            <w:vAlign w:val="bottom"/>
          </w:tcPr>
          <w:p w14:paraId="526D3C4F" w14:textId="77777777" w:rsidR="00867DA1" w:rsidRPr="004964C8" w:rsidRDefault="00867DA1" w:rsidP="004964C8">
            <w:pPr>
              <w:pStyle w:val="R"/>
              <w:rPr>
                <w:color w:val="auto"/>
                <w:szCs w:val="22"/>
              </w:rPr>
            </w:pPr>
            <w:r w:rsidRPr="004964C8">
              <w:rPr>
                <w:rFonts w:hint="eastAsia"/>
                <w:color w:val="auto"/>
                <w:szCs w:val="22"/>
              </w:rPr>
              <w:t>פינלנד</w:t>
            </w:r>
          </w:p>
        </w:tc>
        <w:tc>
          <w:tcPr>
            <w:tcW w:w="1662" w:type="pct"/>
            <w:shd w:val="clear" w:color="auto" w:fill="auto"/>
            <w:vAlign w:val="bottom"/>
          </w:tcPr>
          <w:p w14:paraId="43AF85C1" w14:textId="77777777" w:rsidR="00867DA1" w:rsidRPr="004964C8" w:rsidRDefault="00867DA1" w:rsidP="004964C8">
            <w:pPr>
              <w:pStyle w:val="R"/>
              <w:rPr>
                <w:color w:val="auto"/>
                <w:szCs w:val="22"/>
              </w:rPr>
            </w:pPr>
          </w:p>
        </w:tc>
        <w:tc>
          <w:tcPr>
            <w:tcW w:w="1749" w:type="pct"/>
            <w:shd w:val="clear" w:color="auto" w:fill="auto"/>
            <w:vAlign w:val="bottom"/>
          </w:tcPr>
          <w:p w14:paraId="3FAB1BE6" w14:textId="77777777" w:rsidR="00867DA1" w:rsidRPr="004964C8" w:rsidRDefault="00867DA1" w:rsidP="004964C8">
            <w:pPr>
              <w:pStyle w:val="R"/>
              <w:rPr>
                <w:color w:val="auto"/>
                <w:szCs w:val="22"/>
              </w:rPr>
            </w:pPr>
            <w:r w:rsidRPr="004964C8">
              <w:rPr>
                <w:color w:val="auto"/>
                <w:szCs w:val="22"/>
              </w:rPr>
              <w:t>X</w:t>
            </w:r>
          </w:p>
        </w:tc>
      </w:tr>
      <w:tr w:rsidR="00867DA1" w:rsidRPr="00A064E4" w14:paraId="2BD6648A" w14:textId="77777777" w:rsidTr="004964C8">
        <w:trPr>
          <w:jc w:val="center"/>
        </w:trPr>
        <w:tc>
          <w:tcPr>
            <w:tcW w:w="1589" w:type="pct"/>
            <w:shd w:val="clear" w:color="auto" w:fill="auto"/>
            <w:noWrap/>
            <w:vAlign w:val="bottom"/>
          </w:tcPr>
          <w:p w14:paraId="754F033C" w14:textId="77777777" w:rsidR="00867DA1" w:rsidRPr="004964C8" w:rsidRDefault="00867DA1" w:rsidP="004964C8">
            <w:pPr>
              <w:pStyle w:val="R"/>
              <w:rPr>
                <w:color w:val="auto"/>
                <w:szCs w:val="22"/>
              </w:rPr>
            </w:pPr>
            <w:r w:rsidRPr="004964C8">
              <w:rPr>
                <w:rFonts w:hint="eastAsia"/>
                <w:color w:val="auto"/>
                <w:szCs w:val="22"/>
              </w:rPr>
              <w:t>שוודיה</w:t>
            </w:r>
          </w:p>
        </w:tc>
        <w:tc>
          <w:tcPr>
            <w:tcW w:w="1662" w:type="pct"/>
            <w:shd w:val="clear" w:color="auto" w:fill="auto"/>
            <w:vAlign w:val="bottom"/>
          </w:tcPr>
          <w:p w14:paraId="733BFBBF" w14:textId="77777777" w:rsidR="00867DA1" w:rsidRPr="004964C8" w:rsidRDefault="00867DA1" w:rsidP="004964C8">
            <w:pPr>
              <w:pStyle w:val="R"/>
              <w:rPr>
                <w:color w:val="auto"/>
                <w:szCs w:val="22"/>
              </w:rPr>
            </w:pPr>
          </w:p>
        </w:tc>
        <w:tc>
          <w:tcPr>
            <w:tcW w:w="1749" w:type="pct"/>
            <w:shd w:val="clear" w:color="auto" w:fill="auto"/>
            <w:vAlign w:val="bottom"/>
          </w:tcPr>
          <w:p w14:paraId="5F35BE67" w14:textId="77777777" w:rsidR="00867DA1" w:rsidRPr="004964C8" w:rsidRDefault="00867DA1" w:rsidP="004964C8">
            <w:pPr>
              <w:pStyle w:val="R"/>
              <w:rPr>
                <w:color w:val="auto"/>
                <w:szCs w:val="22"/>
              </w:rPr>
            </w:pPr>
            <w:r w:rsidRPr="004964C8">
              <w:rPr>
                <w:color w:val="auto"/>
                <w:szCs w:val="22"/>
              </w:rPr>
              <w:t>X</w:t>
            </w:r>
          </w:p>
        </w:tc>
      </w:tr>
      <w:tr w:rsidR="00867DA1" w:rsidRPr="00A064E4" w14:paraId="37DD7E60" w14:textId="77777777" w:rsidTr="004964C8">
        <w:trPr>
          <w:jc w:val="center"/>
        </w:trPr>
        <w:tc>
          <w:tcPr>
            <w:tcW w:w="1589" w:type="pct"/>
            <w:shd w:val="clear" w:color="auto" w:fill="auto"/>
            <w:noWrap/>
            <w:vAlign w:val="bottom"/>
          </w:tcPr>
          <w:p w14:paraId="5ADBC3EB" w14:textId="77777777" w:rsidR="00867DA1" w:rsidRPr="004964C8" w:rsidRDefault="00867DA1" w:rsidP="004964C8">
            <w:pPr>
              <w:pStyle w:val="R"/>
              <w:rPr>
                <w:color w:val="auto"/>
                <w:szCs w:val="22"/>
              </w:rPr>
            </w:pPr>
            <w:r w:rsidRPr="004964C8">
              <w:rPr>
                <w:rFonts w:hint="eastAsia"/>
                <w:color w:val="auto"/>
                <w:szCs w:val="22"/>
              </w:rPr>
              <w:t>שוויץ</w:t>
            </w:r>
          </w:p>
        </w:tc>
        <w:tc>
          <w:tcPr>
            <w:tcW w:w="1662" w:type="pct"/>
            <w:shd w:val="clear" w:color="auto" w:fill="auto"/>
            <w:vAlign w:val="bottom"/>
          </w:tcPr>
          <w:p w14:paraId="3BF7FAA5" w14:textId="77777777" w:rsidR="00867DA1" w:rsidRPr="004964C8" w:rsidRDefault="00867DA1" w:rsidP="004964C8">
            <w:pPr>
              <w:pStyle w:val="R"/>
              <w:rPr>
                <w:color w:val="auto"/>
                <w:szCs w:val="22"/>
              </w:rPr>
            </w:pPr>
          </w:p>
        </w:tc>
        <w:tc>
          <w:tcPr>
            <w:tcW w:w="1749" w:type="pct"/>
            <w:shd w:val="clear" w:color="auto" w:fill="auto"/>
            <w:vAlign w:val="bottom"/>
          </w:tcPr>
          <w:p w14:paraId="3357517A" w14:textId="77777777" w:rsidR="00867DA1" w:rsidRPr="004964C8" w:rsidRDefault="00867DA1" w:rsidP="004964C8">
            <w:pPr>
              <w:pStyle w:val="R"/>
              <w:rPr>
                <w:color w:val="auto"/>
                <w:szCs w:val="22"/>
              </w:rPr>
            </w:pPr>
            <w:r w:rsidRPr="004964C8">
              <w:rPr>
                <w:color w:val="auto"/>
                <w:szCs w:val="22"/>
              </w:rPr>
              <w:t>X</w:t>
            </w:r>
          </w:p>
        </w:tc>
      </w:tr>
      <w:tr w:rsidR="00867DA1" w:rsidRPr="00A064E4" w14:paraId="65B33B83" w14:textId="77777777" w:rsidTr="004964C8">
        <w:trPr>
          <w:cnfStyle w:val="010000000000" w:firstRow="0" w:lastRow="1" w:firstColumn="0" w:lastColumn="0" w:oddVBand="0" w:evenVBand="0" w:oddHBand="0" w:evenHBand="0" w:firstRowFirstColumn="0" w:firstRowLastColumn="0" w:lastRowFirstColumn="0" w:lastRowLastColumn="0"/>
          <w:jc w:val="center"/>
        </w:trPr>
        <w:tc>
          <w:tcPr>
            <w:tcW w:w="1589" w:type="pct"/>
            <w:tcBorders>
              <w:top w:val="none" w:sz="0" w:space="0" w:color="auto"/>
              <w:left w:val="none" w:sz="0" w:space="0" w:color="auto"/>
              <w:bottom w:val="none" w:sz="0" w:space="0" w:color="auto"/>
              <w:right w:val="none" w:sz="0" w:space="0" w:color="auto"/>
            </w:tcBorders>
            <w:shd w:val="clear" w:color="auto" w:fill="auto"/>
            <w:noWrap/>
            <w:vAlign w:val="bottom"/>
          </w:tcPr>
          <w:p w14:paraId="47460689" w14:textId="77777777" w:rsidR="00867DA1" w:rsidRPr="004964C8" w:rsidRDefault="00867DA1" w:rsidP="004964C8">
            <w:pPr>
              <w:pStyle w:val="R"/>
              <w:rPr>
                <w:b w:val="0"/>
                <w:bCs w:val="0"/>
                <w:color w:val="auto"/>
                <w:szCs w:val="22"/>
              </w:rPr>
            </w:pPr>
            <w:r w:rsidRPr="004964C8">
              <w:rPr>
                <w:rFonts w:hint="eastAsia"/>
                <w:b w:val="0"/>
                <w:bCs w:val="0"/>
                <w:color w:val="auto"/>
                <w:szCs w:val="22"/>
              </w:rPr>
              <w:t>קנדה</w:t>
            </w:r>
            <w:r w:rsidRPr="004964C8">
              <w:rPr>
                <w:rFonts w:hint="cs"/>
                <w:b w:val="0"/>
                <w:bCs w:val="0"/>
                <w:color w:val="auto"/>
                <w:szCs w:val="22"/>
              </w:rPr>
              <w:t xml:space="preserve"> </w:t>
            </w:r>
          </w:p>
        </w:tc>
        <w:tc>
          <w:tcPr>
            <w:tcW w:w="1662" w:type="pct"/>
            <w:tcBorders>
              <w:top w:val="none" w:sz="0" w:space="0" w:color="auto"/>
              <w:left w:val="none" w:sz="0" w:space="0" w:color="auto"/>
              <w:bottom w:val="none" w:sz="0" w:space="0" w:color="auto"/>
              <w:right w:val="none" w:sz="0" w:space="0" w:color="auto"/>
            </w:tcBorders>
            <w:shd w:val="clear" w:color="auto" w:fill="auto"/>
            <w:vAlign w:val="bottom"/>
          </w:tcPr>
          <w:p w14:paraId="6475918E" w14:textId="77777777" w:rsidR="00867DA1" w:rsidRPr="004964C8" w:rsidRDefault="00867DA1" w:rsidP="004964C8">
            <w:pPr>
              <w:pStyle w:val="R"/>
              <w:rPr>
                <w:b w:val="0"/>
                <w:bCs w:val="0"/>
                <w:color w:val="auto"/>
                <w:szCs w:val="22"/>
              </w:rPr>
            </w:pPr>
          </w:p>
        </w:tc>
        <w:tc>
          <w:tcPr>
            <w:tcW w:w="1749" w:type="pct"/>
            <w:tcBorders>
              <w:top w:val="none" w:sz="0" w:space="0" w:color="auto"/>
              <w:left w:val="none" w:sz="0" w:space="0" w:color="auto"/>
              <w:bottom w:val="none" w:sz="0" w:space="0" w:color="auto"/>
              <w:right w:val="none" w:sz="0" w:space="0" w:color="auto"/>
            </w:tcBorders>
            <w:shd w:val="clear" w:color="auto" w:fill="auto"/>
            <w:vAlign w:val="bottom"/>
          </w:tcPr>
          <w:p w14:paraId="0D5DE1FC" w14:textId="77777777" w:rsidR="00867DA1" w:rsidRPr="004964C8" w:rsidRDefault="00867DA1" w:rsidP="004964C8">
            <w:pPr>
              <w:pStyle w:val="R"/>
              <w:rPr>
                <w:b w:val="0"/>
                <w:bCs w:val="0"/>
                <w:color w:val="auto"/>
                <w:szCs w:val="22"/>
              </w:rPr>
            </w:pPr>
            <w:r w:rsidRPr="004964C8">
              <w:rPr>
                <w:b w:val="0"/>
                <w:bCs w:val="0"/>
                <w:color w:val="auto"/>
                <w:szCs w:val="22"/>
              </w:rPr>
              <w:t>X</w:t>
            </w:r>
          </w:p>
        </w:tc>
      </w:tr>
    </w:tbl>
    <w:p w14:paraId="27FF0EEC" w14:textId="7C3847FE" w:rsidR="00867DA1" w:rsidRPr="004254E2" w:rsidRDefault="00867DA1" w:rsidP="004964C8">
      <w:pPr>
        <w:pStyle w:val="ac"/>
        <w:rPr>
          <w:bCs/>
          <w:szCs w:val="26"/>
          <w:rtl/>
        </w:rPr>
      </w:pPr>
      <w:r w:rsidRPr="004254E2">
        <w:rPr>
          <w:rFonts w:hint="eastAsia"/>
          <w:rtl/>
        </w:rPr>
        <w:t>על</w:t>
      </w:r>
      <w:r w:rsidRPr="004254E2">
        <w:rPr>
          <w:rtl/>
        </w:rPr>
        <w:t xml:space="preserve"> </w:t>
      </w:r>
      <w:r w:rsidRPr="004254E2">
        <w:rPr>
          <w:rFonts w:hint="eastAsia"/>
          <w:rtl/>
        </w:rPr>
        <w:t>פי</w:t>
      </w:r>
      <w:r w:rsidRPr="004254E2">
        <w:rPr>
          <w:rtl/>
        </w:rPr>
        <w:t xml:space="preserve"> נתוני </w:t>
      </w:r>
      <w:r w:rsidRPr="004254E2">
        <w:rPr>
          <w:rFonts w:hint="eastAsia"/>
          <w:rtl/>
        </w:rPr>
        <w:t>מאגר</w:t>
      </w:r>
      <w:r w:rsidRPr="004254E2">
        <w:rPr>
          <w:rtl/>
        </w:rPr>
        <w:t xml:space="preserve"> </w:t>
      </w:r>
      <w:r w:rsidRPr="004254E2">
        <w:rPr>
          <w:rFonts w:hint="eastAsia"/>
          <w:rtl/>
        </w:rPr>
        <w:t>מידע</w:t>
      </w:r>
      <w:r w:rsidRPr="004254E2">
        <w:rPr>
          <w:rtl/>
        </w:rPr>
        <w:t xml:space="preserve"> </w:t>
      </w:r>
      <w:r w:rsidRPr="004254E2">
        <w:rPr>
          <w:rFonts w:hint="eastAsia"/>
          <w:rtl/>
        </w:rPr>
        <w:t>של</w:t>
      </w:r>
      <w:r w:rsidRPr="004254E2">
        <w:rPr>
          <w:rtl/>
        </w:rPr>
        <w:t xml:space="preserve"> </w:t>
      </w:r>
      <w:r w:rsidRPr="004254E2">
        <w:rPr>
          <w:rFonts w:hint="eastAsia"/>
          <w:rtl/>
        </w:rPr>
        <w:t>ארגון</w:t>
      </w:r>
      <w:r w:rsidRPr="004254E2">
        <w:rPr>
          <w:rtl/>
        </w:rPr>
        <w:t xml:space="preserve"> </w:t>
      </w:r>
      <w:r w:rsidRPr="004254E2">
        <w:rPr>
          <w:rFonts w:hint="eastAsia"/>
          <w:rtl/>
        </w:rPr>
        <w:t>הפדרציה</w:t>
      </w:r>
      <w:r w:rsidRPr="004254E2">
        <w:rPr>
          <w:rtl/>
        </w:rPr>
        <w:t xml:space="preserve"> </w:t>
      </w:r>
      <w:r w:rsidRPr="004254E2">
        <w:rPr>
          <w:rFonts w:hint="eastAsia"/>
          <w:rtl/>
        </w:rPr>
        <w:t>הבין</w:t>
      </w:r>
      <w:r w:rsidRPr="004254E2">
        <w:rPr>
          <w:rtl/>
        </w:rPr>
        <w:t>-</w:t>
      </w:r>
      <w:r w:rsidRPr="004254E2">
        <w:rPr>
          <w:rFonts w:hint="eastAsia"/>
          <w:rtl/>
        </w:rPr>
        <w:t>לאומית</w:t>
      </w:r>
      <w:r w:rsidRPr="004254E2">
        <w:rPr>
          <w:rtl/>
        </w:rPr>
        <w:t xml:space="preserve"> </w:t>
      </w:r>
      <w:r w:rsidRPr="004254E2">
        <w:rPr>
          <w:rFonts w:hint="eastAsia"/>
          <w:rtl/>
        </w:rPr>
        <w:t>של</w:t>
      </w:r>
      <w:r w:rsidRPr="004254E2">
        <w:rPr>
          <w:rtl/>
        </w:rPr>
        <w:t xml:space="preserve"> </w:t>
      </w:r>
      <w:r w:rsidRPr="004254E2">
        <w:rPr>
          <w:rFonts w:hint="eastAsia"/>
          <w:rtl/>
        </w:rPr>
        <w:t>רואי</w:t>
      </w:r>
      <w:r w:rsidRPr="004254E2">
        <w:rPr>
          <w:rtl/>
        </w:rPr>
        <w:t xml:space="preserve"> </w:t>
      </w:r>
      <w:r w:rsidRPr="004254E2">
        <w:rPr>
          <w:rFonts w:hint="eastAsia"/>
          <w:rtl/>
        </w:rPr>
        <w:t>החשבון</w:t>
      </w:r>
      <w:r w:rsidRPr="004254E2">
        <w:rPr>
          <w:rtl/>
        </w:rPr>
        <w:t xml:space="preserve"> (28.2.19)</w:t>
      </w:r>
      <w:r w:rsidRPr="004254E2">
        <w:rPr>
          <w:b/>
          <w:szCs w:val="18"/>
          <w:rtl/>
        </w:rPr>
        <w:t xml:space="preserve">,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sidR="009042BD" w:rsidRPr="00C56E45">
        <w:rPr>
          <w:rFonts w:hint="cs"/>
          <w:b/>
          <w:szCs w:val="26"/>
          <w:rtl/>
        </w:rPr>
        <w:t>.</w:t>
      </w:r>
    </w:p>
    <w:p w14:paraId="7EEC30A6" w14:textId="4D35EE43" w:rsidR="004964C8" w:rsidRDefault="004964C8">
      <w:pPr>
        <w:bidi w:val="0"/>
        <w:spacing w:after="200" w:line="276" w:lineRule="auto"/>
        <w:rPr>
          <w:rtl/>
        </w:rPr>
      </w:pPr>
      <w:r>
        <w:rPr>
          <w:rtl/>
        </w:rPr>
        <w:br w:type="page"/>
      </w:r>
    </w:p>
    <w:p w14:paraId="461343FE" w14:textId="77777777" w:rsidR="00867DA1" w:rsidRDefault="00867DA1" w:rsidP="007E4831">
      <w:pPr>
        <w:pStyle w:val="af5"/>
      </w:pPr>
      <w:r>
        <w:rPr>
          <w:rFonts w:hint="cs"/>
          <w:rtl/>
        </w:rPr>
        <w:lastRenderedPageBreak/>
        <w:t xml:space="preserve">בשנת 2000 </w:t>
      </w:r>
      <w:r w:rsidRPr="009D7D8F">
        <w:rPr>
          <w:rtl/>
        </w:rPr>
        <w:t xml:space="preserve">החלה </w:t>
      </w:r>
      <w:r>
        <w:rPr>
          <w:rFonts w:hint="cs"/>
          <w:rtl/>
        </w:rPr>
        <w:t>מדינת ישראל לבצע</w:t>
      </w:r>
      <w:r w:rsidRPr="009D7D8F">
        <w:rPr>
          <w:rtl/>
        </w:rPr>
        <w:t xml:space="preserve"> רפורמה בחשבונאות הממשלתית, שעיקרה מעבר מבסיס מזומן</w:t>
      </w:r>
      <w:r>
        <w:rPr>
          <w:rFonts w:hint="cs"/>
          <w:rtl/>
        </w:rPr>
        <w:t xml:space="preserve"> </w:t>
      </w:r>
      <w:r w:rsidRPr="009D7D8F">
        <w:rPr>
          <w:rtl/>
        </w:rPr>
        <w:t>לבסיס מצטבר</w:t>
      </w:r>
      <w:r>
        <w:rPr>
          <w:rFonts w:hint="cs"/>
          <w:rtl/>
        </w:rPr>
        <w:t xml:space="preserve">. עד </w:t>
      </w:r>
      <w:r w:rsidRPr="00CA1F3C">
        <w:rPr>
          <w:rFonts w:hint="cs"/>
          <w:rtl/>
        </w:rPr>
        <w:t>31</w:t>
      </w:r>
      <w:r>
        <w:rPr>
          <w:rFonts w:hint="cs"/>
          <w:rtl/>
        </w:rPr>
        <w:t>.12.</w:t>
      </w:r>
      <w:r w:rsidRPr="00CA1F3C">
        <w:rPr>
          <w:rFonts w:hint="cs"/>
          <w:rtl/>
        </w:rPr>
        <w:t>18 עברו</w:t>
      </w:r>
      <w:r>
        <w:rPr>
          <w:rFonts w:hint="cs"/>
          <w:rtl/>
        </w:rPr>
        <w:t xml:space="preserve"> כל</w:t>
      </w:r>
      <w:r w:rsidRPr="00CA1F3C">
        <w:rPr>
          <w:rFonts w:hint="cs"/>
          <w:rtl/>
        </w:rPr>
        <w:t xml:space="preserve"> משרדי הממשלה לדווח</w:t>
      </w:r>
      <w:r>
        <w:rPr>
          <w:rFonts w:hint="cs"/>
          <w:rtl/>
        </w:rPr>
        <w:t xml:space="preserve"> </w:t>
      </w:r>
      <w:r w:rsidRPr="00CA1F3C">
        <w:rPr>
          <w:rFonts w:hint="cs"/>
          <w:rtl/>
        </w:rPr>
        <w:t xml:space="preserve">על בסיס מצטבר. </w:t>
      </w:r>
      <w:r w:rsidRPr="00DF6407">
        <w:rPr>
          <w:rFonts w:hint="cs"/>
          <w:rtl/>
        </w:rPr>
        <w:t>משרד מבקר המדינה מציין לחיוב</w:t>
      </w:r>
      <w:r>
        <w:rPr>
          <w:rFonts w:hint="cs"/>
          <w:rtl/>
        </w:rPr>
        <w:t xml:space="preserve"> את העבודה הרבה שנעשתה בנושא זה. בעקבות זאת, מדינת ישראל הצטרפה למדינות רבות בעולם המבססות את הדוחות הכספיים שלהן על דיווח מצטבר. </w:t>
      </w:r>
    </w:p>
    <w:p w14:paraId="487DA934" w14:textId="77777777" w:rsidR="00867DA1" w:rsidRDefault="00867DA1" w:rsidP="007E4831">
      <w:pPr>
        <w:pStyle w:val="100"/>
        <w:rPr>
          <w:rtl/>
        </w:rPr>
      </w:pPr>
      <w:r w:rsidRPr="005E1F21">
        <w:rPr>
          <w:rFonts w:hint="cs"/>
          <w:rtl/>
        </w:rPr>
        <w:t>הדוחות הכספיים של הרשויות המקומיות במדינת ישראל ערוכים על בסיס דיווח מזומן "</w:t>
      </w:r>
      <w:r>
        <w:rPr>
          <w:rFonts w:hint="cs"/>
          <w:rtl/>
        </w:rPr>
        <w:t>מתואם</w:t>
      </w:r>
      <w:r w:rsidRPr="005E1F21">
        <w:rPr>
          <w:rFonts w:hint="cs"/>
          <w:rtl/>
        </w:rPr>
        <w:t>"</w:t>
      </w:r>
      <w:r>
        <w:rPr>
          <w:rStyle w:val="FootnoteReference"/>
          <w:sz w:val="24"/>
          <w:rtl/>
        </w:rPr>
        <w:footnoteReference w:id="8"/>
      </w:r>
      <w:r>
        <w:rPr>
          <w:rFonts w:hint="cs"/>
          <w:rtl/>
        </w:rPr>
        <w:t xml:space="preserve"> -</w:t>
      </w:r>
      <w:r w:rsidRPr="005E1F21">
        <w:rPr>
          <w:rFonts w:hint="cs"/>
          <w:rtl/>
        </w:rPr>
        <w:t xml:space="preserve"> </w:t>
      </w:r>
      <w:r w:rsidRPr="00F741AB">
        <w:rPr>
          <w:rtl/>
        </w:rPr>
        <w:t>ההכנסות נרשמות על בסיס מזומן</w:t>
      </w:r>
      <w:r>
        <w:rPr>
          <w:rFonts w:hint="cs"/>
          <w:rtl/>
        </w:rPr>
        <w:t xml:space="preserve">, </w:t>
      </w:r>
      <w:r w:rsidRPr="00F741AB">
        <w:rPr>
          <w:rtl/>
        </w:rPr>
        <w:t>וההוצאות על בסיס מצטבר</w:t>
      </w:r>
      <w:r>
        <w:rPr>
          <w:rFonts w:hint="cs"/>
          <w:rtl/>
        </w:rPr>
        <w:t>. יש לציין כי עוד בשנת 1998 המליצה ועדה ציבורית בראשותו של פרופ' אמיר ברנע</w:t>
      </w:r>
      <w:r>
        <w:rPr>
          <w:rStyle w:val="FootnoteReference"/>
          <w:sz w:val="24"/>
          <w:rtl/>
        </w:rPr>
        <w:footnoteReference w:id="9"/>
      </w:r>
      <w:r>
        <w:rPr>
          <w:rFonts w:hint="cs"/>
          <w:rtl/>
        </w:rPr>
        <w:t xml:space="preserve"> שרשויות מקומיות יאמצו מתכונת דיווח כספי על בסיס מצטבר. בשנת 2015 קבעה ועדה ציבורית אחרת</w:t>
      </w:r>
      <w:r>
        <w:rPr>
          <w:rStyle w:val="FootnoteReference"/>
          <w:sz w:val="24"/>
          <w:rtl/>
        </w:rPr>
        <w:footnoteReference w:id="10"/>
      </w:r>
      <w:r>
        <w:rPr>
          <w:rFonts w:hint="cs"/>
          <w:rtl/>
        </w:rPr>
        <w:t xml:space="preserve">, בראשותו של ד"ר שוקי אמרני: "בהתחשב בהשלכות המערכתיות הרבות שנובעות מהמעבר לשיטת הדיווח על בסיס מצטבר ומאחר ומדובר בצעד מהותי מבחינת ניהול הכספים ברשויות המקומיות, ראוי לבחון החלטה זו לאחר יישום והטמעת יתר המלצות הוועדה". </w:t>
      </w:r>
    </w:p>
    <w:p w14:paraId="49D697F3" w14:textId="77777777" w:rsidR="00867DA1" w:rsidRDefault="00867DA1" w:rsidP="007E4831">
      <w:pPr>
        <w:pStyle w:val="100"/>
        <w:rPr>
          <w:rtl/>
        </w:rPr>
      </w:pPr>
      <w:r>
        <w:rPr>
          <w:rFonts w:hint="cs"/>
          <w:rtl/>
        </w:rPr>
        <w:t>משרד מבקר המדינה כבר ציין בדוח קודם בנוגע לשלטון המקומי</w:t>
      </w:r>
      <w:r>
        <w:rPr>
          <w:rStyle w:val="FootnoteReference"/>
          <w:rtl/>
        </w:rPr>
        <w:footnoteReference w:id="11"/>
      </w:r>
      <w:r>
        <w:rPr>
          <w:rFonts w:hint="cs"/>
          <w:rtl/>
        </w:rPr>
        <w:t xml:space="preserve">: "מידע מהימן ומקיף הוא תנאי לאסדרה יעילה ותכליתית. שיטת הדיווח הכספי של הרשויות המקומיות במתכונתה הנוכחית אינה מספקת תשתית עובדתית מהימנה לשם קבלת החלטות מושכלות, וכתוצאה מכך נפגעת יעילותן של פעולות הפיקוח והבקרה על מצבן הכספי של הרשויות המקומיות ועל נכסיהן. הדבר מקשה גם על נקיטת הפעולות הנדרשות לשם ניהול נאות של משאבי הרשויות המקומיות". </w:t>
      </w:r>
    </w:p>
    <w:p w14:paraId="5CB8CB8D" w14:textId="77777777" w:rsidR="00867DA1" w:rsidRPr="001E6D0B" w:rsidRDefault="00867DA1" w:rsidP="007E4831">
      <w:pPr>
        <w:pStyle w:val="100"/>
        <w:rPr>
          <w:rtl/>
        </w:rPr>
      </w:pPr>
      <w:r w:rsidRPr="001E6D0B">
        <w:rPr>
          <w:rFonts w:hint="cs"/>
          <w:rtl/>
        </w:rPr>
        <w:t>החשבונאי הראשי</w:t>
      </w:r>
      <w:r>
        <w:rPr>
          <w:rFonts w:hint="cs"/>
          <w:rtl/>
        </w:rPr>
        <w:t xml:space="preserve"> באגף החשב הכללי </w:t>
      </w:r>
      <w:r w:rsidRPr="001E6D0B">
        <w:rPr>
          <w:rFonts w:hint="cs"/>
          <w:rtl/>
        </w:rPr>
        <w:t xml:space="preserve">מסר בתשובתו למבקר המדינה מדצמבר 2019 (להלן - תשובת החשבונאי הראשי) כי </w:t>
      </w:r>
      <w:r w:rsidRPr="001E6D0B">
        <w:rPr>
          <w:rtl/>
        </w:rPr>
        <w:t>בשנה האחרונה</w:t>
      </w:r>
      <w:r w:rsidRPr="001E6D0B">
        <w:rPr>
          <w:rFonts w:hint="cs"/>
          <w:rtl/>
        </w:rPr>
        <w:t xml:space="preserve"> </w:t>
      </w:r>
      <w:r>
        <w:rPr>
          <w:rFonts w:hint="cs"/>
          <w:rtl/>
        </w:rPr>
        <w:t>דנו</w:t>
      </w:r>
      <w:r w:rsidRPr="001E6D0B">
        <w:rPr>
          <w:rtl/>
        </w:rPr>
        <w:t xml:space="preserve"> אגף החשב הכללי </w:t>
      </w:r>
      <w:r>
        <w:rPr>
          <w:rFonts w:hint="cs"/>
          <w:rtl/>
        </w:rPr>
        <w:t>ו</w:t>
      </w:r>
      <w:r w:rsidRPr="001E6D0B">
        <w:rPr>
          <w:rtl/>
        </w:rPr>
        <w:t>נציגי משרד הפנים</w:t>
      </w:r>
      <w:r>
        <w:rPr>
          <w:rFonts w:hint="cs"/>
          <w:rtl/>
        </w:rPr>
        <w:t xml:space="preserve"> ב</w:t>
      </w:r>
      <w:r w:rsidRPr="00DD623E">
        <w:rPr>
          <w:rtl/>
        </w:rPr>
        <w:t>מעבר לדיווח על בסיס מצטבר</w:t>
      </w:r>
      <w:r>
        <w:rPr>
          <w:rFonts w:hint="cs"/>
          <w:rtl/>
        </w:rPr>
        <w:t>, ונציגי משרד הפנים התנגדו לו נחרצות</w:t>
      </w:r>
      <w:r w:rsidRPr="001E6D0B">
        <w:rPr>
          <w:rFonts w:hint="cs"/>
          <w:rtl/>
        </w:rPr>
        <w:t>. עוד ציין החשבונאי הראשי כי</w:t>
      </w:r>
      <w:r>
        <w:rPr>
          <w:rFonts w:hint="cs"/>
          <w:rtl/>
        </w:rPr>
        <w:t xml:space="preserve"> למיטב הבנתו,</w:t>
      </w:r>
      <w:r w:rsidRPr="001E6D0B">
        <w:rPr>
          <w:rFonts w:hint="cs"/>
          <w:rtl/>
        </w:rPr>
        <w:t xml:space="preserve"> </w:t>
      </w:r>
      <w:r>
        <w:rPr>
          <w:rFonts w:hint="cs"/>
          <w:rtl/>
        </w:rPr>
        <w:t xml:space="preserve">אף ששר הפנים אימץ ביוני 2015 את </w:t>
      </w:r>
      <w:r w:rsidRPr="001E6D0B">
        <w:rPr>
          <w:rtl/>
        </w:rPr>
        <w:t xml:space="preserve">המלצות </w:t>
      </w:r>
      <w:r w:rsidRPr="001E6D0B">
        <w:rPr>
          <w:rFonts w:hint="cs"/>
          <w:rtl/>
        </w:rPr>
        <w:t>ועדת אמרני</w:t>
      </w:r>
      <w:r>
        <w:rPr>
          <w:rFonts w:hint="cs"/>
          <w:rtl/>
        </w:rPr>
        <w:t>,</w:t>
      </w:r>
      <w:r w:rsidRPr="001E6D0B">
        <w:rPr>
          <w:rFonts w:hint="cs"/>
          <w:rtl/>
        </w:rPr>
        <w:t xml:space="preserve"> </w:t>
      </w:r>
      <w:r>
        <w:rPr>
          <w:rFonts w:hint="cs"/>
          <w:rtl/>
        </w:rPr>
        <w:t>הן</w:t>
      </w:r>
      <w:r w:rsidRPr="001E6D0B">
        <w:rPr>
          <w:rtl/>
        </w:rPr>
        <w:t xml:space="preserve"> נגנזו.</w:t>
      </w:r>
    </w:p>
    <w:p w14:paraId="3382B3C2" w14:textId="77777777" w:rsidR="00867DA1" w:rsidRPr="0037784A" w:rsidRDefault="00867DA1" w:rsidP="007E4831">
      <w:pPr>
        <w:pStyle w:val="100"/>
      </w:pPr>
      <w:r w:rsidRPr="0037784A">
        <w:rPr>
          <w:rFonts w:hint="cs"/>
          <w:rtl/>
        </w:rPr>
        <w:t>מנהלת אגף בכיר לביקורת פנימית במשרד הפנים מסרה בתשובתה למבקר המדינה מינואר 2020 כי המשרד מתנגד לשינוי שיטת הדיווח. לדבריה, מעבר לדיווח</w:t>
      </w:r>
      <w:r w:rsidRPr="0037784A">
        <w:rPr>
          <w:rtl/>
        </w:rPr>
        <w:t xml:space="preserve"> על בסיס </w:t>
      </w:r>
      <w:r w:rsidRPr="0037784A">
        <w:rPr>
          <w:rFonts w:hint="cs"/>
          <w:rtl/>
        </w:rPr>
        <w:t xml:space="preserve">מצטבר ייצור תמונה מעוותת על מצבה הכספי של הרשות המקומית, ואף </w:t>
      </w:r>
      <w:r>
        <w:rPr>
          <w:rFonts w:hint="cs"/>
          <w:rtl/>
        </w:rPr>
        <w:t xml:space="preserve">פוגע בה קשות. </w:t>
      </w:r>
    </w:p>
    <w:p w14:paraId="2ECAFFFB" w14:textId="77777777" w:rsidR="00867DA1" w:rsidRDefault="00867DA1" w:rsidP="007E4831">
      <w:pPr>
        <w:pStyle w:val="af5"/>
        <w:rPr>
          <w:rtl/>
        </w:rPr>
      </w:pPr>
      <w:r w:rsidRPr="00A53727">
        <w:rPr>
          <w:rFonts w:hint="eastAsia"/>
          <w:rtl/>
        </w:rPr>
        <w:t>משרד</w:t>
      </w:r>
      <w:r w:rsidRPr="00A53727">
        <w:rPr>
          <w:rtl/>
        </w:rPr>
        <w:t xml:space="preserve"> </w:t>
      </w:r>
      <w:r w:rsidRPr="00A53727">
        <w:rPr>
          <w:rFonts w:hint="eastAsia"/>
          <w:rtl/>
        </w:rPr>
        <w:t>מבקר</w:t>
      </w:r>
      <w:r w:rsidRPr="00A53727">
        <w:rPr>
          <w:rtl/>
        </w:rPr>
        <w:t xml:space="preserve"> </w:t>
      </w:r>
      <w:r w:rsidRPr="00A53727">
        <w:rPr>
          <w:rFonts w:hint="eastAsia"/>
          <w:rtl/>
        </w:rPr>
        <w:t>המדינה</w:t>
      </w:r>
      <w:r w:rsidRPr="00A53727">
        <w:rPr>
          <w:rtl/>
        </w:rPr>
        <w:t xml:space="preserve"> </w:t>
      </w:r>
      <w:r w:rsidRPr="00A53727">
        <w:rPr>
          <w:rFonts w:hint="eastAsia"/>
          <w:rtl/>
        </w:rPr>
        <w:t>ממליץ</w:t>
      </w:r>
      <w:r w:rsidRPr="00A53727">
        <w:rPr>
          <w:rtl/>
        </w:rPr>
        <w:t xml:space="preserve"> כי </w:t>
      </w:r>
      <w:r w:rsidRPr="00A53727">
        <w:rPr>
          <w:rFonts w:hint="eastAsia"/>
          <w:rtl/>
        </w:rPr>
        <w:t>משרד</w:t>
      </w:r>
      <w:r w:rsidRPr="00A53727">
        <w:rPr>
          <w:rtl/>
        </w:rPr>
        <w:t xml:space="preserve"> </w:t>
      </w:r>
      <w:r w:rsidRPr="00A53727">
        <w:rPr>
          <w:rFonts w:hint="eastAsia"/>
          <w:rtl/>
        </w:rPr>
        <w:t>הפנים</w:t>
      </w:r>
      <w:r w:rsidRPr="00A53727">
        <w:rPr>
          <w:rtl/>
        </w:rPr>
        <w:t xml:space="preserve"> </w:t>
      </w:r>
      <w:r w:rsidRPr="00A53727">
        <w:rPr>
          <w:rFonts w:hint="eastAsia"/>
          <w:rtl/>
        </w:rPr>
        <w:t>יבחן</w:t>
      </w:r>
      <w:r w:rsidRPr="00A53727">
        <w:rPr>
          <w:rtl/>
        </w:rPr>
        <w:t xml:space="preserve"> את </w:t>
      </w:r>
      <w:r w:rsidRPr="00A53727">
        <w:rPr>
          <w:rFonts w:hint="eastAsia"/>
          <w:rtl/>
        </w:rPr>
        <w:t>המעבר</w:t>
      </w:r>
      <w:r w:rsidRPr="00A53727">
        <w:rPr>
          <w:rtl/>
        </w:rPr>
        <w:t xml:space="preserve"> של הרשויות המקומיות לדיווח על בסיס </w:t>
      </w:r>
      <w:r w:rsidRPr="00A53727">
        <w:rPr>
          <w:rFonts w:hint="eastAsia"/>
          <w:rtl/>
        </w:rPr>
        <w:t>תקינה</w:t>
      </w:r>
      <w:r w:rsidRPr="00A53727">
        <w:rPr>
          <w:rtl/>
        </w:rPr>
        <w:t xml:space="preserve"> </w:t>
      </w:r>
      <w:r w:rsidRPr="00A53727">
        <w:rPr>
          <w:rFonts w:hint="eastAsia"/>
          <w:rtl/>
        </w:rPr>
        <w:t>חשבונאית</w:t>
      </w:r>
      <w:r w:rsidRPr="00A53727">
        <w:rPr>
          <w:rtl/>
        </w:rPr>
        <w:t xml:space="preserve"> </w:t>
      </w:r>
      <w:r w:rsidRPr="00A53727">
        <w:rPr>
          <w:rFonts w:hint="eastAsia"/>
          <w:rtl/>
        </w:rPr>
        <w:t>ממשלתית</w:t>
      </w:r>
      <w:r w:rsidRPr="00A53727">
        <w:rPr>
          <w:rtl/>
        </w:rPr>
        <w:t xml:space="preserve"> </w:t>
      </w:r>
      <w:r w:rsidRPr="00A53727">
        <w:rPr>
          <w:rFonts w:hint="eastAsia"/>
          <w:rtl/>
        </w:rPr>
        <w:t>בראייה</w:t>
      </w:r>
      <w:r w:rsidRPr="00A53727">
        <w:rPr>
          <w:rtl/>
        </w:rPr>
        <w:t xml:space="preserve"> רב שנתית </w:t>
      </w:r>
      <w:r w:rsidRPr="00A53727">
        <w:rPr>
          <w:rFonts w:hint="eastAsia"/>
          <w:rtl/>
        </w:rPr>
        <w:t>או</w:t>
      </w:r>
      <w:r w:rsidRPr="00A53727">
        <w:rPr>
          <w:rtl/>
        </w:rPr>
        <w:t xml:space="preserve"> </w:t>
      </w:r>
      <w:r w:rsidRPr="00A53727">
        <w:rPr>
          <w:rFonts w:hint="eastAsia"/>
          <w:rtl/>
        </w:rPr>
        <w:t>לחילופין</w:t>
      </w:r>
      <w:r w:rsidRPr="00A53727">
        <w:rPr>
          <w:rtl/>
        </w:rPr>
        <w:t xml:space="preserve"> </w:t>
      </w:r>
      <w:r w:rsidRPr="00A53727">
        <w:rPr>
          <w:rFonts w:hint="eastAsia"/>
          <w:rtl/>
        </w:rPr>
        <w:t>יבצע</w:t>
      </w:r>
      <w:r w:rsidRPr="00A53727">
        <w:rPr>
          <w:rtl/>
        </w:rPr>
        <w:t xml:space="preserve"> </w:t>
      </w:r>
      <w:r w:rsidRPr="00A53727">
        <w:rPr>
          <w:rFonts w:hint="eastAsia"/>
          <w:rtl/>
        </w:rPr>
        <w:t>בחינה</w:t>
      </w:r>
      <w:r w:rsidRPr="00A53727">
        <w:rPr>
          <w:rtl/>
        </w:rPr>
        <w:t xml:space="preserve"> </w:t>
      </w:r>
      <w:r w:rsidRPr="00A53727">
        <w:rPr>
          <w:rFonts w:hint="eastAsia"/>
          <w:rtl/>
        </w:rPr>
        <w:t>להצגת</w:t>
      </w:r>
      <w:r w:rsidRPr="00A53727">
        <w:rPr>
          <w:rtl/>
        </w:rPr>
        <w:t xml:space="preserve"> </w:t>
      </w:r>
      <w:r w:rsidRPr="00A53727">
        <w:rPr>
          <w:rFonts w:hint="eastAsia"/>
          <w:rtl/>
        </w:rPr>
        <w:t>הנתונים</w:t>
      </w:r>
      <w:r w:rsidRPr="00A53727">
        <w:rPr>
          <w:rtl/>
        </w:rPr>
        <w:t xml:space="preserve"> </w:t>
      </w:r>
      <w:r w:rsidRPr="00A53727">
        <w:rPr>
          <w:rFonts w:hint="eastAsia"/>
          <w:rtl/>
        </w:rPr>
        <w:t>גם</w:t>
      </w:r>
      <w:r w:rsidRPr="00A53727">
        <w:rPr>
          <w:rtl/>
        </w:rPr>
        <w:t xml:space="preserve"> </w:t>
      </w:r>
      <w:r w:rsidRPr="00A53727">
        <w:rPr>
          <w:rFonts w:hint="eastAsia"/>
          <w:rtl/>
        </w:rPr>
        <w:t>על</w:t>
      </w:r>
      <w:r w:rsidRPr="00A53727">
        <w:rPr>
          <w:rtl/>
        </w:rPr>
        <w:t xml:space="preserve"> </w:t>
      </w:r>
      <w:r w:rsidRPr="00A53727">
        <w:rPr>
          <w:rFonts w:hint="eastAsia"/>
          <w:rtl/>
        </w:rPr>
        <w:t>בסיס</w:t>
      </w:r>
      <w:r w:rsidRPr="00A53727">
        <w:rPr>
          <w:rtl/>
        </w:rPr>
        <w:t xml:space="preserve"> </w:t>
      </w:r>
      <w:r w:rsidRPr="00A53727">
        <w:rPr>
          <w:rFonts w:hint="eastAsia"/>
          <w:rtl/>
        </w:rPr>
        <w:t>מצטבר</w:t>
      </w:r>
      <w:r w:rsidRPr="00A53727">
        <w:rPr>
          <w:rtl/>
        </w:rPr>
        <w:t>.</w:t>
      </w:r>
      <w:r w:rsidRPr="0037784A">
        <w:rPr>
          <w:rFonts w:hint="cs"/>
          <w:rtl/>
        </w:rPr>
        <w:t xml:space="preserve"> </w:t>
      </w:r>
    </w:p>
    <w:p w14:paraId="3CCAFBC1" w14:textId="77777777" w:rsidR="00867DA1" w:rsidRPr="0037784A" w:rsidRDefault="00867DA1" w:rsidP="00867DA1">
      <w:pPr>
        <w:spacing w:line="269" w:lineRule="auto"/>
        <w:rPr>
          <w:rtl/>
        </w:rPr>
      </w:pPr>
    </w:p>
    <w:p w14:paraId="5228DE19" w14:textId="77777777" w:rsidR="00867DA1" w:rsidRDefault="00867DA1" w:rsidP="00E36F10">
      <w:pPr>
        <w:pStyle w:val="218"/>
        <w:rPr>
          <w:rtl/>
        </w:rPr>
      </w:pPr>
      <w:r w:rsidRPr="00E03496">
        <w:rPr>
          <w:rtl/>
        </w:rPr>
        <w:lastRenderedPageBreak/>
        <w:t>שלמות</w:t>
      </w:r>
      <w:r>
        <w:rPr>
          <w:rFonts w:hint="cs"/>
          <w:rtl/>
        </w:rPr>
        <w:t xml:space="preserve"> הנתונים בדוחות,</w:t>
      </w:r>
      <w:r w:rsidRPr="00E03496">
        <w:rPr>
          <w:rtl/>
        </w:rPr>
        <w:t xml:space="preserve"> </w:t>
      </w:r>
      <w:r>
        <w:rPr>
          <w:rFonts w:hint="cs"/>
          <w:rtl/>
        </w:rPr>
        <w:t>מהימנותם</w:t>
      </w:r>
      <w:r w:rsidRPr="00E03496">
        <w:rPr>
          <w:rtl/>
        </w:rPr>
        <w:t>, ו</w:t>
      </w:r>
      <w:r>
        <w:rPr>
          <w:rFonts w:hint="cs"/>
          <w:rtl/>
        </w:rPr>
        <w:t>ה</w:t>
      </w:r>
      <w:r w:rsidRPr="00E03496">
        <w:rPr>
          <w:rtl/>
        </w:rPr>
        <w:t>בקר</w:t>
      </w:r>
      <w:r>
        <w:rPr>
          <w:rFonts w:hint="cs"/>
          <w:rtl/>
        </w:rPr>
        <w:t>ה</w:t>
      </w:r>
      <w:r w:rsidRPr="00E03496">
        <w:rPr>
          <w:rtl/>
        </w:rPr>
        <w:t xml:space="preserve"> </w:t>
      </w:r>
      <w:r>
        <w:rPr>
          <w:rFonts w:hint="cs"/>
          <w:rtl/>
        </w:rPr>
        <w:t>עליהם</w:t>
      </w:r>
    </w:p>
    <w:p w14:paraId="38FCDBCD" w14:textId="77777777" w:rsidR="00867DA1" w:rsidRDefault="00867DA1" w:rsidP="00E36F10">
      <w:pPr>
        <w:pStyle w:val="100"/>
        <w:rPr>
          <w:rtl/>
        </w:rPr>
      </w:pPr>
      <w:r>
        <w:rPr>
          <w:rFonts w:hint="cs"/>
          <w:rtl/>
        </w:rPr>
        <w:t xml:space="preserve">הדוחות הכספיים של מדינת ישראל צריכים לשקף באופן נאות את מכלול נכסיה והתחייבויותיה, ודוחות הביצוע הכספי צריכים לשקף באופן נאות את מכלול תוצאות פעילותה. משרד מבקר המדינה בדק כמה היבטים הנוגעים לשלמות הדוחות הכספיים ולמהימנותם. בין היתר הוא בחן את הגופים ואת הישויות המאוחדים בדוחות, נתונים חשובים החסרים בהם ואת מערכות המידע שהנתונים המופיעים בדוחות מבוססים עליהן. </w:t>
      </w:r>
    </w:p>
    <w:p w14:paraId="4131DE5C" w14:textId="77777777" w:rsidR="00867DA1" w:rsidRDefault="00867DA1" w:rsidP="00E36F10">
      <w:pPr>
        <w:pStyle w:val="316"/>
        <w:rPr>
          <w:rtl/>
        </w:rPr>
      </w:pPr>
      <w:r>
        <w:rPr>
          <w:rFonts w:hint="cs"/>
          <w:rtl/>
        </w:rPr>
        <w:t>הגופים ה</w:t>
      </w:r>
      <w:r w:rsidRPr="00D403ED">
        <w:rPr>
          <w:rFonts w:hint="cs"/>
          <w:rtl/>
        </w:rPr>
        <w:t xml:space="preserve">מאוחדים בדוחות הכספיים של </w:t>
      </w:r>
      <w:r>
        <w:rPr>
          <w:rFonts w:hint="cs"/>
          <w:rtl/>
        </w:rPr>
        <w:t>המדינה</w:t>
      </w:r>
    </w:p>
    <w:p w14:paraId="07E444F8" w14:textId="77777777" w:rsidR="00867DA1" w:rsidRDefault="00867DA1" w:rsidP="00E36F10">
      <w:pPr>
        <w:pStyle w:val="100"/>
        <w:rPr>
          <w:b/>
          <w:bCs/>
          <w:rtl/>
        </w:rPr>
      </w:pPr>
      <w:r>
        <w:rPr>
          <w:rFonts w:hint="cs"/>
          <w:rtl/>
        </w:rPr>
        <w:t>ב</w:t>
      </w:r>
      <w:r w:rsidRPr="008B7D2F">
        <w:rPr>
          <w:rFonts w:hint="cs"/>
          <w:rtl/>
        </w:rPr>
        <w:t>דוחות הכספיים</w:t>
      </w:r>
      <w:r>
        <w:rPr>
          <w:rFonts w:hint="cs"/>
          <w:rtl/>
        </w:rPr>
        <w:t xml:space="preserve"> המאוחדים של המדינה מוצגים פעילותן, מצבן וביצוען הכספי של מגוון ישויות ממשלתיות</w:t>
      </w:r>
      <w:r>
        <w:rPr>
          <w:rStyle w:val="FootnoteReference"/>
          <w:rtl/>
        </w:rPr>
        <w:footnoteReference w:id="12"/>
      </w:r>
      <w:r>
        <w:rPr>
          <w:rFonts w:hint="cs"/>
          <w:rtl/>
        </w:rPr>
        <w:t xml:space="preserve">: משרדי ממשלה, רשויות המדינה ויחידות סמך, חברות ממשלתיות ותאגידים סטטוטוריים. </w:t>
      </w:r>
    </w:p>
    <w:p w14:paraId="56A0E98A" w14:textId="77777777" w:rsidR="00867DA1" w:rsidRDefault="00867DA1" w:rsidP="00E36F10">
      <w:pPr>
        <w:pStyle w:val="100"/>
        <w:rPr>
          <w:rtl/>
        </w:rPr>
      </w:pPr>
      <w:r>
        <w:rPr>
          <w:rFonts w:hint="cs"/>
          <w:rtl/>
        </w:rPr>
        <w:t xml:space="preserve">בתרשים 3 להלן מובאים נתונים בדבר </w:t>
      </w:r>
      <w:r w:rsidRPr="0027198E">
        <w:rPr>
          <w:rFonts w:hint="cs"/>
          <w:rtl/>
        </w:rPr>
        <w:t xml:space="preserve">ישויות שנכללו בדוחות הכספיים המאוחדים של </w:t>
      </w:r>
      <w:r>
        <w:rPr>
          <w:rFonts w:hint="cs"/>
          <w:rtl/>
        </w:rPr>
        <w:t>המדינה</w:t>
      </w:r>
      <w:r w:rsidRPr="0027198E">
        <w:rPr>
          <w:rFonts w:hint="cs"/>
          <w:rtl/>
        </w:rPr>
        <w:t xml:space="preserve"> בשנים 2014</w:t>
      </w:r>
      <w:r>
        <w:rPr>
          <w:rFonts w:hint="cs"/>
          <w:rtl/>
        </w:rPr>
        <w:t xml:space="preserve"> </w:t>
      </w:r>
      <w:r w:rsidRPr="0027198E">
        <w:rPr>
          <w:rFonts w:hint="cs"/>
          <w:rtl/>
        </w:rPr>
        <w:t>-</w:t>
      </w:r>
      <w:r>
        <w:rPr>
          <w:rFonts w:hint="cs"/>
          <w:rtl/>
        </w:rPr>
        <w:t xml:space="preserve"> </w:t>
      </w:r>
      <w:r w:rsidRPr="0027198E">
        <w:rPr>
          <w:rFonts w:hint="cs"/>
          <w:rtl/>
        </w:rPr>
        <w:t>2018</w:t>
      </w:r>
      <w:r>
        <w:rPr>
          <w:rFonts w:hint="cs"/>
          <w:rtl/>
        </w:rPr>
        <w:t>.</w:t>
      </w:r>
    </w:p>
    <w:p w14:paraId="3FF2F4DA" w14:textId="3E0A7067" w:rsidR="00867DA1" w:rsidRPr="00E36F10" w:rsidRDefault="00867DA1" w:rsidP="00E36F10">
      <w:pPr>
        <w:pStyle w:val="aa"/>
        <w:rPr>
          <w:b/>
          <w:bCs/>
          <w:rtl/>
        </w:rPr>
      </w:pPr>
      <w:bookmarkStart w:id="7" w:name="_Ref31474596"/>
      <w:r w:rsidRPr="00F4500D">
        <w:rPr>
          <w:rFonts w:hint="cs"/>
          <w:rtl/>
        </w:rPr>
        <w:t>תרשים 3</w:t>
      </w:r>
      <w:bookmarkEnd w:id="7"/>
      <w:r w:rsidRPr="00F4500D">
        <w:rPr>
          <w:rFonts w:hint="cs"/>
          <w:rtl/>
        </w:rPr>
        <w:t xml:space="preserve">: </w:t>
      </w:r>
      <w:r w:rsidRPr="00E36F10">
        <w:rPr>
          <w:rFonts w:hint="cs"/>
          <w:b/>
          <w:bCs/>
          <w:rtl/>
        </w:rPr>
        <w:t>מספר הישויות שנכללו בדוחות הכספיים המאוחדים של המדינה,</w:t>
      </w:r>
      <w:r w:rsidR="00E36F10">
        <w:rPr>
          <w:b/>
          <w:bCs/>
          <w:rtl/>
        </w:rPr>
        <w:br/>
      </w:r>
      <w:r w:rsidRPr="00E36F10">
        <w:rPr>
          <w:rFonts w:hint="cs"/>
          <w:b/>
          <w:bCs/>
          <w:rtl/>
        </w:rPr>
        <w:t>2014 - 2018</w:t>
      </w:r>
    </w:p>
    <w:p w14:paraId="66A81447" w14:textId="77777777" w:rsidR="00867DA1" w:rsidRPr="00F4500D" w:rsidRDefault="00867DA1" w:rsidP="00867DA1">
      <w:pPr>
        <w:pStyle w:val="Caption"/>
        <w:spacing w:line="269" w:lineRule="auto"/>
      </w:pPr>
      <w:r>
        <w:rPr>
          <w:noProof/>
        </w:rPr>
        <w:drawing>
          <wp:inline distT="0" distB="0" distL="0" distR="0" wp14:anchorId="3AFE06C9" wp14:editId="5FA8870F">
            <wp:extent cx="4896464" cy="3092145"/>
            <wp:effectExtent l="0" t="0" r="0" b="0"/>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4500D">
        <w:rPr>
          <w:rFonts w:hint="cs"/>
          <w:rtl/>
        </w:rPr>
        <w:t xml:space="preserve"> </w:t>
      </w:r>
    </w:p>
    <w:p w14:paraId="591ED3C3" w14:textId="77777777" w:rsidR="00867DA1" w:rsidRDefault="00867DA1" w:rsidP="00E36F10">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w:t>
      </w:r>
      <w:r w:rsidRPr="004254E2">
        <w:rPr>
          <w:rFonts w:hint="eastAsia"/>
          <w:rtl/>
        </w:rPr>
        <w:t>ה</w:t>
      </w:r>
      <w:r w:rsidRPr="004254E2">
        <w:rPr>
          <w:rtl/>
        </w:rPr>
        <w:t xml:space="preserve">נספחים לדוחות הכספיים של </w:t>
      </w:r>
      <w:r>
        <w:rPr>
          <w:rFonts w:hint="cs"/>
          <w:rtl/>
        </w:rPr>
        <w:t>המדינה</w:t>
      </w:r>
      <w:r w:rsidRPr="004254E2">
        <w:rPr>
          <w:rtl/>
        </w:rPr>
        <w:t xml:space="preserve"> לשנים 2014 - 2018, </w:t>
      </w:r>
      <w:r w:rsidRPr="004254E2">
        <w:rPr>
          <w:rFonts w:hint="eastAsia"/>
          <w:rtl/>
        </w:rPr>
        <w:t>ב</w:t>
      </w:r>
      <w:r w:rsidRPr="004254E2">
        <w:rPr>
          <w:rtl/>
        </w:rPr>
        <w:t>עיבוד משרד מבקר המדינה.</w:t>
      </w:r>
    </w:p>
    <w:p w14:paraId="645D489C" w14:textId="77777777" w:rsidR="00867DA1" w:rsidRDefault="00867DA1" w:rsidP="00CC02BB">
      <w:pPr>
        <w:pStyle w:val="af5"/>
        <w:rPr>
          <w:rtl/>
        </w:rPr>
      </w:pPr>
      <w:r w:rsidRPr="008D2C09">
        <w:rPr>
          <w:rFonts w:hint="cs"/>
          <w:rtl/>
        </w:rPr>
        <w:lastRenderedPageBreak/>
        <w:t xml:space="preserve">מתרשים </w:t>
      </w:r>
      <w:r>
        <w:rPr>
          <w:rFonts w:hint="cs"/>
          <w:rtl/>
        </w:rPr>
        <w:t>3</w:t>
      </w:r>
      <w:r w:rsidRPr="008D2C09">
        <w:rPr>
          <w:rFonts w:hint="cs"/>
          <w:rtl/>
        </w:rPr>
        <w:t xml:space="preserve"> </w:t>
      </w:r>
      <w:r>
        <w:rPr>
          <w:rFonts w:hint="cs"/>
          <w:rtl/>
        </w:rPr>
        <w:t>עולה</w:t>
      </w:r>
      <w:r w:rsidRPr="008D2C09">
        <w:rPr>
          <w:rFonts w:hint="cs"/>
          <w:rtl/>
        </w:rPr>
        <w:t xml:space="preserve"> כי </w:t>
      </w:r>
      <w:r>
        <w:rPr>
          <w:rFonts w:hint="cs"/>
          <w:rtl/>
        </w:rPr>
        <w:t>בשנים האחרונות גדל מספר</w:t>
      </w:r>
      <w:r w:rsidRPr="008D2C09">
        <w:rPr>
          <w:rFonts w:hint="cs"/>
          <w:rtl/>
        </w:rPr>
        <w:t xml:space="preserve"> הישויות שנכללו בדוחות הכספיים של </w:t>
      </w:r>
      <w:r>
        <w:rPr>
          <w:rFonts w:hint="cs"/>
          <w:rtl/>
        </w:rPr>
        <w:t>המדינה</w:t>
      </w:r>
      <w:r>
        <w:rPr>
          <w:rStyle w:val="FootnoteReference"/>
          <w:b/>
          <w:bCs/>
          <w:rtl/>
        </w:rPr>
        <w:footnoteReference w:id="13"/>
      </w:r>
      <w:r w:rsidRPr="008D2C09">
        <w:rPr>
          <w:rFonts w:hint="cs"/>
          <w:rtl/>
        </w:rPr>
        <w:t xml:space="preserve"> וכי מרבית</w:t>
      </w:r>
      <w:r>
        <w:rPr>
          <w:rFonts w:hint="cs"/>
          <w:rtl/>
        </w:rPr>
        <w:t>ן</w:t>
      </w:r>
      <w:r w:rsidRPr="008D2C09">
        <w:rPr>
          <w:rFonts w:hint="cs"/>
          <w:rtl/>
        </w:rPr>
        <w:t xml:space="preserve"> בוקרו על ידי רואי חשבון חיצוניים</w:t>
      </w:r>
      <w:r>
        <w:rPr>
          <w:rFonts w:hint="cs"/>
          <w:rtl/>
        </w:rPr>
        <w:t>. אף על פי כן,</w:t>
      </w:r>
      <w:r w:rsidRPr="008D2C09">
        <w:rPr>
          <w:rFonts w:hint="cs"/>
          <w:rtl/>
        </w:rPr>
        <w:t xml:space="preserve"> כשליש מהדוחות הכספיים של אותן ישויות עדיין אינם מבוקרים</w:t>
      </w:r>
      <w:r>
        <w:rPr>
          <w:rFonts w:hint="cs"/>
          <w:rtl/>
        </w:rPr>
        <w:t xml:space="preserve"> אף שסך נכסיהן הוא כ-74 מיליארד ש"ח וסך התחייבויותיהן הוא כ-49 מיליארד ש"ח</w:t>
      </w:r>
      <w:r>
        <w:rPr>
          <w:rStyle w:val="FootnoteReference"/>
          <w:b/>
          <w:bCs/>
          <w:rtl/>
        </w:rPr>
        <w:footnoteReference w:id="14"/>
      </w:r>
      <w:r>
        <w:rPr>
          <w:rFonts w:hint="cs"/>
          <w:rtl/>
        </w:rPr>
        <w:t xml:space="preserve">. </w:t>
      </w:r>
    </w:p>
    <w:p w14:paraId="3BA42941" w14:textId="77777777" w:rsidR="00867DA1" w:rsidRDefault="00867DA1" w:rsidP="00CC02BB">
      <w:pPr>
        <w:pStyle w:val="100"/>
        <w:rPr>
          <w:rtl/>
        </w:rPr>
      </w:pPr>
      <w:r>
        <w:rPr>
          <w:rFonts w:hint="cs"/>
          <w:rtl/>
        </w:rPr>
        <w:t xml:space="preserve">החשבונאי הראשי ציין בתשובתו כי נכון למועד הכנת הדוח השנתי לשנת 2018, </w:t>
      </w:r>
      <w:r w:rsidRPr="00B10A87">
        <w:rPr>
          <w:rtl/>
          <w:lang w:bidi="en-US"/>
        </w:rPr>
        <w:t xml:space="preserve">79% </w:t>
      </w:r>
      <w:r>
        <w:rPr>
          <w:rFonts w:hint="cs"/>
          <w:rtl/>
        </w:rPr>
        <w:t>מהחברות</w:t>
      </w:r>
      <w:r>
        <w:rPr>
          <w:rtl/>
        </w:rPr>
        <w:t xml:space="preserve"> הממשלתיות, </w:t>
      </w:r>
      <w:r>
        <w:rPr>
          <w:rFonts w:hint="cs"/>
          <w:rtl/>
        </w:rPr>
        <w:t xml:space="preserve">81% </w:t>
      </w:r>
      <w:r>
        <w:rPr>
          <w:rtl/>
        </w:rPr>
        <w:t>ממשרדי הממשלה</w:t>
      </w:r>
      <w:r>
        <w:rPr>
          <w:rFonts w:hint="cs"/>
          <w:rtl/>
        </w:rPr>
        <w:t xml:space="preserve">, </w:t>
      </w:r>
      <w:r w:rsidRPr="00B10A87">
        <w:rPr>
          <w:rtl/>
          <w:lang w:bidi="en-US"/>
        </w:rPr>
        <w:t>83%</w:t>
      </w:r>
      <w:r>
        <w:rPr>
          <w:rtl/>
        </w:rPr>
        <w:t xml:space="preserve"> מרשויות המדינה</w:t>
      </w:r>
      <w:r>
        <w:rPr>
          <w:rFonts w:hint="cs"/>
          <w:rtl/>
        </w:rPr>
        <w:t xml:space="preserve"> ו-42% מהתאגידים ה</w:t>
      </w:r>
      <w:r>
        <w:rPr>
          <w:rtl/>
        </w:rPr>
        <w:t>סטטוטוריים</w:t>
      </w:r>
      <w:r>
        <w:rPr>
          <w:rFonts w:hint="cs"/>
          <w:rtl/>
        </w:rPr>
        <w:t xml:space="preserve"> </w:t>
      </w:r>
      <w:r>
        <w:rPr>
          <w:rtl/>
        </w:rPr>
        <w:t>הגישו</w:t>
      </w:r>
      <w:r>
        <w:rPr>
          <w:rFonts w:hint="cs"/>
          <w:rtl/>
        </w:rPr>
        <w:t xml:space="preserve"> </w:t>
      </w:r>
      <w:r>
        <w:rPr>
          <w:rtl/>
        </w:rPr>
        <w:t>דוחות מבוקרים</w:t>
      </w:r>
      <w:r>
        <w:rPr>
          <w:rFonts w:hint="cs"/>
          <w:rtl/>
        </w:rPr>
        <w:t>.</w:t>
      </w:r>
      <w:r>
        <w:rPr>
          <w:rtl/>
        </w:rPr>
        <w:t xml:space="preserve"> </w:t>
      </w:r>
    </w:p>
    <w:p w14:paraId="67EF3671" w14:textId="77777777" w:rsidR="00867DA1" w:rsidRPr="00CF2039" w:rsidRDefault="00867DA1" w:rsidP="00CC02BB">
      <w:pPr>
        <w:pStyle w:val="af5"/>
        <w:rPr>
          <w:rtl/>
        </w:rPr>
      </w:pPr>
      <w:r w:rsidRPr="00DF4AAE">
        <w:rPr>
          <w:rFonts w:hint="eastAsia"/>
          <w:rtl/>
        </w:rPr>
        <w:t>משרד</w:t>
      </w:r>
      <w:r w:rsidRPr="00DF4AAE">
        <w:rPr>
          <w:rtl/>
        </w:rPr>
        <w:t xml:space="preserve"> מבקר המדינה מציין </w:t>
      </w:r>
      <w:r w:rsidRPr="00DF4AAE">
        <w:rPr>
          <w:rFonts w:hint="eastAsia"/>
          <w:rtl/>
        </w:rPr>
        <w:t>כי</w:t>
      </w:r>
      <w:r w:rsidRPr="00DF4AAE">
        <w:rPr>
          <w:rtl/>
        </w:rPr>
        <w:t xml:space="preserve"> </w:t>
      </w:r>
      <w:r w:rsidRPr="00DF4AAE">
        <w:rPr>
          <w:rFonts w:hint="eastAsia"/>
          <w:rtl/>
        </w:rPr>
        <w:t>על</w:t>
      </w:r>
      <w:r w:rsidRPr="00DF4AAE">
        <w:rPr>
          <w:rtl/>
        </w:rPr>
        <w:t xml:space="preserve"> </w:t>
      </w:r>
      <w:r w:rsidRPr="00DF4AAE">
        <w:rPr>
          <w:rFonts w:hint="eastAsia"/>
          <w:rtl/>
        </w:rPr>
        <w:t>החשבונאי</w:t>
      </w:r>
      <w:r w:rsidRPr="00DF4AAE">
        <w:rPr>
          <w:rtl/>
        </w:rPr>
        <w:t xml:space="preserve"> </w:t>
      </w:r>
      <w:r w:rsidRPr="00DF4AAE">
        <w:rPr>
          <w:rFonts w:hint="eastAsia"/>
          <w:rtl/>
        </w:rPr>
        <w:t>הראשי</w:t>
      </w:r>
      <w:r w:rsidRPr="00DF4AAE">
        <w:rPr>
          <w:rtl/>
        </w:rPr>
        <w:t xml:space="preserve"> </w:t>
      </w:r>
      <w:r w:rsidRPr="00DF4AAE">
        <w:rPr>
          <w:rFonts w:hint="eastAsia"/>
          <w:rtl/>
        </w:rPr>
        <w:t>להמשיך</w:t>
      </w:r>
      <w:r w:rsidRPr="00DF4AAE">
        <w:rPr>
          <w:rtl/>
        </w:rPr>
        <w:t xml:space="preserve"> </w:t>
      </w:r>
      <w:r w:rsidRPr="00DF4AAE">
        <w:rPr>
          <w:rFonts w:hint="eastAsia"/>
          <w:rtl/>
        </w:rPr>
        <w:t>במלאכת</w:t>
      </w:r>
      <w:r w:rsidRPr="00DF4AAE">
        <w:rPr>
          <w:rtl/>
        </w:rPr>
        <w:t xml:space="preserve"> </w:t>
      </w:r>
      <w:r w:rsidRPr="00DF4AAE">
        <w:rPr>
          <w:rFonts w:hint="eastAsia"/>
          <w:rtl/>
        </w:rPr>
        <w:t>איחוד</w:t>
      </w:r>
      <w:r w:rsidRPr="00DF4AAE">
        <w:rPr>
          <w:rtl/>
        </w:rPr>
        <w:t xml:space="preserve"> </w:t>
      </w:r>
      <w:r w:rsidRPr="00DF4AAE">
        <w:rPr>
          <w:rFonts w:hint="eastAsia"/>
          <w:rtl/>
        </w:rPr>
        <w:t>הדוחות</w:t>
      </w:r>
      <w:r w:rsidRPr="00DF4AAE">
        <w:rPr>
          <w:rtl/>
        </w:rPr>
        <w:t xml:space="preserve"> </w:t>
      </w:r>
      <w:r w:rsidRPr="00DF4AAE">
        <w:rPr>
          <w:rFonts w:hint="eastAsia"/>
          <w:rtl/>
        </w:rPr>
        <w:t>של</w:t>
      </w:r>
      <w:r w:rsidRPr="00DF4AAE">
        <w:rPr>
          <w:rtl/>
        </w:rPr>
        <w:t xml:space="preserve"> </w:t>
      </w:r>
      <w:r w:rsidRPr="00DF4AAE">
        <w:rPr>
          <w:rFonts w:hint="eastAsia"/>
          <w:rtl/>
        </w:rPr>
        <w:t>תאגידים</w:t>
      </w:r>
      <w:r w:rsidRPr="00DF4AAE">
        <w:rPr>
          <w:rtl/>
        </w:rPr>
        <w:t xml:space="preserve"> </w:t>
      </w:r>
      <w:r w:rsidRPr="00DF4AAE">
        <w:rPr>
          <w:rFonts w:hint="eastAsia"/>
          <w:rtl/>
        </w:rPr>
        <w:t>אלו</w:t>
      </w:r>
      <w:r w:rsidRPr="00DF4AAE">
        <w:rPr>
          <w:rtl/>
        </w:rPr>
        <w:t xml:space="preserve"> כמו גם יתר הישויות הממשלתיות.</w:t>
      </w:r>
      <w:r w:rsidRPr="00CF2039">
        <w:rPr>
          <w:rtl/>
        </w:rPr>
        <w:t xml:space="preserve"> </w:t>
      </w:r>
    </w:p>
    <w:p w14:paraId="64E67661" w14:textId="77777777" w:rsidR="00867DA1" w:rsidRDefault="00867DA1" w:rsidP="00CC02BB">
      <w:pPr>
        <w:pStyle w:val="100"/>
        <w:rPr>
          <w:rtl/>
        </w:rPr>
      </w:pPr>
      <w:r>
        <w:rPr>
          <w:rFonts w:hint="cs"/>
          <w:rtl/>
        </w:rPr>
        <w:t xml:space="preserve">המידע שאינו מבוקר אך נכלל בדוחות הכספיים ושימש לאיחוד אותן ישויות מבוסס על דוחות כספיים לא מבוקרים לשנת הדוח או על דוחות כספיים לתקופות הקודמות לשנת הדוח (מבוקרים ולא מבוקרים). </w:t>
      </w:r>
      <w:r w:rsidRPr="002E1544">
        <w:rPr>
          <w:rFonts w:hint="cs"/>
          <w:rtl/>
        </w:rPr>
        <w:t xml:space="preserve">ייתכן כי </w:t>
      </w:r>
      <w:r>
        <w:rPr>
          <w:rFonts w:hint="cs"/>
          <w:rtl/>
        </w:rPr>
        <w:t>יש בו</w:t>
      </w:r>
      <w:r w:rsidRPr="002E1544">
        <w:rPr>
          <w:rFonts w:hint="cs"/>
          <w:rtl/>
        </w:rPr>
        <w:t xml:space="preserve"> סטיות </w:t>
      </w:r>
      <w:r>
        <w:rPr>
          <w:rFonts w:hint="cs"/>
          <w:rtl/>
        </w:rPr>
        <w:t>בנוגע</w:t>
      </w:r>
      <w:r w:rsidRPr="002E1544">
        <w:rPr>
          <w:rFonts w:hint="cs"/>
          <w:rtl/>
        </w:rPr>
        <w:t xml:space="preserve"> לתוצאות בפועל</w:t>
      </w:r>
      <w:r>
        <w:rPr>
          <w:rFonts w:hint="cs"/>
          <w:rtl/>
        </w:rPr>
        <w:t>. המידע המבוקר של ישויות אלו, לכשיפורסם, עשוי להיות שונה באופן מהותי מהמידע שעל בסיסו נערכו הדוחות הכספיים המאוחדים של מדינת ישראל</w:t>
      </w:r>
      <w:r>
        <w:rPr>
          <w:rStyle w:val="FootnoteReference"/>
          <w:rtl/>
        </w:rPr>
        <w:footnoteReference w:id="15"/>
      </w:r>
      <w:r w:rsidRPr="002E1544">
        <w:rPr>
          <w:rFonts w:hint="cs"/>
          <w:rtl/>
        </w:rPr>
        <w:t>.</w:t>
      </w:r>
    </w:p>
    <w:p w14:paraId="3549149F" w14:textId="77777777" w:rsidR="00867DA1" w:rsidRDefault="00867DA1" w:rsidP="00CC02BB">
      <w:pPr>
        <w:pStyle w:val="100"/>
        <w:rPr>
          <w:rtl/>
        </w:rPr>
      </w:pPr>
      <w:r>
        <w:rPr>
          <w:rFonts w:hint="cs"/>
          <w:rtl/>
        </w:rPr>
        <w:t>כמו כן, כפי שצוין בביאור 2 לדוחות הכספיים מ-31.12.18, לצורך עריכת הדוחות הכספיים, בכמה מהמקרים נלקחו נתוני הישויות המאוחדות כלשונם מהדוחות הכספיים שלהן ללא התאמות הנדרשות למדיניות החשבונאית</w:t>
      </w:r>
      <w:r>
        <w:rPr>
          <w:rStyle w:val="FootnoteReference"/>
          <w:rtl/>
        </w:rPr>
        <w:footnoteReference w:id="16"/>
      </w:r>
      <w:r>
        <w:rPr>
          <w:rFonts w:hint="cs"/>
          <w:rtl/>
        </w:rPr>
        <w:t xml:space="preserve"> של המדינה. שימוש במדיניות חשבונאית שאינה אחידה באיחוד הדוחות הכספיים של המדינה מקשה על היכולת לנתח דוחות כספיים ולהשוות בין הנתונים המופיעים בהם</w:t>
      </w:r>
      <w:r>
        <w:rPr>
          <w:rStyle w:val="FootnoteReference"/>
          <w:rtl/>
        </w:rPr>
        <w:footnoteReference w:id="17"/>
      </w:r>
      <w:r>
        <w:rPr>
          <w:rFonts w:hint="cs"/>
          <w:rtl/>
        </w:rPr>
        <w:t>.</w:t>
      </w:r>
    </w:p>
    <w:p w14:paraId="1BA61C85" w14:textId="77777777" w:rsidR="00867DA1" w:rsidRDefault="00867DA1" w:rsidP="00CC02BB">
      <w:pPr>
        <w:pStyle w:val="100"/>
        <w:rPr>
          <w:rtl/>
        </w:rPr>
      </w:pPr>
      <w:r w:rsidRPr="00724239">
        <w:rPr>
          <w:rFonts w:hint="cs"/>
          <w:rtl/>
        </w:rPr>
        <w:t xml:space="preserve">החשבונאי הראשי ציין בתשובתו כי </w:t>
      </w:r>
      <w:r>
        <w:rPr>
          <w:rFonts w:hint="cs"/>
          <w:rtl/>
        </w:rPr>
        <w:t xml:space="preserve">האמור לעיל נכון בעיקר לתאגידים הסטטוטוריים המאוחדים כיום בדוחות הכספיים, אך לנתונים הכספיים שלהם השפעה מעטה על הדוח הכספי המאוחד. </w:t>
      </w:r>
      <w:r w:rsidRPr="005B7179">
        <w:rPr>
          <w:rtl/>
        </w:rPr>
        <w:t xml:space="preserve">כמו כן, </w:t>
      </w:r>
      <w:r>
        <w:rPr>
          <w:rFonts w:hint="cs"/>
          <w:rtl/>
        </w:rPr>
        <w:t>בשל</w:t>
      </w:r>
      <w:r w:rsidRPr="005B7179">
        <w:rPr>
          <w:rtl/>
        </w:rPr>
        <w:t xml:space="preserve"> ה</w:t>
      </w:r>
      <w:r>
        <w:rPr>
          <w:rFonts w:hint="cs"/>
          <w:rtl/>
        </w:rPr>
        <w:t>קושי ליישם</w:t>
      </w:r>
      <w:r w:rsidRPr="005B7179">
        <w:rPr>
          <w:rtl/>
        </w:rPr>
        <w:t xml:space="preserve"> תקינה אחידה, יש להשלים </w:t>
      </w:r>
      <w:r>
        <w:rPr>
          <w:rFonts w:hint="cs"/>
          <w:rtl/>
        </w:rPr>
        <w:t xml:space="preserve">את </w:t>
      </w:r>
      <w:r w:rsidRPr="005B7179">
        <w:rPr>
          <w:rtl/>
        </w:rPr>
        <w:t xml:space="preserve">היערכות </w:t>
      </w:r>
      <w:r>
        <w:rPr>
          <w:rFonts w:hint="cs"/>
          <w:rtl/>
        </w:rPr>
        <w:t>ה</w:t>
      </w:r>
      <w:r w:rsidRPr="005B7179">
        <w:rPr>
          <w:rtl/>
        </w:rPr>
        <w:t>תאגידים לביצוע השינויים המתבקשים.</w:t>
      </w:r>
      <w:r>
        <w:rPr>
          <w:rFonts w:hint="cs"/>
          <w:rtl/>
        </w:rPr>
        <w:t xml:space="preserve"> עוד ציין כי </w:t>
      </w:r>
      <w:r w:rsidRPr="00724239">
        <w:rPr>
          <w:rtl/>
        </w:rPr>
        <w:t xml:space="preserve">החטיבה לחשבונאות ודיווח פועלת ליישם מדיניות חשבונאית אחידה </w:t>
      </w:r>
      <w:r w:rsidRPr="00724239">
        <w:rPr>
          <w:rtl/>
        </w:rPr>
        <w:lastRenderedPageBreak/>
        <w:t>בדוחות התאגידים</w:t>
      </w:r>
      <w:r w:rsidRPr="00724239">
        <w:rPr>
          <w:rFonts w:hint="cs"/>
          <w:rtl/>
        </w:rPr>
        <w:t xml:space="preserve"> הסטטוטורי</w:t>
      </w:r>
      <w:r w:rsidRPr="00724239">
        <w:rPr>
          <w:rFonts w:hint="eastAsia"/>
          <w:rtl/>
        </w:rPr>
        <w:t>ים</w:t>
      </w:r>
      <w:r w:rsidRPr="00724239">
        <w:rPr>
          <w:rtl/>
        </w:rPr>
        <w:t xml:space="preserve">. בשנת </w:t>
      </w:r>
      <w:r w:rsidRPr="00724239">
        <w:rPr>
          <w:lang w:bidi="en-US"/>
        </w:rPr>
        <w:t>2018</w:t>
      </w:r>
      <w:r w:rsidRPr="00724239">
        <w:rPr>
          <w:rtl/>
        </w:rPr>
        <w:t xml:space="preserve"> </w:t>
      </w:r>
      <w:r>
        <w:rPr>
          <w:rFonts w:hint="cs"/>
          <w:rtl/>
        </w:rPr>
        <w:t xml:space="preserve">היא </w:t>
      </w:r>
      <w:r w:rsidRPr="00724239">
        <w:rPr>
          <w:rtl/>
        </w:rPr>
        <w:t>החל</w:t>
      </w:r>
      <w:r>
        <w:rPr>
          <w:rFonts w:hint="cs"/>
          <w:rtl/>
        </w:rPr>
        <w:t>ה</w:t>
      </w:r>
      <w:r w:rsidRPr="00724239">
        <w:rPr>
          <w:rtl/>
        </w:rPr>
        <w:t xml:space="preserve">, בשיתוף משרד החקלאות, הליך של רפורמה חשבונאית בדוחות הכספיים של </w:t>
      </w:r>
      <w:r w:rsidRPr="00724239">
        <w:rPr>
          <w:lang w:bidi="en-US"/>
        </w:rPr>
        <w:t>11</w:t>
      </w:r>
      <w:r w:rsidRPr="00724239">
        <w:rPr>
          <w:rtl/>
        </w:rPr>
        <w:t xml:space="preserve"> רשויות ניקוז (הנכללות בתאגידים הסטטוטוריים המאוחדים), </w:t>
      </w:r>
      <w:r>
        <w:rPr>
          <w:rFonts w:hint="cs"/>
          <w:rtl/>
        </w:rPr>
        <w:t>ו</w:t>
      </w:r>
      <w:r w:rsidRPr="00724239">
        <w:rPr>
          <w:rtl/>
        </w:rPr>
        <w:t xml:space="preserve">הרשויות צפויות לאמץ את התקינה החשבונאית הממשלתית החל </w:t>
      </w:r>
      <w:r>
        <w:rPr>
          <w:rFonts w:hint="cs"/>
          <w:rtl/>
        </w:rPr>
        <w:t>ב</w:t>
      </w:r>
      <w:r w:rsidRPr="00724239">
        <w:rPr>
          <w:rtl/>
        </w:rPr>
        <w:t xml:space="preserve">דוחות הכספיים לשנת </w:t>
      </w:r>
      <w:r w:rsidRPr="00724239">
        <w:rPr>
          <w:lang w:bidi="en-US"/>
        </w:rPr>
        <w:t>2019</w:t>
      </w:r>
      <w:r w:rsidRPr="00724239">
        <w:rPr>
          <w:rtl/>
        </w:rPr>
        <w:t>.</w:t>
      </w:r>
      <w:r>
        <w:rPr>
          <w:rFonts w:hint="cs"/>
          <w:rtl/>
        </w:rPr>
        <w:t xml:space="preserve"> </w:t>
      </w:r>
    </w:p>
    <w:p w14:paraId="0E92C1EA" w14:textId="77777777" w:rsidR="00867DA1" w:rsidRPr="00090873" w:rsidRDefault="00867DA1" w:rsidP="00CC02BB">
      <w:pPr>
        <w:pStyle w:val="af5"/>
        <w:rPr>
          <w:rtl/>
        </w:rPr>
      </w:pPr>
      <w:r w:rsidRPr="00090873">
        <w:rPr>
          <w:rFonts w:hint="eastAsia"/>
          <w:rtl/>
        </w:rPr>
        <w:t>משרד</w:t>
      </w:r>
      <w:r w:rsidRPr="00090873">
        <w:rPr>
          <w:rtl/>
        </w:rPr>
        <w:t xml:space="preserve"> מבקר המדינה מציין לחיוב את </w:t>
      </w:r>
      <w:r w:rsidRPr="00090873">
        <w:rPr>
          <w:rFonts w:hint="eastAsia"/>
          <w:rtl/>
        </w:rPr>
        <w:t>הפעילות</w:t>
      </w:r>
      <w:r w:rsidRPr="00090873">
        <w:rPr>
          <w:rtl/>
        </w:rPr>
        <w:t xml:space="preserve"> </w:t>
      </w:r>
      <w:r w:rsidRPr="00090873">
        <w:rPr>
          <w:rFonts w:hint="eastAsia"/>
          <w:rtl/>
        </w:rPr>
        <w:t>לקידום</w:t>
      </w:r>
      <w:r w:rsidRPr="00090873">
        <w:rPr>
          <w:rtl/>
        </w:rPr>
        <w:t xml:space="preserve"> </w:t>
      </w:r>
      <w:r w:rsidRPr="00090873">
        <w:rPr>
          <w:rFonts w:hint="eastAsia"/>
          <w:rtl/>
        </w:rPr>
        <w:t>הרפורמה</w:t>
      </w:r>
      <w:r w:rsidRPr="00090873">
        <w:rPr>
          <w:rtl/>
        </w:rPr>
        <w:t xml:space="preserve"> </w:t>
      </w:r>
      <w:r w:rsidRPr="00090873">
        <w:rPr>
          <w:rFonts w:hint="eastAsia"/>
          <w:rtl/>
        </w:rPr>
        <w:t>החשבונאית</w:t>
      </w:r>
      <w:r w:rsidRPr="00090873">
        <w:rPr>
          <w:rtl/>
        </w:rPr>
        <w:t xml:space="preserve"> </w:t>
      </w:r>
      <w:r w:rsidRPr="00090873">
        <w:rPr>
          <w:rFonts w:hint="eastAsia"/>
          <w:rtl/>
        </w:rPr>
        <w:t>בתאגידים</w:t>
      </w:r>
      <w:r w:rsidRPr="00090873">
        <w:rPr>
          <w:rtl/>
        </w:rPr>
        <w:t xml:space="preserve"> </w:t>
      </w:r>
      <w:r w:rsidRPr="00090873">
        <w:rPr>
          <w:rFonts w:hint="eastAsia"/>
          <w:rtl/>
        </w:rPr>
        <w:t>הסטטוטוריים</w:t>
      </w:r>
      <w:r w:rsidRPr="00090873">
        <w:rPr>
          <w:rtl/>
        </w:rPr>
        <w:t xml:space="preserve"> </w:t>
      </w:r>
      <w:r w:rsidRPr="00090873">
        <w:rPr>
          <w:rFonts w:hint="cs"/>
          <w:rtl/>
        </w:rPr>
        <w:t>וממליץ להשלימה</w:t>
      </w:r>
      <w:r w:rsidRPr="00090873">
        <w:rPr>
          <w:rtl/>
        </w:rPr>
        <w:t xml:space="preserve"> </w:t>
      </w:r>
      <w:r w:rsidRPr="00090873">
        <w:rPr>
          <w:rFonts w:hint="cs"/>
          <w:rtl/>
        </w:rPr>
        <w:t>בהקדם</w:t>
      </w:r>
      <w:r w:rsidRPr="00090873">
        <w:rPr>
          <w:rtl/>
        </w:rPr>
        <w:t>.</w:t>
      </w:r>
    </w:p>
    <w:p w14:paraId="5D700AE3" w14:textId="77777777" w:rsidR="00867DA1" w:rsidRPr="005F1E95" w:rsidRDefault="00867DA1" w:rsidP="00CC02BB">
      <w:pPr>
        <w:pStyle w:val="414"/>
        <w:rPr>
          <w:rtl/>
        </w:rPr>
      </w:pPr>
      <w:r w:rsidRPr="005F1E95">
        <w:rPr>
          <w:rFonts w:hint="cs"/>
          <w:rtl/>
        </w:rPr>
        <w:t xml:space="preserve">הגופים שאינם מאוחדים בדוחות הכספיים של </w:t>
      </w:r>
      <w:r>
        <w:rPr>
          <w:rFonts w:hint="cs"/>
          <w:rtl/>
        </w:rPr>
        <w:t>המדינה</w:t>
      </w:r>
      <w:r w:rsidRPr="005F1E95">
        <w:rPr>
          <w:rFonts w:hint="cs"/>
          <w:rtl/>
        </w:rPr>
        <w:t xml:space="preserve"> </w:t>
      </w:r>
    </w:p>
    <w:p w14:paraId="7C83A9F3" w14:textId="77777777" w:rsidR="00867DA1" w:rsidRDefault="00867DA1" w:rsidP="00CC02BB">
      <w:pPr>
        <w:pStyle w:val="100"/>
        <w:rPr>
          <w:rtl/>
        </w:rPr>
      </w:pPr>
      <w:r w:rsidRPr="00322ACD">
        <w:rPr>
          <w:rFonts w:hint="cs"/>
          <w:rtl/>
        </w:rPr>
        <w:t>המדינה</w:t>
      </w:r>
      <w:r w:rsidRPr="00322ACD">
        <w:t xml:space="preserve"> </w:t>
      </w:r>
      <w:r w:rsidRPr="00322ACD">
        <w:rPr>
          <w:rFonts w:hint="cs"/>
          <w:rtl/>
        </w:rPr>
        <w:t>אינה</w:t>
      </w:r>
      <w:r w:rsidRPr="00322ACD">
        <w:t xml:space="preserve"> </w:t>
      </w:r>
      <w:r w:rsidRPr="00322ACD">
        <w:rPr>
          <w:rFonts w:hint="cs"/>
          <w:rtl/>
        </w:rPr>
        <w:t>מציגה</w:t>
      </w:r>
      <w:r w:rsidRPr="00322ACD">
        <w:t xml:space="preserve"> </w:t>
      </w:r>
      <w:r w:rsidRPr="00322ACD">
        <w:rPr>
          <w:rFonts w:hint="cs"/>
          <w:rtl/>
        </w:rPr>
        <w:t>דוחות</w:t>
      </w:r>
      <w:r w:rsidRPr="00322ACD">
        <w:t xml:space="preserve"> </w:t>
      </w:r>
      <w:r w:rsidRPr="00322ACD">
        <w:rPr>
          <w:rFonts w:hint="cs"/>
          <w:rtl/>
        </w:rPr>
        <w:t>כספיים</w:t>
      </w:r>
      <w:r w:rsidRPr="00322ACD">
        <w:t xml:space="preserve"> </w:t>
      </w:r>
      <w:r w:rsidRPr="00322ACD">
        <w:rPr>
          <w:rFonts w:hint="cs"/>
          <w:rtl/>
        </w:rPr>
        <w:t>מאוחדים</w:t>
      </w:r>
      <w:r w:rsidRPr="00322ACD">
        <w:t xml:space="preserve"> </w:t>
      </w:r>
      <w:r w:rsidRPr="00322ACD">
        <w:rPr>
          <w:rFonts w:hint="cs"/>
          <w:rtl/>
        </w:rPr>
        <w:t>מלאי</w:t>
      </w:r>
      <w:r>
        <w:rPr>
          <w:rFonts w:hint="cs"/>
          <w:rtl/>
        </w:rPr>
        <w:t>ם,</w:t>
      </w:r>
      <w:r w:rsidRPr="00322ACD">
        <w:t xml:space="preserve"> </w:t>
      </w:r>
      <w:r w:rsidRPr="00322ACD">
        <w:rPr>
          <w:rFonts w:hint="cs"/>
          <w:rtl/>
        </w:rPr>
        <w:t>הכוללים</w:t>
      </w:r>
      <w:r w:rsidRPr="00322ACD">
        <w:t xml:space="preserve"> </w:t>
      </w:r>
      <w:r w:rsidRPr="00322ACD">
        <w:rPr>
          <w:rFonts w:hint="cs"/>
          <w:rtl/>
        </w:rPr>
        <w:t>איחוד</w:t>
      </w:r>
      <w:r w:rsidRPr="00322ACD">
        <w:t xml:space="preserve"> </w:t>
      </w:r>
      <w:r w:rsidRPr="00322ACD">
        <w:rPr>
          <w:rFonts w:hint="cs"/>
          <w:rtl/>
        </w:rPr>
        <w:t>של</w:t>
      </w:r>
      <w:r w:rsidRPr="00322ACD">
        <w:t xml:space="preserve"> </w:t>
      </w:r>
      <w:r w:rsidRPr="00322ACD">
        <w:rPr>
          <w:rFonts w:hint="cs"/>
          <w:rtl/>
        </w:rPr>
        <w:t>כל</w:t>
      </w:r>
      <w:r w:rsidRPr="00322ACD">
        <w:t xml:space="preserve"> </w:t>
      </w:r>
      <w:r w:rsidRPr="00322ACD">
        <w:rPr>
          <w:rFonts w:hint="cs"/>
          <w:rtl/>
        </w:rPr>
        <w:t>התאגידים הסטטוטוריים</w:t>
      </w:r>
      <w:r w:rsidRPr="00322ACD">
        <w:t xml:space="preserve"> </w:t>
      </w:r>
      <w:r w:rsidRPr="00322ACD">
        <w:rPr>
          <w:rFonts w:hint="cs"/>
          <w:rtl/>
        </w:rPr>
        <w:t>הנמצאים</w:t>
      </w:r>
      <w:r w:rsidRPr="00322ACD">
        <w:t xml:space="preserve"> </w:t>
      </w:r>
      <w:r w:rsidRPr="00322ACD">
        <w:rPr>
          <w:rFonts w:hint="cs"/>
          <w:rtl/>
        </w:rPr>
        <w:t>בשליטתה</w:t>
      </w:r>
      <w:r>
        <w:rPr>
          <w:rFonts w:hint="cs"/>
          <w:rtl/>
        </w:rPr>
        <w:t xml:space="preserve">. </w:t>
      </w:r>
      <w:r w:rsidRPr="00322ACD">
        <w:rPr>
          <w:rFonts w:hint="cs"/>
          <w:rtl/>
        </w:rPr>
        <w:t>נכון</w:t>
      </w:r>
      <w:r w:rsidRPr="00322ACD">
        <w:t xml:space="preserve"> </w:t>
      </w:r>
      <w:r>
        <w:rPr>
          <w:rFonts w:hint="cs"/>
          <w:rtl/>
        </w:rPr>
        <w:t>ליום ל-31.12.18,</w:t>
      </w:r>
      <w:r w:rsidRPr="00322ACD">
        <w:t xml:space="preserve"> </w:t>
      </w:r>
      <w:r w:rsidRPr="00322ACD">
        <w:rPr>
          <w:rFonts w:hint="cs"/>
          <w:rtl/>
        </w:rPr>
        <w:t>מאוחדים</w:t>
      </w:r>
      <w:r>
        <w:rPr>
          <w:rFonts w:hint="cs"/>
          <w:rtl/>
        </w:rPr>
        <w:t xml:space="preserve"> </w:t>
      </w:r>
      <w:r w:rsidRPr="00322ACD">
        <w:rPr>
          <w:rFonts w:hint="cs"/>
          <w:rtl/>
        </w:rPr>
        <w:t>בדוחות</w:t>
      </w:r>
      <w:r w:rsidRPr="00322ACD">
        <w:t xml:space="preserve"> </w:t>
      </w:r>
      <w:r w:rsidRPr="00322ACD">
        <w:rPr>
          <w:rFonts w:hint="cs"/>
          <w:rtl/>
        </w:rPr>
        <w:t>הכספיים</w:t>
      </w:r>
      <w:r w:rsidRPr="00322ACD">
        <w:t xml:space="preserve"> </w:t>
      </w:r>
      <w:r w:rsidRPr="00322ACD">
        <w:rPr>
          <w:rFonts w:hint="cs"/>
          <w:rtl/>
        </w:rPr>
        <w:t>נתוני</w:t>
      </w:r>
      <w:r>
        <w:rPr>
          <w:rFonts w:hint="cs"/>
          <w:rtl/>
        </w:rPr>
        <w:t>הם של 47</w:t>
      </w:r>
      <w:r w:rsidRPr="00322ACD">
        <w:t xml:space="preserve"> </w:t>
      </w:r>
      <w:r>
        <w:rPr>
          <w:rFonts w:hint="cs"/>
          <w:rtl/>
        </w:rPr>
        <w:t>מבין 65</w:t>
      </w:r>
      <w:r w:rsidRPr="00322ACD">
        <w:rPr>
          <w:rFonts w:hint="cs"/>
          <w:rtl/>
        </w:rPr>
        <w:t xml:space="preserve"> התאגידים</w:t>
      </w:r>
      <w:r>
        <w:rPr>
          <w:rFonts w:hint="cs"/>
          <w:rtl/>
        </w:rPr>
        <w:t xml:space="preserve"> הסטטוטוריים</w:t>
      </w:r>
      <w:r w:rsidRPr="00322ACD">
        <w:rPr>
          <w:rFonts w:hint="cs"/>
          <w:rtl/>
        </w:rPr>
        <w:t xml:space="preserve"> </w:t>
      </w:r>
      <w:r>
        <w:rPr>
          <w:rFonts w:hint="cs"/>
          <w:rtl/>
        </w:rPr>
        <w:t>.</w:t>
      </w:r>
    </w:p>
    <w:p w14:paraId="5FFEF2E9" w14:textId="77777777" w:rsidR="00867DA1" w:rsidRDefault="00867DA1" w:rsidP="00CC02BB">
      <w:pPr>
        <w:pStyle w:val="100"/>
        <w:rPr>
          <w:rtl/>
        </w:rPr>
      </w:pPr>
      <w:r>
        <w:rPr>
          <w:rFonts w:hint="cs"/>
          <w:rtl/>
        </w:rPr>
        <w:t>בתרשים 4 להלן מובאים נתונים על מספר התאגידים הסטטוטוריים שלא נכללו</w:t>
      </w:r>
      <w:r w:rsidRPr="0027198E">
        <w:rPr>
          <w:rFonts w:hint="cs"/>
          <w:rtl/>
        </w:rPr>
        <w:t xml:space="preserve"> בדוחות הכספיים המאוחדים של </w:t>
      </w:r>
      <w:r>
        <w:rPr>
          <w:rFonts w:hint="cs"/>
          <w:rtl/>
        </w:rPr>
        <w:t>המדינה</w:t>
      </w:r>
      <w:r w:rsidRPr="0027198E">
        <w:rPr>
          <w:rFonts w:hint="cs"/>
          <w:rtl/>
        </w:rPr>
        <w:t xml:space="preserve"> בשנים 2014</w:t>
      </w:r>
      <w:r>
        <w:rPr>
          <w:rFonts w:hint="cs"/>
          <w:rtl/>
        </w:rPr>
        <w:t xml:space="preserve"> </w:t>
      </w:r>
      <w:r w:rsidRPr="0027198E">
        <w:rPr>
          <w:rFonts w:hint="cs"/>
          <w:rtl/>
        </w:rPr>
        <w:t>-</w:t>
      </w:r>
      <w:r>
        <w:rPr>
          <w:rFonts w:hint="cs"/>
          <w:rtl/>
        </w:rPr>
        <w:t xml:space="preserve"> </w:t>
      </w:r>
      <w:r w:rsidRPr="0027198E">
        <w:rPr>
          <w:rFonts w:hint="cs"/>
          <w:rtl/>
        </w:rPr>
        <w:t>2018</w:t>
      </w:r>
      <w:r>
        <w:rPr>
          <w:rFonts w:hint="cs"/>
          <w:rtl/>
        </w:rPr>
        <w:t>.</w:t>
      </w:r>
    </w:p>
    <w:p w14:paraId="3C32DCCC" w14:textId="2699E7D4" w:rsidR="00867DA1" w:rsidRPr="00A711E4" w:rsidRDefault="00867DA1" w:rsidP="00A711E4">
      <w:pPr>
        <w:pStyle w:val="aa"/>
        <w:rPr>
          <w:b/>
          <w:bCs/>
          <w:rtl/>
        </w:rPr>
      </w:pPr>
      <w:bookmarkStart w:id="8" w:name="_Ref31474671"/>
      <w:r w:rsidRPr="00214CAC">
        <w:rPr>
          <w:rFonts w:hint="cs"/>
          <w:rtl/>
        </w:rPr>
        <w:t>תרשים 4</w:t>
      </w:r>
      <w:bookmarkEnd w:id="8"/>
      <w:r w:rsidRPr="00214CAC">
        <w:rPr>
          <w:rFonts w:hint="cs"/>
          <w:rtl/>
        </w:rPr>
        <w:t xml:space="preserve">: </w:t>
      </w:r>
      <w:r w:rsidRPr="00A711E4">
        <w:rPr>
          <w:b/>
          <w:bCs/>
          <w:rtl/>
        </w:rPr>
        <w:t xml:space="preserve">מספר התאגידים הסטטוטוריים שלא נכללו בדוחות הכספיים המאוחדים של </w:t>
      </w:r>
      <w:r w:rsidRPr="00A711E4">
        <w:rPr>
          <w:rFonts w:hint="cs"/>
          <w:b/>
          <w:bCs/>
          <w:rtl/>
        </w:rPr>
        <w:t>המדינה,</w:t>
      </w:r>
      <w:r w:rsidRPr="00A711E4">
        <w:rPr>
          <w:b/>
          <w:bCs/>
          <w:rtl/>
        </w:rPr>
        <w:t xml:space="preserve"> 2014 - 2018</w:t>
      </w:r>
      <w:r w:rsidR="00A711E4">
        <w:rPr>
          <w:noProof/>
        </w:rPr>
        <w:drawing>
          <wp:anchor distT="0" distB="0" distL="114300" distR="114300" simplePos="0" relativeHeight="251666432" behindDoc="0" locked="0" layoutInCell="1" allowOverlap="1" wp14:anchorId="795F87E7" wp14:editId="5824E869">
            <wp:simplePos x="0" y="0"/>
            <wp:positionH relativeFrom="column">
              <wp:posOffset>187960</wp:posOffset>
            </wp:positionH>
            <wp:positionV relativeFrom="paragraph">
              <wp:posOffset>393700</wp:posOffset>
            </wp:positionV>
            <wp:extent cx="4848225" cy="3257550"/>
            <wp:effectExtent l="0" t="0" r="0" b="0"/>
            <wp:wrapSquare wrapText="bothSides"/>
            <wp:docPr id="22"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064D40E0" w14:textId="3B763343" w:rsidR="00867DA1" w:rsidRPr="00D0091E" w:rsidRDefault="00867DA1" w:rsidP="00867DA1">
      <w:pPr>
        <w:spacing w:line="269" w:lineRule="auto"/>
        <w:rPr>
          <w:rtl/>
        </w:rPr>
      </w:pPr>
    </w:p>
    <w:p w14:paraId="5CBE7EC8" w14:textId="77777777" w:rsidR="00867DA1" w:rsidRPr="003351EC" w:rsidRDefault="00867DA1" w:rsidP="00A711E4">
      <w:pPr>
        <w:pStyle w:val="ac"/>
        <w:rPr>
          <w:rtl/>
        </w:rPr>
      </w:pPr>
      <w:r w:rsidRPr="003351EC">
        <w:rPr>
          <w:rFonts w:hint="cs"/>
          <w:rtl/>
        </w:rPr>
        <w:t>על פי נתוני ה</w:t>
      </w:r>
      <w:r w:rsidRPr="003351EC">
        <w:rPr>
          <w:rtl/>
        </w:rPr>
        <w:t xml:space="preserve">נספחים לדוחות הכספיים של </w:t>
      </w:r>
      <w:r>
        <w:rPr>
          <w:rFonts w:hint="cs"/>
          <w:rtl/>
        </w:rPr>
        <w:t>המדינה</w:t>
      </w:r>
      <w:r w:rsidRPr="003351EC">
        <w:rPr>
          <w:rtl/>
        </w:rPr>
        <w:t xml:space="preserve"> לשנים 2014</w:t>
      </w:r>
      <w:r w:rsidRPr="003351EC">
        <w:rPr>
          <w:rFonts w:hint="cs"/>
          <w:rtl/>
        </w:rPr>
        <w:t xml:space="preserve"> - </w:t>
      </w:r>
      <w:r w:rsidRPr="003351EC">
        <w:rPr>
          <w:rtl/>
        </w:rPr>
        <w:t xml:space="preserve">2018 </w:t>
      </w:r>
      <w:r w:rsidRPr="003351EC">
        <w:rPr>
          <w:rFonts w:hint="cs"/>
          <w:rtl/>
        </w:rPr>
        <w:t>ב</w:t>
      </w:r>
      <w:r w:rsidRPr="003351EC">
        <w:rPr>
          <w:rtl/>
        </w:rPr>
        <w:t>עיבוד משרד מבקר המדינה</w:t>
      </w:r>
      <w:r w:rsidRPr="003351EC">
        <w:rPr>
          <w:rFonts w:hint="cs"/>
          <w:rtl/>
        </w:rPr>
        <w:t>.</w:t>
      </w:r>
    </w:p>
    <w:p w14:paraId="13129B58" w14:textId="1AF4E840" w:rsidR="00867DA1" w:rsidRDefault="00867DA1" w:rsidP="00867DA1">
      <w:pPr>
        <w:spacing w:line="269" w:lineRule="auto"/>
        <w:rPr>
          <w:rtl/>
        </w:rPr>
      </w:pPr>
    </w:p>
    <w:p w14:paraId="4BDE4CE5" w14:textId="77777777" w:rsidR="00867DA1" w:rsidRPr="005B7179" w:rsidRDefault="00867DA1" w:rsidP="00A711E4">
      <w:pPr>
        <w:pStyle w:val="100"/>
        <w:rPr>
          <w:rtl/>
        </w:rPr>
      </w:pPr>
      <w:r w:rsidRPr="005B7179">
        <w:rPr>
          <w:rFonts w:hint="cs"/>
          <w:rtl/>
        </w:rPr>
        <w:t xml:space="preserve">מתרשים 4 </w:t>
      </w:r>
      <w:r>
        <w:rPr>
          <w:rFonts w:hint="cs"/>
          <w:rtl/>
        </w:rPr>
        <w:t>אפשר</w:t>
      </w:r>
      <w:r w:rsidRPr="005B7179">
        <w:rPr>
          <w:rFonts w:hint="cs"/>
          <w:rtl/>
        </w:rPr>
        <w:t xml:space="preserve"> ללמוד כי בשנים האחרונות חלה התקדמות, ומספר התאגידים הסטטוטוריים שטרם אוחדו בדוחות הכספיים של </w:t>
      </w:r>
      <w:r>
        <w:rPr>
          <w:rFonts w:hint="cs"/>
          <w:rtl/>
        </w:rPr>
        <w:t>המדינה</w:t>
      </w:r>
      <w:r w:rsidRPr="005B7179">
        <w:rPr>
          <w:rFonts w:hint="cs"/>
          <w:rtl/>
        </w:rPr>
        <w:t xml:space="preserve"> </w:t>
      </w:r>
      <w:r>
        <w:rPr>
          <w:rFonts w:hint="cs"/>
          <w:rtl/>
        </w:rPr>
        <w:t>הצטמצם מאוד</w:t>
      </w:r>
      <w:r w:rsidRPr="005B7179">
        <w:rPr>
          <w:rFonts w:hint="cs"/>
          <w:rtl/>
        </w:rPr>
        <w:t>.</w:t>
      </w:r>
    </w:p>
    <w:p w14:paraId="5EAE55C9" w14:textId="77777777" w:rsidR="00867DA1" w:rsidRDefault="00867DA1" w:rsidP="00A711E4">
      <w:pPr>
        <w:pStyle w:val="100"/>
        <w:rPr>
          <w:rtl/>
        </w:rPr>
      </w:pPr>
      <w:r>
        <w:rPr>
          <w:rFonts w:hint="cs"/>
          <w:rtl/>
        </w:rPr>
        <w:lastRenderedPageBreak/>
        <w:t>נתוני התאגידים הסטטוטוריים שאינם מאוחדים אינם מקבלים ביטוי בדוחות הכספיים. משרד מבקר המדינה בדק ומצא כי תקציב ההוצאות לשנת 2018 של אותם תאגידים הוא יותר מ-14 מיליארד ש"ח</w:t>
      </w:r>
      <w:r>
        <w:rPr>
          <w:rStyle w:val="FootnoteReference"/>
          <w:rtl/>
        </w:rPr>
        <w:footnoteReference w:id="18"/>
      </w:r>
      <w:r>
        <w:rPr>
          <w:rFonts w:hint="cs"/>
          <w:rtl/>
        </w:rPr>
        <w:t>, כלומר מדובר בתאגידים בעלי היקף פעילות משמעותי. בדיקת מבקר המדינה העלתה כי לחשבונאי הראשי אין מידע על ההיקף הכספי של תאגידים אלו. כמו כן, בגין תאגידים אלו טרם הושלמו מבחני השליטה של המדינה על פי התקינה החשבונאית</w:t>
      </w:r>
      <w:r>
        <w:rPr>
          <w:rStyle w:val="FootnoteReference"/>
          <w:rtl/>
        </w:rPr>
        <w:footnoteReference w:id="19"/>
      </w:r>
      <w:r>
        <w:rPr>
          <w:rFonts w:hint="cs"/>
          <w:rtl/>
        </w:rPr>
        <w:t>, והדבר עלול להשפיע על הצורך לאחדם בדוחות הכספיים. תהליך האיחוד והבחינה יימשך בשנים הבאות.</w:t>
      </w:r>
    </w:p>
    <w:p w14:paraId="52105506" w14:textId="77777777" w:rsidR="00867DA1" w:rsidRPr="005D2352" w:rsidRDefault="00867DA1" w:rsidP="00A711E4">
      <w:pPr>
        <w:pStyle w:val="100"/>
        <w:rPr>
          <w:rtl/>
        </w:rPr>
      </w:pPr>
      <w:r>
        <w:rPr>
          <w:rFonts w:hint="cs"/>
          <w:rtl/>
        </w:rPr>
        <w:t>החשבונאי הראשי ציין בתשובתו כי עד שנת 2018 נותרו רק עשרה תאגידים סטטוטוריים לא מאוחדים (מהם ארבעה המסרבים להתאחד ושישה הנמצאים בתהליכי בחינה לצורך איחוד), מבין 65 תאגידים. שמונה תאגידים אחרים נמצאים בהליכי פירוק או שאין לממשלה שליטה בהם, ולכן אין הם רלוונטיים לצורך איחוד בדוחות הכספיים.</w:t>
      </w:r>
    </w:p>
    <w:p w14:paraId="62598BE6" w14:textId="77777777" w:rsidR="00867DA1" w:rsidRPr="005B7179" w:rsidRDefault="00867DA1" w:rsidP="00A711E4">
      <w:pPr>
        <w:pStyle w:val="100"/>
        <w:rPr>
          <w:b/>
          <w:bCs/>
          <w:rtl/>
        </w:rPr>
      </w:pPr>
      <w:r>
        <w:rPr>
          <w:rFonts w:hint="cs"/>
          <w:rtl/>
        </w:rPr>
        <w:t>משרד מבקר המדינה מציין כי על החשבונאי הראשי לשקף את הדברים בנספחים לדוחות הכספיים, לסיים לבחון את ששת התאגידים לצורך איחוד ולפעול עם החשב הכללי לאחד את דוחותיהם הכספיים של התאגידים הסטטוטוריי</w:t>
      </w:r>
      <w:r>
        <w:rPr>
          <w:rFonts w:hint="eastAsia"/>
          <w:rtl/>
        </w:rPr>
        <w:t>ם</w:t>
      </w:r>
      <w:r>
        <w:rPr>
          <w:rFonts w:hint="cs"/>
          <w:rtl/>
        </w:rPr>
        <w:t xml:space="preserve"> המסרבים להתאחד. </w:t>
      </w:r>
    </w:p>
    <w:p w14:paraId="6425ECC3" w14:textId="77777777" w:rsidR="00867DA1" w:rsidRDefault="00867DA1" w:rsidP="00A711E4">
      <w:pPr>
        <w:pStyle w:val="af5"/>
        <w:rPr>
          <w:rtl/>
        </w:rPr>
      </w:pPr>
      <w:r>
        <w:rPr>
          <w:rFonts w:hint="cs"/>
          <w:rtl/>
        </w:rPr>
        <w:t>ב</w:t>
      </w:r>
      <w:r w:rsidRPr="00F03E6E">
        <w:rPr>
          <w:rFonts w:hint="eastAsia"/>
          <w:rtl/>
        </w:rPr>
        <w:t>דוחות</w:t>
      </w:r>
      <w:r w:rsidRPr="00F03E6E">
        <w:rPr>
          <w:rtl/>
        </w:rPr>
        <w:t xml:space="preserve"> </w:t>
      </w:r>
      <w:r w:rsidRPr="00F03E6E">
        <w:rPr>
          <w:rFonts w:hint="eastAsia"/>
          <w:rtl/>
        </w:rPr>
        <w:t>הכספיים</w:t>
      </w:r>
      <w:r w:rsidRPr="00F03E6E">
        <w:rPr>
          <w:rtl/>
        </w:rPr>
        <w:t xml:space="preserve"> </w:t>
      </w:r>
      <w:r w:rsidRPr="00F03E6E">
        <w:rPr>
          <w:rFonts w:hint="eastAsia"/>
          <w:rtl/>
        </w:rPr>
        <w:t>של</w:t>
      </w:r>
      <w:r w:rsidRPr="00F03E6E">
        <w:rPr>
          <w:rtl/>
        </w:rPr>
        <w:t xml:space="preserve"> </w:t>
      </w:r>
      <w:r>
        <w:rPr>
          <w:rFonts w:hint="cs"/>
          <w:rtl/>
        </w:rPr>
        <w:t>המדינה</w:t>
      </w:r>
      <w:r w:rsidRPr="00F03E6E">
        <w:rPr>
          <w:rtl/>
        </w:rPr>
        <w:t xml:space="preserve"> </w:t>
      </w:r>
      <w:r>
        <w:rPr>
          <w:rFonts w:hint="cs"/>
          <w:rtl/>
        </w:rPr>
        <w:t xml:space="preserve">לא נכללות גם </w:t>
      </w:r>
      <w:r w:rsidRPr="00F03E6E">
        <w:rPr>
          <w:rFonts w:hint="eastAsia"/>
          <w:rtl/>
        </w:rPr>
        <w:t>הרשויות</w:t>
      </w:r>
      <w:r w:rsidRPr="00F03E6E">
        <w:rPr>
          <w:rtl/>
        </w:rPr>
        <w:t xml:space="preserve"> </w:t>
      </w:r>
      <w:r w:rsidRPr="00F03E6E">
        <w:rPr>
          <w:rFonts w:hint="eastAsia"/>
          <w:rtl/>
        </w:rPr>
        <w:t>המקומיות</w:t>
      </w:r>
      <w:r>
        <w:rPr>
          <w:rStyle w:val="FootnoteReference"/>
          <w:b/>
          <w:bCs/>
          <w:rtl/>
        </w:rPr>
        <w:footnoteReference w:id="20"/>
      </w:r>
      <w:r>
        <w:rPr>
          <w:rFonts w:hint="cs"/>
          <w:rtl/>
        </w:rPr>
        <w:t>,</w:t>
      </w:r>
      <w:r w:rsidRPr="00F03E6E">
        <w:rPr>
          <w:rtl/>
        </w:rPr>
        <w:t xml:space="preserve"> </w:t>
      </w:r>
      <w:r>
        <w:rPr>
          <w:rFonts w:hint="cs"/>
          <w:rtl/>
        </w:rPr>
        <w:t xml:space="preserve">זאת </w:t>
      </w:r>
      <w:r w:rsidRPr="00F03E6E">
        <w:rPr>
          <w:rtl/>
        </w:rPr>
        <w:t>אף שי</w:t>
      </w:r>
      <w:r>
        <w:rPr>
          <w:rFonts w:hint="cs"/>
          <w:rtl/>
        </w:rPr>
        <w:t xml:space="preserve">יתכן שמבחני השליטה מתקיימים בנוגע להן. </w:t>
      </w:r>
    </w:p>
    <w:p w14:paraId="04ACEF25" w14:textId="77777777" w:rsidR="00A711E4" w:rsidRDefault="00A711E4">
      <w:pPr>
        <w:bidi w:val="0"/>
        <w:spacing w:after="200" w:line="276" w:lineRule="auto"/>
        <w:rPr>
          <w:rFonts w:ascii="Tahoma" w:hAnsi="Tahoma" w:cs="Tahoma"/>
          <w:szCs w:val="20"/>
          <w:rtl/>
        </w:rPr>
      </w:pPr>
      <w:r>
        <w:rPr>
          <w:rtl/>
        </w:rPr>
        <w:br w:type="page"/>
      </w:r>
    </w:p>
    <w:p w14:paraId="6E0F3004" w14:textId="185B6135" w:rsidR="00867DA1" w:rsidRDefault="00867DA1" w:rsidP="00A711E4">
      <w:pPr>
        <w:pStyle w:val="100"/>
        <w:rPr>
          <w:rtl/>
        </w:rPr>
      </w:pPr>
      <w:r>
        <w:rPr>
          <w:rFonts w:hint="cs"/>
          <w:rtl/>
        </w:rPr>
        <w:lastRenderedPageBreak/>
        <w:t>משרד מבקר המדינה בדק כיצד מוצגים דוחות כספיים מאוחדים במדינות נבחרות בעולם ואם הרשויות המקומיות נכללות בהם. להלן הנתונים:</w:t>
      </w:r>
    </w:p>
    <w:p w14:paraId="63F5861B" w14:textId="29AA8F2C" w:rsidR="00867DA1" w:rsidRPr="00A711E4" w:rsidRDefault="00867DA1" w:rsidP="00A711E4">
      <w:pPr>
        <w:pStyle w:val="aa"/>
        <w:rPr>
          <w:b/>
          <w:bCs/>
          <w:rtl/>
        </w:rPr>
      </w:pPr>
      <w:r>
        <w:rPr>
          <w:rFonts w:hint="cs"/>
          <w:rtl/>
        </w:rPr>
        <w:t>לו</w:t>
      </w:r>
      <w:r w:rsidRPr="00A711E4">
        <w:rPr>
          <w:rFonts w:hint="cs"/>
          <w:rtl/>
        </w:rPr>
        <w:t>ח</w:t>
      </w:r>
      <w:r w:rsidRPr="00A711E4">
        <w:rPr>
          <w:rtl/>
        </w:rPr>
        <w:t xml:space="preserve"> </w:t>
      </w:r>
      <w:fldSimple w:instr=" SEQ טבלה \* ARABIC ">
        <w:r w:rsidR="003E1673">
          <w:rPr>
            <w:noProof/>
          </w:rPr>
          <w:t>4</w:t>
        </w:r>
      </w:fldSimple>
      <w:r w:rsidRPr="001059E6">
        <w:rPr>
          <w:rFonts w:hint="cs"/>
          <w:rtl/>
        </w:rPr>
        <w:t xml:space="preserve">: </w:t>
      </w:r>
      <w:r w:rsidRPr="00A711E4">
        <w:rPr>
          <w:rFonts w:hint="cs"/>
          <w:b/>
          <w:bCs/>
          <w:rtl/>
        </w:rPr>
        <w:t xml:space="preserve">אופן איחוד רשויות מקומיות בדוחות הכספיים של מדינות נבחרות בעולם </w:t>
      </w:r>
    </w:p>
    <w:tbl>
      <w:tblPr>
        <w:tblStyle w:val="MediumList2-Accent1"/>
        <w:tblpPr w:leftFromText="180" w:rightFromText="180" w:vertAnchor="text" w:horzAnchor="margin" w:tblpXSpec="center" w:tblpY="100"/>
        <w:bidiVisual/>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2316"/>
        <w:gridCol w:w="4761"/>
      </w:tblGrid>
      <w:tr w:rsidR="00867DA1" w:rsidRPr="00A064E4" w14:paraId="73E66896" w14:textId="77777777" w:rsidTr="002B18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C6D9F1"/>
            <w:noWrap/>
            <w:vAlign w:val="bottom"/>
          </w:tcPr>
          <w:p w14:paraId="5D26979E" w14:textId="77777777" w:rsidR="00867DA1" w:rsidRPr="00A064E4" w:rsidRDefault="00867DA1" w:rsidP="00A711E4">
            <w:pPr>
              <w:pStyle w:val="af1"/>
              <w:rPr>
                <w:color w:val="auto"/>
                <w:cs w:val="0"/>
              </w:rPr>
            </w:pPr>
            <w:r w:rsidRPr="00A064E4">
              <w:rPr>
                <w:rFonts w:hint="cs"/>
                <w:cs w:val="0"/>
              </w:rPr>
              <w:t>ה</w:t>
            </w:r>
            <w:r w:rsidRPr="00A064E4">
              <w:rPr>
                <w:cs w:val="0"/>
              </w:rPr>
              <w:t xml:space="preserve">מדינה </w:t>
            </w:r>
          </w:p>
        </w:tc>
        <w:tc>
          <w:tcPr>
            <w:tcW w:w="1372" w:type="pct"/>
            <w:tcBorders>
              <w:top w:val="none" w:sz="0" w:space="0" w:color="auto"/>
              <w:left w:val="none" w:sz="0" w:space="0" w:color="auto"/>
              <w:bottom w:val="none" w:sz="0" w:space="0" w:color="auto"/>
              <w:right w:val="none" w:sz="0" w:space="0" w:color="auto"/>
            </w:tcBorders>
            <w:shd w:val="clear" w:color="auto" w:fill="C6D9F1"/>
            <w:vAlign w:val="bottom"/>
          </w:tcPr>
          <w:p w14:paraId="2C937220" w14:textId="77777777" w:rsidR="00867DA1" w:rsidRPr="00A064E4" w:rsidRDefault="00867DA1" w:rsidP="00A711E4">
            <w:pPr>
              <w:pStyle w:val="af1"/>
              <w:cnfStyle w:val="100000000000" w:firstRow="1" w:lastRow="0" w:firstColumn="0" w:lastColumn="0" w:oddVBand="0" w:evenVBand="0" w:oddHBand="0" w:evenHBand="0" w:firstRowFirstColumn="0" w:firstRowLastColumn="0" w:lastRowFirstColumn="0" w:lastRowLastColumn="0"/>
              <w:rPr>
                <w:cs w:val="0"/>
              </w:rPr>
            </w:pPr>
            <w:r w:rsidRPr="00A064E4">
              <w:rPr>
                <w:cs w:val="0"/>
              </w:rPr>
              <w:t xml:space="preserve">האם </w:t>
            </w:r>
            <w:r w:rsidRPr="00A064E4">
              <w:rPr>
                <w:rFonts w:hint="cs"/>
                <w:cs w:val="0"/>
              </w:rPr>
              <w:t>יש</w:t>
            </w:r>
            <w:r w:rsidRPr="00A064E4">
              <w:rPr>
                <w:cs w:val="0"/>
              </w:rPr>
              <w:t xml:space="preserve"> דוח</w:t>
            </w:r>
            <w:r w:rsidRPr="00A064E4">
              <w:rPr>
                <w:rFonts w:hint="cs"/>
                <w:cs w:val="0"/>
              </w:rPr>
              <w:t>ות</w:t>
            </w:r>
            <w:r w:rsidRPr="00A064E4">
              <w:rPr>
                <w:cs w:val="0"/>
              </w:rPr>
              <w:t xml:space="preserve"> כספ</w:t>
            </w:r>
            <w:r w:rsidRPr="00A064E4">
              <w:rPr>
                <w:rFonts w:hint="cs"/>
                <w:cs w:val="0"/>
              </w:rPr>
              <w:t>י</w:t>
            </w:r>
            <w:r w:rsidRPr="00A064E4">
              <w:rPr>
                <w:cs w:val="0"/>
              </w:rPr>
              <w:t>י</w:t>
            </w:r>
            <w:r w:rsidRPr="00A064E4">
              <w:rPr>
                <w:rFonts w:hint="cs"/>
                <w:cs w:val="0"/>
              </w:rPr>
              <w:t>ם</w:t>
            </w:r>
            <w:r w:rsidRPr="00A064E4">
              <w:rPr>
                <w:cs w:val="0"/>
              </w:rPr>
              <w:t xml:space="preserve"> מאוחד</w:t>
            </w:r>
            <w:r w:rsidRPr="00A064E4">
              <w:rPr>
                <w:rFonts w:hint="cs"/>
                <w:cs w:val="0"/>
              </w:rPr>
              <w:t>ים</w:t>
            </w:r>
            <w:r w:rsidRPr="00A064E4">
              <w:rPr>
                <w:cs w:val="0"/>
              </w:rPr>
              <w:t xml:space="preserve"> לכל המדינה</w:t>
            </w:r>
            <w:r w:rsidRPr="00A064E4">
              <w:rPr>
                <w:rFonts w:hint="cs"/>
                <w:cs w:val="0"/>
              </w:rPr>
              <w:t>,</w:t>
            </w:r>
            <w:r w:rsidRPr="00A064E4">
              <w:rPr>
                <w:cs w:val="0"/>
              </w:rPr>
              <w:t xml:space="preserve"> כישות אחת</w:t>
            </w:r>
          </w:p>
        </w:tc>
        <w:tc>
          <w:tcPr>
            <w:tcW w:w="2820" w:type="pct"/>
            <w:tcBorders>
              <w:top w:val="none" w:sz="0" w:space="0" w:color="auto"/>
              <w:left w:val="none" w:sz="0" w:space="0" w:color="auto"/>
              <w:bottom w:val="none" w:sz="0" w:space="0" w:color="auto"/>
              <w:right w:val="none" w:sz="0" w:space="0" w:color="auto"/>
            </w:tcBorders>
            <w:shd w:val="clear" w:color="auto" w:fill="C6D9F1"/>
            <w:vAlign w:val="bottom"/>
          </w:tcPr>
          <w:p w14:paraId="2F8DF46B" w14:textId="77777777" w:rsidR="00867DA1" w:rsidRPr="00A064E4" w:rsidRDefault="00867DA1" w:rsidP="00A711E4">
            <w:pPr>
              <w:pStyle w:val="af1"/>
              <w:cnfStyle w:val="100000000000" w:firstRow="1" w:lastRow="0" w:firstColumn="0" w:lastColumn="0" w:oddVBand="0" w:evenVBand="0" w:oddHBand="0" w:evenHBand="0" w:firstRowFirstColumn="0" w:firstRowLastColumn="0" w:lastRowFirstColumn="0" w:lastRowLastColumn="0"/>
              <w:rPr>
                <w:cs w:val="0"/>
              </w:rPr>
            </w:pPr>
            <w:r w:rsidRPr="00A064E4">
              <w:rPr>
                <w:cs w:val="0"/>
              </w:rPr>
              <w:t xml:space="preserve">פירוט </w:t>
            </w:r>
          </w:p>
        </w:tc>
      </w:tr>
      <w:tr w:rsidR="00867DA1" w:rsidRPr="00A064E4" w14:paraId="58E95119" w14:textId="77777777" w:rsidTr="002B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auto"/>
            <w:noWrap/>
            <w:vAlign w:val="bottom"/>
          </w:tcPr>
          <w:p w14:paraId="694739C7" w14:textId="77777777" w:rsidR="00867DA1" w:rsidRPr="002B18FE" w:rsidRDefault="00867DA1" w:rsidP="00A711E4">
            <w:pPr>
              <w:pStyle w:val="B"/>
              <w:rPr>
                <w:sz w:val="20"/>
                <w:szCs w:val="20"/>
              </w:rPr>
            </w:pPr>
            <w:r w:rsidRPr="002B18FE">
              <w:rPr>
                <w:sz w:val="20"/>
                <w:szCs w:val="20"/>
              </w:rPr>
              <w:t xml:space="preserve">בריטניה </w:t>
            </w:r>
          </w:p>
        </w:tc>
        <w:tc>
          <w:tcPr>
            <w:tcW w:w="1372" w:type="pct"/>
            <w:tcBorders>
              <w:top w:val="none" w:sz="0" w:space="0" w:color="auto"/>
              <w:left w:val="none" w:sz="0" w:space="0" w:color="auto"/>
              <w:bottom w:val="none" w:sz="0" w:space="0" w:color="auto"/>
              <w:right w:val="none" w:sz="0" w:space="0" w:color="auto"/>
            </w:tcBorders>
            <w:shd w:val="clear" w:color="auto" w:fill="auto"/>
            <w:vAlign w:val="bottom"/>
          </w:tcPr>
          <w:p w14:paraId="6C8067B9" w14:textId="77777777" w:rsidR="00867DA1" w:rsidRPr="00A711E4" w:rsidRDefault="00867DA1" w:rsidP="00A711E4">
            <w:pPr>
              <w:pStyle w:val="R"/>
              <w:cnfStyle w:val="000000100000" w:firstRow="0" w:lastRow="0" w:firstColumn="0" w:lastColumn="0" w:oddVBand="0" w:evenVBand="0" w:oddHBand="1" w:evenHBand="0" w:firstRowFirstColumn="0" w:firstRowLastColumn="0" w:lastRowFirstColumn="0" w:lastRowLastColumn="0"/>
              <w:rPr>
                <w:szCs w:val="22"/>
              </w:rPr>
            </w:pPr>
            <w:r w:rsidRPr="00A711E4">
              <w:rPr>
                <w:szCs w:val="22"/>
              </w:rPr>
              <w:t>כן</w:t>
            </w:r>
          </w:p>
        </w:tc>
        <w:tc>
          <w:tcPr>
            <w:tcW w:w="2820" w:type="pct"/>
            <w:tcBorders>
              <w:top w:val="none" w:sz="0" w:space="0" w:color="auto"/>
              <w:left w:val="none" w:sz="0" w:space="0" w:color="auto"/>
              <w:bottom w:val="none" w:sz="0" w:space="0" w:color="auto"/>
            </w:tcBorders>
            <w:shd w:val="clear" w:color="auto" w:fill="auto"/>
            <w:vAlign w:val="bottom"/>
          </w:tcPr>
          <w:p w14:paraId="15181BA5" w14:textId="77777777" w:rsidR="00867DA1" w:rsidRPr="00A711E4" w:rsidRDefault="00867DA1" w:rsidP="00A711E4">
            <w:pPr>
              <w:spacing w:before="40" w:after="40" w:line="269" w:lineRule="auto"/>
              <w:jc w:val="both"/>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 w:val="20"/>
                <w:szCs w:val="20"/>
                <w:cs w:val="0"/>
              </w:rPr>
            </w:pPr>
            <w:r w:rsidRPr="00A711E4">
              <w:rPr>
                <w:rFonts w:ascii="Tahoma" w:eastAsiaTheme="minorEastAsia" w:hAnsi="Tahoma" w:cs="Tahoma"/>
                <w:color w:val="auto"/>
                <w:sz w:val="20"/>
                <w:szCs w:val="20"/>
                <w:cs w:val="0"/>
              </w:rPr>
              <w:t xml:space="preserve">דוחות כספיים מאוחדים, ובהם כל משרדי הממשלה, הרשויות המקומיות והתאגידים הציבוריים. בדוחות הכספיים המאוחדים אין נכללים הנתונים הכספיים של הפרלמנט, של מבקר המדינה ושל בנקים לאומיים </w:t>
            </w:r>
          </w:p>
        </w:tc>
      </w:tr>
      <w:tr w:rsidR="00867DA1" w:rsidRPr="00A064E4" w14:paraId="642355B3" w14:textId="77777777" w:rsidTr="002B18FE">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auto"/>
            <w:noWrap/>
            <w:vAlign w:val="bottom"/>
          </w:tcPr>
          <w:p w14:paraId="09D902DA" w14:textId="77777777" w:rsidR="00867DA1" w:rsidRPr="002B18FE" w:rsidRDefault="00867DA1" w:rsidP="00A711E4">
            <w:pPr>
              <w:pStyle w:val="B"/>
              <w:rPr>
                <w:sz w:val="20"/>
                <w:szCs w:val="20"/>
              </w:rPr>
            </w:pPr>
            <w:r w:rsidRPr="002B18FE">
              <w:rPr>
                <w:sz w:val="20"/>
                <w:szCs w:val="20"/>
              </w:rPr>
              <w:t>אוסטרליה</w:t>
            </w:r>
          </w:p>
        </w:tc>
        <w:tc>
          <w:tcPr>
            <w:tcW w:w="1372" w:type="pct"/>
            <w:shd w:val="clear" w:color="auto" w:fill="auto"/>
            <w:vAlign w:val="bottom"/>
          </w:tcPr>
          <w:p w14:paraId="654F25B5" w14:textId="77777777" w:rsidR="00867DA1" w:rsidRPr="00A711E4" w:rsidRDefault="00867DA1" w:rsidP="00A711E4">
            <w:pPr>
              <w:pStyle w:val="R"/>
              <w:cnfStyle w:val="000000000000" w:firstRow="0" w:lastRow="0" w:firstColumn="0" w:lastColumn="0" w:oddVBand="0" w:evenVBand="0" w:oddHBand="0" w:evenHBand="0" w:firstRowFirstColumn="0" w:firstRowLastColumn="0" w:lastRowFirstColumn="0" w:lastRowLastColumn="0"/>
              <w:rPr>
                <w:szCs w:val="22"/>
              </w:rPr>
            </w:pPr>
            <w:r w:rsidRPr="00A711E4">
              <w:rPr>
                <w:szCs w:val="22"/>
              </w:rPr>
              <w:t>לא</w:t>
            </w:r>
          </w:p>
        </w:tc>
        <w:tc>
          <w:tcPr>
            <w:tcW w:w="2820" w:type="pct"/>
            <w:shd w:val="clear" w:color="auto" w:fill="auto"/>
            <w:vAlign w:val="bottom"/>
          </w:tcPr>
          <w:p w14:paraId="286679A8" w14:textId="77777777" w:rsidR="00867DA1" w:rsidRPr="00A711E4" w:rsidRDefault="00867DA1" w:rsidP="00A711E4">
            <w:pPr>
              <w:spacing w:before="40" w:after="40" w:line="269" w:lineRule="auto"/>
              <w:jc w:val="both"/>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color w:val="auto"/>
                <w:sz w:val="20"/>
                <w:szCs w:val="20"/>
                <w:cs w:val="0"/>
              </w:rPr>
            </w:pPr>
            <w:r w:rsidRPr="00A711E4">
              <w:rPr>
                <w:rFonts w:ascii="Tahoma" w:eastAsiaTheme="minorEastAsia" w:hAnsi="Tahoma" w:cs="Tahoma"/>
                <w:color w:val="auto"/>
                <w:sz w:val="20"/>
                <w:szCs w:val="20"/>
                <w:cs w:val="0"/>
              </w:rPr>
              <w:t>שלושה דוחות כספיים מאוחדים נפרדים:</w:t>
            </w:r>
          </w:p>
          <w:p w14:paraId="7E55E0E5"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משרדי הממשלה</w:t>
            </w:r>
          </w:p>
          <w:p w14:paraId="3FA19A3E"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דוח נפרד לכל אחת משש המדינות ושתי הטריטוריות</w:t>
            </w:r>
          </w:p>
          <w:p w14:paraId="35A7097A" w14:textId="05EC7246"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cs w:val="0"/>
              </w:rPr>
            </w:pPr>
            <w:r w:rsidRPr="00A711E4">
              <w:rPr>
                <w:rFonts w:ascii="Tahoma" w:eastAsiaTheme="minorEastAsia" w:hAnsi="Tahoma" w:cs="Tahoma"/>
                <w:sz w:val="20"/>
                <w:szCs w:val="20"/>
                <w:cs w:val="0"/>
              </w:rPr>
              <w:t xml:space="preserve">הרשויות המקומיות </w:t>
            </w:r>
          </w:p>
        </w:tc>
      </w:tr>
      <w:tr w:rsidR="00867DA1" w:rsidRPr="00A064E4" w14:paraId="63C9F126" w14:textId="77777777" w:rsidTr="002B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auto"/>
            <w:noWrap/>
            <w:vAlign w:val="bottom"/>
          </w:tcPr>
          <w:p w14:paraId="3A9B9FB3" w14:textId="77777777" w:rsidR="00867DA1" w:rsidRPr="002B18FE" w:rsidRDefault="00867DA1" w:rsidP="00A711E4">
            <w:pPr>
              <w:pStyle w:val="B"/>
              <w:rPr>
                <w:sz w:val="20"/>
                <w:szCs w:val="20"/>
              </w:rPr>
            </w:pPr>
            <w:r w:rsidRPr="002B18FE">
              <w:rPr>
                <w:sz w:val="20"/>
                <w:szCs w:val="20"/>
              </w:rPr>
              <w:t>ניו זילנד</w:t>
            </w:r>
          </w:p>
        </w:tc>
        <w:tc>
          <w:tcPr>
            <w:tcW w:w="1372" w:type="pct"/>
            <w:tcBorders>
              <w:top w:val="none" w:sz="0" w:space="0" w:color="auto"/>
              <w:left w:val="none" w:sz="0" w:space="0" w:color="auto"/>
              <w:bottom w:val="none" w:sz="0" w:space="0" w:color="auto"/>
              <w:right w:val="none" w:sz="0" w:space="0" w:color="auto"/>
            </w:tcBorders>
            <w:shd w:val="clear" w:color="auto" w:fill="auto"/>
            <w:vAlign w:val="bottom"/>
          </w:tcPr>
          <w:p w14:paraId="7F4A708A" w14:textId="77777777" w:rsidR="00867DA1" w:rsidRPr="00A711E4" w:rsidRDefault="00867DA1" w:rsidP="00A711E4">
            <w:pPr>
              <w:pStyle w:val="R"/>
              <w:cnfStyle w:val="000000100000" w:firstRow="0" w:lastRow="0" w:firstColumn="0" w:lastColumn="0" w:oddVBand="0" w:evenVBand="0" w:oddHBand="1" w:evenHBand="0" w:firstRowFirstColumn="0" w:firstRowLastColumn="0" w:lastRowFirstColumn="0" w:lastRowLastColumn="0"/>
              <w:rPr>
                <w:szCs w:val="22"/>
              </w:rPr>
            </w:pPr>
            <w:r w:rsidRPr="00A711E4">
              <w:rPr>
                <w:szCs w:val="22"/>
              </w:rPr>
              <w:t>לא</w:t>
            </w:r>
          </w:p>
        </w:tc>
        <w:tc>
          <w:tcPr>
            <w:tcW w:w="2820" w:type="pct"/>
            <w:tcBorders>
              <w:top w:val="none" w:sz="0" w:space="0" w:color="auto"/>
              <w:left w:val="none" w:sz="0" w:space="0" w:color="auto"/>
              <w:bottom w:val="none" w:sz="0" w:space="0" w:color="auto"/>
            </w:tcBorders>
            <w:shd w:val="clear" w:color="auto" w:fill="auto"/>
            <w:vAlign w:val="bottom"/>
          </w:tcPr>
          <w:p w14:paraId="65CC4828" w14:textId="77777777" w:rsidR="00867DA1" w:rsidRPr="00A711E4" w:rsidRDefault="00867DA1" w:rsidP="00A711E4">
            <w:pPr>
              <w:spacing w:before="40" w:after="40" w:line="269" w:lineRule="auto"/>
              <w:jc w:val="both"/>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color w:val="auto"/>
                <w:sz w:val="20"/>
                <w:szCs w:val="20"/>
                <w:cs w:val="0"/>
              </w:rPr>
            </w:pPr>
            <w:r w:rsidRPr="00A711E4">
              <w:rPr>
                <w:rFonts w:ascii="Tahoma" w:eastAsiaTheme="minorEastAsia" w:hAnsi="Tahoma" w:cs="Tahoma"/>
                <w:color w:val="auto"/>
                <w:sz w:val="20"/>
                <w:szCs w:val="20"/>
                <w:cs w:val="0"/>
              </w:rPr>
              <w:t>שני דוחות כספיים מאוחדים נפרדים:</w:t>
            </w:r>
          </w:p>
          <w:p w14:paraId="68F90144"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 xml:space="preserve">הרשויות המקומיות </w:t>
            </w:r>
          </w:p>
          <w:p w14:paraId="33B28CA2"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 w:val="20"/>
                <w:szCs w:val="20"/>
                <w:cs w:val="0"/>
              </w:rPr>
            </w:pPr>
            <w:r w:rsidRPr="00A711E4">
              <w:rPr>
                <w:rFonts w:ascii="Tahoma" w:eastAsiaTheme="minorEastAsia" w:hAnsi="Tahoma" w:cs="Tahoma"/>
                <w:sz w:val="20"/>
                <w:szCs w:val="20"/>
                <w:cs w:val="0"/>
              </w:rPr>
              <w:t>משרדי הממשלה, החברות הממשלתיות והתאגידים הסטטוטוריים</w:t>
            </w:r>
          </w:p>
        </w:tc>
      </w:tr>
      <w:tr w:rsidR="00867DA1" w:rsidRPr="00A064E4" w14:paraId="6F27212C" w14:textId="77777777" w:rsidTr="002B18FE">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auto"/>
            <w:noWrap/>
            <w:vAlign w:val="bottom"/>
          </w:tcPr>
          <w:p w14:paraId="553537E3" w14:textId="77777777" w:rsidR="00867DA1" w:rsidRPr="002B18FE" w:rsidRDefault="00867DA1" w:rsidP="00A711E4">
            <w:pPr>
              <w:pStyle w:val="B"/>
              <w:rPr>
                <w:sz w:val="20"/>
                <w:szCs w:val="20"/>
              </w:rPr>
            </w:pPr>
            <w:r w:rsidRPr="002B18FE">
              <w:rPr>
                <w:sz w:val="20"/>
                <w:szCs w:val="20"/>
              </w:rPr>
              <w:t>קנדה</w:t>
            </w:r>
          </w:p>
        </w:tc>
        <w:tc>
          <w:tcPr>
            <w:tcW w:w="1372" w:type="pct"/>
            <w:shd w:val="clear" w:color="auto" w:fill="auto"/>
            <w:vAlign w:val="bottom"/>
          </w:tcPr>
          <w:p w14:paraId="75ADEDAE" w14:textId="77777777" w:rsidR="00867DA1" w:rsidRPr="00A711E4" w:rsidRDefault="00867DA1" w:rsidP="00A711E4">
            <w:pPr>
              <w:pStyle w:val="R"/>
              <w:cnfStyle w:val="000000000000" w:firstRow="0" w:lastRow="0" w:firstColumn="0" w:lastColumn="0" w:oddVBand="0" w:evenVBand="0" w:oddHBand="0" w:evenHBand="0" w:firstRowFirstColumn="0" w:firstRowLastColumn="0" w:lastRowFirstColumn="0" w:lastRowLastColumn="0"/>
              <w:rPr>
                <w:szCs w:val="22"/>
              </w:rPr>
            </w:pPr>
            <w:r w:rsidRPr="00A711E4">
              <w:rPr>
                <w:szCs w:val="22"/>
              </w:rPr>
              <w:t>לא</w:t>
            </w:r>
          </w:p>
        </w:tc>
        <w:tc>
          <w:tcPr>
            <w:tcW w:w="2820" w:type="pct"/>
            <w:shd w:val="clear" w:color="auto" w:fill="auto"/>
            <w:vAlign w:val="bottom"/>
          </w:tcPr>
          <w:p w14:paraId="2C8433D5" w14:textId="77777777" w:rsidR="00867DA1" w:rsidRPr="00A711E4" w:rsidRDefault="00867DA1" w:rsidP="00A711E4">
            <w:pPr>
              <w:spacing w:before="40" w:after="40" w:line="269" w:lineRule="auto"/>
              <w:jc w:val="both"/>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color w:val="auto"/>
                <w:sz w:val="20"/>
                <w:szCs w:val="20"/>
                <w:cs w:val="0"/>
              </w:rPr>
            </w:pPr>
            <w:r w:rsidRPr="00A711E4">
              <w:rPr>
                <w:rFonts w:ascii="Tahoma" w:eastAsiaTheme="minorEastAsia" w:hAnsi="Tahoma" w:cs="Tahoma"/>
                <w:color w:val="auto"/>
                <w:sz w:val="20"/>
                <w:szCs w:val="20"/>
                <w:cs w:val="0"/>
              </w:rPr>
              <w:t xml:space="preserve">שלושה דוחות כספיים מאוחדים נפרדים: </w:t>
            </w:r>
          </w:p>
          <w:p w14:paraId="66C54386"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משרדי הממשלה</w:t>
            </w:r>
          </w:p>
          <w:p w14:paraId="38BC6105"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 xml:space="preserve">הפרובינציות והטריטוריות </w:t>
            </w:r>
          </w:p>
          <w:p w14:paraId="2DE2C187"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sz w:val="20"/>
                <w:szCs w:val="20"/>
                <w:cs w:val="0"/>
              </w:rPr>
            </w:pPr>
            <w:r w:rsidRPr="00A711E4">
              <w:rPr>
                <w:rFonts w:ascii="Tahoma" w:eastAsiaTheme="minorEastAsia" w:hAnsi="Tahoma" w:cs="Tahoma"/>
                <w:sz w:val="20"/>
                <w:szCs w:val="20"/>
                <w:cs w:val="0"/>
              </w:rPr>
              <w:t>הרשויות המקומיות</w:t>
            </w:r>
          </w:p>
        </w:tc>
      </w:tr>
      <w:tr w:rsidR="00867DA1" w:rsidRPr="00A064E4" w14:paraId="3128DC1D" w14:textId="77777777" w:rsidTr="002B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auto"/>
            <w:noWrap/>
            <w:vAlign w:val="bottom"/>
          </w:tcPr>
          <w:p w14:paraId="4B30799D" w14:textId="77777777" w:rsidR="00867DA1" w:rsidRPr="002B18FE" w:rsidRDefault="00867DA1" w:rsidP="00A711E4">
            <w:pPr>
              <w:pStyle w:val="B"/>
              <w:rPr>
                <w:sz w:val="20"/>
                <w:szCs w:val="20"/>
              </w:rPr>
            </w:pPr>
            <w:r w:rsidRPr="002B18FE">
              <w:rPr>
                <w:sz w:val="20"/>
                <w:szCs w:val="20"/>
              </w:rPr>
              <w:t>שוודיה</w:t>
            </w:r>
          </w:p>
        </w:tc>
        <w:tc>
          <w:tcPr>
            <w:tcW w:w="1372" w:type="pct"/>
            <w:tcBorders>
              <w:top w:val="none" w:sz="0" w:space="0" w:color="auto"/>
              <w:left w:val="none" w:sz="0" w:space="0" w:color="auto"/>
              <w:bottom w:val="none" w:sz="0" w:space="0" w:color="auto"/>
              <w:right w:val="none" w:sz="0" w:space="0" w:color="auto"/>
            </w:tcBorders>
            <w:shd w:val="clear" w:color="auto" w:fill="auto"/>
            <w:vAlign w:val="bottom"/>
          </w:tcPr>
          <w:p w14:paraId="1DB653C7" w14:textId="77777777" w:rsidR="00867DA1" w:rsidRPr="00A711E4" w:rsidRDefault="00867DA1" w:rsidP="00A711E4">
            <w:pPr>
              <w:pStyle w:val="R"/>
              <w:cnfStyle w:val="000000100000" w:firstRow="0" w:lastRow="0" w:firstColumn="0" w:lastColumn="0" w:oddVBand="0" w:evenVBand="0" w:oddHBand="1" w:evenHBand="0" w:firstRowFirstColumn="0" w:firstRowLastColumn="0" w:lastRowFirstColumn="0" w:lastRowLastColumn="0"/>
              <w:rPr>
                <w:szCs w:val="22"/>
              </w:rPr>
            </w:pPr>
            <w:r w:rsidRPr="00A711E4">
              <w:rPr>
                <w:szCs w:val="22"/>
              </w:rPr>
              <w:t>לא</w:t>
            </w:r>
          </w:p>
        </w:tc>
        <w:tc>
          <w:tcPr>
            <w:tcW w:w="2820" w:type="pct"/>
            <w:tcBorders>
              <w:top w:val="none" w:sz="0" w:space="0" w:color="auto"/>
              <w:left w:val="none" w:sz="0" w:space="0" w:color="auto"/>
              <w:bottom w:val="none" w:sz="0" w:space="0" w:color="auto"/>
            </w:tcBorders>
            <w:shd w:val="clear" w:color="auto" w:fill="auto"/>
            <w:vAlign w:val="bottom"/>
          </w:tcPr>
          <w:p w14:paraId="76B8C7AA" w14:textId="77777777" w:rsidR="00867DA1" w:rsidRPr="00A711E4" w:rsidRDefault="00867DA1" w:rsidP="00A711E4">
            <w:pPr>
              <w:spacing w:before="40" w:after="40" w:line="269" w:lineRule="auto"/>
              <w:jc w:val="both"/>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color w:val="auto"/>
                <w:sz w:val="20"/>
                <w:szCs w:val="20"/>
                <w:cs w:val="0"/>
              </w:rPr>
            </w:pPr>
            <w:r w:rsidRPr="00A711E4">
              <w:rPr>
                <w:rFonts w:ascii="Tahoma" w:eastAsiaTheme="minorEastAsia" w:hAnsi="Tahoma" w:cs="Tahoma"/>
                <w:color w:val="auto"/>
                <w:sz w:val="20"/>
                <w:szCs w:val="20"/>
                <w:cs w:val="0"/>
              </w:rPr>
              <w:t>שני דוחות כספיים מאוחדים נפרדים:</w:t>
            </w:r>
          </w:p>
          <w:p w14:paraId="29D0C4D0"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 w:val="20"/>
                <w:szCs w:val="20"/>
                <w:rtl w:val="0"/>
                <w:cs w:val="0"/>
              </w:rPr>
            </w:pPr>
            <w:r w:rsidRPr="00A711E4">
              <w:rPr>
                <w:rFonts w:ascii="Tahoma" w:eastAsiaTheme="minorEastAsia" w:hAnsi="Tahoma" w:cs="Tahoma"/>
                <w:sz w:val="20"/>
                <w:szCs w:val="20"/>
                <w:cs w:val="0"/>
              </w:rPr>
              <w:t xml:space="preserve">הרשויות המקומיות </w:t>
            </w:r>
          </w:p>
          <w:p w14:paraId="491B235F" w14:textId="77777777" w:rsidR="00867DA1" w:rsidRPr="00A711E4" w:rsidRDefault="00867DA1" w:rsidP="00A711E4">
            <w:pPr>
              <w:pStyle w:val="ListParagraph"/>
              <w:numPr>
                <w:ilvl w:val="0"/>
                <w:numId w:val="29"/>
              </w:numPr>
              <w:spacing w:before="40" w:after="40" w:line="269" w:lineRule="auto"/>
              <w:ind w:left="397" w:hanging="397"/>
              <w:contextualSpacing w:val="0"/>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sz w:val="20"/>
                <w:szCs w:val="20"/>
                <w:cs w:val="0"/>
              </w:rPr>
            </w:pPr>
            <w:r w:rsidRPr="00A711E4">
              <w:rPr>
                <w:rFonts w:ascii="Tahoma" w:eastAsiaTheme="minorEastAsia" w:hAnsi="Tahoma" w:cs="Tahoma"/>
                <w:sz w:val="20"/>
                <w:szCs w:val="20"/>
                <w:cs w:val="0"/>
              </w:rPr>
              <w:t>משרדי הממשלה</w:t>
            </w:r>
          </w:p>
        </w:tc>
      </w:tr>
    </w:tbl>
    <w:p w14:paraId="07910DE5" w14:textId="77777777" w:rsidR="00867DA1" w:rsidRPr="004254E2" w:rsidRDefault="00867DA1" w:rsidP="00A711E4">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נתונים</w:t>
      </w:r>
      <w:r w:rsidRPr="004254E2">
        <w:rPr>
          <w:rtl/>
        </w:rPr>
        <w:t xml:space="preserve"> </w:t>
      </w:r>
      <w:r w:rsidRPr="004254E2">
        <w:rPr>
          <w:rFonts w:hint="eastAsia"/>
          <w:rtl/>
        </w:rPr>
        <w:t>מדוחות</w:t>
      </w:r>
      <w:r w:rsidRPr="004254E2">
        <w:rPr>
          <w:rtl/>
        </w:rPr>
        <w:t xml:space="preserve"> </w:t>
      </w:r>
      <w:r w:rsidRPr="004254E2">
        <w:rPr>
          <w:rFonts w:hint="eastAsia"/>
          <w:rtl/>
        </w:rPr>
        <w:t>כספיים</w:t>
      </w:r>
      <w:r w:rsidRPr="004254E2">
        <w:rPr>
          <w:rtl/>
        </w:rPr>
        <w:t xml:space="preserve"> </w:t>
      </w:r>
      <w:r w:rsidRPr="004254E2">
        <w:rPr>
          <w:rFonts w:hint="eastAsia"/>
          <w:rtl/>
        </w:rPr>
        <w:t>של</w:t>
      </w:r>
      <w:r w:rsidRPr="004254E2">
        <w:rPr>
          <w:rtl/>
        </w:rPr>
        <w:t xml:space="preserve"> </w:t>
      </w:r>
      <w:r w:rsidRPr="004254E2">
        <w:rPr>
          <w:rFonts w:hint="eastAsia"/>
          <w:rtl/>
        </w:rPr>
        <w:t>מדינות</w:t>
      </w:r>
      <w:r w:rsidRPr="004254E2">
        <w:rPr>
          <w:rtl/>
        </w:rPr>
        <w:t xml:space="preserve"> </w:t>
      </w:r>
      <w:r w:rsidRPr="004254E2">
        <w:rPr>
          <w:rFonts w:hint="eastAsia"/>
          <w:rtl/>
        </w:rPr>
        <w:t>נבחרות</w:t>
      </w:r>
      <w:r w:rsidRPr="004254E2">
        <w:rPr>
          <w:rtl/>
        </w:rPr>
        <w:t xml:space="preserve"> </w:t>
      </w:r>
      <w:r w:rsidRPr="004254E2">
        <w:rPr>
          <w:rFonts w:hint="eastAsia"/>
          <w:rtl/>
        </w:rPr>
        <w:t>בעולם</w:t>
      </w:r>
      <w:r w:rsidRPr="004254E2">
        <w:rPr>
          <w:rtl/>
        </w:rPr>
        <w:t>, בעיבוד משרד מבקר המדינה.</w:t>
      </w:r>
    </w:p>
    <w:p w14:paraId="74F135A5" w14:textId="77777777" w:rsidR="00676712" w:rsidRDefault="00676712" w:rsidP="00A711E4">
      <w:pPr>
        <w:pStyle w:val="100"/>
        <w:rPr>
          <w:rtl/>
        </w:rPr>
      </w:pPr>
    </w:p>
    <w:p w14:paraId="2F4F464E" w14:textId="4960E847" w:rsidR="00676712" w:rsidRDefault="00867DA1" w:rsidP="00A711E4">
      <w:pPr>
        <w:pStyle w:val="100"/>
        <w:rPr>
          <w:rtl/>
        </w:rPr>
      </w:pPr>
      <w:r>
        <w:rPr>
          <w:rFonts w:hint="cs"/>
          <w:rtl/>
        </w:rPr>
        <w:t xml:space="preserve">בתשובתו של החשבונאי הראשי מ-18.11.19 נמסר כי הוא לא ביצע מבחני שליטה של המדינה </w:t>
      </w:r>
      <w:r w:rsidRPr="00DF4AAE">
        <w:rPr>
          <w:rFonts w:hint="cs"/>
          <w:rtl/>
        </w:rPr>
        <w:t>ברשויות המקומיות</w:t>
      </w:r>
      <w:r>
        <w:rPr>
          <w:rFonts w:hint="cs"/>
          <w:rtl/>
        </w:rPr>
        <w:t xml:space="preserve"> (כמו גם בכל הנוגע לאוניברסיטאות)</w:t>
      </w:r>
      <w:r w:rsidRPr="00DF4AAE">
        <w:rPr>
          <w:rFonts w:hint="cs"/>
          <w:rtl/>
        </w:rPr>
        <w:t>.</w:t>
      </w:r>
    </w:p>
    <w:p w14:paraId="25BBB6CB" w14:textId="77777777" w:rsidR="00676712" w:rsidRDefault="00676712">
      <w:pPr>
        <w:bidi w:val="0"/>
        <w:spacing w:after="200" w:line="276" w:lineRule="auto"/>
        <w:rPr>
          <w:rFonts w:ascii="Tahoma" w:hAnsi="Tahoma" w:cs="Tahoma"/>
          <w:szCs w:val="20"/>
          <w:rtl/>
        </w:rPr>
      </w:pPr>
      <w:r>
        <w:rPr>
          <w:rtl/>
        </w:rPr>
        <w:br w:type="page"/>
      </w:r>
    </w:p>
    <w:p w14:paraId="7ACDA5E4" w14:textId="77777777" w:rsidR="00867DA1" w:rsidRPr="00893B19" w:rsidRDefault="00867DA1" w:rsidP="00A711E4">
      <w:pPr>
        <w:pStyle w:val="316"/>
      </w:pPr>
      <w:r>
        <w:rPr>
          <w:rFonts w:hint="cs"/>
          <w:rtl/>
        </w:rPr>
        <w:lastRenderedPageBreak/>
        <w:t xml:space="preserve">ריבוי </w:t>
      </w:r>
      <w:r w:rsidRPr="00893B19">
        <w:rPr>
          <w:rFonts w:hint="cs"/>
          <w:rtl/>
        </w:rPr>
        <w:t>המערכות הכספיות המשמשות בסיס לדוחות הכספיים</w:t>
      </w:r>
    </w:p>
    <w:p w14:paraId="53B7DDCA" w14:textId="77777777" w:rsidR="00867DA1" w:rsidRDefault="00867DA1" w:rsidP="00676712">
      <w:pPr>
        <w:pStyle w:val="100"/>
        <w:rPr>
          <w:rtl/>
        </w:rPr>
      </w:pPr>
      <w:r>
        <w:rPr>
          <w:rFonts w:hint="cs"/>
          <w:rtl/>
        </w:rPr>
        <w:t>בהוראת תכ"ם</w:t>
      </w:r>
      <w:r>
        <w:rPr>
          <w:rStyle w:val="FootnoteReference"/>
          <w:rtl/>
        </w:rPr>
        <w:footnoteReference w:id="21"/>
      </w:r>
      <w:r>
        <w:rPr>
          <w:rFonts w:hint="cs"/>
          <w:rtl/>
        </w:rPr>
        <w:t xml:space="preserve"> בנושא "פיקוח ובקרה על מערכות מידע כספיות במשרדים"</w:t>
      </w:r>
      <w:r>
        <w:rPr>
          <w:rStyle w:val="FootnoteReference"/>
          <w:rtl/>
        </w:rPr>
        <w:footnoteReference w:id="22"/>
      </w:r>
      <w:r>
        <w:rPr>
          <w:rFonts w:hint="cs"/>
          <w:rtl/>
        </w:rPr>
        <w:t xml:space="preserve"> נקבע כי היות והדיווחים המועברים לאגף החשב הכללי והבקרות באגף נסמכים על המערכות הכספיות והתפעוליות הממשלתיות, יש לשמור על אמינות המערכות והבקרות המובנות ועל איכות המידע ואופן איסופו במערכות. עוד צוין כי במשרדי הממשלה יש מערכות כספיות</w:t>
      </w:r>
      <w:r>
        <w:rPr>
          <w:rStyle w:val="FootnoteReference"/>
          <w:rtl/>
        </w:rPr>
        <w:footnoteReference w:id="23"/>
      </w:r>
      <w:r>
        <w:rPr>
          <w:rFonts w:hint="cs"/>
          <w:rtl/>
        </w:rPr>
        <w:t xml:space="preserve"> שהמידע הכספי (פיננסי או חשבונאי) הקיים בהן משליך על הנתונים הפיננסיים והחשבונאיים של המדינה. הוראת תכ"ם זו קובעת הנחיות לביצוע של החשב בבחינת מערכות כספיות במשרד וכן בדבר הפיקוח ובקרה עליהן.</w:t>
      </w:r>
    </w:p>
    <w:p w14:paraId="3E07370F" w14:textId="31890B97" w:rsidR="00867DA1" w:rsidRDefault="00867DA1" w:rsidP="00676712">
      <w:pPr>
        <w:pStyle w:val="100"/>
        <w:rPr>
          <w:rtl/>
        </w:rPr>
      </w:pPr>
      <w:r>
        <w:rPr>
          <w:rFonts w:hint="cs"/>
          <w:rtl/>
        </w:rPr>
        <w:t>נתוני הביצוע הכספי של הממשלה מנוהלים במערכת החשבונות הראשית של מערכת מרכב"ה</w:t>
      </w:r>
      <w:r>
        <w:rPr>
          <w:rStyle w:val="FootnoteReference"/>
          <w:rtl/>
        </w:rPr>
        <w:footnoteReference w:id="24"/>
      </w:r>
      <w:r>
        <w:rPr>
          <w:rFonts w:hint="cs"/>
          <w:rtl/>
        </w:rPr>
        <w:t>. מערכת זו מושכת כמה מהנתונים ממערכות עזר כספיות, ואחרים מוזנים אליה ידנית</w:t>
      </w:r>
      <w:r>
        <w:rPr>
          <w:rStyle w:val="FootnoteReference"/>
          <w:rtl/>
        </w:rPr>
        <w:footnoteReference w:id="25"/>
      </w:r>
      <w:r>
        <w:rPr>
          <w:rFonts w:hint="cs"/>
          <w:rtl/>
        </w:rPr>
        <w:t>. נוסף על כך, נעשה בה שימוש בהערכות ובאומדנים. עם מערכות העזר נמנות, בין היתר, המערכות: (א) בכמה מבתי החולים הממשלתיים מותקנת מערכת "אביב פיננסית"; (ב) מערכת "אנפה" מרכזת את המידע מהחברות הממשלתיות; (ג) מערכות עזר אחרות משמשות מגוון ישויות ממשלתיות</w:t>
      </w:r>
      <w:r w:rsidRPr="00302E9A">
        <w:rPr>
          <w:vertAlign w:val="superscript"/>
          <w:rtl/>
        </w:rPr>
        <w:footnoteReference w:id="26"/>
      </w:r>
      <w:r w:rsidR="00302E9A">
        <w:rPr>
          <w:rFonts w:hint="cs"/>
          <w:rtl/>
        </w:rPr>
        <w:t>.</w:t>
      </w:r>
    </w:p>
    <w:p w14:paraId="3D1F1199" w14:textId="77777777" w:rsidR="00867DA1" w:rsidRDefault="00867DA1" w:rsidP="00676712">
      <w:pPr>
        <w:pStyle w:val="af5"/>
        <w:rPr>
          <w:rtl/>
        </w:rPr>
      </w:pPr>
      <w:r>
        <w:rPr>
          <w:rFonts w:hint="cs"/>
          <w:rtl/>
        </w:rPr>
        <w:t xml:space="preserve">בשנים האחרונות הדגיש החשב הכללי במבוא לדוחות הכספיים של המדינה ליום 31.12.18: "המידע בדבר הנכסים וההתחייבויות של מדינת ישראל אינו מנוהל במלואו במערכת רישום ודיווח חשבונאית כוללת. המידע הכספי בחלקו בלתי מבוקר ומבוסס על מערכות עזר המנוהלות לצד מערכת החשבונות הראשית וכן מדיווחים המתקבלים מגופים שונים המנהלים נכסים והתחייבויות מסוימים עבור מדינת ישראל. בידי אגף החשב הכללי אין מידע מלא על איכות תהליכי הבקרה בחלק מהגופים האמורים". </w:t>
      </w:r>
    </w:p>
    <w:p w14:paraId="639D3923" w14:textId="77777777" w:rsidR="00867DA1" w:rsidRDefault="00867DA1" w:rsidP="00676712">
      <w:pPr>
        <w:pStyle w:val="af5"/>
        <w:rPr>
          <w:rtl/>
        </w:rPr>
      </w:pPr>
      <w:r>
        <w:rPr>
          <w:rFonts w:hint="cs"/>
          <w:rtl/>
        </w:rPr>
        <w:t xml:space="preserve">החשב הכללי הוסיף והדגיש כי: "על כן, בשלב זה לא ניתן לבצע בדיקה אפקטיבית לשלמות הנתונים. בדיקה כזו הכרחית לצורך קביעה כי הדוחות על המצב הכספי משקפים באופן נאות את מכלול הנכסים וההתחייבויות של מדינת ישראל וכי הדוחות על הביצוע הכספי משקפים באופן נאות את תוצאות פעולותיה". </w:t>
      </w:r>
    </w:p>
    <w:p w14:paraId="7207C407" w14:textId="77777777" w:rsidR="00867DA1" w:rsidRPr="002E28AF" w:rsidRDefault="00867DA1" w:rsidP="00676712">
      <w:pPr>
        <w:pStyle w:val="af5"/>
        <w:rPr>
          <w:rtl/>
        </w:rPr>
      </w:pPr>
      <w:r>
        <w:rPr>
          <w:rFonts w:hint="cs"/>
          <w:rtl/>
        </w:rPr>
        <w:lastRenderedPageBreak/>
        <w:t>נמצא כי הנתונים המוצגים במערכת מרכב"ה מבוססים, בין היתר, על מערכות עזר כספיות שאינן מבוקרות ואינן מתממשקות למרכב"ה באופן מלא. מאחר שהנתונים חלקיים, אינם שלמים ואינם משקפים את מלוא הנכסים וההתחייבויות של המדינה, אי אפשר לבקר את הדוחות הכספיים של המדינה.</w:t>
      </w:r>
    </w:p>
    <w:p w14:paraId="05D5A5C2" w14:textId="77777777" w:rsidR="00867DA1" w:rsidRPr="00B42505" w:rsidRDefault="00867DA1" w:rsidP="00B42505">
      <w:pPr>
        <w:pStyle w:val="100"/>
        <w:rPr>
          <w:b/>
          <w:bCs/>
          <w:rtl/>
        </w:rPr>
      </w:pPr>
      <w:r w:rsidRPr="00B42505">
        <w:rPr>
          <w:rFonts w:hint="cs"/>
          <w:b/>
          <w:bCs/>
          <w:rtl/>
        </w:rPr>
        <w:t>להלן דוגמאות:</w:t>
      </w:r>
    </w:p>
    <w:p w14:paraId="7044AC16" w14:textId="77777777" w:rsidR="00867DA1" w:rsidRPr="00A064E4" w:rsidRDefault="00867DA1" w:rsidP="00B42505">
      <w:pPr>
        <w:pStyle w:val="a1"/>
        <w:rPr>
          <w:rtl/>
        </w:rPr>
      </w:pPr>
      <w:r w:rsidRPr="00A064E4">
        <w:rPr>
          <w:rFonts w:hint="cs"/>
          <w:rtl/>
        </w:rPr>
        <w:t xml:space="preserve">פעמים רבות מערכות המידע של רשויות המס אינן עונות על מכלול הצרכים החשבונאיים לצורך ניהול נתוני חייבים על בסיס מצטבר בהתאם לכללי חשבונאות מקובלים. הדבר בא לידי ביטוי בהיעדר קשר חשבונאי בין נתוני המערכות לניהול מצבת החובות ובין תנועות המזומן במערכות הדיווח; </w:t>
      </w:r>
    </w:p>
    <w:p w14:paraId="158AB311" w14:textId="77777777" w:rsidR="00867DA1" w:rsidRDefault="00867DA1" w:rsidP="00B42505">
      <w:pPr>
        <w:pStyle w:val="a1"/>
        <w:rPr>
          <w:rtl/>
        </w:rPr>
      </w:pPr>
      <w:r w:rsidRPr="00A064E4">
        <w:rPr>
          <w:rFonts w:hint="cs"/>
          <w:rtl/>
        </w:rPr>
        <w:t>בכמה ממשרדי הממשלה, תהליך ניהול המלאי, רישומו וסיווגו באופן שוטף במערכות המידע לוקה בחסר ואינו מאפשר הצגה נאותה בדוחות הכספיים, בהתאם לכללי חשבונאות מקובלים;</w:t>
      </w:r>
      <w:r>
        <w:rPr>
          <w:rFonts w:hint="cs"/>
          <w:rtl/>
        </w:rPr>
        <w:t xml:space="preserve"> </w:t>
      </w:r>
    </w:p>
    <w:p w14:paraId="05045C62" w14:textId="77777777" w:rsidR="00867DA1" w:rsidRPr="00A064E4" w:rsidRDefault="00867DA1" w:rsidP="00B42505">
      <w:pPr>
        <w:pStyle w:val="a1"/>
        <w:rPr>
          <w:rtl/>
        </w:rPr>
      </w:pPr>
      <w:r w:rsidRPr="00A064E4">
        <w:rPr>
          <w:rFonts w:hint="cs"/>
          <w:rtl/>
        </w:rPr>
        <w:t xml:space="preserve">מרבית הנכסים במערכת הביטחון מנוהלים במערכות עזר מבוזרות, שאינן חלק ממערכת הנהלת החשבונות המרכזית, והנתונים נאספים באופן ידני, ללא יכולת לבצע בקרת שלמות לעניין הרישום החשבונאי בגינם; </w:t>
      </w:r>
    </w:p>
    <w:p w14:paraId="1358E0D7" w14:textId="77777777" w:rsidR="00867DA1" w:rsidRPr="00A064E4" w:rsidRDefault="00867DA1" w:rsidP="00B42505">
      <w:pPr>
        <w:pStyle w:val="a1"/>
        <w:rPr>
          <w:rtl/>
        </w:rPr>
      </w:pPr>
      <w:r w:rsidRPr="00A064E4">
        <w:rPr>
          <w:rFonts w:hint="cs"/>
          <w:rtl/>
        </w:rPr>
        <w:t xml:space="preserve">בכמה מהישויות המדווחות אין מערכות לרישום מאפייניו החשבונאיים של הרכוש הקבוע. נתוני הרכוש הקבוע של מדינת ישראל אינם מוצגים אפוא בשלמותם; </w:t>
      </w:r>
    </w:p>
    <w:p w14:paraId="53B64549" w14:textId="77777777" w:rsidR="00867DA1" w:rsidRPr="00A064E4" w:rsidRDefault="00867DA1" w:rsidP="00B42505">
      <w:pPr>
        <w:pStyle w:val="a1"/>
        <w:rPr>
          <w:rtl/>
        </w:rPr>
      </w:pPr>
      <w:r w:rsidRPr="00A064E4">
        <w:rPr>
          <w:rFonts w:hint="cs"/>
          <w:rtl/>
        </w:rPr>
        <w:t xml:space="preserve">פרקליטות המדינה מנהלת תביעות משפטיות במערכת מידע שהטמעתה טרם הסתיימה לצורכי החישוב החשבונאי. כמו כן, בכמה מהישויות הממשלתיות אין תשתית נאותה לניהול התביעות ולמעקב אחריהן; </w:t>
      </w:r>
    </w:p>
    <w:p w14:paraId="128CEFAB" w14:textId="77777777" w:rsidR="00867DA1" w:rsidRPr="00A064E4" w:rsidRDefault="00867DA1" w:rsidP="00B42505">
      <w:pPr>
        <w:pStyle w:val="a1"/>
        <w:rPr>
          <w:rtl/>
        </w:rPr>
      </w:pPr>
      <w:r w:rsidRPr="00A064E4">
        <w:rPr>
          <w:rFonts w:hint="cs"/>
          <w:rtl/>
        </w:rPr>
        <w:t>טרם הושלם תהליך ניהול מובנה ושיטתי במערכות המידע של כתבי השיפוי</w:t>
      </w:r>
      <w:r w:rsidRPr="00A064E4">
        <w:rPr>
          <w:rStyle w:val="FootnoteReference"/>
          <w:rFonts w:cs="David"/>
          <w:sz w:val="24"/>
          <w:szCs w:val="24"/>
          <w:rtl/>
        </w:rPr>
        <w:footnoteReference w:id="27"/>
      </w:r>
      <w:r w:rsidRPr="00A064E4">
        <w:rPr>
          <w:rFonts w:hint="cs"/>
          <w:rtl/>
        </w:rPr>
        <w:t xml:space="preserve"> שנתנו משרדי ממשלה. לפיכך, עלולים להיות כתבי שיפוי שמשרדי ממשלה נתנו, ותלויות בגינם התחייבויות אחרות, שאינן מתועדות; </w:t>
      </w:r>
    </w:p>
    <w:p w14:paraId="43D3270C" w14:textId="77777777" w:rsidR="00867DA1" w:rsidRPr="00A064E4" w:rsidRDefault="00867DA1" w:rsidP="00B42505">
      <w:pPr>
        <w:pStyle w:val="a1"/>
        <w:rPr>
          <w:rtl/>
        </w:rPr>
      </w:pPr>
      <w:r w:rsidRPr="00A064E4">
        <w:rPr>
          <w:rFonts w:hint="cs"/>
          <w:rtl/>
        </w:rPr>
        <w:t>ההכנסות ממיסים ומאגרות</w:t>
      </w:r>
      <w:r w:rsidRPr="00A064E4">
        <w:rPr>
          <w:rFonts w:hint="cs"/>
          <w:b/>
          <w:bCs/>
          <w:rtl/>
        </w:rPr>
        <w:t xml:space="preserve"> </w:t>
      </w:r>
      <w:r w:rsidRPr="00A064E4">
        <w:rPr>
          <w:rFonts w:hint="cs"/>
          <w:rtl/>
        </w:rPr>
        <w:t xml:space="preserve">מבוססות על נתונים ממערכות ייעודיות של הישויות השונות. מערכות אלו אינן עונות בהכרח על מכלול הצרכים החשבונאיים לניהול נתוני ההכנסות על בסיס מצטבר; </w:t>
      </w:r>
    </w:p>
    <w:p w14:paraId="168DCC7B" w14:textId="77777777" w:rsidR="00867DA1" w:rsidRPr="00A064E4" w:rsidRDefault="00867DA1" w:rsidP="00B42505">
      <w:pPr>
        <w:pStyle w:val="a1"/>
        <w:rPr>
          <w:rtl/>
        </w:rPr>
      </w:pPr>
      <w:r w:rsidRPr="00A064E4">
        <w:rPr>
          <w:rFonts w:hint="cs"/>
          <w:rtl/>
        </w:rPr>
        <w:t xml:space="preserve">במרבית משרדי הממשלה, הוצאות בגין פרישת עובדים אינן מנוהלות במערכות כספיות כנדרש על פי כללי חשבונאות מקובלים. לפיכך, הוצאות אלה מבוססות על אומדנים </w:t>
      </w:r>
      <w:r w:rsidRPr="00A064E4">
        <w:rPr>
          <w:rFonts w:hint="cs"/>
          <w:rtl/>
        </w:rPr>
        <w:lastRenderedPageBreak/>
        <w:t xml:space="preserve">והערכות שונים, וייתכן כי אינן מייצגות באופן נאות את מכלול ההוצאות שהתהוו על בסיס מצטבר; </w:t>
      </w:r>
    </w:p>
    <w:p w14:paraId="58EA4B58" w14:textId="77777777" w:rsidR="00867DA1" w:rsidRPr="00A064E4" w:rsidRDefault="00867DA1" w:rsidP="00B42505">
      <w:pPr>
        <w:pStyle w:val="a1"/>
      </w:pPr>
      <w:r w:rsidRPr="00A064E4">
        <w:rPr>
          <w:rFonts w:hint="cs"/>
          <w:rtl/>
        </w:rPr>
        <w:t xml:space="preserve">מערכות המידע הקיימות בתחום השכר אינן תומכות בסיווג הוצאות השכר לפי מהותן. לפיכך אי אפשר בשלב זה לבצע הפרדה נאותה בין הוצאות שכר הנהלה לשאר הוצאות השכר. </w:t>
      </w:r>
    </w:p>
    <w:p w14:paraId="13A36CD3" w14:textId="77777777" w:rsidR="00867DA1" w:rsidRDefault="00867DA1" w:rsidP="00B42505">
      <w:pPr>
        <w:pStyle w:val="100"/>
        <w:rPr>
          <w:rtl/>
        </w:rPr>
      </w:pPr>
      <w:r>
        <w:rPr>
          <w:rFonts w:hint="cs"/>
          <w:rtl/>
        </w:rPr>
        <w:t>החשבונאי הראשי ציין בתשובתו: "</w:t>
      </w:r>
      <w:r>
        <w:rPr>
          <w:rtl/>
        </w:rPr>
        <w:t>החשב הכללי רואה חשיבות רבה בניהול תקין ובפיקוח ובקרה על המערכות הכספיות במשרדי הממשלה. לשם כך החשב הכללי פעל מדי שנה להעלאת המודעות במשרדי הממשלה לבחינת המערכות הכספיות</w:t>
      </w:r>
      <w:r>
        <w:rPr>
          <w:rFonts w:hint="cs"/>
          <w:rtl/>
        </w:rPr>
        <w:t>"</w:t>
      </w:r>
      <w:r>
        <w:rPr>
          <w:rtl/>
        </w:rPr>
        <w:t>.</w:t>
      </w:r>
      <w:r>
        <w:rPr>
          <w:rFonts w:hint="cs"/>
          <w:rtl/>
        </w:rPr>
        <w:t xml:space="preserve"> </w:t>
      </w:r>
    </w:p>
    <w:p w14:paraId="36C79E1D" w14:textId="77777777" w:rsidR="00867DA1" w:rsidRPr="00CF2039" w:rsidRDefault="00867DA1" w:rsidP="00B42505">
      <w:pPr>
        <w:pStyle w:val="af5"/>
        <w:rPr>
          <w:rtl/>
        </w:rPr>
      </w:pPr>
      <w:r w:rsidRPr="00CF2039">
        <w:rPr>
          <w:rFonts w:hint="eastAsia"/>
          <w:rtl/>
        </w:rPr>
        <w:t>משרד</w:t>
      </w:r>
      <w:r w:rsidRPr="00CF2039">
        <w:rPr>
          <w:rtl/>
        </w:rPr>
        <w:t xml:space="preserve"> </w:t>
      </w:r>
      <w:r w:rsidRPr="00CF2039">
        <w:rPr>
          <w:rFonts w:hint="eastAsia"/>
          <w:rtl/>
        </w:rPr>
        <w:t>מבקר</w:t>
      </w:r>
      <w:r w:rsidRPr="00CF2039">
        <w:rPr>
          <w:rtl/>
        </w:rPr>
        <w:t xml:space="preserve"> </w:t>
      </w:r>
      <w:r w:rsidRPr="00CF2039">
        <w:rPr>
          <w:rFonts w:hint="eastAsia"/>
          <w:rtl/>
        </w:rPr>
        <w:t>המדינה</w:t>
      </w:r>
      <w:r w:rsidRPr="00CF2039">
        <w:rPr>
          <w:rtl/>
        </w:rPr>
        <w:t xml:space="preserve"> </w:t>
      </w:r>
      <w:r w:rsidRPr="00CF2039">
        <w:rPr>
          <w:rFonts w:hint="eastAsia"/>
          <w:rtl/>
        </w:rPr>
        <w:t>מציין</w:t>
      </w:r>
      <w:r w:rsidRPr="00CF2039">
        <w:rPr>
          <w:rtl/>
        </w:rPr>
        <w:t xml:space="preserve"> </w:t>
      </w:r>
      <w:r w:rsidRPr="00CF2039">
        <w:rPr>
          <w:rFonts w:hint="eastAsia"/>
          <w:rtl/>
        </w:rPr>
        <w:t>כי</w:t>
      </w:r>
      <w:r w:rsidRPr="00CF2039">
        <w:rPr>
          <w:rtl/>
        </w:rPr>
        <w:t xml:space="preserve"> </w:t>
      </w:r>
      <w:r w:rsidRPr="00CF2039">
        <w:rPr>
          <w:rFonts w:hint="eastAsia"/>
          <w:rtl/>
        </w:rPr>
        <w:t>לאור</w:t>
      </w:r>
      <w:r w:rsidRPr="00CF2039">
        <w:rPr>
          <w:rtl/>
        </w:rPr>
        <w:t xml:space="preserve"> </w:t>
      </w:r>
      <w:r w:rsidRPr="00CF2039">
        <w:rPr>
          <w:rFonts w:hint="eastAsia"/>
          <w:rtl/>
        </w:rPr>
        <w:t>חשיבותן</w:t>
      </w:r>
      <w:r w:rsidRPr="00CF2039">
        <w:rPr>
          <w:rtl/>
        </w:rPr>
        <w:t xml:space="preserve"> </w:t>
      </w:r>
      <w:r w:rsidRPr="00CF2039">
        <w:rPr>
          <w:rFonts w:hint="eastAsia"/>
          <w:rtl/>
        </w:rPr>
        <w:t>של</w:t>
      </w:r>
      <w:r w:rsidRPr="00CF2039">
        <w:rPr>
          <w:rtl/>
        </w:rPr>
        <w:t xml:space="preserve"> </w:t>
      </w:r>
      <w:r w:rsidRPr="00CF2039">
        <w:rPr>
          <w:rFonts w:hint="eastAsia"/>
          <w:rtl/>
        </w:rPr>
        <w:t>המערכות</w:t>
      </w:r>
      <w:r w:rsidRPr="00CF2039">
        <w:rPr>
          <w:rtl/>
        </w:rPr>
        <w:t xml:space="preserve"> </w:t>
      </w:r>
      <w:r w:rsidRPr="00CF2039">
        <w:rPr>
          <w:rFonts w:hint="eastAsia"/>
          <w:rtl/>
        </w:rPr>
        <w:t>הכספיות</w:t>
      </w:r>
      <w:r w:rsidRPr="00CF2039">
        <w:rPr>
          <w:rtl/>
        </w:rPr>
        <w:t xml:space="preserve"> </w:t>
      </w:r>
      <w:r w:rsidRPr="00CF2039">
        <w:rPr>
          <w:rFonts w:hint="eastAsia"/>
          <w:rtl/>
        </w:rPr>
        <w:t>המשפיעות</w:t>
      </w:r>
      <w:r w:rsidRPr="00CF2039">
        <w:rPr>
          <w:rtl/>
        </w:rPr>
        <w:t xml:space="preserve"> </w:t>
      </w:r>
      <w:r w:rsidRPr="00CF2039">
        <w:rPr>
          <w:rFonts w:hint="eastAsia"/>
          <w:rtl/>
        </w:rPr>
        <w:t>על</w:t>
      </w:r>
      <w:r w:rsidRPr="00CF2039">
        <w:rPr>
          <w:rtl/>
        </w:rPr>
        <w:t xml:space="preserve"> </w:t>
      </w:r>
      <w:r w:rsidRPr="00CF2039">
        <w:rPr>
          <w:rFonts w:hint="eastAsia"/>
          <w:rtl/>
        </w:rPr>
        <w:t>נכונות</w:t>
      </w:r>
      <w:r w:rsidRPr="00CF2039">
        <w:rPr>
          <w:rtl/>
        </w:rPr>
        <w:t xml:space="preserve"> </w:t>
      </w:r>
      <w:r w:rsidRPr="00CF2039">
        <w:rPr>
          <w:rFonts w:hint="eastAsia"/>
          <w:rtl/>
        </w:rPr>
        <w:t>הנתונים</w:t>
      </w:r>
      <w:r w:rsidRPr="00CF2039">
        <w:rPr>
          <w:rtl/>
        </w:rPr>
        <w:t xml:space="preserve"> </w:t>
      </w:r>
      <w:r w:rsidRPr="00CF2039">
        <w:rPr>
          <w:rFonts w:hint="eastAsia"/>
          <w:rtl/>
        </w:rPr>
        <w:t>בדוחות</w:t>
      </w:r>
      <w:r w:rsidRPr="00CF2039">
        <w:rPr>
          <w:rtl/>
        </w:rPr>
        <w:t xml:space="preserve"> </w:t>
      </w:r>
      <w:r w:rsidRPr="00CF2039">
        <w:rPr>
          <w:rFonts w:hint="eastAsia"/>
          <w:rtl/>
        </w:rPr>
        <w:t>הכספיים</w:t>
      </w:r>
      <w:r w:rsidRPr="00CF2039">
        <w:rPr>
          <w:rtl/>
        </w:rPr>
        <w:t>, על החשבונאי הראשי לפעול לכך ש</w:t>
      </w:r>
      <w:r>
        <w:rPr>
          <w:rFonts w:hint="cs"/>
          <w:rtl/>
        </w:rPr>
        <w:t>הן</w:t>
      </w:r>
      <w:r w:rsidRPr="00CF2039">
        <w:rPr>
          <w:rtl/>
        </w:rPr>
        <w:t xml:space="preserve"> יבוקרו ויתממשקו באופן מלא למערכת </w:t>
      </w:r>
      <w:r w:rsidRPr="00CF2039">
        <w:rPr>
          <w:rFonts w:hint="eastAsia"/>
          <w:rtl/>
        </w:rPr>
        <w:t>המרכב</w:t>
      </w:r>
      <w:r w:rsidRPr="00CF2039">
        <w:rPr>
          <w:rtl/>
        </w:rPr>
        <w:t>"ה</w:t>
      </w:r>
      <w:r>
        <w:rPr>
          <w:rFonts w:hint="cs"/>
          <w:rtl/>
        </w:rPr>
        <w:t>,</w:t>
      </w:r>
      <w:r w:rsidRPr="00CF2039">
        <w:rPr>
          <w:rtl/>
        </w:rPr>
        <w:t xml:space="preserve"> </w:t>
      </w:r>
      <w:r>
        <w:rPr>
          <w:rFonts w:hint="cs"/>
          <w:rtl/>
        </w:rPr>
        <w:t>כדי לאפשר</w:t>
      </w:r>
      <w:r w:rsidRPr="00CF2039">
        <w:rPr>
          <w:rtl/>
        </w:rPr>
        <w:t xml:space="preserve"> לבקר את נתוני הדוחות הכספיים. </w:t>
      </w:r>
    </w:p>
    <w:p w14:paraId="42C8654E" w14:textId="77777777" w:rsidR="00867DA1" w:rsidRPr="00B71DDD" w:rsidRDefault="00867DA1" w:rsidP="00B42505">
      <w:pPr>
        <w:pStyle w:val="316"/>
        <w:rPr>
          <w:rtl/>
        </w:rPr>
      </w:pPr>
      <w:r w:rsidRPr="00B71DDD">
        <w:rPr>
          <w:rFonts w:hint="cs"/>
          <w:rtl/>
        </w:rPr>
        <w:t xml:space="preserve">הנתונים העיקריים החסרים </w:t>
      </w:r>
      <w:r>
        <w:rPr>
          <w:rFonts w:hint="cs"/>
          <w:rtl/>
        </w:rPr>
        <w:t>בדוחות הכספיים ליום 31.12.18</w:t>
      </w:r>
    </w:p>
    <w:p w14:paraId="1CE33A21" w14:textId="77777777" w:rsidR="00867DA1" w:rsidRDefault="00867DA1" w:rsidP="00B42505">
      <w:pPr>
        <w:pStyle w:val="414"/>
        <w:rPr>
          <w:rtl/>
        </w:rPr>
      </w:pPr>
      <w:r>
        <w:rPr>
          <w:rFonts w:hint="cs"/>
          <w:rtl/>
        </w:rPr>
        <w:t>דוחות כספיים מאוחדים</w:t>
      </w:r>
    </w:p>
    <w:p w14:paraId="5439C0D4" w14:textId="30812A97" w:rsidR="00867DA1" w:rsidRDefault="00867DA1" w:rsidP="00867DA1">
      <w:pPr>
        <w:spacing w:line="269" w:lineRule="auto"/>
        <w:rPr>
          <w:rtl/>
        </w:rPr>
      </w:pPr>
    </w:p>
    <w:p w14:paraId="46A771BD" w14:textId="77777777" w:rsidR="00867DA1" w:rsidRDefault="00867DA1" w:rsidP="00B42505">
      <w:pPr>
        <w:pStyle w:val="100"/>
        <w:rPr>
          <w:rtl/>
        </w:rPr>
      </w:pPr>
      <w:r w:rsidRPr="00B42505">
        <w:rPr>
          <w:rFonts w:hint="cs"/>
          <w:b/>
          <w:bCs/>
          <w:rtl/>
        </w:rPr>
        <w:t>החשב הכללי הדגיש בשנים האחרונות בדוחות הכספיים של המדינה ובדוח הכספי ליום 31.12.18: "מצבת הנכסים המובאת בדוח אינה מייצגת את מכלול הנכסים המאוחדים... במסגרת מצבת הנכסים המוצגת בדוח לא כלולים עדיין נכסים רבים ששווים או עלותם מהותיים ביותר". הוא הוסיף: "הגירעון בהון הינו מספר שיורי שאינו מייצג את הגירעון הממשלתי המצטבר".</w:t>
      </w:r>
      <w:r>
        <w:rPr>
          <w:rFonts w:hint="cs"/>
          <w:rtl/>
        </w:rPr>
        <w:t xml:space="preserve"> בביאורים לדוחות הכספיים הוסיף החשב הכללי והדגיש כי גם מצבת ההתחייבויות המוצגת בדוחות הכספיים איננה שלמה ואיננה מייצגת את מלוא החבויות של הממשלה, בהן התחייבויות שעלותן מהותית ביותר.</w:t>
      </w:r>
    </w:p>
    <w:p w14:paraId="79FAF244" w14:textId="77777777" w:rsidR="00867DA1" w:rsidRDefault="00867DA1" w:rsidP="00B42505">
      <w:pPr>
        <w:pStyle w:val="af5"/>
        <w:rPr>
          <w:rtl/>
        </w:rPr>
      </w:pPr>
      <w:r>
        <w:rPr>
          <w:rFonts w:hint="cs"/>
          <w:rtl/>
        </w:rPr>
        <w:t>להלן פירוט סעיפי הנכסים, ההתחייבויות, ההכנסות וההוצאות המופיעים בדוחות הכספיים, אך חסר בהם מידע, והנתונים המוצגים בהם חלקיים:</w:t>
      </w:r>
    </w:p>
    <w:p w14:paraId="037162B6" w14:textId="77777777" w:rsidR="00867DA1" w:rsidRPr="0041113A" w:rsidRDefault="00867DA1" w:rsidP="00B42505">
      <w:pPr>
        <w:pStyle w:val="414"/>
        <w:rPr>
          <w:rtl/>
        </w:rPr>
      </w:pPr>
      <w:r>
        <w:rPr>
          <w:rFonts w:hint="cs"/>
          <w:rtl/>
        </w:rPr>
        <w:t>רכוש קבוע</w:t>
      </w:r>
    </w:p>
    <w:p w14:paraId="6C783CFD" w14:textId="77777777" w:rsidR="00867DA1" w:rsidRDefault="00867DA1" w:rsidP="00B42505">
      <w:pPr>
        <w:pStyle w:val="100"/>
        <w:rPr>
          <w:rtl/>
        </w:rPr>
      </w:pPr>
      <w:r>
        <w:rPr>
          <w:rFonts w:hint="cs"/>
          <w:rtl/>
        </w:rPr>
        <w:t xml:space="preserve">תקן חשבונאות ממשלתי מספר 17 בנושא רכוש קבוע מציין כי פריט רכוש קבוע שהינו כשיר להכרה כנכס יימדד בעלותו. לאחר ההכרה, לגבי כל קבוצת רכוש קבוע שלמה, הישות תבחר </w:t>
      </w:r>
      <w:r>
        <w:rPr>
          <w:rFonts w:hint="cs"/>
          <w:rtl/>
        </w:rPr>
        <w:lastRenderedPageBreak/>
        <w:t>ותיישם את מדיניותה החשבונאית במודל העלות או במודל ההערכה מחדש</w:t>
      </w:r>
      <w:r>
        <w:rPr>
          <w:rStyle w:val="FootnoteReference"/>
          <w:rtl/>
        </w:rPr>
        <w:footnoteReference w:id="28"/>
      </w:r>
      <w:r>
        <w:rPr>
          <w:rFonts w:hint="cs"/>
          <w:rtl/>
        </w:rPr>
        <w:t>. בהוראת תכ"ם בנושא "רישום רכוש קבוע"</w:t>
      </w:r>
      <w:r>
        <w:rPr>
          <w:rStyle w:val="FootnoteReference"/>
          <w:rtl/>
        </w:rPr>
        <w:footnoteReference w:id="29"/>
      </w:r>
      <w:r>
        <w:rPr>
          <w:rFonts w:hint="cs"/>
          <w:rtl/>
        </w:rPr>
        <w:t xml:space="preserve"> נקבע כי "רכוש קבוע הוא פריט בעל חשיבות רבה במצבת הנכסים של ישות ממשלתית ובעל השפעה ניכרת על כלל הדוחות הכספיים שלה. מן הראוי, אפוא, כי משרד ממשלתי בכלל וחשב המשרד בפרט, יפנו תשומת לב יתרה לנושא הרכוש הקבוע, החל ברישומו לראשונה, כמו בטיפול השוטף בו וכלה בגריעתו". </w:t>
      </w:r>
    </w:p>
    <w:p w14:paraId="39285FF2" w14:textId="77777777" w:rsidR="00867DA1" w:rsidRDefault="00867DA1" w:rsidP="00B42505">
      <w:pPr>
        <w:pStyle w:val="af5"/>
        <w:rPr>
          <w:rtl/>
        </w:rPr>
      </w:pPr>
      <w:r w:rsidRPr="00751063">
        <w:rPr>
          <w:rFonts w:hint="cs"/>
          <w:rtl/>
        </w:rPr>
        <w:t xml:space="preserve">יתרת סעיף "רכוש קבוע" </w:t>
      </w:r>
      <w:r>
        <w:rPr>
          <w:rFonts w:hint="cs"/>
          <w:rtl/>
        </w:rPr>
        <w:t xml:space="preserve">בדוחות הכספיים ליום 31.12.18 היא </w:t>
      </w:r>
      <w:r w:rsidRPr="00751063">
        <w:rPr>
          <w:rFonts w:hint="cs"/>
          <w:rtl/>
        </w:rPr>
        <w:t>כ-366 מיליארד ש"ח</w:t>
      </w:r>
      <w:r>
        <w:rPr>
          <w:rStyle w:val="FootnoteReference"/>
          <w:b/>
          <w:bCs/>
          <w:rtl/>
        </w:rPr>
        <w:footnoteReference w:id="30"/>
      </w:r>
      <w:r>
        <w:rPr>
          <w:rFonts w:hint="cs"/>
          <w:rtl/>
        </w:rPr>
        <w:t xml:space="preserve">, </w:t>
      </w:r>
      <w:r w:rsidRPr="00751063">
        <w:rPr>
          <w:rFonts w:hint="cs"/>
          <w:rtl/>
        </w:rPr>
        <w:t>ובשל כך סעיף זה הוא המהותי ביותר מ</w:t>
      </w:r>
      <w:r>
        <w:rPr>
          <w:rFonts w:hint="cs"/>
          <w:rtl/>
        </w:rPr>
        <w:t>בין</w:t>
      </w:r>
      <w:r w:rsidRPr="00751063">
        <w:rPr>
          <w:rFonts w:hint="cs"/>
          <w:rtl/>
        </w:rPr>
        <w:t xml:space="preserve"> </w:t>
      </w:r>
      <w:r>
        <w:rPr>
          <w:rFonts w:hint="cs"/>
          <w:rtl/>
        </w:rPr>
        <w:t xml:space="preserve">הסעיפים שעניינם </w:t>
      </w:r>
      <w:r w:rsidRPr="00751063">
        <w:rPr>
          <w:rFonts w:hint="cs"/>
          <w:rtl/>
        </w:rPr>
        <w:t xml:space="preserve">מצבת הנכסים של המדינה בדוחות הכספיים. </w:t>
      </w:r>
    </w:p>
    <w:p w14:paraId="57CB6AC6" w14:textId="77777777" w:rsidR="00867DA1" w:rsidRPr="00F03A16" w:rsidRDefault="00867DA1" w:rsidP="00B42505">
      <w:pPr>
        <w:pStyle w:val="100"/>
        <w:rPr>
          <w:rtl/>
        </w:rPr>
      </w:pPr>
      <w:r w:rsidRPr="00F03A16">
        <w:rPr>
          <w:rFonts w:hint="cs"/>
          <w:rtl/>
        </w:rPr>
        <w:t xml:space="preserve">החשב הכללי </w:t>
      </w:r>
      <w:r>
        <w:rPr>
          <w:rFonts w:hint="cs"/>
          <w:rtl/>
        </w:rPr>
        <w:t>ה</w:t>
      </w:r>
      <w:r w:rsidRPr="00F03A16">
        <w:rPr>
          <w:rFonts w:hint="cs"/>
          <w:rtl/>
        </w:rPr>
        <w:t>דגיש בדוחות הכספיים שפורסמו בשנים האחרונות, וכן בדוח הכספי ליום 31.12.18</w:t>
      </w:r>
      <w:r>
        <w:rPr>
          <w:rFonts w:hint="cs"/>
          <w:rtl/>
        </w:rPr>
        <w:t>:</w:t>
      </w:r>
      <w:r w:rsidRPr="00F03A16">
        <w:rPr>
          <w:rFonts w:hint="cs"/>
          <w:rtl/>
        </w:rPr>
        <w:t xml:space="preserve"> "נתוני הרכוש הקבוע המוצגים אינם כוללים נכסי מדינה מהותיים, בעיקר את הקרקעות שבידי מדינת ישראל המנוהלות על ידי רשות מקרקעי ישראל" (להלן - רמ"י). מבדיקת משרד מבקר המדינה עולה כי במדינות אחרות בעולם</w:t>
      </w:r>
      <w:r>
        <w:rPr>
          <w:rFonts w:hint="cs"/>
          <w:rtl/>
        </w:rPr>
        <w:t>,</w:t>
      </w:r>
      <w:r w:rsidRPr="00F03A16">
        <w:rPr>
          <w:rFonts w:hint="cs"/>
          <w:rtl/>
        </w:rPr>
        <w:t xml:space="preserve"> כגון בריטניה וניו</w:t>
      </w:r>
      <w:r>
        <w:rPr>
          <w:rFonts w:hint="cs"/>
          <w:rtl/>
        </w:rPr>
        <w:t>-</w:t>
      </w:r>
      <w:r w:rsidRPr="00F03A16">
        <w:rPr>
          <w:rFonts w:hint="cs"/>
          <w:rtl/>
        </w:rPr>
        <w:t>זילנד</w:t>
      </w:r>
      <w:r>
        <w:rPr>
          <w:rStyle w:val="FootnoteReference"/>
          <w:rtl/>
        </w:rPr>
        <w:footnoteReference w:id="31"/>
      </w:r>
      <w:r>
        <w:rPr>
          <w:rFonts w:hint="cs"/>
          <w:rtl/>
        </w:rPr>
        <w:t>,</w:t>
      </w:r>
      <w:r w:rsidRPr="00F03A16">
        <w:rPr>
          <w:rFonts w:hint="cs"/>
          <w:rtl/>
        </w:rPr>
        <w:t xml:space="preserve"> הקרקעות מוצגות בדוחות הכספיים. בביאור בעניין זה (ראו להלן) ציין החשב הכללי כי אומדן השווי ההוגן של קרקעות אלו ליום 31.12.18 הוא כ-523 </w:t>
      </w:r>
      <w:r>
        <w:rPr>
          <w:rFonts w:hint="cs"/>
          <w:rtl/>
        </w:rPr>
        <w:t>מיליארד</w:t>
      </w:r>
      <w:r w:rsidRPr="00F03A16">
        <w:rPr>
          <w:rFonts w:hint="cs"/>
          <w:rtl/>
        </w:rPr>
        <w:t xml:space="preserve"> ש"ח - כ-88% מסך הנכסים המוצגים בדוחות. </w:t>
      </w:r>
    </w:p>
    <w:p w14:paraId="7C75352C" w14:textId="77777777" w:rsidR="00867DA1" w:rsidRPr="00CF2039" w:rsidRDefault="00867DA1" w:rsidP="00B42505">
      <w:pPr>
        <w:pStyle w:val="af5"/>
        <w:rPr>
          <w:rtl/>
        </w:rPr>
      </w:pPr>
      <w:r w:rsidRPr="00CF2039">
        <w:rPr>
          <w:rFonts w:hint="eastAsia"/>
          <w:rtl/>
        </w:rPr>
        <w:t>משרד</w:t>
      </w:r>
      <w:r w:rsidRPr="00CF2039">
        <w:rPr>
          <w:rtl/>
        </w:rPr>
        <w:t xml:space="preserve"> </w:t>
      </w:r>
      <w:r w:rsidRPr="00CF2039">
        <w:rPr>
          <w:rFonts w:hint="eastAsia"/>
          <w:rtl/>
        </w:rPr>
        <w:t>מבקר</w:t>
      </w:r>
      <w:r w:rsidRPr="00CF2039">
        <w:rPr>
          <w:rtl/>
        </w:rPr>
        <w:t xml:space="preserve"> </w:t>
      </w:r>
      <w:r w:rsidRPr="00CF2039">
        <w:rPr>
          <w:rFonts w:hint="eastAsia"/>
          <w:rtl/>
        </w:rPr>
        <w:t>המדינה</w:t>
      </w:r>
      <w:r w:rsidRPr="00CF2039">
        <w:rPr>
          <w:rtl/>
        </w:rPr>
        <w:t xml:space="preserve"> </w:t>
      </w:r>
      <w:r w:rsidRPr="00CF2039">
        <w:rPr>
          <w:rFonts w:hint="eastAsia"/>
          <w:rtl/>
        </w:rPr>
        <w:t>ממליץ</w:t>
      </w:r>
      <w:r w:rsidRPr="00CF2039">
        <w:rPr>
          <w:rtl/>
        </w:rPr>
        <w:t xml:space="preserve"> </w:t>
      </w:r>
      <w:r w:rsidRPr="00CF2039">
        <w:rPr>
          <w:rFonts w:hint="eastAsia"/>
          <w:rtl/>
        </w:rPr>
        <w:t>לחשב</w:t>
      </w:r>
      <w:r w:rsidRPr="00CF2039">
        <w:rPr>
          <w:rtl/>
        </w:rPr>
        <w:t xml:space="preserve"> </w:t>
      </w:r>
      <w:r w:rsidRPr="00CF2039">
        <w:rPr>
          <w:rFonts w:hint="eastAsia"/>
          <w:rtl/>
        </w:rPr>
        <w:t>הכללי</w:t>
      </w:r>
      <w:r w:rsidRPr="00CF2039">
        <w:rPr>
          <w:rtl/>
        </w:rPr>
        <w:t xml:space="preserve"> </w:t>
      </w:r>
      <w:r>
        <w:rPr>
          <w:rFonts w:hint="cs"/>
          <w:rtl/>
        </w:rPr>
        <w:t xml:space="preserve">כי לאור שוויון המהותי של הקרקעות בדוחות הכספיים יש </w:t>
      </w:r>
      <w:r w:rsidRPr="00CF2039">
        <w:rPr>
          <w:rtl/>
        </w:rPr>
        <w:t xml:space="preserve">לשקול להציג את הקרקעות </w:t>
      </w:r>
      <w:r w:rsidRPr="00CF2039">
        <w:rPr>
          <w:rFonts w:hint="eastAsia"/>
          <w:rtl/>
        </w:rPr>
        <w:t>בדוחות</w:t>
      </w:r>
      <w:r w:rsidRPr="00CF2039">
        <w:rPr>
          <w:rtl/>
        </w:rPr>
        <w:t xml:space="preserve"> הכספיים</w:t>
      </w:r>
      <w:r>
        <w:rPr>
          <w:rFonts w:hint="cs"/>
          <w:rtl/>
        </w:rPr>
        <w:t>.</w:t>
      </w:r>
    </w:p>
    <w:p w14:paraId="25B5EF14" w14:textId="77777777" w:rsidR="00867DA1" w:rsidRPr="00D54E45" w:rsidRDefault="00867DA1" w:rsidP="00B42505">
      <w:pPr>
        <w:pStyle w:val="100"/>
        <w:rPr>
          <w:rtl/>
        </w:rPr>
      </w:pPr>
      <w:r>
        <w:rPr>
          <w:rFonts w:hint="cs"/>
          <w:rtl/>
        </w:rPr>
        <w:t>החשבונאי הראשי ציין בתשובתו כי החשב הכללי יבחן את נושא הקרקעות.</w:t>
      </w:r>
    </w:p>
    <w:p w14:paraId="06BF0BB8" w14:textId="77777777" w:rsidR="00867DA1" w:rsidRDefault="00867DA1" w:rsidP="00BD33A1">
      <w:pPr>
        <w:pStyle w:val="5115"/>
        <w:rPr>
          <w:rtl/>
        </w:rPr>
      </w:pPr>
      <w:r>
        <w:rPr>
          <w:rFonts w:hint="cs"/>
          <w:rtl/>
        </w:rPr>
        <w:t>קרקעות</w:t>
      </w:r>
    </w:p>
    <w:p w14:paraId="0003838B" w14:textId="77777777" w:rsidR="00867DA1" w:rsidRDefault="00867DA1" w:rsidP="00BD33A1">
      <w:pPr>
        <w:pStyle w:val="100"/>
        <w:rPr>
          <w:rtl/>
        </w:rPr>
      </w:pPr>
      <w:r>
        <w:rPr>
          <w:rFonts w:hint="cs"/>
          <w:rtl/>
        </w:rPr>
        <w:t>בביאור 12 (ב) לדוחות הכספיים מופיע פירוט של אומדן שווי הקרקעות שבידי המדינה לצורך גילוי בלבד. עוד צוין בביאור כי כדי להגביר את איכותם של הדוחות הכספיים ואת אמינותם וכדי להקנות שקיפות לנכסים, בוצעה בשנים האחרונות עבודה מקיפה לפילוח שווי הקרקעות ולאומדן שלו.</w:t>
      </w:r>
    </w:p>
    <w:p w14:paraId="45734432" w14:textId="77777777" w:rsidR="00867DA1" w:rsidRDefault="00867DA1" w:rsidP="00BD33A1">
      <w:pPr>
        <w:pStyle w:val="6105"/>
        <w:rPr>
          <w:rtl/>
        </w:rPr>
      </w:pPr>
      <w:r>
        <w:rPr>
          <w:rFonts w:hint="cs"/>
          <w:rtl/>
        </w:rPr>
        <w:t>עיקרי המתודולוגיה לחישוב השווי ההוגן של הקרקעות</w:t>
      </w:r>
    </w:p>
    <w:p w14:paraId="513FBAA4" w14:textId="77777777" w:rsidR="00867DA1" w:rsidRDefault="00867DA1" w:rsidP="00BD33A1">
      <w:pPr>
        <w:pStyle w:val="100"/>
        <w:rPr>
          <w:rtl/>
        </w:rPr>
      </w:pPr>
      <w:r>
        <w:rPr>
          <w:rFonts w:hint="cs"/>
          <w:rtl/>
        </w:rPr>
        <w:t xml:space="preserve">מהביאור עולה כי השווי ההוגן של הקרקעות נאמד בהתאם למתודולוגיה שגיבשו יחד אגף החשכ"ל, אגף שומת מקרקעין של משרד המשפטים ורמ"י על בסיס מידע שהתקבל ממערכות מידע הקיימות בהם. הקרקעות שבידי המדינה פולחו לשתי קבוצות, על פי הזכות הקניינית: (א) </w:t>
      </w:r>
      <w:r>
        <w:rPr>
          <w:rFonts w:hint="cs"/>
          <w:rtl/>
        </w:rPr>
        <w:lastRenderedPageBreak/>
        <w:t>קרקעות אשר עיקר הזכויות בהן הועבר</w:t>
      </w:r>
      <w:r>
        <w:rPr>
          <w:rStyle w:val="FootnoteReference"/>
          <w:rtl/>
        </w:rPr>
        <w:footnoteReference w:id="32"/>
      </w:r>
      <w:r>
        <w:rPr>
          <w:rFonts w:hint="cs"/>
          <w:rtl/>
        </w:rPr>
        <w:t xml:space="preserve"> לגורמים אחרים (להלן - קרקעות תפוסות) - כ-9% מכלל הקרקעות שבידי המדינה; (ב) קרקעות אשר עיקר הזכויות בהן טרם הועבר לגורם אחר, והוא בידי מדינת ישראל (להלן - קרקעות פנויות)</w:t>
      </w:r>
      <w:r w:rsidRPr="008422DE">
        <w:rPr>
          <w:rFonts w:hint="cs"/>
          <w:rtl/>
        </w:rPr>
        <w:t xml:space="preserve"> </w:t>
      </w:r>
      <w:r>
        <w:rPr>
          <w:rFonts w:hint="cs"/>
          <w:rtl/>
        </w:rPr>
        <w:t>- כ-91% מכלל הקרקעות שבידי המדינה. לצורך אומדן השווי וכדי לשקף את רמות המחירים השונות, פולחו הקרקעות לפי מחוזות, תתי-מחוזות וייעוד השימוש.</w:t>
      </w:r>
    </w:p>
    <w:p w14:paraId="472EB082" w14:textId="77777777" w:rsidR="00867DA1" w:rsidRDefault="00867DA1" w:rsidP="00BD33A1">
      <w:pPr>
        <w:pStyle w:val="100"/>
        <w:rPr>
          <w:rtl/>
        </w:rPr>
      </w:pPr>
      <w:r>
        <w:rPr>
          <w:rFonts w:hint="cs"/>
          <w:rtl/>
        </w:rPr>
        <w:t>אומדן השווי של זכויות המדינה בקרקעות התפוסות הוערך באמצעות היוון ההכנסות הצפויות מניהולן השוטף - גביית דמי חכירה שנתיים, דמי היתר בעת שינויי ייעוד וניצול ותמורה מהקניית בעלות לחוכרים. תקופת הנבת תזרים המזומנים נקבעה בהתאם לשימושי הקרקעות ולייעודן, ושיעורי ההיוון של תזרים המזומנים הם 0.45% עד 3.05% לשנה.</w:t>
      </w:r>
    </w:p>
    <w:p w14:paraId="6D15D994" w14:textId="77777777" w:rsidR="00867DA1" w:rsidRDefault="00867DA1" w:rsidP="00BD33A1">
      <w:pPr>
        <w:pStyle w:val="100"/>
        <w:rPr>
          <w:rtl/>
        </w:rPr>
      </w:pPr>
      <w:r>
        <w:rPr>
          <w:rFonts w:hint="cs"/>
          <w:rtl/>
        </w:rPr>
        <w:t>אומדן השווי של זכויות המדינה בקרקעות הפנויות הוערך לפי מחיר ממוצע בעסקאות דומות בתחום המיקום הגיאוגרפי הרלוונטי ולפי תוצאות מכרזים לשיווק קרקע, שומות שנערכו והניסיון שנצבר.</w:t>
      </w:r>
    </w:p>
    <w:p w14:paraId="5D76DC40" w14:textId="77777777" w:rsidR="00867DA1" w:rsidRPr="00591693" w:rsidRDefault="00867DA1" w:rsidP="00BD33A1">
      <w:pPr>
        <w:pStyle w:val="100"/>
        <w:rPr>
          <w:rtl/>
        </w:rPr>
      </w:pPr>
      <w:r>
        <w:rPr>
          <w:rFonts w:hint="cs"/>
          <w:rtl/>
        </w:rPr>
        <w:t>החשב הכללי הדגיש בביאור: "</w:t>
      </w:r>
      <w:r w:rsidRPr="00591693">
        <w:rPr>
          <w:rFonts w:hint="cs"/>
          <w:rtl/>
        </w:rPr>
        <w:t>אומדן שווי הקרקעות בידי המדינה נועד אך ורק לצורך מתן גילוי בדוחות הכספיים של המדינה ואינו בגדר שומת מקרקעין. הקרקעות אינן נאמדות באופן פרטני והאומדן מבוסס על קבוצות פילוח, ממוצע שווי של מספר שטחים באזור גיאוגרפי מסוים, אומדנים רבים אחרים ובכפוף למגבלות המידע הקיים במערכות המידע של מדינת ישראל</w:t>
      </w:r>
      <w:r>
        <w:rPr>
          <w:rFonts w:hint="cs"/>
          <w:rtl/>
        </w:rPr>
        <w:t>".</w:t>
      </w:r>
    </w:p>
    <w:p w14:paraId="1148642A" w14:textId="77777777" w:rsidR="00867DA1" w:rsidRPr="003D298A" w:rsidRDefault="00867DA1" w:rsidP="00BD33A1">
      <w:pPr>
        <w:pStyle w:val="100"/>
        <w:rPr>
          <w:rtl/>
        </w:rPr>
      </w:pPr>
      <w:r>
        <w:rPr>
          <w:rFonts w:hint="cs"/>
          <w:rtl/>
        </w:rPr>
        <w:t>בתשובה לשאלת מבקר המדינה כתב החשבונאי הראשי: "האומדן מבוסס על מידע ממערכת שפותחה ברשות מקרקעי ישראל. מערכת זו עוברת תהליכי שדרוג אשר יאפשר ביצוע שליפות טובות יותר ויעזור לשפר את אומדן שווי קרקעות המדינה. במטרה ליישם שיפור באומדנים עוד בטרם השדרוג המדובר אנו בוחנים מול רשות מקרקעי ישראל דרכים לחידוד האומדנים במסגרת המודל הנוכחי. בשלב זה אין אינדיקצי</w:t>
      </w:r>
      <w:r>
        <w:rPr>
          <w:rFonts w:hint="eastAsia"/>
          <w:rtl/>
        </w:rPr>
        <w:t>ה</w:t>
      </w:r>
      <w:r>
        <w:rPr>
          <w:rFonts w:hint="cs"/>
          <w:rtl/>
        </w:rPr>
        <w:t xml:space="preserve"> כיצד חידוד הנתונים באמצעות המודל הנוכחי או השימוש במערכת המשודרגת ישפיעו על אומדן ערך קרקעות המדינה לצורכי ההצגה בדוחות הכספיים". </w:t>
      </w:r>
    </w:p>
    <w:p w14:paraId="62AD051F" w14:textId="1574E375" w:rsidR="00867DA1" w:rsidRDefault="00BD33A1" w:rsidP="00BD33A1">
      <w:pPr>
        <w:pStyle w:val="5115"/>
        <w:rPr>
          <w:rtl/>
        </w:rPr>
      </w:pPr>
      <w:r>
        <w:rPr>
          <w:rFonts w:hint="cs"/>
          <w:rtl/>
        </w:rPr>
        <w:t>ס</w:t>
      </w:r>
      <w:r w:rsidR="00867DA1">
        <w:rPr>
          <w:rFonts w:hint="cs"/>
          <w:rtl/>
        </w:rPr>
        <w:t>עיפי רכוש קבוע אחרים</w:t>
      </w:r>
    </w:p>
    <w:p w14:paraId="7E679DBB" w14:textId="77777777" w:rsidR="00867DA1" w:rsidRDefault="00867DA1" w:rsidP="00BD33A1">
      <w:pPr>
        <w:pStyle w:val="100"/>
        <w:rPr>
          <w:rtl/>
        </w:rPr>
      </w:pPr>
      <w:r>
        <w:rPr>
          <w:rFonts w:hint="cs"/>
          <w:rtl/>
        </w:rPr>
        <w:t>להלן פירוט על הנתונים החסרים בסעיפים שונים שעניינם רכוש קבוע: (א) אומדן שווי הכבישים המופיע בסעיף נכסי תשתית אזרחיים הוא נתון מקורב, והוא נועד אך ורק לרישום בדוחות הכספיים; (ב) מיפוי הנכסים במערכת הביטחון, מיפוי המופיע בסעיף נכסי צבא וציוד בטחוני</w:t>
      </w:r>
      <w:r>
        <w:rPr>
          <w:rStyle w:val="FootnoteReference"/>
          <w:rtl/>
        </w:rPr>
        <w:footnoteReference w:id="33"/>
      </w:r>
      <w:r>
        <w:rPr>
          <w:rFonts w:hint="cs"/>
          <w:rtl/>
        </w:rPr>
        <w:t xml:space="preserve">, חלקי בלבד, ובמקרים רבים מבוסס על הערכות ואומדנים שונים. כמו כן, אי אפשר לקבוע מה רמת המהימנות של הנתונים ואם הם מתאימים למדיניות החשבונאית של מדינת ישראל; (ג) </w:t>
      </w:r>
      <w:r>
        <w:rPr>
          <w:rFonts w:hint="cs"/>
          <w:rtl/>
        </w:rPr>
        <w:lastRenderedPageBreak/>
        <w:t>מודל שווי הוגן</w:t>
      </w:r>
      <w:r>
        <w:rPr>
          <w:rStyle w:val="FootnoteReference"/>
          <w:rtl/>
        </w:rPr>
        <w:footnoteReference w:id="34"/>
      </w:r>
      <w:r>
        <w:rPr>
          <w:rFonts w:hint="cs"/>
          <w:rtl/>
        </w:rPr>
        <w:t xml:space="preserve"> להערכת שווי הנכסים המופיעים בסעיף מבנים ונכסים בהקמה</w:t>
      </w:r>
      <w:r>
        <w:rPr>
          <w:rStyle w:val="FootnoteReference"/>
          <w:rtl/>
        </w:rPr>
        <w:footnoteReference w:id="35"/>
      </w:r>
      <w:r>
        <w:rPr>
          <w:rFonts w:hint="cs"/>
          <w:rtl/>
        </w:rPr>
        <w:t xml:space="preserve"> ושאין בנוגע להם נתונים על עלות היסטורית, כולל את נכסי הדיור הממשלתי אך אינו כולל את הנכסים האלה: מגוון נכסי נדל"ן ייעודיים שמגוון משרדי ממשלה מנהלים, בהם כמה מבתי הסוהר, תחנות לניטור זיהום אוויר, נכסים שמשרד הביטחון מנהל ונכסים הנמצאים בחוץ-לארץ</w:t>
      </w:r>
      <w:r>
        <w:rPr>
          <w:rStyle w:val="FootnoteReference"/>
          <w:rtl/>
        </w:rPr>
        <w:footnoteReference w:id="36"/>
      </w:r>
      <w:r>
        <w:rPr>
          <w:rFonts w:hint="cs"/>
          <w:rtl/>
        </w:rPr>
        <w:t xml:space="preserve">; (ד) בסעיף כלי רכב אין מידע חשבונאי על חלק מרכבי מערכות הביטחון ומרכבי משרד החוץ בחוץ-לארץ. </w:t>
      </w:r>
    </w:p>
    <w:p w14:paraId="6EE75D11" w14:textId="77777777" w:rsidR="00867DA1" w:rsidRDefault="00867DA1" w:rsidP="00BD33A1">
      <w:pPr>
        <w:pStyle w:val="af5"/>
        <w:rPr>
          <w:rtl/>
        </w:rPr>
      </w:pPr>
      <w:r w:rsidRPr="00BE5EA7">
        <w:rPr>
          <w:rFonts w:hint="cs"/>
          <w:rtl/>
        </w:rPr>
        <w:t xml:space="preserve">על החשב הכללי להשלים את מיפוי </w:t>
      </w:r>
      <w:r>
        <w:rPr>
          <w:rFonts w:hint="cs"/>
          <w:rtl/>
        </w:rPr>
        <w:t>ותיקוף המודלים והאומדנים של כל הרכוש הקבוע ו</w:t>
      </w:r>
      <w:r w:rsidRPr="00BE5EA7">
        <w:rPr>
          <w:rFonts w:hint="cs"/>
          <w:rtl/>
        </w:rPr>
        <w:t xml:space="preserve">הנכסים שבידי המדינה לצורך רישומם החשבונאי והצגתם באופן נאות בדוחות הכספיים של </w:t>
      </w:r>
      <w:r>
        <w:rPr>
          <w:rFonts w:hint="cs"/>
          <w:rtl/>
        </w:rPr>
        <w:t>המדינה</w:t>
      </w:r>
      <w:r w:rsidRPr="00BE5EA7">
        <w:rPr>
          <w:rFonts w:hint="cs"/>
          <w:rtl/>
        </w:rPr>
        <w:t xml:space="preserve">. </w:t>
      </w:r>
      <w:r>
        <w:rPr>
          <w:rFonts w:hint="cs"/>
          <w:rtl/>
        </w:rPr>
        <w:t xml:space="preserve">בפרט, </w:t>
      </w:r>
      <w:r w:rsidRPr="00BE5EA7">
        <w:rPr>
          <w:rFonts w:hint="cs"/>
          <w:rtl/>
        </w:rPr>
        <w:t xml:space="preserve">עליו לבסס </w:t>
      </w:r>
      <w:r>
        <w:rPr>
          <w:rFonts w:hint="cs"/>
          <w:rtl/>
        </w:rPr>
        <w:t xml:space="preserve">ולתקף </w:t>
      </w:r>
      <w:r w:rsidRPr="00BE5EA7">
        <w:rPr>
          <w:rFonts w:hint="cs"/>
          <w:rtl/>
        </w:rPr>
        <w:t>את המתודולוגיה לרישום אומדן שוו</w:t>
      </w:r>
      <w:r>
        <w:rPr>
          <w:rFonts w:hint="cs"/>
          <w:rtl/>
        </w:rPr>
        <w:t>י הקרקעות שבידי המדינה, קרקעות ששווין מאות מיליארד ש"ח, כדי לאפשר לבחון אותם כחלק ממצבת הנכסים של המדינה, וכך להגביר את איכותם של הדוחות הכספיים ואת אמינותם.</w:t>
      </w:r>
      <w:r w:rsidRPr="00BE5EA7">
        <w:rPr>
          <w:rFonts w:hint="cs"/>
          <w:rtl/>
        </w:rPr>
        <w:t xml:space="preserve"> </w:t>
      </w:r>
    </w:p>
    <w:p w14:paraId="01A14108" w14:textId="77777777" w:rsidR="00867DA1" w:rsidRPr="00E7629E" w:rsidRDefault="00867DA1" w:rsidP="00BD33A1">
      <w:pPr>
        <w:pStyle w:val="414"/>
      </w:pPr>
      <w:r>
        <w:rPr>
          <w:rFonts w:hint="cs"/>
          <w:rtl/>
        </w:rPr>
        <w:t>חייבים ויתרות חובה</w:t>
      </w:r>
    </w:p>
    <w:p w14:paraId="51D9C44D" w14:textId="77777777" w:rsidR="00867DA1" w:rsidRDefault="00867DA1" w:rsidP="00BD33A1">
      <w:pPr>
        <w:pStyle w:val="100"/>
        <w:rPr>
          <w:rtl/>
        </w:rPr>
      </w:pPr>
      <w:r>
        <w:rPr>
          <w:rFonts w:hint="cs"/>
          <w:rtl/>
        </w:rPr>
        <w:t>יתרת סעיף "חייבים ויתרות חובה", בניכוי הפרשה לחובות מסופקים</w:t>
      </w:r>
      <w:r>
        <w:rPr>
          <w:rStyle w:val="FootnoteReference"/>
          <w:rtl/>
        </w:rPr>
        <w:footnoteReference w:id="37"/>
      </w:r>
      <w:r>
        <w:rPr>
          <w:rFonts w:hint="cs"/>
          <w:rtl/>
        </w:rPr>
        <w:t>, היא כ-61.3 מיליארד ש"ח. לממשלה יש חובות נוספים, בעיקר ברשות המיסים לישראל, שאינם באים לידי ביטוי בדוחות הכספיים. אותם חובות אינם עומדים בכללי ההכרה כנכס בדוחות הכספיים מאחר שכרגע אי אפשר לאמת אותם או מפני שהם מתייחסים לחובות בתיקים שאינם פעילים. כמו כן, הדוחות הכספיים של המדינה אינם מספקים מידע על היקף החובות שנמחקו, אף שלמידע זה נודעת חשיבות רבה לציבור.</w:t>
      </w:r>
    </w:p>
    <w:p w14:paraId="590275C4" w14:textId="77777777" w:rsidR="00867DA1" w:rsidRDefault="00867DA1" w:rsidP="00BD33A1">
      <w:pPr>
        <w:pStyle w:val="af5"/>
        <w:rPr>
          <w:rtl/>
        </w:rPr>
      </w:pPr>
      <w:r w:rsidRPr="000175A6">
        <w:rPr>
          <w:rFonts w:hint="cs"/>
          <w:rtl/>
        </w:rPr>
        <w:t>על החשב הכללי ורשות המ</w:t>
      </w:r>
      <w:r>
        <w:rPr>
          <w:rFonts w:hint="cs"/>
          <w:rtl/>
        </w:rPr>
        <w:t>י</w:t>
      </w:r>
      <w:r w:rsidRPr="000175A6">
        <w:rPr>
          <w:rFonts w:hint="cs"/>
          <w:rtl/>
        </w:rPr>
        <w:t xml:space="preserve">סים לפעול לשיפור מערכות המידע הקשורות לרישום החייבים והגבייה </w:t>
      </w:r>
      <w:r>
        <w:rPr>
          <w:rFonts w:hint="cs"/>
          <w:rtl/>
        </w:rPr>
        <w:t>ברשות המיסים,</w:t>
      </w:r>
      <w:r w:rsidRPr="000175A6">
        <w:rPr>
          <w:rFonts w:hint="cs"/>
          <w:rtl/>
        </w:rPr>
        <w:t xml:space="preserve"> כפי שצוין כבר בדוח קודם של מבקר</w:t>
      </w:r>
      <w:r>
        <w:rPr>
          <w:rFonts w:hint="cs"/>
          <w:rtl/>
        </w:rPr>
        <w:t xml:space="preserve"> המדינה</w:t>
      </w:r>
      <w:r>
        <w:rPr>
          <w:rStyle w:val="FootnoteReference"/>
          <w:b/>
          <w:bCs/>
          <w:rtl/>
        </w:rPr>
        <w:footnoteReference w:id="38"/>
      </w:r>
      <w:r w:rsidRPr="000175A6">
        <w:rPr>
          <w:rFonts w:hint="cs"/>
          <w:rtl/>
        </w:rPr>
        <w:t>.</w:t>
      </w:r>
    </w:p>
    <w:p w14:paraId="4E6CD0AC" w14:textId="77777777" w:rsidR="00867DA1" w:rsidRDefault="00867DA1" w:rsidP="00BD33A1">
      <w:pPr>
        <w:pStyle w:val="414"/>
        <w:rPr>
          <w:rtl/>
        </w:rPr>
      </w:pPr>
      <w:r>
        <w:rPr>
          <w:rFonts w:hint="cs"/>
          <w:rtl/>
        </w:rPr>
        <w:t>מלאי</w:t>
      </w:r>
    </w:p>
    <w:p w14:paraId="4AD2A97E" w14:textId="77777777" w:rsidR="00867DA1" w:rsidRDefault="00867DA1" w:rsidP="00BD33A1">
      <w:pPr>
        <w:pStyle w:val="100"/>
        <w:rPr>
          <w:rtl/>
        </w:rPr>
      </w:pPr>
      <w:r>
        <w:rPr>
          <w:rFonts w:hint="cs"/>
          <w:rtl/>
        </w:rPr>
        <w:t xml:space="preserve">יתרת סעיף "מלאי שוטף" היא כ-6.9 מיליארד ש"ח, ויתרת סעיף "מלאי בלתי שוטף" היא כ-3.5 מיליארד ש"ח. כמו כן, בביאור 7 לדוחות הכספיים צוין כי </w:t>
      </w:r>
      <w:r w:rsidRPr="00131DCB">
        <w:rPr>
          <w:rFonts w:hint="cs"/>
          <w:rtl/>
        </w:rPr>
        <w:t xml:space="preserve">ייתכן שמידע בדבר עלות המלאי הנמצא במשרדי הממשלה לאחר ניפוקו מהמחסנים (מלאי במצבורים) אינו כלול בדוחות </w:t>
      </w:r>
      <w:r w:rsidRPr="00131DCB">
        <w:rPr>
          <w:rFonts w:hint="cs"/>
          <w:rtl/>
        </w:rPr>
        <w:lastRenderedPageBreak/>
        <w:t xml:space="preserve">הכספיים אף ששוויו עשוי להיות מהותי. עוד צוין כי </w:t>
      </w:r>
      <w:r>
        <w:rPr>
          <w:rFonts w:hint="cs"/>
          <w:rtl/>
        </w:rPr>
        <w:t>משרד הביטחון ו</w:t>
      </w:r>
      <w:r w:rsidRPr="00131DCB">
        <w:rPr>
          <w:rFonts w:hint="cs"/>
          <w:rtl/>
        </w:rPr>
        <w:t>יחידות הסמך שלו</w:t>
      </w:r>
      <w:r>
        <w:rPr>
          <w:rFonts w:hint="cs"/>
          <w:rtl/>
        </w:rPr>
        <w:t xml:space="preserve"> העבירו מידע חלקי על המלאי שלהם</w:t>
      </w:r>
      <w:r w:rsidRPr="00131DCB">
        <w:rPr>
          <w:rFonts w:hint="cs"/>
          <w:rtl/>
        </w:rPr>
        <w:t xml:space="preserve">, </w:t>
      </w:r>
      <w:r>
        <w:rPr>
          <w:rFonts w:hint="cs"/>
          <w:rtl/>
        </w:rPr>
        <w:t>שהערכת העלות שלו אינה אחידה</w:t>
      </w:r>
      <w:r w:rsidRPr="00131DCB">
        <w:rPr>
          <w:rFonts w:hint="cs"/>
          <w:rtl/>
        </w:rPr>
        <w:t xml:space="preserve">, </w:t>
      </w:r>
      <w:r>
        <w:rPr>
          <w:rFonts w:hint="cs"/>
          <w:rtl/>
        </w:rPr>
        <w:t xml:space="preserve">והיא מבוססת, </w:t>
      </w:r>
      <w:r w:rsidRPr="00131DCB">
        <w:rPr>
          <w:rFonts w:hint="cs"/>
          <w:rtl/>
        </w:rPr>
        <w:t xml:space="preserve">בין היתר, על אומדני עלות </w:t>
      </w:r>
      <w:r>
        <w:rPr>
          <w:rFonts w:hint="cs"/>
          <w:rtl/>
        </w:rPr>
        <w:t xml:space="preserve">ועל </w:t>
      </w:r>
      <w:r w:rsidRPr="00131DCB">
        <w:rPr>
          <w:rFonts w:hint="cs"/>
          <w:rtl/>
        </w:rPr>
        <w:t>הערכת מחירי המכירה או הערכות אחרות שאינ</w:t>
      </w:r>
      <w:r>
        <w:rPr>
          <w:rFonts w:hint="cs"/>
          <w:rtl/>
        </w:rPr>
        <w:t>ן</w:t>
      </w:r>
      <w:r w:rsidRPr="00131DCB">
        <w:rPr>
          <w:rFonts w:hint="cs"/>
          <w:rtl/>
        </w:rPr>
        <w:t xml:space="preserve"> בהכרח עקבי</w:t>
      </w:r>
      <w:r>
        <w:rPr>
          <w:rFonts w:hint="cs"/>
          <w:rtl/>
        </w:rPr>
        <w:t>ות</w:t>
      </w:r>
      <w:r w:rsidRPr="00131DCB">
        <w:rPr>
          <w:rFonts w:hint="cs"/>
          <w:rtl/>
        </w:rPr>
        <w:t xml:space="preserve"> למדיניות החשבונאית של </w:t>
      </w:r>
      <w:r>
        <w:rPr>
          <w:rFonts w:hint="cs"/>
          <w:rtl/>
        </w:rPr>
        <w:t>מדינת</w:t>
      </w:r>
      <w:r w:rsidRPr="00131DCB">
        <w:rPr>
          <w:rFonts w:hint="cs"/>
          <w:rtl/>
        </w:rPr>
        <w:t xml:space="preserve"> ישראל</w:t>
      </w:r>
      <w:r w:rsidRPr="004254E2">
        <w:rPr>
          <w:rtl/>
        </w:rPr>
        <w:t>.</w:t>
      </w:r>
      <w:r>
        <w:rPr>
          <w:rFonts w:hint="cs"/>
          <w:rtl/>
        </w:rPr>
        <w:t xml:space="preserve"> </w:t>
      </w:r>
    </w:p>
    <w:p w14:paraId="0690B01E" w14:textId="77777777" w:rsidR="00867DA1" w:rsidRDefault="00867DA1" w:rsidP="00E11CC7">
      <w:pPr>
        <w:pStyle w:val="414"/>
        <w:rPr>
          <w:rtl/>
        </w:rPr>
      </w:pPr>
      <w:r>
        <w:rPr>
          <w:rFonts w:hint="cs"/>
          <w:rtl/>
        </w:rPr>
        <w:t>חייבים בגין תמלוגים</w:t>
      </w:r>
    </w:p>
    <w:p w14:paraId="49CBD1F7" w14:textId="77777777" w:rsidR="00867DA1" w:rsidRDefault="00867DA1" w:rsidP="00E11CC7">
      <w:pPr>
        <w:pStyle w:val="100"/>
        <w:rPr>
          <w:rtl/>
        </w:rPr>
      </w:pPr>
      <w:r>
        <w:rPr>
          <w:rFonts w:hint="cs"/>
          <w:rtl/>
        </w:rPr>
        <w:t>על פי תקן חשבונאות ממשלתי מספר 19 בנושא הפרשות, התחייבויות תלויות ונכסים תלויים (להלן - תקן 19), נכס תלוי הינו: "נכס אפשרי הנובע מאירועי העבר ואשר קיומו יאומת רק אם יתרחשו או לא יתרחשו אירוע או אירועים עתידיים בלתי ודאיים, אשר אינם בשליטת הישות". נכסים תלויים מחייבים גילוי בלבד בדוחות הכספיים. אם מימוש ההכנסה הינו וודאי למעשה, אין מדובר בנכס תלוי ולכן נאות להכיר בנכס ובהכנסות הנובעות ממנו.</w:t>
      </w:r>
    </w:p>
    <w:p w14:paraId="3DD20428" w14:textId="77777777" w:rsidR="00867DA1" w:rsidRPr="00FE7039" w:rsidRDefault="00867DA1" w:rsidP="00E11CC7">
      <w:pPr>
        <w:pStyle w:val="100"/>
        <w:rPr>
          <w:rtl/>
        </w:rPr>
      </w:pPr>
      <w:r w:rsidRPr="00FE7039">
        <w:rPr>
          <w:rFonts w:hint="cs"/>
          <w:rtl/>
        </w:rPr>
        <w:t xml:space="preserve">יתרת </w:t>
      </w:r>
      <w:r>
        <w:rPr>
          <w:rFonts w:hint="cs"/>
          <w:rtl/>
        </w:rPr>
        <w:t>ה</w:t>
      </w:r>
      <w:r w:rsidRPr="00FE7039">
        <w:rPr>
          <w:rFonts w:hint="cs"/>
          <w:rtl/>
        </w:rPr>
        <w:t xml:space="preserve">סעיף "חייבים בגין תמלוגים" </w:t>
      </w:r>
      <w:r>
        <w:rPr>
          <w:rFonts w:hint="cs"/>
          <w:rtl/>
        </w:rPr>
        <w:t>היא</w:t>
      </w:r>
      <w:r w:rsidRPr="00FE7039">
        <w:rPr>
          <w:rFonts w:hint="cs"/>
          <w:rtl/>
        </w:rPr>
        <w:t xml:space="preserve"> כ-10.2 </w:t>
      </w:r>
      <w:r>
        <w:rPr>
          <w:rFonts w:hint="cs"/>
          <w:rtl/>
        </w:rPr>
        <w:t>מיליארד</w:t>
      </w:r>
      <w:r w:rsidRPr="00FE7039">
        <w:rPr>
          <w:rFonts w:hint="cs"/>
          <w:rtl/>
        </w:rPr>
        <w:t xml:space="preserve"> ש"ח. כמו כן, בביאור 9(א) לדוחות כספיים צוין כי</w:t>
      </w:r>
      <w:r>
        <w:rPr>
          <w:rFonts w:hint="cs"/>
          <w:rtl/>
        </w:rPr>
        <w:t xml:space="preserve"> טרם</w:t>
      </w:r>
      <w:r w:rsidRPr="00FE7039">
        <w:rPr>
          <w:rFonts w:hint="cs"/>
          <w:rtl/>
        </w:rPr>
        <w:t xml:space="preserve"> </w:t>
      </w:r>
      <w:r>
        <w:rPr>
          <w:rFonts w:hint="cs"/>
          <w:rtl/>
        </w:rPr>
        <w:t xml:space="preserve">נבחנו כל </w:t>
      </w:r>
      <w:r w:rsidRPr="00FE7039">
        <w:rPr>
          <w:rFonts w:hint="cs"/>
          <w:rtl/>
        </w:rPr>
        <w:t>נכסי התמלוגים העשויים לקבל ביטוי בדוחות הכספיים המאוחדים של המדינה</w:t>
      </w:r>
      <w:r>
        <w:rPr>
          <w:rFonts w:hint="cs"/>
          <w:rtl/>
        </w:rPr>
        <w:t>,</w:t>
      </w:r>
      <w:r w:rsidRPr="00FE7039">
        <w:rPr>
          <w:rFonts w:hint="cs"/>
          <w:rtl/>
        </w:rPr>
        <w:t xml:space="preserve"> וייתכן ש</w:t>
      </w:r>
      <w:r>
        <w:rPr>
          <w:rFonts w:hint="cs"/>
          <w:rtl/>
        </w:rPr>
        <w:t>יש</w:t>
      </w:r>
      <w:r w:rsidRPr="00FE7039">
        <w:rPr>
          <w:rFonts w:hint="cs"/>
          <w:rtl/>
        </w:rPr>
        <w:t xml:space="preserve"> נכסים נוספים </w:t>
      </w:r>
      <w:r>
        <w:rPr>
          <w:rFonts w:hint="cs"/>
          <w:rtl/>
        </w:rPr>
        <w:t>ש</w:t>
      </w:r>
      <w:r w:rsidRPr="00FE7039">
        <w:rPr>
          <w:rFonts w:hint="cs"/>
          <w:rtl/>
        </w:rPr>
        <w:t>יש להציגם בדוחות הכספיים בהתאם לתקינה הממשלתית.</w:t>
      </w:r>
    </w:p>
    <w:p w14:paraId="513B5A68" w14:textId="77777777" w:rsidR="00867DA1" w:rsidRPr="004269AD" w:rsidRDefault="00867DA1" w:rsidP="00E11CC7">
      <w:pPr>
        <w:pStyle w:val="100"/>
        <w:rPr>
          <w:rtl/>
        </w:rPr>
      </w:pPr>
      <w:r>
        <w:rPr>
          <w:rFonts w:hint="cs"/>
          <w:rtl/>
        </w:rPr>
        <w:t xml:space="preserve">החשב הכללי ציין בדוחות הכספיים כי אומדן השווי של התמלוגים שהמדינה תהיה זכאית להם בעתיד ממשאבי טבע </w:t>
      </w:r>
      <w:r>
        <w:rPr>
          <w:rFonts w:ascii="David" w:hAnsi="David" w:hint="cs"/>
          <w:rtl/>
        </w:rPr>
        <w:t>-</w:t>
      </w:r>
      <w:r>
        <w:rPr>
          <w:rFonts w:hint="cs"/>
          <w:rtl/>
        </w:rPr>
        <w:t xml:space="preserve"> תמלוגים שהם נכס תלוי, ובהתאם לתקינה החשבונאית הממשלתית הם מופיעים בביאור כגילוי בלבד</w:t>
      </w:r>
      <w:r>
        <w:rPr>
          <w:rStyle w:val="FootnoteReference"/>
          <w:rtl/>
        </w:rPr>
        <w:footnoteReference w:id="39"/>
      </w:r>
      <w:r>
        <w:rPr>
          <w:rFonts w:hint="cs"/>
          <w:rtl/>
        </w:rPr>
        <w:t xml:space="preserve">, הוא כ-28 מיליארד ש"ח. אומדן זה, כתב, כולל הסכמי תמלוגים מהותיים בלבד, והנתונים בפועל עשויים להיות שונים ממנו באופן מהותי. </w:t>
      </w:r>
    </w:p>
    <w:p w14:paraId="6B522A31" w14:textId="77777777" w:rsidR="00867DA1" w:rsidRPr="00D80D76" w:rsidRDefault="00867DA1" w:rsidP="00E11CC7">
      <w:pPr>
        <w:pStyle w:val="414"/>
        <w:rPr>
          <w:rtl/>
        </w:rPr>
      </w:pPr>
      <w:r>
        <w:rPr>
          <w:rFonts w:hint="cs"/>
          <w:rtl/>
        </w:rPr>
        <w:t>נכסים בלתי מוחשיים</w:t>
      </w:r>
    </w:p>
    <w:p w14:paraId="35CA0F5B" w14:textId="77777777" w:rsidR="00867DA1" w:rsidRDefault="00867DA1" w:rsidP="00E11CC7">
      <w:pPr>
        <w:pStyle w:val="100"/>
        <w:rPr>
          <w:rtl/>
        </w:rPr>
      </w:pPr>
      <w:r>
        <w:rPr>
          <w:rFonts w:hint="cs"/>
          <w:rtl/>
        </w:rPr>
        <w:t>נכס בלתי מוחשי הוא נכס לא כספי הניתן לזיהוי אך חסר מהות פיזית</w:t>
      </w:r>
      <w:r>
        <w:rPr>
          <w:rStyle w:val="FootnoteReference"/>
          <w:rtl/>
        </w:rPr>
        <w:footnoteReference w:id="40"/>
      </w:r>
      <w:r>
        <w:rPr>
          <w:rFonts w:hint="cs"/>
          <w:rtl/>
        </w:rPr>
        <w:t xml:space="preserve">. </w:t>
      </w:r>
      <w:r w:rsidRPr="000B0044">
        <w:rPr>
          <w:rFonts w:hint="cs"/>
          <w:rtl/>
        </w:rPr>
        <w:t xml:space="preserve">נכס </w:t>
      </w:r>
      <w:r>
        <w:rPr>
          <w:rFonts w:hint="cs"/>
          <w:rtl/>
        </w:rPr>
        <w:t xml:space="preserve">נחשב </w:t>
      </w:r>
      <w:r w:rsidRPr="000B0044">
        <w:rPr>
          <w:rFonts w:hint="cs"/>
          <w:rtl/>
        </w:rPr>
        <w:t xml:space="preserve">ניתן לזיהוי אם </w:t>
      </w:r>
      <w:r>
        <w:rPr>
          <w:rFonts w:hint="cs"/>
          <w:rtl/>
        </w:rPr>
        <w:t xml:space="preserve">אפשר להפרידו </w:t>
      </w:r>
      <w:r w:rsidRPr="000B0044">
        <w:rPr>
          <w:rFonts w:hint="cs"/>
          <w:rtl/>
        </w:rPr>
        <w:t xml:space="preserve">או אם הוא נובע מזכויות חוזיות או </w:t>
      </w:r>
      <w:r>
        <w:rPr>
          <w:rFonts w:hint="cs"/>
          <w:rtl/>
        </w:rPr>
        <w:t>מ</w:t>
      </w:r>
      <w:r w:rsidRPr="000B0044">
        <w:rPr>
          <w:rFonts w:hint="cs"/>
          <w:rtl/>
        </w:rPr>
        <w:t xml:space="preserve">זכויות משפטיות אחרות. </w:t>
      </w:r>
      <w:r>
        <w:rPr>
          <w:rFonts w:hint="cs"/>
          <w:rtl/>
        </w:rPr>
        <w:t xml:space="preserve">עם </w:t>
      </w:r>
      <w:r w:rsidRPr="000B0044">
        <w:rPr>
          <w:rFonts w:hint="cs"/>
          <w:rtl/>
        </w:rPr>
        <w:t xml:space="preserve">הנכסים הבלתי מוחשיים המוצגים במאזן </w:t>
      </w:r>
      <w:r>
        <w:rPr>
          <w:rFonts w:hint="cs"/>
          <w:rtl/>
        </w:rPr>
        <w:t>נמנ</w:t>
      </w:r>
      <w:r w:rsidRPr="000B0044">
        <w:rPr>
          <w:rFonts w:hint="cs"/>
          <w:rtl/>
        </w:rPr>
        <w:t>ים תוכנה ו</w:t>
      </w:r>
      <w:r>
        <w:rPr>
          <w:rFonts w:hint="cs"/>
          <w:rtl/>
        </w:rPr>
        <w:t>מיזמ</w:t>
      </w:r>
      <w:r w:rsidRPr="000B0044">
        <w:rPr>
          <w:rFonts w:hint="cs"/>
          <w:rtl/>
        </w:rPr>
        <w:t>י מחשוב, נכסים בפיתוח, ידע, פטנטים ונכסים אחרים.</w:t>
      </w:r>
    </w:p>
    <w:p w14:paraId="7C8D351C" w14:textId="77777777" w:rsidR="00867DA1" w:rsidRDefault="00867DA1" w:rsidP="00E11CC7">
      <w:pPr>
        <w:pStyle w:val="100"/>
        <w:rPr>
          <w:rtl/>
        </w:rPr>
      </w:pPr>
      <w:r>
        <w:rPr>
          <w:rFonts w:hint="cs"/>
          <w:rtl/>
        </w:rPr>
        <w:t xml:space="preserve">יתרת הסעיף "נכסים בלתי מוחשיים" היא כ-5.3 מיליארדי ש"ח. </w:t>
      </w:r>
      <w:r w:rsidRPr="00591693">
        <w:rPr>
          <w:rFonts w:hint="cs"/>
          <w:rtl/>
        </w:rPr>
        <w:t xml:space="preserve">בביאור 13 לדוחות הכספיים צוין כי </w:t>
      </w:r>
      <w:r>
        <w:rPr>
          <w:rFonts w:hint="cs"/>
          <w:rtl/>
        </w:rPr>
        <w:t xml:space="preserve">לא כל </w:t>
      </w:r>
      <w:r w:rsidRPr="00591693">
        <w:rPr>
          <w:rFonts w:hint="cs"/>
          <w:rtl/>
        </w:rPr>
        <w:t xml:space="preserve">הנכסים הבלתי מוחשיים </w:t>
      </w:r>
      <w:r>
        <w:rPr>
          <w:rFonts w:hint="cs"/>
          <w:rtl/>
        </w:rPr>
        <w:t>ממופים. במיפוי לא</w:t>
      </w:r>
      <w:r w:rsidRPr="00591693">
        <w:rPr>
          <w:rFonts w:hint="cs"/>
          <w:rtl/>
        </w:rPr>
        <w:t xml:space="preserve"> </w:t>
      </w:r>
      <w:r>
        <w:rPr>
          <w:rFonts w:hint="cs"/>
          <w:rtl/>
        </w:rPr>
        <w:t>נ</w:t>
      </w:r>
      <w:r w:rsidRPr="00591693">
        <w:rPr>
          <w:rFonts w:hint="cs"/>
          <w:rtl/>
        </w:rPr>
        <w:t>כלל</w:t>
      </w:r>
      <w:r>
        <w:rPr>
          <w:rFonts w:hint="cs"/>
          <w:rtl/>
        </w:rPr>
        <w:t>ים</w:t>
      </w:r>
      <w:r w:rsidRPr="00591693">
        <w:rPr>
          <w:rFonts w:hint="cs"/>
          <w:rtl/>
        </w:rPr>
        <w:t xml:space="preserve"> נכסים ששווים עשוי להיות מהותי</w:t>
      </w:r>
      <w:r>
        <w:rPr>
          <w:rFonts w:hint="cs"/>
          <w:rtl/>
        </w:rPr>
        <w:t>,</w:t>
      </w:r>
      <w:r w:rsidRPr="00591693">
        <w:rPr>
          <w:rFonts w:hint="cs"/>
          <w:rtl/>
        </w:rPr>
        <w:t xml:space="preserve"> ו</w:t>
      </w:r>
      <w:r>
        <w:rPr>
          <w:rFonts w:hint="cs"/>
          <w:rtl/>
        </w:rPr>
        <w:t>בכמה</w:t>
      </w:r>
      <w:r w:rsidRPr="00591693">
        <w:rPr>
          <w:rFonts w:hint="cs"/>
          <w:rtl/>
        </w:rPr>
        <w:t xml:space="preserve"> ממשרדי הממשלה </w:t>
      </w:r>
      <w:r>
        <w:rPr>
          <w:rFonts w:hint="cs"/>
          <w:rtl/>
        </w:rPr>
        <w:t>יש</w:t>
      </w:r>
      <w:r w:rsidRPr="00591693">
        <w:rPr>
          <w:rFonts w:hint="cs"/>
          <w:rtl/>
        </w:rPr>
        <w:t xml:space="preserve"> מידע חלקי בלבד </w:t>
      </w:r>
      <w:r>
        <w:rPr>
          <w:rFonts w:hint="cs"/>
          <w:rtl/>
        </w:rPr>
        <w:t>על</w:t>
      </w:r>
      <w:r w:rsidRPr="00591693">
        <w:rPr>
          <w:rFonts w:hint="cs"/>
          <w:rtl/>
        </w:rPr>
        <w:t xml:space="preserve"> נכסים אלה. כמו</w:t>
      </w:r>
      <w:r>
        <w:rPr>
          <w:rFonts w:hint="cs"/>
          <w:rtl/>
        </w:rPr>
        <w:t xml:space="preserve"> כן, נכתב: "</w:t>
      </w:r>
      <w:r w:rsidRPr="00B406EF">
        <w:rPr>
          <w:rFonts w:hint="cs"/>
          <w:rtl/>
        </w:rPr>
        <w:t>בשלב זה לא ניתן לאמוד באופן נאות את היקפם של כלל הנכסים הבלתי מוחשיים בממשלה</w:t>
      </w:r>
      <w:r>
        <w:rPr>
          <w:rFonts w:hint="cs"/>
          <w:rtl/>
        </w:rPr>
        <w:t>"</w:t>
      </w:r>
      <w:r>
        <w:rPr>
          <w:rStyle w:val="FootnoteReference"/>
          <w:rtl/>
        </w:rPr>
        <w:footnoteReference w:id="41"/>
      </w:r>
      <w:r w:rsidRPr="00B406EF">
        <w:rPr>
          <w:rFonts w:hint="cs"/>
          <w:rtl/>
        </w:rPr>
        <w:t>.</w:t>
      </w:r>
    </w:p>
    <w:p w14:paraId="143BD63F" w14:textId="77777777" w:rsidR="00867DA1" w:rsidRDefault="00867DA1" w:rsidP="00E11CC7">
      <w:pPr>
        <w:pStyle w:val="af5"/>
        <w:rPr>
          <w:rtl/>
        </w:rPr>
      </w:pPr>
      <w:r w:rsidRPr="00B92207">
        <w:rPr>
          <w:rFonts w:hint="cs"/>
          <w:rtl/>
        </w:rPr>
        <w:t>על החשב הכללי להסדיר את המיפוי של נכסים בלתי מוחשיים ו</w:t>
      </w:r>
      <w:r>
        <w:rPr>
          <w:rFonts w:hint="cs"/>
          <w:rtl/>
        </w:rPr>
        <w:t xml:space="preserve">את </w:t>
      </w:r>
      <w:r w:rsidRPr="00B92207">
        <w:rPr>
          <w:rFonts w:hint="cs"/>
          <w:rtl/>
        </w:rPr>
        <w:t xml:space="preserve">הרישום </w:t>
      </w:r>
      <w:r>
        <w:rPr>
          <w:rFonts w:hint="cs"/>
          <w:rtl/>
        </w:rPr>
        <w:t xml:space="preserve">שלהם </w:t>
      </w:r>
      <w:r w:rsidRPr="00B92207">
        <w:rPr>
          <w:rFonts w:hint="cs"/>
          <w:rtl/>
        </w:rPr>
        <w:t xml:space="preserve">בספרי </w:t>
      </w:r>
      <w:r>
        <w:rPr>
          <w:rFonts w:hint="cs"/>
          <w:rtl/>
        </w:rPr>
        <w:t>המדינה</w:t>
      </w:r>
      <w:r w:rsidRPr="00B92207">
        <w:rPr>
          <w:rFonts w:hint="cs"/>
          <w:rtl/>
        </w:rPr>
        <w:t xml:space="preserve"> כדי להציגם במל</w:t>
      </w:r>
      <w:r>
        <w:rPr>
          <w:rFonts w:hint="cs"/>
          <w:rtl/>
        </w:rPr>
        <w:t>ו</w:t>
      </w:r>
      <w:r w:rsidRPr="00B92207">
        <w:rPr>
          <w:rFonts w:hint="cs"/>
          <w:rtl/>
        </w:rPr>
        <w:t>א</w:t>
      </w:r>
      <w:r>
        <w:rPr>
          <w:rFonts w:hint="cs"/>
          <w:rtl/>
        </w:rPr>
        <w:t>ם</w:t>
      </w:r>
      <w:r w:rsidRPr="00B92207">
        <w:rPr>
          <w:rFonts w:hint="cs"/>
          <w:rtl/>
        </w:rPr>
        <w:t xml:space="preserve"> בדוחות הכספיים של </w:t>
      </w:r>
      <w:r>
        <w:rPr>
          <w:rFonts w:hint="cs"/>
          <w:rtl/>
        </w:rPr>
        <w:t>המדינה</w:t>
      </w:r>
      <w:r w:rsidRPr="00B92207">
        <w:rPr>
          <w:rFonts w:hint="cs"/>
          <w:rtl/>
        </w:rPr>
        <w:t xml:space="preserve">. </w:t>
      </w:r>
    </w:p>
    <w:p w14:paraId="78D254C9" w14:textId="77777777" w:rsidR="00867DA1" w:rsidRPr="00B406EF" w:rsidRDefault="00867DA1" w:rsidP="00E11CC7">
      <w:pPr>
        <w:pStyle w:val="414"/>
        <w:rPr>
          <w:rtl/>
        </w:rPr>
      </w:pPr>
      <w:r w:rsidRPr="00B406EF">
        <w:rPr>
          <w:rFonts w:hint="cs"/>
          <w:rtl/>
        </w:rPr>
        <w:lastRenderedPageBreak/>
        <w:t>התחייבויות בגין זכויות עובדים</w:t>
      </w:r>
    </w:p>
    <w:p w14:paraId="30C0FC0C" w14:textId="77777777" w:rsidR="00867DA1" w:rsidRDefault="00867DA1" w:rsidP="00107232">
      <w:pPr>
        <w:pStyle w:val="100"/>
        <w:rPr>
          <w:rtl/>
        </w:rPr>
      </w:pPr>
      <w:r>
        <w:rPr>
          <w:rFonts w:hint="cs"/>
          <w:rtl/>
        </w:rPr>
        <w:t>בדוחות הכספיים המאוחדים של מדינת ישראל ליום 31.12.18, יתרת הסעיף "התחייבויות בגין זכויות עובדים" היא כ-681.7 מיליארד ש"ח. בסעיף נכללות התחייבויות</w:t>
      </w:r>
      <w:r>
        <w:rPr>
          <w:rStyle w:val="FootnoteReference"/>
          <w:rtl/>
        </w:rPr>
        <w:footnoteReference w:id="42"/>
      </w:r>
      <w:r>
        <w:rPr>
          <w:rFonts w:hint="cs"/>
          <w:rtl/>
        </w:rPr>
        <w:t xml:space="preserve"> בגין פנסייה תקציבית, התחייבויות בגין סיום יחסי עובד-מעביד והתחייבויות בגין הטבות אחרות לזמן ארוך.</w:t>
      </w:r>
    </w:p>
    <w:p w14:paraId="5CEDF620" w14:textId="77777777" w:rsidR="00867DA1" w:rsidRDefault="00867DA1" w:rsidP="00107232">
      <w:pPr>
        <w:pStyle w:val="100"/>
        <w:rPr>
          <w:rtl/>
        </w:rPr>
      </w:pPr>
      <w:r>
        <w:rPr>
          <w:rFonts w:hint="cs"/>
          <w:rtl/>
        </w:rPr>
        <w:t xml:space="preserve">מרבית החבות האמורה - כ-649.4 מיליארד ש"ח </w:t>
      </w:r>
      <w:r>
        <w:rPr>
          <w:rtl/>
        </w:rPr>
        <w:t>-</w:t>
      </w:r>
      <w:r>
        <w:rPr>
          <w:rFonts w:hint="cs"/>
          <w:rtl/>
        </w:rPr>
        <w:t xml:space="preserve"> נובעת מהתחייבות בגין פנסייה תקציבית. בביאור הדגיש החשב הכללי כי החבות האמורה חלקית, ואינה כוללת את החבויות בגין פנסיית גישור בצה"ל, פנסיית גישור לעובדיהם של גופי ביטחון אחרים, תוספת בגין היעדר ביטחון תעסוקתי</w:t>
      </w:r>
      <w:r>
        <w:rPr>
          <w:rStyle w:val="FootnoteReference"/>
          <w:rtl/>
        </w:rPr>
        <w:footnoteReference w:id="43"/>
      </w:r>
      <w:r>
        <w:rPr>
          <w:rFonts w:hint="cs"/>
          <w:rtl/>
        </w:rPr>
        <w:t xml:space="preserve"> לשוטרים, סוהרים וגמלאי שירותי הביטחון, והיוון העלול להתרחש בעתיד</w:t>
      </w:r>
      <w:r>
        <w:rPr>
          <w:rStyle w:val="FootnoteReference"/>
          <w:rtl/>
        </w:rPr>
        <w:footnoteReference w:id="44"/>
      </w:r>
      <w:r>
        <w:rPr>
          <w:rFonts w:hint="cs"/>
          <w:rtl/>
        </w:rPr>
        <w:t xml:space="preserve">. </w:t>
      </w:r>
    </w:p>
    <w:p w14:paraId="42FD49EA" w14:textId="77777777" w:rsidR="00867DA1" w:rsidRDefault="00867DA1" w:rsidP="00107232">
      <w:pPr>
        <w:pStyle w:val="100"/>
        <w:rPr>
          <w:b/>
          <w:bCs/>
          <w:rtl/>
        </w:rPr>
      </w:pPr>
      <w:r>
        <w:rPr>
          <w:rFonts w:hint="cs"/>
          <w:rtl/>
        </w:rPr>
        <w:t xml:space="preserve">החבות המופיעה בסעיף "התחייבויות בגין הטבות אחרות לזמן ארוך" ועניינה הפרשות בגין חופשה, מחלה והתחייבויות אחרות לזמן ארוך, מסתכמת בכ-19.8 מיליארד ש"ח. סכום זה מתבסס בעיקר על נתונים שמשרדי ממשלה מעבירים בנוגע להפרשה לפדיון ימי מחלה. </w:t>
      </w:r>
    </w:p>
    <w:p w14:paraId="25F53670" w14:textId="77777777" w:rsidR="00867DA1" w:rsidRDefault="00867DA1" w:rsidP="00107232">
      <w:pPr>
        <w:pStyle w:val="af5"/>
        <w:rPr>
          <w:rtl/>
        </w:rPr>
      </w:pPr>
      <w:r>
        <w:rPr>
          <w:rFonts w:hint="cs"/>
          <w:rtl/>
        </w:rPr>
        <w:t xml:space="preserve">החשב הכללי ציין בדוחות הכספיים כי </w:t>
      </w:r>
      <w:r w:rsidRPr="000679A0">
        <w:rPr>
          <w:rFonts w:hint="cs"/>
          <w:rtl/>
        </w:rPr>
        <w:t xml:space="preserve">בשלב זה </w:t>
      </w:r>
      <w:r>
        <w:rPr>
          <w:rFonts w:hint="cs"/>
          <w:rtl/>
        </w:rPr>
        <w:t>אין</w:t>
      </w:r>
      <w:r w:rsidRPr="000679A0">
        <w:rPr>
          <w:rFonts w:hint="cs"/>
          <w:rtl/>
        </w:rPr>
        <w:t xml:space="preserve"> מערך מידע אמין לניה</w:t>
      </w:r>
      <w:r>
        <w:rPr>
          <w:rFonts w:hint="cs"/>
          <w:rtl/>
        </w:rPr>
        <w:t xml:space="preserve">ול נתוני הטבות אחרות לזמן ארוך, ובכלל זה ימי חופשה ומחלה. עוד ציין החשב הכללי כי </w:t>
      </w:r>
      <w:r w:rsidRPr="000679A0">
        <w:rPr>
          <w:rFonts w:hint="cs"/>
          <w:rtl/>
        </w:rPr>
        <w:t>ב</w:t>
      </w:r>
      <w:r>
        <w:rPr>
          <w:rFonts w:hint="cs"/>
          <w:rtl/>
        </w:rPr>
        <w:t>כמה</w:t>
      </w:r>
      <w:r w:rsidRPr="000679A0">
        <w:rPr>
          <w:rFonts w:hint="cs"/>
          <w:rtl/>
        </w:rPr>
        <w:t xml:space="preserve"> ממשרדי הממשלה </w:t>
      </w:r>
      <w:r>
        <w:rPr>
          <w:rFonts w:hint="cs"/>
          <w:rtl/>
        </w:rPr>
        <w:t>אין</w:t>
      </w:r>
      <w:r w:rsidRPr="000679A0">
        <w:rPr>
          <w:rFonts w:hint="cs"/>
          <w:rtl/>
        </w:rPr>
        <w:t xml:space="preserve"> נתונים זמינים, כנדרש על פי כללי חשבונ</w:t>
      </w:r>
      <w:r>
        <w:rPr>
          <w:rFonts w:hint="cs"/>
          <w:rtl/>
        </w:rPr>
        <w:t>אות מקובלים. לפיכך, המידע בנוגע לחבות של המדינה לעניין הטבות אחרות לזמן ארוך חלקי</w:t>
      </w:r>
      <w:r w:rsidRPr="006C6C9C">
        <w:rPr>
          <w:rStyle w:val="FootnoteReference"/>
          <w:rtl/>
        </w:rPr>
        <w:footnoteReference w:id="45"/>
      </w:r>
      <w:r>
        <w:rPr>
          <w:rFonts w:hint="cs"/>
          <w:rtl/>
        </w:rPr>
        <w:t>.</w:t>
      </w:r>
    </w:p>
    <w:p w14:paraId="79C99E8F" w14:textId="77777777" w:rsidR="00867DA1" w:rsidRPr="00397BF2" w:rsidRDefault="00867DA1" w:rsidP="00107232">
      <w:pPr>
        <w:pStyle w:val="414"/>
        <w:rPr>
          <w:rtl/>
        </w:rPr>
      </w:pPr>
      <w:r w:rsidRPr="00397BF2">
        <w:rPr>
          <w:rFonts w:hint="cs"/>
          <w:rtl/>
        </w:rPr>
        <w:t>הפרשה לתביעות משפטיות</w:t>
      </w:r>
    </w:p>
    <w:p w14:paraId="6CC7BA54" w14:textId="77777777" w:rsidR="00867DA1" w:rsidRDefault="00867DA1" w:rsidP="00107232">
      <w:pPr>
        <w:pStyle w:val="100"/>
        <w:rPr>
          <w:rtl/>
        </w:rPr>
      </w:pPr>
      <w:r>
        <w:rPr>
          <w:rFonts w:hint="cs"/>
          <w:rtl/>
        </w:rPr>
        <w:t>בהוראת תכ"ם בנושא "התקשרויות, הפרשות, התחייבויות תלויות ונכסים תלויים"</w:t>
      </w:r>
      <w:r>
        <w:rPr>
          <w:rStyle w:val="FootnoteReference"/>
          <w:rtl/>
        </w:rPr>
        <w:footnoteReference w:id="46"/>
      </w:r>
      <w:r>
        <w:rPr>
          <w:rFonts w:hint="cs"/>
          <w:rtl/>
        </w:rPr>
        <w:t xml:space="preserve"> נקבע כי היועץ המשפטי של המשרד הממשלתי יהיה אחראי לנהל פרטי תביעות שהמשרד הוא צד בהן ולעקוב אחריהן באופן שוטף. עליו לנהל את פרטי התביעות המשפטיות באופן שיטתי ונאות, כזה שיאפשר לעקוב אחריהן, לאחזר מידע ולתת ביטוי לכל פרטי התביעה</w:t>
      </w:r>
      <w:r>
        <w:rPr>
          <w:rStyle w:val="FootnoteReference"/>
          <w:rtl/>
        </w:rPr>
        <w:footnoteReference w:id="47"/>
      </w:r>
      <w:r>
        <w:rPr>
          <w:rFonts w:hint="cs"/>
          <w:rtl/>
        </w:rPr>
        <w:t>.</w:t>
      </w:r>
    </w:p>
    <w:p w14:paraId="5CD2800F" w14:textId="77777777" w:rsidR="00867DA1" w:rsidRDefault="00867DA1" w:rsidP="00107232">
      <w:pPr>
        <w:pStyle w:val="100"/>
        <w:rPr>
          <w:rtl/>
        </w:rPr>
      </w:pPr>
      <w:r>
        <w:rPr>
          <w:rFonts w:hint="cs"/>
          <w:rtl/>
        </w:rPr>
        <w:t xml:space="preserve">יתרת הסעיף "הפרשה לתביעות משפטיות" היא כ-8.2 מיליארד ש"ח. </w:t>
      </w:r>
      <w:r w:rsidRPr="00591693">
        <w:rPr>
          <w:rFonts w:hint="cs"/>
          <w:rtl/>
        </w:rPr>
        <w:t>הנתונים והאומדנים התבססו, בין היתר, על מקורות מידע חסרים</w:t>
      </w:r>
      <w:r>
        <w:rPr>
          <w:rFonts w:hint="cs"/>
          <w:rtl/>
        </w:rPr>
        <w:t>.</w:t>
      </w:r>
      <w:r w:rsidRPr="00591693">
        <w:rPr>
          <w:rFonts w:hint="cs"/>
          <w:rtl/>
        </w:rPr>
        <w:t xml:space="preserve"> </w:t>
      </w:r>
      <w:r>
        <w:rPr>
          <w:rFonts w:hint="cs"/>
          <w:rtl/>
        </w:rPr>
        <w:t>כ</w:t>
      </w:r>
      <w:r w:rsidRPr="00591693">
        <w:rPr>
          <w:rFonts w:hint="cs"/>
          <w:rtl/>
        </w:rPr>
        <w:t xml:space="preserve">נגד ישויות ממשלתיות </w:t>
      </w:r>
      <w:r>
        <w:rPr>
          <w:rFonts w:hint="cs"/>
          <w:rtl/>
        </w:rPr>
        <w:t xml:space="preserve">עומדות </w:t>
      </w:r>
      <w:r w:rsidRPr="00591693">
        <w:rPr>
          <w:rFonts w:hint="cs"/>
          <w:rtl/>
        </w:rPr>
        <w:t xml:space="preserve">תביעות </w:t>
      </w:r>
      <w:r>
        <w:rPr>
          <w:rFonts w:hint="cs"/>
          <w:rtl/>
        </w:rPr>
        <w:t>משפטיות</w:t>
      </w:r>
      <w:r w:rsidRPr="00591693">
        <w:rPr>
          <w:rFonts w:hint="cs"/>
          <w:rtl/>
        </w:rPr>
        <w:t xml:space="preserve"> </w:t>
      </w:r>
      <w:r w:rsidRPr="00591693">
        <w:rPr>
          <w:rFonts w:hint="cs"/>
          <w:rtl/>
        </w:rPr>
        <w:lastRenderedPageBreak/>
        <w:t>רבות</w:t>
      </w:r>
      <w:r>
        <w:rPr>
          <w:rFonts w:hint="cs"/>
          <w:rtl/>
        </w:rPr>
        <w:t>,</w:t>
      </w:r>
      <w:r w:rsidRPr="00591693">
        <w:rPr>
          <w:rFonts w:hint="cs"/>
          <w:rtl/>
        </w:rPr>
        <w:t xml:space="preserve"> ש</w:t>
      </w:r>
      <w:r>
        <w:rPr>
          <w:rFonts w:hint="cs"/>
          <w:rtl/>
        </w:rPr>
        <w:t>מקצת</w:t>
      </w:r>
      <w:r w:rsidRPr="00591693">
        <w:rPr>
          <w:rFonts w:hint="cs"/>
          <w:rtl/>
        </w:rPr>
        <w:t>ן אינ</w:t>
      </w:r>
      <w:r>
        <w:rPr>
          <w:rFonts w:hint="cs"/>
          <w:rtl/>
        </w:rPr>
        <w:t>ן</w:t>
      </w:r>
      <w:r w:rsidRPr="00591693">
        <w:rPr>
          <w:rFonts w:hint="cs"/>
          <w:rtl/>
        </w:rPr>
        <w:t xml:space="preserve"> מתועד</w:t>
      </w:r>
      <w:r>
        <w:rPr>
          <w:rFonts w:hint="cs"/>
          <w:rtl/>
        </w:rPr>
        <w:t>ות</w:t>
      </w:r>
      <w:r w:rsidRPr="00591693">
        <w:rPr>
          <w:rFonts w:hint="cs"/>
          <w:rtl/>
        </w:rPr>
        <w:t xml:space="preserve"> כלל באותן ישויות ממשלתיות</w:t>
      </w:r>
      <w:r>
        <w:rPr>
          <w:rFonts w:hint="cs"/>
          <w:rtl/>
        </w:rPr>
        <w:t>,</w:t>
      </w:r>
      <w:r w:rsidRPr="00591693">
        <w:rPr>
          <w:rFonts w:hint="cs"/>
          <w:rtl/>
        </w:rPr>
        <w:t xml:space="preserve"> וב</w:t>
      </w:r>
      <w:r>
        <w:rPr>
          <w:rFonts w:hint="cs"/>
          <w:rtl/>
        </w:rPr>
        <w:t>אחרות אי אפשר</w:t>
      </w:r>
      <w:r w:rsidRPr="00591693">
        <w:rPr>
          <w:rFonts w:hint="cs"/>
          <w:rtl/>
        </w:rPr>
        <w:t xml:space="preserve"> </w:t>
      </w:r>
      <w:r>
        <w:rPr>
          <w:rFonts w:hint="cs"/>
          <w:rtl/>
        </w:rPr>
        <w:t xml:space="preserve">להעריך את </w:t>
      </w:r>
      <w:r w:rsidRPr="00591693">
        <w:rPr>
          <w:rFonts w:hint="cs"/>
          <w:rtl/>
        </w:rPr>
        <w:t>סכום החשיפה</w:t>
      </w:r>
      <w:r>
        <w:rPr>
          <w:rFonts w:hint="cs"/>
          <w:rtl/>
        </w:rPr>
        <w:t xml:space="preserve"> הערכה מהימנה</w:t>
      </w:r>
      <w:r>
        <w:rPr>
          <w:rStyle w:val="FootnoteReference"/>
          <w:rtl/>
        </w:rPr>
        <w:footnoteReference w:id="48"/>
      </w:r>
      <w:r w:rsidRPr="00591693">
        <w:rPr>
          <w:rFonts w:hint="cs"/>
          <w:rtl/>
        </w:rPr>
        <w:t>.</w:t>
      </w:r>
    </w:p>
    <w:p w14:paraId="76754489" w14:textId="77777777" w:rsidR="00867DA1" w:rsidRDefault="00867DA1" w:rsidP="00107232">
      <w:pPr>
        <w:pStyle w:val="af5"/>
        <w:rPr>
          <w:rtl/>
        </w:rPr>
      </w:pPr>
      <w:r w:rsidRPr="008520AD">
        <w:rPr>
          <w:rFonts w:hint="cs"/>
          <w:rtl/>
        </w:rPr>
        <w:t xml:space="preserve">על החשב הכללי להשלים </w:t>
      </w:r>
      <w:r>
        <w:rPr>
          <w:rFonts w:hint="cs"/>
          <w:rtl/>
        </w:rPr>
        <w:t>את ה</w:t>
      </w:r>
      <w:r w:rsidRPr="008520AD">
        <w:rPr>
          <w:rFonts w:hint="cs"/>
          <w:rtl/>
        </w:rPr>
        <w:t>בניי</w:t>
      </w:r>
      <w:r>
        <w:rPr>
          <w:rFonts w:hint="cs"/>
          <w:rtl/>
        </w:rPr>
        <w:t>ה של</w:t>
      </w:r>
      <w:r w:rsidRPr="008520AD">
        <w:rPr>
          <w:rFonts w:hint="cs"/>
          <w:rtl/>
        </w:rPr>
        <w:t xml:space="preserve"> תשתית נאותה </w:t>
      </w:r>
      <w:r>
        <w:rPr>
          <w:rFonts w:hint="cs"/>
          <w:rtl/>
        </w:rPr>
        <w:t xml:space="preserve">בישויות הממשלתיות </w:t>
      </w:r>
      <w:r w:rsidRPr="008520AD">
        <w:rPr>
          <w:rFonts w:hint="cs"/>
          <w:rtl/>
        </w:rPr>
        <w:t>ל</w:t>
      </w:r>
      <w:r>
        <w:rPr>
          <w:rFonts w:hint="cs"/>
          <w:rtl/>
        </w:rPr>
        <w:t xml:space="preserve">צורך </w:t>
      </w:r>
      <w:r w:rsidRPr="008520AD">
        <w:rPr>
          <w:rFonts w:hint="cs"/>
          <w:rtl/>
        </w:rPr>
        <w:t xml:space="preserve">ניהול </w:t>
      </w:r>
      <w:r>
        <w:rPr>
          <w:rFonts w:hint="cs"/>
          <w:rtl/>
        </w:rPr>
        <w:t xml:space="preserve">של </w:t>
      </w:r>
      <w:r w:rsidRPr="008520AD">
        <w:rPr>
          <w:rFonts w:hint="cs"/>
          <w:rtl/>
        </w:rPr>
        <w:t>הת</w:t>
      </w:r>
      <w:r>
        <w:rPr>
          <w:rFonts w:hint="cs"/>
          <w:rtl/>
        </w:rPr>
        <w:t xml:space="preserve">ביעות המשפטיות שהמדינה חשופה להן </w:t>
      </w:r>
      <w:r w:rsidRPr="008520AD">
        <w:rPr>
          <w:rFonts w:hint="cs"/>
          <w:rtl/>
        </w:rPr>
        <w:t>ומעקב אחרי</w:t>
      </w:r>
      <w:r>
        <w:rPr>
          <w:rFonts w:hint="cs"/>
          <w:rtl/>
        </w:rPr>
        <w:t>הן</w:t>
      </w:r>
      <w:r w:rsidRPr="008520AD">
        <w:rPr>
          <w:rFonts w:hint="cs"/>
          <w:rtl/>
        </w:rPr>
        <w:t xml:space="preserve"> </w:t>
      </w:r>
      <w:r>
        <w:rPr>
          <w:rFonts w:hint="cs"/>
          <w:rtl/>
        </w:rPr>
        <w:t>וכדי לשקף בדוחות הכספיים של המדינה את ההפרשה לתביעות משפטיות בכלל, ואת זו של התביעות המהותיות בפרט, שיקוף מלא ונאות.</w:t>
      </w:r>
    </w:p>
    <w:p w14:paraId="407A1F2C" w14:textId="77777777" w:rsidR="00867DA1" w:rsidRDefault="00867DA1" w:rsidP="00107232">
      <w:pPr>
        <w:pStyle w:val="100"/>
        <w:rPr>
          <w:rtl/>
        </w:rPr>
      </w:pPr>
      <w:r w:rsidRPr="005333CA">
        <w:rPr>
          <w:rFonts w:hint="cs"/>
          <w:rtl/>
        </w:rPr>
        <w:t xml:space="preserve">מהמידע שהתקבל מהחשבונאים הראשים </w:t>
      </w:r>
      <w:r>
        <w:rPr>
          <w:rFonts w:hint="cs"/>
          <w:rtl/>
        </w:rPr>
        <w:t>בתשובה</w:t>
      </w:r>
      <w:r w:rsidRPr="005333CA">
        <w:rPr>
          <w:rFonts w:hint="cs"/>
          <w:rtl/>
        </w:rPr>
        <w:t xml:space="preserve"> </w:t>
      </w:r>
      <w:r>
        <w:rPr>
          <w:rFonts w:hint="cs"/>
          <w:rtl/>
        </w:rPr>
        <w:t>ל</w:t>
      </w:r>
      <w:r w:rsidRPr="005333CA">
        <w:rPr>
          <w:rFonts w:hint="cs"/>
          <w:rtl/>
        </w:rPr>
        <w:t>שאלון עולה כי כ-</w:t>
      </w:r>
      <w:r>
        <w:rPr>
          <w:rFonts w:hint="cs"/>
          <w:rtl/>
        </w:rPr>
        <w:t>28</w:t>
      </w:r>
      <w:r w:rsidRPr="005333CA">
        <w:rPr>
          <w:rFonts w:hint="cs"/>
          <w:rtl/>
        </w:rPr>
        <w:t xml:space="preserve">% מהישויות הממשלתיות </w:t>
      </w:r>
      <w:r>
        <w:rPr>
          <w:rFonts w:hint="cs"/>
          <w:rtl/>
        </w:rPr>
        <w:t>לא קיבלו מכתב המפרט את התביעות המשפטיות שאישרו היועצים המשפטיים. יצוין, לדוגמה, כי בחוות הדעת של רואי החשבון המבקרים של מינהל הדיור הממשלתי באגף החשב הכללי מופיעה פסקת היקף</w:t>
      </w:r>
      <w:r>
        <w:rPr>
          <w:rStyle w:val="FootnoteReference"/>
          <w:rtl/>
        </w:rPr>
        <w:footnoteReference w:id="49"/>
      </w:r>
      <w:r>
        <w:rPr>
          <w:rFonts w:hint="cs"/>
          <w:rtl/>
        </w:rPr>
        <w:t xml:space="preserve"> שלפיה הם מסתייגים מכך שלא קיבלו מידע על דבר התביעות המשפטיות</w:t>
      </w:r>
      <w:r>
        <w:rPr>
          <w:rStyle w:val="FootnoteReference"/>
          <w:rtl/>
        </w:rPr>
        <w:footnoteReference w:id="50"/>
      </w:r>
      <w:r>
        <w:rPr>
          <w:rFonts w:hint="cs"/>
          <w:rtl/>
        </w:rPr>
        <w:t>.</w:t>
      </w:r>
    </w:p>
    <w:p w14:paraId="3C778375" w14:textId="77777777" w:rsidR="00867DA1" w:rsidRDefault="00867DA1" w:rsidP="00107232">
      <w:pPr>
        <w:pStyle w:val="af5"/>
        <w:rPr>
          <w:rtl/>
        </w:rPr>
      </w:pPr>
      <w:r w:rsidRPr="00E61B63">
        <w:rPr>
          <w:rtl/>
        </w:rPr>
        <w:t xml:space="preserve">משרד מבקר המדינה </w:t>
      </w:r>
      <w:r>
        <w:rPr>
          <w:rFonts w:hint="cs"/>
          <w:rtl/>
        </w:rPr>
        <w:t>ממליץ</w:t>
      </w:r>
      <w:r w:rsidRPr="00E61B63">
        <w:rPr>
          <w:rtl/>
        </w:rPr>
        <w:t xml:space="preserve"> </w:t>
      </w:r>
      <w:r w:rsidRPr="00E61B63">
        <w:rPr>
          <w:rFonts w:hint="eastAsia"/>
          <w:rtl/>
        </w:rPr>
        <w:t>לחשב</w:t>
      </w:r>
      <w:r w:rsidRPr="00E61B63">
        <w:rPr>
          <w:rtl/>
        </w:rPr>
        <w:t xml:space="preserve"> </w:t>
      </w:r>
      <w:r w:rsidRPr="00E61B63">
        <w:rPr>
          <w:rFonts w:hint="eastAsia"/>
          <w:rtl/>
        </w:rPr>
        <w:t>הכללי</w:t>
      </w:r>
      <w:r w:rsidRPr="00E61B63">
        <w:rPr>
          <w:rtl/>
        </w:rPr>
        <w:t xml:space="preserve"> </w:t>
      </w:r>
      <w:r>
        <w:rPr>
          <w:rFonts w:hint="cs"/>
          <w:rtl/>
        </w:rPr>
        <w:t>לחדד מול כל הגופים הממשלתיים והחשבונאיים הראשיים במשרדי</w:t>
      </w:r>
      <w:r w:rsidRPr="00E61B63">
        <w:rPr>
          <w:rtl/>
        </w:rPr>
        <w:t xml:space="preserve"> הממשלה </w:t>
      </w:r>
      <w:r>
        <w:rPr>
          <w:rFonts w:hint="cs"/>
          <w:rtl/>
        </w:rPr>
        <w:t>את החשיבות שבהכללת מידע בדבר תביעות משפטיות בדוחות הכספיים כדי שרואי החשבון המבקרים לא יסתייגו בחוות דעתם בשל הצגה חלקית של ההפרשה</w:t>
      </w:r>
      <w:r w:rsidRPr="00E61B63">
        <w:rPr>
          <w:rtl/>
        </w:rPr>
        <w:t xml:space="preserve">. </w:t>
      </w:r>
    </w:p>
    <w:p w14:paraId="67AFF3FF" w14:textId="77777777" w:rsidR="00867DA1" w:rsidRPr="00397BF2" w:rsidRDefault="00867DA1" w:rsidP="00107232">
      <w:pPr>
        <w:pStyle w:val="414"/>
        <w:rPr>
          <w:rtl/>
        </w:rPr>
      </w:pPr>
      <w:r w:rsidRPr="00397BF2">
        <w:rPr>
          <w:rFonts w:hint="cs"/>
          <w:rtl/>
        </w:rPr>
        <w:t>התחייבויות תלויות</w:t>
      </w:r>
    </w:p>
    <w:p w14:paraId="2FBDBC4B" w14:textId="77777777" w:rsidR="00867DA1" w:rsidRDefault="00867DA1" w:rsidP="00107232">
      <w:pPr>
        <w:pStyle w:val="100"/>
        <w:rPr>
          <w:rtl/>
        </w:rPr>
      </w:pPr>
      <w:r>
        <w:rPr>
          <w:rFonts w:hint="cs"/>
          <w:rtl/>
        </w:rPr>
        <w:t>על פי תקן 19 התחייבות תלויה היא אחת מהאפשרויות הבאות: (א) מחויבות אפשרית הנובעת מאירועי העבר, אשר קיומה יאומת בקרות אירוע עתידי שאינו בשליטת הישות; (ב) מחויבות קיימת הנובעת מאירועי העבר, אשר צפוי שלא תגרום לתזרים של משאבים החוצה המגלם הטבות כלכליות או פוטנציאל שירות; (ג) מחויבות קיימת, הנובעת מאירועי העבר, אשר אינה ניתנת למדידה באופן מהימן. התחייבויות תלויות מחייבות גילוי בלבד.</w:t>
      </w:r>
    </w:p>
    <w:p w14:paraId="56F417B6" w14:textId="77777777" w:rsidR="00867DA1" w:rsidRDefault="00867DA1" w:rsidP="00107232">
      <w:pPr>
        <w:pStyle w:val="100"/>
        <w:rPr>
          <w:b/>
          <w:bCs/>
          <w:rtl/>
        </w:rPr>
      </w:pPr>
      <w:r>
        <w:rPr>
          <w:rFonts w:hint="cs"/>
          <w:rtl/>
        </w:rPr>
        <w:t xml:space="preserve">המדינה היא צד בתביעות אזרחיות רבות המוגשות נגדה, אשר לא ניתן להעריך את תוצאותיהן באופן מהימן או לבצע אומדן מהימן של סכום המחויבות הצפוי בגינן. </w:t>
      </w:r>
      <w:r w:rsidRPr="00EF4818">
        <w:rPr>
          <w:rFonts w:hint="eastAsia"/>
          <w:rtl/>
        </w:rPr>
        <w:t>מאחר</w:t>
      </w:r>
      <w:r w:rsidRPr="00EF4818">
        <w:rPr>
          <w:rtl/>
        </w:rPr>
        <w:t xml:space="preserve"> שלא ניתן כאמור להעריך את סיכויי התממשותן או לאמוד באופן מהימן את הסכום שעשוי להיפסק בגינן, לא נרשמת בגינן התחייבות בדוחות הכספיים, וניתן גילוי </w:t>
      </w:r>
      <w:r w:rsidRPr="00EF4818">
        <w:rPr>
          <w:rFonts w:hint="eastAsia"/>
          <w:rtl/>
        </w:rPr>
        <w:t>בהתאם</w:t>
      </w:r>
      <w:r w:rsidRPr="00EF4818">
        <w:rPr>
          <w:rtl/>
        </w:rPr>
        <w:t xml:space="preserve"> </w:t>
      </w:r>
      <w:r w:rsidRPr="00EF4818">
        <w:rPr>
          <w:rFonts w:hint="eastAsia"/>
          <w:rtl/>
        </w:rPr>
        <w:t>לתקינה</w:t>
      </w:r>
      <w:r w:rsidRPr="00EF4818">
        <w:rPr>
          <w:rtl/>
        </w:rPr>
        <w:t xml:space="preserve"> </w:t>
      </w:r>
      <w:r w:rsidRPr="00EF4818">
        <w:rPr>
          <w:rFonts w:hint="eastAsia"/>
          <w:rtl/>
        </w:rPr>
        <w:t>החשבונאית</w:t>
      </w:r>
      <w:r w:rsidRPr="00EF4818">
        <w:rPr>
          <w:rtl/>
        </w:rPr>
        <w:t xml:space="preserve"> </w:t>
      </w:r>
      <w:r w:rsidRPr="00EF4818">
        <w:rPr>
          <w:rFonts w:hint="eastAsia"/>
          <w:rtl/>
        </w:rPr>
        <w:t>הממשלתית</w:t>
      </w:r>
      <w:r w:rsidRPr="00EF4818">
        <w:rPr>
          <w:rtl/>
        </w:rPr>
        <w:t xml:space="preserve"> </w:t>
      </w:r>
      <w:r w:rsidRPr="00EF4818">
        <w:rPr>
          <w:rFonts w:hint="eastAsia"/>
          <w:rtl/>
        </w:rPr>
        <w:t>לגבי</w:t>
      </w:r>
      <w:r w:rsidRPr="00EF4818">
        <w:rPr>
          <w:rtl/>
        </w:rPr>
        <w:t xml:space="preserve"> </w:t>
      </w:r>
      <w:r w:rsidRPr="00EF4818">
        <w:rPr>
          <w:rFonts w:hint="eastAsia"/>
          <w:rtl/>
        </w:rPr>
        <w:t>התחייבויות</w:t>
      </w:r>
      <w:r w:rsidRPr="00EF4818">
        <w:rPr>
          <w:rtl/>
        </w:rPr>
        <w:t xml:space="preserve"> </w:t>
      </w:r>
      <w:r w:rsidRPr="00EF4818">
        <w:rPr>
          <w:rFonts w:hint="eastAsia"/>
          <w:rtl/>
        </w:rPr>
        <w:t>תלויות</w:t>
      </w:r>
      <w:r w:rsidRPr="00EF4818">
        <w:rPr>
          <w:rtl/>
        </w:rPr>
        <w:t xml:space="preserve">. </w:t>
      </w:r>
      <w:r w:rsidRPr="00EF4818">
        <w:rPr>
          <w:rFonts w:hint="eastAsia"/>
          <w:rtl/>
        </w:rPr>
        <w:t>התחייבויות</w:t>
      </w:r>
      <w:r w:rsidRPr="00EF4818">
        <w:rPr>
          <w:rtl/>
        </w:rPr>
        <w:t xml:space="preserve"> </w:t>
      </w:r>
      <w:r w:rsidRPr="00EF4818">
        <w:rPr>
          <w:rFonts w:hint="eastAsia"/>
          <w:rtl/>
        </w:rPr>
        <w:t>תלויות</w:t>
      </w:r>
      <w:r w:rsidRPr="00EF4818">
        <w:rPr>
          <w:rtl/>
        </w:rPr>
        <w:t xml:space="preserve"> </w:t>
      </w:r>
      <w:r w:rsidRPr="00EF4818">
        <w:rPr>
          <w:rFonts w:hint="eastAsia"/>
          <w:rtl/>
        </w:rPr>
        <w:t>יכולות</w:t>
      </w:r>
      <w:r w:rsidRPr="00EF4818">
        <w:rPr>
          <w:rtl/>
        </w:rPr>
        <w:t xml:space="preserve"> </w:t>
      </w:r>
      <w:r w:rsidRPr="00EF4818">
        <w:rPr>
          <w:rFonts w:hint="eastAsia"/>
          <w:rtl/>
        </w:rPr>
        <w:t>להיות</w:t>
      </w:r>
      <w:r w:rsidRPr="00EF4818">
        <w:rPr>
          <w:rtl/>
        </w:rPr>
        <w:t xml:space="preserve">, </w:t>
      </w:r>
      <w:r w:rsidRPr="00EF4818">
        <w:rPr>
          <w:rFonts w:hint="eastAsia"/>
          <w:rtl/>
        </w:rPr>
        <w:t>בין</w:t>
      </w:r>
      <w:r w:rsidRPr="00EF4818">
        <w:rPr>
          <w:rtl/>
        </w:rPr>
        <w:t xml:space="preserve"> </w:t>
      </w:r>
      <w:r w:rsidRPr="00EF4818">
        <w:rPr>
          <w:rFonts w:hint="eastAsia"/>
          <w:rtl/>
        </w:rPr>
        <w:t>היתר</w:t>
      </w:r>
      <w:r w:rsidRPr="00EF4818">
        <w:rPr>
          <w:rtl/>
        </w:rPr>
        <w:t xml:space="preserve">, </w:t>
      </w:r>
      <w:r w:rsidRPr="00EF4818">
        <w:rPr>
          <w:rFonts w:hint="eastAsia"/>
          <w:rtl/>
        </w:rPr>
        <w:t>בגין</w:t>
      </w:r>
      <w:r w:rsidRPr="00EF4818">
        <w:rPr>
          <w:rtl/>
        </w:rPr>
        <w:t xml:space="preserve"> </w:t>
      </w:r>
      <w:r w:rsidRPr="00EF4818">
        <w:rPr>
          <w:rFonts w:hint="eastAsia"/>
          <w:rtl/>
        </w:rPr>
        <w:t>תביעות</w:t>
      </w:r>
      <w:r w:rsidRPr="00EF4818">
        <w:rPr>
          <w:rtl/>
        </w:rPr>
        <w:t xml:space="preserve"> </w:t>
      </w:r>
      <w:r w:rsidRPr="00EF4818">
        <w:rPr>
          <w:rFonts w:hint="eastAsia"/>
          <w:rtl/>
        </w:rPr>
        <w:t>משפטיות</w:t>
      </w:r>
      <w:r w:rsidRPr="00EF4818">
        <w:rPr>
          <w:rtl/>
        </w:rPr>
        <w:t xml:space="preserve">, </w:t>
      </w:r>
      <w:r w:rsidRPr="00EF4818">
        <w:rPr>
          <w:rFonts w:hint="eastAsia"/>
          <w:rtl/>
        </w:rPr>
        <w:t>כתבי</w:t>
      </w:r>
      <w:r w:rsidRPr="00EF4818">
        <w:rPr>
          <w:rtl/>
        </w:rPr>
        <w:t xml:space="preserve"> </w:t>
      </w:r>
      <w:r w:rsidRPr="00EF4818">
        <w:rPr>
          <w:rFonts w:hint="eastAsia"/>
          <w:rtl/>
        </w:rPr>
        <w:t>שיפוי</w:t>
      </w:r>
      <w:r w:rsidRPr="00EF4818">
        <w:rPr>
          <w:rtl/>
        </w:rPr>
        <w:t>.</w:t>
      </w:r>
    </w:p>
    <w:p w14:paraId="11927415" w14:textId="77777777" w:rsidR="00867DA1" w:rsidRPr="00397BF2" w:rsidRDefault="00867DA1" w:rsidP="00107232">
      <w:pPr>
        <w:pStyle w:val="5115"/>
        <w:rPr>
          <w:rtl/>
        </w:rPr>
      </w:pPr>
      <w:r w:rsidRPr="00397BF2">
        <w:rPr>
          <w:rFonts w:hint="cs"/>
          <w:rtl/>
        </w:rPr>
        <w:lastRenderedPageBreak/>
        <w:t>התחייבויות תלויות בגין תביעות משפטיות</w:t>
      </w:r>
    </w:p>
    <w:p w14:paraId="449AE499" w14:textId="77777777" w:rsidR="00867DA1" w:rsidRPr="00EE49CB" w:rsidRDefault="00867DA1" w:rsidP="00107232">
      <w:pPr>
        <w:pStyle w:val="100"/>
        <w:rPr>
          <w:rtl/>
        </w:rPr>
      </w:pPr>
      <w:r>
        <w:rPr>
          <w:rFonts w:hint="cs"/>
          <w:rtl/>
        </w:rPr>
        <w:t>מאחר ותשתית הנתונים ועריכת האומדנים לחשיפה, התבססו, בין היתר, על מקורות מידע חסרים עלולות להיות למדינה התחייבויות תלויות נוספות בגן תביעות משפטיות שאינן מתועדות או שתוצאותיהן אינן ניתנות להערכה מהימנה, ולא ניתן לבצע אומדן סביר של סכום המחויבות בגינן.</w:t>
      </w:r>
    </w:p>
    <w:p w14:paraId="19B15A41" w14:textId="77777777" w:rsidR="00867DA1" w:rsidRPr="00397BF2" w:rsidRDefault="00867DA1" w:rsidP="00275903">
      <w:pPr>
        <w:pStyle w:val="5115"/>
        <w:rPr>
          <w:rtl/>
        </w:rPr>
      </w:pPr>
      <w:r w:rsidRPr="00397BF2">
        <w:rPr>
          <w:rFonts w:hint="cs"/>
          <w:rtl/>
        </w:rPr>
        <w:t>התחייבויות תלויות בגין כתבי שיפוי</w:t>
      </w:r>
    </w:p>
    <w:p w14:paraId="0C07947E" w14:textId="77777777" w:rsidR="00867DA1" w:rsidRDefault="00867DA1" w:rsidP="00275903">
      <w:pPr>
        <w:pStyle w:val="100"/>
        <w:rPr>
          <w:rtl/>
        </w:rPr>
      </w:pPr>
      <w:r>
        <w:rPr>
          <w:rFonts w:hint="cs"/>
          <w:rtl/>
        </w:rPr>
        <w:t>בידי משרדי הממשלה יש בסיס חלקי בלבד של נתונים ותשתית לניהול כתבי שיפוי. אם כן, בידי המדינה אין מידע מלא על היקף החשיפה ועל הסבירות שההתחייבויות שהעניקה בכתבי שיפוי יתממשו, ואין באפשרותה להעריכן באופן סביר. לאור זאת, כתבי שיפוי שהנפיקה המדינה ובגינם היא עלולה להיחשף אינם מקבלים גילוי מלא בדוחות הכספיים אף שמימושם עלול להסיט כספים מתקציביהם לכיסוי ההתחייבויות, וכך להשפיע על מצבם הכספי או על פעולותיהם השוטפות.</w:t>
      </w:r>
    </w:p>
    <w:p w14:paraId="1BC23F7A" w14:textId="77777777" w:rsidR="00867DA1" w:rsidRPr="0002011B" w:rsidRDefault="00867DA1" w:rsidP="00275903">
      <w:pPr>
        <w:pStyle w:val="100"/>
        <w:rPr>
          <w:rtl/>
        </w:rPr>
      </w:pPr>
      <w:r>
        <w:rPr>
          <w:rFonts w:hint="cs"/>
          <w:rtl/>
        </w:rPr>
        <w:t xml:space="preserve">החשבונאי הראשי ציין בתשובתו כי משרדי הממשלה הם האחראים להציג בדוחות הכספיים הצגה מלאה, שלמה ונאותה של הנתונים בתחומים שהציף המבקר, ובהם רישום נכסים מוחשיים ובלתי מוחשיים וערכם, איכות המערכות הייעודיות / הכספיות במשרדים ומידע ומעקב אחר התביעות </w:t>
      </w:r>
      <w:r w:rsidRPr="0002011B">
        <w:rPr>
          <w:rFonts w:hint="cs"/>
          <w:rtl/>
        </w:rPr>
        <w:t xml:space="preserve">המשפטיות. </w:t>
      </w:r>
    </w:p>
    <w:p w14:paraId="454D376B" w14:textId="77777777" w:rsidR="00867DA1" w:rsidRPr="00EC6942" w:rsidRDefault="00867DA1" w:rsidP="00275903">
      <w:pPr>
        <w:pStyle w:val="af5"/>
        <w:rPr>
          <w:rtl/>
        </w:rPr>
      </w:pPr>
      <w:r w:rsidRPr="0002011B">
        <w:rPr>
          <w:rFonts w:hint="eastAsia"/>
          <w:rtl/>
        </w:rPr>
        <w:t>משרד</w:t>
      </w:r>
      <w:r w:rsidRPr="0002011B">
        <w:rPr>
          <w:rtl/>
        </w:rPr>
        <w:t xml:space="preserve"> מבקר המדינה מציין כי </w:t>
      </w:r>
      <w:r w:rsidRPr="0002011B">
        <w:rPr>
          <w:rFonts w:hint="cs"/>
          <w:rtl/>
        </w:rPr>
        <w:t xml:space="preserve">על </w:t>
      </w:r>
      <w:r w:rsidRPr="0002011B">
        <w:rPr>
          <w:rFonts w:hint="eastAsia"/>
          <w:rtl/>
        </w:rPr>
        <w:t>החשבונאי</w:t>
      </w:r>
      <w:r w:rsidRPr="0002011B">
        <w:rPr>
          <w:rtl/>
        </w:rPr>
        <w:t xml:space="preserve"> הראשי </w:t>
      </w:r>
      <w:r w:rsidRPr="0002011B">
        <w:rPr>
          <w:rFonts w:hint="cs"/>
          <w:rtl/>
        </w:rPr>
        <w:t>לפעול</w:t>
      </w:r>
      <w:r w:rsidRPr="0002011B">
        <w:rPr>
          <w:rtl/>
        </w:rPr>
        <w:t xml:space="preserve"> </w:t>
      </w:r>
      <w:r w:rsidRPr="0002011B">
        <w:rPr>
          <w:rFonts w:hint="eastAsia"/>
          <w:rtl/>
        </w:rPr>
        <w:t>עם</w:t>
      </w:r>
      <w:r w:rsidRPr="0002011B">
        <w:rPr>
          <w:rtl/>
        </w:rPr>
        <w:t xml:space="preserve"> </w:t>
      </w:r>
      <w:r w:rsidRPr="0002011B">
        <w:rPr>
          <w:rFonts w:hint="eastAsia"/>
          <w:rtl/>
        </w:rPr>
        <w:t>המשרדים</w:t>
      </w:r>
      <w:r w:rsidRPr="0002011B">
        <w:rPr>
          <w:rtl/>
        </w:rPr>
        <w:t xml:space="preserve"> </w:t>
      </w:r>
      <w:r w:rsidRPr="0002011B">
        <w:rPr>
          <w:rFonts w:hint="eastAsia"/>
          <w:rtl/>
        </w:rPr>
        <w:t>לתיקון</w:t>
      </w:r>
      <w:r w:rsidRPr="0002011B">
        <w:rPr>
          <w:rtl/>
        </w:rPr>
        <w:t xml:space="preserve"> </w:t>
      </w:r>
      <w:r w:rsidRPr="0002011B">
        <w:rPr>
          <w:rFonts w:hint="eastAsia"/>
          <w:rtl/>
        </w:rPr>
        <w:t>הליקויים</w:t>
      </w:r>
      <w:r w:rsidRPr="0002011B">
        <w:rPr>
          <w:rtl/>
        </w:rPr>
        <w:t xml:space="preserve"> </w:t>
      </w:r>
      <w:r w:rsidRPr="0002011B">
        <w:rPr>
          <w:rFonts w:hint="eastAsia"/>
          <w:rtl/>
        </w:rPr>
        <w:t>שהועלו</w:t>
      </w:r>
      <w:r w:rsidRPr="0002011B">
        <w:rPr>
          <w:rtl/>
        </w:rPr>
        <w:t xml:space="preserve"> כ</w:t>
      </w:r>
      <w:r w:rsidRPr="0002011B">
        <w:rPr>
          <w:rFonts w:hint="cs"/>
          <w:rtl/>
        </w:rPr>
        <w:t>די</w:t>
      </w:r>
      <w:r w:rsidRPr="0002011B">
        <w:rPr>
          <w:rtl/>
        </w:rPr>
        <w:t xml:space="preserve"> שהדיווח הכספי הממשלתי יהיה שלם </w:t>
      </w:r>
      <w:r w:rsidRPr="0002011B">
        <w:rPr>
          <w:rFonts w:hint="eastAsia"/>
          <w:rtl/>
        </w:rPr>
        <w:t>ויהפוך</w:t>
      </w:r>
      <w:r w:rsidRPr="0002011B">
        <w:rPr>
          <w:rtl/>
        </w:rPr>
        <w:t xml:space="preserve"> לכלי ניהול </w:t>
      </w:r>
      <w:r w:rsidRPr="0002011B">
        <w:rPr>
          <w:rFonts w:hint="cs"/>
          <w:rtl/>
        </w:rPr>
        <w:t>יעיל</w:t>
      </w:r>
      <w:r w:rsidRPr="0002011B">
        <w:rPr>
          <w:rtl/>
        </w:rPr>
        <w:t>.</w:t>
      </w:r>
      <w:r w:rsidRPr="00EC6942">
        <w:rPr>
          <w:rtl/>
        </w:rPr>
        <w:t xml:space="preserve"> </w:t>
      </w:r>
    </w:p>
    <w:p w14:paraId="30E67261" w14:textId="77777777" w:rsidR="00867DA1" w:rsidRPr="002A415A" w:rsidRDefault="00867DA1" w:rsidP="002A415A">
      <w:pPr>
        <w:pStyle w:val="414"/>
        <w:rPr>
          <w:rtl/>
        </w:rPr>
      </w:pPr>
      <w:r w:rsidRPr="002A415A">
        <w:rPr>
          <w:rFonts w:hint="cs"/>
          <w:rtl/>
        </w:rPr>
        <w:t xml:space="preserve">דוחות מאוחדים על הביצוע הכספי </w:t>
      </w:r>
    </w:p>
    <w:p w14:paraId="13BEBDA5" w14:textId="77777777" w:rsidR="00867DA1" w:rsidRDefault="00867DA1" w:rsidP="002A415A">
      <w:pPr>
        <w:pStyle w:val="5115"/>
        <w:rPr>
          <w:rtl/>
        </w:rPr>
      </w:pPr>
      <w:r>
        <w:rPr>
          <w:rFonts w:hint="cs"/>
          <w:rtl/>
        </w:rPr>
        <w:t>הכנסות ממיסים ומאגרות</w:t>
      </w:r>
    </w:p>
    <w:p w14:paraId="5D4E2019" w14:textId="77777777" w:rsidR="00867DA1" w:rsidRDefault="00867DA1" w:rsidP="002A415A">
      <w:pPr>
        <w:pStyle w:val="100"/>
        <w:rPr>
          <w:rFonts w:eastAsiaTheme="majorEastAsia"/>
          <w:bCs/>
          <w:szCs w:val="26"/>
          <w:rtl/>
        </w:rPr>
      </w:pPr>
      <w:r>
        <w:rPr>
          <w:rFonts w:hint="cs"/>
          <w:rtl/>
        </w:rPr>
        <w:t>יתרת סעיף "הכנסות ממסים ואגרות" מסתכמת בכ-379.3 מיליארד ש"ח, ומורכבת מהכנסות ממסים ישירים וממסים עקיפים.</w:t>
      </w:r>
      <w:r>
        <w:rPr>
          <w:rFonts w:eastAsiaTheme="majorEastAsia" w:hint="cs"/>
          <w:bCs/>
          <w:szCs w:val="26"/>
          <w:rtl/>
        </w:rPr>
        <w:t xml:space="preserve"> </w:t>
      </w:r>
      <w:r>
        <w:rPr>
          <w:rFonts w:hint="cs"/>
          <w:rtl/>
        </w:rPr>
        <w:t xml:space="preserve">החשב הכללי מדגיש בביאור כי מאחר ונתוני </w:t>
      </w:r>
      <w:r w:rsidRPr="00D63EC8">
        <w:rPr>
          <w:rFonts w:hint="cs"/>
          <w:rtl/>
        </w:rPr>
        <w:t>ההכנסות ממסים ואגרות</w:t>
      </w:r>
      <w:r>
        <w:rPr>
          <w:rFonts w:hint="cs"/>
          <w:b/>
          <w:bCs/>
          <w:rtl/>
        </w:rPr>
        <w:t xml:space="preserve"> </w:t>
      </w:r>
      <w:r>
        <w:rPr>
          <w:rFonts w:hint="cs"/>
          <w:rtl/>
        </w:rPr>
        <w:t>מבוססות</w:t>
      </w:r>
      <w:r w:rsidRPr="00927896">
        <w:rPr>
          <w:rFonts w:hint="cs"/>
          <w:rtl/>
        </w:rPr>
        <w:t xml:space="preserve"> על </w:t>
      </w:r>
      <w:r>
        <w:rPr>
          <w:rFonts w:hint="cs"/>
          <w:rtl/>
        </w:rPr>
        <w:t>נתונים ממערכות ייעודיות של הישויות השונות שאינן עונות בהכרח על מכלול הצרכים החשבונאיים לניהול נתוני ההכנסות על בסיס מצטבר, תשתית הנתונים התבססה על אומדנים שונים. כמו כן, חלק מהותי מנתוני ההכנסות ממסים אינו מנוהל במתכונת המאפשרת את הצגתם באופן מהימן על בסיס מצטבר מסיבות שונות, לרבות חוסר עקביות בהגדרת יתרות החוב בתחילת השנה ובסופה, היעדר קשר חשבונאי בין מערך הגבייה במזומן למערך ניהול החייבים, חוסר יכולת טכנית להפריד את נתוני חייבים שאינם עומדים בכללי ההכרה כנכס בדוחות הכספיים וכיוצא בזה.</w:t>
      </w:r>
    </w:p>
    <w:p w14:paraId="3AAF7A03" w14:textId="77777777" w:rsidR="00867DA1" w:rsidRPr="00397BF2" w:rsidRDefault="00867DA1" w:rsidP="002A415A">
      <w:pPr>
        <w:pStyle w:val="414"/>
        <w:rPr>
          <w:rtl/>
        </w:rPr>
      </w:pPr>
      <w:r w:rsidRPr="00397BF2">
        <w:rPr>
          <w:rFonts w:hint="cs"/>
          <w:rtl/>
        </w:rPr>
        <w:t>הוצאות אחרות בגין פרישת עובדים</w:t>
      </w:r>
    </w:p>
    <w:p w14:paraId="10C6AF62" w14:textId="77777777" w:rsidR="00867DA1" w:rsidRDefault="00867DA1" w:rsidP="002A415A">
      <w:pPr>
        <w:pStyle w:val="100"/>
        <w:rPr>
          <w:rtl/>
        </w:rPr>
      </w:pPr>
      <w:r>
        <w:rPr>
          <w:rFonts w:hint="cs"/>
          <w:rtl/>
        </w:rPr>
        <w:t xml:space="preserve">יתרת הסעיף "שכר עבודה והטבות לעובדים" היא כ-92 מיליארד ש"ח. כ-5.8 מיליארד ש"ח מהם מקורם בהוצאות אחרות בגין פרישת עובדים. החשב הכללי ציין כי מאחר שבמרבית משרדי </w:t>
      </w:r>
      <w:r>
        <w:rPr>
          <w:rFonts w:hint="cs"/>
          <w:rtl/>
        </w:rPr>
        <w:lastRenderedPageBreak/>
        <w:t xml:space="preserve">הממשלה, </w:t>
      </w:r>
      <w:r w:rsidRPr="00D63EC8">
        <w:rPr>
          <w:rFonts w:hint="cs"/>
          <w:rtl/>
        </w:rPr>
        <w:t>הוצאות בגין פרישת עובדים</w:t>
      </w:r>
      <w:r>
        <w:rPr>
          <w:rFonts w:hint="cs"/>
          <w:rtl/>
        </w:rPr>
        <w:t xml:space="preserve"> אינן מנוהלות במערכות כספיות כנדרש על פי כללי חשבונאות מקובלים. הוצאות אלה מחושבות על בסיס אומדנים והערכות שונות, וייתכן כי אלה אינם מייצגים באופן נאות את מכלול ההוצאות שהתהוו על בסיס מצטבר.</w:t>
      </w:r>
    </w:p>
    <w:p w14:paraId="73489384" w14:textId="77777777" w:rsidR="00867DA1" w:rsidRDefault="00867DA1" w:rsidP="002A415A">
      <w:pPr>
        <w:pStyle w:val="414"/>
        <w:rPr>
          <w:rtl/>
        </w:rPr>
      </w:pPr>
      <w:r>
        <w:rPr>
          <w:rFonts w:hint="cs"/>
          <w:rtl/>
        </w:rPr>
        <w:t>הגירעון החשבונאי הממשלתי</w:t>
      </w:r>
    </w:p>
    <w:p w14:paraId="1A6A150E" w14:textId="77777777" w:rsidR="00867DA1" w:rsidRDefault="00867DA1" w:rsidP="002A415A">
      <w:pPr>
        <w:pStyle w:val="100"/>
        <w:rPr>
          <w:rtl/>
        </w:rPr>
      </w:pPr>
      <w:r>
        <w:rPr>
          <w:rFonts w:hint="cs"/>
          <w:rtl/>
        </w:rPr>
        <w:t xml:space="preserve">בשנת 2018 היה הגירעון החשבונאי השנתי בישראל כ-15,548 מיליוני ש"ח. בסוף שנת 2018 היה הגירעון החשבונאי המצטבר כ-1,961,242 מיליוני ש"ח. </w:t>
      </w:r>
    </w:p>
    <w:p w14:paraId="5D9E4793" w14:textId="77777777" w:rsidR="00867DA1" w:rsidRPr="00EC6942" w:rsidRDefault="00867DA1" w:rsidP="002A415A">
      <w:pPr>
        <w:pStyle w:val="af5"/>
        <w:rPr>
          <w:rtl/>
        </w:rPr>
      </w:pPr>
      <w:r w:rsidRPr="00EC6942">
        <w:rPr>
          <w:rFonts w:hint="eastAsia"/>
          <w:rtl/>
        </w:rPr>
        <w:t>החשב</w:t>
      </w:r>
      <w:r w:rsidRPr="00EC6942">
        <w:rPr>
          <w:rtl/>
        </w:rPr>
        <w:t xml:space="preserve"> </w:t>
      </w:r>
      <w:r w:rsidRPr="00EC6942">
        <w:rPr>
          <w:rFonts w:hint="eastAsia"/>
          <w:rtl/>
        </w:rPr>
        <w:t>הכללי</w:t>
      </w:r>
      <w:r w:rsidRPr="00EC6942">
        <w:rPr>
          <w:rtl/>
        </w:rPr>
        <w:t xml:space="preserve"> </w:t>
      </w:r>
      <w:r w:rsidRPr="00EC6942">
        <w:rPr>
          <w:rFonts w:hint="eastAsia"/>
          <w:rtl/>
        </w:rPr>
        <w:t>חזר</w:t>
      </w:r>
      <w:r w:rsidRPr="00EC6942">
        <w:rPr>
          <w:rtl/>
        </w:rPr>
        <w:t xml:space="preserve"> </w:t>
      </w:r>
      <w:r w:rsidRPr="00EC6942">
        <w:rPr>
          <w:rFonts w:hint="eastAsia"/>
          <w:rtl/>
        </w:rPr>
        <w:t>ו</w:t>
      </w:r>
      <w:r>
        <w:rPr>
          <w:rFonts w:hint="cs"/>
          <w:rtl/>
        </w:rPr>
        <w:t>ה</w:t>
      </w:r>
      <w:r w:rsidRPr="00EC6942">
        <w:rPr>
          <w:rFonts w:hint="eastAsia"/>
          <w:rtl/>
        </w:rPr>
        <w:t>דגיש</w:t>
      </w:r>
      <w:r w:rsidRPr="00EC6942">
        <w:rPr>
          <w:rtl/>
        </w:rPr>
        <w:t xml:space="preserve"> </w:t>
      </w:r>
      <w:r w:rsidRPr="00EC6942">
        <w:rPr>
          <w:rFonts w:hint="eastAsia"/>
          <w:rtl/>
        </w:rPr>
        <w:t>בדוחות</w:t>
      </w:r>
      <w:r w:rsidRPr="00EC6942">
        <w:rPr>
          <w:rtl/>
        </w:rPr>
        <w:t xml:space="preserve"> </w:t>
      </w:r>
      <w:r w:rsidRPr="00EC6942">
        <w:rPr>
          <w:rFonts w:hint="eastAsia"/>
          <w:rtl/>
        </w:rPr>
        <w:t>הכספיים</w:t>
      </w:r>
      <w:r w:rsidRPr="00EC6942">
        <w:rPr>
          <w:rtl/>
        </w:rPr>
        <w:t xml:space="preserve"> </w:t>
      </w:r>
      <w:r w:rsidRPr="00EC6942">
        <w:rPr>
          <w:rFonts w:hint="eastAsia"/>
          <w:rtl/>
        </w:rPr>
        <w:t>של</w:t>
      </w:r>
      <w:r w:rsidRPr="00EC6942">
        <w:rPr>
          <w:rtl/>
        </w:rPr>
        <w:t xml:space="preserve"> </w:t>
      </w:r>
      <w:r>
        <w:rPr>
          <w:rFonts w:hint="cs"/>
          <w:rtl/>
        </w:rPr>
        <w:t>המדינה</w:t>
      </w:r>
      <w:r w:rsidRPr="00EC6942">
        <w:rPr>
          <w:rtl/>
        </w:rPr>
        <w:t xml:space="preserve"> </w:t>
      </w:r>
      <w:r w:rsidRPr="00EC6942">
        <w:rPr>
          <w:rFonts w:hint="eastAsia"/>
          <w:rtl/>
        </w:rPr>
        <w:t>מדי</w:t>
      </w:r>
      <w:r w:rsidRPr="00EC6942">
        <w:rPr>
          <w:rtl/>
        </w:rPr>
        <w:t xml:space="preserve"> </w:t>
      </w:r>
      <w:r w:rsidRPr="00EC6942">
        <w:rPr>
          <w:rFonts w:hint="eastAsia"/>
          <w:rtl/>
        </w:rPr>
        <w:t>שנה</w:t>
      </w:r>
      <w:r w:rsidRPr="00EC6942">
        <w:rPr>
          <w:rtl/>
        </w:rPr>
        <w:t xml:space="preserve">, </w:t>
      </w:r>
      <w:r w:rsidRPr="00EC6942">
        <w:rPr>
          <w:rFonts w:hint="eastAsia"/>
          <w:rtl/>
        </w:rPr>
        <w:t>זה</w:t>
      </w:r>
      <w:r w:rsidRPr="00EC6942">
        <w:rPr>
          <w:rtl/>
        </w:rPr>
        <w:t xml:space="preserve"> </w:t>
      </w:r>
      <w:r w:rsidRPr="00EC6942">
        <w:rPr>
          <w:rFonts w:hint="eastAsia"/>
          <w:rtl/>
        </w:rPr>
        <w:t>שנים</w:t>
      </w:r>
      <w:r w:rsidRPr="00EC6942">
        <w:rPr>
          <w:rtl/>
        </w:rPr>
        <w:t xml:space="preserve"> </w:t>
      </w:r>
      <w:r w:rsidRPr="00EC6942">
        <w:rPr>
          <w:rFonts w:hint="eastAsia"/>
          <w:rtl/>
        </w:rPr>
        <w:t>רבות</w:t>
      </w:r>
      <w:r>
        <w:rPr>
          <w:rFonts w:hint="cs"/>
          <w:rtl/>
        </w:rPr>
        <w:t>:</w:t>
      </w:r>
      <w:r>
        <w:rPr>
          <w:rtl/>
        </w:rPr>
        <w:t xml:space="preserve"> </w:t>
      </w:r>
      <w:r w:rsidRPr="00EC6942">
        <w:rPr>
          <w:rtl/>
        </w:rPr>
        <w:t xml:space="preserve">"הגירעון </w:t>
      </w:r>
      <w:r w:rsidRPr="00EC6942">
        <w:rPr>
          <w:rFonts w:hint="eastAsia"/>
          <w:rtl/>
        </w:rPr>
        <w:t>בהון</w:t>
      </w:r>
      <w:r w:rsidRPr="00EC6942">
        <w:rPr>
          <w:rtl/>
        </w:rPr>
        <w:t xml:space="preserve"> </w:t>
      </w:r>
      <w:r w:rsidRPr="00EC6942">
        <w:rPr>
          <w:rFonts w:hint="eastAsia"/>
          <w:rtl/>
        </w:rPr>
        <w:t>הינו</w:t>
      </w:r>
      <w:r w:rsidRPr="00EC6942">
        <w:rPr>
          <w:rtl/>
        </w:rPr>
        <w:t xml:space="preserve"> מספר שיורי שאינו מייצג את הגירעון הממשלתי המצטבר, מאחר ומצבת הנכסים כפי שמוצגת בדוחות הכספיים המאוחדים איננה שלמה". </w:t>
      </w:r>
    </w:p>
    <w:p w14:paraId="7BFD73FB" w14:textId="77777777" w:rsidR="00867DA1" w:rsidRPr="00C02E69" w:rsidRDefault="00867DA1" w:rsidP="002A415A">
      <w:pPr>
        <w:pStyle w:val="100"/>
        <w:rPr>
          <w:rtl/>
        </w:rPr>
      </w:pPr>
      <w:r>
        <w:rPr>
          <w:rFonts w:hint="cs"/>
          <w:rtl/>
        </w:rPr>
        <w:t>משרד מבקר המדינה מציין כי יישום מלא של התקנים החשבונאיים הממשלתיים בדוחות הכספיים, בד בבד עם פעולה מערכתית מקיפה ויסודית לטיוב כלל הנתונים החסרים בדוחות ולהשלמתם, ובייחוד להשלמת מצבת הנכסים, כפי שמצוין גם בפרקים אחרים של דוח ביקורת זה, יגדילו את מהימנות החישוב של הגירעון החשבונאי השנתי ושל הגירעון החשבונאי המצטבר.</w:t>
      </w:r>
    </w:p>
    <w:p w14:paraId="50C84E81" w14:textId="4DD42C93" w:rsidR="002A415A" w:rsidRDefault="00867DA1" w:rsidP="002A415A">
      <w:pPr>
        <w:pStyle w:val="100"/>
        <w:rPr>
          <w:rtl/>
        </w:rPr>
      </w:pPr>
      <w:r>
        <w:rPr>
          <w:rFonts w:hint="cs"/>
          <w:rtl/>
        </w:rPr>
        <w:t>עוד בדוח קודם</w:t>
      </w:r>
      <w:r>
        <w:rPr>
          <w:rStyle w:val="FootnoteReference"/>
          <w:rtl/>
        </w:rPr>
        <w:footnoteReference w:id="51"/>
      </w:r>
      <w:r>
        <w:rPr>
          <w:rFonts w:hint="cs"/>
          <w:rtl/>
        </w:rPr>
        <w:t xml:space="preserve"> של מבקר המדינה נכתב: "מן הראוי שמשרד האוצר יצרף לדוחות הכספיים תחזיות בדבר שיעור הגירעון החשבונאי הממשלתי המצטבר כאחוז מכלל התמ"ג, כפי שנהוג במדינות המתקדמות בעולם. כך יתאפשר למקבלי ההחלטות להשתמש בדוחות הכספיים ככלי ניהולי, וכך יינתן לממשלה זמן מספיק להיערך לשינויים הצפויים בעתיד על פי תחזיות אלו ולשפר כבר כיום את איכות קבלת ההחלטות".</w:t>
      </w:r>
    </w:p>
    <w:p w14:paraId="5FBEE362" w14:textId="77777777" w:rsidR="002A415A" w:rsidRDefault="002A415A">
      <w:pPr>
        <w:bidi w:val="0"/>
        <w:spacing w:after="200" w:line="276" w:lineRule="auto"/>
        <w:rPr>
          <w:rFonts w:ascii="Tahoma" w:hAnsi="Tahoma" w:cs="Tahoma"/>
          <w:szCs w:val="20"/>
          <w:rtl/>
        </w:rPr>
      </w:pPr>
      <w:r>
        <w:rPr>
          <w:rtl/>
        </w:rPr>
        <w:br w:type="page"/>
      </w:r>
    </w:p>
    <w:p w14:paraId="3E56B5C0" w14:textId="77777777" w:rsidR="00867DA1" w:rsidRDefault="00867DA1" w:rsidP="002A415A">
      <w:pPr>
        <w:pStyle w:val="100"/>
        <w:rPr>
          <w:rtl/>
        </w:rPr>
      </w:pPr>
      <w:r w:rsidRPr="00D25610">
        <w:rPr>
          <w:rFonts w:hint="cs"/>
          <w:rtl/>
        </w:rPr>
        <w:lastRenderedPageBreak/>
        <w:t>להלן סיכום הסעיפים העיקריים בצד הנכסים ובצד ההתחייבויות שאינם מוצגים באופן שלם במאזן המדינה ל-31.12.18:</w:t>
      </w:r>
    </w:p>
    <w:p w14:paraId="290701B7" w14:textId="77777777" w:rsidR="00867DA1" w:rsidRPr="007600A9" w:rsidRDefault="00867DA1" w:rsidP="00840E7C">
      <w:pPr>
        <w:pStyle w:val="aa"/>
        <w:rPr>
          <w:rtl/>
        </w:rPr>
      </w:pPr>
      <w:r w:rsidRPr="007600A9">
        <w:rPr>
          <w:rFonts w:hint="cs"/>
          <w:rtl/>
        </w:rPr>
        <w:t xml:space="preserve">תרשים 5: </w:t>
      </w:r>
      <w:r w:rsidRPr="00840E7C">
        <w:rPr>
          <w:rFonts w:hint="cs"/>
          <w:b/>
          <w:bCs/>
          <w:rtl/>
        </w:rPr>
        <w:t>סיכום הסעיפים העיקריים בצד הנכסים ובצד ההתחייבויות שאינם מוצגים במלואם במאזן המדינה ל-31.12.18</w:t>
      </w:r>
      <w:r w:rsidRPr="007600A9">
        <w:rPr>
          <w:rFonts w:hint="cs"/>
          <w:rtl/>
        </w:rPr>
        <w:t xml:space="preserve"> </w:t>
      </w:r>
    </w:p>
    <w:p w14:paraId="0CD9A439" w14:textId="77777777" w:rsidR="00867DA1" w:rsidRDefault="00867DA1" w:rsidP="00867DA1">
      <w:pPr>
        <w:spacing w:line="269" w:lineRule="auto"/>
        <w:rPr>
          <w:rtl/>
        </w:rPr>
      </w:pPr>
    </w:p>
    <w:p w14:paraId="147DD0E9" w14:textId="77777777" w:rsidR="00867DA1" w:rsidRDefault="00867DA1" w:rsidP="00867DA1">
      <w:pPr>
        <w:spacing w:line="269" w:lineRule="auto"/>
        <w:rPr>
          <w:rtl/>
        </w:rPr>
      </w:pPr>
      <w:r>
        <w:rPr>
          <w:noProof/>
          <w:rtl/>
        </w:rPr>
        <w:drawing>
          <wp:inline distT="0" distB="0" distL="0" distR="0" wp14:anchorId="13727FE4" wp14:editId="2AA109B3">
            <wp:extent cx="5219700" cy="3111744"/>
            <wp:effectExtent l="0" t="0" r="0" b="12700"/>
            <wp:docPr id="24" name="דיאגרמה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9C448F2" w14:textId="77777777" w:rsidR="00867DA1" w:rsidRPr="00686E7D" w:rsidRDefault="00867DA1" w:rsidP="00840E7C">
      <w:pPr>
        <w:pStyle w:val="ac"/>
        <w:rPr>
          <w:rtl/>
        </w:rPr>
      </w:pPr>
      <w:r w:rsidRPr="00686E7D">
        <w:rPr>
          <w:rFonts w:hint="cs"/>
          <w:rtl/>
        </w:rPr>
        <w:t xml:space="preserve">על פני נתוני הדוחות הכספיים של מדינת ישראל לשנת 2018 בעיבוד משרד מבקר המדינה </w:t>
      </w:r>
    </w:p>
    <w:p w14:paraId="3A2F3EA3" w14:textId="615DEAB2" w:rsidR="00867DA1" w:rsidRDefault="00867DA1" w:rsidP="00867DA1">
      <w:pPr>
        <w:spacing w:line="269" w:lineRule="auto"/>
        <w:rPr>
          <w:rtl/>
        </w:rPr>
      </w:pPr>
    </w:p>
    <w:p w14:paraId="4182BB12" w14:textId="77777777" w:rsidR="00867DA1" w:rsidRPr="006F2915" w:rsidRDefault="00867DA1" w:rsidP="00840E7C">
      <w:pPr>
        <w:pStyle w:val="af5"/>
        <w:rPr>
          <w:rtl/>
        </w:rPr>
      </w:pPr>
      <w:r>
        <w:rPr>
          <w:rFonts w:hint="cs"/>
          <w:rtl/>
        </w:rPr>
        <w:t xml:space="preserve">בדיקת משרד מבקר המדינה העלתה כי אומנם </w:t>
      </w:r>
      <w:r w:rsidRPr="006F2915">
        <w:rPr>
          <w:rFonts w:hint="cs"/>
          <w:rtl/>
        </w:rPr>
        <w:t xml:space="preserve">תהליך </w:t>
      </w:r>
      <w:r>
        <w:rPr>
          <w:rFonts w:hint="cs"/>
          <w:rtl/>
        </w:rPr>
        <w:t xml:space="preserve">יישום הרפורמה בחשבונאות הממשלתית שאגף החשב הכללי מוביל עשה כברת דרך מאז החל, בראשית שנות האלפיים, אך בשנים האחרונות לא חלה התקדמות ניכרת בתחום זה. </w:t>
      </w:r>
      <w:r w:rsidRPr="006F2915">
        <w:rPr>
          <w:rFonts w:hint="cs"/>
          <w:rtl/>
        </w:rPr>
        <w:t xml:space="preserve">הדוחות הכספיים </w:t>
      </w:r>
      <w:r>
        <w:rPr>
          <w:rFonts w:hint="cs"/>
          <w:rtl/>
        </w:rPr>
        <w:t xml:space="preserve">המאוחדים </w:t>
      </w:r>
      <w:r w:rsidRPr="006F2915">
        <w:rPr>
          <w:rFonts w:hint="cs"/>
          <w:rtl/>
        </w:rPr>
        <w:t xml:space="preserve">של </w:t>
      </w:r>
      <w:r>
        <w:rPr>
          <w:rFonts w:hint="cs"/>
          <w:rtl/>
        </w:rPr>
        <w:t xml:space="preserve">המדינה </w:t>
      </w:r>
      <w:r w:rsidRPr="006F2915">
        <w:rPr>
          <w:rFonts w:hint="cs"/>
          <w:rtl/>
        </w:rPr>
        <w:t>עדיין אינם מבוקרים</w:t>
      </w:r>
      <w:r>
        <w:rPr>
          <w:rFonts w:hint="cs"/>
          <w:rtl/>
        </w:rPr>
        <w:t xml:space="preserve"> (הגם ש-65 מבין 81 דוחות של משרדי הממשלה ויחידות הסמך כבר מבוססים על דוחות מבוקרים לשנת 2018</w:t>
      </w:r>
      <w:r w:rsidRPr="007467F9">
        <w:rPr>
          <w:rStyle w:val="FootnoteReference"/>
          <w:rtl/>
        </w:rPr>
        <w:footnoteReference w:id="52"/>
      </w:r>
      <w:r>
        <w:rPr>
          <w:rFonts w:hint="cs"/>
          <w:rtl/>
        </w:rPr>
        <w:t>),</w:t>
      </w:r>
      <w:r w:rsidRPr="006F2915">
        <w:rPr>
          <w:rFonts w:hint="cs"/>
          <w:rtl/>
        </w:rPr>
        <w:t xml:space="preserve"> מצבת הנכסים וההתחייבויות המוצגת בהם אינה שלמה</w:t>
      </w:r>
      <w:r>
        <w:rPr>
          <w:rFonts w:hint="cs"/>
          <w:rtl/>
        </w:rPr>
        <w:t>,</w:t>
      </w:r>
      <w:r w:rsidRPr="006F2915">
        <w:rPr>
          <w:rFonts w:hint="cs"/>
          <w:rtl/>
        </w:rPr>
        <w:t xml:space="preserve"> ו</w:t>
      </w:r>
      <w:r>
        <w:rPr>
          <w:rFonts w:hint="cs"/>
          <w:rtl/>
        </w:rPr>
        <w:t>יש בדוחות</w:t>
      </w:r>
      <w:r w:rsidRPr="006F2915">
        <w:rPr>
          <w:rFonts w:hint="cs"/>
          <w:rtl/>
        </w:rPr>
        <w:t xml:space="preserve"> הסתייגויות רבות </w:t>
      </w:r>
      <w:r>
        <w:rPr>
          <w:rFonts w:hint="cs"/>
          <w:rtl/>
        </w:rPr>
        <w:t xml:space="preserve">ומשמעותיות </w:t>
      </w:r>
      <w:r w:rsidRPr="006F2915">
        <w:rPr>
          <w:rFonts w:hint="cs"/>
          <w:rtl/>
        </w:rPr>
        <w:t>בדבר המידע המוצג</w:t>
      </w:r>
      <w:r>
        <w:rPr>
          <w:rFonts w:hint="cs"/>
          <w:rtl/>
        </w:rPr>
        <w:t xml:space="preserve"> בהם</w:t>
      </w:r>
      <w:r w:rsidRPr="006F2915">
        <w:rPr>
          <w:rFonts w:hint="cs"/>
          <w:rtl/>
        </w:rPr>
        <w:t>.</w:t>
      </w:r>
    </w:p>
    <w:p w14:paraId="38599D1C" w14:textId="77777777" w:rsidR="00867DA1" w:rsidRDefault="00867DA1" w:rsidP="00840E7C">
      <w:pPr>
        <w:pStyle w:val="af5"/>
        <w:rPr>
          <w:rtl/>
        </w:rPr>
      </w:pPr>
      <w:r w:rsidRPr="006F2915">
        <w:rPr>
          <w:rFonts w:hint="cs"/>
          <w:rtl/>
        </w:rPr>
        <w:lastRenderedPageBreak/>
        <w:t xml:space="preserve">על החשב הכללי להכין תכנית </w:t>
      </w:r>
      <w:r>
        <w:rPr>
          <w:rFonts w:hint="cs"/>
          <w:rtl/>
        </w:rPr>
        <w:t>עבודה</w:t>
      </w:r>
      <w:r w:rsidRPr="006F2915">
        <w:rPr>
          <w:rFonts w:hint="cs"/>
          <w:rtl/>
        </w:rPr>
        <w:t xml:space="preserve"> רב שנתית ל</w:t>
      </w:r>
      <w:r>
        <w:rPr>
          <w:rFonts w:hint="cs"/>
          <w:rtl/>
        </w:rPr>
        <w:t>ביקורת ה</w:t>
      </w:r>
      <w:r w:rsidRPr="006F2915">
        <w:rPr>
          <w:rFonts w:hint="cs"/>
          <w:rtl/>
        </w:rPr>
        <w:t xml:space="preserve">דוחות הכספיים של </w:t>
      </w:r>
      <w:r>
        <w:rPr>
          <w:rFonts w:hint="cs"/>
          <w:rtl/>
        </w:rPr>
        <w:t>המדינה המבוססת, בין היתר, על ההשלמות הנדרשות בסעיפי הנכסים וההתחייבויות השונים,</w:t>
      </w:r>
      <w:r w:rsidRPr="006F2915">
        <w:rPr>
          <w:rFonts w:hint="cs"/>
          <w:rtl/>
        </w:rPr>
        <w:t xml:space="preserve"> </w:t>
      </w:r>
      <w:r>
        <w:rPr>
          <w:rFonts w:hint="cs"/>
          <w:rtl/>
        </w:rPr>
        <w:t>שבעקבות</w:t>
      </w:r>
      <w:r w:rsidRPr="006F2915">
        <w:rPr>
          <w:rFonts w:hint="cs"/>
          <w:rtl/>
        </w:rPr>
        <w:t xml:space="preserve"> יישומה </w:t>
      </w:r>
      <w:r>
        <w:rPr>
          <w:rFonts w:hint="cs"/>
          <w:rtl/>
        </w:rPr>
        <w:t xml:space="preserve">ניתן יהיה לבקר את </w:t>
      </w:r>
      <w:r w:rsidRPr="006F2915">
        <w:rPr>
          <w:rFonts w:hint="cs"/>
          <w:rtl/>
        </w:rPr>
        <w:t>הדוחות הכספיים</w:t>
      </w:r>
      <w:r>
        <w:rPr>
          <w:rFonts w:hint="cs"/>
          <w:rtl/>
        </w:rPr>
        <w:t xml:space="preserve"> של המדינה. דוחות מבוקרים אלו</w:t>
      </w:r>
      <w:r w:rsidRPr="006F2915">
        <w:rPr>
          <w:rFonts w:hint="cs"/>
          <w:rtl/>
        </w:rPr>
        <w:t xml:space="preserve"> </w:t>
      </w:r>
      <w:r>
        <w:rPr>
          <w:rFonts w:hint="cs"/>
          <w:rtl/>
        </w:rPr>
        <w:t>ש</w:t>
      </w:r>
      <w:r w:rsidRPr="006F2915">
        <w:rPr>
          <w:rFonts w:hint="cs"/>
          <w:rtl/>
        </w:rPr>
        <w:t xml:space="preserve">יכללו </w:t>
      </w:r>
      <w:r>
        <w:rPr>
          <w:rFonts w:hint="cs"/>
          <w:rtl/>
        </w:rPr>
        <w:t>מידע שלם ואמין</w:t>
      </w:r>
      <w:r w:rsidRPr="006F2915">
        <w:rPr>
          <w:rFonts w:hint="cs"/>
          <w:rtl/>
        </w:rPr>
        <w:t xml:space="preserve"> </w:t>
      </w:r>
      <w:r>
        <w:rPr>
          <w:rFonts w:hint="cs"/>
          <w:rtl/>
        </w:rPr>
        <w:t>על מצבה הכספי של המדינה יספקו</w:t>
      </w:r>
      <w:r w:rsidRPr="00BB419A">
        <w:rPr>
          <w:rFonts w:hint="cs"/>
          <w:rtl/>
        </w:rPr>
        <w:t xml:space="preserve"> </w:t>
      </w:r>
      <w:r>
        <w:rPr>
          <w:rFonts w:hint="cs"/>
          <w:rtl/>
        </w:rPr>
        <w:t>את ה</w:t>
      </w:r>
      <w:r w:rsidRPr="00BB419A">
        <w:rPr>
          <w:rFonts w:hint="cs"/>
          <w:rtl/>
        </w:rPr>
        <w:t xml:space="preserve">מידע </w:t>
      </w:r>
      <w:r>
        <w:rPr>
          <w:rFonts w:hint="cs"/>
          <w:rtl/>
        </w:rPr>
        <w:t>הש</w:t>
      </w:r>
      <w:r w:rsidRPr="00BB419A">
        <w:rPr>
          <w:rFonts w:hint="cs"/>
          <w:rtl/>
        </w:rPr>
        <w:t xml:space="preserve">ימושי </w:t>
      </w:r>
      <w:r>
        <w:rPr>
          <w:rFonts w:hint="cs"/>
          <w:rtl/>
        </w:rPr>
        <w:t xml:space="preserve">הנדרש </w:t>
      </w:r>
      <w:r w:rsidRPr="00BB419A">
        <w:rPr>
          <w:rFonts w:hint="cs"/>
          <w:rtl/>
        </w:rPr>
        <w:t xml:space="preserve">לקבלת החלטות </w:t>
      </w:r>
      <w:r>
        <w:rPr>
          <w:rFonts w:hint="cs"/>
          <w:rtl/>
        </w:rPr>
        <w:t>בנוגע</w:t>
      </w:r>
      <w:r w:rsidRPr="00BB419A">
        <w:rPr>
          <w:rFonts w:hint="cs"/>
          <w:rtl/>
        </w:rPr>
        <w:t xml:space="preserve"> להקצאת המשאבים, </w:t>
      </w:r>
      <w:r>
        <w:rPr>
          <w:rFonts w:hint="cs"/>
          <w:rtl/>
        </w:rPr>
        <w:t>ויראו</w:t>
      </w:r>
      <w:r w:rsidRPr="00BB419A">
        <w:rPr>
          <w:rFonts w:hint="cs"/>
          <w:rtl/>
        </w:rPr>
        <w:t xml:space="preserve"> כיצד נושאת </w:t>
      </w:r>
      <w:r>
        <w:rPr>
          <w:rFonts w:hint="cs"/>
          <w:rtl/>
        </w:rPr>
        <w:t>הממשלה</w:t>
      </w:r>
      <w:r w:rsidRPr="00BB419A">
        <w:rPr>
          <w:rFonts w:hint="cs"/>
          <w:rtl/>
        </w:rPr>
        <w:t xml:space="preserve"> במחויבות הציבורית (</w:t>
      </w:r>
      <w:r>
        <w:rPr>
          <w:rFonts w:hint="cs"/>
        </w:rPr>
        <w:t>A</w:t>
      </w:r>
      <w:r w:rsidRPr="00BB419A">
        <w:t>ccountability</w:t>
      </w:r>
      <w:r w:rsidRPr="00BB419A">
        <w:rPr>
          <w:rFonts w:hint="cs"/>
          <w:rtl/>
        </w:rPr>
        <w:t xml:space="preserve">) </w:t>
      </w:r>
      <w:r>
        <w:rPr>
          <w:rFonts w:hint="cs"/>
          <w:rtl/>
        </w:rPr>
        <w:t>בנוגע ל</w:t>
      </w:r>
      <w:r w:rsidRPr="00BB419A">
        <w:rPr>
          <w:rFonts w:hint="cs"/>
          <w:rtl/>
        </w:rPr>
        <w:t>משאבים</w:t>
      </w:r>
      <w:r>
        <w:rPr>
          <w:rFonts w:hint="cs"/>
          <w:rtl/>
        </w:rPr>
        <w:t xml:space="preserve"> שהופקדו בידיה. </w:t>
      </w:r>
    </w:p>
    <w:p w14:paraId="7E947091" w14:textId="77777777" w:rsidR="00867DA1" w:rsidRDefault="00867DA1" w:rsidP="00840E7C">
      <w:pPr>
        <w:pStyle w:val="af5"/>
        <w:rPr>
          <w:rtl/>
        </w:rPr>
      </w:pPr>
      <w:r>
        <w:rPr>
          <w:rFonts w:hint="cs"/>
          <w:rtl/>
        </w:rPr>
        <w:t>לצורך כך מוצע כי החשב הכללי יבחן הסדרת קיומם של כלים מתאימים בידי החשבונאים הראשיים</w:t>
      </w:r>
      <w:r>
        <w:rPr>
          <w:rStyle w:val="FootnoteReference"/>
          <w:b/>
          <w:bCs/>
          <w:rtl/>
        </w:rPr>
        <w:footnoteReference w:id="53"/>
      </w:r>
      <w:r>
        <w:rPr>
          <w:rFonts w:hint="cs"/>
          <w:rtl/>
        </w:rPr>
        <w:t xml:space="preserve"> בכל משרד ממשלתי או יחידת סמך, ובכלל זה קיומה של תקינה חשבונאית ממשלתית איכותית והוראות תכ"ם מפורטות ליישומה, זאת לצד מתן מענה מקצועי ומהיר לנציגיו בכל משרדי הממשלה וניתוח פערים נוספים ככל שקיימים לצורך קידום ביקורת הדוחות הכספיים של המדינה. </w:t>
      </w:r>
    </w:p>
    <w:p w14:paraId="250649B2" w14:textId="77777777" w:rsidR="00867DA1" w:rsidRPr="00EC6942" w:rsidRDefault="00867DA1" w:rsidP="00840E7C">
      <w:pPr>
        <w:pStyle w:val="100"/>
        <w:rPr>
          <w:bCs/>
          <w:rtl/>
        </w:rPr>
      </w:pPr>
      <w:r>
        <w:rPr>
          <w:rFonts w:hint="cs"/>
          <w:rtl/>
        </w:rPr>
        <w:t xml:space="preserve">החשבונאי הראשי ציין בתשובתו כי לאור הערת המבקר לגבי הביקורת על הדוחות הכספיים הכלליים, החשב הכללי יבחן בשנים הקרובות את אופן עריכת הביקורת על הדוחות הכספיים, למשל באמצעות יחידת הביקורת שלו, תוך הקמת אורגן שיהיה אחראי על ביקורת הדוחות הכספיים. עוד טען החשבונאי הראשי כי אין עליו חובה חוקית להגיש דוח כספי מבוקר של הממשלה, אך יחד עם זאת הוא שם לו זאת למטרה. </w:t>
      </w:r>
    </w:p>
    <w:p w14:paraId="7FA4EE87" w14:textId="77777777" w:rsidR="00867DA1" w:rsidRPr="0064473A" w:rsidRDefault="00867DA1" w:rsidP="00840E7C">
      <w:pPr>
        <w:pStyle w:val="316"/>
        <w:rPr>
          <w:rtl/>
        </w:rPr>
      </w:pPr>
      <w:r w:rsidRPr="0064473A">
        <w:rPr>
          <w:rFonts w:hint="cs"/>
          <w:rtl/>
        </w:rPr>
        <w:t xml:space="preserve">קשיים </w:t>
      </w:r>
      <w:r>
        <w:rPr>
          <w:rFonts w:hint="cs"/>
          <w:rtl/>
        </w:rPr>
        <w:t xml:space="preserve">שרואי החשבון המבקרים את </w:t>
      </w:r>
      <w:r w:rsidRPr="0064473A">
        <w:rPr>
          <w:rFonts w:hint="cs"/>
          <w:rtl/>
        </w:rPr>
        <w:t xml:space="preserve">הדוחות הכספיים </w:t>
      </w:r>
      <w:r>
        <w:rPr>
          <w:rFonts w:hint="cs"/>
          <w:rtl/>
        </w:rPr>
        <w:t xml:space="preserve">של </w:t>
      </w:r>
      <w:r w:rsidRPr="0064473A">
        <w:rPr>
          <w:rFonts w:hint="cs"/>
          <w:rtl/>
        </w:rPr>
        <w:t xml:space="preserve">משרדי </w:t>
      </w:r>
      <w:r>
        <w:rPr>
          <w:rFonts w:hint="cs"/>
          <w:rtl/>
        </w:rPr>
        <w:t>ה</w:t>
      </w:r>
      <w:r w:rsidRPr="0064473A">
        <w:rPr>
          <w:rFonts w:hint="cs"/>
          <w:rtl/>
        </w:rPr>
        <w:t xml:space="preserve">ממשלה </w:t>
      </w:r>
      <w:r>
        <w:rPr>
          <w:rFonts w:hint="cs"/>
          <w:rtl/>
        </w:rPr>
        <w:t>נתקלים בהם</w:t>
      </w:r>
    </w:p>
    <w:p w14:paraId="735ECCC9" w14:textId="77777777" w:rsidR="00867DA1" w:rsidRDefault="00867DA1" w:rsidP="00840E7C">
      <w:pPr>
        <w:pStyle w:val="100"/>
        <w:rPr>
          <w:rtl/>
        </w:rPr>
      </w:pPr>
      <w:r w:rsidRPr="00AE56A8">
        <w:rPr>
          <w:rtl/>
        </w:rPr>
        <w:t xml:space="preserve">הדוחות הכספיים של </w:t>
      </w:r>
      <w:r>
        <w:rPr>
          <w:rFonts w:hint="cs"/>
          <w:rtl/>
        </w:rPr>
        <w:t>משרדי הממשלה</w:t>
      </w:r>
      <w:r w:rsidRPr="00AE56A8">
        <w:rPr>
          <w:rtl/>
        </w:rPr>
        <w:t xml:space="preserve"> </w:t>
      </w:r>
      <w:r>
        <w:rPr>
          <w:rFonts w:hint="cs"/>
          <w:rtl/>
        </w:rPr>
        <w:t>מבוססים על פעילותם של שלושה גורמים</w:t>
      </w:r>
      <w:r w:rsidRPr="00AE56A8">
        <w:rPr>
          <w:rtl/>
        </w:rPr>
        <w:t>: הוועדה לתקינה חשבונאית ממשלתית</w:t>
      </w:r>
      <w:r>
        <w:rPr>
          <w:rFonts w:hint="cs"/>
          <w:rtl/>
        </w:rPr>
        <w:t xml:space="preserve"> - גוף</w:t>
      </w:r>
      <w:r w:rsidRPr="00AE56A8">
        <w:rPr>
          <w:rtl/>
        </w:rPr>
        <w:t xml:space="preserve"> הקובע את כללי החשבונאות והדיווח הכספי לממשלה; משרדי הממשלה</w:t>
      </w:r>
      <w:r>
        <w:rPr>
          <w:rFonts w:hint="cs"/>
          <w:rtl/>
        </w:rPr>
        <w:t xml:space="preserve"> </w:t>
      </w:r>
      <w:r>
        <w:rPr>
          <w:rFonts w:ascii="David" w:hAnsi="David" w:hint="cs"/>
          <w:rtl/>
        </w:rPr>
        <w:t>-</w:t>
      </w:r>
      <w:r w:rsidRPr="00AE56A8">
        <w:rPr>
          <w:rtl/>
        </w:rPr>
        <w:t xml:space="preserve"> העורכים את הדוחות הכספיים בהתאם לכללים שקבע</w:t>
      </w:r>
      <w:r>
        <w:rPr>
          <w:rFonts w:hint="cs"/>
          <w:rtl/>
        </w:rPr>
        <w:t xml:space="preserve"> החשכ"ל</w:t>
      </w:r>
      <w:r w:rsidRPr="00AE56A8">
        <w:rPr>
          <w:rtl/>
        </w:rPr>
        <w:t>; משרדי רו</w:t>
      </w:r>
      <w:r>
        <w:rPr>
          <w:rFonts w:hint="cs"/>
          <w:rtl/>
        </w:rPr>
        <w:t>אי חשבון</w:t>
      </w:r>
      <w:r w:rsidRPr="00AE56A8">
        <w:rPr>
          <w:rtl/>
        </w:rPr>
        <w:t xml:space="preserve"> חיצוניים</w:t>
      </w:r>
      <w:r>
        <w:rPr>
          <w:rFonts w:hint="cs"/>
          <w:rtl/>
        </w:rPr>
        <w:t xml:space="preserve"> </w:t>
      </w:r>
      <w:r>
        <w:rPr>
          <w:rFonts w:ascii="David" w:hAnsi="David" w:hint="cs"/>
          <w:rtl/>
        </w:rPr>
        <w:t>-</w:t>
      </w:r>
      <w:r>
        <w:rPr>
          <w:rFonts w:hint="cs"/>
          <w:rtl/>
        </w:rPr>
        <w:t xml:space="preserve"> המבקרים את </w:t>
      </w:r>
      <w:r w:rsidRPr="00AE56A8">
        <w:rPr>
          <w:rtl/>
        </w:rPr>
        <w:t xml:space="preserve">הדוחות הכספיים של משרדי הממשלה בהנחייתו של </w:t>
      </w:r>
      <w:r>
        <w:rPr>
          <w:rFonts w:hint="cs"/>
          <w:rtl/>
        </w:rPr>
        <w:t>החשבונאי הראשי ב</w:t>
      </w:r>
      <w:r w:rsidRPr="00AE56A8">
        <w:rPr>
          <w:rtl/>
        </w:rPr>
        <w:t>אגף החשכ"ל.</w:t>
      </w:r>
    </w:p>
    <w:p w14:paraId="254A1821" w14:textId="77777777" w:rsidR="00867DA1" w:rsidRDefault="00867DA1" w:rsidP="00840E7C">
      <w:pPr>
        <w:pStyle w:val="100"/>
        <w:rPr>
          <w:rtl/>
        </w:rPr>
      </w:pPr>
      <w:r>
        <w:rPr>
          <w:rFonts w:hint="cs"/>
          <w:rtl/>
        </w:rPr>
        <w:t xml:space="preserve">בדיקת מבקר המדינה העלתה כי רואי החשבון המבקרים את הדוחות הכספיים של משרדי הממשלה נתקלים בכמה קשיים: </w:t>
      </w:r>
    </w:p>
    <w:p w14:paraId="75ECA1BB" w14:textId="77777777" w:rsidR="00867DA1" w:rsidRDefault="00867DA1" w:rsidP="00840E7C">
      <w:pPr>
        <w:pStyle w:val="414"/>
        <w:rPr>
          <w:rtl/>
        </w:rPr>
      </w:pPr>
      <w:r>
        <w:rPr>
          <w:rFonts w:hint="cs"/>
          <w:rtl/>
        </w:rPr>
        <w:t xml:space="preserve">היעדר חתימה על מכתב התקשרות </w:t>
      </w:r>
    </w:p>
    <w:p w14:paraId="7670DF75" w14:textId="77777777" w:rsidR="00867DA1" w:rsidRDefault="00867DA1" w:rsidP="00840E7C">
      <w:pPr>
        <w:pStyle w:val="100"/>
        <w:rPr>
          <w:rtl/>
        </w:rPr>
      </w:pPr>
      <w:r>
        <w:rPr>
          <w:rFonts w:hint="cs"/>
          <w:rtl/>
        </w:rPr>
        <w:t>לשכת רואי החשבון בישראל קבעה בגילוי דעת מס' 91</w:t>
      </w:r>
      <w:r>
        <w:rPr>
          <w:rStyle w:val="FootnoteReference"/>
          <w:rtl/>
        </w:rPr>
        <w:footnoteReference w:id="54"/>
      </w:r>
      <w:r>
        <w:rPr>
          <w:rFonts w:hint="cs"/>
          <w:rtl/>
        </w:rPr>
        <w:t xml:space="preserve"> כי מבקר יתחיל בעבודת הביקורת רק לאחר שערך מכתב התקשרות לביצוע הביקורת על הדוחות הכספיים וחתם עליו, והמבוקר אישר </w:t>
      </w:r>
      <w:r>
        <w:rPr>
          <w:rFonts w:hint="cs"/>
          <w:rtl/>
        </w:rPr>
        <w:lastRenderedPageBreak/>
        <w:t>בכתב את הסכמתו לאמור במכתב ההתקשרות. מכתב ההתקשרות מופנה אל יו"ר הדירקטוריון והמנכ"ל שלו (ובנוגע למבוקר שאינו חברה - באמצעות בעלי תפקידים המקבילים לאלה), והם מאשרים אותה בחתימותיהם.</w:t>
      </w:r>
    </w:p>
    <w:p w14:paraId="32FC01B4" w14:textId="77777777" w:rsidR="00867DA1" w:rsidRDefault="00867DA1" w:rsidP="00840E7C">
      <w:pPr>
        <w:pStyle w:val="af5"/>
        <w:rPr>
          <w:rtl/>
        </w:rPr>
      </w:pPr>
      <w:r>
        <w:rPr>
          <w:rFonts w:hint="cs"/>
          <w:rtl/>
        </w:rPr>
        <w:t>בפגישות בין צוות הביקורת למשרדי רואי חשבון נמצא כי מספר רב של בעלי תפקידים במשרדי הממשלה מסרבים לחתום על מכתב התקשרות לצורך עריכת ביקורת. מ</w:t>
      </w:r>
      <w:r w:rsidRPr="004E7BCF">
        <w:rPr>
          <w:rFonts w:hint="cs"/>
          <w:rtl/>
        </w:rPr>
        <w:t>המידע שהתקבל מהחשבונאים הראש</w:t>
      </w:r>
      <w:r>
        <w:rPr>
          <w:rFonts w:hint="cs"/>
          <w:rtl/>
        </w:rPr>
        <w:t>י</w:t>
      </w:r>
      <w:r w:rsidRPr="004E7BCF">
        <w:rPr>
          <w:rFonts w:hint="cs"/>
          <w:rtl/>
        </w:rPr>
        <w:t>ים ב</w:t>
      </w:r>
      <w:r>
        <w:rPr>
          <w:rFonts w:hint="cs"/>
          <w:rtl/>
        </w:rPr>
        <w:t>תשובה ל</w:t>
      </w:r>
      <w:r w:rsidRPr="004E7BCF">
        <w:rPr>
          <w:rFonts w:hint="cs"/>
          <w:rtl/>
        </w:rPr>
        <w:t xml:space="preserve">שאלון </w:t>
      </w:r>
      <w:r>
        <w:rPr>
          <w:rFonts w:hint="cs"/>
          <w:rtl/>
        </w:rPr>
        <w:t xml:space="preserve">עולה כי כ-25% מהישויות הממשלתיות לא חתמו על מכתב התקשרות. כאמור, רואה החשבון המבקר אינו רשאי להתחיל את הליך הביקורת עד החתימה. </w:t>
      </w:r>
    </w:p>
    <w:p w14:paraId="3576393C" w14:textId="77777777" w:rsidR="00867DA1" w:rsidRDefault="00867DA1" w:rsidP="00327EA7">
      <w:pPr>
        <w:pStyle w:val="414"/>
        <w:rPr>
          <w:rtl/>
        </w:rPr>
      </w:pPr>
      <w:r>
        <w:rPr>
          <w:rFonts w:hint="cs"/>
          <w:rtl/>
        </w:rPr>
        <w:t>הגבלת גישה למערכות מחשוב</w:t>
      </w:r>
      <w:r>
        <w:rPr>
          <w:rtl/>
        </w:rPr>
        <w:tab/>
      </w:r>
    </w:p>
    <w:p w14:paraId="7972F48C" w14:textId="77777777" w:rsidR="00867DA1" w:rsidRPr="00845A47" w:rsidRDefault="00867DA1" w:rsidP="00327EA7">
      <w:pPr>
        <w:pStyle w:val="100"/>
      </w:pPr>
      <w:r w:rsidRPr="00845A47">
        <w:rPr>
          <w:rtl/>
        </w:rPr>
        <w:t xml:space="preserve">תקנות רואי-חשבון (דרך פעולתו של רואה-חשבון), התשל"ג-1973 (להלן - תקנות רואי חשבון), </w:t>
      </w:r>
      <w:r>
        <w:rPr>
          <w:rFonts w:hint="cs"/>
          <w:rtl/>
        </w:rPr>
        <w:t>מתייחסות ל</w:t>
      </w:r>
      <w:r w:rsidRPr="00845A47">
        <w:rPr>
          <w:rtl/>
        </w:rPr>
        <w:t>חוות הדעת ש</w:t>
      </w:r>
      <w:r>
        <w:rPr>
          <w:rFonts w:hint="cs"/>
          <w:rtl/>
        </w:rPr>
        <w:t xml:space="preserve">על רואה החשבון </w:t>
      </w:r>
      <w:r w:rsidRPr="00845A47">
        <w:rPr>
          <w:rtl/>
        </w:rPr>
        <w:t xml:space="preserve">המבקר </w:t>
      </w:r>
      <w:r>
        <w:rPr>
          <w:rFonts w:hint="cs"/>
          <w:rtl/>
        </w:rPr>
        <w:t xml:space="preserve">לתת </w:t>
      </w:r>
      <w:r w:rsidRPr="00845A47">
        <w:rPr>
          <w:rtl/>
        </w:rPr>
        <w:t>בנוגע לנאותות הדוחות הכספיים</w:t>
      </w:r>
      <w:r>
        <w:rPr>
          <w:rFonts w:hint="cs"/>
          <w:rtl/>
        </w:rPr>
        <w:t>. נקבע בהן כי</w:t>
      </w:r>
      <w:r w:rsidRPr="00845A47">
        <w:rPr>
          <w:rtl/>
        </w:rPr>
        <w:t xml:space="preserve"> </w:t>
      </w:r>
      <w:r>
        <w:rPr>
          <w:rFonts w:hint="cs"/>
          <w:rtl/>
        </w:rPr>
        <w:t>אם</w:t>
      </w:r>
      <w:r w:rsidRPr="00845A47">
        <w:rPr>
          <w:rtl/>
        </w:rPr>
        <w:t xml:space="preserve"> יש </w:t>
      </w:r>
      <w:r>
        <w:rPr>
          <w:rFonts w:hint="cs"/>
          <w:rtl/>
        </w:rPr>
        <w:t>ב</w:t>
      </w:r>
      <w:r w:rsidRPr="00845A47">
        <w:rPr>
          <w:rtl/>
        </w:rPr>
        <w:t>נתונים הכספיים המצויים בדוחות הכספיים</w:t>
      </w:r>
      <w:r>
        <w:rPr>
          <w:rFonts w:hint="cs"/>
          <w:rtl/>
        </w:rPr>
        <w:t xml:space="preserve"> ליקויים</w:t>
      </w:r>
      <w:r w:rsidRPr="00845A47">
        <w:rPr>
          <w:rtl/>
        </w:rPr>
        <w:t>, רו</w:t>
      </w:r>
      <w:r>
        <w:rPr>
          <w:rFonts w:hint="cs"/>
          <w:rtl/>
        </w:rPr>
        <w:t>אה החשבון</w:t>
      </w:r>
      <w:r w:rsidRPr="00845A47">
        <w:rPr>
          <w:rtl/>
        </w:rPr>
        <w:t xml:space="preserve"> מחויב להסתייג מפריטים מסוימים או מהדוח הכספי כולו, להימנע ממתן חוות דעת על הדוח או לתת חוות דעת שלילית</w:t>
      </w:r>
      <w:r>
        <w:rPr>
          <w:rFonts w:hint="cs"/>
          <w:rtl/>
        </w:rPr>
        <w:t>.</w:t>
      </w:r>
    </w:p>
    <w:p w14:paraId="4579ACDE" w14:textId="77777777" w:rsidR="00867DA1" w:rsidRDefault="00867DA1" w:rsidP="00327EA7">
      <w:pPr>
        <w:pStyle w:val="100"/>
        <w:rPr>
          <w:rtl/>
        </w:rPr>
      </w:pPr>
      <w:r>
        <w:rPr>
          <w:rFonts w:hint="cs"/>
          <w:rtl/>
        </w:rPr>
        <w:t xml:space="preserve">בנספח א' לדוחות הכספיים של המדינה מפורטים רשימת הישויות הנכללות בדיווח הכספי בשנת 2018 ומידע בדבר חוות הדעת של רואי החשבון החיצוניים על דוחותיהן הכספיים (אם בוקרו) - חוות דעת חלקה או חוות דעת מסויגת. </w:t>
      </w:r>
    </w:p>
    <w:p w14:paraId="0AB57E1C" w14:textId="77777777" w:rsidR="00867DA1" w:rsidRDefault="00867DA1" w:rsidP="00327EA7">
      <w:pPr>
        <w:pStyle w:val="100"/>
        <w:rPr>
          <w:rtl/>
        </w:rPr>
      </w:pPr>
      <w:r>
        <w:rPr>
          <w:rFonts w:hint="cs"/>
          <w:rtl/>
        </w:rPr>
        <w:t xml:space="preserve">בגילוי דעת מס' 72 של לשכת רואי החשבון נקבע כי חוות דעת מסויגת תינתן אם קיימת סיבה מהותית המביאה את המבקר למסקנה שאינו יכול לחוות דעה בלתי מסויגת, אך ההשפעה של אותה סיבה אינה כה מהותית כדי לחייב חוות דעת שלילית או הימנעות מחוות דעת. עוד נקבע בגילוי הדעת כי המבקר יסתייג אם יש הגבלה בביקורת, כלומר אם המבקר לא נקט נוהלי ביקורת שראה בהם צורך בהתאם לנסיבות. כמו כן, בגילוי הדעת מצוין כי אם יש הגבלה על הביקורת, על רואה החשבון לפרט על כך בפסקת ההיקף. </w:t>
      </w:r>
    </w:p>
    <w:p w14:paraId="5879CBBF" w14:textId="77777777" w:rsidR="00867DA1" w:rsidRDefault="00867DA1" w:rsidP="00327EA7">
      <w:pPr>
        <w:pStyle w:val="af5"/>
        <w:rPr>
          <w:rtl/>
        </w:rPr>
      </w:pPr>
      <w:r>
        <w:rPr>
          <w:rFonts w:hint="cs"/>
          <w:rtl/>
        </w:rPr>
        <w:t xml:space="preserve">בפגישות </w:t>
      </w:r>
      <w:r w:rsidRPr="000B0617">
        <w:rPr>
          <w:rFonts w:hint="cs"/>
          <w:rtl/>
        </w:rPr>
        <w:t>שערך משרד מבקר המדינה</w:t>
      </w:r>
      <w:r>
        <w:rPr>
          <w:rFonts w:hint="cs"/>
          <w:rtl/>
        </w:rPr>
        <w:t xml:space="preserve"> עם רואי החשבון המבקרים הם טענו כי</w:t>
      </w:r>
      <w:r w:rsidRPr="000B0617">
        <w:rPr>
          <w:rFonts w:hint="cs"/>
          <w:rtl/>
        </w:rPr>
        <w:t xml:space="preserve"> </w:t>
      </w:r>
      <w:r>
        <w:rPr>
          <w:rFonts w:hint="cs"/>
          <w:rtl/>
        </w:rPr>
        <w:t>לעיתים</w:t>
      </w:r>
      <w:r w:rsidRPr="000B0617">
        <w:rPr>
          <w:rFonts w:hint="cs"/>
          <w:rtl/>
        </w:rPr>
        <w:t xml:space="preserve"> משרדי הממשלה </w:t>
      </w:r>
      <w:r>
        <w:rPr>
          <w:rFonts w:hint="cs"/>
          <w:rtl/>
        </w:rPr>
        <w:t xml:space="preserve">מאפשרים </w:t>
      </w:r>
      <w:r w:rsidRPr="000B0617">
        <w:rPr>
          <w:rFonts w:hint="cs"/>
          <w:rtl/>
        </w:rPr>
        <w:t xml:space="preserve">לרואי החשבון גישה </w:t>
      </w:r>
      <w:r>
        <w:rPr>
          <w:rFonts w:hint="cs"/>
          <w:rtl/>
        </w:rPr>
        <w:t xml:space="preserve">רק </w:t>
      </w:r>
      <w:r w:rsidRPr="000B0617">
        <w:rPr>
          <w:rFonts w:hint="cs"/>
          <w:rtl/>
        </w:rPr>
        <w:t>למערכת ה"</w:t>
      </w:r>
      <w:r>
        <w:rPr>
          <w:rFonts w:hint="cs"/>
          <w:rtl/>
        </w:rPr>
        <w:t>מודול הפיננסי</w:t>
      </w:r>
      <w:r w:rsidRPr="000B0617">
        <w:rPr>
          <w:rFonts w:hint="cs"/>
          <w:rtl/>
        </w:rPr>
        <w:t xml:space="preserve">" (מודול </w:t>
      </w:r>
      <w:r w:rsidRPr="000B0617">
        <w:rPr>
          <w:rFonts w:hint="cs"/>
        </w:rPr>
        <w:t>FI</w:t>
      </w:r>
      <w:r w:rsidRPr="000B0617">
        <w:rPr>
          <w:rFonts w:hint="cs"/>
          <w:rtl/>
        </w:rPr>
        <w:t>)</w:t>
      </w:r>
      <w:r>
        <w:rPr>
          <w:rStyle w:val="FootnoteReference"/>
          <w:b/>
          <w:bCs/>
          <w:rtl/>
        </w:rPr>
        <w:footnoteReference w:id="55"/>
      </w:r>
      <w:r>
        <w:rPr>
          <w:rFonts w:hint="cs"/>
          <w:rtl/>
        </w:rPr>
        <w:t xml:space="preserve"> במערכת מרכב"ה,</w:t>
      </w:r>
      <w:r w:rsidRPr="000B0617">
        <w:rPr>
          <w:rFonts w:hint="cs"/>
          <w:rtl/>
        </w:rPr>
        <w:t xml:space="preserve"> </w:t>
      </w:r>
      <w:r>
        <w:rPr>
          <w:rFonts w:hint="cs"/>
          <w:rtl/>
        </w:rPr>
        <w:t>ולא למערכות</w:t>
      </w:r>
      <w:r w:rsidRPr="000B0617">
        <w:rPr>
          <w:rFonts w:hint="cs"/>
          <w:rtl/>
        </w:rPr>
        <w:t xml:space="preserve"> </w:t>
      </w:r>
      <w:r>
        <w:rPr>
          <w:rFonts w:hint="cs"/>
          <w:rtl/>
        </w:rPr>
        <w:t>אחרות</w:t>
      </w:r>
      <w:r w:rsidRPr="000B0617">
        <w:rPr>
          <w:rFonts w:hint="cs"/>
          <w:rtl/>
        </w:rPr>
        <w:t xml:space="preserve"> </w:t>
      </w:r>
      <w:r>
        <w:rPr>
          <w:rFonts w:hint="cs"/>
          <w:rtl/>
        </w:rPr>
        <w:t>הנדרשות</w:t>
      </w:r>
      <w:r w:rsidRPr="000B0617">
        <w:rPr>
          <w:rFonts w:hint="cs"/>
          <w:rtl/>
        </w:rPr>
        <w:t xml:space="preserve"> </w:t>
      </w:r>
      <w:r>
        <w:rPr>
          <w:rFonts w:hint="cs"/>
          <w:rtl/>
        </w:rPr>
        <w:t>לצורך עריכת הביקורת על הדוחות הכספיים. מ</w:t>
      </w:r>
      <w:r w:rsidRPr="004E7BCF">
        <w:rPr>
          <w:rFonts w:hint="cs"/>
          <w:rtl/>
        </w:rPr>
        <w:t>המידע שהתקבל מהחשבונאים הראשי</w:t>
      </w:r>
      <w:r>
        <w:rPr>
          <w:rFonts w:hint="cs"/>
          <w:rtl/>
        </w:rPr>
        <w:t>י</w:t>
      </w:r>
      <w:r w:rsidRPr="004E7BCF">
        <w:rPr>
          <w:rFonts w:hint="cs"/>
          <w:rtl/>
        </w:rPr>
        <w:t>ם ב</w:t>
      </w:r>
      <w:r>
        <w:rPr>
          <w:rFonts w:hint="cs"/>
          <w:rtl/>
        </w:rPr>
        <w:t>תשובה</w:t>
      </w:r>
      <w:r w:rsidRPr="004E7BCF">
        <w:rPr>
          <w:rFonts w:hint="cs"/>
          <w:rtl/>
        </w:rPr>
        <w:t xml:space="preserve"> </w:t>
      </w:r>
      <w:r>
        <w:rPr>
          <w:rFonts w:hint="cs"/>
          <w:rtl/>
        </w:rPr>
        <w:t>ל</w:t>
      </w:r>
      <w:r w:rsidRPr="004E7BCF">
        <w:rPr>
          <w:rFonts w:hint="cs"/>
          <w:rtl/>
        </w:rPr>
        <w:t xml:space="preserve">שאלון </w:t>
      </w:r>
      <w:r>
        <w:rPr>
          <w:rFonts w:hint="cs"/>
          <w:rtl/>
        </w:rPr>
        <w:t xml:space="preserve">עולה כי כ-19% מהישויות הממשלתיות הטילו על רואי החשבון מגבלת גישה למערכות המחשוב. </w:t>
      </w:r>
    </w:p>
    <w:p w14:paraId="79E94BBD" w14:textId="77777777" w:rsidR="00867DA1" w:rsidRPr="008070C1" w:rsidRDefault="00867DA1" w:rsidP="00327EA7">
      <w:pPr>
        <w:pStyle w:val="100"/>
      </w:pPr>
      <w:r w:rsidRPr="008070C1">
        <w:rPr>
          <w:rFonts w:hint="cs"/>
          <w:rtl/>
        </w:rPr>
        <w:t>כך</w:t>
      </w:r>
      <w:r>
        <w:rPr>
          <w:rFonts w:hint="cs"/>
          <w:rtl/>
        </w:rPr>
        <w:t>,</w:t>
      </w:r>
      <w:r w:rsidRPr="008070C1">
        <w:rPr>
          <w:rFonts w:hint="cs"/>
          <w:rtl/>
        </w:rPr>
        <w:t xml:space="preserve"> לדוגמ</w:t>
      </w:r>
      <w:r>
        <w:rPr>
          <w:rFonts w:hint="cs"/>
          <w:rtl/>
        </w:rPr>
        <w:t>ה</w:t>
      </w:r>
      <w:r w:rsidRPr="008070C1">
        <w:rPr>
          <w:rFonts w:hint="cs"/>
          <w:rtl/>
        </w:rPr>
        <w:t xml:space="preserve">, </w:t>
      </w:r>
      <w:r>
        <w:rPr>
          <w:rFonts w:hint="cs"/>
          <w:rtl/>
        </w:rPr>
        <w:t>מהמידע שעלה מהחשבונאים הראשים</w:t>
      </w:r>
      <w:r w:rsidRPr="008070C1">
        <w:rPr>
          <w:rFonts w:hint="cs"/>
          <w:rtl/>
        </w:rPr>
        <w:t xml:space="preserve"> </w:t>
      </w:r>
      <w:r>
        <w:rPr>
          <w:rFonts w:hint="cs"/>
          <w:rtl/>
        </w:rPr>
        <w:t xml:space="preserve">במסגרת השאלון, עולה כי </w:t>
      </w:r>
      <w:r w:rsidRPr="008070C1">
        <w:rPr>
          <w:rFonts w:hint="cs"/>
          <w:rtl/>
        </w:rPr>
        <w:t xml:space="preserve">ברשות האוכלוסין וההגירה </w:t>
      </w:r>
      <w:r>
        <w:rPr>
          <w:rFonts w:hint="cs"/>
          <w:rtl/>
        </w:rPr>
        <w:t>פועלת</w:t>
      </w:r>
      <w:r w:rsidRPr="008070C1">
        <w:rPr>
          <w:rFonts w:hint="cs"/>
          <w:rtl/>
        </w:rPr>
        <w:t xml:space="preserve"> מערכת מת"ש (מדור תשלומים) חיצונית למערכת המרכב</w:t>
      </w:r>
      <w:r>
        <w:rPr>
          <w:rFonts w:hint="cs"/>
          <w:rtl/>
        </w:rPr>
        <w:t>"</w:t>
      </w:r>
      <w:r w:rsidRPr="008070C1">
        <w:rPr>
          <w:rFonts w:hint="cs"/>
          <w:rtl/>
        </w:rPr>
        <w:t>ה</w:t>
      </w:r>
      <w:r>
        <w:rPr>
          <w:rFonts w:hint="cs"/>
          <w:rtl/>
        </w:rPr>
        <w:t>,</w:t>
      </w:r>
      <w:r w:rsidRPr="008070C1">
        <w:rPr>
          <w:rFonts w:hint="cs"/>
          <w:rtl/>
        </w:rPr>
        <w:t xml:space="preserve"> </w:t>
      </w:r>
      <w:r>
        <w:rPr>
          <w:rFonts w:hint="cs"/>
          <w:rtl/>
        </w:rPr>
        <w:t>וקשה</w:t>
      </w:r>
      <w:r w:rsidRPr="008070C1">
        <w:rPr>
          <w:rFonts w:hint="cs"/>
          <w:rtl/>
        </w:rPr>
        <w:t xml:space="preserve"> לבקר את הנתונים בה. </w:t>
      </w:r>
      <w:r>
        <w:rPr>
          <w:rFonts w:hint="cs"/>
          <w:rtl/>
        </w:rPr>
        <w:t>לכן, ב</w:t>
      </w:r>
      <w:r w:rsidRPr="008070C1">
        <w:rPr>
          <w:rFonts w:hint="cs"/>
          <w:rtl/>
        </w:rPr>
        <w:t xml:space="preserve">שנים 2017 ו-2018 </w:t>
      </w:r>
      <w:r>
        <w:rPr>
          <w:rFonts w:hint="cs"/>
          <w:rtl/>
        </w:rPr>
        <w:t>הסתייגו רואי החשבון המבקרים</w:t>
      </w:r>
      <w:r w:rsidRPr="008070C1">
        <w:rPr>
          <w:rFonts w:hint="cs"/>
          <w:rtl/>
        </w:rPr>
        <w:t xml:space="preserve"> בדוחות </w:t>
      </w:r>
      <w:r w:rsidRPr="008070C1">
        <w:rPr>
          <w:rFonts w:hint="cs"/>
          <w:rtl/>
        </w:rPr>
        <w:lastRenderedPageBreak/>
        <w:t>הכספיים</w:t>
      </w:r>
      <w:r>
        <w:rPr>
          <w:rFonts w:hint="cs"/>
          <w:rtl/>
        </w:rPr>
        <w:t xml:space="preserve"> של הרשות: "לא יכולנו לבקר את ההכנסות מאגרות העסקת עובדים זרים בסך של כ-327 מיליון ש</w:t>
      </w:r>
      <w:r>
        <w:rPr>
          <w:rtl/>
        </w:rPr>
        <w:t>"</w:t>
      </w:r>
      <w:r>
        <w:rPr>
          <w:rFonts w:hint="cs"/>
          <w:rtl/>
        </w:rPr>
        <w:t xml:space="preserve">ח ואת היתרות המנוהלות באגף התשלומים". </w:t>
      </w:r>
    </w:p>
    <w:p w14:paraId="022FFC55" w14:textId="77777777" w:rsidR="00867DA1" w:rsidRDefault="00867DA1" w:rsidP="00327EA7">
      <w:pPr>
        <w:pStyle w:val="100"/>
        <w:rPr>
          <w:rtl/>
        </w:rPr>
      </w:pPr>
      <w:r>
        <w:rPr>
          <w:rFonts w:hint="cs"/>
          <w:rtl/>
        </w:rPr>
        <w:t>בדיקה שעשה משרד מבקר המדינה העלתה כי גם רואה החשבון שביקר את הדוח הכספי של משטרת ישראל לשנת 2018 קיימת חוות דעת מסויגת: "נתוני הפנסייה התקציבית מוצגים בהתאם להנחיות החשבונאי הראשי של החשב הכללי במשרד האוצר ובהתאם למידע שהתקבל ממנהל הגמלאות ולא בוקר על ידנו"</w:t>
      </w:r>
      <w:r>
        <w:rPr>
          <w:rStyle w:val="FootnoteReference"/>
          <w:rtl/>
        </w:rPr>
        <w:footnoteReference w:id="56"/>
      </w:r>
      <w:r>
        <w:rPr>
          <w:rFonts w:hint="cs"/>
          <w:rtl/>
        </w:rPr>
        <w:t xml:space="preserve">. </w:t>
      </w:r>
    </w:p>
    <w:p w14:paraId="63A555BD" w14:textId="77777777" w:rsidR="00867DA1" w:rsidRDefault="00867DA1" w:rsidP="00327EA7">
      <w:pPr>
        <w:pStyle w:val="100"/>
        <w:rPr>
          <w:rtl/>
        </w:rPr>
      </w:pPr>
      <w:r>
        <w:rPr>
          <w:rFonts w:hint="cs"/>
          <w:rtl/>
        </w:rPr>
        <w:t>הדוחות הכספיים של משטרת ישראל לשנת 2018 מוצגים כך:</w:t>
      </w:r>
    </w:p>
    <w:p w14:paraId="4FCDFEE6" w14:textId="4A035CAE" w:rsidR="00867DA1" w:rsidRPr="00327EA7" w:rsidRDefault="00867DA1" w:rsidP="00327EA7">
      <w:pPr>
        <w:pStyle w:val="aa"/>
        <w:rPr>
          <w:b/>
          <w:bCs/>
          <w:rtl/>
        </w:rPr>
      </w:pPr>
      <w:r w:rsidRPr="00327EA7">
        <w:rPr>
          <w:rFonts w:hint="cs"/>
          <w:rtl/>
        </w:rPr>
        <w:t>לוח</w:t>
      </w:r>
      <w:r w:rsidRPr="00327EA7">
        <w:rPr>
          <w:rtl/>
        </w:rPr>
        <w:t xml:space="preserve"> </w:t>
      </w:r>
      <w:fldSimple w:instr=" SEQ טבלה \* ARABIC ">
        <w:r w:rsidR="003E1673">
          <w:rPr>
            <w:noProof/>
          </w:rPr>
          <w:t>5</w:t>
        </w:r>
      </w:fldSimple>
      <w:r w:rsidRPr="00327EA7">
        <w:rPr>
          <w:rtl/>
        </w:rPr>
        <w:t xml:space="preserve">: </w:t>
      </w:r>
      <w:r w:rsidRPr="00327EA7">
        <w:rPr>
          <w:b/>
          <w:bCs/>
          <w:rtl/>
        </w:rPr>
        <w:t>נתונים כספיים תמציתיים של משטרת ישראל</w:t>
      </w:r>
      <w:r w:rsidRPr="00327EA7">
        <w:rPr>
          <w:rFonts w:hint="cs"/>
          <w:b/>
          <w:bCs/>
          <w:rtl/>
        </w:rPr>
        <w:t>,</w:t>
      </w:r>
      <w:r w:rsidRPr="00327EA7">
        <w:rPr>
          <w:b/>
          <w:bCs/>
          <w:rtl/>
        </w:rPr>
        <w:t xml:space="preserve"> 2018 (</w:t>
      </w:r>
      <w:r w:rsidRPr="00327EA7">
        <w:rPr>
          <w:rFonts w:hint="eastAsia"/>
          <w:b/>
          <w:bCs/>
          <w:rtl/>
        </w:rPr>
        <w:t>באלפי</w:t>
      </w:r>
      <w:r w:rsidRPr="00327EA7">
        <w:rPr>
          <w:b/>
          <w:bCs/>
          <w:rtl/>
        </w:rPr>
        <w:t xml:space="preserve"> </w:t>
      </w:r>
      <w:r w:rsidRPr="00327EA7">
        <w:rPr>
          <w:rFonts w:hint="eastAsia"/>
          <w:b/>
          <w:bCs/>
          <w:rtl/>
        </w:rPr>
        <w:t>ש</w:t>
      </w:r>
      <w:r w:rsidRPr="00327EA7">
        <w:rPr>
          <w:b/>
          <w:bCs/>
          <w:rtl/>
        </w:rPr>
        <w:t xml:space="preserve">"ח) </w:t>
      </w:r>
    </w:p>
    <w:tbl>
      <w:tblPr>
        <w:tblStyle w:val="TableGrid"/>
        <w:bidiVisual/>
        <w:tblW w:w="0" w:type="auto"/>
        <w:tblInd w:w="5" w:type="dxa"/>
        <w:tblLook w:val="04A0" w:firstRow="1" w:lastRow="0" w:firstColumn="1" w:lastColumn="0" w:noHBand="0" w:noVBand="1"/>
      </w:tblPr>
      <w:tblGrid>
        <w:gridCol w:w="4662"/>
        <w:gridCol w:w="1701"/>
        <w:gridCol w:w="1701"/>
      </w:tblGrid>
      <w:tr w:rsidR="00867DA1" w:rsidRPr="00A064E4" w14:paraId="194D837D" w14:textId="77777777" w:rsidTr="00327EA7">
        <w:tc>
          <w:tcPr>
            <w:tcW w:w="4662" w:type="dxa"/>
            <w:shd w:val="clear" w:color="auto" w:fill="C6D9F1"/>
            <w:vAlign w:val="bottom"/>
          </w:tcPr>
          <w:p w14:paraId="2CB88F9A" w14:textId="77777777" w:rsidR="00867DA1" w:rsidRPr="00A064E4" w:rsidRDefault="00867DA1" w:rsidP="00327EA7">
            <w:pPr>
              <w:pStyle w:val="af1"/>
              <w:rPr>
                <w:rtl/>
              </w:rPr>
            </w:pPr>
          </w:p>
        </w:tc>
        <w:tc>
          <w:tcPr>
            <w:tcW w:w="1701" w:type="dxa"/>
            <w:shd w:val="clear" w:color="auto" w:fill="C6D9F1"/>
            <w:vAlign w:val="bottom"/>
          </w:tcPr>
          <w:p w14:paraId="3F69DCD0" w14:textId="77777777" w:rsidR="00867DA1" w:rsidRPr="00A064E4" w:rsidRDefault="00867DA1" w:rsidP="00327EA7">
            <w:pPr>
              <w:pStyle w:val="af1"/>
              <w:rPr>
                <w:rtl/>
              </w:rPr>
            </w:pPr>
            <w:r w:rsidRPr="00A064E4">
              <w:rPr>
                <w:rFonts w:hint="cs"/>
                <w:rtl/>
              </w:rPr>
              <w:t>2017</w:t>
            </w:r>
          </w:p>
        </w:tc>
        <w:tc>
          <w:tcPr>
            <w:tcW w:w="1701" w:type="dxa"/>
            <w:shd w:val="clear" w:color="auto" w:fill="C6D9F1"/>
            <w:vAlign w:val="bottom"/>
          </w:tcPr>
          <w:p w14:paraId="5B48F78B" w14:textId="77777777" w:rsidR="00867DA1" w:rsidRPr="00A064E4" w:rsidRDefault="00867DA1" w:rsidP="00327EA7">
            <w:pPr>
              <w:pStyle w:val="af1"/>
              <w:rPr>
                <w:rtl/>
              </w:rPr>
            </w:pPr>
            <w:r w:rsidRPr="00A064E4">
              <w:rPr>
                <w:rFonts w:hint="cs"/>
                <w:rtl/>
              </w:rPr>
              <w:t>2018</w:t>
            </w:r>
          </w:p>
        </w:tc>
      </w:tr>
      <w:tr w:rsidR="00867DA1" w:rsidRPr="00A064E4" w14:paraId="5CEE83C3" w14:textId="77777777" w:rsidTr="00CC2678">
        <w:tc>
          <w:tcPr>
            <w:tcW w:w="4662" w:type="dxa"/>
            <w:shd w:val="clear" w:color="auto" w:fill="auto"/>
            <w:vAlign w:val="bottom"/>
          </w:tcPr>
          <w:p w14:paraId="4DBA0CC7" w14:textId="77777777" w:rsidR="00867DA1" w:rsidRPr="00327EA7" w:rsidRDefault="00867DA1" w:rsidP="00327EA7">
            <w:pPr>
              <w:pStyle w:val="R"/>
              <w:rPr>
                <w:rtl/>
              </w:rPr>
            </w:pPr>
            <w:r w:rsidRPr="00327EA7">
              <w:rPr>
                <w:rFonts w:hint="cs"/>
                <w:rtl/>
              </w:rPr>
              <w:t>סה"כ נכסים</w:t>
            </w:r>
          </w:p>
        </w:tc>
        <w:tc>
          <w:tcPr>
            <w:tcW w:w="1701" w:type="dxa"/>
            <w:shd w:val="clear" w:color="auto" w:fill="auto"/>
            <w:vAlign w:val="bottom"/>
          </w:tcPr>
          <w:p w14:paraId="75891B3C" w14:textId="77777777" w:rsidR="00867DA1" w:rsidRPr="00327EA7" w:rsidRDefault="00867DA1" w:rsidP="00327EA7">
            <w:pPr>
              <w:pStyle w:val="R"/>
              <w:rPr>
                <w:rtl/>
              </w:rPr>
            </w:pPr>
            <w:r w:rsidRPr="00327EA7">
              <w:rPr>
                <w:rFonts w:hint="cs"/>
                <w:rtl/>
              </w:rPr>
              <w:t>3,034,765</w:t>
            </w:r>
          </w:p>
        </w:tc>
        <w:tc>
          <w:tcPr>
            <w:tcW w:w="1701" w:type="dxa"/>
            <w:shd w:val="clear" w:color="auto" w:fill="auto"/>
            <w:vAlign w:val="bottom"/>
          </w:tcPr>
          <w:p w14:paraId="27E6D10C" w14:textId="77777777" w:rsidR="00867DA1" w:rsidRPr="00327EA7" w:rsidRDefault="00867DA1" w:rsidP="00327EA7">
            <w:pPr>
              <w:pStyle w:val="R"/>
              <w:rPr>
                <w:rtl/>
              </w:rPr>
            </w:pPr>
            <w:r w:rsidRPr="00327EA7">
              <w:rPr>
                <w:rFonts w:hint="cs"/>
                <w:rtl/>
              </w:rPr>
              <w:t>3,329,816</w:t>
            </w:r>
          </w:p>
        </w:tc>
      </w:tr>
      <w:tr w:rsidR="00867DA1" w:rsidRPr="00A064E4" w14:paraId="6EC6B252" w14:textId="77777777" w:rsidTr="00CC2678">
        <w:tc>
          <w:tcPr>
            <w:tcW w:w="4662" w:type="dxa"/>
            <w:shd w:val="clear" w:color="auto" w:fill="auto"/>
            <w:vAlign w:val="bottom"/>
          </w:tcPr>
          <w:p w14:paraId="4541B7D7" w14:textId="77777777" w:rsidR="00867DA1" w:rsidRPr="00327EA7" w:rsidRDefault="00867DA1" w:rsidP="00327EA7">
            <w:pPr>
              <w:pStyle w:val="R"/>
              <w:rPr>
                <w:rtl/>
              </w:rPr>
            </w:pPr>
            <w:r w:rsidRPr="00327EA7">
              <w:rPr>
                <w:rFonts w:hint="cs"/>
                <w:rtl/>
              </w:rPr>
              <w:t xml:space="preserve">סה"כ התחייבויות </w:t>
            </w:r>
          </w:p>
        </w:tc>
        <w:tc>
          <w:tcPr>
            <w:tcW w:w="1701" w:type="dxa"/>
            <w:shd w:val="clear" w:color="auto" w:fill="auto"/>
            <w:vAlign w:val="bottom"/>
          </w:tcPr>
          <w:p w14:paraId="05369172" w14:textId="77777777" w:rsidR="00867DA1" w:rsidRPr="00327EA7" w:rsidRDefault="00867DA1" w:rsidP="00327EA7">
            <w:pPr>
              <w:pStyle w:val="R"/>
              <w:rPr>
                <w:rtl/>
              </w:rPr>
            </w:pPr>
            <w:r w:rsidRPr="00327EA7">
              <w:rPr>
                <w:rFonts w:hint="cs"/>
                <w:rtl/>
              </w:rPr>
              <w:t>(93,726,018)</w:t>
            </w:r>
          </w:p>
        </w:tc>
        <w:tc>
          <w:tcPr>
            <w:tcW w:w="1701" w:type="dxa"/>
            <w:shd w:val="clear" w:color="auto" w:fill="auto"/>
            <w:vAlign w:val="bottom"/>
          </w:tcPr>
          <w:p w14:paraId="197669D4" w14:textId="77777777" w:rsidR="00867DA1" w:rsidRPr="00327EA7" w:rsidRDefault="00867DA1" w:rsidP="00327EA7">
            <w:pPr>
              <w:pStyle w:val="R"/>
              <w:rPr>
                <w:rtl/>
              </w:rPr>
            </w:pPr>
            <w:r w:rsidRPr="00327EA7">
              <w:rPr>
                <w:rFonts w:hint="cs"/>
                <w:rtl/>
              </w:rPr>
              <w:t>(97,323,855)</w:t>
            </w:r>
          </w:p>
        </w:tc>
      </w:tr>
      <w:tr w:rsidR="00867DA1" w:rsidRPr="00A064E4" w14:paraId="6B427525" w14:textId="77777777" w:rsidTr="00CC2678">
        <w:tc>
          <w:tcPr>
            <w:tcW w:w="4662" w:type="dxa"/>
            <w:shd w:val="clear" w:color="auto" w:fill="auto"/>
            <w:vAlign w:val="bottom"/>
          </w:tcPr>
          <w:p w14:paraId="57B3D87E" w14:textId="77777777" w:rsidR="00867DA1" w:rsidRPr="00327EA7" w:rsidRDefault="00867DA1" w:rsidP="00327EA7">
            <w:pPr>
              <w:pStyle w:val="B"/>
              <w:rPr>
                <w:szCs w:val="20"/>
                <w:rtl/>
              </w:rPr>
            </w:pPr>
            <w:r w:rsidRPr="00327EA7">
              <w:rPr>
                <w:rFonts w:hint="cs"/>
                <w:szCs w:val="20"/>
                <w:rtl/>
              </w:rPr>
              <w:t>מתוכם התחייבויות בגין פנסייה תקציבית</w:t>
            </w:r>
          </w:p>
        </w:tc>
        <w:tc>
          <w:tcPr>
            <w:tcW w:w="1701" w:type="dxa"/>
            <w:shd w:val="clear" w:color="auto" w:fill="auto"/>
            <w:vAlign w:val="bottom"/>
          </w:tcPr>
          <w:p w14:paraId="29853869" w14:textId="77777777" w:rsidR="00867DA1" w:rsidRPr="00A064E4" w:rsidRDefault="00867DA1" w:rsidP="00327EA7">
            <w:pPr>
              <w:pStyle w:val="R"/>
              <w:rPr>
                <w:rtl/>
              </w:rPr>
            </w:pPr>
            <w:r w:rsidRPr="00A064E4">
              <w:rPr>
                <w:rFonts w:hint="cs"/>
                <w:rtl/>
              </w:rPr>
              <w:t>(89,886,324)</w:t>
            </w:r>
          </w:p>
        </w:tc>
        <w:tc>
          <w:tcPr>
            <w:tcW w:w="1701" w:type="dxa"/>
            <w:shd w:val="clear" w:color="auto" w:fill="auto"/>
            <w:vAlign w:val="bottom"/>
          </w:tcPr>
          <w:p w14:paraId="76D1D76D" w14:textId="77777777" w:rsidR="00867DA1" w:rsidRPr="00A064E4" w:rsidRDefault="00867DA1" w:rsidP="00327EA7">
            <w:pPr>
              <w:pStyle w:val="R"/>
              <w:rPr>
                <w:rtl/>
              </w:rPr>
            </w:pPr>
            <w:r w:rsidRPr="00A064E4">
              <w:rPr>
                <w:rFonts w:hint="cs"/>
                <w:rtl/>
              </w:rPr>
              <w:t>(90,742,560)</w:t>
            </w:r>
          </w:p>
        </w:tc>
      </w:tr>
      <w:tr w:rsidR="00867DA1" w:rsidRPr="00A064E4" w14:paraId="171B466E" w14:textId="77777777" w:rsidTr="00CC2678">
        <w:tc>
          <w:tcPr>
            <w:tcW w:w="4662" w:type="dxa"/>
            <w:shd w:val="clear" w:color="auto" w:fill="auto"/>
            <w:vAlign w:val="bottom"/>
          </w:tcPr>
          <w:p w14:paraId="6F94F2B7" w14:textId="77777777" w:rsidR="00867DA1" w:rsidRPr="00327EA7" w:rsidRDefault="00867DA1" w:rsidP="00327EA7">
            <w:pPr>
              <w:pStyle w:val="B"/>
              <w:rPr>
                <w:szCs w:val="20"/>
                <w:rtl/>
              </w:rPr>
            </w:pPr>
            <w:r w:rsidRPr="00327EA7">
              <w:rPr>
                <w:rFonts w:hint="cs"/>
                <w:szCs w:val="20"/>
                <w:rtl/>
              </w:rPr>
              <w:t xml:space="preserve">גירעון בהון </w:t>
            </w:r>
          </w:p>
        </w:tc>
        <w:tc>
          <w:tcPr>
            <w:tcW w:w="1701" w:type="dxa"/>
            <w:shd w:val="clear" w:color="auto" w:fill="auto"/>
            <w:vAlign w:val="bottom"/>
          </w:tcPr>
          <w:p w14:paraId="4030546F" w14:textId="77777777" w:rsidR="00867DA1" w:rsidRPr="00A064E4" w:rsidRDefault="00867DA1" w:rsidP="00327EA7">
            <w:pPr>
              <w:pStyle w:val="R"/>
              <w:rPr>
                <w:rtl/>
              </w:rPr>
            </w:pPr>
            <w:r w:rsidRPr="00A064E4">
              <w:rPr>
                <w:rFonts w:hint="cs"/>
                <w:rtl/>
              </w:rPr>
              <w:t>(90,691,253)</w:t>
            </w:r>
          </w:p>
        </w:tc>
        <w:tc>
          <w:tcPr>
            <w:tcW w:w="1701" w:type="dxa"/>
            <w:shd w:val="clear" w:color="auto" w:fill="auto"/>
            <w:vAlign w:val="bottom"/>
          </w:tcPr>
          <w:p w14:paraId="19240D34" w14:textId="77777777" w:rsidR="00867DA1" w:rsidRPr="00A064E4" w:rsidRDefault="00867DA1" w:rsidP="00327EA7">
            <w:pPr>
              <w:pStyle w:val="R"/>
              <w:rPr>
                <w:rtl/>
              </w:rPr>
            </w:pPr>
            <w:r w:rsidRPr="00A064E4">
              <w:rPr>
                <w:rFonts w:hint="cs"/>
                <w:rtl/>
              </w:rPr>
              <w:t>(93,994,039)</w:t>
            </w:r>
          </w:p>
        </w:tc>
      </w:tr>
    </w:tbl>
    <w:p w14:paraId="0C69A8D4" w14:textId="77777777" w:rsidR="00867DA1" w:rsidRPr="004254E2" w:rsidRDefault="00867DA1" w:rsidP="00327EA7">
      <w:pPr>
        <w:pStyle w:val="ac"/>
        <w:rPr>
          <w:rtl/>
        </w:rPr>
      </w:pPr>
      <w:r w:rsidRPr="004254E2">
        <w:rPr>
          <w:rFonts w:hint="eastAsia"/>
          <w:rtl/>
        </w:rPr>
        <w:t>המקור</w:t>
      </w:r>
      <w:r w:rsidRPr="004254E2">
        <w:rPr>
          <w:rtl/>
        </w:rPr>
        <w:t xml:space="preserve">: </w:t>
      </w:r>
      <w:r w:rsidRPr="004254E2">
        <w:rPr>
          <w:rFonts w:hint="eastAsia"/>
          <w:rtl/>
        </w:rPr>
        <w:t>הדוחות</w:t>
      </w:r>
      <w:r w:rsidRPr="004254E2">
        <w:rPr>
          <w:rtl/>
        </w:rPr>
        <w:t xml:space="preserve"> </w:t>
      </w:r>
      <w:r w:rsidRPr="004254E2">
        <w:rPr>
          <w:rFonts w:hint="eastAsia"/>
          <w:rtl/>
        </w:rPr>
        <w:t>הכספיים</w:t>
      </w:r>
      <w:r w:rsidRPr="004254E2">
        <w:rPr>
          <w:rtl/>
        </w:rPr>
        <w:t xml:space="preserve"> </w:t>
      </w:r>
      <w:r w:rsidRPr="004254E2">
        <w:rPr>
          <w:rFonts w:hint="eastAsia"/>
          <w:rtl/>
        </w:rPr>
        <w:t>של</w:t>
      </w:r>
      <w:r w:rsidRPr="004254E2">
        <w:rPr>
          <w:rtl/>
        </w:rPr>
        <w:t xml:space="preserve"> </w:t>
      </w:r>
      <w:r w:rsidRPr="004254E2">
        <w:rPr>
          <w:rFonts w:hint="eastAsia"/>
          <w:rtl/>
        </w:rPr>
        <w:t>משטרת</w:t>
      </w:r>
      <w:r w:rsidRPr="004254E2">
        <w:rPr>
          <w:rtl/>
        </w:rPr>
        <w:t xml:space="preserve"> </w:t>
      </w:r>
      <w:r w:rsidRPr="004254E2">
        <w:rPr>
          <w:rFonts w:hint="eastAsia"/>
          <w:rtl/>
        </w:rPr>
        <w:t>ישראל</w:t>
      </w:r>
      <w:r w:rsidRPr="004254E2">
        <w:rPr>
          <w:rtl/>
        </w:rPr>
        <w:t xml:space="preserve"> </w:t>
      </w:r>
      <w:r w:rsidRPr="004254E2">
        <w:rPr>
          <w:rFonts w:hint="eastAsia"/>
          <w:rtl/>
        </w:rPr>
        <w:t>לשנת</w:t>
      </w:r>
      <w:r w:rsidRPr="004254E2">
        <w:rPr>
          <w:rtl/>
        </w:rPr>
        <w:t xml:space="preserve"> 2018.</w:t>
      </w:r>
    </w:p>
    <w:p w14:paraId="4C7E8FB4" w14:textId="77777777" w:rsidR="00867DA1" w:rsidRDefault="00867DA1" w:rsidP="00867DA1">
      <w:pPr>
        <w:spacing w:line="269" w:lineRule="auto"/>
        <w:jc w:val="center"/>
        <w:rPr>
          <w:szCs w:val="20"/>
          <w:rtl/>
        </w:rPr>
      </w:pPr>
    </w:p>
    <w:p w14:paraId="0FDC6D9D" w14:textId="77777777" w:rsidR="00867DA1" w:rsidRDefault="00867DA1" w:rsidP="00327EA7">
      <w:pPr>
        <w:pStyle w:val="100"/>
        <w:rPr>
          <w:rtl/>
        </w:rPr>
      </w:pPr>
      <w:r>
        <w:rPr>
          <w:rFonts w:hint="cs"/>
          <w:rtl/>
        </w:rPr>
        <w:t>מהנתונים המוצגים בלוח עולה כי הסכום שרואי החשבון המבקרים הסתייגו ממנו מהותי, והוא עיקר הגירעון בהון.</w:t>
      </w:r>
    </w:p>
    <w:p w14:paraId="057C1CA1" w14:textId="77777777" w:rsidR="00867DA1" w:rsidRDefault="00867DA1" w:rsidP="00327EA7">
      <w:pPr>
        <w:pStyle w:val="af5"/>
        <w:rPr>
          <w:rtl/>
        </w:rPr>
      </w:pPr>
      <w:r w:rsidRPr="003A5061">
        <w:rPr>
          <w:rFonts w:hint="cs"/>
          <w:rtl/>
        </w:rPr>
        <w:t xml:space="preserve">עוד יצוין כי לא נמסרו לרואי החשבון נתוני התחייבות בגין </w:t>
      </w:r>
      <w:r>
        <w:rPr>
          <w:rFonts w:hint="cs"/>
          <w:rtl/>
        </w:rPr>
        <w:t>פנסייה</w:t>
      </w:r>
      <w:r w:rsidRPr="003A5061">
        <w:rPr>
          <w:rFonts w:hint="cs"/>
          <w:rtl/>
        </w:rPr>
        <w:t xml:space="preserve"> תקציבית ליום 31</w:t>
      </w:r>
      <w:r>
        <w:rPr>
          <w:rFonts w:hint="cs"/>
          <w:rtl/>
        </w:rPr>
        <w:t>.12.</w:t>
      </w:r>
      <w:r w:rsidRPr="003A5061">
        <w:rPr>
          <w:rFonts w:hint="cs"/>
          <w:rtl/>
        </w:rPr>
        <w:t>18</w:t>
      </w:r>
      <w:r>
        <w:rPr>
          <w:rFonts w:hint="cs"/>
          <w:rtl/>
        </w:rPr>
        <w:t>,</w:t>
      </w:r>
      <w:r w:rsidRPr="003A5061">
        <w:rPr>
          <w:rFonts w:hint="cs"/>
          <w:rtl/>
        </w:rPr>
        <w:t xml:space="preserve"> ולפיכך, בהתאם להנחיית החשבונאי הראשי של משרד האוצר, הדוחות הכספיים ליום 31</w:t>
      </w:r>
      <w:r>
        <w:rPr>
          <w:rFonts w:hint="cs"/>
          <w:rtl/>
        </w:rPr>
        <w:t>.12.</w:t>
      </w:r>
      <w:r w:rsidRPr="003A5061">
        <w:rPr>
          <w:rFonts w:hint="cs"/>
          <w:rtl/>
        </w:rPr>
        <w:t>18 כוללים את יתרת ההתחייבויות אשר חושבה ליום 31</w:t>
      </w:r>
      <w:r>
        <w:rPr>
          <w:rFonts w:hint="cs"/>
          <w:rtl/>
        </w:rPr>
        <w:t>.12.</w:t>
      </w:r>
      <w:r w:rsidRPr="003A5061">
        <w:rPr>
          <w:rFonts w:hint="cs"/>
          <w:rtl/>
        </w:rPr>
        <w:t xml:space="preserve">17. </w:t>
      </w:r>
    </w:p>
    <w:p w14:paraId="43052CC3" w14:textId="77777777" w:rsidR="00867DA1" w:rsidRDefault="00867DA1" w:rsidP="00D55FEC">
      <w:pPr>
        <w:pStyle w:val="100"/>
        <w:rPr>
          <w:rtl/>
        </w:rPr>
      </w:pPr>
      <w:r>
        <w:rPr>
          <w:rFonts w:hint="cs"/>
          <w:rtl/>
        </w:rPr>
        <w:t xml:space="preserve">החשבונאי הראשי כתב בתשובתו כי רואי החשבון המבקרים לא התלוננו שנמנעה מהם גישה לנתונים או למודולים במערכת מרכב"ה וכי הוא לא זיהה הסתייגויות בדוחות הכספיים של הישויות הממשלתיות עקב הגבלה כזאת. </w:t>
      </w:r>
    </w:p>
    <w:p w14:paraId="7E7E65AB" w14:textId="77777777" w:rsidR="00867DA1" w:rsidRDefault="00867DA1" w:rsidP="00D55FEC">
      <w:pPr>
        <w:pStyle w:val="af5"/>
        <w:rPr>
          <w:rtl/>
        </w:rPr>
      </w:pPr>
      <w:r>
        <w:rPr>
          <w:rFonts w:hint="cs"/>
          <w:rtl/>
        </w:rPr>
        <w:t>בשל</w:t>
      </w:r>
      <w:r w:rsidRPr="00CF2039">
        <w:rPr>
          <w:rtl/>
        </w:rPr>
        <w:t xml:space="preserve"> הממצאים שעלו בפרק זה, </w:t>
      </w:r>
      <w:r w:rsidRPr="00CF2039">
        <w:rPr>
          <w:rFonts w:hint="eastAsia"/>
          <w:rtl/>
        </w:rPr>
        <w:t>משרד</w:t>
      </w:r>
      <w:r w:rsidRPr="00CF2039">
        <w:rPr>
          <w:rtl/>
        </w:rPr>
        <w:t xml:space="preserve"> מבקר המדינה ממליץ כי החשבונאי הראשי </w:t>
      </w:r>
      <w:r>
        <w:rPr>
          <w:rFonts w:hint="cs"/>
          <w:rtl/>
        </w:rPr>
        <w:t xml:space="preserve">יבדוק שוב אם </w:t>
      </w:r>
      <w:r w:rsidRPr="00CF2039">
        <w:rPr>
          <w:rtl/>
        </w:rPr>
        <w:t>בעת עריכת הביקורת</w:t>
      </w:r>
      <w:r>
        <w:rPr>
          <w:rFonts w:hint="cs"/>
          <w:rtl/>
        </w:rPr>
        <w:t xml:space="preserve"> הוטלו על רואי החשבון המבקרים</w:t>
      </w:r>
      <w:r w:rsidRPr="00CF2039">
        <w:rPr>
          <w:rtl/>
        </w:rPr>
        <w:t xml:space="preserve"> </w:t>
      </w:r>
      <w:r>
        <w:rPr>
          <w:rFonts w:hint="cs"/>
          <w:rtl/>
        </w:rPr>
        <w:t>מגבלות בעת עריכת הביקורת</w:t>
      </w:r>
      <w:r w:rsidRPr="00CF2039">
        <w:rPr>
          <w:rtl/>
        </w:rPr>
        <w:t xml:space="preserve">. </w:t>
      </w:r>
    </w:p>
    <w:p w14:paraId="58BBD9C0" w14:textId="77777777" w:rsidR="00D55FEC" w:rsidRDefault="00D55FEC">
      <w:pPr>
        <w:bidi w:val="0"/>
        <w:spacing w:after="200" w:line="276" w:lineRule="auto"/>
        <w:rPr>
          <w:rFonts w:eastAsiaTheme="majorEastAsia"/>
          <w:bCs/>
          <w:szCs w:val="26"/>
          <w:rtl/>
        </w:rPr>
      </w:pPr>
      <w:r>
        <w:rPr>
          <w:rtl/>
        </w:rPr>
        <w:br w:type="page"/>
      </w:r>
    </w:p>
    <w:p w14:paraId="32D1D654" w14:textId="1D080BDD" w:rsidR="00867DA1" w:rsidRDefault="00867DA1" w:rsidP="00D55FEC">
      <w:pPr>
        <w:pStyle w:val="414"/>
        <w:rPr>
          <w:rtl/>
        </w:rPr>
      </w:pPr>
      <w:r>
        <w:rPr>
          <w:rFonts w:hint="cs"/>
          <w:rtl/>
        </w:rPr>
        <w:lastRenderedPageBreak/>
        <w:t>האחדת הדוחות הכספיים - שימוש בנתונים מדוחות כספיים משנים קודמות</w:t>
      </w:r>
    </w:p>
    <w:p w14:paraId="34559AA3" w14:textId="77777777" w:rsidR="00867DA1" w:rsidRPr="002E4310" w:rsidRDefault="00867DA1" w:rsidP="00D55FEC">
      <w:pPr>
        <w:pStyle w:val="100"/>
        <w:rPr>
          <w:rtl/>
        </w:rPr>
      </w:pPr>
      <w:r w:rsidRPr="002E4310">
        <w:rPr>
          <w:rFonts w:hint="cs"/>
          <w:rtl/>
        </w:rPr>
        <w:t xml:space="preserve">כאמור, בדוח הכספי המאוחד של </w:t>
      </w:r>
      <w:r>
        <w:rPr>
          <w:rFonts w:hint="cs"/>
          <w:rtl/>
        </w:rPr>
        <w:t>מדינת</w:t>
      </w:r>
      <w:r w:rsidRPr="002E4310">
        <w:rPr>
          <w:rFonts w:hint="cs"/>
          <w:rtl/>
        </w:rPr>
        <w:t xml:space="preserve"> ישראל לשנת 2018 אוחדו נתונים של 47 תאגידים סטטוטוריים</w:t>
      </w:r>
      <w:r>
        <w:rPr>
          <w:rStyle w:val="FootnoteReference"/>
          <w:rtl/>
        </w:rPr>
        <w:footnoteReference w:id="57"/>
      </w:r>
      <w:r w:rsidRPr="002E4310">
        <w:rPr>
          <w:rFonts w:hint="cs"/>
          <w:rtl/>
        </w:rPr>
        <w:t xml:space="preserve"> ונתונים של 82 חברות ממשלתיות. </w:t>
      </w:r>
      <w:r>
        <w:rPr>
          <w:rFonts w:hint="cs"/>
          <w:rtl/>
        </w:rPr>
        <w:t>ב</w:t>
      </w:r>
      <w:r w:rsidRPr="002E4310">
        <w:rPr>
          <w:rFonts w:hint="cs"/>
          <w:rtl/>
        </w:rPr>
        <w:t>תקן חשבונאות בינלאומי מס</w:t>
      </w:r>
      <w:r>
        <w:rPr>
          <w:rFonts w:hint="cs"/>
          <w:rtl/>
        </w:rPr>
        <w:t>'</w:t>
      </w:r>
      <w:r w:rsidRPr="002E4310">
        <w:rPr>
          <w:rFonts w:hint="cs"/>
          <w:rtl/>
        </w:rPr>
        <w:t xml:space="preserve"> 6 (בוטל והוחלף </w:t>
      </w:r>
      <w:r>
        <w:rPr>
          <w:rFonts w:hint="cs"/>
          <w:rtl/>
        </w:rPr>
        <w:t>ב</w:t>
      </w:r>
      <w:r w:rsidRPr="002E4310">
        <w:rPr>
          <w:rFonts w:hint="cs"/>
          <w:rtl/>
        </w:rPr>
        <w:t>תקן חשבונאות בינלאומי מס' 35)</w:t>
      </w:r>
      <w:r>
        <w:rPr>
          <w:rStyle w:val="FootnoteReference"/>
          <w:rtl/>
        </w:rPr>
        <w:footnoteReference w:id="58"/>
      </w:r>
      <w:r w:rsidRPr="002E4310">
        <w:rPr>
          <w:rFonts w:hint="cs"/>
          <w:rtl/>
        </w:rPr>
        <w:t xml:space="preserve"> </w:t>
      </w:r>
      <w:r>
        <w:rPr>
          <w:rFonts w:hint="cs"/>
          <w:rtl/>
        </w:rPr>
        <w:t>נ</w:t>
      </w:r>
      <w:r w:rsidRPr="002E4310">
        <w:rPr>
          <w:rFonts w:hint="cs"/>
          <w:rtl/>
        </w:rPr>
        <w:t xml:space="preserve">קבע כי הדוחות הכספיים של הישות השולטת ושל הישויות </w:t>
      </w:r>
      <w:r>
        <w:rPr>
          <w:rFonts w:hint="cs"/>
          <w:rtl/>
        </w:rPr>
        <w:t>שהיא שולטת בהן,</w:t>
      </w:r>
      <w:r w:rsidRPr="002E4310">
        <w:rPr>
          <w:rFonts w:hint="cs"/>
          <w:rtl/>
        </w:rPr>
        <w:t xml:space="preserve"> המשמשים בעריכת הדוחות הכספיים המאוחדים, ייערכו ל</w:t>
      </w:r>
      <w:r>
        <w:rPr>
          <w:rFonts w:hint="cs"/>
          <w:rtl/>
        </w:rPr>
        <w:t xml:space="preserve">אותו </w:t>
      </w:r>
      <w:r w:rsidRPr="002E4310">
        <w:rPr>
          <w:rFonts w:hint="cs"/>
          <w:rtl/>
        </w:rPr>
        <w:t>מועד דיווח</w:t>
      </w:r>
      <w:r>
        <w:rPr>
          <w:rStyle w:val="FootnoteReference"/>
          <w:rtl/>
        </w:rPr>
        <w:footnoteReference w:id="59"/>
      </w:r>
      <w:r w:rsidRPr="002E4310">
        <w:rPr>
          <w:rFonts w:hint="cs"/>
          <w:rtl/>
        </w:rPr>
        <w:t xml:space="preserve">. עוד </w:t>
      </w:r>
      <w:r>
        <w:rPr>
          <w:rFonts w:hint="cs"/>
          <w:rtl/>
        </w:rPr>
        <w:t>נ</w:t>
      </w:r>
      <w:r w:rsidRPr="002E4310">
        <w:rPr>
          <w:rFonts w:hint="cs"/>
          <w:rtl/>
        </w:rPr>
        <w:t xml:space="preserve">קבע </w:t>
      </w:r>
      <w:r>
        <w:rPr>
          <w:rFonts w:hint="cs"/>
          <w:rtl/>
        </w:rPr>
        <w:t>ב</w:t>
      </w:r>
      <w:r w:rsidRPr="002E4310">
        <w:rPr>
          <w:rFonts w:hint="cs"/>
          <w:rtl/>
        </w:rPr>
        <w:t xml:space="preserve">תקן כי הפער בין מועד הדיווח של הישות הנשלטת לזה של הישות השולטת לא יעלה על שלושה חודשים. </w:t>
      </w:r>
      <w:r>
        <w:rPr>
          <w:rFonts w:hint="cs"/>
          <w:rtl/>
        </w:rPr>
        <w:t>גם ב</w:t>
      </w:r>
      <w:r w:rsidRPr="002E4310">
        <w:rPr>
          <w:rFonts w:hint="cs"/>
          <w:rtl/>
        </w:rPr>
        <w:t>תקן חשבונאות בינלאומי מס</w:t>
      </w:r>
      <w:r>
        <w:rPr>
          <w:rFonts w:hint="cs"/>
          <w:rtl/>
        </w:rPr>
        <w:t>'</w:t>
      </w:r>
      <w:r w:rsidRPr="002E4310">
        <w:rPr>
          <w:rFonts w:hint="cs"/>
          <w:rtl/>
        </w:rPr>
        <w:t xml:space="preserve"> 10 </w:t>
      </w:r>
      <w:r>
        <w:rPr>
          <w:rFonts w:hint="cs"/>
          <w:rtl/>
        </w:rPr>
        <w:t>הוגבל</w:t>
      </w:r>
      <w:r w:rsidRPr="002E4310">
        <w:rPr>
          <w:rFonts w:hint="cs"/>
          <w:rtl/>
        </w:rPr>
        <w:t xml:space="preserve"> הפער בין מועד הדיווח של הישות הנשלטת ל</w:t>
      </w:r>
      <w:r>
        <w:rPr>
          <w:rFonts w:hint="cs"/>
          <w:rtl/>
        </w:rPr>
        <w:t xml:space="preserve">זה </w:t>
      </w:r>
      <w:r w:rsidRPr="002E4310">
        <w:rPr>
          <w:rFonts w:hint="cs"/>
          <w:rtl/>
        </w:rPr>
        <w:t>של הישות השולטת לשלושה חודשים</w:t>
      </w:r>
      <w:r>
        <w:rPr>
          <w:rFonts w:hint="cs"/>
          <w:rtl/>
        </w:rPr>
        <w:t>, לכל היותר</w:t>
      </w:r>
      <w:r w:rsidRPr="002E4310">
        <w:rPr>
          <w:rFonts w:hint="cs"/>
          <w:rtl/>
        </w:rPr>
        <w:t xml:space="preserve">. </w:t>
      </w:r>
    </w:p>
    <w:p w14:paraId="3133B270" w14:textId="77777777" w:rsidR="00867DA1" w:rsidRPr="002E4310" w:rsidRDefault="00867DA1" w:rsidP="00D55FEC">
      <w:pPr>
        <w:pStyle w:val="af5"/>
        <w:rPr>
          <w:rtl/>
        </w:rPr>
      </w:pPr>
      <w:r w:rsidRPr="00662655">
        <w:rPr>
          <w:rFonts w:hint="cs"/>
          <w:rtl/>
        </w:rPr>
        <w:t>נמצא כי כשאוחדו הדוחות הכספיים לשנת 2018, אוחדו דוחות כספיים של תאגידים סטטוטוריים ושל חברות ממשלתיות שביקרו רואי חשבון לשנים 2015 - 2018, וטיוטות של דוחות כספיים.</w:t>
      </w:r>
    </w:p>
    <w:p w14:paraId="74818DC1" w14:textId="77777777" w:rsidR="00867DA1" w:rsidRDefault="00867DA1" w:rsidP="00D55FEC">
      <w:pPr>
        <w:pStyle w:val="100"/>
        <w:rPr>
          <w:rtl/>
        </w:rPr>
      </w:pPr>
      <w:r>
        <w:rPr>
          <w:rFonts w:hint="cs"/>
          <w:rtl/>
        </w:rPr>
        <w:t xml:space="preserve">בתרשימים שלהלן מוצגים הנתונים בדבר הדוחות הכספיים של התאגידים הסטטוטוריים ושל החברות הממשלתיות שאוחדו בדוח הכספי המאוחד לשנת 2018. </w:t>
      </w:r>
    </w:p>
    <w:p w14:paraId="0531FA7C" w14:textId="77777777" w:rsidR="00867DA1" w:rsidRPr="00D55FEC" w:rsidRDefault="00867DA1" w:rsidP="00D55FEC">
      <w:pPr>
        <w:pStyle w:val="aa"/>
        <w:rPr>
          <w:b/>
          <w:bCs/>
          <w:rtl/>
        </w:rPr>
      </w:pPr>
      <w:r w:rsidRPr="00F4500D">
        <w:rPr>
          <w:rFonts w:hint="cs"/>
          <w:rtl/>
        </w:rPr>
        <w:t xml:space="preserve">תרשים 6: </w:t>
      </w:r>
      <w:r w:rsidRPr="00D55FEC">
        <w:rPr>
          <w:rFonts w:hint="cs"/>
          <w:b/>
          <w:bCs/>
          <w:rtl/>
        </w:rPr>
        <w:t>שימוש בדוחות כספיים של תאגידים סטטוטוריים בדוח הכספי המאוחד לשנת 2018</w:t>
      </w:r>
    </w:p>
    <w:p w14:paraId="178D946B" w14:textId="77777777" w:rsidR="00867DA1" w:rsidRDefault="00867DA1" w:rsidP="00867DA1">
      <w:pPr>
        <w:spacing w:line="269" w:lineRule="auto"/>
        <w:rPr>
          <w:rtl/>
        </w:rPr>
      </w:pPr>
      <w:r>
        <w:rPr>
          <w:noProof/>
          <w:rtl/>
        </w:rPr>
        <w:drawing>
          <wp:inline distT="0" distB="0" distL="0" distR="0" wp14:anchorId="7EFDD085" wp14:editId="6A357CDE">
            <wp:extent cx="5220335" cy="2245806"/>
            <wp:effectExtent l="0" t="0" r="18415" b="254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838BD0" w14:textId="77777777" w:rsidR="00867DA1" w:rsidRPr="004254E2" w:rsidRDefault="00867DA1" w:rsidP="00D55FEC">
      <w:pPr>
        <w:pStyle w:val="ac"/>
        <w:rPr>
          <w:bCs/>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w:t>
      </w:r>
      <w:r w:rsidRPr="004254E2">
        <w:rPr>
          <w:rFonts w:hint="eastAsia"/>
          <w:rtl/>
        </w:rPr>
        <w:t>הנספחים</w:t>
      </w:r>
      <w:r w:rsidRPr="004254E2">
        <w:rPr>
          <w:rtl/>
        </w:rPr>
        <w:t xml:space="preserve"> </w:t>
      </w:r>
      <w:r w:rsidRPr="004254E2">
        <w:rPr>
          <w:rFonts w:hint="eastAsia"/>
          <w:rtl/>
        </w:rPr>
        <w:t>לדוחות</w:t>
      </w:r>
      <w:r w:rsidRPr="004254E2">
        <w:rPr>
          <w:rtl/>
        </w:rPr>
        <w:t xml:space="preserve"> </w:t>
      </w:r>
      <w:r w:rsidRPr="004254E2">
        <w:rPr>
          <w:rFonts w:hint="eastAsia"/>
          <w:rtl/>
        </w:rPr>
        <w:t>הכספיים</w:t>
      </w:r>
      <w:r w:rsidRPr="004254E2">
        <w:rPr>
          <w:rtl/>
        </w:rPr>
        <w:t xml:space="preserve"> </w:t>
      </w:r>
      <w:r w:rsidRPr="004254E2">
        <w:rPr>
          <w:rFonts w:hint="eastAsia"/>
          <w:rtl/>
        </w:rPr>
        <w:t>של</w:t>
      </w:r>
      <w:r w:rsidRPr="004254E2">
        <w:rPr>
          <w:rtl/>
        </w:rPr>
        <w:t xml:space="preserve"> </w:t>
      </w:r>
      <w:r>
        <w:rPr>
          <w:rFonts w:hint="cs"/>
          <w:rtl/>
        </w:rPr>
        <w:t>המדינה</w:t>
      </w:r>
      <w:r w:rsidRPr="004254E2">
        <w:rPr>
          <w:rtl/>
        </w:rPr>
        <w:t xml:space="preserve"> </w:t>
      </w:r>
      <w:r w:rsidRPr="004254E2">
        <w:rPr>
          <w:rFonts w:hint="eastAsia"/>
          <w:rtl/>
        </w:rPr>
        <w:t>לשנת</w:t>
      </w:r>
      <w:r w:rsidRPr="004254E2">
        <w:rPr>
          <w:rtl/>
        </w:rPr>
        <w:t xml:space="preserve">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sidRPr="004254E2">
        <w:rPr>
          <w:rtl/>
        </w:rPr>
        <w:t>.</w:t>
      </w:r>
    </w:p>
    <w:p w14:paraId="7AD1EDF8" w14:textId="77777777" w:rsidR="00D55FEC" w:rsidRDefault="00D55FEC">
      <w:pPr>
        <w:bidi w:val="0"/>
        <w:spacing w:after="200" w:line="276" w:lineRule="auto"/>
        <w:rPr>
          <w:i/>
          <w:iCs/>
          <w:color w:val="1F497D" w:themeColor="text2"/>
          <w:sz w:val="18"/>
          <w:szCs w:val="18"/>
          <w:rtl/>
        </w:rPr>
      </w:pPr>
      <w:bookmarkStart w:id="9" w:name="_Ref31474822"/>
      <w:r>
        <w:rPr>
          <w:rtl/>
        </w:rPr>
        <w:br w:type="page"/>
      </w:r>
    </w:p>
    <w:p w14:paraId="63FB345C" w14:textId="4804CA4E" w:rsidR="00867DA1" w:rsidRPr="00D55FEC" w:rsidRDefault="00867DA1" w:rsidP="00D55FEC">
      <w:pPr>
        <w:pStyle w:val="aa"/>
        <w:rPr>
          <w:b/>
          <w:bCs/>
          <w:szCs w:val="26"/>
          <w:rtl/>
        </w:rPr>
      </w:pPr>
      <w:r w:rsidRPr="004254E2">
        <w:rPr>
          <w:rFonts w:hint="eastAsia"/>
          <w:rtl/>
        </w:rPr>
        <w:lastRenderedPageBreak/>
        <w:t>תרשים</w:t>
      </w:r>
      <w:r w:rsidRPr="004254E2">
        <w:rPr>
          <w:rtl/>
        </w:rPr>
        <w:t xml:space="preserve"> 7</w:t>
      </w:r>
      <w:bookmarkEnd w:id="9"/>
      <w:r w:rsidRPr="004254E2">
        <w:rPr>
          <w:rtl/>
        </w:rPr>
        <w:t xml:space="preserve">: </w:t>
      </w:r>
      <w:r w:rsidRPr="00D55FEC">
        <w:rPr>
          <w:rFonts w:hint="eastAsia"/>
          <w:b/>
          <w:bCs/>
          <w:rtl/>
        </w:rPr>
        <w:t>נתונים</w:t>
      </w:r>
      <w:r w:rsidRPr="00D55FEC">
        <w:rPr>
          <w:b/>
          <w:bCs/>
          <w:rtl/>
        </w:rPr>
        <w:t xml:space="preserve"> כספיים (היקף נכסים, התחייבויות ומחזור פעילות) </w:t>
      </w:r>
      <w:r w:rsidRPr="00D55FEC">
        <w:rPr>
          <w:rFonts w:hint="eastAsia"/>
          <w:b/>
          <w:bCs/>
          <w:rtl/>
        </w:rPr>
        <w:t>של</w:t>
      </w:r>
      <w:r w:rsidRPr="00D55FEC">
        <w:rPr>
          <w:b/>
          <w:bCs/>
          <w:rtl/>
        </w:rPr>
        <w:t xml:space="preserve"> </w:t>
      </w:r>
      <w:r w:rsidRPr="00D55FEC">
        <w:rPr>
          <w:rFonts w:hint="eastAsia"/>
          <w:b/>
          <w:bCs/>
          <w:rtl/>
        </w:rPr>
        <w:t>תאגידים</w:t>
      </w:r>
      <w:r w:rsidRPr="00D55FEC">
        <w:rPr>
          <w:b/>
          <w:bCs/>
          <w:rtl/>
        </w:rPr>
        <w:t xml:space="preserve"> </w:t>
      </w:r>
      <w:r w:rsidRPr="00D55FEC">
        <w:rPr>
          <w:rFonts w:hint="eastAsia"/>
          <w:b/>
          <w:bCs/>
          <w:rtl/>
        </w:rPr>
        <w:t>סטטוטוריים</w:t>
      </w:r>
      <w:r w:rsidRPr="00D55FEC">
        <w:rPr>
          <w:rFonts w:hint="cs"/>
          <w:b/>
          <w:bCs/>
          <w:rtl/>
        </w:rPr>
        <w:t xml:space="preserve"> </w:t>
      </w:r>
      <w:r w:rsidRPr="00D55FEC">
        <w:rPr>
          <w:rFonts w:hint="eastAsia"/>
          <w:b/>
          <w:bCs/>
          <w:rtl/>
        </w:rPr>
        <w:t>שאוחדו</w:t>
      </w:r>
      <w:r w:rsidRPr="00D55FEC">
        <w:rPr>
          <w:b/>
          <w:bCs/>
          <w:rtl/>
        </w:rPr>
        <w:t xml:space="preserve"> </w:t>
      </w:r>
      <w:r w:rsidRPr="00D55FEC">
        <w:rPr>
          <w:rFonts w:hint="eastAsia"/>
          <w:b/>
          <w:bCs/>
          <w:rtl/>
        </w:rPr>
        <w:t>בדוח</w:t>
      </w:r>
      <w:r w:rsidRPr="00D55FEC">
        <w:rPr>
          <w:b/>
          <w:bCs/>
          <w:rtl/>
        </w:rPr>
        <w:t xml:space="preserve"> </w:t>
      </w:r>
      <w:r w:rsidRPr="00D55FEC">
        <w:rPr>
          <w:rFonts w:hint="eastAsia"/>
          <w:b/>
          <w:bCs/>
          <w:rtl/>
        </w:rPr>
        <w:t>הכספי</w:t>
      </w:r>
      <w:r w:rsidRPr="00D55FEC">
        <w:rPr>
          <w:b/>
          <w:bCs/>
          <w:rtl/>
        </w:rPr>
        <w:t xml:space="preserve"> </w:t>
      </w:r>
      <w:r w:rsidRPr="00D55FEC">
        <w:rPr>
          <w:rFonts w:hint="eastAsia"/>
          <w:b/>
          <w:bCs/>
          <w:rtl/>
        </w:rPr>
        <w:t>המאוחד</w:t>
      </w:r>
      <w:r w:rsidRPr="00D55FEC">
        <w:rPr>
          <w:b/>
          <w:bCs/>
          <w:rtl/>
        </w:rPr>
        <w:t xml:space="preserve"> </w:t>
      </w:r>
      <w:r w:rsidRPr="00D55FEC">
        <w:rPr>
          <w:rFonts w:hint="eastAsia"/>
          <w:b/>
          <w:bCs/>
          <w:rtl/>
        </w:rPr>
        <w:t>לשנת</w:t>
      </w:r>
      <w:r w:rsidRPr="00D55FEC">
        <w:rPr>
          <w:b/>
          <w:bCs/>
          <w:rtl/>
        </w:rPr>
        <w:t xml:space="preserve"> 2018 (באלפי ש"ח)</w:t>
      </w:r>
    </w:p>
    <w:p w14:paraId="2CF72016" w14:textId="2D3122BC" w:rsidR="00867DA1" w:rsidRDefault="00867DA1" w:rsidP="00D55FEC">
      <w:pPr>
        <w:pStyle w:val="Heading4"/>
        <w:spacing w:before="0" w:line="269" w:lineRule="auto"/>
        <w:jc w:val="center"/>
        <w:rPr>
          <w:b/>
          <w:bCs w:val="0"/>
          <w:rtl/>
        </w:rPr>
      </w:pPr>
      <w:r>
        <w:rPr>
          <w:b/>
          <w:bCs w:val="0"/>
          <w:noProof/>
          <w:rtl/>
        </w:rPr>
        <w:drawing>
          <wp:inline distT="0" distB="0" distL="0" distR="0" wp14:anchorId="210448E9" wp14:editId="3C6DDA94">
            <wp:extent cx="5219700" cy="3044825"/>
            <wp:effectExtent l="19050" t="95250" r="57150" b="41275"/>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F96B892" w14:textId="77777777" w:rsidR="00867DA1" w:rsidRPr="004254E2" w:rsidRDefault="00867DA1" w:rsidP="00D55FEC">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w:t>
      </w:r>
      <w:r w:rsidRPr="004254E2">
        <w:rPr>
          <w:rFonts w:hint="eastAsia"/>
          <w:rtl/>
        </w:rPr>
        <w:t>הנספחים</w:t>
      </w:r>
      <w:r w:rsidRPr="004254E2">
        <w:rPr>
          <w:rtl/>
        </w:rPr>
        <w:t xml:space="preserve"> </w:t>
      </w:r>
      <w:r w:rsidRPr="004254E2">
        <w:rPr>
          <w:rFonts w:hint="eastAsia"/>
          <w:rtl/>
        </w:rPr>
        <w:t>לדוחות</w:t>
      </w:r>
      <w:r w:rsidRPr="004254E2">
        <w:rPr>
          <w:rtl/>
        </w:rPr>
        <w:t xml:space="preserve"> </w:t>
      </w:r>
      <w:r w:rsidRPr="004254E2">
        <w:rPr>
          <w:rFonts w:hint="eastAsia"/>
          <w:rtl/>
        </w:rPr>
        <w:t>הכספיים</w:t>
      </w:r>
      <w:r w:rsidRPr="004254E2">
        <w:rPr>
          <w:rtl/>
        </w:rPr>
        <w:t xml:space="preserve"> </w:t>
      </w:r>
      <w:r w:rsidRPr="004254E2">
        <w:rPr>
          <w:rFonts w:hint="eastAsia"/>
          <w:rtl/>
        </w:rPr>
        <w:t>של</w:t>
      </w:r>
      <w:r w:rsidRPr="004254E2">
        <w:rPr>
          <w:rtl/>
        </w:rPr>
        <w:t xml:space="preserve"> </w:t>
      </w:r>
      <w:r w:rsidRPr="004254E2">
        <w:rPr>
          <w:rFonts w:hint="eastAsia"/>
          <w:rtl/>
        </w:rPr>
        <w:t>הממשלה</w:t>
      </w:r>
      <w:r w:rsidRPr="004254E2">
        <w:rPr>
          <w:rtl/>
        </w:rPr>
        <w:t xml:space="preserve"> </w:t>
      </w:r>
      <w:r w:rsidRPr="004254E2">
        <w:rPr>
          <w:rFonts w:hint="eastAsia"/>
          <w:rtl/>
        </w:rPr>
        <w:t>לשנת</w:t>
      </w:r>
      <w:r w:rsidRPr="004254E2">
        <w:rPr>
          <w:rtl/>
        </w:rPr>
        <w:t xml:space="preserve">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sidRPr="004254E2">
        <w:rPr>
          <w:rtl/>
        </w:rPr>
        <w:t>.</w:t>
      </w:r>
    </w:p>
    <w:p w14:paraId="743384F0" w14:textId="510E4516" w:rsidR="00867DA1" w:rsidRDefault="00867DA1" w:rsidP="00D55FEC">
      <w:pPr>
        <w:pStyle w:val="100"/>
        <w:rPr>
          <w:rtl/>
        </w:rPr>
      </w:pPr>
    </w:p>
    <w:p w14:paraId="777FEB76" w14:textId="77777777" w:rsidR="00867DA1" w:rsidRDefault="00867DA1" w:rsidP="00D55FEC">
      <w:pPr>
        <w:pStyle w:val="100"/>
        <w:rPr>
          <w:b/>
          <w:rtl/>
        </w:rPr>
      </w:pPr>
      <w:r w:rsidRPr="002E4310">
        <w:rPr>
          <w:rFonts w:hint="eastAsia"/>
          <w:b/>
          <w:rtl/>
        </w:rPr>
        <w:t>מתרשים</w:t>
      </w:r>
      <w:r w:rsidRPr="002E4310">
        <w:rPr>
          <w:b/>
          <w:rtl/>
        </w:rPr>
        <w:t xml:space="preserve"> </w:t>
      </w:r>
      <w:r>
        <w:rPr>
          <w:rFonts w:hint="cs"/>
          <w:b/>
          <w:rtl/>
        </w:rPr>
        <w:t>7 עולה</w:t>
      </w:r>
      <w:r w:rsidRPr="002E4310">
        <w:rPr>
          <w:b/>
          <w:rtl/>
        </w:rPr>
        <w:t xml:space="preserve"> כי מרבית הנתונים הכספיים של התאגידים הסטטוטוריים שאוחדו בדוח הכספי לשנת 2018 מבוססים על דוחות מבוקרים לשנת 2018.</w:t>
      </w:r>
    </w:p>
    <w:p w14:paraId="1BEF9C5C" w14:textId="77777777" w:rsidR="00867DA1" w:rsidRPr="00D55FEC" w:rsidRDefault="00867DA1" w:rsidP="00D55FEC">
      <w:pPr>
        <w:pStyle w:val="aa"/>
        <w:rPr>
          <w:b/>
          <w:bCs/>
          <w:rtl/>
        </w:rPr>
      </w:pPr>
      <w:r w:rsidRPr="008B3F3F">
        <w:rPr>
          <w:rFonts w:hint="eastAsia"/>
          <w:rtl/>
        </w:rPr>
        <w:t>תרשים</w:t>
      </w:r>
      <w:r w:rsidRPr="008B3F3F">
        <w:rPr>
          <w:rtl/>
        </w:rPr>
        <w:t xml:space="preserve"> 8: </w:t>
      </w:r>
      <w:r w:rsidRPr="00D55FEC">
        <w:rPr>
          <w:rFonts w:hint="eastAsia"/>
          <w:b/>
          <w:bCs/>
          <w:rtl/>
        </w:rPr>
        <w:t>שימוש</w:t>
      </w:r>
      <w:r w:rsidRPr="00D55FEC">
        <w:rPr>
          <w:b/>
          <w:bCs/>
          <w:rtl/>
        </w:rPr>
        <w:t xml:space="preserve"> </w:t>
      </w:r>
      <w:r w:rsidRPr="00D55FEC">
        <w:rPr>
          <w:rFonts w:hint="eastAsia"/>
          <w:b/>
          <w:bCs/>
          <w:rtl/>
        </w:rPr>
        <w:t>בדוחות</w:t>
      </w:r>
      <w:r w:rsidRPr="00D55FEC">
        <w:rPr>
          <w:b/>
          <w:bCs/>
          <w:rtl/>
        </w:rPr>
        <w:t xml:space="preserve"> </w:t>
      </w:r>
      <w:r w:rsidRPr="00D55FEC">
        <w:rPr>
          <w:rFonts w:hint="eastAsia"/>
          <w:b/>
          <w:bCs/>
          <w:rtl/>
        </w:rPr>
        <w:t>הכספיים</w:t>
      </w:r>
      <w:r w:rsidRPr="00D55FEC">
        <w:rPr>
          <w:b/>
          <w:bCs/>
          <w:rtl/>
        </w:rPr>
        <w:t xml:space="preserve"> </w:t>
      </w:r>
      <w:r w:rsidRPr="00D55FEC">
        <w:rPr>
          <w:rFonts w:hint="eastAsia"/>
          <w:b/>
          <w:bCs/>
          <w:rtl/>
        </w:rPr>
        <w:t>של</w:t>
      </w:r>
      <w:r w:rsidRPr="00D55FEC">
        <w:rPr>
          <w:b/>
          <w:bCs/>
          <w:rtl/>
        </w:rPr>
        <w:t xml:space="preserve"> </w:t>
      </w:r>
      <w:r w:rsidRPr="00D55FEC">
        <w:rPr>
          <w:rFonts w:hint="eastAsia"/>
          <w:b/>
          <w:bCs/>
          <w:rtl/>
        </w:rPr>
        <w:t>חברות</w:t>
      </w:r>
      <w:r w:rsidRPr="00D55FEC">
        <w:rPr>
          <w:b/>
          <w:bCs/>
          <w:rtl/>
        </w:rPr>
        <w:t xml:space="preserve"> </w:t>
      </w:r>
      <w:r w:rsidRPr="00D55FEC">
        <w:rPr>
          <w:rFonts w:hint="eastAsia"/>
          <w:b/>
          <w:bCs/>
          <w:rtl/>
        </w:rPr>
        <w:t>ממשלתיות</w:t>
      </w:r>
      <w:r w:rsidRPr="00D55FEC">
        <w:rPr>
          <w:b/>
          <w:bCs/>
          <w:rtl/>
        </w:rPr>
        <w:t xml:space="preserve"> </w:t>
      </w:r>
      <w:r w:rsidRPr="00D55FEC">
        <w:rPr>
          <w:rFonts w:hint="eastAsia"/>
          <w:b/>
          <w:bCs/>
          <w:rtl/>
        </w:rPr>
        <w:t>בדוח</w:t>
      </w:r>
      <w:r w:rsidRPr="00D55FEC">
        <w:rPr>
          <w:b/>
          <w:bCs/>
          <w:rtl/>
        </w:rPr>
        <w:t xml:space="preserve"> </w:t>
      </w:r>
      <w:r w:rsidRPr="00D55FEC">
        <w:rPr>
          <w:rFonts w:hint="eastAsia"/>
          <w:b/>
          <w:bCs/>
          <w:rtl/>
        </w:rPr>
        <w:t>הכספי</w:t>
      </w:r>
      <w:r w:rsidRPr="00D55FEC">
        <w:rPr>
          <w:b/>
          <w:bCs/>
          <w:rtl/>
        </w:rPr>
        <w:t xml:space="preserve"> </w:t>
      </w:r>
      <w:r w:rsidRPr="00D55FEC">
        <w:rPr>
          <w:rFonts w:hint="eastAsia"/>
          <w:b/>
          <w:bCs/>
          <w:rtl/>
        </w:rPr>
        <w:t>המאוחד</w:t>
      </w:r>
      <w:r w:rsidRPr="00D55FEC">
        <w:rPr>
          <w:b/>
          <w:bCs/>
          <w:rtl/>
        </w:rPr>
        <w:t xml:space="preserve"> </w:t>
      </w:r>
      <w:r w:rsidRPr="00D55FEC">
        <w:rPr>
          <w:rFonts w:hint="eastAsia"/>
          <w:b/>
          <w:bCs/>
          <w:rtl/>
        </w:rPr>
        <w:t>לשנת</w:t>
      </w:r>
      <w:r w:rsidRPr="00D55FEC">
        <w:rPr>
          <w:b/>
          <w:bCs/>
          <w:rtl/>
        </w:rPr>
        <w:t xml:space="preserve"> 2018</w:t>
      </w:r>
    </w:p>
    <w:p w14:paraId="524E24A1" w14:textId="77777777" w:rsidR="00867DA1" w:rsidRDefault="00867DA1" w:rsidP="00867DA1">
      <w:pPr>
        <w:spacing w:line="269" w:lineRule="auto"/>
        <w:rPr>
          <w:b/>
          <w:bCs/>
          <w:rtl/>
        </w:rPr>
      </w:pPr>
      <w:r>
        <w:rPr>
          <w:noProof/>
          <w:rtl/>
        </w:rPr>
        <w:drawing>
          <wp:inline distT="0" distB="0" distL="0" distR="0" wp14:anchorId="5D6721A0" wp14:editId="5881EA5D">
            <wp:extent cx="5219700" cy="2245087"/>
            <wp:effectExtent l="0" t="0" r="0" b="3175"/>
            <wp:docPr id="32"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E0041A" w14:textId="77777777" w:rsidR="00867DA1" w:rsidRPr="006C0F1E" w:rsidRDefault="00867DA1" w:rsidP="00D55FEC">
      <w:pPr>
        <w:pStyle w:val="ac"/>
        <w:rPr>
          <w:rtl/>
        </w:rPr>
      </w:pPr>
      <w:r w:rsidRPr="006C0F1E">
        <w:rPr>
          <w:rFonts w:hint="cs"/>
          <w:rtl/>
        </w:rPr>
        <w:t>ה</w:t>
      </w:r>
      <w:r w:rsidRPr="006C0F1E">
        <w:rPr>
          <w:rFonts w:hint="eastAsia"/>
          <w:rtl/>
        </w:rPr>
        <w:t>מקור</w:t>
      </w:r>
      <w:r w:rsidRPr="006C0F1E">
        <w:rPr>
          <w:rtl/>
        </w:rPr>
        <w:t xml:space="preserve">: </w:t>
      </w:r>
      <w:r w:rsidRPr="006C0F1E">
        <w:rPr>
          <w:rFonts w:hint="eastAsia"/>
          <w:rtl/>
        </w:rPr>
        <w:t>נספחים</w:t>
      </w:r>
      <w:r w:rsidRPr="006C0F1E">
        <w:rPr>
          <w:rtl/>
        </w:rPr>
        <w:t xml:space="preserve"> </w:t>
      </w:r>
      <w:r w:rsidRPr="006C0F1E">
        <w:rPr>
          <w:rFonts w:hint="eastAsia"/>
          <w:rtl/>
        </w:rPr>
        <w:t>לדוחות</w:t>
      </w:r>
      <w:r w:rsidRPr="006C0F1E">
        <w:rPr>
          <w:rtl/>
        </w:rPr>
        <w:t xml:space="preserve"> </w:t>
      </w:r>
      <w:r w:rsidRPr="006C0F1E">
        <w:rPr>
          <w:rFonts w:hint="eastAsia"/>
          <w:rtl/>
        </w:rPr>
        <w:t>הכספיים</w:t>
      </w:r>
      <w:r w:rsidRPr="006C0F1E">
        <w:rPr>
          <w:rtl/>
        </w:rPr>
        <w:t xml:space="preserve"> </w:t>
      </w:r>
      <w:r w:rsidRPr="006C0F1E">
        <w:rPr>
          <w:rFonts w:hint="eastAsia"/>
          <w:rtl/>
        </w:rPr>
        <w:t>של</w:t>
      </w:r>
      <w:r w:rsidRPr="006C0F1E">
        <w:rPr>
          <w:rtl/>
        </w:rPr>
        <w:t xml:space="preserve"> </w:t>
      </w:r>
      <w:r>
        <w:rPr>
          <w:rFonts w:hint="cs"/>
          <w:rtl/>
        </w:rPr>
        <w:t>המדינה</w:t>
      </w:r>
      <w:r w:rsidRPr="006C0F1E">
        <w:rPr>
          <w:rtl/>
        </w:rPr>
        <w:t xml:space="preserve"> </w:t>
      </w:r>
      <w:r w:rsidRPr="006C0F1E">
        <w:rPr>
          <w:rFonts w:hint="eastAsia"/>
          <w:rtl/>
        </w:rPr>
        <w:t>לשנת</w:t>
      </w:r>
      <w:r w:rsidRPr="006C0F1E">
        <w:rPr>
          <w:rtl/>
        </w:rPr>
        <w:t xml:space="preserve"> 2018</w:t>
      </w:r>
      <w:r w:rsidRPr="006C0F1E">
        <w:rPr>
          <w:rFonts w:hint="cs"/>
          <w:rtl/>
        </w:rPr>
        <w:t>,</w:t>
      </w:r>
      <w:r w:rsidRPr="006C0F1E">
        <w:rPr>
          <w:rtl/>
        </w:rPr>
        <w:t xml:space="preserve"> </w:t>
      </w:r>
      <w:r w:rsidRPr="006C0F1E">
        <w:rPr>
          <w:rFonts w:hint="cs"/>
          <w:rtl/>
        </w:rPr>
        <w:t>ב</w:t>
      </w:r>
      <w:r w:rsidRPr="006C0F1E">
        <w:rPr>
          <w:rFonts w:hint="eastAsia"/>
          <w:rtl/>
        </w:rPr>
        <w:t>עיבוד</w:t>
      </w:r>
      <w:r w:rsidRPr="006C0F1E">
        <w:rPr>
          <w:rtl/>
        </w:rPr>
        <w:t xml:space="preserve"> </w:t>
      </w:r>
      <w:r w:rsidRPr="006C0F1E">
        <w:rPr>
          <w:rFonts w:hint="eastAsia"/>
          <w:rtl/>
        </w:rPr>
        <w:t>משרד</w:t>
      </w:r>
      <w:r w:rsidRPr="006C0F1E">
        <w:rPr>
          <w:rtl/>
        </w:rPr>
        <w:t xml:space="preserve"> </w:t>
      </w:r>
      <w:r w:rsidRPr="006C0F1E">
        <w:rPr>
          <w:rFonts w:hint="eastAsia"/>
          <w:rtl/>
        </w:rPr>
        <w:t>מבקר</w:t>
      </w:r>
      <w:r w:rsidRPr="006C0F1E">
        <w:rPr>
          <w:rtl/>
        </w:rPr>
        <w:t xml:space="preserve"> </w:t>
      </w:r>
      <w:r w:rsidRPr="006C0F1E">
        <w:rPr>
          <w:rFonts w:hint="eastAsia"/>
          <w:rtl/>
        </w:rPr>
        <w:t>המדינה</w:t>
      </w:r>
      <w:r w:rsidRPr="006C0F1E">
        <w:rPr>
          <w:rFonts w:hint="cs"/>
          <w:rtl/>
        </w:rPr>
        <w:t>.</w:t>
      </w:r>
    </w:p>
    <w:p w14:paraId="6275CAAF" w14:textId="77777777" w:rsidR="00867DA1" w:rsidRDefault="00867DA1" w:rsidP="00D55FEC">
      <w:pPr>
        <w:pStyle w:val="414"/>
        <w:rPr>
          <w:rtl/>
        </w:rPr>
      </w:pPr>
      <w:r>
        <w:rPr>
          <w:rFonts w:hint="cs"/>
          <w:rtl/>
        </w:rPr>
        <w:lastRenderedPageBreak/>
        <w:t xml:space="preserve">האחדת הדוחות הכספיים - שימוש בנתוני דוחות כספיים שחוות הדעת עליהם מסויגת </w:t>
      </w:r>
    </w:p>
    <w:p w14:paraId="44671F82" w14:textId="77777777" w:rsidR="00867DA1" w:rsidRDefault="00867DA1" w:rsidP="00D55FEC">
      <w:pPr>
        <w:pStyle w:val="100"/>
        <w:rPr>
          <w:rtl/>
        </w:rPr>
      </w:pPr>
      <w:r>
        <w:rPr>
          <w:rFonts w:hint="cs"/>
          <w:rtl/>
        </w:rPr>
        <w:t xml:space="preserve">נמצא כי כשאוחדו הדוחות הכספיים של המדינה לשנת 2018, אוחדו דוחות כספיים של ישויות שחוות הדעת בנוגע להם הייתה מסויגת. להלן הנתונים: </w:t>
      </w:r>
    </w:p>
    <w:p w14:paraId="703DF64F" w14:textId="14E59960" w:rsidR="00867DA1" w:rsidRPr="00D55FEC" w:rsidRDefault="00867DA1" w:rsidP="00D55FEC">
      <w:pPr>
        <w:pStyle w:val="aa"/>
        <w:rPr>
          <w:b/>
          <w:bCs/>
          <w:rtl/>
        </w:rPr>
      </w:pPr>
      <w:r w:rsidRPr="00D55FEC">
        <w:rPr>
          <w:rFonts w:hint="cs"/>
          <w:rtl/>
        </w:rPr>
        <w:t>לוח</w:t>
      </w:r>
      <w:r w:rsidRPr="00D55FEC">
        <w:rPr>
          <w:rtl/>
        </w:rPr>
        <w:t xml:space="preserve"> </w:t>
      </w:r>
      <w:fldSimple w:instr=" SEQ טבלה \* ARABIC ">
        <w:r w:rsidR="003E1673">
          <w:rPr>
            <w:noProof/>
          </w:rPr>
          <w:t>6</w:t>
        </w:r>
      </w:fldSimple>
      <w:r w:rsidRPr="00D55FEC">
        <w:rPr>
          <w:rFonts w:hint="cs"/>
          <w:rtl/>
        </w:rPr>
        <w:t xml:space="preserve">: </w:t>
      </w:r>
      <w:r w:rsidRPr="00D55FEC">
        <w:rPr>
          <w:rFonts w:hint="cs"/>
          <w:b/>
          <w:bCs/>
          <w:rtl/>
        </w:rPr>
        <w:t>ישויות שנכללו בדוחות הכספיים לשנת 2018 אף שחוות הדעת של רואי החשבון בגינם כללה הסתייגות (באלפי ש"ח)</w:t>
      </w:r>
    </w:p>
    <w:tbl>
      <w:tblPr>
        <w:tblStyle w:val="LightShading-Accent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576"/>
        <w:gridCol w:w="4519"/>
        <w:gridCol w:w="1558"/>
        <w:gridCol w:w="1557"/>
      </w:tblGrid>
      <w:tr w:rsidR="00867DA1" w:rsidRPr="003D2295" w14:paraId="7C0F9C56" w14:textId="77777777" w:rsidTr="00316D7B">
        <w:trPr>
          <w:cnfStyle w:val="100000000000" w:firstRow="1" w:lastRow="0" w:firstColumn="0" w:lastColumn="0" w:oddVBand="0" w:evenVBand="0" w:oddHBand="0" w:evenHBand="0" w:firstRowFirstColumn="0" w:firstRowLastColumn="0" w:lastRowFirstColumn="0" w:lastRowLastColumn="0"/>
          <w:trHeight w:val="358"/>
          <w:jc w:val="center"/>
        </w:trPr>
        <w:tc>
          <w:tcPr>
            <w:tcW w:w="351" w:type="pct"/>
            <w:tcBorders>
              <w:top w:val="none" w:sz="0" w:space="0" w:color="auto"/>
              <w:left w:val="none" w:sz="0" w:space="0" w:color="auto"/>
              <w:bottom w:val="none" w:sz="0" w:space="0" w:color="auto"/>
              <w:right w:val="none" w:sz="0" w:space="0" w:color="auto"/>
            </w:tcBorders>
            <w:shd w:val="clear" w:color="auto" w:fill="C6D9F1"/>
            <w:vAlign w:val="bottom"/>
          </w:tcPr>
          <w:p w14:paraId="141F1FB3" w14:textId="77777777" w:rsidR="00867DA1" w:rsidRPr="003D2295" w:rsidRDefault="00867DA1" w:rsidP="002B18FE">
            <w:pPr>
              <w:pStyle w:val="af1"/>
              <w:rPr>
                <w:b/>
                <w:bCs/>
              </w:rPr>
            </w:pPr>
          </w:p>
          <w:p w14:paraId="090FD831" w14:textId="77777777" w:rsidR="00867DA1" w:rsidRPr="003D2295" w:rsidRDefault="00867DA1" w:rsidP="002B18FE">
            <w:pPr>
              <w:pStyle w:val="af1"/>
              <w:rPr>
                <w:b/>
                <w:bCs/>
              </w:rPr>
            </w:pPr>
          </w:p>
        </w:tc>
        <w:tc>
          <w:tcPr>
            <w:tcW w:w="2752" w:type="pct"/>
            <w:tcBorders>
              <w:top w:val="none" w:sz="0" w:space="0" w:color="auto"/>
              <w:left w:val="none" w:sz="0" w:space="0" w:color="auto"/>
              <w:bottom w:val="none" w:sz="0" w:space="0" w:color="auto"/>
              <w:right w:val="none" w:sz="0" w:space="0" w:color="auto"/>
            </w:tcBorders>
            <w:shd w:val="clear" w:color="auto" w:fill="C6D9F1"/>
            <w:noWrap/>
            <w:vAlign w:val="bottom"/>
          </w:tcPr>
          <w:p w14:paraId="3FE59230" w14:textId="77777777" w:rsidR="00867DA1" w:rsidRPr="003D2295" w:rsidRDefault="00867DA1" w:rsidP="002B18FE">
            <w:pPr>
              <w:pStyle w:val="af1"/>
              <w:rPr>
                <w:b/>
                <w:bCs/>
              </w:rPr>
            </w:pPr>
            <w:r w:rsidRPr="003D2295">
              <w:rPr>
                <w:rFonts w:hint="eastAsia"/>
                <w:b/>
                <w:bCs/>
                <w:color w:val="auto"/>
              </w:rPr>
              <w:t>רשימת</w:t>
            </w:r>
            <w:r w:rsidRPr="003D2295">
              <w:rPr>
                <w:b/>
                <w:bCs/>
                <w:color w:val="auto"/>
              </w:rPr>
              <w:t xml:space="preserve"> </w:t>
            </w:r>
            <w:r w:rsidRPr="003D2295">
              <w:rPr>
                <w:rFonts w:hint="eastAsia"/>
                <w:b/>
                <w:bCs/>
                <w:color w:val="auto"/>
              </w:rPr>
              <w:t>ישויות</w:t>
            </w:r>
            <w:r w:rsidRPr="003D2295">
              <w:rPr>
                <w:b/>
                <w:bCs/>
                <w:color w:val="auto"/>
              </w:rPr>
              <w:t xml:space="preserve"> </w:t>
            </w:r>
            <w:r w:rsidRPr="003D2295">
              <w:rPr>
                <w:rFonts w:hint="eastAsia"/>
                <w:b/>
                <w:bCs/>
                <w:color w:val="auto"/>
              </w:rPr>
              <w:t>הנכללות</w:t>
            </w:r>
            <w:r w:rsidRPr="003D2295">
              <w:rPr>
                <w:b/>
                <w:bCs/>
                <w:color w:val="auto"/>
              </w:rPr>
              <w:t xml:space="preserve"> </w:t>
            </w:r>
            <w:r w:rsidRPr="003D2295">
              <w:rPr>
                <w:rFonts w:hint="eastAsia"/>
                <w:b/>
                <w:bCs/>
                <w:color w:val="auto"/>
              </w:rPr>
              <w:t>בדיווח</w:t>
            </w:r>
            <w:r w:rsidRPr="003D2295">
              <w:rPr>
                <w:b/>
                <w:bCs/>
                <w:color w:val="auto"/>
              </w:rPr>
              <w:t xml:space="preserve"> </w:t>
            </w:r>
            <w:r w:rsidRPr="003D2295">
              <w:rPr>
                <w:rFonts w:hint="eastAsia"/>
                <w:b/>
                <w:bCs/>
                <w:color w:val="auto"/>
              </w:rPr>
              <w:t>הכספי</w:t>
            </w:r>
            <w:r w:rsidRPr="003D2295">
              <w:rPr>
                <w:b/>
                <w:bCs/>
                <w:color w:val="auto"/>
              </w:rPr>
              <w:t xml:space="preserve"> </w:t>
            </w:r>
            <w:r w:rsidRPr="003D2295">
              <w:rPr>
                <w:rFonts w:hint="cs"/>
                <w:b/>
                <w:bCs/>
                <w:color w:val="auto"/>
              </w:rPr>
              <w:t>אף שרואי החשבון המבקרים סייגו את</w:t>
            </w:r>
            <w:r w:rsidRPr="003D2295">
              <w:rPr>
                <w:b/>
                <w:bCs/>
                <w:color w:val="auto"/>
              </w:rPr>
              <w:t xml:space="preserve"> </w:t>
            </w:r>
            <w:r w:rsidRPr="003D2295">
              <w:rPr>
                <w:rFonts w:hint="eastAsia"/>
                <w:b/>
                <w:bCs/>
                <w:color w:val="auto"/>
              </w:rPr>
              <w:t>חוות</w:t>
            </w:r>
            <w:r w:rsidRPr="003D2295">
              <w:rPr>
                <w:b/>
                <w:bCs/>
                <w:color w:val="auto"/>
              </w:rPr>
              <w:t xml:space="preserve"> </w:t>
            </w:r>
            <w:r w:rsidRPr="003D2295">
              <w:rPr>
                <w:rFonts w:hint="eastAsia"/>
                <w:b/>
                <w:bCs/>
                <w:color w:val="auto"/>
              </w:rPr>
              <w:t>דעת</w:t>
            </w:r>
            <w:r w:rsidRPr="003D2295">
              <w:rPr>
                <w:rFonts w:hint="cs"/>
                <w:b/>
                <w:bCs/>
                <w:color w:val="auto"/>
              </w:rPr>
              <w:t>ם</w:t>
            </w:r>
          </w:p>
        </w:tc>
        <w:tc>
          <w:tcPr>
            <w:tcW w:w="949" w:type="pct"/>
            <w:tcBorders>
              <w:top w:val="none" w:sz="0" w:space="0" w:color="auto"/>
              <w:left w:val="none" w:sz="0" w:space="0" w:color="auto"/>
              <w:bottom w:val="none" w:sz="0" w:space="0" w:color="auto"/>
              <w:right w:val="none" w:sz="0" w:space="0" w:color="auto"/>
            </w:tcBorders>
            <w:shd w:val="clear" w:color="auto" w:fill="C6D9F1"/>
            <w:vAlign w:val="bottom"/>
          </w:tcPr>
          <w:p w14:paraId="652612BA" w14:textId="77777777" w:rsidR="00867DA1" w:rsidRPr="003D2295" w:rsidRDefault="00867DA1" w:rsidP="002B18FE">
            <w:pPr>
              <w:pStyle w:val="af1"/>
              <w:rPr>
                <w:b/>
                <w:bCs/>
              </w:rPr>
            </w:pPr>
            <w:r w:rsidRPr="003D2295">
              <w:rPr>
                <w:rFonts w:hint="eastAsia"/>
                <w:b/>
                <w:bCs/>
              </w:rPr>
              <w:t>היקף</w:t>
            </w:r>
            <w:r w:rsidRPr="003D2295">
              <w:rPr>
                <w:b/>
                <w:bCs/>
              </w:rPr>
              <w:t xml:space="preserve"> </w:t>
            </w:r>
            <w:r w:rsidRPr="003D2295">
              <w:rPr>
                <w:rFonts w:hint="eastAsia"/>
                <w:b/>
                <w:bCs/>
              </w:rPr>
              <w:t>נכסים</w:t>
            </w:r>
          </w:p>
        </w:tc>
        <w:tc>
          <w:tcPr>
            <w:tcW w:w="948" w:type="pct"/>
            <w:tcBorders>
              <w:top w:val="none" w:sz="0" w:space="0" w:color="auto"/>
              <w:left w:val="none" w:sz="0" w:space="0" w:color="auto"/>
              <w:bottom w:val="none" w:sz="0" w:space="0" w:color="auto"/>
              <w:right w:val="none" w:sz="0" w:space="0" w:color="auto"/>
            </w:tcBorders>
            <w:shd w:val="clear" w:color="auto" w:fill="C6D9F1"/>
            <w:vAlign w:val="bottom"/>
          </w:tcPr>
          <w:p w14:paraId="00A95ADE" w14:textId="77777777" w:rsidR="00867DA1" w:rsidRPr="003D2295" w:rsidRDefault="00867DA1" w:rsidP="002B18FE">
            <w:pPr>
              <w:pStyle w:val="af1"/>
              <w:rPr>
                <w:b/>
                <w:bCs/>
              </w:rPr>
            </w:pPr>
            <w:r w:rsidRPr="003D2295">
              <w:rPr>
                <w:rFonts w:hint="eastAsia"/>
                <w:b/>
                <w:bCs/>
              </w:rPr>
              <w:t>היקף</w:t>
            </w:r>
            <w:r w:rsidRPr="003D2295">
              <w:rPr>
                <w:b/>
                <w:bCs/>
              </w:rPr>
              <w:t xml:space="preserve"> התחייבויות </w:t>
            </w:r>
          </w:p>
        </w:tc>
      </w:tr>
      <w:tr w:rsidR="00867DA1" w:rsidRPr="003761B7" w14:paraId="5B3A86F6" w14:textId="77777777" w:rsidTr="00316D7B">
        <w:trPr>
          <w:jc w:val="center"/>
        </w:trPr>
        <w:tc>
          <w:tcPr>
            <w:tcW w:w="351" w:type="pct"/>
            <w:shd w:val="clear" w:color="auto" w:fill="auto"/>
            <w:vAlign w:val="bottom"/>
          </w:tcPr>
          <w:p w14:paraId="7DED7717" w14:textId="77777777" w:rsidR="00867DA1" w:rsidRPr="00D55FEC" w:rsidRDefault="00867DA1" w:rsidP="00D55FEC">
            <w:pPr>
              <w:pStyle w:val="R"/>
              <w:rPr>
                <w:color w:val="auto"/>
                <w:cs w:val="0"/>
              </w:rPr>
            </w:pPr>
            <w:r w:rsidRPr="00D55FEC">
              <w:rPr>
                <w:color w:val="auto"/>
                <w:cs w:val="0"/>
              </w:rPr>
              <w:t>1</w:t>
            </w:r>
          </w:p>
        </w:tc>
        <w:tc>
          <w:tcPr>
            <w:tcW w:w="2752" w:type="pct"/>
            <w:shd w:val="clear" w:color="auto" w:fill="auto"/>
            <w:noWrap/>
            <w:vAlign w:val="bottom"/>
          </w:tcPr>
          <w:p w14:paraId="19FEAFA9" w14:textId="77777777" w:rsidR="00867DA1" w:rsidRPr="00D55FEC" w:rsidRDefault="00867DA1" w:rsidP="00D55FEC">
            <w:pPr>
              <w:pStyle w:val="R"/>
              <w:rPr>
                <w:color w:val="auto"/>
                <w:cs w:val="0"/>
              </w:rPr>
            </w:pPr>
            <w:r w:rsidRPr="00D55FEC">
              <w:rPr>
                <w:rFonts w:hint="eastAsia"/>
                <w:color w:val="auto"/>
                <w:cs w:val="0"/>
              </w:rPr>
              <w:t>משרד</w:t>
            </w:r>
            <w:r w:rsidRPr="00D55FEC">
              <w:rPr>
                <w:color w:val="auto"/>
                <w:cs w:val="0"/>
              </w:rPr>
              <w:t xml:space="preserve"> החוץ </w:t>
            </w:r>
          </w:p>
        </w:tc>
        <w:tc>
          <w:tcPr>
            <w:tcW w:w="949" w:type="pct"/>
            <w:shd w:val="clear" w:color="auto" w:fill="auto"/>
            <w:vAlign w:val="bottom"/>
          </w:tcPr>
          <w:p w14:paraId="5AA59513" w14:textId="77777777" w:rsidR="00867DA1" w:rsidRPr="00D55FEC" w:rsidRDefault="00867DA1" w:rsidP="00D55FEC">
            <w:pPr>
              <w:pStyle w:val="R"/>
              <w:rPr>
                <w:color w:val="auto"/>
                <w:cs w:val="0"/>
              </w:rPr>
            </w:pPr>
            <w:r w:rsidRPr="00D55FEC">
              <w:rPr>
                <w:color w:val="auto"/>
                <w:cs w:val="0"/>
              </w:rPr>
              <w:t>716,512</w:t>
            </w:r>
          </w:p>
        </w:tc>
        <w:tc>
          <w:tcPr>
            <w:tcW w:w="948" w:type="pct"/>
            <w:shd w:val="clear" w:color="auto" w:fill="auto"/>
            <w:vAlign w:val="bottom"/>
          </w:tcPr>
          <w:p w14:paraId="1D54D9F6" w14:textId="77777777" w:rsidR="00867DA1" w:rsidRPr="00D55FEC" w:rsidRDefault="00867DA1" w:rsidP="00D55FEC">
            <w:pPr>
              <w:pStyle w:val="R"/>
              <w:rPr>
                <w:color w:val="auto"/>
                <w:cs w:val="0"/>
              </w:rPr>
            </w:pPr>
            <w:r w:rsidRPr="00D55FEC">
              <w:rPr>
                <w:color w:val="auto"/>
                <w:cs w:val="0"/>
              </w:rPr>
              <w:t>252,260</w:t>
            </w:r>
          </w:p>
        </w:tc>
      </w:tr>
      <w:tr w:rsidR="00867DA1" w:rsidRPr="003761B7" w14:paraId="34DCCC83" w14:textId="77777777" w:rsidTr="00316D7B">
        <w:trPr>
          <w:jc w:val="center"/>
        </w:trPr>
        <w:tc>
          <w:tcPr>
            <w:tcW w:w="351" w:type="pct"/>
            <w:shd w:val="clear" w:color="auto" w:fill="auto"/>
            <w:vAlign w:val="bottom"/>
          </w:tcPr>
          <w:p w14:paraId="6F5867FA" w14:textId="77777777" w:rsidR="00867DA1" w:rsidRPr="00D55FEC" w:rsidRDefault="00867DA1" w:rsidP="00D55FEC">
            <w:pPr>
              <w:pStyle w:val="R"/>
              <w:rPr>
                <w:color w:val="auto"/>
                <w:cs w:val="0"/>
              </w:rPr>
            </w:pPr>
            <w:r w:rsidRPr="00D55FEC">
              <w:rPr>
                <w:color w:val="auto"/>
                <w:cs w:val="0"/>
              </w:rPr>
              <w:t>2</w:t>
            </w:r>
          </w:p>
        </w:tc>
        <w:tc>
          <w:tcPr>
            <w:tcW w:w="2752" w:type="pct"/>
            <w:shd w:val="clear" w:color="auto" w:fill="auto"/>
            <w:noWrap/>
            <w:vAlign w:val="bottom"/>
          </w:tcPr>
          <w:p w14:paraId="2D99CF24" w14:textId="77777777" w:rsidR="00867DA1" w:rsidRPr="00D55FEC" w:rsidRDefault="00867DA1" w:rsidP="00D55FEC">
            <w:pPr>
              <w:pStyle w:val="R"/>
              <w:rPr>
                <w:color w:val="auto"/>
                <w:cs w:val="0"/>
              </w:rPr>
            </w:pPr>
            <w:r w:rsidRPr="00D55FEC">
              <w:rPr>
                <w:rFonts w:hint="eastAsia"/>
                <w:color w:val="auto"/>
                <w:cs w:val="0"/>
              </w:rPr>
              <w:t>משרד</w:t>
            </w:r>
            <w:r w:rsidRPr="00D55FEC">
              <w:rPr>
                <w:color w:val="auto"/>
                <w:cs w:val="0"/>
              </w:rPr>
              <w:t xml:space="preserve"> </w:t>
            </w:r>
            <w:r w:rsidRPr="00D55FEC">
              <w:rPr>
                <w:rFonts w:hint="eastAsia"/>
                <w:color w:val="auto"/>
                <w:cs w:val="0"/>
              </w:rPr>
              <w:t>הפנים</w:t>
            </w:r>
          </w:p>
        </w:tc>
        <w:tc>
          <w:tcPr>
            <w:tcW w:w="949" w:type="pct"/>
            <w:shd w:val="clear" w:color="auto" w:fill="auto"/>
            <w:vAlign w:val="bottom"/>
          </w:tcPr>
          <w:p w14:paraId="00AC7285" w14:textId="77777777" w:rsidR="00867DA1" w:rsidRPr="00D55FEC" w:rsidRDefault="00867DA1" w:rsidP="00D55FEC">
            <w:pPr>
              <w:pStyle w:val="R"/>
              <w:rPr>
                <w:color w:val="auto"/>
                <w:cs w:val="0"/>
              </w:rPr>
            </w:pPr>
            <w:r w:rsidRPr="00D55FEC">
              <w:rPr>
                <w:color w:val="auto"/>
                <w:cs w:val="0"/>
              </w:rPr>
              <w:t>171,116</w:t>
            </w:r>
          </w:p>
        </w:tc>
        <w:tc>
          <w:tcPr>
            <w:tcW w:w="948" w:type="pct"/>
            <w:shd w:val="clear" w:color="auto" w:fill="auto"/>
            <w:vAlign w:val="bottom"/>
          </w:tcPr>
          <w:p w14:paraId="72B21501" w14:textId="77777777" w:rsidR="00867DA1" w:rsidRPr="00D55FEC" w:rsidRDefault="00867DA1" w:rsidP="00D55FEC">
            <w:pPr>
              <w:pStyle w:val="R"/>
              <w:rPr>
                <w:color w:val="auto"/>
                <w:cs w:val="0"/>
              </w:rPr>
            </w:pPr>
            <w:r w:rsidRPr="00D55FEC">
              <w:rPr>
                <w:color w:val="auto"/>
                <w:cs w:val="0"/>
              </w:rPr>
              <w:t>151,044</w:t>
            </w:r>
          </w:p>
        </w:tc>
      </w:tr>
      <w:tr w:rsidR="00867DA1" w:rsidRPr="003761B7" w14:paraId="139CE3BB" w14:textId="77777777" w:rsidTr="00316D7B">
        <w:trPr>
          <w:jc w:val="center"/>
        </w:trPr>
        <w:tc>
          <w:tcPr>
            <w:tcW w:w="351" w:type="pct"/>
            <w:shd w:val="clear" w:color="auto" w:fill="auto"/>
            <w:vAlign w:val="bottom"/>
          </w:tcPr>
          <w:p w14:paraId="159E9A6E" w14:textId="77777777" w:rsidR="00867DA1" w:rsidRPr="00D55FEC" w:rsidRDefault="00867DA1" w:rsidP="00D55FEC">
            <w:pPr>
              <w:pStyle w:val="R"/>
              <w:rPr>
                <w:color w:val="auto"/>
                <w:cs w:val="0"/>
              </w:rPr>
            </w:pPr>
            <w:r w:rsidRPr="00D55FEC">
              <w:rPr>
                <w:color w:val="auto"/>
                <w:cs w:val="0"/>
              </w:rPr>
              <w:t>3</w:t>
            </w:r>
          </w:p>
        </w:tc>
        <w:tc>
          <w:tcPr>
            <w:tcW w:w="2752" w:type="pct"/>
            <w:shd w:val="clear" w:color="auto" w:fill="auto"/>
            <w:noWrap/>
            <w:vAlign w:val="bottom"/>
          </w:tcPr>
          <w:p w14:paraId="00972377" w14:textId="77777777" w:rsidR="00867DA1" w:rsidRPr="00D55FEC" w:rsidRDefault="00867DA1" w:rsidP="00D55FEC">
            <w:pPr>
              <w:pStyle w:val="R"/>
              <w:rPr>
                <w:color w:val="auto"/>
                <w:cs w:val="0"/>
              </w:rPr>
            </w:pPr>
            <w:r w:rsidRPr="00D55FEC">
              <w:rPr>
                <w:rFonts w:hint="eastAsia"/>
                <w:color w:val="auto"/>
                <w:cs w:val="0"/>
              </w:rPr>
              <w:t>רשות</w:t>
            </w:r>
            <w:r w:rsidRPr="00D55FEC">
              <w:rPr>
                <w:color w:val="auto"/>
                <w:cs w:val="0"/>
              </w:rPr>
              <w:t xml:space="preserve"> </w:t>
            </w:r>
            <w:r w:rsidRPr="00D55FEC">
              <w:rPr>
                <w:rFonts w:hint="eastAsia"/>
                <w:color w:val="auto"/>
                <w:cs w:val="0"/>
              </w:rPr>
              <w:t>האוכלוסין</w:t>
            </w:r>
            <w:r w:rsidRPr="00D55FEC">
              <w:rPr>
                <w:color w:val="auto"/>
                <w:cs w:val="0"/>
              </w:rPr>
              <w:t xml:space="preserve">, </w:t>
            </w:r>
            <w:r w:rsidRPr="00D55FEC">
              <w:rPr>
                <w:rFonts w:hint="eastAsia"/>
                <w:color w:val="auto"/>
                <w:cs w:val="0"/>
              </w:rPr>
              <w:t>ההגירה</w:t>
            </w:r>
            <w:r w:rsidRPr="00D55FEC">
              <w:rPr>
                <w:color w:val="auto"/>
                <w:cs w:val="0"/>
              </w:rPr>
              <w:t xml:space="preserve"> </w:t>
            </w:r>
            <w:r w:rsidRPr="00D55FEC">
              <w:rPr>
                <w:rFonts w:hint="eastAsia"/>
                <w:color w:val="auto"/>
                <w:cs w:val="0"/>
              </w:rPr>
              <w:t>ומעברי</w:t>
            </w:r>
            <w:r w:rsidRPr="00D55FEC">
              <w:rPr>
                <w:color w:val="auto"/>
                <w:cs w:val="0"/>
              </w:rPr>
              <w:t xml:space="preserve"> </w:t>
            </w:r>
            <w:r w:rsidRPr="00D55FEC">
              <w:rPr>
                <w:rFonts w:hint="eastAsia"/>
                <w:color w:val="auto"/>
                <w:cs w:val="0"/>
              </w:rPr>
              <w:t>הגבול</w:t>
            </w:r>
          </w:p>
        </w:tc>
        <w:tc>
          <w:tcPr>
            <w:tcW w:w="949" w:type="pct"/>
            <w:shd w:val="clear" w:color="auto" w:fill="auto"/>
            <w:vAlign w:val="bottom"/>
          </w:tcPr>
          <w:p w14:paraId="413833DE" w14:textId="77777777" w:rsidR="00867DA1" w:rsidRPr="00D55FEC" w:rsidRDefault="00867DA1" w:rsidP="00D55FEC">
            <w:pPr>
              <w:pStyle w:val="R"/>
              <w:rPr>
                <w:color w:val="auto"/>
                <w:cs w:val="0"/>
              </w:rPr>
            </w:pPr>
            <w:r w:rsidRPr="00D55FEC">
              <w:rPr>
                <w:color w:val="auto"/>
                <w:cs w:val="0"/>
              </w:rPr>
              <w:t>339,399</w:t>
            </w:r>
          </w:p>
        </w:tc>
        <w:tc>
          <w:tcPr>
            <w:tcW w:w="948" w:type="pct"/>
            <w:shd w:val="clear" w:color="auto" w:fill="auto"/>
            <w:vAlign w:val="bottom"/>
          </w:tcPr>
          <w:p w14:paraId="242AA8DD" w14:textId="77777777" w:rsidR="00867DA1" w:rsidRPr="00D55FEC" w:rsidRDefault="00867DA1" w:rsidP="00D55FEC">
            <w:pPr>
              <w:pStyle w:val="R"/>
              <w:rPr>
                <w:color w:val="auto"/>
                <w:cs w:val="0"/>
              </w:rPr>
            </w:pPr>
            <w:r w:rsidRPr="00D55FEC">
              <w:rPr>
                <w:color w:val="auto"/>
                <w:cs w:val="0"/>
              </w:rPr>
              <w:t>297,746</w:t>
            </w:r>
          </w:p>
        </w:tc>
      </w:tr>
      <w:tr w:rsidR="00867DA1" w:rsidRPr="003761B7" w14:paraId="58278516" w14:textId="77777777" w:rsidTr="00316D7B">
        <w:trPr>
          <w:jc w:val="center"/>
        </w:trPr>
        <w:tc>
          <w:tcPr>
            <w:tcW w:w="351" w:type="pct"/>
            <w:shd w:val="clear" w:color="auto" w:fill="auto"/>
            <w:vAlign w:val="bottom"/>
          </w:tcPr>
          <w:p w14:paraId="04D92E51" w14:textId="77777777" w:rsidR="00867DA1" w:rsidRPr="00D55FEC" w:rsidRDefault="00867DA1" w:rsidP="00D55FEC">
            <w:pPr>
              <w:pStyle w:val="R"/>
              <w:rPr>
                <w:color w:val="auto"/>
                <w:cs w:val="0"/>
              </w:rPr>
            </w:pPr>
            <w:r w:rsidRPr="00D55FEC">
              <w:rPr>
                <w:color w:val="auto"/>
                <w:cs w:val="0"/>
              </w:rPr>
              <w:t>4</w:t>
            </w:r>
          </w:p>
        </w:tc>
        <w:tc>
          <w:tcPr>
            <w:tcW w:w="2752" w:type="pct"/>
            <w:shd w:val="clear" w:color="auto" w:fill="auto"/>
            <w:noWrap/>
            <w:vAlign w:val="bottom"/>
          </w:tcPr>
          <w:p w14:paraId="1AD28171" w14:textId="77777777" w:rsidR="00867DA1" w:rsidRPr="00D55FEC" w:rsidRDefault="00867DA1" w:rsidP="00D55FEC">
            <w:pPr>
              <w:pStyle w:val="R"/>
              <w:rPr>
                <w:color w:val="auto"/>
                <w:cs w:val="0"/>
              </w:rPr>
            </w:pPr>
            <w:r w:rsidRPr="00D55FEC">
              <w:rPr>
                <w:rFonts w:hint="eastAsia"/>
                <w:color w:val="auto"/>
                <w:cs w:val="0"/>
              </w:rPr>
              <w:t>מינהל</w:t>
            </w:r>
            <w:r w:rsidRPr="00D55FEC">
              <w:rPr>
                <w:color w:val="auto"/>
                <w:cs w:val="0"/>
              </w:rPr>
              <w:t xml:space="preserve"> הדיור הממשלתי</w:t>
            </w:r>
          </w:p>
        </w:tc>
        <w:tc>
          <w:tcPr>
            <w:tcW w:w="949" w:type="pct"/>
            <w:shd w:val="clear" w:color="auto" w:fill="auto"/>
            <w:vAlign w:val="bottom"/>
          </w:tcPr>
          <w:p w14:paraId="18BC7F61" w14:textId="77777777" w:rsidR="00867DA1" w:rsidRPr="00D55FEC" w:rsidRDefault="00867DA1" w:rsidP="00D55FEC">
            <w:pPr>
              <w:pStyle w:val="R"/>
              <w:rPr>
                <w:color w:val="auto"/>
                <w:cs w:val="0"/>
              </w:rPr>
            </w:pPr>
            <w:r w:rsidRPr="00D55FEC">
              <w:rPr>
                <w:color w:val="auto"/>
                <w:cs w:val="0"/>
              </w:rPr>
              <w:t>10,048,995</w:t>
            </w:r>
          </w:p>
        </w:tc>
        <w:tc>
          <w:tcPr>
            <w:tcW w:w="948" w:type="pct"/>
            <w:shd w:val="clear" w:color="auto" w:fill="auto"/>
            <w:vAlign w:val="bottom"/>
          </w:tcPr>
          <w:p w14:paraId="126F6FFA" w14:textId="77777777" w:rsidR="00867DA1" w:rsidRPr="00D55FEC" w:rsidRDefault="00867DA1" w:rsidP="00D55FEC">
            <w:pPr>
              <w:pStyle w:val="R"/>
              <w:rPr>
                <w:color w:val="auto"/>
                <w:cs w:val="0"/>
              </w:rPr>
            </w:pPr>
            <w:r w:rsidRPr="00D55FEC">
              <w:rPr>
                <w:color w:val="auto"/>
                <w:cs w:val="0"/>
              </w:rPr>
              <w:t>1,171,558</w:t>
            </w:r>
          </w:p>
        </w:tc>
      </w:tr>
      <w:tr w:rsidR="00867DA1" w:rsidRPr="003761B7" w14:paraId="476B3C65" w14:textId="77777777" w:rsidTr="00316D7B">
        <w:trPr>
          <w:jc w:val="center"/>
        </w:trPr>
        <w:tc>
          <w:tcPr>
            <w:tcW w:w="351" w:type="pct"/>
            <w:shd w:val="clear" w:color="auto" w:fill="auto"/>
            <w:vAlign w:val="bottom"/>
          </w:tcPr>
          <w:p w14:paraId="7F2990D4" w14:textId="77777777" w:rsidR="00867DA1" w:rsidRPr="00D55FEC" w:rsidRDefault="00867DA1" w:rsidP="00D55FEC">
            <w:pPr>
              <w:pStyle w:val="R"/>
              <w:rPr>
                <w:color w:val="auto"/>
                <w:cs w:val="0"/>
              </w:rPr>
            </w:pPr>
            <w:r w:rsidRPr="00D55FEC">
              <w:rPr>
                <w:color w:val="auto"/>
                <w:cs w:val="0"/>
              </w:rPr>
              <w:t>5</w:t>
            </w:r>
          </w:p>
        </w:tc>
        <w:tc>
          <w:tcPr>
            <w:tcW w:w="2752" w:type="pct"/>
            <w:shd w:val="clear" w:color="auto" w:fill="auto"/>
            <w:noWrap/>
            <w:vAlign w:val="bottom"/>
          </w:tcPr>
          <w:p w14:paraId="78A60E2C" w14:textId="77777777" w:rsidR="00867DA1" w:rsidRPr="00D55FEC" w:rsidRDefault="00867DA1" w:rsidP="00D55FEC">
            <w:pPr>
              <w:pStyle w:val="R"/>
              <w:rPr>
                <w:color w:val="auto"/>
                <w:cs w:val="0"/>
              </w:rPr>
            </w:pPr>
            <w:r w:rsidRPr="00D55FEC">
              <w:rPr>
                <w:rFonts w:hint="eastAsia"/>
                <w:color w:val="auto"/>
                <w:cs w:val="0"/>
              </w:rPr>
              <w:t>מטה</w:t>
            </w:r>
            <w:r w:rsidRPr="00D55FEC">
              <w:rPr>
                <w:color w:val="auto"/>
                <w:cs w:val="0"/>
              </w:rPr>
              <w:t xml:space="preserve"> </w:t>
            </w:r>
            <w:r w:rsidRPr="00D55FEC">
              <w:rPr>
                <w:rFonts w:hint="eastAsia"/>
                <w:color w:val="auto"/>
                <w:cs w:val="0"/>
              </w:rPr>
              <w:t>החשכ</w:t>
            </w:r>
            <w:r w:rsidRPr="00D55FEC">
              <w:rPr>
                <w:color w:val="auto"/>
                <w:cs w:val="0"/>
              </w:rPr>
              <w:t>"ל</w:t>
            </w:r>
          </w:p>
        </w:tc>
        <w:tc>
          <w:tcPr>
            <w:tcW w:w="949" w:type="pct"/>
            <w:shd w:val="clear" w:color="auto" w:fill="auto"/>
            <w:vAlign w:val="bottom"/>
          </w:tcPr>
          <w:p w14:paraId="157AA340" w14:textId="77777777" w:rsidR="00867DA1" w:rsidRPr="00D55FEC" w:rsidRDefault="00867DA1" w:rsidP="00D55FEC">
            <w:pPr>
              <w:pStyle w:val="R"/>
              <w:rPr>
                <w:color w:val="auto"/>
                <w:cs w:val="0"/>
              </w:rPr>
            </w:pPr>
            <w:r w:rsidRPr="00D55FEC">
              <w:rPr>
                <w:color w:val="auto"/>
                <w:cs w:val="0"/>
              </w:rPr>
              <w:t>1,090,481</w:t>
            </w:r>
          </w:p>
        </w:tc>
        <w:tc>
          <w:tcPr>
            <w:tcW w:w="948" w:type="pct"/>
            <w:shd w:val="clear" w:color="auto" w:fill="auto"/>
            <w:vAlign w:val="bottom"/>
          </w:tcPr>
          <w:p w14:paraId="1CD58C11" w14:textId="77777777" w:rsidR="00867DA1" w:rsidRPr="00D55FEC" w:rsidRDefault="00867DA1" w:rsidP="00D55FEC">
            <w:pPr>
              <w:pStyle w:val="R"/>
              <w:rPr>
                <w:color w:val="auto"/>
                <w:cs w:val="0"/>
              </w:rPr>
            </w:pPr>
            <w:r w:rsidRPr="00D55FEC">
              <w:rPr>
                <w:color w:val="auto"/>
                <w:cs w:val="0"/>
              </w:rPr>
              <w:t>1,082,349</w:t>
            </w:r>
          </w:p>
        </w:tc>
      </w:tr>
      <w:tr w:rsidR="00867DA1" w:rsidRPr="003761B7" w14:paraId="49723C81" w14:textId="77777777" w:rsidTr="00316D7B">
        <w:trPr>
          <w:jc w:val="center"/>
        </w:trPr>
        <w:tc>
          <w:tcPr>
            <w:tcW w:w="351" w:type="pct"/>
            <w:shd w:val="clear" w:color="auto" w:fill="auto"/>
            <w:vAlign w:val="bottom"/>
          </w:tcPr>
          <w:p w14:paraId="77F8CED2" w14:textId="77777777" w:rsidR="00867DA1" w:rsidRPr="00D55FEC" w:rsidRDefault="00867DA1" w:rsidP="00D55FEC">
            <w:pPr>
              <w:pStyle w:val="R"/>
              <w:rPr>
                <w:color w:val="auto"/>
                <w:cs w:val="0"/>
              </w:rPr>
            </w:pPr>
            <w:r w:rsidRPr="00D55FEC">
              <w:rPr>
                <w:color w:val="auto"/>
                <w:cs w:val="0"/>
              </w:rPr>
              <w:t>6</w:t>
            </w:r>
          </w:p>
        </w:tc>
        <w:tc>
          <w:tcPr>
            <w:tcW w:w="2752" w:type="pct"/>
            <w:shd w:val="clear" w:color="auto" w:fill="auto"/>
            <w:noWrap/>
            <w:vAlign w:val="bottom"/>
          </w:tcPr>
          <w:p w14:paraId="1F235038" w14:textId="77777777" w:rsidR="00867DA1" w:rsidRPr="00D55FEC" w:rsidRDefault="00867DA1" w:rsidP="00D55FEC">
            <w:pPr>
              <w:pStyle w:val="R"/>
              <w:rPr>
                <w:color w:val="auto"/>
                <w:cs w:val="0"/>
              </w:rPr>
            </w:pPr>
            <w:r w:rsidRPr="00D55FEC">
              <w:rPr>
                <w:rFonts w:hint="eastAsia"/>
                <w:color w:val="auto"/>
                <w:cs w:val="0"/>
              </w:rPr>
              <w:t>המינהל</w:t>
            </w:r>
            <w:r w:rsidRPr="00D55FEC">
              <w:rPr>
                <w:color w:val="auto"/>
                <w:cs w:val="0"/>
              </w:rPr>
              <w:t xml:space="preserve"> לחינוך התיישבותי פנימייתי ועליית הנוער</w:t>
            </w:r>
          </w:p>
        </w:tc>
        <w:tc>
          <w:tcPr>
            <w:tcW w:w="949" w:type="pct"/>
            <w:shd w:val="clear" w:color="auto" w:fill="auto"/>
            <w:vAlign w:val="bottom"/>
          </w:tcPr>
          <w:p w14:paraId="28C9269F" w14:textId="77777777" w:rsidR="00867DA1" w:rsidRPr="00D55FEC" w:rsidRDefault="00867DA1" w:rsidP="00D55FEC">
            <w:pPr>
              <w:pStyle w:val="R"/>
              <w:rPr>
                <w:color w:val="auto"/>
                <w:cs w:val="0"/>
              </w:rPr>
            </w:pPr>
            <w:r w:rsidRPr="00D55FEC">
              <w:rPr>
                <w:color w:val="auto"/>
                <w:cs w:val="0"/>
              </w:rPr>
              <w:t>91,610</w:t>
            </w:r>
          </w:p>
        </w:tc>
        <w:tc>
          <w:tcPr>
            <w:tcW w:w="948" w:type="pct"/>
            <w:shd w:val="clear" w:color="auto" w:fill="auto"/>
            <w:vAlign w:val="bottom"/>
          </w:tcPr>
          <w:p w14:paraId="47DB7708" w14:textId="77777777" w:rsidR="00867DA1" w:rsidRPr="00D55FEC" w:rsidRDefault="00867DA1" w:rsidP="00D55FEC">
            <w:pPr>
              <w:pStyle w:val="R"/>
              <w:rPr>
                <w:color w:val="auto"/>
                <w:cs w:val="0"/>
              </w:rPr>
            </w:pPr>
            <w:r w:rsidRPr="00D55FEC">
              <w:rPr>
                <w:color w:val="auto"/>
                <w:cs w:val="0"/>
              </w:rPr>
              <w:t>77,272</w:t>
            </w:r>
          </w:p>
        </w:tc>
      </w:tr>
      <w:tr w:rsidR="00867DA1" w:rsidRPr="003761B7" w14:paraId="1FBF70DD" w14:textId="77777777" w:rsidTr="00316D7B">
        <w:trPr>
          <w:jc w:val="center"/>
        </w:trPr>
        <w:tc>
          <w:tcPr>
            <w:tcW w:w="351" w:type="pct"/>
            <w:shd w:val="clear" w:color="auto" w:fill="auto"/>
            <w:vAlign w:val="bottom"/>
          </w:tcPr>
          <w:p w14:paraId="3E880F75" w14:textId="77777777" w:rsidR="00867DA1" w:rsidRPr="00D55FEC" w:rsidRDefault="00867DA1" w:rsidP="00D55FEC">
            <w:pPr>
              <w:pStyle w:val="R"/>
              <w:rPr>
                <w:color w:val="auto"/>
                <w:cs w:val="0"/>
              </w:rPr>
            </w:pPr>
            <w:r w:rsidRPr="00D55FEC">
              <w:rPr>
                <w:color w:val="auto"/>
                <w:cs w:val="0"/>
              </w:rPr>
              <w:t>7</w:t>
            </w:r>
          </w:p>
        </w:tc>
        <w:tc>
          <w:tcPr>
            <w:tcW w:w="2752" w:type="pct"/>
            <w:shd w:val="clear" w:color="auto" w:fill="auto"/>
            <w:noWrap/>
            <w:vAlign w:val="bottom"/>
          </w:tcPr>
          <w:p w14:paraId="04C5D93E" w14:textId="77777777" w:rsidR="00867DA1" w:rsidRPr="00D55FEC" w:rsidRDefault="00867DA1" w:rsidP="00D55FEC">
            <w:pPr>
              <w:pStyle w:val="R"/>
              <w:rPr>
                <w:color w:val="auto"/>
                <w:cs w:val="0"/>
              </w:rPr>
            </w:pPr>
            <w:r w:rsidRPr="00D55FEC">
              <w:rPr>
                <w:rFonts w:hint="eastAsia"/>
                <w:color w:val="auto"/>
                <w:cs w:val="0"/>
              </w:rPr>
              <w:t>משרד</w:t>
            </w:r>
            <w:r w:rsidRPr="00D55FEC">
              <w:rPr>
                <w:color w:val="auto"/>
                <w:cs w:val="0"/>
              </w:rPr>
              <w:t xml:space="preserve"> </w:t>
            </w:r>
            <w:r w:rsidRPr="00D55FEC">
              <w:rPr>
                <w:rFonts w:hint="eastAsia"/>
                <w:color w:val="auto"/>
                <w:cs w:val="0"/>
              </w:rPr>
              <w:t>העבודה</w:t>
            </w:r>
            <w:r w:rsidRPr="00D55FEC">
              <w:rPr>
                <w:color w:val="auto"/>
                <w:cs w:val="0"/>
              </w:rPr>
              <w:t xml:space="preserve">, </w:t>
            </w:r>
            <w:r w:rsidRPr="00D55FEC">
              <w:rPr>
                <w:rFonts w:hint="eastAsia"/>
                <w:color w:val="auto"/>
                <w:cs w:val="0"/>
              </w:rPr>
              <w:t>הרווחה</w:t>
            </w:r>
            <w:r w:rsidRPr="00D55FEC">
              <w:rPr>
                <w:color w:val="auto"/>
                <w:cs w:val="0"/>
              </w:rPr>
              <w:t xml:space="preserve"> </w:t>
            </w:r>
            <w:r w:rsidRPr="00D55FEC">
              <w:rPr>
                <w:rFonts w:hint="eastAsia"/>
                <w:color w:val="auto"/>
                <w:cs w:val="0"/>
              </w:rPr>
              <w:t>והשירותים</w:t>
            </w:r>
            <w:r w:rsidRPr="00D55FEC">
              <w:rPr>
                <w:color w:val="auto"/>
                <w:cs w:val="0"/>
              </w:rPr>
              <w:t xml:space="preserve"> </w:t>
            </w:r>
            <w:r w:rsidRPr="00D55FEC">
              <w:rPr>
                <w:rFonts w:hint="eastAsia"/>
                <w:color w:val="auto"/>
                <w:cs w:val="0"/>
              </w:rPr>
              <w:t>החברתיים</w:t>
            </w:r>
            <w:r w:rsidRPr="00D55FEC">
              <w:rPr>
                <w:color w:val="auto"/>
                <w:cs w:val="0"/>
              </w:rPr>
              <w:t xml:space="preserve">- </w:t>
            </w:r>
            <w:r w:rsidRPr="00D55FEC">
              <w:rPr>
                <w:rFonts w:hint="eastAsia"/>
                <w:color w:val="auto"/>
                <w:cs w:val="0"/>
              </w:rPr>
              <w:t>זרוע</w:t>
            </w:r>
            <w:r w:rsidRPr="00D55FEC">
              <w:rPr>
                <w:color w:val="auto"/>
                <w:cs w:val="0"/>
              </w:rPr>
              <w:t xml:space="preserve"> </w:t>
            </w:r>
            <w:r w:rsidRPr="00D55FEC">
              <w:rPr>
                <w:rFonts w:hint="eastAsia"/>
                <w:color w:val="auto"/>
                <w:cs w:val="0"/>
              </w:rPr>
              <w:t>הרווחה</w:t>
            </w:r>
          </w:p>
        </w:tc>
        <w:tc>
          <w:tcPr>
            <w:tcW w:w="949" w:type="pct"/>
            <w:shd w:val="clear" w:color="auto" w:fill="auto"/>
            <w:vAlign w:val="bottom"/>
          </w:tcPr>
          <w:p w14:paraId="352BDBEB" w14:textId="77777777" w:rsidR="00867DA1" w:rsidRPr="00D55FEC" w:rsidRDefault="00867DA1" w:rsidP="00D55FEC">
            <w:pPr>
              <w:pStyle w:val="R"/>
              <w:rPr>
                <w:color w:val="auto"/>
                <w:cs w:val="0"/>
              </w:rPr>
            </w:pPr>
            <w:r w:rsidRPr="00D55FEC">
              <w:rPr>
                <w:color w:val="auto"/>
                <w:cs w:val="0"/>
              </w:rPr>
              <w:t>411,044</w:t>
            </w:r>
          </w:p>
        </w:tc>
        <w:tc>
          <w:tcPr>
            <w:tcW w:w="948" w:type="pct"/>
            <w:shd w:val="clear" w:color="auto" w:fill="auto"/>
            <w:vAlign w:val="bottom"/>
          </w:tcPr>
          <w:p w14:paraId="6EA08948" w14:textId="77777777" w:rsidR="00867DA1" w:rsidRPr="00D55FEC" w:rsidRDefault="00867DA1" w:rsidP="00D55FEC">
            <w:pPr>
              <w:pStyle w:val="R"/>
              <w:rPr>
                <w:color w:val="auto"/>
                <w:cs w:val="0"/>
              </w:rPr>
            </w:pPr>
            <w:r w:rsidRPr="00D55FEC">
              <w:rPr>
                <w:color w:val="auto"/>
                <w:cs w:val="0"/>
              </w:rPr>
              <w:t>494,533</w:t>
            </w:r>
          </w:p>
        </w:tc>
      </w:tr>
      <w:tr w:rsidR="00867DA1" w:rsidRPr="003761B7" w14:paraId="20EEDE42" w14:textId="77777777" w:rsidTr="00316D7B">
        <w:trPr>
          <w:trHeight w:val="323"/>
          <w:jc w:val="center"/>
        </w:trPr>
        <w:tc>
          <w:tcPr>
            <w:tcW w:w="351" w:type="pct"/>
            <w:shd w:val="clear" w:color="auto" w:fill="auto"/>
            <w:vAlign w:val="bottom"/>
          </w:tcPr>
          <w:p w14:paraId="0E59A2BC" w14:textId="77777777" w:rsidR="00867DA1" w:rsidRPr="00D55FEC" w:rsidRDefault="00867DA1" w:rsidP="00D55FEC">
            <w:pPr>
              <w:pStyle w:val="R"/>
              <w:rPr>
                <w:color w:val="auto"/>
                <w:cs w:val="0"/>
              </w:rPr>
            </w:pPr>
            <w:r w:rsidRPr="00D55FEC">
              <w:rPr>
                <w:color w:val="auto"/>
                <w:cs w:val="0"/>
              </w:rPr>
              <w:t>8</w:t>
            </w:r>
          </w:p>
        </w:tc>
        <w:tc>
          <w:tcPr>
            <w:tcW w:w="2752" w:type="pct"/>
            <w:shd w:val="clear" w:color="auto" w:fill="auto"/>
            <w:noWrap/>
            <w:vAlign w:val="bottom"/>
          </w:tcPr>
          <w:p w14:paraId="1FC4AE9C" w14:textId="77777777" w:rsidR="00867DA1" w:rsidRPr="00D55FEC" w:rsidRDefault="00867DA1" w:rsidP="00D55FEC">
            <w:pPr>
              <w:pStyle w:val="R"/>
              <w:rPr>
                <w:color w:val="auto"/>
                <w:cs w:val="0"/>
              </w:rPr>
            </w:pPr>
            <w:r w:rsidRPr="00D55FEC">
              <w:rPr>
                <w:rFonts w:hint="eastAsia"/>
                <w:color w:val="auto"/>
                <w:cs w:val="0"/>
              </w:rPr>
              <w:t>משרד</w:t>
            </w:r>
            <w:r w:rsidRPr="00D55FEC">
              <w:rPr>
                <w:color w:val="auto"/>
                <w:cs w:val="0"/>
              </w:rPr>
              <w:t xml:space="preserve"> הבינוי והשיכון </w:t>
            </w:r>
          </w:p>
        </w:tc>
        <w:tc>
          <w:tcPr>
            <w:tcW w:w="949" w:type="pct"/>
            <w:shd w:val="clear" w:color="auto" w:fill="auto"/>
            <w:vAlign w:val="bottom"/>
          </w:tcPr>
          <w:p w14:paraId="576B65DF" w14:textId="77777777" w:rsidR="00867DA1" w:rsidRPr="00D55FEC" w:rsidRDefault="00867DA1" w:rsidP="00D55FEC">
            <w:pPr>
              <w:pStyle w:val="R"/>
              <w:rPr>
                <w:color w:val="auto"/>
                <w:cs w:val="0"/>
              </w:rPr>
            </w:pPr>
            <w:r w:rsidRPr="00D55FEC">
              <w:rPr>
                <w:color w:val="auto"/>
                <w:cs w:val="0"/>
              </w:rPr>
              <w:t>15,091,992</w:t>
            </w:r>
          </w:p>
        </w:tc>
        <w:tc>
          <w:tcPr>
            <w:tcW w:w="948" w:type="pct"/>
            <w:shd w:val="clear" w:color="auto" w:fill="auto"/>
            <w:vAlign w:val="bottom"/>
          </w:tcPr>
          <w:p w14:paraId="4E2FF5A0" w14:textId="77777777" w:rsidR="00867DA1" w:rsidRPr="00D55FEC" w:rsidRDefault="00867DA1" w:rsidP="00D55FEC">
            <w:pPr>
              <w:pStyle w:val="R"/>
              <w:rPr>
                <w:color w:val="auto"/>
                <w:cs w:val="0"/>
              </w:rPr>
            </w:pPr>
            <w:r w:rsidRPr="00D55FEC">
              <w:rPr>
                <w:color w:val="auto"/>
                <w:cs w:val="0"/>
              </w:rPr>
              <w:t>4,078,385</w:t>
            </w:r>
          </w:p>
        </w:tc>
      </w:tr>
      <w:tr w:rsidR="00867DA1" w:rsidRPr="003761B7" w14:paraId="4746EA12" w14:textId="77777777" w:rsidTr="00316D7B">
        <w:trPr>
          <w:jc w:val="center"/>
        </w:trPr>
        <w:tc>
          <w:tcPr>
            <w:tcW w:w="351" w:type="pct"/>
            <w:shd w:val="clear" w:color="auto" w:fill="auto"/>
            <w:vAlign w:val="bottom"/>
          </w:tcPr>
          <w:p w14:paraId="06D1495F" w14:textId="77777777" w:rsidR="00867DA1" w:rsidRPr="00D55FEC" w:rsidRDefault="00867DA1" w:rsidP="00D55FEC">
            <w:pPr>
              <w:pStyle w:val="R"/>
              <w:rPr>
                <w:color w:val="auto"/>
                <w:cs w:val="0"/>
              </w:rPr>
            </w:pPr>
            <w:r w:rsidRPr="00D55FEC">
              <w:rPr>
                <w:color w:val="auto"/>
                <w:cs w:val="0"/>
              </w:rPr>
              <w:t>9</w:t>
            </w:r>
          </w:p>
        </w:tc>
        <w:tc>
          <w:tcPr>
            <w:tcW w:w="2752" w:type="pct"/>
            <w:shd w:val="clear" w:color="auto" w:fill="auto"/>
            <w:noWrap/>
            <w:vAlign w:val="bottom"/>
          </w:tcPr>
          <w:p w14:paraId="25F86840" w14:textId="77777777" w:rsidR="00867DA1" w:rsidRPr="00D55FEC" w:rsidRDefault="00867DA1" w:rsidP="00D55FEC">
            <w:pPr>
              <w:pStyle w:val="R"/>
              <w:rPr>
                <w:color w:val="auto"/>
                <w:cs w:val="0"/>
              </w:rPr>
            </w:pPr>
            <w:r w:rsidRPr="00D55FEC">
              <w:rPr>
                <w:rFonts w:hint="eastAsia"/>
                <w:color w:val="auto"/>
                <w:cs w:val="0"/>
              </w:rPr>
              <w:t>הרשות</w:t>
            </w:r>
            <w:r w:rsidRPr="00D55FEC">
              <w:rPr>
                <w:color w:val="auto"/>
                <w:cs w:val="0"/>
              </w:rPr>
              <w:t xml:space="preserve"> </w:t>
            </w:r>
            <w:r w:rsidRPr="00D55FEC">
              <w:rPr>
                <w:rFonts w:hint="eastAsia"/>
                <w:color w:val="auto"/>
                <w:cs w:val="0"/>
              </w:rPr>
              <w:t>הממשלתית</w:t>
            </w:r>
            <w:r w:rsidRPr="00D55FEC">
              <w:rPr>
                <w:color w:val="auto"/>
                <w:cs w:val="0"/>
              </w:rPr>
              <w:t xml:space="preserve"> </w:t>
            </w:r>
            <w:r w:rsidRPr="00D55FEC">
              <w:rPr>
                <w:rFonts w:hint="eastAsia"/>
                <w:color w:val="auto"/>
                <w:cs w:val="0"/>
              </w:rPr>
              <w:t>להתחדשות</w:t>
            </w:r>
            <w:r w:rsidRPr="00D55FEC">
              <w:rPr>
                <w:color w:val="auto"/>
                <w:cs w:val="0"/>
              </w:rPr>
              <w:t xml:space="preserve"> </w:t>
            </w:r>
            <w:r w:rsidRPr="00D55FEC">
              <w:rPr>
                <w:rFonts w:hint="eastAsia"/>
                <w:color w:val="auto"/>
                <w:cs w:val="0"/>
              </w:rPr>
              <w:t>עירונית</w:t>
            </w:r>
          </w:p>
        </w:tc>
        <w:tc>
          <w:tcPr>
            <w:tcW w:w="949" w:type="pct"/>
            <w:shd w:val="clear" w:color="auto" w:fill="auto"/>
            <w:vAlign w:val="bottom"/>
          </w:tcPr>
          <w:p w14:paraId="45C43591" w14:textId="77777777" w:rsidR="00867DA1" w:rsidRPr="00D55FEC" w:rsidRDefault="00867DA1" w:rsidP="00D55FEC">
            <w:pPr>
              <w:pStyle w:val="R"/>
              <w:rPr>
                <w:color w:val="auto"/>
                <w:cs w:val="0"/>
              </w:rPr>
            </w:pPr>
            <w:r w:rsidRPr="00D55FEC">
              <w:rPr>
                <w:rFonts w:hint="eastAsia"/>
                <w:color w:val="auto"/>
                <w:cs w:val="0"/>
              </w:rPr>
              <w:t>אין</w:t>
            </w:r>
            <w:r w:rsidRPr="00D55FEC">
              <w:rPr>
                <w:color w:val="auto"/>
                <w:cs w:val="0"/>
              </w:rPr>
              <w:t xml:space="preserve"> </w:t>
            </w:r>
            <w:r w:rsidRPr="00D55FEC">
              <w:rPr>
                <w:rFonts w:hint="eastAsia"/>
                <w:color w:val="auto"/>
                <w:cs w:val="0"/>
              </w:rPr>
              <w:t>נתונים</w:t>
            </w:r>
          </w:p>
        </w:tc>
        <w:tc>
          <w:tcPr>
            <w:tcW w:w="948" w:type="pct"/>
            <w:shd w:val="clear" w:color="auto" w:fill="auto"/>
            <w:vAlign w:val="bottom"/>
          </w:tcPr>
          <w:p w14:paraId="1347DF1C" w14:textId="77777777" w:rsidR="00867DA1" w:rsidRPr="00D55FEC" w:rsidRDefault="00867DA1" w:rsidP="00D55FEC">
            <w:pPr>
              <w:pStyle w:val="R"/>
              <w:rPr>
                <w:color w:val="auto"/>
                <w:cs w:val="0"/>
              </w:rPr>
            </w:pPr>
            <w:r w:rsidRPr="00D55FEC">
              <w:rPr>
                <w:rFonts w:hint="eastAsia"/>
                <w:color w:val="auto"/>
                <w:cs w:val="0"/>
              </w:rPr>
              <w:t>אין</w:t>
            </w:r>
            <w:r w:rsidRPr="00D55FEC">
              <w:rPr>
                <w:color w:val="auto"/>
                <w:cs w:val="0"/>
              </w:rPr>
              <w:t xml:space="preserve"> נתונים </w:t>
            </w:r>
          </w:p>
        </w:tc>
      </w:tr>
      <w:tr w:rsidR="00867DA1" w:rsidRPr="003761B7" w14:paraId="134635E9" w14:textId="77777777" w:rsidTr="00316D7B">
        <w:trPr>
          <w:jc w:val="center"/>
        </w:trPr>
        <w:tc>
          <w:tcPr>
            <w:tcW w:w="351" w:type="pct"/>
            <w:shd w:val="clear" w:color="auto" w:fill="auto"/>
            <w:vAlign w:val="bottom"/>
          </w:tcPr>
          <w:p w14:paraId="068E9786" w14:textId="77777777" w:rsidR="00867DA1" w:rsidRPr="00D55FEC" w:rsidRDefault="00867DA1" w:rsidP="00D55FEC">
            <w:pPr>
              <w:pStyle w:val="R"/>
              <w:rPr>
                <w:color w:val="auto"/>
                <w:cs w:val="0"/>
              </w:rPr>
            </w:pPr>
            <w:r w:rsidRPr="00D55FEC">
              <w:rPr>
                <w:color w:val="auto"/>
                <w:cs w:val="0"/>
              </w:rPr>
              <w:t>10</w:t>
            </w:r>
          </w:p>
        </w:tc>
        <w:tc>
          <w:tcPr>
            <w:tcW w:w="2752" w:type="pct"/>
            <w:shd w:val="clear" w:color="auto" w:fill="auto"/>
            <w:noWrap/>
            <w:vAlign w:val="bottom"/>
          </w:tcPr>
          <w:p w14:paraId="2757A122" w14:textId="77777777" w:rsidR="00867DA1" w:rsidRPr="00D55FEC" w:rsidRDefault="00867DA1" w:rsidP="00D55FEC">
            <w:pPr>
              <w:pStyle w:val="R"/>
              <w:rPr>
                <w:color w:val="auto"/>
                <w:cs w:val="0"/>
              </w:rPr>
            </w:pPr>
            <w:r w:rsidRPr="00D55FEC">
              <w:rPr>
                <w:rFonts w:hint="eastAsia"/>
                <w:color w:val="auto"/>
                <w:cs w:val="0"/>
              </w:rPr>
              <w:t>משטרת</w:t>
            </w:r>
            <w:r w:rsidRPr="00D55FEC">
              <w:rPr>
                <w:color w:val="auto"/>
                <w:cs w:val="0"/>
              </w:rPr>
              <w:t xml:space="preserve"> ישראל </w:t>
            </w:r>
          </w:p>
        </w:tc>
        <w:tc>
          <w:tcPr>
            <w:tcW w:w="949" w:type="pct"/>
            <w:shd w:val="clear" w:color="auto" w:fill="auto"/>
            <w:vAlign w:val="bottom"/>
          </w:tcPr>
          <w:p w14:paraId="67CD6AB1" w14:textId="77777777" w:rsidR="00867DA1" w:rsidRPr="00D55FEC" w:rsidRDefault="00867DA1" w:rsidP="00D55FEC">
            <w:pPr>
              <w:pStyle w:val="R"/>
              <w:rPr>
                <w:color w:val="auto"/>
                <w:cs w:val="0"/>
              </w:rPr>
            </w:pPr>
            <w:r w:rsidRPr="00D55FEC">
              <w:rPr>
                <w:color w:val="auto"/>
                <w:cs w:val="0"/>
              </w:rPr>
              <w:t>3,329,816</w:t>
            </w:r>
          </w:p>
        </w:tc>
        <w:tc>
          <w:tcPr>
            <w:tcW w:w="948" w:type="pct"/>
            <w:shd w:val="clear" w:color="auto" w:fill="auto"/>
            <w:vAlign w:val="bottom"/>
          </w:tcPr>
          <w:p w14:paraId="4E83043B" w14:textId="77777777" w:rsidR="00867DA1" w:rsidRPr="00D55FEC" w:rsidRDefault="00867DA1" w:rsidP="00D55FEC">
            <w:pPr>
              <w:pStyle w:val="R"/>
              <w:rPr>
                <w:color w:val="auto"/>
                <w:cs w:val="0"/>
              </w:rPr>
            </w:pPr>
            <w:r w:rsidRPr="00D55FEC">
              <w:rPr>
                <w:color w:val="auto"/>
                <w:cs w:val="0"/>
              </w:rPr>
              <w:t>97,323,855</w:t>
            </w:r>
          </w:p>
        </w:tc>
      </w:tr>
      <w:tr w:rsidR="00867DA1" w:rsidRPr="003761B7" w14:paraId="1CEDE40B" w14:textId="77777777" w:rsidTr="00316D7B">
        <w:trPr>
          <w:jc w:val="center"/>
        </w:trPr>
        <w:tc>
          <w:tcPr>
            <w:tcW w:w="351" w:type="pct"/>
            <w:shd w:val="clear" w:color="auto" w:fill="auto"/>
            <w:vAlign w:val="bottom"/>
          </w:tcPr>
          <w:p w14:paraId="078EE365" w14:textId="77777777" w:rsidR="00867DA1" w:rsidRPr="00D55FEC" w:rsidRDefault="00867DA1" w:rsidP="00D55FEC">
            <w:pPr>
              <w:pStyle w:val="R"/>
              <w:rPr>
                <w:color w:val="auto"/>
                <w:cs w:val="0"/>
              </w:rPr>
            </w:pPr>
            <w:r w:rsidRPr="00D55FEC">
              <w:rPr>
                <w:color w:val="auto"/>
                <w:cs w:val="0"/>
              </w:rPr>
              <w:t>11</w:t>
            </w:r>
          </w:p>
        </w:tc>
        <w:tc>
          <w:tcPr>
            <w:tcW w:w="2752" w:type="pct"/>
            <w:shd w:val="clear" w:color="auto" w:fill="auto"/>
            <w:noWrap/>
            <w:vAlign w:val="bottom"/>
          </w:tcPr>
          <w:p w14:paraId="0FB65291" w14:textId="77777777" w:rsidR="00867DA1" w:rsidRPr="00D55FEC" w:rsidRDefault="00867DA1" w:rsidP="00D55FEC">
            <w:pPr>
              <w:pStyle w:val="R"/>
              <w:rPr>
                <w:color w:val="auto"/>
                <w:cs w:val="0"/>
              </w:rPr>
            </w:pPr>
            <w:r w:rsidRPr="00D55FEC">
              <w:rPr>
                <w:rFonts w:hint="eastAsia"/>
                <w:color w:val="auto"/>
                <w:cs w:val="0"/>
              </w:rPr>
              <w:t>קנט</w:t>
            </w:r>
            <w:r w:rsidRPr="00D55FEC">
              <w:rPr>
                <w:color w:val="auto"/>
                <w:cs w:val="0"/>
              </w:rPr>
              <w:t xml:space="preserve"> -קרן </w:t>
            </w:r>
            <w:r w:rsidRPr="00D55FEC">
              <w:rPr>
                <w:rFonts w:hint="eastAsia"/>
                <w:color w:val="auto"/>
                <w:cs w:val="0"/>
              </w:rPr>
              <w:t>לביטוח</w:t>
            </w:r>
            <w:r w:rsidRPr="00D55FEC">
              <w:rPr>
                <w:color w:val="auto"/>
                <w:cs w:val="0"/>
              </w:rPr>
              <w:t xml:space="preserve"> </w:t>
            </w:r>
            <w:r w:rsidRPr="00D55FEC">
              <w:rPr>
                <w:rFonts w:hint="eastAsia"/>
                <w:color w:val="auto"/>
                <w:cs w:val="0"/>
              </w:rPr>
              <w:t>נזקי</w:t>
            </w:r>
            <w:r w:rsidRPr="00D55FEC">
              <w:rPr>
                <w:color w:val="auto"/>
                <w:cs w:val="0"/>
              </w:rPr>
              <w:t xml:space="preserve"> </w:t>
            </w:r>
            <w:r w:rsidRPr="00D55FEC">
              <w:rPr>
                <w:rFonts w:hint="eastAsia"/>
                <w:color w:val="auto"/>
                <w:cs w:val="0"/>
              </w:rPr>
              <w:t>טבע</w:t>
            </w:r>
            <w:r w:rsidRPr="00D55FEC">
              <w:rPr>
                <w:color w:val="auto"/>
                <w:cs w:val="0"/>
              </w:rPr>
              <w:t xml:space="preserve"> </w:t>
            </w:r>
            <w:r w:rsidRPr="00D55FEC">
              <w:rPr>
                <w:rFonts w:hint="eastAsia"/>
                <w:color w:val="auto"/>
                <w:cs w:val="0"/>
              </w:rPr>
              <w:t>בחקלאות</w:t>
            </w:r>
            <w:r w:rsidRPr="00D55FEC">
              <w:rPr>
                <w:color w:val="auto"/>
                <w:cs w:val="0"/>
              </w:rPr>
              <w:t xml:space="preserve"> </w:t>
            </w:r>
            <w:r w:rsidRPr="00D55FEC">
              <w:rPr>
                <w:rFonts w:hint="eastAsia"/>
                <w:color w:val="auto"/>
                <w:cs w:val="0"/>
              </w:rPr>
              <w:t>בע</w:t>
            </w:r>
            <w:r w:rsidRPr="00D55FEC">
              <w:rPr>
                <w:color w:val="auto"/>
                <w:cs w:val="0"/>
              </w:rPr>
              <w:t>"מ</w:t>
            </w:r>
          </w:p>
        </w:tc>
        <w:tc>
          <w:tcPr>
            <w:tcW w:w="949" w:type="pct"/>
            <w:shd w:val="clear" w:color="auto" w:fill="auto"/>
            <w:vAlign w:val="bottom"/>
          </w:tcPr>
          <w:p w14:paraId="608A32FB" w14:textId="77777777" w:rsidR="00867DA1" w:rsidRPr="00D55FEC" w:rsidRDefault="00867DA1" w:rsidP="00D55FEC">
            <w:pPr>
              <w:pStyle w:val="R"/>
              <w:rPr>
                <w:color w:val="auto"/>
                <w:cs w:val="0"/>
              </w:rPr>
            </w:pPr>
            <w:r w:rsidRPr="00D55FEC">
              <w:rPr>
                <w:color w:val="auto"/>
                <w:cs w:val="0"/>
              </w:rPr>
              <w:t>849,636</w:t>
            </w:r>
          </w:p>
        </w:tc>
        <w:tc>
          <w:tcPr>
            <w:tcW w:w="948" w:type="pct"/>
            <w:shd w:val="clear" w:color="auto" w:fill="auto"/>
            <w:vAlign w:val="bottom"/>
          </w:tcPr>
          <w:p w14:paraId="30D2AAC4" w14:textId="77777777" w:rsidR="00867DA1" w:rsidRPr="00D55FEC" w:rsidRDefault="00867DA1" w:rsidP="00D55FEC">
            <w:pPr>
              <w:pStyle w:val="R"/>
              <w:rPr>
                <w:color w:val="auto"/>
                <w:cs w:val="0"/>
              </w:rPr>
            </w:pPr>
            <w:r w:rsidRPr="00D55FEC">
              <w:rPr>
                <w:color w:val="auto"/>
                <w:cs w:val="0"/>
              </w:rPr>
              <w:t>840,651</w:t>
            </w:r>
          </w:p>
        </w:tc>
      </w:tr>
      <w:tr w:rsidR="00867DA1" w:rsidRPr="003761B7" w14:paraId="606E09B1" w14:textId="77777777" w:rsidTr="00316D7B">
        <w:trPr>
          <w:jc w:val="center"/>
        </w:trPr>
        <w:tc>
          <w:tcPr>
            <w:tcW w:w="351" w:type="pct"/>
            <w:shd w:val="clear" w:color="auto" w:fill="auto"/>
            <w:vAlign w:val="bottom"/>
          </w:tcPr>
          <w:p w14:paraId="6D522E5E" w14:textId="77777777" w:rsidR="00867DA1" w:rsidRPr="00D55FEC" w:rsidRDefault="00867DA1" w:rsidP="00D55FEC">
            <w:pPr>
              <w:pStyle w:val="R"/>
              <w:rPr>
                <w:color w:val="auto"/>
                <w:cs w:val="0"/>
              </w:rPr>
            </w:pPr>
            <w:r w:rsidRPr="00D55FEC">
              <w:rPr>
                <w:color w:val="auto"/>
                <w:cs w:val="0"/>
              </w:rPr>
              <w:t>12</w:t>
            </w:r>
          </w:p>
        </w:tc>
        <w:tc>
          <w:tcPr>
            <w:tcW w:w="2752" w:type="pct"/>
            <w:shd w:val="clear" w:color="auto" w:fill="auto"/>
            <w:noWrap/>
            <w:vAlign w:val="bottom"/>
          </w:tcPr>
          <w:p w14:paraId="04C9CB15" w14:textId="77777777" w:rsidR="00867DA1" w:rsidRPr="00D55FEC" w:rsidRDefault="00867DA1" w:rsidP="00D55FEC">
            <w:pPr>
              <w:pStyle w:val="R"/>
              <w:rPr>
                <w:color w:val="auto"/>
                <w:cs w:val="0"/>
              </w:rPr>
            </w:pPr>
            <w:r w:rsidRPr="00D55FEC">
              <w:rPr>
                <w:rFonts w:hint="eastAsia"/>
                <w:color w:val="auto"/>
                <w:cs w:val="0"/>
              </w:rPr>
              <w:t>הרשות</w:t>
            </w:r>
            <w:r w:rsidRPr="00D55FEC">
              <w:rPr>
                <w:color w:val="auto"/>
                <w:cs w:val="0"/>
              </w:rPr>
              <w:t xml:space="preserve"> הלאומית לתרבות </w:t>
            </w:r>
            <w:r w:rsidRPr="00D55FEC">
              <w:rPr>
                <w:rFonts w:hint="eastAsia"/>
                <w:color w:val="auto"/>
                <w:cs w:val="0"/>
              </w:rPr>
              <w:t>הלאדינו</w:t>
            </w:r>
            <w:r w:rsidRPr="00D55FEC">
              <w:rPr>
                <w:color w:val="auto"/>
                <w:cs w:val="0"/>
              </w:rPr>
              <w:t xml:space="preserve"> בישראל </w:t>
            </w:r>
          </w:p>
        </w:tc>
        <w:tc>
          <w:tcPr>
            <w:tcW w:w="949" w:type="pct"/>
            <w:shd w:val="clear" w:color="auto" w:fill="auto"/>
            <w:vAlign w:val="bottom"/>
          </w:tcPr>
          <w:p w14:paraId="4C808CB7" w14:textId="72554B7B" w:rsidR="00867DA1" w:rsidRPr="00D55FEC" w:rsidRDefault="007467F9" w:rsidP="00D55FEC">
            <w:pPr>
              <w:pStyle w:val="R"/>
              <w:rPr>
                <w:color w:val="auto"/>
                <w:cs w:val="0"/>
              </w:rPr>
            </w:pPr>
            <w:r>
              <w:rPr>
                <w:rFonts w:hint="cs"/>
                <w:color w:val="auto"/>
                <w:cs w:val="0"/>
              </w:rPr>
              <w:t>מספרים זניחים</w:t>
            </w:r>
          </w:p>
        </w:tc>
        <w:tc>
          <w:tcPr>
            <w:tcW w:w="948" w:type="pct"/>
            <w:shd w:val="clear" w:color="auto" w:fill="auto"/>
            <w:vAlign w:val="bottom"/>
          </w:tcPr>
          <w:p w14:paraId="7AA32922" w14:textId="0DD79AB4" w:rsidR="00867DA1" w:rsidRPr="00D55FEC" w:rsidRDefault="007467F9" w:rsidP="00D55FEC">
            <w:pPr>
              <w:pStyle w:val="R"/>
              <w:rPr>
                <w:color w:val="auto"/>
                <w:cs w:val="0"/>
              </w:rPr>
            </w:pPr>
            <w:r>
              <w:rPr>
                <w:rFonts w:hint="cs"/>
                <w:color w:val="auto"/>
                <w:cs w:val="0"/>
              </w:rPr>
              <w:t>מספרים זניחים</w:t>
            </w:r>
          </w:p>
        </w:tc>
      </w:tr>
      <w:tr w:rsidR="00867DA1" w:rsidRPr="003761B7" w14:paraId="2542078D" w14:textId="77777777" w:rsidTr="00316D7B">
        <w:trPr>
          <w:jc w:val="center"/>
        </w:trPr>
        <w:tc>
          <w:tcPr>
            <w:tcW w:w="351" w:type="pct"/>
            <w:shd w:val="clear" w:color="auto" w:fill="auto"/>
            <w:vAlign w:val="bottom"/>
          </w:tcPr>
          <w:p w14:paraId="7876AD61" w14:textId="77777777" w:rsidR="00867DA1" w:rsidRPr="00D55FEC" w:rsidRDefault="00867DA1" w:rsidP="00D55FEC">
            <w:pPr>
              <w:pStyle w:val="R"/>
              <w:rPr>
                <w:color w:val="auto"/>
                <w:cs w:val="0"/>
              </w:rPr>
            </w:pPr>
            <w:r w:rsidRPr="00D55FEC">
              <w:rPr>
                <w:color w:val="auto"/>
                <w:cs w:val="0"/>
              </w:rPr>
              <w:t>13</w:t>
            </w:r>
          </w:p>
        </w:tc>
        <w:tc>
          <w:tcPr>
            <w:tcW w:w="2752" w:type="pct"/>
            <w:shd w:val="clear" w:color="auto" w:fill="auto"/>
            <w:noWrap/>
            <w:vAlign w:val="bottom"/>
          </w:tcPr>
          <w:p w14:paraId="7BE65985" w14:textId="77777777" w:rsidR="00867DA1" w:rsidRPr="00D55FEC" w:rsidRDefault="00867DA1" w:rsidP="00D55FEC">
            <w:pPr>
              <w:pStyle w:val="R"/>
              <w:rPr>
                <w:color w:val="auto"/>
                <w:cs w:val="0"/>
              </w:rPr>
            </w:pPr>
            <w:r w:rsidRPr="00D55FEC">
              <w:rPr>
                <w:rFonts w:hint="eastAsia"/>
                <w:color w:val="auto"/>
                <w:cs w:val="0"/>
              </w:rPr>
              <w:t>נתיבי</w:t>
            </w:r>
            <w:r w:rsidRPr="00D55FEC">
              <w:rPr>
                <w:color w:val="auto"/>
                <w:cs w:val="0"/>
              </w:rPr>
              <w:t xml:space="preserve"> </w:t>
            </w:r>
            <w:r w:rsidRPr="00D55FEC">
              <w:rPr>
                <w:rFonts w:hint="eastAsia"/>
                <w:color w:val="auto"/>
                <w:cs w:val="0"/>
              </w:rPr>
              <w:t>ישראל</w:t>
            </w:r>
            <w:r w:rsidRPr="00D55FEC">
              <w:rPr>
                <w:color w:val="auto"/>
                <w:cs w:val="0"/>
              </w:rPr>
              <w:t xml:space="preserve">- </w:t>
            </w:r>
            <w:r w:rsidRPr="00D55FEC">
              <w:rPr>
                <w:rFonts w:hint="eastAsia"/>
                <w:color w:val="auto"/>
                <w:cs w:val="0"/>
              </w:rPr>
              <w:t>החברה</w:t>
            </w:r>
            <w:r w:rsidRPr="00D55FEC">
              <w:rPr>
                <w:color w:val="auto"/>
                <w:cs w:val="0"/>
              </w:rPr>
              <w:t xml:space="preserve"> </w:t>
            </w:r>
            <w:r w:rsidRPr="00D55FEC">
              <w:rPr>
                <w:rFonts w:hint="eastAsia"/>
                <w:color w:val="auto"/>
                <w:cs w:val="0"/>
              </w:rPr>
              <w:t>הלאומית</w:t>
            </w:r>
            <w:r w:rsidRPr="00D55FEC">
              <w:rPr>
                <w:color w:val="auto"/>
                <w:cs w:val="0"/>
              </w:rPr>
              <w:t xml:space="preserve"> </w:t>
            </w:r>
            <w:r w:rsidRPr="00D55FEC">
              <w:rPr>
                <w:rFonts w:hint="eastAsia"/>
                <w:color w:val="auto"/>
                <w:cs w:val="0"/>
              </w:rPr>
              <w:t>לתשתיות</w:t>
            </w:r>
            <w:r w:rsidRPr="00D55FEC">
              <w:rPr>
                <w:color w:val="auto"/>
                <w:cs w:val="0"/>
              </w:rPr>
              <w:t xml:space="preserve"> </w:t>
            </w:r>
            <w:r w:rsidRPr="00D55FEC">
              <w:rPr>
                <w:rFonts w:hint="eastAsia"/>
                <w:color w:val="auto"/>
                <w:cs w:val="0"/>
              </w:rPr>
              <w:t>תחבורה</w:t>
            </w:r>
            <w:r w:rsidRPr="00D55FEC">
              <w:rPr>
                <w:color w:val="auto"/>
                <w:cs w:val="0"/>
              </w:rPr>
              <w:t xml:space="preserve"> </w:t>
            </w:r>
            <w:r w:rsidRPr="00D55FEC">
              <w:rPr>
                <w:rFonts w:hint="eastAsia"/>
                <w:color w:val="auto"/>
                <w:cs w:val="0"/>
              </w:rPr>
              <w:t>בע</w:t>
            </w:r>
            <w:r w:rsidRPr="00D55FEC">
              <w:rPr>
                <w:color w:val="auto"/>
                <w:cs w:val="0"/>
              </w:rPr>
              <w:t>"מ</w:t>
            </w:r>
          </w:p>
        </w:tc>
        <w:tc>
          <w:tcPr>
            <w:tcW w:w="949" w:type="pct"/>
            <w:shd w:val="clear" w:color="auto" w:fill="auto"/>
            <w:vAlign w:val="bottom"/>
          </w:tcPr>
          <w:p w14:paraId="4F054A1D" w14:textId="77777777" w:rsidR="00867DA1" w:rsidRPr="00D55FEC" w:rsidRDefault="00867DA1" w:rsidP="00D55FEC">
            <w:pPr>
              <w:pStyle w:val="R"/>
              <w:rPr>
                <w:color w:val="auto"/>
                <w:cs w:val="0"/>
              </w:rPr>
            </w:pPr>
            <w:r w:rsidRPr="00D55FEC">
              <w:rPr>
                <w:color w:val="auto"/>
                <w:cs w:val="0"/>
              </w:rPr>
              <w:t>1,850,649</w:t>
            </w:r>
          </w:p>
        </w:tc>
        <w:tc>
          <w:tcPr>
            <w:tcW w:w="948" w:type="pct"/>
            <w:shd w:val="clear" w:color="auto" w:fill="auto"/>
            <w:vAlign w:val="bottom"/>
          </w:tcPr>
          <w:p w14:paraId="18F90BAF" w14:textId="77777777" w:rsidR="00867DA1" w:rsidRPr="00D55FEC" w:rsidRDefault="00867DA1" w:rsidP="00D55FEC">
            <w:pPr>
              <w:pStyle w:val="R"/>
              <w:rPr>
                <w:color w:val="auto"/>
                <w:cs w:val="0"/>
              </w:rPr>
            </w:pPr>
            <w:r w:rsidRPr="00D55FEC">
              <w:rPr>
                <w:color w:val="auto"/>
                <w:cs w:val="0"/>
              </w:rPr>
              <w:t>1,582,306</w:t>
            </w:r>
          </w:p>
        </w:tc>
      </w:tr>
      <w:tr w:rsidR="00867DA1" w:rsidRPr="003761B7" w14:paraId="4D2CF3DA" w14:textId="77777777" w:rsidTr="00316D7B">
        <w:trPr>
          <w:jc w:val="center"/>
        </w:trPr>
        <w:tc>
          <w:tcPr>
            <w:tcW w:w="351" w:type="pct"/>
            <w:shd w:val="clear" w:color="auto" w:fill="auto"/>
            <w:vAlign w:val="bottom"/>
          </w:tcPr>
          <w:p w14:paraId="712870EE" w14:textId="77777777" w:rsidR="00867DA1" w:rsidRPr="00D55FEC" w:rsidRDefault="00867DA1" w:rsidP="00D55FEC">
            <w:pPr>
              <w:pStyle w:val="R"/>
              <w:rPr>
                <w:color w:val="auto"/>
                <w:cs w:val="0"/>
              </w:rPr>
            </w:pPr>
            <w:r w:rsidRPr="00D55FEC">
              <w:rPr>
                <w:color w:val="auto"/>
                <w:cs w:val="0"/>
              </w:rPr>
              <w:t>14</w:t>
            </w:r>
          </w:p>
        </w:tc>
        <w:tc>
          <w:tcPr>
            <w:tcW w:w="2752" w:type="pct"/>
            <w:shd w:val="clear" w:color="auto" w:fill="auto"/>
            <w:noWrap/>
            <w:vAlign w:val="bottom"/>
          </w:tcPr>
          <w:p w14:paraId="378149F4" w14:textId="77777777" w:rsidR="00867DA1" w:rsidRPr="00D55FEC" w:rsidRDefault="00867DA1" w:rsidP="00D55FEC">
            <w:pPr>
              <w:pStyle w:val="R"/>
              <w:rPr>
                <w:color w:val="auto"/>
                <w:cs w:val="0"/>
              </w:rPr>
            </w:pPr>
            <w:r w:rsidRPr="00D55FEC">
              <w:rPr>
                <w:rFonts w:hint="eastAsia"/>
                <w:color w:val="auto"/>
                <w:cs w:val="0"/>
              </w:rPr>
              <w:t>חברה</w:t>
            </w:r>
            <w:r w:rsidRPr="00D55FEC">
              <w:rPr>
                <w:color w:val="auto"/>
                <w:cs w:val="0"/>
              </w:rPr>
              <w:t xml:space="preserve"> </w:t>
            </w:r>
            <w:r w:rsidRPr="00D55FEC">
              <w:rPr>
                <w:rFonts w:hint="eastAsia"/>
                <w:color w:val="auto"/>
                <w:cs w:val="0"/>
              </w:rPr>
              <w:t>לשיקום</w:t>
            </w:r>
            <w:r w:rsidRPr="00D55FEC">
              <w:rPr>
                <w:color w:val="auto"/>
                <w:cs w:val="0"/>
              </w:rPr>
              <w:t xml:space="preserve"> </w:t>
            </w:r>
            <w:r w:rsidRPr="00D55FEC">
              <w:rPr>
                <w:rFonts w:hint="eastAsia"/>
                <w:color w:val="auto"/>
                <w:cs w:val="0"/>
              </w:rPr>
              <w:t>ולפיתוח</w:t>
            </w:r>
            <w:r w:rsidRPr="00D55FEC">
              <w:rPr>
                <w:color w:val="auto"/>
                <w:cs w:val="0"/>
              </w:rPr>
              <w:t xml:space="preserve"> </w:t>
            </w:r>
            <w:r w:rsidRPr="00D55FEC">
              <w:rPr>
                <w:rFonts w:hint="eastAsia"/>
                <w:color w:val="auto"/>
                <w:cs w:val="0"/>
              </w:rPr>
              <w:t>הרובע</w:t>
            </w:r>
            <w:r w:rsidRPr="00D55FEC">
              <w:rPr>
                <w:color w:val="auto"/>
                <w:cs w:val="0"/>
              </w:rPr>
              <w:t xml:space="preserve"> </w:t>
            </w:r>
            <w:r w:rsidRPr="00D55FEC">
              <w:rPr>
                <w:rFonts w:hint="eastAsia"/>
                <w:color w:val="auto"/>
                <w:cs w:val="0"/>
              </w:rPr>
              <w:t>היהודי</w:t>
            </w:r>
            <w:r w:rsidRPr="00D55FEC">
              <w:rPr>
                <w:color w:val="auto"/>
                <w:cs w:val="0"/>
              </w:rPr>
              <w:t xml:space="preserve"> </w:t>
            </w:r>
            <w:r w:rsidRPr="00D55FEC">
              <w:rPr>
                <w:rFonts w:hint="eastAsia"/>
                <w:color w:val="auto"/>
                <w:cs w:val="0"/>
              </w:rPr>
              <w:t>בעיר</w:t>
            </w:r>
            <w:r w:rsidRPr="00D55FEC">
              <w:rPr>
                <w:color w:val="auto"/>
                <w:cs w:val="0"/>
              </w:rPr>
              <w:t xml:space="preserve"> </w:t>
            </w:r>
            <w:r w:rsidRPr="00D55FEC">
              <w:rPr>
                <w:rFonts w:hint="eastAsia"/>
                <w:color w:val="auto"/>
                <w:cs w:val="0"/>
              </w:rPr>
              <w:t>העתיקה</w:t>
            </w:r>
            <w:r w:rsidRPr="00D55FEC">
              <w:rPr>
                <w:color w:val="auto"/>
                <w:cs w:val="0"/>
              </w:rPr>
              <w:t xml:space="preserve"> </w:t>
            </w:r>
            <w:r w:rsidRPr="00D55FEC">
              <w:rPr>
                <w:rFonts w:hint="eastAsia"/>
                <w:color w:val="auto"/>
                <w:cs w:val="0"/>
              </w:rPr>
              <w:t>בירושלים</w:t>
            </w:r>
            <w:r w:rsidRPr="00D55FEC">
              <w:rPr>
                <w:color w:val="auto"/>
                <w:cs w:val="0"/>
              </w:rPr>
              <w:t xml:space="preserve"> </w:t>
            </w:r>
            <w:r w:rsidRPr="00D55FEC">
              <w:rPr>
                <w:rFonts w:hint="eastAsia"/>
                <w:color w:val="auto"/>
                <w:cs w:val="0"/>
              </w:rPr>
              <w:t>בע</w:t>
            </w:r>
            <w:r w:rsidRPr="00D55FEC">
              <w:rPr>
                <w:color w:val="auto"/>
                <w:cs w:val="0"/>
              </w:rPr>
              <w:t>"מ</w:t>
            </w:r>
          </w:p>
        </w:tc>
        <w:tc>
          <w:tcPr>
            <w:tcW w:w="949" w:type="pct"/>
            <w:shd w:val="clear" w:color="auto" w:fill="auto"/>
            <w:vAlign w:val="bottom"/>
          </w:tcPr>
          <w:p w14:paraId="75FEFA44" w14:textId="77777777" w:rsidR="00867DA1" w:rsidRPr="00D55FEC" w:rsidRDefault="00867DA1" w:rsidP="00D55FEC">
            <w:pPr>
              <w:pStyle w:val="R"/>
              <w:rPr>
                <w:color w:val="auto"/>
                <w:cs w:val="0"/>
              </w:rPr>
            </w:pPr>
            <w:r w:rsidRPr="00D55FEC">
              <w:rPr>
                <w:color w:val="auto"/>
                <w:cs w:val="0"/>
              </w:rPr>
              <w:t>32,428</w:t>
            </w:r>
          </w:p>
        </w:tc>
        <w:tc>
          <w:tcPr>
            <w:tcW w:w="948" w:type="pct"/>
            <w:shd w:val="clear" w:color="auto" w:fill="auto"/>
            <w:vAlign w:val="bottom"/>
          </w:tcPr>
          <w:p w14:paraId="51D400BB" w14:textId="77777777" w:rsidR="00867DA1" w:rsidRPr="00D55FEC" w:rsidRDefault="00867DA1" w:rsidP="00D55FEC">
            <w:pPr>
              <w:pStyle w:val="R"/>
              <w:rPr>
                <w:color w:val="auto"/>
                <w:cs w:val="0"/>
              </w:rPr>
            </w:pPr>
            <w:r w:rsidRPr="00D55FEC">
              <w:rPr>
                <w:color w:val="auto"/>
                <w:cs w:val="0"/>
              </w:rPr>
              <w:t>5,366</w:t>
            </w:r>
          </w:p>
        </w:tc>
      </w:tr>
      <w:tr w:rsidR="00867DA1" w:rsidRPr="003761B7" w14:paraId="6DDE923C" w14:textId="77777777" w:rsidTr="009042BD">
        <w:trPr>
          <w:jc w:val="center"/>
        </w:trPr>
        <w:tc>
          <w:tcPr>
            <w:tcW w:w="351" w:type="pct"/>
            <w:tcBorders>
              <w:bottom w:val="single" w:sz="4" w:space="0" w:color="auto"/>
            </w:tcBorders>
            <w:shd w:val="clear" w:color="auto" w:fill="auto"/>
            <w:vAlign w:val="bottom"/>
          </w:tcPr>
          <w:p w14:paraId="5093DDF1" w14:textId="77777777" w:rsidR="00867DA1" w:rsidRPr="00D55FEC" w:rsidRDefault="00867DA1" w:rsidP="00D55FEC">
            <w:pPr>
              <w:pStyle w:val="R"/>
              <w:rPr>
                <w:color w:val="auto"/>
                <w:cs w:val="0"/>
              </w:rPr>
            </w:pPr>
            <w:r w:rsidRPr="00D55FEC">
              <w:rPr>
                <w:color w:val="auto"/>
                <w:cs w:val="0"/>
              </w:rPr>
              <w:t>15</w:t>
            </w:r>
          </w:p>
        </w:tc>
        <w:tc>
          <w:tcPr>
            <w:tcW w:w="2752" w:type="pct"/>
            <w:tcBorders>
              <w:bottom w:val="single" w:sz="4" w:space="0" w:color="auto"/>
            </w:tcBorders>
            <w:shd w:val="clear" w:color="auto" w:fill="auto"/>
            <w:noWrap/>
            <w:vAlign w:val="bottom"/>
          </w:tcPr>
          <w:p w14:paraId="53B64808" w14:textId="77777777" w:rsidR="00867DA1" w:rsidRPr="00D55FEC" w:rsidRDefault="00867DA1" w:rsidP="00D55FEC">
            <w:pPr>
              <w:pStyle w:val="R"/>
              <w:rPr>
                <w:color w:val="auto"/>
                <w:cs w:val="0"/>
              </w:rPr>
            </w:pPr>
            <w:r w:rsidRPr="00D55FEC">
              <w:rPr>
                <w:rFonts w:hint="eastAsia"/>
                <w:color w:val="auto"/>
                <w:cs w:val="0"/>
              </w:rPr>
              <w:t>המכון</w:t>
            </w:r>
            <w:r w:rsidRPr="00D55FEC">
              <w:rPr>
                <w:color w:val="auto"/>
                <w:cs w:val="0"/>
              </w:rPr>
              <w:t xml:space="preserve"> </w:t>
            </w:r>
            <w:r w:rsidRPr="00D55FEC">
              <w:rPr>
                <w:rFonts w:hint="eastAsia"/>
                <w:color w:val="auto"/>
                <w:cs w:val="0"/>
              </w:rPr>
              <w:t>הישראלי</w:t>
            </w:r>
            <w:r w:rsidRPr="00D55FEC">
              <w:rPr>
                <w:color w:val="auto"/>
                <w:cs w:val="0"/>
              </w:rPr>
              <w:t xml:space="preserve"> </w:t>
            </w:r>
            <w:r w:rsidRPr="00D55FEC">
              <w:rPr>
                <w:rFonts w:hint="eastAsia"/>
                <w:color w:val="auto"/>
                <w:cs w:val="0"/>
              </w:rPr>
              <w:t>ליין</w:t>
            </w:r>
            <w:r w:rsidRPr="00D55FEC">
              <w:rPr>
                <w:color w:val="auto"/>
                <w:cs w:val="0"/>
              </w:rPr>
              <w:t xml:space="preserve"> </w:t>
            </w:r>
            <w:r w:rsidRPr="00D55FEC">
              <w:rPr>
                <w:rFonts w:hint="eastAsia"/>
                <w:color w:val="auto"/>
                <w:cs w:val="0"/>
              </w:rPr>
              <w:t>בע</w:t>
            </w:r>
            <w:r w:rsidRPr="00D55FEC">
              <w:rPr>
                <w:color w:val="auto"/>
                <w:cs w:val="0"/>
              </w:rPr>
              <w:t>"מ</w:t>
            </w:r>
          </w:p>
        </w:tc>
        <w:tc>
          <w:tcPr>
            <w:tcW w:w="949" w:type="pct"/>
            <w:tcBorders>
              <w:bottom w:val="single" w:sz="4" w:space="0" w:color="auto"/>
            </w:tcBorders>
            <w:shd w:val="clear" w:color="auto" w:fill="auto"/>
            <w:vAlign w:val="bottom"/>
          </w:tcPr>
          <w:p w14:paraId="12F640D0" w14:textId="77777777" w:rsidR="00867DA1" w:rsidRPr="00D55FEC" w:rsidRDefault="00867DA1" w:rsidP="00D55FEC">
            <w:pPr>
              <w:pStyle w:val="R"/>
              <w:rPr>
                <w:color w:val="auto"/>
                <w:cs w:val="0"/>
              </w:rPr>
            </w:pPr>
            <w:r w:rsidRPr="00D55FEC">
              <w:rPr>
                <w:color w:val="auto"/>
                <w:cs w:val="0"/>
              </w:rPr>
              <w:t>601,260</w:t>
            </w:r>
          </w:p>
        </w:tc>
        <w:tc>
          <w:tcPr>
            <w:tcW w:w="948" w:type="pct"/>
            <w:tcBorders>
              <w:bottom w:val="single" w:sz="4" w:space="0" w:color="auto"/>
            </w:tcBorders>
            <w:shd w:val="clear" w:color="auto" w:fill="auto"/>
            <w:vAlign w:val="bottom"/>
          </w:tcPr>
          <w:p w14:paraId="0C21203E" w14:textId="77777777" w:rsidR="00867DA1" w:rsidRPr="00D55FEC" w:rsidRDefault="00867DA1" w:rsidP="00D55FEC">
            <w:pPr>
              <w:pStyle w:val="R"/>
              <w:rPr>
                <w:color w:val="auto"/>
                <w:cs w:val="0"/>
              </w:rPr>
            </w:pPr>
            <w:r w:rsidRPr="00D55FEC">
              <w:rPr>
                <w:color w:val="auto"/>
                <w:cs w:val="0"/>
              </w:rPr>
              <w:t>482,230</w:t>
            </w:r>
          </w:p>
        </w:tc>
      </w:tr>
      <w:tr w:rsidR="00867DA1" w:rsidRPr="0037699E" w14:paraId="111182E6" w14:textId="77777777" w:rsidTr="009042BD">
        <w:trPr>
          <w:cnfStyle w:val="010000000000" w:firstRow="0" w:lastRow="1" w:firstColumn="0" w:lastColumn="0" w:oddVBand="0" w:evenVBand="0" w:oddHBand="0" w:evenHBand="0" w:firstRowFirstColumn="0" w:firstRowLastColumn="0" w:lastRowFirstColumn="0" w:lastRowLastColumn="0"/>
          <w:jc w:val="center"/>
        </w:trPr>
        <w:tc>
          <w:tcPr>
            <w:tcW w:w="351" w:type="pct"/>
            <w:tcBorders>
              <w:top w:val="none" w:sz="0" w:space="0" w:color="auto"/>
              <w:left w:val="none" w:sz="0" w:space="0" w:color="auto"/>
              <w:bottom w:val="none" w:sz="0" w:space="0" w:color="auto"/>
              <w:right w:val="none" w:sz="0" w:space="0" w:color="auto"/>
            </w:tcBorders>
            <w:shd w:val="clear" w:color="auto" w:fill="auto"/>
            <w:vAlign w:val="bottom"/>
          </w:tcPr>
          <w:p w14:paraId="0E9CEBFB" w14:textId="77777777" w:rsidR="00867DA1" w:rsidRPr="0037699E" w:rsidRDefault="00867DA1" w:rsidP="0037699E">
            <w:pPr>
              <w:pStyle w:val="R"/>
            </w:pPr>
            <w:r w:rsidRPr="0037699E">
              <w:rPr>
                <w:b w:val="0"/>
                <w:bCs w:val="0"/>
                <w:color w:val="auto"/>
              </w:rPr>
              <w:t>16</w:t>
            </w:r>
          </w:p>
        </w:tc>
        <w:tc>
          <w:tcPr>
            <w:tcW w:w="2752" w:type="pct"/>
            <w:tcBorders>
              <w:top w:val="none" w:sz="0" w:space="0" w:color="auto"/>
              <w:left w:val="none" w:sz="0" w:space="0" w:color="auto"/>
              <w:bottom w:val="none" w:sz="0" w:space="0" w:color="auto"/>
              <w:right w:val="none" w:sz="0" w:space="0" w:color="auto"/>
            </w:tcBorders>
            <w:shd w:val="clear" w:color="auto" w:fill="auto"/>
            <w:noWrap/>
            <w:vAlign w:val="bottom"/>
          </w:tcPr>
          <w:p w14:paraId="3515AA1E" w14:textId="77777777" w:rsidR="00867DA1" w:rsidRPr="0037699E" w:rsidRDefault="00867DA1" w:rsidP="0037699E">
            <w:pPr>
              <w:pStyle w:val="R"/>
              <w:rPr>
                <w:b w:val="0"/>
                <w:bCs w:val="0"/>
                <w:color w:val="auto"/>
              </w:rPr>
            </w:pPr>
            <w:r w:rsidRPr="0037699E">
              <w:rPr>
                <w:rFonts w:hint="eastAsia"/>
                <w:b w:val="0"/>
                <w:bCs w:val="0"/>
                <w:color w:val="auto"/>
              </w:rPr>
              <w:t>רותם</w:t>
            </w:r>
            <w:r w:rsidRPr="0037699E">
              <w:rPr>
                <w:b w:val="0"/>
                <w:bCs w:val="0"/>
                <w:color w:val="auto"/>
              </w:rPr>
              <w:t xml:space="preserve"> </w:t>
            </w:r>
            <w:r w:rsidRPr="0037699E">
              <w:rPr>
                <w:rFonts w:hint="eastAsia"/>
                <w:b w:val="0"/>
                <w:bCs w:val="0"/>
                <w:color w:val="auto"/>
              </w:rPr>
              <w:t>תעשיות</w:t>
            </w:r>
            <w:r w:rsidRPr="0037699E">
              <w:rPr>
                <w:b w:val="0"/>
                <w:bCs w:val="0"/>
                <w:color w:val="auto"/>
              </w:rPr>
              <w:t xml:space="preserve"> </w:t>
            </w:r>
            <w:r w:rsidRPr="0037699E">
              <w:rPr>
                <w:rFonts w:hint="eastAsia"/>
                <w:b w:val="0"/>
                <w:bCs w:val="0"/>
                <w:color w:val="auto"/>
              </w:rPr>
              <w:t>בע</w:t>
            </w:r>
            <w:r w:rsidRPr="0037699E">
              <w:rPr>
                <w:b w:val="0"/>
                <w:bCs w:val="0"/>
                <w:color w:val="auto"/>
              </w:rPr>
              <w:t>"מ</w:t>
            </w:r>
          </w:p>
        </w:tc>
        <w:tc>
          <w:tcPr>
            <w:tcW w:w="949" w:type="pct"/>
            <w:tcBorders>
              <w:top w:val="none" w:sz="0" w:space="0" w:color="auto"/>
              <w:left w:val="none" w:sz="0" w:space="0" w:color="auto"/>
              <w:bottom w:val="none" w:sz="0" w:space="0" w:color="auto"/>
              <w:right w:val="none" w:sz="0" w:space="0" w:color="auto"/>
            </w:tcBorders>
            <w:shd w:val="clear" w:color="auto" w:fill="auto"/>
            <w:vAlign w:val="bottom"/>
          </w:tcPr>
          <w:p w14:paraId="1B2C01A4" w14:textId="77777777" w:rsidR="00867DA1" w:rsidRPr="0037699E" w:rsidRDefault="00867DA1" w:rsidP="0037699E">
            <w:pPr>
              <w:pStyle w:val="R"/>
              <w:rPr>
                <w:b w:val="0"/>
                <w:bCs w:val="0"/>
                <w:color w:val="auto"/>
              </w:rPr>
            </w:pPr>
            <w:r w:rsidRPr="0037699E">
              <w:rPr>
                <w:b w:val="0"/>
                <w:bCs w:val="0"/>
                <w:color w:val="auto"/>
              </w:rPr>
              <w:t>104,718</w:t>
            </w:r>
          </w:p>
        </w:tc>
        <w:tc>
          <w:tcPr>
            <w:tcW w:w="948" w:type="pct"/>
            <w:tcBorders>
              <w:top w:val="none" w:sz="0" w:space="0" w:color="auto"/>
              <w:left w:val="none" w:sz="0" w:space="0" w:color="auto"/>
              <w:bottom w:val="none" w:sz="0" w:space="0" w:color="auto"/>
              <w:right w:val="none" w:sz="0" w:space="0" w:color="auto"/>
            </w:tcBorders>
            <w:shd w:val="clear" w:color="auto" w:fill="auto"/>
            <w:vAlign w:val="bottom"/>
          </w:tcPr>
          <w:p w14:paraId="0247A1A9" w14:textId="77777777" w:rsidR="00867DA1" w:rsidRPr="0037699E" w:rsidRDefault="00867DA1" w:rsidP="0037699E">
            <w:pPr>
              <w:pStyle w:val="R"/>
              <w:rPr>
                <w:b w:val="0"/>
                <w:bCs w:val="0"/>
                <w:color w:val="auto"/>
              </w:rPr>
            </w:pPr>
            <w:r w:rsidRPr="0037699E">
              <w:rPr>
                <w:b w:val="0"/>
                <w:bCs w:val="0"/>
                <w:color w:val="auto"/>
              </w:rPr>
              <w:t>24,830</w:t>
            </w:r>
          </w:p>
        </w:tc>
      </w:tr>
    </w:tbl>
    <w:p w14:paraId="67D7755D" w14:textId="77777777" w:rsidR="00867DA1" w:rsidRDefault="00867DA1" w:rsidP="00D55FEC">
      <w:pPr>
        <w:pStyle w:val="ac"/>
        <w:rPr>
          <w:rtl/>
        </w:rPr>
      </w:pPr>
      <w:r w:rsidRPr="004254E2">
        <w:rPr>
          <w:rFonts w:hint="eastAsia"/>
          <w:rtl/>
        </w:rPr>
        <w:t>המקור</w:t>
      </w:r>
      <w:r w:rsidRPr="004254E2">
        <w:rPr>
          <w:rtl/>
        </w:rPr>
        <w:t xml:space="preserve">: </w:t>
      </w:r>
      <w:r w:rsidRPr="004254E2">
        <w:rPr>
          <w:rFonts w:hint="eastAsia"/>
          <w:rtl/>
        </w:rPr>
        <w:t>נספחים</w:t>
      </w:r>
      <w:r w:rsidRPr="004254E2">
        <w:rPr>
          <w:rtl/>
        </w:rPr>
        <w:t xml:space="preserve"> </w:t>
      </w:r>
      <w:r w:rsidRPr="004254E2">
        <w:rPr>
          <w:rFonts w:hint="eastAsia"/>
          <w:rtl/>
        </w:rPr>
        <w:t>לדוחות</w:t>
      </w:r>
      <w:r w:rsidRPr="004254E2">
        <w:rPr>
          <w:rtl/>
        </w:rPr>
        <w:t xml:space="preserve"> </w:t>
      </w:r>
      <w:r w:rsidRPr="004254E2">
        <w:rPr>
          <w:rFonts w:hint="eastAsia"/>
          <w:rtl/>
        </w:rPr>
        <w:t>הכספיים</w:t>
      </w:r>
      <w:r w:rsidRPr="004254E2">
        <w:rPr>
          <w:rtl/>
        </w:rPr>
        <w:t xml:space="preserve"> </w:t>
      </w:r>
      <w:r w:rsidRPr="004254E2">
        <w:rPr>
          <w:rFonts w:hint="eastAsia"/>
          <w:rtl/>
        </w:rPr>
        <w:t>של</w:t>
      </w:r>
      <w:r w:rsidRPr="004254E2">
        <w:rPr>
          <w:rtl/>
        </w:rPr>
        <w:t xml:space="preserve"> </w:t>
      </w:r>
      <w:r>
        <w:rPr>
          <w:rFonts w:hint="cs"/>
          <w:rtl/>
        </w:rPr>
        <w:t>המדינה</w:t>
      </w:r>
      <w:r w:rsidRPr="004254E2">
        <w:rPr>
          <w:rtl/>
        </w:rPr>
        <w:t xml:space="preserve"> </w:t>
      </w:r>
      <w:r w:rsidRPr="004254E2">
        <w:rPr>
          <w:rFonts w:hint="eastAsia"/>
          <w:rtl/>
        </w:rPr>
        <w:t>לשנת</w:t>
      </w:r>
      <w:r w:rsidRPr="004254E2">
        <w:rPr>
          <w:rtl/>
        </w:rPr>
        <w:t xml:space="preserve">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sidRPr="004254E2">
        <w:rPr>
          <w:rtl/>
        </w:rPr>
        <w:t>.</w:t>
      </w:r>
    </w:p>
    <w:p w14:paraId="1615E366" w14:textId="77777777" w:rsidR="00316D7B" w:rsidRDefault="00316D7B" w:rsidP="00316D7B">
      <w:pPr>
        <w:pStyle w:val="100"/>
        <w:rPr>
          <w:rtl/>
        </w:rPr>
      </w:pPr>
    </w:p>
    <w:p w14:paraId="57EA6C9E" w14:textId="3E6A7BA3" w:rsidR="00867DA1" w:rsidRPr="00023554" w:rsidRDefault="00867DA1" w:rsidP="00316D7B">
      <w:pPr>
        <w:pStyle w:val="100"/>
        <w:rPr>
          <w:rtl/>
        </w:rPr>
      </w:pPr>
      <w:r>
        <w:rPr>
          <w:rFonts w:hint="cs"/>
          <w:rtl/>
        </w:rPr>
        <w:lastRenderedPageBreak/>
        <w:t xml:space="preserve">מהאמור לעיל עולה כי החשבונאי הראשי מאחד בדוח הכספי המאוחד ישויות שבדוחות הכספיים שלהן מופיעה הסתייגות, ישויות שיש להן דוחות כספיים מבוקרים משנים קודמות ואף כאלו שהגישו טיוטות בלבד. </w:t>
      </w:r>
    </w:p>
    <w:p w14:paraId="0F4F96EC" w14:textId="77777777" w:rsidR="00867DA1" w:rsidRDefault="00867DA1" w:rsidP="00316D7B">
      <w:pPr>
        <w:pStyle w:val="af5"/>
        <w:rPr>
          <w:rtl/>
        </w:rPr>
      </w:pPr>
      <w:r>
        <w:rPr>
          <w:rFonts w:hint="cs"/>
          <w:rtl/>
        </w:rPr>
        <w:t xml:space="preserve">בהמשך לאמור לעיל, משרד מבקר המדינה ממליץ לחשבונאי הראשי לבצע סקר מקיף אצל רואי החשבון המבקרים בנושא הקשיים והחסמים העומדים לפניהם בעת עריכת הביקורת - אלו המונעים מהם להכין ולהציג דוחות מבוקרים עדכניים, שאין עליהם הסתייגויות, למועד האיחוד הכספי. </w:t>
      </w:r>
    </w:p>
    <w:p w14:paraId="28049FDE" w14:textId="77777777" w:rsidR="00867DA1" w:rsidRDefault="00867DA1" w:rsidP="00316D7B">
      <w:pPr>
        <w:pStyle w:val="218"/>
        <w:rPr>
          <w:rtl/>
        </w:rPr>
      </w:pPr>
      <w:r>
        <w:rPr>
          <w:rFonts w:hint="cs"/>
          <w:rtl/>
        </w:rPr>
        <w:t xml:space="preserve">ניתוח מגמות וסיכונים העולים מהדוחות הכספיים המאוחדים </w:t>
      </w:r>
    </w:p>
    <w:p w14:paraId="5475DD84" w14:textId="77777777" w:rsidR="00867DA1" w:rsidRPr="00662E5C" w:rsidRDefault="00867DA1" w:rsidP="00316D7B">
      <w:pPr>
        <w:pStyle w:val="316"/>
        <w:rPr>
          <w:rtl/>
        </w:rPr>
      </w:pPr>
      <w:r>
        <w:rPr>
          <w:rFonts w:hint="cs"/>
          <w:rtl/>
        </w:rPr>
        <w:t>ניתוח מגמות בדוחות הכספיים</w:t>
      </w:r>
    </w:p>
    <w:p w14:paraId="068AF4D1" w14:textId="77777777" w:rsidR="00867DA1" w:rsidRDefault="00867DA1" w:rsidP="00316D7B">
      <w:pPr>
        <w:pStyle w:val="100"/>
        <w:rPr>
          <w:rtl/>
        </w:rPr>
      </w:pPr>
      <w:r>
        <w:rPr>
          <w:rFonts w:hint="cs"/>
          <w:rtl/>
        </w:rPr>
        <w:t>כאמור, בדוחות הכספיים המאוחדים כוללים 202 ישויות, בהן משרדי ממשלה ויחידות סמך, תאגידים סטטוטוריים וחברות ממשלתיות. להלן ניתוח של התפתחות סעיפים נבחרים מהדוחות הכספיים של מדינת ישראל. יש לציין כי ניתוח זה חלקי, שכן, כאמור, בדוחות הכספיים הללו חסרים נתונים רבים</w:t>
      </w:r>
      <w:r>
        <w:rPr>
          <w:rStyle w:val="FootnoteReference"/>
          <w:rtl/>
        </w:rPr>
        <w:footnoteReference w:id="60"/>
      </w:r>
      <w:r>
        <w:rPr>
          <w:rFonts w:hint="cs"/>
          <w:rtl/>
        </w:rPr>
        <w:t>.</w:t>
      </w:r>
    </w:p>
    <w:p w14:paraId="7E70809A" w14:textId="77777777" w:rsidR="00316D7B" w:rsidRDefault="00316D7B">
      <w:pPr>
        <w:bidi w:val="0"/>
        <w:spacing w:after="200" w:line="276" w:lineRule="auto"/>
        <w:rPr>
          <w:rFonts w:ascii="Tahoma" w:eastAsiaTheme="majorEastAsia" w:hAnsi="Tahoma" w:cs="Tahoma"/>
          <w:b/>
          <w:color w:val="387026"/>
          <w:sz w:val="28"/>
          <w:szCs w:val="28"/>
          <w:rtl/>
        </w:rPr>
      </w:pPr>
      <w:r>
        <w:rPr>
          <w:rtl/>
        </w:rPr>
        <w:br w:type="page"/>
      </w:r>
    </w:p>
    <w:p w14:paraId="491E1A31" w14:textId="3550F916" w:rsidR="00867DA1" w:rsidRDefault="00867DA1" w:rsidP="00316D7B">
      <w:pPr>
        <w:pStyle w:val="414"/>
        <w:rPr>
          <w:rtl/>
        </w:rPr>
      </w:pPr>
      <w:r>
        <w:rPr>
          <w:rFonts w:hint="cs"/>
          <w:rtl/>
        </w:rPr>
        <w:lastRenderedPageBreak/>
        <w:t xml:space="preserve">פילוח </w:t>
      </w:r>
      <w:r w:rsidRPr="00B4426E">
        <w:rPr>
          <w:rFonts w:hint="cs"/>
          <w:rtl/>
        </w:rPr>
        <w:t xml:space="preserve">הכנסות </w:t>
      </w:r>
      <w:r>
        <w:rPr>
          <w:rFonts w:hint="cs"/>
          <w:rtl/>
        </w:rPr>
        <w:t>ה</w:t>
      </w:r>
      <w:r w:rsidRPr="00B4426E">
        <w:rPr>
          <w:rFonts w:hint="cs"/>
          <w:rtl/>
        </w:rPr>
        <w:t>מדינ</w:t>
      </w:r>
      <w:r>
        <w:rPr>
          <w:rFonts w:hint="cs"/>
          <w:rtl/>
        </w:rPr>
        <w:t xml:space="preserve">ה </w:t>
      </w:r>
      <w:r w:rsidRPr="00B4426E">
        <w:rPr>
          <w:rFonts w:hint="cs"/>
          <w:rtl/>
        </w:rPr>
        <w:t>בשנים 2014</w:t>
      </w:r>
      <w:r>
        <w:rPr>
          <w:rFonts w:hint="cs"/>
          <w:rtl/>
        </w:rPr>
        <w:t xml:space="preserve"> </w:t>
      </w:r>
      <w:r w:rsidRPr="00B4426E">
        <w:rPr>
          <w:rFonts w:hint="cs"/>
          <w:rtl/>
        </w:rPr>
        <w:t>-</w:t>
      </w:r>
      <w:r>
        <w:rPr>
          <w:rFonts w:hint="cs"/>
          <w:rtl/>
        </w:rPr>
        <w:t xml:space="preserve"> </w:t>
      </w:r>
      <w:r w:rsidRPr="00B4426E">
        <w:rPr>
          <w:rFonts w:hint="cs"/>
          <w:rtl/>
        </w:rPr>
        <w:t>2018</w:t>
      </w:r>
    </w:p>
    <w:p w14:paraId="7930D543" w14:textId="77777777" w:rsidR="00867DA1" w:rsidRPr="00316D7B" w:rsidRDefault="00867DA1" w:rsidP="00316D7B">
      <w:pPr>
        <w:pStyle w:val="aa"/>
        <w:rPr>
          <w:b/>
          <w:bCs/>
          <w:rtl/>
        </w:rPr>
      </w:pPr>
      <w:r w:rsidRPr="004254E2">
        <w:rPr>
          <w:rFonts w:hint="eastAsia"/>
          <w:rtl/>
        </w:rPr>
        <w:t>תרשים</w:t>
      </w:r>
      <w:r w:rsidRPr="004254E2">
        <w:rPr>
          <w:rtl/>
        </w:rPr>
        <w:t xml:space="preserve"> 9</w:t>
      </w:r>
      <w:r>
        <w:rPr>
          <w:rFonts w:hint="cs"/>
          <w:rtl/>
        </w:rPr>
        <w:t>:</w:t>
      </w:r>
      <w:r w:rsidRPr="004254E2">
        <w:rPr>
          <w:rtl/>
        </w:rPr>
        <w:t xml:space="preserve"> </w:t>
      </w:r>
      <w:r w:rsidRPr="00316D7B">
        <w:rPr>
          <w:b/>
          <w:bCs/>
          <w:rtl/>
        </w:rPr>
        <w:t xml:space="preserve">פילוח הכנסות </w:t>
      </w:r>
      <w:r w:rsidRPr="00316D7B">
        <w:rPr>
          <w:rFonts w:hint="eastAsia"/>
          <w:b/>
          <w:bCs/>
          <w:rtl/>
        </w:rPr>
        <w:t>המדינה</w:t>
      </w:r>
      <w:r w:rsidRPr="00316D7B">
        <w:rPr>
          <w:b/>
          <w:bCs/>
          <w:rtl/>
        </w:rPr>
        <w:t xml:space="preserve"> </w:t>
      </w:r>
      <w:r w:rsidRPr="00316D7B">
        <w:rPr>
          <w:rFonts w:hint="eastAsia"/>
          <w:b/>
          <w:bCs/>
          <w:rtl/>
        </w:rPr>
        <w:t>בשנים</w:t>
      </w:r>
      <w:r w:rsidRPr="00316D7B">
        <w:rPr>
          <w:b/>
          <w:bCs/>
          <w:rtl/>
        </w:rPr>
        <w:t xml:space="preserve"> 2014 </w:t>
      </w:r>
      <w:r w:rsidRPr="00316D7B">
        <w:rPr>
          <w:rFonts w:hint="cs"/>
          <w:b/>
          <w:bCs/>
          <w:rtl/>
        </w:rPr>
        <w:t>-</w:t>
      </w:r>
      <w:r w:rsidRPr="00316D7B">
        <w:rPr>
          <w:b/>
          <w:bCs/>
          <w:rtl/>
        </w:rPr>
        <w:t xml:space="preserve"> 2018 (במיליארד ש"ח)</w:t>
      </w:r>
    </w:p>
    <w:p w14:paraId="617272BC" w14:textId="77777777" w:rsidR="00867DA1" w:rsidRDefault="00867DA1" w:rsidP="00867DA1">
      <w:pPr>
        <w:spacing w:line="269" w:lineRule="auto"/>
        <w:rPr>
          <w:sz w:val="18"/>
          <w:szCs w:val="22"/>
          <w:rtl/>
        </w:rPr>
      </w:pPr>
      <w:r>
        <w:rPr>
          <w:noProof/>
          <w:sz w:val="18"/>
          <w:szCs w:val="22"/>
          <w:rtl/>
        </w:rPr>
        <w:drawing>
          <wp:inline distT="0" distB="0" distL="0" distR="0" wp14:anchorId="0B08D990" wp14:editId="6D8F32BD">
            <wp:extent cx="5219700" cy="3044825"/>
            <wp:effectExtent l="0" t="0" r="0" b="3175"/>
            <wp:docPr id="25"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A878D3" w14:textId="77777777" w:rsidR="00867DA1" w:rsidRPr="004254E2" w:rsidRDefault="00867DA1" w:rsidP="00316D7B">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ה</w:t>
      </w:r>
      <w:r w:rsidRPr="004254E2">
        <w:rPr>
          <w:rFonts w:hint="eastAsia"/>
          <w:rtl/>
        </w:rPr>
        <w:t>דוחות</w:t>
      </w:r>
      <w:r w:rsidRPr="004254E2">
        <w:rPr>
          <w:rtl/>
        </w:rPr>
        <w:t xml:space="preserve"> </w:t>
      </w:r>
      <w:r w:rsidRPr="004254E2">
        <w:rPr>
          <w:rFonts w:hint="eastAsia"/>
          <w:rtl/>
        </w:rPr>
        <w:t>הכספיים</w:t>
      </w:r>
      <w:r w:rsidRPr="004254E2">
        <w:rPr>
          <w:rtl/>
        </w:rPr>
        <w:t xml:space="preserve"> </w:t>
      </w:r>
      <w:r w:rsidRPr="004254E2">
        <w:rPr>
          <w:rFonts w:hint="eastAsia"/>
          <w:rtl/>
        </w:rPr>
        <w:t>לשנים</w:t>
      </w:r>
      <w:r w:rsidRPr="004254E2">
        <w:rPr>
          <w:rtl/>
        </w:rPr>
        <w:t xml:space="preserve"> 2014 - 2018,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p>
    <w:p w14:paraId="20303163" w14:textId="3D029C51" w:rsidR="00867DA1" w:rsidRDefault="00867DA1" w:rsidP="00316D7B">
      <w:pPr>
        <w:pStyle w:val="100"/>
        <w:rPr>
          <w:rtl/>
        </w:rPr>
      </w:pPr>
    </w:p>
    <w:p w14:paraId="73E36AD1" w14:textId="77777777" w:rsidR="00867DA1" w:rsidRDefault="00867DA1" w:rsidP="00316D7B">
      <w:pPr>
        <w:pStyle w:val="100"/>
        <w:rPr>
          <w:rtl/>
        </w:rPr>
      </w:pPr>
      <w:r>
        <w:rPr>
          <w:rFonts w:hint="cs"/>
          <w:rtl/>
        </w:rPr>
        <w:t xml:space="preserve">מהתרשים עולה כי בשנת 2018 היו הכנסות המדינה ממיסים ומאגרות, על פי נתוני הדוחות הכספיים, כ-379 מיליארד ש"ח - קיטון של כ-5 מיליארד ש"ח משנת 2017. יצוין כי שנת 2017 היא שנת שיא מבחינת היקף ההכנסות החד-פעמיות </w:t>
      </w:r>
      <w:r>
        <w:rPr>
          <w:rFonts w:ascii="David" w:hAnsi="David" w:hint="cs"/>
          <w:rtl/>
        </w:rPr>
        <w:t>-</w:t>
      </w:r>
      <w:r>
        <w:rPr>
          <w:rFonts w:hint="cs"/>
          <w:rtl/>
        </w:rPr>
        <w:t xml:space="preserve"> המקור לרוב המוחלט של העודף שנרשם בהכנסות המדינה ממיסים. הממונה על הכנסות המדינה ציין בדוח בנושא תחזית ההתפתחויות המקרו-כלכליות והכנסות המדינה ממיסים: "הכנסות בעלת אופי חד פעמי בהיקף כזה הינן חריגות בכל קנה מידה ואינן צפויות לחזור על עצמן בשנים הבאות"</w:t>
      </w:r>
      <w:r>
        <w:rPr>
          <w:rStyle w:val="FootnoteReference"/>
          <w:rtl/>
        </w:rPr>
        <w:footnoteReference w:id="61"/>
      </w:r>
      <w:r>
        <w:rPr>
          <w:rFonts w:hint="cs"/>
          <w:rtl/>
        </w:rPr>
        <w:t xml:space="preserve">. </w:t>
      </w:r>
    </w:p>
    <w:p w14:paraId="7685DB8B" w14:textId="77777777" w:rsidR="00867DA1" w:rsidRDefault="00867DA1" w:rsidP="00867DA1">
      <w:pPr>
        <w:spacing w:line="269" w:lineRule="auto"/>
        <w:rPr>
          <w:rtl/>
        </w:rPr>
      </w:pPr>
    </w:p>
    <w:p w14:paraId="08445B03" w14:textId="77777777" w:rsidR="00867DA1" w:rsidRDefault="00867DA1" w:rsidP="00867DA1">
      <w:pPr>
        <w:bidi w:val="0"/>
        <w:spacing w:after="200" w:line="276" w:lineRule="auto"/>
        <w:rPr>
          <w:rFonts w:eastAsiaTheme="majorEastAsia"/>
          <w:bCs/>
          <w:szCs w:val="26"/>
          <w:rtl/>
        </w:rPr>
      </w:pPr>
      <w:r>
        <w:rPr>
          <w:rtl/>
        </w:rPr>
        <w:br w:type="page"/>
      </w:r>
    </w:p>
    <w:p w14:paraId="41642AC7" w14:textId="77777777" w:rsidR="00867DA1" w:rsidRDefault="00867DA1" w:rsidP="00316D7B">
      <w:pPr>
        <w:pStyle w:val="414"/>
        <w:rPr>
          <w:rtl/>
        </w:rPr>
      </w:pPr>
      <w:r>
        <w:rPr>
          <w:rFonts w:hint="cs"/>
          <w:rtl/>
        </w:rPr>
        <w:lastRenderedPageBreak/>
        <w:t>פילוח מצבת הנכסים של מדינת</w:t>
      </w:r>
      <w:r w:rsidRPr="00B4426E">
        <w:rPr>
          <w:rFonts w:hint="cs"/>
          <w:rtl/>
        </w:rPr>
        <w:t xml:space="preserve"> ישראל </w:t>
      </w:r>
      <w:r>
        <w:rPr>
          <w:rFonts w:hint="cs"/>
          <w:rtl/>
        </w:rPr>
        <w:t>ב</w:t>
      </w:r>
      <w:r w:rsidRPr="00B4426E">
        <w:rPr>
          <w:rFonts w:hint="cs"/>
          <w:rtl/>
        </w:rPr>
        <w:t>שנים 201</w:t>
      </w:r>
      <w:r>
        <w:rPr>
          <w:rFonts w:hint="cs"/>
          <w:rtl/>
        </w:rPr>
        <w:t xml:space="preserve">5 </w:t>
      </w:r>
      <w:r w:rsidRPr="00B4426E">
        <w:rPr>
          <w:rFonts w:hint="cs"/>
          <w:rtl/>
        </w:rPr>
        <w:t>-</w:t>
      </w:r>
      <w:r>
        <w:rPr>
          <w:rFonts w:hint="cs"/>
          <w:rtl/>
        </w:rPr>
        <w:t xml:space="preserve"> </w:t>
      </w:r>
      <w:r w:rsidRPr="00B4426E">
        <w:rPr>
          <w:rFonts w:hint="cs"/>
          <w:rtl/>
        </w:rPr>
        <w:t>2018</w:t>
      </w:r>
    </w:p>
    <w:p w14:paraId="6DA21877" w14:textId="77777777" w:rsidR="00867DA1" w:rsidRPr="00316D7B" w:rsidRDefault="00867DA1" w:rsidP="00316D7B">
      <w:pPr>
        <w:pStyle w:val="aa"/>
        <w:rPr>
          <w:b/>
          <w:bCs/>
          <w:rtl/>
        </w:rPr>
      </w:pPr>
      <w:r w:rsidRPr="004254E2">
        <w:rPr>
          <w:rFonts w:hint="eastAsia"/>
          <w:rtl/>
        </w:rPr>
        <w:t>תרשים</w:t>
      </w:r>
      <w:r w:rsidRPr="004254E2">
        <w:rPr>
          <w:rtl/>
        </w:rPr>
        <w:t xml:space="preserve"> 10: </w:t>
      </w:r>
      <w:r w:rsidRPr="00316D7B">
        <w:rPr>
          <w:b/>
          <w:bCs/>
          <w:rtl/>
        </w:rPr>
        <w:t xml:space="preserve">פילוח נכסי המדינה </w:t>
      </w:r>
      <w:r w:rsidRPr="00316D7B">
        <w:rPr>
          <w:rFonts w:hint="eastAsia"/>
          <w:b/>
          <w:bCs/>
          <w:rtl/>
        </w:rPr>
        <w:t>בשנים</w:t>
      </w:r>
      <w:r w:rsidRPr="00316D7B">
        <w:rPr>
          <w:b/>
          <w:bCs/>
          <w:rtl/>
        </w:rPr>
        <w:t xml:space="preserve"> 2015 - 2018 (במיליארד </w:t>
      </w:r>
      <w:r w:rsidRPr="00316D7B">
        <w:rPr>
          <w:rFonts w:hint="eastAsia"/>
          <w:b/>
          <w:bCs/>
          <w:rtl/>
        </w:rPr>
        <w:t>ש</w:t>
      </w:r>
      <w:r w:rsidRPr="00316D7B">
        <w:rPr>
          <w:b/>
          <w:bCs/>
          <w:rtl/>
        </w:rPr>
        <w:t>"ח)</w:t>
      </w:r>
    </w:p>
    <w:p w14:paraId="7E91723B" w14:textId="77777777" w:rsidR="00867DA1" w:rsidRDefault="00867DA1" w:rsidP="00867DA1">
      <w:pPr>
        <w:spacing w:line="269" w:lineRule="auto"/>
        <w:rPr>
          <w:sz w:val="18"/>
          <w:szCs w:val="22"/>
        </w:rPr>
      </w:pPr>
      <w:r>
        <w:rPr>
          <w:rFonts w:hint="cs"/>
          <w:noProof/>
          <w:sz w:val="18"/>
          <w:szCs w:val="22"/>
        </w:rPr>
        <w:drawing>
          <wp:inline distT="0" distB="0" distL="0" distR="0" wp14:anchorId="299A7D2A" wp14:editId="26C07B84">
            <wp:extent cx="5219700" cy="3044825"/>
            <wp:effectExtent l="0" t="0" r="0" b="3175"/>
            <wp:docPr id="31"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D83BF1" w14:textId="77777777" w:rsidR="00867DA1" w:rsidRDefault="00867DA1" w:rsidP="00316D7B">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ה</w:t>
      </w:r>
      <w:r w:rsidRPr="004254E2">
        <w:rPr>
          <w:rFonts w:hint="eastAsia"/>
          <w:rtl/>
        </w:rPr>
        <w:t>דוחות</w:t>
      </w:r>
      <w:r w:rsidRPr="004254E2">
        <w:rPr>
          <w:rtl/>
        </w:rPr>
        <w:t xml:space="preserve"> </w:t>
      </w:r>
      <w:r w:rsidRPr="004254E2">
        <w:rPr>
          <w:rFonts w:hint="eastAsia"/>
          <w:rtl/>
        </w:rPr>
        <w:t>הכספיים</w:t>
      </w:r>
      <w:r w:rsidRPr="004254E2">
        <w:rPr>
          <w:rtl/>
        </w:rPr>
        <w:t xml:space="preserve"> </w:t>
      </w:r>
      <w:r w:rsidRPr="004254E2">
        <w:rPr>
          <w:rFonts w:hint="eastAsia"/>
          <w:rtl/>
        </w:rPr>
        <w:t>לשנים</w:t>
      </w:r>
      <w:r w:rsidRPr="004254E2">
        <w:rPr>
          <w:rtl/>
        </w:rPr>
        <w:t xml:space="preserve"> 2014 - 2018,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p>
    <w:p w14:paraId="1ECDDD09" w14:textId="5E9002CA" w:rsidR="00867DA1" w:rsidRDefault="00867DA1" w:rsidP="00316D7B">
      <w:pPr>
        <w:pStyle w:val="100"/>
        <w:rPr>
          <w:rtl/>
        </w:rPr>
      </w:pPr>
    </w:p>
    <w:p w14:paraId="5AA5766A" w14:textId="77777777" w:rsidR="00867DA1" w:rsidRDefault="00867DA1" w:rsidP="00316D7B">
      <w:pPr>
        <w:pStyle w:val="100"/>
        <w:rPr>
          <w:sz w:val="24"/>
          <w:rtl/>
        </w:rPr>
      </w:pPr>
      <w:r>
        <w:rPr>
          <w:rFonts w:hint="cs"/>
          <w:sz w:val="24"/>
          <w:rtl/>
        </w:rPr>
        <w:t>מהתרשים עולה כי ב-31.12.18 היה סך הנכסים כ-598 מיליארד ש"ח, ואילו ב-31.12.17 הוא היה כ-588 מיליארד ש"ח (גידול של כ-1.6%). כאמור, ה</w:t>
      </w:r>
      <w:r w:rsidRPr="0068408A">
        <w:rPr>
          <w:rFonts w:hint="cs"/>
          <w:sz w:val="24"/>
          <w:rtl/>
        </w:rPr>
        <w:t>תרשים אינ</w:t>
      </w:r>
      <w:r>
        <w:rPr>
          <w:rFonts w:hint="cs"/>
          <w:sz w:val="24"/>
          <w:rtl/>
        </w:rPr>
        <w:t>ו</w:t>
      </w:r>
      <w:r w:rsidRPr="0068408A">
        <w:rPr>
          <w:rFonts w:hint="cs"/>
          <w:sz w:val="24"/>
          <w:rtl/>
        </w:rPr>
        <w:t xml:space="preserve"> כולל נכסים </w:t>
      </w:r>
      <w:r>
        <w:rPr>
          <w:rFonts w:hint="cs"/>
          <w:sz w:val="24"/>
          <w:rtl/>
        </w:rPr>
        <w:t>רבים ומהותיים,</w:t>
      </w:r>
      <w:r w:rsidRPr="0068408A">
        <w:rPr>
          <w:rFonts w:hint="cs"/>
          <w:sz w:val="24"/>
          <w:rtl/>
        </w:rPr>
        <w:t xml:space="preserve"> </w:t>
      </w:r>
      <w:r>
        <w:rPr>
          <w:rFonts w:hint="cs"/>
          <w:sz w:val="24"/>
          <w:rtl/>
        </w:rPr>
        <w:t xml:space="preserve">ובעיקר את </w:t>
      </w:r>
      <w:r w:rsidRPr="0068408A">
        <w:rPr>
          <w:rFonts w:hint="cs"/>
          <w:sz w:val="24"/>
          <w:rtl/>
        </w:rPr>
        <w:t>קרקעות המדינה (</w:t>
      </w:r>
      <w:r>
        <w:rPr>
          <w:rFonts w:hint="cs"/>
          <w:sz w:val="24"/>
          <w:rtl/>
        </w:rPr>
        <w:t xml:space="preserve">נכסים שערכם המוערך </w:t>
      </w:r>
      <w:r w:rsidRPr="0068408A">
        <w:rPr>
          <w:rFonts w:hint="cs"/>
          <w:sz w:val="24"/>
          <w:rtl/>
        </w:rPr>
        <w:t xml:space="preserve">ליום 31.12.18 </w:t>
      </w:r>
      <w:r>
        <w:rPr>
          <w:rFonts w:hint="cs"/>
          <w:sz w:val="24"/>
          <w:rtl/>
        </w:rPr>
        <w:t>היה</w:t>
      </w:r>
      <w:r w:rsidRPr="0068408A">
        <w:rPr>
          <w:rFonts w:hint="cs"/>
          <w:sz w:val="24"/>
          <w:rtl/>
        </w:rPr>
        <w:t xml:space="preserve"> כ-523 </w:t>
      </w:r>
      <w:r>
        <w:rPr>
          <w:rFonts w:hint="cs"/>
          <w:sz w:val="24"/>
          <w:rtl/>
        </w:rPr>
        <w:t>מיליארד</w:t>
      </w:r>
      <w:r w:rsidRPr="0068408A">
        <w:rPr>
          <w:rFonts w:hint="cs"/>
          <w:sz w:val="24"/>
          <w:rtl/>
        </w:rPr>
        <w:t xml:space="preserve"> ש</w:t>
      </w:r>
      <w:r>
        <w:rPr>
          <w:rFonts w:hint="cs"/>
          <w:sz w:val="24"/>
          <w:rtl/>
        </w:rPr>
        <w:t>"ח</w:t>
      </w:r>
      <w:r w:rsidRPr="0068408A">
        <w:rPr>
          <w:rFonts w:hint="cs"/>
          <w:sz w:val="24"/>
          <w:rtl/>
        </w:rPr>
        <w:t>) וערך זיכיונות ממשאבי טבע (</w:t>
      </w:r>
      <w:r>
        <w:rPr>
          <w:rFonts w:hint="cs"/>
          <w:sz w:val="24"/>
          <w:rtl/>
        </w:rPr>
        <w:t xml:space="preserve">שערכם המוערך </w:t>
      </w:r>
      <w:r w:rsidRPr="0068408A">
        <w:rPr>
          <w:rFonts w:hint="cs"/>
          <w:sz w:val="24"/>
          <w:rtl/>
        </w:rPr>
        <w:t xml:space="preserve">ליום 31.12.18 </w:t>
      </w:r>
      <w:r>
        <w:rPr>
          <w:rFonts w:hint="cs"/>
          <w:sz w:val="24"/>
          <w:rtl/>
        </w:rPr>
        <w:t>היה</w:t>
      </w:r>
      <w:r w:rsidRPr="0068408A">
        <w:rPr>
          <w:rFonts w:hint="cs"/>
          <w:sz w:val="24"/>
          <w:rtl/>
        </w:rPr>
        <w:t xml:space="preserve"> כ-28 </w:t>
      </w:r>
      <w:r>
        <w:rPr>
          <w:rFonts w:hint="cs"/>
          <w:sz w:val="24"/>
          <w:rtl/>
        </w:rPr>
        <w:t xml:space="preserve">מיליארד </w:t>
      </w:r>
      <w:r w:rsidRPr="0068408A">
        <w:rPr>
          <w:rFonts w:hint="cs"/>
          <w:sz w:val="24"/>
          <w:rtl/>
        </w:rPr>
        <w:t>ש"ח)</w:t>
      </w:r>
      <w:r>
        <w:rPr>
          <w:rStyle w:val="FootnoteReference"/>
          <w:sz w:val="24"/>
          <w:rtl/>
        </w:rPr>
        <w:footnoteReference w:id="62"/>
      </w:r>
      <w:r w:rsidRPr="0068408A">
        <w:rPr>
          <w:rFonts w:hint="cs"/>
          <w:sz w:val="24"/>
          <w:rtl/>
        </w:rPr>
        <w:t>.</w:t>
      </w:r>
      <w:r>
        <w:rPr>
          <w:rFonts w:hint="cs"/>
          <w:sz w:val="24"/>
          <w:rtl/>
        </w:rPr>
        <w:t xml:space="preserve"> </w:t>
      </w:r>
    </w:p>
    <w:p w14:paraId="18BC99AD" w14:textId="77777777" w:rsidR="00867DA1" w:rsidRDefault="00867DA1" w:rsidP="00867DA1">
      <w:pPr>
        <w:spacing w:line="269" w:lineRule="auto"/>
        <w:rPr>
          <w:sz w:val="24"/>
          <w:rtl/>
        </w:rPr>
      </w:pPr>
    </w:p>
    <w:p w14:paraId="16603B2C" w14:textId="77777777" w:rsidR="00867DA1" w:rsidRDefault="00867DA1" w:rsidP="00867DA1">
      <w:pPr>
        <w:spacing w:line="269" w:lineRule="auto"/>
        <w:rPr>
          <w:sz w:val="24"/>
          <w:rtl/>
        </w:rPr>
      </w:pPr>
    </w:p>
    <w:p w14:paraId="04CAB8BE" w14:textId="77777777" w:rsidR="00867DA1" w:rsidRDefault="00867DA1" w:rsidP="00867DA1">
      <w:pPr>
        <w:bidi w:val="0"/>
        <w:spacing w:after="200" w:line="276" w:lineRule="auto"/>
        <w:rPr>
          <w:rFonts w:eastAsiaTheme="majorEastAsia"/>
          <w:bCs/>
          <w:szCs w:val="26"/>
          <w:rtl/>
        </w:rPr>
      </w:pPr>
      <w:r>
        <w:rPr>
          <w:rtl/>
        </w:rPr>
        <w:br w:type="page"/>
      </w:r>
    </w:p>
    <w:p w14:paraId="701DF583" w14:textId="77777777" w:rsidR="00867DA1" w:rsidRDefault="00867DA1" w:rsidP="00316D7B">
      <w:pPr>
        <w:pStyle w:val="414"/>
        <w:rPr>
          <w:rtl/>
        </w:rPr>
      </w:pPr>
      <w:r>
        <w:rPr>
          <w:rFonts w:hint="cs"/>
          <w:rtl/>
        </w:rPr>
        <w:lastRenderedPageBreak/>
        <w:t>פילוח מצבת ההתחייבויות של מדינת</w:t>
      </w:r>
      <w:r w:rsidRPr="00B4426E">
        <w:rPr>
          <w:rFonts w:hint="cs"/>
          <w:rtl/>
        </w:rPr>
        <w:t xml:space="preserve"> ישראל בשנים 2014</w:t>
      </w:r>
      <w:r>
        <w:rPr>
          <w:rFonts w:hint="cs"/>
          <w:rtl/>
        </w:rPr>
        <w:t xml:space="preserve"> </w:t>
      </w:r>
      <w:r w:rsidRPr="00B4426E">
        <w:rPr>
          <w:rFonts w:hint="cs"/>
          <w:rtl/>
        </w:rPr>
        <w:t>-</w:t>
      </w:r>
      <w:r>
        <w:rPr>
          <w:rFonts w:hint="cs"/>
          <w:rtl/>
        </w:rPr>
        <w:t xml:space="preserve"> </w:t>
      </w:r>
      <w:r w:rsidRPr="00B4426E">
        <w:rPr>
          <w:rFonts w:hint="cs"/>
          <w:rtl/>
        </w:rPr>
        <w:t>2018</w:t>
      </w:r>
    </w:p>
    <w:p w14:paraId="3B35DB64" w14:textId="77777777" w:rsidR="00867DA1" w:rsidRPr="004254E2" w:rsidRDefault="00867DA1" w:rsidP="00316D7B">
      <w:pPr>
        <w:pStyle w:val="aa"/>
        <w:rPr>
          <w:rtl/>
        </w:rPr>
      </w:pPr>
      <w:r w:rsidRPr="004254E2">
        <w:rPr>
          <w:rFonts w:hint="eastAsia"/>
          <w:rtl/>
        </w:rPr>
        <w:t>תרשים</w:t>
      </w:r>
      <w:r w:rsidRPr="004254E2">
        <w:rPr>
          <w:rtl/>
        </w:rPr>
        <w:t xml:space="preserve"> 11</w:t>
      </w:r>
      <w:r>
        <w:rPr>
          <w:rFonts w:hint="cs"/>
          <w:rtl/>
        </w:rPr>
        <w:t>:</w:t>
      </w:r>
      <w:r w:rsidRPr="004254E2">
        <w:rPr>
          <w:rtl/>
        </w:rPr>
        <w:t xml:space="preserve"> </w:t>
      </w:r>
      <w:r w:rsidRPr="00316D7B">
        <w:rPr>
          <w:b/>
          <w:bCs/>
          <w:rtl/>
        </w:rPr>
        <w:t>פילוח התחייבויות המדינה ב</w:t>
      </w:r>
      <w:r w:rsidRPr="00316D7B">
        <w:rPr>
          <w:rFonts w:hint="eastAsia"/>
          <w:b/>
          <w:bCs/>
          <w:rtl/>
        </w:rPr>
        <w:t>שנים</w:t>
      </w:r>
      <w:r w:rsidRPr="00316D7B">
        <w:rPr>
          <w:b/>
          <w:bCs/>
          <w:rtl/>
        </w:rPr>
        <w:t xml:space="preserve"> 2014 </w:t>
      </w:r>
      <w:r w:rsidRPr="00316D7B">
        <w:rPr>
          <w:rFonts w:hint="cs"/>
          <w:b/>
          <w:bCs/>
          <w:rtl/>
        </w:rPr>
        <w:t>-</w:t>
      </w:r>
      <w:r w:rsidRPr="00316D7B">
        <w:rPr>
          <w:b/>
          <w:bCs/>
          <w:rtl/>
        </w:rPr>
        <w:t xml:space="preserve"> 2018 (במיליארד ש"ח)</w:t>
      </w:r>
    </w:p>
    <w:p w14:paraId="1C2E694A" w14:textId="77777777" w:rsidR="00867DA1" w:rsidRPr="00D83E10" w:rsidRDefault="00867DA1" w:rsidP="00867DA1">
      <w:pPr>
        <w:pStyle w:val="Heading7"/>
        <w:spacing w:line="269" w:lineRule="auto"/>
        <w:rPr>
          <w:b/>
          <w:u w:val="single"/>
          <w:rtl/>
        </w:rPr>
      </w:pPr>
      <w:r>
        <w:rPr>
          <w:noProof/>
          <w:rtl/>
        </w:rPr>
        <w:drawing>
          <wp:inline distT="0" distB="0" distL="0" distR="0" wp14:anchorId="414F46D4" wp14:editId="195CFE9F">
            <wp:extent cx="5219700" cy="3044825"/>
            <wp:effectExtent l="0" t="0" r="0" b="3175"/>
            <wp:docPr id="34" name="תרשים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8A0D2E" w14:textId="77777777" w:rsidR="00867DA1" w:rsidRPr="004254E2" w:rsidRDefault="00867DA1" w:rsidP="00316D7B">
      <w:pPr>
        <w:pStyle w:val="ac"/>
        <w:rPr>
          <w:rtl/>
        </w:rPr>
      </w:pPr>
      <w:r>
        <w:rPr>
          <w:rFonts w:hint="cs"/>
          <w:rtl/>
        </w:rPr>
        <w:t>על פי נתוני</w:t>
      </w:r>
      <w:r w:rsidRPr="004254E2">
        <w:rPr>
          <w:rtl/>
        </w:rPr>
        <w:t xml:space="preserve"> ה</w:t>
      </w:r>
      <w:r w:rsidRPr="004254E2">
        <w:rPr>
          <w:rFonts w:hint="eastAsia"/>
          <w:rtl/>
        </w:rPr>
        <w:t>דוחות</w:t>
      </w:r>
      <w:r w:rsidRPr="004254E2">
        <w:rPr>
          <w:rtl/>
        </w:rPr>
        <w:t xml:space="preserve"> </w:t>
      </w:r>
      <w:r w:rsidRPr="004254E2">
        <w:rPr>
          <w:rFonts w:hint="eastAsia"/>
          <w:rtl/>
        </w:rPr>
        <w:t>הכספיים</w:t>
      </w:r>
      <w:r w:rsidRPr="004254E2">
        <w:rPr>
          <w:rtl/>
        </w:rPr>
        <w:t xml:space="preserve"> </w:t>
      </w:r>
      <w:r w:rsidRPr="004254E2">
        <w:rPr>
          <w:rFonts w:hint="eastAsia"/>
          <w:rtl/>
        </w:rPr>
        <w:t>לשנים</w:t>
      </w:r>
      <w:r w:rsidRPr="004254E2">
        <w:rPr>
          <w:rtl/>
        </w:rPr>
        <w:t xml:space="preserve"> 2014 - 2018</w:t>
      </w:r>
      <w:r>
        <w:rPr>
          <w:rFonts w:hint="cs"/>
          <w:rtl/>
        </w:rPr>
        <w:t>,</w:t>
      </w:r>
      <w:r w:rsidRPr="004254E2">
        <w:rPr>
          <w:rtl/>
        </w:rPr>
        <w:t xml:space="preserve">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p>
    <w:p w14:paraId="3A287A9F" w14:textId="73463EF0" w:rsidR="00867DA1" w:rsidRPr="00221FC2" w:rsidRDefault="00867DA1" w:rsidP="00867DA1">
      <w:pPr>
        <w:spacing w:line="269" w:lineRule="auto"/>
        <w:rPr>
          <w:rtl/>
        </w:rPr>
      </w:pPr>
    </w:p>
    <w:p w14:paraId="3DF50898" w14:textId="77777777" w:rsidR="00867DA1" w:rsidRDefault="00867DA1" w:rsidP="00316D7B">
      <w:pPr>
        <w:pStyle w:val="100"/>
        <w:rPr>
          <w:rtl/>
        </w:rPr>
      </w:pPr>
      <w:r>
        <w:rPr>
          <w:rFonts w:hint="cs"/>
          <w:rtl/>
        </w:rPr>
        <w:t>מהתרשים עולה כי סך ההתחייבויות ליום 31.12.18 היה כ-2,559 מיליארד ש"ח, ואילו סך ההתחייבויות ליום 31.12.17 היה כ-2,526 מיליארד ש"ח (גידול של כ-1.3%)</w:t>
      </w:r>
      <w:r>
        <w:rPr>
          <w:rStyle w:val="FootnoteReference"/>
          <w:sz w:val="24"/>
          <w:rtl/>
        </w:rPr>
        <w:footnoteReference w:id="63"/>
      </w:r>
      <w:r>
        <w:rPr>
          <w:rFonts w:hint="cs"/>
          <w:rtl/>
        </w:rPr>
        <w:t xml:space="preserve">. </w:t>
      </w:r>
    </w:p>
    <w:p w14:paraId="42CD91AB" w14:textId="77777777" w:rsidR="00867DA1" w:rsidRDefault="00867DA1" w:rsidP="00D06D75">
      <w:pPr>
        <w:pStyle w:val="414"/>
        <w:rPr>
          <w:rtl/>
        </w:rPr>
      </w:pPr>
      <w:r w:rsidRPr="00AE20E4">
        <w:rPr>
          <w:rFonts w:hint="cs"/>
          <w:rtl/>
        </w:rPr>
        <w:t>השוואה בין הגירעון התקציבי (תקבולים לעומת תשלומים) לגירעון החשבונאי (הכנסות</w:t>
      </w:r>
      <w:r>
        <w:rPr>
          <w:rFonts w:hint="cs"/>
          <w:rtl/>
        </w:rPr>
        <w:t xml:space="preserve"> לעומת הוצאות) בשנים 2013 - 2018</w:t>
      </w:r>
    </w:p>
    <w:p w14:paraId="13D7C594" w14:textId="77777777" w:rsidR="00867DA1" w:rsidRDefault="00867DA1" w:rsidP="00316D7B">
      <w:pPr>
        <w:pStyle w:val="100"/>
        <w:rPr>
          <w:rtl/>
        </w:rPr>
      </w:pPr>
      <w:r>
        <w:rPr>
          <w:rFonts w:hint="cs"/>
          <w:rtl/>
        </w:rPr>
        <w:t>הגירעון החשבונאי המצטבר של הממשלה, כפי שהוא מצוין בדוחות המאוחדים על המצב הכספי, משקף את ההפרש שבין סך ההתחייבויות של המדינה ובין סך הנכסים שהיא החזיקה בהם במועד הכנת הדוח. כאמור, הגירעון החשבונאי המצטבר אינו משקף את הגירעון החשבונאי האמיתי, שכן בדוחות הכספיים חסרים רבים מהנכסים ומההתחייבויות. להבדיל, הגירעון התקציבי השנתי של הממשלה משקף את הפער שבין סך ההוצאות השנתיות של הממשלה לסך הכנסותיה.</w:t>
      </w:r>
    </w:p>
    <w:p w14:paraId="57C3753D" w14:textId="77777777" w:rsidR="00867DA1" w:rsidRDefault="00867DA1" w:rsidP="00867DA1">
      <w:pPr>
        <w:spacing w:line="269" w:lineRule="auto"/>
        <w:ind w:left="312"/>
        <w:rPr>
          <w:rtl/>
        </w:rPr>
      </w:pPr>
    </w:p>
    <w:p w14:paraId="00758107" w14:textId="77777777" w:rsidR="00867DA1" w:rsidRDefault="00867DA1" w:rsidP="00867DA1">
      <w:pPr>
        <w:bidi w:val="0"/>
        <w:spacing w:after="200" w:line="276" w:lineRule="auto"/>
        <w:rPr>
          <w:b/>
          <w:bCs/>
          <w:rtl/>
        </w:rPr>
      </w:pPr>
      <w:r>
        <w:rPr>
          <w:rtl/>
        </w:rPr>
        <w:br w:type="page"/>
      </w:r>
    </w:p>
    <w:p w14:paraId="36E3912E" w14:textId="77777777" w:rsidR="00867DA1" w:rsidRPr="00316D7B" w:rsidRDefault="00867DA1" w:rsidP="00316D7B">
      <w:pPr>
        <w:pStyle w:val="aa"/>
        <w:rPr>
          <w:b/>
          <w:bCs/>
          <w:rtl/>
        </w:rPr>
      </w:pPr>
      <w:r w:rsidRPr="004254E2">
        <w:rPr>
          <w:rFonts w:hint="eastAsia"/>
          <w:rtl/>
        </w:rPr>
        <w:lastRenderedPageBreak/>
        <w:t>תרשים</w:t>
      </w:r>
      <w:r w:rsidRPr="004254E2">
        <w:rPr>
          <w:rtl/>
        </w:rPr>
        <w:t xml:space="preserve"> 12</w:t>
      </w:r>
      <w:r>
        <w:rPr>
          <w:rFonts w:hint="cs"/>
          <w:rtl/>
        </w:rPr>
        <w:t>:</w:t>
      </w:r>
      <w:r w:rsidRPr="004254E2">
        <w:rPr>
          <w:rtl/>
        </w:rPr>
        <w:t xml:space="preserve"> </w:t>
      </w:r>
      <w:r w:rsidRPr="00316D7B">
        <w:rPr>
          <w:b/>
          <w:bCs/>
          <w:rtl/>
        </w:rPr>
        <w:t>השוואה בין הגירעון התקציבי ל</w:t>
      </w:r>
      <w:r w:rsidRPr="00316D7B">
        <w:rPr>
          <w:rFonts w:hint="eastAsia"/>
          <w:b/>
          <w:bCs/>
          <w:rtl/>
        </w:rPr>
        <w:t>גירעון</w:t>
      </w:r>
      <w:r w:rsidRPr="00316D7B">
        <w:rPr>
          <w:b/>
          <w:bCs/>
          <w:rtl/>
        </w:rPr>
        <w:t xml:space="preserve"> החשבונאי </w:t>
      </w:r>
      <w:r w:rsidRPr="00316D7B">
        <w:rPr>
          <w:rFonts w:hint="eastAsia"/>
          <w:b/>
          <w:bCs/>
          <w:rtl/>
        </w:rPr>
        <w:t>בשנים</w:t>
      </w:r>
      <w:r w:rsidRPr="00316D7B">
        <w:rPr>
          <w:b/>
          <w:bCs/>
          <w:rtl/>
        </w:rPr>
        <w:t xml:space="preserve"> 2013 </w:t>
      </w:r>
      <w:r w:rsidRPr="00316D7B">
        <w:rPr>
          <w:rFonts w:hint="cs"/>
          <w:b/>
          <w:bCs/>
          <w:rtl/>
        </w:rPr>
        <w:t>-</w:t>
      </w:r>
      <w:r w:rsidRPr="00316D7B">
        <w:rPr>
          <w:b/>
          <w:bCs/>
          <w:rtl/>
        </w:rPr>
        <w:t xml:space="preserve"> 2018 (במיליארד ש"ח)</w:t>
      </w:r>
    </w:p>
    <w:p w14:paraId="5B0880DF" w14:textId="77777777" w:rsidR="00867DA1" w:rsidRDefault="00867DA1" w:rsidP="00867DA1">
      <w:pPr>
        <w:spacing w:line="269" w:lineRule="auto"/>
        <w:rPr>
          <w:sz w:val="18"/>
          <w:szCs w:val="22"/>
          <w:rtl/>
        </w:rPr>
      </w:pPr>
      <w:r>
        <w:rPr>
          <w:noProof/>
          <w:sz w:val="18"/>
          <w:szCs w:val="22"/>
          <w:rtl/>
        </w:rPr>
        <w:drawing>
          <wp:inline distT="0" distB="0" distL="0" distR="0" wp14:anchorId="1FA0D7CE" wp14:editId="7883BC98">
            <wp:extent cx="5219700" cy="3044825"/>
            <wp:effectExtent l="0" t="0" r="0" b="3175"/>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44DFBF" w14:textId="77777777" w:rsidR="00867DA1" w:rsidRPr="004254E2" w:rsidRDefault="00867DA1" w:rsidP="00316D7B">
      <w:pPr>
        <w:pStyle w:val="ac"/>
        <w:rPr>
          <w:rtl/>
        </w:rPr>
      </w:pPr>
      <w:r>
        <w:rPr>
          <w:rFonts w:hint="cs"/>
          <w:rtl/>
        </w:rPr>
        <w:t>על פי נתוני</w:t>
      </w:r>
      <w:r w:rsidRPr="004254E2">
        <w:rPr>
          <w:rtl/>
        </w:rPr>
        <w:t xml:space="preserve"> </w:t>
      </w:r>
      <w:r w:rsidRPr="004254E2">
        <w:rPr>
          <w:rFonts w:hint="eastAsia"/>
          <w:rtl/>
        </w:rPr>
        <w:t>הדוחות</w:t>
      </w:r>
      <w:r w:rsidRPr="004254E2">
        <w:rPr>
          <w:rtl/>
        </w:rPr>
        <w:t xml:space="preserve"> </w:t>
      </w:r>
      <w:r w:rsidRPr="004254E2">
        <w:rPr>
          <w:rFonts w:hint="eastAsia"/>
          <w:rtl/>
        </w:rPr>
        <w:t>הכספיים</w:t>
      </w:r>
      <w:r w:rsidRPr="004254E2">
        <w:rPr>
          <w:rtl/>
        </w:rPr>
        <w:t xml:space="preserve"> </w:t>
      </w:r>
      <w:r w:rsidRPr="004254E2">
        <w:rPr>
          <w:rFonts w:hint="eastAsia"/>
          <w:rtl/>
        </w:rPr>
        <w:t>לשנת</w:t>
      </w:r>
      <w:r w:rsidRPr="004254E2">
        <w:rPr>
          <w:rtl/>
        </w:rPr>
        <w:t xml:space="preserve"> 2018</w:t>
      </w:r>
      <w:r>
        <w:rPr>
          <w:rFonts w:hint="cs"/>
          <w:rtl/>
        </w:rPr>
        <w:t>,</w:t>
      </w:r>
      <w:r w:rsidRPr="004254E2">
        <w:rPr>
          <w:rtl/>
        </w:rPr>
        <w:t xml:space="preserve">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Pr>
          <w:rFonts w:hint="cs"/>
          <w:rtl/>
        </w:rPr>
        <w:t>.</w:t>
      </w:r>
    </w:p>
    <w:p w14:paraId="2D5FDD76" w14:textId="77777777" w:rsidR="00316D7B" w:rsidRDefault="00316D7B" w:rsidP="00316D7B">
      <w:pPr>
        <w:pStyle w:val="100"/>
        <w:rPr>
          <w:sz w:val="24"/>
          <w:rtl/>
        </w:rPr>
      </w:pPr>
    </w:p>
    <w:p w14:paraId="5904BC85" w14:textId="385B9B41" w:rsidR="00867DA1" w:rsidRDefault="00867DA1" w:rsidP="00316D7B">
      <w:pPr>
        <w:pStyle w:val="100"/>
        <w:rPr>
          <w:sz w:val="24"/>
          <w:rtl/>
        </w:rPr>
      </w:pPr>
      <w:r w:rsidRPr="00AE20E4">
        <w:rPr>
          <w:rFonts w:hint="cs"/>
          <w:sz w:val="24"/>
          <w:rtl/>
        </w:rPr>
        <w:t xml:space="preserve">בשנת 2018 </w:t>
      </w:r>
      <w:r>
        <w:rPr>
          <w:rFonts w:hint="cs"/>
          <w:sz w:val="24"/>
          <w:rtl/>
        </w:rPr>
        <w:t>היה</w:t>
      </w:r>
      <w:r w:rsidRPr="00AE20E4">
        <w:rPr>
          <w:rFonts w:hint="cs"/>
          <w:sz w:val="24"/>
          <w:rtl/>
        </w:rPr>
        <w:t xml:space="preserve"> הגירעון החשבונאי כ-15.5 </w:t>
      </w:r>
      <w:r>
        <w:rPr>
          <w:rFonts w:hint="cs"/>
          <w:sz w:val="24"/>
          <w:rtl/>
        </w:rPr>
        <w:t>מיליארד</w:t>
      </w:r>
      <w:r w:rsidRPr="00AE20E4">
        <w:rPr>
          <w:rFonts w:hint="cs"/>
          <w:sz w:val="24"/>
          <w:rtl/>
        </w:rPr>
        <w:t xml:space="preserve"> ש"ח</w:t>
      </w:r>
      <w:r>
        <w:rPr>
          <w:rFonts w:hint="cs"/>
          <w:sz w:val="24"/>
          <w:rtl/>
        </w:rPr>
        <w:t>,</w:t>
      </w:r>
      <w:r w:rsidRPr="00AE20E4">
        <w:rPr>
          <w:rFonts w:hint="cs"/>
          <w:sz w:val="24"/>
          <w:rtl/>
        </w:rPr>
        <w:t xml:space="preserve"> </w:t>
      </w:r>
      <w:r>
        <w:rPr>
          <w:rFonts w:hint="cs"/>
          <w:sz w:val="24"/>
          <w:rtl/>
        </w:rPr>
        <w:t xml:space="preserve">קיטון של </w:t>
      </w:r>
      <w:r w:rsidRPr="00AE20E4">
        <w:rPr>
          <w:rFonts w:hint="cs"/>
          <w:sz w:val="24"/>
          <w:rtl/>
        </w:rPr>
        <w:t xml:space="preserve">כ-68 </w:t>
      </w:r>
      <w:r>
        <w:rPr>
          <w:rFonts w:hint="cs"/>
          <w:sz w:val="24"/>
          <w:rtl/>
        </w:rPr>
        <w:t>מיליארד</w:t>
      </w:r>
      <w:r w:rsidRPr="00AE20E4">
        <w:rPr>
          <w:rFonts w:hint="cs"/>
          <w:sz w:val="24"/>
          <w:rtl/>
        </w:rPr>
        <w:t xml:space="preserve"> ש"ח לעומת שנת 2017</w:t>
      </w:r>
      <w:r>
        <w:rPr>
          <w:rFonts w:hint="cs"/>
          <w:sz w:val="24"/>
          <w:rtl/>
        </w:rPr>
        <w:t>, ואילו הגירעון התקציבי היה בסוף 2018 כ-38.7 מיליארד ש"ח.</w:t>
      </w:r>
      <w:r w:rsidRPr="00AE20E4">
        <w:rPr>
          <w:rFonts w:hint="cs"/>
          <w:sz w:val="24"/>
          <w:rtl/>
        </w:rPr>
        <w:t xml:space="preserve"> </w:t>
      </w:r>
      <w:r>
        <w:rPr>
          <w:rFonts w:hint="cs"/>
          <w:sz w:val="24"/>
          <w:rtl/>
        </w:rPr>
        <w:t>השוני בין הגירעון החשבונאי לגי</w:t>
      </w:r>
      <w:r w:rsidRPr="00AE20E4">
        <w:rPr>
          <w:rFonts w:hint="cs"/>
          <w:sz w:val="24"/>
          <w:rtl/>
        </w:rPr>
        <w:t>רעון התקציבי נובע בעיקר משינויים בנכסים ו</w:t>
      </w:r>
      <w:r>
        <w:rPr>
          <w:rFonts w:hint="cs"/>
          <w:sz w:val="24"/>
          <w:rtl/>
        </w:rPr>
        <w:t>ב</w:t>
      </w:r>
      <w:r w:rsidRPr="00AE20E4">
        <w:rPr>
          <w:rFonts w:hint="cs"/>
          <w:sz w:val="24"/>
          <w:rtl/>
        </w:rPr>
        <w:t>התחייבויות שאינם מקבלים ביטוי בתקציב.</w:t>
      </w:r>
      <w:r>
        <w:rPr>
          <w:sz w:val="24"/>
          <w:rtl/>
        </w:rPr>
        <w:t xml:space="preserve"> </w:t>
      </w:r>
    </w:p>
    <w:p w14:paraId="7E766E70" w14:textId="77777777" w:rsidR="00867DA1" w:rsidRPr="00316D7B" w:rsidRDefault="00867DA1" w:rsidP="00316D7B">
      <w:pPr>
        <w:pStyle w:val="100"/>
        <w:rPr>
          <w:rtl/>
        </w:rPr>
      </w:pPr>
      <w:r w:rsidRPr="00316D7B">
        <w:rPr>
          <w:rFonts w:hint="cs"/>
          <w:rtl/>
        </w:rPr>
        <w:t>להלן ניתוח הרכיבים המרכזיים</w:t>
      </w:r>
      <w:r w:rsidRPr="002F5B56">
        <w:rPr>
          <w:rStyle w:val="FootnoteReference"/>
          <w:cs/>
        </w:rPr>
        <w:footnoteReference w:id="64"/>
      </w:r>
      <w:r w:rsidRPr="002F5B56">
        <w:rPr>
          <w:rFonts w:hint="cs"/>
          <w:vertAlign w:val="superscript"/>
          <w:rtl/>
        </w:rPr>
        <w:t xml:space="preserve"> </w:t>
      </w:r>
      <w:r w:rsidRPr="00316D7B">
        <w:rPr>
          <w:rFonts w:hint="cs"/>
          <w:rtl/>
        </w:rPr>
        <w:t>המהווים את הפער שבין הגירעון החשבונאי לגירעון התקציבי בשנת 2018:</w:t>
      </w:r>
    </w:p>
    <w:p w14:paraId="0A8A62FA" w14:textId="19BE8A6D" w:rsidR="00867DA1" w:rsidRPr="00CC2678" w:rsidRDefault="00867DA1" w:rsidP="00CC2678">
      <w:pPr>
        <w:pStyle w:val="aa"/>
        <w:rPr>
          <w:b/>
          <w:bCs/>
          <w:rtl/>
        </w:rPr>
      </w:pPr>
      <w:r w:rsidRPr="00CC2678">
        <w:rPr>
          <w:rFonts w:hint="cs"/>
          <w:rtl/>
        </w:rPr>
        <w:t>לוח</w:t>
      </w:r>
      <w:r w:rsidRPr="00CC2678">
        <w:rPr>
          <w:rtl/>
        </w:rPr>
        <w:t xml:space="preserve"> </w:t>
      </w:r>
      <w:fldSimple w:instr=" SEQ טבלה \* ARABIC ">
        <w:r w:rsidR="003E1673">
          <w:rPr>
            <w:noProof/>
          </w:rPr>
          <w:t>7</w:t>
        </w:r>
      </w:fldSimple>
      <w:r w:rsidRPr="00CC2678">
        <w:rPr>
          <w:rtl/>
        </w:rPr>
        <w:t xml:space="preserve">: </w:t>
      </w:r>
      <w:r w:rsidRPr="00CC2678">
        <w:rPr>
          <w:b/>
          <w:bCs/>
          <w:rtl/>
        </w:rPr>
        <w:t xml:space="preserve">סעיפים מרכזיים </w:t>
      </w:r>
      <w:r w:rsidRPr="00CC2678">
        <w:rPr>
          <w:rFonts w:hint="eastAsia"/>
          <w:b/>
          <w:bCs/>
          <w:rtl/>
        </w:rPr>
        <w:t>להסבר</w:t>
      </w:r>
      <w:r w:rsidRPr="00CC2678">
        <w:rPr>
          <w:b/>
          <w:bCs/>
          <w:rtl/>
        </w:rPr>
        <w:t xml:space="preserve"> </w:t>
      </w:r>
      <w:r w:rsidRPr="00CC2678">
        <w:rPr>
          <w:rFonts w:hint="eastAsia"/>
          <w:b/>
          <w:bCs/>
          <w:rtl/>
        </w:rPr>
        <w:t>הפער</w:t>
      </w:r>
      <w:r w:rsidRPr="00CC2678">
        <w:rPr>
          <w:b/>
          <w:bCs/>
          <w:rtl/>
        </w:rPr>
        <w:t xml:space="preserve"> </w:t>
      </w:r>
      <w:r w:rsidRPr="00CC2678">
        <w:rPr>
          <w:rFonts w:hint="eastAsia"/>
          <w:b/>
          <w:bCs/>
          <w:rtl/>
        </w:rPr>
        <w:t>שבין</w:t>
      </w:r>
      <w:r w:rsidRPr="00CC2678">
        <w:rPr>
          <w:b/>
          <w:bCs/>
          <w:rtl/>
        </w:rPr>
        <w:t xml:space="preserve"> </w:t>
      </w:r>
      <w:r w:rsidRPr="00CC2678">
        <w:rPr>
          <w:rFonts w:hint="eastAsia"/>
          <w:b/>
          <w:bCs/>
          <w:rtl/>
        </w:rPr>
        <w:t>הגירעון</w:t>
      </w:r>
      <w:r w:rsidRPr="00CC2678">
        <w:rPr>
          <w:b/>
          <w:bCs/>
          <w:rtl/>
        </w:rPr>
        <w:t xml:space="preserve"> </w:t>
      </w:r>
      <w:r w:rsidRPr="00CC2678">
        <w:rPr>
          <w:rFonts w:hint="eastAsia"/>
          <w:b/>
          <w:bCs/>
          <w:rtl/>
        </w:rPr>
        <w:t>התקציבי</w:t>
      </w:r>
      <w:r w:rsidRPr="00CC2678">
        <w:rPr>
          <w:b/>
          <w:bCs/>
          <w:rtl/>
        </w:rPr>
        <w:t xml:space="preserve"> </w:t>
      </w:r>
      <w:r w:rsidRPr="00CC2678">
        <w:rPr>
          <w:rFonts w:hint="eastAsia"/>
          <w:b/>
          <w:bCs/>
          <w:rtl/>
        </w:rPr>
        <w:t>לגירעון</w:t>
      </w:r>
      <w:r w:rsidRPr="00CC2678">
        <w:rPr>
          <w:b/>
          <w:bCs/>
          <w:rtl/>
        </w:rPr>
        <w:t xml:space="preserve"> </w:t>
      </w:r>
      <w:r w:rsidRPr="00CC2678">
        <w:rPr>
          <w:rFonts w:hint="eastAsia"/>
          <w:b/>
          <w:bCs/>
          <w:rtl/>
        </w:rPr>
        <w:t>החשבונאי</w:t>
      </w:r>
      <w:r w:rsidRPr="00CC2678">
        <w:rPr>
          <w:b/>
          <w:bCs/>
          <w:rtl/>
        </w:rPr>
        <w:t xml:space="preserve"> </w:t>
      </w:r>
    </w:p>
    <w:tbl>
      <w:tblPr>
        <w:tblStyle w:val="LightList-Accent3"/>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183"/>
        <w:gridCol w:w="1063"/>
      </w:tblGrid>
      <w:tr w:rsidR="00867DA1" w:rsidRPr="00E6446E" w14:paraId="01C45146" w14:textId="77777777" w:rsidTr="00E6446E">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auto"/>
            <w:vAlign w:val="bottom"/>
          </w:tcPr>
          <w:p w14:paraId="7BCDFD74" w14:textId="77777777" w:rsidR="00867DA1" w:rsidRPr="00E6446E" w:rsidRDefault="00867DA1" w:rsidP="00CC2678">
            <w:pPr>
              <w:pStyle w:val="af1"/>
              <w:rPr>
                <w:cs w:val="0"/>
              </w:rPr>
            </w:pPr>
            <w:r w:rsidRPr="00E6446E">
              <w:rPr>
                <w:rFonts w:hint="cs"/>
                <w:cs w:val="0"/>
              </w:rPr>
              <w:t>הוצאות אקטואריו</w:t>
            </w:r>
            <w:r w:rsidRPr="00E6446E">
              <w:rPr>
                <w:rFonts w:hint="eastAsia"/>
                <w:cs w:val="0"/>
              </w:rPr>
              <w:t>ת</w:t>
            </w:r>
            <w:r w:rsidRPr="00E6446E">
              <w:rPr>
                <w:rFonts w:hint="cs"/>
                <w:cs w:val="0"/>
              </w:rPr>
              <w:t xml:space="preserve"> וגידול בהפרשות בגין זכויות עובדים</w:t>
            </w:r>
          </w:p>
        </w:tc>
        <w:tc>
          <w:tcPr>
            <w:tcW w:w="1063" w:type="dxa"/>
            <w:shd w:val="clear" w:color="auto" w:fill="auto"/>
            <w:vAlign w:val="bottom"/>
          </w:tcPr>
          <w:p w14:paraId="288141C1" w14:textId="77777777" w:rsidR="00867DA1" w:rsidRPr="00E6446E" w:rsidRDefault="00867DA1" w:rsidP="00CC2678">
            <w:pPr>
              <w:pStyle w:val="af1"/>
              <w:rPr>
                <w:cs w:val="0"/>
              </w:rPr>
            </w:pPr>
            <w:r w:rsidRPr="00E6446E">
              <w:rPr>
                <w:rFonts w:hint="cs"/>
                <w:cs w:val="0"/>
              </w:rPr>
              <w:t>(35,234)</w:t>
            </w:r>
          </w:p>
        </w:tc>
      </w:tr>
      <w:tr w:rsidR="00867DA1" w:rsidRPr="003761B7" w14:paraId="4113F184" w14:textId="77777777" w:rsidTr="00CC2678">
        <w:trPr>
          <w:jc w:val="center"/>
        </w:trPr>
        <w:tc>
          <w:tcPr>
            <w:tcW w:w="0" w:type="auto"/>
            <w:shd w:val="clear" w:color="auto" w:fill="auto"/>
            <w:vAlign w:val="bottom"/>
          </w:tcPr>
          <w:p w14:paraId="636E9AD5" w14:textId="77777777" w:rsidR="00867DA1" w:rsidRPr="003761B7" w:rsidRDefault="00867DA1" w:rsidP="00CC2678">
            <w:pPr>
              <w:pStyle w:val="R"/>
              <w:rPr>
                <w:cs w:val="0"/>
              </w:rPr>
            </w:pPr>
            <w:r w:rsidRPr="003761B7">
              <w:rPr>
                <w:rFonts w:hint="cs"/>
                <w:cs w:val="0"/>
              </w:rPr>
              <w:t xml:space="preserve">שינויים בישויות מוחזקות שאינם מקבלים ביטוי בתקציב </w:t>
            </w:r>
          </w:p>
        </w:tc>
        <w:tc>
          <w:tcPr>
            <w:tcW w:w="1063" w:type="dxa"/>
            <w:shd w:val="clear" w:color="auto" w:fill="auto"/>
            <w:vAlign w:val="bottom"/>
          </w:tcPr>
          <w:p w14:paraId="2536C442" w14:textId="77777777" w:rsidR="00867DA1" w:rsidRPr="003761B7" w:rsidRDefault="00867DA1" w:rsidP="00CC2678">
            <w:pPr>
              <w:pStyle w:val="R"/>
              <w:rPr>
                <w:cs w:val="0"/>
              </w:rPr>
            </w:pPr>
            <w:r w:rsidRPr="003761B7">
              <w:rPr>
                <w:rFonts w:hint="cs"/>
                <w:cs w:val="0"/>
              </w:rPr>
              <w:t>(5,336)</w:t>
            </w:r>
          </w:p>
        </w:tc>
      </w:tr>
      <w:tr w:rsidR="00867DA1" w:rsidRPr="003761B7" w14:paraId="3E8DFBDF" w14:textId="77777777" w:rsidTr="00CC2678">
        <w:trPr>
          <w:jc w:val="center"/>
        </w:trPr>
        <w:tc>
          <w:tcPr>
            <w:tcW w:w="0" w:type="auto"/>
            <w:shd w:val="clear" w:color="auto" w:fill="auto"/>
            <w:vAlign w:val="bottom"/>
          </w:tcPr>
          <w:p w14:paraId="3525311E" w14:textId="77777777" w:rsidR="00867DA1" w:rsidRPr="003761B7" w:rsidRDefault="00867DA1" w:rsidP="00CC2678">
            <w:pPr>
              <w:pStyle w:val="R"/>
              <w:rPr>
                <w:cs w:val="0"/>
              </w:rPr>
            </w:pPr>
            <w:r w:rsidRPr="003761B7">
              <w:rPr>
                <w:rFonts w:hint="cs"/>
                <w:cs w:val="0"/>
              </w:rPr>
              <w:t>הוצאות פחת בגין רכוש קבוע ובגין נכסים קבועים אחרים</w:t>
            </w:r>
          </w:p>
        </w:tc>
        <w:tc>
          <w:tcPr>
            <w:tcW w:w="1063" w:type="dxa"/>
            <w:shd w:val="clear" w:color="auto" w:fill="auto"/>
            <w:vAlign w:val="bottom"/>
          </w:tcPr>
          <w:p w14:paraId="6EDA0F68" w14:textId="77777777" w:rsidR="00867DA1" w:rsidRPr="003761B7" w:rsidRDefault="00867DA1" w:rsidP="00CC2678">
            <w:pPr>
              <w:pStyle w:val="R"/>
              <w:rPr>
                <w:cs w:val="0"/>
              </w:rPr>
            </w:pPr>
            <w:r w:rsidRPr="003761B7">
              <w:rPr>
                <w:rFonts w:hint="cs"/>
                <w:cs w:val="0"/>
              </w:rPr>
              <w:t>(6,981)</w:t>
            </w:r>
          </w:p>
        </w:tc>
      </w:tr>
      <w:tr w:rsidR="00867DA1" w:rsidRPr="003761B7" w14:paraId="7C817509" w14:textId="77777777" w:rsidTr="00CC2678">
        <w:trPr>
          <w:jc w:val="center"/>
        </w:trPr>
        <w:tc>
          <w:tcPr>
            <w:tcW w:w="0" w:type="auto"/>
            <w:shd w:val="clear" w:color="auto" w:fill="auto"/>
            <w:vAlign w:val="bottom"/>
          </w:tcPr>
          <w:p w14:paraId="680473D9" w14:textId="77777777" w:rsidR="00867DA1" w:rsidRPr="003761B7" w:rsidRDefault="00867DA1" w:rsidP="00CC2678">
            <w:pPr>
              <w:pStyle w:val="R"/>
              <w:rPr>
                <w:cs w:val="0"/>
              </w:rPr>
            </w:pPr>
            <w:r w:rsidRPr="003761B7">
              <w:rPr>
                <w:rFonts w:hint="cs"/>
                <w:cs w:val="0"/>
              </w:rPr>
              <w:t xml:space="preserve">הוצאות מימון על בסיס מצטבר נטו בגין מלוות </w:t>
            </w:r>
          </w:p>
        </w:tc>
        <w:tc>
          <w:tcPr>
            <w:tcW w:w="1063" w:type="dxa"/>
            <w:shd w:val="clear" w:color="auto" w:fill="auto"/>
            <w:vAlign w:val="bottom"/>
          </w:tcPr>
          <w:p w14:paraId="0DDD43DF" w14:textId="77777777" w:rsidR="00867DA1" w:rsidRPr="003761B7" w:rsidRDefault="00867DA1" w:rsidP="00CC2678">
            <w:pPr>
              <w:pStyle w:val="R"/>
              <w:rPr>
                <w:cs w:val="0"/>
              </w:rPr>
            </w:pPr>
            <w:r w:rsidRPr="003761B7">
              <w:rPr>
                <w:rFonts w:hint="cs"/>
                <w:cs w:val="0"/>
              </w:rPr>
              <w:t>11,712</w:t>
            </w:r>
          </w:p>
        </w:tc>
      </w:tr>
      <w:tr w:rsidR="00867DA1" w:rsidRPr="003761B7" w14:paraId="06BB4DD4" w14:textId="77777777" w:rsidTr="00CC2678">
        <w:trPr>
          <w:jc w:val="center"/>
        </w:trPr>
        <w:tc>
          <w:tcPr>
            <w:tcW w:w="0" w:type="auto"/>
            <w:shd w:val="clear" w:color="auto" w:fill="auto"/>
            <w:vAlign w:val="bottom"/>
          </w:tcPr>
          <w:p w14:paraId="0D73CEDD" w14:textId="77777777" w:rsidR="00867DA1" w:rsidRPr="003761B7" w:rsidRDefault="00867DA1" w:rsidP="00CC2678">
            <w:pPr>
              <w:pStyle w:val="R"/>
              <w:rPr>
                <w:cs w:val="0"/>
              </w:rPr>
            </w:pPr>
            <w:r w:rsidRPr="003761B7">
              <w:rPr>
                <w:rFonts w:hint="cs"/>
                <w:cs w:val="0"/>
              </w:rPr>
              <w:t xml:space="preserve">שינוי בחייבים </w:t>
            </w:r>
          </w:p>
        </w:tc>
        <w:tc>
          <w:tcPr>
            <w:tcW w:w="1063" w:type="dxa"/>
            <w:shd w:val="clear" w:color="auto" w:fill="auto"/>
            <w:vAlign w:val="bottom"/>
          </w:tcPr>
          <w:p w14:paraId="2ED399AD" w14:textId="77777777" w:rsidR="00867DA1" w:rsidRPr="003761B7" w:rsidRDefault="00867DA1" w:rsidP="00CC2678">
            <w:pPr>
              <w:pStyle w:val="R"/>
              <w:rPr>
                <w:cs w:val="0"/>
              </w:rPr>
            </w:pPr>
            <w:r w:rsidRPr="003761B7">
              <w:rPr>
                <w:rFonts w:hint="cs"/>
                <w:cs w:val="0"/>
              </w:rPr>
              <w:t>5,414</w:t>
            </w:r>
          </w:p>
        </w:tc>
      </w:tr>
      <w:tr w:rsidR="00867DA1" w:rsidRPr="003761B7" w14:paraId="47619087" w14:textId="77777777" w:rsidTr="00CC2678">
        <w:trPr>
          <w:jc w:val="center"/>
        </w:trPr>
        <w:tc>
          <w:tcPr>
            <w:tcW w:w="0" w:type="auto"/>
            <w:shd w:val="clear" w:color="auto" w:fill="auto"/>
            <w:vAlign w:val="bottom"/>
          </w:tcPr>
          <w:p w14:paraId="5AA57889" w14:textId="77777777" w:rsidR="00867DA1" w:rsidRPr="003761B7" w:rsidRDefault="00867DA1" w:rsidP="00CC2678">
            <w:pPr>
              <w:pStyle w:val="R"/>
              <w:rPr>
                <w:cs w:val="0"/>
              </w:rPr>
            </w:pPr>
            <w:r w:rsidRPr="003761B7">
              <w:rPr>
                <w:rFonts w:hint="cs"/>
                <w:cs w:val="0"/>
              </w:rPr>
              <w:t>שינוי בזכאים והפרשות לזמן קצר</w:t>
            </w:r>
          </w:p>
        </w:tc>
        <w:tc>
          <w:tcPr>
            <w:tcW w:w="1063" w:type="dxa"/>
            <w:shd w:val="clear" w:color="auto" w:fill="auto"/>
            <w:vAlign w:val="bottom"/>
          </w:tcPr>
          <w:p w14:paraId="190DF44B" w14:textId="77777777" w:rsidR="00867DA1" w:rsidRPr="003761B7" w:rsidRDefault="00867DA1" w:rsidP="00CC2678">
            <w:pPr>
              <w:pStyle w:val="R"/>
              <w:rPr>
                <w:cs w:val="0"/>
              </w:rPr>
            </w:pPr>
            <w:r w:rsidRPr="003761B7">
              <w:rPr>
                <w:rFonts w:hint="cs"/>
                <w:cs w:val="0"/>
              </w:rPr>
              <w:t>7,229</w:t>
            </w:r>
          </w:p>
        </w:tc>
      </w:tr>
    </w:tbl>
    <w:p w14:paraId="02460C13" w14:textId="77777777" w:rsidR="00867DA1" w:rsidRDefault="00867DA1" w:rsidP="00CC2678">
      <w:pPr>
        <w:pStyle w:val="414"/>
        <w:rPr>
          <w:rtl/>
        </w:rPr>
      </w:pPr>
      <w:r w:rsidRPr="008D0853">
        <w:rPr>
          <w:rFonts w:hint="eastAsia"/>
          <w:rtl/>
        </w:rPr>
        <w:lastRenderedPageBreak/>
        <w:t>הגירעון</w:t>
      </w:r>
      <w:r w:rsidRPr="008D0853">
        <w:rPr>
          <w:rtl/>
        </w:rPr>
        <w:t xml:space="preserve"> התקציבי </w:t>
      </w:r>
      <w:r w:rsidRPr="008D0853">
        <w:rPr>
          <w:rFonts w:hint="eastAsia"/>
          <w:rtl/>
        </w:rPr>
        <w:t>כשיעור</w:t>
      </w:r>
      <w:r w:rsidRPr="008D0853">
        <w:rPr>
          <w:rtl/>
        </w:rPr>
        <w:t xml:space="preserve"> </w:t>
      </w:r>
      <w:r w:rsidRPr="008D0853">
        <w:rPr>
          <w:rFonts w:hint="eastAsia"/>
          <w:rtl/>
        </w:rPr>
        <w:t>מהתמ</w:t>
      </w:r>
      <w:r w:rsidRPr="008D0853">
        <w:rPr>
          <w:rtl/>
        </w:rPr>
        <w:t xml:space="preserve">"ג </w:t>
      </w:r>
      <w:r w:rsidRPr="008D0853">
        <w:rPr>
          <w:rFonts w:hint="eastAsia"/>
          <w:rtl/>
        </w:rPr>
        <w:t>בשנים</w:t>
      </w:r>
      <w:r w:rsidRPr="008D0853">
        <w:rPr>
          <w:rtl/>
        </w:rPr>
        <w:t xml:space="preserve"> 2013 - 2018 מול יעד הג</w:t>
      </w:r>
      <w:r w:rsidRPr="008D0853">
        <w:rPr>
          <w:rFonts w:hint="eastAsia"/>
          <w:rtl/>
        </w:rPr>
        <w:t>ירעון</w:t>
      </w:r>
      <w:r w:rsidRPr="008D0853">
        <w:rPr>
          <w:rtl/>
        </w:rPr>
        <w:t xml:space="preserve"> </w:t>
      </w:r>
      <w:r w:rsidRPr="008D0853">
        <w:rPr>
          <w:rFonts w:hint="eastAsia"/>
          <w:rtl/>
        </w:rPr>
        <w:t>המתוכנן</w:t>
      </w:r>
      <w:r>
        <w:rPr>
          <w:rFonts w:hint="cs"/>
          <w:rtl/>
        </w:rPr>
        <w:t xml:space="preserve"> </w:t>
      </w:r>
    </w:p>
    <w:p w14:paraId="30C6B589" w14:textId="791421B3" w:rsidR="00867DA1" w:rsidRPr="004254E2" w:rsidRDefault="00867DA1" w:rsidP="00CC2678">
      <w:pPr>
        <w:pStyle w:val="aa"/>
        <w:rPr>
          <w:rtl/>
        </w:rPr>
      </w:pPr>
      <w:r w:rsidRPr="004254E2">
        <w:rPr>
          <w:rFonts w:hint="eastAsia"/>
          <w:rtl/>
        </w:rPr>
        <w:t>תרשים</w:t>
      </w:r>
      <w:r w:rsidRPr="004254E2">
        <w:rPr>
          <w:rtl/>
        </w:rPr>
        <w:t xml:space="preserve"> 13</w:t>
      </w:r>
      <w:r>
        <w:rPr>
          <w:rFonts w:hint="cs"/>
          <w:rtl/>
        </w:rPr>
        <w:t>:</w:t>
      </w:r>
      <w:r w:rsidRPr="004254E2">
        <w:rPr>
          <w:rtl/>
        </w:rPr>
        <w:t xml:space="preserve"> </w:t>
      </w:r>
      <w:r w:rsidRPr="00CC2678">
        <w:rPr>
          <w:b/>
          <w:bCs/>
          <w:rtl/>
        </w:rPr>
        <w:t xml:space="preserve">הגירעון התקציבי </w:t>
      </w:r>
      <w:r w:rsidRPr="00CC2678">
        <w:rPr>
          <w:rFonts w:hint="eastAsia"/>
          <w:b/>
          <w:bCs/>
          <w:rtl/>
        </w:rPr>
        <w:t>כשיעור</w:t>
      </w:r>
      <w:r w:rsidRPr="00CC2678">
        <w:rPr>
          <w:b/>
          <w:bCs/>
          <w:rtl/>
        </w:rPr>
        <w:t xml:space="preserve"> </w:t>
      </w:r>
      <w:r w:rsidRPr="00CC2678">
        <w:rPr>
          <w:rFonts w:hint="eastAsia"/>
          <w:b/>
          <w:bCs/>
          <w:rtl/>
        </w:rPr>
        <w:t>מהתמ</w:t>
      </w:r>
      <w:r w:rsidRPr="00CC2678">
        <w:rPr>
          <w:b/>
          <w:bCs/>
          <w:rtl/>
        </w:rPr>
        <w:t xml:space="preserve">"ג </w:t>
      </w:r>
      <w:r w:rsidRPr="00CC2678">
        <w:rPr>
          <w:rFonts w:hint="eastAsia"/>
          <w:b/>
          <w:bCs/>
          <w:rtl/>
        </w:rPr>
        <w:t>בשנים</w:t>
      </w:r>
      <w:r w:rsidRPr="00CC2678">
        <w:rPr>
          <w:b/>
          <w:bCs/>
          <w:rtl/>
        </w:rPr>
        <w:t xml:space="preserve"> 2013 </w:t>
      </w:r>
      <w:r w:rsidR="00CC2678">
        <w:rPr>
          <w:b/>
          <w:bCs/>
          <w:rtl/>
        </w:rPr>
        <w:t>–</w:t>
      </w:r>
      <w:r w:rsidRPr="00CC2678">
        <w:rPr>
          <w:b/>
          <w:bCs/>
          <w:rtl/>
        </w:rPr>
        <w:t xml:space="preserve"> 2018</w:t>
      </w:r>
      <w:r w:rsidR="00CC2678">
        <w:rPr>
          <w:b/>
          <w:bCs/>
          <w:rtl/>
        </w:rPr>
        <w:br/>
      </w:r>
      <w:r w:rsidRPr="00CC2678">
        <w:rPr>
          <w:rFonts w:hint="cs"/>
          <w:b/>
          <w:bCs/>
          <w:rtl/>
        </w:rPr>
        <w:t xml:space="preserve">מול </w:t>
      </w:r>
      <w:r w:rsidRPr="00CC2678">
        <w:rPr>
          <w:b/>
          <w:bCs/>
          <w:rtl/>
        </w:rPr>
        <w:t>יעד הג</w:t>
      </w:r>
      <w:r w:rsidRPr="00CC2678">
        <w:rPr>
          <w:rFonts w:hint="eastAsia"/>
          <w:b/>
          <w:bCs/>
          <w:rtl/>
        </w:rPr>
        <w:t>ירעון</w:t>
      </w:r>
      <w:r w:rsidRPr="00CC2678">
        <w:rPr>
          <w:b/>
          <w:bCs/>
          <w:rtl/>
        </w:rPr>
        <w:t xml:space="preserve"> </w:t>
      </w:r>
      <w:r w:rsidRPr="00CC2678">
        <w:rPr>
          <w:rFonts w:hint="cs"/>
          <w:b/>
          <w:bCs/>
          <w:rtl/>
        </w:rPr>
        <w:t>המתוכנן</w:t>
      </w:r>
    </w:p>
    <w:p w14:paraId="522F24C8" w14:textId="77777777" w:rsidR="00867DA1" w:rsidRDefault="00867DA1" w:rsidP="00867DA1">
      <w:pPr>
        <w:spacing w:line="269" w:lineRule="auto"/>
        <w:rPr>
          <w:sz w:val="24"/>
          <w:rtl/>
        </w:rPr>
      </w:pPr>
      <w:r>
        <w:rPr>
          <w:noProof/>
          <w:sz w:val="18"/>
          <w:szCs w:val="22"/>
          <w:rtl/>
        </w:rPr>
        <w:drawing>
          <wp:inline distT="0" distB="0" distL="0" distR="0" wp14:anchorId="70E70D59" wp14:editId="6AF81287">
            <wp:extent cx="5219700" cy="2826328"/>
            <wp:effectExtent l="0" t="0" r="0" b="12700"/>
            <wp:docPr id="36"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A2E897" w14:textId="77777777" w:rsidR="00867DA1" w:rsidRPr="004254E2" w:rsidRDefault="00867DA1" w:rsidP="00CC2678">
      <w:pPr>
        <w:pStyle w:val="ac"/>
        <w:rPr>
          <w:rtl/>
        </w:rPr>
      </w:pPr>
      <w:r w:rsidRPr="004254E2">
        <w:rPr>
          <w:rFonts w:hint="eastAsia"/>
          <w:rtl/>
        </w:rPr>
        <w:t>על</w:t>
      </w:r>
      <w:r w:rsidRPr="004254E2">
        <w:rPr>
          <w:rtl/>
        </w:rPr>
        <w:t xml:space="preserve"> </w:t>
      </w:r>
      <w:r w:rsidRPr="004254E2">
        <w:rPr>
          <w:rFonts w:hint="eastAsia"/>
          <w:rtl/>
        </w:rPr>
        <w:t>פי</w:t>
      </w:r>
      <w:r w:rsidRPr="004254E2">
        <w:rPr>
          <w:rtl/>
        </w:rPr>
        <w:t xml:space="preserve"> </w:t>
      </w:r>
      <w:r w:rsidRPr="004254E2">
        <w:rPr>
          <w:rFonts w:hint="eastAsia"/>
          <w:rtl/>
        </w:rPr>
        <w:t>נתוני</w:t>
      </w:r>
      <w:r w:rsidRPr="004254E2">
        <w:rPr>
          <w:rtl/>
        </w:rPr>
        <w:t xml:space="preserve"> הדוחות הכספיים של מדינת ישראל לשנת 2018, בעיבוד משרד מבקר המדינה. </w:t>
      </w:r>
    </w:p>
    <w:p w14:paraId="05C1E431" w14:textId="145DC36B" w:rsidR="00867DA1" w:rsidRPr="00221FC2" w:rsidRDefault="00867DA1" w:rsidP="00867DA1">
      <w:pPr>
        <w:spacing w:line="269" w:lineRule="auto"/>
        <w:rPr>
          <w:rtl/>
        </w:rPr>
      </w:pPr>
    </w:p>
    <w:p w14:paraId="7A5BDEAD" w14:textId="77777777" w:rsidR="00867DA1" w:rsidRDefault="00867DA1" w:rsidP="00CC2678">
      <w:pPr>
        <w:pStyle w:val="100"/>
        <w:rPr>
          <w:rtl/>
        </w:rPr>
      </w:pPr>
      <w:r>
        <w:rPr>
          <w:rFonts w:hint="cs"/>
          <w:rtl/>
        </w:rPr>
        <w:t>בשנת 2018 עלה הגירעון בתקציב הממשלה ל-2.9% מהתוצר - גבוה בנקודת אחוז מהנתון ב-2017. נתון זה תאם את התקרה המתוכננת.</w:t>
      </w:r>
    </w:p>
    <w:p w14:paraId="4293F7A5" w14:textId="77777777" w:rsidR="00867DA1" w:rsidRPr="007E10DE" w:rsidRDefault="00867DA1" w:rsidP="00CC2678">
      <w:pPr>
        <w:pStyle w:val="316"/>
        <w:rPr>
          <w:rtl/>
        </w:rPr>
      </w:pPr>
      <w:r>
        <w:rPr>
          <w:rFonts w:hint="cs"/>
          <w:rtl/>
        </w:rPr>
        <w:t>הסיכונים הבולטים העולים מהדוחות הכספיים ל-31.12.18</w:t>
      </w:r>
    </w:p>
    <w:p w14:paraId="5811417E" w14:textId="52D5FDE4" w:rsidR="00CC2678" w:rsidRDefault="00867DA1" w:rsidP="00CC2678">
      <w:pPr>
        <w:pStyle w:val="100"/>
        <w:rPr>
          <w:rtl/>
        </w:rPr>
      </w:pPr>
      <w:r>
        <w:rPr>
          <w:rFonts w:hint="cs"/>
          <w:rtl/>
        </w:rPr>
        <w:t>בפרק זה נבדקו כמה מההתחייבויות של המדינה לטווח ארוך והסיכונים הרלוונטיים, הן סיכונים מוחלטים הן סיכונים יחסיים, הנובעים מהן: ההתחייבויות של המוסד לביטוח לאומי, כפי שהן מופיעות בעתודות הביטוח, הרכב החוב של המדינה ומשמעותו יחסית לתוצר המקומי הגולמי וכן שלמות ההתחייבות בגין הפנסייה התקציבית לעובדי המדינה ולכוחות הביטחון. כמו כן, נבדקו ניתוחי הרגישויות שביצעו עורכי הדוחות הכספיים.</w:t>
      </w:r>
    </w:p>
    <w:p w14:paraId="7679F455" w14:textId="77777777" w:rsidR="00CC2678" w:rsidRDefault="00CC2678">
      <w:pPr>
        <w:bidi w:val="0"/>
        <w:spacing w:after="200" w:line="276" w:lineRule="auto"/>
        <w:rPr>
          <w:rFonts w:ascii="Tahoma" w:hAnsi="Tahoma" w:cs="Tahoma"/>
          <w:szCs w:val="20"/>
          <w:rtl/>
        </w:rPr>
      </w:pPr>
      <w:r>
        <w:rPr>
          <w:rtl/>
        </w:rPr>
        <w:br w:type="page"/>
      </w:r>
    </w:p>
    <w:p w14:paraId="0CB433AF" w14:textId="6017377A" w:rsidR="00867DA1" w:rsidRDefault="00CC2678" w:rsidP="00CC2678">
      <w:pPr>
        <w:pStyle w:val="414"/>
        <w:rPr>
          <w:rtl/>
        </w:rPr>
      </w:pPr>
      <w:r>
        <w:rPr>
          <w:rFonts w:hint="cs"/>
          <w:rtl/>
        </w:rPr>
        <w:lastRenderedPageBreak/>
        <w:t>ה</w:t>
      </w:r>
      <w:r w:rsidR="00867DA1" w:rsidRPr="0064473A">
        <w:rPr>
          <w:rFonts w:hint="cs"/>
          <w:rtl/>
        </w:rPr>
        <w:t>חוב הממשלתי</w:t>
      </w:r>
    </w:p>
    <w:p w14:paraId="782F85A8" w14:textId="77777777" w:rsidR="00867DA1" w:rsidRDefault="00867DA1" w:rsidP="00CC2678">
      <w:pPr>
        <w:pStyle w:val="5115"/>
        <w:rPr>
          <w:rtl/>
        </w:rPr>
      </w:pPr>
      <w:r>
        <w:rPr>
          <w:rFonts w:hint="cs"/>
          <w:rtl/>
        </w:rPr>
        <w:t>יחס החוב לתוצר</w:t>
      </w:r>
    </w:p>
    <w:p w14:paraId="4D1A7876" w14:textId="77777777" w:rsidR="00867DA1" w:rsidRDefault="00867DA1" w:rsidP="00D06D75">
      <w:pPr>
        <w:pStyle w:val="100"/>
        <w:rPr>
          <w:rtl/>
        </w:rPr>
      </w:pPr>
      <w:r>
        <w:rPr>
          <w:rFonts w:hint="cs"/>
          <w:rtl/>
        </w:rPr>
        <w:t>יחס החוב לתוצר הוא מדד מקרו-כלכלי המבטא את איתנותה הפיננסית של המדינה ואת יכולתה לעמוד בהתחייבויותיה לאורך זמן.</w:t>
      </w:r>
      <w:r w:rsidRPr="007B235D">
        <w:rPr>
          <w:rFonts w:hint="cs"/>
          <w:rtl/>
        </w:rPr>
        <w:t xml:space="preserve"> </w:t>
      </w:r>
      <w:r>
        <w:rPr>
          <w:rFonts w:hint="cs"/>
          <w:rtl/>
        </w:rPr>
        <w:t>עלייה ביחס החוב-תוצר עלולה לפגוע באמון של המשקיעים במשק ובחוסנה הפיננסי של המדינה ולהגדיל את תשלומי הריבית מתקציב המדינה.</w:t>
      </w:r>
    </w:p>
    <w:p w14:paraId="1ACF65EB" w14:textId="77777777" w:rsidR="00867DA1" w:rsidRDefault="00867DA1" w:rsidP="00D06D75">
      <w:pPr>
        <w:pStyle w:val="100"/>
        <w:rPr>
          <w:rtl/>
        </w:rPr>
      </w:pPr>
      <w:r>
        <w:rPr>
          <w:rFonts w:hint="cs"/>
          <w:rtl/>
        </w:rPr>
        <w:t>על פי נתוני הדוחות הכספיים</w:t>
      </w:r>
      <w:r>
        <w:rPr>
          <w:rStyle w:val="FootnoteReference"/>
          <w:rtl/>
        </w:rPr>
        <w:footnoteReference w:id="65"/>
      </w:r>
      <w:r>
        <w:rPr>
          <w:rFonts w:hint="cs"/>
          <w:rtl/>
        </w:rPr>
        <w:t xml:space="preserve">, החוב הממשלתי בשנת 2018 עלה מסכום של 747.1 מיליארד ש"ח לסכום של 788.3 מיליארד ש"ח, גידול של 5.5%. גידול זה אירע, בין השאר, בעקבות פיחות ניכר בשער השקל אל מול הדולר והאירו בשנת 2018 ובשל עלייה בשיעור האינפלציה בשנה זו. </w:t>
      </w:r>
    </w:p>
    <w:p w14:paraId="202E292F" w14:textId="77777777" w:rsidR="00867DA1" w:rsidRDefault="00867DA1" w:rsidP="00CC2678">
      <w:pPr>
        <w:pStyle w:val="100"/>
        <w:rPr>
          <w:rtl/>
        </w:rPr>
      </w:pPr>
      <w:r>
        <w:rPr>
          <w:rFonts w:hint="cs"/>
          <w:rtl/>
        </w:rPr>
        <w:t xml:space="preserve">העלייה בחוב הביאה, בין השאר, לעלייה בשיעור החוב הממשלתי לתוצר מ-58.8% בשנת 2017 </w:t>
      </w:r>
      <w:r>
        <w:rPr>
          <w:rtl/>
        </w:rPr>
        <w:br/>
      </w:r>
      <w:r>
        <w:rPr>
          <w:rFonts w:hint="cs"/>
          <w:rtl/>
        </w:rPr>
        <w:t>ל-59.4% בשנת 2018 - עלייה של 0.6%, וכן לעלייה של שיעור החוב הציבורי</w:t>
      </w:r>
      <w:r>
        <w:rPr>
          <w:rStyle w:val="FootnoteReference"/>
          <w:rtl/>
        </w:rPr>
        <w:footnoteReference w:id="66"/>
      </w:r>
      <w:r>
        <w:rPr>
          <w:rFonts w:hint="cs"/>
          <w:rtl/>
        </w:rPr>
        <w:t xml:space="preserve"> מהתוצר, בהתאמה, מ-60.5% ל-61% - עלייה של 0.5%.</w:t>
      </w:r>
    </w:p>
    <w:p w14:paraId="2B5517AB" w14:textId="77777777" w:rsidR="00867DA1" w:rsidRDefault="00867DA1" w:rsidP="00CC2678">
      <w:pPr>
        <w:pStyle w:val="100"/>
        <w:rPr>
          <w:rtl/>
        </w:rPr>
      </w:pPr>
      <w:r w:rsidRPr="001059E6">
        <w:rPr>
          <w:rFonts w:hint="cs"/>
          <w:rtl/>
        </w:rPr>
        <w:t>להלן בתרשים 14 פירוט יחס החוב הממשלתי והציבורי מהתוצר בשנים 2009 - 2018</w:t>
      </w:r>
      <w:r>
        <w:rPr>
          <w:rFonts w:hint="cs"/>
          <w:rtl/>
        </w:rPr>
        <w:t>:</w:t>
      </w:r>
    </w:p>
    <w:p w14:paraId="2EFCF244" w14:textId="4FCDD675" w:rsidR="00867DA1" w:rsidRPr="004254E2" w:rsidRDefault="00867DA1" w:rsidP="00CC2678">
      <w:pPr>
        <w:pStyle w:val="aa"/>
      </w:pPr>
      <w:bookmarkStart w:id="10" w:name="_Ref31474970"/>
      <w:r w:rsidRPr="004254E2">
        <w:rPr>
          <w:rFonts w:hint="eastAsia"/>
          <w:rtl/>
        </w:rPr>
        <w:t>תרשים</w:t>
      </w:r>
      <w:r w:rsidRPr="004254E2">
        <w:rPr>
          <w:rtl/>
        </w:rPr>
        <w:t xml:space="preserve"> 14</w:t>
      </w:r>
      <w:bookmarkEnd w:id="10"/>
      <w:r w:rsidRPr="004254E2">
        <w:rPr>
          <w:rtl/>
        </w:rPr>
        <w:t xml:space="preserve">: </w:t>
      </w:r>
      <w:r w:rsidRPr="00CC2678">
        <w:rPr>
          <w:rFonts w:hint="eastAsia"/>
          <w:b/>
          <w:bCs/>
          <w:rtl/>
        </w:rPr>
        <w:t>יחס</w:t>
      </w:r>
      <w:r w:rsidRPr="00CC2678">
        <w:rPr>
          <w:b/>
          <w:bCs/>
          <w:rtl/>
        </w:rPr>
        <w:t xml:space="preserve"> </w:t>
      </w:r>
      <w:r w:rsidRPr="00CC2678">
        <w:rPr>
          <w:rFonts w:hint="eastAsia"/>
          <w:b/>
          <w:bCs/>
          <w:rtl/>
        </w:rPr>
        <w:t>החוב</w:t>
      </w:r>
      <w:r w:rsidRPr="00CC2678">
        <w:rPr>
          <w:b/>
          <w:bCs/>
          <w:rtl/>
        </w:rPr>
        <w:t xml:space="preserve"> </w:t>
      </w:r>
      <w:r w:rsidRPr="00CC2678">
        <w:rPr>
          <w:rFonts w:hint="eastAsia"/>
          <w:b/>
          <w:bCs/>
          <w:rtl/>
        </w:rPr>
        <w:t>הממשלתי</w:t>
      </w:r>
      <w:r w:rsidRPr="00CC2678">
        <w:rPr>
          <w:b/>
          <w:bCs/>
          <w:rtl/>
        </w:rPr>
        <w:t xml:space="preserve"> </w:t>
      </w:r>
      <w:r w:rsidRPr="00CC2678">
        <w:rPr>
          <w:rFonts w:hint="eastAsia"/>
          <w:b/>
          <w:bCs/>
          <w:rtl/>
        </w:rPr>
        <w:t>והציבורי</w:t>
      </w:r>
      <w:r w:rsidRPr="00CC2678">
        <w:rPr>
          <w:b/>
          <w:bCs/>
          <w:rtl/>
        </w:rPr>
        <w:t xml:space="preserve"> </w:t>
      </w:r>
      <w:r w:rsidRPr="00CC2678">
        <w:rPr>
          <w:rFonts w:hint="eastAsia"/>
          <w:b/>
          <w:bCs/>
          <w:rtl/>
        </w:rPr>
        <w:t>מהתוצר</w:t>
      </w:r>
      <w:r w:rsidRPr="00CC2678">
        <w:rPr>
          <w:b/>
          <w:bCs/>
          <w:rtl/>
        </w:rPr>
        <w:t xml:space="preserve"> </w:t>
      </w:r>
      <w:r w:rsidRPr="00CC2678">
        <w:rPr>
          <w:rFonts w:hint="eastAsia"/>
          <w:b/>
          <w:bCs/>
          <w:rtl/>
        </w:rPr>
        <w:t>בשנים</w:t>
      </w:r>
      <w:r w:rsidRPr="00CC2678">
        <w:rPr>
          <w:b/>
          <w:bCs/>
          <w:rtl/>
        </w:rPr>
        <w:t xml:space="preserve"> 2009 - 2018 </w:t>
      </w:r>
      <w:r w:rsidR="00CC2678">
        <w:rPr>
          <w:noProof/>
        </w:rPr>
        <w:drawing>
          <wp:inline distT="0" distB="0" distL="0" distR="0" wp14:anchorId="26A918A1" wp14:editId="40228EF6">
            <wp:extent cx="5163185" cy="2712720"/>
            <wp:effectExtent l="0" t="0" r="0" b="0"/>
            <wp:docPr id="11" name="תמונה 11" descr="C:\users\eyal_co\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eyal_co\AppData\Local\Temp\FineReader12.00\media\image7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3185" cy="2712720"/>
                    </a:xfrm>
                    <a:prstGeom prst="rect">
                      <a:avLst/>
                    </a:prstGeom>
                    <a:noFill/>
                  </pic:spPr>
                </pic:pic>
              </a:graphicData>
            </a:graphic>
          </wp:inline>
        </w:drawing>
      </w:r>
    </w:p>
    <w:p w14:paraId="42EABE1B" w14:textId="77777777" w:rsidR="00867DA1" w:rsidRPr="004254E2" w:rsidRDefault="00867DA1" w:rsidP="00CC2678">
      <w:pPr>
        <w:pStyle w:val="ac"/>
        <w:rPr>
          <w:rtl/>
        </w:rPr>
      </w:pPr>
      <w:r w:rsidRPr="004254E2">
        <w:rPr>
          <w:rFonts w:hint="eastAsia"/>
          <w:rtl/>
        </w:rPr>
        <w:t>המקור</w:t>
      </w:r>
      <w:r w:rsidRPr="004254E2">
        <w:rPr>
          <w:rtl/>
        </w:rPr>
        <w:t xml:space="preserve">: </w:t>
      </w:r>
      <w:r w:rsidRPr="004254E2">
        <w:rPr>
          <w:rFonts w:hint="eastAsia"/>
          <w:rtl/>
        </w:rPr>
        <w:t>הדוחות</w:t>
      </w:r>
      <w:r w:rsidRPr="004254E2">
        <w:rPr>
          <w:rtl/>
        </w:rPr>
        <w:t xml:space="preserve"> </w:t>
      </w:r>
      <w:r w:rsidRPr="004254E2">
        <w:rPr>
          <w:rFonts w:hint="eastAsia"/>
          <w:rtl/>
        </w:rPr>
        <w:t>הכספיים</w:t>
      </w:r>
      <w:r w:rsidRPr="004254E2">
        <w:rPr>
          <w:rtl/>
        </w:rPr>
        <w:t xml:space="preserve">, </w:t>
      </w:r>
      <w:r w:rsidRPr="004254E2">
        <w:rPr>
          <w:rFonts w:hint="eastAsia"/>
          <w:rtl/>
        </w:rPr>
        <w:t>עמ</w:t>
      </w:r>
      <w:r w:rsidRPr="004254E2">
        <w:rPr>
          <w:rtl/>
        </w:rPr>
        <w:t>' 353.</w:t>
      </w:r>
    </w:p>
    <w:p w14:paraId="428BF96F" w14:textId="77777777" w:rsidR="00867DA1" w:rsidRPr="00CC2678" w:rsidRDefault="00867DA1" w:rsidP="00CC2678">
      <w:pPr>
        <w:pStyle w:val="100"/>
        <w:rPr>
          <w:rtl/>
        </w:rPr>
      </w:pPr>
    </w:p>
    <w:p w14:paraId="0EECF92F" w14:textId="77777777" w:rsidR="00867DA1" w:rsidRDefault="00867DA1" w:rsidP="00CC2678">
      <w:pPr>
        <w:pStyle w:val="100"/>
        <w:rPr>
          <w:rtl/>
        </w:rPr>
      </w:pPr>
      <w:r w:rsidRPr="00CC2678">
        <w:rPr>
          <w:rFonts w:hint="cs"/>
          <w:rtl/>
        </w:rPr>
        <w:t>כפי שעולה מהתרשים, בעשור האחרון הולך ופוחת שיעור החוב מהתוצר. כאמור, בשנת 2018 חל</w:t>
      </w:r>
      <w:r>
        <w:rPr>
          <w:rFonts w:hint="cs"/>
          <w:rtl/>
        </w:rPr>
        <w:t xml:space="preserve"> שינוי במגמת הירידה.</w:t>
      </w:r>
    </w:p>
    <w:p w14:paraId="53AE2B27" w14:textId="5A17013A" w:rsidR="00867DA1" w:rsidRDefault="00867DA1" w:rsidP="00CC2678">
      <w:pPr>
        <w:pStyle w:val="af5"/>
        <w:rPr>
          <w:rtl/>
        </w:rPr>
      </w:pPr>
      <w:r w:rsidRPr="0008349C">
        <w:rPr>
          <w:rFonts w:hint="cs"/>
          <w:rtl/>
        </w:rPr>
        <w:lastRenderedPageBreak/>
        <w:t xml:space="preserve">משרד מבקר המדינה </w:t>
      </w:r>
      <w:r>
        <w:rPr>
          <w:rFonts w:hint="cs"/>
          <w:rtl/>
        </w:rPr>
        <w:t>מציין</w:t>
      </w:r>
      <w:r w:rsidRPr="0008349C">
        <w:rPr>
          <w:rFonts w:hint="cs"/>
          <w:rtl/>
        </w:rPr>
        <w:t xml:space="preserve"> </w:t>
      </w:r>
      <w:r>
        <w:rPr>
          <w:rFonts w:hint="cs"/>
          <w:rtl/>
        </w:rPr>
        <w:t>כי לנוכח התחזיות בדבר היקפו של הגירעון התקציבי של הממשלה בשנים הבאות , קיים חשש כי יימשך שינוי המגמה בהפחתת יחס החוב לתוצר, וכי הדבר ישפיע באופן שלילי</w:t>
      </w:r>
      <w:r w:rsidRPr="0008349C">
        <w:rPr>
          <w:rFonts w:hint="cs"/>
          <w:rtl/>
        </w:rPr>
        <w:t xml:space="preserve"> </w:t>
      </w:r>
      <w:r>
        <w:rPr>
          <w:rFonts w:hint="cs"/>
          <w:rtl/>
        </w:rPr>
        <w:t>על דירוג האשראי של המדינה ועל חוסנו הפיננסי של המשק.</w:t>
      </w:r>
    </w:p>
    <w:p w14:paraId="14471C79" w14:textId="77777777" w:rsidR="00867DA1" w:rsidRDefault="00867DA1" w:rsidP="00CC2678">
      <w:pPr>
        <w:pStyle w:val="100"/>
        <w:rPr>
          <w:rtl/>
        </w:rPr>
      </w:pPr>
      <w:r>
        <w:rPr>
          <w:rFonts w:hint="cs"/>
          <w:rtl/>
        </w:rPr>
        <w:t>יצוין כי סיכון אחר נובע מקצב הצמיחה של המשק. בשנה האחרונה הואט הקצב במידה ניכרת, ועימו התחזיות לקצב הצמיחה בשנים הבאות</w:t>
      </w:r>
      <w:r>
        <w:rPr>
          <w:rStyle w:val="FootnoteReference"/>
          <w:rtl/>
        </w:rPr>
        <w:footnoteReference w:id="67"/>
      </w:r>
      <w:r>
        <w:rPr>
          <w:rFonts w:hint="cs"/>
          <w:rtl/>
        </w:rPr>
        <w:t>. המשך מגמה כזה, שבה החוב הממשלתי</w:t>
      </w:r>
      <w:r w:rsidRPr="008D0853">
        <w:rPr>
          <w:rFonts w:hint="cs"/>
          <w:rtl/>
        </w:rPr>
        <w:t xml:space="preserve"> </w:t>
      </w:r>
      <w:r>
        <w:rPr>
          <w:rFonts w:hint="cs"/>
          <w:rtl/>
        </w:rPr>
        <w:t xml:space="preserve">גדל, ואילו קצב הצמיחה קטן, יש בו כדי להגדיל את יחס החוב-תוצר העתידי ולהשפיע באופן שלילי על התייחסותם של השווקים הפיננסיים למדינה ועל מצבו הכלכלי של המשק. </w:t>
      </w:r>
    </w:p>
    <w:p w14:paraId="596705DF" w14:textId="77777777" w:rsidR="00867DA1" w:rsidRDefault="00867DA1" w:rsidP="00CC2678">
      <w:pPr>
        <w:pStyle w:val="100"/>
        <w:rPr>
          <w:rtl/>
        </w:rPr>
      </w:pPr>
      <w:r>
        <w:rPr>
          <w:rFonts w:hint="cs"/>
          <w:rtl/>
        </w:rPr>
        <w:t>עלייה ביחס החוב לתוצר נחזתה גם בבדיקות כלכליות מקיפות אחרות שבוצעו. למשל, ארגון המדינות המפותחות פרסם</w:t>
      </w:r>
      <w:r>
        <w:rPr>
          <w:rStyle w:val="FootnoteReference"/>
          <w:rtl/>
        </w:rPr>
        <w:footnoteReference w:id="68"/>
      </w:r>
      <w:r>
        <w:rPr>
          <w:rFonts w:hint="cs"/>
          <w:rtl/>
        </w:rPr>
        <w:t xml:space="preserve"> במרץ 2018 תחזית כלכלית שעל פיה יחס החוב לתוצר של ישראל צפוי לעלות ל-61.7% ב-2019 ואף ל-62.5% בשנת 2020.</w:t>
      </w:r>
    </w:p>
    <w:p w14:paraId="58F7EC34" w14:textId="1D919733" w:rsidR="00CC2678" w:rsidRDefault="00867DA1" w:rsidP="00CC2678">
      <w:pPr>
        <w:pStyle w:val="100"/>
        <w:rPr>
          <w:rtl/>
        </w:rPr>
      </w:pPr>
      <w:r>
        <w:rPr>
          <w:rFonts w:hint="cs"/>
          <w:rtl/>
        </w:rPr>
        <w:t>גם בנק ישראל ציין לשלילה את העלייה ביחס הנידון. בדוח</w:t>
      </w:r>
      <w:r>
        <w:rPr>
          <w:rStyle w:val="FootnoteReference"/>
          <w:rtl/>
        </w:rPr>
        <w:footnoteReference w:id="69"/>
      </w:r>
      <w:r>
        <w:rPr>
          <w:rFonts w:hint="cs"/>
          <w:rtl/>
        </w:rPr>
        <w:t xml:space="preserve"> שפרסם הבנק נכתב: "עליית הגירעון הביאה השנה לעצירת מגמה בת כמה שנים של הורדת החוב הציבורי ביחס לתוצר... גירעונות בסדר גודל זה לאורך זמן צפויים להגדיל את יחס החוב לתוצר, שהקטנתו עד 2018 תרמה להעלאת דירוג האשראי של ישראל ולהפחתת ההוצאות של תשלומי הריבית על החוב החיצוני. הגדלת החוב בשנים של תעסוקה מלאה וצמיחה בהתאם לשיעור הפוטנציאלי תקשה על הממשלה לעודד את הפעילות בתקופות של האטה".</w:t>
      </w:r>
    </w:p>
    <w:p w14:paraId="75623F37" w14:textId="77777777" w:rsidR="00CC2678" w:rsidRDefault="00CC2678">
      <w:pPr>
        <w:bidi w:val="0"/>
        <w:spacing w:after="200" w:line="276" w:lineRule="auto"/>
        <w:rPr>
          <w:rFonts w:ascii="Tahoma" w:hAnsi="Tahoma" w:cs="Tahoma"/>
          <w:szCs w:val="20"/>
          <w:rtl/>
        </w:rPr>
      </w:pPr>
      <w:r>
        <w:rPr>
          <w:rtl/>
        </w:rPr>
        <w:br w:type="page"/>
      </w:r>
    </w:p>
    <w:p w14:paraId="7E2346B7" w14:textId="77777777" w:rsidR="00867DA1" w:rsidRDefault="00867DA1" w:rsidP="00CC2678">
      <w:pPr>
        <w:pStyle w:val="414"/>
        <w:rPr>
          <w:rtl/>
        </w:rPr>
      </w:pPr>
      <w:r>
        <w:rPr>
          <w:rFonts w:hint="cs"/>
          <w:rtl/>
        </w:rPr>
        <w:lastRenderedPageBreak/>
        <w:t>ניתוח הרגישות של החוב הממשלתי</w:t>
      </w:r>
    </w:p>
    <w:p w14:paraId="4971A3F9" w14:textId="77777777" w:rsidR="00867DA1" w:rsidRDefault="00867DA1" w:rsidP="00CC2678">
      <w:pPr>
        <w:pStyle w:val="100"/>
        <w:rPr>
          <w:rtl/>
        </w:rPr>
      </w:pPr>
      <w:r>
        <w:rPr>
          <w:rFonts w:hint="cs"/>
          <w:rtl/>
        </w:rPr>
        <w:t xml:space="preserve">כאמור, החוב הממשלתי הוא 788.3 מיליארד ש"ח. להלן בתרשים 15 </w:t>
      </w:r>
      <w:r w:rsidRPr="00383B5D">
        <w:rPr>
          <w:rFonts w:hint="cs"/>
          <w:rtl/>
        </w:rPr>
        <w:t xml:space="preserve">התפלגות </w:t>
      </w:r>
      <w:r>
        <w:rPr>
          <w:rFonts w:hint="cs"/>
          <w:rtl/>
        </w:rPr>
        <w:t>הרכב ה</w:t>
      </w:r>
      <w:r w:rsidRPr="00383B5D">
        <w:rPr>
          <w:rFonts w:hint="cs"/>
          <w:rtl/>
        </w:rPr>
        <w:t>חוב</w:t>
      </w:r>
      <w:r>
        <w:rPr>
          <w:rFonts w:hint="cs"/>
          <w:rtl/>
        </w:rPr>
        <w:t xml:space="preserve"> (במיליארד ש"ח):</w:t>
      </w:r>
      <w:r w:rsidRPr="00383B5D">
        <w:rPr>
          <w:rFonts w:hint="cs"/>
          <w:rtl/>
        </w:rPr>
        <w:t xml:space="preserve"> </w:t>
      </w:r>
    </w:p>
    <w:p w14:paraId="1BC70AA7" w14:textId="77777777" w:rsidR="00867DA1" w:rsidRPr="00CC2678" w:rsidRDefault="00867DA1" w:rsidP="00CC2678">
      <w:pPr>
        <w:pStyle w:val="aa"/>
        <w:rPr>
          <w:b/>
          <w:bCs/>
          <w:rtl/>
        </w:rPr>
      </w:pPr>
      <w:bookmarkStart w:id="11" w:name="_Ref31475010"/>
      <w:r w:rsidRPr="001059E6">
        <w:rPr>
          <w:rFonts w:hint="cs"/>
          <w:rtl/>
        </w:rPr>
        <w:t>תרשים 15</w:t>
      </w:r>
      <w:bookmarkEnd w:id="11"/>
      <w:r w:rsidRPr="001059E6">
        <w:rPr>
          <w:rFonts w:hint="cs"/>
          <w:rtl/>
        </w:rPr>
        <w:t xml:space="preserve">: </w:t>
      </w:r>
      <w:r w:rsidRPr="00CC2678">
        <w:rPr>
          <w:rFonts w:hint="cs"/>
          <w:b/>
          <w:bCs/>
          <w:rtl/>
        </w:rPr>
        <w:t>הרכב החוב הממשלתי ב-31.12.18 (במיליארד ש"ח)</w:t>
      </w:r>
    </w:p>
    <w:p w14:paraId="3DF07518" w14:textId="77777777" w:rsidR="00867DA1" w:rsidRDefault="00867DA1" w:rsidP="00867DA1">
      <w:pPr>
        <w:tabs>
          <w:tab w:val="left" w:pos="3684"/>
        </w:tabs>
        <w:spacing w:line="269" w:lineRule="auto"/>
        <w:jc w:val="center"/>
        <w:rPr>
          <w:rtl/>
        </w:rPr>
      </w:pPr>
      <w:r>
        <w:rPr>
          <w:noProof/>
        </w:rPr>
        <w:drawing>
          <wp:inline distT="0" distB="0" distL="0" distR="0" wp14:anchorId="65496325" wp14:editId="589923D2">
            <wp:extent cx="4298315" cy="2293657"/>
            <wp:effectExtent l="0" t="0" r="6985" b="11430"/>
            <wp:docPr id="38"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539815" w14:textId="4962860D" w:rsidR="00CC2678" w:rsidRDefault="00386E47" w:rsidP="00386E47">
      <w:pPr>
        <w:pStyle w:val="ac"/>
        <w:rPr>
          <w:rtl/>
        </w:rPr>
      </w:pPr>
      <w:r>
        <w:rPr>
          <w:rFonts w:hint="cs"/>
          <w:rtl/>
        </w:rPr>
        <w:t>המקור: הדוח השנתי יחידת ניהול החוב הממשלתי לשנת 2018, אגף החשב הכללי משרד האוצר.</w:t>
      </w:r>
    </w:p>
    <w:p w14:paraId="63BD72EB" w14:textId="77777777" w:rsidR="00386E47" w:rsidRDefault="00386E47" w:rsidP="00386E47">
      <w:pPr>
        <w:pStyle w:val="ac"/>
        <w:rPr>
          <w:rtl/>
        </w:rPr>
      </w:pPr>
    </w:p>
    <w:p w14:paraId="55C6F484" w14:textId="13615DAE" w:rsidR="00867DA1" w:rsidRDefault="00867DA1" w:rsidP="00CC2678">
      <w:pPr>
        <w:pStyle w:val="100"/>
        <w:rPr>
          <w:rtl/>
        </w:rPr>
      </w:pPr>
      <w:r>
        <w:rPr>
          <w:rFonts w:hint="cs"/>
          <w:rtl/>
        </w:rPr>
        <w:t>מהתרשים עולה כי החוב מורכב מחוב מקומי סחיר בהיקף של 443.7 מיליארד ש"ח - שהוא מרבית החוב (כ-56% מהחוב); חוב מקומי לא סחיר בהיקף של 230.9 מיליארד ש"ח (כ-29% מהחוב); חוב במט"ח בהיקף של כ-</w:t>
      </w:r>
      <w:r w:rsidRPr="009E493E">
        <w:rPr>
          <w:rFonts w:hint="cs"/>
          <w:rtl/>
        </w:rPr>
        <w:t>113.7</w:t>
      </w:r>
      <w:r>
        <w:rPr>
          <w:rFonts w:hint="cs"/>
          <w:rtl/>
        </w:rPr>
        <w:t xml:space="preserve"> מיליארד ש"ח (כ-14% מהחוב). </w:t>
      </w:r>
    </w:p>
    <w:p w14:paraId="14FA91C9" w14:textId="77777777" w:rsidR="00867DA1" w:rsidRDefault="00867DA1" w:rsidP="00CC2678">
      <w:pPr>
        <w:pStyle w:val="100"/>
        <w:rPr>
          <w:rtl/>
        </w:rPr>
      </w:pPr>
      <w:r>
        <w:rPr>
          <w:rFonts w:hint="cs"/>
          <w:rtl/>
        </w:rPr>
        <w:t>בלוח 8 להלן מוצגת רגישות החוב הממשלתי לגורמי סיכון עיקריים:</w:t>
      </w:r>
    </w:p>
    <w:p w14:paraId="78610B4A" w14:textId="77777777" w:rsidR="00867DA1" w:rsidRDefault="00867DA1" w:rsidP="00CC2678">
      <w:pPr>
        <w:pStyle w:val="aa"/>
        <w:rPr>
          <w:rtl/>
        </w:rPr>
      </w:pPr>
      <w:r>
        <w:rPr>
          <w:rFonts w:hint="cs"/>
          <w:rtl/>
        </w:rPr>
        <w:t xml:space="preserve">לוח 8: </w:t>
      </w:r>
      <w:r w:rsidRPr="00CC2678">
        <w:rPr>
          <w:rFonts w:hint="eastAsia"/>
          <w:b/>
          <w:bCs/>
          <w:rtl/>
        </w:rPr>
        <w:t>רגישות</w:t>
      </w:r>
      <w:r w:rsidRPr="00CC2678">
        <w:rPr>
          <w:b/>
          <w:bCs/>
          <w:rtl/>
        </w:rPr>
        <w:t xml:space="preserve"> </w:t>
      </w:r>
      <w:r w:rsidRPr="00CC2678">
        <w:rPr>
          <w:rFonts w:hint="eastAsia"/>
          <w:b/>
          <w:bCs/>
          <w:rtl/>
        </w:rPr>
        <w:t>החוב</w:t>
      </w:r>
      <w:r w:rsidRPr="00CC2678">
        <w:rPr>
          <w:b/>
          <w:bCs/>
          <w:rtl/>
        </w:rPr>
        <w:t xml:space="preserve"> </w:t>
      </w:r>
      <w:r w:rsidRPr="00CC2678">
        <w:rPr>
          <w:rFonts w:hint="eastAsia"/>
          <w:b/>
          <w:bCs/>
          <w:rtl/>
        </w:rPr>
        <w:t>הממשלתי</w:t>
      </w:r>
      <w:r w:rsidRPr="00CC2678">
        <w:rPr>
          <w:b/>
          <w:bCs/>
          <w:rtl/>
        </w:rPr>
        <w:t xml:space="preserve"> </w:t>
      </w:r>
      <w:r w:rsidRPr="00CC2678">
        <w:rPr>
          <w:rFonts w:hint="eastAsia"/>
          <w:b/>
          <w:bCs/>
          <w:rtl/>
        </w:rPr>
        <w:t>לגורמי</w:t>
      </w:r>
      <w:r w:rsidRPr="00CC2678">
        <w:rPr>
          <w:b/>
          <w:bCs/>
          <w:rtl/>
        </w:rPr>
        <w:t xml:space="preserve"> </w:t>
      </w:r>
      <w:r w:rsidRPr="00CC2678">
        <w:rPr>
          <w:rFonts w:hint="eastAsia"/>
          <w:b/>
          <w:bCs/>
          <w:rtl/>
        </w:rPr>
        <w:t>סיכון</w:t>
      </w:r>
      <w:r w:rsidRPr="00CC2678">
        <w:rPr>
          <w:b/>
          <w:bCs/>
          <w:rtl/>
        </w:rPr>
        <w:t xml:space="preserve"> </w:t>
      </w:r>
      <w:r w:rsidRPr="00CC2678">
        <w:rPr>
          <w:rFonts w:hint="eastAsia"/>
          <w:b/>
          <w:bCs/>
          <w:rtl/>
        </w:rPr>
        <w:t>עיקריים</w:t>
      </w:r>
      <w:r w:rsidRPr="00CC2678">
        <w:rPr>
          <w:b/>
          <w:bCs/>
          <w:rtl/>
        </w:rPr>
        <w:t xml:space="preserve"> (במיליוני </w:t>
      </w:r>
      <w:r w:rsidRPr="00CC2678">
        <w:rPr>
          <w:rFonts w:hint="eastAsia"/>
          <w:b/>
          <w:bCs/>
          <w:rtl/>
        </w:rPr>
        <w:t>ש</w:t>
      </w:r>
      <w:r w:rsidRPr="00CC2678">
        <w:rPr>
          <w:b/>
          <w:bCs/>
          <w:rtl/>
        </w:rPr>
        <w:t>"ח)</w:t>
      </w:r>
    </w:p>
    <w:tbl>
      <w:tblPr>
        <w:tblStyle w:val="TableGrid"/>
        <w:bidiVisual/>
        <w:tblW w:w="0" w:type="auto"/>
        <w:jc w:val="center"/>
        <w:tblLook w:val="04A0" w:firstRow="1" w:lastRow="0" w:firstColumn="1" w:lastColumn="0" w:noHBand="0" w:noVBand="1"/>
      </w:tblPr>
      <w:tblGrid>
        <w:gridCol w:w="2802"/>
        <w:gridCol w:w="1237"/>
        <w:gridCol w:w="1442"/>
        <w:gridCol w:w="1368"/>
        <w:gridCol w:w="1341"/>
      </w:tblGrid>
      <w:tr w:rsidR="00867DA1" w:rsidRPr="003761B7" w14:paraId="276A697E" w14:textId="77777777" w:rsidTr="00CC2678">
        <w:trPr>
          <w:jc w:val="center"/>
        </w:trPr>
        <w:tc>
          <w:tcPr>
            <w:tcW w:w="2802" w:type="dxa"/>
            <w:shd w:val="clear" w:color="auto" w:fill="auto"/>
            <w:vAlign w:val="bottom"/>
          </w:tcPr>
          <w:p w14:paraId="3DFB16FC" w14:textId="77777777" w:rsidR="00867DA1" w:rsidRPr="00CC2678" w:rsidRDefault="00867DA1" w:rsidP="009A493E">
            <w:pPr>
              <w:pStyle w:val="B"/>
              <w:rPr>
                <w:szCs w:val="20"/>
                <w:rtl/>
              </w:rPr>
            </w:pPr>
            <w:r w:rsidRPr="00CC2678">
              <w:rPr>
                <w:rFonts w:hint="cs"/>
                <w:szCs w:val="20"/>
                <w:rtl/>
              </w:rPr>
              <w:t>הפסד מגידול בשיעור 1% במדד המחירים לצרכן</w:t>
            </w:r>
            <w:r w:rsidRPr="00CC2678">
              <w:rPr>
                <w:rFonts w:hint="cs"/>
              </w:rPr>
              <w:t xml:space="preserve"> </w:t>
            </w:r>
          </w:p>
        </w:tc>
        <w:tc>
          <w:tcPr>
            <w:tcW w:w="1237" w:type="dxa"/>
            <w:shd w:val="clear" w:color="auto" w:fill="auto"/>
            <w:vAlign w:val="bottom"/>
          </w:tcPr>
          <w:p w14:paraId="64AD9A2F" w14:textId="77777777" w:rsidR="00867DA1" w:rsidRPr="00CC2678" w:rsidRDefault="00867DA1" w:rsidP="009A493E">
            <w:pPr>
              <w:pStyle w:val="B"/>
              <w:rPr>
                <w:szCs w:val="20"/>
                <w:rtl/>
              </w:rPr>
            </w:pPr>
          </w:p>
        </w:tc>
        <w:tc>
          <w:tcPr>
            <w:tcW w:w="1442" w:type="dxa"/>
            <w:shd w:val="clear" w:color="auto" w:fill="auto"/>
            <w:vAlign w:val="bottom"/>
          </w:tcPr>
          <w:p w14:paraId="7300F8B4" w14:textId="77777777" w:rsidR="00867DA1" w:rsidRPr="00CC2678" w:rsidRDefault="00867DA1" w:rsidP="009A493E">
            <w:pPr>
              <w:pStyle w:val="B"/>
              <w:rPr>
                <w:szCs w:val="20"/>
                <w:rtl/>
              </w:rPr>
            </w:pPr>
            <w:r w:rsidRPr="00CC2678">
              <w:rPr>
                <w:rFonts w:hint="cs"/>
                <w:szCs w:val="20"/>
                <w:rtl/>
              </w:rPr>
              <w:t>(4,081)</w:t>
            </w:r>
          </w:p>
        </w:tc>
        <w:tc>
          <w:tcPr>
            <w:tcW w:w="1368" w:type="dxa"/>
            <w:shd w:val="clear" w:color="auto" w:fill="auto"/>
            <w:vAlign w:val="bottom"/>
          </w:tcPr>
          <w:p w14:paraId="0752065C" w14:textId="77777777" w:rsidR="00867DA1" w:rsidRPr="00CC2678" w:rsidRDefault="00867DA1" w:rsidP="009A493E">
            <w:pPr>
              <w:pStyle w:val="B"/>
              <w:rPr>
                <w:szCs w:val="20"/>
                <w:rtl/>
              </w:rPr>
            </w:pPr>
            <w:r w:rsidRPr="00CC2678">
              <w:rPr>
                <w:rFonts w:hint="cs"/>
                <w:szCs w:val="20"/>
                <w:rtl/>
              </w:rPr>
              <w:t>השווי במאזן</w:t>
            </w:r>
          </w:p>
        </w:tc>
        <w:tc>
          <w:tcPr>
            <w:tcW w:w="1341" w:type="dxa"/>
            <w:shd w:val="clear" w:color="auto" w:fill="auto"/>
            <w:vAlign w:val="bottom"/>
          </w:tcPr>
          <w:p w14:paraId="70CA995D" w14:textId="77777777" w:rsidR="00867DA1" w:rsidRPr="00CC2678" w:rsidRDefault="00867DA1" w:rsidP="009A493E">
            <w:pPr>
              <w:pStyle w:val="B"/>
              <w:rPr>
                <w:szCs w:val="20"/>
                <w:rtl/>
              </w:rPr>
            </w:pPr>
            <w:r w:rsidRPr="00CC2678">
              <w:rPr>
                <w:rFonts w:hint="cs"/>
                <w:szCs w:val="20"/>
                <w:rtl/>
              </w:rPr>
              <w:t>408,090</w:t>
            </w:r>
          </w:p>
        </w:tc>
      </w:tr>
      <w:tr w:rsidR="00867DA1" w:rsidRPr="003761B7" w14:paraId="403F8628" w14:textId="77777777" w:rsidTr="00CC2678">
        <w:trPr>
          <w:jc w:val="center"/>
        </w:trPr>
        <w:tc>
          <w:tcPr>
            <w:tcW w:w="2802" w:type="dxa"/>
            <w:vMerge w:val="restart"/>
            <w:shd w:val="clear" w:color="auto" w:fill="auto"/>
            <w:vAlign w:val="bottom"/>
          </w:tcPr>
          <w:p w14:paraId="385DBF0C" w14:textId="77777777" w:rsidR="00867DA1" w:rsidRPr="00CC2678" w:rsidRDefault="00867DA1" w:rsidP="009A493E">
            <w:pPr>
              <w:pStyle w:val="B"/>
              <w:rPr>
                <w:szCs w:val="20"/>
                <w:rtl/>
              </w:rPr>
            </w:pPr>
            <w:r w:rsidRPr="00CC2678">
              <w:rPr>
                <w:rFonts w:hint="cs"/>
                <w:szCs w:val="20"/>
                <w:rtl/>
              </w:rPr>
              <w:t>הפסד מגידול בשיעור 1% בשער חליפין</w:t>
            </w:r>
          </w:p>
        </w:tc>
        <w:tc>
          <w:tcPr>
            <w:tcW w:w="1237" w:type="dxa"/>
            <w:shd w:val="clear" w:color="auto" w:fill="auto"/>
            <w:vAlign w:val="bottom"/>
          </w:tcPr>
          <w:p w14:paraId="7F76F2A4" w14:textId="77777777" w:rsidR="00867DA1" w:rsidRPr="00CC2678" w:rsidRDefault="00867DA1" w:rsidP="009A493E">
            <w:pPr>
              <w:pStyle w:val="B"/>
              <w:rPr>
                <w:szCs w:val="20"/>
                <w:rtl/>
              </w:rPr>
            </w:pPr>
            <w:r w:rsidRPr="00CC2678">
              <w:rPr>
                <w:rFonts w:hint="cs"/>
                <w:szCs w:val="20"/>
                <w:rtl/>
              </w:rPr>
              <w:t>שער הדולר</w:t>
            </w:r>
          </w:p>
        </w:tc>
        <w:tc>
          <w:tcPr>
            <w:tcW w:w="1442" w:type="dxa"/>
            <w:shd w:val="clear" w:color="auto" w:fill="auto"/>
            <w:vAlign w:val="bottom"/>
          </w:tcPr>
          <w:p w14:paraId="11478221" w14:textId="77777777" w:rsidR="00867DA1" w:rsidRPr="00CC2678" w:rsidRDefault="00867DA1" w:rsidP="009A493E">
            <w:pPr>
              <w:pStyle w:val="B"/>
              <w:rPr>
                <w:szCs w:val="20"/>
                <w:rtl/>
              </w:rPr>
            </w:pPr>
            <w:r w:rsidRPr="00CC2678">
              <w:rPr>
                <w:rFonts w:hint="cs"/>
                <w:szCs w:val="20"/>
                <w:rtl/>
              </w:rPr>
              <w:t>(862)</w:t>
            </w:r>
            <w:r w:rsidRPr="00CC2678">
              <w:rPr>
                <w:szCs w:val="20"/>
                <w:rtl/>
              </w:rPr>
              <w:t xml:space="preserve"> </w:t>
            </w:r>
          </w:p>
        </w:tc>
        <w:tc>
          <w:tcPr>
            <w:tcW w:w="1368" w:type="dxa"/>
            <w:vMerge w:val="restart"/>
            <w:shd w:val="clear" w:color="auto" w:fill="auto"/>
            <w:vAlign w:val="bottom"/>
          </w:tcPr>
          <w:p w14:paraId="7F57EBE6" w14:textId="77777777" w:rsidR="00867DA1" w:rsidRPr="00CC2678" w:rsidRDefault="00867DA1" w:rsidP="009A493E">
            <w:pPr>
              <w:pStyle w:val="B"/>
              <w:rPr>
                <w:szCs w:val="20"/>
                <w:rtl/>
              </w:rPr>
            </w:pPr>
            <w:r w:rsidRPr="00CC2678">
              <w:rPr>
                <w:rFonts w:hint="cs"/>
                <w:szCs w:val="20"/>
                <w:rtl/>
              </w:rPr>
              <w:t>השווי במאזן</w:t>
            </w:r>
          </w:p>
        </w:tc>
        <w:tc>
          <w:tcPr>
            <w:tcW w:w="1341" w:type="dxa"/>
            <w:shd w:val="clear" w:color="auto" w:fill="auto"/>
            <w:vAlign w:val="bottom"/>
          </w:tcPr>
          <w:p w14:paraId="6B01D46F" w14:textId="77777777" w:rsidR="00867DA1" w:rsidRPr="00CC2678" w:rsidRDefault="00867DA1" w:rsidP="009A493E">
            <w:pPr>
              <w:pStyle w:val="B"/>
              <w:rPr>
                <w:szCs w:val="20"/>
                <w:rtl/>
              </w:rPr>
            </w:pPr>
            <w:r w:rsidRPr="00CC2678">
              <w:rPr>
                <w:rFonts w:hint="cs"/>
                <w:szCs w:val="20"/>
                <w:rtl/>
              </w:rPr>
              <w:t>86,207</w:t>
            </w:r>
          </w:p>
        </w:tc>
      </w:tr>
      <w:tr w:rsidR="00867DA1" w:rsidRPr="003761B7" w14:paraId="56DCFB9C" w14:textId="77777777" w:rsidTr="00CC2678">
        <w:trPr>
          <w:jc w:val="center"/>
        </w:trPr>
        <w:tc>
          <w:tcPr>
            <w:tcW w:w="2802" w:type="dxa"/>
            <w:vMerge/>
            <w:shd w:val="clear" w:color="auto" w:fill="auto"/>
            <w:vAlign w:val="bottom"/>
          </w:tcPr>
          <w:p w14:paraId="600A92A8" w14:textId="77777777" w:rsidR="00867DA1" w:rsidRPr="00CC2678" w:rsidRDefault="00867DA1" w:rsidP="009A493E">
            <w:pPr>
              <w:pStyle w:val="B"/>
              <w:rPr>
                <w:szCs w:val="20"/>
                <w:rtl/>
              </w:rPr>
            </w:pPr>
          </w:p>
        </w:tc>
        <w:tc>
          <w:tcPr>
            <w:tcW w:w="1237" w:type="dxa"/>
            <w:shd w:val="clear" w:color="auto" w:fill="auto"/>
            <w:vAlign w:val="bottom"/>
          </w:tcPr>
          <w:p w14:paraId="10A926FA" w14:textId="77777777" w:rsidR="00867DA1" w:rsidRPr="00CC2678" w:rsidRDefault="00867DA1" w:rsidP="009A493E">
            <w:pPr>
              <w:pStyle w:val="B"/>
              <w:rPr>
                <w:szCs w:val="20"/>
                <w:rtl/>
              </w:rPr>
            </w:pPr>
            <w:r w:rsidRPr="00CC2678">
              <w:rPr>
                <w:rFonts w:hint="cs"/>
                <w:szCs w:val="20"/>
                <w:rtl/>
              </w:rPr>
              <w:t>שער היורו</w:t>
            </w:r>
          </w:p>
        </w:tc>
        <w:tc>
          <w:tcPr>
            <w:tcW w:w="1442" w:type="dxa"/>
            <w:shd w:val="clear" w:color="auto" w:fill="auto"/>
            <w:vAlign w:val="bottom"/>
          </w:tcPr>
          <w:p w14:paraId="44490688" w14:textId="77777777" w:rsidR="00867DA1" w:rsidRPr="00CC2678" w:rsidRDefault="00867DA1" w:rsidP="009A493E">
            <w:pPr>
              <w:pStyle w:val="B"/>
              <w:rPr>
                <w:szCs w:val="20"/>
                <w:rtl/>
              </w:rPr>
            </w:pPr>
            <w:r w:rsidRPr="00CC2678">
              <w:rPr>
                <w:rFonts w:hint="cs"/>
                <w:szCs w:val="20"/>
                <w:rtl/>
              </w:rPr>
              <w:t>(255)</w:t>
            </w:r>
          </w:p>
        </w:tc>
        <w:tc>
          <w:tcPr>
            <w:tcW w:w="1368" w:type="dxa"/>
            <w:vMerge/>
            <w:shd w:val="clear" w:color="auto" w:fill="auto"/>
            <w:vAlign w:val="bottom"/>
          </w:tcPr>
          <w:p w14:paraId="408C74B6" w14:textId="77777777" w:rsidR="00867DA1" w:rsidRPr="00CC2678" w:rsidRDefault="00867DA1" w:rsidP="009A493E">
            <w:pPr>
              <w:pStyle w:val="B"/>
              <w:rPr>
                <w:szCs w:val="20"/>
                <w:rtl/>
              </w:rPr>
            </w:pPr>
          </w:p>
        </w:tc>
        <w:tc>
          <w:tcPr>
            <w:tcW w:w="1341" w:type="dxa"/>
            <w:shd w:val="clear" w:color="auto" w:fill="auto"/>
            <w:vAlign w:val="bottom"/>
          </w:tcPr>
          <w:p w14:paraId="676633C5" w14:textId="77777777" w:rsidR="00867DA1" w:rsidRPr="00CC2678" w:rsidRDefault="00867DA1" w:rsidP="009A493E">
            <w:pPr>
              <w:pStyle w:val="B"/>
              <w:rPr>
                <w:szCs w:val="20"/>
                <w:rtl/>
              </w:rPr>
            </w:pPr>
            <w:r w:rsidRPr="00CC2678">
              <w:rPr>
                <w:rFonts w:hint="cs"/>
                <w:szCs w:val="20"/>
                <w:rtl/>
              </w:rPr>
              <w:t>25,468</w:t>
            </w:r>
          </w:p>
        </w:tc>
      </w:tr>
    </w:tbl>
    <w:p w14:paraId="76AD70DA" w14:textId="77777777" w:rsidR="00867DA1" w:rsidRPr="00E138FE" w:rsidRDefault="00867DA1" w:rsidP="009A493E">
      <w:pPr>
        <w:pStyle w:val="ac"/>
        <w:rPr>
          <w:rtl/>
        </w:rPr>
      </w:pPr>
      <w:r w:rsidRPr="00E138FE">
        <w:rPr>
          <w:rFonts w:hint="cs"/>
          <w:rtl/>
        </w:rPr>
        <w:t>המקור: הדוחות הכספיים</w:t>
      </w:r>
      <w:r w:rsidRPr="00E138FE">
        <w:rPr>
          <w:rtl/>
        </w:rPr>
        <w:t xml:space="preserve">, </w:t>
      </w:r>
      <w:r w:rsidRPr="00E138FE">
        <w:rPr>
          <w:rFonts w:hint="cs"/>
          <w:rtl/>
        </w:rPr>
        <w:t>עמ' 349</w:t>
      </w:r>
    </w:p>
    <w:p w14:paraId="76CF4B96" w14:textId="15FDEE3C" w:rsidR="00867DA1" w:rsidRPr="00FD666C" w:rsidRDefault="00867DA1" w:rsidP="009A493E">
      <w:pPr>
        <w:pStyle w:val="100"/>
        <w:rPr>
          <w:rtl/>
        </w:rPr>
      </w:pPr>
    </w:p>
    <w:p w14:paraId="0993A505" w14:textId="77777777" w:rsidR="00867DA1" w:rsidRDefault="00867DA1" w:rsidP="009A493E">
      <w:pPr>
        <w:pStyle w:val="100"/>
        <w:rPr>
          <w:rtl/>
        </w:rPr>
      </w:pPr>
      <w:r>
        <w:rPr>
          <w:rFonts w:hint="cs"/>
          <w:rtl/>
        </w:rPr>
        <w:t xml:space="preserve">מלוח 8 נובע כי החוב רגיש בעיקר לעלייה במדד המחירים לצרכן - 52% מהחוב - כ-409 מיליארד ש"ח, נמצא באפיק הצמוד למדד זה. כך, כל עלייה של 1% במדד תביא עלייה של כ-4.1 מיליארד ש"ח בהיקף החוב. יצוין כי בשנת 2018 עלה מדד המחירים לצרכן </w:t>
      </w:r>
      <w:r w:rsidRPr="00E00FCE">
        <w:rPr>
          <w:rFonts w:hint="cs"/>
          <w:rtl/>
        </w:rPr>
        <w:t>בשיעור של</w:t>
      </w:r>
      <w:r>
        <w:rPr>
          <w:rFonts w:hint="cs"/>
          <w:rtl/>
        </w:rPr>
        <w:t xml:space="preserve"> 0.8%, ואילו בתשעת החודשים הראשונים של שנת 2019 עלה מדד זה ב-0.6%. </w:t>
      </w:r>
    </w:p>
    <w:p w14:paraId="0CD079AF" w14:textId="77777777" w:rsidR="00867DA1" w:rsidRDefault="00867DA1" w:rsidP="009A493E">
      <w:pPr>
        <w:pStyle w:val="100"/>
        <w:rPr>
          <w:rtl/>
        </w:rPr>
      </w:pPr>
      <w:r>
        <w:rPr>
          <w:rFonts w:hint="cs"/>
          <w:rtl/>
        </w:rPr>
        <w:lastRenderedPageBreak/>
        <w:t>עוד עולה מהלוח כי החוב רגיש לעלייה בשער המט"ח, אך פחות, שכן רק 14% מהחוב צמוד למט"ח. כך, כל עלייה של 1% בשער הדולר תביא עלייה של כ-0.86 מיליארד ש"ח בהיקף החוב, וכל עלייה של 1% בשער היורו תביא עלייה של כ-0.25 מיליארד ש"ח בהיקף החוב.</w:t>
      </w:r>
    </w:p>
    <w:p w14:paraId="7EC9B3C0" w14:textId="77777777" w:rsidR="00867DA1" w:rsidRDefault="00867DA1" w:rsidP="009A493E">
      <w:pPr>
        <w:pStyle w:val="414"/>
        <w:rPr>
          <w:rtl/>
        </w:rPr>
      </w:pPr>
      <w:r>
        <w:rPr>
          <w:rFonts w:hint="cs"/>
          <w:rtl/>
        </w:rPr>
        <w:t>ניתוח של הוצאות המימון</w:t>
      </w:r>
    </w:p>
    <w:p w14:paraId="30A8DCB3" w14:textId="77777777" w:rsidR="00867DA1" w:rsidRDefault="00867DA1" w:rsidP="009A493E">
      <w:pPr>
        <w:pStyle w:val="100"/>
        <w:rPr>
          <w:rtl/>
        </w:rPr>
      </w:pPr>
      <w:r>
        <w:rPr>
          <w:rFonts w:hint="cs"/>
          <w:rtl/>
        </w:rPr>
        <w:t xml:space="preserve">בלוח 9 להלן מוצג הרכב הסעיף הוצאות המימון בדוח על הביצוע הכספי לשנת 2018: </w:t>
      </w:r>
    </w:p>
    <w:p w14:paraId="292BCBDF" w14:textId="77777777" w:rsidR="00867DA1" w:rsidRPr="00B636B6" w:rsidRDefault="00867DA1" w:rsidP="00B636B6">
      <w:pPr>
        <w:pStyle w:val="aa"/>
        <w:rPr>
          <w:b/>
          <w:bCs/>
          <w:rtl/>
        </w:rPr>
      </w:pPr>
      <w:bookmarkStart w:id="12" w:name="_Ref31475616"/>
      <w:r w:rsidRPr="0067787D">
        <w:rPr>
          <w:rFonts w:hint="eastAsia"/>
          <w:rtl/>
        </w:rPr>
        <w:t>לוח</w:t>
      </w:r>
      <w:r w:rsidRPr="0067787D">
        <w:rPr>
          <w:rtl/>
        </w:rPr>
        <w:t xml:space="preserve"> </w:t>
      </w:r>
      <w:bookmarkEnd w:id="12"/>
      <w:r w:rsidRPr="0067787D">
        <w:rPr>
          <w:rFonts w:hint="cs"/>
          <w:rtl/>
        </w:rPr>
        <w:t>9</w:t>
      </w:r>
      <w:r w:rsidRPr="0067787D">
        <w:rPr>
          <w:rtl/>
        </w:rPr>
        <w:t xml:space="preserve">: </w:t>
      </w:r>
      <w:r w:rsidRPr="00B636B6">
        <w:rPr>
          <w:rFonts w:hint="eastAsia"/>
          <w:b/>
          <w:bCs/>
          <w:rtl/>
        </w:rPr>
        <w:t>הרכב</w:t>
      </w:r>
      <w:r w:rsidRPr="00B636B6">
        <w:rPr>
          <w:b/>
          <w:bCs/>
          <w:rtl/>
        </w:rPr>
        <w:t xml:space="preserve"> </w:t>
      </w:r>
      <w:r w:rsidRPr="00B636B6">
        <w:rPr>
          <w:rFonts w:hint="eastAsia"/>
          <w:b/>
          <w:bCs/>
          <w:rtl/>
        </w:rPr>
        <w:t>הוצאות</w:t>
      </w:r>
      <w:r w:rsidRPr="00B636B6">
        <w:rPr>
          <w:b/>
          <w:bCs/>
          <w:rtl/>
        </w:rPr>
        <w:t xml:space="preserve"> </w:t>
      </w:r>
      <w:r w:rsidRPr="00B636B6">
        <w:rPr>
          <w:rFonts w:hint="eastAsia"/>
          <w:b/>
          <w:bCs/>
          <w:rtl/>
        </w:rPr>
        <w:t>מימון</w:t>
      </w:r>
      <w:r w:rsidRPr="00B636B6">
        <w:rPr>
          <w:b/>
          <w:bCs/>
          <w:rtl/>
        </w:rPr>
        <w:t xml:space="preserve">, </w:t>
      </w:r>
      <w:r w:rsidRPr="00B636B6">
        <w:rPr>
          <w:rFonts w:hint="eastAsia"/>
          <w:b/>
          <w:bCs/>
          <w:rtl/>
        </w:rPr>
        <w:t>נטו</w:t>
      </w:r>
      <w:r w:rsidRPr="00B636B6">
        <w:rPr>
          <w:b/>
          <w:bCs/>
          <w:rtl/>
        </w:rPr>
        <w:t xml:space="preserve"> (במיליוני </w:t>
      </w:r>
      <w:r w:rsidRPr="00B636B6">
        <w:rPr>
          <w:rFonts w:hint="eastAsia"/>
          <w:b/>
          <w:bCs/>
          <w:rtl/>
        </w:rPr>
        <w:t>ש</w:t>
      </w:r>
      <w:r w:rsidRPr="00B636B6">
        <w:rPr>
          <w:b/>
          <w:bCs/>
          <w:rtl/>
        </w:rPr>
        <w:t>"ח)</w:t>
      </w:r>
    </w:p>
    <w:tbl>
      <w:tblPr>
        <w:tblStyle w:val="TableGrid"/>
        <w:bidiVisual/>
        <w:tblW w:w="0" w:type="auto"/>
        <w:jc w:val="center"/>
        <w:tblLook w:val="04A0" w:firstRow="1" w:lastRow="0" w:firstColumn="1" w:lastColumn="0" w:noHBand="0" w:noVBand="1"/>
      </w:tblPr>
      <w:tblGrid>
        <w:gridCol w:w="4365"/>
        <w:gridCol w:w="916"/>
        <w:gridCol w:w="916"/>
      </w:tblGrid>
      <w:tr w:rsidR="00867DA1" w:rsidRPr="003761B7" w14:paraId="1EFEE7D2" w14:textId="77777777" w:rsidTr="00FB4908">
        <w:trPr>
          <w:jc w:val="center"/>
        </w:trPr>
        <w:tc>
          <w:tcPr>
            <w:tcW w:w="0" w:type="auto"/>
            <w:shd w:val="clear" w:color="auto" w:fill="C6D9F1"/>
            <w:vAlign w:val="bottom"/>
          </w:tcPr>
          <w:p w14:paraId="1038FB50" w14:textId="77777777" w:rsidR="00867DA1" w:rsidRPr="00B61D46" w:rsidRDefault="00867DA1" w:rsidP="00B61D46">
            <w:pPr>
              <w:pStyle w:val="af1"/>
              <w:rPr>
                <w:rtl/>
              </w:rPr>
            </w:pPr>
          </w:p>
        </w:tc>
        <w:tc>
          <w:tcPr>
            <w:tcW w:w="0" w:type="auto"/>
            <w:shd w:val="clear" w:color="auto" w:fill="C6D9F1"/>
            <w:vAlign w:val="bottom"/>
          </w:tcPr>
          <w:p w14:paraId="750DE29B" w14:textId="77777777" w:rsidR="00867DA1" w:rsidRPr="00B61D46" w:rsidRDefault="00867DA1" w:rsidP="00B61D46">
            <w:pPr>
              <w:pStyle w:val="af1"/>
              <w:rPr>
                <w:rtl/>
              </w:rPr>
            </w:pPr>
            <w:r w:rsidRPr="00B61D46">
              <w:rPr>
                <w:rFonts w:hint="cs"/>
                <w:rtl/>
              </w:rPr>
              <w:t>2017</w:t>
            </w:r>
          </w:p>
        </w:tc>
        <w:tc>
          <w:tcPr>
            <w:tcW w:w="0" w:type="auto"/>
            <w:shd w:val="clear" w:color="auto" w:fill="C6D9F1"/>
            <w:vAlign w:val="bottom"/>
          </w:tcPr>
          <w:p w14:paraId="30BB5D81" w14:textId="77777777" w:rsidR="00867DA1" w:rsidRPr="00B61D46" w:rsidRDefault="00867DA1" w:rsidP="00B61D46">
            <w:pPr>
              <w:pStyle w:val="af1"/>
              <w:rPr>
                <w:rtl/>
              </w:rPr>
            </w:pPr>
            <w:r w:rsidRPr="00B61D46">
              <w:rPr>
                <w:rFonts w:hint="cs"/>
                <w:rtl/>
              </w:rPr>
              <w:t>2018</w:t>
            </w:r>
          </w:p>
        </w:tc>
      </w:tr>
      <w:tr w:rsidR="00867DA1" w:rsidRPr="003761B7" w14:paraId="37739A6D" w14:textId="77777777" w:rsidTr="00CC2678">
        <w:trPr>
          <w:jc w:val="center"/>
        </w:trPr>
        <w:tc>
          <w:tcPr>
            <w:tcW w:w="0" w:type="auto"/>
            <w:shd w:val="clear" w:color="auto" w:fill="auto"/>
            <w:vAlign w:val="bottom"/>
          </w:tcPr>
          <w:p w14:paraId="3410217B" w14:textId="77777777" w:rsidR="00867DA1" w:rsidRPr="003761B7" w:rsidRDefault="00867DA1" w:rsidP="00B61D46">
            <w:pPr>
              <w:pStyle w:val="R"/>
              <w:rPr>
                <w:rtl/>
              </w:rPr>
            </w:pPr>
            <w:r w:rsidRPr="003761B7">
              <w:rPr>
                <w:rFonts w:hint="eastAsia"/>
                <w:rtl/>
              </w:rPr>
              <w:t>הוצאות</w:t>
            </w:r>
            <w:r w:rsidRPr="003761B7">
              <w:rPr>
                <w:rtl/>
              </w:rPr>
              <w:t xml:space="preserve"> </w:t>
            </w:r>
            <w:r w:rsidRPr="003761B7">
              <w:rPr>
                <w:rFonts w:hint="eastAsia"/>
                <w:rtl/>
              </w:rPr>
              <w:t>מימון</w:t>
            </w:r>
            <w:r w:rsidRPr="003761B7">
              <w:rPr>
                <w:rtl/>
              </w:rPr>
              <w:t xml:space="preserve"> </w:t>
            </w:r>
            <w:r w:rsidRPr="003761B7">
              <w:rPr>
                <w:rFonts w:hint="eastAsia"/>
                <w:rtl/>
              </w:rPr>
              <w:t>נטו</w:t>
            </w:r>
            <w:r w:rsidRPr="003761B7">
              <w:rPr>
                <w:rtl/>
              </w:rPr>
              <w:t xml:space="preserve"> </w:t>
            </w:r>
            <w:r w:rsidRPr="003761B7">
              <w:rPr>
                <w:rFonts w:hint="eastAsia"/>
                <w:rtl/>
              </w:rPr>
              <w:t>בגין</w:t>
            </w:r>
            <w:r w:rsidRPr="003761B7">
              <w:rPr>
                <w:rtl/>
              </w:rPr>
              <w:t xml:space="preserve"> </w:t>
            </w:r>
            <w:r w:rsidRPr="003761B7">
              <w:rPr>
                <w:rFonts w:hint="eastAsia"/>
                <w:rtl/>
              </w:rPr>
              <w:t>מלוות</w:t>
            </w:r>
            <w:r w:rsidRPr="003761B7">
              <w:rPr>
                <w:rtl/>
              </w:rPr>
              <w:t xml:space="preserve"> </w:t>
            </w:r>
            <w:r w:rsidRPr="003761B7">
              <w:rPr>
                <w:rFonts w:hint="eastAsia"/>
                <w:rtl/>
              </w:rPr>
              <w:t>פנים</w:t>
            </w:r>
          </w:p>
        </w:tc>
        <w:tc>
          <w:tcPr>
            <w:tcW w:w="0" w:type="auto"/>
            <w:shd w:val="clear" w:color="auto" w:fill="auto"/>
            <w:vAlign w:val="bottom"/>
          </w:tcPr>
          <w:p w14:paraId="69E13C61" w14:textId="77777777" w:rsidR="00867DA1" w:rsidRPr="003761B7" w:rsidRDefault="00867DA1" w:rsidP="00B61D46">
            <w:pPr>
              <w:pStyle w:val="R"/>
              <w:rPr>
                <w:rtl/>
              </w:rPr>
            </w:pPr>
            <w:r w:rsidRPr="003761B7">
              <w:rPr>
                <w:rFonts w:hint="cs"/>
                <w:rtl/>
              </w:rPr>
              <w:t>21,628</w:t>
            </w:r>
          </w:p>
        </w:tc>
        <w:tc>
          <w:tcPr>
            <w:tcW w:w="0" w:type="auto"/>
            <w:shd w:val="clear" w:color="auto" w:fill="auto"/>
            <w:vAlign w:val="bottom"/>
          </w:tcPr>
          <w:p w14:paraId="00D64722" w14:textId="77777777" w:rsidR="00867DA1" w:rsidRPr="003761B7" w:rsidRDefault="00867DA1" w:rsidP="00B61D46">
            <w:pPr>
              <w:pStyle w:val="R"/>
              <w:rPr>
                <w:rtl/>
              </w:rPr>
            </w:pPr>
            <w:r w:rsidRPr="003761B7">
              <w:rPr>
                <w:rtl/>
              </w:rPr>
              <w:t>25,782</w:t>
            </w:r>
          </w:p>
        </w:tc>
      </w:tr>
      <w:tr w:rsidR="00867DA1" w:rsidRPr="003761B7" w14:paraId="321F68C3" w14:textId="77777777" w:rsidTr="00CC2678">
        <w:trPr>
          <w:jc w:val="center"/>
        </w:trPr>
        <w:tc>
          <w:tcPr>
            <w:tcW w:w="0" w:type="auto"/>
            <w:shd w:val="clear" w:color="auto" w:fill="auto"/>
            <w:vAlign w:val="bottom"/>
          </w:tcPr>
          <w:p w14:paraId="68F80E7B" w14:textId="77777777" w:rsidR="00867DA1" w:rsidRPr="003761B7" w:rsidRDefault="00867DA1" w:rsidP="00B61D46">
            <w:pPr>
              <w:pStyle w:val="R"/>
              <w:rPr>
                <w:rtl/>
              </w:rPr>
            </w:pPr>
            <w:r w:rsidRPr="003761B7">
              <w:rPr>
                <w:rFonts w:hint="eastAsia"/>
                <w:rtl/>
              </w:rPr>
              <w:t>הוצאות</w:t>
            </w:r>
            <w:r w:rsidRPr="003761B7">
              <w:rPr>
                <w:rtl/>
              </w:rPr>
              <w:t xml:space="preserve"> מימון נטו בגין מלוות חוץ</w:t>
            </w:r>
          </w:p>
        </w:tc>
        <w:tc>
          <w:tcPr>
            <w:tcW w:w="0" w:type="auto"/>
            <w:shd w:val="clear" w:color="auto" w:fill="auto"/>
            <w:vAlign w:val="bottom"/>
          </w:tcPr>
          <w:p w14:paraId="0F50638C" w14:textId="77777777" w:rsidR="00867DA1" w:rsidRPr="003761B7" w:rsidRDefault="00867DA1" w:rsidP="00B61D46">
            <w:pPr>
              <w:pStyle w:val="R"/>
              <w:rPr>
                <w:u w:val="single"/>
                <w:rtl/>
              </w:rPr>
            </w:pPr>
            <w:r w:rsidRPr="003761B7">
              <w:rPr>
                <w:rFonts w:hint="cs"/>
                <w:u w:val="single"/>
                <w:rtl/>
              </w:rPr>
              <w:t>(2,192)</w:t>
            </w:r>
          </w:p>
        </w:tc>
        <w:tc>
          <w:tcPr>
            <w:tcW w:w="0" w:type="auto"/>
            <w:shd w:val="clear" w:color="auto" w:fill="auto"/>
            <w:vAlign w:val="bottom"/>
          </w:tcPr>
          <w:p w14:paraId="1A07A3B0" w14:textId="77777777" w:rsidR="00867DA1" w:rsidRPr="003761B7" w:rsidRDefault="00867DA1" w:rsidP="00B61D46">
            <w:pPr>
              <w:pStyle w:val="R"/>
              <w:rPr>
                <w:rtl/>
              </w:rPr>
            </w:pPr>
            <w:r w:rsidRPr="003761B7">
              <w:rPr>
                <w:u w:val="single"/>
                <w:rtl/>
              </w:rPr>
              <w:t>10,368</w:t>
            </w:r>
          </w:p>
        </w:tc>
      </w:tr>
      <w:tr w:rsidR="00867DA1" w:rsidRPr="003761B7" w14:paraId="118B2D6D" w14:textId="77777777" w:rsidTr="00FB4908">
        <w:trPr>
          <w:jc w:val="center"/>
        </w:trPr>
        <w:tc>
          <w:tcPr>
            <w:tcW w:w="0" w:type="auto"/>
            <w:shd w:val="clear" w:color="auto" w:fill="C6D9F1"/>
            <w:vAlign w:val="bottom"/>
          </w:tcPr>
          <w:p w14:paraId="7A02C1CD" w14:textId="77777777" w:rsidR="00867DA1" w:rsidRPr="00B61D46" w:rsidRDefault="00867DA1" w:rsidP="00B61D46">
            <w:pPr>
              <w:pStyle w:val="B"/>
              <w:rPr>
                <w:szCs w:val="20"/>
                <w:rtl/>
              </w:rPr>
            </w:pPr>
            <w:r w:rsidRPr="00B61D46">
              <w:rPr>
                <w:rFonts w:hint="eastAsia"/>
                <w:szCs w:val="20"/>
                <w:rtl/>
              </w:rPr>
              <w:t>סך</w:t>
            </w:r>
            <w:r w:rsidRPr="00B61D46">
              <w:rPr>
                <w:szCs w:val="20"/>
                <w:rtl/>
              </w:rPr>
              <w:t xml:space="preserve"> הוצאות מימון נטו בגין החוב הממשלתי</w:t>
            </w:r>
          </w:p>
        </w:tc>
        <w:tc>
          <w:tcPr>
            <w:tcW w:w="0" w:type="auto"/>
            <w:shd w:val="clear" w:color="auto" w:fill="C6D9F1"/>
            <w:vAlign w:val="bottom"/>
          </w:tcPr>
          <w:p w14:paraId="56D1C1D1" w14:textId="77777777" w:rsidR="00867DA1" w:rsidRPr="00B61D46" w:rsidRDefault="00867DA1" w:rsidP="00B61D46">
            <w:pPr>
              <w:pStyle w:val="B"/>
              <w:rPr>
                <w:szCs w:val="20"/>
                <w:rtl/>
              </w:rPr>
            </w:pPr>
            <w:r w:rsidRPr="00B61D46">
              <w:rPr>
                <w:rFonts w:hint="cs"/>
                <w:szCs w:val="20"/>
                <w:rtl/>
              </w:rPr>
              <w:t>19,436</w:t>
            </w:r>
          </w:p>
        </w:tc>
        <w:tc>
          <w:tcPr>
            <w:tcW w:w="0" w:type="auto"/>
            <w:shd w:val="clear" w:color="auto" w:fill="C6D9F1"/>
            <w:vAlign w:val="bottom"/>
          </w:tcPr>
          <w:p w14:paraId="480561F1" w14:textId="77777777" w:rsidR="00867DA1" w:rsidRPr="00B61D46" w:rsidRDefault="00867DA1" w:rsidP="00B61D46">
            <w:pPr>
              <w:pStyle w:val="B"/>
              <w:rPr>
                <w:szCs w:val="20"/>
                <w:rtl/>
              </w:rPr>
            </w:pPr>
            <w:r w:rsidRPr="00B61D46">
              <w:rPr>
                <w:szCs w:val="20"/>
                <w:rtl/>
              </w:rPr>
              <w:t>36,150</w:t>
            </w:r>
          </w:p>
        </w:tc>
      </w:tr>
      <w:tr w:rsidR="00867DA1" w:rsidRPr="003761B7" w14:paraId="2B201306" w14:textId="77777777" w:rsidTr="00CC2678">
        <w:trPr>
          <w:jc w:val="center"/>
        </w:trPr>
        <w:tc>
          <w:tcPr>
            <w:tcW w:w="0" w:type="auto"/>
            <w:shd w:val="clear" w:color="auto" w:fill="auto"/>
            <w:vAlign w:val="bottom"/>
          </w:tcPr>
          <w:p w14:paraId="235A5E08" w14:textId="77777777" w:rsidR="00867DA1" w:rsidRPr="003761B7" w:rsidRDefault="00867DA1" w:rsidP="00B61D46">
            <w:pPr>
              <w:pStyle w:val="R"/>
              <w:rPr>
                <w:rtl/>
              </w:rPr>
            </w:pPr>
            <w:r w:rsidRPr="003761B7">
              <w:rPr>
                <w:rFonts w:hint="eastAsia"/>
                <w:rtl/>
              </w:rPr>
              <w:t>הוצאות</w:t>
            </w:r>
            <w:r w:rsidRPr="003761B7">
              <w:rPr>
                <w:rtl/>
              </w:rPr>
              <w:t xml:space="preserve"> מימון אחרות נטו</w:t>
            </w:r>
          </w:p>
        </w:tc>
        <w:tc>
          <w:tcPr>
            <w:tcW w:w="0" w:type="auto"/>
            <w:shd w:val="clear" w:color="auto" w:fill="auto"/>
            <w:vAlign w:val="bottom"/>
          </w:tcPr>
          <w:p w14:paraId="5CD60B8E" w14:textId="77777777" w:rsidR="00867DA1" w:rsidRPr="003761B7" w:rsidRDefault="00867DA1" w:rsidP="00B61D46">
            <w:pPr>
              <w:pStyle w:val="R"/>
              <w:rPr>
                <w:u w:val="single"/>
                <w:rtl/>
              </w:rPr>
            </w:pPr>
            <w:r w:rsidRPr="003761B7">
              <w:rPr>
                <w:rFonts w:hint="cs"/>
                <w:u w:val="single"/>
                <w:rtl/>
              </w:rPr>
              <w:t>5,901</w:t>
            </w:r>
          </w:p>
        </w:tc>
        <w:tc>
          <w:tcPr>
            <w:tcW w:w="0" w:type="auto"/>
            <w:shd w:val="clear" w:color="auto" w:fill="auto"/>
            <w:vAlign w:val="bottom"/>
          </w:tcPr>
          <w:p w14:paraId="1A863EB3" w14:textId="77777777" w:rsidR="00867DA1" w:rsidRPr="003761B7" w:rsidRDefault="00867DA1" w:rsidP="00B61D46">
            <w:pPr>
              <w:pStyle w:val="R"/>
              <w:rPr>
                <w:rtl/>
              </w:rPr>
            </w:pPr>
            <w:r w:rsidRPr="003761B7">
              <w:rPr>
                <w:u w:val="single"/>
                <w:rtl/>
              </w:rPr>
              <w:t>2,101</w:t>
            </w:r>
          </w:p>
        </w:tc>
      </w:tr>
      <w:tr w:rsidR="00867DA1" w:rsidRPr="003761B7" w14:paraId="63CF9C1D" w14:textId="77777777" w:rsidTr="00FB4908">
        <w:trPr>
          <w:jc w:val="center"/>
        </w:trPr>
        <w:tc>
          <w:tcPr>
            <w:tcW w:w="0" w:type="auto"/>
            <w:shd w:val="clear" w:color="auto" w:fill="C6D9F1"/>
            <w:vAlign w:val="bottom"/>
          </w:tcPr>
          <w:p w14:paraId="0886974A" w14:textId="77777777" w:rsidR="00867DA1" w:rsidRPr="00B61D46" w:rsidRDefault="00867DA1" w:rsidP="00B61D46">
            <w:pPr>
              <w:pStyle w:val="B"/>
              <w:rPr>
                <w:szCs w:val="20"/>
                <w:rtl/>
              </w:rPr>
            </w:pPr>
            <w:r w:rsidRPr="00B61D46">
              <w:rPr>
                <w:rFonts w:hint="eastAsia"/>
                <w:szCs w:val="20"/>
                <w:rtl/>
              </w:rPr>
              <w:t>סה</w:t>
            </w:r>
            <w:r w:rsidRPr="00B61D46">
              <w:rPr>
                <w:szCs w:val="20"/>
                <w:rtl/>
              </w:rPr>
              <w:t>"כ הוצאות מימון אחרות נטו</w:t>
            </w:r>
          </w:p>
        </w:tc>
        <w:tc>
          <w:tcPr>
            <w:tcW w:w="0" w:type="auto"/>
            <w:shd w:val="clear" w:color="auto" w:fill="C6D9F1"/>
            <w:vAlign w:val="bottom"/>
          </w:tcPr>
          <w:p w14:paraId="2E6697A6" w14:textId="77777777" w:rsidR="00867DA1" w:rsidRPr="00B61D46" w:rsidRDefault="00867DA1" w:rsidP="00B61D46">
            <w:pPr>
              <w:pStyle w:val="B"/>
              <w:rPr>
                <w:szCs w:val="20"/>
                <w:rtl/>
              </w:rPr>
            </w:pPr>
            <w:r w:rsidRPr="00B61D46">
              <w:rPr>
                <w:rFonts w:hint="cs"/>
                <w:szCs w:val="20"/>
                <w:rtl/>
              </w:rPr>
              <w:t>25,337</w:t>
            </w:r>
          </w:p>
        </w:tc>
        <w:tc>
          <w:tcPr>
            <w:tcW w:w="0" w:type="auto"/>
            <w:shd w:val="clear" w:color="auto" w:fill="C6D9F1"/>
            <w:vAlign w:val="bottom"/>
          </w:tcPr>
          <w:p w14:paraId="30D483C3" w14:textId="77777777" w:rsidR="00867DA1" w:rsidRPr="00B61D46" w:rsidRDefault="00867DA1" w:rsidP="00B61D46">
            <w:pPr>
              <w:pStyle w:val="B"/>
              <w:rPr>
                <w:szCs w:val="20"/>
                <w:rtl/>
              </w:rPr>
            </w:pPr>
            <w:r w:rsidRPr="00B61D46">
              <w:rPr>
                <w:szCs w:val="20"/>
                <w:rtl/>
              </w:rPr>
              <w:t>38,251</w:t>
            </w:r>
          </w:p>
        </w:tc>
      </w:tr>
    </w:tbl>
    <w:p w14:paraId="2EA5014B" w14:textId="77777777" w:rsidR="00867DA1" w:rsidRPr="004254E2" w:rsidRDefault="00867DA1" w:rsidP="00B61D46">
      <w:pPr>
        <w:pStyle w:val="ac"/>
        <w:rPr>
          <w:rtl/>
        </w:rPr>
      </w:pPr>
      <w:r w:rsidRPr="004254E2">
        <w:rPr>
          <w:rFonts w:hint="eastAsia"/>
          <w:rtl/>
        </w:rPr>
        <w:t>המקור</w:t>
      </w:r>
      <w:r w:rsidRPr="004254E2">
        <w:rPr>
          <w:rtl/>
        </w:rPr>
        <w:t xml:space="preserve">: </w:t>
      </w:r>
      <w:r w:rsidRPr="004254E2">
        <w:rPr>
          <w:rFonts w:hint="eastAsia"/>
          <w:rtl/>
        </w:rPr>
        <w:t>הדוחות</w:t>
      </w:r>
      <w:r w:rsidRPr="004254E2">
        <w:rPr>
          <w:rtl/>
        </w:rPr>
        <w:t xml:space="preserve"> </w:t>
      </w:r>
      <w:r w:rsidRPr="004254E2">
        <w:rPr>
          <w:rFonts w:hint="eastAsia"/>
          <w:rtl/>
        </w:rPr>
        <w:t>הכספיים</w:t>
      </w:r>
      <w:r w:rsidRPr="004254E2">
        <w:rPr>
          <w:rtl/>
        </w:rPr>
        <w:t xml:space="preserve">, </w:t>
      </w:r>
      <w:r w:rsidRPr="004254E2">
        <w:rPr>
          <w:rFonts w:hint="eastAsia"/>
          <w:rtl/>
        </w:rPr>
        <w:t>עמ</w:t>
      </w:r>
      <w:r w:rsidRPr="004254E2">
        <w:rPr>
          <w:rtl/>
        </w:rPr>
        <w:t>' 116.</w:t>
      </w:r>
    </w:p>
    <w:p w14:paraId="0B2F5E49" w14:textId="55C6DA97" w:rsidR="00867DA1" w:rsidRDefault="00867DA1" w:rsidP="00B61D46">
      <w:pPr>
        <w:pStyle w:val="100"/>
        <w:rPr>
          <w:rtl/>
        </w:rPr>
      </w:pPr>
    </w:p>
    <w:p w14:paraId="3340C74D" w14:textId="77777777" w:rsidR="00867DA1" w:rsidRPr="0075368E" w:rsidRDefault="00867DA1" w:rsidP="00B61D46">
      <w:pPr>
        <w:pStyle w:val="100"/>
        <w:rPr>
          <w:rtl/>
        </w:rPr>
      </w:pPr>
      <w:r w:rsidRPr="0075368E">
        <w:rPr>
          <w:rFonts w:hint="cs"/>
          <w:rtl/>
        </w:rPr>
        <w:t>סכום ההוצאה</w:t>
      </w:r>
      <w:r w:rsidRPr="0058736C">
        <w:rPr>
          <w:rFonts w:hint="cs"/>
          <w:rtl/>
        </w:rPr>
        <w:t xml:space="preserve"> </w:t>
      </w:r>
      <w:r w:rsidRPr="0075368E">
        <w:rPr>
          <w:rFonts w:hint="cs"/>
          <w:rtl/>
        </w:rPr>
        <w:t xml:space="preserve">בשנת 2018, בהיקף של כ-38.2 </w:t>
      </w:r>
      <w:r>
        <w:rPr>
          <w:rFonts w:hint="cs"/>
          <w:rtl/>
        </w:rPr>
        <w:t>מיליארד</w:t>
      </w:r>
      <w:r w:rsidRPr="0075368E">
        <w:rPr>
          <w:rFonts w:hint="cs"/>
          <w:rtl/>
        </w:rPr>
        <w:t xml:space="preserve"> ש"ח, </w:t>
      </w:r>
      <w:r>
        <w:rPr>
          <w:rFonts w:hint="cs"/>
          <w:rtl/>
        </w:rPr>
        <w:t>הוא</w:t>
      </w:r>
      <w:r w:rsidRPr="0075368E">
        <w:rPr>
          <w:rFonts w:hint="cs"/>
          <w:rtl/>
        </w:rPr>
        <w:t xml:space="preserve"> עלי</w:t>
      </w:r>
      <w:r>
        <w:rPr>
          <w:rFonts w:hint="cs"/>
          <w:rtl/>
        </w:rPr>
        <w:t>י</w:t>
      </w:r>
      <w:r w:rsidRPr="0075368E">
        <w:rPr>
          <w:rFonts w:hint="cs"/>
          <w:rtl/>
        </w:rPr>
        <w:t xml:space="preserve">ה של כ-13 </w:t>
      </w:r>
      <w:r>
        <w:rPr>
          <w:rFonts w:hint="cs"/>
          <w:rtl/>
        </w:rPr>
        <w:t>מיליארד</w:t>
      </w:r>
      <w:r w:rsidRPr="0075368E">
        <w:rPr>
          <w:rFonts w:hint="cs"/>
          <w:rtl/>
        </w:rPr>
        <w:t xml:space="preserve"> ש"ח (52%) </w:t>
      </w:r>
      <w:r>
        <w:rPr>
          <w:rFonts w:hint="cs"/>
          <w:rtl/>
        </w:rPr>
        <w:t>מ</w:t>
      </w:r>
      <w:r w:rsidRPr="0075368E">
        <w:rPr>
          <w:rFonts w:hint="cs"/>
          <w:rtl/>
        </w:rPr>
        <w:t xml:space="preserve">הוצאות </w:t>
      </w:r>
      <w:r>
        <w:rPr>
          <w:rFonts w:hint="cs"/>
          <w:rtl/>
        </w:rPr>
        <w:t>ה</w:t>
      </w:r>
      <w:r w:rsidRPr="0075368E">
        <w:rPr>
          <w:rFonts w:hint="cs"/>
          <w:rtl/>
        </w:rPr>
        <w:t>מימון שנרשמו בדוחות הכספיים ל</w:t>
      </w:r>
      <w:r>
        <w:rPr>
          <w:rFonts w:hint="cs"/>
          <w:rtl/>
        </w:rPr>
        <w:t>יום 31.12.17 -</w:t>
      </w:r>
      <w:r w:rsidRPr="0075368E">
        <w:rPr>
          <w:rFonts w:hint="cs"/>
          <w:rtl/>
        </w:rPr>
        <w:t xml:space="preserve"> 25.3 </w:t>
      </w:r>
      <w:r>
        <w:rPr>
          <w:rFonts w:hint="cs"/>
          <w:rtl/>
        </w:rPr>
        <w:t>מיליארד</w:t>
      </w:r>
      <w:r w:rsidRPr="0075368E">
        <w:rPr>
          <w:rFonts w:hint="cs"/>
          <w:rtl/>
        </w:rPr>
        <w:t xml:space="preserve"> </w:t>
      </w:r>
      <w:r>
        <w:rPr>
          <w:rFonts w:hint="cs"/>
          <w:rtl/>
        </w:rPr>
        <w:t xml:space="preserve">ש"ח. </w:t>
      </w:r>
    </w:p>
    <w:p w14:paraId="172E8507" w14:textId="77777777" w:rsidR="00867DA1" w:rsidRPr="005A0D35" w:rsidRDefault="00867DA1" w:rsidP="00B61D46">
      <w:pPr>
        <w:pStyle w:val="100"/>
        <w:rPr>
          <w:rtl/>
        </w:rPr>
      </w:pPr>
      <w:r>
        <w:rPr>
          <w:rFonts w:hint="cs"/>
          <w:rtl/>
        </w:rPr>
        <w:t xml:space="preserve">יצוין כי </w:t>
      </w:r>
      <w:r w:rsidRPr="005A0D35">
        <w:rPr>
          <w:rFonts w:hint="eastAsia"/>
          <w:rtl/>
        </w:rPr>
        <w:t>הסעיף</w:t>
      </w:r>
      <w:r w:rsidRPr="005A0D35">
        <w:rPr>
          <w:rtl/>
        </w:rPr>
        <w:t xml:space="preserve"> "הוצאות </w:t>
      </w:r>
      <w:r w:rsidRPr="005A0D35">
        <w:rPr>
          <w:rFonts w:hint="eastAsia"/>
          <w:rtl/>
        </w:rPr>
        <w:t>המימון</w:t>
      </w:r>
      <w:r w:rsidRPr="005A0D35">
        <w:rPr>
          <w:rtl/>
        </w:rPr>
        <w:t xml:space="preserve"> </w:t>
      </w:r>
      <w:r w:rsidRPr="005A0D35">
        <w:rPr>
          <w:rFonts w:hint="eastAsia"/>
          <w:rtl/>
        </w:rPr>
        <w:t>נטו</w:t>
      </w:r>
      <w:r w:rsidRPr="005A0D35">
        <w:rPr>
          <w:rtl/>
        </w:rPr>
        <w:t xml:space="preserve"> </w:t>
      </w:r>
      <w:r w:rsidRPr="005A0D35">
        <w:rPr>
          <w:rFonts w:hint="eastAsia"/>
          <w:rtl/>
        </w:rPr>
        <w:t>בגין</w:t>
      </w:r>
      <w:r w:rsidRPr="005A0D35">
        <w:rPr>
          <w:rtl/>
        </w:rPr>
        <w:t xml:space="preserve"> </w:t>
      </w:r>
      <w:r w:rsidRPr="005A0D35">
        <w:rPr>
          <w:rFonts w:hint="eastAsia"/>
          <w:rtl/>
        </w:rPr>
        <w:t>מלוות</w:t>
      </w:r>
      <w:r w:rsidRPr="005A0D35">
        <w:rPr>
          <w:rtl/>
        </w:rPr>
        <w:t xml:space="preserve"> </w:t>
      </w:r>
      <w:r w:rsidRPr="005A0D35">
        <w:rPr>
          <w:rFonts w:hint="eastAsia"/>
          <w:rtl/>
        </w:rPr>
        <w:t>הפנים</w:t>
      </w:r>
      <w:r w:rsidRPr="005A0D35">
        <w:rPr>
          <w:rtl/>
        </w:rPr>
        <w:t xml:space="preserve">" </w:t>
      </w:r>
      <w:r w:rsidRPr="005A0D35">
        <w:rPr>
          <w:rFonts w:hint="eastAsia"/>
          <w:rtl/>
        </w:rPr>
        <w:t>כולל</w:t>
      </w:r>
      <w:r w:rsidRPr="005A0D35">
        <w:rPr>
          <w:rtl/>
        </w:rPr>
        <w:t xml:space="preserve"> </w:t>
      </w:r>
      <w:r w:rsidRPr="005A0D35">
        <w:rPr>
          <w:rFonts w:hint="eastAsia"/>
          <w:rtl/>
        </w:rPr>
        <w:t>סכום</w:t>
      </w:r>
      <w:r w:rsidRPr="005A0D35">
        <w:rPr>
          <w:rtl/>
        </w:rPr>
        <w:t xml:space="preserve"> </w:t>
      </w:r>
      <w:r w:rsidRPr="005A0D35">
        <w:rPr>
          <w:rFonts w:hint="eastAsia"/>
          <w:rtl/>
        </w:rPr>
        <w:t>של</w:t>
      </w:r>
      <w:r w:rsidRPr="005A0D35">
        <w:rPr>
          <w:rtl/>
        </w:rPr>
        <w:t xml:space="preserve"> 9,576 </w:t>
      </w:r>
      <w:r w:rsidRPr="005A0D35">
        <w:rPr>
          <w:rFonts w:hint="eastAsia"/>
          <w:rtl/>
        </w:rPr>
        <w:t>מיליוני</w:t>
      </w:r>
      <w:r w:rsidRPr="005A0D35">
        <w:rPr>
          <w:rtl/>
        </w:rPr>
        <w:t xml:space="preserve"> </w:t>
      </w:r>
      <w:r>
        <w:rPr>
          <w:rFonts w:hint="cs"/>
          <w:rtl/>
        </w:rPr>
        <w:t>ש"ח</w:t>
      </w:r>
      <w:r w:rsidRPr="005A0D35">
        <w:rPr>
          <w:rtl/>
        </w:rPr>
        <w:t xml:space="preserve"> </w:t>
      </w:r>
      <w:r w:rsidRPr="005A0D35">
        <w:rPr>
          <w:rFonts w:hint="eastAsia"/>
          <w:rtl/>
        </w:rPr>
        <w:t>בגין</w:t>
      </w:r>
      <w:r w:rsidRPr="005A0D35">
        <w:rPr>
          <w:rtl/>
        </w:rPr>
        <w:t xml:space="preserve"> </w:t>
      </w:r>
      <w:r w:rsidRPr="005A0D35">
        <w:rPr>
          <w:rFonts w:hint="eastAsia"/>
          <w:rtl/>
        </w:rPr>
        <w:t>הוצאות</w:t>
      </w:r>
      <w:r w:rsidRPr="005A0D35">
        <w:rPr>
          <w:rtl/>
        </w:rPr>
        <w:t xml:space="preserve"> </w:t>
      </w:r>
      <w:r w:rsidRPr="005A0D35">
        <w:rPr>
          <w:rFonts w:hint="eastAsia"/>
          <w:rtl/>
        </w:rPr>
        <w:t>ריבית</w:t>
      </w:r>
      <w:r w:rsidRPr="005A0D35">
        <w:rPr>
          <w:rtl/>
        </w:rPr>
        <w:t xml:space="preserve"> </w:t>
      </w:r>
      <w:r>
        <w:rPr>
          <w:rFonts w:hint="cs"/>
          <w:rtl/>
        </w:rPr>
        <w:t>ו</w:t>
      </w:r>
      <w:r w:rsidRPr="005A0D35">
        <w:rPr>
          <w:rFonts w:hint="eastAsia"/>
          <w:rtl/>
        </w:rPr>
        <w:t>הצמדה</w:t>
      </w:r>
      <w:r>
        <w:rPr>
          <w:rStyle w:val="FootnoteReference"/>
          <w:rtl/>
        </w:rPr>
        <w:footnoteReference w:id="70"/>
      </w:r>
      <w:r w:rsidRPr="005A0D35">
        <w:rPr>
          <w:rtl/>
        </w:rPr>
        <w:t xml:space="preserve"> </w:t>
      </w:r>
      <w:r>
        <w:rPr>
          <w:rFonts w:hint="cs"/>
          <w:rtl/>
        </w:rPr>
        <w:t xml:space="preserve">על </w:t>
      </w:r>
      <w:r w:rsidRPr="005A0D35">
        <w:rPr>
          <w:rFonts w:hint="eastAsia"/>
          <w:rtl/>
        </w:rPr>
        <w:t>אגרות</w:t>
      </w:r>
      <w:r w:rsidRPr="005A0D35">
        <w:rPr>
          <w:rtl/>
        </w:rPr>
        <w:t xml:space="preserve"> </w:t>
      </w:r>
      <w:r w:rsidRPr="005A0D35">
        <w:rPr>
          <w:rFonts w:hint="eastAsia"/>
          <w:rtl/>
        </w:rPr>
        <w:t>חוב</w:t>
      </w:r>
      <w:r w:rsidRPr="005A0D35">
        <w:rPr>
          <w:rtl/>
        </w:rPr>
        <w:t xml:space="preserve"> </w:t>
      </w:r>
      <w:r w:rsidRPr="005A0D35">
        <w:rPr>
          <w:rFonts w:hint="eastAsia"/>
          <w:rtl/>
        </w:rPr>
        <w:t>לא</w:t>
      </w:r>
      <w:r w:rsidRPr="005A0D35">
        <w:rPr>
          <w:rtl/>
        </w:rPr>
        <w:t xml:space="preserve"> </w:t>
      </w:r>
      <w:r w:rsidRPr="005A0D35">
        <w:rPr>
          <w:rFonts w:hint="eastAsia"/>
          <w:rtl/>
        </w:rPr>
        <w:t>סחירות</w:t>
      </w:r>
      <w:r w:rsidRPr="005A0D35">
        <w:rPr>
          <w:rtl/>
        </w:rPr>
        <w:t xml:space="preserve"> </w:t>
      </w:r>
      <w:r w:rsidRPr="005A0D35">
        <w:rPr>
          <w:rFonts w:hint="eastAsia"/>
          <w:rtl/>
        </w:rPr>
        <w:t>שהונפקו</w:t>
      </w:r>
      <w:r w:rsidRPr="005A0D35">
        <w:rPr>
          <w:rtl/>
        </w:rPr>
        <w:t xml:space="preserve"> </w:t>
      </w:r>
      <w:r w:rsidRPr="005A0D35">
        <w:rPr>
          <w:rFonts w:hint="eastAsia"/>
          <w:rtl/>
        </w:rPr>
        <w:t>לקרנות</w:t>
      </w:r>
      <w:r w:rsidRPr="005A0D35">
        <w:rPr>
          <w:rtl/>
        </w:rPr>
        <w:t xml:space="preserve"> </w:t>
      </w:r>
      <w:r w:rsidRPr="005A0D35">
        <w:rPr>
          <w:rFonts w:hint="eastAsia"/>
          <w:rtl/>
        </w:rPr>
        <w:t>הפנסי</w:t>
      </w:r>
      <w:r>
        <w:rPr>
          <w:rFonts w:hint="cs"/>
          <w:rtl/>
        </w:rPr>
        <w:t>י</w:t>
      </w:r>
      <w:r w:rsidRPr="005A0D35">
        <w:rPr>
          <w:rFonts w:hint="eastAsia"/>
          <w:rtl/>
        </w:rPr>
        <w:t>ה</w:t>
      </w:r>
      <w:r w:rsidRPr="005A0D35">
        <w:rPr>
          <w:rtl/>
        </w:rPr>
        <w:t xml:space="preserve"> - </w:t>
      </w:r>
      <w:r w:rsidRPr="005A0D35">
        <w:rPr>
          <w:rFonts w:hint="eastAsia"/>
          <w:rtl/>
        </w:rPr>
        <w:t>גידול</w:t>
      </w:r>
      <w:r w:rsidRPr="005A0D35">
        <w:rPr>
          <w:rtl/>
        </w:rPr>
        <w:t xml:space="preserve"> </w:t>
      </w:r>
      <w:r w:rsidRPr="005A0D35">
        <w:rPr>
          <w:rFonts w:hint="eastAsia"/>
          <w:rtl/>
        </w:rPr>
        <w:t>של</w:t>
      </w:r>
      <w:r w:rsidRPr="005A0D35">
        <w:rPr>
          <w:rtl/>
        </w:rPr>
        <w:t xml:space="preserve"> </w:t>
      </w:r>
      <w:r w:rsidRPr="005A0D35">
        <w:rPr>
          <w:rFonts w:hint="eastAsia"/>
          <w:rtl/>
        </w:rPr>
        <w:t>כ</w:t>
      </w:r>
      <w:r w:rsidRPr="005A0D35">
        <w:rPr>
          <w:rtl/>
        </w:rPr>
        <w:t xml:space="preserve">-2,041 </w:t>
      </w:r>
      <w:r w:rsidRPr="005A0D35">
        <w:rPr>
          <w:rFonts w:hint="eastAsia"/>
          <w:rtl/>
        </w:rPr>
        <w:t>מיליוני</w:t>
      </w:r>
      <w:r w:rsidRPr="005A0D35">
        <w:rPr>
          <w:rtl/>
        </w:rPr>
        <w:t xml:space="preserve"> </w:t>
      </w:r>
      <w:r w:rsidRPr="005A0D35">
        <w:rPr>
          <w:rFonts w:hint="eastAsia"/>
          <w:rtl/>
        </w:rPr>
        <w:t>ש</w:t>
      </w:r>
      <w:r w:rsidRPr="005A0D35">
        <w:rPr>
          <w:rtl/>
        </w:rPr>
        <w:t xml:space="preserve">"ח </w:t>
      </w:r>
      <w:r w:rsidRPr="005A0D35">
        <w:rPr>
          <w:rFonts w:hint="eastAsia"/>
          <w:rtl/>
        </w:rPr>
        <w:t>לעומת</w:t>
      </w:r>
      <w:r w:rsidRPr="005A0D35">
        <w:rPr>
          <w:rtl/>
        </w:rPr>
        <w:t xml:space="preserve"> 2017.</w:t>
      </w:r>
    </w:p>
    <w:p w14:paraId="42408799" w14:textId="77777777" w:rsidR="00867DA1" w:rsidRDefault="00867DA1" w:rsidP="00B61D46">
      <w:pPr>
        <w:pStyle w:val="100"/>
        <w:rPr>
          <w:rtl/>
        </w:rPr>
      </w:pPr>
      <w:r w:rsidRPr="005A0D35">
        <w:rPr>
          <w:rFonts w:hint="eastAsia"/>
          <w:rtl/>
        </w:rPr>
        <w:t>בהקשר</w:t>
      </w:r>
      <w:r w:rsidRPr="005A0D35">
        <w:rPr>
          <w:rtl/>
        </w:rPr>
        <w:t xml:space="preserve"> זה ראויה לתשומת לב העובדה כי מנתוני הדוחות </w:t>
      </w:r>
      <w:r>
        <w:rPr>
          <w:rFonts w:hint="cs"/>
          <w:rtl/>
        </w:rPr>
        <w:t>ש</w:t>
      </w:r>
      <w:r w:rsidRPr="005A0D35">
        <w:rPr>
          <w:rtl/>
        </w:rPr>
        <w:t xml:space="preserve">יחידת ניהול החוב שבאגף </w:t>
      </w:r>
      <w:r w:rsidRPr="005A0D35">
        <w:rPr>
          <w:rFonts w:hint="eastAsia"/>
          <w:rtl/>
        </w:rPr>
        <w:t>החשכ</w:t>
      </w:r>
      <w:r w:rsidRPr="005A0D35">
        <w:rPr>
          <w:rtl/>
        </w:rPr>
        <w:t>"ל</w:t>
      </w:r>
      <w:r>
        <w:rPr>
          <w:rFonts w:hint="cs"/>
          <w:rtl/>
        </w:rPr>
        <w:t xml:space="preserve"> מפרסמת</w:t>
      </w:r>
      <w:r w:rsidRPr="005A0D35">
        <w:rPr>
          <w:rtl/>
        </w:rPr>
        <w:t xml:space="preserve"> </w:t>
      </w:r>
      <w:r w:rsidRPr="005A0D35">
        <w:rPr>
          <w:rFonts w:hint="eastAsia"/>
          <w:rtl/>
        </w:rPr>
        <w:t>ע</w:t>
      </w:r>
      <w:r>
        <w:rPr>
          <w:rFonts w:hint="cs"/>
          <w:rtl/>
        </w:rPr>
        <w:t>ו</w:t>
      </w:r>
      <w:r w:rsidRPr="005A0D35">
        <w:rPr>
          <w:rFonts w:hint="eastAsia"/>
          <w:rtl/>
        </w:rPr>
        <w:t>לה</w:t>
      </w:r>
      <w:r w:rsidRPr="005A0D35">
        <w:rPr>
          <w:rtl/>
        </w:rPr>
        <w:t xml:space="preserve"> </w:t>
      </w:r>
      <w:r w:rsidRPr="005A0D35">
        <w:rPr>
          <w:rFonts w:hint="eastAsia"/>
          <w:rtl/>
        </w:rPr>
        <w:t>כי</w:t>
      </w:r>
      <w:r w:rsidRPr="005A0D35">
        <w:rPr>
          <w:rtl/>
        </w:rPr>
        <w:t xml:space="preserve"> </w:t>
      </w:r>
      <w:r w:rsidRPr="005A0D35">
        <w:rPr>
          <w:rFonts w:hint="eastAsia"/>
          <w:rtl/>
        </w:rPr>
        <w:t>סכום</w:t>
      </w:r>
      <w:r w:rsidRPr="005A0D35">
        <w:rPr>
          <w:rtl/>
        </w:rPr>
        <w:t xml:space="preserve"> </w:t>
      </w:r>
      <w:r w:rsidRPr="005A0D35">
        <w:rPr>
          <w:rFonts w:hint="eastAsia"/>
          <w:rtl/>
        </w:rPr>
        <w:t>הסובסידיה</w:t>
      </w:r>
      <w:r w:rsidRPr="005A0D35">
        <w:rPr>
          <w:rtl/>
        </w:rPr>
        <w:t xml:space="preserve"> </w:t>
      </w:r>
      <w:r w:rsidRPr="005A0D35">
        <w:rPr>
          <w:rFonts w:hint="eastAsia"/>
          <w:rtl/>
        </w:rPr>
        <w:t>ש</w:t>
      </w:r>
      <w:r>
        <w:rPr>
          <w:rFonts w:hint="cs"/>
          <w:rtl/>
        </w:rPr>
        <w:t xml:space="preserve">המדינה </w:t>
      </w:r>
      <w:r w:rsidRPr="005A0D35">
        <w:rPr>
          <w:rFonts w:hint="eastAsia"/>
          <w:rtl/>
        </w:rPr>
        <w:t>נותנת</w:t>
      </w:r>
      <w:r w:rsidRPr="005A0D35">
        <w:rPr>
          <w:rtl/>
        </w:rPr>
        <w:t xml:space="preserve"> </w:t>
      </w:r>
      <w:r w:rsidRPr="005A0D35">
        <w:rPr>
          <w:rFonts w:hint="eastAsia"/>
          <w:rtl/>
        </w:rPr>
        <w:t>לאג</w:t>
      </w:r>
      <w:r>
        <w:rPr>
          <w:rFonts w:hint="cs"/>
          <w:rtl/>
        </w:rPr>
        <w:t>רות חוב</w:t>
      </w:r>
      <w:r w:rsidRPr="005A0D35">
        <w:rPr>
          <w:rtl/>
        </w:rPr>
        <w:t xml:space="preserve"> </w:t>
      </w:r>
      <w:r w:rsidRPr="005A0D35">
        <w:rPr>
          <w:rFonts w:hint="eastAsia"/>
          <w:rtl/>
        </w:rPr>
        <w:t>אלו</w:t>
      </w:r>
      <w:r w:rsidRPr="005A0D35">
        <w:rPr>
          <w:rtl/>
        </w:rPr>
        <w:t xml:space="preserve"> </w:t>
      </w:r>
      <w:r w:rsidRPr="005A0D35">
        <w:rPr>
          <w:rFonts w:hint="eastAsia"/>
          <w:rtl/>
        </w:rPr>
        <w:t>גדל</w:t>
      </w:r>
      <w:r w:rsidRPr="005A0D35">
        <w:rPr>
          <w:rtl/>
        </w:rPr>
        <w:t xml:space="preserve"> </w:t>
      </w:r>
      <w:r w:rsidRPr="005A0D35">
        <w:rPr>
          <w:rFonts w:hint="eastAsia"/>
          <w:rtl/>
        </w:rPr>
        <w:t>מסכום</w:t>
      </w:r>
      <w:r w:rsidRPr="005A0D35">
        <w:rPr>
          <w:rtl/>
        </w:rPr>
        <w:t xml:space="preserve"> </w:t>
      </w:r>
      <w:r w:rsidRPr="005A0D35">
        <w:rPr>
          <w:rFonts w:hint="eastAsia"/>
          <w:rtl/>
        </w:rPr>
        <w:t>של</w:t>
      </w:r>
      <w:r w:rsidRPr="005A0D35">
        <w:rPr>
          <w:rtl/>
        </w:rPr>
        <w:t xml:space="preserve"> 6,210 </w:t>
      </w:r>
      <w:r w:rsidRPr="005A0D35">
        <w:rPr>
          <w:rFonts w:hint="eastAsia"/>
          <w:rtl/>
        </w:rPr>
        <w:t>מיליוני</w:t>
      </w:r>
      <w:r w:rsidRPr="005A0D35">
        <w:rPr>
          <w:rtl/>
        </w:rPr>
        <w:t xml:space="preserve"> </w:t>
      </w:r>
      <w:r>
        <w:rPr>
          <w:rFonts w:hint="cs"/>
          <w:rtl/>
        </w:rPr>
        <w:t>ש"ח</w:t>
      </w:r>
      <w:r w:rsidRPr="005A0D35">
        <w:rPr>
          <w:rtl/>
        </w:rPr>
        <w:t xml:space="preserve"> </w:t>
      </w:r>
      <w:r w:rsidRPr="005A0D35">
        <w:rPr>
          <w:rFonts w:hint="eastAsia"/>
          <w:rtl/>
        </w:rPr>
        <w:t>בשנת</w:t>
      </w:r>
      <w:r w:rsidRPr="005A0D35">
        <w:rPr>
          <w:rtl/>
        </w:rPr>
        <w:t xml:space="preserve"> 2017 </w:t>
      </w:r>
      <w:r w:rsidRPr="005A0D35">
        <w:rPr>
          <w:rFonts w:hint="eastAsia"/>
          <w:rtl/>
        </w:rPr>
        <w:t>לסכום</w:t>
      </w:r>
      <w:r w:rsidRPr="005A0D35">
        <w:rPr>
          <w:rtl/>
        </w:rPr>
        <w:t xml:space="preserve"> </w:t>
      </w:r>
      <w:r w:rsidRPr="005A0D35">
        <w:rPr>
          <w:rFonts w:hint="eastAsia"/>
          <w:rtl/>
        </w:rPr>
        <w:t>של</w:t>
      </w:r>
      <w:r w:rsidRPr="005A0D35">
        <w:rPr>
          <w:rtl/>
        </w:rPr>
        <w:t xml:space="preserve"> 7,180 </w:t>
      </w:r>
      <w:r w:rsidRPr="005A0D35">
        <w:rPr>
          <w:rFonts w:hint="eastAsia"/>
          <w:rtl/>
        </w:rPr>
        <w:t>מיליוני</w:t>
      </w:r>
      <w:r w:rsidRPr="005A0D35">
        <w:rPr>
          <w:rtl/>
        </w:rPr>
        <w:t xml:space="preserve"> </w:t>
      </w:r>
      <w:r>
        <w:rPr>
          <w:rFonts w:hint="cs"/>
          <w:rtl/>
        </w:rPr>
        <w:t>ש"ח</w:t>
      </w:r>
      <w:r w:rsidRPr="005A0D35">
        <w:rPr>
          <w:rtl/>
        </w:rPr>
        <w:t xml:space="preserve"> </w:t>
      </w:r>
      <w:r w:rsidRPr="005A0D35">
        <w:rPr>
          <w:rFonts w:hint="eastAsia"/>
          <w:rtl/>
        </w:rPr>
        <w:t>בשנת</w:t>
      </w:r>
      <w:r w:rsidRPr="005A0D35">
        <w:rPr>
          <w:rtl/>
        </w:rPr>
        <w:t xml:space="preserve"> 2018 - </w:t>
      </w:r>
      <w:r>
        <w:rPr>
          <w:rFonts w:hint="cs"/>
          <w:rtl/>
        </w:rPr>
        <w:t>עלייה</w:t>
      </w:r>
      <w:r w:rsidRPr="005A0D35">
        <w:rPr>
          <w:rtl/>
        </w:rPr>
        <w:t xml:space="preserve"> </w:t>
      </w:r>
      <w:r w:rsidRPr="005A0D35">
        <w:rPr>
          <w:rFonts w:hint="eastAsia"/>
          <w:rtl/>
        </w:rPr>
        <w:t>של</w:t>
      </w:r>
      <w:r w:rsidRPr="005A0D35">
        <w:rPr>
          <w:rtl/>
        </w:rPr>
        <w:t xml:space="preserve"> 970 </w:t>
      </w:r>
      <w:r w:rsidRPr="005A0D35">
        <w:rPr>
          <w:rFonts w:hint="eastAsia"/>
          <w:rtl/>
        </w:rPr>
        <w:t>מיליוני</w:t>
      </w:r>
      <w:r w:rsidRPr="005A0D35">
        <w:rPr>
          <w:rtl/>
        </w:rPr>
        <w:t xml:space="preserve"> </w:t>
      </w:r>
      <w:r w:rsidRPr="005A0D35">
        <w:rPr>
          <w:rFonts w:hint="eastAsia"/>
          <w:rtl/>
        </w:rPr>
        <w:t>ש</w:t>
      </w:r>
      <w:r w:rsidRPr="005A0D35">
        <w:rPr>
          <w:rtl/>
        </w:rPr>
        <w:t>"ח.</w:t>
      </w:r>
    </w:p>
    <w:p w14:paraId="27D8CC76" w14:textId="77777777" w:rsidR="00867DA1" w:rsidRDefault="00867DA1" w:rsidP="00B61D46">
      <w:pPr>
        <w:pStyle w:val="100"/>
        <w:rPr>
          <w:rtl/>
        </w:rPr>
      </w:pPr>
      <w:r>
        <w:rPr>
          <w:rFonts w:hint="cs"/>
          <w:rtl/>
        </w:rPr>
        <w:t>יצוין כי עוד בדוח קודם</w:t>
      </w:r>
      <w:r>
        <w:rPr>
          <w:rStyle w:val="FootnoteReference"/>
          <w:rtl/>
        </w:rPr>
        <w:footnoteReference w:id="71"/>
      </w:r>
      <w:r>
        <w:rPr>
          <w:rFonts w:hint="cs"/>
          <w:rtl/>
        </w:rPr>
        <w:t xml:space="preserve"> כתב מבקר המדינה: "בהנפקת אג"ח מיועדות... יש גם השפעה שלילית על החוב הממשלתי. הנפקות אלה מקטינות את הגמישות בניהול החוב, הן כוללות סובסידיה המייקרת את תשלומי הריבית, והן משפיעות לרעה על האופן שבו חברות הדירוג, ארגונים כלכליים ומשקיעים זרים מפרשים את יכולת החזר החוב".</w:t>
      </w:r>
    </w:p>
    <w:p w14:paraId="432888FC" w14:textId="77777777" w:rsidR="00867DA1" w:rsidRPr="00EF4818" w:rsidRDefault="00867DA1" w:rsidP="00B61D46">
      <w:pPr>
        <w:pStyle w:val="100"/>
        <w:rPr>
          <w:rtl/>
        </w:rPr>
      </w:pPr>
    </w:p>
    <w:p w14:paraId="051BF548" w14:textId="77777777" w:rsidR="00867DA1" w:rsidRDefault="00867DA1" w:rsidP="00296A47">
      <w:pPr>
        <w:pStyle w:val="316"/>
        <w:rPr>
          <w:rtl/>
        </w:rPr>
      </w:pPr>
      <w:r>
        <w:rPr>
          <w:rFonts w:hint="cs"/>
          <w:rtl/>
        </w:rPr>
        <w:lastRenderedPageBreak/>
        <w:t>ירידה בהכנסות המדינה ממיסים</w:t>
      </w:r>
    </w:p>
    <w:p w14:paraId="5F88F01C" w14:textId="77777777" w:rsidR="00867DA1" w:rsidRPr="00C70DF0" w:rsidRDefault="00867DA1" w:rsidP="00296A47">
      <w:pPr>
        <w:pStyle w:val="100"/>
        <w:rPr>
          <w:rtl/>
        </w:rPr>
      </w:pPr>
      <w:r>
        <w:rPr>
          <w:rFonts w:hint="cs"/>
          <w:rtl/>
        </w:rPr>
        <w:t>על פי נתוני הדוחות הכספיים, היקף ההכנסות ממיסים ומאגרות ירד בשנת 2018 מסכום של 383.8 מיליארד ש"ח לסכום של 379.3 מיליארד ש"ח - קיטון של 1.2%.</w:t>
      </w:r>
      <w:r>
        <w:rPr>
          <w:rFonts w:ascii="Calibri" w:eastAsia="Calibri" w:hAnsi="Calibri" w:hint="cs"/>
          <w:b/>
          <w:bCs/>
          <w:sz w:val="24"/>
          <w:rtl/>
        </w:rPr>
        <w:t xml:space="preserve"> </w:t>
      </w:r>
      <w:r w:rsidRPr="004D67DF">
        <w:rPr>
          <w:rFonts w:hint="cs"/>
          <w:rtl/>
        </w:rPr>
        <w:t>ניתוח מעמיק של הרכב הסעיף מלמד כי עיקר הירידה נובע מקיטון בגביית המ</w:t>
      </w:r>
      <w:r>
        <w:rPr>
          <w:rFonts w:hint="cs"/>
          <w:rtl/>
        </w:rPr>
        <w:t>י</w:t>
      </w:r>
      <w:r w:rsidRPr="004D67DF">
        <w:rPr>
          <w:rFonts w:hint="cs"/>
          <w:rtl/>
        </w:rPr>
        <w:t>סים הישירים והאגרות</w:t>
      </w:r>
      <w:r>
        <w:rPr>
          <w:rFonts w:hint="cs"/>
          <w:rtl/>
        </w:rPr>
        <w:t xml:space="preserve"> - </w:t>
      </w:r>
      <w:r w:rsidRPr="004D67DF">
        <w:rPr>
          <w:rFonts w:hint="cs"/>
          <w:rtl/>
        </w:rPr>
        <w:t xml:space="preserve">מסך של 251.2 </w:t>
      </w:r>
      <w:r>
        <w:rPr>
          <w:rFonts w:hint="cs"/>
          <w:rtl/>
        </w:rPr>
        <w:t>מיליארד</w:t>
      </w:r>
      <w:r w:rsidRPr="004D67DF">
        <w:rPr>
          <w:rFonts w:hint="cs"/>
          <w:rtl/>
        </w:rPr>
        <w:t xml:space="preserve"> </w:t>
      </w:r>
      <w:r>
        <w:rPr>
          <w:rFonts w:hint="cs"/>
          <w:rtl/>
        </w:rPr>
        <w:t>ש"ח</w:t>
      </w:r>
      <w:r w:rsidRPr="004D67DF">
        <w:rPr>
          <w:rFonts w:hint="cs"/>
          <w:rtl/>
        </w:rPr>
        <w:t xml:space="preserve"> לסך של 239.1 </w:t>
      </w:r>
      <w:r>
        <w:rPr>
          <w:rFonts w:hint="cs"/>
          <w:rtl/>
        </w:rPr>
        <w:t>מיליארד</w:t>
      </w:r>
      <w:r w:rsidRPr="004D67DF">
        <w:rPr>
          <w:rFonts w:hint="cs"/>
          <w:rtl/>
        </w:rPr>
        <w:t xml:space="preserve"> </w:t>
      </w:r>
      <w:r>
        <w:rPr>
          <w:rFonts w:hint="cs"/>
          <w:rtl/>
        </w:rPr>
        <w:t>ש"ח</w:t>
      </w:r>
      <w:r w:rsidRPr="004D67DF">
        <w:rPr>
          <w:rFonts w:hint="cs"/>
          <w:rtl/>
        </w:rPr>
        <w:t xml:space="preserve">. נתון זה נתמך </w:t>
      </w:r>
      <w:r>
        <w:rPr>
          <w:rFonts w:hint="cs"/>
          <w:rtl/>
        </w:rPr>
        <w:t>ב</w:t>
      </w:r>
      <w:r w:rsidRPr="004D67DF">
        <w:rPr>
          <w:rFonts w:hint="cs"/>
          <w:rtl/>
        </w:rPr>
        <w:t>נתוני החשב הכללי</w:t>
      </w:r>
      <w:r>
        <w:rPr>
          <w:rFonts w:hint="cs"/>
          <w:rtl/>
        </w:rPr>
        <w:t>,</w:t>
      </w:r>
      <w:r w:rsidRPr="004D67DF">
        <w:rPr>
          <w:rFonts w:hint="cs"/>
          <w:rtl/>
        </w:rPr>
        <w:t xml:space="preserve"> כפי שפורסמו במבוא לדוחות הכספיים</w:t>
      </w:r>
      <w:r>
        <w:rPr>
          <w:rFonts w:hint="cs"/>
          <w:rtl/>
        </w:rPr>
        <w:t xml:space="preserve">, ולפיהם </w:t>
      </w:r>
      <w:r w:rsidRPr="004D67DF">
        <w:rPr>
          <w:rFonts w:hint="cs"/>
          <w:rtl/>
        </w:rPr>
        <w:t xml:space="preserve">בשנת 2018 </w:t>
      </w:r>
      <w:r>
        <w:rPr>
          <w:rFonts w:hint="cs"/>
          <w:rtl/>
        </w:rPr>
        <w:t xml:space="preserve">ירדו </w:t>
      </w:r>
      <w:r w:rsidRPr="004D67DF">
        <w:rPr>
          <w:rFonts w:hint="cs"/>
          <w:rtl/>
        </w:rPr>
        <w:t xml:space="preserve">הכנסות המדינה </w:t>
      </w:r>
      <w:r>
        <w:rPr>
          <w:rFonts w:hint="cs"/>
          <w:rtl/>
        </w:rPr>
        <w:t>ל</w:t>
      </w:r>
      <w:r w:rsidRPr="004D67DF">
        <w:rPr>
          <w:rFonts w:hint="cs"/>
          <w:rtl/>
        </w:rPr>
        <w:t>כ-25.5% מהתוצר</w:t>
      </w:r>
      <w:r>
        <w:rPr>
          <w:rFonts w:hint="cs"/>
          <w:rtl/>
        </w:rPr>
        <w:t xml:space="preserve">, ואילו </w:t>
      </w:r>
      <w:r w:rsidRPr="004D67DF">
        <w:rPr>
          <w:rFonts w:hint="cs"/>
          <w:rtl/>
        </w:rPr>
        <w:t xml:space="preserve">בשנת 2017 </w:t>
      </w:r>
      <w:r>
        <w:rPr>
          <w:rFonts w:hint="cs"/>
          <w:rtl/>
        </w:rPr>
        <w:t>הם היו</w:t>
      </w:r>
      <w:r w:rsidRPr="004D67DF">
        <w:rPr>
          <w:rFonts w:hint="cs"/>
          <w:rtl/>
        </w:rPr>
        <w:t xml:space="preserve"> כ-26.4% מ</w:t>
      </w:r>
      <w:r>
        <w:rPr>
          <w:rFonts w:hint="cs"/>
          <w:rtl/>
        </w:rPr>
        <w:t>מנו</w:t>
      </w:r>
      <w:r w:rsidRPr="004D67DF">
        <w:rPr>
          <w:rFonts w:hint="cs"/>
          <w:rtl/>
        </w:rPr>
        <w:t>.</w:t>
      </w:r>
    </w:p>
    <w:p w14:paraId="272AA931" w14:textId="77777777" w:rsidR="00867DA1" w:rsidRDefault="00867DA1" w:rsidP="00296A47">
      <w:pPr>
        <w:pStyle w:val="100"/>
        <w:rPr>
          <w:rtl/>
        </w:rPr>
      </w:pPr>
      <w:r>
        <w:rPr>
          <w:rFonts w:hint="cs"/>
          <w:rtl/>
        </w:rPr>
        <w:t xml:space="preserve">גם </w:t>
      </w:r>
      <w:r w:rsidRPr="009944C4">
        <w:rPr>
          <w:rFonts w:hint="cs"/>
          <w:rtl/>
        </w:rPr>
        <w:t>מהסקירה החודשית האחרונה</w:t>
      </w:r>
      <w:r>
        <w:rPr>
          <w:rFonts w:hint="cs"/>
          <w:rtl/>
        </w:rPr>
        <w:t>,</w:t>
      </w:r>
      <w:r w:rsidRPr="009944C4">
        <w:rPr>
          <w:rFonts w:hint="cs"/>
          <w:rtl/>
        </w:rPr>
        <w:t xml:space="preserve"> שפרס</w:t>
      </w:r>
      <w:r>
        <w:rPr>
          <w:rFonts w:hint="cs"/>
          <w:rtl/>
        </w:rPr>
        <w:t>ם</w:t>
      </w:r>
      <w:r w:rsidRPr="009944C4">
        <w:rPr>
          <w:rFonts w:hint="cs"/>
          <w:rtl/>
        </w:rPr>
        <w:t xml:space="preserve"> ב</w:t>
      </w:r>
      <w:r>
        <w:rPr>
          <w:rFonts w:hint="cs"/>
          <w:rtl/>
        </w:rPr>
        <w:t>יום</w:t>
      </w:r>
      <w:r w:rsidRPr="009944C4">
        <w:rPr>
          <w:rFonts w:hint="cs"/>
          <w:rtl/>
        </w:rPr>
        <w:t xml:space="preserve"> 6.3.19 הממונה על הכנסות המדינה במשרד האוצר</w:t>
      </w:r>
      <w:r>
        <w:rPr>
          <w:rFonts w:hint="cs"/>
          <w:rtl/>
        </w:rPr>
        <w:t>, מסתמן שמגמת הירידה בהכנסות ממיסים נמשכת. מסקירה זו עולה</w:t>
      </w:r>
      <w:r w:rsidRPr="009944C4">
        <w:rPr>
          <w:rFonts w:hint="cs"/>
          <w:rtl/>
        </w:rPr>
        <w:t xml:space="preserve"> כי </w:t>
      </w:r>
      <w:r>
        <w:rPr>
          <w:rFonts w:hint="cs"/>
          <w:rtl/>
        </w:rPr>
        <w:t>ה</w:t>
      </w:r>
      <w:r w:rsidRPr="009944C4">
        <w:rPr>
          <w:rFonts w:hint="cs"/>
          <w:rtl/>
        </w:rPr>
        <w:t>הכנסות ב</w:t>
      </w:r>
      <w:r>
        <w:rPr>
          <w:rFonts w:hint="cs"/>
          <w:rtl/>
        </w:rPr>
        <w:t xml:space="preserve">חודש </w:t>
      </w:r>
      <w:r w:rsidRPr="009944C4">
        <w:rPr>
          <w:rFonts w:hint="cs"/>
          <w:rtl/>
        </w:rPr>
        <w:t xml:space="preserve">פברואר 2019 הסתכמו 23.4 </w:t>
      </w:r>
      <w:r>
        <w:rPr>
          <w:rFonts w:hint="cs"/>
          <w:rtl/>
        </w:rPr>
        <w:t>מיליארד</w:t>
      </w:r>
      <w:r w:rsidRPr="009944C4">
        <w:rPr>
          <w:rFonts w:hint="cs"/>
          <w:rtl/>
        </w:rPr>
        <w:t xml:space="preserve"> </w:t>
      </w:r>
      <w:r>
        <w:rPr>
          <w:rFonts w:hint="cs"/>
          <w:rtl/>
        </w:rPr>
        <w:t>ש"ח</w:t>
      </w:r>
      <w:r w:rsidRPr="009944C4">
        <w:rPr>
          <w:rFonts w:hint="cs"/>
          <w:rtl/>
        </w:rPr>
        <w:t xml:space="preserve">, לעומת 24.3 </w:t>
      </w:r>
      <w:r>
        <w:rPr>
          <w:rFonts w:hint="cs"/>
          <w:rtl/>
        </w:rPr>
        <w:t>מיליארד</w:t>
      </w:r>
      <w:r w:rsidRPr="009944C4">
        <w:rPr>
          <w:rFonts w:hint="cs"/>
          <w:rtl/>
        </w:rPr>
        <w:t xml:space="preserve"> ש"ח בתקופה </w:t>
      </w:r>
      <w:r>
        <w:rPr>
          <w:rFonts w:hint="cs"/>
          <w:rtl/>
        </w:rPr>
        <w:t>ה</w:t>
      </w:r>
      <w:r w:rsidRPr="009944C4">
        <w:rPr>
          <w:rFonts w:hint="cs"/>
          <w:rtl/>
        </w:rPr>
        <w:t>מקבילה אשתקד</w:t>
      </w:r>
      <w:r>
        <w:rPr>
          <w:rFonts w:hint="cs"/>
          <w:rtl/>
        </w:rPr>
        <w:t>. עוד עולה מהסקירה כי בשנים 2013 - 2017 נרשם גידול בגביית המיסים בשיעור ממוצע של 6% לשנה, ואילו מתחילת שנת 2018 גידול זה נעצר, ונרשם קיפאון בגבייה נטו.</w:t>
      </w:r>
    </w:p>
    <w:p w14:paraId="41F19DB5" w14:textId="77777777" w:rsidR="00867DA1" w:rsidRDefault="00867DA1" w:rsidP="00296A47">
      <w:pPr>
        <w:pStyle w:val="100"/>
        <w:rPr>
          <w:rtl/>
        </w:rPr>
      </w:pPr>
      <w:r w:rsidRPr="002F3F8A">
        <w:rPr>
          <w:rFonts w:hint="cs"/>
          <w:rtl/>
        </w:rPr>
        <w:t>בהקשר זה יצוין כי על פי תחזית כלכלית שפרסם ארגון המדינות המפותחות</w:t>
      </w:r>
      <w:r>
        <w:rPr>
          <w:rStyle w:val="FootnoteReference"/>
          <w:rtl/>
        </w:rPr>
        <w:footnoteReference w:id="72"/>
      </w:r>
      <w:r w:rsidRPr="00A52CEB">
        <w:rPr>
          <w:rtl/>
        </w:rPr>
        <w:t xml:space="preserve"> </w:t>
      </w:r>
      <w:r w:rsidRPr="002F3F8A">
        <w:rPr>
          <w:rFonts w:hint="cs"/>
          <w:rtl/>
        </w:rPr>
        <w:t xml:space="preserve">בנובמבר 2019, קצב הצמיחה של המשק הישראלי </w:t>
      </w:r>
      <w:r>
        <w:rPr>
          <w:rFonts w:hint="cs"/>
          <w:rtl/>
        </w:rPr>
        <w:t>י</w:t>
      </w:r>
      <w:r w:rsidRPr="002F3F8A">
        <w:rPr>
          <w:rFonts w:hint="cs"/>
          <w:rtl/>
        </w:rPr>
        <w:t xml:space="preserve">רד </w:t>
      </w:r>
      <w:r>
        <w:rPr>
          <w:rFonts w:hint="cs"/>
          <w:rtl/>
        </w:rPr>
        <w:t xml:space="preserve">בשנים 2020 - 2021 </w:t>
      </w:r>
      <w:r w:rsidRPr="002F3F8A">
        <w:rPr>
          <w:rFonts w:hint="cs"/>
          <w:rtl/>
        </w:rPr>
        <w:t>ל-2.9%</w:t>
      </w:r>
      <w:r>
        <w:rPr>
          <w:rFonts w:hint="cs"/>
          <w:rtl/>
        </w:rPr>
        <w:t xml:space="preserve">. אם תמשיך מגמה זו, יש בכך </w:t>
      </w:r>
      <w:r w:rsidRPr="002F3F8A">
        <w:rPr>
          <w:rFonts w:hint="cs"/>
          <w:rtl/>
        </w:rPr>
        <w:t xml:space="preserve">כדי להעלות חשש </w:t>
      </w:r>
      <w:r>
        <w:rPr>
          <w:rFonts w:hint="cs"/>
          <w:rtl/>
        </w:rPr>
        <w:t xml:space="preserve">שתמשיך </w:t>
      </w:r>
      <w:r w:rsidRPr="002F3F8A">
        <w:rPr>
          <w:rFonts w:hint="cs"/>
          <w:rtl/>
        </w:rPr>
        <w:t>מגמ</w:t>
      </w:r>
      <w:r>
        <w:rPr>
          <w:rFonts w:hint="cs"/>
          <w:rtl/>
        </w:rPr>
        <w:t>ת</w:t>
      </w:r>
      <w:r w:rsidRPr="002F3F8A">
        <w:rPr>
          <w:rFonts w:hint="cs"/>
          <w:rtl/>
        </w:rPr>
        <w:t xml:space="preserve"> </w:t>
      </w:r>
      <w:r>
        <w:rPr>
          <w:rFonts w:hint="cs"/>
          <w:rtl/>
        </w:rPr>
        <w:t>ה</w:t>
      </w:r>
      <w:r w:rsidRPr="002F3F8A">
        <w:rPr>
          <w:rFonts w:hint="cs"/>
          <w:rtl/>
        </w:rPr>
        <w:t>קיפאון</w:t>
      </w:r>
      <w:r>
        <w:rPr>
          <w:rFonts w:hint="cs"/>
          <w:rtl/>
        </w:rPr>
        <w:t xml:space="preserve"> בהכנסות המדינה ממיסים,</w:t>
      </w:r>
      <w:r w:rsidRPr="002F3F8A">
        <w:rPr>
          <w:rFonts w:hint="cs"/>
          <w:rtl/>
        </w:rPr>
        <w:t xml:space="preserve"> ואף </w:t>
      </w:r>
      <w:r>
        <w:rPr>
          <w:rFonts w:hint="cs"/>
          <w:rtl/>
        </w:rPr>
        <w:t xml:space="preserve">תחול בהן </w:t>
      </w:r>
      <w:r w:rsidRPr="002F3F8A">
        <w:rPr>
          <w:rFonts w:hint="cs"/>
          <w:rtl/>
        </w:rPr>
        <w:t>ירידה</w:t>
      </w:r>
      <w:r>
        <w:rPr>
          <w:rFonts w:hint="cs"/>
          <w:rtl/>
        </w:rPr>
        <w:t>.</w:t>
      </w:r>
    </w:p>
    <w:p w14:paraId="19E6B920" w14:textId="77777777" w:rsidR="00867DA1" w:rsidRDefault="00867DA1" w:rsidP="00296A47">
      <w:pPr>
        <w:pStyle w:val="af5"/>
        <w:rPr>
          <w:rFonts w:eastAsia="Calibri"/>
          <w:rtl/>
        </w:rPr>
      </w:pPr>
      <w:r>
        <w:rPr>
          <w:rFonts w:eastAsia="Calibri" w:hint="cs"/>
          <w:rtl/>
        </w:rPr>
        <w:t xml:space="preserve">לדעת משרד מבקר המדינה, המשך מגמת הירידה בגביית המיסים הישירים, ובייחוד התחזיות הכלכליות לירידה עתידית בקצב הצמיחה של המשק, מחייבים שמקבלי ההחלטות יפנו לכך את תשומת לבם. </w:t>
      </w:r>
    </w:p>
    <w:p w14:paraId="3DA8EA9F" w14:textId="77777777" w:rsidR="00867DA1" w:rsidRDefault="00867DA1" w:rsidP="00296A47">
      <w:pPr>
        <w:pStyle w:val="100"/>
        <w:rPr>
          <w:rtl/>
        </w:rPr>
      </w:pPr>
      <w:r>
        <w:rPr>
          <w:rFonts w:hint="cs"/>
          <w:rtl/>
        </w:rPr>
        <w:t>החשבונאי הראשי ציין בתשובתו כי נתוני גביית המס נידונים בממשלה ובהנהלת האוצר מדי תקופה ומוצגים למקבלי ההחלטות.</w:t>
      </w:r>
    </w:p>
    <w:p w14:paraId="1AC6384E" w14:textId="77777777" w:rsidR="00867DA1" w:rsidRPr="00D83FEF" w:rsidRDefault="00867DA1" w:rsidP="00296A47">
      <w:pPr>
        <w:pStyle w:val="316"/>
        <w:rPr>
          <w:sz w:val="28"/>
        </w:rPr>
      </w:pPr>
      <w:r>
        <w:rPr>
          <w:rFonts w:hint="cs"/>
          <w:rtl/>
        </w:rPr>
        <w:t>התחייבויות סוציאליות</w:t>
      </w:r>
    </w:p>
    <w:p w14:paraId="416AC793" w14:textId="77777777" w:rsidR="00867DA1" w:rsidRDefault="00867DA1" w:rsidP="00296A47">
      <w:pPr>
        <w:pStyle w:val="414"/>
        <w:rPr>
          <w:rtl/>
        </w:rPr>
      </w:pPr>
      <w:r>
        <w:rPr>
          <w:rFonts w:hint="cs"/>
          <w:rtl/>
        </w:rPr>
        <w:t>התחייבויות המוסד לביטוח לאומי</w:t>
      </w:r>
    </w:p>
    <w:p w14:paraId="50A98405" w14:textId="77777777" w:rsidR="00867DA1" w:rsidRDefault="00867DA1" w:rsidP="00296A47">
      <w:pPr>
        <w:pStyle w:val="100"/>
        <w:rPr>
          <w:rtl/>
        </w:rPr>
      </w:pPr>
      <w:r>
        <w:rPr>
          <w:rFonts w:hint="cs"/>
          <w:rtl/>
        </w:rPr>
        <w:t>בסעיף "התחייבויות שאינן שוטפות", בתת-הסעיף "עתודות בגין אירועי ביטוח" שבדוחות הכספיים, נכלל סכום של 728.7 מיליארד ש"ח. הסעיף מבטא את התחייבויותיו של המוסד לביטוח לאומי כלפי מבוטחים שיש להם עילה לזכאות לגמלה. המרכיב העיקרי של התחייבות זו (כ-414 מיליארד ש"ח, שהם כ-57% מהעתודות), נובע מהתחייבות בגין גמלאות זקנה ושארים. יתר הסכום מורכב מהתחייבויות בגין נכות כללית, נפגעי עבודה, סיעוד ואחרות.</w:t>
      </w:r>
    </w:p>
    <w:p w14:paraId="6CAC6871" w14:textId="77777777" w:rsidR="00867DA1" w:rsidRDefault="00867DA1" w:rsidP="00296A47">
      <w:pPr>
        <w:pStyle w:val="100"/>
        <w:rPr>
          <w:rtl/>
        </w:rPr>
      </w:pPr>
      <w:r>
        <w:rPr>
          <w:rFonts w:hint="cs"/>
          <w:rtl/>
        </w:rPr>
        <w:lastRenderedPageBreak/>
        <w:t>בינואר 2019 פרסמה הוועדה הבינלאומית לתקינה חשבונאית למגזר הציבורי של הפדרציה הבינלאומית של רואי החשבון תקן המפרט את הטיפול החשבונאי של התחייבויות בגין קרנות הביטוח בגופים של ביטוח סוציאלי. תקן זה ייכנס לתוקף בשנת 2022</w:t>
      </w:r>
      <w:r>
        <w:rPr>
          <w:rStyle w:val="FootnoteReference"/>
          <w:rtl/>
        </w:rPr>
        <w:footnoteReference w:id="73"/>
      </w:r>
      <w:r>
        <w:rPr>
          <w:rFonts w:hint="cs"/>
          <w:rtl/>
        </w:rPr>
        <w:t>. החשבונאי הראשי ציין בדוחות הכספיים כי הוא יבחן בהמשך את השלכותיו של יישום התקן.</w:t>
      </w:r>
    </w:p>
    <w:p w14:paraId="16A237E3" w14:textId="77777777" w:rsidR="00867DA1" w:rsidRPr="004836A2" w:rsidRDefault="00867DA1" w:rsidP="00296A47">
      <w:pPr>
        <w:pStyle w:val="af5"/>
        <w:rPr>
          <w:rtl/>
        </w:rPr>
      </w:pPr>
      <w:r w:rsidRPr="00F02137">
        <w:rPr>
          <w:rFonts w:hint="cs"/>
          <w:rtl/>
        </w:rPr>
        <w:t xml:space="preserve">יצוין כי העתודות בגין אירועי הביטוח גדלו </w:t>
      </w:r>
      <w:r>
        <w:rPr>
          <w:rFonts w:hint="cs"/>
          <w:rtl/>
        </w:rPr>
        <w:t xml:space="preserve">בשנת 2018 </w:t>
      </w:r>
      <w:r w:rsidRPr="00F02137">
        <w:rPr>
          <w:rFonts w:hint="cs"/>
          <w:rtl/>
        </w:rPr>
        <w:t xml:space="preserve">בכ-16.5 מיליארד </w:t>
      </w:r>
      <w:r>
        <w:rPr>
          <w:rFonts w:hint="cs"/>
          <w:rtl/>
        </w:rPr>
        <w:t>ש"ח</w:t>
      </w:r>
      <w:r w:rsidRPr="00F02137">
        <w:rPr>
          <w:rFonts w:hint="cs"/>
          <w:rtl/>
        </w:rPr>
        <w:t xml:space="preserve"> </w:t>
      </w:r>
      <w:r>
        <w:rPr>
          <w:rFonts w:hint="cs"/>
          <w:rtl/>
        </w:rPr>
        <w:t>מ</w:t>
      </w:r>
      <w:r w:rsidRPr="00F02137">
        <w:rPr>
          <w:rFonts w:hint="cs"/>
          <w:rtl/>
        </w:rPr>
        <w:t>שנת 2017.</w:t>
      </w:r>
    </w:p>
    <w:p w14:paraId="7B31BA62" w14:textId="77777777" w:rsidR="00867DA1" w:rsidRDefault="00867DA1" w:rsidP="00296A47">
      <w:pPr>
        <w:pStyle w:val="100"/>
        <w:rPr>
          <w:rtl/>
        </w:rPr>
      </w:pPr>
      <w:r>
        <w:rPr>
          <w:rFonts w:hint="cs"/>
          <w:rtl/>
        </w:rPr>
        <w:t>"הדוח האקטוארי המלא ליום 31.12.13"</w:t>
      </w:r>
      <w:r>
        <w:rPr>
          <w:rStyle w:val="FootnoteReference"/>
          <w:rtl/>
        </w:rPr>
        <w:footnoteReference w:id="74"/>
      </w:r>
      <w:r>
        <w:rPr>
          <w:rFonts w:hint="cs"/>
          <w:rtl/>
        </w:rPr>
        <w:t>, שפרסם המוסד לביטוח לאומי בינואר 2017, קובע: "צפויה בעיה במצבו הפיננסי של המוסד אשר נובעת בעיקר מהזדקנות אוכלוסיית מדינת ישראל, כלומר הגידול המהיר של האוכלוסייה המבוגרת ביחס לאוכלוסייה הצעירה. מגמה זו נוצרה משילוב של עלייה בתוחלת החיים מצד אחד וירידה בשיעורי הילודה מצד שני". על פי תחזית התקבולים והתשלומים של המוסד, עד שנת 2026 התקבולים צפויים להיות גבוהים מהתשלומים, ומשנה זו המצב צפוי להתהפך, והתשלומים צפויים להיות גבוהים מהתקבולים. המוסד יצטרך אפוא להשלים את התחייבויותיו מיתרת הקרן שברשותו, וכך לגרום צמצום של הקרן. מהדוח עולה כי בשנת 2045 צפויה הקרן להתרוקן, וללא מימון ממשלתי נוסף, המוסד לביטוח לאומי לא יהיה מסוגל לשלם את מלוא התחייבויותיו על פי החוק.</w:t>
      </w:r>
    </w:p>
    <w:p w14:paraId="464F307B" w14:textId="784DF22E" w:rsidR="00867DA1" w:rsidRDefault="00867DA1" w:rsidP="00296A47">
      <w:pPr>
        <w:pStyle w:val="100"/>
        <w:rPr>
          <w:rtl/>
        </w:rPr>
      </w:pPr>
      <w:r>
        <w:rPr>
          <w:rFonts w:hint="cs"/>
          <w:rtl/>
        </w:rPr>
        <w:t>בהקשר זה יצוין כי גורמים מקצועיים רבים הצביעו על הצורך להעלות את גיל הפרישה לנשים כדי לחזק את הקיימות הפיסקאלית. כך, לדוגמה, צוטטו בדוח קודם</w:t>
      </w:r>
      <w:r>
        <w:rPr>
          <w:rStyle w:val="FootnoteReference"/>
          <w:rtl/>
        </w:rPr>
        <w:footnoteReference w:id="75"/>
      </w:r>
      <w:r>
        <w:rPr>
          <w:rFonts w:hint="cs"/>
          <w:rtl/>
        </w:rPr>
        <w:t xml:space="preserve"> של מבקר המדינה עבודות שבוצעו באגף הכלכלן הראשי שבמשרד האוצר, ולפיהן אם גיל הפרישה לנשים לא יעלה, צפויה הרעה ניכרת ביחס החוב-תוצר בטווח הארוך. אי</w:t>
      </w:r>
      <w:r>
        <w:rPr>
          <w:rtl/>
        </w:rPr>
        <w:t>-</w:t>
      </w:r>
      <w:r>
        <w:rPr>
          <w:rFonts w:hint="cs"/>
          <w:rtl/>
        </w:rPr>
        <w:t>העלאת גיל הפרישה לנשים אינה בת-קיימא בטווח הארוך.</w:t>
      </w:r>
    </w:p>
    <w:p w14:paraId="535C92A1" w14:textId="77777777" w:rsidR="00296A47" w:rsidRDefault="00296A47">
      <w:pPr>
        <w:bidi w:val="0"/>
        <w:spacing w:after="200" w:line="276" w:lineRule="auto"/>
        <w:rPr>
          <w:rFonts w:ascii="Tahoma" w:hAnsi="Tahoma" w:cs="Tahoma"/>
          <w:szCs w:val="20"/>
          <w:rtl/>
        </w:rPr>
      </w:pPr>
      <w:r>
        <w:rPr>
          <w:rtl/>
        </w:rPr>
        <w:br w:type="page"/>
      </w:r>
    </w:p>
    <w:p w14:paraId="176E3FF6" w14:textId="1B3174DA" w:rsidR="00867DA1" w:rsidRDefault="00867DA1" w:rsidP="00296A47">
      <w:pPr>
        <w:pStyle w:val="100"/>
        <w:rPr>
          <w:rtl/>
        </w:rPr>
      </w:pPr>
      <w:r>
        <w:rPr>
          <w:rFonts w:hint="cs"/>
          <w:rtl/>
        </w:rPr>
        <w:lastRenderedPageBreak/>
        <w:t>להלן ב</w:t>
      </w:r>
      <w:r w:rsidRPr="00B059E5">
        <w:rPr>
          <w:rFonts w:hint="eastAsia"/>
          <w:rtl/>
        </w:rPr>
        <w:t>תרשים</w:t>
      </w:r>
      <w:r w:rsidRPr="00B059E5">
        <w:rPr>
          <w:rtl/>
        </w:rPr>
        <w:t xml:space="preserve"> 16 </w:t>
      </w:r>
      <w:r>
        <w:rPr>
          <w:rFonts w:hint="cs"/>
          <w:rtl/>
        </w:rPr>
        <w:t xml:space="preserve">תחזית התקבולים והתשלומים בקרן המוסד לביטוח לאומי לשנים 2014 - 2044: </w:t>
      </w:r>
    </w:p>
    <w:p w14:paraId="330191E3" w14:textId="30DA3CA2" w:rsidR="00867DA1" w:rsidRPr="00296A47" w:rsidRDefault="00867DA1" w:rsidP="00296A47">
      <w:pPr>
        <w:pStyle w:val="aa"/>
        <w:rPr>
          <w:b/>
          <w:bCs/>
          <w:rtl/>
        </w:rPr>
      </w:pPr>
      <w:r w:rsidRPr="004254E2">
        <w:rPr>
          <w:rFonts w:hint="eastAsia"/>
          <w:rtl/>
        </w:rPr>
        <w:t>תרשים</w:t>
      </w:r>
      <w:r w:rsidRPr="004254E2">
        <w:rPr>
          <w:rtl/>
        </w:rPr>
        <w:t xml:space="preserve"> 16</w:t>
      </w:r>
      <w:bookmarkStart w:id="13" w:name="_Ref31611679"/>
      <w:r>
        <w:rPr>
          <w:rFonts w:hint="cs"/>
          <w:rtl/>
        </w:rPr>
        <w:t>:</w:t>
      </w:r>
      <w:r w:rsidRPr="004254E2">
        <w:rPr>
          <w:rtl/>
        </w:rPr>
        <w:t xml:space="preserve"> </w:t>
      </w:r>
      <w:r w:rsidRPr="00296A47">
        <w:rPr>
          <w:b/>
          <w:bCs/>
          <w:rtl/>
        </w:rPr>
        <w:t xml:space="preserve">תחזית התקבולים, התשלומים והקרן של </w:t>
      </w:r>
      <w:r w:rsidRPr="00296A47">
        <w:rPr>
          <w:rFonts w:hint="eastAsia"/>
          <w:b/>
          <w:bCs/>
          <w:rtl/>
        </w:rPr>
        <w:t>המוסד</w:t>
      </w:r>
      <w:r w:rsidRPr="00296A47">
        <w:rPr>
          <w:b/>
          <w:bCs/>
          <w:rtl/>
        </w:rPr>
        <w:t xml:space="preserve"> לביטוח לאומי</w:t>
      </w:r>
      <w:r w:rsidR="00296A47">
        <w:rPr>
          <w:b/>
          <w:bCs/>
          <w:rtl/>
        </w:rPr>
        <w:br/>
      </w:r>
      <w:r w:rsidRPr="00296A47">
        <w:rPr>
          <w:b/>
          <w:bCs/>
          <w:rtl/>
        </w:rPr>
        <w:t>לשנים 2014 - 2044</w:t>
      </w:r>
      <w:bookmarkEnd w:id="13"/>
    </w:p>
    <w:p w14:paraId="510DBB85" w14:textId="77777777" w:rsidR="00867DA1" w:rsidRDefault="00867DA1" w:rsidP="00867DA1">
      <w:pPr>
        <w:spacing w:line="269" w:lineRule="auto"/>
        <w:jc w:val="center"/>
        <w:rPr>
          <w:rtl/>
        </w:rPr>
      </w:pPr>
      <w:r>
        <w:rPr>
          <w:noProof/>
        </w:rPr>
        <w:drawing>
          <wp:inline distT="0" distB="0" distL="0" distR="0" wp14:anchorId="42764E68" wp14:editId="49DB0EE7">
            <wp:extent cx="5340370" cy="4347845"/>
            <wp:effectExtent l="0" t="0" r="0" b="0"/>
            <wp:docPr id="30"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yal_co\AppData\Local\Temp\FineReader12.00\media\image42.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193" t="992" b="-1"/>
                    <a:stretch/>
                  </pic:blipFill>
                  <pic:spPr bwMode="auto">
                    <a:xfrm>
                      <a:off x="0" y="0"/>
                      <a:ext cx="5340869" cy="4348251"/>
                    </a:xfrm>
                    <a:prstGeom prst="rect">
                      <a:avLst/>
                    </a:prstGeom>
                    <a:noFill/>
                    <a:ln>
                      <a:noFill/>
                    </a:ln>
                    <a:extLst>
                      <a:ext uri="{53640926-AAD7-44D8-BBD7-CCE9431645EC}">
                        <a14:shadowObscured xmlns:a14="http://schemas.microsoft.com/office/drawing/2010/main"/>
                      </a:ext>
                    </a:extLst>
                  </pic:spPr>
                </pic:pic>
              </a:graphicData>
            </a:graphic>
          </wp:inline>
        </w:drawing>
      </w:r>
    </w:p>
    <w:p w14:paraId="16DFB788" w14:textId="417729D4" w:rsidR="00867DA1" w:rsidRPr="00704074" w:rsidRDefault="003E08F9" w:rsidP="00704074">
      <w:pPr>
        <w:pStyle w:val="ac"/>
        <w:rPr>
          <w:rtl/>
        </w:rPr>
      </w:pPr>
      <w:r>
        <w:rPr>
          <w:rFonts w:hint="cs"/>
          <w:rtl/>
        </w:rPr>
        <w:t xml:space="preserve">המקור: </w:t>
      </w:r>
      <w:r w:rsidR="00704074" w:rsidRPr="00704074">
        <w:rPr>
          <w:rtl/>
        </w:rPr>
        <w:t>המוסד לביטוח לאומי – דין וחשבון אקטוארי מלא ליום 31.12.2013, עמוד 9</w:t>
      </w:r>
      <w:r w:rsidR="00867DA1" w:rsidRPr="00704074">
        <w:rPr>
          <w:rtl/>
        </w:rPr>
        <w:t>.</w:t>
      </w:r>
    </w:p>
    <w:p w14:paraId="7182190E" w14:textId="77777777" w:rsidR="00296A47" w:rsidRDefault="00296A47" w:rsidP="00296A47">
      <w:pPr>
        <w:pStyle w:val="100"/>
        <w:rPr>
          <w:sz w:val="24"/>
          <w:rtl/>
        </w:rPr>
      </w:pPr>
    </w:p>
    <w:p w14:paraId="0BEBF4BD" w14:textId="7158AA17" w:rsidR="00867DA1" w:rsidRPr="00AD2D54" w:rsidRDefault="00867DA1" w:rsidP="00296A47">
      <w:pPr>
        <w:pStyle w:val="100"/>
        <w:rPr>
          <w:sz w:val="24"/>
          <w:rtl/>
        </w:rPr>
      </w:pPr>
      <w:r w:rsidRPr="00AD2D54">
        <w:rPr>
          <w:rFonts w:hint="eastAsia"/>
          <w:sz w:val="24"/>
          <w:rtl/>
        </w:rPr>
        <w:t>מהתרשים</w:t>
      </w:r>
      <w:r w:rsidRPr="00AD2D54">
        <w:rPr>
          <w:sz w:val="24"/>
          <w:rtl/>
        </w:rPr>
        <w:t xml:space="preserve"> </w:t>
      </w:r>
      <w:r w:rsidRPr="00AD2D54">
        <w:rPr>
          <w:rFonts w:hint="eastAsia"/>
          <w:sz w:val="24"/>
          <w:rtl/>
        </w:rPr>
        <w:t>עולה</w:t>
      </w:r>
      <w:r w:rsidRPr="00AD2D54">
        <w:rPr>
          <w:sz w:val="24"/>
          <w:rtl/>
        </w:rPr>
        <w:t xml:space="preserve"> </w:t>
      </w:r>
      <w:r w:rsidRPr="00AD2D54">
        <w:rPr>
          <w:rFonts w:hint="eastAsia"/>
          <w:sz w:val="24"/>
          <w:rtl/>
        </w:rPr>
        <w:t>כי</w:t>
      </w:r>
      <w:r>
        <w:rPr>
          <w:rFonts w:hint="cs"/>
          <w:sz w:val="24"/>
          <w:rtl/>
        </w:rPr>
        <w:t xml:space="preserve"> בשנת 2045 צפויה הקרן של המוסד לביטוח לאומי להתרוקן. </w:t>
      </w:r>
    </w:p>
    <w:p w14:paraId="29CE2333" w14:textId="77777777" w:rsidR="00867DA1" w:rsidRPr="007C4766" w:rsidRDefault="00867DA1" w:rsidP="00296A47">
      <w:pPr>
        <w:pStyle w:val="af5"/>
        <w:rPr>
          <w:rtl/>
        </w:rPr>
      </w:pPr>
      <w:r>
        <w:rPr>
          <w:rFonts w:hint="cs"/>
          <w:rtl/>
        </w:rPr>
        <w:t>ל</w:t>
      </w:r>
      <w:r w:rsidRPr="007C4766">
        <w:rPr>
          <w:rFonts w:hint="cs"/>
          <w:rtl/>
        </w:rPr>
        <w:t xml:space="preserve">נתונים הכספיים, כפי שפורסמו על ידי </w:t>
      </w:r>
      <w:r>
        <w:rPr>
          <w:rFonts w:hint="cs"/>
          <w:rtl/>
        </w:rPr>
        <w:t>המוסד לביטוח לאומי וכפי שהם מופיעים בדוחות הכספיים</w:t>
      </w:r>
      <w:r w:rsidRPr="007C4766">
        <w:rPr>
          <w:rFonts w:hint="cs"/>
          <w:rtl/>
        </w:rPr>
        <w:t>, השלכה שלילית ניכרת</w:t>
      </w:r>
      <w:r>
        <w:rPr>
          <w:rFonts w:hint="cs"/>
          <w:rtl/>
        </w:rPr>
        <w:t>,</w:t>
      </w:r>
      <w:r w:rsidRPr="007C4766">
        <w:rPr>
          <w:rFonts w:hint="cs"/>
          <w:rtl/>
        </w:rPr>
        <w:t xml:space="preserve"> ומהווים סיכון ליכולתה של המדינה לספק ביטחון סוציאלי לאוכלוסיית הקשישים והנזקקים במדינה בעתיד. </w:t>
      </w:r>
    </w:p>
    <w:p w14:paraId="1BAC2BED" w14:textId="77777777" w:rsidR="00867DA1" w:rsidRPr="001D49FC" w:rsidRDefault="00867DA1" w:rsidP="00296A47">
      <w:pPr>
        <w:pStyle w:val="100"/>
        <w:rPr>
          <w:rtl/>
        </w:rPr>
      </w:pPr>
      <w:r>
        <w:rPr>
          <w:rFonts w:hint="cs"/>
          <w:rtl/>
        </w:rPr>
        <w:lastRenderedPageBreak/>
        <w:t>עוד בדוח</w:t>
      </w:r>
      <w:r>
        <w:rPr>
          <w:rStyle w:val="FootnoteReference"/>
          <w:rtl/>
        </w:rPr>
        <w:footnoteReference w:id="76"/>
      </w:r>
      <w:r>
        <w:rPr>
          <w:rFonts w:hint="cs"/>
          <w:rtl/>
        </w:rPr>
        <w:t xml:space="preserve"> קודם של מבקר המדינה נכתב כי על הממשלה לשקול מתן פתרון יסודי לבעיית האיתנות הפיננסית של הביטוח הלאומי כדי להבטיח את הביטחון הסוציאלי של אזרחי המדינה ולמנוע סיכון לקיימות הפיסקאלית של תקציב המדינה. </w:t>
      </w:r>
    </w:p>
    <w:p w14:paraId="11FF3193" w14:textId="77777777" w:rsidR="00867DA1" w:rsidRPr="00044151" w:rsidRDefault="00867DA1" w:rsidP="00296A47">
      <w:pPr>
        <w:pStyle w:val="af5"/>
        <w:rPr>
          <w:rtl/>
        </w:rPr>
      </w:pPr>
      <w:r>
        <w:rPr>
          <w:rFonts w:hint="cs"/>
          <w:rtl/>
        </w:rPr>
        <w:t>לנוכח חשיבותו הרבה של קיום ביטחון סוציאלי בסיסי לתושבי המדינה ולנוכח הנתונים בדבר הרעת מצבו הפיננסי של המוסד לביטוח לאומי בטווח הארוך, על הממשלה לבחון כבר היום דרכים מושכלות אפשריות להתמודד עם מצב זה. הדבר מקבל משנה תוקף מכך שהניזוקים הפוטנציאליים העיקריים ממצב זה משתייכים לאוכלוסיות החלשות ביותר בחברה.</w:t>
      </w:r>
    </w:p>
    <w:p w14:paraId="35011F46" w14:textId="77777777" w:rsidR="00867DA1" w:rsidRDefault="00867DA1" w:rsidP="00296A47">
      <w:pPr>
        <w:pStyle w:val="100"/>
        <w:rPr>
          <w:rtl/>
        </w:rPr>
      </w:pPr>
      <w:r>
        <w:rPr>
          <w:rFonts w:hint="cs"/>
          <w:rtl/>
        </w:rPr>
        <w:t>יתרה מכך, לנוכח העובדה שתוחלת החיים צפויה להמשיך לעלות</w:t>
      </w:r>
      <w:r>
        <w:rPr>
          <w:rStyle w:val="FootnoteReference"/>
          <w:rtl/>
        </w:rPr>
        <w:footnoteReference w:id="77"/>
      </w:r>
      <w:r>
        <w:rPr>
          <w:rFonts w:hint="cs"/>
          <w:rtl/>
        </w:rPr>
        <w:t xml:space="preserve"> ומפני שהנתונים המופיעים בדוח האקטוארי של המוסד לביטוח לאומי מעודכנים רק ל-31.12.13, ראוי היה לבצע </w:t>
      </w:r>
      <w:r w:rsidRPr="004254E2">
        <w:rPr>
          <w:rFonts w:hint="eastAsia"/>
          <w:rtl/>
        </w:rPr>
        <w:t>ניתוח</w:t>
      </w:r>
      <w:r w:rsidRPr="004254E2">
        <w:rPr>
          <w:rtl/>
        </w:rPr>
        <w:t xml:space="preserve"> </w:t>
      </w:r>
      <w:r w:rsidRPr="004254E2">
        <w:rPr>
          <w:rFonts w:hint="eastAsia"/>
          <w:rtl/>
        </w:rPr>
        <w:t>רגישות</w:t>
      </w:r>
      <w:r>
        <w:rPr>
          <w:rFonts w:hint="cs"/>
          <w:rtl/>
        </w:rPr>
        <w:t xml:space="preserve"> של התחייבות זו בדוחות הכספיים של המדינה לשנת 2018 בהתאם לשינויים הפוטנציאליים בתוחלת החיים, כמקובל בדוחות הכספיים של חברות הביטוח.</w:t>
      </w:r>
      <w:r w:rsidRPr="003531C6">
        <w:rPr>
          <w:rFonts w:hint="cs"/>
          <w:rtl/>
        </w:rPr>
        <w:t xml:space="preserve"> </w:t>
      </w:r>
      <w:r>
        <w:rPr>
          <w:rFonts w:hint="cs"/>
          <w:rtl/>
        </w:rPr>
        <w:t>כך, לדוגמה, בחוזר של רשות שוק ההון, ביטוח וחיסכון משנת 2011</w:t>
      </w:r>
      <w:r>
        <w:rPr>
          <w:rStyle w:val="FootnoteReference"/>
          <w:rtl/>
        </w:rPr>
        <w:footnoteReference w:id="78"/>
      </w:r>
      <w:r>
        <w:rPr>
          <w:rFonts w:hint="cs"/>
          <w:rtl/>
        </w:rPr>
        <w:t xml:space="preserve"> בדבר מבנה הגילוי הנדרש בדוחות הכספיים של חברות הביטוח נקבעו הבהרות לניתוחי הרגישות עבור כלל העתודות ונקבע שיש לבחון את הגדלת העתודה בעקבות התרחיש הנבדק. בחינה כזו תתרום לניהול סיכונים מיטבי ותאפשר למדינה לשפר את היערכותה לסיכונים אלו מראש ולשמור על היציבות של המערכת הפיסקאלית לטווח הארוך</w:t>
      </w:r>
      <w:r>
        <w:rPr>
          <w:rStyle w:val="FootnoteReference"/>
          <w:rtl/>
        </w:rPr>
        <w:footnoteReference w:id="79"/>
      </w:r>
      <w:r>
        <w:rPr>
          <w:rFonts w:hint="cs"/>
          <w:rtl/>
        </w:rPr>
        <w:t xml:space="preserve">. </w:t>
      </w:r>
    </w:p>
    <w:p w14:paraId="07199AB9" w14:textId="77777777" w:rsidR="00867DA1" w:rsidRDefault="00867DA1" w:rsidP="00867DA1">
      <w:pPr>
        <w:bidi w:val="0"/>
        <w:spacing w:after="200" w:line="276" w:lineRule="auto"/>
        <w:rPr>
          <w:rFonts w:eastAsiaTheme="majorEastAsia"/>
          <w:bCs/>
          <w:szCs w:val="28"/>
          <w:u w:val="single"/>
          <w:rtl/>
        </w:rPr>
      </w:pPr>
      <w:r>
        <w:rPr>
          <w:rtl/>
        </w:rPr>
        <w:br w:type="page"/>
      </w:r>
    </w:p>
    <w:p w14:paraId="7C5159F5" w14:textId="77777777" w:rsidR="00867DA1" w:rsidRDefault="00867DA1" w:rsidP="00296A47">
      <w:pPr>
        <w:pStyle w:val="316"/>
        <w:rPr>
          <w:rtl/>
        </w:rPr>
      </w:pPr>
      <w:r>
        <w:rPr>
          <w:rFonts w:hint="cs"/>
          <w:rtl/>
        </w:rPr>
        <w:lastRenderedPageBreak/>
        <w:t>חבות הפנסייה התקציבית</w:t>
      </w:r>
    </w:p>
    <w:p w14:paraId="70DC083D" w14:textId="77777777" w:rsidR="00867DA1" w:rsidRDefault="00867DA1" w:rsidP="00296A47">
      <w:pPr>
        <w:pStyle w:val="100"/>
        <w:rPr>
          <w:rtl/>
        </w:rPr>
      </w:pPr>
      <w:r>
        <w:rPr>
          <w:rFonts w:hint="cs"/>
          <w:rtl/>
        </w:rPr>
        <w:t>כאמור, בסעיף "התחייבויות בגין זכויות עובדים" בדוחות הכספיים נכלל סכום של 681.7 מיליארד ש"ח, מהם 649.5 מיליארד ש"ח בגין התחייבויותיה של המדינה לפנסייה תקציבית.</w:t>
      </w:r>
    </w:p>
    <w:p w14:paraId="3DEC6E5D" w14:textId="77777777" w:rsidR="00867DA1" w:rsidRDefault="00867DA1" w:rsidP="00296A47">
      <w:pPr>
        <w:pStyle w:val="af5"/>
        <w:rPr>
          <w:rtl/>
        </w:rPr>
      </w:pPr>
      <w:r w:rsidRPr="008838D6">
        <w:rPr>
          <w:rFonts w:hint="cs"/>
          <w:rtl/>
        </w:rPr>
        <w:t xml:space="preserve">משרד מבקר המדינה </w:t>
      </w:r>
      <w:r>
        <w:rPr>
          <w:rFonts w:hint="cs"/>
          <w:rtl/>
        </w:rPr>
        <w:t>מציין</w:t>
      </w:r>
      <w:r w:rsidRPr="008838D6">
        <w:rPr>
          <w:rFonts w:hint="cs"/>
          <w:rtl/>
        </w:rPr>
        <w:t xml:space="preserve"> כי </w:t>
      </w:r>
      <w:r>
        <w:rPr>
          <w:rFonts w:hint="cs"/>
          <w:rtl/>
        </w:rPr>
        <w:t>אף ש</w:t>
      </w:r>
      <w:r w:rsidRPr="008838D6">
        <w:rPr>
          <w:rFonts w:hint="cs"/>
          <w:rtl/>
        </w:rPr>
        <w:t>החבות האקטוארית</w:t>
      </w:r>
      <w:r>
        <w:rPr>
          <w:rFonts w:hint="cs"/>
          <w:rtl/>
        </w:rPr>
        <w:t xml:space="preserve"> בגין הפנסייה התקציבית </w:t>
      </w:r>
      <w:r w:rsidRPr="008838D6">
        <w:rPr>
          <w:rFonts w:hint="cs"/>
          <w:rtl/>
        </w:rPr>
        <w:t>מוצגת בדוחות הכספיים</w:t>
      </w:r>
      <w:r>
        <w:rPr>
          <w:rFonts w:hint="cs"/>
          <w:rtl/>
        </w:rPr>
        <w:t xml:space="preserve"> בהתאם לתקני החשבונאות, הרי שבפועל היא מוטה כלפי מטה בהיקפים גדולים מאוד, </w:t>
      </w:r>
      <w:r w:rsidRPr="008838D6">
        <w:rPr>
          <w:rFonts w:hint="cs"/>
          <w:rtl/>
        </w:rPr>
        <w:t>ואיננה כוללת סכומים משמעותיים ומהותיים ביותר ה</w:t>
      </w:r>
      <w:r>
        <w:rPr>
          <w:rFonts w:hint="cs"/>
          <w:rtl/>
        </w:rPr>
        <w:t>נאמדים בעשרות מיליארד ש</w:t>
      </w:r>
      <w:r>
        <w:rPr>
          <w:rtl/>
        </w:rPr>
        <w:t>"</w:t>
      </w:r>
      <w:r>
        <w:rPr>
          <w:rFonts w:hint="cs"/>
          <w:rtl/>
        </w:rPr>
        <w:t>ח. להלן פירוט:</w:t>
      </w:r>
    </w:p>
    <w:p w14:paraId="2AB0D8C2" w14:textId="77777777" w:rsidR="00867DA1" w:rsidRDefault="00867DA1" w:rsidP="00296A47">
      <w:pPr>
        <w:pStyle w:val="100"/>
        <w:rPr>
          <w:rtl/>
        </w:rPr>
      </w:pPr>
      <w:r>
        <w:rPr>
          <w:rFonts w:hint="cs"/>
          <w:rtl/>
        </w:rPr>
        <w:t xml:space="preserve">החבות המוצגת אינה כוללת את החבות לפנסייה תקציבית בגין עובדי הרשויות המקומיות והמועצות הדתיות, יישויות שדוחותיהן הכספיים אינם מאוחדים בדוחות הכספיים של מדינת ישראל. </w:t>
      </w:r>
    </w:p>
    <w:p w14:paraId="6A6BDA1C" w14:textId="77777777" w:rsidR="00867DA1" w:rsidRDefault="00867DA1" w:rsidP="00296A47">
      <w:pPr>
        <w:pStyle w:val="100"/>
        <w:rPr>
          <w:rtl/>
        </w:rPr>
      </w:pPr>
      <w:r>
        <w:rPr>
          <w:rFonts w:hint="cs"/>
          <w:rtl/>
        </w:rPr>
        <w:t>יתרת ההתחייבויות גם אינה כוללת את החבות העתידית שתיווצר בגין עובדים פעילים במהלך שנות עבודתם הצפויות. החשכ"ל ציין בדוחות כספיים כי בהתחשב בחבות עתידית זו, תעלה החבות המלאה של המדינה מ-649.5 ש"ח לכ-708 מיליארד ש"ח. בתשובתו הסביר החשבונאי הראשי: "החבות העתידית בגין עובדים פעילים אינה מהווה התחייבות חשבונאית כהגדרתה בתקינה החשבונאית ולכן מוצגת במסגרת המידע המילולי הנלווה לדוחות הכספיים".</w:t>
      </w:r>
    </w:p>
    <w:p w14:paraId="50AEBC55" w14:textId="77777777" w:rsidR="00867DA1" w:rsidRDefault="00867DA1" w:rsidP="00296A47">
      <w:pPr>
        <w:pStyle w:val="100"/>
        <w:rPr>
          <w:rtl/>
        </w:rPr>
      </w:pPr>
      <w:r>
        <w:rPr>
          <w:rFonts w:hint="cs"/>
          <w:rtl/>
        </w:rPr>
        <w:t>כאמור, וכפי שציין החשב הכללי בדוחות הכספיים, חבות הפנסייה התקציבית המוצגת בדוחות איננה כוללת הפרשה בגין ההסכם שנחתם בנובמבר 2018 עם השוטרים, הסוהרים וגמלאי גופי הביטחון האחרים, ואינה כוללת הפרשה בהיקף של מיליארד ש"ח בגין פנסיית הגישור של פורשי הקבע מצה"ל ומגופי ביטחון אחרים. הסיבה לכך היא שטרם הותקנו תקנות לחישוב פנסיית הגישור של משרתי הקבע ושל עובדי כוחות הביטחון המבוטחים בפנסייה צוברת.</w:t>
      </w:r>
    </w:p>
    <w:p w14:paraId="60254273" w14:textId="77777777" w:rsidR="00867DA1" w:rsidRPr="00CF2039" w:rsidRDefault="00867DA1" w:rsidP="00296A47">
      <w:pPr>
        <w:pStyle w:val="100"/>
        <w:rPr>
          <w:rtl/>
        </w:rPr>
      </w:pPr>
      <w:r w:rsidRPr="00CF2039">
        <w:rPr>
          <w:rFonts w:hint="eastAsia"/>
          <w:rtl/>
        </w:rPr>
        <w:t>החשבונאי</w:t>
      </w:r>
      <w:r w:rsidRPr="00CF2039">
        <w:rPr>
          <w:rtl/>
        </w:rPr>
        <w:t xml:space="preserve"> </w:t>
      </w:r>
      <w:r w:rsidRPr="00CF2039">
        <w:rPr>
          <w:rFonts w:hint="eastAsia"/>
          <w:rtl/>
        </w:rPr>
        <w:t>הראשי</w:t>
      </w:r>
      <w:r w:rsidRPr="00CF2039">
        <w:rPr>
          <w:rtl/>
        </w:rPr>
        <w:t xml:space="preserve"> </w:t>
      </w:r>
      <w:r w:rsidRPr="00CF2039">
        <w:rPr>
          <w:rFonts w:hint="eastAsia"/>
          <w:rtl/>
        </w:rPr>
        <w:t>השיב</w:t>
      </w:r>
      <w:r>
        <w:rPr>
          <w:rFonts w:hint="cs"/>
          <w:rtl/>
        </w:rPr>
        <w:t>:</w:t>
      </w:r>
      <w:r w:rsidRPr="00CF2039">
        <w:rPr>
          <w:rtl/>
        </w:rPr>
        <w:t xml:space="preserve"> "נכון למועד עריכת הדוח המאוחד לא ניתן היה לבצע אומדן מהימן של החבות ליום המאזן ולפיכך להכיר בה בהתאם לדרישות התקינה החשבונאית. הדוחות הכספיים כללו ביאור מילולי בנושא. חבות הפנסי</w:t>
      </w:r>
      <w:r>
        <w:rPr>
          <w:rFonts w:hint="cs"/>
          <w:rtl/>
        </w:rPr>
        <w:t>י</w:t>
      </w:r>
      <w:r w:rsidRPr="00CF2039">
        <w:rPr>
          <w:rtl/>
        </w:rPr>
        <w:t xml:space="preserve">ה לשנת </w:t>
      </w:r>
      <w:r w:rsidRPr="00CF2039">
        <w:t>2019</w:t>
      </w:r>
      <w:r w:rsidRPr="00CF2039">
        <w:rPr>
          <w:rtl/>
        </w:rPr>
        <w:t xml:space="preserve"> תביא בחשבון את ההסכם".</w:t>
      </w:r>
    </w:p>
    <w:p w14:paraId="2D106532" w14:textId="77777777" w:rsidR="00867DA1" w:rsidRDefault="00867DA1" w:rsidP="00296A47">
      <w:pPr>
        <w:pStyle w:val="af5"/>
        <w:rPr>
          <w:rtl/>
        </w:rPr>
      </w:pPr>
      <w:r>
        <w:rPr>
          <w:rFonts w:hint="cs"/>
          <w:rtl/>
        </w:rPr>
        <w:t xml:space="preserve">עולה אפוא כי </w:t>
      </w:r>
      <w:r w:rsidRPr="003377CB">
        <w:rPr>
          <w:rFonts w:hint="cs"/>
          <w:rtl/>
        </w:rPr>
        <w:t xml:space="preserve">היקף ההתחייבות </w:t>
      </w:r>
      <w:r>
        <w:rPr>
          <w:rFonts w:hint="cs"/>
          <w:rtl/>
        </w:rPr>
        <w:t xml:space="preserve">של המדינה בגין תשלומי הפנסייה התקציבית המוצג בדוחות הכספיים הוא חלקי, ואינו משקף באופן מלא את היקף החבות האמיתית של המדינה בגין הפנסייה התקציבית. </w:t>
      </w:r>
    </w:p>
    <w:p w14:paraId="4C4AB00C" w14:textId="77777777" w:rsidR="00867DA1" w:rsidRDefault="00867DA1" w:rsidP="00296A47">
      <w:pPr>
        <w:pStyle w:val="af5"/>
        <w:rPr>
          <w:rtl/>
        </w:rPr>
      </w:pPr>
      <w:r>
        <w:rPr>
          <w:rFonts w:hint="cs"/>
          <w:rtl/>
        </w:rPr>
        <w:t>מן הראוי כי הממשלה, באמצעות משרד האוצר, תדון באופן עיתי בסיכונים הנובעים מההתחייבויות לזמן ארוך העולים מהדוחות הכספיים מדי שנה ותבחן מבעוד מועד דרכים להתמודד עימם.</w:t>
      </w:r>
    </w:p>
    <w:p w14:paraId="68508DBB" w14:textId="77777777" w:rsidR="00867DA1" w:rsidRDefault="00867DA1" w:rsidP="00867DA1">
      <w:pPr>
        <w:spacing w:line="269" w:lineRule="auto"/>
        <w:rPr>
          <w:b/>
          <w:bCs/>
          <w:rtl/>
        </w:rPr>
      </w:pPr>
    </w:p>
    <w:p w14:paraId="755A22CF" w14:textId="77777777" w:rsidR="00867DA1" w:rsidRDefault="00867DA1" w:rsidP="00867DA1">
      <w:pPr>
        <w:spacing w:line="269" w:lineRule="auto"/>
        <w:rPr>
          <w:b/>
          <w:bCs/>
          <w:rtl/>
        </w:rPr>
      </w:pPr>
    </w:p>
    <w:p w14:paraId="1DF66446" w14:textId="77777777" w:rsidR="00867DA1" w:rsidRPr="00EF4818" w:rsidRDefault="00867DA1" w:rsidP="00867DA1">
      <w:pPr>
        <w:spacing w:line="269" w:lineRule="auto"/>
        <w:rPr>
          <w:b/>
          <w:rtl/>
        </w:rPr>
      </w:pPr>
    </w:p>
    <w:p w14:paraId="10719BB0" w14:textId="77777777" w:rsidR="00867DA1" w:rsidRDefault="00867DA1" w:rsidP="00867DA1">
      <w:pPr>
        <w:bidi w:val="0"/>
        <w:spacing w:after="200" w:line="276" w:lineRule="auto"/>
        <w:rPr>
          <w:rFonts w:eastAsiaTheme="majorEastAsia"/>
          <w:bCs/>
          <w:szCs w:val="32"/>
          <w:rtl/>
        </w:rPr>
      </w:pPr>
      <w:r>
        <w:rPr>
          <w:rtl/>
        </w:rPr>
        <w:br w:type="page"/>
      </w:r>
    </w:p>
    <w:p w14:paraId="716E62A3" w14:textId="77777777" w:rsidR="00867DA1" w:rsidRDefault="00867DA1" w:rsidP="00296A47">
      <w:pPr>
        <w:pStyle w:val="218"/>
        <w:rPr>
          <w:rtl/>
        </w:rPr>
      </w:pPr>
      <w:r>
        <w:rPr>
          <w:rFonts w:hint="cs"/>
          <w:rtl/>
        </w:rPr>
        <w:lastRenderedPageBreak/>
        <w:t>התקינה החשבונאית הממשלתית ויישומה בדוחות הכספיים של מדינת ישראל</w:t>
      </w:r>
    </w:p>
    <w:p w14:paraId="2E1151D9" w14:textId="77777777" w:rsidR="00867DA1" w:rsidRDefault="00867DA1" w:rsidP="00296A47">
      <w:pPr>
        <w:pStyle w:val="100"/>
        <w:rPr>
          <w:rtl/>
        </w:rPr>
      </w:pPr>
      <w:r>
        <w:rPr>
          <w:rFonts w:hint="cs"/>
          <w:rtl/>
        </w:rPr>
        <w:t>הוועדה הבינלאומית לתקינה בחשבונאו</w:t>
      </w:r>
      <w:r>
        <w:rPr>
          <w:rFonts w:hint="eastAsia"/>
          <w:rtl/>
        </w:rPr>
        <w:t>ת</w:t>
      </w:r>
      <w:r>
        <w:rPr>
          <w:rFonts w:hint="cs"/>
          <w:rtl/>
        </w:rPr>
        <w:t xml:space="preserve"> למגזר הציבורי (</w:t>
      </w:r>
      <w:r>
        <w:rPr>
          <w:rFonts w:hint="cs"/>
        </w:rPr>
        <w:t>IPSAS</w:t>
      </w:r>
      <w:r>
        <w:t>B</w:t>
      </w:r>
      <w:r>
        <w:rPr>
          <w:rFonts w:hint="cs"/>
          <w:rtl/>
        </w:rPr>
        <w:t xml:space="preserve">) (להלן - הוועדה הבינלאומית לתקינה ממשלתית) של ארגון הפדרציה הבינלאומית של רואי החשבון מפרסמת למגזר הציבורי את תקני החשבונאות הבינלאומיים האלה: </w:t>
      </w:r>
    </w:p>
    <w:p w14:paraId="697DC826" w14:textId="77777777" w:rsidR="00867DA1" w:rsidRPr="004254E2" w:rsidRDefault="00867DA1" w:rsidP="00296A47">
      <w:pPr>
        <w:pStyle w:val="a1"/>
        <w:numPr>
          <w:ilvl w:val="0"/>
          <w:numId w:val="33"/>
        </w:numPr>
      </w:pPr>
      <w:r w:rsidRPr="004254E2">
        <w:rPr>
          <w:rFonts w:hint="eastAsia"/>
          <w:rtl/>
        </w:rPr>
        <w:t>תקני</w:t>
      </w:r>
      <w:r w:rsidRPr="004254E2">
        <w:rPr>
          <w:rtl/>
        </w:rPr>
        <w:t xml:space="preserve"> </w:t>
      </w:r>
      <w:r w:rsidRPr="004254E2">
        <w:rPr>
          <w:rFonts w:hint="eastAsia"/>
          <w:rtl/>
        </w:rPr>
        <w:t>חשבונאות</w:t>
      </w:r>
      <w:r w:rsidRPr="004254E2">
        <w:rPr>
          <w:rtl/>
        </w:rPr>
        <w:t xml:space="preserve"> </w:t>
      </w:r>
      <w:r w:rsidRPr="004254E2">
        <w:rPr>
          <w:rFonts w:hint="eastAsia"/>
          <w:rtl/>
        </w:rPr>
        <w:t>בינלאומיים</w:t>
      </w:r>
      <w:r w:rsidRPr="004254E2">
        <w:rPr>
          <w:rtl/>
        </w:rPr>
        <w:t xml:space="preserve"> </w:t>
      </w:r>
      <w:r w:rsidRPr="004254E2">
        <w:rPr>
          <w:rFonts w:hint="eastAsia"/>
          <w:rtl/>
        </w:rPr>
        <w:t>למגזר</w:t>
      </w:r>
      <w:r w:rsidRPr="004254E2">
        <w:rPr>
          <w:rtl/>
        </w:rPr>
        <w:t xml:space="preserve"> </w:t>
      </w:r>
      <w:r w:rsidRPr="004254E2">
        <w:rPr>
          <w:rFonts w:hint="eastAsia"/>
          <w:rtl/>
        </w:rPr>
        <w:t>הציבורי</w:t>
      </w:r>
      <w:r w:rsidRPr="004254E2">
        <w:rPr>
          <w:rtl/>
        </w:rPr>
        <w:t xml:space="preserve"> (</w:t>
      </w:r>
      <w:r w:rsidRPr="00296A47">
        <w:rPr>
          <w:rFonts w:ascii="David" w:hAnsi="David"/>
        </w:rPr>
        <w:t>(</w:t>
      </w:r>
      <w:r w:rsidRPr="004254E2">
        <w:rPr>
          <w:rStyle w:val="FootnoteReference"/>
          <w:sz w:val="24"/>
        </w:rPr>
        <w:footnoteReference w:id="80"/>
      </w:r>
      <w:r w:rsidRPr="004254E2">
        <w:t>IPSAS</w:t>
      </w:r>
      <w:r w:rsidRPr="004254E2">
        <w:rPr>
          <w:rtl/>
        </w:rPr>
        <w:t xml:space="preserve"> </w:t>
      </w:r>
      <w:r w:rsidRPr="004254E2">
        <w:rPr>
          <w:rFonts w:hint="eastAsia"/>
          <w:rtl/>
        </w:rPr>
        <w:t>שיש</w:t>
      </w:r>
      <w:r w:rsidRPr="004254E2">
        <w:rPr>
          <w:rtl/>
        </w:rPr>
        <w:t xml:space="preserve"> </w:t>
      </w:r>
      <w:r w:rsidRPr="004254E2">
        <w:rPr>
          <w:rFonts w:hint="eastAsia"/>
          <w:rtl/>
        </w:rPr>
        <w:t>ליישמם</w:t>
      </w:r>
      <w:r w:rsidRPr="004254E2">
        <w:rPr>
          <w:rtl/>
        </w:rPr>
        <w:t xml:space="preserve"> </w:t>
      </w:r>
      <w:r w:rsidRPr="004254E2">
        <w:rPr>
          <w:rFonts w:hint="eastAsia"/>
          <w:rtl/>
        </w:rPr>
        <w:t>בעת</w:t>
      </w:r>
      <w:r w:rsidRPr="004254E2">
        <w:rPr>
          <w:rtl/>
        </w:rPr>
        <w:t xml:space="preserve"> </w:t>
      </w:r>
      <w:r w:rsidRPr="004254E2">
        <w:rPr>
          <w:rFonts w:hint="eastAsia"/>
          <w:rtl/>
        </w:rPr>
        <w:t>הכנה</w:t>
      </w:r>
      <w:r w:rsidRPr="004254E2">
        <w:rPr>
          <w:rtl/>
        </w:rPr>
        <w:t xml:space="preserve"> </w:t>
      </w:r>
      <w:r w:rsidRPr="004254E2">
        <w:rPr>
          <w:rFonts w:hint="eastAsia"/>
          <w:rtl/>
        </w:rPr>
        <w:t>של</w:t>
      </w:r>
      <w:r w:rsidRPr="004254E2">
        <w:rPr>
          <w:rtl/>
        </w:rPr>
        <w:t xml:space="preserve"> </w:t>
      </w:r>
      <w:r w:rsidRPr="004254E2">
        <w:rPr>
          <w:rFonts w:hint="eastAsia"/>
          <w:rtl/>
        </w:rPr>
        <w:t>דוחות</w:t>
      </w:r>
      <w:r w:rsidRPr="004254E2">
        <w:rPr>
          <w:rtl/>
        </w:rPr>
        <w:t xml:space="preserve"> </w:t>
      </w:r>
      <w:r w:rsidRPr="004254E2">
        <w:rPr>
          <w:rFonts w:hint="eastAsia"/>
          <w:rtl/>
        </w:rPr>
        <w:t>כספיים</w:t>
      </w:r>
      <w:r w:rsidRPr="004254E2">
        <w:rPr>
          <w:rtl/>
        </w:rPr>
        <w:t xml:space="preserve"> למטרות כלליות של ישויות המגזר הציבורי</w:t>
      </w:r>
      <w:r>
        <w:rPr>
          <w:rFonts w:hint="cs"/>
          <w:rtl/>
        </w:rPr>
        <w:t>;</w:t>
      </w:r>
    </w:p>
    <w:p w14:paraId="19743D3D" w14:textId="77777777" w:rsidR="00867DA1" w:rsidRPr="004254E2" w:rsidRDefault="00867DA1" w:rsidP="00296A47">
      <w:pPr>
        <w:pStyle w:val="a1"/>
      </w:pPr>
      <w:r w:rsidRPr="004254E2">
        <w:rPr>
          <w:rFonts w:hint="eastAsia"/>
          <w:rtl/>
        </w:rPr>
        <w:t>קווים</w:t>
      </w:r>
      <w:r w:rsidRPr="004254E2">
        <w:rPr>
          <w:rtl/>
        </w:rPr>
        <w:t xml:space="preserve"> </w:t>
      </w:r>
      <w:r w:rsidRPr="004254E2">
        <w:rPr>
          <w:rFonts w:hint="eastAsia"/>
          <w:rtl/>
        </w:rPr>
        <w:t>מנחים</w:t>
      </w:r>
      <w:r w:rsidRPr="004254E2">
        <w:rPr>
          <w:rtl/>
        </w:rPr>
        <w:t xml:space="preserve"> </w:t>
      </w:r>
      <w:r w:rsidRPr="004254E2">
        <w:rPr>
          <w:rFonts w:hint="eastAsia"/>
          <w:rtl/>
        </w:rPr>
        <w:t>לפרקטיקה</w:t>
      </w:r>
      <w:r w:rsidRPr="004254E2">
        <w:rPr>
          <w:rtl/>
        </w:rPr>
        <w:t xml:space="preserve"> </w:t>
      </w:r>
      <w:r w:rsidRPr="004254E2">
        <w:rPr>
          <w:rFonts w:hint="eastAsia"/>
          <w:rtl/>
        </w:rPr>
        <w:t>מומלצת</w:t>
      </w:r>
      <w:r w:rsidRPr="004254E2">
        <w:rPr>
          <w:rtl/>
        </w:rPr>
        <w:t xml:space="preserve"> (</w:t>
      </w:r>
      <w:r w:rsidRPr="004254E2">
        <w:t>RPG</w:t>
      </w:r>
      <w:r w:rsidRPr="004254E2">
        <w:rPr>
          <w:rtl/>
        </w:rPr>
        <w:t xml:space="preserve">) </w:t>
      </w:r>
      <w:r>
        <w:rPr>
          <w:rFonts w:hint="cs"/>
          <w:rtl/>
        </w:rPr>
        <w:t>-</w:t>
      </w:r>
      <w:r w:rsidRPr="004254E2">
        <w:rPr>
          <w:rtl/>
        </w:rPr>
        <w:t xml:space="preserve"> הנחיות בדבר פרקטיקה טובה</w:t>
      </w:r>
      <w:r>
        <w:rPr>
          <w:rFonts w:hint="cs"/>
          <w:rtl/>
        </w:rPr>
        <w:t>,</w:t>
      </w:r>
      <w:r w:rsidRPr="004254E2">
        <w:rPr>
          <w:rtl/>
        </w:rPr>
        <w:t xml:space="preserve"> </w:t>
      </w:r>
      <w:r>
        <w:rPr>
          <w:rFonts w:hint="cs"/>
          <w:rtl/>
        </w:rPr>
        <w:t>שיש לעודד</w:t>
      </w:r>
      <w:r w:rsidRPr="004254E2">
        <w:rPr>
          <w:rtl/>
        </w:rPr>
        <w:t xml:space="preserve"> בישויות המגזר הציבורי</w:t>
      </w:r>
      <w:r>
        <w:rPr>
          <w:rFonts w:hint="cs"/>
          <w:rtl/>
        </w:rPr>
        <w:t>;</w:t>
      </w:r>
    </w:p>
    <w:p w14:paraId="1B5E0210" w14:textId="77777777" w:rsidR="00867DA1" w:rsidRPr="004254E2" w:rsidRDefault="00867DA1" w:rsidP="00296A47">
      <w:pPr>
        <w:pStyle w:val="a1"/>
      </w:pPr>
      <w:r w:rsidRPr="004254E2">
        <w:rPr>
          <w:rFonts w:hint="eastAsia"/>
          <w:rtl/>
        </w:rPr>
        <w:t>פרסומים</w:t>
      </w:r>
      <w:r w:rsidRPr="004254E2">
        <w:rPr>
          <w:rtl/>
        </w:rPr>
        <w:t xml:space="preserve"> ומחקרים אחרים </w:t>
      </w:r>
      <w:r>
        <w:rPr>
          <w:rFonts w:hint="cs"/>
          <w:rtl/>
        </w:rPr>
        <w:t>שה</w:t>
      </w:r>
      <w:r w:rsidRPr="004254E2">
        <w:rPr>
          <w:rFonts w:hint="eastAsia"/>
          <w:rtl/>
        </w:rPr>
        <w:t>מידע</w:t>
      </w:r>
      <w:r w:rsidRPr="004254E2">
        <w:rPr>
          <w:rtl/>
        </w:rPr>
        <w:t xml:space="preserve"> </w:t>
      </w:r>
      <w:r>
        <w:rPr>
          <w:rFonts w:hint="cs"/>
          <w:rtl/>
        </w:rPr>
        <w:t xml:space="preserve">שהם מציעים </w:t>
      </w:r>
      <w:r w:rsidRPr="004254E2">
        <w:rPr>
          <w:rFonts w:hint="eastAsia"/>
          <w:rtl/>
        </w:rPr>
        <w:t>תורם</w:t>
      </w:r>
      <w:r w:rsidRPr="004254E2">
        <w:rPr>
          <w:rtl/>
        </w:rPr>
        <w:t xml:space="preserve"> לגוף הממשלתי ידע </w:t>
      </w:r>
      <w:r>
        <w:rPr>
          <w:rFonts w:hint="cs"/>
          <w:rtl/>
        </w:rPr>
        <w:t>על</w:t>
      </w:r>
      <w:r w:rsidRPr="004254E2">
        <w:rPr>
          <w:rtl/>
        </w:rPr>
        <w:t xml:space="preserve"> </w:t>
      </w:r>
      <w:r w:rsidRPr="004254E2">
        <w:rPr>
          <w:rFonts w:hint="eastAsia"/>
          <w:rtl/>
        </w:rPr>
        <w:t>סוגיות</w:t>
      </w:r>
      <w:r w:rsidRPr="004254E2">
        <w:rPr>
          <w:rtl/>
        </w:rPr>
        <w:t xml:space="preserve"> והתפתחויות </w:t>
      </w:r>
      <w:r>
        <w:rPr>
          <w:rFonts w:hint="cs"/>
          <w:rtl/>
        </w:rPr>
        <w:t>בנושא</w:t>
      </w:r>
      <w:r w:rsidRPr="004254E2">
        <w:rPr>
          <w:rtl/>
        </w:rPr>
        <w:t xml:space="preserve"> </w:t>
      </w:r>
      <w:r w:rsidRPr="004254E2">
        <w:rPr>
          <w:rFonts w:hint="eastAsia"/>
          <w:rtl/>
        </w:rPr>
        <w:t>דיווח</w:t>
      </w:r>
      <w:r w:rsidRPr="004254E2">
        <w:rPr>
          <w:rtl/>
        </w:rPr>
        <w:t xml:space="preserve"> כספי במגזר הציבורי. </w:t>
      </w:r>
    </w:p>
    <w:p w14:paraId="10F23FC8" w14:textId="77777777" w:rsidR="00867DA1" w:rsidRPr="0018433C" w:rsidRDefault="00867DA1" w:rsidP="00302C87">
      <w:pPr>
        <w:pStyle w:val="af5"/>
        <w:rPr>
          <w:rtl/>
        </w:rPr>
      </w:pPr>
      <w:r>
        <w:rPr>
          <w:rFonts w:hint="cs"/>
          <w:rtl/>
        </w:rPr>
        <w:t>עד</w:t>
      </w:r>
      <w:r w:rsidRPr="0018433C">
        <w:rPr>
          <w:rFonts w:hint="cs"/>
          <w:rtl/>
        </w:rPr>
        <w:t xml:space="preserve"> לסוף שנת 2019 פרסמה הוועדה ה</w:t>
      </w:r>
      <w:r>
        <w:rPr>
          <w:rFonts w:hint="cs"/>
          <w:rtl/>
        </w:rPr>
        <w:t>בין-לאומית</w:t>
      </w:r>
      <w:r w:rsidRPr="0018433C">
        <w:rPr>
          <w:rFonts w:hint="cs"/>
          <w:rtl/>
        </w:rPr>
        <w:t xml:space="preserve"> לתקינה </w:t>
      </w:r>
      <w:r>
        <w:rPr>
          <w:rFonts w:hint="cs"/>
          <w:rtl/>
        </w:rPr>
        <w:t>ממשלתית 42</w:t>
      </w:r>
      <w:r w:rsidRPr="0018433C">
        <w:rPr>
          <w:rFonts w:hint="cs"/>
          <w:rtl/>
        </w:rPr>
        <w:t xml:space="preserve"> תקני חשבונאות בינלאומיים ושלושה קווים מנחים לפרקטיקה מקצועית.</w:t>
      </w:r>
    </w:p>
    <w:p w14:paraId="680E3B62" w14:textId="77777777" w:rsidR="002C2524" w:rsidRDefault="002C2524">
      <w:pPr>
        <w:bidi w:val="0"/>
        <w:spacing w:after="200" w:line="276" w:lineRule="auto"/>
        <w:rPr>
          <w:rFonts w:ascii="Tahoma" w:hAnsi="Tahoma" w:cs="Tahoma"/>
          <w:szCs w:val="20"/>
          <w:rtl/>
        </w:rPr>
      </w:pPr>
      <w:r>
        <w:rPr>
          <w:rtl/>
        </w:rPr>
        <w:br w:type="page"/>
      </w:r>
    </w:p>
    <w:p w14:paraId="76247048" w14:textId="2C418168" w:rsidR="00867DA1" w:rsidRDefault="00867DA1" w:rsidP="00302C87">
      <w:pPr>
        <w:pStyle w:val="100"/>
        <w:rPr>
          <w:rtl/>
        </w:rPr>
      </w:pPr>
      <w:r>
        <w:rPr>
          <w:rFonts w:hint="cs"/>
          <w:rtl/>
        </w:rPr>
        <w:lastRenderedPageBreak/>
        <w:t xml:space="preserve">ממשלות העולם משתמשות בתקני החשבונאות הבינלאומיים </w:t>
      </w:r>
      <w:r>
        <w:rPr>
          <w:rFonts w:hint="cs"/>
          <w:sz w:val="24"/>
          <w:rtl/>
        </w:rPr>
        <w:t>למגזר הציבורי (</w:t>
      </w:r>
      <w:r>
        <w:rPr>
          <w:rFonts w:hint="cs"/>
          <w:sz w:val="24"/>
        </w:rPr>
        <w:t>IPSAS</w:t>
      </w:r>
      <w:r>
        <w:rPr>
          <w:rFonts w:hint="cs"/>
          <w:sz w:val="24"/>
          <w:rtl/>
        </w:rPr>
        <w:t>)</w:t>
      </w:r>
      <w:r>
        <w:rPr>
          <w:rFonts w:hint="cs"/>
          <w:rtl/>
        </w:rPr>
        <w:t xml:space="preserve"> בשלוש דרכים עיקריות: אימוץ מלא של התקינה החשבונאית הממשלתית הבין-לאומית; אימוץ בעקיפין - התאמה של תקני החשבונאות הבינלאומיים בהתאם למאפייני המדינה המאמצת; שימוש בתקני החשבונאות הבינלאומיים כנקודת מוצא ליצירת תקני חשבונאות מקומיים. להלן מצב יישום תקני החשבונאות בממשלות העולם:</w:t>
      </w:r>
    </w:p>
    <w:p w14:paraId="32F5D961" w14:textId="368BE88F" w:rsidR="00867DA1" w:rsidRPr="002C2524" w:rsidRDefault="00867DA1" w:rsidP="002C2524">
      <w:pPr>
        <w:pStyle w:val="aa"/>
        <w:rPr>
          <w:b/>
          <w:bCs/>
          <w:rtl/>
        </w:rPr>
      </w:pPr>
      <w:r w:rsidRPr="002C2524">
        <w:rPr>
          <w:rtl/>
        </w:rPr>
        <w:t xml:space="preserve">תמונה </w:t>
      </w:r>
      <w:fldSimple w:instr=" SEQ תמונה \* ARABIC ">
        <w:r w:rsidR="003E1673">
          <w:rPr>
            <w:noProof/>
          </w:rPr>
          <w:t>2</w:t>
        </w:r>
      </w:fldSimple>
      <w:r w:rsidRPr="002C2524">
        <w:rPr>
          <w:rFonts w:hint="cs"/>
          <w:rtl/>
        </w:rPr>
        <w:t xml:space="preserve">: </w:t>
      </w:r>
      <w:r w:rsidRPr="002C2524">
        <w:rPr>
          <w:rFonts w:hint="cs"/>
          <w:b/>
          <w:bCs/>
          <w:rtl/>
        </w:rPr>
        <w:t>יישום תקני חשבונאות בעריכת הדוחות הכספיים במדינות העולם</w:t>
      </w:r>
    </w:p>
    <w:p w14:paraId="1CA13F93" w14:textId="77777777" w:rsidR="00867DA1" w:rsidRDefault="00867DA1" w:rsidP="00867DA1">
      <w:pPr>
        <w:spacing w:line="269" w:lineRule="auto"/>
        <w:jc w:val="center"/>
        <w:rPr>
          <w:b/>
          <w:bCs/>
          <w:rtl/>
        </w:rPr>
      </w:pPr>
      <w:r>
        <w:rPr>
          <w:b/>
          <w:bCs/>
          <w:noProof/>
          <w:rtl/>
        </w:rPr>
        <w:drawing>
          <wp:inline distT="0" distB="0" distL="0" distR="0" wp14:anchorId="671B6308" wp14:editId="20B32551">
            <wp:extent cx="5219700" cy="3644900"/>
            <wp:effectExtent l="19050" t="19050" r="19050" b="12700"/>
            <wp:docPr id="39"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1.PNG"/>
                    <pic:cNvPicPr/>
                  </pic:nvPicPr>
                  <pic:blipFill>
                    <a:blip r:embed="rId60">
                      <a:extLst>
                        <a:ext uri="{28A0092B-C50C-407E-A947-70E740481C1C}">
                          <a14:useLocalDpi xmlns:a14="http://schemas.microsoft.com/office/drawing/2010/main" val="0"/>
                        </a:ext>
                      </a:extLst>
                    </a:blip>
                    <a:stretch>
                      <a:fillRect/>
                    </a:stretch>
                  </pic:blipFill>
                  <pic:spPr>
                    <a:xfrm>
                      <a:off x="0" y="0"/>
                      <a:ext cx="5219700" cy="3644900"/>
                    </a:xfrm>
                    <a:prstGeom prst="rect">
                      <a:avLst/>
                    </a:prstGeom>
                    <a:ln>
                      <a:solidFill>
                        <a:schemeClr val="tx1"/>
                      </a:solidFill>
                    </a:ln>
                  </pic:spPr>
                </pic:pic>
              </a:graphicData>
            </a:graphic>
          </wp:inline>
        </w:drawing>
      </w:r>
    </w:p>
    <w:p w14:paraId="71109C01" w14:textId="77777777" w:rsidR="00867DA1" w:rsidRPr="004254E2" w:rsidRDefault="00867DA1" w:rsidP="002C2524">
      <w:pPr>
        <w:pStyle w:val="ac"/>
        <w:rPr>
          <w:rtl/>
        </w:rPr>
      </w:pPr>
      <w:r>
        <w:rPr>
          <w:rFonts w:hint="cs"/>
          <w:rtl/>
        </w:rPr>
        <w:t>על פי נתוני</w:t>
      </w:r>
      <w:r w:rsidRPr="004254E2">
        <w:rPr>
          <w:rtl/>
        </w:rPr>
        <w:t xml:space="preserve"> מאגר </w:t>
      </w:r>
      <w:r>
        <w:rPr>
          <w:rFonts w:hint="cs"/>
          <w:rtl/>
        </w:rPr>
        <w:t>ה</w:t>
      </w:r>
      <w:r w:rsidRPr="004254E2">
        <w:rPr>
          <w:rFonts w:hint="eastAsia"/>
          <w:rtl/>
        </w:rPr>
        <w:t>מידע</w:t>
      </w:r>
      <w:r w:rsidRPr="004254E2">
        <w:rPr>
          <w:rtl/>
        </w:rPr>
        <w:t xml:space="preserve"> </w:t>
      </w:r>
      <w:r w:rsidRPr="004254E2">
        <w:rPr>
          <w:rFonts w:hint="eastAsia"/>
          <w:rtl/>
        </w:rPr>
        <w:t>של</w:t>
      </w:r>
      <w:r w:rsidRPr="004254E2">
        <w:rPr>
          <w:rtl/>
        </w:rPr>
        <w:t xml:space="preserve"> </w:t>
      </w:r>
      <w:r w:rsidRPr="004254E2">
        <w:rPr>
          <w:rFonts w:hint="eastAsia"/>
          <w:rtl/>
        </w:rPr>
        <w:t>ארגון</w:t>
      </w:r>
      <w:r w:rsidRPr="004254E2">
        <w:rPr>
          <w:rtl/>
        </w:rPr>
        <w:t xml:space="preserve"> </w:t>
      </w:r>
      <w:r w:rsidRPr="004254E2">
        <w:rPr>
          <w:rFonts w:hint="eastAsia"/>
          <w:rtl/>
        </w:rPr>
        <w:t>הפדרציה</w:t>
      </w:r>
      <w:r w:rsidRPr="004254E2">
        <w:rPr>
          <w:rtl/>
        </w:rPr>
        <w:t xml:space="preserve"> </w:t>
      </w:r>
      <w:r w:rsidRPr="004254E2">
        <w:rPr>
          <w:rFonts w:hint="eastAsia"/>
          <w:rtl/>
        </w:rPr>
        <w:t>הבי</w:t>
      </w:r>
      <w:r>
        <w:rPr>
          <w:rFonts w:hint="cs"/>
          <w:rtl/>
        </w:rPr>
        <w:t>ן-</w:t>
      </w:r>
      <w:r w:rsidRPr="004254E2">
        <w:rPr>
          <w:rFonts w:hint="eastAsia"/>
          <w:rtl/>
        </w:rPr>
        <w:t>לאומית</w:t>
      </w:r>
      <w:r w:rsidRPr="004254E2">
        <w:rPr>
          <w:rtl/>
        </w:rPr>
        <w:t xml:space="preserve"> של רואי החשבון </w:t>
      </w:r>
      <w:r>
        <w:rPr>
          <w:rFonts w:hint="cs"/>
          <w:rtl/>
        </w:rPr>
        <w:t>(</w:t>
      </w:r>
      <w:r w:rsidRPr="004254E2">
        <w:rPr>
          <w:rtl/>
        </w:rPr>
        <w:t>28.2.19</w:t>
      </w:r>
      <w:r>
        <w:rPr>
          <w:rFonts w:hint="cs"/>
          <w:rtl/>
        </w:rPr>
        <w:t>),</w:t>
      </w:r>
      <w:r w:rsidRPr="004254E2">
        <w:rPr>
          <w:rtl/>
        </w:rPr>
        <w:t xml:space="preserve"> בעיבוד משרד מבקר המדינה</w:t>
      </w:r>
      <w:r>
        <w:rPr>
          <w:rFonts w:hint="cs"/>
          <w:rtl/>
        </w:rPr>
        <w:t>.</w:t>
      </w:r>
    </w:p>
    <w:p w14:paraId="4B6E4858" w14:textId="12E61794" w:rsidR="00867DA1" w:rsidRDefault="00867DA1" w:rsidP="002C2524">
      <w:pPr>
        <w:pStyle w:val="100"/>
        <w:rPr>
          <w:rtl/>
        </w:rPr>
      </w:pPr>
    </w:p>
    <w:p w14:paraId="60DA23CB" w14:textId="1DD5C8E3" w:rsidR="00867DA1" w:rsidRDefault="00867DA1" w:rsidP="002C2524">
      <w:pPr>
        <w:pStyle w:val="100"/>
        <w:rPr>
          <w:sz w:val="24"/>
          <w:rtl/>
        </w:rPr>
      </w:pPr>
      <w:r>
        <w:rPr>
          <w:rFonts w:hint="cs"/>
          <w:sz w:val="24"/>
          <w:rtl/>
        </w:rPr>
        <w:t>מנתונים אלו עולה</w:t>
      </w:r>
      <w:r w:rsidRPr="009C35CB">
        <w:rPr>
          <w:rFonts w:hint="cs"/>
          <w:sz w:val="24"/>
          <w:rtl/>
        </w:rPr>
        <w:t xml:space="preserve">: 33 מדינות </w:t>
      </w:r>
      <w:r>
        <w:rPr>
          <w:rFonts w:hint="cs"/>
          <w:sz w:val="24"/>
          <w:rtl/>
        </w:rPr>
        <w:t>משתמשות</w:t>
      </w:r>
      <w:r w:rsidRPr="009C35CB">
        <w:rPr>
          <w:rFonts w:hint="cs"/>
          <w:sz w:val="24"/>
          <w:rtl/>
        </w:rPr>
        <w:t xml:space="preserve"> </w:t>
      </w:r>
      <w:r>
        <w:rPr>
          <w:rFonts w:hint="cs"/>
          <w:sz w:val="24"/>
          <w:rtl/>
        </w:rPr>
        <w:t>בתקינה החשבונאית הממשלתית הבינלאומית</w:t>
      </w:r>
      <w:r w:rsidRPr="009C35CB">
        <w:rPr>
          <w:sz w:val="24"/>
          <w:rtl/>
        </w:rPr>
        <w:t xml:space="preserve"> </w:t>
      </w:r>
      <w:r>
        <w:rPr>
          <w:rFonts w:hint="cs"/>
          <w:sz w:val="24"/>
          <w:rtl/>
        </w:rPr>
        <w:t>כנקודת מוצא לתקני</w:t>
      </w:r>
      <w:r w:rsidRPr="009C35CB">
        <w:rPr>
          <w:sz w:val="24"/>
          <w:rtl/>
        </w:rPr>
        <w:t xml:space="preserve"> חשבונאות מקומיים </w:t>
      </w:r>
      <w:r w:rsidRPr="009C35CB">
        <w:rPr>
          <w:rFonts w:hint="cs"/>
          <w:sz w:val="24"/>
          <w:rtl/>
        </w:rPr>
        <w:t>(</w:t>
      </w:r>
      <w:r>
        <w:rPr>
          <w:rFonts w:hint="cs"/>
          <w:sz w:val="24"/>
          <w:rtl/>
        </w:rPr>
        <w:t>צבועות במפה בצבע צהוב); 30 מדינות</w:t>
      </w:r>
      <w:r w:rsidRPr="009C35CB">
        <w:rPr>
          <w:rFonts w:hint="cs"/>
          <w:sz w:val="24"/>
          <w:rtl/>
        </w:rPr>
        <w:t xml:space="preserve"> מאמצות את </w:t>
      </w:r>
      <w:r>
        <w:rPr>
          <w:rFonts w:hint="cs"/>
          <w:sz w:val="24"/>
          <w:rtl/>
        </w:rPr>
        <w:t>תקני</w:t>
      </w:r>
      <w:r w:rsidRPr="009C35CB">
        <w:rPr>
          <w:rFonts w:hint="cs"/>
          <w:sz w:val="24"/>
          <w:rtl/>
        </w:rPr>
        <w:t xml:space="preserve"> </w:t>
      </w:r>
      <w:r>
        <w:rPr>
          <w:rFonts w:hint="cs"/>
          <w:sz w:val="24"/>
          <w:rtl/>
        </w:rPr>
        <w:t>החשבונאות הממשלתית הבינלאומית באופן מלא</w:t>
      </w:r>
      <w:r w:rsidRPr="009C35CB">
        <w:rPr>
          <w:rFonts w:hint="cs"/>
          <w:sz w:val="24"/>
          <w:rtl/>
        </w:rPr>
        <w:t xml:space="preserve"> (</w:t>
      </w:r>
      <w:r>
        <w:rPr>
          <w:rFonts w:hint="cs"/>
          <w:sz w:val="24"/>
          <w:rtl/>
        </w:rPr>
        <w:t>צבועות במפה בצבע שחור</w:t>
      </w:r>
      <w:r w:rsidRPr="009C35CB">
        <w:rPr>
          <w:rFonts w:hint="cs"/>
          <w:sz w:val="24"/>
          <w:rtl/>
        </w:rPr>
        <w:t>)</w:t>
      </w:r>
      <w:r>
        <w:rPr>
          <w:rFonts w:hint="cs"/>
          <w:sz w:val="24"/>
          <w:rtl/>
        </w:rPr>
        <w:t>; 70 מדינות</w:t>
      </w:r>
      <w:r w:rsidRPr="009C35CB">
        <w:rPr>
          <w:rFonts w:hint="cs"/>
          <w:sz w:val="24"/>
          <w:rtl/>
        </w:rPr>
        <w:t xml:space="preserve"> משתמשו</w:t>
      </w:r>
      <w:r>
        <w:rPr>
          <w:rFonts w:hint="cs"/>
          <w:sz w:val="24"/>
          <w:rtl/>
        </w:rPr>
        <w:t xml:space="preserve">ת בתקני חשבונאות ממשלתיים מקומיים (צבועות במפה בצבע כתום); </w:t>
      </w:r>
      <w:r w:rsidRPr="009C35CB">
        <w:rPr>
          <w:rFonts w:hint="cs"/>
          <w:sz w:val="24"/>
          <w:rtl/>
        </w:rPr>
        <w:t xml:space="preserve">15 מדינות מאמצות את </w:t>
      </w:r>
      <w:r>
        <w:rPr>
          <w:rFonts w:hint="cs"/>
          <w:sz w:val="24"/>
          <w:rtl/>
        </w:rPr>
        <w:t>תקני</w:t>
      </w:r>
      <w:r w:rsidRPr="009C35CB">
        <w:rPr>
          <w:rFonts w:hint="cs"/>
          <w:sz w:val="24"/>
          <w:rtl/>
        </w:rPr>
        <w:t xml:space="preserve"> </w:t>
      </w:r>
      <w:r>
        <w:rPr>
          <w:rFonts w:hint="cs"/>
          <w:sz w:val="24"/>
          <w:rtl/>
        </w:rPr>
        <w:t>החשבונאות</w:t>
      </w:r>
      <w:r>
        <w:rPr>
          <w:sz w:val="24"/>
          <w:rtl/>
        </w:rPr>
        <w:t xml:space="preserve"> </w:t>
      </w:r>
      <w:r>
        <w:rPr>
          <w:rFonts w:hint="cs"/>
          <w:sz w:val="24"/>
          <w:rtl/>
        </w:rPr>
        <w:t xml:space="preserve">הממשלתיים הבינלאומיים </w:t>
      </w:r>
      <w:r w:rsidRPr="009C35CB">
        <w:rPr>
          <w:rFonts w:hint="cs"/>
          <w:sz w:val="24"/>
          <w:rtl/>
        </w:rPr>
        <w:t>באופן עקיף (</w:t>
      </w:r>
      <w:r>
        <w:rPr>
          <w:rFonts w:hint="cs"/>
          <w:sz w:val="24"/>
          <w:rtl/>
        </w:rPr>
        <w:t xml:space="preserve">צבועות במפה צבע </w:t>
      </w:r>
      <w:r w:rsidRPr="009C35CB">
        <w:rPr>
          <w:rFonts w:hint="cs"/>
          <w:sz w:val="24"/>
          <w:rtl/>
        </w:rPr>
        <w:t>טורקיז)</w:t>
      </w:r>
      <w:r>
        <w:rPr>
          <w:rFonts w:hint="cs"/>
          <w:sz w:val="24"/>
          <w:rtl/>
        </w:rPr>
        <w:t xml:space="preserve">, שתי </w:t>
      </w:r>
      <w:r w:rsidRPr="009C35CB">
        <w:rPr>
          <w:rFonts w:hint="cs"/>
          <w:sz w:val="24"/>
          <w:rtl/>
        </w:rPr>
        <w:t xml:space="preserve">מדינות משתמשות </w:t>
      </w:r>
      <w:r>
        <w:rPr>
          <w:rFonts w:hint="cs"/>
          <w:sz w:val="24"/>
          <w:rtl/>
        </w:rPr>
        <w:t>בתקני</w:t>
      </w:r>
      <w:r w:rsidRPr="009C35CB">
        <w:rPr>
          <w:rFonts w:hint="cs"/>
          <w:sz w:val="24"/>
          <w:rtl/>
        </w:rPr>
        <w:t xml:space="preserve"> חשבונאו</w:t>
      </w:r>
      <w:r>
        <w:rPr>
          <w:rFonts w:hint="cs"/>
          <w:sz w:val="24"/>
          <w:rtl/>
        </w:rPr>
        <w:t>ת</w:t>
      </w:r>
      <w:r w:rsidR="002F5B56">
        <w:rPr>
          <w:rFonts w:hint="cs"/>
          <w:sz w:val="24"/>
          <w:rtl/>
        </w:rPr>
        <w:t xml:space="preserve"> </w:t>
      </w:r>
      <w:r w:rsidR="002F5B56" w:rsidRPr="002F5B56">
        <w:rPr>
          <w:spacing w:val="-62"/>
          <w:sz w:val="24"/>
        </w:rPr>
        <w:t xml:space="preserve"> </w:t>
      </w:r>
      <w:r w:rsidR="002F5B56">
        <w:rPr>
          <w:rFonts w:hint="cs"/>
          <w:sz w:val="24"/>
        </w:rPr>
        <w:t>IFRS</w:t>
      </w:r>
      <w:r w:rsidRPr="002F5B56">
        <w:rPr>
          <w:rFonts w:hint="cs"/>
          <w:spacing w:val="-68"/>
          <w:sz w:val="24"/>
          <w:rtl/>
        </w:rPr>
        <w:t xml:space="preserve"> </w:t>
      </w:r>
      <w:r w:rsidR="002F5B56">
        <w:rPr>
          <w:rStyle w:val="FootnoteReference"/>
          <w:sz w:val="24"/>
        </w:rPr>
        <w:footnoteReference w:id="81"/>
      </w:r>
      <w:r w:rsidR="002F5B56" w:rsidRPr="009C35CB">
        <w:rPr>
          <w:rFonts w:hint="cs"/>
          <w:sz w:val="24"/>
          <w:rtl/>
        </w:rPr>
        <w:t xml:space="preserve"> </w:t>
      </w:r>
      <w:r w:rsidR="002F5B56">
        <w:rPr>
          <w:rFonts w:hint="cs"/>
          <w:sz w:val="24"/>
          <w:rtl/>
        </w:rPr>
        <w:t xml:space="preserve"> </w:t>
      </w:r>
      <w:r w:rsidRPr="009C35CB">
        <w:rPr>
          <w:rFonts w:hint="cs"/>
          <w:sz w:val="24"/>
          <w:rtl/>
        </w:rPr>
        <w:t>(</w:t>
      </w:r>
      <w:r>
        <w:rPr>
          <w:rFonts w:hint="cs"/>
          <w:sz w:val="24"/>
          <w:rtl/>
        </w:rPr>
        <w:t xml:space="preserve">צבועות במפה בצבע </w:t>
      </w:r>
      <w:r w:rsidRPr="009C35CB">
        <w:rPr>
          <w:rFonts w:hint="cs"/>
          <w:sz w:val="24"/>
          <w:rtl/>
        </w:rPr>
        <w:t>אדום)</w:t>
      </w:r>
      <w:r>
        <w:rPr>
          <w:rFonts w:hint="cs"/>
          <w:sz w:val="24"/>
          <w:rtl/>
        </w:rPr>
        <w:t xml:space="preserve">. </w:t>
      </w:r>
    </w:p>
    <w:p w14:paraId="1EED21D9" w14:textId="77777777" w:rsidR="00867DA1" w:rsidRDefault="00867DA1" w:rsidP="002C2524">
      <w:pPr>
        <w:pStyle w:val="100"/>
        <w:rPr>
          <w:sz w:val="24"/>
          <w:rtl/>
        </w:rPr>
      </w:pPr>
      <w:r>
        <w:rPr>
          <w:rFonts w:ascii="Open Sans Hebrew" w:hAnsi="Open Sans Hebrew" w:hint="cs"/>
          <w:color w:val="000000"/>
          <w:rtl/>
        </w:rPr>
        <w:t>מדינת ישראל משתמשת</w:t>
      </w:r>
      <w:r w:rsidRPr="00E51124">
        <w:rPr>
          <w:rFonts w:ascii="Open Sans Hebrew" w:hAnsi="Open Sans Hebrew"/>
          <w:color w:val="000000"/>
          <w:rtl/>
        </w:rPr>
        <w:t xml:space="preserve"> </w:t>
      </w:r>
      <w:r>
        <w:rPr>
          <w:rFonts w:ascii="Open Sans Hebrew" w:hAnsi="Open Sans Hebrew" w:hint="cs"/>
          <w:color w:val="000000"/>
          <w:rtl/>
        </w:rPr>
        <w:t>ב</w:t>
      </w:r>
      <w:r w:rsidRPr="00E51124">
        <w:rPr>
          <w:rFonts w:ascii="Open Sans Hebrew" w:hAnsi="Open Sans Hebrew"/>
          <w:color w:val="000000"/>
          <w:rtl/>
        </w:rPr>
        <w:t xml:space="preserve">תקינה החשבונאית </w:t>
      </w:r>
      <w:r>
        <w:rPr>
          <w:rFonts w:ascii="Open Sans Hebrew" w:hAnsi="Open Sans Hebrew" w:hint="cs"/>
          <w:color w:val="000000"/>
          <w:rtl/>
        </w:rPr>
        <w:t>הממשלתית ה</w:t>
      </w:r>
      <w:r w:rsidRPr="00E51124">
        <w:rPr>
          <w:rFonts w:ascii="Open Sans Hebrew" w:hAnsi="Open Sans Hebrew"/>
          <w:color w:val="000000"/>
          <w:rtl/>
        </w:rPr>
        <w:t>בינלאומית כנקודת מוצא</w:t>
      </w:r>
      <w:r>
        <w:rPr>
          <w:rFonts w:ascii="Open Sans Hebrew" w:hAnsi="Open Sans Hebrew" w:hint="cs"/>
          <w:color w:val="000000"/>
          <w:rtl/>
        </w:rPr>
        <w:t xml:space="preserve"> ל</w:t>
      </w:r>
      <w:r w:rsidRPr="00E51124">
        <w:rPr>
          <w:rFonts w:ascii="Open Sans Hebrew" w:hAnsi="Open Sans Hebrew"/>
          <w:color w:val="000000"/>
          <w:rtl/>
        </w:rPr>
        <w:t>תקני חשבונאות מקומיים</w:t>
      </w:r>
      <w:r>
        <w:rPr>
          <w:rFonts w:ascii="Open Sans Hebrew" w:hAnsi="Open Sans Hebrew" w:hint="cs"/>
          <w:color w:val="000000"/>
          <w:rtl/>
        </w:rPr>
        <w:t xml:space="preserve"> (צבועה במפה בצבע צהוב).</w:t>
      </w:r>
    </w:p>
    <w:p w14:paraId="2E63EFB1" w14:textId="77777777" w:rsidR="00867DA1" w:rsidRDefault="00867DA1" w:rsidP="002C2524">
      <w:pPr>
        <w:pStyle w:val="100"/>
        <w:rPr>
          <w:rtl/>
        </w:rPr>
      </w:pPr>
      <w:r>
        <w:rPr>
          <w:rFonts w:hint="cs"/>
          <w:rtl/>
        </w:rPr>
        <w:lastRenderedPageBreak/>
        <w:t xml:space="preserve">החשבונאי הראשי ציין בתשובתו כי לדעתו, רוב המדינות שאימצו את תקני החשבונאות הבינלאומיים באופן ישיר שונות באופן מהותי ממדינת ישראל. </w:t>
      </w:r>
    </w:p>
    <w:p w14:paraId="55FCB893" w14:textId="77777777" w:rsidR="00867DA1" w:rsidRPr="00CF2039" w:rsidRDefault="00867DA1" w:rsidP="002C2524">
      <w:pPr>
        <w:pStyle w:val="af5"/>
        <w:rPr>
          <w:rtl/>
        </w:rPr>
      </w:pPr>
      <w:r w:rsidRPr="00CF2039">
        <w:rPr>
          <w:rFonts w:hint="eastAsia"/>
          <w:rtl/>
        </w:rPr>
        <w:t>לדעת</w:t>
      </w:r>
      <w:r w:rsidRPr="00CF2039">
        <w:rPr>
          <w:rtl/>
        </w:rPr>
        <w:t xml:space="preserve"> משרד מבקר המדינה, </w:t>
      </w:r>
      <w:r>
        <w:rPr>
          <w:rFonts w:hint="cs"/>
          <w:rtl/>
        </w:rPr>
        <w:t>המ</w:t>
      </w:r>
      <w:r w:rsidRPr="00CF2039">
        <w:rPr>
          <w:rtl/>
        </w:rPr>
        <w:t xml:space="preserve">וסד לתקינה חשבונאית ממשלתית </w:t>
      </w:r>
      <w:r>
        <w:rPr>
          <w:rFonts w:hint="cs"/>
          <w:rtl/>
        </w:rPr>
        <w:t xml:space="preserve">צריך לשים לב בין היתר גם להבדלים בין המדינות בבואו לקבוע כיצד ישראל תאמץ </w:t>
      </w:r>
      <w:r w:rsidRPr="00CF2039">
        <w:rPr>
          <w:rtl/>
        </w:rPr>
        <w:t xml:space="preserve">תקינה </w:t>
      </w:r>
      <w:r>
        <w:rPr>
          <w:rFonts w:hint="cs"/>
          <w:rtl/>
        </w:rPr>
        <w:t>חשבונאית ממשלתית</w:t>
      </w:r>
      <w:r w:rsidRPr="00CF2039">
        <w:rPr>
          <w:rtl/>
        </w:rPr>
        <w:t xml:space="preserve">(ראו להלן). </w:t>
      </w:r>
    </w:p>
    <w:p w14:paraId="06FE98E2" w14:textId="77777777" w:rsidR="002A41D1" w:rsidRDefault="002A41D1">
      <w:pPr>
        <w:bidi w:val="0"/>
        <w:spacing w:after="200" w:line="276" w:lineRule="auto"/>
        <w:rPr>
          <w:rFonts w:ascii="Tahoma" w:eastAsia="Times New Roman" w:hAnsi="Tahoma" w:cs="Tahoma"/>
          <w:color w:val="009692"/>
          <w:sz w:val="32"/>
          <w:szCs w:val="32"/>
          <w:rtl/>
        </w:rPr>
      </w:pPr>
      <w:r>
        <w:rPr>
          <w:rtl/>
        </w:rPr>
        <w:br w:type="page"/>
      </w:r>
    </w:p>
    <w:p w14:paraId="0765E36B" w14:textId="28F62BE4" w:rsidR="00867DA1" w:rsidRDefault="00867DA1" w:rsidP="002C2524">
      <w:pPr>
        <w:pStyle w:val="316"/>
        <w:rPr>
          <w:rtl/>
        </w:rPr>
      </w:pPr>
      <w:r>
        <w:rPr>
          <w:rFonts w:hint="cs"/>
          <w:rtl/>
        </w:rPr>
        <w:lastRenderedPageBreak/>
        <w:t xml:space="preserve">תקני החשבונאות העומדים בבסיס עריכת הדוחות הכספיים של מדינת ישראל </w:t>
      </w:r>
    </w:p>
    <w:p w14:paraId="6AD231D9" w14:textId="77777777" w:rsidR="00867DA1" w:rsidRDefault="00867DA1" w:rsidP="002C2524">
      <w:pPr>
        <w:pStyle w:val="414"/>
        <w:rPr>
          <w:rtl/>
        </w:rPr>
      </w:pPr>
      <w:r>
        <w:rPr>
          <w:rFonts w:hint="cs"/>
          <w:rtl/>
        </w:rPr>
        <w:t xml:space="preserve">הליך התקנת התקינה החשבונאית הממשלתית בישראל </w:t>
      </w:r>
    </w:p>
    <w:p w14:paraId="53AE4D17" w14:textId="77777777" w:rsidR="00867DA1" w:rsidRDefault="00867DA1" w:rsidP="002C2524">
      <w:pPr>
        <w:pStyle w:val="100"/>
        <w:rPr>
          <w:rtl/>
        </w:rPr>
      </w:pPr>
      <w:r>
        <w:rPr>
          <w:rFonts w:hint="cs"/>
          <w:rtl/>
        </w:rPr>
        <w:t>הליך היישום, הכתיבה וההטמעה של הרפורמה החשבונאית הממשלתית בישראל החל בשנת 1993 ונמשך עד היום. להלן בתרשים 17 תיאור התפתחות התקינה החשבונאית הממשלתית:</w:t>
      </w:r>
    </w:p>
    <w:p w14:paraId="7DC440AC" w14:textId="339282A4" w:rsidR="00867DA1" w:rsidRPr="002A41D1" w:rsidRDefault="00867DA1" w:rsidP="002A41D1">
      <w:pPr>
        <w:pStyle w:val="aa"/>
        <w:rPr>
          <w:b/>
          <w:bCs/>
          <w:sz w:val="24"/>
          <w:rtl/>
        </w:rPr>
      </w:pPr>
      <w:bookmarkStart w:id="14" w:name="_Ref31475128"/>
      <w:r w:rsidRPr="004254E2">
        <w:rPr>
          <w:rFonts w:hint="eastAsia"/>
          <w:rtl/>
        </w:rPr>
        <w:t>תרשים</w:t>
      </w:r>
      <w:r w:rsidRPr="004254E2">
        <w:rPr>
          <w:rtl/>
        </w:rPr>
        <w:t xml:space="preserve"> </w:t>
      </w:r>
      <w:bookmarkEnd w:id="14"/>
      <w:r>
        <w:rPr>
          <w:rFonts w:hint="cs"/>
          <w:rtl/>
        </w:rPr>
        <w:t>17:</w:t>
      </w:r>
      <w:r w:rsidRPr="004254E2">
        <w:rPr>
          <w:rtl/>
        </w:rPr>
        <w:t xml:space="preserve"> </w:t>
      </w:r>
      <w:r w:rsidRPr="002A41D1">
        <w:rPr>
          <w:b/>
          <w:bCs/>
          <w:rtl/>
        </w:rPr>
        <w:t xml:space="preserve">התפתחות התקינה החשבונאית הממשלתית </w:t>
      </w:r>
      <w:r w:rsidRPr="002A41D1">
        <w:rPr>
          <w:rFonts w:hint="eastAsia"/>
          <w:b/>
          <w:bCs/>
          <w:rtl/>
        </w:rPr>
        <w:t>בישראל</w:t>
      </w:r>
      <w:r w:rsidRPr="002A41D1">
        <w:rPr>
          <w:b/>
          <w:bCs/>
          <w:rtl/>
        </w:rPr>
        <w:t xml:space="preserve"> </w:t>
      </w:r>
      <w:r w:rsidRPr="002A41D1">
        <w:rPr>
          <w:rFonts w:hint="eastAsia"/>
          <w:b/>
          <w:bCs/>
          <w:rtl/>
        </w:rPr>
        <w:t>במשך</w:t>
      </w:r>
      <w:r w:rsidRPr="002A41D1">
        <w:rPr>
          <w:b/>
          <w:bCs/>
          <w:rtl/>
        </w:rPr>
        <w:t xml:space="preserve"> </w:t>
      </w:r>
      <w:r w:rsidRPr="002A41D1">
        <w:rPr>
          <w:rFonts w:hint="eastAsia"/>
          <w:b/>
          <w:bCs/>
          <w:rtl/>
        </w:rPr>
        <w:t>השנים</w:t>
      </w:r>
      <w:r w:rsidRPr="002A41D1">
        <w:rPr>
          <w:rStyle w:val="FootnoteReference"/>
          <w:b/>
          <w:bCs/>
          <w:sz w:val="24"/>
          <w:rtl/>
        </w:rPr>
        <w:footnoteReference w:id="82"/>
      </w:r>
    </w:p>
    <w:p w14:paraId="1C19DE23" w14:textId="77777777" w:rsidR="00867DA1" w:rsidRDefault="00867DA1" w:rsidP="00867DA1">
      <w:pPr>
        <w:spacing w:line="269" w:lineRule="auto"/>
        <w:rPr>
          <w:sz w:val="24"/>
          <w:rtl/>
        </w:rPr>
      </w:pPr>
      <w:r>
        <w:rPr>
          <w:noProof/>
          <w:sz w:val="24"/>
          <w:rtl/>
        </w:rPr>
        <w:drawing>
          <wp:inline distT="0" distB="0" distL="0" distR="0" wp14:anchorId="13AB4E20" wp14:editId="16EC416E">
            <wp:extent cx="4809203" cy="5154347"/>
            <wp:effectExtent l="38100" t="38100" r="86995" b="27305"/>
            <wp:docPr id="33" name="דיאגרמה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50DE93B" w14:textId="77777777" w:rsidR="00867DA1" w:rsidRDefault="00867DA1" w:rsidP="00F61A09">
      <w:pPr>
        <w:pStyle w:val="100"/>
        <w:rPr>
          <w:rtl/>
        </w:rPr>
      </w:pPr>
      <w:r>
        <w:rPr>
          <w:rFonts w:hint="cs"/>
          <w:rtl/>
        </w:rPr>
        <w:lastRenderedPageBreak/>
        <w:t>ב</w:t>
      </w:r>
      <w:r w:rsidRPr="0065371A">
        <w:rPr>
          <w:rtl/>
        </w:rPr>
        <w:t>אוגוסט 2004</w:t>
      </w:r>
      <w:r w:rsidRPr="0065371A">
        <w:rPr>
          <w:rFonts w:hint="cs"/>
          <w:rtl/>
        </w:rPr>
        <w:t xml:space="preserve"> התקבלה ה</w:t>
      </w:r>
      <w:r w:rsidRPr="0065371A">
        <w:rPr>
          <w:rtl/>
        </w:rPr>
        <w:t>חלטת ממשלה מס</w:t>
      </w:r>
      <w:r>
        <w:rPr>
          <w:rFonts w:hint="cs"/>
          <w:rtl/>
        </w:rPr>
        <w:t>'</w:t>
      </w:r>
      <w:r w:rsidRPr="0065371A">
        <w:rPr>
          <w:rtl/>
        </w:rPr>
        <w:t xml:space="preserve"> 2375 בדבר אימוץ התקינה החשבונאית הבינלאומית למגזר הציבורי</w:t>
      </w:r>
      <w:r>
        <w:t xml:space="preserve"> </w:t>
      </w:r>
      <w:r>
        <w:rPr>
          <w:rFonts w:hint="cs"/>
          <w:rtl/>
        </w:rPr>
        <w:t xml:space="preserve">(ככל הניתן) </w:t>
      </w:r>
      <w:r w:rsidRPr="0065371A">
        <w:rPr>
          <w:rtl/>
        </w:rPr>
        <w:t>ויישומה במשרדי הממשלה ובתאגידים סטטוטוריים שאופי פעילותם אינו עסק</w:t>
      </w:r>
      <w:r>
        <w:rPr>
          <w:rFonts w:hint="cs"/>
          <w:rtl/>
        </w:rPr>
        <w:t>י. לצורך כך הוקם המוסד לתקינה חשבונאית ממשלתית, שבמסגרתו פועלת הוועדה לתקינה חשבונאית ממשלתית</w:t>
      </w:r>
      <w:r>
        <w:rPr>
          <w:rStyle w:val="FootnoteReference"/>
          <w:sz w:val="24"/>
          <w:rtl/>
        </w:rPr>
        <w:footnoteReference w:id="83"/>
      </w:r>
      <w:r>
        <w:rPr>
          <w:rFonts w:hint="cs"/>
          <w:rtl/>
        </w:rPr>
        <w:t xml:space="preserve">. בהחלטה הממשלה הוחלט מה יהיה </w:t>
      </w:r>
      <w:r w:rsidRPr="004065E8">
        <w:rPr>
          <w:rFonts w:hint="cs"/>
          <w:rtl/>
        </w:rPr>
        <w:t>הרכב ה</w:t>
      </w:r>
      <w:r>
        <w:rPr>
          <w:rFonts w:hint="cs"/>
          <w:rtl/>
        </w:rPr>
        <w:t xml:space="preserve">וועדה: </w:t>
      </w:r>
      <w:r w:rsidRPr="004065E8">
        <w:rPr>
          <w:rFonts w:hint="cs"/>
          <w:rtl/>
        </w:rPr>
        <w:t>נציג החשכ"ל ישמש יו"ר הוועדה</w:t>
      </w:r>
      <w:r>
        <w:rPr>
          <w:rFonts w:hint="cs"/>
          <w:rtl/>
        </w:rPr>
        <w:t>, ולצידו יכהנו</w:t>
      </w:r>
      <w:r w:rsidRPr="004065E8">
        <w:rPr>
          <w:rFonts w:hint="cs"/>
          <w:rtl/>
        </w:rPr>
        <w:t xml:space="preserve"> שני נציגי</w:t>
      </w:r>
      <w:r>
        <w:rPr>
          <w:rFonts w:hint="cs"/>
          <w:rtl/>
        </w:rPr>
        <w:t>ם מטעם</w:t>
      </w:r>
      <w:r w:rsidRPr="004065E8">
        <w:rPr>
          <w:rFonts w:hint="cs"/>
          <w:rtl/>
        </w:rPr>
        <w:t xml:space="preserve"> החשכ"ל</w:t>
      </w:r>
      <w:r>
        <w:rPr>
          <w:rFonts w:hint="cs"/>
          <w:rtl/>
        </w:rPr>
        <w:t>,</w:t>
      </w:r>
      <w:r w:rsidRPr="004065E8">
        <w:rPr>
          <w:rFonts w:hint="cs"/>
          <w:rtl/>
        </w:rPr>
        <w:t xml:space="preserve"> נציג לשכת רו</w:t>
      </w:r>
      <w:r>
        <w:rPr>
          <w:rFonts w:hint="cs"/>
          <w:rtl/>
        </w:rPr>
        <w:t>אי חשבון,</w:t>
      </w:r>
      <w:r w:rsidRPr="004065E8">
        <w:rPr>
          <w:rFonts w:hint="cs"/>
          <w:rtl/>
        </w:rPr>
        <w:t xml:space="preserve"> נציג המוסד הישראלי לתקינה בחשבונאות </w:t>
      </w:r>
      <w:r>
        <w:rPr>
          <w:rFonts w:hint="cs"/>
          <w:rtl/>
        </w:rPr>
        <w:t>ו</w:t>
      </w:r>
      <w:r w:rsidRPr="004065E8">
        <w:rPr>
          <w:rFonts w:hint="cs"/>
          <w:rtl/>
        </w:rPr>
        <w:t xml:space="preserve">נציג הרשות לניירות ערך. </w:t>
      </w:r>
    </w:p>
    <w:p w14:paraId="238E410B" w14:textId="77777777" w:rsidR="00867DA1" w:rsidRDefault="00867DA1" w:rsidP="00F61A09">
      <w:pPr>
        <w:pStyle w:val="100"/>
        <w:rPr>
          <w:rtl/>
        </w:rPr>
      </w:pPr>
      <w:r>
        <w:rPr>
          <w:rFonts w:hint="cs"/>
          <w:rtl/>
        </w:rPr>
        <w:t xml:space="preserve">בהתאם להחלטת הממשלה </w:t>
      </w:r>
      <w:r w:rsidRPr="004065E8">
        <w:rPr>
          <w:rFonts w:hint="cs"/>
          <w:rtl/>
        </w:rPr>
        <w:t>תפקידי הוועדה הם:</w:t>
      </w:r>
      <w:r>
        <w:rPr>
          <w:rFonts w:hint="cs"/>
          <w:rtl/>
        </w:rPr>
        <w:t xml:space="preserve"> </w:t>
      </w:r>
      <w:r w:rsidRPr="004065E8">
        <w:rPr>
          <w:rFonts w:hint="cs"/>
          <w:rtl/>
        </w:rPr>
        <w:t>(א)</w:t>
      </w:r>
      <w:r>
        <w:rPr>
          <w:rFonts w:hint="cs"/>
          <w:rtl/>
        </w:rPr>
        <w:t xml:space="preserve"> </w:t>
      </w:r>
      <w:r w:rsidRPr="004065E8">
        <w:rPr>
          <w:rFonts w:hint="cs"/>
          <w:rtl/>
        </w:rPr>
        <w:t xml:space="preserve">הכנת תקנים חשבונאים ממשלתיים למשרדי ממשלה ככל הניתן בהתאם לתקינה הממשלתית הבין-לאומית; (ב) מתן פתרונות במקום שבו אין מענה </w:t>
      </w:r>
      <w:r>
        <w:rPr>
          <w:rFonts w:hint="cs"/>
          <w:rtl/>
        </w:rPr>
        <w:t>בתקינה</w:t>
      </w:r>
      <w:r w:rsidRPr="004065E8">
        <w:rPr>
          <w:rFonts w:hint="cs"/>
          <w:rtl/>
        </w:rPr>
        <w:t xml:space="preserve"> החשבונאית הממשלתית</w:t>
      </w:r>
      <w:r>
        <w:rPr>
          <w:rFonts w:hint="cs"/>
          <w:rtl/>
        </w:rPr>
        <w:t xml:space="preserve">. </w:t>
      </w:r>
    </w:p>
    <w:p w14:paraId="005BD015" w14:textId="77777777" w:rsidR="00867DA1" w:rsidRPr="005625D1" w:rsidRDefault="00867DA1" w:rsidP="00F61A09">
      <w:pPr>
        <w:pStyle w:val="100"/>
        <w:rPr>
          <w:rtl/>
        </w:rPr>
      </w:pPr>
      <w:r w:rsidRPr="005625D1">
        <w:rPr>
          <w:rFonts w:hint="cs"/>
          <w:rtl/>
        </w:rPr>
        <w:t>הוועדה לתקינה חשבונאית ממשלתית בחרה שלא לאמץ את תקני החשבונאות הבינלאומיים הממשלתיים הבינלאומיים באופן אוטומטי (</w:t>
      </w:r>
      <w:r w:rsidRPr="005625D1">
        <w:rPr>
          <w:rFonts w:hint="cs"/>
        </w:rPr>
        <w:t xml:space="preserve">AS </w:t>
      </w:r>
      <w:r w:rsidRPr="005625D1">
        <w:t>IS</w:t>
      </w:r>
      <w:r w:rsidRPr="005625D1">
        <w:rPr>
          <w:rFonts w:hint="cs"/>
          <w:rtl/>
        </w:rPr>
        <w:t>)</w:t>
      </w:r>
      <w:r>
        <w:rPr>
          <w:rFonts w:hint="cs"/>
          <w:rtl/>
        </w:rPr>
        <w:t>,</w:t>
      </w:r>
      <w:r w:rsidRPr="005625D1">
        <w:rPr>
          <w:rFonts w:hint="cs"/>
          <w:rtl/>
        </w:rPr>
        <w:t xml:space="preserve"> כפי שההליך מתבצע באימוץ תקני החשבונאות הבינלאומיים </w:t>
      </w:r>
      <w:r>
        <w:rPr>
          <w:rFonts w:hint="cs"/>
          <w:rtl/>
        </w:rPr>
        <w:t xml:space="preserve">למגזר העסקי </w:t>
      </w:r>
      <w:r w:rsidRPr="005625D1">
        <w:rPr>
          <w:rFonts w:hint="cs"/>
          <w:rtl/>
        </w:rPr>
        <w:t>(תקנים החלים על חברות ציבוריות ותאגידים נוספים שחוק ניירות ערך ותקנותיו חלות עליהן</w:t>
      </w:r>
      <w:r w:rsidRPr="005625D1">
        <w:rPr>
          <w:rStyle w:val="FootnoteReference"/>
          <w:rtl/>
        </w:rPr>
        <w:footnoteReference w:id="84"/>
      </w:r>
      <w:r w:rsidRPr="005625D1">
        <w:rPr>
          <w:rFonts w:hint="cs"/>
          <w:rtl/>
        </w:rPr>
        <w:t>)</w:t>
      </w:r>
      <w:r>
        <w:rPr>
          <w:rFonts w:hint="cs"/>
          <w:rtl/>
        </w:rPr>
        <w:t>,</w:t>
      </w:r>
      <w:r w:rsidRPr="005625D1">
        <w:rPr>
          <w:rFonts w:hint="cs"/>
          <w:rtl/>
        </w:rPr>
        <w:t xml:space="preserve"> אלא לפרסם תקני חשבונאות ממשלתיים </w:t>
      </w:r>
      <w:r>
        <w:rPr>
          <w:rFonts w:hint="cs"/>
          <w:rtl/>
        </w:rPr>
        <w:t xml:space="preserve">למגזר </w:t>
      </w:r>
      <w:r w:rsidRPr="005625D1">
        <w:rPr>
          <w:rFonts w:hint="cs"/>
          <w:rtl/>
        </w:rPr>
        <w:t xml:space="preserve">המבוססים בעיקרם על תקני החשבונאות הבינלאומיים למגזר הציבורי (הוועדה </w:t>
      </w:r>
      <w:r>
        <w:rPr>
          <w:rFonts w:hint="cs"/>
          <w:rtl/>
        </w:rPr>
        <w:t>בודקת את</w:t>
      </w:r>
      <w:r w:rsidRPr="005625D1">
        <w:rPr>
          <w:rFonts w:hint="cs"/>
          <w:rtl/>
        </w:rPr>
        <w:t xml:space="preserve"> השלכות של כל תקן טרם אימוצו בישראל). </w:t>
      </w:r>
    </w:p>
    <w:p w14:paraId="08F45667" w14:textId="77777777" w:rsidR="00867DA1" w:rsidRPr="002C5C23" w:rsidRDefault="00867DA1" w:rsidP="00F61A09">
      <w:pPr>
        <w:pStyle w:val="100"/>
        <w:rPr>
          <w:rtl/>
        </w:rPr>
      </w:pPr>
      <w:r w:rsidRPr="002C5C23">
        <w:rPr>
          <w:rFonts w:hint="cs"/>
          <w:rtl/>
        </w:rPr>
        <w:t xml:space="preserve">להלן </w:t>
      </w:r>
      <w:r>
        <w:rPr>
          <w:rFonts w:hint="cs"/>
          <w:rtl/>
        </w:rPr>
        <w:t>בלוח 10 מפורטים</w:t>
      </w:r>
      <w:r w:rsidRPr="002C5C23">
        <w:rPr>
          <w:rFonts w:hint="cs"/>
          <w:rtl/>
        </w:rPr>
        <w:t xml:space="preserve"> ההבדלים </w:t>
      </w:r>
      <w:r>
        <w:rPr>
          <w:rFonts w:hint="cs"/>
          <w:rtl/>
        </w:rPr>
        <w:t>ש</w:t>
      </w:r>
      <w:r w:rsidRPr="002C5C23">
        <w:rPr>
          <w:rFonts w:hint="cs"/>
          <w:rtl/>
        </w:rPr>
        <w:t xml:space="preserve">בין התקינה החשבונאית הממשלתית </w:t>
      </w:r>
      <w:r>
        <w:rPr>
          <w:rFonts w:hint="cs"/>
          <w:rtl/>
        </w:rPr>
        <w:t xml:space="preserve">למגזר הציבורי </w:t>
      </w:r>
      <w:r w:rsidRPr="002C5C23">
        <w:rPr>
          <w:rFonts w:hint="cs"/>
          <w:rtl/>
        </w:rPr>
        <w:t xml:space="preserve">לתקינה החשבונאית הבינלאומית </w:t>
      </w:r>
      <w:r>
        <w:rPr>
          <w:rFonts w:hint="cs"/>
          <w:rtl/>
        </w:rPr>
        <w:t>ה</w:t>
      </w:r>
      <w:r w:rsidRPr="002C5C23">
        <w:rPr>
          <w:rFonts w:hint="cs"/>
          <w:rtl/>
        </w:rPr>
        <w:t xml:space="preserve">חלה על חברות ציבוריות בישראל: </w:t>
      </w:r>
    </w:p>
    <w:p w14:paraId="363F0912" w14:textId="77777777" w:rsidR="00867DA1" w:rsidRPr="00F61A09" w:rsidRDefault="00867DA1" w:rsidP="00F61A09">
      <w:pPr>
        <w:pStyle w:val="aa"/>
        <w:rPr>
          <w:b/>
          <w:bCs/>
          <w:rtl/>
        </w:rPr>
      </w:pPr>
      <w:bookmarkStart w:id="15" w:name="_Ref31475653"/>
      <w:r>
        <w:rPr>
          <w:rFonts w:hint="cs"/>
          <w:rtl/>
        </w:rPr>
        <w:t>לוח 10:</w:t>
      </w:r>
      <w:bookmarkEnd w:id="15"/>
      <w:r w:rsidRPr="004254E2">
        <w:rPr>
          <w:rtl/>
        </w:rPr>
        <w:t xml:space="preserve"> </w:t>
      </w:r>
      <w:r w:rsidRPr="00F61A09">
        <w:rPr>
          <w:b/>
          <w:bCs/>
          <w:rtl/>
        </w:rPr>
        <w:t>תקינה חשבונאית בינלאומית מול תקינה חשבונאית ממשלתית בישראל</w:t>
      </w:r>
    </w:p>
    <w:tbl>
      <w:tblPr>
        <w:tblStyle w:val="TableGrid"/>
        <w:bidiVisual/>
        <w:tblW w:w="8211" w:type="dxa"/>
        <w:tblLayout w:type="fixed"/>
        <w:tblLook w:val="04A0" w:firstRow="1" w:lastRow="0" w:firstColumn="1" w:lastColumn="0" w:noHBand="0" w:noVBand="1"/>
      </w:tblPr>
      <w:tblGrid>
        <w:gridCol w:w="1265"/>
        <w:gridCol w:w="3497"/>
        <w:gridCol w:w="3449"/>
      </w:tblGrid>
      <w:tr w:rsidR="00867DA1" w:rsidRPr="003761B7" w14:paraId="7D3E497F" w14:textId="77777777" w:rsidTr="00F61A09">
        <w:trPr>
          <w:tblHeader/>
        </w:trPr>
        <w:tc>
          <w:tcPr>
            <w:tcW w:w="1265" w:type="dxa"/>
            <w:shd w:val="clear" w:color="auto" w:fill="C6D9F1"/>
            <w:vAlign w:val="bottom"/>
          </w:tcPr>
          <w:p w14:paraId="2B4BD6ED" w14:textId="77777777" w:rsidR="00867DA1" w:rsidRPr="003761B7" w:rsidRDefault="00867DA1" w:rsidP="00F61A09">
            <w:pPr>
              <w:pStyle w:val="af1"/>
              <w:rPr>
                <w:rtl/>
              </w:rPr>
            </w:pPr>
          </w:p>
        </w:tc>
        <w:tc>
          <w:tcPr>
            <w:tcW w:w="3497" w:type="dxa"/>
            <w:shd w:val="clear" w:color="auto" w:fill="C6D9F1"/>
            <w:vAlign w:val="bottom"/>
          </w:tcPr>
          <w:p w14:paraId="1780FE58" w14:textId="77777777" w:rsidR="00867DA1" w:rsidRPr="003761B7" w:rsidRDefault="00867DA1" w:rsidP="00F61A09">
            <w:pPr>
              <w:pStyle w:val="af1"/>
              <w:rPr>
                <w:rtl/>
              </w:rPr>
            </w:pPr>
            <w:r w:rsidRPr="003761B7">
              <w:rPr>
                <w:rFonts w:hint="cs"/>
                <w:rtl/>
              </w:rPr>
              <w:t xml:space="preserve">תקינה חשבונאית בין-לאומית לחברות ציבוריות </w:t>
            </w:r>
          </w:p>
        </w:tc>
        <w:tc>
          <w:tcPr>
            <w:tcW w:w="3449" w:type="dxa"/>
            <w:shd w:val="clear" w:color="auto" w:fill="C6D9F1"/>
            <w:vAlign w:val="bottom"/>
          </w:tcPr>
          <w:p w14:paraId="4AAA2AF1" w14:textId="77777777" w:rsidR="00867DA1" w:rsidRPr="003761B7" w:rsidRDefault="00867DA1" w:rsidP="00F61A09">
            <w:pPr>
              <w:pStyle w:val="af1"/>
              <w:rPr>
                <w:rtl/>
              </w:rPr>
            </w:pPr>
            <w:r w:rsidRPr="003761B7">
              <w:rPr>
                <w:rFonts w:hint="cs"/>
                <w:rtl/>
              </w:rPr>
              <w:t>תקינה חשבונאית ממשלתית למגזר הציבורי</w:t>
            </w:r>
          </w:p>
        </w:tc>
      </w:tr>
      <w:tr w:rsidR="00867DA1" w:rsidRPr="003761B7" w14:paraId="2713AF91" w14:textId="77777777" w:rsidTr="00CC2678">
        <w:tc>
          <w:tcPr>
            <w:tcW w:w="1265" w:type="dxa"/>
            <w:shd w:val="clear" w:color="auto" w:fill="auto"/>
            <w:vAlign w:val="bottom"/>
          </w:tcPr>
          <w:p w14:paraId="59968732" w14:textId="77777777" w:rsidR="00867DA1" w:rsidRPr="00F61A09" w:rsidRDefault="00867DA1" w:rsidP="00F61A09">
            <w:pPr>
              <w:pStyle w:val="R"/>
              <w:rPr>
                <w:b/>
                <w:bCs/>
                <w:rtl/>
              </w:rPr>
            </w:pPr>
            <w:r w:rsidRPr="00F61A09">
              <w:rPr>
                <w:rFonts w:hint="cs"/>
                <w:b/>
                <w:bCs/>
                <w:rtl/>
              </w:rPr>
              <w:t>אופן האימוץ התקינה</w:t>
            </w:r>
          </w:p>
        </w:tc>
        <w:tc>
          <w:tcPr>
            <w:tcW w:w="3497" w:type="dxa"/>
            <w:shd w:val="clear" w:color="auto" w:fill="auto"/>
            <w:vAlign w:val="bottom"/>
          </w:tcPr>
          <w:p w14:paraId="7ECD5EF4" w14:textId="77777777" w:rsidR="00867DA1" w:rsidRPr="003761B7" w:rsidRDefault="00867DA1" w:rsidP="00F61A09">
            <w:pPr>
              <w:pStyle w:val="R"/>
              <w:rPr>
                <w:rtl/>
              </w:rPr>
            </w:pPr>
            <w:r w:rsidRPr="003761B7">
              <w:rPr>
                <w:rFonts w:hint="cs"/>
                <w:rtl/>
              </w:rPr>
              <w:t>אימוץ גורף</w:t>
            </w:r>
            <w:r w:rsidRPr="003761B7">
              <w:rPr>
                <w:rStyle w:val="FootnoteReference"/>
                <w:rFonts w:ascii="Open Sans Hebrew" w:hAnsi="Open Sans Hebrew" w:cs="David"/>
                <w:color w:val="000000"/>
                <w:sz w:val="22"/>
                <w:szCs w:val="22"/>
                <w:rtl/>
              </w:rPr>
              <w:footnoteReference w:id="85"/>
            </w:r>
          </w:p>
        </w:tc>
        <w:tc>
          <w:tcPr>
            <w:tcW w:w="3449" w:type="dxa"/>
            <w:shd w:val="clear" w:color="auto" w:fill="auto"/>
            <w:vAlign w:val="bottom"/>
          </w:tcPr>
          <w:p w14:paraId="27C0B605" w14:textId="77777777" w:rsidR="00867DA1" w:rsidRPr="003761B7" w:rsidRDefault="00867DA1" w:rsidP="00F61A09">
            <w:pPr>
              <w:pStyle w:val="R"/>
              <w:rPr>
                <w:rtl/>
              </w:rPr>
            </w:pPr>
            <w:r w:rsidRPr="003761B7">
              <w:rPr>
                <w:rtl/>
              </w:rPr>
              <w:t xml:space="preserve">שימוש בתקני חשבונאות מקומיים </w:t>
            </w:r>
            <w:r w:rsidRPr="003761B7">
              <w:rPr>
                <w:rFonts w:hint="cs"/>
                <w:rtl/>
              </w:rPr>
              <w:t>המתבססים על ה</w:t>
            </w:r>
            <w:r w:rsidRPr="003761B7">
              <w:rPr>
                <w:rtl/>
              </w:rPr>
              <w:t>תקינה החשבונאית הבין-לאומית כנקודת מוצא</w:t>
            </w:r>
          </w:p>
        </w:tc>
      </w:tr>
      <w:tr w:rsidR="00867DA1" w:rsidRPr="003761B7" w14:paraId="3376FB01" w14:textId="77777777" w:rsidTr="00CC2678">
        <w:tc>
          <w:tcPr>
            <w:tcW w:w="1265" w:type="dxa"/>
            <w:shd w:val="clear" w:color="auto" w:fill="auto"/>
            <w:vAlign w:val="bottom"/>
          </w:tcPr>
          <w:p w14:paraId="394307AC" w14:textId="77777777" w:rsidR="00867DA1" w:rsidRPr="00F61A09" w:rsidRDefault="00867DA1" w:rsidP="00F61A09">
            <w:pPr>
              <w:pStyle w:val="R"/>
              <w:rPr>
                <w:b/>
                <w:bCs/>
                <w:rtl/>
              </w:rPr>
            </w:pPr>
            <w:r w:rsidRPr="00F61A09">
              <w:rPr>
                <w:rFonts w:hint="cs"/>
                <w:b/>
                <w:bCs/>
                <w:rtl/>
              </w:rPr>
              <w:t xml:space="preserve">גוף אחראי </w:t>
            </w:r>
          </w:p>
        </w:tc>
        <w:tc>
          <w:tcPr>
            <w:tcW w:w="3497" w:type="dxa"/>
            <w:shd w:val="clear" w:color="auto" w:fill="auto"/>
            <w:vAlign w:val="bottom"/>
          </w:tcPr>
          <w:p w14:paraId="5B8A1B96" w14:textId="77777777" w:rsidR="00867DA1" w:rsidRPr="003761B7" w:rsidRDefault="00867DA1" w:rsidP="00F61A09">
            <w:pPr>
              <w:pStyle w:val="R"/>
              <w:rPr>
                <w:rtl/>
              </w:rPr>
            </w:pPr>
            <w:r w:rsidRPr="003761B7">
              <w:rPr>
                <w:rFonts w:hint="cs"/>
                <w:rtl/>
              </w:rPr>
              <w:t xml:space="preserve">המוסד לתקינה בחשבונאות </w:t>
            </w:r>
          </w:p>
        </w:tc>
        <w:tc>
          <w:tcPr>
            <w:tcW w:w="3449" w:type="dxa"/>
            <w:shd w:val="clear" w:color="auto" w:fill="auto"/>
            <w:vAlign w:val="bottom"/>
          </w:tcPr>
          <w:p w14:paraId="5C513BFB" w14:textId="77777777" w:rsidR="00867DA1" w:rsidRPr="003761B7" w:rsidRDefault="00867DA1" w:rsidP="00F61A09">
            <w:pPr>
              <w:pStyle w:val="R"/>
              <w:rPr>
                <w:rtl/>
              </w:rPr>
            </w:pPr>
            <w:r w:rsidRPr="003761B7">
              <w:rPr>
                <w:rFonts w:hint="cs"/>
                <w:rtl/>
              </w:rPr>
              <w:t>המוסד לתקינה חשבונאית ממשלתית</w:t>
            </w:r>
          </w:p>
        </w:tc>
      </w:tr>
      <w:tr w:rsidR="00867DA1" w:rsidRPr="003761B7" w14:paraId="0EA0F2CA" w14:textId="77777777" w:rsidTr="00CC2678">
        <w:tc>
          <w:tcPr>
            <w:tcW w:w="1265" w:type="dxa"/>
            <w:shd w:val="clear" w:color="auto" w:fill="auto"/>
            <w:vAlign w:val="bottom"/>
          </w:tcPr>
          <w:p w14:paraId="768821A3" w14:textId="77777777" w:rsidR="00867DA1" w:rsidRPr="00F61A09" w:rsidRDefault="00867DA1" w:rsidP="00F61A09">
            <w:pPr>
              <w:pStyle w:val="R"/>
              <w:rPr>
                <w:b/>
                <w:bCs/>
                <w:rtl/>
              </w:rPr>
            </w:pPr>
            <w:r w:rsidRPr="00F61A09">
              <w:rPr>
                <w:rFonts w:hint="cs"/>
                <w:b/>
                <w:bCs/>
                <w:rtl/>
              </w:rPr>
              <w:t xml:space="preserve">חברי הוועדה המקצועית </w:t>
            </w:r>
          </w:p>
        </w:tc>
        <w:tc>
          <w:tcPr>
            <w:tcW w:w="3497" w:type="dxa"/>
            <w:shd w:val="clear" w:color="auto" w:fill="auto"/>
            <w:vAlign w:val="bottom"/>
          </w:tcPr>
          <w:p w14:paraId="5F7F66F8" w14:textId="77777777" w:rsidR="00867DA1" w:rsidRPr="003761B7" w:rsidRDefault="00867DA1" w:rsidP="00F61A09">
            <w:pPr>
              <w:pStyle w:val="R"/>
              <w:rPr>
                <w:rtl/>
              </w:rPr>
            </w:pPr>
            <w:r w:rsidRPr="003761B7">
              <w:rPr>
                <w:rFonts w:hint="cs"/>
                <w:rtl/>
              </w:rPr>
              <w:t xml:space="preserve">ועדה מקצועית שבה שבעה חברים: אחד מהם מכהן כיו"ר הוועדה בשכר, ויש בה שישה חברים נוספים - </w:t>
            </w:r>
            <w:r w:rsidRPr="003761B7">
              <w:rPr>
                <w:rFonts w:hint="cs"/>
                <w:rtl/>
              </w:rPr>
              <w:lastRenderedPageBreak/>
              <w:t>שלושה מטעם לשכת רואי חשבון ושלושה מטעם הרשות לניירות ערך</w:t>
            </w:r>
            <w:r w:rsidRPr="003761B7">
              <w:rPr>
                <w:rStyle w:val="FootnoteReference"/>
                <w:rFonts w:ascii="Open Sans Hebrew" w:hAnsi="Open Sans Hebrew" w:cs="David"/>
                <w:color w:val="000000"/>
                <w:sz w:val="22"/>
                <w:szCs w:val="22"/>
                <w:rtl/>
              </w:rPr>
              <w:footnoteReference w:id="86"/>
            </w:r>
          </w:p>
        </w:tc>
        <w:tc>
          <w:tcPr>
            <w:tcW w:w="3449" w:type="dxa"/>
            <w:shd w:val="clear" w:color="auto" w:fill="auto"/>
            <w:vAlign w:val="bottom"/>
          </w:tcPr>
          <w:p w14:paraId="359E2291" w14:textId="77777777" w:rsidR="00867DA1" w:rsidRPr="003761B7" w:rsidRDefault="00867DA1" w:rsidP="00F61A09">
            <w:pPr>
              <w:pStyle w:val="R"/>
              <w:rPr>
                <w:rtl/>
              </w:rPr>
            </w:pPr>
            <w:r w:rsidRPr="003761B7">
              <w:rPr>
                <w:rFonts w:hint="cs"/>
                <w:rtl/>
              </w:rPr>
              <w:lastRenderedPageBreak/>
              <w:t xml:space="preserve">ועדה מקצועית שבה שבעה חברים: אחד מהם מכהן כיו"ר (נציג החשכ"ל), שני נציגי החשכ"ל, נציג לשכת רואי החשבון, נציג המוסד </w:t>
            </w:r>
            <w:r w:rsidRPr="003761B7">
              <w:rPr>
                <w:rFonts w:hint="cs"/>
                <w:rtl/>
              </w:rPr>
              <w:lastRenderedPageBreak/>
              <w:t>לתקינה בחשבונאות ונציג הרשות לניירות ערך</w:t>
            </w:r>
            <w:r w:rsidRPr="003761B7">
              <w:rPr>
                <w:rStyle w:val="FootnoteReference"/>
                <w:rFonts w:ascii="Open Sans Hebrew" w:hAnsi="Open Sans Hebrew" w:cs="David"/>
                <w:color w:val="000000"/>
                <w:sz w:val="22"/>
                <w:szCs w:val="22"/>
                <w:rtl/>
              </w:rPr>
              <w:footnoteReference w:id="87"/>
            </w:r>
          </w:p>
        </w:tc>
      </w:tr>
      <w:tr w:rsidR="00867DA1" w:rsidRPr="003761B7" w14:paraId="3DFE187F" w14:textId="77777777" w:rsidTr="00CC2678">
        <w:tc>
          <w:tcPr>
            <w:tcW w:w="1265" w:type="dxa"/>
            <w:shd w:val="clear" w:color="auto" w:fill="auto"/>
            <w:vAlign w:val="bottom"/>
          </w:tcPr>
          <w:p w14:paraId="4F8EE841" w14:textId="77777777" w:rsidR="00867DA1" w:rsidRPr="00F61A09" w:rsidRDefault="00867DA1" w:rsidP="00F61A09">
            <w:pPr>
              <w:pStyle w:val="R"/>
              <w:rPr>
                <w:b/>
                <w:bCs/>
                <w:rtl/>
              </w:rPr>
            </w:pPr>
            <w:r w:rsidRPr="00F61A09">
              <w:rPr>
                <w:rFonts w:hint="cs"/>
                <w:b/>
                <w:bCs/>
                <w:rtl/>
              </w:rPr>
              <w:lastRenderedPageBreak/>
              <w:t>תפקיד</w:t>
            </w:r>
          </w:p>
        </w:tc>
        <w:tc>
          <w:tcPr>
            <w:tcW w:w="3497" w:type="dxa"/>
            <w:shd w:val="clear" w:color="auto" w:fill="auto"/>
            <w:vAlign w:val="bottom"/>
          </w:tcPr>
          <w:p w14:paraId="3870DA48" w14:textId="77777777" w:rsidR="00867DA1" w:rsidRPr="003761B7" w:rsidRDefault="00867DA1" w:rsidP="00F61A09">
            <w:pPr>
              <w:pStyle w:val="R"/>
              <w:rPr>
                <w:rtl/>
              </w:rPr>
            </w:pPr>
            <w:r w:rsidRPr="003761B7">
              <w:rPr>
                <w:rFonts w:hint="cs"/>
                <w:rtl/>
              </w:rPr>
              <w:t>פרסום כללי חשבונאות ודיווח חדשים, עדכון, תיקון או ביטול כלי חשבונאות ודיווח קיימים וכן קביעת תקנים חשבונאיים זמניים והבהרות מקצועיות בתחום החשבונאות</w:t>
            </w:r>
          </w:p>
        </w:tc>
        <w:tc>
          <w:tcPr>
            <w:tcW w:w="3449" w:type="dxa"/>
            <w:shd w:val="clear" w:color="auto" w:fill="auto"/>
            <w:vAlign w:val="bottom"/>
          </w:tcPr>
          <w:p w14:paraId="5C72DFBC" w14:textId="77777777" w:rsidR="00867DA1" w:rsidRPr="003761B7" w:rsidRDefault="00867DA1" w:rsidP="00F61A09">
            <w:pPr>
              <w:pStyle w:val="R"/>
              <w:rPr>
                <w:rtl/>
              </w:rPr>
            </w:pPr>
            <w:r w:rsidRPr="003761B7">
              <w:rPr>
                <w:rFonts w:hint="cs"/>
                <w:rtl/>
              </w:rPr>
              <w:t>הכנת תקנים חשבונאיים ממשלתיים למשרדי ממשלה המותאמים ככל האפשר לתקינה הבינלאומית ופתרון בעיות שאין להן מענה בתקינה</w:t>
            </w:r>
          </w:p>
        </w:tc>
      </w:tr>
      <w:tr w:rsidR="00867DA1" w:rsidRPr="003761B7" w14:paraId="3F134FEB" w14:textId="77777777" w:rsidTr="00CC2678">
        <w:tc>
          <w:tcPr>
            <w:tcW w:w="1265" w:type="dxa"/>
            <w:shd w:val="clear" w:color="auto" w:fill="auto"/>
            <w:vAlign w:val="bottom"/>
          </w:tcPr>
          <w:p w14:paraId="57FE9AE0" w14:textId="77777777" w:rsidR="00867DA1" w:rsidRPr="00F61A09" w:rsidRDefault="00867DA1" w:rsidP="00F61A09">
            <w:pPr>
              <w:pStyle w:val="R"/>
              <w:rPr>
                <w:b/>
                <w:bCs/>
                <w:rtl/>
              </w:rPr>
            </w:pPr>
            <w:r w:rsidRPr="00F61A09">
              <w:rPr>
                <w:rFonts w:hint="cs"/>
                <w:b/>
                <w:bCs/>
                <w:rtl/>
              </w:rPr>
              <w:t xml:space="preserve">הגופים שהתקינה חלה עליהם </w:t>
            </w:r>
          </w:p>
        </w:tc>
        <w:tc>
          <w:tcPr>
            <w:tcW w:w="3497" w:type="dxa"/>
            <w:shd w:val="clear" w:color="auto" w:fill="auto"/>
            <w:vAlign w:val="bottom"/>
          </w:tcPr>
          <w:p w14:paraId="5D885BF0" w14:textId="77777777" w:rsidR="00867DA1" w:rsidRPr="003761B7" w:rsidRDefault="00867DA1" w:rsidP="00F61A09">
            <w:pPr>
              <w:pStyle w:val="R"/>
              <w:rPr>
                <w:rtl/>
              </w:rPr>
            </w:pPr>
            <w:r w:rsidRPr="003761B7">
              <w:rPr>
                <w:rFonts w:hint="cs"/>
                <w:rtl/>
              </w:rPr>
              <w:t>חברות ציבוריות ותאגידים אחרים שחוק ניירות ערך ותקנותיו חלות עליהם</w:t>
            </w:r>
          </w:p>
        </w:tc>
        <w:tc>
          <w:tcPr>
            <w:tcW w:w="3449" w:type="dxa"/>
            <w:shd w:val="clear" w:color="auto" w:fill="auto"/>
            <w:vAlign w:val="bottom"/>
          </w:tcPr>
          <w:p w14:paraId="533BFADA" w14:textId="77777777" w:rsidR="00867DA1" w:rsidRPr="003761B7" w:rsidRDefault="00867DA1" w:rsidP="00F61A09">
            <w:pPr>
              <w:pStyle w:val="R"/>
              <w:rPr>
                <w:rtl/>
              </w:rPr>
            </w:pPr>
            <w:r w:rsidRPr="003761B7">
              <w:rPr>
                <w:rFonts w:hint="cs"/>
                <w:rtl/>
              </w:rPr>
              <w:t>משרדי ממשלה</w:t>
            </w:r>
          </w:p>
        </w:tc>
      </w:tr>
      <w:tr w:rsidR="00867DA1" w:rsidRPr="003761B7" w14:paraId="2F130FFE" w14:textId="77777777" w:rsidTr="00CC2678">
        <w:tc>
          <w:tcPr>
            <w:tcW w:w="1265" w:type="dxa"/>
            <w:shd w:val="clear" w:color="auto" w:fill="auto"/>
            <w:vAlign w:val="bottom"/>
          </w:tcPr>
          <w:p w14:paraId="62EDB23A" w14:textId="77777777" w:rsidR="00867DA1" w:rsidRPr="00F61A09" w:rsidRDefault="00867DA1" w:rsidP="00F61A09">
            <w:pPr>
              <w:pStyle w:val="R"/>
              <w:rPr>
                <w:b/>
                <w:bCs/>
                <w:rtl/>
              </w:rPr>
            </w:pPr>
            <w:r w:rsidRPr="00F61A09">
              <w:rPr>
                <w:rFonts w:hint="cs"/>
                <w:b/>
                <w:bCs/>
                <w:rtl/>
              </w:rPr>
              <w:t>הבסיס הנורמטיבי לפעולה</w:t>
            </w:r>
          </w:p>
        </w:tc>
        <w:tc>
          <w:tcPr>
            <w:tcW w:w="3497" w:type="dxa"/>
            <w:shd w:val="clear" w:color="auto" w:fill="auto"/>
            <w:vAlign w:val="bottom"/>
          </w:tcPr>
          <w:p w14:paraId="53DB3C54" w14:textId="77777777" w:rsidR="00867DA1" w:rsidRPr="003761B7" w:rsidRDefault="00867DA1" w:rsidP="00F61A09">
            <w:pPr>
              <w:pStyle w:val="R"/>
              <w:rPr>
                <w:rtl/>
              </w:rPr>
            </w:pPr>
            <w:r w:rsidRPr="003761B7">
              <w:rPr>
                <w:rFonts w:hint="cs"/>
                <w:rtl/>
              </w:rPr>
              <w:t>הסכם מסגרת בין הרשות לניירות ערך ללשכת רואי החשבון בישראל</w:t>
            </w:r>
          </w:p>
        </w:tc>
        <w:tc>
          <w:tcPr>
            <w:tcW w:w="3449" w:type="dxa"/>
            <w:shd w:val="clear" w:color="auto" w:fill="auto"/>
            <w:vAlign w:val="bottom"/>
          </w:tcPr>
          <w:p w14:paraId="1CA63384" w14:textId="77777777" w:rsidR="00867DA1" w:rsidRPr="003761B7" w:rsidRDefault="00867DA1" w:rsidP="00F61A09">
            <w:pPr>
              <w:pStyle w:val="R"/>
              <w:rPr>
                <w:rtl/>
              </w:rPr>
            </w:pPr>
            <w:r w:rsidRPr="003761B7">
              <w:rPr>
                <w:rFonts w:hint="cs"/>
                <w:rtl/>
              </w:rPr>
              <w:t>החלטת ממשלה</w:t>
            </w:r>
          </w:p>
        </w:tc>
      </w:tr>
    </w:tbl>
    <w:p w14:paraId="0959503A" w14:textId="77777777" w:rsidR="00867DA1" w:rsidRDefault="00867DA1" w:rsidP="00867DA1">
      <w:pPr>
        <w:pStyle w:val="Heading4"/>
        <w:spacing w:before="0" w:line="269" w:lineRule="auto"/>
        <w:rPr>
          <w:rtl/>
        </w:rPr>
      </w:pPr>
    </w:p>
    <w:p w14:paraId="434D2E89" w14:textId="77777777" w:rsidR="00F61A09" w:rsidRDefault="00F61A09">
      <w:pPr>
        <w:bidi w:val="0"/>
        <w:spacing w:after="200" w:line="276" w:lineRule="auto"/>
        <w:rPr>
          <w:rFonts w:eastAsiaTheme="majorEastAsia"/>
          <w:bCs/>
          <w:szCs w:val="26"/>
          <w:rtl/>
        </w:rPr>
      </w:pPr>
      <w:r>
        <w:rPr>
          <w:rtl/>
        </w:rPr>
        <w:br w:type="page"/>
      </w:r>
    </w:p>
    <w:p w14:paraId="1910EC74" w14:textId="47347A86" w:rsidR="00867DA1" w:rsidRDefault="00867DA1" w:rsidP="00F61A09">
      <w:pPr>
        <w:pStyle w:val="414"/>
        <w:rPr>
          <w:rtl/>
        </w:rPr>
      </w:pPr>
      <w:r>
        <w:rPr>
          <w:rFonts w:hint="cs"/>
          <w:rtl/>
        </w:rPr>
        <w:lastRenderedPageBreak/>
        <w:t xml:space="preserve">אופן תפקוד הוועדה לתקינה חשבונאית ממשלתית </w:t>
      </w:r>
    </w:p>
    <w:p w14:paraId="2CCF4AE8" w14:textId="532B3589" w:rsidR="00867DA1" w:rsidRDefault="00F61A09" w:rsidP="00F61A09">
      <w:pPr>
        <w:pStyle w:val="100"/>
        <w:rPr>
          <w:rtl/>
        </w:rPr>
      </w:pPr>
      <w:r>
        <w:rPr>
          <w:rFonts w:hint="cs"/>
          <w:rtl/>
        </w:rPr>
        <w:t>ה</w:t>
      </w:r>
      <w:r w:rsidR="00867DA1">
        <w:rPr>
          <w:rFonts w:hint="cs"/>
          <w:rtl/>
        </w:rPr>
        <w:t>ליך העבודה של הוועדה מפורט בתרשים להלן:</w:t>
      </w:r>
    </w:p>
    <w:p w14:paraId="7B549582" w14:textId="77777777" w:rsidR="00867DA1" w:rsidRPr="00F61A09" w:rsidRDefault="00867DA1" w:rsidP="00F61A09">
      <w:pPr>
        <w:pStyle w:val="aa"/>
        <w:rPr>
          <w:b/>
          <w:bCs/>
          <w:rtl/>
        </w:rPr>
      </w:pPr>
      <w:r w:rsidRPr="004254E2">
        <w:rPr>
          <w:rFonts w:hint="eastAsia"/>
          <w:rtl/>
        </w:rPr>
        <w:t>תרשים</w:t>
      </w:r>
      <w:r w:rsidRPr="004254E2">
        <w:rPr>
          <w:rtl/>
        </w:rPr>
        <w:t xml:space="preserve"> </w:t>
      </w:r>
      <w:r>
        <w:rPr>
          <w:rFonts w:hint="cs"/>
          <w:rtl/>
        </w:rPr>
        <w:t>18:</w:t>
      </w:r>
      <w:r w:rsidRPr="004254E2">
        <w:rPr>
          <w:rtl/>
        </w:rPr>
        <w:t xml:space="preserve"> </w:t>
      </w:r>
      <w:r w:rsidRPr="00F61A09">
        <w:rPr>
          <w:b/>
          <w:bCs/>
          <w:rtl/>
        </w:rPr>
        <w:t xml:space="preserve">הליך </w:t>
      </w:r>
      <w:r w:rsidRPr="00F61A09">
        <w:rPr>
          <w:rFonts w:hint="eastAsia"/>
          <w:b/>
          <w:bCs/>
          <w:rtl/>
        </w:rPr>
        <w:t>העבודה</w:t>
      </w:r>
      <w:r w:rsidRPr="00F61A09">
        <w:rPr>
          <w:b/>
          <w:bCs/>
          <w:rtl/>
        </w:rPr>
        <w:t xml:space="preserve"> </w:t>
      </w:r>
      <w:r w:rsidRPr="00F61A09">
        <w:rPr>
          <w:rFonts w:hint="eastAsia"/>
          <w:b/>
          <w:bCs/>
          <w:rtl/>
        </w:rPr>
        <w:t>לאימוץ</w:t>
      </w:r>
      <w:r w:rsidRPr="00F61A09">
        <w:rPr>
          <w:b/>
          <w:bCs/>
          <w:rtl/>
        </w:rPr>
        <w:t xml:space="preserve"> תקינה חשבונאית ממשלתית </w:t>
      </w:r>
    </w:p>
    <w:p w14:paraId="76F89502" w14:textId="77777777" w:rsidR="00867DA1" w:rsidRDefault="00867DA1" w:rsidP="00867DA1">
      <w:pPr>
        <w:pStyle w:val="NormalWeb"/>
        <w:spacing w:line="269" w:lineRule="auto"/>
        <w:ind w:left="-710"/>
        <w:jc w:val="center"/>
        <w:rPr>
          <w:rFonts w:ascii="Open Sans Hebrew" w:hAnsi="Open Sans Hebrew" w:cs="David"/>
          <w:color w:val="000000"/>
          <w:rtl/>
        </w:rPr>
      </w:pPr>
      <w:r>
        <w:rPr>
          <w:rFonts w:hint="cs"/>
          <w:noProof/>
          <w:rtl/>
        </w:rPr>
        <w:drawing>
          <wp:inline distT="0" distB="0" distL="0" distR="0" wp14:anchorId="2492E12C" wp14:editId="4E389F62">
            <wp:extent cx="5705268" cy="2686050"/>
            <wp:effectExtent l="38100" t="0" r="10160" b="0"/>
            <wp:docPr id="13" name="דיאגרמה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9796670" w14:textId="77777777" w:rsidR="00867DA1" w:rsidRPr="004254E2" w:rsidRDefault="00867DA1" w:rsidP="00F61A09">
      <w:pPr>
        <w:pStyle w:val="ac"/>
        <w:ind w:left="0" w:firstLine="0"/>
        <w:rPr>
          <w:rtl/>
        </w:rPr>
      </w:pPr>
      <w:r w:rsidRPr="004254E2">
        <w:rPr>
          <w:rFonts w:hint="eastAsia"/>
          <w:rtl/>
        </w:rPr>
        <w:t>המקור</w:t>
      </w:r>
      <w:r w:rsidRPr="004254E2">
        <w:rPr>
          <w:rtl/>
        </w:rPr>
        <w:t xml:space="preserve">: </w:t>
      </w:r>
      <w:r w:rsidRPr="004254E2">
        <w:rPr>
          <w:rFonts w:hint="eastAsia"/>
          <w:rtl/>
        </w:rPr>
        <w:t>המוסד</w:t>
      </w:r>
      <w:r w:rsidRPr="004254E2">
        <w:rPr>
          <w:rtl/>
        </w:rPr>
        <w:t xml:space="preserve"> הישראלי לתקינה בחשבונאות ממשלתית, </w:t>
      </w:r>
      <w:r w:rsidRPr="004254E2">
        <w:rPr>
          <w:rFonts w:hint="eastAsia"/>
          <w:b/>
          <w:bCs/>
          <w:rtl/>
        </w:rPr>
        <w:t>ספר</w:t>
      </w:r>
      <w:r w:rsidRPr="004254E2">
        <w:rPr>
          <w:b/>
          <w:bCs/>
          <w:rtl/>
        </w:rPr>
        <w:t xml:space="preserve"> </w:t>
      </w:r>
      <w:r w:rsidRPr="004254E2">
        <w:rPr>
          <w:rFonts w:hint="eastAsia"/>
          <w:b/>
          <w:bCs/>
          <w:rtl/>
        </w:rPr>
        <w:t>תקני</w:t>
      </w:r>
      <w:r w:rsidRPr="004254E2">
        <w:rPr>
          <w:b/>
          <w:bCs/>
          <w:rtl/>
        </w:rPr>
        <w:t xml:space="preserve"> </w:t>
      </w:r>
      <w:r w:rsidRPr="004254E2">
        <w:rPr>
          <w:rFonts w:hint="eastAsia"/>
          <w:b/>
          <w:bCs/>
          <w:rtl/>
        </w:rPr>
        <w:t>החשבונאות</w:t>
      </w:r>
      <w:r w:rsidRPr="004254E2">
        <w:rPr>
          <w:b/>
          <w:bCs/>
          <w:rtl/>
        </w:rPr>
        <w:t xml:space="preserve"> </w:t>
      </w:r>
      <w:r w:rsidRPr="004254E2">
        <w:rPr>
          <w:rFonts w:hint="eastAsia"/>
          <w:b/>
          <w:bCs/>
          <w:rtl/>
        </w:rPr>
        <w:t>הממשלתיים</w:t>
      </w:r>
      <w:r w:rsidRPr="004254E2">
        <w:rPr>
          <w:rtl/>
        </w:rPr>
        <w:t xml:space="preserve"> (2015),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Pr>
          <w:rFonts w:hint="cs"/>
          <w:rtl/>
        </w:rPr>
        <w:t>.</w:t>
      </w:r>
    </w:p>
    <w:p w14:paraId="015BA225" w14:textId="151866E0" w:rsidR="00867DA1" w:rsidRDefault="00867DA1" w:rsidP="00F61A09">
      <w:pPr>
        <w:pStyle w:val="100"/>
        <w:rPr>
          <w:rtl/>
        </w:rPr>
      </w:pPr>
    </w:p>
    <w:p w14:paraId="3368158C" w14:textId="77777777" w:rsidR="00867DA1" w:rsidRDefault="00867DA1" w:rsidP="00F61A09">
      <w:pPr>
        <w:pStyle w:val="100"/>
        <w:rPr>
          <w:rtl/>
        </w:rPr>
      </w:pPr>
      <w:r>
        <w:rPr>
          <w:rFonts w:hint="cs"/>
          <w:rtl/>
        </w:rPr>
        <w:t xml:space="preserve">חברי הוועדה לתקינה חשבונאית ממשלתית אמורים להתכנס מדי רבעון לדון בנושאים העולים לסדר היום. יו"ר המוסד לתקינה חשבונאית ממשלתית אמור להכין תוכנית עבודה שנתית ולהציגה לאישור חברי הוועדה. </w:t>
      </w:r>
    </w:p>
    <w:p w14:paraId="58EA0ACE" w14:textId="77777777" w:rsidR="00867DA1" w:rsidRDefault="00867DA1" w:rsidP="00F61A09">
      <w:pPr>
        <w:pStyle w:val="af5"/>
        <w:rPr>
          <w:rtl/>
        </w:rPr>
      </w:pPr>
      <w:r>
        <w:rPr>
          <w:rFonts w:hint="cs"/>
          <w:rtl/>
        </w:rPr>
        <w:t xml:space="preserve">נכון למועד סיום הביקורת, בדצמבר 2019 (להלן - מועד סיום הביקורת), נמצא כי </w:t>
      </w:r>
      <w:r w:rsidRPr="006F6860">
        <w:rPr>
          <w:rFonts w:hint="cs"/>
          <w:rtl/>
        </w:rPr>
        <w:t>הוועדה לתקינה חשבונאית ממשלתית לא התכנסה</w:t>
      </w:r>
      <w:r>
        <w:rPr>
          <w:rFonts w:hint="cs"/>
          <w:rtl/>
        </w:rPr>
        <w:t xml:space="preserve"> זה כארבע שנים. לפיכך, היא לא בחנה תקני חשבונאות בינלאומיים שנכנסו לתוקף בעולם ולא אימצה אותם, ותקני חשבונאות בינלאומיים שבוטלו בעולם</w:t>
      </w:r>
      <w:r w:rsidRPr="006C6C9C">
        <w:rPr>
          <w:rStyle w:val="FootnoteReference"/>
          <w:sz w:val="24"/>
          <w:rtl/>
        </w:rPr>
        <w:footnoteReference w:id="88"/>
      </w:r>
      <w:r>
        <w:rPr>
          <w:rFonts w:hint="cs"/>
          <w:rtl/>
        </w:rPr>
        <w:t xml:space="preserve"> (ובמקומם הותקנו תקני חשבונאות בינלאומיים חדשים) טרם בוטלו בישראל. כמו כן, הוועדה לתקינה חשבונאית ממשלתית התעכבה רבות באימוץ כמה מתקני החשבונאות הבינלאומיים. </w:t>
      </w:r>
    </w:p>
    <w:p w14:paraId="0A28663C" w14:textId="77777777" w:rsidR="00867DA1" w:rsidRDefault="00867DA1" w:rsidP="00F61A09">
      <w:pPr>
        <w:pStyle w:val="100"/>
        <w:rPr>
          <w:rtl/>
        </w:rPr>
      </w:pPr>
      <w:r>
        <w:rPr>
          <w:rFonts w:hint="cs"/>
          <w:rtl/>
        </w:rPr>
        <w:t xml:space="preserve">החשבונאי הראשי מסר בתשובתו כי </w:t>
      </w:r>
      <w:r>
        <w:rPr>
          <w:rtl/>
        </w:rPr>
        <w:t xml:space="preserve">בשל נסיבות אישיות לא כונסה הוועדה בשנים האחרונות, </w:t>
      </w:r>
      <w:r>
        <w:rPr>
          <w:rFonts w:hint="cs"/>
          <w:rtl/>
        </w:rPr>
        <w:t xml:space="preserve">אך </w:t>
      </w:r>
      <w:r>
        <w:rPr>
          <w:rtl/>
        </w:rPr>
        <w:t>אין במידע זה כדי לפגוע באימוץ התקינה ו</w:t>
      </w:r>
      <w:r>
        <w:rPr>
          <w:rFonts w:hint="cs"/>
          <w:rtl/>
        </w:rPr>
        <w:t>ב</w:t>
      </w:r>
      <w:r>
        <w:rPr>
          <w:rtl/>
        </w:rPr>
        <w:t>עבודה לפי הכללים הנדרשים</w:t>
      </w:r>
      <w:r>
        <w:rPr>
          <w:rFonts w:hint="cs"/>
          <w:rtl/>
        </w:rPr>
        <w:t>.</w:t>
      </w:r>
    </w:p>
    <w:p w14:paraId="63042F2D" w14:textId="77777777" w:rsidR="00F61A09" w:rsidRDefault="00F61A09">
      <w:pPr>
        <w:bidi w:val="0"/>
        <w:spacing w:after="200" w:line="276" w:lineRule="auto"/>
        <w:rPr>
          <w:b/>
          <w:bCs/>
          <w:rtl/>
        </w:rPr>
      </w:pPr>
      <w:r>
        <w:rPr>
          <w:b/>
          <w:bCs/>
          <w:rtl/>
        </w:rPr>
        <w:br w:type="page"/>
      </w:r>
    </w:p>
    <w:p w14:paraId="10789B49" w14:textId="1F2ED73E" w:rsidR="00867DA1" w:rsidRPr="00DF4AAE" w:rsidRDefault="00867DA1" w:rsidP="00F61A09">
      <w:pPr>
        <w:pStyle w:val="af5"/>
        <w:rPr>
          <w:rtl/>
        </w:rPr>
      </w:pPr>
      <w:r w:rsidRPr="00885E65">
        <w:rPr>
          <w:rFonts w:hint="eastAsia"/>
          <w:rtl/>
        </w:rPr>
        <w:lastRenderedPageBreak/>
        <w:t>משרד</w:t>
      </w:r>
      <w:r w:rsidRPr="00885E65">
        <w:rPr>
          <w:rtl/>
        </w:rPr>
        <w:t xml:space="preserve"> מבקר המדינה מציין </w:t>
      </w:r>
      <w:r w:rsidRPr="00885E65">
        <w:rPr>
          <w:rFonts w:hint="eastAsia"/>
          <w:rtl/>
        </w:rPr>
        <w:t>כי</w:t>
      </w:r>
      <w:r w:rsidRPr="00885E65">
        <w:rPr>
          <w:rtl/>
        </w:rPr>
        <w:t xml:space="preserve"> </w:t>
      </w:r>
      <w:r w:rsidRPr="00885E65">
        <w:rPr>
          <w:rFonts w:hint="eastAsia"/>
          <w:rtl/>
        </w:rPr>
        <w:t>על</w:t>
      </w:r>
      <w:r w:rsidRPr="00885E65">
        <w:rPr>
          <w:rtl/>
        </w:rPr>
        <w:t xml:space="preserve"> </w:t>
      </w:r>
      <w:r w:rsidRPr="00885E65">
        <w:rPr>
          <w:rFonts w:hint="eastAsia"/>
          <w:rtl/>
        </w:rPr>
        <w:t>החשבונאי</w:t>
      </w:r>
      <w:r w:rsidRPr="00885E65">
        <w:rPr>
          <w:rtl/>
        </w:rPr>
        <w:t xml:space="preserve"> הראשי </w:t>
      </w:r>
      <w:r w:rsidRPr="00885E65">
        <w:rPr>
          <w:rFonts w:hint="eastAsia"/>
          <w:rtl/>
        </w:rPr>
        <w:t>לפעול</w:t>
      </w:r>
      <w:r w:rsidRPr="00885E65">
        <w:rPr>
          <w:rtl/>
        </w:rPr>
        <w:t xml:space="preserve"> </w:t>
      </w:r>
      <w:r w:rsidRPr="00885E65">
        <w:rPr>
          <w:rFonts w:hint="eastAsia"/>
          <w:rtl/>
        </w:rPr>
        <w:t>לכינוס</w:t>
      </w:r>
      <w:r w:rsidRPr="00885E65">
        <w:rPr>
          <w:rtl/>
        </w:rPr>
        <w:t xml:space="preserve"> </w:t>
      </w:r>
      <w:r w:rsidRPr="00885E65">
        <w:rPr>
          <w:rFonts w:hint="eastAsia"/>
          <w:rtl/>
        </w:rPr>
        <w:t>הוועדה</w:t>
      </w:r>
      <w:r w:rsidRPr="00885E65">
        <w:rPr>
          <w:rtl/>
        </w:rPr>
        <w:t>.</w:t>
      </w:r>
    </w:p>
    <w:p w14:paraId="16A56993" w14:textId="77777777" w:rsidR="00867DA1" w:rsidRPr="00EF1EF6" w:rsidRDefault="00867DA1" w:rsidP="00F61A09">
      <w:pPr>
        <w:pStyle w:val="100"/>
        <w:rPr>
          <w:rtl/>
        </w:rPr>
      </w:pPr>
      <w:r>
        <w:rPr>
          <w:rFonts w:hint="cs"/>
          <w:rtl/>
        </w:rPr>
        <w:t xml:space="preserve">משרד מבקר המדינה בדק את ההשלכות של אי-תפקוד הוועדה לתקינה חשבונאית ממשלתית בשנים האחרונות: </w:t>
      </w:r>
    </w:p>
    <w:p w14:paraId="5CACC252" w14:textId="3434BEC0" w:rsidR="00867DA1" w:rsidRDefault="00867DA1" w:rsidP="006B1D8D">
      <w:pPr>
        <w:pStyle w:val="5115"/>
        <w:rPr>
          <w:rtl/>
        </w:rPr>
      </w:pPr>
      <w:r w:rsidRPr="00205026">
        <w:rPr>
          <w:rFonts w:hint="cs"/>
          <w:rtl/>
        </w:rPr>
        <w:t>תקני חשבונאות ממשלתיים</w:t>
      </w:r>
      <w:r>
        <w:rPr>
          <w:rFonts w:hint="cs"/>
          <w:rtl/>
        </w:rPr>
        <w:t xml:space="preserve"> בינלאומיים</w:t>
      </w:r>
      <w:r w:rsidRPr="00205026">
        <w:rPr>
          <w:rFonts w:hint="cs"/>
          <w:rtl/>
        </w:rPr>
        <w:t xml:space="preserve"> אשר בוטלו</w:t>
      </w:r>
      <w:r>
        <w:rPr>
          <w:rFonts w:hint="cs"/>
          <w:rtl/>
        </w:rPr>
        <w:t xml:space="preserve"> בתקינה הבין-לאומית הממשלתית</w:t>
      </w:r>
      <w:r w:rsidRPr="00205026">
        <w:rPr>
          <w:rFonts w:hint="cs"/>
          <w:rtl/>
        </w:rPr>
        <w:t xml:space="preserve"> </w:t>
      </w:r>
      <w:r>
        <w:rPr>
          <w:rFonts w:hint="cs"/>
          <w:rtl/>
        </w:rPr>
        <w:t>(והוחלפו</w:t>
      </w:r>
      <w:r w:rsidRPr="00205026">
        <w:rPr>
          <w:rFonts w:hint="cs"/>
          <w:rtl/>
        </w:rPr>
        <w:t xml:space="preserve"> </w:t>
      </w:r>
      <w:r>
        <w:rPr>
          <w:rFonts w:hint="cs"/>
          <w:rtl/>
        </w:rPr>
        <w:t>ב</w:t>
      </w:r>
      <w:r w:rsidRPr="00205026">
        <w:rPr>
          <w:rFonts w:hint="cs"/>
          <w:rtl/>
        </w:rPr>
        <w:t>תקנים חד</w:t>
      </w:r>
      <w:r>
        <w:rPr>
          <w:rFonts w:hint="cs"/>
          <w:rtl/>
        </w:rPr>
        <w:t xml:space="preserve">שים) ממשיכים לחול בתקינה החשבונאית הממשלתית בישראל </w:t>
      </w:r>
    </w:p>
    <w:p w14:paraId="30903E9F" w14:textId="77777777" w:rsidR="00850184" w:rsidRDefault="00850184" w:rsidP="00850184">
      <w:pPr>
        <w:pStyle w:val="100"/>
        <w:rPr>
          <w:rtl/>
        </w:rPr>
      </w:pPr>
    </w:p>
    <w:p w14:paraId="3ED7D2D0" w14:textId="5709DDD6" w:rsidR="00867DA1" w:rsidRPr="006B1D8D" w:rsidRDefault="00867DA1" w:rsidP="006B1D8D">
      <w:pPr>
        <w:pStyle w:val="aa"/>
        <w:rPr>
          <w:b/>
          <w:bCs/>
          <w:rtl/>
        </w:rPr>
      </w:pPr>
      <w:r w:rsidRPr="00090873">
        <w:rPr>
          <w:rFonts w:hint="cs"/>
          <w:rtl/>
        </w:rPr>
        <w:t xml:space="preserve">תרשים </w:t>
      </w:r>
      <w:r>
        <w:rPr>
          <w:rFonts w:hint="cs"/>
          <w:rtl/>
        </w:rPr>
        <w:t>19</w:t>
      </w:r>
      <w:r w:rsidRPr="00090873">
        <w:rPr>
          <w:rFonts w:hint="cs"/>
          <w:rtl/>
        </w:rPr>
        <w:t xml:space="preserve"> : </w:t>
      </w:r>
      <w:r w:rsidRPr="006B1D8D">
        <w:rPr>
          <w:rFonts w:hint="cs"/>
          <w:b/>
          <w:bCs/>
          <w:rtl/>
        </w:rPr>
        <w:t>תקני חשבונאות ממשלתיים בינלאומיים שבוטלו בתקינה הבין-לאומית הממשלתית (והוחלפו בתקנים חדשים) אך ממשיכים לחול בתקינה החשבונאית הממשלתית בישראל</w:t>
      </w:r>
    </w:p>
    <w:p w14:paraId="78BF3B2B" w14:textId="77777777" w:rsidR="00867DA1" w:rsidRDefault="00867DA1" w:rsidP="00867DA1">
      <w:pPr>
        <w:spacing w:line="269" w:lineRule="auto"/>
        <w:ind w:left="312"/>
        <w:rPr>
          <w:rtl/>
        </w:rPr>
      </w:pPr>
      <w:r w:rsidRPr="006B1D8D">
        <w:rPr>
          <w:rFonts w:ascii="Tahoma" w:hAnsi="Tahoma" w:cs="Tahoma"/>
          <w:noProof/>
          <w:szCs w:val="20"/>
          <w:rtl/>
        </w:rPr>
        <w:drawing>
          <wp:inline distT="0" distB="0" distL="0" distR="0" wp14:anchorId="579DC6EA" wp14:editId="5AE4DB18">
            <wp:extent cx="5220335" cy="3086100"/>
            <wp:effectExtent l="57150" t="0" r="56515" b="19050"/>
            <wp:docPr id="194" name="דיאגרמה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B4DD702" w14:textId="77777777" w:rsidR="00867DA1" w:rsidRDefault="00867DA1" w:rsidP="006B1D8D">
      <w:pPr>
        <w:pStyle w:val="ac"/>
        <w:ind w:left="0" w:firstLine="0"/>
        <w:rPr>
          <w:rtl/>
        </w:rPr>
      </w:pPr>
      <w:r w:rsidRPr="004254E2">
        <w:rPr>
          <w:rFonts w:hint="eastAsia"/>
          <w:rtl/>
        </w:rPr>
        <w:t>המקור</w:t>
      </w:r>
      <w:r w:rsidRPr="004254E2">
        <w:rPr>
          <w:rtl/>
        </w:rPr>
        <w:t xml:space="preserve">: </w:t>
      </w:r>
      <w:r w:rsidRPr="004254E2">
        <w:rPr>
          <w:rFonts w:hint="eastAsia"/>
          <w:rtl/>
        </w:rPr>
        <w:t>הוועדה</w:t>
      </w:r>
      <w:r w:rsidRPr="004254E2">
        <w:rPr>
          <w:rtl/>
        </w:rPr>
        <w:t xml:space="preserve"> </w:t>
      </w:r>
      <w:r w:rsidRPr="004254E2">
        <w:rPr>
          <w:rFonts w:hint="eastAsia"/>
          <w:rtl/>
        </w:rPr>
        <w:t>הבינלאומית</w:t>
      </w:r>
      <w:r w:rsidRPr="004254E2">
        <w:rPr>
          <w:rtl/>
        </w:rPr>
        <w:t xml:space="preserve"> </w:t>
      </w:r>
      <w:r w:rsidRPr="004254E2">
        <w:rPr>
          <w:rFonts w:hint="eastAsia"/>
          <w:rtl/>
        </w:rPr>
        <w:t>לתקינה</w:t>
      </w:r>
      <w:r w:rsidRPr="004254E2">
        <w:rPr>
          <w:rtl/>
        </w:rPr>
        <w:t xml:space="preserve"> </w:t>
      </w:r>
      <w:r w:rsidRPr="004254E2">
        <w:rPr>
          <w:rFonts w:hint="eastAsia"/>
          <w:rtl/>
        </w:rPr>
        <w:t>בחשבונאות</w:t>
      </w:r>
      <w:r w:rsidRPr="004254E2">
        <w:rPr>
          <w:rtl/>
        </w:rPr>
        <w:t xml:space="preserve"> למגזר הציבורי,</w:t>
      </w:r>
      <w:r w:rsidRPr="004254E2">
        <w:rPr>
          <w:b/>
          <w:bCs/>
          <w:rtl/>
        </w:rPr>
        <w:t xml:space="preserve"> </w:t>
      </w:r>
      <w:r w:rsidRPr="004254E2">
        <w:rPr>
          <w:rFonts w:hint="eastAsia"/>
          <w:b/>
          <w:bCs/>
          <w:rtl/>
        </w:rPr>
        <w:t>ספר</w:t>
      </w:r>
      <w:r w:rsidRPr="004254E2">
        <w:rPr>
          <w:b/>
          <w:bCs/>
          <w:rtl/>
        </w:rPr>
        <w:t xml:space="preserve"> </w:t>
      </w:r>
      <w:r w:rsidRPr="004254E2">
        <w:rPr>
          <w:rFonts w:hint="eastAsia"/>
          <w:b/>
          <w:bCs/>
          <w:rtl/>
        </w:rPr>
        <w:t>תקני</w:t>
      </w:r>
      <w:r w:rsidRPr="004254E2">
        <w:rPr>
          <w:b/>
          <w:bCs/>
          <w:rtl/>
        </w:rPr>
        <w:t xml:space="preserve"> </w:t>
      </w:r>
      <w:r w:rsidRPr="004254E2">
        <w:rPr>
          <w:rFonts w:hint="eastAsia"/>
          <w:b/>
          <w:bCs/>
          <w:rtl/>
        </w:rPr>
        <w:t>החשבונאות</w:t>
      </w:r>
      <w:r w:rsidRPr="004254E2">
        <w:rPr>
          <w:b/>
          <w:bCs/>
          <w:rtl/>
        </w:rPr>
        <w:t xml:space="preserve"> </w:t>
      </w:r>
      <w:r w:rsidRPr="004254E2">
        <w:rPr>
          <w:rFonts w:hint="eastAsia"/>
          <w:b/>
          <w:bCs/>
          <w:rtl/>
        </w:rPr>
        <w:t>הבינלאומיים</w:t>
      </w:r>
      <w:r w:rsidRPr="004254E2">
        <w:rPr>
          <w:rtl/>
        </w:rPr>
        <w:t xml:space="preserve"> (2018), </w:t>
      </w:r>
      <w:r w:rsidRPr="004254E2">
        <w:rPr>
          <w:rFonts w:hint="eastAsia"/>
          <w:rtl/>
        </w:rPr>
        <w:t>בעיבוד</w:t>
      </w:r>
      <w:r w:rsidRPr="004254E2">
        <w:rPr>
          <w:rtl/>
        </w:rPr>
        <w:t xml:space="preserve"> </w:t>
      </w:r>
      <w:r w:rsidRPr="004254E2">
        <w:rPr>
          <w:rFonts w:hint="eastAsia"/>
          <w:rtl/>
        </w:rPr>
        <w:t>משרד</w:t>
      </w:r>
      <w:r w:rsidRPr="004254E2">
        <w:rPr>
          <w:rtl/>
        </w:rPr>
        <w:t xml:space="preserve"> </w:t>
      </w:r>
      <w:r w:rsidRPr="004254E2">
        <w:rPr>
          <w:rFonts w:hint="eastAsia"/>
          <w:rtl/>
        </w:rPr>
        <w:t>מבקר</w:t>
      </w:r>
      <w:r w:rsidRPr="004254E2">
        <w:rPr>
          <w:rtl/>
        </w:rPr>
        <w:t xml:space="preserve"> </w:t>
      </w:r>
      <w:r w:rsidRPr="004254E2">
        <w:rPr>
          <w:rFonts w:hint="eastAsia"/>
          <w:rtl/>
        </w:rPr>
        <w:t>המדינה</w:t>
      </w:r>
      <w:r>
        <w:rPr>
          <w:rFonts w:hint="cs"/>
          <w:rtl/>
        </w:rPr>
        <w:t>.</w:t>
      </w:r>
    </w:p>
    <w:p w14:paraId="543E4144" w14:textId="62B1416D" w:rsidR="00867DA1" w:rsidRDefault="00867DA1" w:rsidP="006B1D8D">
      <w:pPr>
        <w:pStyle w:val="100"/>
        <w:rPr>
          <w:rtl/>
        </w:rPr>
      </w:pPr>
    </w:p>
    <w:p w14:paraId="735AA9DD" w14:textId="77777777" w:rsidR="00867DA1" w:rsidRPr="003761B7" w:rsidRDefault="00867DA1" w:rsidP="006B1D8D">
      <w:pPr>
        <w:pStyle w:val="100"/>
        <w:rPr>
          <w:b/>
          <w:bCs/>
          <w:sz w:val="24"/>
          <w:rtl/>
        </w:rPr>
      </w:pPr>
      <w:r w:rsidRPr="003761B7">
        <w:rPr>
          <w:rFonts w:hint="cs"/>
          <w:sz w:val="24"/>
          <w:rtl/>
        </w:rPr>
        <w:t>בתקן חשבונאות מס' 6 נקבעו הדרישות לעריכה ולהצגה של דוחות כספיים מאוחדים של ישות כלכלית, והחובה להשתמש בחשבונאות על בסיס מצטבר. כמו כן, בתקן נקבעו הנחיות לטיפול בהשקעות בישויות נשלטות, ישויות שליטה משותפת וישויות הכלולות בדוחות הכספיים הנפרדים. ארגון הפדרציה הבינלאומית לחשבונאות התקין, מיום 1.1.17, את תקן חשבונאות מס' 35, ובכך ביטל את תקן חשבונאות מס' 6. ואולם, הוועדה לתקינה בחשבונאות ממשלתית טרם אימצה את התקן החדש.</w:t>
      </w:r>
      <w:r w:rsidRPr="003761B7">
        <w:rPr>
          <w:rFonts w:hint="cs"/>
          <w:b/>
          <w:bCs/>
          <w:sz w:val="24"/>
          <w:rtl/>
        </w:rPr>
        <w:t xml:space="preserve"> </w:t>
      </w:r>
    </w:p>
    <w:p w14:paraId="67EF8AB2" w14:textId="77777777" w:rsidR="00867DA1" w:rsidRDefault="00867DA1" w:rsidP="006B1D8D">
      <w:pPr>
        <w:pStyle w:val="af5"/>
        <w:rPr>
          <w:rtl/>
        </w:rPr>
      </w:pPr>
      <w:r>
        <w:rPr>
          <w:rFonts w:hint="cs"/>
          <w:rtl/>
        </w:rPr>
        <w:lastRenderedPageBreak/>
        <w:t xml:space="preserve">למעשה, </w:t>
      </w:r>
      <w:r w:rsidRPr="002B5579">
        <w:rPr>
          <w:rFonts w:hint="cs"/>
          <w:rtl/>
        </w:rPr>
        <w:t xml:space="preserve">הדוחות הכספיים המאוחדים של מדינת ישראל </w:t>
      </w:r>
      <w:r>
        <w:rPr>
          <w:rFonts w:hint="cs"/>
          <w:rtl/>
        </w:rPr>
        <w:t>נערכים</w:t>
      </w:r>
      <w:r w:rsidRPr="002B5579">
        <w:rPr>
          <w:rFonts w:hint="cs"/>
          <w:rtl/>
        </w:rPr>
        <w:t xml:space="preserve"> על בסיס הליך יישום מבחני השליטה </w:t>
      </w:r>
      <w:r>
        <w:rPr>
          <w:rFonts w:hint="cs"/>
          <w:rtl/>
        </w:rPr>
        <w:t>על ישויות נשלטות</w:t>
      </w:r>
      <w:r w:rsidRPr="002B5579">
        <w:rPr>
          <w:rFonts w:hint="cs"/>
          <w:rtl/>
        </w:rPr>
        <w:t xml:space="preserve"> בהתאם לתקן </w:t>
      </w:r>
      <w:r>
        <w:rPr>
          <w:rFonts w:hint="cs"/>
          <w:rtl/>
        </w:rPr>
        <w:t>חשבונאות בינלאומי מס' 6</w:t>
      </w:r>
      <w:r w:rsidRPr="002B5579">
        <w:rPr>
          <w:rFonts w:hint="cs"/>
          <w:rtl/>
        </w:rPr>
        <w:t xml:space="preserve"> </w:t>
      </w:r>
      <w:r>
        <w:rPr>
          <w:rFonts w:hint="cs"/>
          <w:rtl/>
        </w:rPr>
        <w:t>(</w:t>
      </w:r>
      <w:r w:rsidRPr="002B5579">
        <w:rPr>
          <w:rFonts w:hint="cs"/>
          <w:rtl/>
        </w:rPr>
        <w:t>שכאמור בוטל</w:t>
      </w:r>
      <w:r>
        <w:rPr>
          <w:rFonts w:hint="cs"/>
          <w:rtl/>
        </w:rPr>
        <w:t xml:space="preserve"> בתקינה הבינלאומית הממשלתית),</w:t>
      </w:r>
      <w:r w:rsidRPr="002B5579">
        <w:rPr>
          <w:rFonts w:hint="cs"/>
          <w:rtl/>
        </w:rPr>
        <w:t xml:space="preserve"> ולא בהתאם לתקן חשבונאות בינלאומי מס</w:t>
      </w:r>
      <w:r>
        <w:rPr>
          <w:rFonts w:hint="cs"/>
          <w:rtl/>
        </w:rPr>
        <w:t>'</w:t>
      </w:r>
      <w:r w:rsidRPr="002B5579">
        <w:rPr>
          <w:rFonts w:hint="cs"/>
          <w:rtl/>
        </w:rPr>
        <w:t xml:space="preserve"> 35</w:t>
      </w:r>
      <w:r>
        <w:rPr>
          <w:rFonts w:hint="cs"/>
          <w:rtl/>
        </w:rPr>
        <w:t>,</w:t>
      </w:r>
      <w:r w:rsidRPr="002B5579">
        <w:rPr>
          <w:rFonts w:hint="cs"/>
          <w:rtl/>
        </w:rPr>
        <w:t xml:space="preserve"> </w:t>
      </w:r>
      <w:r>
        <w:rPr>
          <w:rFonts w:hint="cs"/>
          <w:rtl/>
        </w:rPr>
        <w:t>זה שאומץ לפני כארבע שנים. גם הוראות התכ"ם בנושא עריכת דוחות כספיים מאוחדים</w:t>
      </w:r>
      <w:r w:rsidRPr="006C6C9C">
        <w:rPr>
          <w:rStyle w:val="FootnoteReference"/>
          <w:rtl/>
        </w:rPr>
        <w:footnoteReference w:id="89"/>
      </w:r>
      <w:r w:rsidRPr="006C6C9C">
        <w:rPr>
          <w:rFonts w:hint="cs"/>
          <w:rtl/>
        </w:rPr>
        <w:t xml:space="preserve"> </w:t>
      </w:r>
      <w:r>
        <w:rPr>
          <w:rFonts w:hint="cs"/>
          <w:rtl/>
        </w:rPr>
        <w:t>מנחות</w:t>
      </w:r>
      <w:r w:rsidRPr="00B97294">
        <w:rPr>
          <w:rtl/>
        </w:rPr>
        <w:t xml:space="preserve"> את חשבי המשרדים </w:t>
      </w:r>
      <w:r>
        <w:rPr>
          <w:rFonts w:hint="cs"/>
          <w:rtl/>
        </w:rPr>
        <w:t xml:space="preserve">הממשלתיים לטפל </w:t>
      </w:r>
      <w:r w:rsidRPr="00B97294">
        <w:rPr>
          <w:rtl/>
        </w:rPr>
        <w:t>בישויות נשלטות ובדבר עריכת דוחות כספיים מאוחדים בהתאם לתקן מס' 6</w:t>
      </w:r>
      <w:r>
        <w:rPr>
          <w:rFonts w:hint="cs"/>
          <w:rtl/>
        </w:rPr>
        <w:t xml:space="preserve">, שכאמור בוטל. </w:t>
      </w:r>
    </w:p>
    <w:p w14:paraId="41636261" w14:textId="77777777" w:rsidR="00867DA1" w:rsidRDefault="00867DA1" w:rsidP="006B1D8D">
      <w:pPr>
        <w:pStyle w:val="100"/>
        <w:rPr>
          <w:rtl/>
        </w:rPr>
      </w:pPr>
      <w:r>
        <w:rPr>
          <w:rFonts w:hint="cs"/>
          <w:rtl/>
        </w:rPr>
        <w:t>החשבונאי הראשי מסר בתשובתו כי</w:t>
      </w:r>
      <w:r>
        <w:rPr>
          <w:rtl/>
        </w:rPr>
        <w:t xml:space="preserve"> בחינת השליטה</w:t>
      </w:r>
      <w:r>
        <w:rPr>
          <w:rFonts w:hint="cs"/>
          <w:rtl/>
        </w:rPr>
        <w:t xml:space="preserve"> על ישויות נשלטות</w:t>
      </w:r>
      <w:r>
        <w:rPr>
          <w:rtl/>
        </w:rPr>
        <w:t xml:space="preserve"> </w:t>
      </w:r>
      <w:r>
        <w:rPr>
          <w:rFonts w:hint="cs"/>
          <w:rtl/>
        </w:rPr>
        <w:t>בוצעה</w:t>
      </w:r>
      <w:r>
        <w:rPr>
          <w:rtl/>
        </w:rPr>
        <w:t xml:space="preserve"> ממועד כניסתו לתוקף של תקן חשבונאות בינלאומי</w:t>
      </w:r>
      <w:r>
        <w:rPr>
          <w:rFonts w:hint="cs"/>
          <w:rtl/>
        </w:rPr>
        <w:t xml:space="preserve"> מס' 35.</w:t>
      </w:r>
      <w:r>
        <w:rPr>
          <w:rtl/>
        </w:rPr>
        <w:t xml:space="preserve"> </w:t>
      </w:r>
      <w:r>
        <w:rPr>
          <w:rFonts w:hint="cs"/>
          <w:rtl/>
        </w:rPr>
        <w:t xml:space="preserve">את </w:t>
      </w:r>
      <w:r>
        <w:rPr>
          <w:rtl/>
        </w:rPr>
        <w:t xml:space="preserve">מבחני </w:t>
      </w:r>
      <w:r>
        <w:rPr>
          <w:rFonts w:hint="cs"/>
          <w:rtl/>
        </w:rPr>
        <w:t>ה</w:t>
      </w:r>
      <w:r>
        <w:rPr>
          <w:rtl/>
        </w:rPr>
        <w:t xml:space="preserve">שליטה </w:t>
      </w:r>
      <w:r>
        <w:rPr>
          <w:rFonts w:hint="cs"/>
          <w:rtl/>
        </w:rPr>
        <w:t>עורכת</w:t>
      </w:r>
      <w:r>
        <w:rPr>
          <w:rtl/>
        </w:rPr>
        <w:t xml:space="preserve"> החטיבה לחשבונאות ודיווח באגף החשב הכללי.</w:t>
      </w:r>
    </w:p>
    <w:p w14:paraId="40D7DB5D" w14:textId="77777777" w:rsidR="00867DA1" w:rsidRPr="00330935" w:rsidRDefault="00867DA1" w:rsidP="006B1D8D">
      <w:pPr>
        <w:pStyle w:val="af5"/>
        <w:rPr>
          <w:rtl/>
        </w:rPr>
      </w:pPr>
      <w:r w:rsidRPr="00DF4AAE">
        <w:rPr>
          <w:rFonts w:hint="eastAsia"/>
          <w:rtl/>
        </w:rPr>
        <w:t>משרד</w:t>
      </w:r>
      <w:r w:rsidRPr="00DF4AAE">
        <w:rPr>
          <w:rtl/>
        </w:rPr>
        <w:t xml:space="preserve"> </w:t>
      </w:r>
      <w:r w:rsidRPr="00DF4AAE">
        <w:rPr>
          <w:rFonts w:hint="eastAsia"/>
          <w:rtl/>
        </w:rPr>
        <w:t>מבקר</w:t>
      </w:r>
      <w:r w:rsidRPr="00DF4AAE">
        <w:rPr>
          <w:rtl/>
        </w:rPr>
        <w:t xml:space="preserve"> </w:t>
      </w:r>
      <w:r w:rsidRPr="00DF4AAE">
        <w:rPr>
          <w:rFonts w:hint="eastAsia"/>
          <w:rtl/>
        </w:rPr>
        <w:t>המדינה</w:t>
      </w:r>
      <w:r w:rsidRPr="00DF4AAE">
        <w:rPr>
          <w:rtl/>
        </w:rPr>
        <w:t xml:space="preserve"> </w:t>
      </w:r>
      <w:r w:rsidRPr="00DF4AAE">
        <w:rPr>
          <w:rFonts w:hint="eastAsia"/>
          <w:rtl/>
        </w:rPr>
        <w:t>מציין</w:t>
      </w:r>
      <w:r w:rsidRPr="00DF4AAE">
        <w:rPr>
          <w:rtl/>
        </w:rPr>
        <w:t xml:space="preserve"> </w:t>
      </w:r>
      <w:r w:rsidRPr="00DF4AAE">
        <w:rPr>
          <w:rFonts w:hint="eastAsia"/>
          <w:rtl/>
        </w:rPr>
        <w:t>כי</w:t>
      </w:r>
      <w:r w:rsidRPr="00DF4AAE">
        <w:rPr>
          <w:rtl/>
        </w:rPr>
        <w:t xml:space="preserve"> החשב הכללי </w:t>
      </w:r>
      <w:r w:rsidRPr="00DF4AAE">
        <w:rPr>
          <w:rFonts w:hint="eastAsia"/>
          <w:rtl/>
        </w:rPr>
        <w:t>והחשבונאי</w:t>
      </w:r>
      <w:r w:rsidRPr="00DF4AAE">
        <w:rPr>
          <w:rtl/>
        </w:rPr>
        <w:t xml:space="preserve"> הראשי </w:t>
      </w:r>
      <w:r>
        <w:rPr>
          <w:rFonts w:hint="cs"/>
          <w:rtl/>
        </w:rPr>
        <w:t>פירטו</w:t>
      </w:r>
      <w:r w:rsidRPr="00DF4AAE">
        <w:rPr>
          <w:rtl/>
        </w:rPr>
        <w:t xml:space="preserve"> </w:t>
      </w:r>
      <w:r w:rsidRPr="00DF4AAE">
        <w:rPr>
          <w:rFonts w:hint="eastAsia"/>
          <w:rtl/>
        </w:rPr>
        <w:t>בביאור</w:t>
      </w:r>
      <w:r w:rsidRPr="00DF4AAE">
        <w:rPr>
          <w:rtl/>
        </w:rPr>
        <w:t xml:space="preserve"> </w:t>
      </w:r>
      <w:r w:rsidRPr="00DF4AAE">
        <w:rPr>
          <w:rFonts w:hint="eastAsia"/>
          <w:rtl/>
        </w:rPr>
        <w:t>מס</w:t>
      </w:r>
      <w:r w:rsidRPr="00DF4AAE">
        <w:rPr>
          <w:rtl/>
        </w:rPr>
        <w:t xml:space="preserve">' 1 </w:t>
      </w:r>
      <w:r w:rsidRPr="00DF4AAE">
        <w:rPr>
          <w:rFonts w:hint="eastAsia"/>
          <w:rtl/>
        </w:rPr>
        <w:t>ל</w:t>
      </w:r>
      <w:r w:rsidRPr="00DF4AAE">
        <w:rPr>
          <w:rtl/>
        </w:rPr>
        <w:t xml:space="preserve">דוחות הכספיים לשנת 2018 </w:t>
      </w:r>
      <w:r w:rsidRPr="00DF4AAE">
        <w:rPr>
          <w:rFonts w:hint="eastAsia"/>
          <w:rtl/>
        </w:rPr>
        <w:t>כי</w:t>
      </w:r>
      <w:r w:rsidRPr="00DF4AAE">
        <w:rPr>
          <w:rtl/>
        </w:rPr>
        <w:t xml:space="preserve"> </w:t>
      </w:r>
      <w:r w:rsidRPr="00DF4AAE">
        <w:rPr>
          <w:rFonts w:hint="eastAsia"/>
          <w:rtl/>
        </w:rPr>
        <w:t>השליטה</w:t>
      </w:r>
      <w:r w:rsidRPr="00DF4AAE">
        <w:rPr>
          <w:rtl/>
        </w:rPr>
        <w:t xml:space="preserve"> </w:t>
      </w:r>
      <w:r w:rsidRPr="00DF4AAE">
        <w:rPr>
          <w:rFonts w:hint="eastAsia"/>
          <w:rtl/>
        </w:rPr>
        <w:t>בחברות</w:t>
      </w:r>
      <w:r w:rsidRPr="00DF4AAE">
        <w:rPr>
          <w:rtl/>
        </w:rPr>
        <w:t xml:space="preserve"> </w:t>
      </w:r>
      <w:r w:rsidRPr="00DF4AAE">
        <w:rPr>
          <w:rFonts w:hint="eastAsia"/>
          <w:rtl/>
        </w:rPr>
        <w:t>הממשלתיות</w:t>
      </w:r>
      <w:r w:rsidRPr="00DF4AAE">
        <w:rPr>
          <w:rtl/>
        </w:rPr>
        <w:t xml:space="preserve"> </w:t>
      </w:r>
      <w:r w:rsidRPr="00DF4AAE">
        <w:rPr>
          <w:rFonts w:hint="eastAsia"/>
          <w:rtl/>
        </w:rPr>
        <w:t>נבחנה</w:t>
      </w:r>
      <w:r w:rsidRPr="00DF4AAE">
        <w:rPr>
          <w:rtl/>
        </w:rPr>
        <w:t xml:space="preserve"> </w:t>
      </w:r>
      <w:r w:rsidRPr="00DF4AAE">
        <w:rPr>
          <w:rFonts w:hint="eastAsia"/>
          <w:rtl/>
        </w:rPr>
        <w:t>לאור</w:t>
      </w:r>
      <w:r w:rsidRPr="00DF4AAE">
        <w:rPr>
          <w:rtl/>
        </w:rPr>
        <w:t xml:space="preserve"> </w:t>
      </w:r>
      <w:r w:rsidRPr="00DF4AAE">
        <w:rPr>
          <w:rFonts w:hint="eastAsia"/>
          <w:rtl/>
        </w:rPr>
        <w:t>תקן</w:t>
      </w:r>
      <w:r w:rsidRPr="00DF4AAE">
        <w:rPr>
          <w:rtl/>
        </w:rPr>
        <w:t xml:space="preserve"> </w:t>
      </w:r>
      <w:r w:rsidRPr="00DF4AAE">
        <w:rPr>
          <w:rFonts w:hint="eastAsia"/>
          <w:rtl/>
        </w:rPr>
        <w:t>חשבונאות</w:t>
      </w:r>
      <w:r w:rsidRPr="00DF4AAE">
        <w:rPr>
          <w:rtl/>
        </w:rPr>
        <w:t xml:space="preserve"> </w:t>
      </w:r>
      <w:r w:rsidRPr="00DF4AAE">
        <w:rPr>
          <w:rFonts w:hint="eastAsia"/>
          <w:rtl/>
        </w:rPr>
        <w:t>מס</w:t>
      </w:r>
      <w:r w:rsidRPr="00DF4AAE">
        <w:rPr>
          <w:rtl/>
        </w:rPr>
        <w:t>' 6</w:t>
      </w:r>
      <w:r>
        <w:rPr>
          <w:rFonts w:hint="cs"/>
          <w:rtl/>
        </w:rPr>
        <w:t xml:space="preserve">. ככל שהבחינה נעשית על ידי החשבונאי הראשי </w:t>
      </w:r>
      <w:r w:rsidRPr="00DF4AAE">
        <w:rPr>
          <w:rFonts w:hint="eastAsia"/>
          <w:rtl/>
        </w:rPr>
        <w:t>בהתאם</w:t>
      </w:r>
      <w:r w:rsidRPr="00DF4AAE">
        <w:rPr>
          <w:rtl/>
        </w:rPr>
        <w:t xml:space="preserve"> </w:t>
      </w:r>
      <w:r w:rsidRPr="00DF4AAE">
        <w:rPr>
          <w:rFonts w:hint="eastAsia"/>
          <w:rtl/>
        </w:rPr>
        <w:t>לתקן</w:t>
      </w:r>
      <w:r w:rsidRPr="00DF4AAE">
        <w:rPr>
          <w:rtl/>
        </w:rPr>
        <w:t xml:space="preserve"> 35</w:t>
      </w:r>
      <w:r>
        <w:rPr>
          <w:rFonts w:hint="cs"/>
          <w:rtl/>
        </w:rPr>
        <w:t>, יש לעדכן את האמור</w:t>
      </w:r>
      <w:r w:rsidRPr="00DF4AAE">
        <w:rPr>
          <w:rtl/>
        </w:rPr>
        <w:t xml:space="preserve"> </w:t>
      </w:r>
      <w:r>
        <w:rPr>
          <w:rFonts w:hint="cs"/>
          <w:rtl/>
        </w:rPr>
        <w:t xml:space="preserve">בביאור מס' 1 לדו"חות הכספיים בהתאם. </w:t>
      </w:r>
    </w:p>
    <w:p w14:paraId="173EF68D" w14:textId="77777777" w:rsidR="00867DA1" w:rsidRPr="003216DE" w:rsidRDefault="00867DA1" w:rsidP="006B1D8D">
      <w:pPr>
        <w:pStyle w:val="5115"/>
        <w:rPr>
          <w:rtl/>
        </w:rPr>
      </w:pPr>
      <w:r w:rsidRPr="003216DE">
        <w:rPr>
          <w:rFonts w:hint="cs"/>
          <w:rtl/>
        </w:rPr>
        <w:t>תקני חשבונאות</w:t>
      </w:r>
      <w:r>
        <w:rPr>
          <w:rFonts w:hint="cs"/>
          <w:rtl/>
        </w:rPr>
        <w:t xml:space="preserve"> ממשלתיים בינלאומיים חדשים שהוועדה לתקינה חשבונאית ממשלתית לא פרסמה</w:t>
      </w:r>
    </w:p>
    <w:p w14:paraId="45358953" w14:textId="77777777" w:rsidR="00867DA1" w:rsidRPr="003F06FF" w:rsidRDefault="00867DA1" w:rsidP="006B1D8D">
      <w:pPr>
        <w:pStyle w:val="100"/>
        <w:rPr>
          <w:rtl/>
        </w:rPr>
      </w:pPr>
      <w:r w:rsidRPr="003F06FF">
        <w:rPr>
          <w:rFonts w:hint="cs"/>
          <w:rtl/>
        </w:rPr>
        <w:t xml:space="preserve">משרד מבקר המדינה השווה </w:t>
      </w:r>
      <w:r>
        <w:rPr>
          <w:rFonts w:hint="cs"/>
          <w:rtl/>
        </w:rPr>
        <w:t>בין</w:t>
      </w:r>
      <w:r w:rsidRPr="003F06FF">
        <w:rPr>
          <w:rFonts w:hint="cs"/>
          <w:rtl/>
        </w:rPr>
        <w:t xml:space="preserve"> התקנים החשבונא</w:t>
      </w:r>
      <w:r>
        <w:rPr>
          <w:rFonts w:hint="cs"/>
          <w:rtl/>
        </w:rPr>
        <w:t>י</w:t>
      </w:r>
      <w:r w:rsidRPr="003F06FF">
        <w:rPr>
          <w:rFonts w:hint="cs"/>
          <w:rtl/>
        </w:rPr>
        <w:t>ים הממשלתיים שפרסמה הוועדה לתקינה חשבונאית ממשלתית</w:t>
      </w:r>
      <w:r>
        <w:rPr>
          <w:rFonts w:hint="cs"/>
          <w:rtl/>
        </w:rPr>
        <w:t xml:space="preserve"> ל</w:t>
      </w:r>
      <w:r w:rsidRPr="003F06FF">
        <w:rPr>
          <w:rFonts w:hint="cs"/>
          <w:rtl/>
        </w:rPr>
        <w:t>תקנים החשבונא</w:t>
      </w:r>
      <w:r>
        <w:rPr>
          <w:rFonts w:hint="cs"/>
          <w:rtl/>
        </w:rPr>
        <w:t>י</w:t>
      </w:r>
      <w:r w:rsidRPr="003F06FF">
        <w:rPr>
          <w:rFonts w:hint="cs"/>
          <w:rtl/>
        </w:rPr>
        <w:t xml:space="preserve">ים הממשלתיים שפרסמה הוועדה </w:t>
      </w:r>
      <w:r>
        <w:rPr>
          <w:rFonts w:hint="cs"/>
          <w:rtl/>
        </w:rPr>
        <w:t>הבין-לאומית</w:t>
      </w:r>
      <w:r w:rsidRPr="003F06FF">
        <w:rPr>
          <w:rFonts w:hint="cs"/>
          <w:rtl/>
        </w:rPr>
        <w:t xml:space="preserve"> לתקינה בחשבונאו</w:t>
      </w:r>
      <w:r w:rsidRPr="003F06FF">
        <w:rPr>
          <w:rFonts w:hint="eastAsia"/>
          <w:rtl/>
        </w:rPr>
        <w:t>ת</w:t>
      </w:r>
      <w:r w:rsidRPr="003F06FF">
        <w:rPr>
          <w:rFonts w:hint="cs"/>
          <w:rtl/>
        </w:rPr>
        <w:t xml:space="preserve"> למגזר הציבורי. </w:t>
      </w:r>
    </w:p>
    <w:p w14:paraId="48129BB2" w14:textId="77777777" w:rsidR="00867DA1" w:rsidRDefault="00867DA1" w:rsidP="006B1D8D">
      <w:pPr>
        <w:pStyle w:val="af5"/>
        <w:rPr>
          <w:rtl/>
        </w:rPr>
      </w:pPr>
      <w:r w:rsidRPr="003F06FF">
        <w:rPr>
          <w:rFonts w:hint="cs"/>
          <w:rtl/>
        </w:rPr>
        <w:t>נמצא כי 15 תקני חשבונאות ממשלתי</w:t>
      </w:r>
      <w:r>
        <w:rPr>
          <w:rFonts w:hint="cs"/>
          <w:rtl/>
        </w:rPr>
        <w:t>ת</w:t>
      </w:r>
      <w:r w:rsidRPr="003F06FF">
        <w:rPr>
          <w:rFonts w:hint="cs"/>
          <w:rtl/>
        </w:rPr>
        <w:t xml:space="preserve"> בינלאומיים </w:t>
      </w:r>
      <w:r>
        <w:rPr>
          <w:rFonts w:hint="cs"/>
          <w:rtl/>
        </w:rPr>
        <w:t>פורסמו ואומצו בעולם,</w:t>
      </w:r>
      <w:r w:rsidRPr="003F06FF">
        <w:rPr>
          <w:rFonts w:hint="cs"/>
          <w:rtl/>
        </w:rPr>
        <w:t xml:space="preserve"> </w:t>
      </w:r>
      <w:r>
        <w:rPr>
          <w:rFonts w:hint="cs"/>
          <w:rtl/>
        </w:rPr>
        <w:t xml:space="preserve">אולם </w:t>
      </w:r>
      <w:r w:rsidRPr="003F06FF">
        <w:rPr>
          <w:rFonts w:hint="cs"/>
          <w:rtl/>
        </w:rPr>
        <w:t>הוועדה לתקינה חשבונאית</w:t>
      </w:r>
      <w:r>
        <w:rPr>
          <w:rFonts w:hint="cs"/>
          <w:rtl/>
        </w:rPr>
        <w:t xml:space="preserve"> ממשלתית בישראל טרם פרסמה אותם. להלן פירוט:</w:t>
      </w:r>
    </w:p>
    <w:p w14:paraId="2E4F62BD" w14:textId="77777777" w:rsidR="006B1D8D" w:rsidRDefault="006B1D8D">
      <w:pPr>
        <w:bidi w:val="0"/>
        <w:spacing w:after="200" w:line="276" w:lineRule="auto"/>
        <w:rPr>
          <w:i/>
          <w:iCs/>
          <w:color w:val="1F497D" w:themeColor="text2"/>
          <w:sz w:val="24"/>
          <w:szCs w:val="18"/>
          <w:rtl/>
        </w:rPr>
      </w:pPr>
      <w:r>
        <w:rPr>
          <w:sz w:val="24"/>
          <w:rtl/>
        </w:rPr>
        <w:br w:type="page"/>
      </w:r>
    </w:p>
    <w:p w14:paraId="4F02E0AE" w14:textId="162318E3" w:rsidR="00867DA1" w:rsidRPr="006B1D8D" w:rsidRDefault="00867DA1" w:rsidP="006B1D8D">
      <w:pPr>
        <w:pStyle w:val="aa"/>
        <w:rPr>
          <w:b/>
          <w:bCs/>
          <w:rtl/>
        </w:rPr>
      </w:pPr>
      <w:r w:rsidRPr="004254E2">
        <w:rPr>
          <w:rFonts w:hint="eastAsia"/>
          <w:rtl/>
        </w:rPr>
        <w:lastRenderedPageBreak/>
        <w:t>תרשים</w:t>
      </w:r>
      <w:r w:rsidRPr="004254E2">
        <w:rPr>
          <w:rtl/>
        </w:rPr>
        <w:t xml:space="preserve"> </w:t>
      </w:r>
      <w:r w:rsidR="006C6C9C">
        <w:rPr>
          <w:rFonts w:hint="cs"/>
          <w:rtl/>
        </w:rPr>
        <w:t>20</w:t>
      </w:r>
      <w:r w:rsidRPr="004254E2">
        <w:rPr>
          <w:rtl/>
        </w:rPr>
        <w:t xml:space="preserve">: </w:t>
      </w:r>
      <w:r w:rsidRPr="006B1D8D">
        <w:rPr>
          <w:rFonts w:hint="eastAsia"/>
          <w:b/>
          <w:bCs/>
          <w:rtl/>
        </w:rPr>
        <w:t>תקני</w:t>
      </w:r>
      <w:r w:rsidRPr="006B1D8D">
        <w:rPr>
          <w:b/>
          <w:bCs/>
          <w:rtl/>
        </w:rPr>
        <w:t xml:space="preserve"> </w:t>
      </w:r>
      <w:r w:rsidRPr="006B1D8D">
        <w:rPr>
          <w:rFonts w:hint="eastAsia"/>
          <w:b/>
          <w:bCs/>
          <w:rtl/>
        </w:rPr>
        <w:t>חשבונאות</w:t>
      </w:r>
      <w:r w:rsidRPr="006B1D8D">
        <w:rPr>
          <w:b/>
          <w:bCs/>
          <w:rtl/>
        </w:rPr>
        <w:t xml:space="preserve"> </w:t>
      </w:r>
      <w:r w:rsidRPr="006B1D8D">
        <w:rPr>
          <w:rFonts w:hint="eastAsia"/>
          <w:b/>
          <w:bCs/>
          <w:rtl/>
        </w:rPr>
        <w:t>ממשלתיים</w:t>
      </w:r>
      <w:r w:rsidRPr="006B1D8D">
        <w:rPr>
          <w:b/>
          <w:bCs/>
          <w:rtl/>
        </w:rPr>
        <w:t xml:space="preserve"> </w:t>
      </w:r>
      <w:r w:rsidRPr="006B1D8D">
        <w:rPr>
          <w:rFonts w:hint="eastAsia"/>
          <w:b/>
          <w:bCs/>
          <w:rtl/>
        </w:rPr>
        <w:t>בינלאומיים</w:t>
      </w:r>
      <w:r w:rsidRPr="006B1D8D">
        <w:rPr>
          <w:b/>
          <w:bCs/>
          <w:rtl/>
        </w:rPr>
        <w:t xml:space="preserve"> </w:t>
      </w:r>
      <w:r w:rsidRPr="006B1D8D">
        <w:rPr>
          <w:rFonts w:hint="eastAsia"/>
          <w:b/>
          <w:bCs/>
          <w:rtl/>
        </w:rPr>
        <w:t>שטרם</w:t>
      </w:r>
      <w:r w:rsidRPr="006B1D8D">
        <w:rPr>
          <w:b/>
          <w:bCs/>
          <w:rtl/>
        </w:rPr>
        <w:t xml:space="preserve"> </w:t>
      </w:r>
      <w:r w:rsidRPr="006B1D8D">
        <w:rPr>
          <w:rFonts w:hint="eastAsia"/>
          <w:b/>
          <w:bCs/>
          <w:rtl/>
        </w:rPr>
        <w:t>פורסמו</w:t>
      </w:r>
      <w:r w:rsidRPr="006B1D8D">
        <w:rPr>
          <w:b/>
          <w:bCs/>
          <w:rtl/>
        </w:rPr>
        <w:t xml:space="preserve"> </w:t>
      </w:r>
      <w:r w:rsidRPr="006B1D8D">
        <w:rPr>
          <w:rFonts w:hint="eastAsia"/>
          <w:b/>
          <w:bCs/>
          <w:rtl/>
        </w:rPr>
        <w:t>בישראל</w:t>
      </w:r>
      <w:r w:rsidRPr="006B1D8D">
        <w:rPr>
          <w:rStyle w:val="FootnoteReference"/>
          <w:b/>
          <w:bCs/>
          <w:sz w:val="24"/>
          <w:rtl/>
        </w:rPr>
        <w:footnoteReference w:id="90"/>
      </w:r>
    </w:p>
    <w:p w14:paraId="3C72585D" w14:textId="77777777" w:rsidR="00867DA1" w:rsidRPr="003761B7" w:rsidRDefault="00867DA1" w:rsidP="00867DA1">
      <w:pPr>
        <w:pStyle w:val="ListParagraph"/>
        <w:spacing w:line="269" w:lineRule="auto"/>
        <w:ind w:left="312"/>
        <w:rPr>
          <w:b/>
          <w:bCs/>
          <w:rtl/>
        </w:rPr>
      </w:pPr>
      <w:r w:rsidRPr="003761B7">
        <w:rPr>
          <w:rFonts w:hint="cs"/>
          <w:b/>
          <w:bCs/>
          <w:noProof/>
          <w:rtl/>
        </w:rPr>
        <w:drawing>
          <wp:inline distT="0" distB="0" distL="0" distR="0" wp14:anchorId="18B60AA0" wp14:editId="1AC26CFA">
            <wp:extent cx="5220335" cy="3045460"/>
            <wp:effectExtent l="0" t="0" r="0" b="21590"/>
            <wp:docPr id="35" name="דיאגרמה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9B4C9DF" w14:textId="77777777" w:rsidR="00867DA1" w:rsidRPr="00B96245" w:rsidRDefault="00867DA1" w:rsidP="006B1D8D">
      <w:pPr>
        <w:pStyle w:val="ac"/>
        <w:ind w:left="0" w:firstLine="0"/>
        <w:rPr>
          <w:rtl/>
        </w:rPr>
      </w:pPr>
      <w:r w:rsidRPr="00B96245">
        <w:rPr>
          <w:rFonts w:hint="eastAsia"/>
          <w:rtl/>
        </w:rPr>
        <w:t>המקור</w:t>
      </w:r>
      <w:r w:rsidRPr="00B96245">
        <w:rPr>
          <w:rtl/>
        </w:rPr>
        <w:t xml:space="preserve">: </w:t>
      </w:r>
      <w:r w:rsidRPr="00B96245">
        <w:rPr>
          <w:rFonts w:hint="eastAsia"/>
          <w:rtl/>
        </w:rPr>
        <w:t>הוועדה</w:t>
      </w:r>
      <w:r w:rsidRPr="00B96245">
        <w:rPr>
          <w:rtl/>
        </w:rPr>
        <w:t xml:space="preserve"> </w:t>
      </w:r>
      <w:r w:rsidRPr="00B96245">
        <w:rPr>
          <w:rFonts w:hint="eastAsia"/>
          <w:rtl/>
        </w:rPr>
        <w:t>הבינלאומית</w:t>
      </w:r>
      <w:r w:rsidRPr="00B96245">
        <w:rPr>
          <w:rtl/>
        </w:rPr>
        <w:t xml:space="preserve"> </w:t>
      </w:r>
      <w:r w:rsidRPr="00B96245">
        <w:rPr>
          <w:rFonts w:hint="eastAsia"/>
          <w:rtl/>
        </w:rPr>
        <w:t>לתקינה</w:t>
      </w:r>
      <w:r w:rsidRPr="00B96245">
        <w:rPr>
          <w:rtl/>
        </w:rPr>
        <w:t xml:space="preserve"> </w:t>
      </w:r>
      <w:r w:rsidRPr="00B96245">
        <w:rPr>
          <w:rFonts w:hint="eastAsia"/>
          <w:rtl/>
        </w:rPr>
        <w:t>בחשבונאות</w:t>
      </w:r>
      <w:r w:rsidRPr="00B96245">
        <w:rPr>
          <w:rtl/>
        </w:rPr>
        <w:t xml:space="preserve"> למגזר הציבורי, </w:t>
      </w:r>
      <w:r w:rsidRPr="00B96245">
        <w:rPr>
          <w:rFonts w:hint="eastAsia"/>
          <w:b/>
          <w:bCs/>
          <w:rtl/>
        </w:rPr>
        <w:t>ספר</w:t>
      </w:r>
      <w:r w:rsidRPr="00B96245">
        <w:rPr>
          <w:b/>
          <w:bCs/>
          <w:rtl/>
        </w:rPr>
        <w:t xml:space="preserve"> </w:t>
      </w:r>
      <w:r w:rsidRPr="00B96245">
        <w:rPr>
          <w:rFonts w:hint="eastAsia"/>
          <w:b/>
          <w:bCs/>
          <w:rtl/>
        </w:rPr>
        <w:t>תקני</w:t>
      </w:r>
      <w:r w:rsidRPr="00B96245">
        <w:rPr>
          <w:b/>
          <w:bCs/>
          <w:rtl/>
        </w:rPr>
        <w:t xml:space="preserve"> </w:t>
      </w:r>
      <w:r w:rsidRPr="00B96245">
        <w:rPr>
          <w:rFonts w:hint="eastAsia"/>
          <w:b/>
          <w:bCs/>
          <w:rtl/>
        </w:rPr>
        <w:t>החשבונאות</w:t>
      </w:r>
      <w:r w:rsidRPr="00B96245">
        <w:rPr>
          <w:b/>
          <w:bCs/>
          <w:rtl/>
        </w:rPr>
        <w:t xml:space="preserve"> </w:t>
      </w:r>
      <w:r w:rsidRPr="00B96245">
        <w:rPr>
          <w:rFonts w:hint="eastAsia"/>
          <w:b/>
          <w:bCs/>
          <w:rtl/>
        </w:rPr>
        <w:t>הבינלאומיים</w:t>
      </w:r>
      <w:r w:rsidRPr="00B96245">
        <w:rPr>
          <w:rtl/>
        </w:rPr>
        <w:t xml:space="preserve"> (2018), בעיבוד משרד מבקר המדינה</w:t>
      </w:r>
      <w:r w:rsidRPr="00B96245">
        <w:rPr>
          <w:rFonts w:hint="cs"/>
          <w:rtl/>
        </w:rPr>
        <w:t>.</w:t>
      </w:r>
    </w:p>
    <w:p w14:paraId="77B11A91" w14:textId="5B892181" w:rsidR="00867DA1" w:rsidRDefault="00867DA1" w:rsidP="006B1D8D">
      <w:pPr>
        <w:pStyle w:val="100"/>
        <w:rPr>
          <w:rtl/>
        </w:rPr>
      </w:pPr>
    </w:p>
    <w:p w14:paraId="60553378" w14:textId="77777777" w:rsidR="00867DA1" w:rsidRDefault="00867DA1" w:rsidP="006B1D8D">
      <w:pPr>
        <w:pStyle w:val="100"/>
        <w:rPr>
          <w:rtl/>
        </w:rPr>
      </w:pPr>
      <w:r>
        <w:rPr>
          <w:rFonts w:hint="cs"/>
          <w:rtl/>
        </w:rPr>
        <w:t>יצוין כי בתקן חשבונאות ממשלתי מס' 3 בנושא "מדיניות חשבונאית, שינויים באומדנים חשבונאיים וטעויות" קובע כי בהיעדר תקן חשבונאות ממשלתי החל על עסקה, אירוע או מצב אחרים, ההנהלה תפעיל שיקול דעתה ביישום מדיניות חשבונאית. עוד קובע התקן כי בהפעלת שיקול הדעת ההנהלה רשאית גם להביא בחשבון את הפרסומים העדכניים ביותר של גופי תקינה אחרים (כגון הוועדה לתקני חשבונאות בינלאומיים, תקני דיווח כספי בינלאומיים [</w:t>
      </w:r>
      <w:r>
        <w:rPr>
          <w:rFonts w:hint="cs"/>
        </w:rPr>
        <w:t>IFRS</w:t>
      </w:r>
      <w:r>
        <w:rPr>
          <w:rFonts w:hint="cs"/>
          <w:rtl/>
        </w:rPr>
        <w:t>] וכיוצא באלו</w:t>
      </w:r>
      <w:r>
        <w:rPr>
          <w:rStyle w:val="FootnoteReference"/>
          <w:rtl/>
        </w:rPr>
        <w:footnoteReference w:id="91"/>
      </w:r>
      <w:r>
        <w:rPr>
          <w:rFonts w:hint="cs"/>
          <w:rtl/>
        </w:rPr>
        <w:t>).</w:t>
      </w:r>
    </w:p>
    <w:p w14:paraId="23ED2CC9" w14:textId="77777777" w:rsidR="00867DA1" w:rsidRDefault="00867DA1" w:rsidP="006B1D8D">
      <w:pPr>
        <w:pStyle w:val="af5"/>
        <w:rPr>
          <w:rtl/>
        </w:rPr>
      </w:pPr>
      <w:r>
        <w:rPr>
          <w:rFonts w:hint="cs"/>
          <w:rtl/>
        </w:rPr>
        <w:t xml:space="preserve">כיוון שהוועדה לתקינה חשבונאית ממשלתית לא אימצה את 15 </w:t>
      </w:r>
      <w:r w:rsidRPr="00CE7ED4">
        <w:rPr>
          <w:rFonts w:hint="cs"/>
          <w:rtl/>
        </w:rPr>
        <w:t>תקני החשבונאות הממשלתיים הבינלאומיים</w:t>
      </w:r>
      <w:r>
        <w:rPr>
          <w:rFonts w:hint="cs"/>
          <w:rtl/>
        </w:rPr>
        <w:t xml:space="preserve"> </w:t>
      </w:r>
      <w:r w:rsidRPr="00CE7ED4">
        <w:rPr>
          <w:rFonts w:hint="cs"/>
          <w:rtl/>
        </w:rPr>
        <w:t xml:space="preserve">נוצר מצב </w:t>
      </w:r>
      <w:r>
        <w:rPr>
          <w:rFonts w:hint="cs"/>
          <w:rtl/>
        </w:rPr>
        <w:t>ש</w:t>
      </w:r>
      <w:r w:rsidRPr="00CE7ED4">
        <w:rPr>
          <w:rFonts w:hint="cs"/>
          <w:rtl/>
        </w:rPr>
        <w:t xml:space="preserve">בו עורכי הדוחות הכספיים של </w:t>
      </w:r>
      <w:r>
        <w:rPr>
          <w:rFonts w:hint="cs"/>
          <w:rtl/>
        </w:rPr>
        <w:t>הגופים הממשלתיים</w:t>
      </w:r>
      <w:r w:rsidRPr="00CE7ED4">
        <w:rPr>
          <w:rFonts w:hint="cs"/>
          <w:rtl/>
        </w:rPr>
        <w:t xml:space="preserve"> ומבקרי</w:t>
      </w:r>
      <w:r>
        <w:rPr>
          <w:rFonts w:hint="cs"/>
          <w:rtl/>
        </w:rPr>
        <w:t>הם</w:t>
      </w:r>
      <w:r w:rsidRPr="00CE7ED4">
        <w:rPr>
          <w:rFonts w:hint="cs"/>
          <w:rtl/>
        </w:rPr>
        <w:t xml:space="preserve"> </w:t>
      </w:r>
      <w:r>
        <w:rPr>
          <w:rFonts w:hint="cs"/>
          <w:rtl/>
        </w:rPr>
        <w:t xml:space="preserve">נאלצו </w:t>
      </w:r>
      <w:r w:rsidRPr="00CE7ED4">
        <w:rPr>
          <w:rFonts w:hint="cs"/>
          <w:rtl/>
        </w:rPr>
        <w:t>להפעיל שיקול דעת</w:t>
      </w:r>
      <w:r>
        <w:rPr>
          <w:rFonts w:hint="cs"/>
          <w:rtl/>
        </w:rPr>
        <w:t>,</w:t>
      </w:r>
      <w:r w:rsidRPr="00CE7ED4">
        <w:rPr>
          <w:rFonts w:hint="cs"/>
          <w:rtl/>
        </w:rPr>
        <w:t xml:space="preserve"> במקום להסתמך על תקינה אחידה</w:t>
      </w:r>
      <w:r>
        <w:rPr>
          <w:rFonts w:hint="cs"/>
          <w:rtl/>
        </w:rPr>
        <w:t>.</w:t>
      </w:r>
      <w:r w:rsidRPr="00CE7ED4">
        <w:rPr>
          <w:rFonts w:hint="cs"/>
          <w:rtl/>
        </w:rPr>
        <w:t xml:space="preserve"> </w:t>
      </w:r>
      <w:r>
        <w:rPr>
          <w:rFonts w:hint="cs"/>
          <w:rtl/>
        </w:rPr>
        <w:t>ה</w:t>
      </w:r>
      <w:r w:rsidRPr="00CE7ED4">
        <w:rPr>
          <w:rFonts w:hint="cs"/>
          <w:rtl/>
        </w:rPr>
        <w:t>דבר על</w:t>
      </w:r>
      <w:r>
        <w:rPr>
          <w:rFonts w:hint="cs"/>
          <w:rtl/>
        </w:rPr>
        <w:t>ול לגרום חוסר אחידות בטיפול החשבונאי בדוחות הכספיים של הגופים הממשלתיים.</w:t>
      </w:r>
    </w:p>
    <w:p w14:paraId="7298E40D" w14:textId="77777777" w:rsidR="006B1D8D" w:rsidRDefault="006B1D8D">
      <w:pPr>
        <w:bidi w:val="0"/>
        <w:spacing w:after="200" w:line="276" w:lineRule="auto"/>
        <w:rPr>
          <w:rFonts w:eastAsiaTheme="majorEastAsia"/>
          <w:bCs/>
          <w:spacing w:val="40"/>
          <w:rtl/>
        </w:rPr>
      </w:pPr>
      <w:r>
        <w:rPr>
          <w:rtl/>
        </w:rPr>
        <w:br w:type="page"/>
      </w:r>
    </w:p>
    <w:p w14:paraId="7A22D20F" w14:textId="7A498C50" w:rsidR="00867DA1" w:rsidRPr="00B96245" w:rsidRDefault="00867DA1" w:rsidP="006B1D8D">
      <w:pPr>
        <w:pStyle w:val="5115"/>
        <w:rPr>
          <w:rtl/>
        </w:rPr>
      </w:pPr>
      <w:r w:rsidRPr="00B96245">
        <w:rPr>
          <w:rFonts w:hint="cs"/>
          <w:rtl/>
        </w:rPr>
        <w:lastRenderedPageBreak/>
        <w:t>תקני חשבונאות ממשלתיים בינלאומיים שלא אומצו בישראל ובינתיים הוחלפו בתקנים חדשים, וגם הם טרם אומצו בישראל</w:t>
      </w:r>
    </w:p>
    <w:p w14:paraId="7D088ACA" w14:textId="77777777" w:rsidR="00867DA1" w:rsidRPr="007552DF" w:rsidRDefault="00867DA1" w:rsidP="006B1D8D">
      <w:pPr>
        <w:pStyle w:val="af5"/>
        <w:rPr>
          <w:noProof/>
          <w:rtl/>
        </w:rPr>
      </w:pPr>
      <w:r w:rsidRPr="007552DF">
        <w:rPr>
          <w:rFonts w:hint="cs"/>
          <w:noProof/>
          <w:rtl/>
        </w:rPr>
        <w:t xml:space="preserve">במהלך תקופת עבודתה של הוועדה לתקינה חשבונאית ממשלתית היא לא אימצה </w:t>
      </w:r>
      <w:r>
        <w:rPr>
          <w:rFonts w:hint="cs"/>
          <w:noProof/>
          <w:rtl/>
        </w:rPr>
        <w:t>כמה</w:t>
      </w:r>
      <w:r w:rsidRPr="007552DF">
        <w:rPr>
          <w:rFonts w:hint="cs"/>
          <w:noProof/>
          <w:rtl/>
        </w:rPr>
        <w:t xml:space="preserve"> תקנים חשבונאיים </w:t>
      </w:r>
      <w:r>
        <w:rPr>
          <w:rFonts w:hint="cs"/>
          <w:noProof/>
          <w:rtl/>
        </w:rPr>
        <w:t>מפני שגרסה ש</w:t>
      </w:r>
      <w:r w:rsidRPr="007552DF">
        <w:rPr>
          <w:rFonts w:hint="cs"/>
          <w:noProof/>
          <w:rtl/>
        </w:rPr>
        <w:t xml:space="preserve">הטיפול החשבונאי </w:t>
      </w:r>
      <w:r>
        <w:rPr>
          <w:rFonts w:hint="cs"/>
          <w:noProof/>
          <w:rtl/>
        </w:rPr>
        <w:t xml:space="preserve">על פי אותם תקנים צפוי להשתנות ושצפוי להיקבע </w:t>
      </w:r>
      <w:r w:rsidRPr="007552DF">
        <w:rPr>
          <w:rFonts w:hint="cs"/>
          <w:noProof/>
          <w:rtl/>
        </w:rPr>
        <w:t xml:space="preserve">תקן חדש. </w:t>
      </w:r>
      <w:r>
        <w:rPr>
          <w:rFonts w:hint="cs"/>
          <w:noProof/>
          <w:rtl/>
        </w:rPr>
        <w:t xml:space="preserve">בפועל, גם לאחר ששונו תקנים אלו והותקנו תקני חשבונאות בינלאומים חדשים, והסיבה לאי-האימוץ פגה, התקנים החדשים טרם אומצו בישראל. </w:t>
      </w:r>
    </w:p>
    <w:p w14:paraId="53F7EB1A" w14:textId="77777777" w:rsidR="00867DA1" w:rsidRDefault="00867DA1" w:rsidP="006B1D8D">
      <w:pPr>
        <w:pStyle w:val="100"/>
        <w:rPr>
          <w:noProof/>
          <w:rtl/>
        </w:rPr>
      </w:pPr>
      <w:r>
        <w:rPr>
          <w:rFonts w:hint="cs"/>
          <w:noProof/>
          <w:rtl/>
        </w:rPr>
        <w:t>להלן פירוט התקנים:</w:t>
      </w:r>
    </w:p>
    <w:p w14:paraId="3674564A" w14:textId="77777777" w:rsidR="00867DA1" w:rsidRDefault="00867DA1" w:rsidP="006B1D8D">
      <w:pPr>
        <w:pStyle w:val="6105"/>
        <w:rPr>
          <w:rtl/>
        </w:rPr>
      </w:pPr>
      <w:r>
        <w:rPr>
          <w:rFonts w:hint="cs"/>
          <w:rtl/>
        </w:rPr>
        <w:t xml:space="preserve">תקן חשבונאות בינלאומי מס' 25 בנושא הטבות עובד </w:t>
      </w:r>
    </w:p>
    <w:p w14:paraId="4D92B4ED" w14:textId="77777777" w:rsidR="00867DA1" w:rsidRDefault="00867DA1" w:rsidP="006B1D8D">
      <w:pPr>
        <w:pStyle w:val="100"/>
        <w:rPr>
          <w:noProof/>
          <w:rtl/>
        </w:rPr>
      </w:pPr>
      <w:r>
        <w:rPr>
          <w:rFonts w:hint="cs"/>
          <w:sz w:val="24"/>
          <w:rtl/>
        </w:rPr>
        <w:t>הוועדה הבינלאומית לתקינה בחשבונאו</w:t>
      </w:r>
      <w:r>
        <w:rPr>
          <w:rFonts w:hint="eastAsia"/>
          <w:sz w:val="24"/>
          <w:rtl/>
        </w:rPr>
        <w:t>ת</w:t>
      </w:r>
      <w:r>
        <w:rPr>
          <w:rFonts w:hint="cs"/>
          <w:sz w:val="24"/>
          <w:rtl/>
        </w:rPr>
        <w:t xml:space="preserve"> למגזר הציבורי הכניסה את התקן לתוקף </w:t>
      </w:r>
      <w:r>
        <w:rPr>
          <w:rFonts w:hint="cs"/>
          <w:noProof/>
          <w:rtl/>
        </w:rPr>
        <w:t xml:space="preserve">בינואר 2011, ובינואר 2018 היא ביטלה אותו, כשנכנס לתוקף תקן חדש - תקן מס' 39. הוועדה לתקינה חשבונאית ממשלתית בישראל לא אימצה אף אחד משני התקנים האמורים. </w:t>
      </w:r>
    </w:p>
    <w:p w14:paraId="2A901DC9" w14:textId="77777777" w:rsidR="00867DA1" w:rsidRDefault="00867DA1" w:rsidP="006B1D8D">
      <w:pPr>
        <w:pStyle w:val="100"/>
        <w:rPr>
          <w:noProof/>
          <w:rtl/>
        </w:rPr>
      </w:pPr>
      <w:r>
        <w:rPr>
          <w:rFonts w:hint="cs"/>
          <w:noProof/>
          <w:rtl/>
        </w:rPr>
        <w:t xml:space="preserve">יצויין כי מדובר בתקן חשבונאי מהותי, הקובע את הטיפול החשבונאי והגילוי הנדרש בנושא הטבות עובד, כולל הטבות עובד לטווח קצר (שכר עבודה, חופשה שנתית, חופשת מחלה), פנסיות, הטבות בגין פיטורים והטבות עובד אחרות לטווח ארוך. </w:t>
      </w:r>
    </w:p>
    <w:p w14:paraId="4D5D8FC6" w14:textId="77777777" w:rsidR="00867DA1" w:rsidRDefault="00867DA1" w:rsidP="006B1D8D">
      <w:pPr>
        <w:pStyle w:val="100"/>
        <w:rPr>
          <w:b/>
          <w:bCs/>
          <w:noProof/>
          <w:rtl/>
        </w:rPr>
      </w:pPr>
      <w:r>
        <w:rPr>
          <w:rFonts w:hint="cs"/>
          <w:noProof/>
          <w:rtl/>
        </w:rPr>
        <w:t xml:space="preserve">היתרה </w:t>
      </w:r>
      <w:r w:rsidRPr="00A56966">
        <w:rPr>
          <w:noProof/>
          <w:rtl/>
        </w:rPr>
        <w:t xml:space="preserve">בדוחות הכספיים </w:t>
      </w:r>
      <w:r>
        <w:rPr>
          <w:rFonts w:hint="cs"/>
          <w:noProof/>
          <w:rtl/>
        </w:rPr>
        <w:t xml:space="preserve">ליום 31.12.18 </w:t>
      </w:r>
      <w:r w:rsidRPr="00A56966">
        <w:rPr>
          <w:noProof/>
          <w:rtl/>
        </w:rPr>
        <w:t>להתחייבויות בגין סיום יחסי עובד</w:t>
      </w:r>
      <w:r>
        <w:rPr>
          <w:rFonts w:hint="cs"/>
          <w:noProof/>
          <w:rtl/>
        </w:rPr>
        <w:t>-</w:t>
      </w:r>
      <w:r w:rsidRPr="00A56966">
        <w:rPr>
          <w:noProof/>
          <w:rtl/>
        </w:rPr>
        <w:t>מעביד ובגין הטבות אחרות</w:t>
      </w:r>
      <w:r>
        <w:rPr>
          <w:rFonts w:hint="cs"/>
          <w:noProof/>
          <w:rtl/>
        </w:rPr>
        <w:t xml:space="preserve"> לזמן ארוך</w:t>
      </w:r>
      <w:r w:rsidRPr="00A56966">
        <w:rPr>
          <w:noProof/>
          <w:rtl/>
        </w:rPr>
        <w:t>, כ</w:t>
      </w:r>
      <w:r>
        <w:rPr>
          <w:noProof/>
          <w:rtl/>
        </w:rPr>
        <w:t>גון ימי חופשה ומחלה שטרם נוצלו</w:t>
      </w:r>
      <w:r>
        <w:rPr>
          <w:rFonts w:hint="cs"/>
          <w:noProof/>
          <w:rtl/>
        </w:rPr>
        <w:t xml:space="preserve">, הייתה </w:t>
      </w:r>
      <w:r w:rsidRPr="00A56966">
        <w:rPr>
          <w:noProof/>
          <w:rtl/>
        </w:rPr>
        <w:t>כ-</w:t>
      </w:r>
      <w:r>
        <w:rPr>
          <w:rFonts w:hint="cs"/>
          <w:noProof/>
          <w:rtl/>
        </w:rPr>
        <w:t>32</w:t>
      </w:r>
      <w:r w:rsidRPr="00A56966">
        <w:rPr>
          <w:noProof/>
          <w:rtl/>
        </w:rPr>
        <w:t xml:space="preserve"> </w:t>
      </w:r>
      <w:r>
        <w:rPr>
          <w:noProof/>
          <w:rtl/>
        </w:rPr>
        <w:t>מיליארד</w:t>
      </w:r>
      <w:r w:rsidRPr="00A56966">
        <w:rPr>
          <w:noProof/>
          <w:rtl/>
        </w:rPr>
        <w:t xml:space="preserve"> ש"ח.</w:t>
      </w:r>
      <w:r>
        <w:rPr>
          <w:rFonts w:hint="cs"/>
          <w:noProof/>
          <w:rtl/>
        </w:rPr>
        <w:t xml:space="preserve"> בדוחות הכספיים צוין, בין היתר: "בשלב זה לא קיים מידע אמין לניהול הטבות אחרות לזמן ארוך, בחלק ממשרדי הממשלה לא קיימים נתונים זמינים, כנדרש על פי כללי חשבונאות מקובלים". </w:t>
      </w:r>
    </w:p>
    <w:p w14:paraId="4EEF465F" w14:textId="77777777" w:rsidR="00867DA1" w:rsidRDefault="00867DA1" w:rsidP="006B1D8D">
      <w:pPr>
        <w:pStyle w:val="af5"/>
        <w:rPr>
          <w:noProof/>
          <w:rtl/>
        </w:rPr>
      </w:pPr>
      <w:r>
        <w:rPr>
          <w:rFonts w:hint="cs"/>
          <w:noProof/>
          <w:rtl/>
        </w:rPr>
        <w:t xml:space="preserve">נכון למועד סיום הביקורת, התחייבות המדינה בגין זכאות עובדיה לימי חופשה ומחלה המוצגת בדוחות הכספיים אינה מלאה ואינה נמדדת על ידי הערכות אקטואריות, וזאת מאחר שטרם הושלמה הקמתה של מערכת מידע, התומכת בחישוב התחייבות ברמה הממשלתית. </w:t>
      </w:r>
    </w:p>
    <w:p w14:paraId="54007F85" w14:textId="77777777" w:rsidR="00867DA1" w:rsidRPr="00696C07" w:rsidRDefault="00867DA1" w:rsidP="006B1D8D">
      <w:pPr>
        <w:pStyle w:val="100"/>
        <w:rPr>
          <w:rtl/>
        </w:rPr>
      </w:pPr>
      <w:r w:rsidRPr="00696C07">
        <w:rPr>
          <w:rFonts w:hint="cs"/>
          <w:noProof/>
          <w:rtl/>
        </w:rPr>
        <w:t>דוגמ</w:t>
      </w:r>
      <w:r>
        <w:rPr>
          <w:rFonts w:hint="cs"/>
          <w:noProof/>
          <w:rtl/>
        </w:rPr>
        <w:t>ה</w:t>
      </w:r>
      <w:r w:rsidRPr="00696C07">
        <w:rPr>
          <w:rFonts w:hint="cs"/>
          <w:noProof/>
          <w:rtl/>
        </w:rPr>
        <w:t xml:space="preserve"> לחשיבות </w:t>
      </w:r>
      <w:r>
        <w:rPr>
          <w:rFonts w:hint="cs"/>
          <w:noProof/>
          <w:rtl/>
        </w:rPr>
        <w:t>שב</w:t>
      </w:r>
      <w:r w:rsidRPr="00696C07">
        <w:rPr>
          <w:rFonts w:hint="cs"/>
          <w:noProof/>
          <w:rtl/>
        </w:rPr>
        <w:t xml:space="preserve">יישום התקינה החשבונאית הממשלתית </w:t>
      </w:r>
      <w:r>
        <w:rPr>
          <w:rFonts w:hint="cs"/>
          <w:noProof/>
          <w:rtl/>
        </w:rPr>
        <w:t>אפשר</w:t>
      </w:r>
      <w:r w:rsidRPr="00696C07">
        <w:rPr>
          <w:rFonts w:hint="cs"/>
          <w:noProof/>
          <w:rtl/>
        </w:rPr>
        <w:t xml:space="preserve"> למצוא בדוחות הכספיים המאוחדים של המשרד לשירותי דת והמועצות הדתיות. עד הדוחות הכספיים לשנת 2015 ועד בכלל, לא נכללו ב</w:t>
      </w:r>
      <w:r>
        <w:rPr>
          <w:rFonts w:hint="cs"/>
          <w:noProof/>
          <w:rtl/>
        </w:rPr>
        <w:t>דוחות הכספיים של המועצות הדתיות</w:t>
      </w:r>
      <w:r w:rsidRPr="00696C07">
        <w:rPr>
          <w:rFonts w:hint="cs"/>
          <w:noProof/>
          <w:rtl/>
        </w:rPr>
        <w:t xml:space="preserve"> הפרשות אקטואריות בגין חבות לפנסי</w:t>
      </w:r>
      <w:r>
        <w:rPr>
          <w:rFonts w:hint="cs"/>
          <w:noProof/>
          <w:rtl/>
        </w:rPr>
        <w:t>י</w:t>
      </w:r>
      <w:r w:rsidRPr="00696C07">
        <w:rPr>
          <w:rFonts w:hint="cs"/>
          <w:noProof/>
          <w:rtl/>
        </w:rPr>
        <w:t xml:space="preserve">ה תקציבית, וממילא החבות לא נכללה בדוחות הכספיים של </w:t>
      </w:r>
      <w:r>
        <w:rPr>
          <w:rFonts w:hint="cs"/>
          <w:noProof/>
          <w:rtl/>
        </w:rPr>
        <w:t>המדינה</w:t>
      </w:r>
      <w:r w:rsidRPr="00696C07">
        <w:rPr>
          <w:rFonts w:hint="cs"/>
          <w:noProof/>
          <w:rtl/>
        </w:rPr>
        <w:t xml:space="preserve">. </w:t>
      </w:r>
      <w:r>
        <w:rPr>
          <w:rFonts w:hint="cs"/>
          <w:noProof/>
          <w:rtl/>
        </w:rPr>
        <w:t xml:space="preserve">משנת 2016 הדוחות הכספיים של המשרד לשירותי דת והמועצות הדתיות נערכו על פי התקינה </w:t>
      </w:r>
      <w:r w:rsidRPr="00711DF7">
        <w:rPr>
          <w:rFonts w:hint="cs"/>
          <w:noProof/>
          <w:rtl/>
        </w:rPr>
        <w:t xml:space="preserve">החשבונאית הממשלתית הבינלאומית. </w:t>
      </w:r>
      <w:r>
        <w:rPr>
          <w:rFonts w:hint="cs"/>
          <w:noProof/>
          <w:rtl/>
        </w:rPr>
        <w:t xml:space="preserve">לאחר שיושמה </w:t>
      </w:r>
      <w:r w:rsidRPr="00711DF7">
        <w:rPr>
          <w:rFonts w:hint="cs"/>
          <w:rtl/>
        </w:rPr>
        <w:t>התקינה החשבונאית הממשלתית,</w:t>
      </w:r>
      <w:r w:rsidRPr="00711DF7">
        <w:rPr>
          <w:rFonts w:hint="cs"/>
          <w:noProof/>
          <w:rtl/>
        </w:rPr>
        <w:t xml:space="preserve"> בוצעה הערכה אקטוארית להתחייבות בגין הטבות עובדים לאחר סיום העסקה</w:t>
      </w:r>
      <w:r>
        <w:rPr>
          <w:rFonts w:hint="cs"/>
          <w:noProof/>
          <w:rtl/>
        </w:rPr>
        <w:t>, והתברר</w:t>
      </w:r>
      <w:r w:rsidRPr="00711DF7">
        <w:rPr>
          <w:rFonts w:hint="cs"/>
          <w:noProof/>
          <w:rtl/>
        </w:rPr>
        <w:t xml:space="preserve"> </w:t>
      </w:r>
      <w:r>
        <w:rPr>
          <w:rFonts w:hint="cs"/>
          <w:noProof/>
          <w:rtl/>
        </w:rPr>
        <w:t xml:space="preserve">כי </w:t>
      </w:r>
      <w:r w:rsidRPr="00711DF7">
        <w:rPr>
          <w:rFonts w:hint="cs"/>
          <w:rtl/>
        </w:rPr>
        <w:t xml:space="preserve">סכום של כ-3 </w:t>
      </w:r>
      <w:r>
        <w:rPr>
          <w:rFonts w:hint="cs"/>
          <w:rtl/>
        </w:rPr>
        <w:t>מיליארד</w:t>
      </w:r>
      <w:r w:rsidRPr="00711DF7">
        <w:rPr>
          <w:rFonts w:hint="cs"/>
          <w:rtl/>
        </w:rPr>
        <w:t xml:space="preserve"> ש"ח </w:t>
      </w:r>
      <w:r>
        <w:rPr>
          <w:rFonts w:hint="cs"/>
          <w:rtl/>
        </w:rPr>
        <w:t>הינו בשל</w:t>
      </w:r>
      <w:r w:rsidRPr="00711DF7">
        <w:rPr>
          <w:rFonts w:hint="cs"/>
          <w:rtl/>
        </w:rPr>
        <w:t xml:space="preserve"> התחייבות לפנסי</w:t>
      </w:r>
      <w:r>
        <w:rPr>
          <w:rFonts w:hint="cs"/>
          <w:rtl/>
        </w:rPr>
        <w:t>י</w:t>
      </w:r>
      <w:r w:rsidRPr="00711DF7">
        <w:rPr>
          <w:rFonts w:hint="cs"/>
          <w:rtl/>
        </w:rPr>
        <w:t>ה תקציבית של המועצות הדתיות.</w:t>
      </w:r>
    </w:p>
    <w:p w14:paraId="6A6A05D1" w14:textId="77777777" w:rsidR="00867DA1" w:rsidRPr="00696C07" w:rsidRDefault="00867DA1" w:rsidP="006B1D8D">
      <w:pPr>
        <w:pStyle w:val="100"/>
        <w:rPr>
          <w:rtl/>
        </w:rPr>
      </w:pPr>
      <w:r w:rsidRPr="00696C07">
        <w:rPr>
          <w:rFonts w:hint="cs"/>
          <w:rtl/>
        </w:rPr>
        <w:t xml:space="preserve">החשבונאי הראשי מסר בתשובתו כי </w:t>
      </w:r>
      <w:r w:rsidRPr="00696C07">
        <w:rPr>
          <w:rtl/>
        </w:rPr>
        <w:t>עד היום לא נכללו הדוחות הכספיים של המועצות הדתיות בדוחות המשרד לשירותי דת</w:t>
      </w:r>
      <w:r w:rsidRPr="00696C07">
        <w:rPr>
          <w:rFonts w:hint="cs"/>
          <w:rtl/>
        </w:rPr>
        <w:t xml:space="preserve">, שכן </w:t>
      </w:r>
      <w:r w:rsidRPr="00696C07">
        <w:rPr>
          <w:rtl/>
        </w:rPr>
        <w:t>המועצות טרם עברו לדווח במועד התואם את פרסום הדוחות הכספיים של המדינה</w:t>
      </w:r>
      <w:r w:rsidRPr="00696C07">
        <w:rPr>
          <w:rFonts w:hint="cs"/>
          <w:rtl/>
        </w:rPr>
        <w:t>,</w:t>
      </w:r>
      <w:r w:rsidRPr="00696C07">
        <w:rPr>
          <w:rtl/>
        </w:rPr>
        <w:t xml:space="preserve"> </w:t>
      </w:r>
      <w:r>
        <w:rPr>
          <w:rFonts w:hint="cs"/>
          <w:rtl/>
        </w:rPr>
        <w:t>ו</w:t>
      </w:r>
      <w:r w:rsidRPr="00696C07">
        <w:rPr>
          <w:rtl/>
        </w:rPr>
        <w:t xml:space="preserve">בשלב זה </w:t>
      </w:r>
      <w:r>
        <w:rPr>
          <w:rFonts w:hint="cs"/>
          <w:rtl/>
        </w:rPr>
        <w:t>אי אפשר</w:t>
      </w:r>
      <w:r w:rsidRPr="00696C07">
        <w:rPr>
          <w:rtl/>
        </w:rPr>
        <w:t xml:space="preserve"> לאחד אותן בדוחות של המדינה.</w:t>
      </w:r>
    </w:p>
    <w:p w14:paraId="0C669870" w14:textId="77777777" w:rsidR="00867DA1" w:rsidRDefault="00867DA1" w:rsidP="006B1D8D">
      <w:pPr>
        <w:pStyle w:val="6105"/>
        <w:rPr>
          <w:rtl/>
        </w:rPr>
      </w:pPr>
      <w:r>
        <w:rPr>
          <w:rFonts w:hint="cs"/>
          <w:rtl/>
        </w:rPr>
        <w:lastRenderedPageBreak/>
        <w:t xml:space="preserve">תקן חשבונאות בינלאומי מס' 15 בנושא מכשירים פיננסיים </w:t>
      </w:r>
    </w:p>
    <w:p w14:paraId="3853ECBA" w14:textId="77777777" w:rsidR="00867DA1" w:rsidRDefault="00867DA1" w:rsidP="006B1D8D">
      <w:pPr>
        <w:pStyle w:val="100"/>
        <w:rPr>
          <w:noProof/>
          <w:rtl/>
        </w:rPr>
      </w:pPr>
      <w:r>
        <w:rPr>
          <w:rFonts w:hint="cs"/>
          <w:sz w:val="24"/>
          <w:rtl/>
        </w:rPr>
        <w:t>הוועדה הבינלאומית לתקינה בחשבונאו</w:t>
      </w:r>
      <w:r>
        <w:rPr>
          <w:rFonts w:hint="eastAsia"/>
          <w:sz w:val="24"/>
          <w:rtl/>
        </w:rPr>
        <w:t>ת</w:t>
      </w:r>
      <w:r>
        <w:rPr>
          <w:rFonts w:hint="cs"/>
          <w:sz w:val="24"/>
          <w:rtl/>
        </w:rPr>
        <w:t xml:space="preserve"> למגזר הציבורי הכניסה את התקן לתוקף</w:t>
      </w:r>
      <w:r>
        <w:rPr>
          <w:rFonts w:hint="cs"/>
          <w:noProof/>
          <w:rtl/>
        </w:rPr>
        <w:t xml:space="preserve"> בדצמבר 2001, ולאחר מכן ביטלה אותו, כשנכנסו לתוקף שלושה תקנים חדשים - תקנים מספר 28 - 30 בנושא מכשירים פיננסיים</w:t>
      </w:r>
      <w:r>
        <w:rPr>
          <w:rStyle w:val="FootnoteReference"/>
          <w:noProof/>
          <w:rtl/>
        </w:rPr>
        <w:footnoteReference w:id="92"/>
      </w:r>
      <w:r>
        <w:rPr>
          <w:rFonts w:hint="cs"/>
          <w:noProof/>
          <w:rtl/>
        </w:rPr>
        <w:t>. משרד מבקר המדינה כבר ציין בדוח קודם שתקנים אלו לא אומצו</w:t>
      </w:r>
      <w:r>
        <w:rPr>
          <w:rStyle w:val="FootnoteReference"/>
          <w:noProof/>
          <w:rtl/>
        </w:rPr>
        <w:footnoteReference w:id="93"/>
      </w:r>
      <w:r>
        <w:rPr>
          <w:rFonts w:hint="cs"/>
          <w:noProof/>
          <w:rtl/>
        </w:rPr>
        <w:t xml:space="preserve">. </w:t>
      </w:r>
    </w:p>
    <w:p w14:paraId="477B2EF2" w14:textId="77777777" w:rsidR="00867DA1" w:rsidRDefault="00867DA1" w:rsidP="006B1D8D">
      <w:pPr>
        <w:pStyle w:val="af5"/>
        <w:rPr>
          <w:noProof/>
          <w:rtl/>
        </w:rPr>
      </w:pPr>
      <w:r w:rsidRPr="00240CC2">
        <w:rPr>
          <w:rFonts w:hint="cs"/>
          <w:noProof/>
          <w:rtl/>
        </w:rPr>
        <w:t>התקנים</w:t>
      </w:r>
      <w:r w:rsidRPr="00240CC2">
        <w:rPr>
          <w:noProof/>
          <w:rtl/>
        </w:rPr>
        <w:t xml:space="preserve"> הבינלאומיים שטרם אומצו עלולים לפגוע</w:t>
      </w:r>
      <w:r>
        <w:rPr>
          <w:rFonts w:hint="cs"/>
          <w:noProof/>
          <w:rtl/>
        </w:rPr>
        <w:t>, בין השאר,</w:t>
      </w:r>
      <w:r w:rsidRPr="00240CC2">
        <w:rPr>
          <w:noProof/>
          <w:rtl/>
        </w:rPr>
        <w:t xml:space="preserve"> ביכולת </w:t>
      </w:r>
      <w:r>
        <w:rPr>
          <w:rFonts w:hint="cs"/>
          <w:noProof/>
          <w:rtl/>
        </w:rPr>
        <w:t>להשוות בין</w:t>
      </w:r>
      <w:r w:rsidRPr="00240CC2">
        <w:rPr>
          <w:noProof/>
          <w:rtl/>
        </w:rPr>
        <w:t xml:space="preserve"> נתוני הדוחות הכספיים </w:t>
      </w:r>
      <w:r w:rsidRPr="00240CC2">
        <w:rPr>
          <w:rFonts w:hint="cs"/>
          <w:noProof/>
          <w:rtl/>
        </w:rPr>
        <w:t>של</w:t>
      </w:r>
      <w:r w:rsidRPr="00240CC2">
        <w:rPr>
          <w:noProof/>
          <w:rtl/>
        </w:rPr>
        <w:t xml:space="preserve"> </w:t>
      </w:r>
      <w:r>
        <w:rPr>
          <w:rFonts w:hint="cs"/>
          <w:noProof/>
          <w:rtl/>
        </w:rPr>
        <w:t>מדינת</w:t>
      </w:r>
      <w:r w:rsidRPr="00240CC2">
        <w:rPr>
          <w:noProof/>
          <w:rtl/>
        </w:rPr>
        <w:t xml:space="preserve"> </w:t>
      </w:r>
      <w:r w:rsidRPr="00240CC2">
        <w:rPr>
          <w:rFonts w:hint="cs"/>
          <w:noProof/>
          <w:rtl/>
        </w:rPr>
        <w:t>ישראל</w:t>
      </w:r>
      <w:r w:rsidRPr="00240CC2">
        <w:rPr>
          <w:noProof/>
          <w:rtl/>
        </w:rPr>
        <w:t xml:space="preserve"> </w:t>
      </w:r>
      <w:r>
        <w:rPr>
          <w:rFonts w:hint="cs"/>
          <w:noProof/>
          <w:rtl/>
        </w:rPr>
        <w:t>ל</w:t>
      </w:r>
      <w:r w:rsidRPr="00240CC2">
        <w:rPr>
          <w:rFonts w:hint="cs"/>
          <w:noProof/>
          <w:rtl/>
        </w:rPr>
        <w:t>דוחות</w:t>
      </w:r>
      <w:r w:rsidRPr="00240CC2">
        <w:rPr>
          <w:noProof/>
          <w:rtl/>
        </w:rPr>
        <w:t xml:space="preserve"> </w:t>
      </w:r>
      <w:r w:rsidRPr="00240CC2">
        <w:rPr>
          <w:rFonts w:hint="cs"/>
          <w:noProof/>
          <w:rtl/>
        </w:rPr>
        <w:t>כספיים</w:t>
      </w:r>
      <w:r w:rsidRPr="00240CC2">
        <w:rPr>
          <w:noProof/>
          <w:rtl/>
        </w:rPr>
        <w:t xml:space="preserve"> </w:t>
      </w:r>
      <w:r w:rsidRPr="00240CC2">
        <w:rPr>
          <w:rFonts w:hint="cs"/>
          <w:noProof/>
          <w:rtl/>
        </w:rPr>
        <w:t>של</w:t>
      </w:r>
      <w:r w:rsidRPr="00240CC2">
        <w:rPr>
          <w:noProof/>
          <w:rtl/>
        </w:rPr>
        <w:t xml:space="preserve"> </w:t>
      </w:r>
      <w:r w:rsidRPr="00240CC2">
        <w:rPr>
          <w:rFonts w:hint="cs"/>
          <w:noProof/>
          <w:rtl/>
        </w:rPr>
        <w:t>מדינות</w:t>
      </w:r>
      <w:r w:rsidRPr="00240CC2">
        <w:rPr>
          <w:noProof/>
          <w:rtl/>
        </w:rPr>
        <w:t xml:space="preserve"> </w:t>
      </w:r>
      <w:r w:rsidRPr="00240CC2">
        <w:rPr>
          <w:rFonts w:hint="cs"/>
          <w:noProof/>
          <w:rtl/>
        </w:rPr>
        <w:t>אחרות</w:t>
      </w:r>
      <w:r w:rsidRPr="00240CC2">
        <w:rPr>
          <w:noProof/>
          <w:rtl/>
        </w:rPr>
        <w:t xml:space="preserve"> </w:t>
      </w:r>
      <w:r w:rsidRPr="00240CC2">
        <w:rPr>
          <w:rFonts w:hint="cs"/>
          <w:noProof/>
          <w:rtl/>
        </w:rPr>
        <w:t>בעולם</w:t>
      </w:r>
      <w:r>
        <w:rPr>
          <w:rFonts w:hint="cs"/>
          <w:noProof/>
          <w:rtl/>
        </w:rPr>
        <w:t>,</w:t>
      </w:r>
      <w:r w:rsidRPr="00240CC2">
        <w:rPr>
          <w:noProof/>
          <w:rtl/>
        </w:rPr>
        <w:t xml:space="preserve"> </w:t>
      </w:r>
      <w:r w:rsidRPr="00240CC2">
        <w:rPr>
          <w:rFonts w:hint="cs"/>
          <w:noProof/>
          <w:rtl/>
        </w:rPr>
        <w:t>ובכך</w:t>
      </w:r>
      <w:r w:rsidRPr="00240CC2">
        <w:rPr>
          <w:noProof/>
          <w:rtl/>
        </w:rPr>
        <w:t xml:space="preserve"> </w:t>
      </w:r>
      <w:r w:rsidRPr="00240CC2">
        <w:rPr>
          <w:rFonts w:hint="cs"/>
          <w:noProof/>
          <w:rtl/>
        </w:rPr>
        <w:t>לפגוע</w:t>
      </w:r>
      <w:r w:rsidRPr="00240CC2">
        <w:rPr>
          <w:noProof/>
          <w:rtl/>
        </w:rPr>
        <w:t xml:space="preserve"> </w:t>
      </w:r>
      <w:r w:rsidRPr="00240CC2">
        <w:rPr>
          <w:rFonts w:hint="cs"/>
          <w:noProof/>
          <w:rtl/>
        </w:rPr>
        <w:t>ב</w:t>
      </w:r>
      <w:r>
        <w:rPr>
          <w:rFonts w:hint="cs"/>
          <w:noProof/>
          <w:rtl/>
        </w:rPr>
        <w:t xml:space="preserve">יכולת להשוות את </w:t>
      </w:r>
      <w:r w:rsidRPr="00240CC2">
        <w:rPr>
          <w:rFonts w:hint="cs"/>
          <w:noProof/>
          <w:rtl/>
        </w:rPr>
        <w:t>הנתונים</w:t>
      </w:r>
      <w:r w:rsidRPr="00240CC2">
        <w:rPr>
          <w:noProof/>
          <w:rtl/>
        </w:rPr>
        <w:t xml:space="preserve"> </w:t>
      </w:r>
      <w:r w:rsidRPr="00240CC2">
        <w:rPr>
          <w:rFonts w:hint="cs"/>
          <w:noProof/>
          <w:rtl/>
        </w:rPr>
        <w:t>ו</w:t>
      </w:r>
      <w:r>
        <w:rPr>
          <w:rFonts w:hint="cs"/>
          <w:noProof/>
          <w:rtl/>
        </w:rPr>
        <w:t>ל</w:t>
      </w:r>
      <w:r w:rsidRPr="00240CC2">
        <w:rPr>
          <w:rFonts w:hint="cs"/>
          <w:noProof/>
          <w:rtl/>
        </w:rPr>
        <w:t>בח</w:t>
      </w:r>
      <w:r>
        <w:rPr>
          <w:rFonts w:hint="cs"/>
          <w:noProof/>
          <w:rtl/>
        </w:rPr>
        <w:t>ון או</w:t>
      </w:r>
      <w:r w:rsidRPr="00240CC2">
        <w:rPr>
          <w:rFonts w:hint="cs"/>
          <w:noProof/>
          <w:rtl/>
        </w:rPr>
        <w:t>תם</w:t>
      </w:r>
      <w:r w:rsidRPr="00240CC2">
        <w:rPr>
          <w:noProof/>
          <w:rtl/>
        </w:rPr>
        <w:t>.</w:t>
      </w:r>
    </w:p>
    <w:p w14:paraId="29893E73" w14:textId="77777777" w:rsidR="00867DA1" w:rsidRPr="0055045B" w:rsidRDefault="00867DA1" w:rsidP="006B1D8D">
      <w:pPr>
        <w:pStyle w:val="5115"/>
      </w:pPr>
      <w:r>
        <w:rPr>
          <w:rFonts w:hint="cs"/>
          <w:rtl/>
        </w:rPr>
        <w:t>אי-</w:t>
      </w:r>
      <w:r w:rsidRPr="0055045B">
        <w:rPr>
          <w:rFonts w:hint="cs"/>
          <w:rtl/>
        </w:rPr>
        <w:t xml:space="preserve">פרסום </w:t>
      </w:r>
      <w:r>
        <w:rPr>
          <w:rFonts w:hint="cs"/>
          <w:rtl/>
        </w:rPr>
        <w:t xml:space="preserve">של </w:t>
      </w:r>
      <w:r w:rsidRPr="0055045B">
        <w:rPr>
          <w:rFonts w:hint="cs"/>
          <w:rtl/>
        </w:rPr>
        <w:t>המסגרת המושגית לדיווח הכספי למטרות כלליות של ישויות ממשלתיות</w:t>
      </w:r>
      <w:r>
        <w:rPr>
          <w:rFonts w:hint="cs"/>
          <w:rtl/>
        </w:rPr>
        <w:t xml:space="preserve"> על ידי הוועדה</w:t>
      </w:r>
      <w:r w:rsidRPr="0055045B">
        <w:rPr>
          <w:rFonts w:hint="cs"/>
          <w:rtl/>
        </w:rPr>
        <w:t xml:space="preserve"> </w:t>
      </w:r>
    </w:p>
    <w:p w14:paraId="1C22804F" w14:textId="77777777" w:rsidR="00867DA1" w:rsidRDefault="00867DA1" w:rsidP="006B1D8D">
      <w:pPr>
        <w:pStyle w:val="100"/>
        <w:rPr>
          <w:rtl/>
        </w:rPr>
      </w:pPr>
      <w:r>
        <w:rPr>
          <w:rFonts w:hint="cs"/>
          <w:rtl/>
        </w:rPr>
        <w:t>מסגרת מושגית (</w:t>
      </w:r>
      <w:r>
        <w:t>Framework</w:t>
      </w:r>
      <w:r>
        <w:rPr>
          <w:rFonts w:hint="cs"/>
          <w:rtl/>
        </w:rPr>
        <w:t>) היא מעין "חוקה חשבונאית". מטרותיה הן: סיוע בפיתוח תקנים חדשים; סיוע לישויות המדווחות ליישם תקנים חשבונאיים קיימים; סיוע לישויות מדווחות בנושאים שהפרסומים המקצועיים אינם מטפלים בהם; סיוע לרואי החשבון המבקרים לחוות דעה על הדוחות הכספיים; סיוע למשתמשים בדוחות הכספיים להבין את המידע הכלול בהם ואת מגבלותיו. בספטמבר 2008 פרסמה הוועדה לתקני חשבונאות ממשלתיים בינלאומיים את המסגרת המושגית (להלן - המסגרת המושגית)</w:t>
      </w:r>
      <w:r>
        <w:rPr>
          <w:rStyle w:val="FootnoteReference"/>
          <w:rtl/>
        </w:rPr>
        <w:footnoteReference w:id="94"/>
      </w:r>
      <w:r>
        <w:rPr>
          <w:rFonts w:hint="cs"/>
          <w:rtl/>
        </w:rPr>
        <w:t xml:space="preserve">. המסגרת המושגית חלה על הדוחות הכספיים בלבד, ונקבעו בה </w:t>
      </w:r>
      <w:r w:rsidRPr="001A1C11">
        <w:rPr>
          <w:rFonts w:hint="cs"/>
          <w:rtl/>
        </w:rPr>
        <w:t>התפיסות</w:t>
      </w:r>
      <w:r w:rsidRPr="001A1C11">
        <w:rPr>
          <w:rtl/>
        </w:rPr>
        <w:t xml:space="preserve"> הע</w:t>
      </w:r>
      <w:r w:rsidRPr="001A1C11">
        <w:rPr>
          <w:rFonts w:hint="cs"/>
          <w:rtl/>
        </w:rPr>
        <w:t>ומדות</w:t>
      </w:r>
      <w:r w:rsidRPr="001A1C11">
        <w:rPr>
          <w:rtl/>
        </w:rPr>
        <w:t xml:space="preserve"> בבסיס</w:t>
      </w:r>
      <w:r w:rsidRPr="001A1C11">
        <w:rPr>
          <w:rFonts w:hint="cs"/>
          <w:rtl/>
        </w:rPr>
        <w:t>ו</w:t>
      </w:r>
      <w:r w:rsidRPr="001A1C11">
        <w:rPr>
          <w:rtl/>
        </w:rPr>
        <w:t xml:space="preserve"> של דיווח כספי למטרות כלליות </w:t>
      </w:r>
      <w:r>
        <w:rPr>
          <w:rFonts w:hint="cs"/>
          <w:rtl/>
        </w:rPr>
        <w:t>שעורכות</w:t>
      </w:r>
      <w:r w:rsidRPr="001A1C11">
        <w:rPr>
          <w:rtl/>
        </w:rPr>
        <w:t xml:space="preserve"> </w:t>
      </w:r>
      <w:r w:rsidRPr="001A1C11">
        <w:rPr>
          <w:rFonts w:hint="cs"/>
          <w:rtl/>
        </w:rPr>
        <w:t>ישויות</w:t>
      </w:r>
      <w:r w:rsidRPr="001A1C11">
        <w:rPr>
          <w:rtl/>
        </w:rPr>
        <w:t xml:space="preserve"> ממשלתיות </w:t>
      </w:r>
      <w:r w:rsidRPr="001A1C11">
        <w:rPr>
          <w:rFonts w:hint="cs"/>
          <w:rtl/>
        </w:rPr>
        <w:t>המדווחות על</w:t>
      </w:r>
      <w:r w:rsidRPr="001A1C11">
        <w:rPr>
          <w:rtl/>
        </w:rPr>
        <w:t xml:space="preserve"> בסיס</w:t>
      </w:r>
      <w:r w:rsidRPr="001A1C11">
        <w:rPr>
          <w:rFonts w:hint="cs"/>
          <w:rtl/>
        </w:rPr>
        <w:t xml:space="preserve"> </w:t>
      </w:r>
      <w:r w:rsidRPr="001A1C11">
        <w:rPr>
          <w:rtl/>
        </w:rPr>
        <w:t>מצטבר</w:t>
      </w:r>
      <w:r>
        <w:rPr>
          <w:rFonts w:hint="cs"/>
          <w:rtl/>
        </w:rPr>
        <w:t>.</w:t>
      </w:r>
    </w:p>
    <w:p w14:paraId="27D68919" w14:textId="77777777" w:rsidR="00867DA1" w:rsidRDefault="00867DA1" w:rsidP="006B1D8D">
      <w:pPr>
        <w:pStyle w:val="af5"/>
        <w:rPr>
          <w:rtl/>
        </w:rPr>
      </w:pPr>
      <w:r w:rsidRPr="0055045B">
        <w:rPr>
          <w:rFonts w:hint="cs"/>
          <w:rtl/>
        </w:rPr>
        <w:t xml:space="preserve">הוועדה לתקינה חשבונאית ממשלתית </w:t>
      </w:r>
      <w:r>
        <w:rPr>
          <w:rFonts w:hint="cs"/>
          <w:rtl/>
        </w:rPr>
        <w:t xml:space="preserve">בישראל לא </w:t>
      </w:r>
      <w:r w:rsidRPr="0055045B">
        <w:rPr>
          <w:rFonts w:hint="cs"/>
          <w:rtl/>
        </w:rPr>
        <w:t xml:space="preserve">פרסמה את המסגרת האמורה. </w:t>
      </w:r>
    </w:p>
    <w:p w14:paraId="45F11457" w14:textId="77777777" w:rsidR="00867DA1" w:rsidRPr="006B1D8D" w:rsidRDefault="00867DA1" w:rsidP="006B1D8D">
      <w:pPr>
        <w:pStyle w:val="100"/>
        <w:rPr>
          <w:rtl/>
        </w:rPr>
      </w:pPr>
      <w:r w:rsidRPr="006B1D8D">
        <w:rPr>
          <w:rStyle w:val="2"/>
          <w:rFonts w:cs="Tahoma" w:hint="cs"/>
          <w:rtl/>
        </w:rPr>
        <w:t>החשבונאי</w:t>
      </w:r>
      <w:r w:rsidRPr="006B1D8D">
        <w:rPr>
          <w:rFonts w:hint="cs"/>
          <w:rtl/>
        </w:rPr>
        <w:t xml:space="preserve"> הראשי מסר בתשובתו כי </w:t>
      </w:r>
      <w:r w:rsidRPr="006B1D8D">
        <w:rPr>
          <w:rtl/>
        </w:rPr>
        <w:t xml:space="preserve">הוועדה </w:t>
      </w:r>
      <w:r w:rsidRPr="006B1D8D">
        <w:rPr>
          <w:rFonts w:hint="cs"/>
          <w:rtl/>
        </w:rPr>
        <w:t xml:space="preserve">כבר </w:t>
      </w:r>
      <w:r w:rsidRPr="006B1D8D">
        <w:rPr>
          <w:rtl/>
        </w:rPr>
        <w:t>דנה בחלק הראשון של המסגרת המושגית</w:t>
      </w:r>
      <w:r w:rsidRPr="006B1D8D">
        <w:rPr>
          <w:rFonts w:hint="cs"/>
          <w:rtl/>
        </w:rPr>
        <w:t>,</w:t>
      </w:r>
      <w:r w:rsidRPr="006B1D8D">
        <w:rPr>
          <w:rtl/>
        </w:rPr>
        <w:t xml:space="preserve"> ו</w:t>
      </w:r>
      <w:r w:rsidRPr="006B1D8D">
        <w:rPr>
          <w:rFonts w:hint="cs"/>
          <w:rtl/>
        </w:rPr>
        <w:t xml:space="preserve">כי </w:t>
      </w:r>
      <w:r w:rsidRPr="006B1D8D">
        <w:rPr>
          <w:rtl/>
        </w:rPr>
        <w:t>לצערו הרב התהליך טרם הסתיים</w:t>
      </w:r>
      <w:r w:rsidRPr="006B1D8D">
        <w:rPr>
          <w:rFonts w:hint="cs"/>
          <w:rtl/>
        </w:rPr>
        <w:t>.</w:t>
      </w:r>
    </w:p>
    <w:p w14:paraId="1E638528" w14:textId="77777777" w:rsidR="00867DA1" w:rsidRDefault="00867DA1" w:rsidP="006B1D8D">
      <w:pPr>
        <w:pStyle w:val="5115"/>
        <w:rPr>
          <w:rtl/>
        </w:rPr>
      </w:pPr>
      <w:r>
        <w:rPr>
          <w:rFonts w:hint="cs"/>
          <w:rtl/>
        </w:rPr>
        <w:t xml:space="preserve">פרסום עמדות מקצועיות והבהרות לתקינה החשבונאית הממשלתית </w:t>
      </w:r>
    </w:p>
    <w:p w14:paraId="4902651A" w14:textId="77777777" w:rsidR="00867DA1" w:rsidRPr="00B16719" w:rsidRDefault="00867DA1" w:rsidP="00745DB0">
      <w:pPr>
        <w:pStyle w:val="100"/>
        <w:rPr>
          <w:rtl/>
        </w:rPr>
      </w:pPr>
      <w:r>
        <w:rPr>
          <w:rFonts w:hint="cs"/>
          <w:sz w:val="24"/>
          <w:rtl/>
        </w:rPr>
        <w:t>הוועדה הבינלאומית לתקינה בחשבונאו</w:t>
      </w:r>
      <w:r>
        <w:rPr>
          <w:rFonts w:hint="eastAsia"/>
          <w:sz w:val="24"/>
          <w:rtl/>
        </w:rPr>
        <w:t>ת</w:t>
      </w:r>
      <w:r>
        <w:rPr>
          <w:rFonts w:hint="cs"/>
          <w:sz w:val="24"/>
          <w:rtl/>
        </w:rPr>
        <w:t xml:space="preserve"> למגזר הציבורי</w:t>
      </w:r>
      <w:r>
        <w:rPr>
          <w:rFonts w:hint="cs"/>
          <w:rtl/>
        </w:rPr>
        <w:t xml:space="preserve"> פרסמה שלושה קווים מנחים לפרקטיקה מומלצת (</w:t>
      </w:r>
      <w:r w:rsidRPr="00745DB0">
        <w:t>Recommend Practice Guideline</w:t>
      </w:r>
      <w:r>
        <w:rPr>
          <w:rFonts w:hint="cs"/>
          <w:rtl/>
        </w:rPr>
        <w:t xml:space="preserve">). קווים אלו נועדו לספק הנחיות בדבר פרקטיקה טובה לעידוד בישויות המגזר הציבורי. להלן פירוט הפרסומים: </w:t>
      </w:r>
      <w:r w:rsidRPr="00745DB0">
        <w:rPr>
          <w:rStyle w:val="Heading6Char"/>
          <w:rFonts w:hint="cs"/>
          <w:color w:val="387026"/>
          <w:spacing w:val="0"/>
          <w:rtl/>
        </w:rPr>
        <w:t>קו מנחה מס' 1</w:t>
      </w:r>
      <w:r w:rsidRPr="00745DB0">
        <w:rPr>
          <w:rFonts w:hint="cs"/>
          <w:color w:val="387026"/>
          <w:rtl/>
        </w:rPr>
        <w:t xml:space="preserve"> - </w:t>
      </w:r>
      <w:r>
        <w:rPr>
          <w:rFonts w:hint="cs"/>
          <w:rtl/>
        </w:rPr>
        <w:t xml:space="preserve">דיווח בדבר יציבות פיננסית </w:t>
      </w:r>
      <w:r w:rsidRPr="00B16719">
        <w:rPr>
          <w:rFonts w:hint="cs"/>
          <w:rtl/>
        </w:rPr>
        <w:t>ארוכת טווח של ישות;</w:t>
      </w:r>
      <w:r>
        <w:rPr>
          <w:rFonts w:hint="cs"/>
          <w:rtl/>
        </w:rPr>
        <w:t xml:space="preserve"> </w:t>
      </w:r>
      <w:r w:rsidRPr="00745DB0">
        <w:rPr>
          <w:rStyle w:val="Heading6Char"/>
          <w:rFonts w:hint="cs"/>
          <w:color w:val="387026"/>
          <w:spacing w:val="0"/>
          <w:rtl/>
        </w:rPr>
        <w:t>קו מנחה מס' 2 -</w:t>
      </w:r>
      <w:r w:rsidRPr="00B16719">
        <w:rPr>
          <w:rFonts w:hint="cs"/>
          <w:rtl/>
        </w:rPr>
        <w:t xml:space="preserve"> דיון וניתוח הדוחות הכספיים</w:t>
      </w:r>
      <w:r>
        <w:rPr>
          <w:rFonts w:hint="cs"/>
          <w:rtl/>
        </w:rPr>
        <w:t xml:space="preserve"> (דוח דירקטוריון)</w:t>
      </w:r>
      <w:r w:rsidRPr="00B16719">
        <w:rPr>
          <w:rFonts w:hint="cs"/>
          <w:rtl/>
        </w:rPr>
        <w:t>;</w:t>
      </w:r>
      <w:r>
        <w:rPr>
          <w:rFonts w:hint="cs"/>
          <w:rtl/>
        </w:rPr>
        <w:t xml:space="preserve"> </w:t>
      </w:r>
      <w:r w:rsidRPr="00745DB0">
        <w:rPr>
          <w:rStyle w:val="Heading6Char"/>
          <w:rFonts w:hint="cs"/>
          <w:color w:val="387026"/>
          <w:spacing w:val="0"/>
          <w:rtl/>
        </w:rPr>
        <w:t>קו מנחה מס' 3 -</w:t>
      </w:r>
      <w:r>
        <w:rPr>
          <w:rFonts w:hint="cs"/>
          <w:rtl/>
        </w:rPr>
        <w:t xml:space="preserve"> דיווח של מידע על ביצועי השירות. </w:t>
      </w:r>
    </w:p>
    <w:p w14:paraId="61945430" w14:textId="77777777" w:rsidR="00867DA1" w:rsidRDefault="00867DA1" w:rsidP="00103E90">
      <w:pPr>
        <w:pStyle w:val="af5"/>
        <w:rPr>
          <w:rFonts w:ascii="OpenSansHebrew" w:hAnsi="OpenSansHebrew"/>
          <w:spacing w:val="5"/>
          <w:rtl/>
        </w:rPr>
      </w:pPr>
      <w:r w:rsidRPr="0065371A">
        <w:rPr>
          <w:rFonts w:hint="cs"/>
          <w:rtl/>
        </w:rPr>
        <w:lastRenderedPageBreak/>
        <w:t xml:space="preserve">הוועדה לתקינה החשבונאית הממשלתית </w:t>
      </w:r>
      <w:r>
        <w:rPr>
          <w:rFonts w:hint="cs"/>
          <w:rtl/>
        </w:rPr>
        <w:t xml:space="preserve">בישראל </w:t>
      </w:r>
      <w:r w:rsidRPr="0065371A">
        <w:rPr>
          <w:rFonts w:hint="cs"/>
          <w:rtl/>
        </w:rPr>
        <w:t xml:space="preserve">לא פרסמה </w:t>
      </w:r>
      <w:r>
        <w:rPr>
          <w:rFonts w:hint="cs"/>
          <w:rtl/>
        </w:rPr>
        <w:t xml:space="preserve">למשרדי הממשלה ניירות עמדה או הנחיות רוחביות כלשהן בדבר יישום תקני חשבונאות. הקווים המנחים האמורים יכולים לאפשר למשתמשי הדוחות לקבל מידע נוסף, מלבד מידע חשבונאי (כמותי ומילולי), כגון - תחשיב על קיימות פיסקאלית ארוכת טווח (מידע המאפשר למקבלי ההחלטות להעריך את היקף הסיכונים הפיננסיים שהמדינה תעמוד לפניהם בעתיד), שיפור השירות לציבור לאורך השנים, עמידה במדדי הביצוע וקביעת דרך פעולתם של הגופים הציבוריים להשגת יעדים, וכיוצא באלו. </w:t>
      </w:r>
    </w:p>
    <w:p w14:paraId="36922671" w14:textId="77777777" w:rsidR="00867DA1" w:rsidRPr="00F17C30" w:rsidRDefault="00867DA1" w:rsidP="00745DB0">
      <w:pPr>
        <w:pStyle w:val="100"/>
        <w:rPr>
          <w:rtl/>
        </w:rPr>
      </w:pPr>
      <w:r w:rsidRPr="00F17C30">
        <w:rPr>
          <w:rFonts w:hint="cs"/>
          <w:rtl/>
        </w:rPr>
        <w:t xml:space="preserve">החשבונאי הראשי ציין בתשובתו כי </w:t>
      </w:r>
      <w:r w:rsidRPr="00F17C30">
        <w:rPr>
          <w:rtl/>
        </w:rPr>
        <w:t xml:space="preserve">ניירות עמדה אלו חשובים ביותר, </w:t>
      </w:r>
      <w:r>
        <w:rPr>
          <w:rFonts w:hint="cs"/>
          <w:rtl/>
        </w:rPr>
        <w:t>אך נראה שהם מיושמים בעולם במידה מצומצמת בלבד.</w:t>
      </w:r>
      <w:r w:rsidRPr="00F17C30">
        <w:rPr>
          <w:rtl/>
        </w:rPr>
        <w:t xml:space="preserve"> </w:t>
      </w:r>
      <w:r>
        <w:rPr>
          <w:rFonts w:hint="cs"/>
          <w:rtl/>
        </w:rPr>
        <w:t>ב</w:t>
      </w:r>
      <w:r w:rsidRPr="00F17C30">
        <w:rPr>
          <w:rtl/>
        </w:rPr>
        <w:t>אר</w:t>
      </w:r>
      <w:r>
        <w:rPr>
          <w:rFonts w:hint="cs"/>
          <w:rtl/>
        </w:rPr>
        <w:t>צות הברית</w:t>
      </w:r>
      <w:r w:rsidRPr="00F17C30">
        <w:rPr>
          <w:rtl/>
        </w:rPr>
        <w:t xml:space="preserve"> וב</w:t>
      </w:r>
      <w:r>
        <w:rPr>
          <w:rFonts w:hint="cs"/>
          <w:rtl/>
        </w:rPr>
        <w:t>ב</w:t>
      </w:r>
      <w:r w:rsidRPr="00F17C30">
        <w:rPr>
          <w:rtl/>
        </w:rPr>
        <w:t>ריטניה</w:t>
      </w:r>
      <w:r>
        <w:rPr>
          <w:rFonts w:hint="cs"/>
          <w:rtl/>
        </w:rPr>
        <w:t>, גורמים מקצועיים בתחום עורכים</w:t>
      </w:r>
      <w:r w:rsidRPr="00F17C30">
        <w:rPr>
          <w:rtl/>
        </w:rPr>
        <w:t xml:space="preserve"> דוח מיוחד.</w:t>
      </w:r>
    </w:p>
    <w:p w14:paraId="7A339259" w14:textId="77777777" w:rsidR="00867DA1" w:rsidRDefault="00867DA1" w:rsidP="00745DB0">
      <w:pPr>
        <w:pStyle w:val="414"/>
        <w:rPr>
          <w:rtl/>
        </w:rPr>
      </w:pPr>
      <w:r>
        <w:rPr>
          <w:rFonts w:hint="cs"/>
          <w:rtl/>
        </w:rPr>
        <w:t xml:space="preserve">מיומנות מקצועית בעריכה ובביקורת של דוחות כספיים על פי התקינה החשבונאית הממשלתית </w:t>
      </w:r>
    </w:p>
    <w:p w14:paraId="51030AD4" w14:textId="77777777" w:rsidR="00867DA1" w:rsidRDefault="00867DA1" w:rsidP="00745DB0">
      <w:pPr>
        <w:pStyle w:val="100"/>
        <w:rPr>
          <w:rtl/>
        </w:rPr>
      </w:pPr>
      <w:r>
        <w:rPr>
          <w:rFonts w:hint="cs"/>
          <w:rtl/>
        </w:rPr>
        <w:t>לפי הרפורמה החשבונאית שהנהיג החשכ"ל, משרדי הממשלה נדרשים לערוך את הדוחות הכספיים בהתאם לתקינה החשבונאית הממשלתית. בבדיקה שעשה החשכ"ל התברר שבממוצע, כ-70% מכלל העובדים המועסקים בחשבויות של משרדי הממשלה וביחידות הסמך אינם בעלי השכלה אקדמית, ורק לכ-11% מהם השכלה אקדמית בתחום הפיננסי. כמו כן, כמה מבעלי התפקידים ברמות ניהול הביניים, אלו המופקדים על פעולות תקציביות בהיקף גדול, אינם בעלי השכלה אקדמית, ורק ל-34% מהם השכלה אקדמית בתחום הפיננסי</w:t>
      </w:r>
      <w:r>
        <w:rPr>
          <w:rStyle w:val="FootnoteReference"/>
          <w:rtl/>
        </w:rPr>
        <w:footnoteReference w:id="95"/>
      </w:r>
      <w:r>
        <w:rPr>
          <w:rFonts w:hint="cs"/>
          <w:rtl/>
        </w:rPr>
        <w:t xml:space="preserve">. לפיכך, בשנת 2009 קבעו החשב הכללי ונציבות שירות המדינה כי על משרדי הממשלה להגדיר תפקיד חדש בתחום החשבונאות והדיווח - חשבונאי ראשי </w:t>
      </w:r>
      <w:r>
        <w:rPr>
          <w:rFonts w:ascii="David" w:hAnsi="David" w:hint="cs"/>
          <w:rtl/>
        </w:rPr>
        <w:t>-</w:t>
      </w:r>
      <w:r>
        <w:rPr>
          <w:rFonts w:hint="cs"/>
          <w:rtl/>
        </w:rPr>
        <w:t xml:space="preserve"> להכפיף אותו לחשב המשרד, ולמנות אותו לערוך את הדוחות הכספיים ולדווח על ביצוע התקציב של המשרד. </w:t>
      </w:r>
    </w:p>
    <w:p w14:paraId="68BE8D30" w14:textId="77777777" w:rsidR="00867DA1" w:rsidRDefault="00867DA1" w:rsidP="00745DB0">
      <w:pPr>
        <w:pStyle w:val="100"/>
        <w:rPr>
          <w:rtl/>
        </w:rPr>
      </w:pPr>
      <w:r>
        <w:rPr>
          <w:rFonts w:hint="cs"/>
          <w:rtl/>
        </w:rPr>
        <w:t xml:space="preserve">שימור ועדכון הידע המקצועי של עורכי הדוחות הכספיים חיוני לשמירה על איכות הדוחות הכספיים ועל טיבם. משרד מבקר המדינה בדק אילו פעולות החשכ"ל מבצע לצורך שימור המיומנות המקצועית והכשרת כוח האדם הקיים במשרדי הממשלה השונים: </w:t>
      </w:r>
    </w:p>
    <w:p w14:paraId="0B385824" w14:textId="77777777" w:rsidR="00867DA1" w:rsidRDefault="00867DA1" w:rsidP="00745DB0">
      <w:pPr>
        <w:pStyle w:val="5115"/>
        <w:rPr>
          <w:rtl/>
        </w:rPr>
      </w:pPr>
      <w:r>
        <w:rPr>
          <w:rFonts w:hint="cs"/>
          <w:rtl/>
        </w:rPr>
        <w:t>השתלמויות מקצועיות בתחום התקינה החשבונאית הממשלתית</w:t>
      </w:r>
    </w:p>
    <w:p w14:paraId="2E240429" w14:textId="77777777" w:rsidR="00867DA1" w:rsidRDefault="00867DA1" w:rsidP="00745DB0">
      <w:pPr>
        <w:pStyle w:val="af5"/>
        <w:rPr>
          <w:rtl/>
        </w:rPr>
      </w:pPr>
      <w:r>
        <w:rPr>
          <w:rFonts w:hint="cs"/>
          <w:rtl/>
        </w:rPr>
        <w:t xml:space="preserve">נמצא כי בשנים האחרונות ערך החשכ"ל השתלמויות מקצועיות בודדות בלבד וכי מאז שנת 2014 עד היום נערכה לעורכי הדוחות הכספיים בחשבויות של משרדי הממשלה וביחידות הסמך רק השתלמות אחת בתחום התקינה החשבונאית הממשלתית. </w:t>
      </w:r>
    </w:p>
    <w:p w14:paraId="0C275434" w14:textId="77777777" w:rsidR="00867DA1" w:rsidRDefault="00867DA1" w:rsidP="00745DB0">
      <w:pPr>
        <w:pStyle w:val="af5"/>
        <w:rPr>
          <w:rtl/>
        </w:rPr>
      </w:pPr>
      <w:r>
        <w:rPr>
          <w:rFonts w:hint="cs"/>
          <w:rtl/>
        </w:rPr>
        <w:lastRenderedPageBreak/>
        <w:t>כדי</w:t>
      </w:r>
      <w:r w:rsidRPr="007E2AA0">
        <w:rPr>
          <w:rFonts w:hint="cs"/>
          <w:rtl/>
        </w:rPr>
        <w:t xml:space="preserve"> להנחיל את כללי החשבונאות הממשלתיים לאלו העוסקים בעריכת הדוחות הכספיים במשרדי הממשלה</w:t>
      </w:r>
      <w:r>
        <w:rPr>
          <w:rFonts w:hint="cs"/>
          <w:rtl/>
        </w:rPr>
        <w:t>,</w:t>
      </w:r>
      <w:r w:rsidRPr="007E2AA0">
        <w:rPr>
          <w:rFonts w:hint="cs"/>
          <w:rtl/>
        </w:rPr>
        <w:t xml:space="preserve"> </w:t>
      </w:r>
      <w:r>
        <w:rPr>
          <w:rFonts w:hint="cs"/>
          <w:rtl/>
        </w:rPr>
        <w:t>מוצע כי</w:t>
      </w:r>
      <w:r w:rsidRPr="007E2AA0">
        <w:rPr>
          <w:rFonts w:hint="cs"/>
          <w:rtl/>
        </w:rPr>
        <w:t xml:space="preserve"> החשכ"ל </w:t>
      </w:r>
      <w:r>
        <w:rPr>
          <w:rFonts w:hint="cs"/>
          <w:rtl/>
        </w:rPr>
        <w:t>י</w:t>
      </w:r>
      <w:r w:rsidRPr="007E2AA0">
        <w:rPr>
          <w:rFonts w:hint="cs"/>
          <w:rtl/>
        </w:rPr>
        <w:t xml:space="preserve">בצע באופן תדיר הדרכות </w:t>
      </w:r>
      <w:r>
        <w:rPr>
          <w:rFonts w:hint="cs"/>
          <w:rtl/>
        </w:rPr>
        <w:t>שעניינן</w:t>
      </w:r>
      <w:r w:rsidRPr="007E2AA0">
        <w:rPr>
          <w:rFonts w:hint="cs"/>
          <w:rtl/>
        </w:rPr>
        <w:t xml:space="preserve"> נושאים חשבונאיים </w:t>
      </w:r>
      <w:r>
        <w:rPr>
          <w:rFonts w:hint="cs"/>
          <w:rtl/>
        </w:rPr>
        <w:t>ו</w:t>
      </w:r>
      <w:r w:rsidRPr="007E2AA0">
        <w:rPr>
          <w:rFonts w:hint="cs"/>
          <w:rtl/>
        </w:rPr>
        <w:t xml:space="preserve">תקני חשבונאות ממשלתיים חדשים. יש להקצות </w:t>
      </w:r>
      <w:r>
        <w:rPr>
          <w:rFonts w:hint="cs"/>
          <w:rtl/>
        </w:rPr>
        <w:t xml:space="preserve">לכך </w:t>
      </w:r>
      <w:r w:rsidRPr="007E2AA0">
        <w:rPr>
          <w:rFonts w:hint="cs"/>
          <w:rtl/>
        </w:rPr>
        <w:t xml:space="preserve">משאבים מתאימים וליצור הכשרות ייעודיות </w:t>
      </w:r>
      <w:r>
        <w:rPr>
          <w:rFonts w:hint="cs"/>
          <w:rtl/>
        </w:rPr>
        <w:t>ה</w:t>
      </w:r>
      <w:r w:rsidRPr="007E2AA0">
        <w:rPr>
          <w:rFonts w:hint="cs"/>
          <w:rtl/>
        </w:rPr>
        <w:t xml:space="preserve">מתאימות לעובדי החשבויות. </w:t>
      </w:r>
    </w:p>
    <w:p w14:paraId="3A9333ED" w14:textId="77777777" w:rsidR="00867DA1" w:rsidRDefault="00867DA1" w:rsidP="00745DB0">
      <w:pPr>
        <w:pStyle w:val="100"/>
        <w:rPr>
          <w:rtl/>
        </w:rPr>
      </w:pPr>
      <w:r>
        <w:rPr>
          <w:rFonts w:hint="cs"/>
          <w:rtl/>
        </w:rPr>
        <w:t xml:space="preserve">החשבונאי הראשי ציין בתשובתו כי הוא </w:t>
      </w:r>
      <w:r>
        <w:rPr>
          <w:rtl/>
        </w:rPr>
        <w:t>עורך השתלמויות דרך פורום החשבונאים</w:t>
      </w:r>
      <w:r>
        <w:rPr>
          <w:rFonts w:hint="cs"/>
          <w:rtl/>
        </w:rPr>
        <w:t xml:space="preserve"> וכי אם</w:t>
      </w:r>
      <w:r>
        <w:rPr>
          <w:rtl/>
        </w:rPr>
        <w:t xml:space="preserve"> </w:t>
      </w:r>
      <w:r>
        <w:rPr>
          <w:rFonts w:hint="cs"/>
          <w:rtl/>
        </w:rPr>
        <w:t>ה</w:t>
      </w:r>
      <w:r>
        <w:rPr>
          <w:rtl/>
        </w:rPr>
        <w:t>חשבונאי</w:t>
      </w:r>
      <w:r>
        <w:rPr>
          <w:rFonts w:hint="cs"/>
          <w:rtl/>
        </w:rPr>
        <w:t xml:space="preserve"> הראשי</w:t>
      </w:r>
      <w:r>
        <w:rPr>
          <w:rtl/>
        </w:rPr>
        <w:t xml:space="preserve"> </w:t>
      </w:r>
      <w:r>
        <w:rPr>
          <w:rFonts w:hint="cs"/>
          <w:rtl/>
        </w:rPr>
        <w:t>של ישות ממשלתית נתקל ב</w:t>
      </w:r>
      <w:r>
        <w:rPr>
          <w:rtl/>
        </w:rPr>
        <w:t>סוגיה מקצועית, הוא יכול לפנות לחשבונאי הראשי לקבלת סיוע מקצועי.</w:t>
      </w:r>
    </w:p>
    <w:p w14:paraId="60F2DB0C" w14:textId="77777777" w:rsidR="00867DA1" w:rsidRDefault="00867DA1" w:rsidP="00745DB0">
      <w:pPr>
        <w:pStyle w:val="af5"/>
        <w:rPr>
          <w:rtl/>
        </w:rPr>
      </w:pPr>
      <w:r w:rsidRPr="00330935">
        <w:rPr>
          <w:rFonts w:hint="eastAsia"/>
          <w:rtl/>
        </w:rPr>
        <w:t>משרד</w:t>
      </w:r>
      <w:r w:rsidRPr="00330935">
        <w:rPr>
          <w:rtl/>
        </w:rPr>
        <w:t xml:space="preserve"> מבקר המדינה מציין כי </w:t>
      </w:r>
      <w:r w:rsidRPr="00330935">
        <w:rPr>
          <w:rFonts w:hint="eastAsia"/>
          <w:rtl/>
        </w:rPr>
        <w:t>מהמידע</w:t>
      </w:r>
      <w:r w:rsidRPr="00330935">
        <w:rPr>
          <w:rtl/>
        </w:rPr>
        <w:t xml:space="preserve"> שהתקבל </w:t>
      </w:r>
      <w:r>
        <w:rPr>
          <w:rFonts w:hint="cs"/>
          <w:rtl/>
        </w:rPr>
        <w:t>מהחשבונאים הראשיים בתשובה לשאלון</w:t>
      </w:r>
      <w:r w:rsidRPr="00330935">
        <w:rPr>
          <w:rtl/>
        </w:rPr>
        <w:t xml:space="preserve"> עולה כי </w:t>
      </w:r>
      <w:r>
        <w:rPr>
          <w:rFonts w:hint="cs"/>
          <w:rtl/>
        </w:rPr>
        <w:t xml:space="preserve">זה כמה שנים </w:t>
      </w:r>
      <w:r w:rsidRPr="00330935">
        <w:rPr>
          <w:rtl/>
        </w:rPr>
        <w:t>לא נערכו השתלמויות עדכניות ע</w:t>
      </w:r>
      <w:r>
        <w:rPr>
          <w:rFonts w:hint="cs"/>
          <w:rtl/>
        </w:rPr>
        <w:t>י</w:t>
      </w:r>
      <w:r w:rsidRPr="00330935">
        <w:rPr>
          <w:rtl/>
        </w:rPr>
        <w:t>תיות בתחום התקינה החשבונאית הממשלתית</w:t>
      </w:r>
      <w:r w:rsidRPr="006D68A8">
        <w:rPr>
          <w:rtl/>
        </w:rPr>
        <w:t>.</w:t>
      </w:r>
    </w:p>
    <w:p w14:paraId="6E309720" w14:textId="77777777" w:rsidR="00867DA1" w:rsidRDefault="00867DA1" w:rsidP="00745DB0">
      <w:pPr>
        <w:pStyle w:val="5115"/>
        <w:rPr>
          <w:rtl/>
        </w:rPr>
      </w:pPr>
      <w:r>
        <w:rPr>
          <w:rFonts w:hint="cs"/>
          <w:rtl/>
        </w:rPr>
        <w:t xml:space="preserve">ועדה מקצועית לליבון סוגיות חשבונאיות בתקינה החשבונאית הממשלתית </w:t>
      </w:r>
    </w:p>
    <w:p w14:paraId="1DA6CFF6" w14:textId="77777777" w:rsidR="00867DA1" w:rsidRDefault="00867DA1" w:rsidP="00745DB0">
      <w:pPr>
        <w:pStyle w:val="100"/>
        <w:rPr>
          <w:rtl/>
        </w:rPr>
      </w:pPr>
      <w:r>
        <w:rPr>
          <w:rFonts w:hint="cs"/>
          <w:rtl/>
        </w:rPr>
        <w:t xml:space="preserve">עורכי הדוחות, מבקריהם, והמעיינים בדוחות כאחד עלולים להיתקל בשאלות ובדילמות. </w:t>
      </w:r>
    </w:p>
    <w:p w14:paraId="37A1E3E9" w14:textId="77777777" w:rsidR="00867DA1" w:rsidRDefault="00867DA1" w:rsidP="00745DB0">
      <w:pPr>
        <w:pStyle w:val="af5"/>
        <w:rPr>
          <w:rtl/>
        </w:rPr>
      </w:pPr>
      <w:r>
        <w:rPr>
          <w:rFonts w:hint="cs"/>
          <w:rtl/>
        </w:rPr>
        <w:t xml:space="preserve">נמצא כי נכון למועד סיום הביקורת, מפני שהוועדה לתקינה חשבונאית ממשלתית לא התכנסה זה כמה שנים, לא ניתן מענה לסוגיות בתקינה החשבונאית הממשלתית, וכל משרד ממשלתי או יחידת סמך עלולים לגבש מדיניות חשבונאית בהתאם לחוות דעתם של רואי החשבון המבקרים את דוחותיהם. </w:t>
      </w:r>
    </w:p>
    <w:p w14:paraId="1E41A3E4" w14:textId="77777777" w:rsidR="00867DA1" w:rsidRDefault="00867DA1" w:rsidP="00745DB0">
      <w:pPr>
        <w:pStyle w:val="100"/>
        <w:rPr>
          <w:rtl/>
        </w:rPr>
      </w:pPr>
      <w:r>
        <w:rPr>
          <w:rFonts w:hint="cs"/>
          <w:rtl/>
        </w:rPr>
        <w:t xml:space="preserve">ראוי שהחשכ"ל יפעל לכך שהוועדה לתקינה חשבונאית ממשלתית תתכנס באופן תדיר ושוטף ותשמש כתובת מקצועית לעוסקים במלאכת עריכת הדוחות ובביקורת עליהם במשרדי הממשלה. לשם כך, עליה ללמוד את הסוגייה המופנית אליה, לבחון את אופן הפתרון הנדרש ולהמליץ על חלופות ליישומו במשרדי הממשלה הרלוונטיים. הוועדה תוכל לפרסם הנחיות לכלל רואי החשבון המבקרים את הדוחות הכספיים של משרדי מממשלה ולאלה המעיינים בהם. הדבר נחוץ במקומות שאין מענה בתקינה החשבונאית הממשלתית, ויש צורך במדיניות כוללת כדי להאחיד את הדיווח החשבונאי. </w:t>
      </w:r>
    </w:p>
    <w:p w14:paraId="45E46CA2" w14:textId="77777777" w:rsidR="00867DA1" w:rsidRDefault="00867DA1" w:rsidP="00745DB0">
      <w:pPr>
        <w:pStyle w:val="100"/>
        <w:rPr>
          <w:rtl/>
        </w:rPr>
      </w:pPr>
      <w:r>
        <w:rPr>
          <w:rFonts w:hint="cs"/>
          <w:rtl/>
        </w:rPr>
        <w:t xml:space="preserve">מבדיקה שערך משרד מבקר המדינה עלה כי המשרד לשירותי דת יצא בשנת 2018 למכרז פומבי בנושא: "מתן שירותי ייעוץ בתקינה חשבונאית ועיון על הדוחות הכספיים של המועצות הדתיות". הזוכים במכרז אמורים להקים </w:t>
      </w:r>
      <w:r w:rsidRPr="006B7574">
        <w:rPr>
          <w:rtl/>
        </w:rPr>
        <w:t>פורום תקינה חשבונאית</w:t>
      </w:r>
      <w:r>
        <w:rPr>
          <w:rFonts w:hint="cs"/>
          <w:rtl/>
        </w:rPr>
        <w:t xml:space="preserve">, </w:t>
      </w:r>
      <w:r w:rsidRPr="006B7574">
        <w:rPr>
          <w:rtl/>
        </w:rPr>
        <w:t xml:space="preserve">ועדה מייעצת </w:t>
      </w:r>
      <w:r>
        <w:rPr>
          <w:rFonts w:hint="cs"/>
          <w:rtl/>
        </w:rPr>
        <w:t>למשרד לשירותי דת</w:t>
      </w:r>
      <w:r w:rsidRPr="006B7574">
        <w:rPr>
          <w:rtl/>
        </w:rPr>
        <w:t xml:space="preserve"> </w:t>
      </w:r>
      <w:r>
        <w:rPr>
          <w:rFonts w:hint="cs"/>
          <w:rtl/>
        </w:rPr>
        <w:t>ל</w:t>
      </w:r>
      <w:r w:rsidRPr="006B7574">
        <w:rPr>
          <w:rtl/>
        </w:rPr>
        <w:t>בחינת סוגיות חשבונאיות ו</w:t>
      </w:r>
      <w:r>
        <w:rPr>
          <w:rFonts w:hint="cs"/>
          <w:rtl/>
        </w:rPr>
        <w:t>ל</w:t>
      </w:r>
      <w:r w:rsidRPr="006B7574">
        <w:rPr>
          <w:rtl/>
        </w:rPr>
        <w:t xml:space="preserve">מתן המלצות </w:t>
      </w:r>
      <w:r>
        <w:rPr>
          <w:rFonts w:hint="cs"/>
          <w:rtl/>
        </w:rPr>
        <w:t>יישומי</w:t>
      </w:r>
      <w:r w:rsidRPr="006B7574">
        <w:rPr>
          <w:rtl/>
        </w:rPr>
        <w:t>ות.</w:t>
      </w:r>
      <w:r>
        <w:rPr>
          <w:rFonts w:hint="cs"/>
          <w:rtl/>
        </w:rPr>
        <w:t xml:space="preserve"> משרד מבקר המדינה מציין לחיוב את משרד לשירותי דת על יוזמה זו. </w:t>
      </w:r>
    </w:p>
    <w:p w14:paraId="14CBC935" w14:textId="77777777" w:rsidR="00867DA1" w:rsidRDefault="00867DA1" w:rsidP="00745DB0">
      <w:pPr>
        <w:pStyle w:val="100"/>
        <w:rPr>
          <w:rtl/>
        </w:rPr>
      </w:pPr>
      <w:r>
        <w:rPr>
          <w:rFonts w:hint="cs"/>
          <w:rtl/>
        </w:rPr>
        <w:t>החשבונאי הראשי ציין בתשובתו כי אף הוא</w:t>
      </w:r>
      <w:r>
        <w:rPr>
          <w:rtl/>
        </w:rPr>
        <w:t xml:space="preserve"> שותף </w:t>
      </w:r>
      <w:r>
        <w:rPr>
          <w:rFonts w:hint="cs"/>
          <w:rtl/>
        </w:rPr>
        <w:t>להקמת פורום תקינה חשבונאית ב</w:t>
      </w:r>
      <w:r>
        <w:rPr>
          <w:rtl/>
        </w:rPr>
        <w:t>משרד לשירותי דת</w:t>
      </w:r>
      <w:r>
        <w:rPr>
          <w:rFonts w:hint="cs"/>
          <w:rtl/>
        </w:rPr>
        <w:t xml:space="preserve">. </w:t>
      </w:r>
    </w:p>
    <w:p w14:paraId="7EFFCC13" w14:textId="77777777" w:rsidR="00745DB0" w:rsidRDefault="00745DB0">
      <w:pPr>
        <w:bidi w:val="0"/>
        <w:spacing w:after="200" w:line="276" w:lineRule="auto"/>
        <w:rPr>
          <w:rFonts w:eastAsiaTheme="majorEastAsia"/>
          <w:bCs/>
          <w:spacing w:val="40"/>
          <w:rtl/>
        </w:rPr>
      </w:pPr>
      <w:r>
        <w:rPr>
          <w:rtl/>
        </w:rPr>
        <w:br w:type="page"/>
      </w:r>
    </w:p>
    <w:p w14:paraId="3EF92D08" w14:textId="08BE1387" w:rsidR="00867DA1" w:rsidRDefault="00867DA1" w:rsidP="00745DB0">
      <w:pPr>
        <w:pStyle w:val="5115"/>
        <w:rPr>
          <w:rtl/>
        </w:rPr>
      </w:pPr>
      <w:r>
        <w:rPr>
          <w:rFonts w:hint="cs"/>
          <w:rtl/>
        </w:rPr>
        <w:lastRenderedPageBreak/>
        <w:t xml:space="preserve">ייצוג של מדינת ישראל </w:t>
      </w:r>
      <w:r w:rsidRPr="00A87EC3">
        <w:rPr>
          <w:rFonts w:hint="cs"/>
          <w:rtl/>
        </w:rPr>
        <w:t>בפורומים</w:t>
      </w:r>
      <w:r>
        <w:rPr>
          <w:rFonts w:hint="cs"/>
          <w:rtl/>
        </w:rPr>
        <w:t xml:space="preserve"> מקצועיים בינלאומיים </w:t>
      </w:r>
    </w:p>
    <w:p w14:paraId="7DC9DA7F" w14:textId="77777777" w:rsidR="00867DA1" w:rsidRPr="004254E2" w:rsidRDefault="00867DA1" w:rsidP="00745DB0">
      <w:pPr>
        <w:pStyle w:val="100"/>
        <w:rPr>
          <w:bCs/>
          <w:szCs w:val="26"/>
          <w:rtl/>
        </w:rPr>
      </w:pPr>
      <w:r w:rsidRPr="004254E2">
        <w:rPr>
          <w:rFonts w:hint="eastAsia"/>
          <w:rtl/>
        </w:rPr>
        <w:t>הוועדה</w:t>
      </w:r>
      <w:r w:rsidRPr="004254E2">
        <w:rPr>
          <w:rtl/>
        </w:rPr>
        <w:t xml:space="preserve"> הבינלאומית לתקינה חשבונאית למגזר הציבורי בארגון הפדרציה הבינלאומית של רואי </w:t>
      </w:r>
      <w:r w:rsidRPr="004254E2">
        <w:rPr>
          <w:rFonts w:hint="eastAsia"/>
          <w:rtl/>
        </w:rPr>
        <w:t>החשבון</w:t>
      </w:r>
      <w:r w:rsidRPr="004254E2">
        <w:rPr>
          <w:rtl/>
        </w:rPr>
        <w:t xml:space="preserve"> </w:t>
      </w:r>
      <w:r w:rsidRPr="004254E2">
        <w:rPr>
          <w:rFonts w:hint="eastAsia"/>
          <w:rtl/>
        </w:rPr>
        <w:t>מקיימת</w:t>
      </w:r>
      <w:r w:rsidRPr="004254E2">
        <w:rPr>
          <w:rtl/>
        </w:rPr>
        <w:t xml:space="preserve"> </w:t>
      </w:r>
      <w:r w:rsidRPr="004254E2">
        <w:rPr>
          <w:rFonts w:hint="eastAsia"/>
          <w:rtl/>
        </w:rPr>
        <w:t>פורומים</w:t>
      </w:r>
      <w:r w:rsidRPr="004254E2">
        <w:rPr>
          <w:rtl/>
        </w:rPr>
        <w:t xml:space="preserve"> </w:t>
      </w:r>
      <w:r w:rsidRPr="004254E2">
        <w:rPr>
          <w:rFonts w:hint="eastAsia"/>
          <w:rtl/>
        </w:rPr>
        <w:t>מקצועיים</w:t>
      </w:r>
      <w:r w:rsidRPr="004254E2">
        <w:rPr>
          <w:rtl/>
        </w:rPr>
        <w:t xml:space="preserve"> </w:t>
      </w:r>
      <w:r w:rsidRPr="004254E2">
        <w:rPr>
          <w:rFonts w:hint="eastAsia"/>
          <w:rtl/>
        </w:rPr>
        <w:t>בנושאי</w:t>
      </w:r>
      <w:r w:rsidRPr="004254E2">
        <w:rPr>
          <w:rtl/>
        </w:rPr>
        <w:t xml:space="preserve"> </w:t>
      </w:r>
      <w:r w:rsidRPr="004254E2">
        <w:rPr>
          <w:rFonts w:hint="eastAsia"/>
          <w:rtl/>
        </w:rPr>
        <w:t>חשבונאות</w:t>
      </w:r>
      <w:r w:rsidRPr="004254E2">
        <w:rPr>
          <w:rtl/>
        </w:rPr>
        <w:t xml:space="preserve"> </w:t>
      </w:r>
      <w:r w:rsidRPr="004254E2">
        <w:rPr>
          <w:rFonts w:hint="eastAsia"/>
          <w:rtl/>
        </w:rPr>
        <w:t>ממשלתית</w:t>
      </w:r>
      <w:r w:rsidRPr="004254E2">
        <w:rPr>
          <w:rtl/>
        </w:rPr>
        <w:t xml:space="preserve">. </w:t>
      </w:r>
      <w:r w:rsidRPr="004254E2">
        <w:rPr>
          <w:rFonts w:hint="eastAsia"/>
          <w:rtl/>
        </w:rPr>
        <w:t>ב</w:t>
      </w:r>
      <w:r w:rsidRPr="004254E2">
        <w:rPr>
          <w:rtl/>
        </w:rPr>
        <w:t xml:space="preserve">פורומים אלה </w:t>
      </w:r>
      <w:r w:rsidRPr="004254E2">
        <w:rPr>
          <w:rFonts w:hint="eastAsia"/>
          <w:rtl/>
        </w:rPr>
        <w:t>הנציגות</w:t>
      </w:r>
      <w:r w:rsidRPr="004254E2">
        <w:rPr>
          <w:rtl/>
        </w:rPr>
        <w:t xml:space="preserve"> </w:t>
      </w:r>
      <w:r w:rsidRPr="004254E2">
        <w:rPr>
          <w:rFonts w:hint="eastAsia"/>
          <w:rtl/>
        </w:rPr>
        <w:t>הממשלתית</w:t>
      </w:r>
      <w:r w:rsidRPr="004254E2">
        <w:rPr>
          <w:rtl/>
        </w:rPr>
        <w:t xml:space="preserve"> </w:t>
      </w:r>
      <w:r w:rsidRPr="004254E2">
        <w:rPr>
          <w:rFonts w:hint="eastAsia"/>
          <w:rtl/>
        </w:rPr>
        <w:t>יכולה</w:t>
      </w:r>
      <w:r w:rsidRPr="004254E2">
        <w:rPr>
          <w:rtl/>
        </w:rPr>
        <w:t xml:space="preserve"> לתרום מניסיונה ומידיעותיה </w:t>
      </w:r>
      <w:r w:rsidRPr="004254E2">
        <w:rPr>
          <w:rFonts w:hint="eastAsia"/>
          <w:rtl/>
        </w:rPr>
        <w:t>כדי</w:t>
      </w:r>
      <w:r w:rsidRPr="004254E2">
        <w:rPr>
          <w:rtl/>
        </w:rPr>
        <w:t xml:space="preserve"> להפיק לקחים ו</w:t>
      </w:r>
      <w:r w:rsidRPr="004254E2">
        <w:rPr>
          <w:rFonts w:hint="eastAsia"/>
          <w:rtl/>
        </w:rPr>
        <w:t>ללמוד</w:t>
      </w:r>
      <w:r w:rsidRPr="004254E2">
        <w:rPr>
          <w:rtl/>
        </w:rPr>
        <w:t xml:space="preserve"> ממדינות אחרות בארגון, לתת את נקודת מבטה בהתקנת תקני חשבונאות בינלאומיים וליצור קשרי עבודה בינלאומיים מתאימים. </w:t>
      </w:r>
      <w:r w:rsidRPr="004254E2">
        <w:rPr>
          <w:rFonts w:hint="eastAsia"/>
          <w:rtl/>
        </w:rPr>
        <w:t>כמו</w:t>
      </w:r>
      <w:r w:rsidRPr="004254E2">
        <w:rPr>
          <w:rtl/>
        </w:rPr>
        <w:t xml:space="preserve"> כן, הנציגות </w:t>
      </w:r>
      <w:r w:rsidRPr="004254E2">
        <w:rPr>
          <w:rFonts w:hint="eastAsia"/>
          <w:rtl/>
        </w:rPr>
        <w:t>יכולה</w:t>
      </w:r>
      <w:r w:rsidRPr="004254E2">
        <w:rPr>
          <w:rtl/>
        </w:rPr>
        <w:t xml:space="preserve"> </w:t>
      </w:r>
      <w:r w:rsidRPr="004254E2">
        <w:rPr>
          <w:rFonts w:hint="eastAsia"/>
          <w:rtl/>
        </w:rPr>
        <w:t>לשמש</w:t>
      </w:r>
      <w:r w:rsidRPr="004254E2">
        <w:rPr>
          <w:rtl/>
        </w:rPr>
        <w:t xml:space="preserve"> מוקד ידע וסיוע ל</w:t>
      </w:r>
      <w:r w:rsidRPr="004254E2">
        <w:rPr>
          <w:rFonts w:hint="eastAsia"/>
          <w:rtl/>
        </w:rPr>
        <w:t>חשבונאי</w:t>
      </w:r>
      <w:r w:rsidRPr="004254E2">
        <w:rPr>
          <w:rtl/>
        </w:rPr>
        <w:t xml:space="preserve"> </w:t>
      </w:r>
      <w:r w:rsidRPr="004254E2">
        <w:rPr>
          <w:rFonts w:hint="eastAsia"/>
          <w:rtl/>
        </w:rPr>
        <w:t>הראשי</w:t>
      </w:r>
      <w:r w:rsidRPr="004254E2">
        <w:rPr>
          <w:rtl/>
        </w:rPr>
        <w:t xml:space="preserve">, </w:t>
      </w:r>
      <w:r w:rsidRPr="004254E2">
        <w:rPr>
          <w:rFonts w:hint="eastAsia"/>
          <w:rtl/>
        </w:rPr>
        <w:t>ל</w:t>
      </w:r>
      <w:r w:rsidRPr="004254E2">
        <w:rPr>
          <w:rtl/>
        </w:rPr>
        <w:t>כלל משרדי הממשלה ו</w:t>
      </w:r>
      <w:r w:rsidRPr="004254E2">
        <w:rPr>
          <w:rFonts w:hint="eastAsia"/>
          <w:rtl/>
        </w:rPr>
        <w:t>ל</w:t>
      </w:r>
      <w:r w:rsidRPr="004254E2">
        <w:rPr>
          <w:rtl/>
        </w:rPr>
        <w:t xml:space="preserve">גופים ציבוריים אחרים, </w:t>
      </w:r>
      <w:r w:rsidRPr="004254E2">
        <w:rPr>
          <w:rFonts w:hint="eastAsia"/>
          <w:rtl/>
        </w:rPr>
        <w:t>ולסייע</w:t>
      </w:r>
      <w:r w:rsidRPr="004254E2">
        <w:rPr>
          <w:rtl/>
        </w:rPr>
        <w:t xml:space="preserve"> מבחינה מקצועית </w:t>
      </w:r>
      <w:r w:rsidRPr="004254E2">
        <w:rPr>
          <w:rFonts w:hint="eastAsia"/>
          <w:rtl/>
        </w:rPr>
        <w:t>ב</w:t>
      </w:r>
      <w:r w:rsidRPr="004254E2">
        <w:rPr>
          <w:rtl/>
        </w:rPr>
        <w:t>פניות של גופים רל</w:t>
      </w:r>
      <w:r w:rsidRPr="004254E2">
        <w:rPr>
          <w:rFonts w:hint="eastAsia"/>
          <w:rtl/>
        </w:rPr>
        <w:t>וו</w:t>
      </w:r>
      <w:r w:rsidRPr="004254E2">
        <w:rPr>
          <w:rtl/>
        </w:rPr>
        <w:t xml:space="preserve">נטיים. </w:t>
      </w:r>
      <w:r w:rsidRPr="004254E2">
        <w:rPr>
          <w:rFonts w:hint="eastAsia"/>
          <w:rtl/>
        </w:rPr>
        <w:t>בעבר</w:t>
      </w:r>
      <w:r w:rsidRPr="004254E2">
        <w:rPr>
          <w:rtl/>
        </w:rPr>
        <w:t xml:space="preserve">, </w:t>
      </w:r>
      <w:r w:rsidRPr="004254E2">
        <w:rPr>
          <w:rFonts w:hint="eastAsia"/>
          <w:rtl/>
        </w:rPr>
        <w:t>נציגים</w:t>
      </w:r>
      <w:r w:rsidRPr="004254E2">
        <w:rPr>
          <w:rtl/>
        </w:rPr>
        <w:t xml:space="preserve"> </w:t>
      </w:r>
      <w:r w:rsidRPr="004254E2">
        <w:rPr>
          <w:rFonts w:hint="eastAsia"/>
          <w:rtl/>
        </w:rPr>
        <w:t>מישראל</w:t>
      </w:r>
      <w:r w:rsidRPr="004254E2">
        <w:rPr>
          <w:rtl/>
        </w:rPr>
        <w:t xml:space="preserve"> </w:t>
      </w:r>
      <w:r w:rsidRPr="004254E2">
        <w:rPr>
          <w:rFonts w:hint="eastAsia"/>
          <w:rtl/>
        </w:rPr>
        <w:t>היו</w:t>
      </w:r>
      <w:r w:rsidRPr="004254E2">
        <w:rPr>
          <w:rtl/>
        </w:rPr>
        <w:t xml:space="preserve"> </w:t>
      </w:r>
      <w:r w:rsidRPr="004254E2">
        <w:rPr>
          <w:rFonts w:hint="eastAsia"/>
          <w:rtl/>
        </w:rPr>
        <w:t>שותפים</w:t>
      </w:r>
      <w:r w:rsidRPr="004254E2">
        <w:rPr>
          <w:rtl/>
        </w:rPr>
        <w:t xml:space="preserve"> </w:t>
      </w:r>
      <w:r w:rsidRPr="004254E2">
        <w:rPr>
          <w:rFonts w:hint="eastAsia"/>
          <w:rtl/>
        </w:rPr>
        <w:t>בפורומים</w:t>
      </w:r>
      <w:r w:rsidRPr="004254E2">
        <w:rPr>
          <w:rtl/>
        </w:rPr>
        <w:t xml:space="preserve"> </w:t>
      </w:r>
      <w:r w:rsidRPr="004254E2">
        <w:rPr>
          <w:rFonts w:hint="eastAsia"/>
          <w:rtl/>
        </w:rPr>
        <w:t>בנושאי</w:t>
      </w:r>
      <w:r w:rsidRPr="004254E2">
        <w:rPr>
          <w:rtl/>
        </w:rPr>
        <w:t xml:space="preserve"> </w:t>
      </w:r>
      <w:r w:rsidRPr="004254E2">
        <w:rPr>
          <w:rFonts w:hint="eastAsia"/>
          <w:rtl/>
        </w:rPr>
        <w:t>חשבונאות</w:t>
      </w:r>
      <w:r w:rsidRPr="004254E2">
        <w:rPr>
          <w:rtl/>
        </w:rPr>
        <w:t xml:space="preserve"> </w:t>
      </w:r>
      <w:r w:rsidRPr="004254E2">
        <w:rPr>
          <w:rFonts w:hint="eastAsia"/>
          <w:rtl/>
        </w:rPr>
        <w:t>ממשלתית</w:t>
      </w:r>
      <w:r w:rsidRPr="004254E2">
        <w:rPr>
          <w:rtl/>
        </w:rPr>
        <w:t xml:space="preserve">. </w:t>
      </w:r>
      <w:r w:rsidRPr="004254E2">
        <w:rPr>
          <w:rFonts w:hint="eastAsia"/>
          <w:rtl/>
        </w:rPr>
        <w:t>לדברי</w:t>
      </w:r>
      <w:r w:rsidRPr="004254E2">
        <w:rPr>
          <w:rtl/>
        </w:rPr>
        <w:t xml:space="preserve"> המשתתפים, </w:t>
      </w:r>
      <w:r w:rsidRPr="004254E2">
        <w:rPr>
          <w:rFonts w:hint="eastAsia"/>
          <w:rtl/>
        </w:rPr>
        <w:t>הדבר</w:t>
      </w:r>
      <w:r w:rsidRPr="004254E2">
        <w:rPr>
          <w:rtl/>
        </w:rPr>
        <w:t xml:space="preserve"> </w:t>
      </w:r>
      <w:r w:rsidRPr="004254E2">
        <w:rPr>
          <w:rFonts w:hint="eastAsia"/>
          <w:rtl/>
        </w:rPr>
        <w:t>סייע</w:t>
      </w:r>
      <w:r w:rsidRPr="004254E2">
        <w:rPr>
          <w:rtl/>
        </w:rPr>
        <w:t xml:space="preserve"> רב</w:t>
      </w:r>
      <w:r w:rsidRPr="004254E2">
        <w:rPr>
          <w:rFonts w:hint="eastAsia"/>
          <w:rtl/>
        </w:rPr>
        <w:t>ות</w:t>
      </w:r>
      <w:r w:rsidRPr="004254E2">
        <w:rPr>
          <w:rtl/>
        </w:rPr>
        <w:t xml:space="preserve"> באימוץ </w:t>
      </w:r>
      <w:r w:rsidRPr="004254E2">
        <w:rPr>
          <w:rFonts w:hint="eastAsia"/>
          <w:rtl/>
        </w:rPr>
        <w:t>התקינה</w:t>
      </w:r>
      <w:r w:rsidRPr="004254E2">
        <w:rPr>
          <w:rtl/>
        </w:rPr>
        <w:t xml:space="preserve"> </w:t>
      </w:r>
      <w:r w:rsidRPr="004254E2">
        <w:rPr>
          <w:rFonts w:hint="eastAsia"/>
          <w:rtl/>
        </w:rPr>
        <w:t>החשבונאית</w:t>
      </w:r>
      <w:r w:rsidRPr="004254E2">
        <w:rPr>
          <w:rtl/>
        </w:rPr>
        <w:t xml:space="preserve"> </w:t>
      </w:r>
      <w:r w:rsidRPr="004254E2">
        <w:rPr>
          <w:rFonts w:hint="eastAsia"/>
          <w:rtl/>
        </w:rPr>
        <w:t>הממשלתית</w:t>
      </w:r>
      <w:r w:rsidRPr="004254E2">
        <w:rPr>
          <w:rtl/>
        </w:rPr>
        <w:t xml:space="preserve"> וביישומה.</w:t>
      </w:r>
    </w:p>
    <w:p w14:paraId="280A19F5" w14:textId="77777777" w:rsidR="00867DA1" w:rsidRDefault="00867DA1" w:rsidP="00745DB0">
      <w:pPr>
        <w:pStyle w:val="af5"/>
        <w:rPr>
          <w:rtl/>
        </w:rPr>
      </w:pPr>
      <w:r w:rsidRPr="003C5B7D">
        <w:rPr>
          <w:rFonts w:hint="cs"/>
          <w:rtl/>
        </w:rPr>
        <w:t xml:space="preserve">נכון </w:t>
      </w:r>
      <w:r>
        <w:rPr>
          <w:rFonts w:hint="cs"/>
          <w:rtl/>
        </w:rPr>
        <w:t>למועד</w:t>
      </w:r>
      <w:r w:rsidRPr="003C5B7D">
        <w:rPr>
          <w:rFonts w:hint="cs"/>
          <w:rtl/>
        </w:rPr>
        <w:t xml:space="preserve"> סיום הביקורת, למדינת ישראל אין נציגות </w:t>
      </w:r>
      <w:r>
        <w:rPr>
          <w:rFonts w:hint="cs"/>
          <w:rtl/>
        </w:rPr>
        <w:t xml:space="preserve">בוועדה הבינלאומית לתקינה חשבונאית למגזר הציבורי כבר זה כמה שנים. </w:t>
      </w:r>
      <w:r w:rsidRPr="00BD57A6">
        <w:rPr>
          <w:rFonts w:hint="cs"/>
          <w:rtl/>
        </w:rPr>
        <w:t>נציגות ז</w:t>
      </w:r>
      <w:r>
        <w:rPr>
          <w:rFonts w:hint="cs"/>
          <w:rtl/>
        </w:rPr>
        <w:t>ו</w:t>
      </w:r>
      <w:r w:rsidRPr="00BD57A6">
        <w:rPr>
          <w:rFonts w:hint="cs"/>
          <w:rtl/>
        </w:rPr>
        <w:t xml:space="preserve"> </w:t>
      </w:r>
      <w:r>
        <w:rPr>
          <w:rFonts w:hint="cs"/>
          <w:rtl/>
        </w:rPr>
        <w:t xml:space="preserve">יכולה לאפשר קבלת מידע זמין ומהיר בדבר התקינה החשבונאית הממשלתית. כמו כן, היא מזמנת יצירה של קשרי עבודה עם עמיתים ממדינות אחרות כדי להגביר את המקצועיות בתחום ולקדם את התקינה בישראל. </w:t>
      </w:r>
    </w:p>
    <w:p w14:paraId="5D84BF9A" w14:textId="77777777" w:rsidR="00867DA1" w:rsidRPr="003D0F9B" w:rsidRDefault="00867DA1" w:rsidP="00745DB0">
      <w:pPr>
        <w:pStyle w:val="5115"/>
        <w:rPr>
          <w:rtl/>
        </w:rPr>
      </w:pPr>
      <w:r>
        <w:rPr>
          <w:rFonts w:hint="cs"/>
          <w:rtl/>
        </w:rPr>
        <w:t xml:space="preserve">הכשרה </w:t>
      </w:r>
      <w:r w:rsidRPr="003D0F9B">
        <w:rPr>
          <w:rFonts w:hint="eastAsia"/>
          <w:rtl/>
        </w:rPr>
        <w:t>בנושא</w:t>
      </w:r>
      <w:r w:rsidRPr="003D0F9B">
        <w:rPr>
          <w:rtl/>
        </w:rPr>
        <w:t xml:space="preserve"> </w:t>
      </w:r>
      <w:r w:rsidRPr="003D0F9B">
        <w:rPr>
          <w:rFonts w:hint="eastAsia"/>
          <w:rtl/>
        </w:rPr>
        <w:t>חשבונאות</w:t>
      </w:r>
      <w:r w:rsidRPr="003D0F9B">
        <w:rPr>
          <w:rtl/>
        </w:rPr>
        <w:t xml:space="preserve"> </w:t>
      </w:r>
      <w:r w:rsidRPr="003D0F9B">
        <w:rPr>
          <w:rFonts w:hint="eastAsia"/>
          <w:rtl/>
        </w:rPr>
        <w:t>ממשלתית</w:t>
      </w:r>
      <w:r>
        <w:rPr>
          <w:rFonts w:hint="cs"/>
          <w:rtl/>
        </w:rPr>
        <w:t xml:space="preserve"> במסגרת לימודי ראיית חשבון </w:t>
      </w:r>
      <w:r w:rsidRPr="003D0F9B">
        <w:rPr>
          <w:rFonts w:hint="eastAsia"/>
          <w:rtl/>
        </w:rPr>
        <w:t>במוסדות</w:t>
      </w:r>
      <w:r w:rsidRPr="003D0F9B">
        <w:rPr>
          <w:rtl/>
        </w:rPr>
        <w:t xml:space="preserve"> </w:t>
      </w:r>
      <w:r w:rsidRPr="003D0F9B">
        <w:rPr>
          <w:rFonts w:hint="eastAsia"/>
          <w:rtl/>
        </w:rPr>
        <w:t>להשכלה</w:t>
      </w:r>
      <w:r w:rsidRPr="003D0F9B">
        <w:rPr>
          <w:rtl/>
        </w:rPr>
        <w:t xml:space="preserve"> </w:t>
      </w:r>
      <w:r w:rsidRPr="003D0F9B">
        <w:rPr>
          <w:rFonts w:hint="eastAsia"/>
          <w:rtl/>
        </w:rPr>
        <w:t>גבוהה</w:t>
      </w:r>
      <w:r w:rsidRPr="003D0F9B">
        <w:rPr>
          <w:rtl/>
        </w:rPr>
        <w:t xml:space="preserve"> </w:t>
      </w:r>
    </w:p>
    <w:p w14:paraId="40A7E6E2" w14:textId="77777777" w:rsidR="00867DA1" w:rsidRPr="00745DB0" w:rsidRDefault="00867DA1" w:rsidP="00745DB0">
      <w:pPr>
        <w:pStyle w:val="100"/>
        <w:rPr>
          <w:rtl/>
        </w:rPr>
      </w:pPr>
      <w:r w:rsidRPr="00D40BCB">
        <w:rPr>
          <w:rtl/>
        </w:rPr>
        <w:t>מועצת רואי</w:t>
      </w:r>
      <w:r>
        <w:rPr>
          <w:rFonts w:hint="cs"/>
          <w:rtl/>
        </w:rPr>
        <w:t xml:space="preserve"> ה</w:t>
      </w:r>
      <w:r w:rsidRPr="00D40BCB">
        <w:rPr>
          <w:rtl/>
        </w:rPr>
        <w:t>חשבון הוקמה מכוח "חוק רואי ח</w:t>
      </w:r>
      <w:r>
        <w:rPr>
          <w:rtl/>
        </w:rPr>
        <w:t>שבון, התשט"ו-1955"</w:t>
      </w:r>
      <w:r>
        <w:rPr>
          <w:rFonts w:hint="cs"/>
          <w:rtl/>
        </w:rPr>
        <w:t xml:space="preserve">. </w:t>
      </w:r>
      <w:r w:rsidRPr="00D40BCB">
        <w:rPr>
          <w:rtl/>
        </w:rPr>
        <w:t xml:space="preserve">תפקידיה העיקריים של המועצה </w:t>
      </w:r>
      <w:r w:rsidRPr="00745DB0">
        <w:rPr>
          <w:rtl/>
        </w:rPr>
        <w:t xml:space="preserve">הם: </w:t>
      </w:r>
      <w:r w:rsidRPr="00745DB0">
        <w:rPr>
          <w:rFonts w:hint="cs"/>
          <w:rtl/>
        </w:rPr>
        <w:t>בחינת מועמדים ל</w:t>
      </w:r>
      <w:r w:rsidRPr="00745DB0">
        <w:rPr>
          <w:rtl/>
        </w:rPr>
        <w:t>קבלת ר</w:t>
      </w:r>
      <w:r w:rsidRPr="00745DB0">
        <w:rPr>
          <w:rFonts w:hint="cs"/>
          <w:rtl/>
        </w:rPr>
        <w:t>י</w:t>
      </w:r>
      <w:r w:rsidRPr="00745DB0">
        <w:rPr>
          <w:rtl/>
        </w:rPr>
        <w:t>שיון רואה חשבון, פיקוח על התמחות ו</w:t>
      </w:r>
      <w:r w:rsidRPr="00745DB0">
        <w:rPr>
          <w:rFonts w:hint="cs"/>
          <w:rtl/>
        </w:rPr>
        <w:t>טיפול ב</w:t>
      </w:r>
      <w:r w:rsidRPr="00745DB0">
        <w:rPr>
          <w:rtl/>
        </w:rPr>
        <w:t xml:space="preserve">תלונות בגין התנהגות שאינה הולמת. </w:t>
      </w:r>
      <w:r w:rsidRPr="00745DB0">
        <w:rPr>
          <w:rFonts w:hint="cs"/>
          <w:rtl/>
        </w:rPr>
        <w:t>ה</w:t>
      </w:r>
      <w:r w:rsidRPr="00745DB0">
        <w:rPr>
          <w:rFonts w:hint="eastAsia"/>
          <w:rtl/>
        </w:rPr>
        <w:t>יום</w:t>
      </w:r>
      <w:r w:rsidRPr="00745DB0">
        <w:rPr>
          <w:rtl/>
        </w:rPr>
        <w:t xml:space="preserve"> </w:t>
      </w:r>
      <w:r w:rsidRPr="00745DB0">
        <w:rPr>
          <w:rFonts w:hint="eastAsia"/>
          <w:rtl/>
        </w:rPr>
        <w:t>רשומים</w:t>
      </w:r>
      <w:r w:rsidRPr="00745DB0">
        <w:rPr>
          <w:rtl/>
        </w:rPr>
        <w:t xml:space="preserve"> </w:t>
      </w:r>
      <w:r w:rsidRPr="00745DB0">
        <w:rPr>
          <w:rFonts w:hint="eastAsia"/>
          <w:rtl/>
        </w:rPr>
        <w:t>כ</w:t>
      </w:r>
      <w:r w:rsidRPr="00745DB0">
        <w:rPr>
          <w:rtl/>
        </w:rPr>
        <w:t xml:space="preserve">-31,000 </w:t>
      </w:r>
      <w:r w:rsidRPr="00745DB0">
        <w:rPr>
          <w:rFonts w:hint="eastAsia"/>
          <w:rtl/>
        </w:rPr>
        <w:t>בעלי</w:t>
      </w:r>
      <w:r w:rsidRPr="00745DB0">
        <w:rPr>
          <w:rtl/>
        </w:rPr>
        <w:t xml:space="preserve"> </w:t>
      </w:r>
      <w:r w:rsidRPr="00745DB0">
        <w:rPr>
          <w:rFonts w:hint="eastAsia"/>
          <w:rtl/>
        </w:rPr>
        <w:t>רישיון</w:t>
      </w:r>
      <w:r w:rsidRPr="00745DB0">
        <w:rPr>
          <w:rtl/>
        </w:rPr>
        <w:t xml:space="preserve"> </w:t>
      </w:r>
      <w:r w:rsidRPr="00745DB0">
        <w:rPr>
          <w:rFonts w:hint="eastAsia"/>
          <w:rtl/>
        </w:rPr>
        <w:t>לראיית</w:t>
      </w:r>
      <w:r w:rsidRPr="00745DB0">
        <w:rPr>
          <w:rtl/>
        </w:rPr>
        <w:t xml:space="preserve"> </w:t>
      </w:r>
      <w:r w:rsidRPr="00745DB0">
        <w:rPr>
          <w:rFonts w:hint="eastAsia"/>
          <w:rtl/>
        </w:rPr>
        <w:t>חשבון</w:t>
      </w:r>
      <w:r w:rsidRPr="00745DB0">
        <w:rPr>
          <w:rtl/>
        </w:rPr>
        <w:t xml:space="preserve">, </w:t>
      </w:r>
      <w:r w:rsidRPr="00745DB0">
        <w:rPr>
          <w:rFonts w:hint="eastAsia"/>
          <w:rtl/>
        </w:rPr>
        <w:t>מהם</w:t>
      </w:r>
      <w:r w:rsidRPr="00745DB0">
        <w:rPr>
          <w:rtl/>
        </w:rPr>
        <w:t xml:space="preserve"> </w:t>
      </w:r>
      <w:r w:rsidRPr="00745DB0">
        <w:rPr>
          <w:rFonts w:hint="eastAsia"/>
          <w:rtl/>
        </w:rPr>
        <w:t>פעילים</w:t>
      </w:r>
      <w:r w:rsidRPr="00745DB0">
        <w:rPr>
          <w:rtl/>
        </w:rPr>
        <w:t xml:space="preserve"> </w:t>
      </w:r>
      <w:r w:rsidRPr="00745DB0">
        <w:rPr>
          <w:rFonts w:hint="eastAsia"/>
          <w:rtl/>
        </w:rPr>
        <w:t>כ</w:t>
      </w:r>
      <w:r w:rsidRPr="00745DB0">
        <w:rPr>
          <w:rtl/>
        </w:rPr>
        <w:t xml:space="preserve">-23,000. </w:t>
      </w:r>
      <w:r w:rsidRPr="00745DB0">
        <w:rPr>
          <w:rFonts w:hint="eastAsia"/>
          <w:rtl/>
        </w:rPr>
        <w:t>מדי</w:t>
      </w:r>
      <w:r w:rsidRPr="00745DB0">
        <w:rPr>
          <w:rtl/>
        </w:rPr>
        <w:t xml:space="preserve"> </w:t>
      </w:r>
      <w:r w:rsidRPr="00745DB0">
        <w:rPr>
          <w:rFonts w:hint="eastAsia"/>
          <w:rtl/>
        </w:rPr>
        <w:t>שנה</w:t>
      </w:r>
      <w:r w:rsidRPr="00745DB0">
        <w:rPr>
          <w:rtl/>
        </w:rPr>
        <w:t xml:space="preserve"> </w:t>
      </w:r>
      <w:r w:rsidRPr="00745DB0">
        <w:rPr>
          <w:rFonts w:hint="eastAsia"/>
          <w:rtl/>
        </w:rPr>
        <w:t>מצטרפים</w:t>
      </w:r>
      <w:r w:rsidRPr="00745DB0">
        <w:rPr>
          <w:rtl/>
        </w:rPr>
        <w:t xml:space="preserve"> </w:t>
      </w:r>
      <w:r w:rsidRPr="00745DB0">
        <w:rPr>
          <w:rFonts w:hint="cs"/>
          <w:rtl/>
        </w:rPr>
        <w:t xml:space="preserve">למקצוע </w:t>
      </w:r>
      <w:r w:rsidRPr="00745DB0">
        <w:rPr>
          <w:rFonts w:hint="eastAsia"/>
          <w:rtl/>
        </w:rPr>
        <w:t>כ</w:t>
      </w:r>
      <w:r w:rsidRPr="00745DB0">
        <w:rPr>
          <w:rtl/>
        </w:rPr>
        <w:t xml:space="preserve">-1,700 </w:t>
      </w:r>
      <w:r w:rsidRPr="00745DB0">
        <w:rPr>
          <w:rFonts w:hint="cs"/>
          <w:rtl/>
        </w:rPr>
        <w:t>רואי חשבון</w:t>
      </w:r>
      <w:r w:rsidRPr="00745DB0">
        <w:rPr>
          <w:rtl/>
        </w:rPr>
        <w:t xml:space="preserve"> </w:t>
      </w:r>
      <w:r w:rsidRPr="00745DB0">
        <w:rPr>
          <w:rFonts w:hint="eastAsia"/>
          <w:rtl/>
        </w:rPr>
        <w:t>חדשים</w:t>
      </w:r>
      <w:r w:rsidRPr="00D42C59">
        <w:rPr>
          <w:rStyle w:val="FootnoteReference"/>
          <w:rtl/>
        </w:rPr>
        <w:footnoteReference w:id="96"/>
      </w:r>
      <w:r w:rsidRPr="00745DB0">
        <w:rPr>
          <w:rtl/>
        </w:rPr>
        <w:t xml:space="preserve">. </w:t>
      </w:r>
      <w:r w:rsidRPr="00745DB0">
        <w:rPr>
          <w:rFonts w:hint="cs"/>
          <w:rtl/>
        </w:rPr>
        <w:t xml:space="preserve">כדי לקבל </w:t>
      </w:r>
      <w:r w:rsidRPr="00745DB0">
        <w:rPr>
          <w:rFonts w:hint="eastAsia"/>
          <w:rtl/>
        </w:rPr>
        <w:t>רישיון</w:t>
      </w:r>
      <w:r w:rsidRPr="00745DB0">
        <w:rPr>
          <w:rtl/>
        </w:rPr>
        <w:t xml:space="preserve"> </w:t>
      </w:r>
      <w:r w:rsidRPr="00745DB0">
        <w:rPr>
          <w:rFonts w:hint="eastAsia"/>
          <w:rtl/>
        </w:rPr>
        <w:t>בראיית</w:t>
      </w:r>
      <w:r w:rsidRPr="00745DB0">
        <w:rPr>
          <w:rtl/>
        </w:rPr>
        <w:t xml:space="preserve"> </w:t>
      </w:r>
      <w:r w:rsidRPr="00745DB0">
        <w:rPr>
          <w:rFonts w:hint="eastAsia"/>
          <w:rtl/>
        </w:rPr>
        <w:t>חשבון</w:t>
      </w:r>
      <w:r w:rsidRPr="00745DB0">
        <w:rPr>
          <w:rFonts w:hint="cs"/>
          <w:rtl/>
        </w:rPr>
        <w:t>, על המועמד לעמוד בבחינות המועצה</w:t>
      </w:r>
      <w:r w:rsidRPr="00745DB0">
        <w:rPr>
          <w:rtl/>
        </w:rPr>
        <w:t xml:space="preserve"> </w:t>
      </w:r>
      <w:r w:rsidRPr="00745DB0">
        <w:rPr>
          <w:rFonts w:hint="eastAsia"/>
          <w:rtl/>
        </w:rPr>
        <w:t>בהתאם</w:t>
      </w:r>
      <w:r w:rsidRPr="00745DB0">
        <w:rPr>
          <w:rtl/>
        </w:rPr>
        <w:t xml:space="preserve"> </w:t>
      </w:r>
      <w:r w:rsidRPr="00745DB0">
        <w:rPr>
          <w:rFonts w:hint="eastAsia"/>
          <w:rtl/>
        </w:rPr>
        <w:t>לתקנות</w:t>
      </w:r>
      <w:r w:rsidRPr="00745DB0">
        <w:rPr>
          <w:rtl/>
        </w:rPr>
        <w:t xml:space="preserve"> </w:t>
      </w:r>
      <w:r w:rsidRPr="00745DB0">
        <w:rPr>
          <w:rFonts w:hint="eastAsia"/>
          <w:rtl/>
        </w:rPr>
        <w:t>רואי</w:t>
      </w:r>
      <w:r w:rsidRPr="00745DB0">
        <w:rPr>
          <w:rtl/>
        </w:rPr>
        <w:t xml:space="preserve"> </w:t>
      </w:r>
      <w:r w:rsidRPr="00745DB0">
        <w:rPr>
          <w:rFonts w:hint="eastAsia"/>
          <w:rtl/>
        </w:rPr>
        <w:t>חשבון</w:t>
      </w:r>
      <w:r w:rsidRPr="00745DB0">
        <w:rPr>
          <w:rtl/>
        </w:rPr>
        <w:t xml:space="preserve">. </w:t>
      </w:r>
      <w:r w:rsidRPr="00745DB0">
        <w:rPr>
          <w:rFonts w:hint="eastAsia"/>
          <w:rtl/>
        </w:rPr>
        <w:t>אדם</w:t>
      </w:r>
      <w:r w:rsidRPr="00745DB0">
        <w:rPr>
          <w:rtl/>
        </w:rPr>
        <w:t xml:space="preserve"> </w:t>
      </w:r>
      <w:r w:rsidRPr="00745DB0">
        <w:rPr>
          <w:rFonts w:hint="eastAsia"/>
          <w:rtl/>
        </w:rPr>
        <w:t>אשר</w:t>
      </w:r>
      <w:r w:rsidRPr="00745DB0">
        <w:rPr>
          <w:rtl/>
        </w:rPr>
        <w:t xml:space="preserve"> </w:t>
      </w:r>
      <w:r w:rsidRPr="00745DB0">
        <w:rPr>
          <w:rFonts w:hint="eastAsia"/>
          <w:rtl/>
        </w:rPr>
        <w:t>למד</w:t>
      </w:r>
      <w:r w:rsidRPr="00745DB0">
        <w:rPr>
          <w:rtl/>
        </w:rPr>
        <w:t xml:space="preserve"> </w:t>
      </w:r>
      <w:r w:rsidRPr="00745DB0">
        <w:rPr>
          <w:rFonts w:hint="eastAsia"/>
          <w:rtl/>
        </w:rPr>
        <w:t>במוסד</w:t>
      </w:r>
      <w:r w:rsidRPr="00745DB0">
        <w:rPr>
          <w:rtl/>
        </w:rPr>
        <w:t xml:space="preserve"> </w:t>
      </w:r>
      <w:r w:rsidRPr="00745DB0">
        <w:rPr>
          <w:rFonts w:hint="cs"/>
          <w:rtl/>
        </w:rPr>
        <w:t>א</w:t>
      </w:r>
      <w:r w:rsidRPr="00745DB0">
        <w:rPr>
          <w:rFonts w:hint="eastAsia"/>
          <w:rtl/>
        </w:rPr>
        <w:t>קדמי</w:t>
      </w:r>
      <w:r w:rsidRPr="00745DB0">
        <w:rPr>
          <w:rtl/>
        </w:rPr>
        <w:t xml:space="preserve"> </w:t>
      </w:r>
      <w:r w:rsidRPr="00745DB0">
        <w:rPr>
          <w:rFonts w:hint="eastAsia"/>
          <w:rtl/>
        </w:rPr>
        <w:t>מוכר</w:t>
      </w:r>
      <w:r w:rsidRPr="00745DB0">
        <w:rPr>
          <w:rtl/>
        </w:rPr>
        <w:t xml:space="preserve"> </w:t>
      </w:r>
      <w:r w:rsidRPr="00745DB0">
        <w:rPr>
          <w:rFonts w:hint="cs"/>
          <w:rtl/>
        </w:rPr>
        <w:t>מ</w:t>
      </w:r>
      <w:r w:rsidRPr="00745DB0">
        <w:rPr>
          <w:rFonts w:hint="eastAsia"/>
          <w:rtl/>
        </w:rPr>
        <w:t>קבל</w:t>
      </w:r>
      <w:r w:rsidRPr="00745DB0">
        <w:rPr>
          <w:rtl/>
        </w:rPr>
        <w:t xml:space="preserve"> </w:t>
      </w:r>
      <w:r w:rsidRPr="00745DB0">
        <w:rPr>
          <w:rFonts w:hint="eastAsia"/>
          <w:rtl/>
        </w:rPr>
        <w:t>פטור</w:t>
      </w:r>
      <w:r w:rsidRPr="00745DB0">
        <w:rPr>
          <w:rtl/>
        </w:rPr>
        <w:t xml:space="preserve"> </w:t>
      </w:r>
      <w:r w:rsidRPr="00745DB0">
        <w:rPr>
          <w:rFonts w:hint="cs"/>
          <w:rtl/>
        </w:rPr>
        <w:t>ממרבית</w:t>
      </w:r>
      <w:r w:rsidRPr="00745DB0">
        <w:rPr>
          <w:rtl/>
        </w:rPr>
        <w:t xml:space="preserve"> </w:t>
      </w:r>
      <w:r w:rsidRPr="00745DB0">
        <w:rPr>
          <w:rFonts w:hint="cs"/>
          <w:rtl/>
        </w:rPr>
        <w:t>ה</w:t>
      </w:r>
      <w:r w:rsidRPr="00745DB0">
        <w:rPr>
          <w:rFonts w:hint="eastAsia"/>
          <w:rtl/>
        </w:rPr>
        <w:t>בחינות</w:t>
      </w:r>
      <w:r w:rsidRPr="00745DB0">
        <w:rPr>
          <w:rtl/>
        </w:rPr>
        <w:t xml:space="preserve">, </w:t>
      </w:r>
      <w:r w:rsidRPr="00745DB0">
        <w:rPr>
          <w:rFonts w:hint="cs"/>
          <w:rtl/>
        </w:rPr>
        <w:t>ועליו להיבחן רק ב</w:t>
      </w:r>
      <w:r w:rsidRPr="00745DB0">
        <w:rPr>
          <w:rFonts w:hint="eastAsia"/>
          <w:rtl/>
        </w:rPr>
        <w:t>שתי</w:t>
      </w:r>
      <w:r w:rsidRPr="00745DB0">
        <w:rPr>
          <w:rtl/>
        </w:rPr>
        <w:t xml:space="preserve"> </w:t>
      </w:r>
      <w:r w:rsidRPr="00745DB0">
        <w:rPr>
          <w:rFonts w:hint="eastAsia"/>
          <w:rtl/>
        </w:rPr>
        <w:t>הבחינות</w:t>
      </w:r>
      <w:r w:rsidRPr="00745DB0">
        <w:rPr>
          <w:rtl/>
        </w:rPr>
        <w:t xml:space="preserve"> </w:t>
      </w:r>
      <w:r w:rsidRPr="00745DB0">
        <w:rPr>
          <w:rFonts w:hint="eastAsia"/>
          <w:rtl/>
        </w:rPr>
        <w:t>הסופיות</w:t>
      </w:r>
      <w:r w:rsidRPr="00745DB0">
        <w:rPr>
          <w:rFonts w:hint="cs"/>
          <w:rtl/>
        </w:rPr>
        <w:t>, אלו הנעשות רק</w:t>
      </w:r>
      <w:r w:rsidRPr="00745DB0">
        <w:rPr>
          <w:rtl/>
        </w:rPr>
        <w:t xml:space="preserve"> </w:t>
      </w:r>
      <w:r w:rsidRPr="00745DB0">
        <w:rPr>
          <w:rFonts w:hint="eastAsia"/>
          <w:rtl/>
        </w:rPr>
        <w:t>דרך</w:t>
      </w:r>
      <w:r w:rsidRPr="00745DB0">
        <w:rPr>
          <w:rtl/>
        </w:rPr>
        <w:t xml:space="preserve"> </w:t>
      </w:r>
      <w:r w:rsidRPr="00745DB0">
        <w:rPr>
          <w:rFonts w:hint="eastAsia"/>
          <w:rtl/>
        </w:rPr>
        <w:t>המועצה</w:t>
      </w:r>
      <w:r w:rsidRPr="00745DB0">
        <w:rPr>
          <w:rFonts w:hint="cs"/>
          <w:rtl/>
        </w:rPr>
        <w:t>.</w:t>
      </w:r>
    </w:p>
    <w:p w14:paraId="08C6C586" w14:textId="77777777" w:rsidR="00867DA1" w:rsidRPr="00745DB0" w:rsidRDefault="00867DA1" w:rsidP="00745DB0">
      <w:pPr>
        <w:pStyle w:val="100"/>
        <w:rPr>
          <w:rtl/>
        </w:rPr>
      </w:pPr>
      <w:r w:rsidRPr="00745DB0">
        <w:rPr>
          <w:rFonts w:hint="eastAsia"/>
          <w:rtl/>
        </w:rPr>
        <w:t>מועצת</w:t>
      </w:r>
      <w:r w:rsidRPr="00745DB0">
        <w:rPr>
          <w:rtl/>
        </w:rPr>
        <w:t xml:space="preserve"> </w:t>
      </w:r>
      <w:r w:rsidRPr="00745DB0">
        <w:rPr>
          <w:rFonts w:hint="eastAsia"/>
          <w:rtl/>
        </w:rPr>
        <w:t>רואי</w:t>
      </w:r>
      <w:r w:rsidRPr="00745DB0">
        <w:rPr>
          <w:rtl/>
        </w:rPr>
        <w:t xml:space="preserve"> </w:t>
      </w:r>
      <w:r w:rsidRPr="00745DB0">
        <w:rPr>
          <w:rFonts w:hint="eastAsia"/>
          <w:rtl/>
        </w:rPr>
        <w:t>החשבון</w:t>
      </w:r>
      <w:r w:rsidRPr="00745DB0">
        <w:rPr>
          <w:rtl/>
        </w:rPr>
        <w:t xml:space="preserve"> </w:t>
      </w:r>
      <w:r w:rsidRPr="00745DB0">
        <w:rPr>
          <w:rFonts w:hint="eastAsia"/>
          <w:rtl/>
        </w:rPr>
        <w:t>נסמכת</w:t>
      </w:r>
      <w:r w:rsidRPr="00745DB0">
        <w:rPr>
          <w:rtl/>
        </w:rPr>
        <w:t xml:space="preserve"> </w:t>
      </w:r>
      <w:r w:rsidRPr="00745DB0">
        <w:rPr>
          <w:rFonts w:hint="eastAsia"/>
          <w:rtl/>
        </w:rPr>
        <w:t>על</w:t>
      </w:r>
      <w:r w:rsidRPr="00745DB0">
        <w:rPr>
          <w:rtl/>
        </w:rPr>
        <w:t xml:space="preserve"> </w:t>
      </w:r>
      <w:r w:rsidRPr="00745DB0">
        <w:rPr>
          <w:rFonts w:hint="eastAsia"/>
          <w:rtl/>
        </w:rPr>
        <w:t>המועצה</w:t>
      </w:r>
      <w:r w:rsidRPr="00745DB0">
        <w:rPr>
          <w:rtl/>
        </w:rPr>
        <w:t xml:space="preserve"> </w:t>
      </w:r>
      <w:r w:rsidRPr="00745DB0">
        <w:rPr>
          <w:rFonts w:hint="eastAsia"/>
          <w:rtl/>
        </w:rPr>
        <w:t>להשכלה</w:t>
      </w:r>
      <w:r w:rsidRPr="00745DB0">
        <w:rPr>
          <w:rtl/>
        </w:rPr>
        <w:t xml:space="preserve"> </w:t>
      </w:r>
      <w:r w:rsidRPr="00745DB0">
        <w:rPr>
          <w:rFonts w:hint="eastAsia"/>
          <w:rtl/>
        </w:rPr>
        <w:t>גבוהה</w:t>
      </w:r>
      <w:r w:rsidRPr="00745DB0">
        <w:rPr>
          <w:rtl/>
        </w:rPr>
        <w:t xml:space="preserve"> </w:t>
      </w:r>
      <w:r w:rsidRPr="00745DB0">
        <w:rPr>
          <w:rFonts w:hint="eastAsia"/>
          <w:rtl/>
        </w:rPr>
        <w:t>בכל</w:t>
      </w:r>
      <w:r w:rsidRPr="00745DB0">
        <w:rPr>
          <w:rtl/>
        </w:rPr>
        <w:t xml:space="preserve"> </w:t>
      </w:r>
      <w:r w:rsidRPr="00745DB0">
        <w:rPr>
          <w:rFonts w:hint="eastAsia"/>
          <w:rtl/>
        </w:rPr>
        <w:t>הנוגע</w:t>
      </w:r>
      <w:r w:rsidRPr="00745DB0">
        <w:rPr>
          <w:rtl/>
        </w:rPr>
        <w:t xml:space="preserve"> </w:t>
      </w:r>
      <w:r w:rsidRPr="00745DB0">
        <w:rPr>
          <w:rFonts w:hint="eastAsia"/>
          <w:rtl/>
        </w:rPr>
        <w:t>להכרה</w:t>
      </w:r>
      <w:r w:rsidRPr="00745DB0">
        <w:rPr>
          <w:rtl/>
        </w:rPr>
        <w:t xml:space="preserve"> </w:t>
      </w:r>
      <w:r w:rsidRPr="00745DB0">
        <w:rPr>
          <w:rFonts w:hint="eastAsia"/>
          <w:rtl/>
        </w:rPr>
        <w:t>בתוכניות</w:t>
      </w:r>
      <w:r w:rsidRPr="00745DB0">
        <w:rPr>
          <w:rtl/>
        </w:rPr>
        <w:t xml:space="preserve"> </w:t>
      </w:r>
      <w:r w:rsidRPr="00745DB0">
        <w:rPr>
          <w:rFonts w:hint="eastAsia"/>
          <w:rtl/>
        </w:rPr>
        <w:t>לימודים</w:t>
      </w:r>
      <w:r w:rsidRPr="00745DB0">
        <w:rPr>
          <w:rtl/>
        </w:rPr>
        <w:t xml:space="preserve"> </w:t>
      </w:r>
      <w:r w:rsidRPr="00745DB0">
        <w:rPr>
          <w:rFonts w:hint="eastAsia"/>
          <w:rtl/>
        </w:rPr>
        <w:t>אקדמיות</w:t>
      </w:r>
      <w:r w:rsidRPr="00745DB0">
        <w:rPr>
          <w:rtl/>
        </w:rPr>
        <w:t xml:space="preserve"> </w:t>
      </w:r>
      <w:r w:rsidRPr="00745DB0">
        <w:rPr>
          <w:rFonts w:hint="eastAsia"/>
          <w:rtl/>
        </w:rPr>
        <w:t>לצורך</w:t>
      </w:r>
      <w:r w:rsidRPr="00745DB0">
        <w:rPr>
          <w:rtl/>
        </w:rPr>
        <w:t xml:space="preserve"> </w:t>
      </w:r>
      <w:r w:rsidRPr="00745DB0">
        <w:rPr>
          <w:rFonts w:hint="eastAsia"/>
          <w:rtl/>
        </w:rPr>
        <w:t>קבלת</w:t>
      </w:r>
      <w:r w:rsidRPr="00745DB0">
        <w:rPr>
          <w:rtl/>
        </w:rPr>
        <w:t xml:space="preserve"> </w:t>
      </w:r>
      <w:r w:rsidRPr="00745DB0">
        <w:rPr>
          <w:rFonts w:hint="eastAsia"/>
          <w:rtl/>
        </w:rPr>
        <w:t>פטור</w:t>
      </w:r>
      <w:r w:rsidRPr="00745DB0">
        <w:rPr>
          <w:rtl/>
        </w:rPr>
        <w:t xml:space="preserve"> </w:t>
      </w:r>
      <w:r w:rsidRPr="00745DB0">
        <w:rPr>
          <w:rFonts w:hint="eastAsia"/>
          <w:rtl/>
        </w:rPr>
        <w:t>מבחינות</w:t>
      </w:r>
      <w:r w:rsidRPr="00745DB0">
        <w:rPr>
          <w:rtl/>
        </w:rPr>
        <w:t xml:space="preserve"> </w:t>
      </w:r>
      <w:r w:rsidRPr="00745DB0">
        <w:rPr>
          <w:rFonts w:hint="cs"/>
          <w:rtl/>
        </w:rPr>
        <w:t>ה</w:t>
      </w:r>
      <w:r w:rsidRPr="00745DB0">
        <w:rPr>
          <w:rFonts w:hint="eastAsia"/>
          <w:rtl/>
        </w:rPr>
        <w:t>מועצה</w:t>
      </w:r>
      <w:r w:rsidRPr="00745DB0">
        <w:rPr>
          <w:rtl/>
        </w:rPr>
        <w:t>.</w:t>
      </w:r>
    </w:p>
    <w:p w14:paraId="74C52753" w14:textId="77777777" w:rsidR="00867DA1" w:rsidRPr="00745DB0" w:rsidRDefault="00867DA1" w:rsidP="00745DB0">
      <w:pPr>
        <w:pStyle w:val="100"/>
      </w:pPr>
      <w:r w:rsidRPr="00745DB0">
        <w:rPr>
          <w:rFonts w:hint="cs"/>
          <w:rtl/>
        </w:rPr>
        <w:t>ה</w:t>
      </w:r>
      <w:r w:rsidRPr="00745DB0">
        <w:rPr>
          <w:rtl/>
        </w:rPr>
        <w:t>ת</w:t>
      </w:r>
      <w:r w:rsidRPr="00745DB0">
        <w:rPr>
          <w:rFonts w:hint="cs"/>
          <w:rtl/>
        </w:rPr>
        <w:t>ו</w:t>
      </w:r>
      <w:r w:rsidRPr="00745DB0">
        <w:rPr>
          <w:rtl/>
        </w:rPr>
        <w:t xml:space="preserve">כנית </w:t>
      </w:r>
      <w:r w:rsidRPr="00745DB0">
        <w:rPr>
          <w:rFonts w:hint="cs"/>
          <w:rtl/>
        </w:rPr>
        <w:t>ל</w:t>
      </w:r>
      <w:r w:rsidRPr="00745DB0">
        <w:rPr>
          <w:rtl/>
        </w:rPr>
        <w:t xml:space="preserve">לימודי חשבונאות במוסדות להשכלה גבוהה, כמו גם בחינות הרישוי של מועצת רואי </w:t>
      </w:r>
      <w:r w:rsidRPr="00745DB0">
        <w:rPr>
          <w:rFonts w:hint="cs"/>
          <w:rtl/>
        </w:rPr>
        <w:t>ה</w:t>
      </w:r>
      <w:r w:rsidRPr="00745DB0">
        <w:rPr>
          <w:rtl/>
        </w:rPr>
        <w:t xml:space="preserve">חשבון בחשבונאות פיננסית, </w:t>
      </w:r>
      <w:r w:rsidRPr="00745DB0">
        <w:rPr>
          <w:rFonts w:hint="cs"/>
          <w:rtl/>
        </w:rPr>
        <w:t>אינן</w:t>
      </w:r>
      <w:r w:rsidRPr="00745DB0">
        <w:rPr>
          <w:rtl/>
        </w:rPr>
        <w:t xml:space="preserve"> </w:t>
      </w:r>
      <w:r w:rsidRPr="00745DB0">
        <w:rPr>
          <w:rFonts w:hint="cs"/>
          <w:rtl/>
        </w:rPr>
        <w:t>מ</w:t>
      </w:r>
      <w:r w:rsidRPr="00745DB0">
        <w:rPr>
          <w:rtl/>
        </w:rPr>
        <w:t xml:space="preserve">תייחסות לתקינה </w:t>
      </w:r>
      <w:r w:rsidRPr="00745DB0">
        <w:rPr>
          <w:rFonts w:hint="eastAsia"/>
          <w:rtl/>
        </w:rPr>
        <w:t>החשבונאית</w:t>
      </w:r>
      <w:r w:rsidRPr="00745DB0">
        <w:rPr>
          <w:rtl/>
        </w:rPr>
        <w:t xml:space="preserve"> </w:t>
      </w:r>
      <w:r w:rsidRPr="00745DB0">
        <w:rPr>
          <w:rFonts w:hint="eastAsia"/>
          <w:rtl/>
        </w:rPr>
        <w:t>הממשלתית</w:t>
      </w:r>
      <w:r w:rsidRPr="00745DB0">
        <w:rPr>
          <w:rtl/>
        </w:rPr>
        <w:t xml:space="preserve"> </w:t>
      </w:r>
      <w:r w:rsidRPr="00745DB0">
        <w:rPr>
          <w:rFonts w:hint="cs"/>
          <w:rtl/>
        </w:rPr>
        <w:t xml:space="preserve">אלא </w:t>
      </w:r>
      <w:r w:rsidRPr="00745DB0">
        <w:rPr>
          <w:rtl/>
        </w:rPr>
        <w:t xml:space="preserve">רק </w:t>
      </w:r>
      <w:r w:rsidRPr="00745DB0">
        <w:rPr>
          <w:rFonts w:hint="cs"/>
          <w:rtl/>
        </w:rPr>
        <w:t>ל</w:t>
      </w:r>
      <w:r w:rsidRPr="00745DB0">
        <w:rPr>
          <w:rtl/>
        </w:rPr>
        <w:t>תקינה הבינלאומית</w:t>
      </w:r>
      <w:r w:rsidRPr="00745DB0">
        <w:rPr>
          <w:rFonts w:hint="cs"/>
          <w:rtl/>
        </w:rPr>
        <w:t xml:space="preserve"> למגזר העסקי</w:t>
      </w:r>
      <w:r w:rsidRPr="00745DB0">
        <w:rPr>
          <w:rtl/>
        </w:rPr>
        <w:t xml:space="preserve">. </w:t>
      </w:r>
      <w:r w:rsidRPr="00745DB0">
        <w:rPr>
          <w:rFonts w:hint="cs"/>
          <w:rtl/>
        </w:rPr>
        <w:t>ב</w:t>
      </w:r>
      <w:r w:rsidRPr="00745DB0">
        <w:rPr>
          <w:rtl/>
        </w:rPr>
        <w:t>מצב זה</w:t>
      </w:r>
      <w:r w:rsidRPr="00745DB0">
        <w:rPr>
          <w:rFonts w:hint="cs"/>
          <w:rtl/>
        </w:rPr>
        <w:t>, רואי החשבון אינם מקבלים הכשרה מתאימה לבקר</w:t>
      </w:r>
      <w:r w:rsidRPr="00745DB0">
        <w:rPr>
          <w:rtl/>
        </w:rPr>
        <w:t xml:space="preserve"> דוחות כספיים של </w:t>
      </w:r>
      <w:r w:rsidRPr="00745DB0">
        <w:rPr>
          <w:rFonts w:hint="eastAsia"/>
          <w:rtl/>
        </w:rPr>
        <w:t>משרדי</w:t>
      </w:r>
      <w:r w:rsidRPr="00745DB0">
        <w:rPr>
          <w:rtl/>
        </w:rPr>
        <w:t xml:space="preserve"> </w:t>
      </w:r>
      <w:r w:rsidRPr="00745DB0">
        <w:rPr>
          <w:rFonts w:hint="eastAsia"/>
          <w:rtl/>
        </w:rPr>
        <w:t>ממשלה</w:t>
      </w:r>
      <w:r w:rsidRPr="00745DB0">
        <w:rPr>
          <w:rtl/>
        </w:rPr>
        <w:t xml:space="preserve"> </w:t>
      </w:r>
      <w:r w:rsidRPr="00745DB0">
        <w:rPr>
          <w:rFonts w:hint="eastAsia"/>
          <w:rtl/>
        </w:rPr>
        <w:t>ו</w:t>
      </w:r>
      <w:r w:rsidRPr="00745DB0">
        <w:rPr>
          <w:rFonts w:hint="cs"/>
          <w:rtl/>
        </w:rPr>
        <w:t xml:space="preserve">של </w:t>
      </w:r>
      <w:r w:rsidRPr="00745DB0">
        <w:rPr>
          <w:rFonts w:hint="eastAsia"/>
          <w:rtl/>
        </w:rPr>
        <w:t>תאגידים</w:t>
      </w:r>
      <w:r w:rsidRPr="00745DB0">
        <w:rPr>
          <w:rtl/>
        </w:rPr>
        <w:t xml:space="preserve"> </w:t>
      </w:r>
      <w:r w:rsidRPr="00745DB0">
        <w:rPr>
          <w:rFonts w:hint="eastAsia"/>
          <w:rtl/>
        </w:rPr>
        <w:t>סטטוטוריים</w:t>
      </w:r>
      <w:r w:rsidRPr="00745DB0">
        <w:rPr>
          <w:rtl/>
        </w:rPr>
        <w:t xml:space="preserve">, </w:t>
      </w:r>
      <w:r w:rsidRPr="00745DB0">
        <w:rPr>
          <w:rFonts w:hint="cs"/>
          <w:rtl/>
        </w:rPr>
        <w:t xml:space="preserve">אלו </w:t>
      </w:r>
      <w:r w:rsidRPr="00745DB0">
        <w:rPr>
          <w:rtl/>
        </w:rPr>
        <w:t xml:space="preserve">הערוכים לפי כללי התקינה </w:t>
      </w:r>
      <w:r w:rsidRPr="00745DB0">
        <w:rPr>
          <w:rFonts w:hint="eastAsia"/>
          <w:rtl/>
        </w:rPr>
        <w:t>החשבונאית</w:t>
      </w:r>
      <w:r w:rsidRPr="00745DB0">
        <w:rPr>
          <w:rtl/>
        </w:rPr>
        <w:t xml:space="preserve"> </w:t>
      </w:r>
      <w:r w:rsidRPr="00745DB0">
        <w:rPr>
          <w:rFonts w:hint="eastAsia"/>
          <w:rtl/>
        </w:rPr>
        <w:t>הממשלתית</w:t>
      </w:r>
      <w:r w:rsidRPr="00745DB0">
        <w:rPr>
          <w:rtl/>
        </w:rPr>
        <w:t xml:space="preserve">. </w:t>
      </w:r>
    </w:p>
    <w:p w14:paraId="108E9839" w14:textId="77777777" w:rsidR="00867DA1" w:rsidRPr="0064473A" w:rsidRDefault="00867DA1" w:rsidP="00745DB0">
      <w:pPr>
        <w:pStyle w:val="100"/>
        <w:rPr>
          <w:rFonts w:cs="Times New Roman"/>
        </w:rPr>
      </w:pPr>
      <w:r w:rsidRPr="00745DB0">
        <w:rPr>
          <w:rFonts w:hint="cs"/>
          <w:rtl/>
        </w:rPr>
        <w:t>מוצע כי החשבונאי הראשי ישקול לבחון עם המוסדות</w:t>
      </w:r>
      <w:r w:rsidRPr="00745DB0">
        <w:rPr>
          <w:rtl/>
        </w:rPr>
        <w:t xml:space="preserve"> להשכלה גבוהה ו</w:t>
      </w:r>
      <w:r w:rsidRPr="00745DB0">
        <w:rPr>
          <w:rFonts w:hint="cs"/>
          <w:rtl/>
        </w:rPr>
        <w:t xml:space="preserve">עם </w:t>
      </w:r>
      <w:r w:rsidRPr="00745DB0">
        <w:rPr>
          <w:rtl/>
        </w:rPr>
        <w:t xml:space="preserve">מועצת רואי </w:t>
      </w:r>
      <w:r w:rsidRPr="00745DB0">
        <w:rPr>
          <w:rFonts w:hint="cs"/>
          <w:rtl/>
        </w:rPr>
        <w:t>ה</w:t>
      </w:r>
      <w:r w:rsidRPr="00745DB0">
        <w:rPr>
          <w:rtl/>
        </w:rPr>
        <w:t xml:space="preserve">חשבון בצורה מעמיקה אם יש צורך </w:t>
      </w:r>
      <w:r w:rsidRPr="00745DB0">
        <w:rPr>
          <w:rFonts w:hint="cs"/>
          <w:rtl/>
        </w:rPr>
        <w:t xml:space="preserve">להוסיף את </w:t>
      </w:r>
      <w:r w:rsidRPr="00745DB0">
        <w:rPr>
          <w:rtl/>
        </w:rPr>
        <w:t xml:space="preserve">נושא לימוד זה </w:t>
      </w:r>
      <w:r w:rsidRPr="00745DB0">
        <w:rPr>
          <w:rFonts w:hint="cs"/>
          <w:rtl/>
        </w:rPr>
        <w:t>ללימודי</w:t>
      </w:r>
      <w:r w:rsidRPr="00745DB0">
        <w:rPr>
          <w:rtl/>
        </w:rPr>
        <w:t xml:space="preserve"> התואר בחשבונאות במוסדות שונים</w:t>
      </w:r>
      <w:r>
        <w:rPr>
          <w:rFonts w:hint="cs"/>
          <w:rtl/>
        </w:rPr>
        <w:t xml:space="preserve"> כדי להעניק ל</w:t>
      </w:r>
      <w:r w:rsidRPr="0064473A">
        <w:rPr>
          <w:rtl/>
        </w:rPr>
        <w:t xml:space="preserve">סטודנטים </w:t>
      </w:r>
      <w:r>
        <w:rPr>
          <w:rFonts w:hint="cs"/>
          <w:rtl/>
        </w:rPr>
        <w:t xml:space="preserve">הכשרה </w:t>
      </w:r>
      <w:r w:rsidRPr="0064473A">
        <w:rPr>
          <w:rtl/>
        </w:rPr>
        <w:t>מיטבי</w:t>
      </w:r>
      <w:r>
        <w:rPr>
          <w:rFonts w:hint="cs"/>
          <w:rtl/>
        </w:rPr>
        <w:t>ת</w:t>
      </w:r>
      <w:r w:rsidRPr="0064473A">
        <w:rPr>
          <w:rtl/>
        </w:rPr>
        <w:t xml:space="preserve"> למקצוע ראיית חשבון. </w:t>
      </w:r>
    </w:p>
    <w:p w14:paraId="49A23E6C" w14:textId="77777777" w:rsidR="00867DA1" w:rsidRDefault="00867DA1" w:rsidP="00745DB0">
      <w:pPr>
        <w:pStyle w:val="af5"/>
        <w:rPr>
          <w:rtl/>
        </w:rPr>
      </w:pPr>
      <w:r w:rsidRPr="00802CCC">
        <w:rPr>
          <w:rFonts w:hint="cs"/>
          <w:rtl/>
        </w:rPr>
        <w:lastRenderedPageBreak/>
        <w:t xml:space="preserve">כללי חשבונאות מקובלים </w:t>
      </w:r>
      <w:r>
        <w:rPr>
          <w:rFonts w:hint="cs"/>
          <w:rtl/>
        </w:rPr>
        <w:t>נוצרים</w:t>
      </w:r>
      <w:r w:rsidRPr="00802CCC">
        <w:rPr>
          <w:rFonts w:hint="cs"/>
          <w:rtl/>
        </w:rPr>
        <w:t xml:space="preserve"> ומתפתחים כמענה לצורך. </w:t>
      </w:r>
      <w:r>
        <w:rPr>
          <w:rFonts w:hint="cs"/>
          <w:rtl/>
        </w:rPr>
        <w:t>ב</w:t>
      </w:r>
      <w:r w:rsidRPr="00802CCC">
        <w:rPr>
          <w:rFonts w:hint="cs"/>
          <w:rtl/>
        </w:rPr>
        <w:t xml:space="preserve">עידן </w:t>
      </w:r>
      <w:r>
        <w:rPr>
          <w:rFonts w:hint="cs"/>
          <w:rtl/>
        </w:rPr>
        <w:t xml:space="preserve">המודרני </w:t>
      </w:r>
      <w:r w:rsidRPr="00802CCC">
        <w:rPr>
          <w:rFonts w:hint="cs"/>
          <w:rtl/>
        </w:rPr>
        <w:t>מתרחשים שינויים מהירים ביותר במציאות הכלכלית</w:t>
      </w:r>
      <w:r>
        <w:rPr>
          <w:rFonts w:hint="cs"/>
          <w:rtl/>
        </w:rPr>
        <w:t xml:space="preserve"> ובשווקי הכספים וההון, ולפיכך חשוב לעדכן את התקינה</w:t>
      </w:r>
      <w:r w:rsidRPr="00802CCC">
        <w:rPr>
          <w:rFonts w:hint="cs"/>
          <w:rtl/>
        </w:rPr>
        <w:t xml:space="preserve"> </w:t>
      </w:r>
      <w:r>
        <w:rPr>
          <w:rFonts w:hint="cs"/>
          <w:rtl/>
        </w:rPr>
        <w:t>ב</w:t>
      </w:r>
      <w:r w:rsidRPr="00802CCC">
        <w:rPr>
          <w:rFonts w:hint="cs"/>
          <w:rtl/>
        </w:rPr>
        <w:t>מהירות ו</w:t>
      </w:r>
      <w:r>
        <w:rPr>
          <w:rFonts w:hint="cs"/>
          <w:rtl/>
        </w:rPr>
        <w:t>ב</w:t>
      </w:r>
      <w:r w:rsidRPr="00802CCC">
        <w:rPr>
          <w:rFonts w:hint="cs"/>
          <w:rtl/>
        </w:rPr>
        <w:t>יעילות</w:t>
      </w:r>
      <w:r>
        <w:rPr>
          <w:rFonts w:hint="cs"/>
          <w:rtl/>
        </w:rPr>
        <w:t>.</w:t>
      </w:r>
    </w:p>
    <w:p w14:paraId="20C3DEED" w14:textId="77777777" w:rsidR="00867DA1" w:rsidRDefault="00867DA1" w:rsidP="00745DB0">
      <w:pPr>
        <w:pStyle w:val="af5"/>
        <w:rPr>
          <w:rtl/>
        </w:rPr>
      </w:pPr>
      <w:r>
        <w:rPr>
          <w:rFonts w:hint="cs"/>
          <w:rtl/>
        </w:rPr>
        <w:t>מפני שהוועדה לתקינה חשבונאית ממשלתית לא פעלה בשנים האחרונות ומפני שחל פיגור ביישום התקינה החשבונאית הממשלתית בישראל, פעולות שבאחריות החשב הכללי, קשה להפוך את הדיווח הכספי של המדינה לכלי ניהולי יעיל, כפי שהוגדר בחזון אגף החשכ"ל.</w:t>
      </w:r>
    </w:p>
    <w:p w14:paraId="1D8DFEE6" w14:textId="77777777" w:rsidR="00867DA1" w:rsidRDefault="00867DA1" w:rsidP="00745DB0">
      <w:pPr>
        <w:pStyle w:val="af5"/>
        <w:rPr>
          <w:rtl/>
        </w:rPr>
      </w:pPr>
      <w:r>
        <w:rPr>
          <w:rFonts w:hint="cs"/>
          <w:rtl/>
        </w:rPr>
        <w:t>מומלץ כי החשב הכללי י</w:t>
      </w:r>
      <w:r w:rsidRPr="00E50E12">
        <w:rPr>
          <w:rtl/>
        </w:rPr>
        <w:t xml:space="preserve">שלים </w:t>
      </w:r>
      <w:r>
        <w:rPr>
          <w:rFonts w:hint="cs"/>
          <w:rtl/>
        </w:rPr>
        <w:t xml:space="preserve">בהקדם </w:t>
      </w:r>
      <w:r w:rsidRPr="00E50E12">
        <w:rPr>
          <w:rtl/>
        </w:rPr>
        <w:t xml:space="preserve">את </w:t>
      </w:r>
      <w:r>
        <w:rPr>
          <w:rFonts w:hint="cs"/>
          <w:rtl/>
        </w:rPr>
        <w:t xml:space="preserve">מלאכת הבחינה והאימוץ של </w:t>
      </w:r>
      <w:r w:rsidRPr="00E50E12">
        <w:rPr>
          <w:rtl/>
        </w:rPr>
        <w:t xml:space="preserve">התקינה כדי להקיף את כל התקינה הבינלאומית ולהחילה בישראל, כולל הבהרות והדרכות לכוח האדם </w:t>
      </w:r>
      <w:r>
        <w:rPr>
          <w:rFonts w:hint="cs"/>
          <w:rtl/>
        </w:rPr>
        <w:t>ה</w:t>
      </w:r>
      <w:r w:rsidRPr="00E50E12">
        <w:rPr>
          <w:rtl/>
        </w:rPr>
        <w:t xml:space="preserve">אמור להוציאן לפועל. </w:t>
      </w:r>
      <w:r>
        <w:rPr>
          <w:rFonts w:hint="cs"/>
          <w:rtl/>
        </w:rPr>
        <w:t xml:space="preserve">כן מומלץ כי החשב הכללי והחשבונאי הראשי, החותמים על הדוחות הכספיים המאוחדים של המדינה, יפעלו להציג דוחות כספיים מאוחדים של מדינת ישראל, מבוקרים וערוכים על פי תקינה חשבונאית בינלאומית עדכנית. מדובר בצעד לאומי שצריכים להיות שותפים בו כל משרדי הממשלה והגופים הממשלתיים. </w:t>
      </w:r>
    </w:p>
    <w:p w14:paraId="0B019EA1" w14:textId="77777777" w:rsidR="00867DA1" w:rsidRPr="00DF4AAE" w:rsidRDefault="00867DA1" w:rsidP="00745DB0">
      <w:pPr>
        <w:pStyle w:val="af5"/>
        <w:rPr>
          <w:rtl/>
        </w:rPr>
      </w:pPr>
      <w:r>
        <w:rPr>
          <w:rFonts w:hint="cs"/>
          <w:rtl/>
        </w:rPr>
        <w:t>אשר על כן, מוצע כי ה</w:t>
      </w:r>
      <w:r w:rsidRPr="00DD77A1">
        <w:rPr>
          <w:rFonts w:hint="cs"/>
          <w:rtl/>
        </w:rPr>
        <w:t xml:space="preserve">חשב הכללי </w:t>
      </w:r>
      <w:r>
        <w:rPr>
          <w:rFonts w:hint="cs"/>
          <w:rtl/>
        </w:rPr>
        <w:t>יבחן כיצד יש</w:t>
      </w:r>
      <w:r w:rsidRPr="00DD77A1">
        <w:rPr>
          <w:rFonts w:hint="cs"/>
          <w:rtl/>
        </w:rPr>
        <w:t xml:space="preserve"> </w:t>
      </w:r>
      <w:r>
        <w:rPr>
          <w:rFonts w:hint="cs"/>
          <w:rtl/>
        </w:rPr>
        <w:t xml:space="preserve">לאמץ את </w:t>
      </w:r>
      <w:r w:rsidRPr="00DD77A1">
        <w:rPr>
          <w:rFonts w:hint="cs"/>
          <w:rtl/>
        </w:rPr>
        <w:t xml:space="preserve">התקינה החשבונאית </w:t>
      </w:r>
      <w:r w:rsidRPr="00DF4AAE">
        <w:rPr>
          <w:rtl/>
        </w:rPr>
        <w:t xml:space="preserve">הממשלתית </w:t>
      </w:r>
      <w:r w:rsidRPr="00DF4AAE">
        <w:rPr>
          <w:rFonts w:hint="eastAsia"/>
          <w:rtl/>
        </w:rPr>
        <w:t>ה</w:t>
      </w:r>
      <w:r>
        <w:rPr>
          <w:rFonts w:hint="eastAsia"/>
          <w:rtl/>
        </w:rPr>
        <w:t>בין-לאומית</w:t>
      </w:r>
      <w:r w:rsidRPr="00DF4AAE">
        <w:rPr>
          <w:rtl/>
        </w:rPr>
        <w:t xml:space="preserve"> </w:t>
      </w:r>
      <w:r w:rsidRPr="00DF4AAE">
        <w:rPr>
          <w:rFonts w:hint="eastAsia"/>
          <w:rtl/>
        </w:rPr>
        <w:t>ואם</w:t>
      </w:r>
      <w:r w:rsidRPr="00DF4AAE">
        <w:rPr>
          <w:rtl/>
        </w:rPr>
        <w:t xml:space="preserve"> </w:t>
      </w:r>
      <w:r w:rsidRPr="00DF4AAE">
        <w:rPr>
          <w:rFonts w:hint="eastAsia"/>
          <w:rtl/>
        </w:rPr>
        <w:t>יש</w:t>
      </w:r>
      <w:r w:rsidRPr="00DF4AAE">
        <w:rPr>
          <w:rtl/>
        </w:rPr>
        <w:t xml:space="preserve"> </w:t>
      </w:r>
      <w:r w:rsidRPr="00DF4AAE">
        <w:rPr>
          <w:rFonts w:hint="eastAsia"/>
          <w:rtl/>
        </w:rPr>
        <w:t>מקום</w:t>
      </w:r>
      <w:r w:rsidRPr="00DF4AAE">
        <w:rPr>
          <w:rtl/>
        </w:rPr>
        <w:t xml:space="preserve"> </w:t>
      </w:r>
      <w:r w:rsidRPr="00DF4AAE">
        <w:rPr>
          <w:rFonts w:hint="eastAsia"/>
          <w:rtl/>
        </w:rPr>
        <w:t>לאמצה</w:t>
      </w:r>
      <w:r w:rsidRPr="00DF4AAE">
        <w:rPr>
          <w:rtl/>
        </w:rPr>
        <w:t xml:space="preserve"> </w:t>
      </w:r>
      <w:r w:rsidRPr="00DF4AAE">
        <w:rPr>
          <w:rFonts w:hint="eastAsia"/>
          <w:rtl/>
        </w:rPr>
        <w:t>כלשונה</w:t>
      </w:r>
      <w:r w:rsidRPr="00DF4AAE">
        <w:rPr>
          <w:rtl/>
        </w:rPr>
        <w:t xml:space="preserve"> (</w:t>
      </w:r>
      <w:r w:rsidRPr="00DF4AAE">
        <w:t>As Is</w:t>
      </w:r>
      <w:r w:rsidRPr="00DF4AAE">
        <w:rPr>
          <w:rtl/>
        </w:rPr>
        <w:t xml:space="preserve">), בדומה לאימוץ תקני </w:t>
      </w:r>
      <w:r w:rsidRPr="00DF4AAE">
        <w:t>IFRS</w:t>
      </w:r>
      <w:r w:rsidRPr="00DF4AAE">
        <w:rPr>
          <w:rtl/>
        </w:rPr>
        <w:t xml:space="preserve"> לחברות ציבוריות. </w:t>
      </w:r>
      <w:r w:rsidRPr="00DF4AAE">
        <w:rPr>
          <w:rFonts w:hint="eastAsia"/>
          <w:rtl/>
        </w:rPr>
        <w:t>עוד</w:t>
      </w:r>
      <w:r w:rsidRPr="00DF4AAE">
        <w:rPr>
          <w:rtl/>
        </w:rPr>
        <w:t xml:space="preserve"> </w:t>
      </w:r>
      <w:r w:rsidRPr="00DF4AAE">
        <w:rPr>
          <w:rFonts w:hint="eastAsia"/>
          <w:rtl/>
        </w:rPr>
        <w:t>מוצע</w:t>
      </w:r>
      <w:r w:rsidRPr="00DF4AAE">
        <w:rPr>
          <w:rtl/>
        </w:rPr>
        <w:t xml:space="preserve"> </w:t>
      </w:r>
      <w:r w:rsidRPr="00DF4AAE">
        <w:rPr>
          <w:rFonts w:hint="eastAsia"/>
          <w:rtl/>
        </w:rPr>
        <w:t>כי</w:t>
      </w:r>
      <w:r w:rsidRPr="00DF4AAE">
        <w:rPr>
          <w:rtl/>
        </w:rPr>
        <w:t xml:space="preserve"> </w:t>
      </w:r>
      <w:r w:rsidRPr="00DF4AAE">
        <w:rPr>
          <w:rFonts w:hint="eastAsia"/>
          <w:rtl/>
        </w:rPr>
        <w:t>הממשלה</w:t>
      </w:r>
      <w:r w:rsidRPr="00DF4AAE">
        <w:rPr>
          <w:rtl/>
        </w:rPr>
        <w:t xml:space="preserve"> </w:t>
      </w:r>
      <w:r w:rsidRPr="00DF4AAE">
        <w:rPr>
          <w:rFonts w:hint="eastAsia"/>
          <w:rtl/>
        </w:rPr>
        <w:t>תשקול</w:t>
      </w:r>
      <w:r w:rsidRPr="00DF4AAE">
        <w:rPr>
          <w:rtl/>
        </w:rPr>
        <w:t xml:space="preserve"> כי החלטה בדבר דחיית תקן מסוים, או עיכוב זמן כניסתו לתוקף </w:t>
      </w:r>
      <w:r w:rsidRPr="00DF4AAE">
        <w:rPr>
          <w:rFonts w:hint="eastAsia"/>
          <w:rtl/>
        </w:rPr>
        <w:t>תתקבל</w:t>
      </w:r>
      <w:r w:rsidRPr="00DF4AAE">
        <w:rPr>
          <w:rtl/>
        </w:rPr>
        <w:t xml:space="preserve"> באמצעות המוסד לתקינה </w:t>
      </w:r>
      <w:r w:rsidRPr="00DF4AAE">
        <w:rPr>
          <w:rFonts w:hint="eastAsia"/>
          <w:rtl/>
        </w:rPr>
        <w:t>בחשבונאות</w:t>
      </w:r>
      <w:r w:rsidRPr="00DF4AAE">
        <w:rPr>
          <w:rtl/>
        </w:rPr>
        <w:t xml:space="preserve"> כאשר לוועדה המקצועית יתווסף נציג החשב הכללי. </w:t>
      </w:r>
    </w:p>
    <w:p w14:paraId="24E120A6" w14:textId="77777777" w:rsidR="00867DA1" w:rsidRDefault="00867DA1" w:rsidP="00745DB0">
      <w:pPr>
        <w:pStyle w:val="100"/>
        <w:rPr>
          <w:b/>
          <w:bCs/>
          <w:rtl/>
        </w:rPr>
      </w:pPr>
      <w:r>
        <w:rPr>
          <w:rtl/>
        </w:rPr>
        <w:t xml:space="preserve">החשב הכללי </w:t>
      </w:r>
      <w:r>
        <w:rPr>
          <w:rFonts w:hint="cs"/>
          <w:rtl/>
        </w:rPr>
        <w:t xml:space="preserve">בתשובתו דחה </w:t>
      </w:r>
      <w:r>
        <w:rPr>
          <w:rtl/>
        </w:rPr>
        <w:t>את המלצת המבקר בנוגע להסתייעות במוסד לתקינה בחשבונאות</w:t>
      </w:r>
      <w:r>
        <w:rPr>
          <w:rFonts w:hint="cs"/>
          <w:rtl/>
        </w:rPr>
        <w:t xml:space="preserve"> בטענה ש</w:t>
      </w:r>
      <w:r>
        <w:rPr>
          <w:rtl/>
        </w:rPr>
        <w:t xml:space="preserve">החשב הכללי </w:t>
      </w:r>
      <w:r>
        <w:rPr>
          <w:rFonts w:hint="cs"/>
          <w:rtl/>
        </w:rPr>
        <w:t>מחזיק ב</w:t>
      </w:r>
      <w:r>
        <w:rPr>
          <w:rtl/>
        </w:rPr>
        <w:t>ידע ו</w:t>
      </w:r>
      <w:r>
        <w:rPr>
          <w:rFonts w:hint="cs"/>
          <w:rtl/>
        </w:rPr>
        <w:t>ב</w:t>
      </w:r>
      <w:r>
        <w:rPr>
          <w:rtl/>
        </w:rPr>
        <w:t xml:space="preserve">יועצים המתאימים </w:t>
      </w:r>
      <w:r>
        <w:rPr>
          <w:rFonts w:hint="cs"/>
          <w:rtl/>
        </w:rPr>
        <w:t>ל</w:t>
      </w:r>
      <w:r>
        <w:rPr>
          <w:rtl/>
        </w:rPr>
        <w:t>טיפול בסוגיות חשבונאיות.</w:t>
      </w:r>
    </w:p>
    <w:p w14:paraId="17B1728D" w14:textId="77777777" w:rsidR="00867DA1" w:rsidRDefault="00867DA1" w:rsidP="00745DB0">
      <w:pPr>
        <w:pStyle w:val="af5"/>
        <w:rPr>
          <w:rtl/>
        </w:rPr>
      </w:pPr>
      <w:r w:rsidRPr="00861011">
        <w:rPr>
          <w:rFonts w:hint="eastAsia"/>
          <w:rtl/>
        </w:rPr>
        <w:t>לאור</w:t>
      </w:r>
      <w:r w:rsidRPr="00861011">
        <w:rPr>
          <w:rtl/>
        </w:rPr>
        <w:t xml:space="preserve"> </w:t>
      </w:r>
      <w:r w:rsidRPr="00861011">
        <w:rPr>
          <w:rFonts w:hint="eastAsia"/>
          <w:rtl/>
        </w:rPr>
        <w:t>העיכוב</w:t>
      </w:r>
      <w:r w:rsidRPr="00861011">
        <w:rPr>
          <w:rtl/>
        </w:rPr>
        <w:t xml:space="preserve"> </w:t>
      </w:r>
      <w:r w:rsidRPr="00861011">
        <w:rPr>
          <w:rFonts w:hint="eastAsia"/>
          <w:rtl/>
        </w:rPr>
        <w:t>המתמשך</w:t>
      </w:r>
      <w:r w:rsidRPr="00861011">
        <w:rPr>
          <w:rtl/>
        </w:rPr>
        <w:t xml:space="preserve"> </w:t>
      </w:r>
      <w:r w:rsidRPr="00861011">
        <w:rPr>
          <w:rFonts w:hint="eastAsia"/>
          <w:rtl/>
        </w:rPr>
        <w:t>באימוץ</w:t>
      </w:r>
      <w:r w:rsidRPr="00861011">
        <w:rPr>
          <w:rtl/>
        </w:rPr>
        <w:t xml:space="preserve"> </w:t>
      </w:r>
      <w:r w:rsidRPr="00861011">
        <w:rPr>
          <w:rFonts w:hint="eastAsia"/>
          <w:rtl/>
        </w:rPr>
        <w:t>התקנים</w:t>
      </w:r>
      <w:r w:rsidRPr="00861011">
        <w:rPr>
          <w:rtl/>
        </w:rPr>
        <w:t xml:space="preserve"> על ידי הוועדה לתקינה חשבונאית ממשלתית, משרד מבקר המדינה ממליץ כי </w:t>
      </w:r>
      <w:r w:rsidRPr="00861011">
        <w:rPr>
          <w:rFonts w:hint="cs"/>
          <w:rtl/>
        </w:rPr>
        <w:t>החשב הכללי יפעל כאמור, להשלמת בחינה ואימוץ של כלל התקינה הרלוונטית.</w:t>
      </w:r>
      <w:r>
        <w:rPr>
          <w:rFonts w:hint="cs"/>
          <w:rtl/>
        </w:rPr>
        <w:t xml:space="preserve"> </w:t>
      </w:r>
    </w:p>
    <w:p w14:paraId="66EA46CC" w14:textId="77777777" w:rsidR="00867DA1" w:rsidRDefault="00867DA1" w:rsidP="00745DB0">
      <w:pPr>
        <w:pStyle w:val="218"/>
        <w:rPr>
          <w:rtl/>
        </w:rPr>
      </w:pPr>
      <w:r>
        <w:rPr>
          <w:rFonts w:hint="cs"/>
          <w:rtl/>
        </w:rPr>
        <w:t xml:space="preserve">שקיפות והרחבת המידע הנמסר לציבור בעלי העניין בדוחות הכספיים </w:t>
      </w:r>
    </w:p>
    <w:p w14:paraId="6E1B3B89" w14:textId="77777777" w:rsidR="00867DA1" w:rsidRDefault="00867DA1" w:rsidP="00745DB0">
      <w:pPr>
        <w:pStyle w:val="100"/>
        <w:rPr>
          <w:rtl/>
        </w:rPr>
      </w:pPr>
      <w:r>
        <w:rPr>
          <w:rFonts w:hint="cs"/>
          <w:rtl/>
        </w:rPr>
        <w:t xml:space="preserve">הדוחות הכספיים הערוכים לפי כללי חשבונאות מקובלים כוללים מידע רב ועשיר, וצריך ידע מקצועי כדי להבין אותם. החל משנת 2016 החשב הכללי מפרסם לציבור הרחב באתר של משרד האוצר מדריך לאזרח בנושא הדוחות הכספיים של המדינה ותקציר ובו נתונים כספיים מהותיים של מדינת ישראל. </w:t>
      </w:r>
    </w:p>
    <w:p w14:paraId="012FB93E" w14:textId="77777777" w:rsidR="00867DA1" w:rsidRDefault="00867DA1" w:rsidP="00745DB0">
      <w:pPr>
        <w:pStyle w:val="100"/>
        <w:rPr>
          <w:rtl/>
        </w:rPr>
      </w:pPr>
      <w:r>
        <w:rPr>
          <w:rFonts w:hint="cs"/>
          <w:rtl/>
        </w:rPr>
        <w:t xml:space="preserve">תקנות שוויון זכויות לאנשים עם מוגבלות (התאמות נגישות לשירות), התשע"ג-2013, מחייבות רשות ציבורית או אחראי להספקת שירות להנגיש את אתרי האינטרנט ואת המידע המוצג בהם </w:t>
      </w:r>
      <w:r>
        <w:rPr>
          <w:rFonts w:hint="cs"/>
          <w:rtl/>
        </w:rPr>
        <w:lastRenderedPageBreak/>
        <w:t>לכל אדם עם מוגבלות בישראל. משנת 2017 החשב הכללי מעלה את הדוחות הכספים לאתר במסמך מונגש</w:t>
      </w:r>
      <w:r>
        <w:rPr>
          <w:rStyle w:val="FootnoteReference"/>
          <w:rtl/>
        </w:rPr>
        <w:footnoteReference w:id="97"/>
      </w:r>
      <w:r>
        <w:rPr>
          <w:rFonts w:hint="cs"/>
          <w:rtl/>
        </w:rPr>
        <w:t xml:space="preserve">. </w:t>
      </w:r>
    </w:p>
    <w:p w14:paraId="6746F31C" w14:textId="77777777" w:rsidR="00867DA1" w:rsidRPr="00F03E6E" w:rsidRDefault="00867DA1" w:rsidP="00745DB0">
      <w:pPr>
        <w:pStyle w:val="af5"/>
        <w:rPr>
          <w:rtl/>
        </w:rPr>
      </w:pPr>
      <w:r w:rsidRPr="00F03E6E">
        <w:rPr>
          <w:rFonts w:hint="eastAsia"/>
          <w:rtl/>
        </w:rPr>
        <w:t>משרד</w:t>
      </w:r>
      <w:r w:rsidRPr="00F03E6E">
        <w:rPr>
          <w:rtl/>
        </w:rPr>
        <w:t xml:space="preserve"> מבקר המדינה מציין לחיוב את פעילות </w:t>
      </w:r>
      <w:r w:rsidRPr="00F03E6E">
        <w:rPr>
          <w:rFonts w:hint="eastAsia"/>
          <w:rtl/>
        </w:rPr>
        <w:t>החשכ</w:t>
      </w:r>
      <w:r w:rsidRPr="00F03E6E">
        <w:rPr>
          <w:rtl/>
        </w:rPr>
        <w:t xml:space="preserve">"ל בנושא לצורך שקיפות </w:t>
      </w:r>
      <w:r w:rsidRPr="00F03E6E">
        <w:rPr>
          <w:rFonts w:hint="eastAsia"/>
          <w:rtl/>
        </w:rPr>
        <w:t>והנגשת</w:t>
      </w:r>
      <w:r w:rsidRPr="00F03E6E">
        <w:rPr>
          <w:rtl/>
        </w:rPr>
        <w:t xml:space="preserve"> המידע </w:t>
      </w:r>
      <w:r>
        <w:rPr>
          <w:rFonts w:hint="cs"/>
          <w:rtl/>
        </w:rPr>
        <w:t xml:space="preserve">גם </w:t>
      </w:r>
      <w:r w:rsidRPr="00F03E6E">
        <w:rPr>
          <w:rtl/>
        </w:rPr>
        <w:t>לאזרח</w:t>
      </w:r>
      <w:r>
        <w:rPr>
          <w:rFonts w:hint="cs"/>
          <w:rtl/>
        </w:rPr>
        <w:t>ים בעלי צרכים מיוחדים</w:t>
      </w:r>
      <w:r w:rsidRPr="00F03E6E">
        <w:rPr>
          <w:rtl/>
        </w:rPr>
        <w:t>.</w:t>
      </w:r>
      <w:r>
        <w:rPr>
          <w:rtl/>
        </w:rPr>
        <w:t xml:space="preserve"> </w:t>
      </w:r>
    </w:p>
    <w:p w14:paraId="40FAEF6E" w14:textId="77777777" w:rsidR="00867DA1" w:rsidRDefault="00867DA1" w:rsidP="00745DB0">
      <w:pPr>
        <w:pStyle w:val="100"/>
        <w:rPr>
          <w:rtl/>
        </w:rPr>
      </w:pPr>
      <w:r w:rsidRPr="006A5D0C">
        <w:rPr>
          <w:rFonts w:hint="cs"/>
          <w:rtl/>
        </w:rPr>
        <w:t>ניהול כספי ציבור מחייב שקיפות ונשיא</w:t>
      </w:r>
      <w:r>
        <w:rPr>
          <w:rFonts w:hint="cs"/>
          <w:rtl/>
        </w:rPr>
        <w:t>ה</w:t>
      </w:r>
      <w:r w:rsidRPr="006A5D0C">
        <w:rPr>
          <w:rFonts w:hint="cs"/>
          <w:rtl/>
        </w:rPr>
        <w:t xml:space="preserve"> באחריות. שקיפות מאפשרת בקרה טובה יותר ומאפשרת </w:t>
      </w:r>
      <w:r>
        <w:rPr>
          <w:rFonts w:hint="cs"/>
          <w:rtl/>
        </w:rPr>
        <w:t>לשאת</w:t>
      </w:r>
      <w:r w:rsidRPr="006A5D0C">
        <w:rPr>
          <w:rFonts w:hint="cs"/>
          <w:rtl/>
        </w:rPr>
        <w:t xml:space="preserve"> באחריות. </w:t>
      </w:r>
      <w:r>
        <w:rPr>
          <w:rFonts w:hint="cs"/>
          <w:rtl/>
        </w:rPr>
        <w:t xml:space="preserve">משרד מבקר המדינה בדק כמה היבטים בפעילות החשבונאי הראשי לצורך שקיפות ונשיאה באחריות ציבורית: </w:t>
      </w:r>
    </w:p>
    <w:p w14:paraId="68854B29" w14:textId="77777777" w:rsidR="00867DA1" w:rsidRDefault="00867DA1" w:rsidP="00745DB0">
      <w:pPr>
        <w:pStyle w:val="316"/>
        <w:rPr>
          <w:rtl/>
        </w:rPr>
      </w:pPr>
      <w:r>
        <w:rPr>
          <w:rFonts w:hint="cs"/>
          <w:rtl/>
        </w:rPr>
        <w:t xml:space="preserve">פרסום דוחות כספיים של משרדי ממשלה </w:t>
      </w:r>
    </w:p>
    <w:p w14:paraId="31DE1A8E" w14:textId="77777777" w:rsidR="00867DA1" w:rsidRDefault="00867DA1" w:rsidP="00745DB0">
      <w:pPr>
        <w:pStyle w:val="100"/>
        <w:rPr>
          <w:rtl/>
        </w:rPr>
      </w:pPr>
      <w:r>
        <w:rPr>
          <w:rFonts w:hint="cs"/>
          <w:rtl/>
        </w:rPr>
        <w:t>דוחות</w:t>
      </w:r>
      <w:r w:rsidRPr="00396168">
        <w:rPr>
          <w:rtl/>
        </w:rPr>
        <w:t xml:space="preserve"> כספי</w:t>
      </w:r>
      <w:r>
        <w:rPr>
          <w:rFonts w:hint="cs"/>
          <w:rtl/>
        </w:rPr>
        <w:t>ים</w:t>
      </w:r>
      <w:r w:rsidRPr="00396168">
        <w:rPr>
          <w:rtl/>
        </w:rPr>
        <w:t xml:space="preserve"> של ישויות ממשלתיות </w:t>
      </w:r>
      <w:r>
        <w:rPr>
          <w:rFonts w:hint="cs"/>
          <w:rtl/>
        </w:rPr>
        <w:t>נערכים</w:t>
      </w:r>
      <w:r w:rsidRPr="00396168">
        <w:rPr>
          <w:rtl/>
        </w:rPr>
        <w:t xml:space="preserve"> בראש ובראשונה כדי </w:t>
      </w:r>
      <w:r>
        <w:rPr>
          <w:rFonts w:hint="cs"/>
          <w:rtl/>
        </w:rPr>
        <w:t>לתת מענה</w:t>
      </w:r>
      <w:r w:rsidRPr="00396168">
        <w:rPr>
          <w:rtl/>
        </w:rPr>
        <w:t xml:space="preserve"> לצורכי המידע של מקבלי השירותים וספקי המשאבים</w:t>
      </w:r>
      <w:r>
        <w:rPr>
          <w:rFonts w:hint="cs"/>
          <w:rtl/>
        </w:rPr>
        <w:t>,</w:t>
      </w:r>
      <w:r w:rsidRPr="00396168">
        <w:rPr>
          <w:rtl/>
        </w:rPr>
        <w:t xml:space="preserve"> שאין להם סמכות </w:t>
      </w:r>
      <w:r>
        <w:rPr>
          <w:rFonts w:hint="cs"/>
          <w:rtl/>
        </w:rPr>
        <w:t>לחייב</w:t>
      </w:r>
      <w:r w:rsidRPr="00396168">
        <w:rPr>
          <w:rtl/>
        </w:rPr>
        <w:t xml:space="preserve"> ישות ממשלתית לתת גילוי למידע הדרוש להם </w:t>
      </w:r>
      <w:r>
        <w:rPr>
          <w:rFonts w:hint="cs"/>
          <w:rtl/>
        </w:rPr>
        <w:t>לעמידה במחויבותם הציבורית</w:t>
      </w:r>
      <w:r w:rsidRPr="00396168">
        <w:rPr>
          <w:rtl/>
        </w:rPr>
        <w:t xml:space="preserve"> ו</w:t>
      </w:r>
      <w:r>
        <w:rPr>
          <w:rFonts w:hint="cs"/>
          <w:rtl/>
        </w:rPr>
        <w:t>ב</w:t>
      </w:r>
      <w:r w:rsidRPr="00396168">
        <w:rPr>
          <w:rtl/>
        </w:rPr>
        <w:t xml:space="preserve">קבלת החלטות. </w:t>
      </w:r>
      <w:r>
        <w:rPr>
          <w:rFonts w:hint="cs"/>
          <w:rtl/>
        </w:rPr>
        <w:t>מקבלי החלטות ו</w:t>
      </w:r>
      <w:r w:rsidRPr="00396168">
        <w:rPr>
          <w:rtl/>
        </w:rPr>
        <w:t xml:space="preserve">חברי </w:t>
      </w:r>
      <w:r>
        <w:rPr>
          <w:rFonts w:hint="cs"/>
          <w:rtl/>
        </w:rPr>
        <w:t>הכנסת</w:t>
      </w:r>
      <w:r w:rsidRPr="00396168">
        <w:rPr>
          <w:rtl/>
        </w:rPr>
        <w:t xml:space="preserve"> </w:t>
      </w:r>
      <w:r>
        <w:rPr>
          <w:rFonts w:hint="cs"/>
          <w:rtl/>
        </w:rPr>
        <w:t>הם ה</w:t>
      </w:r>
      <w:r w:rsidRPr="00396168">
        <w:rPr>
          <w:rtl/>
        </w:rPr>
        <w:t>משתמשי</w:t>
      </w:r>
      <w:r>
        <w:rPr>
          <w:rFonts w:hint="cs"/>
          <w:rtl/>
        </w:rPr>
        <w:t>ם</w:t>
      </w:r>
      <w:r w:rsidRPr="00396168">
        <w:rPr>
          <w:rtl/>
        </w:rPr>
        <w:t xml:space="preserve"> </w:t>
      </w:r>
      <w:r>
        <w:rPr>
          <w:rFonts w:hint="cs"/>
          <w:rtl/>
        </w:rPr>
        <w:t>העיקריים</w:t>
      </w:r>
      <w:r w:rsidRPr="00396168">
        <w:rPr>
          <w:rtl/>
        </w:rPr>
        <w:t xml:space="preserve"> </w:t>
      </w:r>
      <w:r>
        <w:rPr>
          <w:rFonts w:hint="cs"/>
          <w:rtl/>
        </w:rPr>
        <w:t>בדוחות</w:t>
      </w:r>
      <w:r w:rsidRPr="00396168">
        <w:rPr>
          <w:rtl/>
        </w:rPr>
        <w:t xml:space="preserve"> כספי</w:t>
      </w:r>
      <w:r>
        <w:rPr>
          <w:rFonts w:hint="cs"/>
          <w:rtl/>
        </w:rPr>
        <w:t>ים</w:t>
      </w:r>
      <w:r w:rsidRPr="00396168">
        <w:rPr>
          <w:rtl/>
        </w:rPr>
        <w:t xml:space="preserve"> למטרות כלליות</w:t>
      </w:r>
      <w:r>
        <w:rPr>
          <w:rFonts w:hint="cs"/>
          <w:rtl/>
        </w:rPr>
        <w:t>,</w:t>
      </w:r>
      <w:r w:rsidRPr="00396168">
        <w:rPr>
          <w:rtl/>
        </w:rPr>
        <w:t xml:space="preserve"> </w:t>
      </w:r>
      <w:r>
        <w:rPr>
          <w:rFonts w:hint="cs"/>
          <w:rtl/>
        </w:rPr>
        <w:t>והם אמורים לעשות בדוחות אלה</w:t>
      </w:r>
      <w:r w:rsidRPr="00396168">
        <w:rPr>
          <w:rtl/>
        </w:rPr>
        <w:t xml:space="preserve"> שימוש נרחב ומתמשך </w:t>
      </w:r>
      <w:r>
        <w:rPr>
          <w:rFonts w:hint="cs"/>
          <w:rtl/>
        </w:rPr>
        <w:t>בעת</w:t>
      </w:r>
      <w:r w:rsidRPr="00396168">
        <w:rPr>
          <w:rtl/>
        </w:rPr>
        <w:t xml:space="preserve"> פועלם </w:t>
      </w:r>
      <w:r>
        <w:rPr>
          <w:rFonts w:hint="cs"/>
          <w:rtl/>
        </w:rPr>
        <w:t xml:space="preserve">כנציגי </w:t>
      </w:r>
      <w:r w:rsidRPr="00396168">
        <w:rPr>
          <w:rtl/>
        </w:rPr>
        <w:t xml:space="preserve">האינטרסים של מקבלי שירותים </w:t>
      </w:r>
      <w:r>
        <w:rPr>
          <w:rFonts w:hint="cs"/>
          <w:rtl/>
        </w:rPr>
        <w:t>ו</w:t>
      </w:r>
      <w:r w:rsidRPr="00396168">
        <w:rPr>
          <w:rtl/>
        </w:rPr>
        <w:t xml:space="preserve">ספקי משאבים. </w:t>
      </w:r>
    </w:p>
    <w:p w14:paraId="0C2063BE" w14:textId="638CF773" w:rsidR="00867DA1" w:rsidRPr="00B669D2" w:rsidRDefault="00867DA1" w:rsidP="00745DB0">
      <w:pPr>
        <w:pStyle w:val="af5"/>
        <w:rPr>
          <w:rtl/>
        </w:rPr>
      </w:pPr>
      <w:r w:rsidRPr="00B669D2">
        <w:rPr>
          <w:rFonts w:hint="cs"/>
          <w:rtl/>
        </w:rPr>
        <w:t>נמצא כי משרדי ממשלה רבים א</w:t>
      </w:r>
      <w:r>
        <w:rPr>
          <w:rFonts w:hint="cs"/>
          <w:rtl/>
        </w:rPr>
        <w:t>ינם</w:t>
      </w:r>
      <w:r w:rsidRPr="00B669D2">
        <w:rPr>
          <w:rFonts w:hint="cs"/>
          <w:rtl/>
        </w:rPr>
        <w:t xml:space="preserve"> מפרסמים את הדוחות הכספיים שלהם לציבור הרחב ו</w:t>
      </w:r>
      <w:r>
        <w:rPr>
          <w:rFonts w:hint="cs"/>
          <w:rtl/>
        </w:rPr>
        <w:t>ש</w:t>
      </w:r>
      <w:r w:rsidRPr="00B669D2">
        <w:rPr>
          <w:rFonts w:hint="cs"/>
          <w:rtl/>
        </w:rPr>
        <w:t xml:space="preserve">החשכ"ל </w:t>
      </w:r>
      <w:r>
        <w:rPr>
          <w:rFonts w:hint="cs"/>
          <w:rtl/>
        </w:rPr>
        <w:t>אינו מנחה לפרסמם</w:t>
      </w:r>
      <w:r>
        <w:rPr>
          <w:rStyle w:val="FootnoteReference"/>
          <w:b/>
          <w:bCs/>
          <w:rtl/>
        </w:rPr>
        <w:footnoteReference w:id="98"/>
      </w:r>
      <w:r>
        <w:rPr>
          <w:rFonts w:hint="cs"/>
          <w:rtl/>
        </w:rPr>
        <w:t>. לדוגמה, כנראה ב</w:t>
      </w:r>
      <w:r w:rsidR="006E2333">
        <w:fldChar w:fldCharType="begin"/>
      </w:r>
      <w:r w:rsidR="006E2333">
        <w:instrText xml:space="preserve"> REF _Ref31475378  \* MERGEFORMAT </w:instrText>
      </w:r>
      <w:r w:rsidR="006E2333">
        <w:fldChar w:fldCharType="separate"/>
      </w:r>
      <w:r w:rsidR="003E1673" w:rsidRPr="00FC78C1">
        <w:rPr>
          <w:rtl/>
        </w:rPr>
        <w:t>תמונה</w:t>
      </w:r>
      <w:r w:rsidR="003E1673" w:rsidRPr="00FC78C1">
        <w:rPr>
          <w:rFonts w:hint="cs"/>
          <w:rtl/>
        </w:rPr>
        <w:t xml:space="preserve"> </w:t>
      </w:r>
      <w:r w:rsidR="003E1673" w:rsidRPr="00FC78C1">
        <w:rPr>
          <w:rFonts w:hint="cs"/>
          <w:noProof/>
          <w:rtl/>
        </w:rPr>
        <w:t>3</w:t>
      </w:r>
      <w:r w:rsidR="006E2333">
        <w:rPr>
          <w:noProof/>
        </w:rPr>
        <w:fldChar w:fldCharType="end"/>
      </w:r>
      <w:r>
        <w:rPr>
          <w:rFonts w:hint="cs"/>
          <w:rtl/>
        </w:rPr>
        <w:t>, הדוחות הכספיים השנתיים המפורסמים באתר של משרד המשפטים נכון לדצמבר 2019:</w:t>
      </w:r>
    </w:p>
    <w:p w14:paraId="12196849" w14:textId="77777777" w:rsidR="00745DB0" w:rsidRDefault="00867DA1" w:rsidP="00745DB0">
      <w:pPr>
        <w:pStyle w:val="aa"/>
        <w:rPr>
          <w:noProof/>
          <w:rtl/>
        </w:rPr>
      </w:pPr>
      <w:bookmarkStart w:id="16" w:name="_Ref31475378"/>
      <w:r w:rsidRPr="00FC78C1">
        <w:rPr>
          <w:rtl/>
        </w:rPr>
        <w:lastRenderedPageBreak/>
        <w:t>תמונה</w:t>
      </w:r>
      <w:r w:rsidRPr="00FC78C1">
        <w:rPr>
          <w:rFonts w:hint="cs"/>
          <w:rtl/>
        </w:rPr>
        <w:t xml:space="preserve"> 3</w:t>
      </w:r>
      <w:bookmarkEnd w:id="16"/>
      <w:r w:rsidRPr="00FC78C1">
        <w:rPr>
          <w:rtl/>
        </w:rPr>
        <w:t xml:space="preserve">: </w:t>
      </w:r>
      <w:r w:rsidRPr="00745DB0">
        <w:rPr>
          <w:b/>
          <w:bCs/>
          <w:rtl/>
        </w:rPr>
        <w:t>אתר משרד המשפטים</w:t>
      </w:r>
      <w:r>
        <w:rPr>
          <w:noProof/>
        </w:rPr>
        <w:t xml:space="preserve"> </w:t>
      </w:r>
    </w:p>
    <w:p w14:paraId="519F1C9B" w14:textId="604354CF" w:rsidR="00867DA1" w:rsidRPr="00BD3CFA" w:rsidRDefault="00867DA1" w:rsidP="00745DB0">
      <w:pPr>
        <w:pStyle w:val="aa"/>
        <w:rPr>
          <w:u w:val="single"/>
          <w:rtl/>
        </w:rPr>
      </w:pPr>
      <w:r>
        <w:rPr>
          <w:noProof/>
        </w:rPr>
        <w:drawing>
          <wp:inline distT="0" distB="0" distL="0" distR="0" wp14:anchorId="2FDB65EC" wp14:editId="0627E911">
            <wp:extent cx="5218430" cy="2438400"/>
            <wp:effectExtent l="0" t="0" r="127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0732" name="דוחות כספים משרד המשפטים.JPG"/>
                    <pic:cNvPicPr/>
                  </pic:nvPicPr>
                  <pic:blipFill rotWithShape="1">
                    <a:blip r:embed="rId81">
                      <a:extLst>
                        <a:ext uri="{28A0092B-C50C-407E-A947-70E740481C1C}">
                          <a14:useLocalDpi xmlns:a14="http://schemas.microsoft.com/office/drawing/2010/main" val="0"/>
                        </a:ext>
                      </a:extLst>
                    </a:blip>
                    <a:srcRect b="8484"/>
                    <a:stretch/>
                  </pic:blipFill>
                  <pic:spPr bwMode="auto">
                    <a:xfrm>
                      <a:off x="0" y="0"/>
                      <a:ext cx="5238272" cy="2447672"/>
                    </a:xfrm>
                    <a:prstGeom prst="rect">
                      <a:avLst/>
                    </a:prstGeom>
                    <a:ln>
                      <a:noFill/>
                    </a:ln>
                    <a:extLst>
                      <a:ext uri="{53640926-AAD7-44D8-BBD7-CCE9431645EC}">
                        <a14:shadowObscured xmlns:a14="http://schemas.microsoft.com/office/drawing/2010/main"/>
                      </a:ext>
                    </a:extLst>
                  </pic:spPr>
                </pic:pic>
              </a:graphicData>
            </a:graphic>
          </wp:inline>
        </w:drawing>
      </w:r>
    </w:p>
    <w:p w14:paraId="60194311" w14:textId="77777777" w:rsidR="00867DA1" w:rsidRDefault="00867DA1" w:rsidP="00745DB0">
      <w:pPr>
        <w:pStyle w:val="ac"/>
        <w:rPr>
          <w:rtl/>
        </w:rPr>
      </w:pPr>
      <w:r>
        <w:rPr>
          <w:rFonts w:hint="cs"/>
          <w:rtl/>
        </w:rPr>
        <w:t>ה</w:t>
      </w:r>
      <w:r w:rsidRPr="00F01D5F">
        <w:rPr>
          <w:rFonts w:hint="cs"/>
          <w:rtl/>
        </w:rPr>
        <w:t xml:space="preserve">מקור: </w:t>
      </w:r>
      <w:r>
        <w:rPr>
          <w:rFonts w:hint="cs"/>
          <w:rtl/>
        </w:rPr>
        <w:t>אתר משרד המשפטים.</w:t>
      </w:r>
    </w:p>
    <w:p w14:paraId="442EDE6F" w14:textId="4424F390" w:rsidR="00867DA1" w:rsidRDefault="00867DA1" w:rsidP="00745DB0">
      <w:pPr>
        <w:pStyle w:val="100"/>
        <w:rPr>
          <w:rtl/>
        </w:rPr>
      </w:pPr>
    </w:p>
    <w:p w14:paraId="55181A72" w14:textId="77777777" w:rsidR="00867DA1" w:rsidRPr="00B31E22" w:rsidRDefault="00867DA1" w:rsidP="00745DB0">
      <w:pPr>
        <w:pStyle w:val="100"/>
        <w:rPr>
          <w:rtl/>
        </w:rPr>
      </w:pPr>
      <w:r w:rsidRPr="00B31E22">
        <w:rPr>
          <w:rFonts w:hint="eastAsia"/>
          <w:rtl/>
        </w:rPr>
        <w:t>כפי</w:t>
      </w:r>
      <w:r w:rsidRPr="00B31E22">
        <w:rPr>
          <w:rtl/>
        </w:rPr>
        <w:t xml:space="preserve"> שעולה מהתמונה, נכון למועד סיום הביקורת, הדוח </w:t>
      </w:r>
      <w:r w:rsidRPr="00B31E22">
        <w:rPr>
          <w:rFonts w:hint="eastAsia"/>
          <w:rtl/>
        </w:rPr>
        <w:t>הכספי</w:t>
      </w:r>
      <w:r w:rsidRPr="00B31E22">
        <w:rPr>
          <w:rtl/>
        </w:rPr>
        <w:t xml:space="preserve"> </w:t>
      </w:r>
      <w:r w:rsidRPr="00B31E22">
        <w:rPr>
          <w:rFonts w:hint="eastAsia"/>
          <w:rtl/>
        </w:rPr>
        <w:t>האחרון</w:t>
      </w:r>
      <w:r w:rsidRPr="00B31E22">
        <w:rPr>
          <w:rtl/>
        </w:rPr>
        <w:t xml:space="preserve"> שפרסם משרד המשפטים הוא הדוח הכספי לשנת 2015. </w:t>
      </w:r>
    </w:p>
    <w:p w14:paraId="6801C71C" w14:textId="77777777" w:rsidR="00867DA1" w:rsidRPr="00F01D5F" w:rsidRDefault="00867DA1" w:rsidP="00745DB0">
      <w:pPr>
        <w:pStyle w:val="af5"/>
        <w:rPr>
          <w:rFonts w:ascii="Open Sans Hebrew" w:hAnsi="Open Sans Hebrew"/>
          <w:color w:val="000000"/>
          <w:rtl/>
        </w:rPr>
      </w:pPr>
      <w:r w:rsidRPr="006D68A8">
        <w:rPr>
          <w:rFonts w:hint="eastAsia"/>
          <w:rtl/>
        </w:rPr>
        <w:t>משרד</w:t>
      </w:r>
      <w:r w:rsidRPr="006D68A8">
        <w:rPr>
          <w:rtl/>
        </w:rPr>
        <w:t xml:space="preserve"> מבקר המדינה כבר המליץ בעבר לחשב הכללי כי </w:t>
      </w:r>
      <w:r>
        <w:rPr>
          <w:rFonts w:hint="cs"/>
          <w:rtl/>
        </w:rPr>
        <w:t>ל</w:t>
      </w:r>
      <w:r w:rsidRPr="006D68A8">
        <w:rPr>
          <w:rtl/>
        </w:rPr>
        <w:t xml:space="preserve">נוכח </w:t>
      </w:r>
      <w:r>
        <w:rPr>
          <w:rFonts w:hint="cs"/>
          <w:rtl/>
        </w:rPr>
        <w:t xml:space="preserve">חשיבות </w:t>
      </w:r>
      <w:r w:rsidRPr="006D68A8">
        <w:rPr>
          <w:rFonts w:hint="eastAsia"/>
          <w:rtl/>
        </w:rPr>
        <w:t>המידע</w:t>
      </w:r>
      <w:r w:rsidRPr="006D68A8">
        <w:rPr>
          <w:rtl/>
        </w:rPr>
        <w:t xml:space="preserve"> </w:t>
      </w:r>
      <w:r>
        <w:rPr>
          <w:rFonts w:hint="cs"/>
          <w:rtl/>
        </w:rPr>
        <w:t>ה</w:t>
      </w:r>
      <w:r w:rsidRPr="006D68A8">
        <w:rPr>
          <w:rFonts w:hint="eastAsia"/>
          <w:rtl/>
        </w:rPr>
        <w:t>כלול</w:t>
      </w:r>
      <w:r w:rsidRPr="006D68A8">
        <w:rPr>
          <w:rtl/>
        </w:rPr>
        <w:t xml:space="preserve"> </w:t>
      </w:r>
      <w:r w:rsidRPr="006D68A8">
        <w:rPr>
          <w:rFonts w:hint="eastAsia"/>
          <w:rtl/>
        </w:rPr>
        <w:t>בדוחות</w:t>
      </w:r>
      <w:r w:rsidRPr="006D68A8">
        <w:rPr>
          <w:rtl/>
        </w:rPr>
        <w:t xml:space="preserve"> </w:t>
      </w:r>
      <w:r w:rsidRPr="006D68A8">
        <w:rPr>
          <w:rFonts w:hint="eastAsia"/>
          <w:rtl/>
        </w:rPr>
        <w:t>הכספיים</w:t>
      </w:r>
      <w:r w:rsidRPr="006D68A8">
        <w:rPr>
          <w:rtl/>
        </w:rPr>
        <w:t xml:space="preserve"> </w:t>
      </w:r>
      <w:r w:rsidRPr="006D68A8">
        <w:rPr>
          <w:rFonts w:hint="eastAsia"/>
          <w:rtl/>
        </w:rPr>
        <w:t>הנפרדים</w:t>
      </w:r>
      <w:r w:rsidRPr="006D68A8">
        <w:rPr>
          <w:rtl/>
        </w:rPr>
        <w:t xml:space="preserve"> </w:t>
      </w:r>
      <w:r w:rsidRPr="006D68A8">
        <w:rPr>
          <w:rFonts w:hint="eastAsia"/>
          <w:rtl/>
        </w:rPr>
        <w:t>של</w:t>
      </w:r>
      <w:r w:rsidRPr="006D68A8">
        <w:rPr>
          <w:rtl/>
        </w:rPr>
        <w:t xml:space="preserve"> </w:t>
      </w:r>
      <w:r w:rsidRPr="006D68A8">
        <w:rPr>
          <w:rFonts w:hint="eastAsia"/>
          <w:rtl/>
        </w:rPr>
        <w:t>משרדי</w:t>
      </w:r>
      <w:r w:rsidRPr="006D68A8">
        <w:rPr>
          <w:rtl/>
        </w:rPr>
        <w:t xml:space="preserve"> </w:t>
      </w:r>
      <w:r w:rsidRPr="006D68A8">
        <w:rPr>
          <w:rFonts w:hint="eastAsia"/>
          <w:rtl/>
        </w:rPr>
        <w:t>הממשלה</w:t>
      </w:r>
      <w:r w:rsidRPr="006D68A8">
        <w:rPr>
          <w:rtl/>
        </w:rPr>
        <w:t xml:space="preserve"> </w:t>
      </w:r>
      <w:r>
        <w:rPr>
          <w:rFonts w:hint="cs"/>
          <w:rtl/>
        </w:rPr>
        <w:t>ותרומתו</w:t>
      </w:r>
      <w:r w:rsidRPr="006D68A8">
        <w:rPr>
          <w:rtl/>
        </w:rPr>
        <w:t xml:space="preserve"> </w:t>
      </w:r>
      <w:r w:rsidRPr="006D68A8">
        <w:rPr>
          <w:rFonts w:hint="eastAsia"/>
          <w:rtl/>
        </w:rPr>
        <w:t>להבנת</w:t>
      </w:r>
      <w:r w:rsidRPr="006D68A8">
        <w:rPr>
          <w:rtl/>
        </w:rPr>
        <w:t xml:space="preserve"> </w:t>
      </w:r>
      <w:r w:rsidRPr="006D68A8">
        <w:rPr>
          <w:rFonts w:hint="eastAsia"/>
          <w:rtl/>
        </w:rPr>
        <w:t>פעולתם</w:t>
      </w:r>
      <w:r w:rsidRPr="006D68A8">
        <w:rPr>
          <w:rtl/>
        </w:rPr>
        <w:t xml:space="preserve"> </w:t>
      </w:r>
      <w:r w:rsidRPr="006D68A8">
        <w:rPr>
          <w:rFonts w:hint="eastAsia"/>
          <w:rtl/>
        </w:rPr>
        <w:t>של</w:t>
      </w:r>
      <w:r w:rsidRPr="006D68A8">
        <w:rPr>
          <w:rtl/>
        </w:rPr>
        <w:t xml:space="preserve"> </w:t>
      </w:r>
      <w:r w:rsidRPr="006D68A8">
        <w:rPr>
          <w:rFonts w:hint="eastAsia"/>
          <w:rtl/>
        </w:rPr>
        <w:t>המשרדים</w:t>
      </w:r>
      <w:r>
        <w:rPr>
          <w:rFonts w:hint="cs"/>
          <w:rtl/>
        </w:rPr>
        <w:t xml:space="preserve"> מצד מקבלי ההחלטות ומצד הציבור</w:t>
      </w:r>
      <w:r w:rsidRPr="006D68A8">
        <w:rPr>
          <w:rtl/>
        </w:rPr>
        <w:t xml:space="preserve">, </w:t>
      </w:r>
      <w:r>
        <w:rPr>
          <w:rFonts w:hint="cs"/>
          <w:rtl/>
        </w:rPr>
        <w:t>הוא יבחן</w:t>
      </w:r>
      <w:r w:rsidRPr="006D68A8">
        <w:rPr>
          <w:rtl/>
        </w:rPr>
        <w:t xml:space="preserve"> </w:t>
      </w:r>
      <w:r>
        <w:rPr>
          <w:rFonts w:hint="cs"/>
          <w:rtl/>
        </w:rPr>
        <w:t xml:space="preserve">את האפשרות </w:t>
      </w:r>
      <w:r w:rsidRPr="006D68A8">
        <w:rPr>
          <w:rFonts w:hint="eastAsia"/>
          <w:rtl/>
        </w:rPr>
        <w:t>לפרסם</w:t>
      </w:r>
      <w:r w:rsidRPr="006D68A8">
        <w:rPr>
          <w:rtl/>
        </w:rPr>
        <w:t xml:space="preserve"> </w:t>
      </w:r>
      <w:r w:rsidRPr="006D68A8">
        <w:rPr>
          <w:rFonts w:hint="eastAsia"/>
          <w:rtl/>
        </w:rPr>
        <w:t>א</w:t>
      </w:r>
      <w:r>
        <w:rPr>
          <w:rFonts w:hint="cs"/>
          <w:rtl/>
        </w:rPr>
        <w:t>ו</w:t>
      </w:r>
      <w:r w:rsidRPr="006D68A8">
        <w:rPr>
          <w:rFonts w:hint="eastAsia"/>
          <w:rtl/>
        </w:rPr>
        <w:t>תם</w:t>
      </w:r>
      <w:r w:rsidRPr="006D68A8">
        <w:rPr>
          <w:rtl/>
        </w:rPr>
        <w:t xml:space="preserve"> </w:t>
      </w:r>
      <w:r w:rsidRPr="006D68A8">
        <w:rPr>
          <w:rFonts w:hint="eastAsia"/>
          <w:rtl/>
        </w:rPr>
        <w:t>לציבור</w:t>
      </w:r>
      <w:r w:rsidRPr="006D68A8">
        <w:rPr>
          <w:rtl/>
        </w:rPr>
        <w:t xml:space="preserve"> </w:t>
      </w:r>
      <w:r w:rsidRPr="006D68A8">
        <w:rPr>
          <w:rFonts w:hint="eastAsia"/>
          <w:rtl/>
        </w:rPr>
        <w:t>הרחב</w:t>
      </w:r>
      <w:r>
        <w:rPr>
          <w:rStyle w:val="FootnoteReference"/>
          <w:b/>
          <w:bCs/>
          <w:rtl/>
        </w:rPr>
        <w:footnoteReference w:id="99"/>
      </w:r>
      <w:r w:rsidRPr="006D68A8">
        <w:rPr>
          <w:rtl/>
        </w:rPr>
        <w:t>.</w:t>
      </w:r>
      <w:r>
        <w:rPr>
          <w:rFonts w:ascii="Open Sans Hebrew" w:hAnsi="Open Sans Hebrew" w:hint="cs"/>
          <w:color w:val="000000"/>
          <w:rtl/>
        </w:rPr>
        <w:t xml:space="preserve"> </w:t>
      </w:r>
    </w:p>
    <w:p w14:paraId="6E5071FA" w14:textId="77777777" w:rsidR="00867DA1" w:rsidRDefault="00867DA1" w:rsidP="00745DB0">
      <w:pPr>
        <w:pStyle w:val="100"/>
        <w:rPr>
          <w:rtl/>
        </w:rPr>
      </w:pPr>
      <w:r>
        <w:rPr>
          <w:rFonts w:hint="cs"/>
          <w:rtl/>
        </w:rPr>
        <w:t>בדיקה שערך משרד מבקר המדינה העלתה כי המשרד לשירותי דת הקים מערכת ממוחשבת המנגישה לציבור הרחב את כל הדיווחים הכספיים של המועצות הדתיות</w:t>
      </w:r>
      <w:r w:rsidRPr="004254E2">
        <w:rPr>
          <w:rStyle w:val="FootnoteReference"/>
          <w:b/>
          <w:rtl/>
        </w:rPr>
        <w:footnoteReference w:id="100"/>
      </w:r>
      <w:r>
        <w:rPr>
          <w:rFonts w:hint="cs"/>
          <w:rtl/>
        </w:rPr>
        <w:t xml:space="preserve">. </w:t>
      </w:r>
      <w:r w:rsidRPr="006D68A8">
        <w:rPr>
          <w:rFonts w:hint="eastAsia"/>
          <w:rtl/>
        </w:rPr>
        <w:t>משרד</w:t>
      </w:r>
      <w:r w:rsidRPr="006D68A8">
        <w:rPr>
          <w:rtl/>
        </w:rPr>
        <w:t xml:space="preserve"> מבקר המדינה מציין לחיוב את פעילות המשרד לשירותי דת </w:t>
      </w:r>
      <w:r w:rsidRPr="006D68A8">
        <w:rPr>
          <w:rFonts w:hint="eastAsia"/>
          <w:rtl/>
        </w:rPr>
        <w:t>להנגשת</w:t>
      </w:r>
      <w:r w:rsidRPr="006D68A8">
        <w:rPr>
          <w:rtl/>
        </w:rPr>
        <w:t xml:space="preserve"> המידע לציבור. </w:t>
      </w:r>
    </w:p>
    <w:p w14:paraId="49692E83" w14:textId="77777777" w:rsidR="00867DA1" w:rsidRDefault="00867DA1" w:rsidP="00745DB0">
      <w:pPr>
        <w:pStyle w:val="316"/>
        <w:rPr>
          <w:rtl/>
        </w:rPr>
      </w:pPr>
      <w:r>
        <w:rPr>
          <w:rFonts w:hint="cs"/>
          <w:rtl/>
        </w:rPr>
        <w:t xml:space="preserve">פרסום הדוחות הנלווים לדוחות הכספיים </w:t>
      </w:r>
    </w:p>
    <w:p w14:paraId="668BA58D" w14:textId="77777777" w:rsidR="00867DA1" w:rsidRDefault="00867DA1" w:rsidP="00745DB0">
      <w:pPr>
        <w:pStyle w:val="100"/>
        <w:rPr>
          <w:rtl/>
        </w:rPr>
      </w:pPr>
      <w:r>
        <w:rPr>
          <w:rFonts w:hint="cs"/>
          <w:rtl/>
        </w:rPr>
        <w:t>מדינות העולם המאמצות את תקני החשבונאות הבינלאומיים למגזר הציבורי מפרסמות במסגרת הדוחות הכספיים שלהן נושאים נוספים היכולים לספק מידע חשוב על הישגי הגופים הציבוריים ועל תפקודם בנושאים כגון</w:t>
      </w:r>
      <w:r>
        <w:rPr>
          <w:rtl/>
        </w:rPr>
        <w:t>-</w:t>
      </w:r>
      <w:r>
        <w:rPr>
          <w:rFonts w:hint="cs"/>
          <w:rtl/>
        </w:rPr>
        <w:t xml:space="preserve"> שיפור השירות לציבור לאורך השנים, מדדי ביצוע ועמידה בהם, עמידה בהתחייבויות לזמן ארוך וסיכונים פיסקאליים. יצוין כי עוד בשנת 2003 המליץ מבקר </w:t>
      </w:r>
      <w:r>
        <w:rPr>
          <w:rFonts w:hint="cs"/>
          <w:rtl/>
        </w:rPr>
        <w:lastRenderedPageBreak/>
        <w:t>המדינה</w:t>
      </w:r>
      <w:r>
        <w:rPr>
          <w:rStyle w:val="FootnoteReference"/>
          <w:rtl/>
        </w:rPr>
        <w:footnoteReference w:id="101"/>
      </w:r>
      <w:r>
        <w:rPr>
          <w:rFonts w:hint="cs"/>
          <w:rtl/>
        </w:rPr>
        <w:t xml:space="preserve"> לקבוע תקן חשבונאי מחייב בנוגע לנושאים שיש לפרט (כמותית ומילולי</w:t>
      </w:r>
      <w:r>
        <w:rPr>
          <w:rFonts w:hint="eastAsia"/>
          <w:rtl/>
        </w:rPr>
        <w:t>ת</w:t>
      </w:r>
      <w:r>
        <w:rPr>
          <w:rFonts w:hint="cs"/>
          <w:rtl/>
        </w:rPr>
        <w:t xml:space="preserve">) בדוח מנהלים, נוסף על המידע החשבונאי שבהם. </w:t>
      </w:r>
    </w:p>
    <w:p w14:paraId="3BDF33CD" w14:textId="77777777" w:rsidR="00867DA1" w:rsidRDefault="00867DA1" w:rsidP="00745DB0">
      <w:pPr>
        <w:pStyle w:val="100"/>
        <w:rPr>
          <w:rtl/>
        </w:rPr>
      </w:pPr>
      <w:r>
        <w:rPr>
          <w:rFonts w:hint="cs"/>
          <w:rtl/>
        </w:rPr>
        <w:t>להלן כמה דוגמאות לדוחות נלווים לדוחות הכספיים שמדינות המאמצות את התקינה החשבונאית הממשלתית הבין-לאומית מפורסמות (ואינם מפורסמים בדוחות הכספיים של מדינת ישראל):</w:t>
      </w:r>
    </w:p>
    <w:p w14:paraId="47991997" w14:textId="77777777" w:rsidR="00867DA1" w:rsidRDefault="00867DA1" w:rsidP="00745DB0">
      <w:pPr>
        <w:pStyle w:val="5115"/>
        <w:rPr>
          <w:rtl/>
        </w:rPr>
      </w:pPr>
      <w:r>
        <w:rPr>
          <w:rFonts w:hint="cs"/>
          <w:rtl/>
        </w:rPr>
        <w:t>תחשיב בדבר קיימות פיסקאלית לטווח ארוך</w:t>
      </w:r>
    </w:p>
    <w:p w14:paraId="21A527C5" w14:textId="77777777" w:rsidR="00867DA1" w:rsidRDefault="00867DA1" w:rsidP="00745DB0">
      <w:pPr>
        <w:pStyle w:val="100"/>
      </w:pPr>
      <w:r w:rsidRPr="00DC1C21">
        <w:rPr>
          <w:rFonts w:hint="cs"/>
          <w:rtl/>
        </w:rPr>
        <w:t>בחודש יולי 2013 פרסמה הוועדה לתקני חשבונאות בינלאומיים למגזר הציבורי קו מנחה לפרקטיקה מומלצת מס</w:t>
      </w:r>
      <w:r>
        <w:rPr>
          <w:rFonts w:hint="cs"/>
          <w:rtl/>
        </w:rPr>
        <w:t>'</w:t>
      </w:r>
      <w:r w:rsidRPr="00DC1C21">
        <w:rPr>
          <w:rFonts w:hint="cs"/>
          <w:rtl/>
        </w:rPr>
        <w:t xml:space="preserve"> 1 בנושא: "דיווח בדבר היציבות הפיננסית ארוכת טווח של ישות במגזר הציבורי"</w:t>
      </w:r>
      <w:r>
        <w:rPr>
          <w:rStyle w:val="FootnoteReference"/>
          <w:rtl/>
        </w:rPr>
        <w:footnoteReference w:id="102"/>
      </w:r>
      <w:r w:rsidRPr="00DC1C21">
        <w:rPr>
          <w:rFonts w:hint="cs"/>
          <w:rtl/>
        </w:rPr>
        <w:t>.</w:t>
      </w:r>
      <w:r>
        <w:rPr>
          <w:rFonts w:hint="cs"/>
          <w:rtl/>
        </w:rPr>
        <w:t xml:space="preserve"> </w:t>
      </w:r>
      <w:r w:rsidRPr="00DC1C21">
        <w:rPr>
          <w:rFonts w:hint="cs"/>
          <w:rtl/>
        </w:rPr>
        <w:t xml:space="preserve">ההנחיה מספקת מידע על ההשפעה של </w:t>
      </w:r>
      <w:r>
        <w:rPr>
          <w:rFonts w:hint="cs"/>
          <w:rtl/>
        </w:rPr>
        <w:t xml:space="preserve">פרסום </w:t>
      </w:r>
      <w:r w:rsidRPr="00DC1C21">
        <w:rPr>
          <w:rFonts w:hint="cs"/>
          <w:rtl/>
        </w:rPr>
        <w:t>המדיניות השוטפת של ישות ו</w:t>
      </w:r>
      <w:r>
        <w:rPr>
          <w:rFonts w:hint="cs"/>
          <w:rtl/>
        </w:rPr>
        <w:t xml:space="preserve">של </w:t>
      </w:r>
      <w:r w:rsidRPr="00DC1C21">
        <w:rPr>
          <w:rFonts w:hint="cs"/>
          <w:rtl/>
        </w:rPr>
        <w:t>החלטות</w:t>
      </w:r>
      <w:r>
        <w:rPr>
          <w:rFonts w:hint="cs"/>
          <w:rtl/>
        </w:rPr>
        <w:t>יה</w:t>
      </w:r>
      <w:r w:rsidRPr="00DC1C21">
        <w:rPr>
          <w:rFonts w:hint="cs"/>
          <w:rtl/>
        </w:rPr>
        <w:t xml:space="preserve"> במועד הדיווח </w:t>
      </w:r>
      <w:r>
        <w:rPr>
          <w:rFonts w:hint="cs"/>
          <w:rtl/>
        </w:rPr>
        <w:t>בנוגע ל</w:t>
      </w:r>
      <w:r w:rsidRPr="00DC1C21">
        <w:rPr>
          <w:rFonts w:hint="cs"/>
          <w:rtl/>
        </w:rPr>
        <w:t xml:space="preserve">תזרימי </w:t>
      </w:r>
      <w:r>
        <w:rPr>
          <w:rFonts w:hint="cs"/>
          <w:rtl/>
        </w:rPr>
        <w:t>ה</w:t>
      </w:r>
      <w:r w:rsidRPr="00DC1C21">
        <w:rPr>
          <w:rFonts w:hint="cs"/>
          <w:rtl/>
        </w:rPr>
        <w:t xml:space="preserve">מזומנים העתידיים של הישות ומידע נלווה בדוחות הכספיים. יש להדגיש </w:t>
      </w:r>
      <w:r>
        <w:rPr>
          <w:rFonts w:hint="cs"/>
          <w:rtl/>
        </w:rPr>
        <w:t>כי ה</w:t>
      </w:r>
      <w:r w:rsidRPr="00DC1C21">
        <w:rPr>
          <w:rFonts w:hint="cs"/>
          <w:rtl/>
        </w:rPr>
        <w:t>הנחיה אינה מחייבת את מדינות העולם המיישמות את התקינה החשבונאית הבינלאומית הממשלתית. חישובים אלו יכולים לסייע למשתמשי הדוחות הכספיים להעריך היבטים שונים של היציבות הפיסקאלית ארוכת הטווח, לרבות היקף הסיכונים הפיננסי</w:t>
      </w:r>
      <w:r>
        <w:rPr>
          <w:rFonts w:hint="cs"/>
          <w:rtl/>
        </w:rPr>
        <w:t>י</w:t>
      </w:r>
      <w:r w:rsidRPr="00DC1C21">
        <w:rPr>
          <w:rFonts w:hint="cs"/>
          <w:rtl/>
        </w:rPr>
        <w:t>ם העומדים מול</w:t>
      </w:r>
      <w:r>
        <w:rPr>
          <w:rFonts w:hint="cs"/>
          <w:rtl/>
        </w:rPr>
        <w:t>ן</w:t>
      </w:r>
      <w:r w:rsidRPr="00F0048C">
        <w:rPr>
          <w:rFonts w:hint="cs"/>
          <w:rtl/>
        </w:rPr>
        <w:t xml:space="preserve"> </w:t>
      </w:r>
      <w:r w:rsidRPr="00DC1C21">
        <w:rPr>
          <w:rFonts w:hint="cs"/>
          <w:rtl/>
        </w:rPr>
        <w:t>ומהות</w:t>
      </w:r>
      <w:r>
        <w:rPr>
          <w:rFonts w:hint="cs"/>
          <w:rtl/>
        </w:rPr>
        <w:t>ם</w:t>
      </w:r>
      <w:r w:rsidRPr="00DC1C21">
        <w:rPr>
          <w:rFonts w:hint="cs"/>
          <w:rtl/>
        </w:rPr>
        <w:t>.</w:t>
      </w:r>
    </w:p>
    <w:p w14:paraId="2F8B4915" w14:textId="77777777" w:rsidR="00867DA1" w:rsidRDefault="00867DA1" w:rsidP="00745DB0">
      <w:pPr>
        <w:pStyle w:val="100"/>
        <w:rPr>
          <w:rtl/>
        </w:rPr>
      </w:pPr>
      <w:r w:rsidRPr="00DC1C21">
        <w:rPr>
          <w:rFonts w:hint="cs"/>
          <w:rtl/>
        </w:rPr>
        <w:t>גם ממשלת ארצות הברית מפרסמת דוח נלווה לדוח הכספי</w:t>
      </w:r>
      <w:r>
        <w:rPr>
          <w:rFonts w:hint="cs"/>
          <w:rtl/>
        </w:rPr>
        <w:t>,</w:t>
      </w:r>
      <w:r w:rsidRPr="00DC1C21">
        <w:rPr>
          <w:rFonts w:hint="cs"/>
          <w:rtl/>
        </w:rPr>
        <w:t xml:space="preserve"> </w:t>
      </w:r>
      <w:r>
        <w:rPr>
          <w:rFonts w:hint="cs"/>
          <w:rtl/>
        </w:rPr>
        <w:t>ו</w:t>
      </w:r>
      <w:r w:rsidRPr="00DC1C21">
        <w:rPr>
          <w:rFonts w:hint="cs"/>
          <w:rtl/>
        </w:rPr>
        <w:t>בו היא עורכת תחשיב קיימות פיסק</w:t>
      </w:r>
      <w:r>
        <w:rPr>
          <w:rFonts w:hint="cs"/>
          <w:rtl/>
        </w:rPr>
        <w:t>א</w:t>
      </w:r>
      <w:r w:rsidRPr="00DC1C21">
        <w:rPr>
          <w:rFonts w:hint="cs"/>
          <w:rtl/>
        </w:rPr>
        <w:t>לית בדבר הכנסות הממשלה והוצאות</w:t>
      </w:r>
      <w:r>
        <w:rPr>
          <w:rFonts w:hint="cs"/>
          <w:rtl/>
        </w:rPr>
        <w:t>יה</w:t>
      </w:r>
      <w:r w:rsidRPr="00DC1C21">
        <w:rPr>
          <w:rFonts w:hint="cs"/>
          <w:rtl/>
        </w:rPr>
        <w:t xml:space="preserve"> בעתיד והג</w:t>
      </w:r>
      <w:r>
        <w:rPr>
          <w:rFonts w:hint="cs"/>
          <w:rtl/>
        </w:rPr>
        <w:t>י</w:t>
      </w:r>
      <w:r w:rsidRPr="00DC1C21">
        <w:rPr>
          <w:rFonts w:hint="cs"/>
          <w:rtl/>
        </w:rPr>
        <w:t xml:space="preserve">רעון העתידי (בתחזית נכללים </w:t>
      </w:r>
      <w:r>
        <w:rPr>
          <w:rFonts w:hint="cs"/>
          <w:rtl/>
        </w:rPr>
        <w:t>מגוון היבטים, בהם</w:t>
      </w:r>
      <w:r w:rsidRPr="00DC1C21">
        <w:rPr>
          <w:rFonts w:hint="cs"/>
          <w:rtl/>
        </w:rPr>
        <w:t xml:space="preserve"> שינויים דמוגרפיים, ש</w:t>
      </w:r>
      <w:r>
        <w:rPr>
          <w:rFonts w:hint="cs"/>
          <w:rtl/>
        </w:rPr>
        <w:t>י</w:t>
      </w:r>
      <w:r w:rsidRPr="00DC1C21">
        <w:rPr>
          <w:rFonts w:hint="cs"/>
          <w:rtl/>
        </w:rPr>
        <w:t xml:space="preserve">נויים בשערי ריבית </w:t>
      </w:r>
      <w:r>
        <w:rPr>
          <w:rFonts w:hint="cs"/>
          <w:rtl/>
        </w:rPr>
        <w:t>ושיעור</w:t>
      </w:r>
      <w:r w:rsidRPr="00DC1C21">
        <w:rPr>
          <w:rFonts w:hint="cs"/>
          <w:rtl/>
        </w:rPr>
        <w:t>י צמיחה)</w:t>
      </w:r>
      <w:r>
        <w:rPr>
          <w:rFonts w:hint="cs"/>
          <w:rtl/>
        </w:rPr>
        <w:t>,</w:t>
      </w:r>
      <w:r w:rsidRPr="00DC1C21">
        <w:rPr>
          <w:rFonts w:hint="cs"/>
          <w:rtl/>
        </w:rPr>
        <w:t xml:space="preserve"> וזאת בהתאם לתקן חשבונאות ממשלתי אמריק</w:t>
      </w:r>
      <w:r>
        <w:rPr>
          <w:rFonts w:hint="cs"/>
          <w:rtl/>
        </w:rPr>
        <w:t>נ</w:t>
      </w:r>
      <w:r w:rsidRPr="00DC1C21">
        <w:rPr>
          <w:rFonts w:hint="cs"/>
          <w:rtl/>
        </w:rPr>
        <w:t>י</w:t>
      </w:r>
      <w:r>
        <w:rPr>
          <w:rStyle w:val="FootnoteReference"/>
          <w:rtl/>
        </w:rPr>
        <w:footnoteReference w:id="103"/>
      </w:r>
      <w:r>
        <w:rPr>
          <w:rFonts w:hint="cs"/>
          <w:rtl/>
        </w:rPr>
        <w:t>.</w:t>
      </w:r>
      <w:r w:rsidRPr="00DC1C21">
        <w:rPr>
          <w:rFonts w:hint="cs"/>
          <w:rtl/>
        </w:rPr>
        <w:t xml:space="preserve"> </w:t>
      </w:r>
    </w:p>
    <w:p w14:paraId="6F1E0BDE" w14:textId="77777777" w:rsidR="00867DA1" w:rsidRDefault="00867DA1" w:rsidP="00745DB0">
      <w:pPr>
        <w:pStyle w:val="100"/>
        <w:rPr>
          <w:rtl/>
        </w:rPr>
      </w:pPr>
      <w:r>
        <w:rPr>
          <w:rFonts w:hint="cs"/>
          <w:rtl/>
        </w:rPr>
        <w:t>בספטמבר 2019 מסר ה</w:t>
      </w:r>
      <w:r w:rsidRPr="009B6A3D">
        <w:rPr>
          <w:rFonts w:hint="cs"/>
          <w:rtl/>
        </w:rPr>
        <w:t>חשבונאי הראשי</w:t>
      </w:r>
      <w:r>
        <w:rPr>
          <w:rFonts w:hint="cs"/>
          <w:rtl/>
        </w:rPr>
        <w:t xml:space="preserve"> לנציגי הביקורת כי הוא מכיר בכך שיש חשיבות רבה לביאור מסוג זה, אך מחסור בכוח אדם ובמשאבים מונע ממנו בינתיים להציג ביאור כזה.</w:t>
      </w:r>
    </w:p>
    <w:p w14:paraId="799EE164" w14:textId="77777777" w:rsidR="00867DA1" w:rsidRPr="00602227" w:rsidRDefault="00867DA1" w:rsidP="00745DB0">
      <w:pPr>
        <w:pStyle w:val="af5"/>
        <w:rPr>
          <w:rtl/>
        </w:rPr>
      </w:pPr>
      <w:r w:rsidRPr="00861011">
        <w:rPr>
          <w:rFonts w:hint="eastAsia"/>
          <w:rtl/>
        </w:rPr>
        <w:t>משרד</w:t>
      </w:r>
      <w:r w:rsidRPr="00861011">
        <w:rPr>
          <w:rtl/>
        </w:rPr>
        <w:t xml:space="preserve"> </w:t>
      </w:r>
      <w:r w:rsidRPr="00861011">
        <w:rPr>
          <w:rFonts w:hint="eastAsia"/>
          <w:rtl/>
        </w:rPr>
        <w:t>מבקר</w:t>
      </w:r>
      <w:r w:rsidRPr="00861011">
        <w:rPr>
          <w:rtl/>
        </w:rPr>
        <w:t xml:space="preserve"> </w:t>
      </w:r>
      <w:r w:rsidRPr="00861011">
        <w:rPr>
          <w:rFonts w:hint="eastAsia"/>
          <w:rtl/>
        </w:rPr>
        <w:t>המדינה</w:t>
      </w:r>
      <w:r w:rsidRPr="00861011">
        <w:rPr>
          <w:rtl/>
        </w:rPr>
        <w:t xml:space="preserve"> </w:t>
      </w:r>
      <w:r w:rsidRPr="00861011">
        <w:rPr>
          <w:rFonts w:hint="eastAsia"/>
          <w:rtl/>
        </w:rPr>
        <w:t>ממליץ</w:t>
      </w:r>
      <w:r w:rsidRPr="00861011">
        <w:rPr>
          <w:rFonts w:hint="cs"/>
          <w:rtl/>
        </w:rPr>
        <w:t xml:space="preserve"> לחשב הכללי</w:t>
      </w:r>
      <w:r w:rsidRPr="00861011">
        <w:rPr>
          <w:rtl/>
        </w:rPr>
        <w:t xml:space="preserve"> </w:t>
      </w:r>
      <w:r w:rsidRPr="00861011">
        <w:rPr>
          <w:rFonts w:hint="eastAsia"/>
          <w:rtl/>
        </w:rPr>
        <w:t>לכלול</w:t>
      </w:r>
      <w:r w:rsidRPr="00861011">
        <w:rPr>
          <w:rtl/>
        </w:rPr>
        <w:t xml:space="preserve"> </w:t>
      </w:r>
      <w:r w:rsidRPr="00861011">
        <w:rPr>
          <w:rFonts w:hint="cs"/>
          <w:rtl/>
        </w:rPr>
        <w:t>ב</w:t>
      </w:r>
      <w:r w:rsidRPr="00861011">
        <w:rPr>
          <w:rFonts w:hint="eastAsia"/>
          <w:rtl/>
        </w:rPr>
        <w:t>פרסום</w:t>
      </w:r>
      <w:r w:rsidRPr="00861011">
        <w:rPr>
          <w:rtl/>
        </w:rPr>
        <w:t xml:space="preserve"> </w:t>
      </w:r>
      <w:r w:rsidRPr="00861011">
        <w:rPr>
          <w:rFonts w:hint="eastAsia"/>
          <w:rtl/>
        </w:rPr>
        <w:t>נלווה</w:t>
      </w:r>
      <w:r w:rsidRPr="00861011">
        <w:rPr>
          <w:rtl/>
        </w:rPr>
        <w:t xml:space="preserve"> </w:t>
      </w:r>
      <w:r w:rsidRPr="00861011">
        <w:rPr>
          <w:rFonts w:hint="eastAsia"/>
          <w:rtl/>
        </w:rPr>
        <w:t>לדוח</w:t>
      </w:r>
      <w:r w:rsidRPr="00861011">
        <w:rPr>
          <w:rFonts w:hint="cs"/>
          <w:rtl/>
        </w:rPr>
        <w:t>ות</w:t>
      </w:r>
      <w:r w:rsidRPr="00861011">
        <w:rPr>
          <w:rtl/>
        </w:rPr>
        <w:t xml:space="preserve"> הכספי</w:t>
      </w:r>
      <w:r w:rsidRPr="00861011">
        <w:rPr>
          <w:rFonts w:hint="cs"/>
          <w:rtl/>
        </w:rPr>
        <w:t>ים</w:t>
      </w:r>
      <w:r w:rsidRPr="00861011">
        <w:rPr>
          <w:rtl/>
        </w:rPr>
        <w:t xml:space="preserve"> </w:t>
      </w:r>
      <w:r w:rsidRPr="00861011">
        <w:rPr>
          <w:rFonts w:hint="eastAsia"/>
          <w:rtl/>
        </w:rPr>
        <w:t>דיווח</w:t>
      </w:r>
      <w:r w:rsidRPr="00861011">
        <w:rPr>
          <w:rtl/>
        </w:rPr>
        <w:t xml:space="preserve"> בדבר היציבות הפיננסית ארוכת טווח של </w:t>
      </w:r>
      <w:r>
        <w:rPr>
          <w:rFonts w:hint="cs"/>
          <w:rtl/>
        </w:rPr>
        <w:t>מדינת</w:t>
      </w:r>
      <w:r w:rsidRPr="00861011">
        <w:rPr>
          <w:rtl/>
        </w:rPr>
        <w:t xml:space="preserve"> </w:t>
      </w:r>
      <w:r w:rsidRPr="00861011">
        <w:rPr>
          <w:rFonts w:hint="eastAsia"/>
          <w:rtl/>
        </w:rPr>
        <w:t>ישראל</w:t>
      </w:r>
      <w:r w:rsidRPr="00861011">
        <w:rPr>
          <w:rtl/>
        </w:rPr>
        <w:t>.</w:t>
      </w:r>
    </w:p>
    <w:p w14:paraId="40C9939B" w14:textId="77777777" w:rsidR="00867DA1" w:rsidRDefault="00867DA1" w:rsidP="008163C1">
      <w:pPr>
        <w:pStyle w:val="5115"/>
        <w:rPr>
          <w:rtl/>
        </w:rPr>
      </w:pPr>
      <w:r>
        <w:rPr>
          <w:rFonts w:hint="cs"/>
          <w:rtl/>
        </w:rPr>
        <w:t xml:space="preserve">דיווח על עמידה במדדי שירות </w:t>
      </w:r>
    </w:p>
    <w:p w14:paraId="30754105" w14:textId="77777777" w:rsidR="00867DA1" w:rsidRDefault="00867DA1" w:rsidP="008163C1">
      <w:pPr>
        <w:pStyle w:val="100"/>
        <w:rPr>
          <w:rtl/>
        </w:rPr>
      </w:pPr>
      <w:r w:rsidRPr="00DC1C21">
        <w:rPr>
          <w:rFonts w:hint="cs"/>
          <w:rtl/>
        </w:rPr>
        <w:t>במרץ 2015 פרסמה הוועדה לתקני חשבונאות בינלאומיים למגזר הציבורי קו מנחה לפרקטיקה מומלצת מס</w:t>
      </w:r>
      <w:r>
        <w:rPr>
          <w:rFonts w:hint="cs"/>
          <w:rtl/>
        </w:rPr>
        <w:t>'</w:t>
      </w:r>
      <w:r w:rsidRPr="00DC1C21">
        <w:rPr>
          <w:rFonts w:hint="cs"/>
          <w:rtl/>
        </w:rPr>
        <w:t xml:space="preserve"> 3 בנושא: "דיווח של מידע על ביצועי השירות". פרסום זה </w:t>
      </w:r>
      <w:r w:rsidRPr="00DC1C21">
        <w:rPr>
          <w:rtl/>
        </w:rPr>
        <w:t>מספק</w:t>
      </w:r>
      <w:r w:rsidRPr="00DC1C21">
        <w:rPr>
          <w:rFonts w:hint="cs"/>
          <w:rtl/>
        </w:rPr>
        <w:t xml:space="preserve"> </w:t>
      </w:r>
      <w:r w:rsidRPr="00DC1C21">
        <w:rPr>
          <w:rtl/>
        </w:rPr>
        <w:t xml:space="preserve">הנחיות </w:t>
      </w:r>
      <w:r>
        <w:rPr>
          <w:rFonts w:hint="cs"/>
          <w:rtl/>
        </w:rPr>
        <w:t>בנושא</w:t>
      </w:r>
      <w:r w:rsidRPr="00DC1C21">
        <w:rPr>
          <w:rtl/>
        </w:rPr>
        <w:t xml:space="preserve"> דיווח מידע על ביצועי השירות בדיווחים כספיים. </w:t>
      </w:r>
      <w:r>
        <w:rPr>
          <w:rFonts w:hint="cs"/>
          <w:rtl/>
        </w:rPr>
        <w:t>מדובר ב</w:t>
      </w:r>
      <w:r w:rsidRPr="00DC1C21">
        <w:rPr>
          <w:rtl/>
        </w:rPr>
        <w:t>מידע שישות מספקת</w:t>
      </w:r>
      <w:r>
        <w:rPr>
          <w:rFonts w:hint="cs"/>
          <w:rtl/>
        </w:rPr>
        <w:t xml:space="preserve"> בנוגע ל</w:t>
      </w:r>
      <w:r w:rsidRPr="00DC1C21">
        <w:rPr>
          <w:rtl/>
        </w:rPr>
        <w:t>יעדי הביצועים של השירות של</w:t>
      </w:r>
      <w:r>
        <w:rPr>
          <w:rFonts w:hint="cs"/>
          <w:rtl/>
        </w:rPr>
        <w:t>ה</w:t>
      </w:r>
      <w:r w:rsidRPr="00DC1C21">
        <w:rPr>
          <w:rtl/>
        </w:rPr>
        <w:t xml:space="preserve"> </w:t>
      </w:r>
      <w:r>
        <w:rPr>
          <w:rFonts w:hint="cs"/>
          <w:rtl/>
        </w:rPr>
        <w:t>ושל</w:t>
      </w:r>
      <w:r w:rsidRPr="00DC1C21">
        <w:rPr>
          <w:rtl/>
        </w:rPr>
        <w:t xml:space="preserve"> </w:t>
      </w:r>
      <w:r>
        <w:rPr>
          <w:rFonts w:hint="cs"/>
          <w:rtl/>
        </w:rPr>
        <w:t>ה</w:t>
      </w:r>
      <w:r w:rsidRPr="00DC1C21">
        <w:rPr>
          <w:rtl/>
        </w:rPr>
        <w:t xml:space="preserve">מידה </w:t>
      </w:r>
      <w:r>
        <w:rPr>
          <w:rFonts w:hint="cs"/>
          <w:rtl/>
        </w:rPr>
        <w:t xml:space="preserve">שהיא </w:t>
      </w:r>
      <w:r w:rsidRPr="00DC1C21">
        <w:rPr>
          <w:rtl/>
        </w:rPr>
        <w:t>השיגה א</w:t>
      </w:r>
      <w:r>
        <w:rPr>
          <w:rFonts w:hint="cs"/>
          <w:rtl/>
        </w:rPr>
        <w:t>ו</w:t>
      </w:r>
      <w:r w:rsidRPr="00DC1C21">
        <w:rPr>
          <w:rtl/>
        </w:rPr>
        <w:t>ת</w:t>
      </w:r>
      <w:r>
        <w:rPr>
          <w:rFonts w:hint="cs"/>
          <w:rtl/>
        </w:rPr>
        <w:t>ם</w:t>
      </w:r>
      <w:r w:rsidRPr="00DC1C21">
        <w:rPr>
          <w:rtl/>
        </w:rPr>
        <w:t>. מידע על ביצועי השירות מסייע למשתמשים בדיווחים כספיים להעריך את היעילות והאפקטיביות של השירות ש</w:t>
      </w:r>
      <w:r>
        <w:rPr>
          <w:rFonts w:hint="cs"/>
          <w:rtl/>
        </w:rPr>
        <w:t xml:space="preserve">הישות הציבורית </w:t>
      </w:r>
      <w:r w:rsidRPr="00DC1C21">
        <w:rPr>
          <w:rtl/>
        </w:rPr>
        <w:t>מעניקה.</w:t>
      </w:r>
      <w:r>
        <w:rPr>
          <w:rFonts w:hint="cs"/>
          <w:rtl/>
        </w:rPr>
        <w:t xml:space="preserve"> </w:t>
      </w:r>
    </w:p>
    <w:p w14:paraId="1D4C22F4" w14:textId="77777777" w:rsidR="00867DA1" w:rsidRDefault="00867DA1" w:rsidP="00867DA1">
      <w:pPr>
        <w:pStyle w:val="ListParagraph"/>
        <w:spacing w:line="269" w:lineRule="auto"/>
        <w:ind w:left="312"/>
        <w:rPr>
          <w:rtl/>
        </w:rPr>
      </w:pPr>
    </w:p>
    <w:p w14:paraId="0CE59EB8" w14:textId="77777777" w:rsidR="00867DA1" w:rsidRDefault="00867DA1" w:rsidP="008163C1">
      <w:pPr>
        <w:pStyle w:val="5115"/>
        <w:rPr>
          <w:rtl/>
        </w:rPr>
      </w:pPr>
      <w:r>
        <w:rPr>
          <w:rFonts w:hint="cs"/>
          <w:rtl/>
        </w:rPr>
        <w:lastRenderedPageBreak/>
        <w:t xml:space="preserve">ניתוח ודיון במגמות העולות מהדוחות הכספיים </w:t>
      </w:r>
    </w:p>
    <w:p w14:paraId="7C6F278D" w14:textId="77777777" w:rsidR="00867DA1" w:rsidRPr="00DC1C21" w:rsidRDefault="00867DA1" w:rsidP="008163C1">
      <w:pPr>
        <w:pStyle w:val="100"/>
        <w:rPr>
          <w:rtl/>
        </w:rPr>
      </w:pPr>
      <w:r w:rsidRPr="00DC1C21">
        <w:rPr>
          <w:rFonts w:hint="cs"/>
          <w:rtl/>
        </w:rPr>
        <w:t>ביולי 2013 פרסמה הוועדה לתקינה חשבונאות בינלאומיים למגזר הציבורי קו מנחה לפרקטיקה מומלצת מס</w:t>
      </w:r>
      <w:r>
        <w:rPr>
          <w:rFonts w:hint="cs"/>
          <w:rtl/>
        </w:rPr>
        <w:t>'</w:t>
      </w:r>
      <w:r w:rsidRPr="00DC1C21">
        <w:rPr>
          <w:rFonts w:hint="cs"/>
          <w:rtl/>
        </w:rPr>
        <w:t xml:space="preserve"> 2 בנושא "ניתוח ודיון בדוחות הכספיים".</w:t>
      </w:r>
      <w:r w:rsidRPr="00DC1C21">
        <w:rPr>
          <w:rtl/>
        </w:rPr>
        <w:t xml:space="preserve"> דיון וניתוח </w:t>
      </w:r>
      <w:r w:rsidRPr="00DC1C21">
        <w:rPr>
          <w:rFonts w:hint="cs"/>
          <w:rtl/>
        </w:rPr>
        <w:t>ה</w:t>
      </w:r>
      <w:r w:rsidRPr="00DC1C21">
        <w:rPr>
          <w:rtl/>
        </w:rPr>
        <w:t>דוחות כספיים יסייעו למשתמשים להבין את המצב הכספי, את הביצועים הכספיים ואת תזרימי המזומנים המוצגים בדוחות הכספיים למטרות כלליות</w:t>
      </w:r>
      <w:r w:rsidRPr="00DC1C21">
        <w:rPr>
          <w:rFonts w:hint="cs"/>
          <w:rtl/>
        </w:rPr>
        <w:t>.</w:t>
      </w:r>
    </w:p>
    <w:p w14:paraId="622F3224" w14:textId="77777777" w:rsidR="00867DA1" w:rsidRDefault="00867DA1" w:rsidP="008163C1">
      <w:pPr>
        <w:pStyle w:val="af5"/>
        <w:rPr>
          <w:rtl/>
        </w:rPr>
      </w:pPr>
      <w:r w:rsidRPr="00263134">
        <w:rPr>
          <w:rtl/>
        </w:rPr>
        <w:t>משרד מבקר המדינה</w:t>
      </w:r>
      <w:r>
        <w:rPr>
          <w:rFonts w:hint="cs"/>
          <w:rtl/>
        </w:rPr>
        <w:t xml:space="preserve"> ממליץ כי</w:t>
      </w:r>
      <w:r w:rsidRPr="00263134">
        <w:rPr>
          <w:rtl/>
        </w:rPr>
        <w:t xml:space="preserve"> החשבונאי הראשי</w:t>
      </w:r>
      <w:r>
        <w:rPr>
          <w:rFonts w:hint="cs"/>
          <w:rtl/>
        </w:rPr>
        <w:t xml:space="preserve"> ו</w:t>
      </w:r>
      <w:r w:rsidRPr="00263134">
        <w:rPr>
          <w:rtl/>
        </w:rPr>
        <w:t xml:space="preserve">הוועדה לתקינה חשבונאית ממשלתית </w:t>
      </w:r>
      <w:r>
        <w:rPr>
          <w:rFonts w:hint="cs"/>
          <w:rtl/>
        </w:rPr>
        <w:t>יבחנו את האפשרות להכין ולאמץ</w:t>
      </w:r>
      <w:r w:rsidRPr="00263134">
        <w:rPr>
          <w:rtl/>
        </w:rPr>
        <w:t xml:space="preserve"> תקן חשבונאי ממשלתי מחייב </w:t>
      </w:r>
      <w:r>
        <w:rPr>
          <w:rFonts w:hint="cs"/>
          <w:rtl/>
        </w:rPr>
        <w:t xml:space="preserve">ויכללו בו </w:t>
      </w:r>
      <w:r w:rsidRPr="00263134">
        <w:rPr>
          <w:rtl/>
        </w:rPr>
        <w:t>רשימת נושאים שיש לפרט</w:t>
      </w:r>
      <w:r>
        <w:rPr>
          <w:rFonts w:hint="cs"/>
          <w:rtl/>
        </w:rPr>
        <w:t xml:space="preserve"> בנוגע לה</w:t>
      </w:r>
      <w:r w:rsidRPr="00263134">
        <w:rPr>
          <w:rtl/>
        </w:rPr>
        <w:t xml:space="preserve">ם </w:t>
      </w:r>
      <w:r>
        <w:rPr>
          <w:rFonts w:hint="cs"/>
          <w:rtl/>
        </w:rPr>
        <w:t>כדי</w:t>
      </w:r>
      <w:r w:rsidRPr="00263134">
        <w:rPr>
          <w:rtl/>
        </w:rPr>
        <w:t xml:space="preserve"> לספק מידע נוסף לקוראי הדוחות </w:t>
      </w:r>
      <w:r>
        <w:rPr>
          <w:rFonts w:hint="cs"/>
          <w:rtl/>
        </w:rPr>
        <w:t xml:space="preserve">הכספיים ולמשתמשים בהם, </w:t>
      </w:r>
      <w:r w:rsidRPr="00263134">
        <w:rPr>
          <w:rtl/>
        </w:rPr>
        <w:t>מעבר לנתונים המספריים</w:t>
      </w:r>
      <w:r w:rsidRPr="00F567E4">
        <w:rPr>
          <w:rtl/>
        </w:rPr>
        <w:t xml:space="preserve">. </w:t>
      </w:r>
      <w:r w:rsidRPr="004376A0">
        <w:rPr>
          <w:rFonts w:hint="eastAsia"/>
          <w:rtl/>
        </w:rPr>
        <w:t>עוד</w:t>
      </w:r>
      <w:r w:rsidRPr="004376A0">
        <w:rPr>
          <w:rtl/>
        </w:rPr>
        <w:t xml:space="preserve"> </w:t>
      </w:r>
      <w:r w:rsidRPr="004376A0">
        <w:rPr>
          <w:rFonts w:hint="eastAsia"/>
          <w:rtl/>
        </w:rPr>
        <w:t>ממליץ</w:t>
      </w:r>
      <w:r w:rsidRPr="004376A0">
        <w:rPr>
          <w:rtl/>
        </w:rPr>
        <w:t xml:space="preserve"> </w:t>
      </w:r>
      <w:r w:rsidRPr="004376A0">
        <w:rPr>
          <w:rFonts w:hint="eastAsia"/>
          <w:rtl/>
        </w:rPr>
        <w:t>משרד</w:t>
      </w:r>
      <w:r w:rsidRPr="004376A0">
        <w:rPr>
          <w:rtl/>
        </w:rPr>
        <w:t xml:space="preserve"> </w:t>
      </w:r>
      <w:r w:rsidRPr="004376A0">
        <w:rPr>
          <w:rFonts w:hint="eastAsia"/>
          <w:rtl/>
        </w:rPr>
        <w:t>מבקר</w:t>
      </w:r>
      <w:r w:rsidRPr="004376A0">
        <w:rPr>
          <w:rtl/>
        </w:rPr>
        <w:t xml:space="preserve"> </w:t>
      </w:r>
      <w:r w:rsidRPr="004376A0">
        <w:rPr>
          <w:rFonts w:hint="eastAsia"/>
          <w:rtl/>
        </w:rPr>
        <w:t>המדינה</w:t>
      </w:r>
      <w:r w:rsidRPr="004376A0">
        <w:rPr>
          <w:rtl/>
        </w:rPr>
        <w:t xml:space="preserve"> </w:t>
      </w:r>
      <w:r w:rsidRPr="004376A0">
        <w:rPr>
          <w:rFonts w:hint="eastAsia"/>
          <w:rtl/>
        </w:rPr>
        <w:t>לחשבונאי</w:t>
      </w:r>
      <w:r w:rsidRPr="004376A0">
        <w:rPr>
          <w:rtl/>
        </w:rPr>
        <w:t xml:space="preserve"> </w:t>
      </w:r>
      <w:r w:rsidRPr="004376A0">
        <w:rPr>
          <w:rFonts w:hint="eastAsia"/>
          <w:rtl/>
        </w:rPr>
        <w:t>הראשי</w:t>
      </w:r>
      <w:r w:rsidRPr="004376A0">
        <w:rPr>
          <w:rtl/>
        </w:rPr>
        <w:t xml:space="preserve">, </w:t>
      </w:r>
      <w:r w:rsidRPr="004376A0">
        <w:rPr>
          <w:rFonts w:hint="eastAsia"/>
          <w:rtl/>
        </w:rPr>
        <w:t>בפרט</w:t>
      </w:r>
      <w:r w:rsidRPr="004376A0">
        <w:rPr>
          <w:rtl/>
        </w:rPr>
        <w:t xml:space="preserve">, </w:t>
      </w:r>
      <w:r>
        <w:rPr>
          <w:rFonts w:hint="cs"/>
          <w:rtl/>
        </w:rPr>
        <w:t>לבחון</w:t>
      </w:r>
      <w:r w:rsidRPr="004376A0">
        <w:rPr>
          <w:rtl/>
        </w:rPr>
        <w:t xml:space="preserve"> </w:t>
      </w:r>
      <w:r>
        <w:rPr>
          <w:rFonts w:hint="cs"/>
          <w:rtl/>
        </w:rPr>
        <w:t>את האפשרות להציג ב</w:t>
      </w:r>
      <w:r w:rsidRPr="004376A0">
        <w:rPr>
          <w:rFonts w:hint="eastAsia"/>
          <w:rtl/>
        </w:rPr>
        <w:t>דוחות</w:t>
      </w:r>
      <w:r w:rsidRPr="004376A0">
        <w:rPr>
          <w:rtl/>
        </w:rPr>
        <w:t xml:space="preserve"> </w:t>
      </w:r>
      <w:r w:rsidRPr="004376A0">
        <w:rPr>
          <w:rFonts w:hint="eastAsia"/>
          <w:rtl/>
        </w:rPr>
        <w:t>הכספיים</w:t>
      </w:r>
      <w:r w:rsidRPr="004376A0">
        <w:rPr>
          <w:rtl/>
        </w:rPr>
        <w:t xml:space="preserve"> </w:t>
      </w:r>
      <w:r w:rsidRPr="004376A0">
        <w:rPr>
          <w:rFonts w:hint="eastAsia"/>
          <w:rtl/>
        </w:rPr>
        <w:t>של</w:t>
      </w:r>
      <w:r w:rsidRPr="004376A0">
        <w:rPr>
          <w:rtl/>
        </w:rPr>
        <w:t xml:space="preserve"> </w:t>
      </w:r>
      <w:r>
        <w:rPr>
          <w:rFonts w:hint="cs"/>
          <w:rtl/>
        </w:rPr>
        <w:t>המדינה</w:t>
      </w:r>
      <w:r w:rsidRPr="004376A0">
        <w:rPr>
          <w:rtl/>
        </w:rPr>
        <w:t xml:space="preserve"> </w:t>
      </w:r>
      <w:r w:rsidRPr="004376A0">
        <w:rPr>
          <w:rFonts w:hint="eastAsia"/>
          <w:rtl/>
        </w:rPr>
        <w:t>תחשיב</w:t>
      </w:r>
      <w:r w:rsidRPr="004376A0">
        <w:rPr>
          <w:rtl/>
        </w:rPr>
        <w:t xml:space="preserve"> </w:t>
      </w:r>
      <w:r w:rsidRPr="004376A0">
        <w:rPr>
          <w:rFonts w:hint="eastAsia"/>
          <w:rtl/>
        </w:rPr>
        <w:t>בדבר</w:t>
      </w:r>
      <w:r w:rsidRPr="004376A0">
        <w:rPr>
          <w:rtl/>
        </w:rPr>
        <w:t xml:space="preserve"> </w:t>
      </w:r>
      <w:r w:rsidRPr="004376A0">
        <w:rPr>
          <w:rFonts w:hint="eastAsia"/>
          <w:rtl/>
        </w:rPr>
        <w:t>קיימות</w:t>
      </w:r>
      <w:r w:rsidRPr="004376A0">
        <w:rPr>
          <w:rtl/>
        </w:rPr>
        <w:t xml:space="preserve"> </w:t>
      </w:r>
      <w:r w:rsidRPr="004376A0">
        <w:rPr>
          <w:rFonts w:hint="eastAsia"/>
          <w:rtl/>
        </w:rPr>
        <w:t>פיסק</w:t>
      </w:r>
      <w:r>
        <w:rPr>
          <w:rFonts w:hint="cs"/>
          <w:rtl/>
        </w:rPr>
        <w:t>א</w:t>
      </w:r>
      <w:r w:rsidRPr="004376A0">
        <w:rPr>
          <w:rFonts w:hint="eastAsia"/>
          <w:rtl/>
        </w:rPr>
        <w:t>לית</w:t>
      </w:r>
      <w:r w:rsidRPr="004376A0">
        <w:rPr>
          <w:rtl/>
        </w:rPr>
        <w:t xml:space="preserve"> </w:t>
      </w:r>
      <w:r w:rsidRPr="004376A0">
        <w:rPr>
          <w:rFonts w:hint="eastAsia"/>
          <w:rtl/>
        </w:rPr>
        <w:t>לטווח</w:t>
      </w:r>
      <w:r w:rsidRPr="004376A0">
        <w:rPr>
          <w:rtl/>
        </w:rPr>
        <w:t xml:space="preserve"> </w:t>
      </w:r>
      <w:r w:rsidRPr="004376A0">
        <w:rPr>
          <w:rFonts w:hint="eastAsia"/>
          <w:rtl/>
        </w:rPr>
        <w:t>ארוך</w:t>
      </w:r>
      <w:r w:rsidRPr="004376A0">
        <w:rPr>
          <w:rtl/>
        </w:rPr>
        <w:t xml:space="preserve"> </w:t>
      </w:r>
      <w:r w:rsidRPr="004376A0">
        <w:rPr>
          <w:rFonts w:hint="eastAsia"/>
          <w:rtl/>
        </w:rPr>
        <w:t>ו</w:t>
      </w:r>
      <w:r>
        <w:rPr>
          <w:rFonts w:hint="cs"/>
          <w:rtl/>
        </w:rPr>
        <w:t xml:space="preserve">מידע על </w:t>
      </w:r>
      <w:r w:rsidRPr="004376A0">
        <w:rPr>
          <w:rFonts w:hint="eastAsia"/>
          <w:rtl/>
        </w:rPr>
        <w:t>עמידה</w:t>
      </w:r>
      <w:r w:rsidRPr="004376A0">
        <w:rPr>
          <w:rtl/>
        </w:rPr>
        <w:t xml:space="preserve"> </w:t>
      </w:r>
      <w:r w:rsidRPr="004376A0">
        <w:rPr>
          <w:rFonts w:hint="eastAsia"/>
          <w:rtl/>
        </w:rPr>
        <w:t>במדדי</w:t>
      </w:r>
      <w:r w:rsidRPr="004376A0">
        <w:rPr>
          <w:rtl/>
        </w:rPr>
        <w:t xml:space="preserve"> </w:t>
      </w:r>
      <w:r w:rsidRPr="004376A0">
        <w:rPr>
          <w:rFonts w:hint="eastAsia"/>
          <w:rtl/>
        </w:rPr>
        <w:t>שירות</w:t>
      </w:r>
      <w:r w:rsidRPr="004376A0">
        <w:rPr>
          <w:rtl/>
        </w:rPr>
        <w:t>.</w:t>
      </w:r>
    </w:p>
    <w:p w14:paraId="64F3DA69" w14:textId="77777777" w:rsidR="00867DA1" w:rsidRPr="0053432B" w:rsidRDefault="00867DA1" w:rsidP="008163C1">
      <w:pPr>
        <w:pStyle w:val="100"/>
        <w:rPr>
          <w:rtl/>
        </w:rPr>
      </w:pPr>
      <w:r>
        <w:rPr>
          <w:rFonts w:hint="cs"/>
          <w:rtl/>
        </w:rPr>
        <w:t>החשבונאי הראשי מסר בתשובתו כי החשב הכללי ילמד את הנושא.</w:t>
      </w:r>
    </w:p>
    <w:p w14:paraId="2531B3AD" w14:textId="77777777" w:rsidR="00867DA1" w:rsidRDefault="00867DA1" w:rsidP="008163C1">
      <w:pPr>
        <w:pStyle w:val="316"/>
        <w:rPr>
          <w:rtl/>
        </w:rPr>
      </w:pPr>
      <w:r>
        <w:rPr>
          <w:rFonts w:hint="cs"/>
          <w:rtl/>
        </w:rPr>
        <w:t>דיון בדוחות הכספיים של המדינה ושל משרדי הממשלה</w:t>
      </w:r>
    </w:p>
    <w:p w14:paraId="29554710" w14:textId="77777777" w:rsidR="00867DA1" w:rsidRPr="00E61B63" w:rsidRDefault="00867DA1" w:rsidP="008163C1">
      <w:pPr>
        <w:pStyle w:val="100"/>
        <w:rPr>
          <w:rtl/>
        </w:rPr>
      </w:pPr>
      <w:r w:rsidRPr="00E61B63">
        <w:rPr>
          <w:rFonts w:hint="eastAsia"/>
          <w:rtl/>
        </w:rPr>
        <w:t>זה</w:t>
      </w:r>
      <w:r w:rsidRPr="00E61B63">
        <w:rPr>
          <w:rtl/>
        </w:rPr>
        <w:t xml:space="preserve"> שנים </w:t>
      </w:r>
      <w:r>
        <w:rPr>
          <w:rFonts w:hint="cs"/>
          <w:rtl/>
        </w:rPr>
        <w:t>ש</w:t>
      </w:r>
      <w:r w:rsidRPr="00E61B63">
        <w:rPr>
          <w:rtl/>
        </w:rPr>
        <w:t xml:space="preserve">הדוחות הכספיים המאוחדים של </w:t>
      </w:r>
      <w:r>
        <w:rPr>
          <w:rFonts w:hint="cs"/>
          <w:rtl/>
        </w:rPr>
        <w:t>מדינת</w:t>
      </w:r>
      <w:r w:rsidRPr="00E61B63">
        <w:rPr>
          <w:rtl/>
        </w:rPr>
        <w:t xml:space="preserve"> ישראל אינם מוצגים ו</w:t>
      </w:r>
      <w:r>
        <w:rPr>
          <w:rFonts w:hint="cs"/>
          <w:rtl/>
        </w:rPr>
        <w:t xml:space="preserve">אינם </w:t>
      </w:r>
      <w:r w:rsidRPr="00E61B63">
        <w:rPr>
          <w:rtl/>
        </w:rPr>
        <w:t xml:space="preserve">נידונים </w:t>
      </w:r>
      <w:r>
        <w:rPr>
          <w:rFonts w:hint="cs"/>
          <w:rtl/>
        </w:rPr>
        <w:t>ל</w:t>
      </w:r>
      <w:r w:rsidRPr="00E61B63">
        <w:rPr>
          <w:rtl/>
        </w:rPr>
        <w:t xml:space="preserve">פני </w:t>
      </w:r>
      <w:r>
        <w:rPr>
          <w:rFonts w:hint="cs"/>
          <w:rtl/>
        </w:rPr>
        <w:t>מקבלי ההחלטות, קובעי המדינות, או הכנסת</w:t>
      </w:r>
      <w:r w:rsidRPr="00E61B63">
        <w:rPr>
          <w:rtl/>
        </w:rPr>
        <w:t xml:space="preserve"> </w:t>
      </w:r>
      <w:r>
        <w:rPr>
          <w:rFonts w:hint="cs"/>
          <w:rtl/>
        </w:rPr>
        <w:t>וועדותיה</w:t>
      </w:r>
      <w:r>
        <w:rPr>
          <w:rStyle w:val="FootnoteReference"/>
          <w:rtl/>
        </w:rPr>
        <w:footnoteReference w:id="104"/>
      </w:r>
      <w:r>
        <w:rPr>
          <w:rFonts w:hint="cs"/>
          <w:rtl/>
        </w:rPr>
        <w:t xml:space="preserve">. </w:t>
      </w:r>
      <w:r w:rsidRPr="00E61B63">
        <w:rPr>
          <w:rtl/>
        </w:rPr>
        <w:t>זאת בשונה מדוח</w:t>
      </w:r>
      <w:r>
        <w:rPr>
          <w:rFonts w:hint="cs"/>
          <w:rtl/>
        </w:rPr>
        <w:t>ות</w:t>
      </w:r>
      <w:r w:rsidRPr="00E61B63">
        <w:rPr>
          <w:rtl/>
        </w:rPr>
        <w:t xml:space="preserve"> כספי</w:t>
      </w:r>
      <w:r>
        <w:rPr>
          <w:rFonts w:hint="cs"/>
          <w:rtl/>
        </w:rPr>
        <w:t>ים</w:t>
      </w:r>
      <w:r w:rsidRPr="00E61B63">
        <w:rPr>
          <w:rtl/>
        </w:rPr>
        <w:t xml:space="preserve"> של חברה מסחרית</w:t>
      </w:r>
      <w:r>
        <w:rPr>
          <w:rFonts w:hint="cs"/>
          <w:rtl/>
        </w:rPr>
        <w:t>,</w:t>
      </w:r>
      <w:r w:rsidRPr="00E61B63">
        <w:rPr>
          <w:rtl/>
        </w:rPr>
        <w:t xml:space="preserve"> ש</w:t>
      </w:r>
      <w:r>
        <w:rPr>
          <w:rFonts w:hint="cs"/>
          <w:rtl/>
        </w:rPr>
        <w:t xml:space="preserve">הדירקטוריון מאשר אותו, </w:t>
      </w:r>
      <w:r w:rsidRPr="00E61B63">
        <w:rPr>
          <w:rtl/>
        </w:rPr>
        <w:t>ו</w:t>
      </w:r>
      <w:r>
        <w:rPr>
          <w:rFonts w:hint="cs"/>
          <w:rtl/>
        </w:rPr>
        <w:t xml:space="preserve">הוא </w:t>
      </w:r>
      <w:r w:rsidRPr="00E61B63">
        <w:rPr>
          <w:rtl/>
        </w:rPr>
        <w:t>מובא ל</w:t>
      </w:r>
      <w:r>
        <w:rPr>
          <w:rFonts w:hint="cs"/>
          <w:rtl/>
        </w:rPr>
        <w:t>פני ה</w:t>
      </w:r>
      <w:r w:rsidRPr="00E61B63">
        <w:rPr>
          <w:rtl/>
        </w:rPr>
        <w:t>אסיפה הכללית של בעלי המניות</w:t>
      </w:r>
      <w:r>
        <w:rPr>
          <w:rStyle w:val="FootnoteReference"/>
          <w:rtl/>
        </w:rPr>
        <w:footnoteReference w:id="105"/>
      </w:r>
      <w:r w:rsidRPr="00E61B63">
        <w:rPr>
          <w:rtl/>
        </w:rPr>
        <w:t xml:space="preserve">. </w:t>
      </w:r>
    </w:p>
    <w:p w14:paraId="1341932C" w14:textId="77777777" w:rsidR="00867DA1" w:rsidRDefault="00867DA1" w:rsidP="008163C1">
      <w:pPr>
        <w:pStyle w:val="100"/>
        <w:rPr>
          <w:rtl/>
        </w:rPr>
      </w:pPr>
      <w:r>
        <w:rPr>
          <w:rFonts w:hint="cs"/>
          <w:rtl/>
        </w:rPr>
        <w:t>כמו כן, אין</w:t>
      </w:r>
      <w:r w:rsidRPr="00E61B63">
        <w:rPr>
          <w:rtl/>
        </w:rPr>
        <w:t xml:space="preserve"> </w:t>
      </w:r>
      <w:r w:rsidRPr="00E61B63">
        <w:rPr>
          <w:rFonts w:hint="eastAsia"/>
          <w:rtl/>
        </w:rPr>
        <w:t>נוהל</w:t>
      </w:r>
      <w:r w:rsidRPr="00E61B63">
        <w:rPr>
          <w:rtl/>
        </w:rPr>
        <w:t xml:space="preserve"> </w:t>
      </w:r>
      <w:r w:rsidRPr="00E61B63">
        <w:rPr>
          <w:rFonts w:hint="eastAsia"/>
          <w:rtl/>
        </w:rPr>
        <w:t>או</w:t>
      </w:r>
      <w:r w:rsidRPr="00E61B63">
        <w:rPr>
          <w:rtl/>
        </w:rPr>
        <w:t xml:space="preserve"> </w:t>
      </w:r>
      <w:r w:rsidRPr="00E61B63">
        <w:rPr>
          <w:rFonts w:hint="eastAsia"/>
          <w:rtl/>
        </w:rPr>
        <w:t>הוראה</w:t>
      </w:r>
      <w:r w:rsidRPr="00E61B63">
        <w:rPr>
          <w:rtl/>
        </w:rPr>
        <w:t xml:space="preserve"> </w:t>
      </w:r>
      <w:r w:rsidRPr="00E61B63">
        <w:rPr>
          <w:rFonts w:hint="eastAsia"/>
          <w:rtl/>
        </w:rPr>
        <w:t>המחייב</w:t>
      </w:r>
      <w:r>
        <w:rPr>
          <w:rFonts w:hint="cs"/>
          <w:rtl/>
        </w:rPr>
        <w:t>ים</w:t>
      </w:r>
      <w:r w:rsidRPr="00E61B63">
        <w:rPr>
          <w:rtl/>
        </w:rPr>
        <w:t xml:space="preserve"> </w:t>
      </w:r>
      <w:r w:rsidRPr="00E61B63">
        <w:rPr>
          <w:rFonts w:hint="eastAsia"/>
          <w:rtl/>
        </w:rPr>
        <w:t>את</w:t>
      </w:r>
      <w:r w:rsidRPr="00E61B63">
        <w:rPr>
          <w:rtl/>
        </w:rPr>
        <w:t xml:space="preserve"> </w:t>
      </w:r>
      <w:r w:rsidRPr="00E61B63">
        <w:rPr>
          <w:rFonts w:hint="eastAsia"/>
          <w:rtl/>
        </w:rPr>
        <w:t>השר</w:t>
      </w:r>
      <w:r>
        <w:rPr>
          <w:rFonts w:hint="cs"/>
          <w:rtl/>
        </w:rPr>
        <w:t>ים</w:t>
      </w:r>
      <w:r w:rsidRPr="00E61B63">
        <w:rPr>
          <w:rtl/>
        </w:rPr>
        <w:t xml:space="preserve"> </w:t>
      </w:r>
      <w:r w:rsidRPr="00E61B63">
        <w:rPr>
          <w:rFonts w:hint="eastAsia"/>
          <w:rtl/>
        </w:rPr>
        <w:t>ו</w:t>
      </w:r>
      <w:r>
        <w:rPr>
          <w:rFonts w:hint="cs"/>
          <w:rtl/>
        </w:rPr>
        <w:t>את ה</w:t>
      </w:r>
      <w:r w:rsidRPr="00E61B63">
        <w:rPr>
          <w:rFonts w:hint="eastAsia"/>
          <w:rtl/>
        </w:rPr>
        <w:t>מנכ</w:t>
      </w:r>
      <w:r w:rsidRPr="00E61B63">
        <w:rPr>
          <w:rtl/>
        </w:rPr>
        <w:t>"ל</w:t>
      </w:r>
      <w:r>
        <w:rPr>
          <w:rFonts w:hint="cs"/>
          <w:rtl/>
        </w:rPr>
        <w:t>ים</w:t>
      </w:r>
      <w:r w:rsidRPr="00E61B63">
        <w:rPr>
          <w:rtl/>
        </w:rPr>
        <w:t xml:space="preserve"> </w:t>
      </w:r>
      <w:r>
        <w:rPr>
          <w:rFonts w:hint="cs"/>
          <w:rtl/>
        </w:rPr>
        <w:t xml:space="preserve">של משרדיהם </w:t>
      </w:r>
      <w:r w:rsidRPr="00E61B63">
        <w:rPr>
          <w:rFonts w:hint="eastAsia"/>
          <w:rtl/>
        </w:rPr>
        <w:t>ל</w:t>
      </w:r>
      <w:r>
        <w:rPr>
          <w:rFonts w:hint="cs"/>
          <w:rtl/>
        </w:rPr>
        <w:t>דו</w:t>
      </w:r>
      <w:r w:rsidRPr="00E61B63">
        <w:rPr>
          <w:rtl/>
        </w:rPr>
        <w:t>ן בדוחות הכספיים</w:t>
      </w:r>
      <w:r>
        <w:rPr>
          <w:rFonts w:hint="cs"/>
          <w:rtl/>
        </w:rPr>
        <w:t xml:space="preserve"> של משרדיהם</w:t>
      </w:r>
      <w:r w:rsidRPr="00E61B63">
        <w:rPr>
          <w:rtl/>
        </w:rPr>
        <w:t>.</w:t>
      </w:r>
      <w:r>
        <w:rPr>
          <w:rFonts w:hint="cs"/>
          <w:rtl/>
        </w:rPr>
        <w:t xml:space="preserve"> </w:t>
      </w:r>
      <w:r w:rsidRPr="00C724D1">
        <w:rPr>
          <w:rFonts w:hint="cs"/>
          <w:rtl/>
        </w:rPr>
        <w:t>מהמידע שהתקבל מהחשבונאים הראש</w:t>
      </w:r>
      <w:r>
        <w:rPr>
          <w:rFonts w:hint="cs"/>
          <w:rtl/>
        </w:rPr>
        <w:t>י</w:t>
      </w:r>
      <w:r w:rsidRPr="00C724D1">
        <w:rPr>
          <w:rFonts w:hint="cs"/>
          <w:rtl/>
        </w:rPr>
        <w:t xml:space="preserve">ים </w:t>
      </w:r>
      <w:r>
        <w:rPr>
          <w:rFonts w:hint="cs"/>
          <w:rtl/>
        </w:rPr>
        <w:t>בתשובה ל</w:t>
      </w:r>
      <w:r w:rsidRPr="00C724D1">
        <w:rPr>
          <w:rFonts w:hint="cs"/>
          <w:rtl/>
        </w:rPr>
        <w:t>שאלון עולה כי כ-</w:t>
      </w:r>
      <w:r>
        <w:rPr>
          <w:rFonts w:hint="cs"/>
          <w:rtl/>
        </w:rPr>
        <w:t>19</w:t>
      </w:r>
      <w:r w:rsidRPr="00C724D1">
        <w:rPr>
          <w:rFonts w:hint="cs"/>
          <w:rtl/>
        </w:rPr>
        <w:t>% מה</w:t>
      </w:r>
      <w:r>
        <w:rPr>
          <w:rFonts w:hint="cs"/>
          <w:rtl/>
        </w:rPr>
        <w:t xml:space="preserve">ישויות אינן עורכות דיון מוסדר </w:t>
      </w:r>
      <w:r w:rsidRPr="00E61B63">
        <w:rPr>
          <w:rtl/>
        </w:rPr>
        <w:t>בדוחות הכספיים ב</w:t>
      </w:r>
      <w:r>
        <w:rPr>
          <w:rFonts w:hint="cs"/>
          <w:rtl/>
        </w:rPr>
        <w:t>נוכחות</w:t>
      </w:r>
      <w:r w:rsidRPr="00E61B63">
        <w:rPr>
          <w:rtl/>
        </w:rPr>
        <w:t xml:space="preserve"> השר</w:t>
      </w:r>
      <w:r>
        <w:rPr>
          <w:rFonts w:hint="cs"/>
          <w:rtl/>
        </w:rPr>
        <w:t>,</w:t>
      </w:r>
      <w:r w:rsidRPr="00E61B63">
        <w:rPr>
          <w:rtl/>
        </w:rPr>
        <w:t xml:space="preserve"> ולעיתים אף </w:t>
      </w:r>
      <w:r>
        <w:rPr>
          <w:rFonts w:hint="cs"/>
          <w:rtl/>
        </w:rPr>
        <w:t xml:space="preserve">לא </w:t>
      </w:r>
      <w:r w:rsidRPr="00E61B63">
        <w:rPr>
          <w:rtl/>
        </w:rPr>
        <w:t>ב</w:t>
      </w:r>
      <w:r>
        <w:rPr>
          <w:rFonts w:hint="cs"/>
          <w:rtl/>
        </w:rPr>
        <w:t>נוכחו</w:t>
      </w:r>
      <w:r w:rsidRPr="00E61B63">
        <w:rPr>
          <w:rtl/>
        </w:rPr>
        <w:t>ת מנכ"ל המשרד</w:t>
      </w:r>
      <w:r>
        <w:rPr>
          <w:rFonts w:hint="cs"/>
          <w:rtl/>
        </w:rPr>
        <w:t>.</w:t>
      </w:r>
      <w:r w:rsidRPr="00E61B63">
        <w:rPr>
          <w:rtl/>
        </w:rPr>
        <w:t xml:space="preserve"> </w:t>
      </w:r>
    </w:p>
    <w:p w14:paraId="06CCC1EF" w14:textId="77777777" w:rsidR="00867DA1" w:rsidRDefault="00867DA1" w:rsidP="008163C1">
      <w:pPr>
        <w:pStyle w:val="af5"/>
        <w:rPr>
          <w:rtl/>
        </w:rPr>
      </w:pPr>
      <w:r>
        <w:rPr>
          <w:rFonts w:hint="cs"/>
          <w:rtl/>
        </w:rPr>
        <w:t>משרד מבקר המדינה ממליץ כי החשכ"ל ושר האוצר ישקלו להציג</w:t>
      </w:r>
      <w:r w:rsidRPr="00362C8E">
        <w:rPr>
          <w:rtl/>
        </w:rPr>
        <w:t xml:space="preserve"> </w:t>
      </w:r>
      <w:r w:rsidRPr="00362C8E">
        <w:rPr>
          <w:rFonts w:hint="eastAsia"/>
          <w:rtl/>
        </w:rPr>
        <w:t>לממשלה</w:t>
      </w:r>
      <w:r w:rsidRPr="00362C8E">
        <w:rPr>
          <w:rtl/>
        </w:rPr>
        <w:t xml:space="preserve"> ולכנסת מדי שנה את הדוחות הכספיים </w:t>
      </w:r>
      <w:r>
        <w:rPr>
          <w:rFonts w:hint="cs"/>
          <w:rtl/>
        </w:rPr>
        <w:t xml:space="preserve">של המדינה, </w:t>
      </w:r>
      <w:r w:rsidRPr="00362C8E">
        <w:rPr>
          <w:rtl/>
        </w:rPr>
        <w:t xml:space="preserve">עם פרסומם, </w:t>
      </w:r>
      <w:r>
        <w:rPr>
          <w:rFonts w:hint="cs"/>
          <w:rtl/>
        </w:rPr>
        <w:t>כדי</w:t>
      </w:r>
      <w:r w:rsidRPr="00362C8E">
        <w:rPr>
          <w:rtl/>
        </w:rPr>
        <w:t xml:space="preserve"> שהמידע המופיע בהם יובא </w:t>
      </w:r>
      <w:r>
        <w:rPr>
          <w:rFonts w:hint="cs"/>
          <w:rtl/>
        </w:rPr>
        <w:t>ל</w:t>
      </w:r>
      <w:r w:rsidRPr="00362C8E">
        <w:rPr>
          <w:rtl/>
        </w:rPr>
        <w:t xml:space="preserve">פני מקבלי ההחלטות </w:t>
      </w:r>
      <w:r>
        <w:rPr>
          <w:rFonts w:hint="cs"/>
          <w:rtl/>
        </w:rPr>
        <w:t xml:space="preserve">וקובעי המדיניות </w:t>
      </w:r>
      <w:r w:rsidRPr="00362C8E">
        <w:rPr>
          <w:rtl/>
        </w:rPr>
        <w:t>בצורה מקיפה ומסודרת. מהלך זה</w:t>
      </w:r>
      <w:r>
        <w:rPr>
          <w:rFonts w:hint="cs"/>
          <w:rtl/>
        </w:rPr>
        <w:t xml:space="preserve"> עשוי לת</w:t>
      </w:r>
      <w:r>
        <w:rPr>
          <w:rtl/>
        </w:rPr>
        <w:t>רום גם להגברת האחריותיות</w:t>
      </w:r>
      <w:r w:rsidRPr="00362C8E">
        <w:rPr>
          <w:rtl/>
        </w:rPr>
        <w:t xml:space="preserve"> </w:t>
      </w:r>
      <w:r>
        <w:t>A</w:t>
      </w:r>
      <w:r w:rsidRPr="00362C8E">
        <w:t>ccountability)</w:t>
      </w:r>
      <w:r w:rsidRPr="00362C8E">
        <w:rPr>
          <w:rtl/>
        </w:rPr>
        <w:t xml:space="preserve">) </w:t>
      </w:r>
      <w:r w:rsidRPr="00362C8E">
        <w:rPr>
          <w:rFonts w:hint="eastAsia"/>
          <w:rtl/>
        </w:rPr>
        <w:t>של</w:t>
      </w:r>
      <w:r w:rsidRPr="00362C8E">
        <w:rPr>
          <w:rtl/>
        </w:rPr>
        <w:t xml:space="preserve"> </w:t>
      </w:r>
      <w:r>
        <w:rPr>
          <w:rFonts w:hint="cs"/>
          <w:rtl/>
        </w:rPr>
        <w:t>הממשלה</w:t>
      </w:r>
      <w:r w:rsidRPr="00362C8E">
        <w:rPr>
          <w:rtl/>
        </w:rPr>
        <w:t xml:space="preserve"> </w:t>
      </w:r>
      <w:r>
        <w:rPr>
          <w:rFonts w:hint="cs"/>
          <w:rtl/>
        </w:rPr>
        <w:t>ולשפר את</w:t>
      </w:r>
      <w:r w:rsidRPr="00362C8E">
        <w:rPr>
          <w:rtl/>
        </w:rPr>
        <w:t xml:space="preserve"> </w:t>
      </w:r>
      <w:r w:rsidRPr="00362C8E">
        <w:rPr>
          <w:rFonts w:hint="eastAsia"/>
          <w:rtl/>
        </w:rPr>
        <w:t>השימוש</w:t>
      </w:r>
      <w:r w:rsidRPr="00362C8E">
        <w:rPr>
          <w:rtl/>
        </w:rPr>
        <w:t xml:space="preserve"> </w:t>
      </w:r>
      <w:r w:rsidRPr="00362C8E">
        <w:rPr>
          <w:rFonts w:hint="eastAsia"/>
          <w:rtl/>
        </w:rPr>
        <w:t>שלה</w:t>
      </w:r>
      <w:r w:rsidRPr="00362C8E">
        <w:rPr>
          <w:rtl/>
        </w:rPr>
        <w:t xml:space="preserve"> </w:t>
      </w:r>
      <w:r w:rsidRPr="00362C8E">
        <w:rPr>
          <w:rFonts w:hint="eastAsia"/>
          <w:rtl/>
        </w:rPr>
        <w:t>במשאבים</w:t>
      </w:r>
      <w:r w:rsidRPr="00362C8E">
        <w:rPr>
          <w:rtl/>
        </w:rPr>
        <w:t xml:space="preserve"> </w:t>
      </w:r>
      <w:r w:rsidRPr="00362C8E">
        <w:rPr>
          <w:rFonts w:hint="eastAsia"/>
          <w:rtl/>
        </w:rPr>
        <w:t>הציבוריים</w:t>
      </w:r>
      <w:r w:rsidRPr="00362C8E">
        <w:rPr>
          <w:rtl/>
        </w:rPr>
        <w:t xml:space="preserve"> </w:t>
      </w:r>
      <w:r w:rsidRPr="00362C8E">
        <w:rPr>
          <w:rFonts w:hint="eastAsia"/>
          <w:rtl/>
        </w:rPr>
        <w:t>שהועמדו</w:t>
      </w:r>
      <w:r w:rsidRPr="00362C8E">
        <w:rPr>
          <w:rtl/>
        </w:rPr>
        <w:t xml:space="preserve"> </w:t>
      </w:r>
      <w:r w:rsidRPr="00362C8E">
        <w:rPr>
          <w:rFonts w:hint="eastAsia"/>
          <w:rtl/>
        </w:rPr>
        <w:t>לרשותה</w:t>
      </w:r>
      <w:r w:rsidRPr="00362C8E">
        <w:rPr>
          <w:rtl/>
        </w:rPr>
        <w:t xml:space="preserve"> </w:t>
      </w:r>
      <w:r>
        <w:rPr>
          <w:rFonts w:hint="cs"/>
          <w:rtl/>
        </w:rPr>
        <w:t>כ</w:t>
      </w:r>
      <w:r w:rsidRPr="00362C8E">
        <w:rPr>
          <w:rFonts w:hint="eastAsia"/>
          <w:rtl/>
        </w:rPr>
        <w:t>כלי</w:t>
      </w:r>
      <w:r w:rsidRPr="00362C8E">
        <w:rPr>
          <w:rtl/>
        </w:rPr>
        <w:t xml:space="preserve"> </w:t>
      </w:r>
      <w:r w:rsidRPr="00362C8E">
        <w:rPr>
          <w:rFonts w:hint="eastAsia"/>
          <w:rtl/>
        </w:rPr>
        <w:t>נוסף</w:t>
      </w:r>
      <w:r w:rsidRPr="00362C8E">
        <w:rPr>
          <w:rtl/>
        </w:rPr>
        <w:t xml:space="preserve"> </w:t>
      </w:r>
      <w:r w:rsidRPr="00362C8E">
        <w:rPr>
          <w:rFonts w:hint="eastAsia"/>
          <w:rtl/>
        </w:rPr>
        <w:t>לקבלת</w:t>
      </w:r>
      <w:r w:rsidRPr="00362C8E">
        <w:rPr>
          <w:rtl/>
        </w:rPr>
        <w:t xml:space="preserve"> </w:t>
      </w:r>
      <w:r w:rsidRPr="00362C8E">
        <w:rPr>
          <w:rFonts w:hint="eastAsia"/>
          <w:rtl/>
        </w:rPr>
        <w:t>החלטות</w:t>
      </w:r>
      <w:r w:rsidRPr="00362C8E">
        <w:rPr>
          <w:rtl/>
        </w:rPr>
        <w:t xml:space="preserve">. כמו כן, </w:t>
      </w:r>
      <w:r>
        <w:rPr>
          <w:rFonts w:hint="cs"/>
          <w:rtl/>
        </w:rPr>
        <w:t>מוצע לשקול</w:t>
      </w:r>
      <w:r w:rsidRPr="00E61B63">
        <w:rPr>
          <w:rtl/>
        </w:rPr>
        <w:t xml:space="preserve"> לעגן בנוהל או בהחלטה מחייבת אחרת את החובה </w:t>
      </w:r>
      <w:r>
        <w:rPr>
          <w:rFonts w:hint="cs"/>
          <w:rtl/>
        </w:rPr>
        <w:t xml:space="preserve">של השרים ושל המנכ"לים של משרדי הממשלה </w:t>
      </w:r>
      <w:r w:rsidRPr="00E61B63">
        <w:rPr>
          <w:rtl/>
        </w:rPr>
        <w:t xml:space="preserve">לדון בדוחות הכספיים </w:t>
      </w:r>
      <w:r>
        <w:rPr>
          <w:rFonts w:hint="cs"/>
          <w:rtl/>
        </w:rPr>
        <w:t>של משרדיהם</w:t>
      </w:r>
      <w:r w:rsidRPr="00E61B63">
        <w:rPr>
          <w:rtl/>
        </w:rPr>
        <w:t>.</w:t>
      </w:r>
      <w:r>
        <w:rPr>
          <w:rtl/>
        </w:rPr>
        <w:t xml:space="preserve"> </w:t>
      </w:r>
    </w:p>
    <w:p w14:paraId="310C4793" w14:textId="77777777" w:rsidR="00867DA1" w:rsidRDefault="00867DA1" w:rsidP="008163C1">
      <w:pPr>
        <w:pStyle w:val="100"/>
        <w:rPr>
          <w:rtl/>
        </w:rPr>
      </w:pPr>
      <w:r>
        <w:rPr>
          <w:rFonts w:hint="cs"/>
          <w:rtl/>
        </w:rPr>
        <w:t xml:space="preserve">החשבונאי הראשי ציין בתשובתו כי הדוחות הכספיים מוגשים לשר האוצר וליו"ר הכנסת, ובמידה ותתקבל פנייה מהם הם ייענו בהתאם. </w:t>
      </w:r>
    </w:p>
    <w:p w14:paraId="2F22A49D" w14:textId="77777777" w:rsidR="00867DA1" w:rsidRDefault="00867DA1" w:rsidP="008163C1">
      <w:pPr>
        <w:pStyle w:val="316"/>
        <w:rPr>
          <w:rtl/>
        </w:rPr>
      </w:pPr>
      <w:r>
        <w:rPr>
          <w:rFonts w:hint="cs"/>
          <w:rtl/>
        </w:rPr>
        <w:lastRenderedPageBreak/>
        <w:t xml:space="preserve">סיכום </w:t>
      </w:r>
    </w:p>
    <w:p w14:paraId="4AE6F558" w14:textId="77777777" w:rsidR="00867DA1" w:rsidRDefault="00867DA1" w:rsidP="008163C1">
      <w:pPr>
        <w:pStyle w:val="316"/>
        <w:rPr>
          <w:rtl/>
        </w:rPr>
      </w:pPr>
      <w:r>
        <w:rPr>
          <w:rFonts w:hint="cs"/>
          <w:rtl/>
        </w:rPr>
        <w:t>קידום והשלמה של תהליך הכנת הדוחות הכספיים המבוקרים של המדינה</w:t>
      </w:r>
    </w:p>
    <w:p w14:paraId="70BDDB62" w14:textId="77777777" w:rsidR="00867DA1" w:rsidRDefault="00867DA1" w:rsidP="008163C1">
      <w:pPr>
        <w:pStyle w:val="af5"/>
        <w:rPr>
          <w:rtl/>
        </w:rPr>
      </w:pPr>
      <w:r>
        <w:rPr>
          <w:rFonts w:hint="cs"/>
          <w:rtl/>
        </w:rPr>
        <w:t xml:space="preserve">כאמור, </w:t>
      </w:r>
      <w:r w:rsidRPr="00DD77A1">
        <w:rPr>
          <w:rFonts w:hint="cs"/>
          <w:rtl/>
        </w:rPr>
        <w:t xml:space="preserve">הדוחות הכספיים הם אחד הערוצים העיקריים להעברת מידע על </w:t>
      </w:r>
      <w:r>
        <w:rPr>
          <w:rFonts w:hint="cs"/>
          <w:rtl/>
        </w:rPr>
        <w:t>המדינה</w:t>
      </w:r>
      <w:r w:rsidRPr="00DD77A1">
        <w:rPr>
          <w:rFonts w:hint="cs"/>
          <w:rtl/>
        </w:rPr>
        <w:t xml:space="preserve"> אל </w:t>
      </w:r>
      <w:r>
        <w:rPr>
          <w:rFonts w:hint="cs"/>
          <w:rtl/>
        </w:rPr>
        <w:t>ה</w:t>
      </w:r>
      <w:r w:rsidRPr="00DD77A1">
        <w:rPr>
          <w:rFonts w:hint="cs"/>
          <w:rtl/>
        </w:rPr>
        <w:t>ציבור</w:t>
      </w:r>
      <w:r>
        <w:rPr>
          <w:rFonts w:hint="cs"/>
          <w:rtl/>
        </w:rPr>
        <w:t xml:space="preserve"> ולאיתור מגמות וסיכונים פיננסיים וכספיים, והם כלי ניהולי ראשון במעלה לצורך מימוש מדיניות וקבלת החלטות. מכאן נובעת </w:t>
      </w:r>
      <w:r w:rsidRPr="00DD77A1">
        <w:rPr>
          <w:rFonts w:hint="cs"/>
          <w:rtl/>
        </w:rPr>
        <w:t xml:space="preserve">החשיבות המכרעת שיש לכללי החשבונאות בעיצוב המידע המועבר. </w:t>
      </w:r>
      <w:r>
        <w:rPr>
          <w:rFonts w:hint="cs"/>
          <w:rtl/>
        </w:rPr>
        <w:t xml:space="preserve">מקבלי ההחלטות צריכים לשאוף לקבל </w:t>
      </w:r>
      <w:r w:rsidRPr="00DD77A1">
        <w:rPr>
          <w:rFonts w:hint="cs"/>
          <w:rtl/>
        </w:rPr>
        <w:t xml:space="preserve">דיווח חשבונאי ממשלתי </w:t>
      </w:r>
      <w:r>
        <w:rPr>
          <w:rFonts w:hint="cs"/>
          <w:rtl/>
        </w:rPr>
        <w:t>שלם ואמין כדי להגביר את השקיפות, לאפשר בקרה</w:t>
      </w:r>
      <w:r w:rsidRPr="00DD77A1">
        <w:rPr>
          <w:rFonts w:hint="cs"/>
          <w:rtl/>
        </w:rPr>
        <w:t xml:space="preserve"> ו</w:t>
      </w:r>
      <w:r>
        <w:rPr>
          <w:rFonts w:hint="cs"/>
          <w:rtl/>
        </w:rPr>
        <w:t>לה</w:t>
      </w:r>
      <w:r w:rsidRPr="00DD77A1">
        <w:rPr>
          <w:rFonts w:hint="cs"/>
          <w:rtl/>
        </w:rPr>
        <w:t xml:space="preserve">גביר את הנשיאה </w:t>
      </w:r>
      <w:r>
        <w:rPr>
          <w:rFonts w:hint="cs"/>
          <w:rtl/>
        </w:rPr>
        <w:t>של בעלי התפקידים הרלוונטיים</w:t>
      </w:r>
      <w:r w:rsidRPr="001A6C1F">
        <w:rPr>
          <w:rFonts w:hint="cs"/>
          <w:rtl/>
        </w:rPr>
        <w:t xml:space="preserve"> </w:t>
      </w:r>
      <w:r>
        <w:rPr>
          <w:rFonts w:hint="cs"/>
          <w:rtl/>
        </w:rPr>
        <w:t xml:space="preserve">באחריות. לשם יישום האמור, </w:t>
      </w:r>
      <w:r w:rsidRPr="00DD77A1">
        <w:rPr>
          <w:rFonts w:hint="cs"/>
          <w:rtl/>
        </w:rPr>
        <w:t xml:space="preserve">יש </w:t>
      </w:r>
      <w:r>
        <w:rPr>
          <w:rFonts w:hint="cs"/>
          <w:rtl/>
        </w:rPr>
        <w:t>ליישם</w:t>
      </w:r>
      <w:r w:rsidRPr="00DD77A1">
        <w:rPr>
          <w:rFonts w:hint="cs"/>
          <w:rtl/>
        </w:rPr>
        <w:t xml:space="preserve"> </w:t>
      </w:r>
      <w:r>
        <w:rPr>
          <w:rFonts w:hint="cs"/>
          <w:rtl/>
        </w:rPr>
        <w:t>כמה</w:t>
      </w:r>
      <w:r w:rsidRPr="00DD77A1">
        <w:rPr>
          <w:rFonts w:hint="cs"/>
          <w:rtl/>
        </w:rPr>
        <w:t xml:space="preserve"> אבני דרך מהותי</w:t>
      </w:r>
      <w:r>
        <w:rPr>
          <w:rFonts w:hint="cs"/>
          <w:rtl/>
        </w:rPr>
        <w:t>ות</w:t>
      </w:r>
      <w:r w:rsidRPr="00DD77A1">
        <w:rPr>
          <w:rFonts w:hint="cs"/>
          <w:rtl/>
        </w:rPr>
        <w:t xml:space="preserve"> </w:t>
      </w:r>
      <w:r>
        <w:rPr>
          <w:rFonts w:hint="cs"/>
          <w:rtl/>
        </w:rPr>
        <w:t xml:space="preserve">שיביאו ליצירת </w:t>
      </w:r>
      <w:r w:rsidRPr="00DD77A1">
        <w:rPr>
          <w:rFonts w:hint="cs"/>
          <w:rtl/>
        </w:rPr>
        <w:t>דוח</w:t>
      </w:r>
      <w:r>
        <w:rPr>
          <w:rFonts w:hint="cs"/>
          <w:rtl/>
        </w:rPr>
        <w:t>ות</w:t>
      </w:r>
      <w:r w:rsidRPr="00DD77A1">
        <w:rPr>
          <w:rFonts w:hint="cs"/>
          <w:rtl/>
        </w:rPr>
        <w:t xml:space="preserve"> כספי</w:t>
      </w:r>
      <w:r>
        <w:rPr>
          <w:rFonts w:hint="cs"/>
          <w:rtl/>
        </w:rPr>
        <w:t>ים</w:t>
      </w:r>
      <w:r w:rsidRPr="00DD77A1">
        <w:rPr>
          <w:rFonts w:hint="cs"/>
          <w:rtl/>
        </w:rPr>
        <w:t xml:space="preserve"> של</w:t>
      </w:r>
      <w:r>
        <w:rPr>
          <w:rFonts w:hint="cs"/>
          <w:rtl/>
        </w:rPr>
        <w:t>מי</w:t>
      </w:r>
      <w:r w:rsidRPr="00DD77A1">
        <w:rPr>
          <w:rFonts w:hint="cs"/>
          <w:rtl/>
        </w:rPr>
        <w:t>ם, מבוקר</w:t>
      </w:r>
      <w:r>
        <w:rPr>
          <w:rFonts w:hint="cs"/>
          <w:rtl/>
        </w:rPr>
        <w:t>ים וערוכים</w:t>
      </w:r>
      <w:r w:rsidRPr="00DD77A1">
        <w:rPr>
          <w:rFonts w:hint="cs"/>
          <w:rtl/>
        </w:rPr>
        <w:t xml:space="preserve"> על פי התק</w:t>
      </w:r>
      <w:r>
        <w:rPr>
          <w:rFonts w:hint="cs"/>
          <w:rtl/>
        </w:rPr>
        <w:t>ינה החשבונאית הממשלתית העדכנית:</w:t>
      </w:r>
    </w:p>
    <w:p w14:paraId="24E81AB3" w14:textId="7D7F77CC" w:rsidR="00867DA1" w:rsidRPr="008163C1" w:rsidRDefault="00867DA1" w:rsidP="008163C1">
      <w:pPr>
        <w:pStyle w:val="aa"/>
        <w:rPr>
          <w:b/>
          <w:bCs/>
          <w:rtl/>
        </w:rPr>
      </w:pPr>
      <w:r w:rsidRPr="004254E2">
        <w:rPr>
          <w:rFonts w:hint="eastAsia"/>
          <w:rtl/>
        </w:rPr>
        <w:t>תרשים</w:t>
      </w:r>
      <w:r w:rsidRPr="004254E2">
        <w:rPr>
          <w:rtl/>
        </w:rPr>
        <w:t xml:space="preserve"> </w:t>
      </w:r>
      <w:r w:rsidR="004D0E6D">
        <w:rPr>
          <w:rFonts w:hint="cs"/>
          <w:rtl/>
        </w:rPr>
        <w:t>21</w:t>
      </w:r>
      <w:r>
        <w:rPr>
          <w:rFonts w:hint="cs"/>
          <w:rtl/>
        </w:rPr>
        <w:t>:</w:t>
      </w:r>
      <w:r w:rsidRPr="004254E2">
        <w:rPr>
          <w:rtl/>
        </w:rPr>
        <w:t xml:space="preserve"> </w:t>
      </w:r>
      <w:r w:rsidRPr="008163C1">
        <w:rPr>
          <w:b/>
          <w:bCs/>
          <w:rtl/>
        </w:rPr>
        <w:t>אבני דרך להצגת דוח</w:t>
      </w:r>
      <w:r w:rsidRPr="008163C1">
        <w:rPr>
          <w:rFonts w:hint="cs"/>
          <w:b/>
          <w:bCs/>
          <w:rtl/>
        </w:rPr>
        <w:t>ות</w:t>
      </w:r>
      <w:r w:rsidRPr="008163C1">
        <w:rPr>
          <w:b/>
          <w:bCs/>
          <w:rtl/>
        </w:rPr>
        <w:t xml:space="preserve"> כספי</w:t>
      </w:r>
      <w:r w:rsidRPr="008163C1">
        <w:rPr>
          <w:rFonts w:hint="cs"/>
          <w:b/>
          <w:bCs/>
          <w:rtl/>
        </w:rPr>
        <w:t>ים</w:t>
      </w:r>
      <w:r w:rsidRPr="008163C1">
        <w:rPr>
          <w:b/>
          <w:bCs/>
          <w:rtl/>
        </w:rPr>
        <w:t xml:space="preserve"> של</w:t>
      </w:r>
      <w:r w:rsidRPr="008163C1">
        <w:rPr>
          <w:rFonts w:hint="cs"/>
          <w:b/>
          <w:bCs/>
          <w:rtl/>
        </w:rPr>
        <w:t>מי</w:t>
      </w:r>
      <w:r w:rsidRPr="008163C1">
        <w:rPr>
          <w:b/>
          <w:bCs/>
          <w:rtl/>
        </w:rPr>
        <w:t>ם, מבוקר</w:t>
      </w:r>
      <w:r w:rsidRPr="008163C1">
        <w:rPr>
          <w:rFonts w:hint="cs"/>
          <w:b/>
          <w:bCs/>
          <w:rtl/>
        </w:rPr>
        <w:t>ים</w:t>
      </w:r>
      <w:r w:rsidRPr="008163C1">
        <w:rPr>
          <w:b/>
          <w:bCs/>
          <w:rtl/>
        </w:rPr>
        <w:t xml:space="preserve"> וערו</w:t>
      </w:r>
      <w:r w:rsidRPr="008163C1">
        <w:rPr>
          <w:rFonts w:hint="cs"/>
          <w:b/>
          <w:bCs/>
          <w:rtl/>
        </w:rPr>
        <w:t>כים</w:t>
      </w:r>
      <w:r w:rsidRPr="008163C1">
        <w:rPr>
          <w:b/>
          <w:bCs/>
          <w:rtl/>
        </w:rPr>
        <w:t xml:space="preserve"> על פי התקינה החשבונאית הממשלתית</w:t>
      </w:r>
    </w:p>
    <w:p w14:paraId="7754FB33" w14:textId="77777777" w:rsidR="00867DA1" w:rsidRPr="00C6505A" w:rsidRDefault="00867DA1" w:rsidP="00867DA1">
      <w:pPr>
        <w:spacing w:line="269" w:lineRule="auto"/>
        <w:rPr>
          <w:b/>
          <w:bCs/>
          <w:rtl/>
        </w:rPr>
      </w:pPr>
      <w:r>
        <w:rPr>
          <w:b/>
          <w:bCs/>
          <w:noProof/>
          <w:rtl/>
        </w:rPr>
        <w:drawing>
          <wp:inline distT="0" distB="0" distL="0" distR="0" wp14:anchorId="0AF1E919" wp14:editId="516F4C49">
            <wp:extent cx="5220335" cy="2337210"/>
            <wp:effectExtent l="38100" t="0" r="18415" b="0"/>
            <wp:docPr id="195" name="דיאגרמה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3228CB60" w14:textId="77777777" w:rsidR="00867DA1" w:rsidRDefault="00867DA1" w:rsidP="008163C1">
      <w:pPr>
        <w:pStyle w:val="af5"/>
        <w:rPr>
          <w:rtl/>
        </w:rPr>
      </w:pPr>
      <w:r>
        <w:rPr>
          <w:rFonts w:hint="cs"/>
          <w:rtl/>
        </w:rPr>
        <w:t>אחד מתפקידיו העיקריים של החשב הכללי הוא להציג דוחות כספיים שלמים ומבוקרים של המדינה, ערוכים על פי התקינה החשבונאית הממשלתית. על החשב הכללי להכין תוכנית רב-שנתית, שבה אבני דרך ברורות, כדי שבסופו של דבר, הדוחות הכספיים של המדינה יהיו אמינים, שלמים ומבוקרים, וייערכו בהתאם לתקינה החשבונאית הבין-לאומית העדכנית.</w:t>
      </w:r>
    </w:p>
    <w:p w14:paraId="707A3414" w14:textId="77777777" w:rsidR="00867DA1" w:rsidRPr="00144B98" w:rsidRDefault="00867DA1" w:rsidP="008163C1">
      <w:pPr>
        <w:pStyle w:val="af5"/>
        <w:rPr>
          <w:rtl/>
        </w:rPr>
      </w:pPr>
      <w:r>
        <w:rPr>
          <w:rFonts w:hint="cs"/>
          <w:rtl/>
        </w:rPr>
        <w:t xml:space="preserve">החשבונאי הראשי כתב בתשובתו כי אף שהחוק אינו מחייב את החשב הכללי להציג דו"ח מבוקר, החשב הכללי שם לו למטרה להגיש דוחות כספיים מבוקרים. </w:t>
      </w:r>
    </w:p>
    <w:p w14:paraId="2039D125" w14:textId="77777777" w:rsidR="00867DA1" w:rsidRDefault="00867DA1" w:rsidP="008163C1">
      <w:pPr>
        <w:pStyle w:val="af5"/>
        <w:rPr>
          <w:rtl/>
        </w:rPr>
      </w:pPr>
      <w:r>
        <w:rPr>
          <w:rFonts w:hint="cs"/>
          <w:rtl/>
        </w:rPr>
        <w:lastRenderedPageBreak/>
        <w:t>היום הדו"ח הכספי של המדינה לא נדון בממשלה, זאת בשונה מדו"ח כספי של חברה מסחרית או של כל תאגיד אחר שהדו"ח שלהם צריך להיות מאושר על ידי הדירקטוריון ויש להציגו באסיפה הכללית של הגוף. על החשכ"ל</w:t>
      </w:r>
      <w:r w:rsidRPr="00733773">
        <w:rPr>
          <w:rFonts w:hint="cs"/>
          <w:rtl/>
        </w:rPr>
        <w:t xml:space="preserve"> ל</w:t>
      </w:r>
      <w:r>
        <w:rPr>
          <w:rFonts w:hint="cs"/>
          <w:rtl/>
        </w:rPr>
        <w:t xml:space="preserve">שקול, בשיתוף שר האוצר, את האפשרות להציג לממשלה ולכנסת מדי שנה את </w:t>
      </w:r>
      <w:r w:rsidRPr="00733773">
        <w:rPr>
          <w:rFonts w:hint="cs"/>
          <w:rtl/>
        </w:rPr>
        <w:t>הדוחות</w:t>
      </w:r>
      <w:r>
        <w:rPr>
          <w:rFonts w:hint="cs"/>
          <w:rtl/>
        </w:rPr>
        <w:t xml:space="preserve"> הכספיים, עם פרסומם, כדי</w:t>
      </w:r>
      <w:r w:rsidRPr="00733773">
        <w:rPr>
          <w:rFonts w:hint="cs"/>
          <w:rtl/>
        </w:rPr>
        <w:t xml:space="preserve"> שהמידע המופיע </w:t>
      </w:r>
      <w:r>
        <w:rPr>
          <w:rFonts w:hint="cs"/>
          <w:rtl/>
        </w:rPr>
        <w:t>בהם יובא לפני</w:t>
      </w:r>
      <w:r w:rsidRPr="00733773">
        <w:rPr>
          <w:rFonts w:hint="cs"/>
          <w:rtl/>
        </w:rPr>
        <w:t xml:space="preserve"> </w:t>
      </w:r>
      <w:r>
        <w:rPr>
          <w:rFonts w:hint="cs"/>
          <w:rtl/>
        </w:rPr>
        <w:t xml:space="preserve">מקבלי ההחלטות </w:t>
      </w:r>
      <w:r w:rsidRPr="00733773">
        <w:rPr>
          <w:rFonts w:hint="cs"/>
          <w:rtl/>
        </w:rPr>
        <w:t xml:space="preserve">בצורה מקיפה ומסודרת. </w:t>
      </w:r>
      <w:r>
        <w:rPr>
          <w:rFonts w:hint="cs"/>
          <w:rtl/>
        </w:rPr>
        <w:t>מ</w:t>
      </w:r>
      <w:r w:rsidRPr="00733773">
        <w:rPr>
          <w:rFonts w:hint="cs"/>
          <w:rtl/>
        </w:rPr>
        <w:t xml:space="preserve">הלך זה </w:t>
      </w:r>
      <w:r>
        <w:rPr>
          <w:rFonts w:hint="cs"/>
          <w:rtl/>
        </w:rPr>
        <w:t>עשוי לתרום</w:t>
      </w:r>
      <w:r w:rsidRPr="00733773">
        <w:rPr>
          <w:rFonts w:hint="cs"/>
          <w:rtl/>
        </w:rPr>
        <w:t xml:space="preserve"> גם להגברת האחריותיות</w:t>
      </w:r>
      <w:r>
        <w:rPr>
          <w:rFonts w:hint="cs"/>
          <w:rtl/>
        </w:rPr>
        <w:t xml:space="preserve"> </w:t>
      </w:r>
      <w:r>
        <w:t>A</w:t>
      </w:r>
      <w:r w:rsidRPr="00733773">
        <w:t>ccountability</w:t>
      </w:r>
      <w:r>
        <w:t>)</w:t>
      </w:r>
      <w:r>
        <w:rPr>
          <w:rFonts w:hint="cs"/>
          <w:rtl/>
        </w:rPr>
        <w:t>)</w:t>
      </w:r>
      <w:r w:rsidRPr="00733773">
        <w:rPr>
          <w:rFonts w:hint="cs"/>
          <w:rtl/>
        </w:rPr>
        <w:t xml:space="preserve"> של </w:t>
      </w:r>
      <w:r>
        <w:rPr>
          <w:rFonts w:hint="cs"/>
          <w:rtl/>
        </w:rPr>
        <w:t>הממשלה, לשפר את</w:t>
      </w:r>
      <w:r w:rsidRPr="00733773">
        <w:rPr>
          <w:rFonts w:hint="cs"/>
          <w:rtl/>
        </w:rPr>
        <w:t xml:space="preserve"> השימוש ש</w:t>
      </w:r>
      <w:r>
        <w:rPr>
          <w:rFonts w:hint="cs"/>
          <w:rtl/>
        </w:rPr>
        <w:t>היא עושה</w:t>
      </w:r>
      <w:r w:rsidRPr="00733773">
        <w:rPr>
          <w:rFonts w:hint="cs"/>
          <w:rtl/>
        </w:rPr>
        <w:t xml:space="preserve"> במשאבים הציבוריים שהועמדו לרשותה</w:t>
      </w:r>
      <w:r>
        <w:rPr>
          <w:rFonts w:hint="cs"/>
          <w:rtl/>
        </w:rPr>
        <w:t xml:space="preserve"> ולשמש מצע לדיון בנושא הנכסים וההתחייבויות (ובפרט ארוכי הטווח שבהם) ולבחינה של האתגרים הכלכליים של המדינה לטווח הקצר ולטווח הארוך.</w:t>
      </w:r>
    </w:p>
    <w:p w14:paraId="65193608" w14:textId="77777777" w:rsidR="00867DA1" w:rsidRDefault="00867DA1" w:rsidP="00867DA1">
      <w:pPr>
        <w:spacing w:line="269" w:lineRule="auto"/>
        <w:rPr>
          <w:b/>
          <w:bCs/>
          <w:rtl/>
        </w:rPr>
      </w:pPr>
    </w:p>
    <w:p w14:paraId="133AB696" w14:textId="77777777" w:rsidR="00867DA1" w:rsidRDefault="00867DA1" w:rsidP="00867DA1">
      <w:pPr>
        <w:spacing w:line="269" w:lineRule="auto"/>
        <w:rPr>
          <w:b/>
          <w:bCs/>
          <w:rtl/>
        </w:rPr>
      </w:pPr>
    </w:p>
    <w:bookmarkEnd w:id="2"/>
    <w:bookmarkEnd w:id="3"/>
    <w:bookmarkEnd w:id="4"/>
    <w:bookmarkEnd w:id="5"/>
    <w:bookmarkEnd w:id="6"/>
    <w:p w14:paraId="494C44E8" w14:textId="33F9224F" w:rsidR="009A7EFA" w:rsidRDefault="009A7EFA" w:rsidP="00396BB9">
      <w:pPr>
        <w:bidi w:val="0"/>
        <w:spacing w:after="200" w:line="276" w:lineRule="auto"/>
        <w:rPr>
          <w:rFonts w:ascii="Tahoma" w:hAnsi="Tahoma" w:cs="Tahoma"/>
          <w:szCs w:val="20"/>
          <w:rtl/>
        </w:rPr>
      </w:pPr>
    </w:p>
    <w:sectPr w:rsidR="009A7EFA" w:rsidSect="00CA4D91">
      <w:footerReference w:type="default" r:id="rId87"/>
      <w:headerReference w:type="first" r:id="rId88"/>
      <w:footerReference w:type="first" r:id="rId89"/>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DB553C" w:rsidRDefault="00DB553C">
      <w:pPr>
        <w:spacing w:line="240" w:lineRule="auto"/>
      </w:pPr>
      <w:r>
        <w:separator/>
      </w:r>
    </w:p>
    <w:p w14:paraId="7FDB7CBE" w14:textId="77777777" w:rsidR="00DB553C" w:rsidRDefault="00DB553C"/>
  </w:endnote>
  <w:endnote w:type="continuationSeparator" w:id="0">
    <w:p w14:paraId="6956BE62" w14:textId="77777777" w:rsidR="00DB553C" w:rsidRDefault="00DB553C">
      <w:pPr>
        <w:spacing w:line="240" w:lineRule="auto"/>
      </w:pPr>
      <w:r>
        <w:continuationSeparator/>
      </w:r>
    </w:p>
    <w:p w14:paraId="2BC251DF" w14:textId="77777777" w:rsidR="00DB553C" w:rsidRDefault="00DB55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Narkisim">
    <w:panose1 w:val="020E0502050101010101"/>
    <w:charset w:val="00"/>
    <w:family w:val="swiss"/>
    <w:pitch w:val="variable"/>
    <w:sig w:usb0="00000803" w:usb1="00000000" w:usb2="00000000" w:usb3="00000000" w:csb0="00000021" w:csb1="00000000"/>
  </w:font>
  <w:font w:name="Open Sans Hebrew">
    <w:altName w:val="Times New Roman"/>
    <w:panose1 w:val="00000000000000000000"/>
    <w:charset w:val="00"/>
    <w:family w:val="roman"/>
    <w:notTrueType/>
    <w:pitch w:val="default"/>
  </w:font>
  <w:font w:name="OpenSansHebr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F0C8025" w:rsidR="00DB553C" w:rsidRPr="009A7EFA" w:rsidRDefault="00DB553C" w:rsidP="009A7EF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הדוחות הכספיים של מדינת ישראל ליום 31.12.18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0067410E" w:rsidR="00DB553C" w:rsidRPr="008C0B8B" w:rsidRDefault="00DB553C" w:rsidP="008C0B8B">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הדוחות הכספיים של מדינת ישראל ליום 31.12.18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B553C" w:rsidRPr="00D15500" w:rsidRDefault="00DB553C" w:rsidP="00D15500">
    <w:pPr>
      <w:pStyle w:val="Footer"/>
      <w:spacing w:after="120" w:line="312" w:lineRule="auto"/>
      <w:jc w:val="right"/>
      <w:rPr>
        <w:rFonts w:ascii="Tahoma" w:hAnsi="Tahoma" w:cs="Tahoma"/>
        <w:color w:val="002060"/>
        <w:sz w:val="18"/>
        <w:szCs w:val="18"/>
      </w:rPr>
    </w:pPr>
    <w:bookmarkStart w:id="17" w:name="tempMark"/>
    <w:bookmarkEnd w:id="1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DB553C" w:rsidRDefault="00DB553C" w:rsidP="00C23CC9">
      <w:pPr>
        <w:spacing w:line="240" w:lineRule="auto"/>
      </w:pPr>
      <w:r>
        <w:separator/>
      </w:r>
    </w:p>
  </w:footnote>
  <w:footnote w:type="continuationSeparator" w:id="0">
    <w:p w14:paraId="10B5AFA0" w14:textId="77777777" w:rsidR="00DB553C" w:rsidRDefault="00DB553C" w:rsidP="00C23CC9">
      <w:pPr>
        <w:spacing w:line="240" w:lineRule="auto"/>
      </w:pPr>
      <w:r>
        <w:continuationSeparator/>
      </w:r>
    </w:p>
    <w:p w14:paraId="095B6F42" w14:textId="77777777" w:rsidR="00DB553C" w:rsidRDefault="00DB553C"/>
  </w:footnote>
  <w:footnote w:id="1">
    <w:p w14:paraId="66F731E6" w14:textId="77777777" w:rsidR="00DB553C" w:rsidRDefault="00DB553C" w:rsidP="005E5A5D">
      <w:pPr>
        <w:pStyle w:val="a9"/>
      </w:pPr>
      <w:r w:rsidRPr="005E5A5D">
        <w:footnoteRef/>
      </w:r>
      <w:r w:rsidRPr="005E5A5D">
        <w:rPr>
          <w:rtl/>
        </w:rPr>
        <w:t xml:space="preserve"> </w:t>
      </w:r>
      <w:r w:rsidRPr="005E5A5D">
        <w:rPr>
          <w:rtl/>
        </w:rPr>
        <w:tab/>
      </w:r>
      <w:r w:rsidRPr="005E5A5D">
        <w:rPr>
          <w:rFonts w:hint="cs"/>
          <w:rtl/>
        </w:rPr>
        <w:t>ראו גם מבקר</w:t>
      </w:r>
      <w:r>
        <w:rPr>
          <w:rFonts w:hint="cs"/>
          <w:rtl/>
        </w:rPr>
        <w:t xml:space="preserve"> המדינה, </w:t>
      </w:r>
      <w:r w:rsidRPr="00951627">
        <w:rPr>
          <w:rFonts w:hint="cs"/>
          <w:b/>
          <w:bCs/>
          <w:rtl/>
        </w:rPr>
        <w:t xml:space="preserve">דוח שנתי </w:t>
      </w:r>
      <w:r>
        <w:rPr>
          <w:rFonts w:hint="cs"/>
          <w:b/>
          <w:bCs/>
          <w:rtl/>
        </w:rPr>
        <w:t>67ב</w:t>
      </w:r>
      <w:r>
        <w:rPr>
          <w:rFonts w:hint="cs"/>
          <w:rtl/>
        </w:rPr>
        <w:t xml:space="preserve"> (2017), "מאזן המדינה ליום 31.12.15 - השקעות בישויות ותאגידים המוחזקים על ידי המדינה", עמ' 228.</w:t>
      </w:r>
    </w:p>
  </w:footnote>
  <w:footnote w:id="2">
    <w:p w14:paraId="34422AFC" w14:textId="77777777" w:rsidR="00DB553C" w:rsidRDefault="00DB553C" w:rsidP="001C5D33">
      <w:pPr>
        <w:pStyle w:val="a9"/>
      </w:pPr>
      <w:r w:rsidRPr="001C5D33">
        <w:footnoteRef/>
      </w:r>
      <w:r w:rsidRPr="001C5D33">
        <w:rPr>
          <w:rtl/>
        </w:rPr>
        <w:t xml:space="preserve"> </w:t>
      </w:r>
      <w:r w:rsidRPr="001C5D33">
        <w:rPr>
          <w:rtl/>
        </w:rPr>
        <w:tab/>
      </w:r>
      <w:r w:rsidRPr="001C5D33">
        <w:rPr>
          <w:rFonts w:hint="cs"/>
          <w:rtl/>
        </w:rPr>
        <w:t>תאגיד סטטוטורי הוא</w:t>
      </w:r>
      <w:r>
        <w:rPr>
          <w:rFonts w:hint="cs"/>
          <w:rtl/>
        </w:rPr>
        <w:t xml:space="preserve"> ישות בעלת אישיות משפטית נפרדת, שהוקמה מכוח חוק או חיקוק או צו הממלאת תפקיד בעל אופי ציבורי שלא למטרת השאת רווחים.</w:t>
      </w:r>
    </w:p>
  </w:footnote>
  <w:footnote w:id="3">
    <w:p w14:paraId="6977C4A2" w14:textId="77777777" w:rsidR="00DB553C" w:rsidRPr="001C5D33" w:rsidRDefault="00DB553C" w:rsidP="001C5D33">
      <w:pPr>
        <w:pStyle w:val="a9"/>
      </w:pPr>
      <w:r w:rsidRPr="001C5D33">
        <w:rPr>
          <w:rStyle w:val="FootnoteReference"/>
          <w:vertAlign w:val="baseline"/>
        </w:rPr>
        <w:footnoteRef/>
      </w:r>
      <w:r w:rsidRPr="001C5D33">
        <w:rPr>
          <w:rtl/>
        </w:rPr>
        <w:t xml:space="preserve"> </w:t>
      </w:r>
      <w:r w:rsidRPr="001C5D33">
        <w:rPr>
          <w:rFonts w:hint="cs"/>
          <w:rtl/>
        </w:rPr>
        <w:tab/>
        <w:t xml:space="preserve">ראו פרק בנושא </w:t>
      </w:r>
      <w:r w:rsidRPr="001C5D33">
        <w:rPr>
          <w:rtl/>
        </w:rPr>
        <w:t>הליך התקנת התקינה החשבונאית הממשלתית בישראל</w:t>
      </w:r>
      <w:r w:rsidRPr="001C5D33">
        <w:rPr>
          <w:rFonts w:hint="cs"/>
          <w:rtl/>
        </w:rPr>
        <w:t>.</w:t>
      </w:r>
    </w:p>
  </w:footnote>
  <w:footnote w:id="4">
    <w:p w14:paraId="32BF78CF" w14:textId="77777777" w:rsidR="00DB553C" w:rsidRPr="001C5D33" w:rsidRDefault="00DB553C" w:rsidP="001C5D33">
      <w:pPr>
        <w:pStyle w:val="a9"/>
        <w:rPr>
          <w:rtl/>
        </w:rPr>
      </w:pPr>
      <w:r w:rsidRPr="001C5D33">
        <w:rPr>
          <w:rStyle w:val="FootnoteReference"/>
          <w:vertAlign w:val="baseline"/>
        </w:rPr>
        <w:footnoteRef/>
      </w:r>
      <w:r w:rsidRPr="001C5D33">
        <w:rPr>
          <w:rtl/>
        </w:rPr>
        <w:t xml:space="preserve"> </w:t>
      </w:r>
      <w:r w:rsidRPr="001C5D33">
        <w:rPr>
          <w:rtl/>
        </w:rPr>
        <w:tab/>
      </w:r>
      <w:r w:rsidRPr="001C5D33">
        <w:rPr>
          <w:rFonts w:hint="cs"/>
          <w:rtl/>
        </w:rPr>
        <w:t>ההכנסות מוכרות בעת התהוותן, ללא קשר למועד גבייתן, וההוצאות מוכרות בעת היווצרות המחויבות, ללא קשר למועד הפירעו</w:t>
      </w:r>
      <w:r w:rsidRPr="001C5D33">
        <w:rPr>
          <w:rFonts w:hint="eastAsia"/>
          <w:rtl/>
        </w:rPr>
        <w:t>ן</w:t>
      </w:r>
      <w:r w:rsidRPr="001C5D33">
        <w:rPr>
          <w:rFonts w:hint="cs"/>
          <w:rtl/>
        </w:rPr>
        <w:t>.</w:t>
      </w:r>
    </w:p>
  </w:footnote>
  <w:footnote w:id="5">
    <w:p w14:paraId="768A5DA2" w14:textId="77777777" w:rsidR="00DB553C" w:rsidRPr="005C3EA3" w:rsidRDefault="00DB553C" w:rsidP="001C5D33">
      <w:pPr>
        <w:pStyle w:val="a9"/>
      </w:pPr>
      <w:r w:rsidRPr="001C5D33">
        <w:rPr>
          <w:rStyle w:val="FootnoteReference"/>
          <w:vertAlign w:val="baseline"/>
        </w:rPr>
        <w:footnoteRef/>
      </w:r>
      <w:r w:rsidRPr="001C5D33">
        <w:rPr>
          <w:rtl/>
        </w:rPr>
        <w:t xml:space="preserve"> </w:t>
      </w:r>
      <w:r w:rsidRPr="001C5D33">
        <w:rPr>
          <w:rtl/>
        </w:rPr>
        <w:tab/>
        <w:t>דוח</w:t>
      </w:r>
      <w:r w:rsidRPr="001C5D33">
        <w:rPr>
          <w:rFonts w:hint="cs"/>
          <w:rtl/>
        </w:rPr>
        <w:t>ות</w:t>
      </w:r>
      <w:r w:rsidRPr="001C5D33">
        <w:rPr>
          <w:rtl/>
        </w:rPr>
        <w:t xml:space="preserve"> כספי</w:t>
      </w:r>
      <w:r w:rsidRPr="001C5D33">
        <w:rPr>
          <w:rFonts w:hint="cs"/>
          <w:rtl/>
        </w:rPr>
        <w:t>ים</w:t>
      </w:r>
      <w:r w:rsidRPr="001C5D33">
        <w:rPr>
          <w:rtl/>
        </w:rPr>
        <w:t xml:space="preserve"> המשק</w:t>
      </w:r>
      <w:r w:rsidRPr="001C5D33">
        <w:rPr>
          <w:rFonts w:hint="cs"/>
          <w:rtl/>
        </w:rPr>
        <w:t>פים</w:t>
      </w:r>
      <w:r w:rsidRPr="001C5D33">
        <w:rPr>
          <w:rtl/>
        </w:rPr>
        <w:t xml:space="preserve"> את מצב הנכסים וההתחייבויות שלהן יחד (מאזן מאוחד), את התוצאות העסקיות ואת</w:t>
      </w:r>
      <w:r w:rsidRPr="005C3EA3">
        <w:rPr>
          <w:rtl/>
        </w:rPr>
        <w:t xml:space="preserve"> תזרימי המזומנים (או השינויים במצב הכספי) המשותפים (דוח רווח והפסד מאוחד ודוח מאוחד של תזרימי המזומנים).</w:t>
      </w:r>
    </w:p>
  </w:footnote>
  <w:footnote w:id="6">
    <w:p w14:paraId="35371826" w14:textId="77777777" w:rsidR="00DB553C" w:rsidRPr="004F1D97" w:rsidRDefault="00DB553C" w:rsidP="004F1D97">
      <w:pPr>
        <w:pStyle w:val="a9"/>
        <w:rPr>
          <w:rtl/>
        </w:rPr>
      </w:pPr>
      <w:r w:rsidRPr="004F1D97">
        <w:rPr>
          <w:rStyle w:val="FootnoteReference"/>
          <w:vertAlign w:val="baseline"/>
        </w:rPr>
        <w:footnoteRef/>
      </w:r>
      <w:r w:rsidRPr="004F1D97">
        <w:rPr>
          <w:rtl/>
        </w:rPr>
        <w:t xml:space="preserve"> </w:t>
      </w:r>
      <w:r w:rsidRPr="004F1D97">
        <w:rPr>
          <w:rtl/>
        </w:rPr>
        <w:tab/>
      </w:r>
      <w:r w:rsidRPr="004F1D97">
        <w:rPr>
          <w:rFonts w:hint="cs"/>
          <w:rtl/>
        </w:rPr>
        <w:t xml:space="preserve">דיווח על בסיס מזומן אינו חשבונאי. אין בו הפרדה מהותית בין הוצאות לנכסים ובין הכנסות להתחייבויות. הנכסים וההתחייבויות נרשמים עם התשלום או עם קבלת המזומן/הנכס בפועל, בדיוק כמו הוצאות והכנסות. </w:t>
      </w:r>
    </w:p>
  </w:footnote>
  <w:footnote w:id="7">
    <w:p w14:paraId="1DA62CDE" w14:textId="77777777" w:rsidR="00DB553C" w:rsidRDefault="00DB553C" w:rsidP="004F1D97">
      <w:pPr>
        <w:pStyle w:val="a9"/>
        <w:rPr>
          <w:rtl/>
        </w:rPr>
      </w:pPr>
      <w:r w:rsidRPr="004F1D97">
        <w:rPr>
          <w:rStyle w:val="FootnoteReference"/>
          <w:vertAlign w:val="baseline"/>
        </w:rPr>
        <w:footnoteRef/>
      </w:r>
      <w:r w:rsidRPr="004F1D97">
        <w:rPr>
          <w:rtl/>
        </w:rPr>
        <w:t xml:space="preserve"> </w:t>
      </w:r>
      <w:r w:rsidRPr="004F1D97">
        <w:rPr>
          <w:rtl/>
        </w:rPr>
        <w:tab/>
      </w:r>
      <w:r w:rsidRPr="004F1D97">
        <w:t>International Federation of Accountants</w:t>
      </w:r>
    </w:p>
  </w:footnote>
  <w:footnote w:id="8">
    <w:p w14:paraId="0B1409EF" w14:textId="77777777" w:rsidR="00DB553C" w:rsidRPr="007E4831" w:rsidRDefault="00DB553C" w:rsidP="007E4831">
      <w:pPr>
        <w:pStyle w:val="a9"/>
      </w:pPr>
      <w:r w:rsidRPr="007E4831">
        <w:rPr>
          <w:rStyle w:val="FootnoteReference"/>
          <w:vertAlign w:val="baseline"/>
        </w:rPr>
        <w:footnoteRef/>
      </w:r>
      <w:r w:rsidRPr="007E4831">
        <w:rPr>
          <w:rtl/>
        </w:rPr>
        <w:t xml:space="preserve"> </w:t>
      </w:r>
      <w:r w:rsidRPr="007E4831">
        <w:rPr>
          <w:rtl/>
        </w:rPr>
        <w:tab/>
      </w:r>
      <w:r w:rsidRPr="007E4831">
        <w:rPr>
          <w:rFonts w:hint="cs"/>
          <w:rtl/>
        </w:rPr>
        <w:t>בסיס דיווח המשלב בין בסיס דיווח מצטבר לבסיס דיווח מזומן. בשיטה זו אין רושמים את כל הנכסים (קבועים ושוטפים), כולל נכסים מהותיים, ואין רושמים את כל ההתחייבויות, לרבות התחייבויות מהותיות.</w:t>
      </w:r>
    </w:p>
  </w:footnote>
  <w:footnote w:id="9">
    <w:p w14:paraId="1ACDBBAA" w14:textId="77777777" w:rsidR="00DB553C" w:rsidRPr="007E4831" w:rsidRDefault="00DB553C" w:rsidP="007E4831">
      <w:pPr>
        <w:pStyle w:val="a9"/>
      </w:pPr>
      <w:r w:rsidRPr="007E4831">
        <w:rPr>
          <w:rStyle w:val="FootnoteReference"/>
          <w:vertAlign w:val="baseline"/>
        </w:rPr>
        <w:footnoteRef/>
      </w:r>
      <w:r w:rsidRPr="007E4831">
        <w:rPr>
          <w:rtl/>
        </w:rPr>
        <w:t xml:space="preserve"> </w:t>
      </w:r>
      <w:r w:rsidRPr="007E4831">
        <w:rPr>
          <w:rtl/>
        </w:rPr>
        <w:tab/>
      </w:r>
      <w:r w:rsidRPr="007E4831">
        <w:rPr>
          <w:rFonts w:hint="cs"/>
          <w:rtl/>
        </w:rPr>
        <w:t>ביולי 1997 מינה שר הפנים, בהתאם להחלטת ממשלה, ועדה ציבורית לבחון את כללי הדיווח ברשויות מקומיות.</w:t>
      </w:r>
    </w:p>
  </w:footnote>
  <w:footnote w:id="10">
    <w:p w14:paraId="61A5382E" w14:textId="77777777" w:rsidR="00DB553C" w:rsidRPr="007E4831" w:rsidRDefault="00DB553C" w:rsidP="007E4831">
      <w:pPr>
        <w:pStyle w:val="a9"/>
      </w:pPr>
      <w:r w:rsidRPr="007E4831">
        <w:rPr>
          <w:rStyle w:val="FootnoteReference"/>
          <w:vertAlign w:val="baseline"/>
        </w:rPr>
        <w:footnoteRef/>
      </w:r>
      <w:r w:rsidRPr="007E4831">
        <w:rPr>
          <w:rtl/>
        </w:rPr>
        <w:t xml:space="preserve"> </w:t>
      </w:r>
      <w:r w:rsidRPr="007E4831">
        <w:rPr>
          <w:rtl/>
        </w:rPr>
        <w:tab/>
      </w:r>
      <w:r w:rsidRPr="007E4831">
        <w:rPr>
          <w:rFonts w:hint="cs"/>
          <w:rtl/>
        </w:rPr>
        <w:t xml:space="preserve">דוח הוועדה הציבורית לבחינת מערכת הדיווח הכספי בשלטון המקומי (מסקנות והמלצות), אפריל 2015. </w:t>
      </w:r>
    </w:p>
  </w:footnote>
  <w:footnote w:id="11">
    <w:p w14:paraId="1A692B3C" w14:textId="77777777" w:rsidR="00DB553C" w:rsidRDefault="00DB553C" w:rsidP="007E4831">
      <w:pPr>
        <w:pStyle w:val="a9"/>
      </w:pPr>
      <w:r w:rsidRPr="007E4831">
        <w:rPr>
          <w:rStyle w:val="FootnoteReference"/>
          <w:vertAlign w:val="baseline"/>
        </w:rPr>
        <w:footnoteRef/>
      </w:r>
      <w:r w:rsidRPr="007E4831">
        <w:rPr>
          <w:rtl/>
        </w:rPr>
        <w:t xml:space="preserve"> </w:t>
      </w:r>
      <w:r w:rsidRPr="007E4831">
        <w:rPr>
          <w:rtl/>
        </w:rPr>
        <w:tab/>
      </w:r>
      <w:r w:rsidRPr="007E4831">
        <w:rPr>
          <w:rFonts w:hint="cs"/>
          <w:rtl/>
        </w:rPr>
        <w:t>ראו מבקר המדינה</w:t>
      </w:r>
      <w:r>
        <w:rPr>
          <w:rFonts w:hint="cs"/>
          <w:rtl/>
        </w:rPr>
        <w:t xml:space="preserve">, </w:t>
      </w:r>
      <w:r w:rsidRPr="002B17A1">
        <w:rPr>
          <w:rFonts w:hint="cs"/>
          <w:b/>
          <w:bCs/>
          <w:rtl/>
        </w:rPr>
        <w:t>דוח שנתי</w:t>
      </w:r>
      <w:r>
        <w:rPr>
          <w:rFonts w:hint="cs"/>
          <w:rtl/>
        </w:rPr>
        <w:t xml:space="preserve"> </w:t>
      </w:r>
      <w:r w:rsidRPr="002B17A1">
        <w:rPr>
          <w:rFonts w:hint="cs"/>
          <w:b/>
          <w:bCs/>
          <w:rtl/>
        </w:rPr>
        <w:t>63</w:t>
      </w:r>
      <w:r>
        <w:rPr>
          <w:rFonts w:hint="cs"/>
          <w:rtl/>
        </w:rPr>
        <w:t>ג (2013), בפרק "היבטים בתפקוד משרד הפנים כמאסדר של השלטון המקומי", עמ' 1,272.</w:t>
      </w:r>
    </w:p>
  </w:footnote>
  <w:footnote w:id="12">
    <w:p w14:paraId="4FAC4D33" w14:textId="77777777" w:rsidR="00DB553C" w:rsidRDefault="00DB553C" w:rsidP="00E36F10">
      <w:pPr>
        <w:pStyle w:val="a9"/>
      </w:pPr>
      <w:r w:rsidRPr="00E36F10">
        <w:footnoteRef/>
      </w:r>
      <w:r w:rsidRPr="00E36F10">
        <w:rPr>
          <w:rtl/>
        </w:rPr>
        <w:t xml:space="preserve"> </w:t>
      </w:r>
      <w:r w:rsidRPr="00E36F10">
        <w:rPr>
          <w:rtl/>
        </w:rPr>
        <w:tab/>
      </w:r>
      <w:r w:rsidRPr="00E36F10">
        <w:rPr>
          <w:rFonts w:hint="cs"/>
          <w:rtl/>
        </w:rPr>
        <w:t>היבטים המופיעים בדוחות בהקשר של ישויות אלו: ממשל, מינהל, פיננסים וביטוח, חינוך ותרבות, בריאות, חברה ורווחה</w:t>
      </w:r>
      <w:r>
        <w:rPr>
          <w:rFonts w:hint="cs"/>
          <w:rtl/>
        </w:rPr>
        <w:t>, אנרגיה ומים, תחבורה, בינוי מקרקעין ושיכון, תשתיות, ביטחון וביטחון פנים.</w:t>
      </w:r>
    </w:p>
  </w:footnote>
  <w:footnote w:id="13">
    <w:p w14:paraId="201A8468" w14:textId="77777777" w:rsidR="00DB553C" w:rsidRPr="00CC02BB" w:rsidRDefault="00DB553C" w:rsidP="00CC02BB">
      <w:pPr>
        <w:pStyle w:val="a9"/>
        <w:rPr>
          <w:rtl/>
        </w:rPr>
      </w:pPr>
      <w:r w:rsidRPr="00CC02BB">
        <w:rPr>
          <w:rStyle w:val="FootnoteReference"/>
          <w:vertAlign w:val="baseline"/>
        </w:rPr>
        <w:footnoteRef/>
      </w:r>
      <w:r w:rsidRPr="00CC02BB">
        <w:rPr>
          <w:rtl/>
        </w:rPr>
        <w:t xml:space="preserve"> </w:t>
      </w:r>
      <w:r w:rsidRPr="00CC02BB">
        <w:rPr>
          <w:rtl/>
        </w:rPr>
        <w:tab/>
      </w:r>
      <w:r w:rsidRPr="00CC02BB">
        <w:rPr>
          <w:rFonts w:hint="cs"/>
          <w:rtl/>
        </w:rPr>
        <w:t>בשנת 2015 נבע הגידול בעיקר מכך שלראשונה אוחדו 20 תאגידים סטטוטוריים (שהיקף נכסיהם כ-8.4 מיליארדי ש"ח והיקף ההתחייבויות בגינם הוא כ-6.7 מיליארד</w:t>
      </w:r>
      <w:r w:rsidRPr="00CC02BB">
        <w:rPr>
          <w:rFonts w:hint="eastAsia"/>
          <w:rtl/>
        </w:rPr>
        <w:t>י</w:t>
      </w:r>
      <w:r w:rsidRPr="00CC02BB">
        <w:rPr>
          <w:rFonts w:hint="cs"/>
          <w:rtl/>
        </w:rPr>
        <w:t xml:space="preserve"> ש"ח), והגידול בשנת 2016 נבע בעיקר מכך שלראשונה אוחדו 21 תאגידים סטטוטוריים (שהיקף הנכסים שלהם כ-1.8 מיליארדי ש"ח והיקף ההתחייבויות בגינם הוא כ-1.3 מיליארד</w:t>
      </w:r>
      <w:r w:rsidRPr="00CC02BB">
        <w:rPr>
          <w:rFonts w:hint="eastAsia"/>
          <w:rtl/>
        </w:rPr>
        <w:t>י</w:t>
      </w:r>
      <w:r w:rsidRPr="00CC02BB">
        <w:rPr>
          <w:rFonts w:hint="cs"/>
          <w:rtl/>
        </w:rPr>
        <w:t xml:space="preserve"> ש"ח). </w:t>
      </w:r>
    </w:p>
  </w:footnote>
  <w:footnote w:id="14">
    <w:p w14:paraId="34564C52" w14:textId="77777777" w:rsidR="00DB553C" w:rsidRPr="00CC02BB" w:rsidRDefault="00DB553C" w:rsidP="00CC02BB">
      <w:pPr>
        <w:pStyle w:val="a9"/>
        <w:rPr>
          <w:rtl/>
        </w:rPr>
      </w:pPr>
      <w:r w:rsidRPr="00CC02BB">
        <w:rPr>
          <w:rStyle w:val="FootnoteReference"/>
          <w:vertAlign w:val="baseline"/>
        </w:rPr>
        <w:footnoteRef/>
      </w:r>
      <w:r w:rsidRPr="00CC02BB">
        <w:rPr>
          <w:rtl/>
        </w:rPr>
        <w:t xml:space="preserve"> </w:t>
      </w:r>
      <w:r w:rsidRPr="00CC02BB">
        <w:rPr>
          <w:rtl/>
        </w:rPr>
        <w:tab/>
      </w:r>
      <w:r w:rsidRPr="00CC02BB">
        <w:rPr>
          <w:rFonts w:hint="cs"/>
          <w:rtl/>
        </w:rPr>
        <w:t>סכומים אלו אינם כוללים את הנכסים וההתחייבויות של מערכת הביטחון ואת ההתחייבויות של מינהלת הגמלאות - כ-452 מיליאר</w:t>
      </w:r>
      <w:r w:rsidRPr="00CC02BB">
        <w:rPr>
          <w:rFonts w:hint="eastAsia"/>
          <w:rtl/>
        </w:rPr>
        <w:t>ד</w:t>
      </w:r>
      <w:r w:rsidRPr="00CC02BB">
        <w:rPr>
          <w:rFonts w:hint="cs"/>
          <w:rtl/>
        </w:rPr>
        <w:t xml:space="preserve">י ש"ח. </w:t>
      </w:r>
    </w:p>
  </w:footnote>
  <w:footnote w:id="15">
    <w:p w14:paraId="6DBAA4A7" w14:textId="77777777" w:rsidR="00DB553C" w:rsidRPr="00CC02BB" w:rsidRDefault="00DB553C" w:rsidP="00CC02BB">
      <w:pPr>
        <w:pStyle w:val="a9"/>
      </w:pPr>
      <w:r w:rsidRPr="00CC02BB">
        <w:rPr>
          <w:rStyle w:val="FootnoteReference"/>
          <w:vertAlign w:val="baseline"/>
        </w:rPr>
        <w:footnoteRef/>
      </w:r>
      <w:r w:rsidRPr="00CC02BB">
        <w:rPr>
          <w:rtl/>
        </w:rPr>
        <w:t xml:space="preserve"> </w:t>
      </w:r>
      <w:r w:rsidRPr="00CC02BB">
        <w:rPr>
          <w:rtl/>
        </w:rPr>
        <w:tab/>
      </w:r>
      <w:r w:rsidRPr="00CC02BB">
        <w:rPr>
          <w:rFonts w:hint="cs"/>
          <w:rtl/>
        </w:rPr>
        <w:t xml:space="preserve">יצוין בהקשר זה כי הדוחות הכספיים של החברות הממשלתיות מתקבלים באמצעות רשות החברות הממשלתיות, והדוחות הכספיים של התאגידים הסטטוטוריים מתקבלים ישירות מהתאגידים הסטטוטוריים, שעליהם אין מפקח כל גורם מפקח או מאסדר. </w:t>
      </w:r>
    </w:p>
  </w:footnote>
  <w:footnote w:id="16">
    <w:p w14:paraId="2C4B83B8" w14:textId="77777777" w:rsidR="00DB553C" w:rsidRPr="00CC02BB" w:rsidRDefault="00DB553C" w:rsidP="00CC02BB">
      <w:pPr>
        <w:pStyle w:val="a9"/>
      </w:pPr>
      <w:r w:rsidRPr="00CC02BB">
        <w:rPr>
          <w:rStyle w:val="FootnoteReference"/>
          <w:vertAlign w:val="baseline"/>
        </w:rPr>
        <w:footnoteRef/>
      </w:r>
      <w:r w:rsidRPr="00CC02BB">
        <w:rPr>
          <w:rtl/>
        </w:rPr>
        <w:t xml:space="preserve"> </w:t>
      </w:r>
      <w:r w:rsidRPr="00CC02BB">
        <w:rPr>
          <w:rtl/>
        </w:rPr>
        <w:tab/>
      </w:r>
      <w:r w:rsidRPr="00CC02BB">
        <w:rPr>
          <w:rFonts w:hint="cs"/>
          <w:rtl/>
        </w:rPr>
        <w:t>מדיניות חשבונאית היא מכלול העקרונות, הבסיסים, המוסכמות, הכללים והפרקטיקות שישות מיישמת בהכנת דוחות כספיים ובהצגתם.</w:t>
      </w:r>
    </w:p>
  </w:footnote>
  <w:footnote w:id="17">
    <w:p w14:paraId="6808F6CB" w14:textId="77777777" w:rsidR="00DB553C" w:rsidRPr="00ED241C" w:rsidRDefault="00DB553C" w:rsidP="00CC02BB">
      <w:pPr>
        <w:pStyle w:val="a9"/>
      </w:pPr>
      <w:r w:rsidRPr="00CC02BB">
        <w:rPr>
          <w:rStyle w:val="FootnoteReference"/>
          <w:vertAlign w:val="baseline"/>
        </w:rPr>
        <w:footnoteRef/>
      </w:r>
      <w:r w:rsidRPr="00CC02BB">
        <w:rPr>
          <w:rtl/>
        </w:rPr>
        <w:t xml:space="preserve"> </w:t>
      </w:r>
      <w:r w:rsidRPr="00CC02BB">
        <w:rPr>
          <w:rtl/>
        </w:rPr>
        <w:tab/>
      </w:r>
      <w:r w:rsidRPr="00CC02BB">
        <w:rPr>
          <w:rFonts w:hint="cs"/>
          <w:rtl/>
        </w:rPr>
        <w:t>בנושא חוסר האחידות</w:t>
      </w:r>
      <w:r>
        <w:rPr>
          <w:rFonts w:hint="cs"/>
          <w:rtl/>
        </w:rPr>
        <w:t xml:space="preserve"> במדיניות החשבונאית באיחוד הדוחות הכספיים ראו דוח מבקר המדינה, </w:t>
      </w:r>
      <w:r w:rsidRPr="00951627">
        <w:rPr>
          <w:rFonts w:hint="cs"/>
          <w:b/>
          <w:bCs/>
          <w:rtl/>
        </w:rPr>
        <w:t xml:space="preserve">דוח שנתי </w:t>
      </w:r>
      <w:r>
        <w:rPr>
          <w:rFonts w:hint="cs"/>
          <w:b/>
          <w:bCs/>
          <w:rtl/>
        </w:rPr>
        <w:t>67ב</w:t>
      </w:r>
      <w:r>
        <w:rPr>
          <w:rFonts w:hint="cs"/>
          <w:rtl/>
        </w:rPr>
        <w:t xml:space="preserve"> (2017), "מאזן המדינה ליום 31.12.15 - השקעות בישויות ותאגידים המוחזקים על ידי המדינה", עמ' 236 - 238.</w:t>
      </w:r>
    </w:p>
  </w:footnote>
  <w:footnote w:id="18">
    <w:p w14:paraId="3AF0B87E" w14:textId="77777777" w:rsidR="00DB553C" w:rsidRPr="00A711E4" w:rsidRDefault="00DB553C" w:rsidP="00A711E4">
      <w:pPr>
        <w:pStyle w:val="a9"/>
        <w:rPr>
          <w:rtl/>
        </w:rPr>
      </w:pPr>
      <w:r w:rsidRPr="00A711E4">
        <w:rPr>
          <w:rStyle w:val="FootnoteReference"/>
          <w:vertAlign w:val="baseline"/>
        </w:rPr>
        <w:footnoteRef/>
      </w:r>
      <w:r w:rsidRPr="00A711E4">
        <w:rPr>
          <w:rtl/>
        </w:rPr>
        <w:t xml:space="preserve"> </w:t>
      </w:r>
      <w:r w:rsidRPr="00A711E4">
        <w:rPr>
          <w:rtl/>
        </w:rPr>
        <w:tab/>
      </w:r>
      <w:r w:rsidRPr="00A711E4">
        <w:rPr>
          <w:rFonts w:hint="cs"/>
          <w:rtl/>
        </w:rPr>
        <w:t>הבדיקה נעשתה בהתאם לנתוני הדוחות שפורסמו לכלל הציבור במרשתת.</w:t>
      </w:r>
    </w:p>
  </w:footnote>
  <w:footnote w:id="19">
    <w:p w14:paraId="3FE27F15" w14:textId="77777777" w:rsidR="00DB553C" w:rsidRPr="00A711E4" w:rsidRDefault="00DB553C" w:rsidP="00A711E4">
      <w:pPr>
        <w:pStyle w:val="a9"/>
      </w:pPr>
      <w:r w:rsidRPr="00A711E4">
        <w:rPr>
          <w:rStyle w:val="FootnoteReference"/>
          <w:vertAlign w:val="baseline"/>
        </w:rPr>
        <w:footnoteRef/>
      </w:r>
      <w:r w:rsidRPr="00A711E4">
        <w:rPr>
          <w:rtl/>
        </w:rPr>
        <w:t xml:space="preserve"> </w:t>
      </w:r>
      <w:r w:rsidRPr="00A711E4">
        <w:rPr>
          <w:rtl/>
        </w:rPr>
        <w:tab/>
      </w:r>
      <w:r w:rsidRPr="00A711E4">
        <w:rPr>
          <w:rFonts w:hint="cs"/>
          <w:rtl/>
        </w:rPr>
        <w:t xml:space="preserve">בחינת הליך יישום מבחני השליטה על התאגידים הסטטוטוריים בהתאם לתקן חשבונאות ממשלתי מס' 6 - דוחות מאוחדים ונפרדים (מעודכן 2010) (להלן - תקן 6). בהקשר זה יצוין כי התקן הבינלאומי </w:t>
      </w:r>
      <w:r w:rsidRPr="00A711E4">
        <w:t>IPSAS35</w:t>
      </w:r>
      <w:r w:rsidRPr="00A711E4">
        <w:rPr>
          <w:rFonts w:hint="cs"/>
          <w:rtl/>
        </w:rPr>
        <w:t xml:space="preserve"> החליף את התקן הבינלאומי </w:t>
      </w:r>
      <w:r w:rsidRPr="00A711E4">
        <w:t>IPSAS6</w:t>
      </w:r>
      <w:r w:rsidRPr="00A711E4">
        <w:rPr>
          <w:rFonts w:hint="cs"/>
          <w:rtl/>
        </w:rPr>
        <w:t>, שעליו התבסס תקן 6 עד שבוטל. ראו לעיל בפרק על התקינה החשבונאית הממשלתית.</w:t>
      </w:r>
    </w:p>
  </w:footnote>
  <w:footnote w:id="20">
    <w:p w14:paraId="6F322324" w14:textId="77777777" w:rsidR="00DB553C" w:rsidRDefault="00DB553C" w:rsidP="00A711E4">
      <w:pPr>
        <w:pStyle w:val="a9"/>
        <w:rPr>
          <w:rtl/>
        </w:rPr>
      </w:pPr>
      <w:r w:rsidRPr="00A711E4">
        <w:rPr>
          <w:rStyle w:val="FootnoteReference"/>
          <w:vertAlign w:val="baseline"/>
        </w:rPr>
        <w:footnoteRef/>
      </w:r>
      <w:r w:rsidRPr="00A711E4">
        <w:rPr>
          <w:rtl/>
        </w:rPr>
        <w:t xml:space="preserve"> </w:t>
      </w:r>
      <w:r w:rsidRPr="00A711E4">
        <w:rPr>
          <w:rtl/>
        </w:rPr>
        <w:tab/>
      </w:r>
      <w:r w:rsidRPr="00A711E4">
        <w:rPr>
          <w:rFonts w:hint="cs"/>
          <w:rtl/>
        </w:rPr>
        <w:t>הרשויות המקומיות בישראל נחלקות לשלושה סוגים על פי מעמד מוניציפלי: עירייה, מועצה מקומית ומועצה אזורית. בשנת 2017 פעלו בישראל 255 רשויות מקומיות (77 עיריות, 124 מועצות מקומיות ו-54 מועצות</w:t>
      </w:r>
      <w:r>
        <w:rPr>
          <w:rFonts w:hint="cs"/>
          <w:rtl/>
        </w:rPr>
        <w:t xml:space="preserve"> אזוריות). ראו באתר הלשכה המרכזית לסטטיסטיקה </w:t>
      </w:r>
      <w:hyperlink r:id="rId1" w:history="1">
        <w:r w:rsidRPr="00614351">
          <w:rPr>
            <w:rStyle w:val="Hyperlink"/>
          </w:rPr>
          <w:t>https://www.cbs.gov.il/he/Pages/default.aspx</w:t>
        </w:r>
      </w:hyperlink>
      <w:r>
        <w:rPr>
          <w:rFonts w:hint="cs"/>
          <w:rtl/>
        </w:rPr>
        <w:t xml:space="preserve"> </w:t>
      </w:r>
    </w:p>
  </w:footnote>
  <w:footnote w:id="21">
    <w:p w14:paraId="717B0619" w14:textId="77777777" w:rsidR="00DB553C" w:rsidRPr="00676712" w:rsidRDefault="00DB553C" w:rsidP="00676712">
      <w:pPr>
        <w:pStyle w:val="a9"/>
        <w:rPr>
          <w:rtl/>
        </w:rPr>
      </w:pPr>
      <w:r w:rsidRPr="00676712">
        <w:rPr>
          <w:rStyle w:val="FootnoteReference"/>
          <w:vertAlign w:val="baseline"/>
        </w:rPr>
        <w:footnoteRef/>
      </w:r>
      <w:r w:rsidRPr="00676712">
        <w:rPr>
          <w:rtl/>
        </w:rPr>
        <w:t xml:space="preserve"> </w:t>
      </w:r>
      <w:r w:rsidRPr="00676712">
        <w:rPr>
          <w:rtl/>
        </w:rPr>
        <w:tab/>
      </w:r>
      <w:r w:rsidRPr="00676712">
        <w:rPr>
          <w:rFonts w:hint="cs"/>
          <w:rtl/>
        </w:rPr>
        <w:t>תקנות כספים ומשק - הוראות התכ"ם כוללות הנחיות אופרטיביות, מקצועיות ועדכניות המחייבות את משרדי הממשלה ואת יחידות הסמך שלהם.</w:t>
      </w:r>
    </w:p>
  </w:footnote>
  <w:footnote w:id="22">
    <w:p w14:paraId="17A5EE30" w14:textId="77777777" w:rsidR="00DB553C" w:rsidRPr="00676712" w:rsidRDefault="00DB553C" w:rsidP="00676712">
      <w:pPr>
        <w:pStyle w:val="a9"/>
      </w:pPr>
      <w:r w:rsidRPr="00676712">
        <w:rPr>
          <w:rStyle w:val="FootnoteReference"/>
          <w:vertAlign w:val="baseline"/>
        </w:rPr>
        <w:footnoteRef/>
      </w:r>
      <w:r w:rsidRPr="00676712">
        <w:rPr>
          <w:rtl/>
        </w:rPr>
        <w:t xml:space="preserve"> </w:t>
      </w:r>
      <w:r w:rsidRPr="00676712">
        <w:rPr>
          <w:rtl/>
        </w:rPr>
        <w:tab/>
      </w:r>
      <w:r w:rsidRPr="00676712">
        <w:rPr>
          <w:rFonts w:hint="cs"/>
          <w:rtl/>
        </w:rPr>
        <w:t>הוראת תכ"ם מספר 5.3.0.2, בתוקף מיום 25.12.17.</w:t>
      </w:r>
    </w:p>
  </w:footnote>
  <w:footnote w:id="23">
    <w:p w14:paraId="53AF59B7" w14:textId="77777777" w:rsidR="00DB553C" w:rsidRPr="00676712" w:rsidRDefault="00DB553C" w:rsidP="00676712">
      <w:pPr>
        <w:pStyle w:val="a9"/>
      </w:pPr>
      <w:r w:rsidRPr="00676712">
        <w:rPr>
          <w:rStyle w:val="FootnoteReference"/>
          <w:vertAlign w:val="baseline"/>
        </w:rPr>
        <w:footnoteRef/>
      </w:r>
      <w:r w:rsidRPr="00676712">
        <w:rPr>
          <w:rtl/>
        </w:rPr>
        <w:t xml:space="preserve"> </w:t>
      </w:r>
      <w:r w:rsidRPr="00676712">
        <w:rPr>
          <w:rtl/>
        </w:rPr>
        <w:tab/>
      </w:r>
      <w:r w:rsidRPr="00676712">
        <w:rPr>
          <w:rFonts w:hint="cs"/>
          <w:rtl/>
        </w:rPr>
        <w:t>מערכות מידע ייעודיות של משרדי הממשלה אשר נאגר בהן מידע פיננסי של המשרד הנדרש לדיווחים הכספיים.</w:t>
      </w:r>
    </w:p>
  </w:footnote>
  <w:footnote w:id="24">
    <w:p w14:paraId="091196C1" w14:textId="77777777" w:rsidR="00DB553C" w:rsidRPr="00676712" w:rsidRDefault="00DB553C" w:rsidP="00676712">
      <w:pPr>
        <w:pStyle w:val="a9"/>
        <w:rPr>
          <w:rtl/>
        </w:rPr>
      </w:pPr>
      <w:r w:rsidRPr="00676712">
        <w:rPr>
          <w:rStyle w:val="FootnoteReference"/>
          <w:vertAlign w:val="baseline"/>
        </w:rPr>
        <w:footnoteRef/>
      </w:r>
      <w:r w:rsidRPr="00676712">
        <w:rPr>
          <w:rtl/>
        </w:rPr>
        <w:t xml:space="preserve"> </w:t>
      </w:r>
      <w:r w:rsidRPr="00676712">
        <w:rPr>
          <w:rtl/>
        </w:rPr>
        <w:tab/>
      </w:r>
      <w:r w:rsidRPr="00676712">
        <w:rPr>
          <w:rFonts w:hint="cs"/>
          <w:rtl/>
        </w:rPr>
        <w:t>מערכת ארגונית תשתיתית החובקת את המערכות המינהליות במרבית המערך הממשלתי כדי לנהל ביעילות את הרישום והמעקב אחר נכסי המדינה ומשאביה. במרכב"ה מנוהלים, בין השאר, הנושאים: מערך הניהול הפיננסי, ביצוע התשלומים, מצבת התחייבויות המדינה, נכסי המדינה, משאבי אנוש, העברות ותמיכות.</w:t>
      </w:r>
    </w:p>
  </w:footnote>
  <w:footnote w:id="25">
    <w:p w14:paraId="02D1125B" w14:textId="77777777" w:rsidR="00DB553C" w:rsidRPr="00676712" w:rsidRDefault="00DB553C" w:rsidP="00676712">
      <w:pPr>
        <w:pStyle w:val="a9"/>
        <w:rPr>
          <w:rtl/>
        </w:rPr>
      </w:pPr>
      <w:r w:rsidRPr="00676712">
        <w:rPr>
          <w:rStyle w:val="FootnoteReference"/>
          <w:vertAlign w:val="baseline"/>
        </w:rPr>
        <w:footnoteRef/>
      </w:r>
      <w:r w:rsidRPr="00676712">
        <w:rPr>
          <w:rtl/>
        </w:rPr>
        <w:t xml:space="preserve"> </w:t>
      </w:r>
      <w:r w:rsidRPr="00676712">
        <w:rPr>
          <w:rtl/>
        </w:rPr>
        <w:tab/>
      </w:r>
      <w:r w:rsidRPr="00676712">
        <w:rPr>
          <w:rFonts w:hint="cs"/>
          <w:rtl/>
        </w:rPr>
        <w:t>לדוגמה, נתוני הדוחות הכספיים של התאגידים הסטטוטוריים אינם מתממשקים למערכת מרכב"ה, וצוות אגף החשכ"ל, העורך את הדוחות המאוחדים, מזין אותם באופן ידני למערכת.</w:t>
      </w:r>
    </w:p>
  </w:footnote>
  <w:footnote w:id="26">
    <w:p w14:paraId="29B9CEEE" w14:textId="77777777" w:rsidR="00DB553C" w:rsidRDefault="00DB553C" w:rsidP="00676712">
      <w:pPr>
        <w:pStyle w:val="a9"/>
      </w:pPr>
      <w:r w:rsidRPr="00676712">
        <w:rPr>
          <w:rStyle w:val="FootnoteReference"/>
          <w:vertAlign w:val="baseline"/>
        </w:rPr>
        <w:footnoteRef/>
      </w:r>
      <w:r w:rsidRPr="00676712">
        <w:rPr>
          <w:rtl/>
        </w:rPr>
        <w:t xml:space="preserve"> </w:t>
      </w:r>
      <w:r w:rsidRPr="00676712">
        <w:rPr>
          <w:rtl/>
        </w:rPr>
        <w:tab/>
      </w:r>
      <w:r w:rsidRPr="00676712">
        <w:rPr>
          <w:rFonts w:hint="cs"/>
          <w:rtl/>
        </w:rPr>
        <w:t>משיחה בין נציגי משרד מבקר המדינה לחשבונאי הראשי עולה כי יש כ-300 מערכות עזר כאלו, וקשה לבצע פיקוח ובקרה</w:t>
      </w:r>
      <w:r>
        <w:rPr>
          <w:rFonts w:hint="cs"/>
          <w:rtl/>
        </w:rPr>
        <w:t xml:space="preserve"> על איכות הנתונים המופיעים בהן.</w:t>
      </w:r>
    </w:p>
  </w:footnote>
  <w:footnote w:id="27">
    <w:p w14:paraId="584437D6" w14:textId="77777777" w:rsidR="00DB553C" w:rsidRPr="0005758A" w:rsidRDefault="00DB553C" w:rsidP="00B42505">
      <w:pPr>
        <w:pStyle w:val="a9"/>
        <w:rPr>
          <w:rtl/>
        </w:rPr>
      </w:pPr>
      <w:r w:rsidRPr="00B42505">
        <w:footnoteRef/>
      </w:r>
      <w:r w:rsidRPr="00B42505">
        <w:rPr>
          <w:rtl/>
        </w:rPr>
        <w:t xml:space="preserve"> </w:t>
      </w:r>
      <w:r w:rsidRPr="00B42505">
        <w:rPr>
          <w:rFonts w:hint="cs"/>
          <w:rtl/>
        </w:rPr>
        <w:tab/>
        <w:t>כתב שיפוי או מכתב שיפוי (</w:t>
      </w:r>
      <w:r w:rsidRPr="00B42505">
        <w:rPr>
          <w:rFonts w:hint="cs"/>
        </w:rPr>
        <w:t>L</w:t>
      </w:r>
      <w:r w:rsidRPr="00B42505">
        <w:t>etter of Indemnity</w:t>
      </w:r>
      <w:r w:rsidRPr="00B42505">
        <w:rPr>
          <w:rFonts w:hint="cs"/>
          <w:rtl/>
        </w:rPr>
        <w:t>) הוא מכשיר הגנה הדומה במהותו לכתב ביטוח לכיסוי חבות בנזיקין. הוא מעניק למקבלו שיפוי בגין נזקים שייתבע בגינם. המדינה רשאית, במקרים חריגים ומיוחדים של פעילות חיונית בעבור הציבור, להעניק כתב שיפוי לגופים או ליחידים שאינם עובדי ציבור ומעניקים שירותים</w:t>
      </w:r>
      <w:r>
        <w:rPr>
          <w:rFonts w:hint="cs"/>
          <w:rtl/>
        </w:rPr>
        <w:t xml:space="preserve"> למדינה, זאת לשם כיסוי החבות העלולה לנבוע ממתן שירות למדינה. כתב השיפוי ניתן כשנותני שירות אינם יכולים לרכוש הגנה ביטוחית בעבור השירות הניתן למדינה, והם חשופים חשיפה גבוהה במיוחד, ובלעדי מתן כתב השיפוי, אין הוא יכול לבצע את הפעילות החיונית שהוא מבצע בשירות המדינה. במקרים אלה, הנפקת כתב שיפוי היא פתרון קצה - המדינה מקבלת על עצמה את החשיפה לסיכון בגובה גבולות האחריות שנקבעו בכתב השיפוי. </w:t>
      </w:r>
    </w:p>
  </w:footnote>
  <w:footnote w:id="28">
    <w:p w14:paraId="4C1EE023"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t>שווי הוגן במועד הערכה מחדש, בניכוי פחת שנצבר לאחר מכן, ובניכוי הפסדים כלשהם מירידת ערך שנצברו לאחר מכן</w:t>
      </w:r>
      <w:r w:rsidRPr="00BD33A1">
        <w:rPr>
          <w:rFonts w:hint="cs"/>
          <w:rtl/>
        </w:rPr>
        <w:t>.</w:t>
      </w:r>
    </w:p>
  </w:footnote>
  <w:footnote w:id="29">
    <w:p w14:paraId="57897EEC" w14:textId="77777777" w:rsidR="00DB553C" w:rsidRPr="00BD33A1" w:rsidRDefault="00DB553C" w:rsidP="00BD33A1">
      <w:pPr>
        <w:pStyle w:val="a9"/>
        <w:rPr>
          <w:rtl/>
        </w:rPr>
      </w:pPr>
      <w:r w:rsidRPr="00BD33A1">
        <w:rPr>
          <w:rStyle w:val="FootnoteReference"/>
          <w:vertAlign w:val="baseline"/>
        </w:rPr>
        <w:footnoteRef/>
      </w:r>
      <w:r w:rsidRPr="00BD33A1">
        <w:rPr>
          <w:rtl/>
        </w:rPr>
        <w:t xml:space="preserve"> </w:t>
      </w:r>
      <w:r w:rsidRPr="00BD33A1">
        <w:rPr>
          <w:rtl/>
        </w:rPr>
        <w:tab/>
      </w:r>
      <w:r w:rsidRPr="00BD33A1">
        <w:rPr>
          <w:rFonts w:hint="cs"/>
          <w:rtl/>
        </w:rPr>
        <w:t>הוראת תכ"ם מס' 2.2.0.8, בתוקף מיום 27.2.09.</w:t>
      </w:r>
    </w:p>
  </w:footnote>
  <w:footnote w:id="30">
    <w:p w14:paraId="50D70644"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r>
      <w:r w:rsidRPr="00BD33A1">
        <w:rPr>
          <w:rFonts w:hint="cs"/>
          <w:rtl/>
        </w:rPr>
        <w:t xml:space="preserve">יש לציין כי במדריך לאזרח לדוחות הכספיים של מדינת ישראל לשנת 2018 הוצג סכום בסך של כ-398 מיליארדי ש"ח. </w:t>
      </w:r>
    </w:p>
  </w:footnote>
  <w:footnote w:id="31">
    <w:p w14:paraId="64183312" w14:textId="77777777" w:rsidR="00DB553C" w:rsidRDefault="00DB553C" w:rsidP="00BD33A1">
      <w:pPr>
        <w:pStyle w:val="a9"/>
        <w:rPr>
          <w:rtl/>
        </w:rPr>
      </w:pPr>
      <w:r w:rsidRPr="00BD33A1">
        <w:rPr>
          <w:rStyle w:val="FootnoteReference"/>
          <w:vertAlign w:val="baseline"/>
        </w:rPr>
        <w:footnoteRef/>
      </w:r>
      <w:r w:rsidRPr="00BD33A1">
        <w:rPr>
          <w:rtl/>
        </w:rPr>
        <w:t xml:space="preserve"> </w:t>
      </w:r>
      <w:r w:rsidRPr="00BD33A1">
        <w:rPr>
          <w:rtl/>
        </w:rPr>
        <w:tab/>
      </w:r>
      <w:r w:rsidRPr="00BD33A1">
        <w:rPr>
          <w:rFonts w:hint="cs"/>
          <w:rtl/>
        </w:rPr>
        <w:t>בהקשר זה</w:t>
      </w:r>
      <w:r>
        <w:rPr>
          <w:rFonts w:hint="cs"/>
          <w:rtl/>
        </w:rPr>
        <w:t xml:space="preserve"> יצוין כי בארצות הברית, מרבית הקרקעות מוצגות ללא ערך כספי.</w:t>
      </w:r>
    </w:p>
  </w:footnote>
  <w:footnote w:id="32">
    <w:p w14:paraId="0F6C279D" w14:textId="77777777" w:rsidR="00DB553C" w:rsidRPr="00BD33A1" w:rsidRDefault="00DB553C" w:rsidP="00BD33A1">
      <w:pPr>
        <w:pStyle w:val="a9"/>
        <w:rPr>
          <w:rtl/>
        </w:rPr>
      </w:pPr>
      <w:r w:rsidRPr="00BD33A1">
        <w:rPr>
          <w:rStyle w:val="FootnoteReference"/>
          <w:vertAlign w:val="baseline"/>
        </w:rPr>
        <w:footnoteRef/>
      </w:r>
      <w:r w:rsidRPr="00BD33A1">
        <w:rPr>
          <w:rtl/>
        </w:rPr>
        <w:t xml:space="preserve"> </w:t>
      </w:r>
      <w:r w:rsidRPr="00BD33A1">
        <w:rPr>
          <w:rtl/>
        </w:rPr>
        <w:tab/>
      </w:r>
      <w:r w:rsidRPr="00BD33A1">
        <w:rPr>
          <w:rFonts w:hint="cs"/>
          <w:rtl/>
        </w:rPr>
        <w:t>המדינה העבירה את רוב הסיכונים והתשואות הכרוכים בבעלות לחוכרים.</w:t>
      </w:r>
    </w:p>
  </w:footnote>
  <w:footnote w:id="33">
    <w:p w14:paraId="43385EFE"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r>
      <w:r w:rsidRPr="00BD33A1">
        <w:rPr>
          <w:rFonts w:hint="cs"/>
          <w:rtl/>
        </w:rPr>
        <w:t>בסעיף נכסי צבא וציוד ביטחוני מופיעים בעיקר: (א) כלי רכב, כלי טיס, כלי שיט וטנקים; (ב) נכסי דיור - ללא מחנות צה"ל והמבנים שבשטחם; (ג) השקעות בנכסים בחוץ-לארץ; (ד) רכוש ספציפי הנמצא במפעלים.</w:t>
      </w:r>
    </w:p>
  </w:footnote>
  <w:footnote w:id="34">
    <w:p w14:paraId="64A10F83"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r>
      <w:r w:rsidRPr="00BD33A1">
        <w:rPr>
          <w:rFonts w:hint="cs"/>
          <w:rtl/>
        </w:rPr>
        <w:t>מודל שבאמצעותו אפשר לאמוד שווי של נכס על סמך מאפייניו, כגון מיקום, שטח, גיל המבנה, סוג הבנייה וקומה. במודל הוגדרו מקדמים העונים על מגוון משתנים המשפיעים על שווי נכס, כגון הפחתה בגודל. המודל נבדק סטטיסטית והוגדר תקף.</w:t>
      </w:r>
    </w:p>
  </w:footnote>
  <w:footnote w:id="35">
    <w:p w14:paraId="11DCFB3F"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r>
      <w:r w:rsidRPr="00BD33A1">
        <w:rPr>
          <w:rFonts w:hint="cs"/>
          <w:rtl/>
        </w:rPr>
        <w:t>בסעיף מבנים ונכסים בהקמה נכללים בעיקר מבני משרדים, לרבות מרכיב הקרקע, אשר בניהול מינהל הדיור הממשלתי, נכסים בהקמה, כבישים בהקמה ושיפורים במושכר.</w:t>
      </w:r>
    </w:p>
  </w:footnote>
  <w:footnote w:id="36">
    <w:p w14:paraId="659F4D84" w14:textId="77777777" w:rsidR="00DB553C" w:rsidRPr="00BD33A1" w:rsidRDefault="00DB553C" w:rsidP="00BD33A1">
      <w:pPr>
        <w:pStyle w:val="a9"/>
        <w:rPr>
          <w:rtl/>
        </w:rPr>
      </w:pPr>
      <w:r w:rsidRPr="00BD33A1">
        <w:rPr>
          <w:rStyle w:val="FootnoteReference"/>
          <w:vertAlign w:val="baseline"/>
        </w:rPr>
        <w:footnoteRef/>
      </w:r>
      <w:r w:rsidRPr="00BD33A1">
        <w:rPr>
          <w:rtl/>
        </w:rPr>
        <w:t xml:space="preserve"> </w:t>
      </w:r>
      <w:r w:rsidRPr="00BD33A1">
        <w:rPr>
          <w:rtl/>
        </w:rPr>
        <w:tab/>
      </w:r>
      <w:r w:rsidRPr="00BD33A1">
        <w:rPr>
          <w:rFonts w:hint="cs"/>
          <w:rtl/>
        </w:rPr>
        <w:t>ראו גם מבקר המדינה</w:t>
      </w:r>
      <w:r>
        <w:rPr>
          <w:rFonts w:hint="cs"/>
          <w:rtl/>
        </w:rPr>
        <w:t xml:space="preserve">, </w:t>
      </w:r>
      <w:r w:rsidRPr="00951627">
        <w:rPr>
          <w:rFonts w:hint="cs"/>
          <w:b/>
          <w:bCs/>
          <w:rtl/>
        </w:rPr>
        <w:t xml:space="preserve">דוח שנתי </w:t>
      </w:r>
      <w:r>
        <w:rPr>
          <w:rFonts w:hint="cs"/>
          <w:b/>
          <w:bCs/>
          <w:rtl/>
        </w:rPr>
        <w:t>61ב</w:t>
      </w:r>
      <w:r>
        <w:rPr>
          <w:rFonts w:hint="cs"/>
          <w:rtl/>
        </w:rPr>
        <w:t xml:space="preserve"> (</w:t>
      </w:r>
      <w:r w:rsidRPr="00BD33A1">
        <w:rPr>
          <w:rFonts w:hint="cs"/>
          <w:rtl/>
        </w:rPr>
        <w:t>2010), "מאזן המדינה ליום 31.12.09 - הרישום החשבונאי של רכוש קבוע ומלאי", עמ' 567.</w:t>
      </w:r>
    </w:p>
  </w:footnote>
  <w:footnote w:id="37">
    <w:p w14:paraId="2B6DB28C" w14:textId="77777777" w:rsidR="00DB553C" w:rsidRPr="00BD33A1" w:rsidRDefault="00DB553C" w:rsidP="00BD33A1">
      <w:pPr>
        <w:pStyle w:val="a9"/>
      </w:pPr>
      <w:r w:rsidRPr="00BD33A1">
        <w:rPr>
          <w:rStyle w:val="FootnoteReference"/>
          <w:vertAlign w:val="baseline"/>
        </w:rPr>
        <w:footnoteRef/>
      </w:r>
      <w:r w:rsidRPr="00BD33A1">
        <w:rPr>
          <w:rtl/>
        </w:rPr>
        <w:t xml:space="preserve"> </w:t>
      </w:r>
      <w:r w:rsidRPr="00BD33A1">
        <w:rPr>
          <w:rtl/>
        </w:rPr>
        <w:tab/>
      </w:r>
      <w:r w:rsidRPr="00BD33A1">
        <w:rPr>
          <w:rFonts w:hint="cs"/>
          <w:rtl/>
        </w:rPr>
        <w:t>כ-13.1 מיליארדי ש"ח.</w:t>
      </w:r>
    </w:p>
  </w:footnote>
  <w:footnote w:id="38">
    <w:p w14:paraId="2A67666C" w14:textId="77777777" w:rsidR="00DB553C" w:rsidRDefault="00DB553C" w:rsidP="00BD33A1">
      <w:pPr>
        <w:pStyle w:val="a9"/>
        <w:rPr>
          <w:rtl/>
        </w:rPr>
      </w:pPr>
      <w:r w:rsidRPr="00BD33A1">
        <w:rPr>
          <w:rStyle w:val="FootnoteReference"/>
          <w:vertAlign w:val="baseline"/>
        </w:rPr>
        <w:footnoteRef/>
      </w:r>
      <w:r w:rsidRPr="00BD33A1">
        <w:rPr>
          <w:rtl/>
        </w:rPr>
        <w:t xml:space="preserve"> </w:t>
      </w:r>
      <w:r w:rsidRPr="00BD33A1">
        <w:rPr>
          <w:rtl/>
        </w:rPr>
        <w:tab/>
      </w:r>
      <w:r w:rsidRPr="00BD33A1">
        <w:rPr>
          <w:rFonts w:hint="cs"/>
          <w:rtl/>
        </w:rPr>
        <w:t>ראו מבקר המדינה</w:t>
      </w:r>
      <w:r>
        <w:rPr>
          <w:rFonts w:hint="cs"/>
          <w:rtl/>
        </w:rPr>
        <w:t xml:space="preserve">, </w:t>
      </w:r>
      <w:r w:rsidRPr="00951627">
        <w:rPr>
          <w:rFonts w:hint="cs"/>
          <w:b/>
          <w:bCs/>
          <w:rtl/>
        </w:rPr>
        <w:t>דוח שנתי 68ג</w:t>
      </w:r>
      <w:r>
        <w:rPr>
          <w:rFonts w:hint="cs"/>
          <w:rtl/>
        </w:rPr>
        <w:t xml:space="preserve"> (2018), "מאזן המדינה ליום 31.12.16 - חייבים ויתרות חובה", עמ' 204.</w:t>
      </w:r>
    </w:p>
  </w:footnote>
  <w:footnote w:id="39">
    <w:p w14:paraId="5BD11499" w14:textId="77777777" w:rsidR="00DB553C" w:rsidRPr="00E11CC7" w:rsidRDefault="00DB553C" w:rsidP="00E11CC7">
      <w:pPr>
        <w:pStyle w:val="a9"/>
      </w:pPr>
      <w:r w:rsidRPr="00E11CC7">
        <w:rPr>
          <w:rStyle w:val="FootnoteReference"/>
          <w:vertAlign w:val="baseline"/>
        </w:rPr>
        <w:footnoteRef/>
      </w:r>
      <w:r w:rsidRPr="00E11CC7">
        <w:rPr>
          <w:rtl/>
        </w:rPr>
        <w:t xml:space="preserve"> </w:t>
      </w:r>
      <w:r w:rsidRPr="00E11CC7">
        <w:rPr>
          <w:rtl/>
        </w:rPr>
        <w:tab/>
      </w:r>
      <w:r w:rsidRPr="00E11CC7">
        <w:rPr>
          <w:rFonts w:hint="cs"/>
          <w:rtl/>
        </w:rPr>
        <w:t>תיאור קצר של הנכסים התלויים ואומדן השפעתם הכספית, במידת האפשר.</w:t>
      </w:r>
    </w:p>
  </w:footnote>
  <w:footnote w:id="40">
    <w:p w14:paraId="7F1029D7" w14:textId="77777777" w:rsidR="00DB553C" w:rsidRPr="00E11CC7" w:rsidRDefault="00DB553C" w:rsidP="00E11CC7">
      <w:pPr>
        <w:pStyle w:val="a9"/>
      </w:pPr>
      <w:r w:rsidRPr="00E11CC7">
        <w:rPr>
          <w:rStyle w:val="FootnoteReference"/>
          <w:vertAlign w:val="baseline"/>
        </w:rPr>
        <w:footnoteRef/>
      </w:r>
      <w:r w:rsidRPr="00E11CC7">
        <w:rPr>
          <w:rtl/>
        </w:rPr>
        <w:t xml:space="preserve"> </w:t>
      </w:r>
      <w:r w:rsidRPr="00E11CC7">
        <w:rPr>
          <w:rtl/>
        </w:rPr>
        <w:tab/>
      </w:r>
      <w:r w:rsidRPr="00E11CC7">
        <w:rPr>
          <w:rFonts w:hint="cs"/>
          <w:rtl/>
        </w:rPr>
        <w:t>ראו תקן חשבונאות ממשלתית מספר 31 - נכסים בלתי מוחשיים (ינואר 2014).</w:t>
      </w:r>
    </w:p>
  </w:footnote>
  <w:footnote w:id="41">
    <w:p w14:paraId="2A220B67" w14:textId="77777777" w:rsidR="00DB553C" w:rsidRDefault="00DB553C" w:rsidP="00E11CC7">
      <w:pPr>
        <w:pStyle w:val="a9"/>
        <w:rPr>
          <w:rtl/>
        </w:rPr>
      </w:pPr>
      <w:r w:rsidRPr="00E11CC7">
        <w:rPr>
          <w:rStyle w:val="FootnoteReference"/>
          <w:vertAlign w:val="baseline"/>
        </w:rPr>
        <w:footnoteRef/>
      </w:r>
      <w:r w:rsidRPr="00E11CC7">
        <w:rPr>
          <w:rtl/>
        </w:rPr>
        <w:t xml:space="preserve"> </w:t>
      </w:r>
      <w:r w:rsidRPr="00E11CC7">
        <w:rPr>
          <w:rtl/>
        </w:rPr>
        <w:tab/>
      </w:r>
      <w:r w:rsidRPr="00E11CC7">
        <w:rPr>
          <w:rFonts w:hint="cs"/>
          <w:rtl/>
        </w:rPr>
        <w:t>ראו גם</w:t>
      </w:r>
      <w:r>
        <w:rPr>
          <w:rFonts w:hint="cs"/>
          <w:rtl/>
        </w:rPr>
        <w:t xml:space="preserve"> מבקר המדינה, </w:t>
      </w:r>
      <w:r w:rsidRPr="00951627">
        <w:rPr>
          <w:rFonts w:hint="cs"/>
          <w:b/>
          <w:bCs/>
          <w:rtl/>
        </w:rPr>
        <w:t xml:space="preserve">דוח שנתי </w:t>
      </w:r>
      <w:r>
        <w:rPr>
          <w:rFonts w:hint="cs"/>
          <w:b/>
          <w:bCs/>
          <w:rtl/>
        </w:rPr>
        <w:t>66ג</w:t>
      </w:r>
      <w:r>
        <w:rPr>
          <w:rFonts w:hint="cs"/>
          <w:rtl/>
        </w:rPr>
        <w:t xml:space="preserve"> (2016), "מאזן המדינה ליום 31.12.14 - נכסים בלתי מוחשיים", עמ' 7.</w:t>
      </w:r>
    </w:p>
  </w:footnote>
  <w:footnote w:id="42">
    <w:p w14:paraId="771C3047" w14:textId="77777777" w:rsidR="00DB553C" w:rsidRPr="00107232" w:rsidRDefault="00DB553C" w:rsidP="00107232">
      <w:pPr>
        <w:pStyle w:val="a9"/>
        <w:rPr>
          <w:rtl/>
        </w:rPr>
      </w:pPr>
      <w:r w:rsidRPr="00107232">
        <w:rPr>
          <w:rStyle w:val="FootnoteReference"/>
          <w:vertAlign w:val="baseline"/>
        </w:rPr>
        <w:footnoteRef/>
      </w:r>
      <w:r w:rsidRPr="00107232">
        <w:rPr>
          <w:rtl/>
        </w:rPr>
        <w:t xml:space="preserve"> </w:t>
      </w:r>
      <w:r w:rsidRPr="00107232">
        <w:rPr>
          <w:rtl/>
        </w:rPr>
        <w:tab/>
      </w:r>
      <w:r w:rsidRPr="00107232">
        <w:rPr>
          <w:rFonts w:hint="cs"/>
          <w:rtl/>
        </w:rPr>
        <w:t xml:space="preserve">הסעיף מוצג בביאור 18, "התחייבויות בגין זכויות עובדים". </w:t>
      </w:r>
    </w:p>
  </w:footnote>
  <w:footnote w:id="43">
    <w:p w14:paraId="0F750709" w14:textId="77777777" w:rsidR="00DB553C" w:rsidRPr="00107232" w:rsidRDefault="00DB553C" w:rsidP="00107232">
      <w:pPr>
        <w:pStyle w:val="a9"/>
        <w:rPr>
          <w:rtl/>
        </w:rPr>
      </w:pPr>
      <w:r w:rsidRPr="00107232">
        <w:rPr>
          <w:rStyle w:val="FootnoteReference"/>
          <w:vertAlign w:val="baseline"/>
        </w:rPr>
        <w:footnoteRef/>
      </w:r>
      <w:r w:rsidRPr="00107232">
        <w:rPr>
          <w:rtl/>
        </w:rPr>
        <w:t xml:space="preserve"> </w:t>
      </w:r>
      <w:r w:rsidRPr="00107232">
        <w:rPr>
          <w:rtl/>
        </w:rPr>
        <w:tab/>
      </w:r>
      <w:r w:rsidRPr="00107232">
        <w:rPr>
          <w:rFonts w:hint="cs"/>
          <w:rtl/>
        </w:rPr>
        <w:t xml:space="preserve">החלטת ממשלה מס' 4280 מיום 18.11.18. החשב הכללי ציין כי סך ההפרשים בגין תוספת זו ליום 31.12.18 נאמד בכ-8.2 מיליארדי ש"ח (סך התוספת מוערך ביותר מ-20 מיליארדי ש"ח). </w:t>
      </w:r>
    </w:p>
  </w:footnote>
  <w:footnote w:id="44">
    <w:p w14:paraId="179BA5D6" w14:textId="77777777" w:rsidR="00DB553C" w:rsidRPr="00107232" w:rsidRDefault="00DB553C" w:rsidP="00107232">
      <w:pPr>
        <w:pStyle w:val="a9"/>
      </w:pPr>
      <w:r w:rsidRPr="00107232">
        <w:rPr>
          <w:rStyle w:val="FootnoteReference"/>
          <w:vertAlign w:val="baseline"/>
        </w:rPr>
        <w:footnoteRef/>
      </w:r>
      <w:r w:rsidRPr="00107232">
        <w:rPr>
          <w:rtl/>
        </w:rPr>
        <w:t xml:space="preserve"> </w:t>
      </w:r>
      <w:r w:rsidRPr="00107232">
        <w:rPr>
          <w:rtl/>
        </w:rPr>
        <w:tab/>
        <w:t>ראו הרחבה להלן, בתת- הפרק "המגמות והסיכונים בדוחות הכספיים".</w:t>
      </w:r>
    </w:p>
  </w:footnote>
  <w:footnote w:id="45">
    <w:p w14:paraId="4935B3BF" w14:textId="77777777" w:rsidR="00DB553C" w:rsidRPr="00107232" w:rsidRDefault="00DB553C" w:rsidP="00107232">
      <w:pPr>
        <w:pStyle w:val="a9"/>
      </w:pPr>
      <w:r w:rsidRPr="00107232">
        <w:rPr>
          <w:rStyle w:val="FootnoteReference"/>
          <w:vertAlign w:val="baseline"/>
        </w:rPr>
        <w:footnoteRef/>
      </w:r>
      <w:r w:rsidRPr="00107232">
        <w:rPr>
          <w:rtl/>
        </w:rPr>
        <w:t xml:space="preserve"> </w:t>
      </w:r>
      <w:r w:rsidRPr="00107232">
        <w:rPr>
          <w:rtl/>
        </w:rPr>
        <w:tab/>
      </w:r>
      <w:r w:rsidRPr="00107232">
        <w:rPr>
          <w:rFonts w:hint="cs"/>
          <w:rtl/>
        </w:rPr>
        <w:t>עוד יצוין כי מאחר שטרם הושלמה הקמתה של מערכת מידע התומכת בחישוב ההתחייבות האמורה ברמה הממשלתית, החבות של המדינה בגין זכאות עובדיה לימי חופשה ומחלה אינה נמדדת בהערכות אקטואריות.</w:t>
      </w:r>
    </w:p>
  </w:footnote>
  <w:footnote w:id="46">
    <w:p w14:paraId="2C3D7849" w14:textId="77777777" w:rsidR="00DB553C" w:rsidRPr="00107232" w:rsidRDefault="00DB553C" w:rsidP="00107232">
      <w:pPr>
        <w:pStyle w:val="a9"/>
        <w:rPr>
          <w:rtl/>
        </w:rPr>
      </w:pPr>
      <w:r w:rsidRPr="00107232">
        <w:rPr>
          <w:rStyle w:val="FootnoteReference"/>
          <w:vertAlign w:val="baseline"/>
        </w:rPr>
        <w:footnoteRef/>
      </w:r>
      <w:r w:rsidRPr="00107232">
        <w:rPr>
          <w:rtl/>
        </w:rPr>
        <w:t xml:space="preserve"> </w:t>
      </w:r>
      <w:r w:rsidRPr="00107232">
        <w:rPr>
          <w:rtl/>
        </w:rPr>
        <w:tab/>
      </w:r>
      <w:r w:rsidRPr="00107232">
        <w:rPr>
          <w:rFonts w:hint="cs"/>
          <w:rtl/>
        </w:rPr>
        <w:t>הוראת תכ"ם מס' 23.0.5, בתוקף מיום 1.8.08.</w:t>
      </w:r>
    </w:p>
  </w:footnote>
  <w:footnote w:id="47">
    <w:p w14:paraId="4D3C5073" w14:textId="77777777" w:rsidR="00DB553C" w:rsidRDefault="00DB553C" w:rsidP="00107232">
      <w:pPr>
        <w:pStyle w:val="a9"/>
      </w:pPr>
      <w:r w:rsidRPr="00107232">
        <w:rPr>
          <w:rStyle w:val="FootnoteReference"/>
          <w:vertAlign w:val="baseline"/>
        </w:rPr>
        <w:footnoteRef/>
      </w:r>
      <w:r w:rsidRPr="00107232">
        <w:rPr>
          <w:rtl/>
        </w:rPr>
        <w:t xml:space="preserve"> </w:t>
      </w:r>
      <w:r w:rsidRPr="00107232">
        <w:rPr>
          <w:rtl/>
        </w:rPr>
        <w:tab/>
      </w:r>
      <w:r w:rsidRPr="00107232">
        <w:rPr>
          <w:rFonts w:hint="cs"/>
          <w:rtl/>
        </w:rPr>
        <w:t>ניהול פרטי תביעות כולל, בין היתר, את הפרטים: נושא התביעה, סכום התביעה, עורך הדין הממונה מטעם המשרד על התביעה, תאריך הגשת התביעה, בית המשפט שהתיק מתנהל בו, תאריך פתיחת התיק בבית המשפט</w:t>
      </w:r>
      <w:r>
        <w:rPr>
          <w:rFonts w:hint="cs"/>
          <w:rtl/>
        </w:rPr>
        <w:t>, מספר התיק בבית המשפט, מועד האירוע שאליו התביעה מתייחסת, ההוצאות המשפטיות הכרוכות בטיפול בתביעה, הערכה מנומקת בנוגע לסיכויי התביעה, מצב התיק מבחינת שלבי המשפט, תאריך העדכון האחרון של נתוני התביעה ותאריך משוער לסיום ההליך.</w:t>
      </w:r>
    </w:p>
  </w:footnote>
  <w:footnote w:id="48">
    <w:p w14:paraId="1DE73401" w14:textId="77777777" w:rsidR="00DB553C" w:rsidRPr="00107232" w:rsidRDefault="00DB553C" w:rsidP="00107232">
      <w:pPr>
        <w:pStyle w:val="a9"/>
        <w:rPr>
          <w:rtl/>
        </w:rPr>
      </w:pPr>
      <w:r w:rsidRPr="00107232">
        <w:rPr>
          <w:rStyle w:val="FootnoteReference"/>
          <w:vertAlign w:val="baseline"/>
        </w:rPr>
        <w:footnoteRef/>
      </w:r>
      <w:r w:rsidRPr="00107232">
        <w:rPr>
          <w:rtl/>
        </w:rPr>
        <w:t xml:space="preserve"> </w:t>
      </w:r>
      <w:r w:rsidRPr="00107232">
        <w:rPr>
          <w:rtl/>
        </w:rPr>
        <w:tab/>
      </w:r>
      <w:r w:rsidRPr="00107232">
        <w:rPr>
          <w:rFonts w:hint="cs"/>
          <w:rtl/>
        </w:rPr>
        <w:t>בהקשר זה יצוין כי משיחות בין נציגי משרד מבקר המדינה לגורמים שונים בשוק עולה כי במקצת מהמקרים, היועצים המשפטיים של המשרדים הממשלתיים אינם שולחים כלל מכתבי היעדר תביעות (שמפורטות בהם התביעות המשפטיות הידועות כנגד החברה והסיכויים שיתממשו).</w:t>
      </w:r>
    </w:p>
  </w:footnote>
  <w:footnote w:id="49">
    <w:p w14:paraId="49C2D73D" w14:textId="77777777" w:rsidR="00DB553C" w:rsidRPr="00107232" w:rsidRDefault="00DB553C" w:rsidP="00107232">
      <w:pPr>
        <w:pStyle w:val="a9"/>
      </w:pPr>
      <w:r w:rsidRPr="00107232">
        <w:rPr>
          <w:rStyle w:val="FootnoteReference"/>
          <w:vertAlign w:val="baseline"/>
        </w:rPr>
        <w:footnoteRef/>
      </w:r>
      <w:r w:rsidRPr="00107232">
        <w:rPr>
          <w:rtl/>
        </w:rPr>
        <w:t xml:space="preserve"> </w:t>
      </w:r>
      <w:r w:rsidRPr="00107232">
        <w:rPr>
          <w:rtl/>
        </w:rPr>
        <w:tab/>
      </w:r>
      <w:r w:rsidRPr="00107232">
        <w:rPr>
          <w:rFonts w:hint="cs"/>
          <w:rtl/>
        </w:rPr>
        <w:t xml:space="preserve">בפסקת היקף, רואה חשבון מפרט את תיאור התכלית של הביקורת שהוא מבצע ואת מהותה. </w:t>
      </w:r>
    </w:p>
  </w:footnote>
  <w:footnote w:id="50">
    <w:p w14:paraId="52C826EF" w14:textId="77777777" w:rsidR="00DB553C" w:rsidRDefault="00DB553C" w:rsidP="00107232">
      <w:pPr>
        <w:pStyle w:val="a9"/>
      </w:pPr>
      <w:r w:rsidRPr="00107232">
        <w:rPr>
          <w:rStyle w:val="FootnoteReference"/>
          <w:vertAlign w:val="baseline"/>
        </w:rPr>
        <w:footnoteRef/>
      </w:r>
      <w:r w:rsidRPr="00107232">
        <w:rPr>
          <w:rtl/>
        </w:rPr>
        <w:t xml:space="preserve"> </w:t>
      </w:r>
      <w:r w:rsidRPr="00107232">
        <w:rPr>
          <w:rtl/>
        </w:rPr>
        <w:tab/>
      </w:r>
      <w:r w:rsidRPr="00107232">
        <w:rPr>
          <w:rFonts w:hint="cs"/>
          <w:rtl/>
        </w:rPr>
        <w:t>דוגמה לתביעה</w:t>
      </w:r>
      <w:r>
        <w:rPr>
          <w:rFonts w:hint="cs"/>
          <w:rtl/>
        </w:rPr>
        <w:t xml:space="preserve"> משפטית שהיוותה סיכון וגרמה הוצאה ניכרת מתקציב המדינה היא תוספת בגין הביטחון התעסוקתי של שוטרים וסוהרים. בשנים הקרובות תגרום תוספת זו הוצאה של 22 מיליארדי ש"ח. ראו בעניין זה דוח המבקר בנושא "תהליכי קבלת ההחלטות במשרד האוצר". </w:t>
      </w:r>
    </w:p>
  </w:footnote>
  <w:footnote w:id="51">
    <w:p w14:paraId="638A8E9E" w14:textId="77777777" w:rsidR="00DB553C" w:rsidRDefault="00DB553C" w:rsidP="002A415A">
      <w:pPr>
        <w:pStyle w:val="a9"/>
        <w:rPr>
          <w:rtl/>
        </w:rPr>
      </w:pPr>
      <w:r w:rsidRPr="002A415A">
        <w:footnoteRef/>
      </w:r>
      <w:r w:rsidRPr="002A415A">
        <w:rPr>
          <w:rtl/>
        </w:rPr>
        <w:tab/>
      </w:r>
      <w:r w:rsidRPr="002A415A">
        <w:rPr>
          <w:rFonts w:hint="cs"/>
          <w:b/>
          <w:bCs/>
          <w:rtl/>
        </w:rPr>
        <w:t>דוח שנתי 64ג</w:t>
      </w:r>
      <w:r>
        <w:rPr>
          <w:rFonts w:hint="cs"/>
          <w:rtl/>
        </w:rPr>
        <w:t>, "מאזן המדינה ל-31.12.12 - הגירעון החשבונאי הממשלתי", עמ' 264.</w:t>
      </w:r>
      <w:r>
        <w:rPr>
          <w:rtl/>
        </w:rPr>
        <w:tab/>
      </w:r>
    </w:p>
  </w:footnote>
  <w:footnote w:id="52">
    <w:p w14:paraId="558E1D89" w14:textId="54E6401C" w:rsidR="00DB553C" w:rsidRDefault="00DB553C" w:rsidP="00840E7C">
      <w:pPr>
        <w:pStyle w:val="a9"/>
      </w:pPr>
      <w:r w:rsidRPr="00840E7C">
        <w:footnoteRef/>
      </w:r>
      <w:r w:rsidRPr="00840E7C">
        <w:rPr>
          <w:rtl/>
        </w:rPr>
        <w:t xml:space="preserve"> </w:t>
      </w:r>
      <w:r w:rsidRPr="00840E7C">
        <w:rPr>
          <w:rtl/>
        </w:rPr>
        <w:tab/>
      </w:r>
      <w:r w:rsidRPr="00840E7C">
        <w:rPr>
          <w:rFonts w:hint="cs"/>
          <w:rtl/>
        </w:rPr>
        <w:t>יצוין כי מבין 81 משרדי ממשלה ויחידות סמך המאוחדים בדוחות הכספיים, כ-65 ישויות בוקרו בשנת 2018. סך נכסיהן של ישויות אלו הוא כ-1,268,597 מיליוני ש"ח, וסך ההתחייבות בגינן הוא כ-1,194,594 מיליוני</w:t>
      </w:r>
      <w:r>
        <w:rPr>
          <w:rFonts w:hint="cs"/>
          <w:rtl/>
        </w:rPr>
        <w:t xml:space="preserve"> ש"ח, לפני ביטול יתרות הדדיות ולא כולל המרכזים הרפואיים שתחת משרד הבריאות. </w:t>
      </w:r>
    </w:p>
  </w:footnote>
  <w:footnote w:id="53">
    <w:p w14:paraId="480FFE51" w14:textId="77777777" w:rsidR="00DB553C" w:rsidRPr="00840E7C" w:rsidRDefault="00DB553C" w:rsidP="00840E7C">
      <w:pPr>
        <w:pStyle w:val="a9"/>
        <w:rPr>
          <w:rtl/>
        </w:rPr>
      </w:pPr>
      <w:r w:rsidRPr="00840E7C">
        <w:rPr>
          <w:rStyle w:val="FootnoteReference"/>
          <w:vertAlign w:val="baseline"/>
        </w:rPr>
        <w:footnoteRef/>
      </w:r>
      <w:r w:rsidRPr="00840E7C">
        <w:rPr>
          <w:rtl/>
        </w:rPr>
        <w:t xml:space="preserve"> </w:t>
      </w:r>
      <w:r w:rsidRPr="00840E7C">
        <w:rPr>
          <w:rtl/>
        </w:rPr>
        <w:tab/>
      </w:r>
      <w:r w:rsidRPr="00840E7C">
        <w:rPr>
          <w:rFonts w:hint="cs"/>
          <w:rtl/>
        </w:rPr>
        <w:t>החשבונאי הראשי בכל משרד ממשלתי משמש נציגו של החשבונאי הראשי של הממשלה, והוא אמון על עריכת הדוחות הכספיים ועל דיווח על ביצוע התקציב של המשרד. חשבונאי זה כפוף לחשב של המשרד או של יחידת הסמך.</w:t>
      </w:r>
    </w:p>
  </w:footnote>
  <w:footnote w:id="54">
    <w:p w14:paraId="289C3255" w14:textId="77777777" w:rsidR="00DB553C" w:rsidRDefault="00DB553C" w:rsidP="00840E7C">
      <w:pPr>
        <w:pStyle w:val="a9"/>
        <w:rPr>
          <w:rtl/>
        </w:rPr>
      </w:pPr>
      <w:r w:rsidRPr="00840E7C">
        <w:rPr>
          <w:rStyle w:val="FootnoteReference"/>
          <w:vertAlign w:val="baseline"/>
        </w:rPr>
        <w:footnoteRef/>
      </w:r>
      <w:r w:rsidRPr="00840E7C">
        <w:rPr>
          <w:rtl/>
        </w:rPr>
        <w:t xml:space="preserve"> </w:t>
      </w:r>
      <w:r w:rsidRPr="00840E7C">
        <w:rPr>
          <w:rtl/>
        </w:rPr>
        <w:tab/>
      </w:r>
      <w:r w:rsidRPr="00840E7C">
        <w:rPr>
          <w:rFonts w:hint="cs"/>
          <w:rtl/>
        </w:rPr>
        <w:t>סעיף 4</w:t>
      </w:r>
      <w:r>
        <w:rPr>
          <w:rFonts w:hint="cs"/>
          <w:rtl/>
        </w:rPr>
        <w:t xml:space="preserve"> לתקן כתב התקשרות לביצוע ביקורת של דוחות כספיים.</w:t>
      </w:r>
    </w:p>
  </w:footnote>
  <w:footnote w:id="55">
    <w:p w14:paraId="0B43B69B" w14:textId="77777777" w:rsidR="00DB553C" w:rsidRDefault="00DB553C" w:rsidP="00327EA7">
      <w:pPr>
        <w:pStyle w:val="a9"/>
      </w:pPr>
      <w:r w:rsidRPr="00327EA7">
        <w:footnoteRef/>
      </w:r>
      <w:r w:rsidRPr="00327EA7">
        <w:rPr>
          <w:rtl/>
        </w:rPr>
        <w:t xml:space="preserve"> </w:t>
      </w:r>
      <w:r w:rsidRPr="00327EA7">
        <w:rPr>
          <w:rtl/>
        </w:rPr>
        <w:tab/>
        <w:t>מודול במערכת מרכב"ה המשמש לניהול החשבונות והמידע החשבונאי</w:t>
      </w:r>
      <w:r w:rsidRPr="00327EA7">
        <w:rPr>
          <w:rFonts w:hint="cs"/>
          <w:rtl/>
        </w:rPr>
        <w:t>,</w:t>
      </w:r>
      <w:r w:rsidRPr="00327EA7">
        <w:rPr>
          <w:rtl/>
        </w:rPr>
        <w:t xml:space="preserve"> לרבות לקוחות, ספקים ונכסים</w:t>
      </w:r>
      <w:r w:rsidRPr="00327EA7">
        <w:rPr>
          <w:rFonts w:hint="cs"/>
          <w:rtl/>
        </w:rPr>
        <w:t>,</w:t>
      </w:r>
      <w:r w:rsidRPr="00327EA7">
        <w:rPr>
          <w:rtl/>
        </w:rPr>
        <w:t xml:space="preserve"> ולצורכי</w:t>
      </w:r>
      <w:r w:rsidRPr="000B0617">
        <w:rPr>
          <w:rtl/>
        </w:rPr>
        <w:t xml:space="preserve"> דיווח חיצוני</w:t>
      </w:r>
      <w:r>
        <w:rPr>
          <w:rFonts w:hint="cs"/>
          <w:rtl/>
        </w:rPr>
        <w:t>.</w:t>
      </w:r>
    </w:p>
  </w:footnote>
  <w:footnote w:id="56">
    <w:p w14:paraId="3FC115FA" w14:textId="77777777" w:rsidR="00DB553C" w:rsidRDefault="00DB553C" w:rsidP="00D55FEC">
      <w:pPr>
        <w:pStyle w:val="a9"/>
        <w:rPr>
          <w:rtl/>
        </w:rPr>
      </w:pPr>
      <w:r w:rsidRPr="00D55FEC">
        <w:footnoteRef/>
      </w:r>
      <w:r w:rsidRPr="00D55FEC">
        <w:rPr>
          <w:rtl/>
        </w:rPr>
        <w:t xml:space="preserve"> </w:t>
      </w:r>
      <w:r w:rsidRPr="00D55FEC">
        <w:rPr>
          <w:rtl/>
        </w:rPr>
        <w:tab/>
      </w:r>
      <w:r w:rsidRPr="00D55FEC">
        <w:rPr>
          <w:rFonts w:hint="cs"/>
          <w:rtl/>
        </w:rPr>
        <w:t>דוח רואי החשבון המבקרים לחשב הכללי של מדינת ישראל על הדוחות הכספיים של משטרת ישראל לשנת 2018</w:t>
      </w:r>
      <w:r>
        <w:rPr>
          <w:rFonts w:hint="cs"/>
          <w:rtl/>
        </w:rPr>
        <w:t>.</w:t>
      </w:r>
    </w:p>
  </w:footnote>
  <w:footnote w:id="57">
    <w:p w14:paraId="6D74DE1A" w14:textId="77777777" w:rsidR="00DB553C" w:rsidRPr="00D55FEC" w:rsidRDefault="00DB553C" w:rsidP="00D55FEC">
      <w:pPr>
        <w:pStyle w:val="a9"/>
        <w:rPr>
          <w:rtl/>
        </w:rPr>
      </w:pPr>
      <w:r w:rsidRPr="00D55FEC">
        <w:rPr>
          <w:rStyle w:val="FootnoteReference"/>
          <w:vertAlign w:val="baseline"/>
        </w:rPr>
        <w:footnoteRef/>
      </w:r>
      <w:r w:rsidRPr="00D55FEC">
        <w:rPr>
          <w:rtl/>
        </w:rPr>
        <w:t xml:space="preserve"> </w:t>
      </w:r>
      <w:r w:rsidRPr="00D55FEC">
        <w:rPr>
          <w:rtl/>
        </w:rPr>
        <w:tab/>
      </w:r>
      <w:r w:rsidRPr="00D55FEC">
        <w:rPr>
          <w:rFonts w:hint="cs"/>
          <w:rtl/>
        </w:rPr>
        <w:t>ראו פרק בנושא הגופים המאוחדים בדוחות הכספיים של המדינה.</w:t>
      </w:r>
    </w:p>
  </w:footnote>
  <w:footnote w:id="58">
    <w:p w14:paraId="377973D2" w14:textId="77777777" w:rsidR="00DB553C" w:rsidRPr="00D55FEC" w:rsidRDefault="00DB553C" w:rsidP="00D55FEC">
      <w:pPr>
        <w:pStyle w:val="a9"/>
        <w:rPr>
          <w:rtl/>
        </w:rPr>
      </w:pPr>
      <w:r w:rsidRPr="00D55FEC">
        <w:rPr>
          <w:rStyle w:val="FootnoteReference"/>
          <w:vertAlign w:val="baseline"/>
        </w:rPr>
        <w:footnoteRef/>
      </w:r>
      <w:r w:rsidRPr="00D55FEC">
        <w:rPr>
          <w:rtl/>
        </w:rPr>
        <w:t xml:space="preserve"> </w:t>
      </w:r>
      <w:r w:rsidRPr="00D55FEC">
        <w:rPr>
          <w:rtl/>
        </w:rPr>
        <w:tab/>
      </w:r>
      <w:r w:rsidRPr="00D55FEC">
        <w:rPr>
          <w:rFonts w:hint="cs"/>
          <w:rtl/>
        </w:rPr>
        <w:t xml:space="preserve">ראו סעיף 48 לתקן. </w:t>
      </w:r>
    </w:p>
  </w:footnote>
  <w:footnote w:id="59">
    <w:p w14:paraId="495D1A2D" w14:textId="77777777" w:rsidR="00DB553C" w:rsidRDefault="00DB553C" w:rsidP="00D55FEC">
      <w:pPr>
        <w:pStyle w:val="a9"/>
      </w:pPr>
      <w:r w:rsidRPr="00D55FEC">
        <w:rPr>
          <w:rStyle w:val="FootnoteReference"/>
          <w:vertAlign w:val="baseline"/>
        </w:rPr>
        <w:footnoteRef/>
      </w:r>
      <w:r w:rsidRPr="00D55FEC">
        <w:rPr>
          <w:rtl/>
        </w:rPr>
        <w:t xml:space="preserve"> </w:t>
      </w:r>
      <w:r w:rsidRPr="00D55FEC">
        <w:rPr>
          <w:rtl/>
        </w:rPr>
        <w:tab/>
      </w:r>
      <w:r w:rsidRPr="00D55FEC">
        <w:rPr>
          <w:rFonts w:hint="cs"/>
          <w:rtl/>
        </w:rPr>
        <w:t>ראו סעיף 47 לתקן</w:t>
      </w:r>
      <w:r>
        <w:rPr>
          <w:rFonts w:hint="cs"/>
          <w:rtl/>
        </w:rPr>
        <w:t xml:space="preserve">. </w:t>
      </w:r>
    </w:p>
  </w:footnote>
  <w:footnote w:id="60">
    <w:p w14:paraId="13C216DA" w14:textId="77777777" w:rsidR="00DB553C" w:rsidRDefault="00DB553C" w:rsidP="00316D7B">
      <w:pPr>
        <w:pStyle w:val="a9"/>
      </w:pPr>
      <w:r w:rsidRPr="00316D7B">
        <w:footnoteRef/>
      </w:r>
      <w:r w:rsidRPr="00316D7B">
        <w:rPr>
          <w:rtl/>
        </w:rPr>
        <w:t xml:space="preserve"> </w:t>
      </w:r>
      <w:r w:rsidRPr="00316D7B">
        <w:rPr>
          <w:rtl/>
        </w:rPr>
        <w:tab/>
      </w:r>
      <w:r w:rsidRPr="00316D7B">
        <w:rPr>
          <w:rFonts w:hint="cs"/>
          <w:rtl/>
        </w:rPr>
        <w:t>ראו לעיל</w:t>
      </w:r>
      <w:r>
        <w:rPr>
          <w:rFonts w:hint="cs"/>
          <w:rtl/>
        </w:rPr>
        <w:t xml:space="preserve"> פרק בנושא הנתונים העיקריים החסרים בדוחות הכספיים. </w:t>
      </w:r>
    </w:p>
  </w:footnote>
  <w:footnote w:id="61">
    <w:p w14:paraId="17F36F42" w14:textId="77777777" w:rsidR="00DB553C" w:rsidRDefault="00DB553C" w:rsidP="00316D7B">
      <w:pPr>
        <w:pStyle w:val="a9"/>
        <w:rPr>
          <w:rtl/>
        </w:rPr>
      </w:pPr>
      <w:r w:rsidRPr="00316D7B">
        <w:footnoteRef/>
      </w:r>
      <w:r w:rsidRPr="00316D7B">
        <w:rPr>
          <w:rtl/>
        </w:rPr>
        <w:t xml:space="preserve"> </w:t>
      </w:r>
      <w:r w:rsidRPr="00316D7B">
        <w:rPr>
          <w:rtl/>
        </w:rPr>
        <w:tab/>
      </w:r>
      <w:r w:rsidRPr="00316D7B">
        <w:rPr>
          <w:rFonts w:hint="cs"/>
          <w:rtl/>
        </w:rPr>
        <w:t>ראו תחזית ההתפתחויות המקרו-כלכליות והכנסות המדינה ממיסים ומהכנסות אחרות לשנת 2019, אגף הכלכלן הראשי</w:t>
      </w:r>
      <w:r>
        <w:rPr>
          <w:rFonts w:hint="cs"/>
          <w:rtl/>
        </w:rPr>
        <w:t xml:space="preserve">, משרד האוצר. ההכנסות נובעות ממס על משיכת דיבידנד בעקבות הפחתה זמנית בשיעור המס וממס רווחי הון שנבע ממכירת חברות. </w:t>
      </w:r>
    </w:p>
  </w:footnote>
  <w:footnote w:id="62">
    <w:p w14:paraId="70FFE415" w14:textId="77777777" w:rsidR="00DB553C" w:rsidRPr="00F17C30" w:rsidRDefault="00DB553C" w:rsidP="00316D7B">
      <w:pPr>
        <w:pStyle w:val="a9"/>
        <w:rPr>
          <w:rStyle w:val="FootnoteReference"/>
        </w:rPr>
      </w:pPr>
      <w:r w:rsidRPr="00316D7B">
        <w:footnoteRef/>
      </w:r>
      <w:r w:rsidRPr="00316D7B">
        <w:rPr>
          <w:rtl/>
        </w:rPr>
        <w:t xml:space="preserve"> </w:t>
      </w:r>
      <w:r w:rsidRPr="00316D7B">
        <w:rPr>
          <w:rtl/>
        </w:rPr>
        <w:tab/>
      </w:r>
      <w:r w:rsidRPr="00316D7B">
        <w:rPr>
          <w:rFonts w:hint="cs"/>
          <w:rtl/>
        </w:rPr>
        <w:t>ראו</w:t>
      </w:r>
      <w:r w:rsidRPr="00F17C30">
        <w:rPr>
          <w:rFonts w:hint="cs"/>
          <w:rtl/>
        </w:rPr>
        <w:t xml:space="preserve"> שם</w:t>
      </w:r>
      <w:r>
        <w:rPr>
          <w:rFonts w:hint="cs"/>
          <w:rtl/>
        </w:rPr>
        <w:t>, סעיפי רכוש קבוע</w:t>
      </w:r>
      <w:r w:rsidRPr="00F17C30">
        <w:rPr>
          <w:rFonts w:hint="cs"/>
          <w:rtl/>
        </w:rPr>
        <w:t xml:space="preserve"> וקרקעות.</w:t>
      </w:r>
      <w:r w:rsidRPr="00F17C30">
        <w:rPr>
          <w:rStyle w:val="FootnoteReference"/>
          <w:rFonts w:hint="cs"/>
          <w:rtl/>
        </w:rPr>
        <w:t xml:space="preserve"> </w:t>
      </w:r>
    </w:p>
  </w:footnote>
  <w:footnote w:id="63">
    <w:p w14:paraId="23DDE0CF" w14:textId="77777777" w:rsidR="00DB553C" w:rsidRPr="005A0DD2" w:rsidRDefault="00DB553C" w:rsidP="00316D7B">
      <w:pPr>
        <w:pStyle w:val="a9"/>
        <w:rPr>
          <w:rtl/>
        </w:rPr>
      </w:pPr>
      <w:r w:rsidRPr="00316D7B">
        <w:footnoteRef/>
      </w:r>
      <w:r w:rsidRPr="00316D7B">
        <w:rPr>
          <w:rtl/>
        </w:rPr>
        <w:t xml:space="preserve"> </w:t>
      </w:r>
      <w:r w:rsidRPr="00316D7B">
        <w:rPr>
          <w:rtl/>
        </w:rPr>
        <w:tab/>
      </w:r>
      <w:r w:rsidRPr="00316D7B">
        <w:rPr>
          <w:rFonts w:hint="cs"/>
          <w:rtl/>
        </w:rPr>
        <w:t>יצוין כי אין מדובר בכלל ההתחייבויות, שכן חלק מההתחייבויות עדיין אינן מוצגות במאזן המדינה. ראו פרק</w:t>
      </w:r>
      <w:r>
        <w:rPr>
          <w:rFonts w:hint="cs"/>
          <w:rtl/>
        </w:rPr>
        <w:t xml:space="preserve"> בנושא הנתונים העיקריים החסרים בדוחות הכספיים.</w:t>
      </w:r>
    </w:p>
  </w:footnote>
  <w:footnote w:id="64">
    <w:p w14:paraId="12061D53" w14:textId="77777777" w:rsidR="00DB553C" w:rsidRPr="002F5B56" w:rsidRDefault="00DB553C" w:rsidP="002F5B56">
      <w:pPr>
        <w:pStyle w:val="a9"/>
        <w:rPr>
          <w:rtl/>
        </w:rPr>
      </w:pPr>
      <w:r w:rsidRPr="002F5B56">
        <w:footnoteRef/>
      </w:r>
      <w:r w:rsidRPr="002F5B56">
        <w:rPr>
          <w:rtl/>
        </w:rPr>
        <w:t xml:space="preserve"> </w:t>
      </w:r>
      <w:r w:rsidRPr="002F5B56">
        <w:rPr>
          <w:rtl/>
        </w:rPr>
        <w:tab/>
      </w:r>
      <w:r w:rsidRPr="002F5B56">
        <w:rPr>
          <w:rFonts w:hint="cs"/>
          <w:rtl/>
        </w:rPr>
        <w:t xml:space="preserve">מדובר ברכיבים שחושבו בהתאם לבסיס דיווח מצטבר, קרי לא הייתה זרימת מזומן בפועל, ועל כן הם נוטרלו במעבר מגירעון חשבונאי לגירעון תקציבי. </w:t>
      </w:r>
    </w:p>
  </w:footnote>
  <w:footnote w:id="65">
    <w:p w14:paraId="0F9FAE81" w14:textId="77777777" w:rsidR="00DB553C" w:rsidRPr="00CC2678" w:rsidRDefault="00DB553C" w:rsidP="00CC2678">
      <w:pPr>
        <w:pStyle w:val="a9"/>
        <w:rPr>
          <w:rtl/>
        </w:rPr>
      </w:pPr>
      <w:r w:rsidRPr="00CC2678">
        <w:rPr>
          <w:rStyle w:val="FootnoteReference"/>
          <w:vertAlign w:val="baseline"/>
        </w:rPr>
        <w:footnoteRef/>
      </w:r>
      <w:r w:rsidRPr="00CC2678">
        <w:rPr>
          <w:rtl/>
        </w:rPr>
        <w:t xml:space="preserve"> </w:t>
      </w:r>
      <w:r w:rsidRPr="00CC2678">
        <w:rPr>
          <w:rtl/>
        </w:rPr>
        <w:tab/>
      </w:r>
      <w:r w:rsidRPr="00CC2678">
        <w:rPr>
          <w:rFonts w:hint="cs"/>
          <w:rtl/>
        </w:rPr>
        <w:t>הדוחות הכספיים, עמ' 348.</w:t>
      </w:r>
    </w:p>
  </w:footnote>
  <w:footnote w:id="66">
    <w:p w14:paraId="7BF64AEC" w14:textId="77777777" w:rsidR="00DB553C" w:rsidRDefault="00DB553C" w:rsidP="00CC2678">
      <w:pPr>
        <w:pStyle w:val="a9"/>
        <w:rPr>
          <w:rtl/>
        </w:rPr>
      </w:pPr>
      <w:r w:rsidRPr="00CC2678">
        <w:rPr>
          <w:rStyle w:val="FootnoteReference"/>
          <w:vertAlign w:val="baseline"/>
        </w:rPr>
        <w:footnoteRef/>
      </w:r>
      <w:r w:rsidRPr="00CC2678">
        <w:rPr>
          <w:rtl/>
        </w:rPr>
        <w:t xml:space="preserve"> </w:t>
      </w:r>
      <w:r w:rsidRPr="00CC2678">
        <w:rPr>
          <w:rtl/>
        </w:rPr>
        <w:tab/>
      </w:r>
      <w:r w:rsidRPr="00CC2678">
        <w:rPr>
          <w:rFonts w:hint="cs"/>
          <w:rtl/>
        </w:rPr>
        <w:t>חוב הממשלה</w:t>
      </w:r>
      <w:r>
        <w:rPr>
          <w:rFonts w:hint="cs"/>
          <w:rtl/>
        </w:rPr>
        <w:t xml:space="preserve"> בתוספת חובות הרשויות המקומיות.</w:t>
      </w:r>
    </w:p>
  </w:footnote>
  <w:footnote w:id="67">
    <w:p w14:paraId="32A54B8D" w14:textId="77777777" w:rsidR="00DB553C" w:rsidRPr="00CC2678" w:rsidRDefault="00DB553C" w:rsidP="00CC2678">
      <w:pPr>
        <w:pStyle w:val="a9"/>
        <w:rPr>
          <w:rtl/>
        </w:rPr>
      </w:pPr>
      <w:r w:rsidRPr="00CC2678">
        <w:rPr>
          <w:rStyle w:val="FootnoteReference"/>
          <w:vertAlign w:val="baseline"/>
        </w:rPr>
        <w:footnoteRef/>
      </w:r>
      <w:r w:rsidRPr="00CC2678">
        <w:rPr>
          <w:rtl/>
        </w:rPr>
        <w:t xml:space="preserve"> </w:t>
      </w:r>
      <w:r w:rsidRPr="00CC2678">
        <w:rPr>
          <w:rtl/>
        </w:rPr>
        <w:tab/>
      </w:r>
      <w:r w:rsidRPr="00CC2678">
        <w:rPr>
          <w:rFonts w:hint="cs"/>
          <w:rtl/>
        </w:rPr>
        <w:t xml:space="preserve">בהקשר זה יצוין כי על פי תחזית כלכלית שפרסם ארגון המדינות המפותחות בנובמבר 2019, בשנים 2020 - 2021 ירד קצב הצמיחה של המשק הישראלי ל-2.9%. </w:t>
      </w:r>
    </w:p>
  </w:footnote>
  <w:footnote w:id="68">
    <w:p w14:paraId="0A5037F8" w14:textId="77777777" w:rsidR="00DB553C" w:rsidRPr="00CC2678" w:rsidRDefault="00DB553C" w:rsidP="00CC2678">
      <w:pPr>
        <w:pStyle w:val="a9"/>
      </w:pPr>
      <w:r w:rsidRPr="00CC2678">
        <w:rPr>
          <w:rStyle w:val="FootnoteReference"/>
          <w:vertAlign w:val="baseline"/>
        </w:rPr>
        <w:footnoteRef/>
      </w:r>
      <w:r w:rsidRPr="00CC2678">
        <w:rPr>
          <w:rtl/>
        </w:rPr>
        <w:t xml:space="preserve"> </w:t>
      </w:r>
      <w:r w:rsidRPr="00CC2678">
        <w:rPr>
          <w:rtl/>
        </w:rPr>
        <w:tab/>
      </w:r>
      <w:r w:rsidRPr="00CC2678">
        <w:t>OECD Economic Outlook, 1 (2019), Preliminary Version</w:t>
      </w:r>
    </w:p>
  </w:footnote>
  <w:footnote w:id="69">
    <w:p w14:paraId="427FCD1B" w14:textId="77777777" w:rsidR="00DB553C" w:rsidRDefault="00DB553C" w:rsidP="00CC2678">
      <w:pPr>
        <w:pStyle w:val="a9"/>
      </w:pPr>
      <w:r w:rsidRPr="00CC2678">
        <w:rPr>
          <w:rStyle w:val="FootnoteReference"/>
          <w:vertAlign w:val="baseline"/>
        </w:rPr>
        <w:footnoteRef/>
      </w:r>
      <w:r w:rsidRPr="00CC2678">
        <w:rPr>
          <w:rtl/>
        </w:rPr>
        <w:t xml:space="preserve"> </w:t>
      </w:r>
      <w:r w:rsidRPr="00CC2678">
        <w:rPr>
          <w:rtl/>
        </w:rPr>
        <w:tab/>
      </w:r>
      <w:r w:rsidRPr="00CC2678">
        <w:rPr>
          <w:rFonts w:hint="cs"/>
          <w:rtl/>
        </w:rPr>
        <w:t>בנק ישראל</w:t>
      </w:r>
      <w:r>
        <w:rPr>
          <w:rFonts w:hint="cs"/>
          <w:rtl/>
        </w:rPr>
        <w:t xml:space="preserve">, </w:t>
      </w:r>
      <w:r w:rsidRPr="004254E2">
        <w:rPr>
          <w:rFonts w:hint="eastAsia"/>
          <w:b/>
          <w:bCs/>
          <w:rtl/>
        </w:rPr>
        <w:t>דין</w:t>
      </w:r>
      <w:r w:rsidRPr="004254E2">
        <w:rPr>
          <w:b/>
          <w:bCs/>
          <w:rtl/>
        </w:rPr>
        <w:t xml:space="preserve"> </w:t>
      </w:r>
      <w:r w:rsidRPr="004254E2">
        <w:rPr>
          <w:rFonts w:hint="eastAsia"/>
          <w:b/>
          <w:bCs/>
          <w:rtl/>
        </w:rPr>
        <w:t>וחשבון</w:t>
      </w:r>
      <w:r w:rsidRPr="004254E2">
        <w:rPr>
          <w:b/>
          <w:bCs/>
          <w:rtl/>
        </w:rPr>
        <w:t xml:space="preserve"> 2018</w:t>
      </w:r>
      <w:r>
        <w:rPr>
          <w:rFonts w:hint="cs"/>
          <w:rtl/>
        </w:rPr>
        <w:t>, "פרק א': המשק והמדיניות הכלכלית", עמ' 19.</w:t>
      </w:r>
    </w:p>
  </w:footnote>
  <w:footnote w:id="70">
    <w:p w14:paraId="3BEC5E80" w14:textId="77777777" w:rsidR="00DB553C" w:rsidRPr="00B61D46" w:rsidRDefault="00DB553C" w:rsidP="00B61D46">
      <w:pPr>
        <w:pStyle w:val="a9"/>
        <w:rPr>
          <w:rtl/>
        </w:rPr>
      </w:pPr>
      <w:r w:rsidRPr="00B61D46">
        <w:rPr>
          <w:rStyle w:val="FootnoteReference"/>
          <w:vertAlign w:val="baseline"/>
        </w:rPr>
        <w:footnoteRef/>
      </w:r>
      <w:r w:rsidRPr="00B61D46">
        <w:rPr>
          <w:rtl/>
        </w:rPr>
        <w:t xml:space="preserve"> </w:t>
      </w:r>
      <w:r w:rsidRPr="00B61D46">
        <w:rPr>
          <w:rtl/>
        </w:rPr>
        <w:tab/>
      </w:r>
      <w:r w:rsidRPr="00B61D46">
        <w:rPr>
          <w:rFonts w:hint="cs"/>
          <w:rtl/>
        </w:rPr>
        <w:t xml:space="preserve">אמנם בדוחות הכספים כתוב כי הסכום כולל הפחתת פרמיה/ניכיון, אך יוער כי מבירור שנעשה עם מטה החשכ"ל עולה כי לא אלו לא הופחתו בפועל. </w:t>
      </w:r>
    </w:p>
  </w:footnote>
  <w:footnote w:id="71">
    <w:p w14:paraId="75F2183B" w14:textId="77777777" w:rsidR="00DB553C" w:rsidRDefault="00DB553C" w:rsidP="00B61D46">
      <w:pPr>
        <w:pStyle w:val="a9"/>
        <w:rPr>
          <w:rtl/>
        </w:rPr>
      </w:pPr>
      <w:r w:rsidRPr="00B61D46">
        <w:rPr>
          <w:rStyle w:val="FootnoteReference"/>
          <w:vertAlign w:val="baseline"/>
        </w:rPr>
        <w:footnoteRef/>
      </w:r>
      <w:r w:rsidRPr="00B61D46">
        <w:rPr>
          <w:rtl/>
        </w:rPr>
        <w:t xml:space="preserve"> </w:t>
      </w:r>
      <w:r w:rsidRPr="00B61D46">
        <w:rPr>
          <w:rtl/>
        </w:rPr>
        <w:tab/>
      </w:r>
      <w:r w:rsidRPr="00B61D46">
        <w:rPr>
          <w:rFonts w:hint="cs"/>
          <w:rtl/>
        </w:rPr>
        <w:t>מבקר</w:t>
      </w:r>
      <w:r w:rsidRPr="00B61D46">
        <w:rPr>
          <w:rtl/>
        </w:rPr>
        <w:t xml:space="preserve"> </w:t>
      </w:r>
      <w:r w:rsidRPr="00B61D46">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66א</w:t>
      </w:r>
      <w:r>
        <w:rPr>
          <w:rFonts w:hint="cs"/>
          <w:rtl/>
        </w:rPr>
        <w:t xml:space="preserve"> </w:t>
      </w:r>
      <w:r w:rsidRPr="00C975CB">
        <w:rPr>
          <w:rtl/>
        </w:rPr>
        <w:t>(20</w:t>
      </w:r>
      <w:r>
        <w:rPr>
          <w:rFonts w:hint="cs"/>
          <w:rtl/>
        </w:rPr>
        <w:t>15</w:t>
      </w:r>
      <w:r>
        <w:rPr>
          <w:rtl/>
        </w:rPr>
        <w:t>), "</w:t>
      </w:r>
      <w:r>
        <w:rPr>
          <w:rFonts w:hint="cs"/>
          <w:rtl/>
        </w:rPr>
        <w:t>ניהול החוב הממשלתי והתחייבות הממשלה למוסד לביטוח לאומי"</w:t>
      </w:r>
      <w:r>
        <w:rPr>
          <w:rtl/>
        </w:rPr>
        <w:t>, עמ'</w:t>
      </w:r>
      <w:r>
        <w:rPr>
          <w:rFonts w:hint="cs"/>
          <w:rtl/>
        </w:rPr>
        <w:t xml:space="preserve"> 152.</w:t>
      </w:r>
    </w:p>
  </w:footnote>
  <w:footnote w:id="72">
    <w:p w14:paraId="6398976D" w14:textId="77777777" w:rsidR="00DB553C" w:rsidRDefault="00DB553C" w:rsidP="00296A47">
      <w:pPr>
        <w:pStyle w:val="a9"/>
      </w:pPr>
      <w:r w:rsidRPr="00296A47">
        <w:footnoteRef/>
      </w:r>
      <w:r w:rsidRPr="00296A47">
        <w:rPr>
          <w:rtl/>
        </w:rPr>
        <w:t xml:space="preserve"> </w:t>
      </w:r>
      <w:r w:rsidRPr="00296A47">
        <w:rPr>
          <w:rtl/>
        </w:rPr>
        <w:tab/>
      </w:r>
      <w:r w:rsidRPr="00296A47">
        <w:rPr>
          <w:i/>
          <w:iCs/>
        </w:rPr>
        <w:t>OECD Economic Outlook, 2</w:t>
      </w:r>
      <w:r w:rsidRPr="00296A47">
        <w:t xml:space="preserve"> (2019): Preliminary</w:t>
      </w:r>
      <w:r>
        <w:t xml:space="preserve"> Version</w:t>
      </w:r>
    </w:p>
  </w:footnote>
  <w:footnote w:id="73">
    <w:p w14:paraId="6FF62482" w14:textId="77777777" w:rsidR="00DB553C" w:rsidRPr="00296A47" w:rsidRDefault="00DB553C" w:rsidP="00296A47">
      <w:pPr>
        <w:pStyle w:val="a9"/>
        <w:rPr>
          <w:rtl/>
        </w:rPr>
      </w:pPr>
      <w:r w:rsidRPr="00296A47">
        <w:rPr>
          <w:rStyle w:val="FootnoteReference"/>
          <w:vertAlign w:val="baseline"/>
        </w:rPr>
        <w:footnoteRef/>
      </w:r>
      <w:r w:rsidRPr="00296A47">
        <w:rPr>
          <w:rtl/>
        </w:rPr>
        <w:t xml:space="preserve"> </w:t>
      </w:r>
      <w:r w:rsidRPr="00296A47">
        <w:rPr>
          <w:rtl/>
        </w:rPr>
        <w:tab/>
      </w:r>
      <w:r w:rsidRPr="00296A47">
        <w:t>Social Benefits - IPSAS-42</w:t>
      </w:r>
      <w:r w:rsidRPr="00296A47">
        <w:rPr>
          <w:rFonts w:hint="cs"/>
          <w:rtl/>
        </w:rPr>
        <w:t xml:space="preserve">. הוועדה לתקינה חשבונאית ממשלתית בישראל טרם אימצה את התקן, והוא אף לא תורגם. </w:t>
      </w:r>
    </w:p>
  </w:footnote>
  <w:footnote w:id="74">
    <w:p w14:paraId="50E38F5A" w14:textId="77777777" w:rsidR="00DB553C" w:rsidRPr="00296A47" w:rsidRDefault="00DB553C" w:rsidP="00296A47">
      <w:pPr>
        <w:pStyle w:val="a9"/>
      </w:pPr>
      <w:r w:rsidRPr="00296A47">
        <w:rPr>
          <w:rStyle w:val="FootnoteReference"/>
          <w:vertAlign w:val="baseline"/>
        </w:rPr>
        <w:footnoteRef/>
      </w:r>
      <w:r w:rsidRPr="00296A47">
        <w:rPr>
          <w:rtl/>
        </w:rPr>
        <w:t xml:space="preserve"> </w:t>
      </w:r>
      <w:r w:rsidRPr="00296A47">
        <w:rPr>
          <w:rtl/>
        </w:rPr>
        <w:tab/>
        <w:t>חוק הביטוח הלאומי [נוסח משולב], תשנ"ה-1995</w:t>
      </w:r>
      <w:r w:rsidRPr="00296A47">
        <w:rPr>
          <w:rFonts w:hint="cs"/>
          <w:rtl/>
        </w:rPr>
        <w:t>, מאפשר למוסד לביטוח לאומי לפרסם את הדוח האקטוארי מדי שלוש שנים.</w:t>
      </w:r>
    </w:p>
  </w:footnote>
  <w:footnote w:id="75">
    <w:p w14:paraId="44FF60E9" w14:textId="77777777" w:rsidR="00DB553C" w:rsidRDefault="00DB553C" w:rsidP="00296A47">
      <w:pPr>
        <w:pStyle w:val="a9"/>
        <w:rPr>
          <w:rtl/>
        </w:rPr>
      </w:pPr>
      <w:r w:rsidRPr="00296A47">
        <w:rPr>
          <w:rStyle w:val="FootnoteReference"/>
          <w:vertAlign w:val="baseline"/>
        </w:rPr>
        <w:footnoteRef/>
      </w:r>
      <w:r w:rsidRPr="00296A47">
        <w:rPr>
          <w:rtl/>
        </w:rPr>
        <w:t xml:space="preserve"> </w:t>
      </w:r>
      <w:r w:rsidRPr="00296A47">
        <w:rPr>
          <w:rtl/>
        </w:rPr>
        <w:tab/>
      </w:r>
      <w:r w:rsidRPr="00296A47">
        <w:rPr>
          <w:rFonts w:hint="cs"/>
          <w:rtl/>
        </w:rPr>
        <w:t>מבקר</w:t>
      </w:r>
      <w:r w:rsidRPr="00296A47">
        <w:rPr>
          <w:rtl/>
        </w:rPr>
        <w:t xml:space="preserve"> </w:t>
      </w:r>
      <w:r w:rsidRPr="00296A47">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ביקורת מיוחד</w:t>
      </w:r>
      <w:r>
        <w:rPr>
          <w:rFonts w:hint="cs"/>
          <w:rtl/>
        </w:rPr>
        <w:t xml:space="preserve"> </w:t>
      </w:r>
      <w:r w:rsidRPr="00C975CB">
        <w:rPr>
          <w:rtl/>
        </w:rPr>
        <w:t>(20</w:t>
      </w:r>
      <w:r>
        <w:rPr>
          <w:rFonts w:hint="cs"/>
          <w:rtl/>
        </w:rPr>
        <w:t>16</w:t>
      </w:r>
      <w:r>
        <w:rPr>
          <w:rtl/>
        </w:rPr>
        <w:t>), "</w:t>
      </w:r>
      <w:r>
        <w:rPr>
          <w:rFonts w:hint="cs"/>
          <w:rtl/>
        </w:rPr>
        <w:t>הסדרי הפנסייה במדינה</w:t>
      </w:r>
      <w:r>
        <w:rPr>
          <w:rtl/>
        </w:rPr>
        <w:t>", עמ'</w:t>
      </w:r>
      <w:r>
        <w:rPr>
          <w:rFonts w:hint="cs"/>
          <w:rtl/>
        </w:rPr>
        <w:t xml:space="preserve"> 131.</w:t>
      </w:r>
    </w:p>
  </w:footnote>
  <w:footnote w:id="76">
    <w:p w14:paraId="1435B618" w14:textId="77777777" w:rsidR="00DB553C" w:rsidRPr="00296A47" w:rsidRDefault="00DB553C" w:rsidP="00296A47">
      <w:pPr>
        <w:pStyle w:val="a9"/>
        <w:rPr>
          <w:rtl/>
        </w:rPr>
      </w:pPr>
      <w:r w:rsidRPr="00296A47">
        <w:footnoteRef/>
      </w:r>
      <w:r w:rsidRPr="00296A47">
        <w:rPr>
          <w:rtl/>
        </w:rPr>
        <w:t xml:space="preserve"> </w:t>
      </w:r>
      <w:r w:rsidRPr="00296A47">
        <w:rPr>
          <w:rtl/>
        </w:rPr>
        <w:tab/>
      </w:r>
      <w:r w:rsidRPr="00296A47">
        <w:rPr>
          <w:rFonts w:hint="cs"/>
          <w:rtl/>
        </w:rPr>
        <w:t>מבקר</w:t>
      </w:r>
      <w:r w:rsidRPr="00296A47">
        <w:rPr>
          <w:rtl/>
        </w:rPr>
        <w:t xml:space="preserve"> </w:t>
      </w:r>
      <w:r w:rsidRPr="00296A47">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66א</w:t>
      </w:r>
      <w:r>
        <w:rPr>
          <w:rFonts w:hint="cs"/>
          <w:rtl/>
        </w:rPr>
        <w:t xml:space="preserve"> </w:t>
      </w:r>
      <w:r w:rsidRPr="00C975CB">
        <w:rPr>
          <w:rtl/>
        </w:rPr>
        <w:t>(20</w:t>
      </w:r>
      <w:r w:rsidRPr="00296A47">
        <w:rPr>
          <w:rFonts w:hint="cs"/>
          <w:rtl/>
        </w:rPr>
        <w:t>15</w:t>
      </w:r>
      <w:r w:rsidRPr="00296A47">
        <w:rPr>
          <w:rtl/>
        </w:rPr>
        <w:t>), "</w:t>
      </w:r>
      <w:r w:rsidRPr="00296A47">
        <w:rPr>
          <w:rFonts w:hint="cs"/>
          <w:rtl/>
        </w:rPr>
        <w:t>ניהול החוב הממשלתי והתחייבות הממשלה למוסד לביטוח לאומי"</w:t>
      </w:r>
      <w:r w:rsidRPr="00296A47">
        <w:rPr>
          <w:rtl/>
        </w:rPr>
        <w:t>, עמ'</w:t>
      </w:r>
      <w:r w:rsidRPr="00296A47">
        <w:rPr>
          <w:rFonts w:hint="cs"/>
          <w:rtl/>
        </w:rPr>
        <w:t xml:space="preserve"> 133. בהקשר זה יצוין כי אפשרויות פיסקאליות שונות להתמודדות עם המצב, אף הופיעו בדוח האקטוארי של הביטוח הלאומי. ראו גם הערת שוליים מספר 75, עמוד 128. </w:t>
      </w:r>
    </w:p>
  </w:footnote>
  <w:footnote w:id="77">
    <w:p w14:paraId="6B977C53" w14:textId="77777777" w:rsidR="00DB553C" w:rsidRPr="00296A47" w:rsidRDefault="00DB553C" w:rsidP="00296A47">
      <w:pPr>
        <w:pStyle w:val="a9"/>
        <w:rPr>
          <w:rtl/>
        </w:rPr>
      </w:pPr>
      <w:r w:rsidRPr="00296A47">
        <w:rPr>
          <w:rStyle w:val="FootnoteReference"/>
          <w:vertAlign w:val="baseline"/>
        </w:rPr>
        <w:footnoteRef/>
      </w:r>
      <w:r w:rsidRPr="00296A47">
        <w:rPr>
          <w:rtl/>
        </w:rPr>
        <w:t xml:space="preserve"> </w:t>
      </w:r>
      <w:r w:rsidRPr="00296A47">
        <w:rPr>
          <w:rtl/>
        </w:rPr>
        <w:tab/>
        <w:t>לפי נתוני הלמ"ס בעשור האחרון עלתה תוחלת החיים בקרב הגברים ב</w:t>
      </w:r>
      <w:r w:rsidRPr="00296A47">
        <w:rPr>
          <w:rFonts w:hint="cs"/>
          <w:rtl/>
        </w:rPr>
        <w:t>שנתיים</w:t>
      </w:r>
      <w:r w:rsidRPr="00296A47">
        <w:rPr>
          <w:rtl/>
        </w:rPr>
        <w:t xml:space="preserve"> ובקרב הנשים ב-1.7 שנים. ב-30 השנים האחרונות עלתה תוחלת החיים בקרב הגברים ב-7.5 שנים ובקרב נשים ב-7.4 שנים</w:t>
      </w:r>
      <w:r w:rsidRPr="00296A47">
        <w:rPr>
          <w:rFonts w:hint="cs"/>
          <w:rtl/>
        </w:rPr>
        <w:t>.</w:t>
      </w:r>
    </w:p>
  </w:footnote>
  <w:footnote w:id="78">
    <w:p w14:paraId="2D89728A" w14:textId="77777777" w:rsidR="00DB553C" w:rsidRPr="00296A47" w:rsidRDefault="00DB553C" w:rsidP="00296A47">
      <w:pPr>
        <w:pStyle w:val="a9"/>
      </w:pPr>
      <w:r w:rsidRPr="00296A47">
        <w:rPr>
          <w:rStyle w:val="FootnoteReference"/>
          <w:vertAlign w:val="baseline"/>
        </w:rPr>
        <w:footnoteRef/>
      </w:r>
      <w:r w:rsidRPr="00296A47">
        <w:rPr>
          <w:rtl/>
        </w:rPr>
        <w:t xml:space="preserve"> </w:t>
      </w:r>
      <w:r w:rsidRPr="00296A47">
        <w:rPr>
          <w:rtl/>
        </w:rPr>
        <w:tab/>
      </w:r>
      <w:r w:rsidRPr="00296A47">
        <w:rPr>
          <w:rFonts w:hint="cs"/>
          <w:rtl/>
        </w:rPr>
        <w:t>חוזר ביטוח 2011-1-4.</w:t>
      </w:r>
    </w:p>
  </w:footnote>
  <w:footnote w:id="79">
    <w:p w14:paraId="0CFBF1AD" w14:textId="77777777" w:rsidR="00DB553C" w:rsidRDefault="00DB553C" w:rsidP="00296A47">
      <w:pPr>
        <w:pStyle w:val="a9"/>
      </w:pPr>
      <w:r w:rsidRPr="00296A47">
        <w:rPr>
          <w:rStyle w:val="FootnoteReference"/>
          <w:vertAlign w:val="baseline"/>
        </w:rPr>
        <w:footnoteRef/>
      </w:r>
      <w:r w:rsidRPr="00296A47">
        <w:rPr>
          <w:rtl/>
        </w:rPr>
        <w:t xml:space="preserve"> </w:t>
      </w:r>
      <w:r w:rsidRPr="00296A47">
        <w:rPr>
          <w:rtl/>
        </w:rPr>
        <w:tab/>
      </w:r>
      <w:r w:rsidRPr="00296A47">
        <w:rPr>
          <w:rFonts w:hint="cs"/>
          <w:rtl/>
        </w:rPr>
        <w:t>ראו מבקר</w:t>
      </w:r>
      <w:r w:rsidRPr="00296A47">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ביקורת מיוחד</w:t>
      </w:r>
      <w:r>
        <w:rPr>
          <w:rFonts w:hint="cs"/>
          <w:rtl/>
        </w:rPr>
        <w:t xml:space="preserve"> </w:t>
      </w:r>
      <w:r w:rsidRPr="00C975CB">
        <w:rPr>
          <w:rtl/>
        </w:rPr>
        <w:t>(20</w:t>
      </w:r>
      <w:r>
        <w:rPr>
          <w:rFonts w:hint="cs"/>
          <w:rtl/>
        </w:rPr>
        <w:t>16</w:t>
      </w:r>
      <w:r>
        <w:rPr>
          <w:rtl/>
        </w:rPr>
        <w:t>), "</w:t>
      </w:r>
      <w:r>
        <w:rPr>
          <w:rFonts w:hint="cs"/>
          <w:rtl/>
        </w:rPr>
        <w:t>הסדרי הפנסייה במדינה</w:t>
      </w:r>
      <w:r>
        <w:rPr>
          <w:rtl/>
        </w:rPr>
        <w:t>", עמ'</w:t>
      </w:r>
      <w:r>
        <w:rPr>
          <w:rFonts w:hint="cs"/>
          <w:rtl/>
        </w:rPr>
        <w:t xml:space="preserve"> 128.</w:t>
      </w:r>
    </w:p>
  </w:footnote>
  <w:footnote w:id="80">
    <w:p w14:paraId="38732FA6" w14:textId="77777777" w:rsidR="00DB553C" w:rsidRPr="002C2524" w:rsidRDefault="00DB553C" w:rsidP="002C2524">
      <w:pPr>
        <w:pStyle w:val="a9"/>
        <w:rPr>
          <w:rtl/>
        </w:rPr>
      </w:pPr>
      <w:r w:rsidRPr="002C2524">
        <w:rPr>
          <w:rStyle w:val="FootnoteReference"/>
          <w:vertAlign w:val="baseline"/>
        </w:rPr>
        <w:footnoteRef/>
      </w:r>
      <w:r w:rsidRPr="002C2524">
        <w:rPr>
          <w:rtl/>
        </w:rPr>
        <w:t xml:space="preserve"> </w:t>
      </w:r>
      <w:r w:rsidRPr="002C2524">
        <w:tab/>
        <w:t xml:space="preserve">International Public Sector Accounting Standards </w:t>
      </w:r>
    </w:p>
  </w:footnote>
  <w:footnote w:id="81">
    <w:p w14:paraId="57F99BAB" w14:textId="77777777" w:rsidR="002F5B56" w:rsidRPr="00E20FDC" w:rsidRDefault="002F5B56" w:rsidP="002F5B56">
      <w:pPr>
        <w:pStyle w:val="a9"/>
        <w:rPr>
          <w:rtl/>
        </w:rPr>
      </w:pPr>
      <w:r w:rsidRPr="00E20FDC">
        <w:footnoteRef/>
      </w:r>
      <w:r w:rsidRPr="00E20FDC">
        <w:rPr>
          <w:rtl/>
        </w:rPr>
        <w:t xml:space="preserve"> </w:t>
      </w:r>
      <w:r w:rsidRPr="00E20FDC">
        <w:tab/>
      </w:r>
      <w:r w:rsidRPr="00E20FDC">
        <w:rPr>
          <w:rFonts w:hint="cs"/>
          <w:rtl/>
        </w:rPr>
        <w:t xml:space="preserve">תקני חשבונאות בינלאומיים החלים על חברות ציבוריות. </w:t>
      </w:r>
    </w:p>
  </w:footnote>
  <w:footnote w:id="82">
    <w:p w14:paraId="7B2D3CA6" w14:textId="77777777" w:rsidR="00DB553C" w:rsidRDefault="00DB553C" w:rsidP="002C2524">
      <w:pPr>
        <w:pStyle w:val="a9"/>
        <w:rPr>
          <w:rtl/>
        </w:rPr>
      </w:pPr>
      <w:r w:rsidRPr="002C2524">
        <w:footnoteRef/>
      </w:r>
      <w:r w:rsidRPr="002C2524">
        <w:rPr>
          <w:rtl/>
        </w:rPr>
        <w:t xml:space="preserve"> </w:t>
      </w:r>
      <w:r w:rsidRPr="002C2524">
        <w:rPr>
          <w:rtl/>
        </w:rPr>
        <w:tab/>
      </w:r>
      <w:r w:rsidRPr="004254E2">
        <w:rPr>
          <w:rFonts w:hint="eastAsia"/>
          <w:b/>
          <w:bCs/>
          <w:rtl/>
        </w:rPr>
        <w:t>דוח</w:t>
      </w:r>
      <w:r w:rsidRPr="004254E2">
        <w:rPr>
          <w:b/>
          <w:bCs/>
          <w:rtl/>
        </w:rPr>
        <w:t xml:space="preserve"> </w:t>
      </w:r>
      <w:r w:rsidRPr="004254E2">
        <w:rPr>
          <w:rFonts w:hint="eastAsia"/>
          <w:b/>
          <w:bCs/>
          <w:rtl/>
        </w:rPr>
        <w:t>מבקר</w:t>
      </w:r>
      <w:r w:rsidRPr="004254E2">
        <w:rPr>
          <w:b/>
          <w:bCs/>
          <w:rtl/>
        </w:rPr>
        <w:t xml:space="preserve"> </w:t>
      </w:r>
      <w:r w:rsidRPr="004254E2">
        <w:rPr>
          <w:rFonts w:hint="eastAsia"/>
          <w:b/>
          <w:bCs/>
          <w:rtl/>
        </w:rPr>
        <w:t>המדינה</w:t>
      </w:r>
      <w:r w:rsidRPr="004254E2">
        <w:rPr>
          <w:b/>
          <w:bCs/>
          <w:rtl/>
        </w:rPr>
        <w:t xml:space="preserve"> 53ב</w:t>
      </w:r>
      <w:r>
        <w:rPr>
          <w:rFonts w:hint="cs"/>
          <w:rtl/>
        </w:rPr>
        <w:t xml:space="preserve"> (2002), </w:t>
      </w:r>
      <w:r w:rsidRPr="001912FD">
        <w:rPr>
          <w:rtl/>
        </w:rPr>
        <w:t>"</w:t>
      </w:r>
      <w:r w:rsidRPr="001912FD">
        <w:rPr>
          <w:rFonts w:hint="eastAsia"/>
          <w:rtl/>
        </w:rPr>
        <w:t>משרד</w:t>
      </w:r>
      <w:r w:rsidRPr="001912FD">
        <w:rPr>
          <w:rtl/>
        </w:rPr>
        <w:t xml:space="preserve"> </w:t>
      </w:r>
      <w:r w:rsidRPr="001912FD">
        <w:rPr>
          <w:rFonts w:hint="eastAsia"/>
          <w:rtl/>
        </w:rPr>
        <w:t>האוצר</w:t>
      </w:r>
      <w:r w:rsidRPr="001912FD">
        <w:rPr>
          <w:rtl/>
        </w:rPr>
        <w:t xml:space="preserve"> - </w:t>
      </w:r>
      <w:r w:rsidRPr="001912FD">
        <w:rPr>
          <w:rFonts w:hint="eastAsia"/>
          <w:rtl/>
        </w:rPr>
        <w:t>תקינה</w:t>
      </w:r>
      <w:r w:rsidRPr="001912FD">
        <w:rPr>
          <w:rtl/>
        </w:rPr>
        <w:t xml:space="preserve"> </w:t>
      </w:r>
      <w:r w:rsidRPr="001912FD">
        <w:rPr>
          <w:rFonts w:hint="eastAsia"/>
          <w:rtl/>
        </w:rPr>
        <w:t>חשבונאית</w:t>
      </w:r>
      <w:r w:rsidRPr="001912FD">
        <w:rPr>
          <w:rtl/>
        </w:rPr>
        <w:t xml:space="preserve"> </w:t>
      </w:r>
      <w:r w:rsidRPr="001912FD">
        <w:rPr>
          <w:rFonts w:hint="eastAsia"/>
          <w:rtl/>
        </w:rPr>
        <w:t>ממשלתית</w:t>
      </w:r>
      <w:r w:rsidRPr="001912FD">
        <w:rPr>
          <w:rtl/>
        </w:rPr>
        <w:t>"</w:t>
      </w:r>
      <w:r>
        <w:rPr>
          <w:rFonts w:hint="cs"/>
          <w:rtl/>
        </w:rPr>
        <w:t>. בדוח המליץ משרד מבקר לקדם את נושא התקינה החשבונאית הממשלתית ולפעול בהקדם להסדירה.</w:t>
      </w:r>
    </w:p>
  </w:footnote>
  <w:footnote w:id="83">
    <w:p w14:paraId="117CAC83" w14:textId="77777777" w:rsidR="00DB553C" w:rsidRPr="00F61A09" w:rsidRDefault="00DB553C" w:rsidP="00F61A09">
      <w:pPr>
        <w:pStyle w:val="a9"/>
      </w:pPr>
      <w:r w:rsidRPr="00F61A09">
        <w:rPr>
          <w:rStyle w:val="FootnoteReference"/>
          <w:vertAlign w:val="baseline"/>
        </w:rPr>
        <w:footnoteRef/>
      </w:r>
      <w:r w:rsidRPr="00F61A09">
        <w:rPr>
          <w:rtl/>
        </w:rPr>
        <w:t xml:space="preserve"> </w:t>
      </w:r>
      <w:r w:rsidRPr="00F61A09">
        <w:rPr>
          <w:rtl/>
        </w:rPr>
        <w:tab/>
      </w:r>
      <w:r w:rsidRPr="00F61A09">
        <w:rPr>
          <w:rFonts w:hint="cs"/>
          <w:rtl/>
        </w:rPr>
        <w:t xml:space="preserve">באותה מתכונת כפי שפעלה ועדה מס' 3, שהוקמה ביולי 2001. יצוין כי בפועל, המוסד לתקינה חשבונאית ממשלתית פועל באמצעות הוועדה לתקינה חשבונאית ממשלתית. </w:t>
      </w:r>
    </w:p>
  </w:footnote>
  <w:footnote w:id="84">
    <w:p w14:paraId="76F2C8F8" w14:textId="77777777" w:rsidR="00DB553C" w:rsidRPr="00F61A09" w:rsidRDefault="00DB553C" w:rsidP="00F61A09">
      <w:pPr>
        <w:pStyle w:val="a9"/>
        <w:rPr>
          <w:rtl/>
        </w:rPr>
      </w:pPr>
      <w:r w:rsidRPr="00F61A09">
        <w:rPr>
          <w:rStyle w:val="FootnoteReference"/>
          <w:vertAlign w:val="baseline"/>
        </w:rPr>
        <w:footnoteRef/>
      </w:r>
      <w:r w:rsidRPr="00F61A09">
        <w:rPr>
          <w:rtl/>
        </w:rPr>
        <w:t xml:space="preserve"> </w:t>
      </w:r>
      <w:r w:rsidRPr="00F61A09">
        <w:rPr>
          <w:rtl/>
        </w:rPr>
        <w:tab/>
        <w:t>הוועדה לתקני חשבונאות בינלאומיים</w:t>
      </w:r>
      <w:r w:rsidRPr="00F61A09">
        <w:rPr>
          <w:rFonts w:hint="cs"/>
          <w:rtl/>
        </w:rPr>
        <w:t xml:space="preserve"> (</w:t>
      </w:r>
      <w:r w:rsidRPr="00F61A09">
        <w:t>IASB</w:t>
      </w:r>
      <w:r w:rsidRPr="00F61A09">
        <w:rPr>
          <w:rFonts w:hint="cs"/>
          <w:rtl/>
        </w:rPr>
        <w:t xml:space="preserve">) מפרסמת את </w:t>
      </w:r>
      <w:r w:rsidRPr="00F61A09">
        <w:rPr>
          <w:rtl/>
        </w:rPr>
        <w:t>התקינה הבינלאומית</w:t>
      </w:r>
      <w:r w:rsidRPr="00F61A09">
        <w:rPr>
          <w:rFonts w:hint="cs"/>
          <w:rtl/>
        </w:rPr>
        <w:t xml:space="preserve">, </w:t>
      </w:r>
      <w:r w:rsidRPr="00F61A09">
        <w:rPr>
          <w:rtl/>
        </w:rPr>
        <w:t>ו</w:t>
      </w:r>
      <w:r w:rsidRPr="00F61A09">
        <w:rPr>
          <w:rFonts w:hint="cs"/>
          <w:rtl/>
        </w:rPr>
        <w:t xml:space="preserve">בכלל זה </w:t>
      </w:r>
      <w:r w:rsidRPr="00F61A09">
        <w:rPr>
          <w:rtl/>
        </w:rPr>
        <w:t>את תקני הדיווח הכספי הבינלאומיים</w:t>
      </w:r>
      <w:r w:rsidRPr="00F61A09">
        <w:rPr>
          <w:rFonts w:hint="cs"/>
          <w:rtl/>
        </w:rPr>
        <w:t xml:space="preserve"> ואת </w:t>
      </w:r>
      <w:r w:rsidRPr="00F61A09">
        <w:rPr>
          <w:rtl/>
        </w:rPr>
        <w:t>תקני החשבונאות הבינלאומיים</w:t>
      </w:r>
      <w:r w:rsidRPr="00F61A09">
        <w:rPr>
          <w:rFonts w:hint="cs"/>
          <w:rtl/>
        </w:rPr>
        <w:t xml:space="preserve"> (</w:t>
      </w:r>
      <w:r w:rsidRPr="00F61A09">
        <w:t>IAS</w:t>
      </w:r>
      <w:r w:rsidRPr="00F61A09">
        <w:rPr>
          <w:rFonts w:hint="cs"/>
          <w:rtl/>
        </w:rPr>
        <w:t>) (</w:t>
      </w:r>
      <w:r w:rsidRPr="00F61A09">
        <w:t>IFRS</w:t>
      </w:r>
      <w:r w:rsidRPr="00F61A09">
        <w:rPr>
          <w:rFonts w:hint="cs"/>
          <w:rtl/>
        </w:rPr>
        <w:t>).</w:t>
      </w:r>
    </w:p>
  </w:footnote>
  <w:footnote w:id="85">
    <w:p w14:paraId="5B14D8D0" w14:textId="77777777" w:rsidR="00DB553C" w:rsidRPr="00F61A09" w:rsidRDefault="00DB553C" w:rsidP="00F61A09">
      <w:pPr>
        <w:pStyle w:val="a9"/>
      </w:pPr>
      <w:r w:rsidRPr="00F61A09">
        <w:rPr>
          <w:rStyle w:val="FootnoteReference"/>
          <w:vertAlign w:val="baseline"/>
        </w:rPr>
        <w:footnoteRef/>
      </w:r>
      <w:r w:rsidRPr="00F61A09">
        <w:rPr>
          <w:rtl/>
        </w:rPr>
        <w:t xml:space="preserve"> </w:t>
      </w:r>
      <w:r w:rsidRPr="00F61A09">
        <w:rPr>
          <w:rtl/>
        </w:rPr>
        <w:tab/>
      </w:r>
      <w:r w:rsidRPr="00F61A09">
        <w:rPr>
          <w:rFonts w:hint="cs"/>
          <w:rtl/>
        </w:rPr>
        <w:t>עם החלתו של תקן חשבונאות מס' 29 של המוסד הישראלי לתקינה בחשבונאות, משנת 2007 ואילך, אומצו בדרך של "אימוץ גורף" תקני החשבונאות הבינלאומיים.</w:t>
      </w:r>
    </w:p>
  </w:footnote>
  <w:footnote w:id="86">
    <w:p w14:paraId="49CE942E" w14:textId="77777777" w:rsidR="00DB553C" w:rsidRPr="00F61A09" w:rsidRDefault="00DB553C" w:rsidP="00F61A09">
      <w:pPr>
        <w:pStyle w:val="a9"/>
        <w:rPr>
          <w:rtl/>
        </w:rPr>
      </w:pPr>
      <w:r w:rsidRPr="00F61A09">
        <w:rPr>
          <w:rStyle w:val="FootnoteReference"/>
          <w:vertAlign w:val="baseline"/>
        </w:rPr>
        <w:footnoteRef/>
      </w:r>
      <w:r w:rsidRPr="00F61A09">
        <w:rPr>
          <w:rtl/>
        </w:rPr>
        <w:t xml:space="preserve"> </w:t>
      </w:r>
      <w:r w:rsidRPr="00F61A09">
        <w:rPr>
          <w:rtl/>
        </w:rPr>
        <w:tab/>
      </w:r>
      <w:r w:rsidRPr="00F61A09">
        <w:rPr>
          <w:rFonts w:hint="cs"/>
          <w:rtl/>
        </w:rPr>
        <w:t>נוסף על חברי הוועדה, מוזמנים להשתתף בישיבות הוועדה באורח קבע, ללא זכות הצבעה, שבעה משתתפים קבועים שהרשות לניירות ערך ולשכת רואי החשבון בוחרות בהסכמה ביניהן.</w:t>
      </w:r>
    </w:p>
  </w:footnote>
  <w:footnote w:id="87">
    <w:p w14:paraId="151782C7" w14:textId="77777777" w:rsidR="00DB553C" w:rsidRDefault="00DB553C" w:rsidP="00F61A09">
      <w:pPr>
        <w:pStyle w:val="a9"/>
        <w:rPr>
          <w:rtl/>
        </w:rPr>
      </w:pPr>
      <w:r w:rsidRPr="00F61A09">
        <w:rPr>
          <w:rStyle w:val="FootnoteReference"/>
          <w:vertAlign w:val="baseline"/>
        </w:rPr>
        <w:footnoteRef/>
      </w:r>
      <w:r w:rsidRPr="00F61A09">
        <w:rPr>
          <w:rtl/>
        </w:rPr>
        <w:t xml:space="preserve"> </w:t>
      </w:r>
      <w:r w:rsidRPr="00F61A09">
        <w:rPr>
          <w:rtl/>
        </w:rPr>
        <w:tab/>
      </w:r>
      <w:r w:rsidRPr="00F61A09">
        <w:rPr>
          <w:rFonts w:hint="cs"/>
          <w:rtl/>
        </w:rPr>
        <w:t>לוועדה</w:t>
      </w:r>
      <w:r>
        <w:rPr>
          <w:rFonts w:ascii="Open Sans Hebrew" w:hAnsi="Open Sans Hebrew" w:hint="cs"/>
          <w:color w:val="000000"/>
          <w:rtl/>
        </w:rPr>
        <w:t xml:space="preserve"> הזכות למנות משקיפים נוספים ליועצים מקצועיים למטרה אחרת העשויה לתרום לעבודתה.</w:t>
      </w:r>
    </w:p>
  </w:footnote>
  <w:footnote w:id="88">
    <w:p w14:paraId="4200CC82" w14:textId="77777777" w:rsidR="00DB553C" w:rsidRDefault="00DB553C" w:rsidP="00F61A09">
      <w:pPr>
        <w:pStyle w:val="a9"/>
      </w:pPr>
      <w:r w:rsidRPr="00F61A09">
        <w:footnoteRef/>
      </w:r>
      <w:r w:rsidRPr="00F61A09">
        <w:rPr>
          <w:rtl/>
        </w:rPr>
        <w:t xml:space="preserve"> </w:t>
      </w:r>
      <w:r w:rsidRPr="00F61A09">
        <w:rPr>
          <w:rtl/>
        </w:rPr>
        <w:tab/>
      </w:r>
      <w:r w:rsidRPr="00F61A09">
        <w:rPr>
          <w:rFonts w:hint="cs"/>
          <w:rtl/>
        </w:rPr>
        <w:t>במקרים</w:t>
      </w:r>
      <w:r>
        <w:rPr>
          <w:rFonts w:hint="cs"/>
          <w:rtl/>
        </w:rPr>
        <w:t xml:space="preserve"> רבים נכנסו לתוקף תקני חשבונאות בינלאומיים חדשים אחרים. </w:t>
      </w:r>
    </w:p>
  </w:footnote>
  <w:footnote w:id="89">
    <w:p w14:paraId="33B26441" w14:textId="77777777" w:rsidR="00DB553C" w:rsidRDefault="00DB553C" w:rsidP="006B1D8D">
      <w:pPr>
        <w:pStyle w:val="a9"/>
      </w:pPr>
      <w:r w:rsidRPr="006B1D8D">
        <w:footnoteRef/>
      </w:r>
      <w:r w:rsidRPr="006B1D8D">
        <w:rPr>
          <w:rtl/>
        </w:rPr>
        <w:t xml:space="preserve"> </w:t>
      </w:r>
      <w:r w:rsidRPr="006B1D8D">
        <w:rPr>
          <w:rtl/>
        </w:rPr>
        <w:tab/>
      </w:r>
      <w:r w:rsidRPr="006B1D8D">
        <w:rPr>
          <w:rFonts w:hint="cs"/>
          <w:rtl/>
        </w:rPr>
        <w:t>ראו הנחיית</w:t>
      </w:r>
      <w:r>
        <w:rPr>
          <w:rFonts w:hint="cs"/>
          <w:rtl/>
        </w:rPr>
        <w:t xml:space="preserve"> תכ"ם מס' 2.3.0.2 - עריכת דוחות כספיים.</w:t>
      </w:r>
    </w:p>
  </w:footnote>
  <w:footnote w:id="90">
    <w:p w14:paraId="5DBCE0F6" w14:textId="77777777" w:rsidR="00DB553C" w:rsidRPr="006B1D8D" w:rsidRDefault="00DB553C" w:rsidP="006B1D8D">
      <w:pPr>
        <w:pStyle w:val="a9"/>
        <w:rPr>
          <w:rtl/>
        </w:rPr>
      </w:pPr>
      <w:r w:rsidRPr="006B1D8D">
        <w:rPr>
          <w:rStyle w:val="FootnoteReference"/>
          <w:vertAlign w:val="baseline"/>
        </w:rPr>
        <w:footnoteRef/>
      </w:r>
      <w:r w:rsidRPr="006B1D8D">
        <w:rPr>
          <w:rtl/>
        </w:rPr>
        <w:t xml:space="preserve"> </w:t>
      </w:r>
      <w:r w:rsidRPr="006B1D8D">
        <w:rPr>
          <w:rtl/>
        </w:rPr>
        <w:tab/>
      </w:r>
      <w:r w:rsidRPr="006B1D8D">
        <w:rPr>
          <w:rFonts w:hint="cs"/>
          <w:rtl/>
        </w:rPr>
        <w:t xml:space="preserve">בתרשים האמור לא נכלל תקן חשבונאות מס' 10 בנושא דיווח כספי בכלכלות היפר אינפלציוניות מפני שהוא רלוונטי רק למדינות שהכלכלה שלהן היפר אינפלציונית. </w:t>
      </w:r>
    </w:p>
  </w:footnote>
  <w:footnote w:id="91">
    <w:p w14:paraId="320F24EB" w14:textId="77777777" w:rsidR="00DB553C" w:rsidRDefault="00DB553C" w:rsidP="006B1D8D">
      <w:pPr>
        <w:pStyle w:val="a9"/>
        <w:rPr>
          <w:rtl/>
        </w:rPr>
      </w:pPr>
      <w:r w:rsidRPr="006B1D8D">
        <w:rPr>
          <w:rStyle w:val="FootnoteReference"/>
          <w:vertAlign w:val="baseline"/>
        </w:rPr>
        <w:footnoteRef/>
      </w:r>
      <w:r w:rsidRPr="006B1D8D">
        <w:rPr>
          <w:rtl/>
        </w:rPr>
        <w:t xml:space="preserve"> </w:t>
      </w:r>
      <w:r w:rsidRPr="006B1D8D">
        <w:rPr>
          <w:rtl/>
        </w:rPr>
        <w:tab/>
      </w:r>
      <w:r w:rsidRPr="006B1D8D">
        <w:rPr>
          <w:rFonts w:hint="cs"/>
          <w:rtl/>
        </w:rPr>
        <w:t>ראו סעיפים 12</w:t>
      </w:r>
      <w:r>
        <w:rPr>
          <w:rFonts w:hint="cs"/>
          <w:rtl/>
        </w:rPr>
        <w:t xml:space="preserve"> ו-15 לתקן. </w:t>
      </w:r>
    </w:p>
  </w:footnote>
  <w:footnote w:id="92">
    <w:p w14:paraId="7E5519DA" w14:textId="77777777" w:rsidR="00DB553C" w:rsidRPr="00103E90" w:rsidRDefault="00DB553C" w:rsidP="00103E90">
      <w:pPr>
        <w:pStyle w:val="a9"/>
        <w:rPr>
          <w:rtl/>
        </w:rPr>
      </w:pPr>
      <w:r w:rsidRPr="00103E90">
        <w:rPr>
          <w:rStyle w:val="FootnoteReference"/>
          <w:vertAlign w:val="baseline"/>
        </w:rPr>
        <w:footnoteRef/>
      </w:r>
      <w:r>
        <w:rPr>
          <w:rtl/>
        </w:rPr>
        <w:tab/>
      </w:r>
      <w:r w:rsidRPr="00103E90">
        <w:t>IPSAS 28 Financial Instruments: Presentation</w:t>
      </w:r>
    </w:p>
    <w:p w14:paraId="75B0987A" w14:textId="6F1B460B" w:rsidR="00DB553C" w:rsidRPr="00103E90" w:rsidRDefault="00DB553C" w:rsidP="00103E90">
      <w:pPr>
        <w:pStyle w:val="a9"/>
        <w:ind w:left="794"/>
      </w:pPr>
      <w:r w:rsidRPr="00103E90">
        <w:t>IPSAS 29 Financial Instruments: Recognition and Measurement</w:t>
      </w:r>
    </w:p>
    <w:p w14:paraId="12D66CBF" w14:textId="026241F0" w:rsidR="00DB553C" w:rsidRPr="00103E90" w:rsidRDefault="00DB553C" w:rsidP="00103E90">
      <w:pPr>
        <w:pStyle w:val="a9"/>
        <w:ind w:left="794"/>
        <w:rPr>
          <w:rtl/>
        </w:rPr>
      </w:pPr>
      <w:r w:rsidRPr="00103E90">
        <w:t xml:space="preserve">IPSAS 30 Financial Instruments: Disclosures </w:t>
      </w:r>
    </w:p>
  </w:footnote>
  <w:footnote w:id="93">
    <w:p w14:paraId="47168892" w14:textId="77777777" w:rsidR="00DB553C" w:rsidRPr="00103E90" w:rsidRDefault="00DB553C" w:rsidP="00103E90">
      <w:pPr>
        <w:pStyle w:val="a9"/>
        <w:rPr>
          <w:rStyle w:val="FootnoteReference"/>
          <w:vertAlign w:val="baseline"/>
          <w:rtl/>
        </w:rPr>
      </w:pPr>
      <w:r w:rsidRPr="00103E90">
        <w:rPr>
          <w:rStyle w:val="FootnoteReference"/>
          <w:vertAlign w:val="baseline"/>
        </w:rPr>
        <w:footnoteRef/>
      </w:r>
      <w:r w:rsidRPr="00103E90">
        <w:rPr>
          <w:rStyle w:val="FootnoteReference"/>
          <w:vertAlign w:val="baseline"/>
          <w:rtl/>
        </w:rPr>
        <w:t xml:space="preserve"> </w:t>
      </w:r>
      <w:r w:rsidRPr="00103E90">
        <w:rPr>
          <w:rStyle w:val="FootnoteReference"/>
          <w:vertAlign w:val="baseline"/>
          <w:rtl/>
        </w:rPr>
        <w:tab/>
      </w:r>
      <w:r w:rsidRPr="00103E90">
        <w:rPr>
          <w:rFonts w:hint="cs"/>
          <w:rtl/>
        </w:rPr>
        <w:t>ראו מבקר</w:t>
      </w:r>
      <w:r>
        <w:rPr>
          <w:rFonts w:hint="cs"/>
          <w:rtl/>
        </w:rPr>
        <w:t xml:space="preserve"> המדינה </w:t>
      </w:r>
      <w:r w:rsidRPr="002B17A1">
        <w:rPr>
          <w:rFonts w:hint="cs"/>
          <w:b/>
          <w:bCs/>
          <w:rtl/>
        </w:rPr>
        <w:t>דוח שנתי</w:t>
      </w:r>
      <w:r>
        <w:rPr>
          <w:rFonts w:hint="cs"/>
          <w:rtl/>
        </w:rPr>
        <w:t xml:space="preserve"> </w:t>
      </w:r>
      <w:r>
        <w:rPr>
          <w:rFonts w:hint="cs"/>
          <w:b/>
          <w:bCs/>
          <w:rtl/>
        </w:rPr>
        <w:t>65ג</w:t>
      </w:r>
      <w:r>
        <w:rPr>
          <w:rFonts w:hint="cs"/>
          <w:rtl/>
        </w:rPr>
        <w:t xml:space="preserve"> (2015</w:t>
      </w:r>
      <w:r w:rsidRPr="00103E90">
        <w:rPr>
          <w:rFonts w:hint="cs"/>
          <w:rtl/>
        </w:rPr>
        <w:t>), בפרק</w:t>
      </w:r>
      <w:r w:rsidRPr="00103E90">
        <w:rPr>
          <w:rtl/>
        </w:rPr>
        <w:t xml:space="preserve"> </w:t>
      </w:r>
      <w:r w:rsidRPr="00103E90">
        <w:rPr>
          <w:rFonts w:hint="cs"/>
          <w:rtl/>
        </w:rPr>
        <w:t>"</w:t>
      </w:r>
      <w:r w:rsidRPr="00103E90">
        <w:rPr>
          <w:rtl/>
        </w:rPr>
        <w:t>אגף החשב הכללי</w:t>
      </w:r>
      <w:r w:rsidRPr="00103E90">
        <w:rPr>
          <w:rFonts w:hint="cs"/>
          <w:rtl/>
        </w:rPr>
        <w:t xml:space="preserve"> - מאזן המדינה ליום 31.12.13 - דוחות כספיים של משרדי ממשלה" עמ' 336 - 338.</w:t>
      </w:r>
    </w:p>
  </w:footnote>
  <w:footnote w:id="94">
    <w:p w14:paraId="468210D2" w14:textId="77777777" w:rsidR="00DB553C" w:rsidRPr="00E20FDC" w:rsidRDefault="00DB553C" w:rsidP="00E20FDC">
      <w:pPr>
        <w:pStyle w:val="a9"/>
      </w:pPr>
      <w:r w:rsidRPr="00E20FDC">
        <w:rPr>
          <w:rStyle w:val="FootnoteReference"/>
          <w:vertAlign w:val="baseline"/>
        </w:rPr>
        <w:footnoteRef/>
      </w:r>
      <w:r w:rsidRPr="00E20FDC">
        <w:rPr>
          <w:rtl/>
        </w:rPr>
        <w:t xml:space="preserve"> </w:t>
      </w:r>
      <w:r w:rsidRPr="00E20FDC">
        <w:rPr>
          <w:rtl/>
        </w:rPr>
        <w:tab/>
      </w:r>
      <w:r w:rsidRPr="00E20FDC">
        <w:t>The Conceptual Framework for General Purpose Financial Reporting by Public Sector Entities</w:t>
      </w:r>
    </w:p>
  </w:footnote>
  <w:footnote w:id="95">
    <w:p w14:paraId="06CC2295" w14:textId="77777777" w:rsidR="00DB553C" w:rsidRDefault="00DB553C" w:rsidP="00745DB0">
      <w:pPr>
        <w:pStyle w:val="a9"/>
        <w:rPr>
          <w:rtl/>
        </w:rPr>
      </w:pPr>
      <w:r w:rsidRPr="00745DB0">
        <w:footnoteRef/>
      </w:r>
      <w:r w:rsidRPr="00745DB0">
        <w:rPr>
          <w:rtl/>
        </w:rPr>
        <w:t xml:space="preserve"> </w:t>
      </w:r>
      <w:r w:rsidRPr="00745DB0">
        <w:rPr>
          <w:rtl/>
        </w:rPr>
        <w:tab/>
      </w:r>
      <w:r w:rsidRPr="00745DB0">
        <w:rPr>
          <w:rFonts w:hint="cs"/>
          <w:rtl/>
        </w:rPr>
        <w:t>ראו חוזר</w:t>
      </w:r>
      <w:r>
        <w:rPr>
          <w:rFonts w:hint="cs"/>
          <w:rtl/>
        </w:rPr>
        <w:t xml:space="preserve"> נש"ם בנושא תפקוד מערך החשבויות במשרדי הממשלה וביחידות הסמך (10.2.11).</w:t>
      </w:r>
    </w:p>
  </w:footnote>
  <w:footnote w:id="96">
    <w:p w14:paraId="60575CE2" w14:textId="77777777" w:rsidR="00DB553C" w:rsidRDefault="00DB553C" w:rsidP="00745DB0">
      <w:pPr>
        <w:pStyle w:val="a9"/>
        <w:rPr>
          <w:rtl/>
        </w:rPr>
      </w:pPr>
      <w:r w:rsidRPr="00745DB0">
        <w:footnoteRef/>
      </w:r>
      <w:r w:rsidRPr="00745DB0">
        <w:rPr>
          <w:rtl/>
        </w:rPr>
        <w:t xml:space="preserve"> </w:t>
      </w:r>
      <w:r w:rsidRPr="00745DB0">
        <w:rPr>
          <w:rtl/>
        </w:rPr>
        <w:tab/>
      </w:r>
      <w:r w:rsidRPr="00745DB0">
        <w:rPr>
          <w:rFonts w:hint="cs"/>
          <w:rtl/>
        </w:rPr>
        <w:t>על פי נתוני</w:t>
      </w:r>
      <w:r>
        <w:rPr>
          <w:rFonts w:hint="cs"/>
          <w:rtl/>
        </w:rPr>
        <w:t xml:space="preserve"> מועצת רואי חשבון נכון ליום 1.2.17.</w:t>
      </w:r>
    </w:p>
  </w:footnote>
  <w:footnote w:id="97">
    <w:p w14:paraId="12933122" w14:textId="77777777" w:rsidR="00DB553C" w:rsidRPr="00745DB0" w:rsidRDefault="00DB553C" w:rsidP="00745DB0">
      <w:pPr>
        <w:pStyle w:val="a9"/>
        <w:rPr>
          <w:rtl/>
        </w:rPr>
      </w:pPr>
      <w:r w:rsidRPr="00745DB0">
        <w:rPr>
          <w:rStyle w:val="FootnoteReference"/>
          <w:vertAlign w:val="baseline"/>
        </w:rPr>
        <w:footnoteRef/>
      </w:r>
      <w:r w:rsidRPr="00745DB0">
        <w:rPr>
          <w:rtl/>
        </w:rPr>
        <w:t xml:space="preserve"> </w:t>
      </w:r>
      <w:r w:rsidRPr="00745DB0">
        <w:rPr>
          <w:rtl/>
        </w:rPr>
        <w:tab/>
      </w:r>
      <w:r w:rsidRPr="00745DB0">
        <w:rPr>
          <w:rFonts w:hint="cs"/>
          <w:rtl/>
        </w:rPr>
        <w:t xml:space="preserve">מסמך המוגדר בתבנית המאפשרת לאנשים עם מוגבלות לקבל את המידע באמצעות תוכנות הנגשה ייעודיות. </w:t>
      </w:r>
    </w:p>
  </w:footnote>
  <w:footnote w:id="98">
    <w:p w14:paraId="33D08F76" w14:textId="77777777" w:rsidR="00DB553C" w:rsidRDefault="00DB553C" w:rsidP="00745DB0">
      <w:pPr>
        <w:pStyle w:val="a9"/>
      </w:pPr>
      <w:r w:rsidRPr="00745DB0">
        <w:rPr>
          <w:rStyle w:val="FootnoteReference"/>
          <w:vertAlign w:val="baseline"/>
        </w:rPr>
        <w:footnoteRef/>
      </w:r>
      <w:r w:rsidRPr="00745DB0">
        <w:rPr>
          <w:rtl/>
        </w:rPr>
        <w:t xml:space="preserve"> </w:t>
      </w:r>
      <w:r w:rsidRPr="00745DB0">
        <w:rPr>
          <w:rtl/>
        </w:rPr>
        <w:tab/>
      </w:r>
      <w:r w:rsidRPr="00745DB0">
        <w:rPr>
          <w:rFonts w:hint="cs"/>
          <w:rtl/>
        </w:rPr>
        <w:t>באתר משרד האוצר אפשר למצוא את הדוחות הכספיים המאוחדים של מדינת ישראל אך לא את דוחות ה"סולו</w:t>
      </w:r>
      <w:r>
        <w:rPr>
          <w:rFonts w:hint="cs"/>
          <w:rtl/>
        </w:rPr>
        <w:t xml:space="preserve">" (דוחות נפרדים של משרדי הממשלה). </w:t>
      </w:r>
    </w:p>
  </w:footnote>
  <w:footnote w:id="99">
    <w:p w14:paraId="631C7EDA" w14:textId="77777777" w:rsidR="00DB553C" w:rsidRPr="00745DB0" w:rsidRDefault="00DB553C" w:rsidP="00745DB0">
      <w:pPr>
        <w:pStyle w:val="a9"/>
        <w:rPr>
          <w:rtl/>
        </w:rPr>
      </w:pPr>
      <w:r w:rsidRPr="00745DB0">
        <w:footnoteRef/>
      </w:r>
      <w:r w:rsidRPr="00745DB0">
        <w:rPr>
          <w:rtl/>
        </w:rPr>
        <w:t xml:space="preserve"> </w:t>
      </w:r>
      <w:r w:rsidRPr="00745DB0">
        <w:rPr>
          <w:rtl/>
        </w:rPr>
        <w:tab/>
      </w:r>
      <w:r w:rsidRPr="00745DB0">
        <w:rPr>
          <w:rFonts w:hint="cs"/>
          <w:rtl/>
        </w:rPr>
        <w:t>בענין זה ראו מבקר</w:t>
      </w:r>
      <w:r>
        <w:rPr>
          <w:rFonts w:hint="cs"/>
          <w:rtl/>
        </w:rPr>
        <w:t xml:space="preserve"> המדינה, </w:t>
      </w:r>
      <w:r w:rsidRPr="00951627">
        <w:rPr>
          <w:rFonts w:hint="cs"/>
          <w:b/>
          <w:bCs/>
          <w:rtl/>
        </w:rPr>
        <w:t xml:space="preserve">דוח שנתי </w:t>
      </w:r>
      <w:r>
        <w:rPr>
          <w:rFonts w:hint="cs"/>
          <w:b/>
          <w:bCs/>
          <w:rtl/>
        </w:rPr>
        <w:t>66ג</w:t>
      </w:r>
      <w:r>
        <w:rPr>
          <w:rFonts w:hint="cs"/>
          <w:rtl/>
        </w:rPr>
        <w:t xml:space="preserve"> (2016), "הדוחות הכספיים של הממשלה ל-31.12.14 - נכסים בלתי מוחשיים", עמ' 9 - 10, ו</w:t>
      </w:r>
      <w:r w:rsidRPr="00951627">
        <w:rPr>
          <w:rFonts w:hint="cs"/>
          <w:b/>
          <w:bCs/>
          <w:rtl/>
        </w:rPr>
        <w:t xml:space="preserve">דוח שנתי </w:t>
      </w:r>
      <w:r>
        <w:rPr>
          <w:rFonts w:hint="cs"/>
          <w:b/>
          <w:bCs/>
          <w:rtl/>
        </w:rPr>
        <w:t>63ג</w:t>
      </w:r>
      <w:r>
        <w:rPr>
          <w:rFonts w:hint="cs"/>
          <w:rtl/>
        </w:rPr>
        <w:t xml:space="preserve"> (2013), "</w:t>
      </w:r>
      <w:r w:rsidRPr="00745DB0">
        <w:rPr>
          <w:rFonts w:hint="cs"/>
          <w:rtl/>
        </w:rPr>
        <w:t>מאזן המדינה ליום 31.12.11 - הלוואות לזמן ארוך, עמ' 385 - 410.</w:t>
      </w:r>
    </w:p>
  </w:footnote>
  <w:footnote w:id="100">
    <w:p w14:paraId="573B5AFE" w14:textId="77777777" w:rsidR="00DB553C" w:rsidRPr="00E96688" w:rsidRDefault="00DB553C" w:rsidP="00745DB0">
      <w:pPr>
        <w:pStyle w:val="a9"/>
      </w:pPr>
      <w:r w:rsidRPr="00745DB0">
        <w:rPr>
          <w:rStyle w:val="FootnoteReference"/>
          <w:vertAlign w:val="baseline"/>
        </w:rPr>
        <w:footnoteRef/>
      </w:r>
      <w:r w:rsidRPr="00745DB0">
        <w:rPr>
          <w:rtl/>
        </w:rPr>
        <w:t xml:space="preserve"> </w:t>
      </w:r>
      <w:r w:rsidRPr="00745DB0">
        <w:rPr>
          <w:rtl/>
        </w:rPr>
        <w:tab/>
      </w:r>
      <w:r w:rsidRPr="00745DB0">
        <w:rPr>
          <w:rFonts w:hint="cs"/>
          <w:rtl/>
        </w:rPr>
        <w:t>מערכת אורי</w:t>
      </w:r>
      <w:r>
        <w:rPr>
          <w:rFonts w:hint="cs"/>
          <w:rtl/>
        </w:rPr>
        <w:t xml:space="preserve"> - </w:t>
      </w:r>
      <w:r w:rsidRPr="00E96688">
        <w:rPr>
          <w:rtl/>
        </w:rPr>
        <w:t>מערכת אזכור ודיווח ראשוני ייעודי</w:t>
      </w:r>
      <w:r>
        <w:rPr>
          <w:rFonts w:hint="cs"/>
          <w:rtl/>
        </w:rPr>
        <w:t>.</w:t>
      </w:r>
    </w:p>
  </w:footnote>
  <w:footnote w:id="101">
    <w:p w14:paraId="1B1EAE66" w14:textId="77777777" w:rsidR="00DB553C" w:rsidRPr="008163C1" w:rsidRDefault="00DB553C" w:rsidP="008163C1">
      <w:pPr>
        <w:pStyle w:val="a9"/>
      </w:pPr>
      <w:r w:rsidRPr="008163C1">
        <w:footnoteRef/>
      </w:r>
      <w:r w:rsidRPr="008163C1">
        <w:rPr>
          <w:rtl/>
        </w:rPr>
        <w:t xml:space="preserve"> </w:t>
      </w:r>
      <w:r w:rsidRPr="008163C1">
        <w:rPr>
          <w:rtl/>
        </w:rPr>
        <w:tab/>
      </w:r>
      <w:r w:rsidRPr="008163C1">
        <w:rPr>
          <w:rFonts w:hint="cs"/>
          <w:rtl/>
        </w:rPr>
        <w:t>ראו מבקר</w:t>
      </w:r>
      <w:r>
        <w:rPr>
          <w:rFonts w:hint="cs"/>
          <w:rtl/>
        </w:rPr>
        <w:t xml:space="preserve"> המדינה, </w:t>
      </w:r>
      <w:r w:rsidRPr="002B17A1">
        <w:rPr>
          <w:rFonts w:hint="cs"/>
          <w:b/>
          <w:bCs/>
          <w:rtl/>
        </w:rPr>
        <w:t>דוח שנתי</w:t>
      </w:r>
      <w:r>
        <w:rPr>
          <w:rFonts w:hint="cs"/>
          <w:rtl/>
        </w:rPr>
        <w:t xml:space="preserve"> </w:t>
      </w:r>
      <w:r>
        <w:rPr>
          <w:rFonts w:hint="cs"/>
          <w:b/>
          <w:bCs/>
          <w:rtl/>
        </w:rPr>
        <w:t>53ב</w:t>
      </w:r>
      <w:r>
        <w:rPr>
          <w:rFonts w:hint="cs"/>
          <w:rtl/>
        </w:rPr>
        <w:t xml:space="preserve"> (20</w:t>
      </w:r>
      <w:r w:rsidRPr="008163C1">
        <w:rPr>
          <w:rFonts w:hint="cs"/>
          <w:rtl/>
        </w:rPr>
        <w:t>03), בפרק "תקינה חשבונאית ממשלתית, עמ' 317 - 334.</w:t>
      </w:r>
    </w:p>
  </w:footnote>
  <w:footnote w:id="102">
    <w:p w14:paraId="031536A8" w14:textId="77777777" w:rsidR="00DB553C" w:rsidRPr="008163C1" w:rsidRDefault="00DB553C" w:rsidP="008163C1">
      <w:pPr>
        <w:pStyle w:val="a9"/>
        <w:rPr>
          <w:rtl/>
        </w:rPr>
      </w:pPr>
      <w:r w:rsidRPr="008163C1">
        <w:rPr>
          <w:rStyle w:val="FootnoteReference"/>
          <w:vertAlign w:val="baseline"/>
        </w:rPr>
        <w:footnoteRef/>
      </w:r>
      <w:r w:rsidRPr="008163C1">
        <w:rPr>
          <w:rtl/>
        </w:rPr>
        <w:t xml:space="preserve"> </w:t>
      </w:r>
      <w:r w:rsidRPr="008163C1">
        <w:rPr>
          <w:rtl/>
        </w:rPr>
        <w:tab/>
      </w:r>
      <w:r w:rsidRPr="008163C1">
        <w:rPr>
          <w:rFonts w:hint="cs"/>
        </w:rPr>
        <w:t>R</w:t>
      </w:r>
      <w:r w:rsidRPr="008163C1">
        <w:t>PG 1- Reporting on The Long Term Sustainability of an Entity's Finances</w:t>
      </w:r>
    </w:p>
  </w:footnote>
  <w:footnote w:id="103">
    <w:p w14:paraId="5FDE75F7" w14:textId="77777777" w:rsidR="00DB553C" w:rsidRDefault="00DB553C" w:rsidP="008163C1">
      <w:pPr>
        <w:pStyle w:val="a9"/>
        <w:rPr>
          <w:rtl/>
        </w:rPr>
      </w:pPr>
      <w:r w:rsidRPr="008163C1">
        <w:rPr>
          <w:rStyle w:val="FootnoteReference"/>
          <w:vertAlign w:val="baseline"/>
        </w:rPr>
        <w:footnoteRef/>
      </w:r>
      <w:r w:rsidRPr="008163C1">
        <w:rPr>
          <w:rtl/>
        </w:rPr>
        <w:t xml:space="preserve"> </w:t>
      </w:r>
      <w:r w:rsidRPr="008163C1">
        <w:rPr>
          <w:rtl/>
        </w:rPr>
        <w:tab/>
      </w:r>
      <w:r w:rsidRPr="008163C1">
        <w:t>Reporting Comprehensive Long Term Fiscal (SFFAS36</w:t>
      </w:r>
      <w:r>
        <w:t>)</w:t>
      </w:r>
    </w:p>
  </w:footnote>
  <w:footnote w:id="104">
    <w:p w14:paraId="746061A4" w14:textId="77777777" w:rsidR="00DB553C" w:rsidRPr="008163C1" w:rsidRDefault="00DB553C" w:rsidP="008163C1">
      <w:pPr>
        <w:pStyle w:val="a9"/>
      </w:pPr>
      <w:r w:rsidRPr="008163C1">
        <w:rPr>
          <w:rStyle w:val="FootnoteReference"/>
          <w:vertAlign w:val="baseline"/>
        </w:rPr>
        <w:footnoteRef/>
      </w:r>
      <w:r w:rsidRPr="008163C1">
        <w:rPr>
          <w:rtl/>
        </w:rPr>
        <w:t xml:space="preserve"> </w:t>
      </w:r>
      <w:r w:rsidRPr="008163C1">
        <w:rPr>
          <w:rtl/>
        </w:rPr>
        <w:tab/>
      </w:r>
      <w:r w:rsidRPr="008163C1">
        <w:rPr>
          <w:rFonts w:hint="cs"/>
          <w:rtl/>
        </w:rPr>
        <w:t xml:space="preserve">החשב הכללי לא הציג את הדוחות הכספיים של המדינה לפני ועדת הכספים של הכנסת מאז שנת 2012. </w:t>
      </w:r>
    </w:p>
  </w:footnote>
  <w:footnote w:id="105">
    <w:p w14:paraId="308ECA6A" w14:textId="77777777" w:rsidR="00DB553C" w:rsidRDefault="00DB553C" w:rsidP="008163C1">
      <w:pPr>
        <w:pStyle w:val="a9"/>
      </w:pPr>
      <w:r w:rsidRPr="008163C1">
        <w:rPr>
          <w:rStyle w:val="FootnoteReference"/>
          <w:vertAlign w:val="baseline"/>
        </w:rPr>
        <w:footnoteRef/>
      </w:r>
      <w:r w:rsidRPr="008163C1">
        <w:rPr>
          <w:rtl/>
        </w:rPr>
        <w:t xml:space="preserve"> </w:t>
      </w:r>
      <w:r w:rsidRPr="008163C1">
        <w:rPr>
          <w:rtl/>
        </w:rPr>
        <w:tab/>
      </w:r>
      <w:r w:rsidRPr="008163C1">
        <w:rPr>
          <w:rFonts w:hint="cs"/>
          <w:rtl/>
        </w:rPr>
        <w:t>ראו סעיף</w:t>
      </w:r>
      <w:r>
        <w:rPr>
          <w:rFonts w:hint="cs"/>
          <w:rtl/>
        </w:rPr>
        <w:t xml:space="preserve"> 171 לחוק החברות, התשנ"ט-1999.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DB553C" w:rsidRDefault="00DB553C"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DB553C" w:rsidRPr="001526AC" w:rsidRDefault="00DB553C"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B553C" w:rsidRPr="00D15500" w:rsidRDefault="00DB553C"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B553C" w:rsidRPr="005B4811" w:rsidRDefault="00DB553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DB553C" w:rsidRPr="005B4811" w:rsidRDefault="00DB553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B553C" w:rsidRPr="005B4811" w:rsidRDefault="00DB553C"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DB553C" w:rsidRPr="005B4811" w:rsidRDefault="00DB553C"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445406F"/>
    <w:multiLevelType w:val="hybridMultilevel"/>
    <w:tmpl w:val="2B2A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460F1B"/>
    <w:multiLevelType w:val="hybridMultilevel"/>
    <w:tmpl w:val="3D56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2F771E90"/>
    <w:multiLevelType w:val="hybridMultilevel"/>
    <w:tmpl w:val="3E860F66"/>
    <w:lvl w:ilvl="0" w:tplc="AC22124A">
      <w:start w:val="1"/>
      <w:numFmt w:val="decimal"/>
      <w:lvlText w:val="%1."/>
      <w:lvlJc w:val="left"/>
      <w:pPr>
        <w:ind w:left="720" w:hanging="360"/>
      </w:pPr>
    </w:lvl>
    <w:lvl w:ilvl="1" w:tplc="E3FCF0A2" w:tentative="1">
      <w:start w:val="1"/>
      <w:numFmt w:val="lowerLetter"/>
      <w:lvlText w:val="%2."/>
      <w:lvlJc w:val="left"/>
      <w:pPr>
        <w:ind w:left="1440" w:hanging="360"/>
      </w:pPr>
    </w:lvl>
    <w:lvl w:ilvl="2" w:tplc="2DA4762A" w:tentative="1">
      <w:start w:val="1"/>
      <w:numFmt w:val="lowerRoman"/>
      <w:lvlText w:val="%3."/>
      <w:lvlJc w:val="right"/>
      <w:pPr>
        <w:ind w:left="2160" w:hanging="180"/>
      </w:pPr>
    </w:lvl>
    <w:lvl w:ilvl="3" w:tplc="9078F676" w:tentative="1">
      <w:start w:val="1"/>
      <w:numFmt w:val="decimal"/>
      <w:lvlText w:val="%4."/>
      <w:lvlJc w:val="left"/>
      <w:pPr>
        <w:ind w:left="2880" w:hanging="360"/>
      </w:pPr>
    </w:lvl>
    <w:lvl w:ilvl="4" w:tplc="9008FE4C" w:tentative="1">
      <w:start w:val="1"/>
      <w:numFmt w:val="lowerLetter"/>
      <w:lvlText w:val="%5."/>
      <w:lvlJc w:val="left"/>
      <w:pPr>
        <w:ind w:left="3600" w:hanging="360"/>
      </w:pPr>
    </w:lvl>
    <w:lvl w:ilvl="5" w:tplc="3CA2A2B6" w:tentative="1">
      <w:start w:val="1"/>
      <w:numFmt w:val="lowerRoman"/>
      <w:lvlText w:val="%6."/>
      <w:lvlJc w:val="right"/>
      <w:pPr>
        <w:ind w:left="4320" w:hanging="180"/>
      </w:pPr>
    </w:lvl>
    <w:lvl w:ilvl="6" w:tplc="8E4A4DB8" w:tentative="1">
      <w:start w:val="1"/>
      <w:numFmt w:val="decimal"/>
      <w:lvlText w:val="%7."/>
      <w:lvlJc w:val="left"/>
      <w:pPr>
        <w:ind w:left="5040" w:hanging="360"/>
      </w:pPr>
    </w:lvl>
    <w:lvl w:ilvl="7" w:tplc="DE340174" w:tentative="1">
      <w:start w:val="1"/>
      <w:numFmt w:val="lowerLetter"/>
      <w:lvlText w:val="%8."/>
      <w:lvlJc w:val="left"/>
      <w:pPr>
        <w:ind w:left="5760" w:hanging="360"/>
      </w:pPr>
    </w:lvl>
    <w:lvl w:ilvl="8" w:tplc="F75E8EB0" w:tentative="1">
      <w:start w:val="1"/>
      <w:numFmt w:val="lowerRoman"/>
      <w:lvlText w:val="%9."/>
      <w:lvlJc w:val="right"/>
      <w:pPr>
        <w:ind w:left="6480" w:hanging="180"/>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0AE488F"/>
    <w:multiLevelType w:val="multilevel"/>
    <w:tmpl w:val="DB74960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634C2E50"/>
    <w:multiLevelType w:val="hybridMultilevel"/>
    <w:tmpl w:val="94C6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9"/>
  </w:num>
  <w:num w:numId="3">
    <w:abstractNumId w:val="15"/>
  </w:num>
  <w:num w:numId="4">
    <w:abstractNumId w:val="11"/>
  </w:num>
  <w:num w:numId="5">
    <w:abstractNumId w:val="6"/>
  </w:num>
  <w:num w:numId="6">
    <w:abstractNumId w:val="8"/>
  </w:num>
  <w:num w:numId="7">
    <w:abstractNumId w:val="16"/>
  </w:num>
  <w:num w:numId="8">
    <w:abstractNumId w:val="0"/>
  </w:num>
  <w:num w:numId="9">
    <w:abstractNumId w:val="10"/>
  </w:num>
  <w:num w:numId="10">
    <w:abstractNumId w:val="2"/>
  </w:num>
  <w:num w:numId="11">
    <w:abstractNumId w:val="12"/>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
  </w:num>
  <w:num w:numId="30">
    <w:abstractNumId w:val="14"/>
  </w:num>
  <w:num w:numId="31">
    <w:abstractNumId w:val="5"/>
  </w:num>
  <w:num w:numId="32">
    <w:abstractNumId w:val="1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384E"/>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3B45"/>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2CC"/>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088"/>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494D"/>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3E90"/>
    <w:rsid w:val="0010413A"/>
    <w:rsid w:val="00105970"/>
    <w:rsid w:val="00106A59"/>
    <w:rsid w:val="00107175"/>
    <w:rsid w:val="00107232"/>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2D1"/>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366"/>
    <w:rsid w:val="001C34D5"/>
    <w:rsid w:val="001C3ED9"/>
    <w:rsid w:val="001C45D9"/>
    <w:rsid w:val="001C49B8"/>
    <w:rsid w:val="001C5A02"/>
    <w:rsid w:val="001C5BF5"/>
    <w:rsid w:val="001C5D33"/>
    <w:rsid w:val="001C72B2"/>
    <w:rsid w:val="001D1192"/>
    <w:rsid w:val="001D223A"/>
    <w:rsid w:val="001D2793"/>
    <w:rsid w:val="001D2F2A"/>
    <w:rsid w:val="001D3679"/>
    <w:rsid w:val="001D3CC2"/>
    <w:rsid w:val="001D461F"/>
    <w:rsid w:val="001D6714"/>
    <w:rsid w:val="001D713E"/>
    <w:rsid w:val="001D77E6"/>
    <w:rsid w:val="001D7DBC"/>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66660"/>
    <w:rsid w:val="0027101D"/>
    <w:rsid w:val="0027121E"/>
    <w:rsid w:val="0027188F"/>
    <w:rsid w:val="002739B2"/>
    <w:rsid w:val="00275903"/>
    <w:rsid w:val="00275A79"/>
    <w:rsid w:val="00276D55"/>
    <w:rsid w:val="002813A0"/>
    <w:rsid w:val="0028158D"/>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47"/>
    <w:rsid w:val="00296A9F"/>
    <w:rsid w:val="00297B77"/>
    <w:rsid w:val="00297FD7"/>
    <w:rsid w:val="002A04CC"/>
    <w:rsid w:val="002A1117"/>
    <w:rsid w:val="002A18D6"/>
    <w:rsid w:val="002A2132"/>
    <w:rsid w:val="002A2C5A"/>
    <w:rsid w:val="002A4153"/>
    <w:rsid w:val="002A415A"/>
    <w:rsid w:val="002A41D1"/>
    <w:rsid w:val="002A4707"/>
    <w:rsid w:val="002A4B57"/>
    <w:rsid w:val="002A53E2"/>
    <w:rsid w:val="002A57EB"/>
    <w:rsid w:val="002A598C"/>
    <w:rsid w:val="002A6418"/>
    <w:rsid w:val="002A64F8"/>
    <w:rsid w:val="002A68DE"/>
    <w:rsid w:val="002A6A8F"/>
    <w:rsid w:val="002A6B3B"/>
    <w:rsid w:val="002A7D21"/>
    <w:rsid w:val="002B10E8"/>
    <w:rsid w:val="002B18FE"/>
    <w:rsid w:val="002B30DB"/>
    <w:rsid w:val="002B5C10"/>
    <w:rsid w:val="002B5D65"/>
    <w:rsid w:val="002B637F"/>
    <w:rsid w:val="002B65DC"/>
    <w:rsid w:val="002B6FB4"/>
    <w:rsid w:val="002C06EB"/>
    <w:rsid w:val="002C1D86"/>
    <w:rsid w:val="002C1EE0"/>
    <w:rsid w:val="002C2524"/>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B56"/>
    <w:rsid w:val="002F5CEC"/>
    <w:rsid w:val="002F6FA5"/>
    <w:rsid w:val="002F724D"/>
    <w:rsid w:val="002F7C75"/>
    <w:rsid w:val="0030043A"/>
    <w:rsid w:val="00300F74"/>
    <w:rsid w:val="0030114C"/>
    <w:rsid w:val="00301153"/>
    <w:rsid w:val="003020D6"/>
    <w:rsid w:val="00302134"/>
    <w:rsid w:val="00302C87"/>
    <w:rsid w:val="00302DC7"/>
    <w:rsid w:val="00302E9A"/>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6D7B"/>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27EA7"/>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699E"/>
    <w:rsid w:val="0037752E"/>
    <w:rsid w:val="0037753E"/>
    <w:rsid w:val="00377B33"/>
    <w:rsid w:val="00380052"/>
    <w:rsid w:val="003801D8"/>
    <w:rsid w:val="003806AE"/>
    <w:rsid w:val="00381983"/>
    <w:rsid w:val="00382741"/>
    <w:rsid w:val="00382981"/>
    <w:rsid w:val="003839AA"/>
    <w:rsid w:val="003843E4"/>
    <w:rsid w:val="00385426"/>
    <w:rsid w:val="00385CBB"/>
    <w:rsid w:val="00386E47"/>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BB9"/>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295"/>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8F9"/>
    <w:rsid w:val="003E0ABC"/>
    <w:rsid w:val="003E1673"/>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2ABA"/>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4C8"/>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0E6D"/>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1D97"/>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1AD"/>
    <w:rsid w:val="005715C9"/>
    <w:rsid w:val="00571D67"/>
    <w:rsid w:val="00572E40"/>
    <w:rsid w:val="0057308A"/>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BD8"/>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A5D"/>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12"/>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5C8B"/>
    <w:rsid w:val="00697E8B"/>
    <w:rsid w:val="006A040F"/>
    <w:rsid w:val="006A1039"/>
    <w:rsid w:val="006A21AF"/>
    <w:rsid w:val="006A2D1D"/>
    <w:rsid w:val="006A49AE"/>
    <w:rsid w:val="006A4C49"/>
    <w:rsid w:val="006A5A4C"/>
    <w:rsid w:val="006A6846"/>
    <w:rsid w:val="006A7121"/>
    <w:rsid w:val="006A75AC"/>
    <w:rsid w:val="006A7897"/>
    <w:rsid w:val="006A7BC5"/>
    <w:rsid w:val="006A7F23"/>
    <w:rsid w:val="006B056A"/>
    <w:rsid w:val="006B0630"/>
    <w:rsid w:val="006B0FA2"/>
    <w:rsid w:val="006B1475"/>
    <w:rsid w:val="006B1754"/>
    <w:rsid w:val="006B1A63"/>
    <w:rsid w:val="006B1D8D"/>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6C9C"/>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333"/>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074"/>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5DB0"/>
    <w:rsid w:val="007467F9"/>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7C3"/>
    <w:rsid w:val="00774E68"/>
    <w:rsid w:val="0077505C"/>
    <w:rsid w:val="0077594D"/>
    <w:rsid w:val="007761EE"/>
    <w:rsid w:val="0077727E"/>
    <w:rsid w:val="00777388"/>
    <w:rsid w:val="00777DAD"/>
    <w:rsid w:val="00780097"/>
    <w:rsid w:val="007809A9"/>
    <w:rsid w:val="00780D40"/>
    <w:rsid w:val="00780E04"/>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4831"/>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A74"/>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3C1"/>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0E7C"/>
    <w:rsid w:val="00842138"/>
    <w:rsid w:val="00842561"/>
    <w:rsid w:val="00842BBF"/>
    <w:rsid w:val="00842F70"/>
    <w:rsid w:val="00844CA1"/>
    <w:rsid w:val="0084533D"/>
    <w:rsid w:val="00845894"/>
    <w:rsid w:val="00845E79"/>
    <w:rsid w:val="00845E9A"/>
    <w:rsid w:val="0084668B"/>
    <w:rsid w:val="008474A5"/>
    <w:rsid w:val="008478AA"/>
    <w:rsid w:val="00847B0A"/>
    <w:rsid w:val="00847B8A"/>
    <w:rsid w:val="00847C79"/>
    <w:rsid w:val="00847D4E"/>
    <w:rsid w:val="00850080"/>
    <w:rsid w:val="00850184"/>
    <w:rsid w:val="00850599"/>
    <w:rsid w:val="00850910"/>
    <w:rsid w:val="00851076"/>
    <w:rsid w:val="008511EC"/>
    <w:rsid w:val="008519E8"/>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DA1"/>
    <w:rsid w:val="00867ECB"/>
    <w:rsid w:val="00867FC5"/>
    <w:rsid w:val="008714DB"/>
    <w:rsid w:val="00871578"/>
    <w:rsid w:val="00871B57"/>
    <w:rsid w:val="00871BB6"/>
    <w:rsid w:val="00871E21"/>
    <w:rsid w:val="0087267C"/>
    <w:rsid w:val="008736E6"/>
    <w:rsid w:val="008747C9"/>
    <w:rsid w:val="00875402"/>
    <w:rsid w:val="00875449"/>
    <w:rsid w:val="008757DC"/>
    <w:rsid w:val="00875858"/>
    <w:rsid w:val="00876359"/>
    <w:rsid w:val="00876705"/>
    <w:rsid w:val="00877544"/>
    <w:rsid w:val="00877E88"/>
    <w:rsid w:val="0088002F"/>
    <w:rsid w:val="008802A2"/>
    <w:rsid w:val="00881072"/>
    <w:rsid w:val="008816A3"/>
    <w:rsid w:val="008829F7"/>
    <w:rsid w:val="00882E18"/>
    <w:rsid w:val="00883C73"/>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34CC"/>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D1"/>
    <w:rsid w:val="008F5110"/>
    <w:rsid w:val="008F51FC"/>
    <w:rsid w:val="008F5B13"/>
    <w:rsid w:val="008F6006"/>
    <w:rsid w:val="008F62CE"/>
    <w:rsid w:val="008F71B1"/>
    <w:rsid w:val="008F71BC"/>
    <w:rsid w:val="008F7246"/>
    <w:rsid w:val="008F7DE6"/>
    <w:rsid w:val="009015B2"/>
    <w:rsid w:val="009022AF"/>
    <w:rsid w:val="009040D4"/>
    <w:rsid w:val="009042BD"/>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193C"/>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B0A"/>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09F"/>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1675"/>
    <w:rsid w:val="009A245B"/>
    <w:rsid w:val="009A2516"/>
    <w:rsid w:val="009A2FAA"/>
    <w:rsid w:val="009A349F"/>
    <w:rsid w:val="009A3852"/>
    <w:rsid w:val="009A4788"/>
    <w:rsid w:val="009A493E"/>
    <w:rsid w:val="009A7EFA"/>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1E4"/>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4E38"/>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A87"/>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2505"/>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1D46"/>
    <w:rsid w:val="00B62189"/>
    <w:rsid w:val="00B627E7"/>
    <w:rsid w:val="00B6283F"/>
    <w:rsid w:val="00B62F33"/>
    <w:rsid w:val="00B636B6"/>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3A1"/>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6CA7"/>
    <w:rsid w:val="00BE7A1E"/>
    <w:rsid w:val="00BF0159"/>
    <w:rsid w:val="00BF0AE1"/>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6E45"/>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3FE7"/>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2BB"/>
    <w:rsid w:val="00CC07DB"/>
    <w:rsid w:val="00CC0A26"/>
    <w:rsid w:val="00CC0AB1"/>
    <w:rsid w:val="00CC2678"/>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06D75"/>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2C59"/>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5FEC"/>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C77"/>
    <w:rsid w:val="00D81F77"/>
    <w:rsid w:val="00D82F54"/>
    <w:rsid w:val="00D83026"/>
    <w:rsid w:val="00D83045"/>
    <w:rsid w:val="00D83354"/>
    <w:rsid w:val="00D844D3"/>
    <w:rsid w:val="00D857E6"/>
    <w:rsid w:val="00D85885"/>
    <w:rsid w:val="00D8653A"/>
    <w:rsid w:val="00D871CE"/>
    <w:rsid w:val="00D87542"/>
    <w:rsid w:val="00D87D77"/>
    <w:rsid w:val="00D914FD"/>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53C"/>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CC7"/>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0FDC"/>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6F10"/>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858"/>
    <w:rsid w:val="00E57C4D"/>
    <w:rsid w:val="00E602BD"/>
    <w:rsid w:val="00E62337"/>
    <w:rsid w:val="00E62809"/>
    <w:rsid w:val="00E63321"/>
    <w:rsid w:val="00E634AD"/>
    <w:rsid w:val="00E635BD"/>
    <w:rsid w:val="00E63675"/>
    <w:rsid w:val="00E638A7"/>
    <w:rsid w:val="00E63FAC"/>
    <w:rsid w:val="00E6446E"/>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CB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1A09"/>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175"/>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908"/>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0A4088"/>
    <w:pPr>
      <w:spacing w:before="120"/>
      <w:jc w:val="left"/>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character" w:customStyle="1" w:styleId="HTMLPreformattedChar">
    <w:name w:val="HTML Preformatted Char"/>
    <w:basedOn w:val="DefaultParagraphFont"/>
    <w:link w:val="HTMLPreformatted"/>
    <w:uiPriority w:val="99"/>
    <w:semiHidden/>
    <w:rsid w:val="00867DA1"/>
    <w:rPr>
      <w:rFonts w:ascii="Courier New" w:eastAsia="Times New Roman" w:hAnsi="Courier New" w:cs="Courier New"/>
      <w:szCs w:val="20"/>
    </w:rPr>
  </w:style>
  <w:style w:type="paragraph" w:styleId="HTMLPreformatted">
    <w:name w:val="HTML Preformatted"/>
    <w:basedOn w:val="Normal"/>
    <w:link w:val="HTMLPreformattedChar"/>
    <w:uiPriority w:val="99"/>
    <w:semiHidden/>
    <w:unhideWhenUsed/>
    <w:rsid w:val="0086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1">
    <w:name w:val="HTML Preformatted Char1"/>
    <w:basedOn w:val="DefaultParagraphFont"/>
    <w:uiPriority w:val="99"/>
    <w:semiHidden/>
    <w:rsid w:val="00867DA1"/>
    <w:rPr>
      <w:rFonts w:ascii="Consolas" w:hAnsi="Consolas"/>
      <w:szCs w:val="20"/>
    </w:rPr>
  </w:style>
  <w:style w:type="paragraph" w:customStyle="1" w:styleId="30">
    <w:name w:val="מא3"/>
    <w:basedOn w:val="Normal"/>
    <w:link w:val="32"/>
    <w:rsid w:val="00867DA1"/>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2">
    <w:name w:val="מא3 תו"/>
    <w:link w:val="30"/>
    <w:locked/>
    <w:rsid w:val="00867DA1"/>
    <w:rPr>
      <w:rFonts w:eastAsia="Times New Roman" w:cs="Narkisim"/>
    </w:rPr>
  </w:style>
  <w:style w:type="paragraph" w:customStyle="1" w:styleId="40">
    <w:name w:val="מא4"/>
    <w:basedOn w:val="30"/>
    <w:link w:val="42"/>
    <w:rsid w:val="00867DA1"/>
    <w:pPr>
      <w:tabs>
        <w:tab w:val="clear" w:pos="1701"/>
        <w:tab w:val="left" w:pos="2835"/>
      </w:tabs>
      <w:ind w:left="2835"/>
    </w:pPr>
  </w:style>
  <w:style w:type="character" w:customStyle="1" w:styleId="42">
    <w:name w:val="מא4 תו"/>
    <w:basedOn w:val="DefaultParagraphFont"/>
    <w:link w:val="40"/>
    <w:locked/>
    <w:rsid w:val="00867DA1"/>
    <w:rPr>
      <w:rFonts w:eastAsia="Times New Roman" w:cs="Narkisim"/>
    </w:rPr>
  </w:style>
  <w:style w:type="paragraph" w:customStyle="1" w:styleId="t-body-text">
    <w:name w:val="t-body-text"/>
    <w:basedOn w:val="Normal"/>
    <w:rsid w:val="00867DA1"/>
    <w:pPr>
      <w:bidi w:val="0"/>
      <w:spacing w:before="100" w:beforeAutospacing="1" w:after="100" w:afterAutospacing="1" w:line="240" w:lineRule="auto"/>
      <w:jc w:val="left"/>
    </w:pPr>
    <w:rPr>
      <w:rFonts w:eastAsia="Times New Roman" w:cs="Times New Roman"/>
      <w:sz w:val="24"/>
    </w:rPr>
  </w:style>
  <w:style w:type="paragraph" w:customStyle="1" w:styleId="aff8">
    <w:name w:val="הגדרות"/>
    <w:basedOn w:val="Normal"/>
    <w:link w:val="aff9"/>
    <w:qFormat/>
    <w:rsid w:val="00867DA1"/>
    <w:pPr>
      <w:spacing w:line="360" w:lineRule="auto"/>
      <w:contextualSpacing/>
    </w:pPr>
    <w:rPr>
      <w:rFonts w:ascii="Arial" w:eastAsia="Times New Roman" w:hAnsi="Arial" w:cs="Arial"/>
      <w:sz w:val="22"/>
      <w:szCs w:val="22"/>
    </w:rPr>
  </w:style>
  <w:style w:type="character" w:customStyle="1" w:styleId="aff9">
    <w:name w:val="הגדרות תו"/>
    <w:basedOn w:val="DefaultParagraphFont"/>
    <w:link w:val="aff8"/>
    <w:rsid w:val="00867DA1"/>
    <w:rPr>
      <w:rFonts w:ascii="Arial" w:eastAsia="Times New Roman" w:hAnsi="Arial" w:cs="Arial"/>
      <w:sz w:val="22"/>
      <w:szCs w:val="22"/>
    </w:rPr>
  </w:style>
  <w:style w:type="character" w:customStyle="1" w:styleId="Footnote">
    <w:name w:val="Footnote_"/>
    <w:basedOn w:val="DefaultParagraphFont"/>
    <w:link w:val="Footnote0"/>
    <w:locked/>
    <w:rsid w:val="00867DA1"/>
    <w:rPr>
      <w:rFonts w:ascii="Tahoma" w:eastAsia="Tahoma" w:hAnsi="Tahoma" w:cs="Tahoma"/>
      <w:sz w:val="14"/>
      <w:szCs w:val="14"/>
      <w:shd w:val="clear" w:color="auto" w:fill="FFFFFF"/>
    </w:rPr>
  </w:style>
  <w:style w:type="paragraph" w:customStyle="1" w:styleId="Footnote0">
    <w:name w:val="Footnote"/>
    <w:basedOn w:val="Normal"/>
    <w:link w:val="Footnote"/>
    <w:rsid w:val="00867DA1"/>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867DA1"/>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DefaultParagraphFont"/>
    <w:rsid w:val="00867DA1"/>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Normal"/>
    <w:uiPriority w:val="40"/>
    <w:qFormat/>
    <w:rsid w:val="00867DA1"/>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SubtleEmphasis">
    <w:name w:val="Subtle Emphasis"/>
    <w:basedOn w:val="DefaultParagraphFont"/>
    <w:uiPriority w:val="19"/>
    <w:qFormat/>
    <w:rsid w:val="00867DA1"/>
    <w:rPr>
      <w:i/>
      <w:iCs/>
    </w:rPr>
  </w:style>
  <w:style w:type="table" w:styleId="LightShading-Accent1">
    <w:name w:val="Light Shading Accent 1"/>
    <w:basedOn w:val="TableNormal"/>
    <w:uiPriority w:val="60"/>
    <w:rsid w:val="00867DA1"/>
    <w:pPr>
      <w:bidi/>
      <w:spacing w:after="0" w:line="240" w:lineRule="auto"/>
      <w:jc w:val="left"/>
    </w:pPr>
    <w:rPr>
      <w:rFonts w:asciiTheme="minorHAnsi" w:eastAsiaTheme="minorEastAsia" w:hAnsiTheme="minorHAnsi" w:cstheme="minorBidi"/>
      <w:color w:val="365F91" w:themeColor="accent1" w:themeShade="BF"/>
      <w:sz w:val="22"/>
      <w:szCs w:val="22"/>
      <w:rtl/>
      <w:c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867DA1"/>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867DA1"/>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dytext3NotBold">
    <w:name w:val="Body text (3) + Not Bold"/>
    <w:basedOn w:val="DefaultParagraphFont"/>
    <w:rsid w:val="00867DA1"/>
    <w:rPr>
      <w:rFonts w:ascii="David" w:eastAsia="David" w:hAnsi="David" w:cs="David"/>
      <w:b/>
      <w:bCs/>
      <w:i w:val="0"/>
      <w:iCs w:val="0"/>
      <w:smallCaps w:val="0"/>
      <w:strike w:val="0"/>
      <w:color w:val="000000"/>
      <w:spacing w:val="0"/>
      <w:w w:val="100"/>
      <w:position w:val="0"/>
      <w:sz w:val="22"/>
      <w:szCs w:val="22"/>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QuickStyle" Target="diagrams/quickStyle5.xml"/><Relationship Id="rId47" Type="http://schemas.openxmlformats.org/officeDocument/2006/relationships/diagramLayout" Target="diagrams/layout6.xml"/><Relationship Id="rId63" Type="http://schemas.openxmlformats.org/officeDocument/2006/relationships/diagramQuickStyle" Target="diagrams/quickStyle7.xml"/><Relationship Id="rId68" Type="http://schemas.openxmlformats.org/officeDocument/2006/relationships/diagramQuickStyle" Target="diagrams/quickStyle8.xml"/><Relationship Id="rId84" Type="http://schemas.openxmlformats.org/officeDocument/2006/relationships/diagramQuickStyle" Target="diagrams/quickStyle11.xml"/><Relationship Id="rId89" Type="http://schemas.openxmlformats.org/officeDocument/2006/relationships/footer" Target="footer3.xml"/><Relationship Id="rId16" Type="http://schemas.openxmlformats.org/officeDocument/2006/relationships/diagramData" Target="diagrams/data1.xml"/><Relationship Id="rId11" Type="http://schemas.openxmlformats.org/officeDocument/2006/relationships/footer" Target="footer1.xml"/><Relationship Id="rId32" Type="http://schemas.openxmlformats.org/officeDocument/2006/relationships/diagramLayout" Target="diagrams/layout4.xml"/><Relationship Id="rId37" Type="http://schemas.openxmlformats.org/officeDocument/2006/relationships/chart" Target="charts/chart1.xml"/><Relationship Id="rId53" Type="http://schemas.openxmlformats.org/officeDocument/2006/relationships/chart" Target="charts/chart7.xml"/><Relationship Id="rId58" Type="http://schemas.openxmlformats.org/officeDocument/2006/relationships/chart" Target="charts/chart11.xml"/><Relationship Id="rId74" Type="http://schemas.openxmlformats.org/officeDocument/2006/relationships/diagramColors" Target="diagrams/colors9.xml"/><Relationship Id="rId79" Type="http://schemas.openxmlformats.org/officeDocument/2006/relationships/diagramColors" Target="diagrams/colors10.xm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Colors" Target="diagrams/colors5.xml"/><Relationship Id="rId48" Type="http://schemas.openxmlformats.org/officeDocument/2006/relationships/diagramQuickStyle" Target="diagrams/quickStyle6.xml"/><Relationship Id="rId64" Type="http://schemas.openxmlformats.org/officeDocument/2006/relationships/diagramColors" Target="diagrams/colors7.xml"/><Relationship Id="rId69" Type="http://schemas.openxmlformats.org/officeDocument/2006/relationships/diagramColors" Target="diagrams/colors8.xm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diagramLayout" Target="diagrams/layout9.xml"/><Relationship Id="rId80" Type="http://schemas.microsoft.com/office/2007/relationships/diagramDrawing" Target="diagrams/drawing10.xml"/><Relationship Id="rId85" Type="http://schemas.openxmlformats.org/officeDocument/2006/relationships/diagramColors" Target="diagrams/colors11.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chart" Target="charts/chart2.xml"/><Relationship Id="rId46" Type="http://schemas.openxmlformats.org/officeDocument/2006/relationships/diagramData" Target="diagrams/data6.xml"/><Relationship Id="rId59" Type="http://schemas.openxmlformats.org/officeDocument/2006/relationships/image" Target="media/image10.jpeg"/><Relationship Id="rId67" Type="http://schemas.openxmlformats.org/officeDocument/2006/relationships/diagramLayout" Target="diagrams/layout8.xml"/><Relationship Id="rId20" Type="http://schemas.microsoft.com/office/2007/relationships/diagramDrawing" Target="diagrams/drawing1.xml"/><Relationship Id="rId41" Type="http://schemas.openxmlformats.org/officeDocument/2006/relationships/diagramLayout" Target="diagrams/layout5.xml"/><Relationship Id="rId54" Type="http://schemas.openxmlformats.org/officeDocument/2006/relationships/chart" Target="charts/chart8.xml"/><Relationship Id="rId62" Type="http://schemas.openxmlformats.org/officeDocument/2006/relationships/diagramLayout" Target="diagrams/layout7.xml"/><Relationship Id="rId70" Type="http://schemas.microsoft.com/office/2007/relationships/diagramDrawing" Target="diagrams/drawing8.xml"/><Relationship Id="rId75" Type="http://schemas.microsoft.com/office/2007/relationships/diagramDrawing" Target="diagrams/drawing9.xml"/><Relationship Id="rId83" Type="http://schemas.openxmlformats.org/officeDocument/2006/relationships/diagramLayout" Target="diagrams/layout11.xm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JPG"/><Relationship Id="rId49" Type="http://schemas.openxmlformats.org/officeDocument/2006/relationships/diagramColors" Target="diagrams/colors6.xml"/><Relationship Id="rId57" Type="http://schemas.openxmlformats.org/officeDocument/2006/relationships/image" Target="media/image9.jpeg"/><Relationship Id="rId10" Type="http://schemas.openxmlformats.org/officeDocument/2006/relationships/header" Target="header1.xml"/><Relationship Id="rId31" Type="http://schemas.openxmlformats.org/officeDocument/2006/relationships/diagramData" Target="diagrams/data4.xml"/><Relationship Id="rId44" Type="http://schemas.microsoft.com/office/2007/relationships/diagramDrawing" Target="diagrams/drawing5.xml"/><Relationship Id="rId52" Type="http://schemas.openxmlformats.org/officeDocument/2006/relationships/chart" Target="charts/chart6.xml"/><Relationship Id="rId60" Type="http://schemas.openxmlformats.org/officeDocument/2006/relationships/image" Target="media/image11.PNG"/><Relationship Id="rId65" Type="http://schemas.microsoft.com/office/2007/relationships/diagramDrawing" Target="diagrams/drawing7.xml"/><Relationship Id="rId73" Type="http://schemas.openxmlformats.org/officeDocument/2006/relationships/diagramQuickStyle" Target="diagrams/quickStyle9.xml"/><Relationship Id="rId78" Type="http://schemas.openxmlformats.org/officeDocument/2006/relationships/diagramQuickStyle" Target="diagrams/quickStyle10.xml"/><Relationship Id="rId81" Type="http://schemas.openxmlformats.org/officeDocument/2006/relationships/image" Target="media/image13.jpeg"/><Relationship Id="rId86" Type="http://schemas.microsoft.com/office/2007/relationships/diagramDrawing" Target="diagrams/drawing11.xm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chart" Target="charts/chart3.xml"/><Relationship Id="rId34" Type="http://schemas.openxmlformats.org/officeDocument/2006/relationships/diagramColors" Target="diagrams/colors4.xml"/><Relationship Id="rId50" Type="http://schemas.microsoft.com/office/2007/relationships/diagramDrawing" Target="diagrams/drawing6.xml"/><Relationship Id="rId55" Type="http://schemas.openxmlformats.org/officeDocument/2006/relationships/chart" Target="charts/chart9.xml"/><Relationship Id="rId76" Type="http://schemas.openxmlformats.org/officeDocument/2006/relationships/diagramData" Target="diagrams/data10.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Data" Target="diagrams/data5.xml"/><Relationship Id="rId45" Type="http://schemas.openxmlformats.org/officeDocument/2006/relationships/chart" Target="charts/chart4.xml"/><Relationship Id="rId66" Type="http://schemas.openxmlformats.org/officeDocument/2006/relationships/diagramData" Target="diagrams/data8.xml"/><Relationship Id="rId87" Type="http://schemas.openxmlformats.org/officeDocument/2006/relationships/footer" Target="footer2.xml"/><Relationship Id="rId61" Type="http://schemas.openxmlformats.org/officeDocument/2006/relationships/diagramData" Target="diagrams/data7.xml"/><Relationship Id="rId82" Type="http://schemas.openxmlformats.org/officeDocument/2006/relationships/diagramData" Target="diagrams/data11.xml"/><Relationship Id="rId19" Type="http://schemas.openxmlformats.org/officeDocument/2006/relationships/diagramColors" Target="diagrams/colors1.xml"/><Relationship Id="rId14" Type="http://schemas.openxmlformats.org/officeDocument/2006/relationships/image" Target="media/image6.jpe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chart" Target="charts/chart10.xml"/><Relationship Id="rId77" Type="http://schemas.openxmlformats.org/officeDocument/2006/relationships/diagramLayout" Target="diagrams/layout10.xml"/></Relationships>
</file>

<file path=word/_rels/footnotes.xml.rels><?xml version="1.0" encoding="UTF-8" standalone="yes"?>
<Relationships xmlns="http://schemas.openxmlformats.org/package/2006/relationships"><Relationship Id="rId1" Type="http://schemas.openxmlformats.org/officeDocument/2006/relationships/hyperlink" Target="https://www.cbs.gov.il/he/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1495;&#1493;&#1489;&#1512;&#1514;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1492;&#1491;&#1493;&#1495;&#1493;&#1514;%20&#1492;&#1499;&#1505;&#1508;&#1497;&#1501;%20&#1513;&#1500;%20&#1502;&#1502;&#1513;&#1500;&#1514;%20&#1497;&#1513;&#1512;&#1488;&#1500;%20&#1500;&#1497;&#1493;&#1501;%2031.12.18%20-%2070&#1490;\&#1504;&#1514;&#1493;&#1504;&#1497;%20&#1502;&#1505;&#1508;&#1512;%20&#1490;&#1493;&#1508;&#1497;&#1501;%20&#1513;&#1502;&#1488;&#1493;&#1495;&#1491;&#1497;&#1501;%20&#1489;&#1491;&#1493;&#1495;&#1493;&#1514;%20&#1513;&#1500;%20&#1492;&#1502;&#1502;&#1513;&#1500;&#149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1492;&#1491;&#1493;&#1495;&#1493;&#1514;%20&#1492;&#1499;&#1505;&#1508;&#1497;&#1501;%20&#1513;&#1500;%20&#1502;&#1502;&#1513;&#1500;&#1514;%20&#1497;&#1513;&#1512;&#1488;&#1500;%20&#1500;&#1497;&#1493;&#1501;%2031.12.18%20-%2070&#1490;\&#1504;&#1514;&#1493;&#1504;&#1497;%20&#1502;&#1505;&#1508;&#1512;%20&#1490;&#1493;&#1508;&#1497;&#1501;%20&#1513;&#1502;&#1488;&#1493;&#1495;&#1491;&#1497;&#1501;%20&#1489;&#1491;&#1493;&#1495;&#1493;&#1514;%20&#1513;&#1500;%20&#1492;&#1502;&#1502;&#1513;&#1500;&#149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גיליון1!$C$1</c:f>
              <c:strCache>
                <c:ptCount val="1"/>
                <c:pt idx="0">
                  <c:v>בסיס דיווח נכון לשנת 2023 בדוחות הכספיים</c:v>
                </c:pt>
              </c:strCache>
            </c:strRef>
          </c:tx>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3BCA-46D2-AA76-34FD30AC92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מדינות שלגביהן אין מידע </c:v>
                </c:pt>
                <c:pt idx="1">
                  <c:v>מדינות המדווחות על בסיס מצטבר</c:v>
                </c:pt>
                <c:pt idx="2">
                  <c:v>מדינות המדווחות על בסיס מזומן ויעברו לבסיס מצטבר</c:v>
                </c:pt>
                <c:pt idx="3">
                  <c:v>מדינות המדווחות על בסיס מזומן </c:v>
                </c:pt>
              </c:strCache>
            </c:strRef>
          </c:cat>
          <c:val>
            <c:numRef>
              <c:f>גיליון1!$C$2:$C$5</c:f>
              <c:numCache>
                <c:formatCode>General</c:formatCode>
                <c:ptCount val="4"/>
                <c:pt idx="0">
                  <c:v>106</c:v>
                </c:pt>
                <c:pt idx="1">
                  <c:v>98</c:v>
                </c:pt>
                <c:pt idx="2">
                  <c:v>26</c:v>
                </c:pt>
                <c:pt idx="3">
                  <c:v>26</c:v>
                </c:pt>
              </c:numCache>
            </c:numRef>
          </c:val>
          <c:extLst>
            <c:ext xmlns:c16="http://schemas.microsoft.com/office/drawing/2014/chart" uri="{C3380CC4-5D6E-409C-BE32-E72D297353CC}">
              <c16:uniqueId val="{00000002-3BCA-46D2-AA76-34FD30AC927E}"/>
            </c:ext>
          </c:extLst>
        </c:ser>
        <c:dLbls>
          <c:showLegendKey val="0"/>
          <c:showVal val="0"/>
          <c:showCatName val="0"/>
          <c:showSerName val="0"/>
          <c:showPercent val="0"/>
          <c:showBubbleSize val="0"/>
        </c:dLbls>
        <c:gapWidth val="182"/>
        <c:axId val="171542784"/>
        <c:axId val="171553536"/>
      </c:barChart>
      <c:catAx>
        <c:axId val="17154278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1553536"/>
        <c:crosses val="autoZero"/>
        <c:auto val="1"/>
        <c:lblAlgn val="ctr"/>
        <c:lblOffset val="100"/>
        <c:noMultiLvlLbl val="0"/>
      </c:catAx>
      <c:valAx>
        <c:axId val="17155353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154278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יעד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גיליון1!$A$2:$A$7</c:f>
              <c:numCache>
                <c:formatCode>General</c:formatCode>
                <c:ptCount val="6"/>
                <c:pt idx="0">
                  <c:v>2018</c:v>
                </c:pt>
                <c:pt idx="1">
                  <c:v>2017</c:v>
                </c:pt>
                <c:pt idx="2">
                  <c:v>2016</c:v>
                </c:pt>
                <c:pt idx="3">
                  <c:v>2015</c:v>
                </c:pt>
                <c:pt idx="4">
                  <c:v>2014</c:v>
                </c:pt>
                <c:pt idx="5">
                  <c:v>2013</c:v>
                </c:pt>
              </c:numCache>
            </c:numRef>
          </c:cat>
          <c:val>
            <c:numRef>
              <c:f>גיליון1!$B$2:$B$7</c:f>
              <c:numCache>
                <c:formatCode>0.0%</c:formatCode>
                <c:ptCount val="6"/>
                <c:pt idx="0">
                  <c:v>2.9000000000000001E-2</c:v>
                </c:pt>
                <c:pt idx="1">
                  <c:v>2.9000000000000001E-2</c:v>
                </c:pt>
                <c:pt idx="2">
                  <c:v>2.9000000000000001E-2</c:v>
                </c:pt>
                <c:pt idx="3">
                  <c:v>2.9000000000000001E-2</c:v>
                </c:pt>
                <c:pt idx="4">
                  <c:v>0.03</c:v>
                </c:pt>
                <c:pt idx="5">
                  <c:v>4.2999999999999997E-2</c:v>
                </c:pt>
              </c:numCache>
            </c:numRef>
          </c:val>
          <c:extLst>
            <c:ext xmlns:c16="http://schemas.microsoft.com/office/drawing/2014/chart" uri="{C3380CC4-5D6E-409C-BE32-E72D297353CC}">
              <c16:uniqueId val="{00000000-B728-40F6-A792-2F89AD2194A2}"/>
            </c:ext>
          </c:extLst>
        </c:ser>
        <c:ser>
          <c:idx val="1"/>
          <c:order val="1"/>
          <c:tx>
            <c:strRef>
              <c:f>גיליון1!$C$1</c:f>
              <c:strCache>
                <c:ptCount val="1"/>
                <c:pt idx="0">
                  <c:v>ביצוע בפועל </c:v>
                </c:pt>
              </c:strCache>
            </c:strRef>
          </c:tx>
          <c:spPr>
            <a:solidFill>
              <a:schemeClr val="accent2"/>
            </a:solidFill>
            <a:ln>
              <a:noFill/>
            </a:ln>
            <a:effectLst/>
          </c:spPr>
          <c:invertIfNegative val="0"/>
          <c:dLbls>
            <c:dLbl>
              <c:idx val="5"/>
              <c:layout>
                <c:manualLayout>
                  <c:x val="1.4598540145985222E-2"/>
                  <c:y val="-4.11980259495478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28-40F6-A792-2F89AD2194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גיליון1!$A$2:$A$7</c:f>
              <c:numCache>
                <c:formatCode>General</c:formatCode>
                <c:ptCount val="6"/>
                <c:pt idx="0">
                  <c:v>2018</c:v>
                </c:pt>
                <c:pt idx="1">
                  <c:v>2017</c:v>
                </c:pt>
                <c:pt idx="2">
                  <c:v>2016</c:v>
                </c:pt>
                <c:pt idx="3">
                  <c:v>2015</c:v>
                </c:pt>
                <c:pt idx="4">
                  <c:v>2014</c:v>
                </c:pt>
                <c:pt idx="5">
                  <c:v>2013</c:v>
                </c:pt>
              </c:numCache>
            </c:numRef>
          </c:cat>
          <c:val>
            <c:numRef>
              <c:f>גיליון1!$C$2:$C$7</c:f>
              <c:numCache>
                <c:formatCode>0.0%</c:formatCode>
                <c:ptCount val="6"/>
                <c:pt idx="0">
                  <c:v>2.9000000000000001E-2</c:v>
                </c:pt>
                <c:pt idx="1">
                  <c:v>1.9E-2</c:v>
                </c:pt>
                <c:pt idx="2">
                  <c:v>2.1000000000000001E-2</c:v>
                </c:pt>
                <c:pt idx="3">
                  <c:v>2.1000000000000001E-2</c:v>
                </c:pt>
                <c:pt idx="4">
                  <c:v>2.7E-2</c:v>
                </c:pt>
                <c:pt idx="5" formatCode="0.00%">
                  <c:v>3.1E-2</c:v>
                </c:pt>
              </c:numCache>
            </c:numRef>
          </c:val>
          <c:extLst>
            <c:ext xmlns:c16="http://schemas.microsoft.com/office/drawing/2014/chart" uri="{C3380CC4-5D6E-409C-BE32-E72D297353CC}">
              <c16:uniqueId val="{00000002-B728-40F6-A792-2F89AD2194A2}"/>
            </c:ext>
          </c:extLst>
        </c:ser>
        <c:dLbls>
          <c:showLegendKey val="0"/>
          <c:showVal val="0"/>
          <c:showCatName val="0"/>
          <c:showSerName val="0"/>
          <c:showPercent val="0"/>
          <c:showBubbleSize val="0"/>
        </c:dLbls>
        <c:gapWidth val="219"/>
        <c:overlap val="-27"/>
        <c:axId val="213340296"/>
        <c:axId val="213339968"/>
      </c:barChart>
      <c:catAx>
        <c:axId val="2133402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13339968"/>
        <c:crosses val="autoZero"/>
        <c:auto val="1"/>
        <c:lblAlgn val="ctr"/>
        <c:lblOffset val="100"/>
        <c:noMultiLvlLbl val="0"/>
      </c:catAx>
      <c:valAx>
        <c:axId val="213339968"/>
        <c:scaling>
          <c:orientation val="minMax"/>
          <c:max val="4.5000000000000012E-2"/>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1334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1608932802737818"/>
                  <c:y val="-7.3515400738842073E-4"/>
                </c:manualLayout>
              </c:layout>
              <c:tx>
                <c:rich>
                  <a:bodyPr/>
                  <a:lstStyle/>
                  <a:p>
                    <a:r>
                      <a:rPr lang="he-IL"/>
                      <a:t>56.3% מקומי</a:t>
                    </a:r>
                    <a:r>
                      <a:rPr lang="he-IL" baseline="0"/>
                      <a:t> סחיר </a:t>
                    </a:r>
                  </a:p>
                  <a:p>
                    <a:fld id="{7ABE5610-6A98-4EEC-A96D-29412183F77E}" type="VALUE">
                      <a:rPr lang="en-US" baseline="0"/>
                      <a:pPr/>
                      <a:t>[VALUE]</a:t>
                    </a:fld>
                    <a:endParaRPr lang="he-IL"/>
                  </a:p>
                </c:rich>
              </c:tx>
              <c:showLegendKey val="0"/>
              <c:showVal val="1"/>
              <c:showCatName val="1"/>
              <c:showSerName val="0"/>
              <c:showPercent val="0"/>
              <c:showBubbleSize val="0"/>
              <c:extLst>
                <c:ext xmlns:c15="http://schemas.microsoft.com/office/drawing/2012/chart" uri="{CE6537A1-D6FC-4f65-9D91-7224C49458BB}">
                  <c15:layout>
                    <c:manualLayout>
                      <c:w val="0.19530211257201949"/>
                      <c:h val="0.25297944314337756"/>
                    </c:manualLayout>
                  </c15:layout>
                  <c15:dlblFieldTable/>
                  <c15:showDataLabelsRange val="0"/>
                </c:ext>
                <c:ext xmlns:c16="http://schemas.microsoft.com/office/drawing/2014/chart" uri="{C3380CC4-5D6E-409C-BE32-E72D297353CC}">
                  <c16:uniqueId val="{00000000-3B4B-4E39-93A4-854E82F30E1A}"/>
                </c:ext>
              </c:extLst>
            </c:dLbl>
            <c:dLbl>
              <c:idx val="1"/>
              <c:layout>
                <c:manualLayout>
                  <c:x val="0.17035978051864503"/>
                  <c:y val="-7.2404064246067559E-2"/>
                </c:manualLayout>
              </c:layout>
              <c:tx>
                <c:rich>
                  <a:bodyPr/>
                  <a:lstStyle/>
                  <a:p>
                    <a:r>
                      <a:rPr lang="he-IL"/>
                      <a:t>29.3%</a:t>
                    </a:r>
                    <a:r>
                      <a:rPr lang="he-IL" baseline="0"/>
                      <a:t> מקומי לא סחיר</a:t>
                    </a:r>
                  </a:p>
                  <a:p>
                    <a:r>
                      <a:rPr lang="he-IL" baseline="0"/>
                      <a:t>230.9</a:t>
                    </a:r>
                    <a:endParaRPr lang="he-IL"/>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B-4E39-93A4-854E82F30E1A}"/>
                </c:ext>
              </c:extLst>
            </c:dLbl>
            <c:dLbl>
              <c:idx val="2"/>
              <c:layout>
                <c:manualLayout>
                  <c:x val="0.10867258448950338"/>
                  <c:y val="0.15964807677728809"/>
                </c:manualLayout>
              </c:layout>
              <c:tx>
                <c:rich>
                  <a:bodyPr/>
                  <a:lstStyle/>
                  <a:p>
                    <a:r>
                      <a:rPr lang="he-IL" baseline="0"/>
                      <a:t>14.4%</a:t>
                    </a:r>
                  </a:p>
                  <a:p>
                    <a:r>
                      <a:rPr lang="he-IL" baseline="0"/>
                      <a:t>במט"ח</a:t>
                    </a:r>
                  </a:p>
                  <a:p>
                    <a:r>
                      <a:rPr lang="he-IL" baseline="0"/>
                      <a:t>113.7</a:t>
                    </a:r>
                  </a:p>
                  <a:p>
                    <a:endParaRPr lang="he-IL" baseline="0"/>
                  </a:p>
                  <a:p>
                    <a:endParaRPr lang="he-IL"/>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B-4E39-93A4-854E82F30E1A}"/>
                </c:ext>
              </c:extLst>
            </c:dLbl>
            <c:spPr>
              <a:noFill/>
              <a:ln>
                <a:noFill/>
              </a:ln>
              <a:effectLst/>
            </c:spPr>
            <c:txPr>
              <a:bodyPr/>
              <a:lstStyle/>
              <a:p>
                <a:pPr>
                  <a:defRPr sz="1200">
                    <a:solidFill>
                      <a:schemeClr val="bg1"/>
                    </a:solidFill>
                  </a:defRPr>
                </a:pPr>
                <a:endParaRPr lang="he-IL"/>
              </a:p>
            </c:txPr>
            <c:showLegendKey val="0"/>
            <c:showVal val="1"/>
            <c:showCatName val="1"/>
            <c:showSerName val="0"/>
            <c:showPercent val="0"/>
            <c:showBubbleSize val="0"/>
            <c:showLeaderLines val="1"/>
            <c:extLst>
              <c:ext xmlns:c15="http://schemas.microsoft.com/office/drawing/2012/chart" uri="{CE6537A1-D6FC-4f65-9D91-7224C49458BB}"/>
            </c:extLst>
          </c:dLbls>
          <c:cat>
            <c:strRef>
              <c:f>גיליון1!$J$9:$J$11</c:f>
              <c:strCache>
                <c:ptCount val="3"/>
                <c:pt idx="0">
                  <c:v>מקומי סחיר</c:v>
                </c:pt>
                <c:pt idx="1">
                  <c:v>מקומי לא סחיר</c:v>
                </c:pt>
                <c:pt idx="2">
                  <c:v>במט"ח</c:v>
                </c:pt>
              </c:strCache>
            </c:strRef>
          </c:cat>
          <c:val>
            <c:numRef>
              <c:f>גיליון1!$K$9:$K$11</c:f>
              <c:numCache>
                <c:formatCode>General</c:formatCode>
                <c:ptCount val="3"/>
                <c:pt idx="0">
                  <c:v>443.7</c:v>
                </c:pt>
                <c:pt idx="1">
                  <c:v>230.9</c:v>
                </c:pt>
                <c:pt idx="2">
                  <c:v>113.7</c:v>
                </c:pt>
              </c:numCache>
            </c:numRef>
          </c:val>
          <c:extLst>
            <c:ext xmlns:c16="http://schemas.microsoft.com/office/drawing/2014/chart" uri="{C3380CC4-5D6E-409C-BE32-E72D297353CC}">
              <c16:uniqueId val="{00000003-3B4B-4E39-93A4-854E82F30E1A}"/>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גיליון1!$V$59</c:f>
              <c:strCache>
                <c:ptCount val="1"/>
                <c:pt idx="0">
                  <c:v> ישויות שדוחותיהן נכללו בדוחות הכספיים המאוחדים</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גיליון1!$W$57:$AA$58</c:f>
              <c:strCache>
                <c:ptCount val="5"/>
                <c:pt idx="0">
                  <c:v>2014</c:v>
                </c:pt>
                <c:pt idx="1">
                  <c:v>2015</c:v>
                </c:pt>
                <c:pt idx="2">
                  <c:v>2016</c:v>
                </c:pt>
                <c:pt idx="3">
                  <c:v>2017</c:v>
                </c:pt>
                <c:pt idx="4">
                  <c:v>2018</c:v>
                </c:pt>
              </c:strCache>
            </c:strRef>
          </c:cat>
          <c:val>
            <c:numRef>
              <c:f>גיליון1!$W$59:$AA$59</c:f>
              <c:numCache>
                <c:formatCode>General</c:formatCode>
                <c:ptCount val="5"/>
                <c:pt idx="0">
                  <c:v>154</c:v>
                </c:pt>
                <c:pt idx="1">
                  <c:v>176</c:v>
                </c:pt>
                <c:pt idx="2">
                  <c:v>194</c:v>
                </c:pt>
                <c:pt idx="3">
                  <c:v>200</c:v>
                </c:pt>
                <c:pt idx="4">
                  <c:v>202</c:v>
                </c:pt>
              </c:numCache>
            </c:numRef>
          </c:val>
          <c:smooth val="0"/>
          <c:extLst>
            <c:ext xmlns:c16="http://schemas.microsoft.com/office/drawing/2014/chart" uri="{C3380CC4-5D6E-409C-BE32-E72D297353CC}">
              <c16:uniqueId val="{00000000-775B-47D0-821F-A16ABDFEF3BF}"/>
            </c:ext>
          </c:extLst>
        </c:ser>
        <c:ser>
          <c:idx val="1"/>
          <c:order val="1"/>
          <c:tx>
            <c:strRef>
              <c:f>גיליון1!$V$60</c:f>
              <c:strCache>
                <c:ptCount val="1"/>
                <c:pt idx="0">
                  <c:v>ישויות שדוחותיהן מבוקרים לשנת הדוח</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628740611575823E-2"/>
                  <c:y val="-3.7625570776255706E-3"/>
                </c:manualLayout>
              </c:layout>
              <c:tx>
                <c:rich>
                  <a:bodyPr/>
                  <a:lstStyle/>
                  <a:p>
                    <a:fld id="{A1B45459-6C7C-44D6-936E-F7E602E14288}" type="CELLRANGE">
                      <a:rPr lang="en-US"/>
                      <a:pPr/>
                      <a:t>[CELLRANGE]</a:t>
                    </a:fld>
                    <a:endParaRPr lang="en-US"/>
                  </a:p>
                  <a:p>
                    <a:endParaRPr lang="en-US" baseline="0"/>
                  </a:p>
                  <a:p>
                    <a:endParaRPr lang="en-US" baseline="0"/>
                  </a:p>
                  <a:p>
                    <a:fld id="{12448923-0999-47C0-A2B5-16C403F7D46D}" type="VALUE">
                      <a:rPr lang="en-US"/>
                      <a:pPr/>
                      <a:t>[VALUE]</a:t>
                    </a:fld>
                    <a:endParaRPr lang="he-IL"/>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75B-47D0-821F-A16ABDFEF3BF}"/>
                </c:ext>
              </c:extLst>
            </c:dLbl>
            <c:dLbl>
              <c:idx val="1"/>
              <c:layout>
                <c:manualLayout>
                  <c:x val="-3.9855960911460507E-2"/>
                  <c:y val="-1.0958904109582344E-4"/>
                </c:manualLayout>
              </c:layout>
              <c:tx>
                <c:rich>
                  <a:bodyPr/>
                  <a:lstStyle/>
                  <a:p>
                    <a:fld id="{3CCF1DF5-AC9A-4DFF-B09B-0B73FA1216F0}" type="CELLRANGE">
                      <a:rPr lang="en-US"/>
                      <a:pPr/>
                      <a:t>[CELLRANGE]</a:t>
                    </a:fld>
                    <a:endParaRPr lang="en-US"/>
                  </a:p>
                  <a:p>
                    <a:endParaRPr lang="en-US" baseline="0"/>
                  </a:p>
                  <a:p>
                    <a:endParaRPr lang="en-US" baseline="0"/>
                  </a:p>
                  <a:p>
                    <a:fld id="{B21C586C-0203-48A0-8912-58B7032C5A93}" type="VALUE">
                      <a:rPr lang="en-US"/>
                      <a:pPr/>
                      <a:t>[VALUE]</a:t>
                    </a:fld>
                    <a:endParaRPr lang="he-IL"/>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75B-47D0-821F-A16ABDFEF3BF}"/>
                </c:ext>
              </c:extLst>
            </c:dLbl>
            <c:dLbl>
              <c:idx val="2"/>
              <c:layout>
                <c:manualLayout>
                  <c:x val="-3.7549155836489378E-2"/>
                  <c:y val="7.1963470319634706E-3"/>
                </c:manualLayout>
              </c:layout>
              <c:tx>
                <c:rich>
                  <a:bodyPr/>
                  <a:lstStyle/>
                  <a:p>
                    <a:fld id="{71877D8C-9E3F-42A2-8BF1-0AA85153C72E}" type="CELLRANGE">
                      <a:rPr lang="en-US"/>
                      <a:pPr/>
                      <a:t>[CELLRANGE]</a:t>
                    </a:fld>
                    <a:endParaRPr lang="en-US"/>
                  </a:p>
                  <a:p>
                    <a:endParaRPr lang="en-US" baseline="0"/>
                  </a:p>
                  <a:p>
                    <a:endParaRPr lang="en-US" baseline="0"/>
                  </a:p>
                  <a:p>
                    <a:fld id="{33330184-9ECD-4E2B-8482-1B5B8D4E130E}" type="VALUE">
                      <a:rPr lang="en-US"/>
                      <a:pPr/>
                      <a:t>[VALUE]</a:t>
                    </a:fld>
                    <a:endParaRPr lang="he-IL"/>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75B-47D0-821F-A16ABDFEF3BF}"/>
                </c:ext>
              </c:extLst>
            </c:dLbl>
            <c:dLbl>
              <c:idx val="3"/>
              <c:layout>
                <c:manualLayout>
                  <c:x val="-3.0628740611575802E-2"/>
                  <c:y val="-3.7625570776256378E-3"/>
                </c:manualLayout>
              </c:layout>
              <c:tx>
                <c:rich>
                  <a:bodyPr/>
                  <a:lstStyle/>
                  <a:p>
                    <a:fld id="{79866DFC-4DF9-4029-9640-A0A9B7DBE107}" type="CELLRANGE">
                      <a:rPr lang="en-US"/>
                      <a:pPr/>
                      <a:t>[CELLRANGE]</a:t>
                    </a:fld>
                    <a:r>
                      <a:rPr lang="en-US" sz="900" b="0" i="0" u="none" strike="noStrike" kern="1200" baseline="0">
                        <a:solidFill>
                          <a:sysClr val="windowText" lastClr="000000">
                            <a:lumMod val="75000"/>
                            <a:lumOff val="25000"/>
                          </a:sysClr>
                        </a:solidFill>
                        <a:latin typeface="+mn-lt"/>
                        <a:ea typeface="+mn-ea"/>
                        <a:cs typeface="+mn-cs"/>
                      </a:rPr>
                      <a:t> </a:t>
                    </a:r>
                    <a:endParaRPr lang="en-US"/>
                  </a:p>
                  <a:p>
                    <a:endParaRPr lang="en-US" baseline="0"/>
                  </a:p>
                  <a:p>
                    <a:endParaRPr lang="en-US" baseline="0"/>
                  </a:p>
                  <a:p>
                    <a:fld id="{C1F53EBC-D456-4647-9F98-15C311BDBB65}" type="VALUE">
                      <a:rPr lang="en-US"/>
                      <a:pPr/>
                      <a:t>[VALUE]</a:t>
                    </a:fld>
                    <a:endParaRPr lang="he-IL"/>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775B-47D0-821F-A16ABDFEF3BF}"/>
                </c:ext>
              </c:extLst>
            </c:dLbl>
            <c:dLbl>
              <c:idx val="4"/>
              <c:layout>
                <c:manualLayout>
                  <c:x val="-3.0628740611575972E-2"/>
                  <c:y val="-1.0958904109589041E-4"/>
                </c:manualLayout>
              </c:layout>
              <c:tx>
                <c:rich>
                  <a:bodyPr/>
                  <a:lstStyle/>
                  <a:p>
                    <a:fld id="{0B9FC549-FF54-42A7-9487-F55DC8965122}" type="CELLRANGE">
                      <a:rPr lang="en-US"/>
                      <a:pPr/>
                      <a:t>[CELLRANGE]</a:t>
                    </a:fld>
                    <a:endParaRPr lang="en-US"/>
                  </a:p>
                  <a:p>
                    <a:endParaRPr lang="en-US" baseline="0"/>
                  </a:p>
                  <a:p>
                    <a:endParaRPr lang="en-US" baseline="0"/>
                  </a:p>
                  <a:p>
                    <a:fld id="{82A55FB3-02D7-4DEA-BBB5-CA13E9DAC79B}" type="VALUE">
                      <a:rPr lang="en-US"/>
                      <a:pPr/>
                      <a:t>[VALUE]</a:t>
                    </a:fld>
                    <a:endParaRPr lang="he-IL"/>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75B-47D0-821F-A16ABDFEF3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גיליון1!$W$57:$AA$58</c:f>
              <c:strCache>
                <c:ptCount val="5"/>
                <c:pt idx="0">
                  <c:v>2014</c:v>
                </c:pt>
                <c:pt idx="1">
                  <c:v>2015</c:v>
                </c:pt>
                <c:pt idx="2">
                  <c:v>2016</c:v>
                </c:pt>
                <c:pt idx="3">
                  <c:v>2017</c:v>
                </c:pt>
                <c:pt idx="4">
                  <c:v>2018</c:v>
                </c:pt>
              </c:strCache>
            </c:strRef>
          </c:cat>
          <c:val>
            <c:numRef>
              <c:f>גיליון1!$W$60:$AA$60</c:f>
              <c:numCache>
                <c:formatCode>General</c:formatCode>
                <c:ptCount val="5"/>
                <c:pt idx="0">
                  <c:v>90</c:v>
                </c:pt>
                <c:pt idx="1">
                  <c:v>117</c:v>
                </c:pt>
                <c:pt idx="2">
                  <c:v>129</c:v>
                </c:pt>
                <c:pt idx="3">
                  <c:v>127</c:v>
                </c:pt>
                <c:pt idx="4">
                  <c:v>135</c:v>
                </c:pt>
              </c:numCache>
            </c:numRef>
          </c:val>
          <c:smooth val="0"/>
          <c:extLst>
            <c:ext xmlns:c15="http://schemas.microsoft.com/office/drawing/2012/chart" uri="{02D57815-91ED-43cb-92C2-25804820EDAC}">
              <c15:datalabelsRange>
                <c15:f>גיליון1!$W$61:$AA$61</c15:f>
                <c15:dlblRangeCache>
                  <c:ptCount val="5"/>
                  <c:pt idx="0">
                    <c:v>58%</c:v>
                  </c:pt>
                  <c:pt idx="1">
                    <c:v>66%</c:v>
                  </c:pt>
                  <c:pt idx="2">
                    <c:v>66%</c:v>
                  </c:pt>
                  <c:pt idx="3">
                    <c:v>64%</c:v>
                  </c:pt>
                  <c:pt idx="4">
                    <c:v>67%</c:v>
                  </c:pt>
                </c15:dlblRangeCache>
              </c15:datalabelsRange>
            </c:ext>
            <c:ext xmlns:c16="http://schemas.microsoft.com/office/drawing/2014/chart" uri="{C3380CC4-5D6E-409C-BE32-E72D297353CC}">
              <c16:uniqueId val="{00000006-775B-47D0-821F-A16ABDFEF3BF}"/>
            </c:ext>
          </c:extLst>
        </c:ser>
        <c:dLbls>
          <c:showLegendKey val="0"/>
          <c:showVal val="0"/>
          <c:showCatName val="0"/>
          <c:showSerName val="0"/>
          <c:showPercent val="0"/>
          <c:showBubbleSize val="0"/>
        </c:dLbls>
        <c:marker val="1"/>
        <c:smooth val="0"/>
        <c:axId val="505653560"/>
        <c:axId val="505658152"/>
      </c:lineChart>
      <c:catAx>
        <c:axId val="50565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5658152"/>
        <c:crosses val="autoZero"/>
        <c:auto val="1"/>
        <c:lblAlgn val="ctr"/>
        <c:lblOffset val="100"/>
        <c:noMultiLvlLbl val="0"/>
      </c:catAx>
      <c:valAx>
        <c:axId val="50565815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ישויות</a:t>
                </a:r>
              </a:p>
            </c:rich>
          </c:tx>
          <c:layout>
            <c:manualLayout>
              <c:xMode val="edge"/>
              <c:yMode val="edge"/>
              <c:x val="1.384083044982699E-2"/>
              <c:y val="0.368030201704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565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גיליון1!$V$94</c:f>
              <c:strCache>
                <c:ptCount val="1"/>
                <c:pt idx="0">
                  <c:v>מספר התאגידים הסטטוטוריים שלא נכללו בדוחות הכספיים</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גיליון1!$W$92:$AA$93</c:f>
              <c:strCache>
                <c:ptCount val="5"/>
                <c:pt idx="0">
                  <c:v>2014</c:v>
                </c:pt>
                <c:pt idx="1">
                  <c:v>2015</c:v>
                </c:pt>
                <c:pt idx="2">
                  <c:v>2016</c:v>
                </c:pt>
                <c:pt idx="3">
                  <c:v>2017</c:v>
                </c:pt>
                <c:pt idx="4">
                  <c:v>2018</c:v>
                </c:pt>
              </c:strCache>
            </c:strRef>
          </c:cat>
          <c:val>
            <c:numRef>
              <c:f>גיליון1!$W$94:$AA$94</c:f>
              <c:numCache>
                <c:formatCode>General</c:formatCode>
                <c:ptCount val="5"/>
                <c:pt idx="0">
                  <c:v>62</c:v>
                </c:pt>
                <c:pt idx="1">
                  <c:v>43</c:v>
                </c:pt>
                <c:pt idx="2">
                  <c:v>26</c:v>
                </c:pt>
                <c:pt idx="3">
                  <c:v>17</c:v>
                </c:pt>
                <c:pt idx="4">
                  <c:v>18</c:v>
                </c:pt>
              </c:numCache>
            </c:numRef>
          </c:val>
          <c:smooth val="0"/>
          <c:extLst>
            <c:ext xmlns:c16="http://schemas.microsoft.com/office/drawing/2014/chart" uri="{C3380CC4-5D6E-409C-BE32-E72D297353CC}">
              <c16:uniqueId val="{00000000-DD89-4122-941B-5D45A965586F}"/>
            </c:ext>
          </c:extLst>
        </c:ser>
        <c:dLbls>
          <c:showLegendKey val="0"/>
          <c:showVal val="0"/>
          <c:showCatName val="0"/>
          <c:showSerName val="0"/>
          <c:showPercent val="0"/>
          <c:showBubbleSize val="0"/>
        </c:dLbls>
        <c:marker val="1"/>
        <c:smooth val="0"/>
        <c:axId val="573906808"/>
        <c:axId val="573908448"/>
      </c:lineChart>
      <c:catAx>
        <c:axId val="57390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3908448"/>
        <c:crosses val="autoZero"/>
        <c:auto val="1"/>
        <c:lblAlgn val="ctr"/>
        <c:lblOffset val="100"/>
        <c:noMultiLvlLbl val="0"/>
      </c:catAx>
      <c:valAx>
        <c:axId val="57390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התאגידים הסטטוטוריים</a:t>
                </a:r>
              </a:p>
            </c:rich>
          </c:tx>
          <c:layout>
            <c:manualLayout>
              <c:xMode val="edge"/>
              <c:yMode val="edge"/>
              <c:x val="1.3097576948264571E-2"/>
              <c:y val="0.279350432073183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3906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שימוש</a:t>
            </a:r>
            <a:r>
              <a:rPr lang="he-IL" baseline="0"/>
              <a:t> בדוחות כספיים של תאגידים סטטוטוריים בדוח הכספי המאוחד לשנת 2018</a:t>
            </a:r>
            <a:endParaRPr lang="he-IL"/>
          </a:p>
        </c:rich>
      </c:tx>
      <c:overlay val="0"/>
      <c:spPr>
        <a:noFill/>
        <a:ln>
          <a:noFill/>
        </a:ln>
        <a:effectLst/>
      </c:spPr>
    </c:title>
    <c:autoTitleDeleted val="0"/>
    <c:plotArea>
      <c:layout/>
      <c:barChart>
        <c:barDir val="bar"/>
        <c:grouping val="clustered"/>
        <c:varyColors val="0"/>
        <c:ser>
          <c:idx val="0"/>
          <c:order val="0"/>
          <c:tx>
            <c:strRef>
              <c:f>גיליון1!$B$1</c:f>
              <c:strCache>
                <c:ptCount val="1"/>
                <c:pt idx="0">
                  <c:v>סידרה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 דוחות כספיים מבוקרים לשנת 2017</c:v>
                </c:pt>
                <c:pt idx="1">
                  <c:v>דוחות כספיים מבוקרים לשנת 2018 </c:v>
                </c:pt>
                <c:pt idx="2">
                  <c:v>טיוטות דוחות כספיים</c:v>
                </c:pt>
                <c:pt idx="3">
                  <c:v>דוחות כספיים מבוקרים לשנת 2016</c:v>
                </c:pt>
              </c:strCache>
            </c:strRef>
          </c:cat>
          <c:val>
            <c:numRef>
              <c:f>גיליון1!$B$2:$B$5</c:f>
              <c:numCache>
                <c:formatCode>General</c:formatCode>
                <c:ptCount val="4"/>
                <c:pt idx="0">
                  <c:v>22</c:v>
                </c:pt>
                <c:pt idx="1">
                  <c:v>20</c:v>
                </c:pt>
                <c:pt idx="2">
                  <c:v>4</c:v>
                </c:pt>
                <c:pt idx="3">
                  <c:v>1</c:v>
                </c:pt>
              </c:numCache>
            </c:numRef>
          </c:val>
          <c:extLst>
            <c:ext xmlns:c16="http://schemas.microsoft.com/office/drawing/2014/chart" uri="{C3380CC4-5D6E-409C-BE32-E72D297353CC}">
              <c16:uniqueId val="{00000000-67FA-47BD-A301-93F06B936471}"/>
            </c:ext>
          </c:extLst>
        </c:ser>
        <c:dLbls>
          <c:showLegendKey val="0"/>
          <c:showVal val="0"/>
          <c:showCatName val="0"/>
          <c:showSerName val="0"/>
          <c:showPercent val="0"/>
          <c:showBubbleSize val="0"/>
        </c:dLbls>
        <c:gapWidth val="182"/>
        <c:axId val="170216064"/>
        <c:axId val="173085440"/>
      </c:barChart>
      <c:catAx>
        <c:axId val="170216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3085440"/>
        <c:crosses val="autoZero"/>
        <c:auto val="1"/>
        <c:lblAlgn val="ctr"/>
        <c:lblOffset val="100"/>
        <c:noMultiLvlLbl val="0"/>
      </c:catAx>
      <c:valAx>
        <c:axId val="173085440"/>
        <c:scaling>
          <c:orientation val="minMax"/>
        </c:scaling>
        <c:delete val="1"/>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170216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חברות מוחזקות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דוחות כספיים מבוקרים לשנת 2018 </c:v>
                </c:pt>
                <c:pt idx="1">
                  <c:v>טיוטות דוחות כספיים</c:v>
                </c:pt>
                <c:pt idx="2">
                  <c:v>אחר </c:v>
                </c:pt>
                <c:pt idx="3">
                  <c:v>דוחות כספיים מבוקרים לשנת 2016</c:v>
                </c:pt>
                <c:pt idx="4">
                  <c:v> דוחות כספיים מבוקרים לשנת 2017</c:v>
                </c:pt>
                <c:pt idx="5">
                  <c:v>דוחות כספיים מבוקרים לשנת 2015</c:v>
                </c:pt>
              </c:strCache>
            </c:strRef>
          </c:cat>
          <c:val>
            <c:numRef>
              <c:f>גיליון1!$B$2:$B$7</c:f>
              <c:numCache>
                <c:formatCode>General</c:formatCode>
                <c:ptCount val="6"/>
                <c:pt idx="0">
                  <c:v>47</c:v>
                </c:pt>
                <c:pt idx="1">
                  <c:v>16</c:v>
                </c:pt>
                <c:pt idx="2">
                  <c:v>11</c:v>
                </c:pt>
                <c:pt idx="3">
                  <c:v>5</c:v>
                </c:pt>
                <c:pt idx="4">
                  <c:v>1</c:v>
                </c:pt>
                <c:pt idx="5">
                  <c:v>1</c:v>
                </c:pt>
              </c:numCache>
            </c:numRef>
          </c:val>
          <c:extLst>
            <c:ext xmlns:c16="http://schemas.microsoft.com/office/drawing/2014/chart" uri="{C3380CC4-5D6E-409C-BE32-E72D297353CC}">
              <c16:uniqueId val="{00000000-EF63-4F34-A044-280DEDB6C2F1}"/>
            </c:ext>
          </c:extLst>
        </c:ser>
        <c:dLbls>
          <c:showLegendKey val="0"/>
          <c:showVal val="0"/>
          <c:showCatName val="0"/>
          <c:showSerName val="0"/>
          <c:showPercent val="0"/>
          <c:showBubbleSize val="0"/>
        </c:dLbls>
        <c:gapWidth val="182"/>
        <c:axId val="173224704"/>
        <c:axId val="174733952"/>
      </c:barChart>
      <c:catAx>
        <c:axId val="17322470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4733952"/>
        <c:crosses val="autoZero"/>
        <c:auto val="1"/>
        <c:lblAlgn val="ctr"/>
        <c:lblOffset val="100"/>
        <c:noMultiLvlLbl val="0"/>
      </c:catAx>
      <c:valAx>
        <c:axId val="174733952"/>
        <c:scaling>
          <c:orientation val="minMax"/>
        </c:scaling>
        <c:delete val="1"/>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17322470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הכנסות ממיסים ואגרות</c:v>
                </c:pt>
                <c:pt idx="1">
                  <c:v>הכנסות מעסקאות חליפין </c:v>
                </c:pt>
                <c:pt idx="2">
                  <c:v>הכנסות מהעברות</c:v>
                </c:pt>
                <c:pt idx="3">
                  <c:v>הכנסות אחרות </c:v>
                </c:pt>
              </c:strCache>
            </c:strRef>
          </c:cat>
          <c:val>
            <c:numRef>
              <c:f>גיליון1!$B$2:$B$5</c:f>
              <c:numCache>
                <c:formatCode>General</c:formatCode>
                <c:ptCount val="4"/>
                <c:pt idx="0">
                  <c:v>379</c:v>
                </c:pt>
                <c:pt idx="1">
                  <c:v>91</c:v>
                </c:pt>
                <c:pt idx="2">
                  <c:v>13</c:v>
                </c:pt>
                <c:pt idx="3">
                  <c:v>12</c:v>
                </c:pt>
              </c:numCache>
            </c:numRef>
          </c:val>
          <c:extLst>
            <c:ext xmlns:c16="http://schemas.microsoft.com/office/drawing/2014/chart" uri="{C3380CC4-5D6E-409C-BE32-E72D297353CC}">
              <c16:uniqueId val="{00000000-D648-4B5A-99C9-78E324727351}"/>
            </c:ext>
          </c:extLst>
        </c:ser>
        <c:ser>
          <c:idx val="1"/>
          <c:order val="1"/>
          <c:tx>
            <c:strRef>
              <c:f>גיליון1!$C$1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הכנסות ממיסים ואגרות</c:v>
                </c:pt>
                <c:pt idx="1">
                  <c:v>הכנסות מעסקאות חליפין </c:v>
                </c:pt>
                <c:pt idx="2">
                  <c:v>הכנסות מהעברות</c:v>
                </c:pt>
                <c:pt idx="3">
                  <c:v>הכנסות אחרות </c:v>
                </c:pt>
              </c:strCache>
            </c:strRef>
          </c:cat>
          <c:val>
            <c:numRef>
              <c:f>גיליון1!$C$2:$C$5</c:f>
              <c:numCache>
                <c:formatCode>General</c:formatCode>
                <c:ptCount val="4"/>
                <c:pt idx="0">
                  <c:v>384</c:v>
                </c:pt>
                <c:pt idx="1">
                  <c:v>89</c:v>
                </c:pt>
                <c:pt idx="2">
                  <c:v>12</c:v>
                </c:pt>
                <c:pt idx="3">
                  <c:v>9</c:v>
                </c:pt>
              </c:numCache>
            </c:numRef>
          </c:val>
          <c:extLst>
            <c:ext xmlns:c16="http://schemas.microsoft.com/office/drawing/2014/chart" uri="{C3380CC4-5D6E-409C-BE32-E72D297353CC}">
              <c16:uniqueId val="{00000001-D648-4B5A-99C9-78E324727351}"/>
            </c:ext>
          </c:extLst>
        </c:ser>
        <c:ser>
          <c:idx val="2"/>
          <c:order val="2"/>
          <c:tx>
            <c:strRef>
              <c:f>גיליון1!$D$1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הכנסות ממיסים ואגרות</c:v>
                </c:pt>
                <c:pt idx="1">
                  <c:v>הכנסות מעסקאות חליפין </c:v>
                </c:pt>
                <c:pt idx="2">
                  <c:v>הכנסות מהעברות</c:v>
                </c:pt>
                <c:pt idx="3">
                  <c:v>הכנסות אחרות </c:v>
                </c:pt>
              </c:strCache>
            </c:strRef>
          </c:cat>
          <c:val>
            <c:numRef>
              <c:f>גיליון1!$D$2:$D$5</c:f>
              <c:numCache>
                <c:formatCode>General</c:formatCode>
                <c:ptCount val="4"/>
                <c:pt idx="0">
                  <c:v>351</c:v>
                </c:pt>
                <c:pt idx="1">
                  <c:v>83</c:v>
                </c:pt>
                <c:pt idx="2">
                  <c:v>16</c:v>
                </c:pt>
                <c:pt idx="3">
                  <c:v>5</c:v>
                </c:pt>
              </c:numCache>
            </c:numRef>
          </c:val>
          <c:extLst>
            <c:ext xmlns:c16="http://schemas.microsoft.com/office/drawing/2014/chart" uri="{C3380CC4-5D6E-409C-BE32-E72D297353CC}">
              <c16:uniqueId val="{00000002-D648-4B5A-99C9-78E324727351}"/>
            </c:ext>
          </c:extLst>
        </c:ser>
        <c:ser>
          <c:idx val="3"/>
          <c:order val="3"/>
          <c:tx>
            <c:strRef>
              <c:f>גיליון1!$E$1</c:f>
              <c:strCache>
                <c:ptCount val="1"/>
                <c:pt idx="0">
                  <c:v>2015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הכנסות ממיסים ואגרות</c:v>
                </c:pt>
                <c:pt idx="1">
                  <c:v>הכנסות מעסקאות חליפין </c:v>
                </c:pt>
                <c:pt idx="2">
                  <c:v>הכנסות מהעברות</c:v>
                </c:pt>
                <c:pt idx="3">
                  <c:v>הכנסות אחרות </c:v>
                </c:pt>
              </c:strCache>
            </c:strRef>
          </c:cat>
          <c:val>
            <c:numRef>
              <c:f>גיליון1!$E$2:$E$5</c:f>
              <c:numCache>
                <c:formatCode>General</c:formatCode>
                <c:ptCount val="4"/>
                <c:pt idx="0">
                  <c:v>336</c:v>
                </c:pt>
                <c:pt idx="1">
                  <c:v>83</c:v>
                </c:pt>
                <c:pt idx="2">
                  <c:v>15</c:v>
                </c:pt>
                <c:pt idx="3">
                  <c:v>4</c:v>
                </c:pt>
              </c:numCache>
            </c:numRef>
          </c:val>
          <c:extLst>
            <c:ext xmlns:c16="http://schemas.microsoft.com/office/drawing/2014/chart" uri="{C3380CC4-5D6E-409C-BE32-E72D297353CC}">
              <c16:uniqueId val="{00000003-D648-4B5A-99C9-78E324727351}"/>
            </c:ext>
          </c:extLst>
        </c:ser>
        <c:ser>
          <c:idx val="4"/>
          <c:order val="4"/>
          <c:tx>
            <c:strRef>
              <c:f>גיליון1!$F$1</c:f>
              <c:strCache>
                <c:ptCount val="1"/>
                <c:pt idx="0">
                  <c:v>2014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הכנסות ממיסים ואגרות</c:v>
                </c:pt>
                <c:pt idx="1">
                  <c:v>הכנסות מעסקאות חליפין </c:v>
                </c:pt>
                <c:pt idx="2">
                  <c:v>הכנסות מהעברות</c:v>
                </c:pt>
                <c:pt idx="3">
                  <c:v>הכנסות אחרות </c:v>
                </c:pt>
              </c:strCache>
            </c:strRef>
          </c:cat>
          <c:val>
            <c:numRef>
              <c:f>גיליון1!$F$2:$F$5</c:f>
              <c:numCache>
                <c:formatCode>General</c:formatCode>
                <c:ptCount val="4"/>
                <c:pt idx="0">
                  <c:v>315</c:v>
                </c:pt>
                <c:pt idx="1">
                  <c:v>77</c:v>
                </c:pt>
                <c:pt idx="2">
                  <c:v>14</c:v>
                </c:pt>
                <c:pt idx="3">
                  <c:v>5</c:v>
                </c:pt>
              </c:numCache>
            </c:numRef>
          </c:val>
          <c:extLst>
            <c:ext xmlns:c16="http://schemas.microsoft.com/office/drawing/2014/chart" uri="{C3380CC4-5D6E-409C-BE32-E72D297353CC}">
              <c16:uniqueId val="{00000004-D648-4B5A-99C9-78E324727351}"/>
            </c:ext>
          </c:extLst>
        </c:ser>
        <c:dLbls>
          <c:showLegendKey val="0"/>
          <c:showVal val="0"/>
          <c:showCatName val="0"/>
          <c:showSerName val="0"/>
          <c:showPercent val="0"/>
          <c:showBubbleSize val="0"/>
        </c:dLbls>
        <c:gapWidth val="219"/>
        <c:overlap val="-27"/>
        <c:axId val="617123000"/>
        <c:axId val="617133824"/>
      </c:barChart>
      <c:catAx>
        <c:axId val="61712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7133824"/>
        <c:crosses val="autoZero"/>
        <c:auto val="1"/>
        <c:lblAlgn val="ctr"/>
        <c:lblOffset val="100"/>
        <c:noMultiLvlLbl val="0"/>
      </c:catAx>
      <c:valAx>
        <c:axId val="617133824"/>
        <c:scaling>
          <c:orientation val="minMax"/>
          <c:max val="3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712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רכוש קבוע</c:v>
                </c:pt>
                <c:pt idx="1">
                  <c:v>נכסים שוטפים</c:v>
                </c:pt>
                <c:pt idx="2">
                  <c:v>השקעות פיננסיות והלוואות </c:v>
                </c:pt>
                <c:pt idx="3">
                  <c:v>נכסים אחרים לזמן ארוך </c:v>
                </c:pt>
              </c:strCache>
            </c:strRef>
          </c:cat>
          <c:val>
            <c:numRef>
              <c:f>גיליון1!$B$2:$B$5</c:f>
              <c:numCache>
                <c:formatCode>General</c:formatCode>
                <c:ptCount val="4"/>
                <c:pt idx="0">
                  <c:v>398</c:v>
                </c:pt>
                <c:pt idx="1">
                  <c:v>133</c:v>
                </c:pt>
                <c:pt idx="2">
                  <c:v>58</c:v>
                </c:pt>
                <c:pt idx="3">
                  <c:v>9</c:v>
                </c:pt>
              </c:numCache>
            </c:numRef>
          </c:val>
          <c:extLst>
            <c:ext xmlns:c16="http://schemas.microsoft.com/office/drawing/2014/chart" uri="{C3380CC4-5D6E-409C-BE32-E72D297353CC}">
              <c16:uniqueId val="{00000000-D299-4DEC-A479-609F4FDF08AC}"/>
            </c:ext>
          </c:extLst>
        </c:ser>
        <c:ser>
          <c:idx val="1"/>
          <c:order val="1"/>
          <c:tx>
            <c:strRef>
              <c:f>גיליון1!$C$1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רכוש קבוע</c:v>
                </c:pt>
                <c:pt idx="1">
                  <c:v>נכסים שוטפים</c:v>
                </c:pt>
                <c:pt idx="2">
                  <c:v>השקעות פיננסיות והלוואות </c:v>
                </c:pt>
                <c:pt idx="3">
                  <c:v>נכסים אחרים לזמן ארוך </c:v>
                </c:pt>
              </c:strCache>
            </c:strRef>
          </c:cat>
          <c:val>
            <c:numRef>
              <c:f>גיליון1!$C$2:$C$5</c:f>
              <c:numCache>
                <c:formatCode>General</c:formatCode>
                <c:ptCount val="4"/>
                <c:pt idx="0">
                  <c:v>387</c:v>
                </c:pt>
                <c:pt idx="1">
                  <c:v>135</c:v>
                </c:pt>
                <c:pt idx="2">
                  <c:v>58</c:v>
                </c:pt>
                <c:pt idx="3">
                  <c:v>8</c:v>
                </c:pt>
              </c:numCache>
            </c:numRef>
          </c:val>
          <c:extLst>
            <c:ext xmlns:c16="http://schemas.microsoft.com/office/drawing/2014/chart" uri="{C3380CC4-5D6E-409C-BE32-E72D297353CC}">
              <c16:uniqueId val="{00000001-D299-4DEC-A479-609F4FDF08AC}"/>
            </c:ext>
          </c:extLst>
        </c:ser>
        <c:ser>
          <c:idx val="2"/>
          <c:order val="2"/>
          <c:tx>
            <c:strRef>
              <c:f>גיליון1!$D$1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רכוש קבוע</c:v>
                </c:pt>
                <c:pt idx="1">
                  <c:v>נכסים שוטפים</c:v>
                </c:pt>
                <c:pt idx="2">
                  <c:v>השקעות פיננסיות והלוואות </c:v>
                </c:pt>
                <c:pt idx="3">
                  <c:v>נכסים אחרים לזמן ארוך </c:v>
                </c:pt>
              </c:strCache>
            </c:strRef>
          </c:cat>
          <c:val>
            <c:numRef>
              <c:f>גיליון1!$D$2:$D$5</c:f>
              <c:numCache>
                <c:formatCode>General</c:formatCode>
                <c:ptCount val="4"/>
                <c:pt idx="0">
                  <c:v>362</c:v>
                </c:pt>
                <c:pt idx="1">
                  <c:v>126</c:v>
                </c:pt>
                <c:pt idx="2">
                  <c:v>45</c:v>
                </c:pt>
                <c:pt idx="3">
                  <c:v>16</c:v>
                </c:pt>
              </c:numCache>
            </c:numRef>
          </c:val>
          <c:extLst>
            <c:ext xmlns:c16="http://schemas.microsoft.com/office/drawing/2014/chart" uri="{C3380CC4-5D6E-409C-BE32-E72D297353CC}">
              <c16:uniqueId val="{00000002-D299-4DEC-A479-609F4FDF08AC}"/>
            </c:ext>
          </c:extLst>
        </c:ser>
        <c:ser>
          <c:idx val="3"/>
          <c:order val="3"/>
          <c:tx>
            <c:strRef>
              <c:f>גיליון1!$E$1</c:f>
              <c:strCache>
                <c:ptCount val="1"/>
                <c:pt idx="0">
                  <c:v>2015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4"/>
                <c:pt idx="0">
                  <c:v>רכוש קבוע</c:v>
                </c:pt>
                <c:pt idx="1">
                  <c:v>נכסים שוטפים</c:v>
                </c:pt>
                <c:pt idx="2">
                  <c:v>השקעות פיננסיות והלוואות </c:v>
                </c:pt>
                <c:pt idx="3">
                  <c:v>נכסים אחרים לזמן ארוך </c:v>
                </c:pt>
              </c:strCache>
            </c:strRef>
          </c:cat>
          <c:val>
            <c:numRef>
              <c:f>גיליון1!$E$2:$E$5</c:f>
              <c:numCache>
                <c:formatCode>General</c:formatCode>
                <c:ptCount val="4"/>
                <c:pt idx="0">
                  <c:v>351</c:v>
                </c:pt>
                <c:pt idx="1">
                  <c:v>113</c:v>
                </c:pt>
                <c:pt idx="2">
                  <c:v>46</c:v>
                </c:pt>
                <c:pt idx="3">
                  <c:v>15</c:v>
                </c:pt>
              </c:numCache>
            </c:numRef>
          </c:val>
          <c:extLst>
            <c:ext xmlns:c16="http://schemas.microsoft.com/office/drawing/2014/chart" uri="{C3380CC4-5D6E-409C-BE32-E72D297353CC}">
              <c16:uniqueId val="{00000003-D299-4DEC-A479-609F4FDF08AC}"/>
            </c:ext>
          </c:extLst>
        </c:ser>
        <c:dLbls>
          <c:showLegendKey val="0"/>
          <c:showVal val="0"/>
          <c:showCatName val="0"/>
          <c:showSerName val="0"/>
          <c:showPercent val="0"/>
          <c:showBubbleSize val="0"/>
        </c:dLbls>
        <c:gapWidth val="219"/>
        <c:overlap val="-27"/>
        <c:axId val="617202376"/>
        <c:axId val="617200736"/>
      </c:barChart>
      <c:catAx>
        <c:axId val="61720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7200736"/>
        <c:crosses val="autoZero"/>
        <c:auto val="1"/>
        <c:lblAlgn val="ctr"/>
        <c:lblOffset val="100"/>
        <c:noMultiLvlLbl val="0"/>
      </c:catAx>
      <c:valAx>
        <c:axId val="617200736"/>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720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2018</c:v>
                </c:pt>
              </c:strCache>
            </c:strRef>
          </c:tx>
          <c:spPr>
            <a:solidFill>
              <a:schemeClr val="accent1"/>
            </a:solidFill>
            <a:ln>
              <a:noFill/>
            </a:ln>
            <a:effectLst/>
          </c:spPr>
          <c:invertIfNegative val="0"/>
          <c:dLbls>
            <c:dLbl>
              <c:idx val="0"/>
              <c:layout>
                <c:manualLayout>
                  <c:x val="-2.4330900243309003E-3"/>
                  <c:y val="8.34202294056308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F0-4E1E-AED8-05817065AAC9}"/>
                </c:ext>
              </c:extLst>
            </c:dLbl>
            <c:dLbl>
              <c:idx val="1"/>
              <c:layout>
                <c:manualLayout>
                  <c:x val="-2.4330900243309003E-3"/>
                  <c:y val="4.1710114702815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F0-4E1E-AED8-05817065AAC9}"/>
                </c:ext>
              </c:extLst>
            </c:dLbl>
            <c:dLbl>
              <c:idx val="3"/>
              <c:layout>
                <c:manualLayout>
                  <c:x val="-2.4330900243309003E-3"/>
                  <c:y val="8.3420229405630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F0-4E1E-AED8-05817065AAC9}"/>
                </c:ext>
              </c:extLst>
            </c:dLbl>
            <c:dLbl>
              <c:idx val="4"/>
              <c:layout>
                <c:manualLayout>
                  <c:x val="-4.8661800486618006E-3"/>
                  <c:y val="1.251303441084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F0-4E1E-AED8-05817065AAC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גיליון1!$A$2:$A$7</c:f>
              <c:strCache>
                <c:ptCount val="6"/>
                <c:pt idx="0">
                  <c:v>מלוות פנים וחוץ- בניכוי חלויות שוטפות</c:v>
                </c:pt>
                <c:pt idx="1">
                  <c:v>עתודות בגין אירועי ביטוח</c:v>
                </c:pt>
                <c:pt idx="2">
                  <c:v>התחייבויות בגין זכויות עובדים</c:v>
                </c:pt>
                <c:pt idx="3">
                  <c:v>סך הכול התחייבויות שוטפות</c:v>
                </c:pt>
                <c:pt idx="4">
                  <c:v>התחייבויות לתמיכה בקרנות הפנסיה</c:v>
                </c:pt>
                <c:pt idx="5">
                  <c:v>התחייבויות אחרות</c:v>
                </c:pt>
              </c:strCache>
            </c:strRef>
          </c:cat>
          <c:val>
            <c:numRef>
              <c:f>גיליון1!$B$2:$B$7</c:f>
              <c:numCache>
                <c:formatCode>General</c:formatCode>
                <c:ptCount val="6"/>
                <c:pt idx="0">
                  <c:v>780</c:v>
                </c:pt>
                <c:pt idx="1">
                  <c:v>729</c:v>
                </c:pt>
                <c:pt idx="2">
                  <c:v>682</c:v>
                </c:pt>
                <c:pt idx="3">
                  <c:v>172</c:v>
                </c:pt>
                <c:pt idx="4">
                  <c:v>132</c:v>
                </c:pt>
                <c:pt idx="5">
                  <c:v>64</c:v>
                </c:pt>
              </c:numCache>
            </c:numRef>
          </c:val>
          <c:extLst>
            <c:ext xmlns:c16="http://schemas.microsoft.com/office/drawing/2014/chart" uri="{C3380CC4-5D6E-409C-BE32-E72D297353CC}">
              <c16:uniqueId val="{00000004-43F0-4E1E-AED8-05817065AAC9}"/>
            </c:ext>
          </c:extLst>
        </c:ser>
        <c:ser>
          <c:idx val="1"/>
          <c:order val="1"/>
          <c:tx>
            <c:strRef>
              <c:f>גיליון1!$C$1</c:f>
              <c:strCache>
                <c:ptCount val="1"/>
                <c:pt idx="0">
                  <c:v>2017</c:v>
                </c:pt>
              </c:strCache>
            </c:strRef>
          </c:tx>
          <c:spPr>
            <a:solidFill>
              <a:schemeClr val="accent2"/>
            </a:solidFill>
            <a:ln>
              <a:noFill/>
            </a:ln>
            <a:effectLst/>
          </c:spPr>
          <c:invertIfNegative val="0"/>
          <c:dLbls>
            <c:dLbl>
              <c:idx val="4"/>
              <c:layout>
                <c:manualLayout>
                  <c:x val="0"/>
                  <c:y val="8.34202294056308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F0-4E1E-AED8-05817065AAC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גיליון1!$A$2:$A$7</c:f>
              <c:strCache>
                <c:ptCount val="6"/>
                <c:pt idx="0">
                  <c:v>מלוות פנים וחוץ- בניכוי חלויות שוטפות</c:v>
                </c:pt>
                <c:pt idx="1">
                  <c:v>עתודות בגין אירועי ביטוח</c:v>
                </c:pt>
                <c:pt idx="2">
                  <c:v>התחייבויות בגין זכויות עובדים</c:v>
                </c:pt>
                <c:pt idx="3">
                  <c:v>סך הכול התחייבויות שוטפות</c:v>
                </c:pt>
                <c:pt idx="4">
                  <c:v>התחייבויות לתמיכה בקרנות הפנסיה</c:v>
                </c:pt>
                <c:pt idx="5">
                  <c:v>התחייבויות אחרות</c:v>
                </c:pt>
              </c:strCache>
            </c:strRef>
          </c:cat>
          <c:val>
            <c:numRef>
              <c:f>גיליון1!$C$2:$C$7</c:f>
              <c:numCache>
                <c:formatCode>General</c:formatCode>
                <c:ptCount val="6"/>
                <c:pt idx="0">
                  <c:v>744</c:v>
                </c:pt>
                <c:pt idx="1">
                  <c:v>712</c:v>
                </c:pt>
                <c:pt idx="2">
                  <c:v>717</c:v>
                </c:pt>
                <c:pt idx="3">
                  <c:v>161</c:v>
                </c:pt>
                <c:pt idx="4">
                  <c:v>131</c:v>
                </c:pt>
                <c:pt idx="5">
                  <c:v>61</c:v>
                </c:pt>
              </c:numCache>
            </c:numRef>
          </c:val>
          <c:extLst>
            <c:ext xmlns:c16="http://schemas.microsoft.com/office/drawing/2014/chart" uri="{C3380CC4-5D6E-409C-BE32-E72D297353CC}">
              <c16:uniqueId val="{00000006-43F0-4E1E-AED8-05817065AAC9}"/>
            </c:ext>
          </c:extLst>
        </c:ser>
        <c:ser>
          <c:idx val="2"/>
          <c:order val="2"/>
          <c:tx>
            <c:strRef>
              <c:f>גיליון1!$D$1</c:f>
              <c:strCache>
                <c:ptCount val="1"/>
                <c:pt idx="0">
                  <c:v>2016</c:v>
                </c:pt>
              </c:strCache>
            </c:strRef>
          </c:tx>
          <c:spPr>
            <a:solidFill>
              <a:schemeClr val="accent3"/>
            </a:solidFill>
            <a:ln>
              <a:noFill/>
            </a:ln>
            <a:effectLst/>
          </c:spPr>
          <c:invertIfNegative val="0"/>
          <c:dLbls>
            <c:dLbl>
              <c:idx val="3"/>
              <c:layout>
                <c:manualLayout>
                  <c:x val="2.4330900243309003E-3"/>
                  <c:y val="8.34202294056308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F0-4E1E-AED8-05817065AAC9}"/>
                </c:ext>
              </c:extLst>
            </c:dLbl>
            <c:dLbl>
              <c:idx val="4"/>
              <c:layout>
                <c:manualLayout>
                  <c:x val="0"/>
                  <c:y val="8.3420229405630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F0-4E1E-AED8-05817065AAC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גיליון1!$A$2:$A$7</c:f>
              <c:strCache>
                <c:ptCount val="6"/>
                <c:pt idx="0">
                  <c:v>מלוות פנים וחוץ- בניכוי חלויות שוטפות</c:v>
                </c:pt>
                <c:pt idx="1">
                  <c:v>עתודות בגין אירועי ביטוח</c:v>
                </c:pt>
                <c:pt idx="2">
                  <c:v>התחייבויות בגין זכויות עובדים</c:v>
                </c:pt>
                <c:pt idx="3">
                  <c:v>סך הכול התחייבויות שוטפות</c:v>
                </c:pt>
                <c:pt idx="4">
                  <c:v>התחייבויות לתמיכה בקרנות הפנסיה</c:v>
                </c:pt>
                <c:pt idx="5">
                  <c:v>התחייבויות אחרות</c:v>
                </c:pt>
              </c:strCache>
            </c:strRef>
          </c:cat>
          <c:val>
            <c:numRef>
              <c:f>גיליון1!$D$2:$D$7</c:f>
              <c:numCache>
                <c:formatCode>General</c:formatCode>
                <c:ptCount val="6"/>
                <c:pt idx="0">
                  <c:v>724</c:v>
                </c:pt>
                <c:pt idx="1">
                  <c:v>650</c:v>
                </c:pt>
                <c:pt idx="2">
                  <c:v>695</c:v>
                </c:pt>
                <c:pt idx="3">
                  <c:v>165</c:v>
                </c:pt>
                <c:pt idx="4">
                  <c:v>127</c:v>
                </c:pt>
                <c:pt idx="5">
                  <c:v>60</c:v>
                </c:pt>
              </c:numCache>
            </c:numRef>
          </c:val>
          <c:extLst>
            <c:ext xmlns:c16="http://schemas.microsoft.com/office/drawing/2014/chart" uri="{C3380CC4-5D6E-409C-BE32-E72D297353CC}">
              <c16:uniqueId val="{00000009-43F0-4E1E-AED8-05817065AAC9}"/>
            </c:ext>
          </c:extLst>
        </c:ser>
        <c:ser>
          <c:idx val="3"/>
          <c:order val="3"/>
          <c:tx>
            <c:strRef>
              <c:f>גיליון1!$E$1</c:f>
              <c:strCache>
                <c:ptCount val="1"/>
                <c:pt idx="0">
                  <c:v>2015</c:v>
                </c:pt>
              </c:strCache>
            </c:strRef>
          </c:tx>
          <c:spPr>
            <a:solidFill>
              <a:schemeClr val="accent4"/>
            </a:solidFill>
            <a:ln>
              <a:noFill/>
            </a:ln>
            <a:effectLst/>
          </c:spPr>
          <c:invertIfNegative val="0"/>
          <c:dLbls>
            <c:dLbl>
              <c:idx val="3"/>
              <c:layout>
                <c:manualLayout>
                  <c:x val="4.8661800486617113E-3"/>
                  <c:y val="8.3420229405630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F0-4E1E-AED8-05817065AAC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גיליון1!$A$2:$A$7</c:f>
              <c:strCache>
                <c:ptCount val="6"/>
                <c:pt idx="0">
                  <c:v>מלוות פנים וחוץ- בניכוי חלויות שוטפות</c:v>
                </c:pt>
                <c:pt idx="1">
                  <c:v>עתודות בגין אירועי ביטוח</c:v>
                </c:pt>
                <c:pt idx="2">
                  <c:v>התחייבויות בגין זכויות עובדים</c:v>
                </c:pt>
                <c:pt idx="3">
                  <c:v>סך הכול התחייבויות שוטפות</c:v>
                </c:pt>
                <c:pt idx="4">
                  <c:v>התחייבויות לתמיכה בקרנות הפנסיה</c:v>
                </c:pt>
                <c:pt idx="5">
                  <c:v>התחייבויות אחרות</c:v>
                </c:pt>
              </c:strCache>
            </c:strRef>
          </c:cat>
          <c:val>
            <c:numRef>
              <c:f>גיליון1!$E$2:$E$7</c:f>
              <c:numCache>
                <c:formatCode>General</c:formatCode>
                <c:ptCount val="6"/>
                <c:pt idx="0">
                  <c:v>716</c:v>
                </c:pt>
                <c:pt idx="1">
                  <c:v>559</c:v>
                </c:pt>
                <c:pt idx="2">
                  <c:v>678</c:v>
                </c:pt>
                <c:pt idx="3">
                  <c:v>152</c:v>
                </c:pt>
                <c:pt idx="4">
                  <c:v>126</c:v>
                </c:pt>
                <c:pt idx="5">
                  <c:v>57</c:v>
                </c:pt>
              </c:numCache>
            </c:numRef>
          </c:val>
          <c:extLst>
            <c:ext xmlns:c16="http://schemas.microsoft.com/office/drawing/2014/chart" uri="{C3380CC4-5D6E-409C-BE32-E72D297353CC}">
              <c16:uniqueId val="{0000000B-43F0-4E1E-AED8-05817065AAC9}"/>
            </c:ext>
          </c:extLst>
        </c:ser>
        <c:ser>
          <c:idx val="4"/>
          <c:order val="4"/>
          <c:tx>
            <c:strRef>
              <c:f>גיליון1!$F$1</c:f>
              <c:strCache>
                <c:ptCount val="1"/>
                <c:pt idx="0">
                  <c:v>2014</c:v>
                </c:pt>
              </c:strCache>
            </c:strRef>
          </c:tx>
          <c:spPr>
            <a:solidFill>
              <a:schemeClr val="accent5"/>
            </a:solidFill>
            <a:ln>
              <a:noFill/>
            </a:ln>
            <a:effectLst/>
          </c:spPr>
          <c:invertIfNegative val="0"/>
          <c:dLbls>
            <c:dLbl>
              <c:idx val="0"/>
              <c:layout>
                <c:manualLayout>
                  <c:x val="7.2992700729927005E-3"/>
                  <c:y val="4.1710114702815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F0-4E1E-AED8-05817065AAC9}"/>
                </c:ext>
              </c:extLst>
            </c:dLbl>
            <c:dLbl>
              <c:idx val="2"/>
              <c:layout>
                <c:manualLayout>
                  <c:x val="9.7323600973236012E-3"/>
                  <c:y val="4.1710114702815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F0-4E1E-AED8-05817065AAC9}"/>
                </c:ext>
              </c:extLst>
            </c:dLbl>
            <c:dLbl>
              <c:idx val="3"/>
              <c:layout>
                <c:manualLayout>
                  <c:x val="9.732360097323511E-3"/>
                  <c:y val="8.3420229405631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F0-4E1E-AED8-05817065AAC9}"/>
                </c:ext>
              </c:extLst>
            </c:dLbl>
            <c:dLbl>
              <c:idx val="4"/>
              <c:layout>
                <c:manualLayout>
                  <c:x val="4.8661800486617113E-3"/>
                  <c:y val="4.1710114702815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F0-4E1E-AED8-05817065AAC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גיליון1!$A$2:$A$7</c:f>
              <c:strCache>
                <c:ptCount val="6"/>
                <c:pt idx="0">
                  <c:v>מלוות פנים וחוץ- בניכוי חלויות שוטפות</c:v>
                </c:pt>
                <c:pt idx="1">
                  <c:v>עתודות בגין אירועי ביטוח</c:v>
                </c:pt>
                <c:pt idx="2">
                  <c:v>התחייבויות בגין זכויות עובדים</c:v>
                </c:pt>
                <c:pt idx="3">
                  <c:v>סך הכול התחייבויות שוטפות</c:v>
                </c:pt>
                <c:pt idx="4">
                  <c:v>התחייבויות לתמיכה בקרנות הפנסיה</c:v>
                </c:pt>
                <c:pt idx="5">
                  <c:v>התחייבויות אחרות</c:v>
                </c:pt>
              </c:strCache>
            </c:strRef>
          </c:cat>
          <c:val>
            <c:numRef>
              <c:f>גיליון1!$F$2:$F$7</c:f>
              <c:numCache>
                <c:formatCode>General</c:formatCode>
                <c:ptCount val="6"/>
                <c:pt idx="0">
                  <c:v>727</c:v>
                </c:pt>
                <c:pt idx="1">
                  <c:v>523</c:v>
                </c:pt>
                <c:pt idx="2">
                  <c:v>673</c:v>
                </c:pt>
                <c:pt idx="3">
                  <c:v>130</c:v>
                </c:pt>
                <c:pt idx="4">
                  <c:v>126</c:v>
                </c:pt>
                <c:pt idx="5">
                  <c:v>53</c:v>
                </c:pt>
              </c:numCache>
            </c:numRef>
          </c:val>
          <c:extLst>
            <c:ext xmlns:c16="http://schemas.microsoft.com/office/drawing/2014/chart" uri="{C3380CC4-5D6E-409C-BE32-E72D297353CC}">
              <c16:uniqueId val="{00000010-43F0-4E1E-AED8-05817065AAC9}"/>
            </c:ext>
          </c:extLst>
        </c:ser>
        <c:dLbls>
          <c:showLegendKey val="0"/>
          <c:showVal val="0"/>
          <c:showCatName val="0"/>
          <c:showSerName val="0"/>
          <c:showPercent val="0"/>
          <c:showBubbleSize val="0"/>
        </c:dLbls>
        <c:gapWidth val="219"/>
        <c:overlap val="-27"/>
        <c:axId val="177703552"/>
        <c:axId val="177725824"/>
      </c:barChart>
      <c:catAx>
        <c:axId val="1777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7725824"/>
        <c:crosses val="autoZero"/>
        <c:auto val="1"/>
        <c:lblAlgn val="ctr"/>
        <c:lblOffset val="100"/>
        <c:noMultiLvlLbl val="0"/>
      </c:catAx>
      <c:valAx>
        <c:axId val="177725824"/>
        <c:scaling>
          <c:orientation val="minMax"/>
          <c:max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770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גירעון חשבונאי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גיליון1!$A$2:$A$7</c:f>
              <c:numCache>
                <c:formatCode>General</c:formatCode>
                <c:ptCount val="6"/>
                <c:pt idx="0">
                  <c:v>2018</c:v>
                </c:pt>
                <c:pt idx="1">
                  <c:v>2017</c:v>
                </c:pt>
                <c:pt idx="2">
                  <c:v>2016</c:v>
                </c:pt>
                <c:pt idx="3">
                  <c:v>2015</c:v>
                </c:pt>
                <c:pt idx="4">
                  <c:v>2014</c:v>
                </c:pt>
                <c:pt idx="5">
                  <c:v>2013</c:v>
                </c:pt>
              </c:numCache>
            </c:numRef>
          </c:cat>
          <c:val>
            <c:numRef>
              <c:f>גיליון1!$B$2:$B$7</c:f>
              <c:numCache>
                <c:formatCode>General</c:formatCode>
                <c:ptCount val="6"/>
                <c:pt idx="0">
                  <c:v>15.5</c:v>
                </c:pt>
                <c:pt idx="1">
                  <c:v>83.4</c:v>
                </c:pt>
                <c:pt idx="2">
                  <c:v>110.5</c:v>
                </c:pt>
                <c:pt idx="3">
                  <c:v>34.5</c:v>
                </c:pt>
                <c:pt idx="4">
                  <c:v>153.9</c:v>
                </c:pt>
                <c:pt idx="5">
                  <c:v>88.8</c:v>
                </c:pt>
              </c:numCache>
            </c:numRef>
          </c:val>
          <c:extLst>
            <c:ext xmlns:c16="http://schemas.microsoft.com/office/drawing/2014/chart" uri="{C3380CC4-5D6E-409C-BE32-E72D297353CC}">
              <c16:uniqueId val="{00000000-2656-4F94-A399-69EA4BCDC9DA}"/>
            </c:ext>
          </c:extLst>
        </c:ser>
        <c:ser>
          <c:idx val="1"/>
          <c:order val="1"/>
          <c:tx>
            <c:strRef>
              <c:f>גיליון1!$C$1</c:f>
              <c:strCache>
                <c:ptCount val="1"/>
                <c:pt idx="0">
                  <c:v>גירעון תקציבי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גיליון1!$A$2:$A$7</c:f>
              <c:numCache>
                <c:formatCode>General</c:formatCode>
                <c:ptCount val="6"/>
                <c:pt idx="0">
                  <c:v>2018</c:v>
                </c:pt>
                <c:pt idx="1">
                  <c:v>2017</c:v>
                </c:pt>
                <c:pt idx="2">
                  <c:v>2016</c:v>
                </c:pt>
                <c:pt idx="3">
                  <c:v>2015</c:v>
                </c:pt>
                <c:pt idx="4">
                  <c:v>2014</c:v>
                </c:pt>
                <c:pt idx="5">
                  <c:v>2013</c:v>
                </c:pt>
              </c:numCache>
            </c:numRef>
          </c:cat>
          <c:val>
            <c:numRef>
              <c:f>גיליון1!$C$2:$C$7</c:f>
              <c:numCache>
                <c:formatCode>General</c:formatCode>
                <c:ptCount val="6"/>
                <c:pt idx="0">
                  <c:v>38.700000000000003</c:v>
                </c:pt>
                <c:pt idx="1">
                  <c:v>24.6</c:v>
                </c:pt>
                <c:pt idx="2">
                  <c:v>25.5</c:v>
                </c:pt>
                <c:pt idx="3">
                  <c:v>24.9</c:v>
                </c:pt>
                <c:pt idx="4">
                  <c:v>29.9</c:v>
                </c:pt>
                <c:pt idx="5">
                  <c:v>33.4</c:v>
                </c:pt>
              </c:numCache>
            </c:numRef>
          </c:val>
          <c:extLst>
            <c:ext xmlns:c16="http://schemas.microsoft.com/office/drawing/2014/chart" uri="{C3380CC4-5D6E-409C-BE32-E72D297353CC}">
              <c16:uniqueId val="{00000001-2656-4F94-A399-69EA4BCDC9DA}"/>
            </c:ext>
          </c:extLst>
        </c:ser>
        <c:dLbls>
          <c:showLegendKey val="0"/>
          <c:showVal val="0"/>
          <c:showCatName val="0"/>
          <c:showSerName val="0"/>
          <c:showPercent val="0"/>
          <c:showBubbleSize val="0"/>
        </c:dLbls>
        <c:gapWidth val="219"/>
        <c:overlap val="-27"/>
        <c:axId val="190873624"/>
        <c:axId val="190871656"/>
      </c:barChart>
      <c:catAx>
        <c:axId val="19087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0871656"/>
        <c:crosses val="autoZero"/>
        <c:auto val="1"/>
        <c:lblAlgn val="ctr"/>
        <c:lblOffset val="100"/>
        <c:noMultiLvlLbl val="0"/>
      </c:catAx>
      <c:valAx>
        <c:axId val="190871656"/>
        <c:scaling>
          <c:orientation val="minMax"/>
          <c:max val="1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087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9.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C023D4-4AC4-4316-BA18-FEE253276256}"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C96C7317-CDC1-472C-8DD7-8F196572BDA5}">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פיקוח על ההוצאות הציבוריות</a:t>
          </a:r>
        </a:p>
      </dgm:t>
    </dgm:pt>
    <dgm:pt modelId="{EA80E162-2256-48FB-B741-DC2A01719997}" type="parTrans" cxnId="{845795B7-70B6-4CCB-87CB-6BF5A8338E56}">
      <dgm:prSet/>
      <dgm:spPr/>
      <dgm:t>
        <a:bodyPr/>
        <a:lstStyle/>
        <a:p>
          <a:pPr rtl="1"/>
          <a:endParaRPr lang="he-IL"/>
        </a:p>
      </dgm:t>
    </dgm:pt>
    <dgm:pt modelId="{3F641ACC-34EB-47A9-90D5-B091D104A0EB}" type="sibTrans" cxnId="{845795B7-70B6-4CCB-87CB-6BF5A8338E56}">
      <dgm:prSet/>
      <dgm:spPr/>
      <dgm:t>
        <a:bodyPr/>
        <a:lstStyle/>
        <a:p>
          <a:pPr rtl="1"/>
          <a:endParaRPr lang="he-IL"/>
        </a:p>
      </dgm:t>
    </dgm:pt>
    <dgm:pt modelId="{A7DC06A1-4B42-4D0A-84E5-4C6B24197CB9}">
      <dgm:prSet phldrT="[טקסט]" custT="1"/>
      <dgm:spPr>
        <a:xfrm>
          <a:off x="3341014" y="586"/>
          <a:ext cx="1879320" cy="1198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2500">
              <a:solidFill>
                <a:sysClr val="window" lastClr="FFFFFF"/>
              </a:solidFill>
              <a:latin typeface="Calibri"/>
              <a:ea typeface="+mn-ea"/>
              <a:cs typeface="Arial" panose="020B0604020202020204" pitchFamily="34" charset="0"/>
            </a:rPr>
            <a:t>מתן דין וחשבון </a:t>
          </a:r>
        </a:p>
      </dgm:t>
    </dgm:pt>
    <dgm:pt modelId="{0E05A292-FF3E-4210-9774-2085999F5BA6}" type="sibTrans" cxnId="{FC41FBC2-2618-4CC0-81DC-9A399FEC3157}">
      <dgm:prSet/>
      <dgm:spPr/>
      <dgm:t>
        <a:bodyPr/>
        <a:lstStyle/>
        <a:p>
          <a:pPr rtl="1"/>
          <a:endParaRPr lang="he-IL"/>
        </a:p>
      </dgm:t>
    </dgm:pt>
    <dgm:pt modelId="{BD73689F-DBB9-4E3B-98AD-55A893783B6B}" type="parTrans" cxnId="{FC41FBC2-2618-4CC0-81DC-9A399FEC3157}">
      <dgm:prSet/>
      <dgm:spPr/>
      <dgm:t>
        <a:bodyPr/>
        <a:lstStyle/>
        <a:p>
          <a:pPr rtl="1"/>
          <a:endParaRPr lang="he-IL"/>
        </a:p>
      </dgm:t>
    </dgm:pt>
    <dgm:pt modelId="{BDC7BF9A-C6FD-4BD0-AC48-976DED03DBA7}">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מדידה יעילה של ביצועי הממשלה </a:t>
          </a:r>
        </a:p>
      </dgm:t>
    </dgm:pt>
    <dgm:pt modelId="{B534B5CC-5596-46D2-BEA5-1DA9B64183E8}" type="parTrans" cxnId="{E0BAA3CD-98CE-40AD-A9A2-463FD383707B}">
      <dgm:prSet/>
      <dgm:spPr/>
      <dgm:t>
        <a:bodyPr/>
        <a:lstStyle/>
        <a:p>
          <a:pPr rtl="1"/>
          <a:endParaRPr lang="he-IL"/>
        </a:p>
      </dgm:t>
    </dgm:pt>
    <dgm:pt modelId="{ACDC4303-EA1E-49B4-A526-A53B0B3583EC}" type="sibTrans" cxnId="{E0BAA3CD-98CE-40AD-A9A2-463FD383707B}">
      <dgm:prSet/>
      <dgm:spPr/>
      <dgm:t>
        <a:bodyPr/>
        <a:lstStyle/>
        <a:p>
          <a:pPr rtl="1"/>
          <a:endParaRPr lang="he-IL"/>
        </a:p>
      </dgm:t>
    </dgm:pt>
    <dgm:pt modelId="{0C88B0F3-6C4D-449D-AD6E-767C1D789EBC}">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b="0" i="0">
              <a:solidFill>
                <a:sysClr val="windowText" lastClr="000000">
                  <a:hueOff val="0"/>
                  <a:satOff val="0"/>
                  <a:lumOff val="0"/>
                  <a:alphaOff val="0"/>
                </a:sysClr>
              </a:solidFill>
              <a:latin typeface="Calibri"/>
              <a:ea typeface="+mn-ea"/>
              <a:cs typeface="Arial" panose="020B0604020202020204" pitchFamily="34" charset="0"/>
            </a:rPr>
            <a:t>הערכת מידת הצלחתה של הממשלה לעמוד במחויבותה לניהול תקין של המשאבים הציבוריים</a:t>
          </a:r>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EFBDC5BB-7F9C-499B-8A5A-80A8441F43B4}" type="parTrans" cxnId="{8AD9F35E-29C9-4965-B371-27D875B937B2}">
      <dgm:prSet/>
      <dgm:spPr/>
      <dgm:t>
        <a:bodyPr/>
        <a:lstStyle/>
        <a:p>
          <a:pPr rtl="1"/>
          <a:endParaRPr lang="he-IL"/>
        </a:p>
      </dgm:t>
    </dgm:pt>
    <dgm:pt modelId="{17B01F1F-CF7E-46CB-96D2-44798E9312EC}" type="sibTrans" cxnId="{8AD9F35E-29C9-4965-B371-27D875B937B2}">
      <dgm:prSet/>
      <dgm:spPr/>
      <dgm:t>
        <a:bodyPr/>
        <a:lstStyle/>
        <a:p>
          <a:pPr rtl="1"/>
          <a:endParaRPr lang="he-IL"/>
        </a:p>
      </dgm:t>
    </dgm:pt>
    <dgm:pt modelId="{7A0F4D79-8F0B-42D6-B965-E25FC08D2495}">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שיפור באיכות המידע הכספי המוצג בדוחות הכספיים של המדינה (בייחוד כאשר תקציב המדינה הינו על בסיס מזומן וישנה חשיבות למתן הצגת דוחות כספיים על בסיס מצטבר) </a:t>
          </a:r>
        </a:p>
      </dgm:t>
    </dgm:pt>
    <dgm:pt modelId="{A52B5FB1-393E-46BD-B09B-E3859A6E5299}" type="parTrans" cxnId="{241E3364-5531-4BAF-8AE8-337F45CD9C40}">
      <dgm:prSet/>
      <dgm:spPr/>
      <dgm:t>
        <a:bodyPr/>
        <a:lstStyle/>
        <a:p>
          <a:pPr rtl="1"/>
          <a:endParaRPr lang="he-IL"/>
        </a:p>
      </dgm:t>
    </dgm:pt>
    <dgm:pt modelId="{9BB1D1C2-7FB5-4AC0-84D5-2FC87C6B7185}" type="sibTrans" cxnId="{241E3364-5531-4BAF-8AE8-337F45CD9C40}">
      <dgm:prSet/>
      <dgm:spPr/>
      <dgm:t>
        <a:bodyPr/>
        <a:lstStyle/>
        <a:p>
          <a:pPr rtl="1"/>
          <a:endParaRPr lang="he-IL"/>
        </a:p>
      </dgm:t>
    </dgm:pt>
    <dgm:pt modelId="{85345874-F93E-4938-9E49-0C76FA637845}" type="pres">
      <dgm:prSet presAssocID="{99C023D4-4AC4-4316-BA18-FEE253276256}" presName="Name0" presStyleCnt="0">
        <dgm:presLayoutVars>
          <dgm:dir val="rev"/>
          <dgm:animLvl val="lvl"/>
          <dgm:resizeHandles val="exact"/>
        </dgm:presLayoutVars>
      </dgm:prSet>
      <dgm:spPr/>
    </dgm:pt>
    <dgm:pt modelId="{FA03AE56-3AB2-472E-A281-3A065D36B054}" type="pres">
      <dgm:prSet presAssocID="{A7DC06A1-4B42-4D0A-84E5-4C6B24197CB9}" presName="linNode" presStyleCnt="0"/>
      <dgm:spPr/>
    </dgm:pt>
    <dgm:pt modelId="{29AE579A-1657-4783-95A9-B28B65EE4879}" type="pres">
      <dgm:prSet presAssocID="{A7DC06A1-4B42-4D0A-84E5-4C6B24197CB9}" presName="parentText" presStyleLbl="node1" presStyleIdx="0" presStyleCnt="1" custLinFactNeighborX="1141" custLinFactNeighborY="-49">
        <dgm:presLayoutVars>
          <dgm:chMax val="1"/>
          <dgm:bulletEnabled val="1"/>
        </dgm:presLayoutVars>
      </dgm:prSet>
      <dgm:spPr>
        <a:prstGeom prst="roundRect">
          <a:avLst/>
        </a:prstGeom>
      </dgm:spPr>
    </dgm:pt>
    <dgm:pt modelId="{F384486E-FE92-4997-BA82-36C3ABD6011C}" type="pres">
      <dgm:prSet presAssocID="{A7DC06A1-4B42-4D0A-84E5-4C6B24197CB9}" presName="descendantText" presStyleLbl="alignAccFollowNode1" presStyleIdx="0" presStyleCnt="1" custScaleY="125122">
        <dgm:presLayoutVars>
          <dgm:bulletEnabled val="1"/>
        </dgm:presLayoutVars>
      </dgm:prSet>
      <dgm:spPr>
        <a:prstGeom prst="round2SameRect">
          <a:avLst/>
        </a:prstGeom>
      </dgm:spPr>
    </dgm:pt>
  </dgm:ptLst>
  <dgm:cxnLst>
    <dgm:cxn modelId="{5598C705-268F-4699-895E-EB10594B479A}" type="presOf" srcId="{0C88B0F3-6C4D-449D-AD6E-767C1D789EBC}" destId="{F384486E-FE92-4997-BA82-36C3ABD6011C}" srcOrd="0" destOrd="3" presId="urn:microsoft.com/office/officeart/2005/8/layout/vList5"/>
    <dgm:cxn modelId="{AB3F040E-CC12-449A-8E8E-C81FFDC1839C}" type="presOf" srcId="{BDC7BF9A-C6FD-4BD0-AC48-976DED03DBA7}" destId="{F384486E-FE92-4997-BA82-36C3ABD6011C}" srcOrd="0" destOrd="1" presId="urn:microsoft.com/office/officeart/2005/8/layout/vList5"/>
    <dgm:cxn modelId="{A1A63610-CB7B-4C2A-AC5E-D5AF0E2C27D0}" type="presOf" srcId="{7A0F4D79-8F0B-42D6-B965-E25FC08D2495}" destId="{F384486E-FE92-4997-BA82-36C3ABD6011C}" srcOrd="0" destOrd="2" presId="urn:microsoft.com/office/officeart/2005/8/layout/vList5"/>
    <dgm:cxn modelId="{8AD9F35E-29C9-4965-B371-27D875B937B2}" srcId="{A7DC06A1-4B42-4D0A-84E5-4C6B24197CB9}" destId="{0C88B0F3-6C4D-449D-AD6E-767C1D789EBC}" srcOrd="3" destOrd="0" parTransId="{EFBDC5BB-7F9C-499B-8A5A-80A8441F43B4}" sibTransId="{17B01F1F-CF7E-46CB-96D2-44798E9312EC}"/>
    <dgm:cxn modelId="{241E3364-5531-4BAF-8AE8-337F45CD9C40}" srcId="{A7DC06A1-4B42-4D0A-84E5-4C6B24197CB9}" destId="{7A0F4D79-8F0B-42D6-B965-E25FC08D2495}" srcOrd="2" destOrd="0" parTransId="{A52B5FB1-393E-46BD-B09B-E3859A6E5299}" sibTransId="{9BB1D1C2-7FB5-4AC0-84D5-2FC87C6B7185}"/>
    <dgm:cxn modelId="{C9CABF6B-3545-432E-AF7E-CC3648244207}" type="presOf" srcId="{A7DC06A1-4B42-4D0A-84E5-4C6B24197CB9}" destId="{29AE579A-1657-4783-95A9-B28B65EE4879}" srcOrd="0" destOrd="0" presId="urn:microsoft.com/office/officeart/2005/8/layout/vList5"/>
    <dgm:cxn modelId="{F6CB3E8C-C5CA-4840-A169-DA690EA03621}" type="presOf" srcId="{99C023D4-4AC4-4316-BA18-FEE253276256}" destId="{85345874-F93E-4938-9E49-0C76FA637845}" srcOrd="0" destOrd="0" presId="urn:microsoft.com/office/officeart/2005/8/layout/vList5"/>
    <dgm:cxn modelId="{845795B7-70B6-4CCB-87CB-6BF5A8338E56}" srcId="{A7DC06A1-4B42-4D0A-84E5-4C6B24197CB9}" destId="{C96C7317-CDC1-472C-8DD7-8F196572BDA5}" srcOrd="0" destOrd="0" parTransId="{EA80E162-2256-48FB-B741-DC2A01719997}" sibTransId="{3F641ACC-34EB-47A9-90D5-B091D104A0EB}"/>
    <dgm:cxn modelId="{FC41FBC2-2618-4CC0-81DC-9A399FEC3157}" srcId="{99C023D4-4AC4-4316-BA18-FEE253276256}" destId="{A7DC06A1-4B42-4D0A-84E5-4C6B24197CB9}" srcOrd="0" destOrd="0" parTransId="{BD73689F-DBB9-4E3B-98AD-55A893783B6B}" sibTransId="{0E05A292-FF3E-4210-9774-2085999F5BA6}"/>
    <dgm:cxn modelId="{E0BAA3CD-98CE-40AD-A9A2-463FD383707B}" srcId="{A7DC06A1-4B42-4D0A-84E5-4C6B24197CB9}" destId="{BDC7BF9A-C6FD-4BD0-AC48-976DED03DBA7}" srcOrd="1" destOrd="0" parTransId="{B534B5CC-5596-46D2-BEA5-1DA9B64183E8}" sibTransId="{ACDC4303-EA1E-49B4-A526-A53B0B3583EC}"/>
    <dgm:cxn modelId="{9F32EEFB-6218-4CBB-B707-AA6A6F54FCE7}" type="presOf" srcId="{C96C7317-CDC1-472C-8DD7-8F196572BDA5}" destId="{F384486E-FE92-4997-BA82-36C3ABD6011C}" srcOrd="0" destOrd="0" presId="urn:microsoft.com/office/officeart/2005/8/layout/vList5"/>
    <dgm:cxn modelId="{0824B893-87AB-4592-A104-35C55437758D}" type="presParOf" srcId="{85345874-F93E-4938-9E49-0C76FA637845}" destId="{FA03AE56-3AB2-472E-A281-3A065D36B054}" srcOrd="0" destOrd="0" presId="urn:microsoft.com/office/officeart/2005/8/layout/vList5"/>
    <dgm:cxn modelId="{6C62DD91-B983-445A-9406-03C1EB0CEE7D}" type="presParOf" srcId="{FA03AE56-3AB2-472E-A281-3A065D36B054}" destId="{29AE579A-1657-4783-95A9-B28B65EE4879}" srcOrd="0" destOrd="0" presId="urn:microsoft.com/office/officeart/2005/8/layout/vList5"/>
    <dgm:cxn modelId="{4752ACF2-E9FF-49AC-B68F-487B703F005D}" type="presParOf" srcId="{FA03AE56-3AB2-472E-A281-3A065D36B054}" destId="{F384486E-FE92-4997-BA82-36C3ABD6011C}"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4B1210B-08EC-4DB5-9906-7D35E9928D14}" type="doc">
      <dgm:prSet loTypeId="urn:microsoft.com/office/officeart/2005/8/layout/default#1" loCatId="list" qsTypeId="urn:microsoft.com/office/officeart/2005/8/quickstyle/simple1" qsCatId="simple" csTypeId="urn:microsoft.com/office/officeart/2005/8/colors/accent2_3" csCatId="accent2" phldr="1"/>
      <dgm:spPr/>
      <dgm:t>
        <a:bodyPr/>
        <a:lstStyle/>
        <a:p>
          <a:pPr rtl="1"/>
          <a:endParaRPr lang="he-IL"/>
        </a:p>
      </dgm:t>
    </dgm:pt>
    <dgm:pt modelId="{1CCF8F5D-78DC-48BE-9FB0-93B1A1CFEE74}">
      <dgm:prSet phldrT="[טקסט]"/>
      <dgm:spPr>
        <a:xfrm>
          <a:off x="185120" y="26"/>
          <a:ext cx="1127928" cy="676757"/>
        </a:xfr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27- חקלאות </a:t>
          </a:r>
        </a:p>
      </dgm:t>
    </dgm:pt>
    <dgm:pt modelId="{4BBD378A-3FDC-459C-997E-4C456EDCBE54}" type="parTrans" cxnId="{EE2500F9-D5F8-40A5-9F96-DDAECFE0147A}">
      <dgm:prSet/>
      <dgm:spPr/>
      <dgm:t>
        <a:bodyPr/>
        <a:lstStyle/>
        <a:p>
          <a:pPr rtl="1"/>
          <a:endParaRPr lang="he-IL"/>
        </a:p>
      </dgm:t>
    </dgm:pt>
    <dgm:pt modelId="{7630D501-8179-49A3-8AC0-668BC72F3A9A}" type="sibTrans" cxnId="{EE2500F9-D5F8-40A5-9F96-DDAECFE0147A}">
      <dgm:prSet/>
      <dgm:spPr/>
      <dgm:t>
        <a:bodyPr/>
        <a:lstStyle/>
        <a:p>
          <a:pPr rtl="1"/>
          <a:endParaRPr lang="he-IL"/>
        </a:p>
      </dgm:t>
    </dgm:pt>
    <dgm:pt modelId="{7F29F734-86D7-4440-847E-C376F9CE085D}">
      <dgm:prSet phldrT="[טקסט]"/>
      <dgm:spPr>
        <a:xfrm>
          <a:off x="1425842" y="26"/>
          <a:ext cx="1127928" cy="676757"/>
        </a:xfrm>
        <a:solidFill>
          <a:srgbClr val="C0504D">
            <a:shade val="80000"/>
            <a:hueOff val="-2562"/>
            <a:satOff val="-287"/>
            <a:lumOff val="1834"/>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22- גילוי למידע כללי בדבר הסקטור הממשלתי הכללי</a:t>
          </a:r>
        </a:p>
      </dgm:t>
    </dgm:pt>
    <dgm:pt modelId="{5F13C151-D3CD-47F8-B6CA-C457BBE10761}" type="parTrans" cxnId="{7EEBC530-47C7-4E12-A052-4DA1C9718D6A}">
      <dgm:prSet/>
      <dgm:spPr/>
      <dgm:t>
        <a:bodyPr/>
        <a:lstStyle/>
        <a:p>
          <a:pPr rtl="1"/>
          <a:endParaRPr lang="he-IL"/>
        </a:p>
      </dgm:t>
    </dgm:pt>
    <dgm:pt modelId="{8BC4F71F-05DD-4E12-8D68-2FA38D7F3956}" type="sibTrans" cxnId="{7EEBC530-47C7-4E12-A052-4DA1C9718D6A}">
      <dgm:prSet/>
      <dgm:spPr/>
      <dgm:t>
        <a:bodyPr/>
        <a:lstStyle/>
        <a:p>
          <a:pPr rtl="1"/>
          <a:endParaRPr lang="he-IL"/>
        </a:p>
      </dgm:t>
    </dgm:pt>
    <dgm:pt modelId="{4490237B-52E9-4097-99D4-A1E9D1CDDAF9}">
      <dgm:prSet phldrT="[טקסט]"/>
      <dgm:spPr>
        <a:xfrm>
          <a:off x="2666563" y="26"/>
          <a:ext cx="1127928" cy="676757"/>
        </a:xfrm>
        <a:solidFill>
          <a:srgbClr val="C0504D">
            <a:shade val="80000"/>
            <a:hueOff val="-5125"/>
            <a:satOff val="-575"/>
            <a:lumOff val="3669"/>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16- נדל"ן להשקעה </a:t>
          </a:r>
        </a:p>
      </dgm:t>
    </dgm:pt>
    <dgm:pt modelId="{8E6E04FC-D258-4472-8EDB-56A4EAB22E02}" type="parTrans" cxnId="{2F781C21-FC38-4D5F-8B2A-136005BBBE7B}">
      <dgm:prSet/>
      <dgm:spPr/>
      <dgm:t>
        <a:bodyPr/>
        <a:lstStyle/>
        <a:p>
          <a:pPr rtl="1"/>
          <a:endParaRPr lang="he-IL"/>
        </a:p>
      </dgm:t>
    </dgm:pt>
    <dgm:pt modelId="{0AE893B4-4C1F-43E2-A964-56494559BB63}" type="sibTrans" cxnId="{2F781C21-FC38-4D5F-8B2A-136005BBBE7B}">
      <dgm:prSet/>
      <dgm:spPr/>
      <dgm:t>
        <a:bodyPr/>
        <a:lstStyle/>
        <a:p>
          <a:pPr rtl="1"/>
          <a:endParaRPr lang="he-IL"/>
        </a:p>
      </dgm:t>
    </dgm:pt>
    <dgm:pt modelId="{6722555C-D7F6-4FF4-B8AE-A73E7D4BA0E6}">
      <dgm:prSet phldrT="[טקסט]"/>
      <dgm:spPr>
        <a:xfrm>
          <a:off x="3286924" y="2368676"/>
          <a:ext cx="1127928" cy="676757"/>
        </a:xfrm>
        <a:solidFill>
          <a:srgbClr val="C0504D">
            <a:shade val="80000"/>
            <a:hueOff val="-35872"/>
            <a:satOff val="-4024"/>
            <a:lumOff val="2568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38- גילוי של זכויות בישויות אחרות </a:t>
          </a:r>
        </a:p>
      </dgm:t>
    </dgm:pt>
    <dgm:pt modelId="{3EA93012-023F-4D19-8EA6-9AFA99F3758F}" type="parTrans" cxnId="{1C10E030-0338-44F2-BEEB-DFB0883F1173}">
      <dgm:prSet/>
      <dgm:spPr/>
      <dgm:t>
        <a:bodyPr/>
        <a:lstStyle/>
        <a:p>
          <a:pPr rtl="1"/>
          <a:endParaRPr lang="he-IL"/>
        </a:p>
      </dgm:t>
    </dgm:pt>
    <dgm:pt modelId="{9EB43AEB-A8DB-4174-BC3F-CDB3881B1772}" type="sibTrans" cxnId="{1C10E030-0338-44F2-BEEB-DFB0883F1173}">
      <dgm:prSet/>
      <dgm:spPr/>
      <dgm:t>
        <a:bodyPr/>
        <a:lstStyle/>
        <a:p>
          <a:pPr rtl="1"/>
          <a:endParaRPr lang="he-IL"/>
        </a:p>
      </dgm:t>
    </dgm:pt>
    <dgm:pt modelId="{7717F12A-0A64-4D9F-B9FD-397C4348453D}">
      <dgm:prSet/>
      <dgm:spPr>
        <a:xfrm>
          <a:off x="3907285" y="26"/>
          <a:ext cx="1127928" cy="676757"/>
        </a:xfrm>
        <a:solidFill>
          <a:srgbClr val="C0504D">
            <a:shade val="80000"/>
            <a:hueOff val="-7687"/>
            <a:satOff val="-862"/>
            <a:lumOff val="5503"/>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14 - אירועים לאחר תקופת הדיווח</a:t>
          </a:r>
        </a:p>
      </dgm:t>
    </dgm:pt>
    <dgm:pt modelId="{E76AA55F-ECF0-41B0-8595-B7C845E06229}" type="parTrans" cxnId="{B01DCF69-32BD-4046-A3F0-98DF49BEDF20}">
      <dgm:prSet/>
      <dgm:spPr/>
      <dgm:t>
        <a:bodyPr/>
        <a:lstStyle/>
        <a:p>
          <a:pPr rtl="1"/>
          <a:endParaRPr lang="he-IL"/>
        </a:p>
      </dgm:t>
    </dgm:pt>
    <dgm:pt modelId="{9D773B70-5200-401C-8604-7AFE2547CE33}" type="sibTrans" cxnId="{B01DCF69-32BD-4046-A3F0-98DF49BEDF20}">
      <dgm:prSet/>
      <dgm:spPr/>
      <dgm:t>
        <a:bodyPr/>
        <a:lstStyle/>
        <a:p>
          <a:pPr rtl="1"/>
          <a:endParaRPr lang="he-IL"/>
        </a:p>
      </dgm:t>
    </dgm:pt>
    <dgm:pt modelId="{55CC5D2B-CB86-49E2-8287-9BF46BCAB26D}">
      <dgm:prSet/>
      <dgm:spPr>
        <a:xfrm>
          <a:off x="185120" y="789576"/>
          <a:ext cx="1127928" cy="676757"/>
        </a:xfrm>
        <a:solidFill>
          <a:srgbClr val="C0504D">
            <a:shade val="80000"/>
            <a:hueOff val="-10249"/>
            <a:satOff val="-1150"/>
            <a:lumOff val="7337"/>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33- אימוץ לראשונה של תקני חשבונאות בינלאומיים על בסיס מצטבר למגזר הציבורי</a:t>
          </a:r>
        </a:p>
      </dgm:t>
    </dgm:pt>
    <dgm:pt modelId="{109578DB-E143-44D7-B04F-B098F0FCF824}" type="parTrans" cxnId="{FADCF251-0EBC-4EB0-AF82-72CA9A31725F}">
      <dgm:prSet/>
      <dgm:spPr/>
      <dgm:t>
        <a:bodyPr/>
        <a:lstStyle/>
        <a:p>
          <a:pPr rtl="1"/>
          <a:endParaRPr lang="he-IL"/>
        </a:p>
      </dgm:t>
    </dgm:pt>
    <dgm:pt modelId="{BACC255E-EB4A-4ED1-9E02-F3098E99F241}" type="sibTrans" cxnId="{FADCF251-0EBC-4EB0-AF82-72CA9A31725F}">
      <dgm:prSet/>
      <dgm:spPr/>
      <dgm:t>
        <a:bodyPr/>
        <a:lstStyle/>
        <a:p>
          <a:pPr rtl="1"/>
          <a:endParaRPr lang="he-IL"/>
        </a:p>
      </dgm:t>
    </dgm:pt>
    <dgm:pt modelId="{7F898D79-C686-4253-91FB-80F1F360D0F5}">
      <dgm:prSet/>
      <dgm:spPr>
        <a:xfrm>
          <a:off x="1425842" y="789576"/>
          <a:ext cx="1127928" cy="676757"/>
        </a:xfrm>
        <a:solidFill>
          <a:srgbClr val="C0504D">
            <a:shade val="80000"/>
            <a:hueOff val="-12811"/>
            <a:satOff val="-1437"/>
            <a:lumOff val="9171"/>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30- מכשירים פיננסים: גילוי</a:t>
          </a:r>
        </a:p>
      </dgm:t>
    </dgm:pt>
    <dgm:pt modelId="{407E9E32-4AE6-4A33-A790-3A397E33C62B}" type="parTrans" cxnId="{B97B3B39-00DA-48EC-90B3-D3A612C50388}">
      <dgm:prSet/>
      <dgm:spPr/>
      <dgm:t>
        <a:bodyPr/>
        <a:lstStyle/>
        <a:p>
          <a:pPr rtl="1"/>
          <a:endParaRPr lang="he-IL"/>
        </a:p>
      </dgm:t>
    </dgm:pt>
    <dgm:pt modelId="{9EEE4D9F-5236-499D-B812-6FB5AA9A6E6E}" type="sibTrans" cxnId="{B97B3B39-00DA-48EC-90B3-D3A612C50388}">
      <dgm:prSet/>
      <dgm:spPr/>
      <dgm:t>
        <a:bodyPr/>
        <a:lstStyle/>
        <a:p>
          <a:pPr rtl="1"/>
          <a:endParaRPr lang="he-IL"/>
        </a:p>
      </dgm:t>
    </dgm:pt>
    <dgm:pt modelId="{B1989653-C0E7-4C39-976B-00D00E4A12BC}">
      <dgm:prSet/>
      <dgm:spPr>
        <a:xfrm>
          <a:off x="2666563" y="789576"/>
          <a:ext cx="1127928" cy="676757"/>
        </a:xfrm>
        <a:solidFill>
          <a:srgbClr val="C0504D">
            <a:shade val="80000"/>
            <a:hueOff val="-15374"/>
            <a:satOff val="-1725"/>
            <a:lumOff val="11006"/>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29- מכשירים פיננסים: הכרה ומדידה </a:t>
          </a:r>
        </a:p>
      </dgm:t>
    </dgm:pt>
    <dgm:pt modelId="{656B8B88-706C-4690-8239-38BE445C8365}" type="parTrans" cxnId="{44C59982-8BFE-4690-9F20-E190C42B67F0}">
      <dgm:prSet/>
      <dgm:spPr/>
      <dgm:t>
        <a:bodyPr/>
        <a:lstStyle/>
        <a:p>
          <a:pPr rtl="1"/>
          <a:endParaRPr lang="he-IL"/>
        </a:p>
      </dgm:t>
    </dgm:pt>
    <dgm:pt modelId="{039F1208-3770-4992-BCD5-F8FE9B87719C}" type="sibTrans" cxnId="{44C59982-8BFE-4690-9F20-E190C42B67F0}">
      <dgm:prSet/>
      <dgm:spPr/>
      <dgm:t>
        <a:bodyPr/>
        <a:lstStyle/>
        <a:p>
          <a:pPr rtl="1"/>
          <a:endParaRPr lang="he-IL"/>
        </a:p>
      </dgm:t>
    </dgm:pt>
    <dgm:pt modelId="{AED66EE1-49EF-46FC-B67B-69002232E2E6}">
      <dgm:prSet/>
      <dgm:spPr>
        <a:xfrm>
          <a:off x="3907285" y="789576"/>
          <a:ext cx="1127928" cy="676757"/>
        </a:xfrm>
        <a:solidFill>
          <a:srgbClr val="C0504D">
            <a:shade val="80000"/>
            <a:hueOff val="-17936"/>
            <a:satOff val="-2012"/>
            <a:lumOff val="1284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28- מכשירים פיננסים: הצגה</a:t>
          </a:r>
        </a:p>
      </dgm:t>
    </dgm:pt>
    <dgm:pt modelId="{463FFCE8-E140-4DBB-B533-6A20BEEA515C}" type="parTrans" cxnId="{8F7818A1-9372-44F5-A1A9-6CCF859A319A}">
      <dgm:prSet/>
      <dgm:spPr/>
      <dgm:t>
        <a:bodyPr/>
        <a:lstStyle/>
        <a:p>
          <a:pPr rtl="1"/>
          <a:endParaRPr lang="he-IL"/>
        </a:p>
      </dgm:t>
    </dgm:pt>
    <dgm:pt modelId="{F7E57BC2-8832-4FF1-AAC3-B525E8A59D36}" type="sibTrans" cxnId="{8F7818A1-9372-44F5-A1A9-6CCF859A319A}">
      <dgm:prSet/>
      <dgm:spPr/>
      <dgm:t>
        <a:bodyPr/>
        <a:lstStyle/>
        <a:p>
          <a:pPr rtl="1"/>
          <a:endParaRPr lang="he-IL"/>
        </a:p>
      </dgm:t>
    </dgm:pt>
    <dgm:pt modelId="{32030E7B-C223-41A2-9C09-962212731A0B}">
      <dgm:prSet/>
      <dgm:spPr>
        <a:xfrm>
          <a:off x="185120" y="1579126"/>
          <a:ext cx="1127928" cy="676757"/>
        </a:xfrm>
        <a:solidFill>
          <a:srgbClr val="C0504D">
            <a:shade val="80000"/>
            <a:hueOff val="-20498"/>
            <a:satOff val="-2299"/>
            <a:lumOff val="14674"/>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37- הסדרים משותפים</a:t>
          </a:r>
        </a:p>
      </dgm:t>
    </dgm:pt>
    <dgm:pt modelId="{1A2AF3A1-BC7F-4140-A1CB-11BA2B8A15D4}" type="parTrans" cxnId="{DDEC61A3-F5D3-4E79-AD0A-70A0C90A9EE0}">
      <dgm:prSet/>
      <dgm:spPr/>
      <dgm:t>
        <a:bodyPr/>
        <a:lstStyle/>
        <a:p>
          <a:pPr rtl="1"/>
          <a:endParaRPr lang="he-IL"/>
        </a:p>
      </dgm:t>
    </dgm:pt>
    <dgm:pt modelId="{E6EAE956-7614-489A-8150-5D46DDBA814D}" type="sibTrans" cxnId="{DDEC61A3-F5D3-4E79-AD0A-70A0C90A9EE0}">
      <dgm:prSet/>
      <dgm:spPr/>
      <dgm:t>
        <a:bodyPr/>
        <a:lstStyle/>
        <a:p>
          <a:pPr rtl="1"/>
          <a:endParaRPr lang="he-IL"/>
        </a:p>
      </dgm:t>
    </dgm:pt>
    <dgm:pt modelId="{3C042486-C5F5-4A0A-A766-62A5FE11A0E5}">
      <dgm:prSet/>
      <dgm:spPr>
        <a:xfrm>
          <a:off x="1425842" y="1579126"/>
          <a:ext cx="1127928" cy="676757"/>
        </a:xfrm>
        <a:solidFill>
          <a:srgbClr val="C0504D">
            <a:shade val="80000"/>
            <a:hueOff val="-23061"/>
            <a:satOff val="-2587"/>
            <a:lumOff val="16509"/>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36- ירידת ערך נכסים</a:t>
          </a:r>
        </a:p>
      </dgm:t>
    </dgm:pt>
    <dgm:pt modelId="{0D4B7BC6-11CE-412C-9877-2D8A11437884}" type="parTrans" cxnId="{3E1524AA-95C7-4DB2-B87F-E959293D75D4}">
      <dgm:prSet/>
      <dgm:spPr/>
      <dgm:t>
        <a:bodyPr/>
        <a:lstStyle/>
        <a:p>
          <a:pPr rtl="1"/>
          <a:endParaRPr lang="he-IL"/>
        </a:p>
      </dgm:t>
    </dgm:pt>
    <dgm:pt modelId="{B8AAA5DC-426F-4F71-868E-2B82C714D84F}" type="sibTrans" cxnId="{3E1524AA-95C7-4DB2-B87F-E959293D75D4}">
      <dgm:prSet/>
      <dgm:spPr/>
      <dgm:t>
        <a:bodyPr/>
        <a:lstStyle/>
        <a:p>
          <a:pPr rtl="1"/>
          <a:endParaRPr lang="he-IL"/>
        </a:p>
      </dgm:t>
    </dgm:pt>
    <dgm:pt modelId="{883EC3DB-7395-4A7F-850E-F4DF72E902B1}">
      <dgm:prSet/>
      <dgm:spPr>
        <a:xfrm>
          <a:off x="2666563" y="1579126"/>
          <a:ext cx="1127928" cy="676757"/>
        </a:xfrm>
        <a:solidFill>
          <a:srgbClr val="C0504D">
            <a:shade val="80000"/>
            <a:hueOff val="-25623"/>
            <a:satOff val="-2874"/>
            <a:lumOff val="18343"/>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35- דוחות כספיים מאוחדים </a:t>
          </a:r>
        </a:p>
      </dgm:t>
    </dgm:pt>
    <dgm:pt modelId="{4FE019D2-D405-42AB-ADC0-8F4E694D9716}" type="parTrans" cxnId="{43241B20-CBBC-4F8B-8D6F-9D63A5655E25}">
      <dgm:prSet/>
      <dgm:spPr/>
      <dgm:t>
        <a:bodyPr/>
        <a:lstStyle/>
        <a:p>
          <a:pPr rtl="1"/>
          <a:endParaRPr lang="he-IL"/>
        </a:p>
      </dgm:t>
    </dgm:pt>
    <dgm:pt modelId="{E9C26B16-7E80-4BB2-A3EA-5ED0B4D8C98B}" type="sibTrans" cxnId="{43241B20-CBBC-4F8B-8D6F-9D63A5655E25}">
      <dgm:prSet/>
      <dgm:spPr/>
      <dgm:t>
        <a:bodyPr/>
        <a:lstStyle/>
        <a:p>
          <a:pPr rtl="1"/>
          <a:endParaRPr lang="he-IL"/>
        </a:p>
      </dgm:t>
    </dgm:pt>
    <dgm:pt modelId="{5268F6DE-4A37-42C9-BB7A-18E0CD4DF22C}">
      <dgm:prSet/>
      <dgm:spPr>
        <a:xfrm>
          <a:off x="3907285" y="1579126"/>
          <a:ext cx="1127928" cy="676757"/>
        </a:xfrm>
        <a:solidFill>
          <a:srgbClr val="C0504D">
            <a:shade val="80000"/>
            <a:hueOff val="-28185"/>
            <a:satOff val="-3162"/>
            <a:lumOff val="20177"/>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34- דוחות כספיים נפרדים </a:t>
          </a:r>
        </a:p>
      </dgm:t>
    </dgm:pt>
    <dgm:pt modelId="{BE1FEB9D-C51F-4A82-A1FA-0AB556CAE6D3}" type="parTrans" cxnId="{B02006CA-F28E-4A56-9B39-220B41B7BE74}">
      <dgm:prSet/>
      <dgm:spPr/>
      <dgm:t>
        <a:bodyPr/>
        <a:lstStyle/>
        <a:p>
          <a:pPr rtl="1"/>
          <a:endParaRPr lang="he-IL"/>
        </a:p>
      </dgm:t>
    </dgm:pt>
    <dgm:pt modelId="{B7477FD2-3385-426C-9171-4BC52C3BDCA4}" type="sibTrans" cxnId="{B02006CA-F28E-4A56-9B39-220B41B7BE74}">
      <dgm:prSet/>
      <dgm:spPr/>
      <dgm:t>
        <a:bodyPr/>
        <a:lstStyle/>
        <a:p>
          <a:pPr rtl="1"/>
          <a:endParaRPr lang="he-IL"/>
        </a:p>
      </dgm:t>
    </dgm:pt>
    <dgm:pt modelId="{697FF47B-0F70-447F-A47C-511EE23B258E}">
      <dgm:prSet/>
      <dgm:spPr>
        <a:xfrm>
          <a:off x="805481" y="2368676"/>
          <a:ext cx="1127928" cy="676757"/>
        </a:xfrm>
        <a:solidFill>
          <a:srgbClr val="C0504D">
            <a:shade val="80000"/>
            <a:hueOff val="-30747"/>
            <a:satOff val="-3449"/>
            <a:lumOff val="22011"/>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40- צירופי עסקים</a:t>
          </a:r>
        </a:p>
      </dgm:t>
    </dgm:pt>
    <dgm:pt modelId="{A2A0A4CC-43D1-41F5-B1D0-C35B93A45A5D}" type="parTrans" cxnId="{8BEF82FA-A6EA-4C80-BF87-BE848E61D60A}">
      <dgm:prSet/>
      <dgm:spPr/>
      <dgm:t>
        <a:bodyPr/>
        <a:lstStyle/>
        <a:p>
          <a:pPr rtl="1"/>
          <a:endParaRPr lang="he-IL"/>
        </a:p>
      </dgm:t>
    </dgm:pt>
    <dgm:pt modelId="{175A16AA-F8DD-4E65-9E03-014445CF2AD2}" type="sibTrans" cxnId="{8BEF82FA-A6EA-4C80-BF87-BE848E61D60A}">
      <dgm:prSet/>
      <dgm:spPr/>
      <dgm:t>
        <a:bodyPr/>
        <a:lstStyle/>
        <a:p>
          <a:pPr rtl="1"/>
          <a:endParaRPr lang="he-IL"/>
        </a:p>
      </dgm:t>
    </dgm:pt>
    <dgm:pt modelId="{59ADFC0A-8744-4D55-975E-E39DEDB13D13}">
      <dgm:prSet/>
      <dgm:spPr>
        <a:xfrm>
          <a:off x="2046203" y="2368676"/>
          <a:ext cx="1127928" cy="676757"/>
        </a:xfrm>
        <a:solidFill>
          <a:srgbClr val="C0504D">
            <a:shade val="80000"/>
            <a:hueOff val="-33310"/>
            <a:satOff val="-3737"/>
            <a:lumOff val="23846"/>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a:solidFill>
                <a:sysClr val="window" lastClr="FFFFFF"/>
              </a:solidFill>
              <a:latin typeface="Calibri"/>
              <a:ea typeface="+mn-ea"/>
              <a:cs typeface="Arial" panose="020B0604020202020204" pitchFamily="34" charset="0"/>
            </a:rPr>
            <a:t>תקן חשבונאות מספר 39- הטבות לעובד</a:t>
          </a:r>
        </a:p>
      </dgm:t>
    </dgm:pt>
    <dgm:pt modelId="{E8B1E0BC-203D-48C2-B8CA-5EE44DC0EF38}" type="parTrans" cxnId="{0F106660-FF97-4DB1-9090-98245484B8DA}">
      <dgm:prSet/>
      <dgm:spPr/>
      <dgm:t>
        <a:bodyPr/>
        <a:lstStyle/>
        <a:p>
          <a:pPr rtl="1"/>
          <a:endParaRPr lang="he-IL"/>
        </a:p>
      </dgm:t>
    </dgm:pt>
    <dgm:pt modelId="{857F5154-BA29-4175-AD37-B1A8C3310CC6}" type="sibTrans" cxnId="{0F106660-FF97-4DB1-9090-98245484B8DA}">
      <dgm:prSet/>
      <dgm:spPr/>
      <dgm:t>
        <a:bodyPr/>
        <a:lstStyle/>
        <a:p>
          <a:pPr rtl="1"/>
          <a:endParaRPr lang="he-IL"/>
        </a:p>
      </dgm:t>
    </dgm:pt>
    <dgm:pt modelId="{551A1A27-99F8-437D-AED6-34F2239E4810}" type="pres">
      <dgm:prSet presAssocID="{44B1210B-08EC-4DB5-9906-7D35E9928D14}" presName="diagram" presStyleCnt="0">
        <dgm:presLayoutVars>
          <dgm:dir/>
          <dgm:resizeHandles val="exact"/>
        </dgm:presLayoutVars>
      </dgm:prSet>
      <dgm:spPr/>
    </dgm:pt>
    <dgm:pt modelId="{AA57D0B9-DA3D-4C0D-B71B-C8238D305BD1}" type="pres">
      <dgm:prSet presAssocID="{1CCF8F5D-78DC-48BE-9FB0-93B1A1CFEE74}" presName="node" presStyleLbl="node1" presStyleIdx="0" presStyleCnt="15">
        <dgm:presLayoutVars>
          <dgm:bulletEnabled val="1"/>
        </dgm:presLayoutVars>
      </dgm:prSet>
      <dgm:spPr>
        <a:prstGeom prst="rect">
          <a:avLst/>
        </a:prstGeom>
      </dgm:spPr>
    </dgm:pt>
    <dgm:pt modelId="{37DB24D9-793E-4A73-A3B3-5265DBD01EFC}" type="pres">
      <dgm:prSet presAssocID="{7630D501-8179-49A3-8AC0-668BC72F3A9A}" presName="sibTrans" presStyleCnt="0"/>
      <dgm:spPr/>
    </dgm:pt>
    <dgm:pt modelId="{CBF71386-63A6-470F-8479-3219664D89FF}" type="pres">
      <dgm:prSet presAssocID="{7F29F734-86D7-4440-847E-C376F9CE085D}" presName="node" presStyleLbl="node1" presStyleIdx="1" presStyleCnt="15">
        <dgm:presLayoutVars>
          <dgm:bulletEnabled val="1"/>
        </dgm:presLayoutVars>
      </dgm:prSet>
      <dgm:spPr>
        <a:prstGeom prst="rect">
          <a:avLst/>
        </a:prstGeom>
      </dgm:spPr>
    </dgm:pt>
    <dgm:pt modelId="{3C70E8E7-90EE-4B35-93CC-6059A5DDD9AF}" type="pres">
      <dgm:prSet presAssocID="{8BC4F71F-05DD-4E12-8D68-2FA38D7F3956}" presName="sibTrans" presStyleCnt="0"/>
      <dgm:spPr/>
    </dgm:pt>
    <dgm:pt modelId="{93491FDD-6C54-478B-B22F-53FC6196456D}" type="pres">
      <dgm:prSet presAssocID="{4490237B-52E9-4097-99D4-A1E9D1CDDAF9}" presName="node" presStyleLbl="node1" presStyleIdx="2" presStyleCnt="15">
        <dgm:presLayoutVars>
          <dgm:bulletEnabled val="1"/>
        </dgm:presLayoutVars>
      </dgm:prSet>
      <dgm:spPr>
        <a:prstGeom prst="rect">
          <a:avLst/>
        </a:prstGeom>
      </dgm:spPr>
    </dgm:pt>
    <dgm:pt modelId="{4A0DC245-AC8F-4436-8375-4468CDFDEC65}" type="pres">
      <dgm:prSet presAssocID="{0AE893B4-4C1F-43E2-A964-56494559BB63}" presName="sibTrans" presStyleCnt="0"/>
      <dgm:spPr/>
    </dgm:pt>
    <dgm:pt modelId="{E26A1221-3AD3-42BE-927D-90B7DDFA4D4B}" type="pres">
      <dgm:prSet presAssocID="{7717F12A-0A64-4D9F-B9FD-397C4348453D}" presName="node" presStyleLbl="node1" presStyleIdx="3" presStyleCnt="15">
        <dgm:presLayoutVars>
          <dgm:bulletEnabled val="1"/>
        </dgm:presLayoutVars>
      </dgm:prSet>
      <dgm:spPr>
        <a:prstGeom prst="rect">
          <a:avLst/>
        </a:prstGeom>
      </dgm:spPr>
    </dgm:pt>
    <dgm:pt modelId="{B8DCD109-19C2-4958-9D28-62D413E29A54}" type="pres">
      <dgm:prSet presAssocID="{9D773B70-5200-401C-8604-7AFE2547CE33}" presName="sibTrans" presStyleCnt="0"/>
      <dgm:spPr/>
    </dgm:pt>
    <dgm:pt modelId="{B9089407-EE48-4E40-8E4B-CABE33C78A3C}" type="pres">
      <dgm:prSet presAssocID="{55CC5D2B-CB86-49E2-8287-9BF46BCAB26D}" presName="node" presStyleLbl="node1" presStyleIdx="4" presStyleCnt="15">
        <dgm:presLayoutVars>
          <dgm:bulletEnabled val="1"/>
        </dgm:presLayoutVars>
      </dgm:prSet>
      <dgm:spPr>
        <a:prstGeom prst="rect">
          <a:avLst/>
        </a:prstGeom>
      </dgm:spPr>
    </dgm:pt>
    <dgm:pt modelId="{16895826-2904-44F2-B6D1-76C5A494AA7E}" type="pres">
      <dgm:prSet presAssocID="{BACC255E-EB4A-4ED1-9E02-F3098E99F241}" presName="sibTrans" presStyleCnt="0"/>
      <dgm:spPr/>
    </dgm:pt>
    <dgm:pt modelId="{C7B1EF0C-107B-4B09-8C9E-BD09336F77AA}" type="pres">
      <dgm:prSet presAssocID="{7F898D79-C686-4253-91FB-80F1F360D0F5}" presName="node" presStyleLbl="node1" presStyleIdx="5" presStyleCnt="15">
        <dgm:presLayoutVars>
          <dgm:bulletEnabled val="1"/>
        </dgm:presLayoutVars>
      </dgm:prSet>
      <dgm:spPr>
        <a:prstGeom prst="rect">
          <a:avLst/>
        </a:prstGeom>
      </dgm:spPr>
    </dgm:pt>
    <dgm:pt modelId="{28B8973D-1E2F-4E72-8E54-8A77FAB62483}" type="pres">
      <dgm:prSet presAssocID="{9EEE4D9F-5236-499D-B812-6FB5AA9A6E6E}" presName="sibTrans" presStyleCnt="0"/>
      <dgm:spPr/>
    </dgm:pt>
    <dgm:pt modelId="{E3E3507B-84A9-4DFE-A25C-D55E16AD9634}" type="pres">
      <dgm:prSet presAssocID="{B1989653-C0E7-4C39-976B-00D00E4A12BC}" presName="node" presStyleLbl="node1" presStyleIdx="6" presStyleCnt="15">
        <dgm:presLayoutVars>
          <dgm:bulletEnabled val="1"/>
        </dgm:presLayoutVars>
      </dgm:prSet>
      <dgm:spPr>
        <a:prstGeom prst="rect">
          <a:avLst/>
        </a:prstGeom>
      </dgm:spPr>
    </dgm:pt>
    <dgm:pt modelId="{8FCF8BD6-5799-4627-B96B-AFFCB15C585B}" type="pres">
      <dgm:prSet presAssocID="{039F1208-3770-4992-BCD5-F8FE9B87719C}" presName="sibTrans" presStyleCnt="0"/>
      <dgm:spPr/>
    </dgm:pt>
    <dgm:pt modelId="{F0E6D461-A5CD-4A26-861A-41352FE2C4F9}" type="pres">
      <dgm:prSet presAssocID="{AED66EE1-49EF-46FC-B67B-69002232E2E6}" presName="node" presStyleLbl="node1" presStyleIdx="7" presStyleCnt="15">
        <dgm:presLayoutVars>
          <dgm:bulletEnabled val="1"/>
        </dgm:presLayoutVars>
      </dgm:prSet>
      <dgm:spPr>
        <a:prstGeom prst="rect">
          <a:avLst/>
        </a:prstGeom>
      </dgm:spPr>
    </dgm:pt>
    <dgm:pt modelId="{A18A5A23-678C-4F92-95A9-1A8D44E35BB5}" type="pres">
      <dgm:prSet presAssocID="{F7E57BC2-8832-4FF1-AAC3-B525E8A59D36}" presName="sibTrans" presStyleCnt="0"/>
      <dgm:spPr/>
    </dgm:pt>
    <dgm:pt modelId="{FA16ACB5-CB39-4AC1-8A21-DA62BFB365C6}" type="pres">
      <dgm:prSet presAssocID="{32030E7B-C223-41A2-9C09-962212731A0B}" presName="node" presStyleLbl="node1" presStyleIdx="8" presStyleCnt="15">
        <dgm:presLayoutVars>
          <dgm:bulletEnabled val="1"/>
        </dgm:presLayoutVars>
      </dgm:prSet>
      <dgm:spPr>
        <a:prstGeom prst="rect">
          <a:avLst/>
        </a:prstGeom>
      </dgm:spPr>
    </dgm:pt>
    <dgm:pt modelId="{60CE65F8-DA45-4E98-99C1-A00B827BD7BD}" type="pres">
      <dgm:prSet presAssocID="{E6EAE956-7614-489A-8150-5D46DDBA814D}" presName="sibTrans" presStyleCnt="0"/>
      <dgm:spPr/>
    </dgm:pt>
    <dgm:pt modelId="{AADF4A9A-F53F-4B5B-8AB3-062955AF747A}" type="pres">
      <dgm:prSet presAssocID="{3C042486-C5F5-4A0A-A766-62A5FE11A0E5}" presName="node" presStyleLbl="node1" presStyleIdx="9" presStyleCnt="15">
        <dgm:presLayoutVars>
          <dgm:bulletEnabled val="1"/>
        </dgm:presLayoutVars>
      </dgm:prSet>
      <dgm:spPr>
        <a:prstGeom prst="rect">
          <a:avLst/>
        </a:prstGeom>
      </dgm:spPr>
    </dgm:pt>
    <dgm:pt modelId="{EB9E432F-FFDE-4504-A0E7-1699FDAFDA5C}" type="pres">
      <dgm:prSet presAssocID="{B8AAA5DC-426F-4F71-868E-2B82C714D84F}" presName="sibTrans" presStyleCnt="0"/>
      <dgm:spPr/>
    </dgm:pt>
    <dgm:pt modelId="{BE0C9925-A08B-42E4-8F67-823CF0189E84}" type="pres">
      <dgm:prSet presAssocID="{883EC3DB-7395-4A7F-850E-F4DF72E902B1}" presName="node" presStyleLbl="node1" presStyleIdx="10" presStyleCnt="15">
        <dgm:presLayoutVars>
          <dgm:bulletEnabled val="1"/>
        </dgm:presLayoutVars>
      </dgm:prSet>
      <dgm:spPr>
        <a:prstGeom prst="rect">
          <a:avLst/>
        </a:prstGeom>
      </dgm:spPr>
    </dgm:pt>
    <dgm:pt modelId="{B90DF47B-9673-497B-BFEC-0A07E54969D9}" type="pres">
      <dgm:prSet presAssocID="{E9C26B16-7E80-4BB2-A3EA-5ED0B4D8C98B}" presName="sibTrans" presStyleCnt="0"/>
      <dgm:spPr/>
    </dgm:pt>
    <dgm:pt modelId="{BD27A482-969A-45CF-BCD0-4EF8A2A828A8}" type="pres">
      <dgm:prSet presAssocID="{5268F6DE-4A37-42C9-BB7A-18E0CD4DF22C}" presName="node" presStyleLbl="node1" presStyleIdx="11" presStyleCnt="15">
        <dgm:presLayoutVars>
          <dgm:bulletEnabled val="1"/>
        </dgm:presLayoutVars>
      </dgm:prSet>
      <dgm:spPr>
        <a:prstGeom prst="rect">
          <a:avLst/>
        </a:prstGeom>
      </dgm:spPr>
    </dgm:pt>
    <dgm:pt modelId="{3DCD7214-926C-4B07-8C20-C9D925A4CF90}" type="pres">
      <dgm:prSet presAssocID="{B7477FD2-3385-426C-9171-4BC52C3BDCA4}" presName="sibTrans" presStyleCnt="0"/>
      <dgm:spPr/>
    </dgm:pt>
    <dgm:pt modelId="{938A5CE2-2068-478B-BBB7-21D4F30592FE}" type="pres">
      <dgm:prSet presAssocID="{697FF47B-0F70-447F-A47C-511EE23B258E}" presName="node" presStyleLbl="node1" presStyleIdx="12" presStyleCnt="15">
        <dgm:presLayoutVars>
          <dgm:bulletEnabled val="1"/>
        </dgm:presLayoutVars>
      </dgm:prSet>
      <dgm:spPr>
        <a:prstGeom prst="rect">
          <a:avLst/>
        </a:prstGeom>
      </dgm:spPr>
    </dgm:pt>
    <dgm:pt modelId="{ED45924A-49B3-4D06-99D0-D96B7056D7BD}" type="pres">
      <dgm:prSet presAssocID="{175A16AA-F8DD-4E65-9E03-014445CF2AD2}" presName="sibTrans" presStyleCnt="0"/>
      <dgm:spPr/>
    </dgm:pt>
    <dgm:pt modelId="{1E74DF3A-F010-4A98-A062-B7ED9ED0AB52}" type="pres">
      <dgm:prSet presAssocID="{59ADFC0A-8744-4D55-975E-E39DEDB13D13}" presName="node" presStyleLbl="node1" presStyleIdx="13" presStyleCnt="15">
        <dgm:presLayoutVars>
          <dgm:bulletEnabled val="1"/>
        </dgm:presLayoutVars>
      </dgm:prSet>
      <dgm:spPr>
        <a:prstGeom prst="rect">
          <a:avLst/>
        </a:prstGeom>
      </dgm:spPr>
    </dgm:pt>
    <dgm:pt modelId="{5A828025-CA91-4C11-82CC-015F58A8A7B7}" type="pres">
      <dgm:prSet presAssocID="{857F5154-BA29-4175-AD37-B1A8C3310CC6}" presName="sibTrans" presStyleCnt="0"/>
      <dgm:spPr/>
    </dgm:pt>
    <dgm:pt modelId="{71D0D491-E5BA-42BB-B15A-7AFC34F80ADD}" type="pres">
      <dgm:prSet presAssocID="{6722555C-D7F6-4FF4-B8AE-A73E7D4BA0E6}" presName="node" presStyleLbl="node1" presStyleIdx="14" presStyleCnt="15">
        <dgm:presLayoutVars>
          <dgm:bulletEnabled val="1"/>
        </dgm:presLayoutVars>
      </dgm:prSet>
      <dgm:spPr>
        <a:prstGeom prst="rect">
          <a:avLst/>
        </a:prstGeom>
      </dgm:spPr>
    </dgm:pt>
  </dgm:ptLst>
  <dgm:cxnLst>
    <dgm:cxn modelId="{5A81360A-86B8-4CB6-8E3E-4C686F45ADEE}" type="presOf" srcId="{AED66EE1-49EF-46FC-B67B-69002232E2E6}" destId="{F0E6D461-A5CD-4A26-861A-41352FE2C4F9}" srcOrd="0" destOrd="0" presId="urn:microsoft.com/office/officeart/2005/8/layout/default#1"/>
    <dgm:cxn modelId="{2A06FE0A-76B8-4ECF-888E-F65D70B24DF4}" type="presOf" srcId="{697FF47B-0F70-447F-A47C-511EE23B258E}" destId="{938A5CE2-2068-478B-BBB7-21D4F30592FE}" srcOrd="0" destOrd="0" presId="urn:microsoft.com/office/officeart/2005/8/layout/default#1"/>
    <dgm:cxn modelId="{2EDAEC1B-C30F-48C1-92A8-50148CA84976}" type="presOf" srcId="{32030E7B-C223-41A2-9C09-962212731A0B}" destId="{FA16ACB5-CB39-4AC1-8A21-DA62BFB365C6}" srcOrd="0" destOrd="0" presId="urn:microsoft.com/office/officeart/2005/8/layout/default#1"/>
    <dgm:cxn modelId="{43241B20-CBBC-4F8B-8D6F-9D63A5655E25}" srcId="{44B1210B-08EC-4DB5-9906-7D35E9928D14}" destId="{883EC3DB-7395-4A7F-850E-F4DF72E902B1}" srcOrd="10" destOrd="0" parTransId="{4FE019D2-D405-42AB-ADC0-8F4E694D9716}" sibTransId="{E9C26B16-7E80-4BB2-A3EA-5ED0B4D8C98B}"/>
    <dgm:cxn modelId="{2F781C21-FC38-4D5F-8B2A-136005BBBE7B}" srcId="{44B1210B-08EC-4DB5-9906-7D35E9928D14}" destId="{4490237B-52E9-4097-99D4-A1E9D1CDDAF9}" srcOrd="2" destOrd="0" parTransId="{8E6E04FC-D258-4472-8EDB-56A4EAB22E02}" sibTransId="{0AE893B4-4C1F-43E2-A964-56494559BB63}"/>
    <dgm:cxn modelId="{BBE1202F-9180-44A1-9756-6334C882E560}" type="presOf" srcId="{7F29F734-86D7-4440-847E-C376F9CE085D}" destId="{CBF71386-63A6-470F-8479-3219664D89FF}" srcOrd="0" destOrd="0" presId="urn:microsoft.com/office/officeart/2005/8/layout/default#1"/>
    <dgm:cxn modelId="{5D08952F-1EEE-41BE-BB6D-80EECEAE6402}" type="presOf" srcId="{7F898D79-C686-4253-91FB-80F1F360D0F5}" destId="{C7B1EF0C-107B-4B09-8C9E-BD09336F77AA}" srcOrd="0" destOrd="0" presId="urn:microsoft.com/office/officeart/2005/8/layout/default#1"/>
    <dgm:cxn modelId="{7EEBC530-47C7-4E12-A052-4DA1C9718D6A}" srcId="{44B1210B-08EC-4DB5-9906-7D35E9928D14}" destId="{7F29F734-86D7-4440-847E-C376F9CE085D}" srcOrd="1" destOrd="0" parTransId="{5F13C151-D3CD-47F8-B6CA-C457BBE10761}" sibTransId="{8BC4F71F-05DD-4E12-8D68-2FA38D7F3956}"/>
    <dgm:cxn modelId="{1C10E030-0338-44F2-BEEB-DFB0883F1173}" srcId="{44B1210B-08EC-4DB5-9906-7D35E9928D14}" destId="{6722555C-D7F6-4FF4-B8AE-A73E7D4BA0E6}" srcOrd="14" destOrd="0" parTransId="{3EA93012-023F-4D19-8EA6-9AFA99F3758F}" sibTransId="{9EB43AEB-A8DB-4174-BC3F-CDB3881B1772}"/>
    <dgm:cxn modelId="{CCD4D433-4D85-4FB8-83C3-71057800B28B}" type="presOf" srcId="{44B1210B-08EC-4DB5-9906-7D35E9928D14}" destId="{551A1A27-99F8-437D-AED6-34F2239E4810}" srcOrd="0" destOrd="0" presId="urn:microsoft.com/office/officeart/2005/8/layout/default#1"/>
    <dgm:cxn modelId="{B97B3B39-00DA-48EC-90B3-D3A612C50388}" srcId="{44B1210B-08EC-4DB5-9906-7D35E9928D14}" destId="{7F898D79-C686-4253-91FB-80F1F360D0F5}" srcOrd="5" destOrd="0" parTransId="{407E9E32-4AE6-4A33-A790-3A397E33C62B}" sibTransId="{9EEE4D9F-5236-499D-B812-6FB5AA9A6E6E}"/>
    <dgm:cxn modelId="{0F106660-FF97-4DB1-9090-98245484B8DA}" srcId="{44B1210B-08EC-4DB5-9906-7D35E9928D14}" destId="{59ADFC0A-8744-4D55-975E-E39DEDB13D13}" srcOrd="13" destOrd="0" parTransId="{E8B1E0BC-203D-48C2-B8CA-5EE44DC0EF38}" sibTransId="{857F5154-BA29-4175-AD37-B1A8C3310CC6}"/>
    <dgm:cxn modelId="{B01DCF69-32BD-4046-A3F0-98DF49BEDF20}" srcId="{44B1210B-08EC-4DB5-9906-7D35E9928D14}" destId="{7717F12A-0A64-4D9F-B9FD-397C4348453D}" srcOrd="3" destOrd="0" parTransId="{E76AA55F-ECF0-41B0-8595-B7C845E06229}" sibTransId="{9D773B70-5200-401C-8604-7AFE2547CE33}"/>
    <dgm:cxn modelId="{FADCF251-0EBC-4EB0-AF82-72CA9A31725F}" srcId="{44B1210B-08EC-4DB5-9906-7D35E9928D14}" destId="{55CC5D2B-CB86-49E2-8287-9BF46BCAB26D}" srcOrd="4" destOrd="0" parTransId="{109578DB-E143-44D7-B04F-B098F0FCF824}" sibTransId="{BACC255E-EB4A-4ED1-9E02-F3098E99F241}"/>
    <dgm:cxn modelId="{BFC1EE7C-95BC-47BB-9E91-A70D5DF9BCDB}" type="presOf" srcId="{883EC3DB-7395-4A7F-850E-F4DF72E902B1}" destId="{BE0C9925-A08B-42E4-8F67-823CF0189E84}" srcOrd="0" destOrd="0" presId="urn:microsoft.com/office/officeart/2005/8/layout/default#1"/>
    <dgm:cxn modelId="{44C59982-8BFE-4690-9F20-E190C42B67F0}" srcId="{44B1210B-08EC-4DB5-9906-7D35E9928D14}" destId="{B1989653-C0E7-4C39-976B-00D00E4A12BC}" srcOrd="6" destOrd="0" parTransId="{656B8B88-706C-4690-8239-38BE445C8365}" sibTransId="{039F1208-3770-4992-BCD5-F8FE9B87719C}"/>
    <dgm:cxn modelId="{EF7C0D8B-67E7-440D-B956-07A8C0A56456}" type="presOf" srcId="{55CC5D2B-CB86-49E2-8287-9BF46BCAB26D}" destId="{B9089407-EE48-4E40-8E4B-CABE33C78A3C}" srcOrd="0" destOrd="0" presId="urn:microsoft.com/office/officeart/2005/8/layout/default#1"/>
    <dgm:cxn modelId="{BAA73E9C-3A89-44D8-95F6-F0DC01BE63B2}" type="presOf" srcId="{4490237B-52E9-4097-99D4-A1E9D1CDDAF9}" destId="{93491FDD-6C54-478B-B22F-53FC6196456D}" srcOrd="0" destOrd="0" presId="urn:microsoft.com/office/officeart/2005/8/layout/default#1"/>
    <dgm:cxn modelId="{8F7818A1-9372-44F5-A1A9-6CCF859A319A}" srcId="{44B1210B-08EC-4DB5-9906-7D35E9928D14}" destId="{AED66EE1-49EF-46FC-B67B-69002232E2E6}" srcOrd="7" destOrd="0" parTransId="{463FFCE8-E140-4DBB-B533-6A20BEEA515C}" sibTransId="{F7E57BC2-8832-4FF1-AAC3-B525E8A59D36}"/>
    <dgm:cxn modelId="{DDEC61A3-F5D3-4E79-AD0A-70A0C90A9EE0}" srcId="{44B1210B-08EC-4DB5-9906-7D35E9928D14}" destId="{32030E7B-C223-41A2-9C09-962212731A0B}" srcOrd="8" destOrd="0" parTransId="{1A2AF3A1-BC7F-4140-A1CB-11BA2B8A15D4}" sibTransId="{E6EAE956-7614-489A-8150-5D46DDBA814D}"/>
    <dgm:cxn modelId="{204C75A4-0FDA-4B34-A27B-2A155197B975}" type="presOf" srcId="{59ADFC0A-8744-4D55-975E-E39DEDB13D13}" destId="{1E74DF3A-F010-4A98-A062-B7ED9ED0AB52}" srcOrd="0" destOrd="0" presId="urn:microsoft.com/office/officeart/2005/8/layout/default#1"/>
    <dgm:cxn modelId="{1F71BCA8-4A75-439C-9F3C-21DEC6B0B62A}" type="presOf" srcId="{B1989653-C0E7-4C39-976B-00D00E4A12BC}" destId="{E3E3507B-84A9-4DFE-A25C-D55E16AD9634}" srcOrd="0" destOrd="0" presId="urn:microsoft.com/office/officeart/2005/8/layout/default#1"/>
    <dgm:cxn modelId="{3E1524AA-95C7-4DB2-B87F-E959293D75D4}" srcId="{44B1210B-08EC-4DB5-9906-7D35E9928D14}" destId="{3C042486-C5F5-4A0A-A766-62A5FE11A0E5}" srcOrd="9" destOrd="0" parTransId="{0D4B7BC6-11CE-412C-9877-2D8A11437884}" sibTransId="{B8AAA5DC-426F-4F71-868E-2B82C714D84F}"/>
    <dgm:cxn modelId="{676E89AB-44C5-415F-A5A5-334BA1771237}" type="presOf" srcId="{6722555C-D7F6-4FF4-B8AE-A73E7D4BA0E6}" destId="{71D0D491-E5BA-42BB-B15A-7AFC34F80ADD}" srcOrd="0" destOrd="0" presId="urn:microsoft.com/office/officeart/2005/8/layout/default#1"/>
    <dgm:cxn modelId="{B02006CA-F28E-4A56-9B39-220B41B7BE74}" srcId="{44B1210B-08EC-4DB5-9906-7D35E9928D14}" destId="{5268F6DE-4A37-42C9-BB7A-18E0CD4DF22C}" srcOrd="11" destOrd="0" parTransId="{BE1FEB9D-C51F-4A82-A1FA-0AB556CAE6D3}" sibTransId="{B7477FD2-3385-426C-9171-4BC52C3BDCA4}"/>
    <dgm:cxn modelId="{0C2787D7-5A78-4653-97B0-06952ACDB8E7}" type="presOf" srcId="{5268F6DE-4A37-42C9-BB7A-18E0CD4DF22C}" destId="{BD27A482-969A-45CF-BCD0-4EF8A2A828A8}" srcOrd="0" destOrd="0" presId="urn:microsoft.com/office/officeart/2005/8/layout/default#1"/>
    <dgm:cxn modelId="{4BCE29D8-0C02-4D13-BB6E-ACFB0FDFA245}" type="presOf" srcId="{7717F12A-0A64-4D9F-B9FD-397C4348453D}" destId="{E26A1221-3AD3-42BE-927D-90B7DDFA4D4B}" srcOrd="0" destOrd="0" presId="urn:microsoft.com/office/officeart/2005/8/layout/default#1"/>
    <dgm:cxn modelId="{E60391EE-88D1-478F-9628-7EB90BD3771B}" type="presOf" srcId="{1CCF8F5D-78DC-48BE-9FB0-93B1A1CFEE74}" destId="{AA57D0B9-DA3D-4C0D-B71B-C8238D305BD1}" srcOrd="0" destOrd="0" presId="urn:microsoft.com/office/officeart/2005/8/layout/default#1"/>
    <dgm:cxn modelId="{EE2500F9-D5F8-40A5-9F96-DDAECFE0147A}" srcId="{44B1210B-08EC-4DB5-9906-7D35E9928D14}" destId="{1CCF8F5D-78DC-48BE-9FB0-93B1A1CFEE74}" srcOrd="0" destOrd="0" parTransId="{4BBD378A-3FDC-459C-997E-4C456EDCBE54}" sibTransId="{7630D501-8179-49A3-8AC0-668BC72F3A9A}"/>
    <dgm:cxn modelId="{D3056EFA-BFAD-4B09-85ED-3138D6951D74}" type="presOf" srcId="{3C042486-C5F5-4A0A-A766-62A5FE11A0E5}" destId="{AADF4A9A-F53F-4B5B-8AB3-062955AF747A}" srcOrd="0" destOrd="0" presId="urn:microsoft.com/office/officeart/2005/8/layout/default#1"/>
    <dgm:cxn modelId="{8BEF82FA-A6EA-4C80-BF87-BE848E61D60A}" srcId="{44B1210B-08EC-4DB5-9906-7D35E9928D14}" destId="{697FF47B-0F70-447F-A47C-511EE23B258E}" srcOrd="12" destOrd="0" parTransId="{A2A0A4CC-43D1-41F5-B1D0-C35B93A45A5D}" sibTransId="{175A16AA-F8DD-4E65-9E03-014445CF2AD2}"/>
    <dgm:cxn modelId="{7F9E1491-BFA5-4F45-BEB7-65FF9B51A40D}" type="presParOf" srcId="{551A1A27-99F8-437D-AED6-34F2239E4810}" destId="{AA57D0B9-DA3D-4C0D-B71B-C8238D305BD1}" srcOrd="0" destOrd="0" presId="urn:microsoft.com/office/officeart/2005/8/layout/default#1"/>
    <dgm:cxn modelId="{83678A37-4D99-4ECA-B37D-484E35AE0342}" type="presParOf" srcId="{551A1A27-99F8-437D-AED6-34F2239E4810}" destId="{37DB24D9-793E-4A73-A3B3-5265DBD01EFC}" srcOrd="1" destOrd="0" presId="urn:microsoft.com/office/officeart/2005/8/layout/default#1"/>
    <dgm:cxn modelId="{BDDCE844-8E09-44A4-93C4-BC0B6B4B0226}" type="presParOf" srcId="{551A1A27-99F8-437D-AED6-34F2239E4810}" destId="{CBF71386-63A6-470F-8479-3219664D89FF}" srcOrd="2" destOrd="0" presId="urn:microsoft.com/office/officeart/2005/8/layout/default#1"/>
    <dgm:cxn modelId="{D62B20CA-9334-489A-8424-B38C6E5ED14E}" type="presParOf" srcId="{551A1A27-99F8-437D-AED6-34F2239E4810}" destId="{3C70E8E7-90EE-4B35-93CC-6059A5DDD9AF}" srcOrd="3" destOrd="0" presId="urn:microsoft.com/office/officeart/2005/8/layout/default#1"/>
    <dgm:cxn modelId="{10958CB2-E8CB-47F8-ABAA-8AA996B6E5A9}" type="presParOf" srcId="{551A1A27-99F8-437D-AED6-34F2239E4810}" destId="{93491FDD-6C54-478B-B22F-53FC6196456D}" srcOrd="4" destOrd="0" presId="urn:microsoft.com/office/officeart/2005/8/layout/default#1"/>
    <dgm:cxn modelId="{633E441B-B9C8-4BF5-9F34-0C195BAE327D}" type="presParOf" srcId="{551A1A27-99F8-437D-AED6-34F2239E4810}" destId="{4A0DC245-AC8F-4436-8375-4468CDFDEC65}" srcOrd="5" destOrd="0" presId="urn:microsoft.com/office/officeart/2005/8/layout/default#1"/>
    <dgm:cxn modelId="{69F13E45-BCF0-462D-B751-76CC9FFBC9D1}" type="presParOf" srcId="{551A1A27-99F8-437D-AED6-34F2239E4810}" destId="{E26A1221-3AD3-42BE-927D-90B7DDFA4D4B}" srcOrd="6" destOrd="0" presId="urn:microsoft.com/office/officeart/2005/8/layout/default#1"/>
    <dgm:cxn modelId="{A4730EFD-FB80-4AD0-AF20-C750583EEDE7}" type="presParOf" srcId="{551A1A27-99F8-437D-AED6-34F2239E4810}" destId="{B8DCD109-19C2-4958-9D28-62D413E29A54}" srcOrd="7" destOrd="0" presId="urn:microsoft.com/office/officeart/2005/8/layout/default#1"/>
    <dgm:cxn modelId="{33ED1BD1-C8A5-45D2-9C45-9DDF038036B5}" type="presParOf" srcId="{551A1A27-99F8-437D-AED6-34F2239E4810}" destId="{B9089407-EE48-4E40-8E4B-CABE33C78A3C}" srcOrd="8" destOrd="0" presId="urn:microsoft.com/office/officeart/2005/8/layout/default#1"/>
    <dgm:cxn modelId="{7719FE91-3D60-4B6E-B20E-38F944807426}" type="presParOf" srcId="{551A1A27-99F8-437D-AED6-34F2239E4810}" destId="{16895826-2904-44F2-B6D1-76C5A494AA7E}" srcOrd="9" destOrd="0" presId="urn:microsoft.com/office/officeart/2005/8/layout/default#1"/>
    <dgm:cxn modelId="{286D8346-EF41-4DC7-80BC-20E18EC80FBF}" type="presParOf" srcId="{551A1A27-99F8-437D-AED6-34F2239E4810}" destId="{C7B1EF0C-107B-4B09-8C9E-BD09336F77AA}" srcOrd="10" destOrd="0" presId="urn:microsoft.com/office/officeart/2005/8/layout/default#1"/>
    <dgm:cxn modelId="{B239531A-A390-4A2F-B72A-C6252EA4CB44}" type="presParOf" srcId="{551A1A27-99F8-437D-AED6-34F2239E4810}" destId="{28B8973D-1E2F-4E72-8E54-8A77FAB62483}" srcOrd="11" destOrd="0" presId="urn:microsoft.com/office/officeart/2005/8/layout/default#1"/>
    <dgm:cxn modelId="{E41E987F-1EFA-40F4-98C9-28F4E61BA140}" type="presParOf" srcId="{551A1A27-99F8-437D-AED6-34F2239E4810}" destId="{E3E3507B-84A9-4DFE-A25C-D55E16AD9634}" srcOrd="12" destOrd="0" presId="urn:microsoft.com/office/officeart/2005/8/layout/default#1"/>
    <dgm:cxn modelId="{ACCEA6E2-2207-4DED-BC3A-008ED76BAFBA}" type="presParOf" srcId="{551A1A27-99F8-437D-AED6-34F2239E4810}" destId="{8FCF8BD6-5799-4627-B96B-AFFCB15C585B}" srcOrd="13" destOrd="0" presId="urn:microsoft.com/office/officeart/2005/8/layout/default#1"/>
    <dgm:cxn modelId="{F53CCB2F-81E7-426E-B262-F496F58AD272}" type="presParOf" srcId="{551A1A27-99F8-437D-AED6-34F2239E4810}" destId="{F0E6D461-A5CD-4A26-861A-41352FE2C4F9}" srcOrd="14" destOrd="0" presId="urn:microsoft.com/office/officeart/2005/8/layout/default#1"/>
    <dgm:cxn modelId="{BFB2553B-B299-422E-A49E-B42CCD8E7E91}" type="presParOf" srcId="{551A1A27-99F8-437D-AED6-34F2239E4810}" destId="{A18A5A23-678C-4F92-95A9-1A8D44E35BB5}" srcOrd="15" destOrd="0" presId="urn:microsoft.com/office/officeart/2005/8/layout/default#1"/>
    <dgm:cxn modelId="{87E02BC6-BBAB-44C2-9EAC-CC5773586982}" type="presParOf" srcId="{551A1A27-99F8-437D-AED6-34F2239E4810}" destId="{FA16ACB5-CB39-4AC1-8A21-DA62BFB365C6}" srcOrd="16" destOrd="0" presId="urn:microsoft.com/office/officeart/2005/8/layout/default#1"/>
    <dgm:cxn modelId="{EEEF61D3-7873-4A6D-B4EF-AE61FB58BA6B}" type="presParOf" srcId="{551A1A27-99F8-437D-AED6-34F2239E4810}" destId="{60CE65F8-DA45-4E98-99C1-A00B827BD7BD}" srcOrd="17" destOrd="0" presId="urn:microsoft.com/office/officeart/2005/8/layout/default#1"/>
    <dgm:cxn modelId="{3B41EBA1-A287-4E7E-AF71-1B5E809FD9DA}" type="presParOf" srcId="{551A1A27-99F8-437D-AED6-34F2239E4810}" destId="{AADF4A9A-F53F-4B5B-8AB3-062955AF747A}" srcOrd="18" destOrd="0" presId="urn:microsoft.com/office/officeart/2005/8/layout/default#1"/>
    <dgm:cxn modelId="{DA89CCAA-A3C7-4B40-9841-8DCE1300BA89}" type="presParOf" srcId="{551A1A27-99F8-437D-AED6-34F2239E4810}" destId="{EB9E432F-FFDE-4504-A0E7-1699FDAFDA5C}" srcOrd="19" destOrd="0" presId="urn:microsoft.com/office/officeart/2005/8/layout/default#1"/>
    <dgm:cxn modelId="{D54995FE-146E-47FA-9A5F-A412261B28C6}" type="presParOf" srcId="{551A1A27-99F8-437D-AED6-34F2239E4810}" destId="{BE0C9925-A08B-42E4-8F67-823CF0189E84}" srcOrd="20" destOrd="0" presId="urn:microsoft.com/office/officeart/2005/8/layout/default#1"/>
    <dgm:cxn modelId="{9FD662A9-EE75-4F72-9D3F-B6C8EB0148F9}" type="presParOf" srcId="{551A1A27-99F8-437D-AED6-34F2239E4810}" destId="{B90DF47B-9673-497B-BFEC-0A07E54969D9}" srcOrd="21" destOrd="0" presId="urn:microsoft.com/office/officeart/2005/8/layout/default#1"/>
    <dgm:cxn modelId="{A3CC8076-14B5-4211-B10E-0E7F66FC51E5}" type="presParOf" srcId="{551A1A27-99F8-437D-AED6-34F2239E4810}" destId="{BD27A482-969A-45CF-BCD0-4EF8A2A828A8}" srcOrd="22" destOrd="0" presId="urn:microsoft.com/office/officeart/2005/8/layout/default#1"/>
    <dgm:cxn modelId="{8BDCDE82-C675-49D6-AB2E-758B4EF9C3D3}" type="presParOf" srcId="{551A1A27-99F8-437D-AED6-34F2239E4810}" destId="{3DCD7214-926C-4B07-8C20-C9D925A4CF90}" srcOrd="23" destOrd="0" presId="urn:microsoft.com/office/officeart/2005/8/layout/default#1"/>
    <dgm:cxn modelId="{FB9698F1-B9BE-4442-81BA-BBDC4299A0DB}" type="presParOf" srcId="{551A1A27-99F8-437D-AED6-34F2239E4810}" destId="{938A5CE2-2068-478B-BBB7-21D4F30592FE}" srcOrd="24" destOrd="0" presId="urn:microsoft.com/office/officeart/2005/8/layout/default#1"/>
    <dgm:cxn modelId="{A9588BD4-8DC6-4461-BF76-6A624DD4887C}" type="presParOf" srcId="{551A1A27-99F8-437D-AED6-34F2239E4810}" destId="{ED45924A-49B3-4D06-99D0-D96B7056D7BD}" srcOrd="25" destOrd="0" presId="urn:microsoft.com/office/officeart/2005/8/layout/default#1"/>
    <dgm:cxn modelId="{6ADE451C-CE72-45BE-890E-7977454CBF0F}" type="presParOf" srcId="{551A1A27-99F8-437D-AED6-34F2239E4810}" destId="{1E74DF3A-F010-4A98-A062-B7ED9ED0AB52}" srcOrd="26" destOrd="0" presId="urn:microsoft.com/office/officeart/2005/8/layout/default#1"/>
    <dgm:cxn modelId="{567C6E71-FB1F-4F45-9085-0484617F3EB1}" type="presParOf" srcId="{551A1A27-99F8-437D-AED6-34F2239E4810}" destId="{5A828025-CA91-4C11-82CC-015F58A8A7B7}" srcOrd="27" destOrd="0" presId="urn:microsoft.com/office/officeart/2005/8/layout/default#1"/>
    <dgm:cxn modelId="{053428A1-3BC6-4ABA-AA27-B2652F3E4920}" type="presParOf" srcId="{551A1A27-99F8-437D-AED6-34F2239E4810}" destId="{71D0D491-E5BA-42BB-B15A-7AFC34F80ADD}" srcOrd="28" destOrd="0" presId="urn:microsoft.com/office/officeart/2005/8/layout/defaul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3C2B34-70AD-4F4F-B754-63EE1341BA32}" type="doc">
      <dgm:prSet loTypeId="urn:microsoft.com/office/officeart/2005/8/layout/default#2" loCatId="list" qsTypeId="urn:microsoft.com/office/officeart/2005/8/quickstyle/simple1" qsCatId="simple" csTypeId="urn:microsoft.com/office/officeart/2005/8/colors/colorful3" csCatId="colorful" phldr="1"/>
      <dgm:spPr/>
      <dgm:t>
        <a:bodyPr/>
        <a:lstStyle/>
        <a:p>
          <a:pPr rtl="1"/>
          <a:endParaRPr lang="he-IL"/>
        </a:p>
      </dgm:t>
    </dgm:pt>
    <dgm:pt modelId="{FACD8075-BC54-461B-87DC-F3AF999C31EF}">
      <dgm:prSet phldrT="[טקסט]"/>
      <dgm:spPr/>
      <dgm:t>
        <a:bodyPr/>
        <a:lstStyle/>
        <a:p>
          <a:pPr rtl="1"/>
          <a:r>
            <a:rPr lang="he-IL"/>
            <a:t>אינטגרציה גדולה יותר של מערכות מחשוב </a:t>
          </a:r>
        </a:p>
      </dgm:t>
    </dgm:pt>
    <dgm:pt modelId="{3BA3A232-FF93-46A4-AC5D-96CCF36A8BEF}" type="parTrans" cxnId="{ED168673-0B8D-47E3-BB0C-FFCB85ABF3E2}">
      <dgm:prSet/>
      <dgm:spPr/>
      <dgm:t>
        <a:bodyPr/>
        <a:lstStyle/>
        <a:p>
          <a:pPr rtl="1"/>
          <a:endParaRPr lang="he-IL"/>
        </a:p>
      </dgm:t>
    </dgm:pt>
    <dgm:pt modelId="{646C3FD9-6B99-4816-A713-1D438B5BD0A2}" type="sibTrans" cxnId="{ED168673-0B8D-47E3-BB0C-FFCB85ABF3E2}">
      <dgm:prSet/>
      <dgm:spPr/>
      <dgm:t>
        <a:bodyPr/>
        <a:lstStyle/>
        <a:p>
          <a:pPr rtl="1"/>
          <a:endParaRPr lang="he-IL"/>
        </a:p>
      </dgm:t>
    </dgm:pt>
    <dgm:pt modelId="{0E4E6124-C6B1-4EE7-8A42-4759342B038B}">
      <dgm:prSet phldrT="[טקסט]"/>
      <dgm:spPr/>
      <dgm:t>
        <a:bodyPr/>
        <a:lstStyle/>
        <a:p>
          <a:pPr rtl="1"/>
          <a:r>
            <a:rPr lang="he-IL"/>
            <a:t>שלמות נתונים</a:t>
          </a:r>
        </a:p>
      </dgm:t>
    </dgm:pt>
    <dgm:pt modelId="{28BD1931-AE1F-435D-9272-557DAC70FA8A}" type="parTrans" cxnId="{EC9A6C2F-D15E-4F94-B223-96D7C7D20DC5}">
      <dgm:prSet/>
      <dgm:spPr/>
      <dgm:t>
        <a:bodyPr/>
        <a:lstStyle/>
        <a:p>
          <a:pPr rtl="1"/>
          <a:endParaRPr lang="he-IL"/>
        </a:p>
      </dgm:t>
    </dgm:pt>
    <dgm:pt modelId="{C70EB8C7-7FA2-404C-99C8-650A26D655BC}" type="sibTrans" cxnId="{EC9A6C2F-D15E-4F94-B223-96D7C7D20DC5}">
      <dgm:prSet/>
      <dgm:spPr/>
      <dgm:t>
        <a:bodyPr/>
        <a:lstStyle/>
        <a:p>
          <a:pPr rtl="1"/>
          <a:endParaRPr lang="he-IL"/>
        </a:p>
      </dgm:t>
    </dgm:pt>
    <dgm:pt modelId="{5D926E9A-C52D-4B2C-BC15-5FB89E15825B}">
      <dgm:prSet phldrT="[טקסט]"/>
      <dgm:spPr/>
      <dgm:t>
        <a:bodyPr/>
        <a:lstStyle/>
        <a:p>
          <a:pPr rtl="1"/>
          <a:r>
            <a:rPr lang="he-IL"/>
            <a:t>דוחות כספיים מבוקרים על ידי רואי חשבון</a:t>
          </a:r>
          <a:r>
            <a:rPr lang="en-US"/>
            <a:t> </a:t>
          </a:r>
          <a:endParaRPr lang="he-IL"/>
        </a:p>
      </dgm:t>
    </dgm:pt>
    <dgm:pt modelId="{11F1F151-1578-4C36-BAB0-49CCE14E33BA}" type="parTrans" cxnId="{39F921AB-E222-4BFF-AF62-93D29BD9F272}">
      <dgm:prSet/>
      <dgm:spPr/>
      <dgm:t>
        <a:bodyPr/>
        <a:lstStyle/>
        <a:p>
          <a:pPr rtl="1"/>
          <a:endParaRPr lang="he-IL"/>
        </a:p>
      </dgm:t>
    </dgm:pt>
    <dgm:pt modelId="{D0502C12-9AEC-4795-B0AA-0C30FFCBFF03}" type="sibTrans" cxnId="{39F921AB-E222-4BFF-AF62-93D29BD9F272}">
      <dgm:prSet/>
      <dgm:spPr/>
      <dgm:t>
        <a:bodyPr/>
        <a:lstStyle/>
        <a:p>
          <a:pPr rtl="1"/>
          <a:endParaRPr lang="he-IL"/>
        </a:p>
      </dgm:t>
    </dgm:pt>
    <dgm:pt modelId="{7A7B380B-78BB-4B2D-AE35-3E48FE850C5A}">
      <dgm:prSet phldrT="[טקסט]"/>
      <dgm:spPr/>
      <dgm:t>
        <a:bodyPr/>
        <a:lstStyle/>
        <a:p>
          <a:pPr rtl="1"/>
          <a:r>
            <a:rPr lang="he-IL"/>
            <a:t>אימוץ ויישום תקינה חשבונאית ממשלתית בינלאומית </a:t>
          </a:r>
        </a:p>
      </dgm:t>
    </dgm:pt>
    <dgm:pt modelId="{EBC8E8EF-4B60-4E9C-A303-59C96246368F}" type="parTrans" cxnId="{E761D852-8492-4CD5-A580-0825295CE73A}">
      <dgm:prSet/>
      <dgm:spPr/>
      <dgm:t>
        <a:bodyPr/>
        <a:lstStyle/>
        <a:p>
          <a:pPr rtl="1"/>
          <a:endParaRPr lang="he-IL"/>
        </a:p>
      </dgm:t>
    </dgm:pt>
    <dgm:pt modelId="{896B3489-BD34-43D3-B9AC-4F66F3DBDCE3}" type="sibTrans" cxnId="{E761D852-8492-4CD5-A580-0825295CE73A}">
      <dgm:prSet/>
      <dgm:spPr/>
      <dgm:t>
        <a:bodyPr/>
        <a:lstStyle/>
        <a:p>
          <a:pPr rtl="1"/>
          <a:endParaRPr lang="he-IL"/>
        </a:p>
      </dgm:t>
    </dgm:pt>
    <dgm:pt modelId="{B7A6392D-52B0-4D2B-B1F6-683FF29220BB}">
      <dgm:prSet/>
      <dgm:spPr/>
      <dgm:t>
        <a:bodyPr/>
        <a:lstStyle/>
        <a:p>
          <a:pPr rtl="1"/>
          <a:r>
            <a:rPr lang="he-IL"/>
            <a:t>כוח אדם מיומן בתקינה חשבונאית ממשלתית</a:t>
          </a:r>
        </a:p>
      </dgm:t>
    </dgm:pt>
    <dgm:pt modelId="{FA899DA6-157D-474F-8D94-039E7163CF82}" type="parTrans" cxnId="{B610D9DA-986B-4326-A8C4-83117FC81C02}">
      <dgm:prSet/>
      <dgm:spPr/>
      <dgm:t>
        <a:bodyPr/>
        <a:lstStyle/>
        <a:p>
          <a:pPr rtl="1"/>
          <a:endParaRPr lang="he-IL"/>
        </a:p>
      </dgm:t>
    </dgm:pt>
    <dgm:pt modelId="{4C7966C9-FA8E-4A16-B081-A5E24CB524D9}" type="sibTrans" cxnId="{B610D9DA-986B-4326-A8C4-83117FC81C02}">
      <dgm:prSet/>
      <dgm:spPr/>
      <dgm:t>
        <a:bodyPr/>
        <a:lstStyle/>
        <a:p>
          <a:pPr rtl="1"/>
          <a:endParaRPr lang="he-IL"/>
        </a:p>
      </dgm:t>
    </dgm:pt>
    <dgm:pt modelId="{94E3F47A-A0E0-4BBA-AC4E-FADFDBB1F019}">
      <dgm:prSet/>
      <dgm:spPr/>
      <dgm:t>
        <a:bodyPr/>
        <a:lstStyle/>
        <a:p>
          <a:pPr rtl="1"/>
          <a:r>
            <a:rPr lang="he-IL"/>
            <a:t>דיון בדוחות הכספיים של המדינה ושל משרדי הממשלה</a:t>
          </a:r>
        </a:p>
      </dgm:t>
    </dgm:pt>
    <dgm:pt modelId="{3FAB12FD-5F45-4F8E-8D14-DF938A732AA1}" type="parTrans" cxnId="{111D94F1-AB00-495D-9F6B-668B794B89B3}">
      <dgm:prSet/>
      <dgm:spPr/>
      <dgm:t>
        <a:bodyPr/>
        <a:lstStyle/>
        <a:p>
          <a:pPr rtl="1"/>
          <a:endParaRPr lang="he-IL"/>
        </a:p>
      </dgm:t>
    </dgm:pt>
    <dgm:pt modelId="{D2BF7EBC-773E-4AB5-B835-C58E3E8DDD06}" type="sibTrans" cxnId="{111D94F1-AB00-495D-9F6B-668B794B89B3}">
      <dgm:prSet/>
      <dgm:spPr/>
      <dgm:t>
        <a:bodyPr/>
        <a:lstStyle/>
        <a:p>
          <a:pPr rtl="1"/>
          <a:endParaRPr lang="he-IL"/>
        </a:p>
      </dgm:t>
    </dgm:pt>
    <dgm:pt modelId="{61BD3231-D2C6-434D-AB89-C6922CE63B9D}" type="pres">
      <dgm:prSet presAssocID="{BD3C2B34-70AD-4F4F-B754-63EE1341BA32}" presName="diagram" presStyleCnt="0">
        <dgm:presLayoutVars>
          <dgm:dir/>
          <dgm:resizeHandles val="exact"/>
        </dgm:presLayoutVars>
      </dgm:prSet>
      <dgm:spPr/>
    </dgm:pt>
    <dgm:pt modelId="{B22232FD-34DE-4E25-B847-563BF1C8A4D4}" type="pres">
      <dgm:prSet presAssocID="{FACD8075-BC54-461B-87DC-F3AF999C31EF}" presName="node" presStyleLbl="node1" presStyleIdx="0" presStyleCnt="6">
        <dgm:presLayoutVars>
          <dgm:bulletEnabled val="1"/>
        </dgm:presLayoutVars>
      </dgm:prSet>
      <dgm:spPr/>
    </dgm:pt>
    <dgm:pt modelId="{ED2B3DA5-5CC5-4B04-B582-AA1FADAB63F9}" type="pres">
      <dgm:prSet presAssocID="{646C3FD9-6B99-4816-A713-1D438B5BD0A2}" presName="sibTrans" presStyleCnt="0"/>
      <dgm:spPr/>
    </dgm:pt>
    <dgm:pt modelId="{D186E18B-15AF-4904-98C4-5B0DEF3F9BA4}" type="pres">
      <dgm:prSet presAssocID="{0E4E6124-C6B1-4EE7-8A42-4759342B038B}" presName="node" presStyleLbl="node1" presStyleIdx="1" presStyleCnt="6" custScaleY="97160">
        <dgm:presLayoutVars>
          <dgm:bulletEnabled val="1"/>
        </dgm:presLayoutVars>
      </dgm:prSet>
      <dgm:spPr/>
    </dgm:pt>
    <dgm:pt modelId="{6595E357-EF25-4536-8F65-7146DC012A80}" type="pres">
      <dgm:prSet presAssocID="{C70EB8C7-7FA2-404C-99C8-650A26D655BC}" presName="sibTrans" presStyleCnt="0"/>
      <dgm:spPr/>
    </dgm:pt>
    <dgm:pt modelId="{080AFB54-6D83-4863-BDDB-B2DCD19C234A}" type="pres">
      <dgm:prSet presAssocID="{5D926E9A-C52D-4B2C-BC15-5FB89E15825B}" presName="node" presStyleLbl="node1" presStyleIdx="2" presStyleCnt="6">
        <dgm:presLayoutVars>
          <dgm:bulletEnabled val="1"/>
        </dgm:presLayoutVars>
      </dgm:prSet>
      <dgm:spPr/>
    </dgm:pt>
    <dgm:pt modelId="{8020BF25-C54E-4DF6-9393-81E0A6D8E325}" type="pres">
      <dgm:prSet presAssocID="{D0502C12-9AEC-4795-B0AA-0C30FFCBFF03}" presName="sibTrans" presStyleCnt="0"/>
      <dgm:spPr/>
    </dgm:pt>
    <dgm:pt modelId="{8674D222-9011-4433-8496-2C394D3C1512}" type="pres">
      <dgm:prSet presAssocID="{7A7B380B-78BB-4B2D-AE35-3E48FE850C5A}" presName="node" presStyleLbl="node1" presStyleIdx="3" presStyleCnt="6">
        <dgm:presLayoutVars>
          <dgm:bulletEnabled val="1"/>
        </dgm:presLayoutVars>
      </dgm:prSet>
      <dgm:spPr/>
    </dgm:pt>
    <dgm:pt modelId="{955ECDE7-2991-4256-B4A3-D0DE5AC242FE}" type="pres">
      <dgm:prSet presAssocID="{896B3489-BD34-43D3-B9AC-4F66F3DBDCE3}" presName="sibTrans" presStyleCnt="0"/>
      <dgm:spPr/>
    </dgm:pt>
    <dgm:pt modelId="{A84237DA-4781-4430-BF35-0C3729369435}" type="pres">
      <dgm:prSet presAssocID="{B7A6392D-52B0-4D2B-B1F6-683FF29220BB}" presName="node" presStyleLbl="node1" presStyleIdx="4" presStyleCnt="6">
        <dgm:presLayoutVars>
          <dgm:bulletEnabled val="1"/>
        </dgm:presLayoutVars>
      </dgm:prSet>
      <dgm:spPr/>
    </dgm:pt>
    <dgm:pt modelId="{83E58AA7-074A-45F5-AE92-11E415941CA0}" type="pres">
      <dgm:prSet presAssocID="{4C7966C9-FA8E-4A16-B081-A5E24CB524D9}" presName="sibTrans" presStyleCnt="0"/>
      <dgm:spPr/>
    </dgm:pt>
    <dgm:pt modelId="{B3D12D3C-034F-41F6-ABB0-41A1B986C31E}" type="pres">
      <dgm:prSet presAssocID="{94E3F47A-A0E0-4BBA-AC4E-FADFDBB1F019}" presName="node" presStyleLbl="node1" presStyleIdx="5" presStyleCnt="6">
        <dgm:presLayoutVars>
          <dgm:bulletEnabled val="1"/>
        </dgm:presLayoutVars>
      </dgm:prSet>
      <dgm:spPr/>
    </dgm:pt>
  </dgm:ptLst>
  <dgm:cxnLst>
    <dgm:cxn modelId="{93EDC10C-2427-49DF-BEFB-A7FC958FEFB2}" type="presOf" srcId="{5D926E9A-C52D-4B2C-BC15-5FB89E15825B}" destId="{080AFB54-6D83-4863-BDDB-B2DCD19C234A}" srcOrd="0" destOrd="0" presId="urn:microsoft.com/office/officeart/2005/8/layout/default#2"/>
    <dgm:cxn modelId="{EC9A6C2F-D15E-4F94-B223-96D7C7D20DC5}" srcId="{BD3C2B34-70AD-4F4F-B754-63EE1341BA32}" destId="{0E4E6124-C6B1-4EE7-8A42-4759342B038B}" srcOrd="1" destOrd="0" parTransId="{28BD1931-AE1F-435D-9272-557DAC70FA8A}" sibTransId="{C70EB8C7-7FA2-404C-99C8-650A26D655BC}"/>
    <dgm:cxn modelId="{D462F33E-C810-4192-8898-C36ECE28A34A}" type="presOf" srcId="{94E3F47A-A0E0-4BBA-AC4E-FADFDBB1F019}" destId="{B3D12D3C-034F-41F6-ABB0-41A1B986C31E}" srcOrd="0" destOrd="0" presId="urn:microsoft.com/office/officeart/2005/8/layout/default#2"/>
    <dgm:cxn modelId="{E761D852-8492-4CD5-A580-0825295CE73A}" srcId="{BD3C2B34-70AD-4F4F-B754-63EE1341BA32}" destId="{7A7B380B-78BB-4B2D-AE35-3E48FE850C5A}" srcOrd="3" destOrd="0" parTransId="{EBC8E8EF-4B60-4E9C-A303-59C96246368F}" sibTransId="{896B3489-BD34-43D3-B9AC-4F66F3DBDCE3}"/>
    <dgm:cxn modelId="{ED168673-0B8D-47E3-BB0C-FFCB85ABF3E2}" srcId="{BD3C2B34-70AD-4F4F-B754-63EE1341BA32}" destId="{FACD8075-BC54-461B-87DC-F3AF999C31EF}" srcOrd="0" destOrd="0" parTransId="{3BA3A232-FF93-46A4-AC5D-96CCF36A8BEF}" sibTransId="{646C3FD9-6B99-4816-A713-1D438B5BD0A2}"/>
    <dgm:cxn modelId="{B01BB77B-190F-4228-81E1-7DD259D6C852}" type="presOf" srcId="{B7A6392D-52B0-4D2B-B1F6-683FF29220BB}" destId="{A84237DA-4781-4430-BF35-0C3729369435}" srcOrd="0" destOrd="0" presId="urn:microsoft.com/office/officeart/2005/8/layout/default#2"/>
    <dgm:cxn modelId="{1332C9A1-FC50-4409-A122-A70BBB841998}" type="presOf" srcId="{BD3C2B34-70AD-4F4F-B754-63EE1341BA32}" destId="{61BD3231-D2C6-434D-AB89-C6922CE63B9D}" srcOrd="0" destOrd="0" presId="urn:microsoft.com/office/officeart/2005/8/layout/default#2"/>
    <dgm:cxn modelId="{39F921AB-E222-4BFF-AF62-93D29BD9F272}" srcId="{BD3C2B34-70AD-4F4F-B754-63EE1341BA32}" destId="{5D926E9A-C52D-4B2C-BC15-5FB89E15825B}" srcOrd="2" destOrd="0" parTransId="{11F1F151-1578-4C36-BAB0-49CCE14E33BA}" sibTransId="{D0502C12-9AEC-4795-B0AA-0C30FFCBFF03}"/>
    <dgm:cxn modelId="{A14B73BA-D985-4AA7-B591-C01FFD538798}" type="presOf" srcId="{0E4E6124-C6B1-4EE7-8A42-4759342B038B}" destId="{D186E18B-15AF-4904-98C4-5B0DEF3F9BA4}" srcOrd="0" destOrd="0" presId="urn:microsoft.com/office/officeart/2005/8/layout/default#2"/>
    <dgm:cxn modelId="{E1051DD5-E71A-430F-9D08-6420D8274987}" type="presOf" srcId="{FACD8075-BC54-461B-87DC-F3AF999C31EF}" destId="{B22232FD-34DE-4E25-B847-563BF1C8A4D4}" srcOrd="0" destOrd="0" presId="urn:microsoft.com/office/officeart/2005/8/layout/default#2"/>
    <dgm:cxn modelId="{B610D9DA-986B-4326-A8C4-83117FC81C02}" srcId="{BD3C2B34-70AD-4F4F-B754-63EE1341BA32}" destId="{B7A6392D-52B0-4D2B-B1F6-683FF29220BB}" srcOrd="4" destOrd="0" parTransId="{FA899DA6-157D-474F-8D94-039E7163CF82}" sibTransId="{4C7966C9-FA8E-4A16-B081-A5E24CB524D9}"/>
    <dgm:cxn modelId="{111D94F1-AB00-495D-9F6B-668B794B89B3}" srcId="{BD3C2B34-70AD-4F4F-B754-63EE1341BA32}" destId="{94E3F47A-A0E0-4BBA-AC4E-FADFDBB1F019}" srcOrd="5" destOrd="0" parTransId="{3FAB12FD-5F45-4F8E-8D14-DF938A732AA1}" sibTransId="{D2BF7EBC-773E-4AB5-B835-C58E3E8DDD06}"/>
    <dgm:cxn modelId="{01D041FE-47B6-4947-870F-900EDA34891F}" type="presOf" srcId="{7A7B380B-78BB-4B2D-AE35-3E48FE850C5A}" destId="{8674D222-9011-4433-8496-2C394D3C1512}" srcOrd="0" destOrd="0" presId="urn:microsoft.com/office/officeart/2005/8/layout/default#2"/>
    <dgm:cxn modelId="{4E5758E1-3C05-4B12-B9B4-AF47DACAF1B1}" type="presParOf" srcId="{61BD3231-D2C6-434D-AB89-C6922CE63B9D}" destId="{B22232FD-34DE-4E25-B847-563BF1C8A4D4}" srcOrd="0" destOrd="0" presId="urn:microsoft.com/office/officeart/2005/8/layout/default#2"/>
    <dgm:cxn modelId="{243C688D-1381-41E1-B20D-B50AE8AECA95}" type="presParOf" srcId="{61BD3231-D2C6-434D-AB89-C6922CE63B9D}" destId="{ED2B3DA5-5CC5-4B04-B582-AA1FADAB63F9}" srcOrd="1" destOrd="0" presId="urn:microsoft.com/office/officeart/2005/8/layout/default#2"/>
    <dgm:cxn modelId="{B470208A-DCB7-4997-AA70-6E5751CB3CFE}" type="presParOf" srcId="{61BD3231-D2C6-434D-AB89-C6922CE63B9D}" destId="{D186E18B-15AF-4904-98C4-5B0DEF3F9BA4}" srcOrd="2" destOrd="0" presId="urn:microsoft.com/office/officeart/2005/8/layout/default#2"/>
    <dgm:cxn modelId="{4783246E-DB6D-4F16-94BE-7A5DB65DAE2C}" type="presParOf" srcId="{61BD3231-D2C6-434D-AB89-C6922CE63B9D}" destId="{6595E357-EF25-4536-8F65-7146DC012A80}" srcOrd="3" destOrd="0" presId="urn:microsoft.com/office/officeart/2005/8/layout/default#2"/>
    <dgm:cxn modelId="{9B1F28A9-456F-4B39-A02F-9C7F688D4CE8}" type="presParOf" srcId="{61BD3231-D2C6-434D-AB89-C6922CE63B9D}" destId="{080AFB54-6D83-4863-BDDB-B2DCD19C234A}" srcOrd="4" destOrd="0" presId="urn:microsoft.com/office/officeart/2005/8/layout/default#2"/>
    <dgm:cxn modelId="{CDA85035-DC89-41D5-8EB8-B92161C2F53F}" type="presParOf" srcId="{61BD3231-D2C6-434D-AB89-C6922CE63B9D}" destId="{8020BF25-C54E-4DF6-9393-81E0A6D8E325}" srcOrd="5" destOrd="0" presId="urn:microsoft.com/office/officeart/2005/8/layout/default#2"/>
    <dgm:cxn modelId="{DAED570B-06E5-4FBE-B7CE-A69BB76C88A7}" type="presParOf" srcId="{61BD3231-D2C6-434D-AB89-C6922CE63B9D}" destId="{8674D222-9011-4433-8496-2C394D3C1512}" srcOrd="6" destOrd="0" presId="urn:microsoft.com/office/officeart/2005/8/layout/default#2"/>
    <dgm:cxn modelId="{9A5EF78C-25AC-413B-B08C-7B2CED94DC8D}" type="presParOf" srcId="{61BD3231-D2C6-434D-AB89-C6922CE63B9D}" destId="{955ECDE7-2991-4256-B4A3-D0DE5AC242FE}" srcOrd="7" destOrd="0" presId="urn:microsoft.com/office/officeart/2005/8/layout/default#2"/>
    <dgm:cxn modelId="{7D6CBD7A-F0F2-475E-BB29-B9A5594224BC}" type="presParOf" srcId="{61BD3231-D2C6-434D-AB89-C6922CE63B9D}" destId="{A84237DA-4781-4430-BF35-0C3729369435}" srcOrd="8" destOrd="0" presId="urn:microsoft.com/office/officeart/2005/8/layout/default#2"/>
    <dgm:cxn modelId="{E819F021-E798-442C-966C-AF13C4F7A6F5}" type="presParOf" srcId="{61BD3231-D2C6-434D-AB89-C6922CE63B9D}" destId="{83E58AA7-074A-45F5-AE92-11E415941CA0}" srcOrd="9" destOrd="0" presId="urn:microsoft.com/office/officeart/2005/8/layout/default#2"/>
    <dgm:cxn modelId="{4E7884C7-DF75-45F6-A053-AC4EB4A7C22B}" type="presParOf" srcId="{61BD3231-D2C6-434D-AB89-C6922CE63B9D}" destId="{B3D12D3C-034F-41F6-ABB0-41A1B986C31E}" srcOrd="10" destOrd="0" presId="urn:microsoft.com/office/officeart/2005/8/layout/defaul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C023D4-4AC4-4316-BA18-FEE253276256}"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7DC06A1-4B42-4D0A-84E5-4C6B24197CB9}">
      <dgm:prSet phldrT="[טקסט]" custT="1"/>
      <dgm:spPr>
        <a:xfrm>
          <a:off x="3341014" y="567"/>
          <a:ext cx="1879320" cy="11609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2500">
              <a:solidFill>
                <a:sysClr val="window" lastClr="FFFFFF"/>
              </a:solidFill>
              <a:latin typeface="Calibri"/>
              <a:ea typeface="+mn-ea"/>
              <a:cs typeface="Arial" panose="020B0604020202020204" pitchFamily="34" charset="0"/>
            </a:rPr>
            <a:t>תהליך קבלת החלטות </a:t>
          </a:r>
        </a:p>
      </dgm:t>
    </dgm:pt>
    <dgm:pt modelId="{BD73689F-DBB9-4E3B-98AD-55A893783B6B}" type="parTrans" cxnId="{FC41FBC2-2618-4CC0-81DC-9A399FEC3157}">
      <dgm:prSet/>
      <dgm:spPr/>
      <dgm:t>
        <a:bodyPr/>
        <a:lstStyle/>
        <a:p>
          <a:pPr rtl="1"/>
          <a:endParaRPr lang="he-IL"/>
        </a:p>
      </dgm:t>
    </dgm:pt>
    <dgm:pt modelId="{0E05A292-FF3E-4210-9774-2085999F5BA6}" type="sibTrans" cxnId="{FC41FBC2-2618-4CC0-81DC-9A399FEC3157}">
      <dgm:prSet/>
      <dgm:spPr/>
      <dgm:t>
        <a:bodyPr/>
        <a:lstStyle/>
        <a:p>
          <a:pPr rtl="1"/>
          <a:endParaRPr lang="he-IL"/>
        </a:p>
      </dgm:t>
    </dgm:pt>
    <dgm:pt modelId="{C96C7317-CDC1-472C-8DD7-8F196572BDA5}">
      <dgm:prSet phldrT="[טקסט]" custT="1"/>
      <dgm:spPr>
        <a:xfrm rot="16200000">
          <a:off x="1206141" y="-1095899"/>
          <a:ext cx="92873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שיפור בתהליך קבלת ההחלטות לאור מידע מדויק ומקיף שיבוא לידי ביטוי בדוחות הכספיים</a:t>
          </a:r>
        </a:p>
      </dgm:t>
    </dgm:pt>
    <dgm:pt modelId="{EA80E162-2256-48FB-B741-DC2A01719997}" type="parTrans" cxnId="{845795B7-70B6-4CCB-87CB-6BF5A8338E56}">
      <dgm:prSet/>
      <dgm:spPr/>
      <dgm:t>
        <a:bodyPr/>
        <a:lstStyle/>
        <a:p>
          <a:pPr rtl="1"/>
          <a:endParaRPr lang="he-IL"/>
        </a:p>
      </dgm:t>
    </dgm:pt>
    <dgm:pt modelId="{3F641ACC-34EB-47A9-90D5-B091D104A0EB}" type="sibTrans" cxnId="{845795B7-70B6-4CCB-87CB-6BF5A8338E56}">
      <dgm:prSet/>
      <dgm:spPr/>
      <dgm:t>
        <a:bodyPr/>
        <a:lstStyle/>
        <a:p>
          <a:pPr rtl="1"/>
          <a:endParaRPr lang="he-IL"/>
        </a:p>
      </dgm:t>
    </dgm:pt>
    <dgm:pt modelId="{21120486-5297-487B-AFA7-96C353B28A1B}">
      <dgm:prSet custT="1"/>
      <dgm:spPr>
        <a:xfrm rot="16200000">
          <a:off x="1206141" y="-1095899"/>
          <a:ext cx="92873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r" rtl="1"/>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E40F1D71-4F49-4516-95F4-418A70F2CA1C}" type="parTrans" cxnId="{25DB0AD1-45CC-41B1-BC5B-18B64D19721B}">
      <dgm:prSet/>
      <dgm:spPr/>
      <dgm:t>
        <a:bodyPr/>
        <a:lstStyle/>
        <a:p>
          <a:pPr rtl="1"/>
          <a:endParaRPr lang="he-IL"/>
        </a:p>
      </dgm:t>
    </dgm:pt>
    <dgm:pt modelId="{2D4BA132-9C87-43D2-9811-935D735D3CD4}" type="sibTrans" cxnId="{25DB0AD1-45CC-41B1-BC5B-18B64D19721B}">
      <dgm:prSet/>
      <dgm:spPr/>
      <dgm:t>
        <a:bodyPr/>
        <a:lstStyle/>
        <a:p>
          <a:pPr rtl="1"/>
          <a:endParaRPr lang="he-IL"/>
        </a:p>
      </dgm:t>
    </dgm:pt>
    <dgm:pt modelId="{BD953C91-74FE-4390-A71E-BBE8A85304CD}">
      <dgm:prSet custT="1"/>
      <dgm:spPr>
        <a:xfrm rot="16200000">
          <a:off x="1206141" y="-1095899"/>
          <a:ext cx="92873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שימוש במידע הפיננסי לצורך הערכת היבטים שונים של היציבות הפיסקאלית ארוכת הטווח והיקף הסיכונים הפיננסים שמדינת ישראל ניצבת בפניהם</a:t>
          </a:r>
        </a:p>
      </dgm:t>
    </dgm:pt>
    <dgm:pt modelId="{15B907C5-3DFA-40A3-B86A-33F98058F409}" type="parTrans" cxnId="{7B530AE1-9714-4729-8B99-7C2D67015A8A}">
      <dgm:prSet/>
      <dgm:spPr/>
      <dgm:t>
        <a:bodyPr/>
        <a:lstStyle/>
        <a:p>
          <a:pPr rtl="1"/>
          <a:endParaRPr lang="he-IL"/>
        </a:p>
      </dgm:t>
    </dgm:pt>
    <dgm:pt modelId="{ADAB9847-3C51-4F06-AADA-A32CF41D1663}" type="sibTrans" cxnId="{7B530AE1-9714-4729-8B99-7C2D67015A8A}">
      <dgm:prSet/>
      <dgm:spPr/>
      <dgm:t>
        <a:bodyPr/>
        <a:lstStyle/>
        <a:p>
          <a:pPr rtl="1"/>
          <a:endParaRPr lang="he-IL"/>
        </a:p>
      </dgm:t>
    </dgm:pt>
    <dgm:pt modelId="{85345874-F93E-4938-9E49-0C76FA637845}" type="pres">
      <dgm:prSet presAssocID="{99C023D4-4AC4-4316-BA18-FEE253276256}" presName="Name0" presStyleCnt="0">
        <dgm:presLayoutVars>
          <dgm:dir val="rev"/>
          <dgm:animLvl val="lvl"/>
          <dgm:resizeHandles val="exact"/>
        </dgm:presLayoutVars>
      </dgm:prSet>
      <dgm:spPr/>
    </dgm:pt>
    <dgm:pt modelId="{FA03AE56-3AB2-472E-A281-3A065D36B054}" type="pres">
      <dgm:prSet presAssocID="{A7DC06A1-4B42-4D0A-84E5-4C6B24197CB9}" presName="linNode" presStyleCnt="0"/>
      <dgm:spPr/>
    </dgm:pt>
    <dgm:pt modelId="{29AE579A-1657-4783-95A9-B28B65EE4879}" type="pres">
      <dgm:prSet presAssocID="{A7DC06A1-4B42-4D0A-84E5-4C6B24197CB9}" presName="parentText" presStyleLbl="node1" presStyleIdx="0" presStyleCnt="1" custLinFactNeighborX="1314">
        <dgm:presLayoutVars>
          <dgm:chMax val="1"/>
          <dgm:bulletEnabled val="1"/>
        </dgm:presLayoutVars>
      </dgm:prSet>
      <dgm:spPr>
        <a:prstGeom prst="roundRect">
          <a:avLst/>
        </a:prstGeom>
      </dgm:spPr>
    </dgm:pt>
    <dgm:pt modelId="{F384486E-FE92-4997-BA82-36C3ABD6011C}" type="pres">
      <dgm:prSet presAssocID="{A7DC06A1-4B42-4D0A-84E5-4C6B24197CB9}" presName="descendantText" presStyleLbl="alignAccFollowNode1" presStyleIdx="0" presStyleCnt="1" custLinFactNeighborX="-2725" custLinFactNeighborY="-691">
        <dgm:presLayoutVars>
          <dgm:bulletEnabled val="1"/>
        </dgm:presLayoutVars>
      </dgm:prSet>
      <dgm:spPr>
        <a:prstGeom prst="round2SameRect">
          <a:avLst/>
        </a:prstGeom>
      </dgm:spPr>
    </dgm:pt>
  </dgm:ptLst>
  <dgm:cxnLst>
    <dgm:cxn modelId="{A5546A14-2FC5-4B9C-94B9-F3CF884D7EFE}" type="presOf" srcId="{C96C7317-CDC1-472C-8DD7-8F196572BDA5}" destId="{F384486E-FE92-4997-BA82-36C3ABD6011C}" srcOrd="0" destOrd="0" presId="urn:microsoft.com/office/officeart/2005/8/layout/vList5"/>
    <dgm:cxn modelId="{F554BB2F-42AE-41D2-A410-9523A4D1570F}" type="presOf" srcId="{BD953C91-74FE-4390-A71E-BBE8A85304CD}" destId="{F384486E-FE92-4997-BA82-36C3ABD6011C}" srcOrd="0" destOrd="1" presId="urn:microsoft.com/office/officeart/2005/8/layout/vList5"/>
    <dgm:cxn modelId="{FDBFD536-890C-4789-A57C-835A470E80AC}" type="presOf" srcId="{99C023D4-4AC4-4316-BA18-FEE253276256}" destId="{85345874-F93E-4938-9E49-0C76FA637845}" srcOrd="0" destOrd="0" presId="urn:microsoft.com/office/officeart/2005/8/layout/vList5"/>
    <dgm:cxn modelId="{D65FEB8B-E5F2-481F-A367-7A915DD9B886}" type="presOf" srcId="{21120486-5297-487B-AFA7-96C353B28A1B}" destId="{F384486E-FE92-4997-BA82-36C3ABD6011C}" srcOrd="0" destOrd="2" presId="urn:microsoft.com/office/officeart/2005/8/layout/vList5"/>
    <dgm:cxn modelId="{25072CA0-B1B3-4623-A5CF-A03EFF777D48}" type="presOf" srcId="{A7DC06A1-4B42-4D0A-84E5-4C6B24197CB9}" destId="{29AE579A-1657-4783-95A9-B28B65EE4879}" srcOrd="0" destOrd="0" presId="urn:microsoft.com/office/officeart/2005/8/layout/vList5"/>
    <dgm:cxn modelId="{845795B7-70B6-4CCB-87CB-6BF5A8338E56}" srcId="{A7DC06A1-4B42-4D0A-84E5-4C6B24197CB9}" destId="{C96C7317-CDC1-472C-8DD7-8F196572BDA5}" srcOrd="0" destOrd="0" parTransId="{EA80E162-2256-48FB-B741-DC2A01719997}" sibTransId="{3F641ACC-34EB-47A9-90D5-B091D104A0EB}"/>
    <dgm:cxn modelId="{FC41FBC2-2618-4CC0-81DC-9A399FEC3157}" srcId="{99C023D4-4AC4-4316-BA18-FEE253276256}" destId="{A7DC06A1-4B42-4D0A-84E5-4C6B24197CB9}" srcOrd="0" destOrd="0" parTransId="{BD73689F-DBB9-4E3B-98AD-55A893783B6B}" sibTransId="{0E05A292-FF3E-4210-9774-2085999F5BA6}"/>
    <dgm:cxn modelId="{25DB0AD1-45CC-41B1-BC5B-18B64D19721B}" srcId="{A7DC06A1-4B42-4D0A-84E5-4C6B24197CB9}" destId="{21120486-5297-487B-AFA7-96C353B28A1B}" srcOrd="2" destOrd="0" parTransId="{E40F1D71-4F49-4516-95F4-418A70F2CA1C}" sibTransId="{2D4BA132-9C87-43D2-9811-935D735D3CD4}"/>
    <dgm:cxn modelId="{7B530AE1-9714-4729-8B99-7C2D67015A8A}" srcId="{A7DC06A1-4B42-4D0A-84E5-4C6B24197CB9}" destId="{BD953C91-74FE-4390-A71E-BBE8A85304CD}" srcOrd="1" destOrd="0" parTransId="{15B907C5-3DFA-40A3-B86A-33F98058F409}" sibTransId="{ADAB9847-3C51-4F06-AADA-A32CF41D1663}"/>
    <dgm:cxn modelId="{86769F69-FAAC-407A-B984-F5EEDF5E19B7}" type="presParOf" srcId="{85345874-F93E-4938-9E49-0C76FA637845}" destId="{FA03AE56-3AB2-472E-A281-3A065D36B054}" srcOrd="0" destOrd="0" presId="urn:microsoft.com/office/officeart/2005/8/layout/vList5"/>
    <dgm:cxn modelId="{35C5B606-0622-411A-BC21-220FD5278E07}" type="presParOf" srcId="{FA03AE56-3AB2-472E-A281-3A065D36B054}" destId="{29AE579A-1657-4783-95A9-B28B65EE4879}" srcOrd="0" destOrd="0" presId="urn:microsoft.com/office/officeart/2005/8/layout/vList5"/>
    <dgm:cxn modelId="{5FABBDD3-45F3-43A1-BF11-20F6587A413D}" type="presParOf" srcId="{FA03AE56-3AB2-472E-A281-3A065D36B054}" destId="{F384486E-FE92-4997-BA82-36C3ABD6011C}"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C023D4-4AC4-4316-BA18-FEE253276256}"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7DC06A1-4B42-4D0A-84E5-4C6B24197CB9}">
      <dgm:prSet phldrT="[טקסט]" custT="1"/>
      <dgm:spPr>
        <a:xfrm>
          <a:off x="3341014" y="586"/>
          <a:ext cx="1879320" cy="1198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2500">
              <a:solidFill>
                <a:sysClr val="window" lastClr="FFFFFF"/>
              </a:solidFill>
              <a:latin typeface="Calibri"/>
              <a:ea typeface="+mn-ea"/>
              <a:cs typeface="Arial" panose="020B0604020202020204" pitchFamily="34" charset="0"/>
            </a:rPr>
            <a:t>שקיפות</a:t>
          </a:r>
          <a:r>
            <a:rPr lang="he-IL" sz="2900">
              <a:solidFill>
                <a:sysClr val="window" lastClr="FFFFFF"/>
              </a:solidFill>
              <a:latin typeface="Calibri"/>
              <a:ea typeface="+mn-ea"/>
              <a:cs typeface="Arial" panose="020B0604020202020204" pitchFamily="34" charset="0"/>
            </a:rPr>
            <a:t> </a:t>
          </a:r>
        </a:p>
      </dgm:t>
    </dgm:pt>
    <dgm:pt modelId="{BD73689F-DBB9-4E3B-98AD-55A893783B6B}" type="parTrans" cxnId="{FC41FBC2-2618-4CC0-81DC-9A399FEC3157}">
      <dgm:prSet/>
      <dgm:spPr/>
      <dgm:t>
        <a:bodyPr/>
        <a:lstStyle/>
        <a:p>
          <a:pPr rtl="1"/>
          <a:endParaRPr lang="he-IL"/>
        </a:p>
      </dgm:t>
    </dgm:pt>
    <dgm:pt modelId="{0E05A292-FF3E-4210-9774-2085999F5BA6}" type="sibTrans" cxnId="{FC41FBC2-2618-4CC0-81DC-9A399FEC3157}">
      <dgm:prSet/>
      <dgm:spPr/>
      <dgm:t>
        <a:bodyPr/>
        <a:lstStyle/>
        <a:p>
          <a:pPr rtl="1"/>
          <a:endParaRPr lang="he-IL"/>
        </a:p>
      </dgm:t>
    </dgm:pt>
    <dgm:pt modelId="{C96C7317-CDC1-472C-8DD7-8F196572BDA5}">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r" rtl="1"/>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EA80E162-2256-48FB-B741-DC2A01719997}" type="parTrans" cxnId="{845795B7-70B6-4CCB-87CB-6BF5A8338E56}">
      <dgm:prSet/>
      <dgm:spPr/>
      <dgm:t>
        <a:bodyPr/>
        <a:lstStyle/>
        <a:p>
          <a:pPr rtl="1"/>
          <a:endParaRPr lang="he-IL"/>
        </a:p>
      </dgm:t>
    </dgm:pt>
    <dgm:pt modelId="{3F641ACC-34EB-47A9-90D5-B091D104A0EB}" type="sibTrans" cxnId="{845795B7-70B6-4CCB-87CB-6BF5A8338E56}">
      <dgm:prSet/>
      <dgm:spPr/>
      <dgm:t>
        <a:bodyPr/>
        <a:lstStyle/>
        <a:p>
          <a:pPr rtl="1"/>
          <a:endParaRPr lang="he-IL"/>
        </a:p>
      </dgm:t>
    </dgm:pt>
    <dgm:pt modelId="{769B9946-DA98-4925-838B-758CB2770A06}">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הרחבת המידע הנמסר למשתמשי הדוחות הכספיים אודות כספי ציבור </a:t>
          </a:r>
        </a:p>
      </dgm:t>
    </dgm:pt>
    <dgm:pt modelId="{EB702BA1-BDFA-4A77-B939-0A483AEA0460}" type="parTrans" cxnId="{1D9C698C-887C-486D-88FE-426EF3224EF2}">
      <dgm:prSet/>
      <dgm:spPr/>
      <dgm:t>
        <a:bodyPr/>
        <a:lstStyle/>
        <a:p>
          <a:pPr rtl="1"/>
          <a:endParaRPr lang="he-IL"/>
        </a:p>
      </dgm:t>
    </dgm:pt>
    <dgm:pt modelId="{7F92B5FC-C90B-4695-AB5A-864BFDE7BCAA}" type="sibTrans" cxnId="{1D9C698C-887C-486D-88FE-426EF3224EF2}">
      <dgm:prSet/>
      <dgm:spPr/>
      <dgm:t>
        <a:bodyPr/>
        <a:lstStyle/>
        <a:p>
          <a:pPr rtl="1"/>
          <a:endParaRPr lang="he-IL"/>
        </a:p>
      </dgm:t>
    </dgm:pt>
    <dgm:pt modelId="{C8683C19-CCFC-4701-8AC1-8F28F20EB636}">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r" rtl="1"/>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65F8FC54-80EE-48A5-8CCA-F48781156E59}" type="parTrans" cxnId="{2BA3EEC3-D82D-4E70-87DE-A40948E06636}">
      <dgm:prSet/>
      <dgm:spPr/>
      <dgm:t>
        <a:bodyPr/>
        <a:lstStyle/>
        <a:p>
          <a:pPr rtl="1"/>
          <a:endParaRPr lang="he-IL"/>
        </a:p>
      </dgm:t>
    </dgm:pt>
    <dgm:pt modelId="{17FE1F90-1171-4633-9E62-CC0FDC666701}" type="sibTrans" cxnId="{2BA3EEC3-D82D-4E70-87DE-A40948E06636}">
      <dgm:prSet/>
      <dgm:spPr/>
      <dgm:t>
        <a:bodyPr/>
        <a:lstStyle/>
        <a:p>
          <a:pPr rtl="1"/>
          <a:endParaRPr lang="he-IL"/>
        </a:p>
      </dgm:t>
    </dgm:pt>
    <dgm:pt modelId="{DD238C2A-60E9-4143-80E7-D0E414BABA69}">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הגדלת החובה לעמידה במחויבות ציבורית</a:t>
          </a:r>
        </a:p>
      </dgm:t>
    </dgm:pt>
    <dgm:pt modelId="{D94A1A3D-78DF-4CC8-994C-7B4C77659AF6}" type="parTrans" cxnId="{B8EC69E5-AE23-479E-8804-74FD766E85EB}">
      <dgm:prSet/>
      <dgm:spPr/>
      <dgm:t>
        <a:bodyPr/>
        <a:lstStyle/>
        <a:p>
          <a:pPr rtl="1"/>
          <a:endParaRPr lang="he-IL"/>
        </a:p>
      </dgm:t>
    </dgm:pt>
    <dgm:pt modelId="{D6398D2B-4D26-45DA-8F5A-F54BEAF181FA}" type="sibTrans" cxnId="{B8EC69E5-AE23-479E-8804-74FD766E85EB}">
      <dgm:prSet/>
      <dgm:spPr/>
      <dgm:t>
        <a:bodyPr/>
        <a:lstStyle/>
        <a:p>
          <a:pPr rtl="1"/>
          <a:endParaRPr lang="he-IL"/>
        </a:p>
      </dgm:t>
    </dgm:pt>
    <dgm:pt modelId="{06F55381-7053-4124-8046-5150346E1E44}">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נטילת אחריות הדיווח של הגורמים המבצעים על נתוני הביצוע והנתונים הכספיים שתחת אחריותם</a:t>
          </a:r>
        </a:p>
      </dgm:t>
    </dgm:pt>
    <dgm:pt modelId="{F848B457-71ED-44E7-8701-53D7006F363B}" type="parTrans" cxnId="{5DD6C573-7FEA-4614-8BE5-3D668C2CB9F0}">
      <dgm:prSet/>
      <dgm:spPr/>
      <dgm:t>
        <a:bodyPr/>
        <a:lstStyle/>
        <a:p>
          <a:pPr rtl="1"/>
          <a:endParaRPr lang="he-IL"/>
        </a:p>
      </dgm:t>
    </dgm:pt>
    <dgm:pt modelId="{7F313CA0-B1EF-4522-9EE3-B52B0819B377}" type="sibTrans" cxnId="{5DD6C573-7FEA-4614-8BE5-3D668C2CB9F0}">
      <dgm:prSet/>
      <dgm:spPr/>
      <dgm:t>
        <a:bodyPr/>
        <a:lstStyle/>
        <a:p>
          <a:pPr rtl="1"/>
          <a:endParaRPr lang="he-IL"/>
        </a:p>
      </dgm:t>
    </dgm:pt>
    <dgm:pt modelId="{1345AA3D-DBEC-4927-AD55-6D36ECC16C97}">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הצגת מידע עדכני על מצבת הנכסים וההתחייבויות של המדינה</a:t>
          </a:r>
        </a:p>
      </dgm:t>
    </dgm:pt>
    <dgm:pt modelId="{BCC4F0D5-FE5A-4734-9E8E-C4623ECF1DC1}" type="parTrans" cxnId="{B767B449-D8BF-4CA5-B260-F71CF65A804C}">
      <dgm:prSet/>
      <dgm:spPr/>
      <dgm:t>
        <a:bodyPr/>
        <a:lstStyle/>
        <a:p>
          <a:pPr rtl="1"/>
          <a:endParaRPr lang="he-IL"/>
        </a:p>
      </dgm:t>
    </dgm:pt>
    <dgm:pt modelId="{524361D2-9A19-4E87-8AF9-0084B12EA33B}" type="sibTrans" cxnId="{B767B449-D8BF-4CA5-B260-F71CF65A804C}">
      <dgm:prSet/>
      <dgm:spPr/>
      <dgm:t>
        <a:bodyPr/>
        <a:lstStyle/>
        <a:p>
          <a:pPr rtl="1"/>
          <a:endParaRPr lang="he-IL"/>
        </a:p>
      </dgm:t>
    </dgm:pt>
    <dgm:pt modelId="{85345874-F93E-4938-9E49-0C76FA637845}" type="pres">
      <dgm:prSet presAssocID="{99C023D4-4AC4-4316-BA18-FEE253276256}" presName="Name0" presStyleCnt="0">
        <dgm:presLayoutVars>
          <dgm:dir val="rev"/>
          <dgm:animLvl val="lvl"/>
          <dgm:resizeHandles val="exact"/>
        </dgm:presLayoutVars>
      </dgm:prSet>
      <dgm:spPr/>
    </dgm:pt>
    <dgm:pt modelId="{FA03AE56-3AB2-472E-A281-3A065D36B054}" type="pres">
      <dgm:prSet presAssocID="{A7DC06A1-4B42-4D0A-84E5-4C6B24197CB9}" presName="linNode" presStyleCnt="0"/>
      <dgm:spPr/>
    </dgm:pt>
    <dgm:pt modelId="{29AE579A-1657-4783-95A9-B28B65EE4879}" type="pres">
      <dgm:prSet presAssocID="{A7DC06A1-4B42-4D0A-84E5-4C6B24197CB9}" presName="parentText" presStyleLbl="node1" presStyleIdx="0" presStyleCnt="1" custLinFactNeighborX="1140" custLinFactNeighborY="-1589">
        <dgm:presLayoutVars>
          <dgm:chMax val="1"/>
          <dgm:bulletEnabled val="1"/>
        </dgm:presLayoutVars>
      </dgm:prSet>
      <dgm:spPr>
        <a:prstGeom prst="roundRect">
          <a:avLst/>
        </a:prstGeom>
      </dgm:spPr>
    </dgm:pt>
    <dgm:pt modelId="{F384486E-FE92-4997-BA82-36C3ABD6011C}" type="pres">
      <dgm:prSet presAssocID="{A7DC06A1-4B42-4D0A-84E5-4C6B24197CB9}" presName="descendantText" presStyleLbl="alignAccFollowNode1" presStyleIdx="0" presStyleCnt="1">
        <dgm:presLayoutVars>
          <dgm:bulletEnabled val="1"/>
        </dgm:presLayoutVars>
      </dgm:prSet>
      <dgm:spPr>
        <a:prstGeom prst="round2SameRect">
          <a:avLst/>
        </a:prstGeom>
      </dgm:spPr>
    </dgm:pt>
  </dgm:ptLst>
  <dgm:cxnLst>
    <dgm:cxn modelId="{75997E38-AA54-4A60-B46F-3490080A2471}" type="presOf" srcId="{DD238C2A-60E9-4143-80E7-D0E414BABA69}" destId="{F384486E-FE92-4997-BA82-36C3ABD6011C}" srcOrd="0" destOrd="3" presId="urn:microsoft.com/office/officeart/2005/8/layout/vList5"/>
    <dgm:cxn modelId="{5450AB66-664F-4EBF-AE67-651A106C55B6}" type="presOf" srcId="{C8683C19-CCFC-4701-8AC1-8F28F20EB636}" destId="{F384486E-FE92-4997-BA82-36C3ABD6011C}" srcOrd="0" destOrd="5" presId="urn:microsoft.com/office/officeart/2005/8/layout/vList5"/>
    <dgm:cxn modelId="{B767B449-D8BF-4CA5-B260-F71CF65A804C}" srcId="{A7DC06A1-4B42-4D0A-84E5-4C6B24197CB9}" destId="{1345AA3D-DBEC-4927-AD55-6D36ECC16C97}" srcOrd="2" destOrd="0" parTransId="{BCC4F0D5-FE5A-4734-9E8E-C4623ECF1DC1}" sibTransId="{524361D2-9A19-4E87-8AF9-0084B12EA33B}"/>
    <dgm:cxn modelId="{3673616B-7C25-40AB-8B13-2BB8F0976E8D}" type="presOf" srcId="{A7DC06A1-4B42-4D0A-84E5-4C6B24197CB9}" destId="{29AE579A-1657-4783-95A9-B28B65EE4879}" srcOrd="0" destOrd="0" presId="urn:microsoft.com/office/officeart/2005/8/layout/vList5"/>
    <dgm:cxn modelId="{FA73364D-7864-40D0-9CF2-BC06D71D08F0}" type="presOf" srcId="{1345AA3D-DBEC-4927-AD55-6D36ECC16C97}" destId="{F384486E-FE92-4997-BA82-36C3ABD6011C}" srcOrd="0" destOrd="2" presId="urn:microsoft.com/office/officeart/2005/8/layout/vList5"/>
    <dgm:cxn modelId="{5DD6C573-7FEA-4614-8BE5-3D668C2CB9F0}" srcId="{A7DC06A1-4B42-4D0A-84E5-4C6B24197CB9}" destId="{06F55381-7053-4124-8046-5150346E1E44}" srcOrd="4" destOrd="0" parTransId="{F848B457-71ED-44E7-8701-53D7006F363B}" sibTransId="{7F313CA0-B1EF-4522-9EE3-B52B0819B377}"/>
    <dgm:cxn modelId="{FEE0FE76-5ECC-4F42-9C4B-FE915A2752A0}" type="presOf" srcId="{99C023D4-4AC4-4316-BA18-FEE253276256}" destId="{85345874-F93E-4938-9E49-0C76FA637845}" srcOrd="0" destOrd="0" presId="urn:microsoft.com/office/officeart/2005/8/layout/vList5"/>
    <dgm:cxn modelId="{1D9C698C-887C-486D-88FE-426EF3224EF2}" srcId="{A7DC06A1-4B42-4D0A-84E5-4C6B24197CB9}" destId="{769B9946-DA98-4925-838B-758CB2770A06}" srcOrd="1" destOrd="0" parTransId="{EB702BA1-BDFA-4A77-B939-0A483AEA0460}" sibTransId="{7F92B5FC-C90B-4695-AB5A-864BFDE7BCAA}"/>
    <dgm:cxn modelId="{AC4947B6-7261-4AAC-88FA-389489C0D1DF}" type="presOf" srcId="{C96C7317-CDC1-472C-8DD7-8F196572BDA5}" destId="{F384486E-FE92-4997-BA82-36C3ABD6011C}" srcOrd="0" destOrd="0" presId="urn:microsoft.com/office/officeart/2005/8/layout/vList5"/>
    <dgm:cxn modelId="{845795B7-70B6-4CCB-87CB-6BF5A8338E56}" srcId="{A7DC06A1-4B42-4D0A-84E5-4C6B24197CB9}" destId="{C96C7317-CDC1-472C-8DD7-8F196572BDA5}" srcOrd="0" destOrd="0" parTransId="{EA80E162-2256-48FB-B741-DC2A01719997}" sibTransId="{3F641ACC-34EB-47A9-90D5-B091D104A0EB}"/>
    <dgm:cxn modelId="{FC41FBC2-2618-4CC0-81DC-9A399FEC3157}" srcId="{99C023D4-4AC4-4316-BA18-FEE253276256}" destId="{A7DC06A1-4B42-4D0A-84E5-4C6B24197CB9}" srcOrd="0" destOrd="0" parTransId="{BD73689F-DBB9-4E3B-98AD-55A893783B6B}" sibTransId="{0E05A292-FF3E-4210-9774-2085999F5BA6}"/>
    <dgm:cxn modelId="{2BA3EEC3-D82D-4E70-87DE-A40948E06636}" srcId="{A7DC06A1-4B42-4D0A-84E5-4C6B24197CB9}" destId="{C8683C19-CCFC-4701-8AC1-8F28F20EB636}" srcOrd="5" destOrd="0" parTransId="{65F8FC54-80EE-48A5-8CCA-F48781156E59}" sibTransId="{17FE1F90-1171-4633-9E62-CC0FDC666701}"/>
    <dgm:cxn modelId="{B8EC69E5-AE23-479E-8804-74FD766E85EB}" srcId="{A7DC06A1-4B42-4D0A-84E5-4C6B24197CB9}" destId="{DD238C2A-60E9-4143-80E7-D0E414BABA69}" srcOrd="3" destOrd="0" parTransId="{D94A1A3D-78DF-4CC8-994C-7B4C77659AF6}" sibTransId="{D6398D2B-4D26-45DA-8F5A-F54BEAF181FA}"/>
    <dgm:cxn modelId="{9DA0F0EC-FBDD-4A7D-9B74-EF977E61CB33}" type="presOf" srcId="{769B9946-DA98-4925-838B-758CB2770A06}" destId="{F384486E-FE92-4997-BA82-36C3ABD6011C}" srcOrd="0" destOrd="1" presId="urn:microsoft.com/office/officeart/2005/8/layout/vList5"/>
    <dgm:cxn modelId="{D84E5EFB-E4FB-4C92-AE99-56B5E6C59C76}" type="presOf" srcId="{06F55381-7053-4124-8046-5150346E1E44}" destId="{F384486E-FE92-4997-BA82-36C3ABD6011C}" srcOrd="0" destOrd="4" presId="urn:microsoft.com/office/officeart/2005/8/layout/vList5"/>
    <dgm:cxn modelId="{E56733DF-47A5-4C1F-B3C3-D7A64F238E70}" type="presParOf" srcId="{85345874-F93E-4938-9E49-0C76FA637845}" destId="{FA03AE56-3AB2-472E-A281-3A065D36B054}" srcOrd="0" destOrd="0" presId="urn:microsoft.com/office/officeart/2005/8/layout/vList5"/>
    <dgm:cxn modelId="{145A4266-5397-48AB-A7B6-D54F28FB5D4C}" type="presParOf" srcId="{FA03AE56-3AB2-472E-A281-3A065D36B054}" destId="{29AE579A-1657-4783-95A9-B28B65EE4879}" srcOrd="0" destOrd="0" presId="urn:microsoft.com/office/officeart/2005/8/layout/vList5"/>
    <dgm:cxn modelId="{90B523A0-3EA5-44DD-A9F0-2473CB262FF7}" type="presParOf" srcId="{FA03AE56-3AB2-472E-A281-3A065D36B054}" destId="{F384486E-FE92-4997-BA82-36C3ABD6011C}"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C023D4-4AC4-4316-BA18-FEE253276256}"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7DC06A1-4B42-4D0A-84E5-4C6B24197CB9}">
      <dgm:prSet phldrT="[טקסט]" custT="1"/>
      <dgm:spPr>
        <a:xfrm>
          <a:off x="3341014" y="65840"/>
          <a:ext cx="1879320" cy="1068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2500">
              <a:solidFill>
                <a:sysClr val="window" lastClr="FFFFFF"/>
              </a:solidFill>
              <a:latin typeface="Calibri"/>
              <a:ea typeface="+mn-ea"/>
              <a:cs typeface="Arial" panose="020B0604020202020204" pitchFamily="34" charset="0"/>
            </a:rPr>
            <a:t>השוואתיות</a:t>
          </a:r>
          <a:r>
            <a:rPr lang="he-IL" sz="2900">
              <a:solidFill>
                <a:sysClr val="window" lastClr="FFFFFF"/>
              </a:solidFill>
              <a:latin typeface="Calibri"/>
              <a:ea typeface="+mn-ea"/>
              <a:cs typeface="Arial" panose="020B0604020202020204" pitchFamily="34" charset="0"/>
            </a:rPr>
            <a:t> </a:t>
          </a:r>
        </a:p>
      </dgm:t>
    </dgm:pt>
    <dgm:pt modelId="{BD73689F-DBB9-4E3B-98AD-55A893783B6B}" type="parTrans" cxnId="{FC41FBC2-2618-4CC0-81DC-9A399FEC3157}">
      <dgm:prSet/>
      <dgm:spPr/>
      <dgm:t>
        <a:bodyPr/>
        <a:lstStyle/>
        <a:p>
          <a:pPr rtl="1"/>
          <a:endParaRPr lang="he-IL"/>
        </a:p>
      </dgm:t>
    </dgm:pt>
    <dgm:pt modelId="{0E05A292-FF3E-4210-9774-2085999F5BA6}" type="sibTrans" cxnId="{FC41FBC2-2618-4CC0-81DC-9A399FEC3157}">
      <dgm:prSet/>
      <dgm:spPr/>
      <dgm:t>
        <a:bodyPr/>
        <a:lstStyle/>
        <a:p>
          <a:pPr rtl="1"/>
          <a:endParaRPr lang="he-IL"/>
        </a:p>
      </dgm:t>
    </dgm:pt>
    <dgm:pt modelId="{C96C7317-CDC1-472C-8DD7-8F196572BDA5}">
      <dgm:prSet phldrT="[טקסט]"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r" rtl="1"/>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EA80E162-2256-48FB-B741-DC2A01719997}" type="parTrans" cxnId="{845795B7-70B6-4CCB-87CB-6BF5A8338E56}">
      <dgm:prSet/>
      <dgm:spPr/>
      <dgm:t>
        <a:bodyPr/>
        <a:lstStyle/>
        <a:p>
          <a:pPr rtl="1"/>
          <a:endParaRPr lang="he-IL"/>
        </a:p>
      </dgm:t>
    </dgm:pt>
    <dgm:pt modelId="{3F641ACC-34EB-47A9-90D5-B091D104A0EB}" type="sibTrans" cxnId="{845795B7-70B6-4CCB-87CB-6BF5A8338E56}">
      <dgm:prSet/>
      <dgm:spPr/>
      <dgm:t>
        <a:bodyPr/>
        <a:lstStyle/>
        <a:p>
          <a:pPr rtl="1"/>
          <a:endParaRPr lang="he-IL"/>
        </a:p>
      </dgm:t>
    </dgm:pt>
    <dgm:pt modelId="{769B9946-DA98-4925-838B-758CB2770A06}">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שיפור השוואתיות המידע הכספי המדווח על ידי ישויות ממשלתיות ברחבי העולם</a:t>
          </a:r>
        </a:p>
      </dgm:t>
    </dgm:pt>
    <dgm:pt modelId="{EB702BA1-BDFA-4A77-B939-0A483AEA0460}" type="parTrans" cxnId="{1D9C698C-887C-486D-88FE-426EF3224EF2}">
      <dgm:prSet/>
      <dgm:spPr/>
      <dgm:t>
        <a:bodyPr/>
        <a:lstStyle/>
        <a:p>
          <a:pPr rtl="1"/>
          <a:endParaRPr lang="he-IL"/>
        </a:p>
      </dgm:t>
    </dgm:pt>
    <dgm:pt modelId="{7F92B5FC-C90B-4695-AB5A-864BFDE7BCAA}" type="sibTrans" cxnId="{1D9C698C-887C-486D-88FE-426EF3224EF2}">
      <dgm:prSet/>
      <dgm:spPr/>
      <dgm:t>
        <a:bodyPr/>
        <a:lstStyle/>
        <a:p>
          <a:pPr rtl="1"/>
          <a:endParaRPr lang="he-IL"/>
        </a:p>
      </dgm:t>
    </dgm:pt>
    <dgm:pt modelId="{C8683C19-CCFC-4701-8AC1-8F28F20EB636}">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r" rtl="1"/>
          <a:endParaRPr lang="he-IL" sz="1000">
            <a:solidFill>
              <a:sysClr val="windowText" lastClr="000000">
                <a:hueOff val="0"/>
                <a:satOff val="0"/>
                <a:lumOff val="0"/>
                <a:alphaOff val="0"/>
              </a:sysClr>
            </a:solidFill>
            <a:latin typeface="Calibri"/>
            <a:ea typeface="+mn-ea"/>
            <a:cs typeface="Arial" panose="020B0604020202020204" pitchFamily="34" charset="0"/>
          </a:endParaRPr>
        </a:p>
      </dgm:t>
    </dgm:pt>
    <dgm:pt modelId="{65F8FC54-80EE-48A5-8CCA-F48781156E59}" type="parTrans" cxnId="{2BA3EEC3-D82D-4E70-87DE-A40948E06636}">
      <dgm:prSet/>
      <dgm:spPr/>
      <dgm:t>
        <a:bodyPr/>
        <a:lstStyle/>
        <a:p>
          <a:pPr rtl="1"/>
          <a:endParaRPr lang="he-IL"/>
        </a:p>
      </dgm:t>
    </dgm:pt>
    <dgm:pt modelId="{17FE1F90-1171-4633-9E62-CC0FDC666701}" type="sibTrans" cxnId="{2BA3EEC3-D82D-4E70-87DE-A40948E06636}">
      <dgm:prSet/>
      <dgm:spPr/>
      <dgm:t>
        <a:bodyPr/>
        <a:lstStyle/>
        <a:p>
          <a:pPr rtl="1"/>
          <a:endParaRPr lang="he-IL"/>
        </a:p>
      </dgm:t>
    </dgm:pt>
    <dgm:pt modelId="{07ADCE7C-B1CD-4754-A37B-1E6825BCEE03}">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עקביות המידע המוצג בדוחות הכספיים</a:t>
          </a:r>
        </a:p>
      </dgm:t>
    </dgm:pt>
    <dgm:pt modelId="{3322D7DF-FCAC-4FED-BFD3-794EF3AC0DAA}" type="parTrans" cxnId="{C7EB8170-3295-4BB4-A84C-5CE5DD89B503}">
      <dgm:prSet/>
      <dgm:spPr/>
      <dgm:t>
        <a:bodyPr/>
        <a:lstStyle/>
        <a:p>
          <a:pPr rtl="1"/>
          <a:endParaRPr lang="he-IL"/>
        </a:p>
      </dgm:t>
    </dgm:pt>
    <dgm:pt modelId="{C28EAAC9-491B-419E-B6E8-DD1F3B23666C}" type="sibTrans" cxnId="{C7EB8170-3295-4BB4-A84C-5CE5DD89B503}">
      <dgm:prSet/>
      <dgm:spPr/>
      <dgm:t>
        <a:bodyPr/>
        <a:lstStyle/>
        <a:p>
          <a:pPr rtl="1"/>
          <a:endParaRPr lang="he-IL"/>
        </a:p>
      </dgm:t>
    </dgm:pt>
    <dgm:pt modelId="{25B0A222-3BC5-4154-8EC1-0C44E53A4F1E}">
      <dgm:prSet custT="1"/>
      <dgm:spPr>
        <a:xfrm rot="16200000">
          <a:off x="1190916" y="-1070432"/>
          <a:ext cx="959182" cy="334101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just" rtl="1"/>
          <a:r>
            <a:rPr lang="he-IL" sz="1000">
              <a:solidFill>
                <a:sysClr val="windowText" lastClr="000000">
                  <a:hueOff val="0"/>
                  <a:satOff val="0"/>
                  <a:lumOff val="0"/>
                  <a:alphaOff val="0"/>
                </a:sysClr>
              </a:solidFill>
              <a:latin typeface="Calibri"/>
              <a:ea typeface="+mn-ea"/>
              <a:cs typeface="Arial" panose="020B0604020202020204" pitchFamily="34" charset="0"/>
            </a:rPr>
            <a:t>שיפור השוואתיות המידע הכספי בין משרדי הממשלה השונים </a:t>
          </a:r>
        </a:p>
      </dgm:t>
    </dgm:pt>
    <dgm:pt modelId="{5CC7C073-6DA3-4A39-92E5-0A98D8829E91}" type="parTrans" cxnId="{73D78507-CF14-4534-8216-D0A26DE22D65}">
      <dgm:prSet/>
      <dgm:spPr/>
      <dgm:t>
        <a:bodyPr/>
        <a:lstStyle/>
        <a:p>
          <a:pPr rtl="1"/>
          <a:endParaRPr lang="he-IL"/>
        </a:p>
      </dgm:t>
    </dgm:pt>
    <dgm:pt modelId="{BC38976A-A23E-48E3-84EA-003D27648DDE}" type="sibTrans" cxnId="{73D78507-CF14-4534-8216-D0A26DE22D65}">
      <dgm:prSet/>
      <dgm:spPr/>
      <dgm:t>
        <a:bodyPr/>
        <a:lstStyle/>
        <a:p>
          <a:pPr rtl="1"/>
          <a:endParaRPr lang="he-IL"/>
        </a:p>
      </dgm:t>
    </dgm:pt>
    <dgm:pt modelId="{85345874-F93E-4938-9E49-0C76FA637845}" type="pres">
      <dgm:prSet presAssocID="{99C023D4-4AC4-4316-BA18-FEE253276256}" presName="Name0" presStyleCnt="0">
        <dgm:presLayoutVars>
          <dgm:dir val="rev"/>
          <dgm:animLvl val="lvl"/>
          <dgm:resizeHandles val="exact"/>
        </dgm:presLayoutVars>
      </dgm:prSet>
      <dgm:spPr/>
    </dgm:pt>
    <dgm:pt modelId="{FA03AE56-3AB2-472E-A281-3A065D36B054}" type="pres">
      <dgm:prSet presAssocID="{A7DC06A1-4B42-4D0A-84E5-4C6B24197CB9}" presName="linNode" presStyleCnt="0"/>
      <dgm:spPr/>
    </dgm:pt>
    <dgm:pt modelId="{29AE579A-1657-4783-95A9-B28B65EE4879}" type="pres">
      <dgm:prSet presAssocID="{A7DC06A1-4B42-4D0A-84E5-4C6B24197CB9}" presName="parentText" presStyleLbl="node1" presStyleIdx="0" presStyleCnt="1" custScaleY="89115">
        <dgm:presLayoutVars>
          <dgm:chMax val="1"/>
          <dgm:bulletEnabled val="1"/>
        </dgm:presLayoutVars>
      </dgm:prSet>
      <dgm:spPr>
        <a:prstGeom prst="roundRect">
          <a:avLst/>
        </a:prstGeom>
      </dgm:spPr>
    </dgm:pt>
    <dgm:pt modelId="{F384486E-FE92-4997-BA82-36C3ABD6011C}" type="pres">
      <dgm:prSet presAssocID="{A7DC06A1-4B42-4D0A-84E5-4C6B24197CB9}" presName="descendantText" presStyleLbl="alignAccFollowNode1" presStyleIdx="0" presStyleCnt="1">
        <dgm:presLayoutVars>
          <dgm:bulletEnabled val="1"/>
        </dgm:presLayoutVars>
      </dgm:prSet>
      <dgm:spPr>
        <a:prstGeom prst="round2SameRect">
          <a:avLst/>
        </a:prstGeom>
      </dgm:spPr>
    </dgm:pt>
  </dgm:ptLst>
  <dgm:cxnLst>
    <dgm:cxn modelId="{73D78507-CF14-4534-8216-D0A26DE22D65}" srcId="{A7DC06A1-4B42-4D0A-84E5-4C6B24197CB9}" destId="{25B0A222-3BC5-4154-8EC1-0C44E53A4F1E}" srcOrd="2" destOrd="0" parTransId="{5CC7C073-6DA3-4A39-92E5-0A98D8829E91}" sibTransId="{BC38976A-A23E-48E3-84EA-003D27648DDE}"/>
    <dgm:cxn modelId="{7BABB012-0F9E-4A83-9C0F-4A3E4540D1BF}" type="presOf" srcId="{25B0A222-3BC5-4154-8EC1-0C44E53A4F1E}" destId="{F384486E-FE92-4997-BA82-36C3ABD6011C}" srcOrd="0" destOrd="2" presId="urn:microsoft.com/office/officeart/2005/8/layout/vList5"/>
    <dgm:cxn modelId="{43263243-4E5C-4053-84EB-D7CE463C8EA2}" type="presOf" srcId="{769B9946-DA98-4925-838B-758CB2770A06}" destId="{F384486E-FE92-4997-BA82-36C3ABD6011C}" srcOrd="0" destOrd="1" presId="urn:microsoft.com/office/officeart/2005/8/layout/vList5"/>
    <dgm:cxn modelId="{C7EB8170-3295-4BB4-A84C-5CE5DD89B503}" srcId="{A7DC06A1-4B42-4D0A-84E5-4C6B24197CB9}" destId="{07ADCE7C-B1CD-4754-A37B-1E6825BCEE03}" srcOrd="3" destOrd="0" parTransId="{3322D7DF-FCAC-4FED-BFD3-794EF3AC0DAA}" sibTransId="{C28EAAC9-491B-419E-B6E8-DD1F3B23666C}"/>
    <dgm:cxn modelId="{35191754-B241-4089-99FB-ECD7C4EE2F5C}" type="presOf" srcId="{C8683C19-CCFC-4701-8AC1-8F28F20EB636}" destId="{F384486E-FE92-4997-BA82-36C3ABD6011C}" srcOrd="0" destOrd="4" presId="urn:microsoft.com/office/officeart/2005/8/layout/vList5"/>
    <dgm:cxn modelId="{83521682-54BA-4B28-973F-762D4E11C50C}" type="presOf" srcId="{07ADCE7C-B1CD-4754-A37B-1E6825BCEE03}" destId="{F384486E-FE92-4997-BA82-36C3ABD6011C}" srcOrd="0" destOrd="3" presId="urn:microsoft.com/office/officeart/2005/8/layout/vList5"/>
    <dgm:cxn modelId="{1D9C698C-887C-486D-88FE-426EF3224EF2}" srcId="{A7DC06A1-4B42-4D0A-84E5-4C6B24197CB9}" destId="{769B9946-DA98-4925-838B-758CB2770A06}" srcOrd="1" destOrd="0" parTransId="{EB702BA1-BDFA-4A77-B939-0A483AEA0460}" sibTransId="{7F92B5FC-C90B-4695-AB5A-864BFDE7BCAA}"/>
    <dgm:cxn modelId="{4CB3FB92-DD54-413E-B1ED-9A8C8DDADF4D}" type="presOf" srcId="{C96C7317-CDC1-472C-8DD7-8F196572BDA5}" destId="{F384486E-FE92-4997-BA82-36C3ABD6011C}" srcOrd="0" destOrd="0" presId="urn:microsoft.com/office/officeart/2005/8/layout/vList5"/>
    <dgm:cxn modelId="{EF170293-44A2-4927-8A1B-9D8107530177}" type="presOf" srcId="{99C023D4-4AC4-4316-BA18-FEE253276256}" destId="{85345874-F93E-4938-9E49-0C76FA637845}" srcOrd="0" destOrd="0" presId="urn:microsoft.com/office/officeart/2005/8/layout/vList5"/>
    <dgm:cxn modelId="{845795B7-70B6-4CCB-87CB-6BF5A8338E56}" srcId="{A7DC06A1-4B42-4D0A-84E5-4C6B24197CB9}" destId="{C96C7317-CDC1-472C-8DD7-8F196572BDA5}" srcOrd="0" destOrd="0" parTransId="{EA80E162-2256-48FB-B741-DC2A01719997}" sibTransId="{3F641ACC-34EB-47A9-90D5-B091D104A0EB}"/>
    <dgm:cxn modelId="{FC41FBC2-2618-4CC0-81DC-9A399FEC3157}" srcId="{99C023D4-4AC4-4316-BA18-FEE253276256}" destId="{A7DC06A1-4B42-4D0A-84E5-4C6B24197CB9}" srcOrd="0" destOrd="0" parTransId="{BD73689F-DBB9-4E3B-98AD-55A893783B6B}" sibTransId="{0E05A292-FF3E-4210-9774-2085999F5BA6}"/>
    <dgm:cxn modelId="{2BA3EEC3-D82D-4E70-87DE-A40948E06636}" srcId="{A7DC06A1-4B42-4D0A-84E5-4C6B24197CB9}" destId="{C8683C19-CCFC-4701-8AC1-8F28F20EB636}" srcOrd="4" destOrd="0" parTransId="{65F8FC54-80EE-48A5-8CCA-F48781156E59}" sibTransId="{17FE1F90-1171-4633-9E62-CC0FDC666701}"/>
    <dgm:cxn modelId="{237C8BE7-F001-40A5-91FF-732677F23160}" type="presOf" srcId="{A7DC06A1-4B42-4D0A-84E5-4C6B24197CB9}" destId="{29AE579A-1657-4783-95A9-B28B65EE4879}" srcOrd="0" destOrd="0" presId="urn:microsoft.com/office/officeart/2005/8/layout/vList5"/>
    <dgm:cxn modelId="{384DAB81-1237-4E2A-84A5-15ECA178C07B}" type="presParOf" srcId="{85345874-F93E-4938-9E49-0C76FA637845}" destId="{FA03AE56-3AB2-472E-A281-3A065D36B054}" srcOrd="0" destOrd="0" presId="urn:microsoft.com/office/officeart/2005/8/layout/vList5"/>
    <dgm:cxn modelId="{0D924492-F5A9-44BC-A3AF-C29081A9507A}" type="presParOf" srcId="{FA03AE56-3AB2-472E-A281-3A065D36B054}" destId="{29AE579A-1657-4783-95A9-B28B65EE4879}" srcOrd="0" destOrd="0" presId="urn:microsoft.com/office/officeart/2005/8/layout/vList5"/>
    <dgm:cxn modelId="{D510281A-C5AB-4F23-B9B7-091651503E25}" type="presParOf" srcId="{FA03AE56-3AB2-472E-A281-3A065D36B054}" destId="{F384486E-FE92-4997-BA82-36C3ABD6011C}"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C0A421-A5C7-4E2C-94B6-5728C35AAF70}"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pPr rtl="1"/>
          <a:endParaRPr lang="he-IL"/>
        </a:p>
      </dgm:t>
    </dgm:pt>
    <dgm:pt modelId="{5964DE01-AAC4-453B-934A-984967CE2006}">
      <dgm:prSet phldrT="[טקסט]"/>
      <dgm:spPr>
        <a:xfrm>
          <a:off x="336500" y="0"/>
          <a:ext cx="1660086" cy="651245"/>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he-IL">
              <a:solidFill>
                <a:sysClr val="windowText" lastClr="000000">
                  <a:hueOff val="0"/>
                  <a:satOff val="0"/>
                  <a:lumOff val="0"/>
                  <a:alphaOff val="0"/>
                </a:sysClr>
              </a:solidFill>
              <a:latin typeface="Calibri"/>
              <a:ea typeface="+mn-ea"/>
              <a:cs typeface="Arial" panose="020B0604020202020204" pitchFamily="34" charset="0"/>
            </a:rPr>
            <a:t>צד ההתחייבויות </a:t>
          </a:r>
        </a:p>
      </dgm:t>
    </dgm:pt>
    <dgm:pt modelId="{0162032F-7584-4EBF-B4D5-49CCD720CBC6}" type="parTrans" cxnId="{428D7FFC-5FE8-41A1-8FFB-3C314D9EEADD}">
      <dgm:prSet/>
      <dgm:spPr/>
      <dgm:t>
        <a:bodyPr/>
        <a:lstStyle/>
        <a:p>
          <a:pPr rtl="1"/>
          <a:endParaRPr lang="he-IL"/>
        </a:p>
      </dgm:t>
    </dgm:pt>
    <dgm:pt modelId="{2F0AAD99-CAFC-43D9-A5BD-33455F00EE9B}" type="sibTrans" cxnId="{428D7FFC-5FE8-41A1-8FFB-3C314D9EEADD}">
      <dgm:prSet/>
      <dgm:spPr/>
      <dgm:t>
        <a:bodyPr/>
        <a:lstStyle/>
        <a:p>
          <a:pPr rtl="1"/>
          <a:endParaRPr lang="he-IL"/>
        </a:p>
      </dgm:t>
    </dgm:pt>
    <dgm:pt modelId="{2D8329F1-1BC6-42FB-9CBE-C6B34D31D0AD}">
      <dgm:prSet phldrT="[טקסט]" custT="1"/>
      <dgm:spPr>
        <a:xfrm rot="240000">
          <a:off x="719345" y="1490814"/>
          <a:ext cx="1444945" cy="6434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הפרשה לתביעות משפטיות 8.2 מיליארד ש"ח </a:t>
          </a:r>
        </a:p>
      </dgm:t>
    </dgm:pt>
    <dgm:pt modelId="{2092D65A-68A7-4E38-BCC3-968F2972B8AC}" type="parTrans" cxnId="{A6E3E90E-33D7-43DC-835A-F2B6F74B31E0}">
      <dgm:prSet/>
      <dgm:spPr/>
      <dgm:t>
        <a:bodyPr/>
        <a:lstStyle/>
        <a:p>
          <a:pPr rtl="1"/>
          <a:endParaRPr lang="he-IL"/>
        </a:p>
      </dgm:t>
    </dgm:pt>
    <dgm:pt modelId="{6CCAF2AC-261F-444A-800E-17619EA59BD9}" type="sibTrans" cxnId="{A6E3E90E-33D7-43DC-835A-F2B6F74B31E0}">
      <dgm:prSet/>
      <dgm:spPr/>
      <dgm:t>
        <a:bodyPr/>
        <a:lstStyle/>
        <a:p>
          <a:pPr rtl="1"/>
          <a:endParaRPr lang="he-IL"/>
        </a:p>
      </dgm:t>
    </dgm:pt>
    <dgm:pt modelId="{1BAA05F7-75EB-44AE-8C30-9CB3D1F4B5E1}">
      <dgm:prSet phldrT="[טקסט]" custT="1"/>
      <dgm:spPr>
        <a:xfrm rot="240000">
          <a:off x="756148" y="884809"/>
          <a:ext cx="1475128" cy="6063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התחייבויות בגין זכויות עובדים 681.7 מיליארד ש"ח </a:t>
          </a:r>
        </a:p>
      </dgm:t>
    </dgm:pt>
    <dgm:pt modelId="{81CF250C-A50B-4201-BE3C-334D3ED40C10}" type="parTrans" cxnId="{F341CFB5-C4BA-44E7-AC5D-BE436B08BD67}">
      <dgm:prSet/>
      <dgm:spPr/>
      <dgm:t>
        <a:bodyPr/>
        <a:lstStyle/>
        <a:p>
          <a:pPr rtl="1"/>
          <a:endParaRPr lang="he-IL"/>
        </a:p>
      </dgm:t>
    </dgm:pt>
    <dgm:pt modelId="{2C362D51-5871-4973-9508-5067B7344D35}" type="sibTrans" cxnId="{F341CFB5-C4BA-44E7-AC5D-BE436B08BD67}">
      <dgm:prSet/>
      <dgm:spPr/>
      <dgm:t>
        <a:bodyPr/>
        <a:lstStyle/>
        <a:p>
          <a:pPr rtl="1"/>
          <a:endParaRPr lang="he-IL"/>
        </a:p>
      </dgm:t>
    </dgm:pt>
    <dgm:pt modelId="{38F278C8-408B-47DC-9B8E-49C0CFC980D8}">
      <dgm:prSet phldrT="[טקסט]"/>
      <dgm:spPr>
        <a:xfrm>
          <a:off x="2446825" y="957"/>
          <a:ext cx="1969647" cy="618078"/>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he-IL">
              <a:solidFill>
                <a:sysClr val="windowText" lastClr="000000">
                  <a:hueOff val="0"/>
                  <a:satOff val="0"/>
                  <a:lumOff val="0"/>
                  <a:alphaOff val="0"/>
                </a:sysClr>
              </a:solidFill>
              <a:latin typeface="Calibri"/>
              <a:ea typeface="+mn-ea"/>
              <a:cs typeface="Arial" panose="020B0604020202020204" pitchFamily="34" charset="0"/>
            </a:rPr>
            <a:t>צד הנכסים</a:t>
          </a:r>
        </a:p>
      </dgm:t>
    </dgm:pt>
    <dgm:pt modelId="{991F049D-E98F-4BF6-8E2E-1FAFC9A43384}" type="parTrans" cxnId="{DC73BA87-6358-4AC1-8F42-1B57B0F67408}">
      <dgm:prSet/>
      <dgm:spPr/>
      <dgm:t>
        <a:bodyPr/>
        <a:lstStyle/>
        <a:p>
          <a:pPr rtl="1"/>
          <a:endParaRPr lang="he-IL"/>
        </a:p>
      </dgm:t>
    </dgm:pt>
    <dgm:pt modelId="{14CE24D2-989B-4103-BFAF-8B4ECD1E063B}" type="sibTrans" cxnId="{DC73BA87-6358-4AC1-8F42-1B57B0F67408}">
      <dgm:prSet/>
      <dgm:spPr/>
      <dgm:t>
        <a:bodyPr/>
        <a:lstStyle/>
        <a:p>
          <a:pPr rtl="1"/>
          <a:endParaRPr lang="he-IL"/>
        </a:p>
      </dgm:t>
    </dgm:pt>
    <dgm:pt modelId="{3CE25FDF-0245-4364-91AB-56561F12716F}">
      <dgm:prSet phldrT="[טקסט]" custT="1"/>
      <dgm:spPr>
        <a:xfrm rot="240000">
          <a:off x="2240733" y="2120645"/>
          <a:ext cx="2075429" cy="5975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קרקעות בשווי של כ-523 מיליארד ש"ח </a:t>
          </a:r>
        </a:p>
      </dgm:t>
    </dgm:pt>
    <dgm:pt modelId="{D95F4FB2-A762-4ED7-961F-DEDF271D6020}" type="parTrans" cxnId="{AD0A2350-1549-4544-86EB-037804D86AAB}">
      <dgm:prSet/>
      <dgm:spPr/>
      <dgm:t>
        <a:bodyPr/>
        <a:lstStyle/>
        <a:p>
          <a:pPr rtl="1"/>
          <a:endParaRPr lang="he-IL"/>
        </a:p>
      </dgm:t>
    </dgm:pt>
    <dgm:pt modelId="{C567F599-16E1-473C-883F-93F386A978A0}" type="sibTrans" cxnId="{AD0A2350-1549-4544-86EB-037804D86AAB}">
      <dgm:prSet/>
      <dgm:spPr/>
      <dgm:t>
        <a:bodyPr/>
        <a:lstStyle/>
        <a:p>
          <a:pPr rtl="1"/>
          <a:endParaRPr lang="he-IL"/>
        </a:p>
      </dgm:t>
    </dgm:pt>
    <dgm:pt modelId="{6C00220B-28D6-4F9E-B20C-B99E7D23117D}">
      <dgm:prSet phldrT="[טקסט]" custT="1"/>
      <dgm:spPr>
        <a:xfrm rot="240000">
          <a:off x="2411627" y="703239"/>
          <a:ext cx="2075937" cy="5539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מלאי שוטף - 6.9 מיליארד ש"ח מלאי בלתי שוטף - 3.5 מיליארד ש"ח </a:t>
          </a:r>
        </a:p>
      </dgm:t>
    </dgm:pt>
    <dgm:pt modelId="{ACF1CDDE-F069-464D-8271-814C1FC393D6}" type="parTrans" cxnId="{39A908FE-6458-41A0-A674-7E72BF96D7D7}">
      <dgm:prSet/>
      <dgm:spPr/>
      <dgm:t>
        <a:bodyPr/>
        <a:lstStyle/>
        <a:p>
          <a:pPr rtl="1"/>
          <a:endParaRPr lang="he-IL"/>
        </a:p>
      </dgm:t>
    </dgm:pt>
    <dgm:pt modelId="{1673E0E5-078A-4C87-9FAF-3A6B5BC6507B}" type="sibTrans" cxnId="{39A908FE-6458-41A0-A674-7E72BF96D7D7}">
      <dgm:prSet/>
      <dgm:spPr/>
      <dgm:t>
        <a:bodyPr/>
        <a:lstStyle/>
        <a:p>
          <a:pPr rtl="1"/>
          <a:endParaRPr lang="he-IL"/>
        </a:p>
      </dgm:t>
    </dgm:pt>
    <dgm:pt modelId="{45DA12E7-B451-4295-84B4-8853AA85E862}">
      <dgm:prSet phldrT="[טקסט]"/>
      <dgm:spPr/>
      <dgm:t>
        <a:bodyPr/>
        <a:lstStyle/>
        <a:p>
          <a:pPr rtl="1"/>
          <a:endParaRPr lang="he-IL"/>
        </a:p>
      </dgm:t>
    </dgm:pt>
    <dgm:pt modelId="{8D595276-CDEB-4987-8A96-119B241E3509}" type="parTrans" cxnId="{187F2CE3-DE52-4E5E-A04C-9BED38E5460A}">
      <dgm:prSet/>
      <dgm:spPr/>
      <dgm:t>
        <a:bodyPr/>
        <a:lstStyle/>
        <a:p>
          <a:pPr rtl="1"/>
          <a:endParaRPr lang="he-IL"/>
        </a:p>
      </dgm:t>
    </dgm:pt>
    <dgm:pt modelId="{6DEE3F4F-5278-451B-A631-AA9F901C4D1F}" type="sibTrans" cxnId="{187F2CE3-DE52-4E5E-A04C-9BED38E5460A}">
      <dgm:prSet/>
      <dgm:spPr/>
      <dgm:t>
        <a:bodyPr/>
        <a:lstStyle/>
        <a:p>
          <a:pPr rtl="1"/>
          <a:endParaRPr lang="he-IL"/>
        </a:p>
      </dgm:t>
    </dgm:pt>
    <dgm:pt modelId="{B6CE1D93-B791-4624-851E-DD261229E1B0}">
      <dgm:prSet custT="1"/>
      <dgm:spPr>
        <a:xfrm rot="240000">
          <a:off x="2327593" y="1300738"/>
          <a:ext cx="2107302" cy="42229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חייבים בגין תמלוגים- 10.2 מיליארד ש"ח </a:t>
          </a:r>
        </a:p>
      </dgm:t>
    </dgm:pt>
    <dgm:pt modelId="{3710E298-E288-4D9A-94D7-48B6192D407E}" type="parTrans" cxnId="{16F21AF3-F769-44CE-A9FF-A595CEBA57B2}">
      <dgm:prSet/>
      <dgm:spPr/>
      <dgm:t>
        <a:bodyPr/>
        <a:lstStyle/>
        <a:p>
          <a:pPr rtl="1"/>
          <a:endParaRPr lang="he-IL"/>
        </a:p>
      </dgm:t>
    </dgm:pt>
    <dgm:pt modelId="{E48AC354-7ADD-4A64-9382-06C62961F827}" type="sibTrans" cxnId="{16F21AF3-F769-44CE-A9FF-A595CEBA57B2}">
      <dgm:prSet/>
      <dgm:spPr/>
      <dgm:t>
        <a:bodyPr/>
        <a:lstStyle/>
        <a:p>
          <a:pPr rtl="1"/>
          <a:endParaRPr lang="he-IL"/>
        </a:p>
      </dgm:t>
    </dgm:pt>
    <dgm:pt modelId="{19D2FB65-7D8B-46F0-B585-F54BA63A38D0}">
      <dgm:prSet custT="1"/>
      <dgm:spPr>
        <a:xfrm rot="240000">
          <a:off x="637843" y="2139381"/>
          <a:ext cx="1490604" cy="41093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התחייבויות תלויות - ?</a:t>
          </a:r>
        </a:p>
      </dgm:t>
    </dgm:pt>
    <dgm:pt modelId="{05C3A72C-E3C3-4AB8-BF79-9043A294D8A5}" type="parTrans" cxnId="{BC56F60C-4352-4CAC-9CFF-58211C3BE352}">
      <dgm:prSet/>
      <dgm:spPr/>
      <dgm:t>
        <a:bodyPr/>
        <a:lstStyle/>
        <a:p>
          <a:pPr rtl="1"/>
          <a:endParaRPr lang="he-IL"/>
        </a:p>
      </dgm:t>
    </dgm:pt>
    <dgm:pt modelId="{6B7C5C45-B192-4500-8BAF-BB1BB45F4A0D}" type="sibTrans" cxnId="{BC56F60C-4352-4CAC-9CFF-58211C3BE352}">
      <dgm:prSet/>
      <dgm:spPr/>
      <dgm:t>
        <a:bodyPr/>
        <a:lstStyle/>
        <a:p>
          <a:pPr rtl="1"/>
          <a:endParaRPr lang="he-IL"/>
        </a:p>
      </dgm:t>
    </dgm:pt>
    <dgm:pt modelId="{0843D054-E53A-4590-8EA6-9AD31DC36194}">
      <dgm:prSet phldrT="[טקסט]" custT="1"/>
      <dgm:spPr>
        <a:xfrm rot="240000">
          <a:off x="2324951" y="1748294"/>
          <a:ext cx="2069304" cy="38263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he-IL" sz="1200">
              <a:solidFill>
                <a:sysClr val="window" lastClr="FFFFFF"/>
              </a:solidFill>
              <a:latin typeface="Calibri"/>
              <a:ea typeface="+mn-ea"/>
              <a:cs typeface="Arial" panose="020B0604020202020204" pitchFamily="34" charset="0"/>
            </a:rPr>
            <a:t>נכסים בלתי מוחשיים- 5.3 מיליארד ש"ח </a:t>
          </a:r>
        </a:p>
      </dgm:t>
    </dgm:pt>
    <dgm:pt modelId="{3C8A6D2A-3F5A-4575-924C-9BD4454BA8C5}" type="parTrans" cxnId="{87B5E928-F56C-40B9-B511-366286AEA345}">
      <dgm:prSet/>
      <dgm:spPr/>
      <dgm:t>
        <a:bodyPr/>
        <a:lstStyle/>
        <a:p>
          <a:pPr rtl="1"/>
          <a:endParaRPr lang="he-IL"/>
        </a:p>
      </dgm:t>
    </dgm:pt>
    <dgm:pt modelId="{7E0B8839-83A8-40A4-85BA-DE9984756CA5}" type="sibTrans" cxnId="{87B5E928-F56C-40B9-B511-366286AEA345}">
      <dgm:prSet/>
      <dgm:spPr/>
      <dgm:t>
        <a:bodyPr/>
        <a:lstStyle/>
        <a:p>
          <a:pPr rtl="1"/>
          <a:endParaRPr lang="he-IL"/>
        </a:p>
      </dgm:t>
    </dgm:pt>
    <dgm:pt modelId="{2BFFBBDD-905F-40BA-BD10-971304F1E78A}" type="pres">
      <dgm:prSet presAssocID="{2BC0A421-A5C7-4E2C-94B6-5728C35AAF70}" presName="outerComposite" presStyleCnt="0">
        <dgm:presLayoutVars>
          <dgm:chMax val="2"/>
          <dgm:animLvl val="lvl"/>
          <dgm:resizeHandles val="exact"/>
        </dgm:presLayoutVars>
      </dgm:prSet>
      <dgm:spPr/>
    </dgm:pt>
    <dgm:pt modelId="{B4BEF6C8-E8A6-4B68-8A37-38447497C508}" type="pres">
      <dgm:prSet presAssocID="{2BC0A421-A5C7-4E2C-94B6-5728C35AAF70}" presName="dummyMaxCanvas" presStyleCnt="0"/>
      <dgm:spPr/>
    </dgm:pt>
    <dgm:pt modelId="{53971D8E-1E1E-4579-B841-B892EEDA0FE3}" type="pres">
      <dgm:prSet presAssocID="{2BC0A421-A5C7-4E2C-94B6-5728C35AAF70}" presName="parentComposite" presStyleCnt="0"/>
      <dgm:spPr/>
    </dgm:pt>
    <dgm:pt modelId="{7F27F78D-8BDF-4C31-8C27-85831ADAC947}" type="pres">
      <dgm:prSet presAssocID="{2BC0A421-A5C7-4E2C-94B6-5728C35AAF70}" presName="parent1" presStyleLbl="alignAccFollowNode1" presStyleIdx="0" presStyleCnt="4" custScaleX="152494" custScaleY="107681" custLinFactNeighborX="-63749" custLinFactNeighborY="-17068">
        <dgm:presLayoutVars>
          <dgm:chMax val="4"/>
        </dgm:presLayoutVars>
      </dgm:prSet>
      <dgm:spPr>
        <a:prstGeom prst="roundRect">
          <a:avLst>
            <a:gd name="adj" fmla="val 10000"/>
          </a:avLst>
        </a:prstGeom>
      </dgm:spPr>
    </dgm:pt>
    <dgm:pt modelId="{CA9356CA-BD4F-45BE-8174-A6AA6A1B3164}" type="pres">
      <dgm:prSet presAssocID="{2BC0A421-A5C7-4E2C-94B6-5728C35AAF70}" presName="parent2" presStyleLbl="alignAccFollowNode1" presStyleIdx="1" presStyleCnt="4" custScaleX="180930" custScaleY="102197" custLinFactNeighborX="-123" custLinFactNeighborY="-19188">
        <dgm:presLayoutVars>
          <dgm:chMax val="4"/>
        </dgm:presLayoutVars>
      </dgm:prSet>
      <dgm:spPr>
        <a:prstGeom prst="roundRect">
          <a:avLst>
            <a:gd name="adj" fmla="val 10000"/>
          </a:avLst>
        </a:prstGeom>
      </dgm:spPr>
    </dgm:pt>
    <dgm:pt modelId="{1108E54D-F68C-4D38-B23D-C360BE0871F1}" type="pres">
      <dgm:prSet presAssocID="{2BC0A421-A5C7-4E2C-94B6-5728C35AAF70}" presName="childrenComposite" presStyleCnt="0"/>
      <dgm:spPr/>
    </dgm:pt>
    <dgm:pt modelId="{C2F101D5-B3E2-4577-8329-E803C7EFB2CA}" type="pres">
      <dgm:prSet presAssocID="{2BC0A421-A5C7-4E2C-94B6-5728C35AAF70}" presName="dummyMaxCanvas_ChildArea" presStyleCnt="0"/>
      <dgm:spPr/>
    </dgm:pt>
    <dgm:pt modelId="{6B78085A-D438-4D02-ACC6-256949F53718}" type="pres">
      <dgm:prSet presAssocID="{2BC0A421-A5C7-4E2C-94B6-5728C35AAF70}" presName="fulcrum" presStyleLbl="alignAccFollowNode1" presStyleIdx="2" presStyleCnt="4" custLinFactNeighborX="9395" custLinFactNeighborY="21893"/>
      <dgm:spPr>
        <a:xfrm>
          <a:off x="2315899" y="2793315"/>
          <a:ext cx="453593" cy="453593"/>
        </a:xfrm>
        <a:prstGeom prst="triangl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9BE34AE0-5F9F-4D14-9B32-C6AE8CB800D6}" type="pres">
      <dgm:prSet presAssocID="{2BC0A421-A5C7-4E2C-94B6-5728C35AAF70}" presName="balance_34" presStyleLbl="alignAccFollowNode1" presStyleIdx="3" presStyleCnt="4" custScaleY="77865" custLinFactNeighborX="-2584" custLinFactNeighborY="31790">
        <dgm:presLayoutVars>
          <dgm:bulletEnabled val="1"/>
        </dgm:presLayoutVars>
      </dgm:prSet>
      <dgm:spPr>
        <a:xfrm rot="240000">
          <a:off x="1362046" y="2641450"/>
          <a:ext cx="2119790" cy="14823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2C7E119-43E3-4333-9F0A-BF6882747ECA}" type="pres">
      <dgm:prSet presAssocID="{2BC0A421-A5C7-4E2C-94B6-5728C35AAF70}" presName="right_34_1" presStyleLbl="node1" presStyleIdx="0" presStyleCnt="7" custScaleX="191354" custScaleY="165545" custLinFactNeighborX="-3452" custLinFactNeighborY="17026">
        <dgm:presLayoutVars>
          <dgm:bulletEnabled val="1"/>
        </dgm:presLayoutVars>
      </dgm:prSet>
      <dgm:spPr>
        <a:prstGeom prst="roundRect">
          <a:avLst/>
        </a:prstGeom>
      </dgm:spPr>
    </dgm:pt>
    <dgm:pt modelId="{42E392A8-D699-4E59-9BE9-734377D91FE9}" type="pres">
      <dgm:prSet presAssocID="{2BC0A421-A5C7-4E2C-94B6-5728C35AAF70}" presName="right_34_2" presStyleLbl="node1" presStyleIdx="1" presStyleCnt="7" custScaleX="189442" custScaleY="117541" custLinFactNeighborX="1161" custLinFactNeighborY="-996">
        <dgm:presLayoutVars>
          <dgm:bulletEnabled val="1"/>
        </dgm:presLayoutVars>
      </dgm:prSet>
      <dgm:spPr>
        <a:prstGeom prst="roundRect">
          <a:avLst/>
        </a:prstGeom>
      </dgm:spPr>
    </dgm:pt>
    <dgm:pt modelId="{85722321-8EEE-41F1-AE8F-0A5648AA4A31}" type="pres">
      <dgm:prSet presAssocID="{2BC0A421-A5C7-4E2C-94B6-5728C35AAF70}" presName="right_34_3" presStyleLbl="node1" presStyleIdx="2" presStyleCnt="7" custScaleX="193127" custScaleY="126974" custLinFactNeighborX="382" custLinFactNeighborY="-7378">
        <dgm:presLayoutVars>
          <dgm:bulletEnabled val="1"/>
        </dgm:presLayoutVars>
      </dgm:prSet>
      <dgm:spPr>
        <a:prstGeom prst="roundRect">
          <a:avLst/>
        </a:prstGeom>
      </dgm:spPr>
    </dgm:pt>
    <dgm:pt modelId="{60CDC157-BF57-4651-B77C-24E8EACF34E0}" type="pres">
      <dgm:prSet presAssocID="{2BC0A421-A5C7-4E2C-94B6-5728C35AAF70}" presName="right_34_4" presStyleLbl="node1" presStyleIdx="3" presStyleCnt="7" custScaleX="191124" custScaleY="155823" custLinFactNeighborX="3835" custLinFactNeighborY="-36990">
        <dgm:presLayoutVars>
          <dgm:bulletEnabled val="1"/>
        </dgm:presLayoutVars>
      </dgm:prSet>
      <dgm:spPr>
        <a:prstGeom prst="roundRect">
          <a:avLst/>
        </a:prstGeom>
      </dgm:spPr>
    </dgm:pt>
    <dgm:pt modelId="{3E71149C-D252-4990-895C-D244B23B41DD}" type="pres">
      <dgm:prSet presAssocID="{2BC0A421-A5C7-4E2C-94B6-5728C35AAF70}" presName="left_34_1" presStyleLbl="node1" presStyleIdx="4" presStyleCnt="7" custScaleX="137318" custScaleY="114830" custLinFactNeighborX="-32702" custLinFactNeighborY="24686">
        <dgm:presLayoutVars>
          <dgm:bulletEnabled val="1"/>
        </dgm:presLayoutVars>
      </dgm:prSet>
      <dgm:spPr>
        <a:prstGeom prst="roundRect">
          <a:avLst/>
        </a:prstGeom>
      </dgm:spPr>
    </dgm:pt>
    <dgm:pt modelId="{C432BC9D-9AB8-44F8-A4ED-2E6FEC1ECD3F}" type="pres">
      <dgm:prSet presAssocID="{2BC0A421-A5C7-4E2C-94B6-5728C35AAF70}" presName="left_34_2" presStyleLbl="node1" presStyleIdx="5" presStyleCnt="7" custScaleX="134661" custScaleY="165952" custLinFactNeighborX="-30126" custLinFactNeighborY="-5061">
        <dgm:presLayoutVars>
          <dgm:bulletEnabled val="1"/>
        </dgm:presLayoutVars>
      </dgm:prSet>
      <dgm:spPr>
        <a:prstGeom prst="roundRect">
          <a:avLst/>
        </a:prstGeom>
      </dgm:spPr>
    </dgm:pt>
    <dgm:pt modelId="{5035B56D-F4B8-4D63-B42C-B73B50979511}" type="pres">
      <dgm:prSet presAssocID="{2BC0A421-A5C7-4E2C-94B6-5728C35AAF70}" presName="left_34_3" presStyleLbl="node1" presStyleIdx="6" presStyleCnt="7" custScaleX="137154" custScaleY="158137" custLinFactNeighborX="-28164" custLinFactNeighborY="-55431">
        <dgm:presLayoutVars>
          <dgm:bulletEnabled val="1"/>
        </dgm:presLayoutVars>
      </dgm:prSet>
      <dgm:spPr>
        <a:prstGeom prst="roundRect">
          <a:avLst/>
        </a:prstGeom>
      </dgm:spPr>
    </dgm:pt>
  </dgm:ptLst>
  <dgm:cxnLst>
    <dgm:cxn modelId="{E9C7040C-C315-4E71-A95D-18AB9B286BC0}" type="presOf" srcId="{B6CE1D93-B791-4624-851E-DD261229E1B0}" destId="{85722321-8EEE-41F1-AE8F-0A5648AA4A31}" srcOrd="0" destOrd="0" presId="urn:microsoft.com/office/officeart/2005/8/layout/balance1"/>
    <dgm:cxn modelId="{BC56F60C-4352-4CAC-9CFF-58211C3BE352}" srcId="{5964DE01-AAC4-453B-934A-984967CE2006}" destId="{19D2FB65-7D8B-46F0-B585-F54BA63A38D0}" srcOrd="0" destOrd="0" parTransId="{05C3A72C-E3C3-4AB8-BF79-9043A294D8A5}" sibTransId="{6B7C5C45-B192-4500-8BAF-BB1BB45F4A0D}"/>
    <dgm:cxn modelId="{A6E3E90E-33D7-43DC-835A-F2B6F74B31E0}" srcId="{5964DE01-AAC4-453B-934A-984967CE2006}" destId="{2D8329F1-1BC6-42FB-9CBE-C6B34D31D0AD}" srcOrd="1" destOrd="0" parTransId="{2092D65A-68A7-4E38-BCC3-968F2972B8AC}" sibTransId="{6CCAF2AC-261F-444A-800E-17619EA59BD9}"/>
    <dgm:cxn modelId="{87B5E928-F56C-40B9-B511-366286AEA345}" srcId="{38F278C8-408B-47DC-9B8E-49C0CFC980D8}" destId="{0843D054-E53A-4590-8EA6-9AD31DC36194}" srcOrd="1" destOrd="0" parTransId="{3C8A6D2A-3F5A-4575-924C-9BD4454BA8C5}" sibTransId="{7E0B8839-83A8-40A4-85BA-DE9984756CA5}"/>
    <dgm:cxn modelId="{D88B2939-FAB6-40D2-AA61-603860AA88EF}" type="presOf" srcId="{3CE25FDF-0245-4364-91AB-56561F12716F}" destId="{02C7E119-43E3-4333-9F0A-BF6882747ECA}" srcOrd="0" destOrd="0" presId="urn:microsoft.com/office/officeart/2005/8/layout/balance1"/>
    <dgm:cxn modelId="{6CB4A03D-22AC-43B7-9932-25210FFD493D}" type="presOf" srcId="{1BAA05F7-75EB-44AE-8C30-9CB3D1F4B5E1}" destId="{5035B56D-F4B8-4D63-B42C-B73B50979511}" srcOrd="0" destOrd="0" presId="urn:microsoft.com/office/officeart/2005/8/layout/balance1"/>
    <dgm:cxn modelId="{95B92D44-386C-461E-A698-AED1261548A0}" type="presOf" srcId="{5964DE01-AAC4-453B-934A-984967CE2006}" destId="{7F27F78D-8BDF-4C31-8C27-85831ADAC947}" srcOrd="0" destOrd="0" presId="urn:microsoft.com/office/officeart/2005/8/layout/balance1"/>
    <dgm:cxn modelId="{F22D6E67-8F77-4538-A267-F23830C792E2}" type="presOf" srcId="{0843D054-E53A-4590-8EA6-9AD31DC36194}" destId="{42E392A8-D699-4E59-9BE9-734377D91FE9}" srcOrd="0" destOrd="0" presId="urn:microsoft.com/office/officeart/2005/8/layout/balance1"/>
    <dgm:cxn modelId="{AD0A2350-1549-4544-86EB-037804D86AAB}" srcId="{38F278C8-408B-47DC-9B8E-49C0CFC980D8}" destId="{3CE25FDF-0245-4364-91AB-56561F12716F}" srcOrd="0" destOrd="0" parTransId="{D95F4FB2-A762-4ED7-961F-DEDF271D6020}" sibTransId="{C567F599-16E1-473C-883F-93F386A978A0}"/>
    <dgm:cxn modelId="{9DCCE77D-F349-44CC-A26B-EA6225199637}" type="presOf" srcId="{6C00220B-28D6-4F9E-B20C-B99E7D23117D}" destId="{60CDC157-BF57-4651-B77C-24E8EACF34E0}" srcOrd="0" destOrd="0" presId="urn:microsoft.com/office/officeart/2005/8/layout/balance1"/>
    <dgm:cxn modelId="{D3EBAF7E-AD44-4A14-849A-6A2AA71E208A}" type="presOf" srcId="{2D8329F1-1BC6-42FB-9CBE-C6B34D31D0AD}" destId="{C432BC9D-9AB8-44F8-A4ED-2E6FEC1ECD3F}" srcOrd="0" destOrd="0" presId="urn:microsoft.com/office/officeart/2005/8/layout/balance1"/>
    <dgm:cxn modelId="{DC73BA87-6358-4AC1-8F42-1B57B0F67408}" srcId="{2BC0A421-A5C7-4E2C-94B6-5728C35AAF70}" destId="{38F278C8-408B-47DC-9B8E-49C0CFC980D8}" srcOrd="1" destOrd="0" parTransId="{991F049D-E98F-4BF6-8E2E-1FAFC9A43384}" sibTransId="{14CE24D2-989B-4103-BFAF-8B4ECD1E063B}"/>
    <dgm:cxn modelId="{91B48AA2-0183-4231-9EF8-BD7390ECF162}" type="presOf" srcId="{2BC0A421-A5C7-4E2C-94B6-5728C35AAF70}" destId="{2BFFBBDD-905F-40BA-BD10-971304F1E78A}" srcOrd="0" destOrd="0" presId="urn:microsoft.com/office/officeart/2005/8/layout/balance1"/>
    <dgm:cxn modelId="{F341CFB5-C4BA-44E7-AC5D-BE436B08BD67}" srcId="{5964DE01-AAC4-453B-934A-984967CE2006}" destId="{1BAA05F7-75EB-44AE-8C30-9CB3D1F4B5E1}" srcOrd="2" destOrd="0" parTransId="{81CF250C-A50B-4201-BE3C-334D3ED40C10}" sibTransId="{2C362D51-5871-4973-9508-5067B7344D35}"/>
    <dgm:cxn modelId="{1677E4BF-2098-4241-B2C7-2AE4DECDE051}" type="presOf" srcId="{38F278C8-408B-47DC-9B8E-49C0CFC980D8}" destId="{CA9356CA-BD4F-45BE-8174-A6AA6A1B3164}" srcOrd="0" destOrd="0" presId="urn:microsoft.com/office/officeart/2005/8/layout/balance1"/>
    <dgm:cxn modelId="{187F2CE3-DE52-4E5E-A04C-9BED38E5460A}" srcId="{38F278C8-408B-47DC-9B8E-49C0CFC980D8}" destId="{45DA12E7-B451-4295-84B4-8853AA85E862}" srcOrd="4" destOrd="0" parTransId="{8D595276-CDEB-4987-8A96-119B241E3509}" sibTransId="{6DEE3F4F-5278-451B-A631-AA9F901C4D1F}"/>
    <dgm:cxn modelId="{16F21AF3-F769-44CE-A9FF-A595CEBA57B2}" srcId="{38F278C8-408B-47DC-9B8E-49C0CFC980D8}" destId="{B6CE1D93-B791-4624-851E-DD261229E1B0}" srcOrd="2" destOrd="0" parTransId="{3710E298-E288-4D9A-94D7-48B6192D407E}" sibTransId="{E48AC354-7ADD-4A64-9382-06C62961F827}"/>
    <dgm:cxn modelId="{428D7FFC-5FE8-41A1-8FFB-3C314D9EEADD}" srcId="{2BC0A421-A5C7-4E2C-94B6-5728C35AAF70}" destId="{5964DE01-AAC4-453B-934A-984967CE2006}" srcOrd="0" destOrd="0" parTransId="{0162032F-7584-4EBF-B4D5-49CCD720CBC6}" sibTransId="{2F0AAD99-CAFC-43D9-A5BD-33455F00EE9B}"/>
    <dgm:cxn modelId="{01C1ABFD-3F5B-476E-BB28-9E82B28CEE60}" type="presOf" srcId="{19D2FB65-7D8B-46F0-B585-F54BA63A38D0}" destId="{3E71149C-D252-4990-895C-D244B23B41DD}" srcOrd="0" destOrd="0" presId="urn:microsoft.com/office/officeart/2005/8/layout/balance1"/>
    <dgm:cxn modelId="{39A908FE-6458-41A0-A674-7E72BF96D7D7}" srcId="{38F278C8-408B-47DC-9B8E-49C0CFC980D8}" destId="{6C00220B-28D6-4F9E-B20C-B99E7D23117D}" srcOrd="3" destOrd="0" parTransId="{ACF1CDDE-F069-464D-8271-814C1FC393D6}" sibTransId="{1673E0E5-078A-4C87-9FAF-3A6B5BC6507B}"/>
    <dgm:cxn modelId="{12631567-A188-4CD7-9F78-C60BE05B03B3}" type="presParOf" srcId="{2BFFBBDD-905F-40BA-BD10-971304F1E78A}" destId="{B4BEF6C8-E8A6-4B68-8A37-38447497C508}" srcOrd="0" destOrd="0" presId="urn:microsoft.com/office/officeart/2005/8/layout/balance1"/>
    <dgm:cxn modelId="{E1DF0DAC-26BE-4312-9570-839734A00351}" type="presParOf" srcId="{2BFFBBDD-905F-40BA-BD10-971304F1E78A}" destId="{53971D8E-1E1E-4579-B841-B892EEDA0FE3}" srcOrd="1" destOrd="0" presId="urn:microsoft.com/office/officeart/2005/8/layout/balance1"/>
    <dgm:cxn modelId="{8DD4AD27-5465-4758-AAAF-146B7323ED3A}" type="presParOf" srcId="{53971D8E-1E1E-4579-B841-B892EEDA0FE3}" destId="{7F27F78D-8BDF-4C31-8C27-85831ADAC947}" srcOrd="0" destOrd="0" presId="urn:microsoft.com/office/officeart/2005/8/layout/balance1"/>
    <dgm:cxn modelId="{DCB0ABDD-9A0A-494E-966D-A85CA523D187}" type="presParOf" srcId="{53971D8E-1E1E-4579-B841-B892EEDA0FE3}" destId="{CA9356CA-BD4F-45BE-8174-A6AA6A1B3164}" srcOrd="1" destOrd="0" presId="urn:microsoft.com/office/officeart/2005/8/layout/balance1"/>
    <dgm:cxn modelId="{86C9C24C-3D9D-48DE-B71A-A42C6C575590}" type="presParOf" srcId="{2BFFBBDD-905F-40BA-BD10-971304F1E78A}" destId="{1108E54D-F68C-4D38-B23D-C360BE0871F1}" srcOrd="2" destOrd="0" presId="urn:microsoft.com/office/officeart/2005/8/layout/balance1"/>
    <dgm:cxn modelId="{9091F00C-56DE-4470-9B17-2299FEDF1DCD}" type="presParOf" srcId="{1108E54D-F68C-4D38-B23D-C360BE0871F1}" destId="{C2F101D5-B3E2-4577-8329-E803C7EFB2CA}" srcOrd="0" destOrd="0" presId="urn:microsoft.com/office/officeart/2005/8/layout/balance1"/>
    <dgm:cxn modelId="{DE06E6B4-8BC8-43AB-8A3C-6AB3DC2CF548}" type="presParOf" srcId="{1108E54D-F68C-4D38-B23D-C360BE0871F1}" destId="{6B78085A-D438-4D02-ACC6-256949F53718}" srcOrd="1" destOrd="0" presId="urn:microsoft.com/office/officeart/2005/8/layout/balance1"/>
    <dgm:cxn modelId="{89395FEB-06F1-4F0A-B240-941602505BF4}" type="presParOf" srcId="{1108E54D-F68C-4D38-B23D-C360BE0871F1}" destId="{9BE34AE0-5F9F-4D14-9B32-C6AE8CB800D6}" srcOrd="2" destOrd="0" presId="urn:microsoft.com/office/officeart/2005/8/layout/balance1"/>
    <dgm:cxn modelId="{012B6897-79FB-48F2-B6DC-89F8B35E4C7B}" type="presParOf" srcId="{1108E54D-F68C-4D38-B23D-C360BE0871F1}" destId="{02C7E119-43E3-4333-9F0A-BF6882747ECA}" srcOrd="3" destOrd="0" presId="urn:microsoft.com/office/officeart/2005/8/layout/balance1"/>
    <dgm:cxn modelId="{40F51DAD-6A51-4F84-A5E0-0641845C8222}" type="presParOf" srcId="{1108E54D-F68C-4D38-B23D-C360BE0871F1}" destId="{42E392A8-D699-4E59-9BE9-734377D91FE9}" srcOrd="4" destOrd="0" presId="urn:microsoft.com/office/officeart/2005/8/layout/balance1"/>
    <dgm:cxn modelId="{0C53616E-73F3-4BB6-B742-30466940B74E}" type="presParOf" srcId="{1108E54D-F68C-4D38-B23D-C360BE0871F1}" destId="{85722321-8EEE-41F1-AE8F-0A5648AA4A31}" srcOrd="5" destOrd="0" presId="urn:microsoft.com/office/officeart/2005/8/layout/balance1"/>
    <dgm:cxn modelId="{AA17501F-8425-4A10-A4E6-F043FBFBF033}" type="presParOf" srcId="{1108E54D-F68C-4D38-B23D-C360BE0871F1}" destId="{60CDC157-BF57-4651-B77C-24E8EACF34E0}" srcOrd="6" destOrd="0" presId="urn:microsoft.com/office/officeart/2005/8/layout/balance1"/>
    <dgm:cxn modelId="{C72DC3E6-9E1F-42F6-9002-05B6A837BCA9}" type="presParOf" srcId="{1108E54D-F68C-4D38-B23D-C360BE0871F1}" destId="{3E71149C-D252-4990-895C-D244B23B41DD}" srcOrd="7" destOrd="0" presId="urn:microsoft.com/office/officeart/2005/8/layout/balance1"/>
    <dgm:cxn modelId="{19C9E8E5-A020-4D85-9902-D2C8F5DDD244}" type="presParOf" srcId="{1108E54D-F68C-4D38-B23D-C360BE0871F1}" destId="{C432BC9D-9AB8-44F8-A4ED-2E6FEC1ECD3F}" srcOrd="8" destOrd="0" presId="urn:microsoft.com/office/officeart/2005/8/layout/balance1"/>
    <dgm:cxn modelId="{631C4FC0-2A10-403B-A194-E6EC94E94974}" type="presParOf" srcId="{1108E54D-F68C-4D38-B23D-C360BE0871F1}" destId="{5035B56D-F4B8-4D63-B42C-B73B50979511}" srcOrd="9" destOrd="0" presId="urn:microsoft.com/office/officeart/2005/8/layout/balance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22DAD69-09D0-4370-B2F6-A62A929C39B4}" type="doc">
      <dgm:prSet loTypeId="urn:microsoft.com/office/officeart/2005/8/layout/cycle4" loCatId="relationship" qsTypeId="urn:microsoft.com/office/officeart/2005/8/quickstyle/simple1" qsCatId="simple" csTypeId="urn:microsoft.com/office/officeart/2005/8/colors/colorful1" csCatId="colorful" phldr="1"/>
      <dgm:spPr/>
      <dgm:t>
        <a:bodyPr/>
        <a:lstStyle/>
        <a:p>
          <a:pPr rtl="1"/>
          <a:endParaRPr lang="he-IL"/>
        </a:p>
      </dgm:t>
    </dgm:pt>
    <dgm:pt modelId="{7F7BE736-AC98-422B-9051-CBB0E8208425}">
      <dgm:prSet phldrT="[טקסט]"/>
      <dgm:spPr/>
      <dgm:t>
        <a:bodyPr/>
        <a:lstStyle/>
        <a:p>
          <a:pPr rtl="1"/>
          <a:r>
            <a:rPr lang="he-IL"/>
            <a:t>דוחות מבוקרים לשנת 2017 </a:t>
          </a:r>
        </a:p>
      </dgm:t>
    </dgm:pt>
    <dgm:pt modelId="{A1E1E07E-D949-45FA-AE59-E374FE45B115}" type="parTrans" cxnId="{5CB2C874-92FB-4041-9ECE-0CDCCF5063D8}">
      <dgm:prSet/>
      <dgm:spPr/>
      <dgm:t>
        <a:bodyPr/>
        <a:lstStyle/>
        <a:p>
          <a:pPr rtl="1"/>
          <a:endParaRPr lang="he-IL"/>
        </a:p>
      </dgm:t>
    </dgm:pt>
    <dgm:pt modelId="{14CB794A-8378-45CC-BC67-755E36CFDEBD}" type="sibTrans" cxnId="{5CB2C874-92FB-4041-9ECE-0CDCCF5063D8}">
      <dgm:prSet/>
      <dgm:spPr/>
      <dgm:t>
        <a:bodyPr/>
        <a:lstStyle/>
        <a:p>
          <a:pPr rtl="1"/>
          <a:endParaRPr lang="he-IL"/>
        </a:p>
      </dgm:t>
    </dgm:pt>
    <dgm:pt modelId="{ADBF9B7D-0AB3-4500-9DD7-F79978EF4F59}">
      <dgm:prSet phldrT="[טקסט]" custT="1"/>
      <dgm:spPr/>
      <dgm:t>
        <a:bodyPr/>
        <a:lstStyle/>
        <a:p>
          <a:pPr rtl="1"/>
          <a:r>
            <a:rPr lang="he-IL" sz="1200"/>
            <a:t>שווי נכסים 1,570,058</a:t>
          </a:r>
        </a:p>
      </dgm:t>
    </dgm:pt>
    <dgm:pt modelId="{187EBFF7-184C-48B9-8C9F-2AE83BAA3637}" type="parTrans" cxnId="{EC1783CF-09C4-4C95-A5B0-CE5341FB9F9B}">
      <dgm:prSet/>
      <dgm:spPr/>
      <dgm:t>
        <a:bodyPr/>
        <a:lstStyle/>
        <a:p>
          <a:pPr rtl="1"/>
          <a:endParaRPr lang="he-IL"/>
        </a:p>
      </dgm:t>
    </dgm:pt>
    <dgm:pt modelId="{1DDC76A3-0AA7-4EF1-A540-EE749859B9C9}" type="sibTrans" cxnId="{EC1783CF-09C4-4C95-A5B0-CE5341FB9F9B}">
      <dgm:prSet/>
      <dgm:spPr/>
      <dgm:t>
        <a:bodyPr/>
        <a:lstStyle/>
        <a:p>
          <a:pPr rtl="1"/>
          <a:endParaRPr lang="he-IL"/>
        </a:p>
      </dgm:t>
    </dgm:pt>
    <dgm:pt modelId="{F6485821-27D1-4BAE-A6B9-539B4F4F0E3F}">
      <dgm:prSet phldrT="[טקסט]"/>
      <dgm:spPr/>
      <dgm:t>
        <a:bodyPr/>
        <a:lstStyle/>
        <a:p>
          <a:pPr rtl="1"/>
          <a:r>
            <a:rPr lang="he-IL"/>
            <a:t>דוחות מבוקרים 2018	</a:t>
          </a:r>
        </a:p>
      </dgm:t>
    </dgm:pt>
    <dgm:pt modelId="{765BB8DD-5819-45BB-8647-4C2848D94696}" type="parTrans" cxnId="{4A0646D2-85DF-4F72-996C-16D3F5C76258}">
      <dgm:prSet/>
      <dgm:spPr/>
      <dgm:t>
        <a:bodyPr/>
        <a:lstStyle/>
        <a:p>
          <a:pPr rtl="1"/>
          <a:endParaRPr lang="he-IL"/>
        </a:p>
      </dgm:t>
    </dgm:pt>
    <dgm:pt modelId="{8169FAFC-24B5-489A-A1B9-DDACAAFD97FB}" type="sibTrans" cxnId="{4A0646D2-85DF-4F72-996C-16D3F5C76258}">
      <dgm:prSet/>
      <dgm:spPr/>
      <dgm:t>
        <a:bodyPr/>
        <a:lstStyle/>
        <a:p>
          <a:pPr rtl="1"/>
          <a:endParaRPr lang="he-IL"/>
        </a:p>
      </dgm:t>
    </dgm:pt>
    <dgm:pt modelId="{B0189628-F6DE-43AC-B6B2-FD89669FC2C6}">
      <dgm:prSet phldrT="[טקסט]" custT="1"/>
      <dgm:spPr/>
      <dgm:t>
        <a:bodyPr/>
        <a:lstStyle/>
        <a:p>
          <a:pPr rtl="1"/>
          <a:r>
            <a:rPr lang="he-IL" sz="1200"/>
            <a:t>שווי נכסים 296,245,531</a:t>
          </a:r>
        </a:p>
      </dgm:t>
    </dgm:pt>
    <dgm:pt modelId="{EFE30B4E-EF9F-411B-8164-DA5A276EBB62}" type="parTrans" cxnId="{7BB3A537-2D0B-410D-816B-DDC83AC7044D}">
      <dgm:prSet/>
      <dgm:spPr/>
      <dgm:t>
        <a:bodyPr/>
        <a:lstStyle/>
        <a:p>
          <a:pPr rtl="1"/>
          <a:endParaRPr lang="he-IL"/>
        </a:p>
      </dgm:t>
    </dgm:pt>
    <dgm:pt modelId="{9DDB6AD0-E0BC-4EDD-9A2A-17AE656F7C93}" type="sibTrans" cxnId="{7BB3A537-2D0B-410D-816B-DDC83AC7044D}">
      <dgm:prSet/>
      <dgm:spPr/>
      <dgm:t>
        <a:bodyPr/>
        <a:lstStyle/>
        <a:p>
          <a:pPr rtl="1"/>
          <a:endParaRPr lang="he-IL"/>
        </a:p>
      </dgm:t>
    </dgm:pt>
    <dgm:pt modelId="{DE9AFBE0-F5BB-4760-8C3F-C4682428ACF5}">
      <dgm:prSet phldrT="[טקסט]"/>
      <dgm:spPr/>
      <dgm:t>
        <a:bodyPr/>
        <a:lstStyle/>
        <a:p>
          <a:pPr rtl="1"/>
          <a:r>
            <a:rPr lang="he-IL"/>
            <a:t>דוחות מבוקרים לשנת 2016</a:t>
          </a:r>
        </a:p>
      </dgm:t>
    </dgm:pt>
    <dgm:pt modelId="{AA0D642E-E67C-48A6-8B79-2EEF0D676764}" type="parTrans" cxnId="{FF0ED052-CACD-47D3-84FF-0CAC178C946E}">
      <dgm:prSet/>
      <dgm:spPr/>
      <dgm:t>
        <a:bodyPr/>
        <a:lstStyle/>
        <a:p>
          <a:pPr rtl="1"/>
          <a:endParaRPr lang="he-IL"/>
        </a:p>
      </dgm:t>
    </dgm:pt>
    <dgm:pt modelId="{98D3F491-CDAF-4F55-98A7-6292F7CB8675}" type="sibTrans" cxnId="{FF0ED052-CACD-47D3-84FF-0CAC178C946E}">
      <dgm:prSet/>
      <dgm:spPr/>
      <dgm:t>
        <a:bodyPr/>
        <a:lstStyle/>
        <a:p>
          <a:pPr rtl="1"/>
          <a:endParaRPr lang="he-IL"/>
        </a:p>
      </dgm:t>
    </dgm:pt>
    <dgm:pt modelId="{68DD6698-A73C-4CEB-9A88-5A02322ACAA7}">
      <dgm:prSet phldrT="[טקסט]" custT="1"/>
      <dgm:spPr/>
      <dgm:t>
        <a:bodyPr/>
        <a:lstStyle/>
        <a:p>
          <a:pPr rtl="1"/>
          <a:r>
            <a:rPr lang="he-IL" sz="1200"/>
            <a:t>שווי נכסים 155,624</a:t>
          </a:r>
        </a:p>
      </dgm:t>
    </dgm:pt>
    <dgm:pt modelId="{EF32138B-A6A6-4EB8-BE1E-2EE88F8C6DA0}" type="parTrans" cxnId="{C525547A-1626-4FB7-9EA7-4D5E65FFDE90}">
      <dgm:prSet/>
      <dgm:spPr/>
      <dgm:t>
        <a:bodyPr/>
        <a:lstStyle/>
        <a:p>
          <a:pPr rtl="1"/>
          <a:endParaRPr lang="he-IL"/>
        </a:p>
      </dgm:t>
    </dgm:pt>
    <dgm:pt modelId="{232581B4-7EF1-4B5A-9B61-8CAB787D7C3C}" type="sibTrans" cxnId="{C525547A-1626-4FB7-9EA7-4D5E65FFDE90}">
      <dgm:prSet/>
      <dgm:spPr/>
      <dgm:t>
        <a:bodyPr/>
        <a:lstStyle/>
        <a:p>
          <a:pPr rtl="1"/>
          <a:endParaRPr lang="he-IL"/>
        </a:p>
      </dgm:t>
    </dgm:pt>
    <dgm:pt modelId="{EECE4CB8-DB70-43B3-9FF8-64429D52D9DE}">
      <dgm:prSet phldrT="[טקסט]"/>
      <dgm:spPr/>
      <dgm:t>
        <a:bodyPr/>
        <a:lstStyle/>
        <a:p>
          <a:pPr rtl="1"/>
          <a:r>
            <a:rPr lang="he-IL"/>
            <a:t>טיוטות דוחות מבוקרים </a:t>
          </a:r>
        </a:p>
      </dgm:t>
    </dgm:pt>
    <dgm:pt modelId="{E58AE418-7D11-4777-86C5-7EC4AFAA0931}" type="parTrans" cxnId="{43239AD2-9324-46F5-B77F-8C416901AEBE}">
      <dgm:prSet/>
      <dgm:spPr/>
      <dgm:t>
        <a:bodyPr/>
        <a:lstStyle/>
        <a:p>
          <a:pPr rtl="1"/>
          <a:endParaRPr lang="he-IL"/>
        </a:p>
      </dgm:t>
    </dgm:pt>
    <dgm:pt modelId="{F169E59B-8191-404B-91D2-AFB98AC32CDA}" type="sibTrans" cxnId="{43239AD2-9324-46F5-B77F-8C416901AEBE}">
      <dgm:prSet/>
      <dgm:spPr/>
      <dgm:t>
        <a:bodyPr/>
        <a:lstStyle/>
        <a:p>
          <a:pPr rtl="1"/>
          <a:endParaRPr lang="he-IL"/>
        </a:p>
      </dgm:t>
    </dgm:pt>
    <dgm:pt modelId="{C9870822-EAA5-48E9-8C82-63D800AB5898}">
      <dgm:prSet phldrT="[טקסט]" custT="1"/>
      <dgm:spPr/>
      <dgm:t>
        <a:bodyPr/>
        <a:lstStyle/>
        <a:p>
          <a:pPr rtl="1"/>
          <a:r>
            <a:rPr lang="he-IL" sz="1200"/>
            <a:t>שווי נכסים 23,678</a:t>
          </a:r>
        </a:p>
      </dgm:t>
    </dgm:pt>
    <dgm:pt modelId="{36F2A164-89F0-4C05-86CA-A05A5C4B9DE8}" type="parTrans" cxnId="{383A179B-1DA3-4CE8-AC63-1AF13DAA13F8}">
      <dgm:prSet/>
      <dgm:spPr/>
      <dgm:t>
        <a:bodyPr/>
        <a:lstStyle/>
        <a:p>
          <a:pPr rtl="1"/>
          <a:endParaRPr lang="he-IL"/>
        </a:p>
      </dgm:t>
    </dgm:pt>
    <dgm:pt modelId="{9A89763F-3C64-4D18-9C34-68343819011C}" type="sibTrans" cxnId="{383A179B-1DA3-4CE8-AC63-1AF13DAA13F8}">
      <dgm:prSet/>
      <dgm:spPr/>
      <dgm:t>
        <a:bodyPr/>
        <a:lstStyle/>
        <a:p>
          <a:pPr rtl="1"/>
          <a:endParaRPr lang="he-IL"/>
        </a:p>
      </dgm:t>
    </dgm:pt>
    <dgm:pt modelId="{407DF5EC-A462-47C6-9028-D0093AEF9C5F}">
      <dgm:prSet phldrT="[טקסט]" custT="1"/>
      <dgm:spPr/>
      <dgm:t>
        <a:bodyPr/>
        <a:lstStyle/>
        <a:p>
          <a:pPr rtl="1"/>
          <a:r>
            <a:rPr lang="he-IL" sz="1200"/>
            <a:t>מחזור 1,566,926</a:t>
          </a:r>
          <a:r>
            <a:rPr lang="en-US" sz="1200"/>
            <a:t> </a:t>
          </a:r>
          <a:endParaRPr lang="he-IL" sz="1200"/>
        </a:p>
      </dgm:t>
    </dgm:pt>
    <dgm:pt modelId="{B265B520-5F4D-4C4F-8382-5E42E15611D0}" type="parTrans" cxnId="{A5156E60-91FF-4726-B06C-EF8CDF9B4276}">
      <dgm:prSet/>
      <dgm:spPr/>
      <dgm:t>
        <a:bodyPr/>
        <a:lstStyle/>
        <a:p>
          <a:pPr rtl="1"/>
          <a:endParaRPr lang="he-IL"/>
        </a:p>
      </dgm:t>
    </dgm:pt>
    <dgm:pt modelId="{8D07EEF4-4E35-4A04-8181-EAFFBE4D58CF}" type="sibTrans" cxnId="{A5156E60-91FF-4726-B06C-EF8CDF9B4276}">
      <dgm:prSet/>
      <dgm:spPr/>
      <dgm:t>
        <a:bodyPr/>
        <a:lstStyle/>
        <a:p>
          <a:pPr rtl="1"/>
          <a:endParaRPr lang="he-IL"/>
        </a:p>
      </dgm:t>
    </dgm:pt>
    <dgm:pt modelId="{A6D14CD0-37B8-475C-B92E-90216636C13C}">
      <dgm:prSet custT="1"/>
      <dgm:spPr/>
      <dgm:t>
        <a:bodyPr/>
        <a:lstStyle/>
        <a:p>
          <a:pPr rtl="1"/>
          <a:r>
            <a:rPr lang="he-IL" sz="1200"/>
            <a:t>מחזור 218,128</a:t>
          </a:r>
        </a:p>
      </dgm:t>
    </dgm:pt>
    <dgm:pt modelId="{8A911815-A465-434E-8735-46D71E182C3E}" type="parTrans" cxnId="{7DC4B8B2-3877-4F8A-B929-EDF02ED5B6BE}">
      <dgm:prSet/>
      <dgm:spPr/>
      <dgm:t>
        <a:bodyPr/>
        <a:lstStyle/>
        <a:p>
          <a:pPr rtl="1"/>
          <a:endParaRPr lang="he-IL"/>
        </a:p>
      </dgm:t>
    </dgm:pt>
    <dgm:pt modelId="{82FB02E3-811F-44E3-9432-0BED4B479AFB}" type="sibTrans" cxnId="{7DC4B8B2-3877-4F8A-B929-EDF02ED5B6BE}">
      <dgm:prSet/>
      <dgm:spPr/>
      <dgm:t>
        <a:bodyPr/>
        <a:lstStyle/>
        <a:p>
          <a:pPr rtl="1"/>
          <a:endParaRPr lang="he-IL"/>
        </a:p>
      </dgm:t>
    </dgm:pt>
    <dgm:pt modelId="{25AB2A79-1CA9-4FC7-85FF-CAC74104124A}">
      <dgm:prSet phldrT="[טקסט]" custT="1"/>
      <dgm:spPr/>
      <dgm:t>
        <a:bodyPr/>
        <a:lstStyle/>
        <a:p>
          <a:pPr rtl="1"/>
          <a:r>
            <a:rPr lang="he-IL" sz="1200"/>
            <a:t>מחזור 93,779,773</a:t>
          </a:r>
        </a:p>
      </dgm:t>
    </dgm:pt>
    <dgm:pt modelId="{681519C3-8C48-47D9-B7E8-EAAE7D9CC9A5}" type="parTrans" cxnId="{681DCD51-AC39-4E93-BED6-8630F6587C1E}">
      <dgm:prSet/>
      <dgm:spPr/>
      <dgm:t>
        <a:bodyPr/>
        <a:lstStyle/>
        <a:p>
          <a:pPr rtl="1"/>
          <a:endParaRPr lang="he-IL"/>
        </a:p>
      </dgm:t>
    </dgm:pt>
    <dgm:pt modelId="{4CB08400-DED3-47DA-8F1D-DE7F3D396AF3}" type="sibTrans" cxnId="{681DCD51-AC39-4E93-BED6-8630F6587C1E}">
      <dgm:prSet/>
      <dgm:spPr/>
      <dgm:t>
        <a:bodyPr/>
        <a:lstStyle/>
        <a:p>
          <a:pPr rtl="1"/>
          <a:endParaRPr lang="he-IL"/>
        </a:p>
      </dgm:t>
    </dgm:pt>
    <dgm:pt modelId="{160287F0-23A7-47E5-8F80-DA1ACFCBA9A1}">
      <dgm:prSet phldrT="[טקסט]" custT="1"/>
      <dgm:spPr/>
      <dgm:t>
        <a:bodyPr/>
        <a:lstStyle/>
        <a:p>
          <a:pPr rtl="1"/>
          <a:r>
            <a:rPr lang="he-IL" sz="1200"/>
            <a:t>שווי התחייבויות 775,881 </a:t>
          </a:r>
        </a:p>
      </dgm:t>
    </dgm:pt>
    <dgm:pt modelId="{A22CDF8F-3027-4CEB-8B67-6DD3ED98F2C5}" type="parTrans" cxnId="{9AEE73C5-8A11-4925-9770-5A7F7DE759DA}">
      <dgm:prSet/>
      <dgm:spPr/>
      <dgm:t>
        <a:bodyPr/>
        <a:lstStyle/>
        <a:p>
          <a:pPr rtl="1"/>
          <a:endParaRPr lang="he-IL"/>
        </a:p>
      </dgm:t>
    </dgm:pt>
    <dgm:pt modelId="{1E153B12-A424-49FF-8AE9-A8823495E8B4}" type="sibTrans" cxnId="{9AEE73C5-8A11-4925-9770-5A7F7DE759DA}">
      <dgm:prSet/>
      <dgm:spPr/>
      <dgm:t>
        <a:bodyPr/>
        <a:lstStyle/>
        <a:p>
          <a:pPr rtl="1"/>
          <a:endParaRPr lang="he-IL"/>
        </a:p>
      </dgm:t>
    </dgm:pt>
    <dgm:pt modelId="{32663C06-7B43-42BB-9111-D17941EF1613}">
      <dgm:prSet phldrT="[טקסט]" custT="1"/>
      <dgm:spPr/>
      <dgm:t>
        <a:bodyPr/>
        <a:lstStyle/>
        <a:p>
          <a:pPr rtl="1"/>
          <a:r>
            <a:rPr lang="he-IL" sz="1200"/>
            <a:t>שווי התחייבויות 5,687</a:t>
          </a:r>
        </a:p>
      </dgm:t>
    </dgm:pt>
    <dgm:pt modelId="{5546FDE4-15E5-4348-B1D8-5DA05BE2533E}" type="parTrans" cxnId="{60D6D76D-BD78-401A-8106-F5F479649524}">
      <dgm:prSet/>
      <dgm:spPr/>
      <dgm:t>
        <a:bodyPr/>
        <a:lstStyle/>
        <a:p>
          <a:pPr rtl="1"/>
          <a:endParaRPr lang="he-IL"/>
        </a:p>
      </dgm:t>
    </dgm:pt>
    <dgm:pt modelId="{A35CF922-C516-4FAF-AF74-61D8F21D31CA}" type="sibTrans" cxnId="{60D6D76D-BD78-401A-8106-F5F479649524}">
      <dgm:prSet/>
      <dgm:spPr/>
      <dgm:t>
        <a:bodyPr/>
        <a:lstStyle/>
        <a:p>
          <a:pPr rtl="1"/>
          <a:endParaRPr lang="he-IL"/>
        </a:p>
      </dgm:t>
    </dgm:pt>
    <dgm:pt modelId="{8106E5B6-C58A-4958-8A5E-BB75B51D51A4}">
      <dgm:prSet phldrT="[טקסט]" custT="1"/>
      <dgm:spPr/>
      <dgm:t>
        <a:bodyPr/>
        <a:lstStyle/>
        <a:p>
          <a:pPr rtl="1"/>
          <a:r>
            <a:rPr lang="he-IL" sz="1200"/>
            <a:t>מחזור 28,273 </a:t>
          </a:r>
        </a:p>
      </dgm:t>
    </dgm:pt>
    <dgm:pt modelId="{422C71B1-C432-477E-B165-2BA6EF50B575}" type="parTrans" cxnId="{9EBFEB15-948B-42F9-A0F1-C9D8C1D4F800}">
      <dgm:prSet/>
      <dgm:spPr/>
      <dgm:t>
        <a:bodyPr/>
        <a:lstStyle/>
        <a:p>
          <a:pPr rtl="1"/>
          <a:endParaRPr lang="he-IL"/>
        </a:p>
      </dgm:t>
    </dgm:pt>
    <dgm:pt modelId="{4426019F-E34B-4DF1-A27D-672B752BA15A}" type="sibTrans" cxnId="{9EBFEB15-948B-42F9-A0F1-C9D8C1D4F800}">
      <dgm:prSet/>
      <dgm:spPr/>
      <dgm:t>
        <a:bodyPr/>
        <a:lstStyle/>
        <a:p>
          <a:pPr rtl="1"/>
          <a:endParaRPr lang="he-IL"/>
        </a:p>
      </dgm:t>
    </dgm:pt>
    <dgm:pt modelId="{FFB8C737-BA1C-49C3-BBF4-FBA9864088B8}">
      <dgm:prSet phldrT="[טקסט]" custT="1"/>
      <dgm:spPr/>
      <dgm:t>
        <a:bodyPr/>
        <a:lstStyle/>
        <a:p>
          <a:pPr rtl="1"/>
          <a:r>
            <a:rPr lang="he-IL" sz="1200"/>
            <a:t>שווי התחייבויות 24,872</a:t>
          </a:r>
        </a:p>
      </dgm:t>
    </dgm:pt>
    <dgm:pt modelId="{4AFA38BE-0989-4164-A3D3-7535FC1812F1}" type="parTrans" cxnId="{88986724-AF68-4422-9BF8-A90AB5AA0D13}">
      <dgm:prSet/>
      <dgm:spPr/>
      <dgm:t>
        <a:bodyPr/>
        <a:lstStyle/>
        <a:p>
          <a:pPr rtl="1"/>
          <a:endParaRPr lang="he-IL"/>
        </a:p>
      </dgm:t>
    </dgm:pt>
    <dgm:pt modelId="{F4A13D37-32E6-468C-9FE0-F28F056E51C5}" type="sibTrans" cxnId="{88986724-AF68-4422-9BF8-A90AB5AA0D13}">
      <dgm:prSet/>
      <dgm:spPr/>
      <dgm:t>
        <a:bodyPr/>
        <a:lstStyle/>
        <a:p>
          <a:pPr rtl="1"/>
          <a:endParaRPr lang="he-IL"/>
        </a:p>
      </dgm:t>
    </dgm:pt>
    <dgm:pt modelId="{3D93BAF4-6896-4DD7-967B-5A05CF16F458}">
      <dgm:prSet phldrT="[טקסט]" custT="1"/>
      <dgm:spPr/>
      <dgm:t>
        <a:bodyPr/>
        <a:lstStyle/>
        <a:p>
          <a:pPr rtl="1"/>
          <a:r>
            <a:rPr lang="he-IL" sz="1200"/>
            <a:t>שווי התחייבויות 743,938,021</a:t>
          </a:r>
        </a:p>
      </dgm:t>
    </dgm:pt>
    <dgm:pt modelId="{16E265B0-A6E2-49A4-AAA3-16B651D1B195}" type="parTrans" cxnId="{25E8B9BD-7CD6-45A1-9173-1681813BA30A}">
      <dgm:prSet/>
      <dgm:spPr/>
      <dgm:t>
        <a:bodyPr/>
        <a:lstStyle/>
        <a:p>
          <a:pPr rtl="1"/>
          <a:endParaRPr lang="he-IL"/>
        </a:p>
      </dgm:t>
    </dgm:pt>
    <dgm:pt modelId="{CD93244D-F571-46BF-90AB-1935F227EAB4}" type="sibTrans" cxnId="{25E8B9BD-7CD6-45A1-9173-1681813BA30A}">
      <dgm:prSet/>
      <dgm:spPr/>
      <dgm:t>
        <a:bodyPr/>
        <a:lstStyle/>
        <a:p>
          <a:pPr rtl="1"/>
          <a:endParaRPr lang="he-IL"/>
        </a:p>
      </dgm:t>
    </dgm:pt>
    <dgm:pt modelId="{EEC571C0-FAA7-44C4-B094-DD90C715338E}" type="pres">
      <dgm:prSet presAssocID="{F22DAD69-09D0-4370-B2F6-A62A929C39B4}" presName="cycleMatrixDiagram" presStyleCnt="0">
        <dgm:presLayoutVars>
          <dgm:chMax val="1"/>
          <dgm:dir/>
          <dgm:animLvl val="lvl"/>
          <dgm:resizeHandles val="exact"/>
        </dgm:presLayoutVars>
      </dgm:prSet>
      <dgm:spPr/>
    </dgm:pt>
    <dgm:pt modelId="{3AC5B676-173E-401D-9B30-92ACFB15D9C4}" type="pres">
      <dgm:prSet presAssocID="{F22DAD69-09D0-4370-B2F6-A62A929C39B4}" presName="children" presStyleCnt="0"/>
      <dgm:spPr/>
    </dgm:pt>
    <dgm:pt modelId="{E4997316-A521-45CB-B0F1-3CF26606A4C7}" type="pres">
      <dgm:prSet presAssocID="{F22DAD69-09D0-4370-B2F6-A62A929C39B4}" presName="child1group" presStyleCnt="0"/>
      <dgm:spPr/>
    </dgm:pt>
    <dgm:pt modelId="{77F2A614-F168-4D47-B3B3-AEC270ED3C59}" type="pres">
      <dgm:prSet presAssocID="{F22DAD69-09D0-4370-B2F6-A62A929C39B4}" presName="child1" presStyleLbl="bgAcc1" presStyleIdx="0" presStyleCnt="4" custScaleX="177083" custScaleY="100213"/>
      <dgm:spPr/>
    </dgm:pt>
    <dgm:pt modelId="{340A6D68-DA71-4540-B38B-5661BB657D03}" type="pres">
      <dgm:prSet presAssocID="{F22DAD69-09D0-4370-B2F6-A62A929C39B4}" presName="child1Text" presStyleLbl="bgAcc1" presStyleIdx="0" presStyleCnt="4">
        <dgm:presLayoutVars>
          <dgm:bulletEnabled val="1"/>
        </dgm:presLayoutVars>
      </dgm:prSet>
      <dgm:spPr/>
    </dgm:pt>
    <dgm:pt modelId="{3258DAD6-B22E-4B0A-96D5-D7DCF4B43A25}" type="pres">
      <dgm:prSet presAssocID="{F22DAD69-09D0-4370-B2F6-A62A929C39B4}" presName="child2group" presStyleCnt="0"/>
      <dgm:spPr/>
    </dgm:pt>
    <dgm:pt modelId="{82C67A98-319E-4C4D-AB2E-DF9436D92E86}" type="pres">
      <dgm:prSet presAssocID="{F22DAD69-09D0-4370-B2F6-A62A929C39B4}" presName="child2" presStyleLbl="bgAcc1" presStyleIdx="1" presStyleCnt="4" custScaleX="155435" custScaleY="102940" custLinFactNeighborX="20303" custLinFactNeighborY="-3930"/>
      <dgm:spPr/>
    </dgm:pt>
    <dgm:pt modelId="{E96E9D4B-564B-4DFE-B017-81426D1C8B62}" type="pres">
      <dgm:prSet presAssocID="{F22DAD69-09D0-4370-B2F6-A62A929C39B4}" presName="child2Text" presStyleLbl="bgAcc1" presStyleIdx="1" presStyleCnt="4">
        <dgm:presLayoutVars>
          <dgm:bulletEnabled val="1"/>
        </dgm:presLayoutVars>
      </dgm:prSet>
      <dgm:spPr/>
    </dgm:pt>
    <dgm:pt modelId="{F8AFFC53-56B0-4B54-A883-A7323A77152A}" type="pres">
      <dgm:prSet presAssocID="{F22DAD69-09D0-4370-B2F6-A62A929C39B4}" presName="child3group" presStyleCnt="0"/>
      <dgm:spPr/>
    </dgm:pt>
    <dgm:pt modelId="{AA6F120E-8DAA-4B0E-9D29-ED7D052759B6}" type="pres">
      <dgm:prSet presAssocID="{F22DAD69-09D0-4370-B2F6-A62A929C39B4}" presName="child3" presStyleLbl="bgAcc1" presStyleIdx="2" presStyleCnt="4" custScaleX="135629" custScaleY="157893" custLinFactNeighborX="21382" custLinFactNeighborY="-6372"/>
      <dgm:spPr/>
    </dgm:pt>
    <dgm:pt modelId="{55C934A8-1EA2-48F3-B093-4675C696F32D}" type="pres">
      <dgm:prSet presAssocID="{F22DAD69-09D0-4370-B2F6-A62A929C39B4}" presName="child3Text" presStyleLbl="bgAcc1" presStyleIdx="2" presStyleCnt="4">
        <dgm:presLayoutVars>
          <dgm:bulletEnabled val="1"/>
        </dgm:presLayoutVars>
      </dgm:prSet>
      <dgm:spPr/>
    </dgm:pt>
    <dgm:pt modelId="{A92EC261-BECF-4170-9E0B-C3316AD7B0C4}" type="pres">
      <dgm:prSet presAssocID="{F22DAD69-09D0-4370-B2F6-A62A929C39B4}" presName="child4group" presStyleCnt="0"/>
      <dgm:spPr/>
    </dgm:pt>
    <dgm:pt modelId="{C80C16C9-A62B-483E-B1FD-EFCC321C7A64}" type="pres">
      <dgm:prSet presAssocID="{F22DAD69-09D0-4370-B2F6-A62A929C39B4}" presName="child4" presStyleLbl="bgAcc1" presStyleIdx="3" presStyleCnt="4" custScaleX="120880" custScaleY="133989" custLinFactNeighborX="-49717" custLinFactNeighborY="-5117"/>
      <dgm:spPr/>
    </dgm:pt>
    <dgm:pt modelId="{FDD5902E-E474-40C6-A6DD-26E7AF0E2E42}" type="pres">
      <dgm:prSet presAssocID="{F22DAD69-09D0-4370-B2F6-A62A929C39B4}" presName="child4Text" presStyleLbl="bgAcc1" presStyleIdx="3" presStyleCnt="4">
        <dgm:presLayoutVars>
          <dgm:bulletEnabled val="1"/>
        </dgm:presLayoutVars>
      </dgm:prSet>
      <dgm:spPr/>
    </dgm:pt>
    <dgm:pt modelId="{58172BA3-B333-4CE5-B05B-B09CC3BDA9C7}" type="pres">
      <dgm:prSet presAssocID="{F22DAD69-09D0-4370-B2F6-A62A929C39B4}" presName="childPlaceholder" presStyleCnt="0"/>
      <dgm:spPr/>
    </dgm:pt>
    <dgm:pt modelId="{B0FD25E2-32CA-49EB-A7B8-0629136F0BEB}" type="pres">
      <dgm:prSet presAssocID="{F22DAD69-09D0-4370-B2F6-A62A929C39B4}" presName="circle" presStyleCnt="0"/>
      <dgm:spPr/>
    </dgm:pt>
    <dgm:pt modelId="{46CEDBE0-F1CE-4A42-92CB-7BB305E5BDE8}" type="pres">
      <dgm:prSet presAssocID="{F22DAD69-09D0-4370-B2F6-A62A929C39B4}" presName="quadrant1" presStyleLbl="node1" presStyleIdx="0" presStyleCnt="4">
        <dgm:presLayoutVars>
          <dgm:chMax val="1"/>
          <dgm:bulletEnabled val="1"/>
        </dgm:presLayoutVars>
      </dgm:prSet>
      <dgm:spPr/>
    </dgm:pt>
    <dgm:pt modelId="{F4922950-92BC-4931-A601-90AAF7CE92B9}" type="pres">
      <dgm:prSet presAssocID="{F22DAD69-09D0-4370-B2F6-A62A929C39B4}" presName="quadrant2" presStyleLbl="node1" presStyleIdx="1" presStyleCnt="4">
        <dgm:presLayoutVars>
          <dgm:chMax val="1"/>
          <dgm:bulletEnabled val="1"/>
        </dgm:presLayoutVars>
      </dgm:prSet>
      <dgm:spPr/>
    </dgm:pt>
    <dgm:pt modelId="{49C8629C-7CED-4D7A-9E2A-2A41D4C668DF}" type="pres">
      <dgm:prSet presAssocID="{F22DAD69-09D0-4370-B2F6-A62A929C39B4}" presName="quadrant3" presStyleLbl="node1" presStyleIdx="2" presStyleCnt="4">
        <dgm:presLayoutVars>
          <dgm:chMax val="1"/>
          <dgm:bulletEnabled val="1"/>
        </dgm:presLayoutVars>
      </dgm:prSet>
      <dgm:spPr/>
    </dgm:pt>
    <dgm:pt modelId="{959FFFC5-C3D5-4E21-8A1A-4109A1EFD1C0}" type="pres">
      <dgm:prSet presAssocID="{F22DAD69-09D0-4370-B2F6-A62A929C39B4}" presName="quadrant4" presStyleLbl="node1" presStyleIdx="3" presStyleCnt="4">
        <dgm:presLayoutVars>
          <dgm:chMax val="1"/>
          <dgm:bulletEnabled val="1"/>
        </dgm:presLayoutVars>
      </dgm:prSet>
      <dgm:spPr/>
    </dgm:pt>
    <dgm:pt modelId="{6204108A-84AD-4470-B535-BB28CD2C9430}" type="pres">
      <dgm:prSet presAssocID="{F22DAD69-09D0-4370-B2F6-A62A929C39B4}" presName="quadrantPlaceholder" presStyleCnt="0"/>
      <dgm:spPr/>
    </dgm:pt>
    <dgm:pt modelId="{9D7A5832-F5A2-44B1-9AB4-55D5308A6D1D}" type="pres">
      <dgm:prSet presAssocID="{F22DAD69-09D0-4370-B2F6-A62A929C39B4}" presName="center1" presStyleLbl="fgShp" presStyleIdx="0" presStyleCnt="2"/>
      <dgm:spPr/>
    </dgm:pt>
    <dgm:pt modelId="{14AF4BFE-5A74-4BE4-9F94-EBD321D9A488}" type="pres">
      <dgm:prSet presAssocID="{F22DAD69-09D0-4370-B2F6-A62A929C39B4}" presName="center2" presStyleLbl="fgShp" presStyleIdx="1" presStyleCnt="2"/>
      <dgm:spPr/>
    </dgm:pt>
  </dgm:ptLst>
  <dgm:cxnLst>
    <dgm:cxn modelId="{9EBFEB15-948B-42F9-A0F1-C9D8C1D4F800}" srcId="{EECE4CB8-DB70-43B3-9FF8-64429D52D9DE}" destId="{8106E5B6-C58A-4958-8A5E-BB75B51D51A4}" srcOrd="2" destOrd="0" parTransId="{422C71B1-C432-477E-B165-2BA6EF50B575}" sibTransId="{4426019F-E34B-4DF1-A27D-672B752BA15A}"/>
    <dgm:cxn modelId="{5BF12C1C-2092-49F1-BF1A-53EFDE11A3AA}" type="presOf" srcId="{F22DAD69-09D0-4370-B2F6-A62A929C39B4}" destId="{EEC571C0-FAA7-44C4-B094-DD90C715338E}" srcOrd="0" destOrd="0" presId="urn:microsoft.com/office/officeart/2005/8/layout/cycle4"/>
    <dgm:cxn modelId="{88986724-AF68-4422-9BF8-A90AB5AA0D13}" srcId="{DE9AFBE0-F5BB-4760-8C3F-C4682428ACF5}" destId="{FFB8C737-BA1C-49C3-BBF4-FBA9864088B8}" srcOrd="1" destOrd="0" parTransId="{4AFA38BE-0989-4164-A3D3-7535FC1812F1}" sibTransId="{F4A13D37-32E6-468C-9FE0-F28F056E51C5}"/>
    <dgm:cxn modelId="{E8120426-5231-4921-8DA7-7F01428E2BAC}" type="presOf" srcId="{A6D14CD0-37B8-475C-B92E-90216636C13C}" destId="{55C934A8-1EA2-48F3-B093-4675C696F32D}" srcOrd="1" destOrd="2" presId="urn:microsoft.com/office/officeart/2005/8/layout/cycle4"/>
    <dgm:cxn modelId="{E461AC2B-9729-4F1F-BF59-4DF079FE48C3}" type="presOf" srcId="{A6D14CD0-37B8-475C-B92E-90216636C13C}" destId="{AA6F120E-8DAA-4B0E-9D29-ED7D052759B6}" srcOrd="0" destOrd="2" presId="urn:microsoft.com/office/officeart/2005/8/layout/cycle4"/>
    <dgm:cxn modelId="{50847E34-E730-4A72-BEEE-CACD10B603A5}" type="presOf" srcId="{407DF5EC-A462-47C6-9028-D0093AEF9C5F}" destId="{77F2A614-F168-4D47-B3B3-AEC270ED3C59}" srcOrd="0" destOrd="2" presId="urn:microsoft.com/office/officeart/2005/8/layout/cycle4"/>
    <dgm:cxn modelId="{7BB3A537-2D0B-410D-816B-DDC83AC7044D}" srcId="{F6485821-27D1-4BAE-A6B9-539B4F4F0E3F}" destId="{B0189628-F6DE-43AC-B6B2-FD89669FC2C6}" srcOrd="0" destOrd="0" parTransId="{EFE30B4E-EF9F-411B-8164-DA5A276EBB62}" sibTransId="{9DDB6AD0-E0BC-4EDD-9A2A-17AE656F7C93}"/>
    <dgm:cxn modelId="{D5D4273F-1190-4577-B67C-754DB2D6C458}" type="presOf" srcId="{FFB8C737-BA1C-49C3-BBF4-FBA9864088B8}" destId="{AA6F120E-8DAA-4B0E-9D29-ED7D052759B6}" srcOrd="0" destOrd="1" presId="urn:microsoft.com/office/officeart/2005/8/layout/cycle4"/>
    <dgm:cxn modelId="{A5156E60-91FF-4726-B06C-EF8CDF9B4276}" srcId="{7F7BE736-AC98-422B-9051-CBB0E8208425}" destId="{407DF5EC-A462-47C6-9028-D0093AEF9C5F}" srcOrd="2" destOrd="0" parTransId="{B265B520-5F4D-4C4F-8382-5E42E15611D0}" sibTransId="{8D07EEF4-4E35-4A04-8181-EAFFBE4D58CF}"/>
    <dgm:cxn modelId="{502B9A6C-4B15-46A4-BF77-CD240FC247FD}" type="presOf" srcId="{25AB2A79-1CA9-4FC7-85FF-CAC74104124A}" destId="{82C67A98-319E-4C4D-AB2E-DF9436D92E86}" srcOrd="0" destOrd="2" presId="urn:microsoft.com/office/officeart/2005/8/layout/cycle4"/>
    <dgm:cxn modelId="{60D6D76D-BD78-401A-8106-F5F479649524}" srcId="{EECE4CB8-DB70-43B3-9FF8-64429D52D9DE}" destId="{32663C06-7B43-42BB-9111-D17941EF1613}" srcOrd="1" destOrd="0" parTransId="{5546FDE4-15E5-4348-B1D8-5DA05BE2533E}" sibTransId="{A35CF922-C516-4FAF-AF74-61D8F21D31CA}"/>
    <dgm:cxn modelId="{4F0B5C4F-E09F-427A-A06B-DABEB6647C77}" type="presOf" srcId="{68DD6698-A73C-4CEB-9A88-5A02322ACAA7}" destId="{AA6F120E-8DAA-4B0E-9D29-ED7D052759B6}" srcOrd="0" destOrd="0" presId="urn:microsoft.com/office/officeart/2005/8/layout/cycle4"/>
    <dgm:cxn modelId="{047C9471-440F-4789-9C67-566A093735F8}" type="presOf" srcId="{FFB8C737-BA1C-49C3-BBF4-FBA9864088B8}" destId="{55C934A8-1EA2-48F3-B093-4675C696F32D}" srcOrd="1" destOrd="1" presId="urn:microsoft.com/office/officeart/2005/8/layout/cycle4"/>
    <dgm:cxn modelId="{681DCD51-AC39-4E93-BED6-8630F6587C1E}" srcId="{F6485821-27D1-4BAE-A6B9-539B4F4F0E3F}" destId="{25AB2A79-1CA9-4FC7-85FF-CAC74104124A}" srcOrd="2" destOrd="0" parTransId="{681519C3-8C48-47D9-B7E8-EAAE7D9CC9A5}" sibTransId="{4CB08400-DED3-47DA-8F1D-DE7F3D396AF3}"/>
    <dgm:cxn modelId="{FF0ED052-CACD-47D3-84FF-0CAC178C946E}" srcId="{F22DAD69-09D0-4370-B2F6-A62A929C39B4}" destId="{DE9AFBE0-F5BB-4760-8C3F-C4682428ACF5}" srcOrd="2" destOrd="0" parTransId="{AA0D642E-E67C-48A6-8B79-2EEF0D676764}" sibTransId="{98D3F491-CDAF-4F55-98A7-6292F7CB8675}"/>
    <dgm:cxn modelId="{BC835C54-6D8E-4D24-8961-8F953A5C3D59}" type="presOf" srcId="{EECE4CB8-DB70-43B3-9FF8-64429D52D9DE}" destId="{959FFFC5-C3D5-4E21-8A1A-4109A1EFD1C0}" srcOrd="0" destOrd="0" presId="urn:microsoft.com/office/officeart/2005/8/layout/cycle4"/>
    <dgm:cxn modelId="{5CB2C874-92FB-4041-9ECE-0CDCCF5063D8}" srcId="{F22DAD69-09D0-4370-B2F6-A62A929C39B4}" destId="{7F7BE736-AC98-422B-9051-CBB0E8208425}" srcOrd="0" destOrd="0" parTransId="{A1E1E07E-D949-45FA-AE59-E374FE45B115}" sibTransId="{14CB794A-8378-45CC-BC67-755E36CFDEBD}"/>
    <dgm:cxn modelId="{E076B377-C1D8-4B97-8BD3-18B93B422249}" type="presOf" srcId="{3D93BAF4-6896-4DD7-967B-5A05CF16F458}" destId="{82C67A98-319E-4C4D-AB2E-DF9436D92E86}" srcOrd="0" destOrd="1" presId="urn:microsoft.com/office/officeart/2005/8/layout/cycle4"/>
    <dgm:cxn modelId="{C525547A-1626-4FB7-9EA7-4D5E65FFDE90}" srcId="{DE9AFBE0-F5BB-4760-8C3F-C4682428ACF5}" destId="{68DD6698-A73C-4CEB-9A88-5A02322ACAA7}" srcOrd="0" destOrd="0" parTransId="{EF32138B-A6A6-4EB8-BE1E-2EE88F8C6DA0}" sibTransId="{232581B4-7EF1-4B5A-9B61-8CAB787D7C3C}"/>
    <dgm:cxn modelId="{E39B507B-62C0-4F31-A94F-5F994A16499C}" type="presOf" srcId="{7F7BE736-AC98-422B-9051-CBB0E8208425}" destId="{46CEDBE0-F1CE-4A42-92CB-7BB305E5BDE8}" srcOrd="0" destOrd="0" presId="urn:microsoft.com/office/officeart/2005/8/layout/cycle4"/>
    <dgm:cxn modelId="{E9B6BB7D-BB07-438E-870F-10D21F6FCD1F}" type="presOf" srcId="{B0189628-F6DE-43AC-B6B2-FD89669FC2C6}" destId="{82C67A98-319E-4C4D-AB2E-DF9436D92E86}" srcOrd="0" destOrd="0" presId="urn:microsoft.com/office/officeart/2005/8/layout/cycle4"/>
    <dgm:cxn modelId="{00B6DE82-3DA0-46E7-B3B6-8AD8A74A28BB}" type="presOf" srcId="{DE9AFBE0-F5BB-4760-8C3F-C4682428ACF5}" destId="{49C8629C-7CED-4D7A-9E2A-2A41D4C668DF}" srcOrd="0" destOrd="0" presId="urn:microsoft.com/office/officeart/2005/8/layout/cycle4"/>
    <dgm:cxn modelId="{4799E688-0B6A-4379-A718-B689FE2ED250}" type="presOf" srcId="{25AB2A79-1CA9-4FC7-85FF-CAC74104124A}" destId="{E96E9D4B-564B-4DFE-B017-81426D1C8B62}" srcOrd="1" destOrd="2" presId="urn:microsoft.com/office/officeart/2005/8/layout/cycle4"/>
    <dgm:cxn modelId="{C2007489-6F35-4078-A6CA-3FAF842D9105}" type="presOf" srcId="{C9870822-EAA5-48E9-8C82-63D800AB5898}" destId="{FDD5902E-E474-40C6-A6DD-26E7AF0E2E42}" srcOrd="1" destOrd="0" presId="urn:microsoft.com/office/officeart/2005/8/layout/cycle4"/>
    <dgm:cxn modelId="{5871B995-1D4A-468E-8327-27FFB43C160F}" type="presOf" srcId="{160287F0-23A7-47E5-8F80-DA1ACFCBA9A1}" destId="{340A6D68-DA71-4540-B38B-5661BB657D03}" srcOrd="1" destOrd="1" presId="urn:microsoft.com/office/officeart/2005/8/layout/cycle4"/>
    <dgm:cxn modelId="{4DC9E196-4434-414C-AECE-4867E3129690}" type="presOf" srcId="{160287F0-23A7-47E5-8F80-DA1ACFCBA9A1}" destId="{77F2A614-F168-4D47-B3B3-AEC270ED3C59}" srcOrd="0" destOrd="1" presId="urn:microsoft.com/office/officeart/2005/8/layout/cycle4"/>
    <dgm:cxn modelId="{CE1C9097-DDF9-4441-A6EF-22855B92B2D4}" type="presOf" srcId="{3D93BAF4-6896-4DD7-967B-5A05CF16F458}" destId="{E96E9D4B-564B-4DFE-B017-81426D1C8B62}" srcOrd="1" destOrd="1" presId="urn:microsoft.com/office/officeart/2005/8/layout/cycle4"/>
    <dgm:cxn modelId="{A675E799-2203-411D-A0E4-C4343BEA53CE}" type="presOf" srcId="{ADBF9B7D-0AB3-4500-9DD7-F79978EF4F59}" destId="{340A6D68-DA71-4540-B38B-5661BB657D03}" srcOrd="1" destOrd="0" presId="urn:microsoft.com/office/officeart/2005/8/layout/cycle4"/>
    <dgm:cxn modelId="{383A179B-1DA3-4CE8-AC63-1AF13DAA13F8}" srcId="{EECE4CB8-DB70-43B3-9FF8-64429D52D9DE}" destId="{C9870822-EAA5-48E9-8C82-63D800AB5898}" srcOrd="0" destOrd="0" parTransId="{36F2A164-89F0-4C05-86CA-A05A5C4B9DE8}" sibTransId="{9A89763F-3C64-4D18-9C34-68343819011C}"/>
    <dgm:cxn modelId="{7C597B9C-5920-4A9F-B787-F3B056086A3D}" type="presOf" srcId="{ADBF9B7D-0AB3-4500-9DD7-F79978EF4F59}" destId="{77F2A614-F168-4D47-B3B3-AEC270ED3C59}" srcOrd="0" destOrd="0" presId="urn:microsoft.com/office/officeart/2005/8/layout/cycle4"/>
    <dgm:cxn modelId="{06B4919C-6E3C-48C3-A7CA-9CDA2F4B88F8}" type="presOf" srcId="{F6485821-27D1-4BAE-A6B9-539B4F4F0E3F}" destId="{F4922950-92BC-4931-A601-90AAF7CE92B9}" srcOrd="0" destOrd="0" presId="urn:microsoft.com/office/officeart/2005/8/layout/cycle4"/>
    <dgm:cxn modelId="{D488489D-4D6F-4708-8DFF-171C65E21377}" type="presOf" srcId="{8106E5B6-C58A-4958-8A5E-BB75B51D51A4}" destId="{C80C16C9-A62B-483E-B1FD-EFCC321C7A64}" srcOrd="0" destOrd="2" presId="urn:microsoft.com/office/officeart/2005/8/layout/cycle4"/>
    <dgm:cxn modelId="{56E7ABAA-BBA0-423F-9508-06950F1B8E2F}" type="presOf" srcId="{8106E5B6-C58A-4958-8A5E-BB75B51D51A4}" destId="{FDD5902E-E474-40C6-A6DD-26E7AF0E2E42}" srcOrd="1" destOrd="2" presId="urn:microsoft.com/office/officeart/2005/8/layout/cycle4"/>
    <dgm:cxn modelId="{7DC4B8B2-3877-4F8A-B929-EDF02ED5B6BE}" srcId="{DE9AFBE0-F5BB-4760-8C3F-C4682428ACF5}" destId="{A6D14CD0-37B8-475C-B92E-90216636C13C}" srcOrd="2" destOrd="0" parTransId="{8A911815-A465-434E-8735-46D71E182C3E}" sibTransId="{82FB02E3-811F-44E3-9432-0BED4B479AFB}"/>
    <dgm:cxn modelId="{C266EBBC-7ADF-409E-A620-E949879A4E73}" type="presOf" srcId="{32663C06-7B43-42BB-9111-D17941EF1613}" destId="{C80C16C9-A62B-483E-B1FD-EFCC321C7A64}" srcOrd="0" destOrd="1" presId="urn:microsoft.com/office/officeart/2005/8/layout/cycle4"/>
    <dgm:cxn modelId="{25E8B9BD-7CD6-45A1-9173-1681813BA30A}" srcId="{F6485821-27D1-4BAE-A6B9-539B4F4F0E3F}" destId="{3D93BAF4-6896-4DD7-967B-5A05CF16F458}" srcOrd="1" destOrd="0" parTransId="{16E265B0-A6E2-49A4-AAA3-16B651D1B195}" sibTransId="{CD93244D-F571-46BF-90AB-1935F227EAB4}"/>
    <dgm:cxn modelId="{781F0EBF-54A9-4FC6-AEFF-EFBEAA440AF4}" type="presOf" srcId="{32663C06-7B43-42BB-9111-D17941EF1613}" destId="{FDD5902E-E474-40C6-A6DD-26E7AF0E2E42}" srcOrd="1" destOrd="1" presId="urn:microsoft.com/office/officeart/2005/8/layout/cycle4"/>
    <dgm:cxn modelId="{888B35BF-DF37-49E9-9302-DDEC868E30FF}" type="presOf" srcId="{C9870822-EAA5-48E9-8C82-63D800AB5898}" destId="{C80C16C9-A62B-483E-B1FD-EFCC321C7A64}" srcOrd="0" destOrd="0" presId="urn:microsoft.com/office/officeart/2005/8/layout/cycle4"/>
    <dgm:cxn modelId="{9AEE73C5-8A11-4925-9770-5A7F7DE759DA}" srcId="{7F7BE736-AC98-422B-9051-CBB0E8208425}" destId="{160287F0-23A7-47E5-8F80-DA1ACFCBA9A1}" srcOrd="1" destOrd="0" parTransId="{A22CDF8F-3027-4CEB-8B67-6DD3ED98F2C5}" sibTransId="{1E153B12-A424-49FF-8AE9-A8823495E8B4}"/>
    <dgm:cxn modelId="{EC1783CF-09C4-4C95-A5B0-CE5341FB9F9B}" srcId="{7F7BE736-AC98-422B-9051-CBB0E8208425}" destId="{ADBF9B7D-0AB3-4500-9DD7-F79978EF4F59}" srcOrd="0" destOrd="0" parTransId="{187EBFF7-184C-48B9-8C9F-2AE83BAA3637}" sibTransId="{1DDC76A3-0AA7-4EF1-A540-EE749859B9C9}"/>
    <dgm:cxn modelId="{4A0646D2-85DF-4F72-996C-16D3F5C76258}" srcId="{F22DAD69-09D0-4370-B2F6-A62A929C39B4}" destId="{F6485821-27D1-4BAE-A6B9-539B4F4F0E3F}" srcOrd="1" destOrd="0" parTransId="{765BB8DD-5819-45BB-8647-4C2848D94696}" sibTransId="{8169FAFC-24B5-489A-A1B9-DDACAAFD97FB}"/>
    <dgm:cxn modelId="{43239AD2-9324-46F5-B77F-8C416901AEBE}" srcId="{F22DAD69-09D0-4370-B2F6-A62A929C39B4}" destId="{EECE4CB8-DB70-43B3-9FF8-64429D52D9DE}" srcOrd="3" destOrd="0" parTransId="{E58AE418-7D11-4777-86C5-7EC4AFAA0931}" sibTransId="{F169E59B-8191-404B-91D2-AFB98AC32CDA}"/>
    <dgm:cxn modelId="{A25B58D9-89EA-48C9-B335-DD97D14C11F4}" type="presOf" srcId="{68DD6698-A73C-4CEB-9A88-5A02322ACAA7}" destId="{55C934A8-1EA2-48F3-B093-4675C696F32D}" srcOrd="1" destOrd="0" presId="urn:microsoft.com/office/officeart/2005/8/layout/cycle4"/>
    <dgm:cxn modelId="{256A3FE4-5115-4D56-8058-DC2EA3222CFC}" type="presOf" srcId="{B0189628-F6DE-43AC-B6B2-FD89669FC2C6}" destId="{E96E9D4B-564B-4DFE-B017-81426D1C8B62}" srcOrd="1" destOrd="0" presId="urn:microsoft.com/office/officeart/2005/8/layout/cycle4"/>
    <dgm:cxn modelId="{0E4922FA-65BC-471D-B81C-2D5A4428F29D}" type="presOf" srcId="{407DF5EC-A462-47C6-9028-D0093AEF9C5F}" destId="{340A6D68-DA71-4540-B38B-5661BB657D03}" srcOrd="1" destOrd="2" presId="urn:microsoft.com/office/officeart/2005/8/layout/cycle4"/>
    <dgm:cxn modelId="{290F7B35-241D-4EDD-8067-F6CB2B04A0C1}" type="presParOf" srcId="{EEC571C0-FAA7-44C4-B094-DD90C715338E}" destId="{3AC5B676-173E-401D-9B30-92ACFB15D9C4}" srcOrd="0" destOrd="0" presId="urn:microsoft.com/office/officeart/2005/8/layout/cycle4"/>
    <dgm:cxn modelId="{BD30514F-C8D3-4AA0-B966-092168343144}" type="presParOf" srcId="{3AC5B676-173E-401D-9B30-92ACFB15D9C4}" destId="{E4997316-A521-45CB-B0F1-3CF26606A4C7}" srcOrd="0" destOrd="0" presId="urn:microsoft.com/office/officeart/2005/8/layout/cycle4"/>
    <dgm:cxn modelId="{CE59AFFE-8720-4731-B0D1-EE50084E2A13}" type="presParOf" srcId="{E4997316-A521-45CB-B0F1-3CF26606A4C7}" destId="{77F2A614-F168-4D47-B3B3-AEC270ED3C59}" srcOrd="0" destOrd="0" presId="urn:microsoft.com/office/officeart/2005/8/layout/cycle4"/>
    <dgm:cxn modelId="{A9B346D4-0159-492A-A9B7-F8501395998F}" type="presParOf" srcId="{E4997316-A521-45CB-B0F1-3CF26606A4C7}" destId="{340A6D68-DA71-4540-B38B-5661BB657D03}" srcOrd="1" destOrd="0" presId="urn:microsoft.com/office/officeart/2005/8/layout/cycle4"/>
    <dgm:cxn modelId="{40871D75-6FD1-4B40-9756-8C7DF3DFBC55}" type="presParOf" srcId="{3AC5B676-173E-401D-9B30-92ACFB15D9C4}" destId="{3258DAD6-B22E-4B0A-96D5-D7DCF4B43A25}" srcOrd="1" destOrd="0" presId="urn:microsoft.com/office/officeart/2005/8/layout/cycle4"/>
    <dgm:cxn modelId="{E7691ECF-D0E6-48C4-9B83-744016837FC0}" type="presParOf" srcId="{3258DAD6-B22E-4B0A-96D5-D7DCF4B43A25}" destId="{82C67A98-319E-4C4D-AB2E-DF9436D92E86}" srcOrd="0" destOrd="0" presId="urn:microsoft.com/office/officeart/2005/8/layout/cycle4"/>
    <dgm:cxn modelId="{859F867C-E96D-4B53-929C-083E6C7975EA}" type="presParOf" srcId="{3258DAD6-B22E-4B0A-96D5-D7DCF4B43A25}" destId="{E96E9D4B-564B-4DFE-B017-81426D1C8B62}" srcOrd="1" destOrd="0" presId="urn:microsoft.com/office/officeart/2005/8/layout/cycle4"/>
    <dgm:cxn modelId="{0E55989E-389C-4660-8805-BFFD6152FAD7}" type="presParOf" srcId="{3AC5B676-173E-401D-9B30-92ACFB15D9C4}" destId="{F8AFFC53-56B0-4B54-A883-A7323A77152A}" srcOrd="2" destOrd="0" presId="urn:microsoft.com/office/officeart/2005/8/layout/cycle4"/>
    <dgm:cxn modelId="{ECF1CF00-9CC4-4F17-945C-F8875BF02A1B}" type="presParOf" srcId="{F8AFFC53-56B0-4B54-A883-A7323A77152A}" destId="{AA6F120E-8DAA-4B0E-9D29-ED7D052759B6}" srcOrd="0" destOrd="0" presId="urn:microsoft.com/office/officeart/2005/8/layout/cycle4"/>
    <dgm:cxn modelId="{DA8CB824-E862-437E-985B-9A111E71E8EA}" type="presParOf" srcId="{F8AFFC53-56B0-4B54-A883-A7323A77152A}" destId="{55C934A8-1EA2-48F3-B093-4675C696F32D}" srcOrd="1" destOrd="0" presId="urn:microsoft.com/office/officeart/2005/8/layout/cycle4"/>
    <dgm:cxn modelId="{BBA5FF23-70DE-4928-AD62-86470209B6D6}" type="presParOf" srcId="{3AC5B676-173E-401D-9B30-92ACFB15D9C4}" destId="{A92EC261-BECF-4170-9E0B-C3316AD7B0C4}" srcOrd="3" destOrd="0" presId="urn:microsoft.com/office/officeart/2005/8/layout/cycle4"/>
    <dgm:cxn modelId="{4440F477-21DB-49F5-907F-655694649ADA}" type="presParOf" srcId="{A92EC261-BECF-4170-9E0B-C3316AD7B0C4}" destId="{C80C16C9-A62B-483E-B1FD-EFCC321C7A64}" srcOrd="0" destOrd="0" presId="urn:microsoft.com/office/officeart/2005/8/layout/cycle4"/>
    <dgm:cxn modelId="{D5016825-8868-4ABD-ACEC-E604722B7021}" type="presParOf" srcId="{A92EC261-BECF-4170-9E0B-C3316AD7B0C4}" destId="{FDD5902E-E474-40C6-A6DD-26E7AF0E2E42}" srcOrd="1" destOrd="0" presId="urn:microsoft.com/office/officeart/2005/8/layout/cycle4"/>
    <dgm:cxn modelId="{C368742B-A923-4EE1-BD85-8C59C0332004}" type="presParOf" srcId="{3AC5B676-173E-401D-9B30-92ACFB15D9C4}" destId="{58172BA3-B333-4CE5-B05B-B09CC3BDA9C7}" srcOrd="4" destOrd="0" presId="urn:microsoft.com/office/officeart/2005/8/layout/cycle4"/>
    <dgm:cxn modelId="{158451FF-A192-4387-B16D-10A14156B032}" type="presParOf" srcId="{EEC571C0-FAA7-44C4-B094-DD90C715338E}" destId="{B0FD25E2-32CA-49EB-A7B8-0629136F0BEB}" srcOrd="1" destOrd="0" presId="urn:microsoft.com/office/officeart/2005/8/layout/cycle4"/>
    <dgm:cxn modelId="{7F3CC8B8-B03C-4418-8CDA-881CAEE11C67}" type="presParOf" srcId="{B0FD25E2-32CA-49EB-A7B8-0629136F0BEB}" destId="{46CEDBE0-F1CE-4A42-92CB-7BB305E5BDE8}" srcOrd="0" destOrd="0" presId="urn:microsoft.com/office/officeart/2005/8/layout/cycle4"/>
    <dgm:cxn modelId="{49651324-2A15-4AB3-BC78-A00DC4D734FD}" type="presParOf" srcId="{B0FD25E2-32CA-49EB-A7B8-0629136F0BEB}" destId="{F4922950-92BC-4931-A601-90AAF7CE92B9}" srcOrd="1" destOrd="0" presId="urn:microsoft.com/office/officeart/2005/8/layout/cycle4"/>
    <dgm:cxn modelId="{56489FB2-5702-426E-A017-CBE41DE40FAB}" type="presParOf" srcId="{B0FD25E2-32CA-49EB-A7B8-0629136F0BEB}" destId="{49C8629C-7CED-4D7A-9E2A-2A41D4C668DF}" srcOrd="2" destOrd="0" presId="urn:microsoft.com/office/officeart/2005/8/layout/cycle4"/>
    <dgm:cxn modelId="{EA2D435A-7413-46E1-A37B-EEBE6E5B8267}" type="presParOf" srcId="{B0FD25E2-32CA-49EB-A7B8-0629136F0BEB}" destId="{959FFFC5-C3D5-4E21-8A1A-4109A1EFD1C0}" srcOrd="3" destOrd="0" presId="urn:microsoft.com/office/officeart/2005/8/layout/cycle4"/>
    <dgm:cxn modelId="{3E8C4AC5-A359-437E-818C-D02300BCFA55}" type="presParOf" srcId="{B0FD25E2-32CA-49EB-A7B8-0629136F0BEB}" destId="{6204108A-84AD-4470-B535-BB28CD2C9430}" srcOrd="4" destOrd="0" presId="urn:microsoft.com/office/officeart/2005/8/layout/cycle4"/>
    <dgm:cxn modelId="{486F1B60-7C7B-498A-9306-7564E6B16B0D}" type="presParOf" srcId="{EEC571C0-FAA7-44C4-B094-DD90C715338E}" destId="{9D7A5832-F5A2-44B1-9AB4-55D5308A6D1D}" srcOrd="2" destOrd="0" presId="urn:microsoft.com/office/officeart/2005/8/layout/cycle4"/>
    <dgm:cxn modelId="{887F6F1E-BBE9-450F-9455-5DFCBB410DA1}" type="presParOf" srcId="{EEC571C0-FAA7-44C4-B094-DD90C715338E}" destId="{14AF4BFE-5A74-4BE4-9F94-EBD321D9A488}" srcOrd="3" destOrd="0" presId="urn:microsoft.com/office/officeart/2005/8/layout/cycle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C0BC9BC-2557-4172-B3C3-BEA14C861A20}"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pPr rtl="1"/>
          <a:endParaRPr lang="he-IL"/>
        </a:p>
      </dgm:t>
    </dgm:pt>
    <dgm:pt modelId="{22EDEAA3-00A0-41B7-8ACC-B93AE08F7AE9}">
      <dgm:prSet phldrT="[טקסט]" custT="1"/>
      <dgm:spPr>
        <a:xfrm rot="5400000">
          <a:off x="-113003" y="124617"/>
          <a:ext cx="753355" cy="527349"/>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rtl="1"/>
          <a:r>
            <a:rPr lang="he-IL" sz="1000" b="1">
              <a:solidFill>
                <a:sysClr val="window" lastClr="FFFFFF"/>
              </a:solidFill>
              <a:latin typeface="Calibri"/>
              <a:ea typeface="+mn-ea"/>
              <a:cs typeface="+mn-cs"/>
            </a:rPr>
            <a:t>נובמבר 1993</a:t>
          </a:r>
        </a:p>
      </dgm:t>
    </dgm:pt>
    <dgm:pt modelId="{C8AFDDC6-A4CB-43AA-A6CC-A9305C44D703}" type="parTrans" cxnId="{AA4ED774-819E-4FCD-9653-1FC65D6A6EFC}">
      <dgm:prSet/>
      <dgm:spPr/>
      <dgm:t>
        <a:bodyPr/>
        <a:lstStyle/>
        <a:p>
          <a:pPr rtl="1"/>
          <a:endParaRPr lang="he-IL" sz="1000">
            <a:cs typeface="+mn-cs"/>
          </a:endParaRPr>
        </a:p>
      </dgm:t>
    </dgm:pt>
    <dgm:pt modelId="{467CCC0F-10B2-4D8F-B6A4-20A8FE6392B3}" type="sibTrans" cxnId="{AA4ED774-819E-4FCD-9653-1FC65D6A6EFC}">
      <dgm:prSet/>
      <dgm:spPr/>
      <dgm:t>
        <a:bodyPr/>
        <a:lstStyle/>
        <a:p>
          <a:pPr rtl="1"/>
          <a:endParaRPr lang="he-IL" sz="1000">
            <a:cs typeface="+mn-cs"/>
          </a:endParaRPr>
        </a:p>
      </dgm:t>
    </dgm:pt>
    <dgm:pt modelId="{CB0D3583-90E9-465A-A20F-2B5C431F19B7}">
      <dgm:prSet phldrT="[טקסט]" custT="1"/>
      <dgm:spPr>
        <a:xfrm rot="5400000">
          <a:off x="2628872" y="-2089909"/>
          <a:ext cx="489938" cy="469298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הקמת וועדה בעניין תקני דיווח וחשבונאות במגזר הממשלתי (ועדת אבישר) על ידי החשכ"ל (להלן - ועדה מספר 1). המלצות הוועדה הוגשו בפברואר 1995 ועיקרן היה הצורך בקביעת כללי דיווח חשבונאים על בסיס </a:t>
          </a:r>
          <a:r>
            <a:rPr lang="he-IL" sz="1000" b="1">
              <a:solidFill>
                <a:sysClr val="windowText" lastClr="000000">
                  <a:hueOff val="0"/>
                  <a:satOff val="0"/>
                  <a:lumOff val="0"/>
                  <a:alphaOff val="0"/>
                </a:sysClr>
              </a:solidFill>
              <a:latin typeface="Calibri"/>
              <a:ea typeface="+mn-ea"/>
              <a:cs typeface="+mn-cs"/>
            </a:rPr>
            <a:t>מצטבר</a:t>
          </a:r>
          <a:r>
            <a:rPr lang="he-IL" sz="1000">
              <a:solidFill>
                <a:sysClr val="windowText" lastClr="000000">
                  <a:hueOff val="0"/>
                  <a:satOff val="0"/>
                  <a:lumOff val="0"/>
                  <a:alphaOff val="0"/>
                </a:sysClr>
              </a:solidFill>
              <a:latin typeface="Calibri"/>
              <a:ea typeface="+mn-ea"/>
              <a:cs typeface="+mn-cs"/>
            </a:rPr>
            <a:t>. </a:t>
          </a:r>
        </a:p>
      </dgm:t>
    </dgm:pt>
    <dgm:pt modelId="{25FEC684-2B4B-455C-8DC7-B72F5D9EFD0F}" type="parTrans" cxnId="{61F0A3D9-B66E-4E7D-BCB4-C7341482AF75}">
      <dgm:prSet/>
      <dgm:spPr/>
      <dgm:t>
        <a:bodyPr/>
        <a:lstStyle/>
        <a:p>
          <a:pPr rtl="1"/>
          <a:endParaRPr lang="he-IL" sz="1000">
            <a:cs typeface="+mn-cs"/>
          </a:endParaRPr>
        </a:p>
      </dgm:t>
    </dgm:pt>
    <dgm:pt modelId="{A3BA1199-FCD4-45DC-9D7E-5DFDDADD8A99}" type="sibTrans" cxnId="{61F0A3D9-B66E-4E7D-BCB4-C7341482AF75}">
      <dgm:prSet/>
      <dgm:spPr/>
      <dgm:t>
        <a:bodyPr/>
        <a:lstStyle/>
        <a:p>
          <a:pPr rtl="1"/>
          <a:endParaRPr lang="he-IL" sz="1000">
            <a:cs typeface="+mn-cs"/>
          </a:endParaRPr>
        </a:p>
      </dgm:t>
    </dgm:pt>
    <dgm:pt modelId="{7150C850-5D33-4ACD-9ED9-E0CD771354AE}">
      <dgm:prSet phldrT="[טקסט]" custT="1"/>
      <dgm:spPr>
        <a:xfrm rot="5400000">
          <a:off x="-113003" y="805852"/>
          <a:ext cx="753355" cy="527349"/>
        </a:xfrm>
        <a:solidFill>
          <a:srgbClr val="C0504D">
            <a:hueOff val="668788"/>
            <a:satOff val="-834"/>
            <a:lumOff val="196"/>
            <a:alphaOff val="0"/>
          </a:srgbClr>
        </a:solidFill>
        <a:ln w="25400" cap="flat" cmpd="sng" algn="ctr">
          <a:solidFill>
            <a:srgbClr val="C0504D">
              <a:hueOff val="668788"/>
              <a:satOff val="-834"/>
              <a:lumOff val="196"/>
              <a:alphaOff val="0"/>
            </a:srgbClr>
          </a:solidFill>
          <a:prstDash val="solid"/>
        </a:ln>
        <a:effectLst/>
      </dgm:spPr>
      <dgm:t>
        <a:bodyPr/>
        <a:lstStyle/>
        <a:p>
          <a:pPr rtl="1"/>
          <a:r>
            <a:rPr lang="he-IL" sz="1000">
              <a:solidFill>
                <a:sysClr val="window" lastClr="FFFFFF"/>
              </a:solidFill>
              <a:latin typeface="Calibri"/>
              <a:ea typeface="+mn-ea"/>
              <a:cs typeface="+mn-cs"/>
            </a:rPr>
            <a:t>יוני 1995</a:t>
          </a:r>
        </a:p>
      </dgm:t>
    </dgm:pt>
    <dgm:pt modelId="{D12B59AC-4BA9-4DAE-8970-370E07DBA140}" type="parTrans" cxnId="{7F7FF91C-8C5A-4BDD-93BD-8BF2706ADA8B}">
      <dgm:prSet/>
      <dgm:spPr/>
      <dgm:t>
        <a:bodyPr/>
        <a:lstStyle/>
        <a:p>
          <a:pPr rtl="1"/>
          <a:endParaRPr lang="he-IL" sz="1000">
            <a:cs typeface="+mn-cs"/>
          </a:endParaRPr>
        </a:p>
      </dgm:t>
    </dgm:pt>
    <dgm:pt modelId="{CEBF16DF-5939-4419-9356-F677AE2B39D8}" type="sibTrans" cxnId="{7F7FF91C-8C5A-4BDD-93BD-8BF2706ADA8B}">
      <dgm:prSet/>
      <dgm:spPr/>
      <dgm:t>
        <a:bodyPr/>
        <a:lstStyle/>
        <a:p>
          <a:pPr rtl="1"/>
          <a:endParaRPr lang="he-IL" sz="1000">
            <a:cs typeface="+mn-cs"/>
          </a:endParaRPr>
        </a:p>
      </dgm:t>
    </dgm:pt>
    <dgm:pt modelId="{AD9A611D-78D5-4A54-A637-1ABF3F5E5CC9}">
      <dgm:prSet phldrT="[טקסט]" custT="1"/>
      <dgm:spPr>
        <a:xfrm rot="5400000">
          <a:off x="2629001" y="-1408803"/>
          <a:ext cx="489681" cy="4692985"/>
        </a:xfrm>
        <a:solidFill>
          <a:sysClr val="window" lastClr="FFFFFF">
            <a:alpha val="90000"/>
            <a:hueOff val="0"/>
            <a:satOff val="0"/>
            <a:lumOff val="0"/>
            <a:alphaOff val="0"/>
          </a:sysClr>
        </a:solidFill>
        <a:ln w="25400" cap="flat" cmpd="sng" algn="ctr">
          <a:solidFill>
            <a:srgbClr val="C0504D">
              <a:hueOff val="668788"/>
              <a:satOff val="-834"/>
              <a:lumOff val="196"/>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החשכ"ל ממנה ועדה לתקני דיווח וחשבונאות במגזר הממשלתי (להלן- ועדה מספר 2). באפריל 1997 פירסמה הוועדה דוח ביניים והמליצה על מודל דיווח התומך במערכת חשבונאית מלאה ומאוזנת. </a:t>
          </a:r>
        </a:p>
      </dgm:t>
    </dgm:pt>
    <dgm:pt modelId="{54ECDB89-ABCC-450E-B257-DF4B4F7BF43C}" type="parTrans" cxnId="{616F629C-40D7-4843-BB8D-7AA87E396E2E}">
      <dgm:prSet/>
      <dgm:spPr/>
      <dgm:t>
        <a:bodyPr/>
        <a:lstStyle/>
        <a:p>
          <a:pPr rtl="1"/>
          <a:endParaRPr lang="he-IL" sz="1000">
            <a:cs typeface="+mn-cs"/>
          </a:endParaRPr>
        </a:p>
      </dgm:t>
    </dgm:pt>
    <dgm:pt modelId="{6D3345E0-AB5B-48DB-8C29-F0C1DDB373D1}" type="sibTrans" cxnId="{616F629C-40D7-4843-BB8D-7AA87E396E2E}">
      <dgm:prSet/>
      <dgm:spPr/>
      <dgm:t>
        <a:bodyPr/>
        <a:lstStyle/>
        <a:p>
          <a:pPr rtl="1"/>
          <a:endParaRPr lang="he-IL" sz="1000">
            <a:cs typeface="+mn-cs"/>
          </a:endParaRPr>
        </a:p>
      </dgm:t>
    </dgm:pt>
    <dgm:pt modelId="{BE7EFE8F-5D4F-484C-8ED7-9862483A7F98}">
      <dgm:prSet custT="1"/>
      <dgm:spPr>
        <a:xfrm rot="5400000">
          <a:off x="-113003" y="1537441"/>
          <a:ext cx="753355" cy="527349"/>
        </a:xfrm>
        <a:solidFill>
          <a:srgbClr val="C0504D">
            <a:hueOff val="1337577"/>
            <a:satOff val="-1668"/>
            <a:lumOff val="392"/>
            <a:alphaOff val="0"/>
          </a:srgbClr>
        </a:solidFill>
        <a:ln w="25400" cap="flat" cmpd="sng" algn="ctr">
          <a:solidFill>
            <a:srgbClr val="C0504D">
              <a:hueOff val="1337577"/>
              <a:satOff val="-1668"/>
              <a:lumOff val="392"/>
              <a:alphaOff val="0"/>
            </a:srgbClr>
          </a:solidFill>
          <a:prstDash val="solid"/>
        </a:ln>
        <a:effectLst/>
      </dgm:spPr>
      <dgm:t>
        <a:bodyPr/>
        <a:lstStyle/>
        <a:p>
          <a:pPr rtl="1"/>
          <a:r>
            <a:rPr lang="he-IL" sz="1000">
              <a:solidFill>
                <a:sysClr val="window" lastClr="FFFFFF"/>
              </a:solidFill>
              <a:latin typeface="Calibri"/>
              <a:ea typeface="+mn-ea"/>
              <a:cs typeface="+mn-cs"/>
            </a:rPr>
            <a:t>1998</a:t>
          </a:r>
        </a:p>
      </dgm:t>
    </dgm:pt>
    <dgm:pt modelId="{D5B66D55-6E1C-4ACA-8D74-5B7107A2FE98}" type="parTrans" cxnId="{E9A09467-E56E-4E74-A35E-0C9973D82B13}">
      <dgm:prSet/>
      <dgm:spPr/>
      <dgm:t>
        <a:bodyPr/>
        <a:lstStyle/>
        <a:p>
          <a:pPr rtl="1"/>
          <a:endParaRPr lang="he-IL" sz="1000">
            <a:cs typeface="+mn-cs"/>
          </a:endParaRPr>
        </a:p>
      </dgm:t>
    </dgm:pt>
    <dgm:pt modelId="{F6B136E6-4889-4E1A-A1F4-29BAF2FB2FE2}" type="sibTrans" cxnId="{E9A09467-E56E-4E74-A35E-0C9973D82B13}">
      <dgm:prSet/>
      <dgm:spPr/>
      <dgm:t>
        <a:bodyPr/>
        <a:lstStyle/>
        <a:p>
          <a:pPr rtl="1"/>
          <a:endParaRPr lang="he-IL" sz="1000">
            <a:cs typeface="+mn-cs"/>
          </a:endParaRPr>
        </a:p>
      </dgm:t>
    </dgm:pt>
    <dgm:pt modelId="{D6B15519-FA2B-4583-B7F4-2AC2D7B8B00A}">
      <dgm:prSet custT="1"/>
      <dgm:spPr>
        <a:xfrm rot="5400000">
          <a:off x="2578647" y="-677214"/>
          <a:ext cx="590389" cy="4692985"/>
        </a:xfrm>
        <a:solidFill>
          <a:sysClr val="window" lastClr="FFFFFF">
            <a:alpha val="90000"/>
            <a:hueOff val="0"/>
            <a:satOff val="0"/>
            <a:lumOff val="0"/>
            <a:alphaOff val="0"/>
          </a:sysClr>
        </a:solidFill>
        <a:ln w="25400" cap="flat" cmpd="sng" algn="ctr">
          <a:solidFill>
            <a:srgbClr val="C0504D">
              <a:hueOff val="1337577"/>
              <a:satOff val="-1668"/>
              <a:lumOff val="392"/>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החשכ"ל פונה למשרדי רואה חשבון לצורך איסוף מידע אודות הנעשה בחמש מדינות בעולם שעשו רפורמה בחשבונאות ולגיבוש המלצות לכללי דיווח חשבונאי במגזר הממשלתי. בינואר 1999 המליצה ועדה מספר 2 שהדיווח הכספי יהיה על בסיס </a:t>
          </a:r>
          <a:r>
            <a:rPr lang="he-IL" sz="1000" b="1">
              <a:solidFill>
                <a:sysClr val="windowText" lastClr="000000">
                  <a:hueOff val="0"/>
                  <a:satOff val="0"/>
                  <a:lumOff val="0"/>
                  <a:alphaOff val="0"/>
                </a:sysClr>
              </a:solidFill>
              <a:latin typeface="Calibri"/>
              <a:ea typeface="+mn-ea"/>
              <a:cs typeface="+mn-cs"/>
            </a:rPr>
            <a:t>מצטבר</a:t>
          </a:r>
          <a:r>
            <a:rPr lang="he-IL" sz="1000">
              <a:solidFill>
                <a:sysClr val="windowText" lastClr="000000">
                  <a:hueOff val="0"/>
                  <a:satOff val="0"/>
                  <a:lumOff val="0"/>
                  <a:alphaOff val="0"/>
                </a:sysClr>
              </a:solidFill>
              <a:latin typeface="Calibri"/>
              <a:ea typeface="+mn-ea"/>
              <a:cs typeface="+mn-cs"/>
            </a:rPr>
            <a:t>.</a:t>
          </a:r>
          <a:r>
            <a:rPr lang="en-US" sz="1000">
              <a:solidFill>
                <a:sysClr val="windowText" lastClr="000000">
                  <a:hueOff val="0"/>
                  <a:satOff val="0"/>
                  <a:lumOff val="0"/>
                  <a:alphaOff val="0"/>
                </a:sysClr>
              </a:solidFill>
              <a:latin typeface="Calibri"/>
              <a:ea typeface="+mn-ea"/>
              <a:cs typeface="+mn-cs"/>
            </a:rPr>
            <a:t> </a:t>
          </a:r>
          <a:endParaRPr lang="he-IL" sz="1000">
            <a:solidFill>
              <a:sysClr val="windowText" lastClr="000000">
                <a:hueOff val="0"/>
                <a:satOff val="0"/>
                <a:lumOff val="0"/>
                <a:alphaOff val="0"/>
              </a:sysClr>
            </a:solidFill>
            <a:latin typeface="Calibri"/>
            <a:ea typeface="+mn-ea"/>
            <a:cs typeface="+mn-cs"/>
          </a:endParaRPr>
        </a:p>
      </dgm:t>
    </dgm:pt>
    <dgm:pt modelId="{DBA85BF3-84D0-4E13-B76B-1D84B99ED708}" type="parTrans" cxnId="{9D6C401B-DB94-4FD1-B4DB-EAB33E38BB5D}">
      <dgm:prSet/>
      <dgm:spPr/>
      <dgm:t>
        <a:bodyPr/>
        <a:lstStyle/>
        <a:p>
          <a:pPr rtl="1"/>
          <a:endParaRPr lang="he-IL" sz="1000">
            <a:cs typeface="+mn-cs"/>
          </a:endParaRPr>
        </a:p>
      </dgm:t>
    </dgm:pt>
    <dgm:pt modelId="{FB928F72-FAEC-45AA-8221-35E85EE267CB}" type="sibTrans" cxnId="{9D6C401B-DB94-4FD1-B4DB-EAB33E38BB5D}">
      <dgm:prSet/>
      <dgm:spPr/>
      <dgm:t>
        <a:bodyPr/>
        <a:lstStyle/>
        <a:p>
          <a:pPr rtl="1"/>
          <a:endParaRPr lang="he-IL" sz="1000">
            <a:cs typeface="+mn-cs"/>
          </a:endParaRPr>
        </a:p>
      </dgm:t>
    </dgm:pt>
    <dgm:pt modelId="{7D80C30C-3B83-4F87-8E28-1A9259109074}">
      <dgm:prSet custT="1"/>
      <dgm:spPr>
        <a:xfrm rot="5400000">
          <a:off x="-113003" y="2218676"/>
          <a:ext cx="753355" cy="527349"/>
        </a:xfrm>
        <a:solidFill>
          <a:srgbClr val="C0504D">
            <a:hueOff val="2006365"/>
            <a:satOff val="-2502"/>
            <a:lumOff val="588"/>
            <a:alphaOff val="0"/>
          </a:srgbClr>
        </a:solidFill>
        <a:ln w="25400" cap="flat" cmpd="sng" algn="ctr">
          <a:solidFill>
            <a:srgbClr val="C0504D">
              <a:hueOff val="2006365"/>
              <a:satOff val="-2502"/>
              <a:lumOff val="588"/>
              <a:alphaOff val="0"/>
            </a:srgbClr>
          </a:solidFill>
          <a:prstDash val="solid"/>
        </a:ln>
        <a:effectLst/>
      </dgm:spPr>
      <dgm:t>
        <a:bodyPr/>
        <a:lstStyle/>
        <a:p>
          <a:pPr rtl="1"/>
          <a:r>
            <a:rPr lang="he-IL" sz="1000">
              <a:solidFill>
                <a:sysClr val="window" lastClr="FFFFFF"/>
              </a:solidFill>
              <a:latin typeface="Calibri"/>
              <a:ea typeface="+mn-ea"/>
              <a:cs typeface="+mn-cs"/>
            </a:rPr>
            <a:t>מאי 2000</a:t>
          </a:r>
        </a:p>
      </dgm:t>
    </dgm:pt>
    <dgm:pt modelId="{C22BC8C7-D75D-4DBA-90C2-FD47C73E9644}" type="parTrans" cxnId="{E1EF638D-2EB6-4177-8961-735585EDEB1F}">
      <dgm:prSet/>
      <dgm:spPr/>
      <dgm:t>
        <a:bodyPr/>
        <a:lstStyle/>
        <a:p>
          <a:pPr rtl="1"/>
          <a:endParaRPr lang="he-IL" sz="1000">
            <a:cs typeface="+mn-cs"/>
          </a:endParaRPr>
        </a:p>
      </dgm:t>
    </dgm:pt>
    <dgm:pt modelId="{54560E7D-F864-43B4-9D51-8F6DF2C91D12}" type="sibTrans" cxnId="{E1EF638D-2EB6-4177-8961-735585EDEB1F}">
      <dgm:prSet/>
      <dgm:spPr/>
      <dgm:t>
        <a:bodyPr/>
        <a:lstStyle/>
        <a:p>
          <a:pPr rtl="1"/>
          <a:endParaRPr lang="he-IL" sz="1000">
            <a:cs typeface="+mn-cs"/>
          </a:endParaRPr>
        </a:p>
      </dgm:t>
    </dgm:pt>
    <dgm:pt modelId="{D4E30198-6117-4F2B-9130-ACCD3127C302}">
      <dgm:prSet custT="1"/>
      <dgm:spPr>
        <a:xfrm rot="5400000">
          <a:off x="2629001" y="4020"/>
          <a:ext cx="489681" cy="4692985"/>
        </a:xfrm>
        <a:solidFill>
          <a:sysClr val="window" lastClr="FFFFFF">
            <a:alpha val="90000"/>
            <a:hueOff val="0"/>
            <a:satOff val="0"/>
            <a:lumOff val="0"/>
            <a:alphaOff val="0"/>
          </a:sysClr>
        </a:solidFill>
        <a:ln w="25400" cap="flat" cmpd="sng" algn="ctr">
          <a:solidFill>
            <a:srgbClr val="C0504D">
              <a:hueOff val="2006365"/>
              <a:satOff val="-2502"/>
              <a:lumOff val="588"/>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אישור המלצות וועדה מספר 2 על ידי החשכ"ל ומיפוי הפעילויות החשבונאיות והכספיות במשרדי הממשלה. </a:t>
          </a:r>
        </a:p>
      </dgm:t>
    </dgm:pt>
    <dgm:pt modelId="{986153ED-EBA5-4DF0-B83C-A2DFC1FC0D94}" type="parTrans" cxnId="{EB244A3C-4C71-4E6E-8B74-2B30AF12A599}">
      <dgm:prSet/>
      <dgm:spPr/>
      <dgm:t>
        <a:bodyPr/>
        <a:lstStyle/>
        <a:p>
          <a:pPr rtl="1"/>
          <a:endParaRPr lang="he-IL" sz="1000">
            <a:cs typeface="+mn-cs"/>
          </a:endParaRPr>
        </a:p>
      </dgm:t>
    </dgm:pt>
    <dgm:pt modelId="{A1B9E159-0BA0-4681-8174-39EE6CD306A9}" type="sibTrans" cxnId="{EB244A3C-4C71-4E6E-8B74-2B30AF12A599}">
      <dgm:prSet/>
      <dgm:spPr/>
      <dgm:t>
        <a:bodyPr/>
        <a:lstStyle/>
        <a:p>
          <a:pPr rtl="1"/>
          <a:endParaRPr lang="he-IL" sz="1000">
            <a:cs typeface="+mn-cs"/>
          </a:endParaRPr>
        </a:p>
      </dgm:t>
    </dgm:pt>
    <dgm:pt modelId="{FC1E13DF-8967-446C-B351-ECBE3EA67D91}">
      <dgm:prSet custT="1"/>
      <dgm:spPr>
        <a:xfrm rot="5400000">
          <a:off x="-113003" y="2899911"/>
          <a:ext cx="753355" cy="527349"/>
        </a:xfrm>
        <a:solidFill>
          <a:srgbClr val="C0504D">
            <a:hueOff val="2675154"/>
            <a:satOff val="-3337"/>
            <a:lumOff val="785"/>
            <a:alphaOff val="0"/>
          </a:srgbClr>
        </a:solidFill>
        <a:ln w="25400" cap="flat" cmpd="sng" algn="ctr">
          <a:solidFill>
            <a:srgbClr val="C0504D">
              <a:hueOff val="2675154"/>
              <a:satOff val="-3337"/>
              <a:lumOff val="785"/>
              <a:alphaOff val="0"/>
            </a:srgbClr>
          </a:solidFill>
          <a:prstDash val="solid"/>
        </a:ln>
        <a:effectLst/>
      </dgm:spPr>
      <dgm:t>
        <a:bodyPr/>
        <a:lstStyle/>
        <a:p>
          <a:pPr rtl="1"/>
          <a:r>
            <a:rPr lang="he-IL" sz="1000">
              <a:solidFill>
                <a:sysClr val="window" lastClr="FFFFFF"/>
              </a:solidFill>
              <a:latin typeface="Calibri"/>
              <a:ea typeface="+mn-ea"/>
              <a:cs typeface="+mn-cs"/>
            </a:rPr>
            <a:t>יולי 2001</a:t>
          </a:r>
        </a:p>
      </dgm:t>
    </dgm:pt>
    <dgm:pt modelId="{A0DBC09B-4C5A-4609-8676-6365F3FC0F22}" type="parTrans" cxnId="{F6F9EB4B-D9B6-499C-85C8-15DD12F77CE5}">
      <dgm:prSet/>
      <dgm:spPr/>
      <dgm:t>
        <a:bodyPr/>
        <a:lstStyle/>
        <a:p>
          <a:pPr rtl="1"/>
          <a:endParaRPr lang="he-IL" sz="1000">
            <a:cs typeface="+mn-cs"/>
          </a:endParaRPr>
        </a:p>
      </dgm:t>
    </dgm:pt>
    <dgm:pt modelId="{EF22208C-96B2-4F22-ADD0-8E40399A0419}" type="sibTrans" cxnId="{F6F9EB4B-D9B6-499C-85C8-15DD12F77CE5}">
      <dgm:prSet/>
      <dgm:spPr/>
      <dgm:t>
        <a:bodyPr/>
        <a:lstStyle/>
        <a:p>
          <a:pPr rtl="1"/>
          <a:endParaRPr lang="he-IL" sz="1000">
            <a:cs typeface="+mn-cs"/>
          </a:endParaRPr>
        </a:p>
      </dgm:t>
    </dgm:pt>
    <dgm:pt modelId="{83EB8476-B6C5-4C94-B5E8-55318F873676}">
      <dgm:prSet custT="1"/>
      <dgm:spPr>
        <a:xfrm rot="5400000">
          <a:off x="2629001" y="685255"/>
          <a:ext cx="489681" cy="4692985"/>
        </a:xfrm>
        <a:solidFill>
          <a:sysClr val="window" lastClr="FFFFFF">
            <a:alpha val="90000"/>
            <a:hueOff val="0"/>
            <a:satOff val="0"/>
            <a:lumOff val="0"/>
            <a:alphaOff val="0"/>
          </a:sysClr>
        </a:solidFill>
        <a:ln w="25400" cap="flat" cmpd="sng" algn="ctr">
          <a:solidFill>
            <a:srgbClr val="C0504D">
              <a:hueOff val="2675154"/>
              <a:satOff val="-3337"/>
              <a:lumOff val="785"/>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החשכ"ל ממנה וועדה נוספת (להלן - ועדה מספר 3) לכתיבת כללי חשבונאות ממשלתית והטעמתם במשרדי הממשלה. במקביל באוקטובר 2001 מונתה ועדת היגוי על ידי החשכ"ל לתחום הפיננסי בפרויקט מרכב"ה. </a:t>
          </a:r>
        </a:p>
      </dgm:t>
    </dgm:pt>
    <dgm:pt modelId="{E810BA70-C0B6-4606-B062-9B529C59348D}" type="parTrans" cxnId="{DCBA9185-08AE-4A7C-B0B3-BBBEE440E36C}">
      <dgm:prSet/>
      <dgm:spPr/>
      <dgm:t>
        <a:bodyPr/>
        <a:lstStyle/>
        <a:p>
          <a:pPr rtl="1"/>
          <a:endParaRPr lang="he-IL" sz="1000">
            <a:cs typeface="+mn-cs"/>
          </a:endParaRPr>
        </a:p>
      </dgm:t>
    </dgm:pt>
    <dgm:pt modelId="{B4197589-7BC3-45D3-8654-0E6FAA73F644}" type="sibTrans" cxnId="{DCBA9185-08AE-4A7C-B0B3-BBBEE440E36C}">
      <dgm:prSet/>
      <dgm:spPr/>
      <dgm:t>
        <a:bodyPr/>
        <a:lstStyle/>
        <a:p>
          <a:pPr rtl="1"/>
          <a:endParaRPr lang="he-IL" sz="1000">
            <a:cs typeface="+mn-cs"/>
          </a:endParaRPr>
        </a:p>
      </dgm:t>
    </dgm:pt>
    <dgm:pt modelId="{9597F86F-D689-4ABD-8641-B816855B4B77}">
      <dgm:prSet custT="1"/>
      <dgm:spPr>
        <a:xfrm rot="5400000">
          <a:off x="-113003" y="3581146"/>
          <a:ext cx="753355" cy="527349"/>
        </a:xfrm>
        <a:solidFill>
          <a:srgbClr val="C0504D">
            <a:hueOff val="3343942"/>
            <a:satOff val="-4171"/>
            <a:lumOff val="981"/>
            <a:alphaOff val="0"/>
          </a:srgbClr>
        </a:solidFill>
        <a:ln w="25400" cap="flat" cmpd="sng" algn="ctr">
          <a:solidFill>
            <a:srgbClr val="C0504D">
              <a:hueOff val="3343942"/>
              <a:satOff val="-4171"/>
              <a:lumOff val="981"/>
              <a:alphaOff val="0"/>
            </a:srgbClr>
          </a:solidFill>
          <a:prstDash val="solid"/>
        </a:ln>
        <a:effectLst/>
      </dgm:spPr>
      <dgm:t>
        <a:bodyPr/>
        <a:lstStyle/>
        <a:p>
          <a:pPr rtl="1"/>
          <a:r>
            <a:rPr lang="he-IL" sz="1000">
              <a:solidFill>
                <a:sysClr val="window" lastClr="FFFFFF"/>
              </a:solidFill>
              <a:latin typeface="Calibri"/>
              <a:ea typeface="+mn-ea"/>
              <a:cs typeface="+mn-cs"/>
            </a:rPr>
            <a:t>אפריל 2003</a:t>
          </a:r>
        </a:p>
      </dgm:t>
    </dgm:pt>
    <dgm:pt modelId="{6036D0F0-5470-4A96-A001-C7928C076989}" type="parTrans" cxnId="{A60E3595-DB58-40B3-8520-0BF7FFFB656B}">
      <dgm:prSet/>
      <dgm:spPr/>
      <dgm:t>
        <a:bodyPr/>
        <a:lstStyle/>
        <a:p>
          <a:pPr rtl="1"/>
          <a:endParaRPr lang="he-IL" sz="1000">
            <a:cs typeface="+mn-cs"/>
          </a:endParaRPr>
        </a:p>
      </dgm:t>
    </dgm:pt>
    <dgm:pt modelId="{CA253118-0792-44CD-8AB9-66DE61EE740B}" type="sibTrans" cxnId="{A60E3595-DB58-40B3-8520-0BF7FFFB656B}">
      <dgm:prSet/>
      <dgm:spPr/>
      <dgm:t>
        <a:bodyPr/>
        <a:lstStyle/>
        <a:p>
          <a:pPr rtl="1"/>
          <a:endParaRPr lang="he-IL" sz="1000">
            <a:cs typeface="+mn-cs"/>
          </a:endParaRPr>
        </a:p>
      </dgm:t>
    </dgm:pt>
    <dgm:pt modelId="{27176EF1-5FA3-424F-8412-7843B0E73F7B}">
      <dgm:prSet custT="1"/>
      <dgm:spPr>
        <a:xfrm rot="5400000">
          <a:off x="2629001" y="1366490"/>
          <a:ext cx="489681" cy="4692985"/>
        </a:xfrm>
        <a:solidFill>
          <a:sysClr val="window" lastClr="FFFFFF">
            <a:alpha val="90000"/>
            <a:hueOff val="0"/>
            <a:satOff val="0"/>
            <a:lumOff val="0"/>
            <a:alphaOff val="0"/>
          </a:sysClr>
        </a:solidFill>
        <a:ln w="25400" cap="flat" cmpd="sng" algn="ctr">
          <a:solidFill>
            <a:srgbClr val="C0504D">
              <a:hueOff val="3343942"/>
              <a:satOff val="-4171"/>
              <a:lumOff val="981"/>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החלטת ועדת השרים לענייני ביקורת המדינה מס' 250 (בק/1) על הקמת צוות בינמשרדי שיבחן את ההצעה להקים מוסד לתקינה חשבונאית, וזאת בעקבות דוח מבקר המדינה 53ב.</a:t>
          </a:r>
        </a:p>
      </dgm:t>
    </dgm:pt>
    <dgm:pt modelId="{2F0D6315-532B-4FD6-9A07-D0F613821BFD}" type="parTrans" cxnId="{65BE0869-FB34-4E75-A072-07A003F7A864}">
      <dgm:prSet/>
      <dgm:spPr/>
      <dgm:t>
        <a:bodyPr/>
        <a:lstStyle/>
        <a:p>
          <a:pPr rtl="1"/>
          <a:endParaRPr lang="he-IL" sz="1000">
            <a:cs typeface="+mn-cs"/>
          </a:endParaRPr>
        </a:p>
      </dgm:t>
    </dgm:pt>
    <dgm:pt modelId="{F318EFA8-F46B-4838-8B60-F1C2D45C5B97}" type="sibTrans" cxnId="{65BE0869-FB34-4E75-A072-07A003F7A864}">
      <dgm:prSet/>
      <dgm:spPr/>
      <dgm:t>
        <a:bodyPr/>
        <a:lstStyle/>
        <a:p>
          <a:pPr rtl="1"/>
          <a:endParaRPr lang="he-IL" sz="1000">
            <a:cs typeface="+mn-cs"/>
          </a:endParaRPr>
        </a:p>
      </dgm:t>
    </dgm:pt>
    <dgm:pt modelId="{86BCABD7-8F47-44B4-A70D-8DD38F1FC9A9}">
      <dgm:prSet custT="1"/>
      <dgm:spPr>
        <a:xfrm rot="5400000">
          <a:off x="-113003" y="4943616"/>
          <a:ext cx="753355" cy="527349"/>
        </a:xfr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gm:spPr>
      <dgm:t>
        <a:bodyPr/>
        <a:lstStyle/>
        <a:p>
          <a:pPr rtl="1"/>
          <a:r>
            <a:rPr lang="he-IL" sz="1000" b="1">
              <a:solidFill>
                <a:sysClr val="window" lastClr="FFFFFF"/>
              </a:solidFill>
              <a:latin typeface="Calibri"/>
              <a:ea typeface="+mn-ea"/>
              <a:cs typeface="+mn-cs"/>
            </a:rPr>
            <a:t>אוגוסט 2004</a:t>
          </a:r>
        </a:p>
      </dgm:t>
    </dgm:pt>
    <dgm:pt modelId="{757DEA29-4C56-4548-AB83-A64FC02FEC11}" type="parTrans" cxnId="{F576A24B-C640-496C-829F-6BB9DD4873C9}">
      <dgm:prSet/>
      <dgm:spPr/>
      <dgm:t>
        <a:bodyPr/>
        <a:lstStyle/>
        <a:p>
          <a:pPr rtl="1"/>
          <a:endParaRPr lang="he-IL" sz="1000">
            <a:cs typeface="+mn-cs"/>
          </a:endParaRPr>
        </a:p>
      </dgm:t>
    </dgm:pt>
    <dgm:pt modelId="{CD4929AE-EE84-46D1-B6EE-CAC1FF0CBD9E}" type="sibTrans" cxnId="{F576A24B-C640-496C-829F-6BB9DD4873C9}">
      <dgm:prSet/>
      <dgm:spPr/>
      <dgm:t>
        <a:bodyPr/>
        <a:lstStyle/>
        <a:p>
          <a:pPr rtl="1"/>
          <a:endParaRPr lang="he-IL" sz="1000">
            <a:cs typeface="+mn-cs"/>
          </a:endParaRPr>
        </a:p>
      </dgm:t>
    </dgm:pt>
    <dgm:pt modelId="{8529AFA6-5650-4B90-901D-5C156C3CFCEE}">
      <dgm:prSet custT="1"/>
      <dgm:spPr>
        <a:xfrm rot="5400000">
          <a:off x="2629001" y="2723750"/>
          <a:ext cx="489681" cy="4692985"/>
        </a:xfr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החלטת ממשלה מס' 2375 בדבר הקמת המוסד לתקינה חשבונאית ממשלתית </a:t>
          </a:r>
        </a:p>
      </dgm:t>
    </dgm:pt>
    <dgm:pt modelId="{B567982F-8B9C-44B7-B90A-FC1DAD2FA977}" type="parTrans" cxnId="{2435EA91-E423-40CF-BB30-B429BA305F04}">
      <dgm:prSet/>
      <dgm:spPr/>
      <dgm:t>
        <a:bodyPr/>
        <a:lstStyle/>
        <a:p>
          <a:pPr rtl="1"/>
          <a:endParaRPr lang="he-IL" sz="1000">
            <a:cs typeface="+mn-cs"/>
          </a:endParaRPr>
        </a:p>
      </dgm:t>
    </dgm:pt>
    <dgm:pt modelId="{92AD9FBF-1623-4FEA-8ECD-348AFFBACD20}" type="sibTrans" cxnId="{2435EA91-E423-40CF-BB30-B429BA305F04}">
      <dgm:prSet/>
      <dgm:spPr/>
      <dgm:t>
        <a:bodyPr/>
        <a:lstStyle/>
        <a:p>
          <a:pPr rtl="1"/>
          <a:endParaRPr lang="he-IL" sz="1000">
            <a:cs typeface="+mn-cs"/>
          </a:endParaRPr>
        </a:p>
      </dgm:t>
    </dgm:pt>
    <dgm:pt modelId="{1717AEFE-D37B-4B99-866F-6B63587980A9}">
      <dgm:prSet custT="1"/>
      <dgm:spPr>
        <a:xfrm rot="5400000">
          <a:off x="-113003" y="4262381"/>
          <a:ext cx="753355" cy="527349"/>
        </a:xfrm>
        <a:solidFill>
          <a:srgbClr val="C0504D">
            <a:hueOff val="4012731"/>
            <a:satOff val="-5005"/>
            <a:lumOff val="1177"/>
            <a:alphaOff val="0"/>
          </a:srgbClr>
        </a:solidFill>
        <a:ln w="25400" cap="flat" cmpd="sng" algn="ctr">
          <a:solidFill>
            <a:srgbClr val="C0504D">
              <a:hueOff val="4012731"/>
              <a:satOff val="-5005"/>
              <a:lumOff val="1177"/>
              <a:alphaOff val="0"/>
            </a:srgbClr>
          </a:solidFill>
          <a:prstDash val="solid"/>
        </a:ln>
        <a:effectLst/>
      </dgm:spPr>
      <dgm:t>
        <a:bodyPr/>
        <a:lstStyle/>
        <a:p>
          <a:pPr rtl="1"/>
          <a:r>
            <a:rPr lang="he-IL" sz="1000">
              <a:solidFill>
                <a:sysClr val="window" lastClr="FFFFFF"/>
              </a:solidFill>
              <a:latin typeface="Calibri"/>
              <a:ea typeface="+mn-ea"/>
              <a:cs typeface="+mn-cs"/>
            </a:rPr>
            <a:t>נובמבר 2003</a:t>
          </a:r>
        </a:p>
      </dgm:t>
    </dgm:pt>
    <dgm:pt modelId="{B2E0BD94-6D33-4867-B3DF-227C77A1E9AA}" type="parTrans" cxnId="{02F8937C-71FF-4E0F-8AE6-C0C4F446C426}">
      <dgm:prSet/>
      <dgm:spPr/>
      <dgm:t>
        <a:bodyPr/>
        <a:lstStyle/>
        <a:p>
          <a:pPr rtl="1"/>
          <a:endParaRPr lang="he-IL" sz="1000">
            <a:cs typeface="+mn-cs"/>
          </a:endParaRPr>
        </a:p>
      </dgm:t>
    </dgm:pt>
    <dgm:pt modelId="{7445BF92-36CA-4CF2-8D7D-DD9BB9ED5BFE}" type="sibTrans" cxnId="{02F8937C-71FF-4E0F-8AE6-C0C4F446C426}">
      <dgm:prSet/>
      <dgm:spPr/>
      <dgm:t>
        <a:bodyPr/>
        <a:lstStyle/>
        <a:p>
          <a:pPr rtl="1"/>
          <a:endParaRPr lang="he-IL" sz="1000">
            <a:cs typeface="+mn-cs"/>
          </a:endParaRPr>
        </a:p>
      </dgm:t>
    </dgm:pt>
    <dgm:pt modelId="{7E55EE90-4709-4406-9999-3F3C1F2CCEC2}">
      <dgm:prSet custT="1"/>
      <dgm:spPr>
        <a:xfrm rot="5400000">
          <a:off x="2629001" y="2047725"/>
          <a:ext cx="489681" cy="4692985"/>
        </a:xfrm>
        <a:solidFill>
          <a:sysClr val="window" lastClr="FFFFFF">
            <a:alpha val="90000"/>
            <a:hueOff val="0"/>
            <a:satOff val="0"/>
            <a:lumOff val="0"/>
            <a:alphaOff val="0"/>
          </a:sysClr>
        </a:solidFill>
        <a:ln w="25400" cap="flat" cmpd="sng" algn="ctr">
          <a:solidFill>
            <a:srgbClr val="C0504D">
              <a:hueOff val="4012731"/>
              <a:satOff val="-5005"/>
              <a:lumOff val="1177"/>
              <a:alphaOff val="0"/>
            </a:srgbClr>
          </a:solidFill>
          <a:prstDash val="solid"/>
        </a:ln>
        <a:effectLst/>
      </dgm:spPr>
      <dgm:t>
        <a:bodyPr/>
        <a:lstStyle/>
        <a:p>
          <a:pPr rtl="1"/>
          <a:r>
            <a:rPr lang="he-IL" sz="1000">
              <a:solidFill>
                <a:sysClr val="windowText" lastClr="000000">
                  <a:hueOff val="0"/>
                  <a:satOff val="0"/>
                  <a:lumOff val="0"/>
                  <a:alphaOff val="0"/>
                </a:sysClr>
              </a:solidFill>
              <a:latin typeface="Calibri"/>
              <a:ea typeface="+mn-ea"/>
              <a:cs typeface="+mn-cs"/>
            </a:rPr>
            <a:t>ועדת השרים לענייני ביקורת מס' 1103 (בק/37) הביעה מורת רוח מהעיכוב הנמשך בעבודת הצוות הבינמשרדי לבחינת התקינה החשבונאית הממשלתית.</a:t>
          </a:r>
        </a:p>
      </dgm:t>
    </dgm:pt>
    <dgm:pt modelId="{9888962A-877D-4389-9952-77B2E0F9A6E5}" type="parTrans" cxnId="{143D10B9-6724-4687-8F63-25B634524D06}">
      <dgm:prSet/>
      <dgm:spPr/>
      <dgm:t>
        <a:bodyPr/>
        <a:lstStyle/>
        <a:p>
          <a:pPr rtl="1"/>
          <a:endParaRPr lang="he-IL" sz="1000">
            <a:cs typeface="+mn-cs"/>
          </a:endParaRPr>
        </a:p>
      </dgm:t>
    </dgm:pt>
    <dgm:pt modelId="{283D2561-8458-478E-B870-80009BFE80BD}" type="sibTrans" cxnId="{143D10B9-6724-4687-8F63-25B634524D06}">
      <dgm:prSet/>
      <dgm:spPr/>
      <dgm:t>
        <a:bodyPr/>
        <a:lstStyle/>
        <a:p>
          <a:pPr rtl="1"/>
          <a:endParaRPr lang="he-IL" sz="1000">
            <a:cs typeface="+mn-cs"/>
          </a:endParaRPr>
        </a:p>
      </dgm:t>
    </dgm:pt>
    <dgm:pt modelId="{B77A063E-DDE0-4154-97B3-DFE768549682}" type="pres">
      <dgm:prSet presAssocID="{0C0BC9BC-2557-4172-B3C3-BEA14C861A20}" presName="linearFlow" presStyleCnt="0">
        <dgm:presLayoutVars>
          <dgm:dir/>
          <dgm:animLvl val="lvl"/>
          <dgm:resizeHandles val="exact"/>
        </dgm:presLayoutVars>
      </dgm:prSet>
      <dgm:spPr/>
    </dgm:pt>
    <dgm:pt modelId="{7D755C20-B4F7-41E0-8208-05F7B794B8A3}" type="pres">
      <dgm:prSet presAssocID="{22EDEAA3-00A0-41B7-8ACC-B93AE08F7AE9}" presName="composite" presStyleCnt="0"/>
      <dgm:spPr/>
    </dgm:pt>
    <dgm:pt modelId="{1D8AE62E-B6F9-49FB-B62B-92D76130AF7B}" type="pres">
      <dgm:prSet presAssocID="{22EDEAA3-00A0-41B7-8ACC-B93AE08F7AE9}" presName="parentText" presStyleLbl="alignNode1" presStyleIdx="0" presStyleCnt="8">
        <dgm:presLayoutVars>
          <dgm:chMax val="1"/>
          <dgm:bulletEnabled val="1"/>
        </dgm:presLayoutVars>
      </dgm:prSet>
      <dgm:spPr>
        <a:prstGeom prst="chevron">
          <a:avLst/>
        </a:prstGeom>
      </dgm:spPr>
    </dgm:pt>
    <dgm:pt modelId="{63CB32D5-9C57-410A-B6F1-F3A3A2793B37}" type="pres">
      <dgm:prSet presAssocID="{22EDEAA3-00A0-41B7-8ACC-B93AE08F7AE9}" presName="descendantText" presStyleLbl="alignAcc1" presStyleIdx="0" presStyleCnt="8">
        <dgm:presLayoutVars>
          <dgm:bulletEnabled val="1"/>
        </dgm:presLayoutVars>
      </dgm:prSet>
      <dgm:spPr>
        <a:prstGeom prst="round2SameRect">
          <a:avLst/>
        </a:prstGeom>
      </dgm:spPr>
    </dgm:pt>
    <dgm:pt modelId="{ACD78B2A-E55A-46CE-A492-974920C9740B}" type="pres">
      <dgm:prSet presAssocID="{467CCC0F-10B2-4D8F-B6A4-20A8FE6392B3}" presName="sp" presStyleCnt="0"/>
      <dgm:spPr/>
    </dgm:pt>
    <dgm:pt modelId="{F236BEB5-4A34-4352-813E-3E80869F35EB}" type="pres">
      <dgm:prSet presAssocID="{7150C850-5D33-4ACD-9ED9-E0CD771354AE}" presName="composite" presStyleCnt="0"/>
      <dgm:spPr/>
    </dgm:pt>
    <dgm:pt modelId="{8A0A7FE1-E445-4506-BD28-4585CFFEA550}" type="pres">
      <dgm:prSet presAssocID="{7150C850-5D33-4ACD-9ED9-E0CD771354AE}" presName="parentText" presStyleLbl="alignNode1" presStyleIdx="1" presStyleCnt="8">
        <dgm:presLayoutVars>
          <dgm:chMax val="1"/>
          <dgm:bulletEnabled val="1"/>
        </dgm:presLayoutVars>
      </dgm:prSet>
      <dgm:spPr>
        <a:prstGeom prst="chevron">
          <a:avLst/>
        </a:prstGeom>
      </dgm:spPr>
    </dgm:pt>
    <dgm:pt modelId="{20A7F9B5-E73B-41DB-AC56-86DDCA612364}" type="pres">
      <dgm:prSet presAssocID="{7150C850-5D33-4ACD-9ED9-E0CD771354AE}" presName="descendantText" presStyleLbl="alignAcc1" presStyleIdx="1" presStyleCnt="8">
        <dgm:presLayoutVars>
          <dgm:bulletEnabled val="1"/>
        </dgm:presLayoutVars>
      </dgm:prSet>
      <dgm:spPr>
        <a:prstGeom prst="round2SameRect">
          <a:avLst/>
        </a:prstGeom>
      </dgm:spPr>
    </dgm:pt>
    <dgm:pt modelId="{031AD36E-D3C0-4A4E-A497-1BC122A6D263}" type="pres">
      <dgm:prSet presAssocID="{CEBF16DF-5939-4419-9356-F677AE2B39D8}" presName="sp" presStyleCnt="0"/>
      <dgm:spPr/>
    </dgm:pt>
    <dgm:pt modelId="{86E9B513-D575-4534-A4C9-876F8F1C7051}" type="pres">
      <dgm:prSet presAssocID="{BE7EFE8F-5D4F-484C-8ED7-9862483A7F98}" presName="composite" presStyleCnt="0"/>
      <dgm:spPr/>
    </dgm:pt>
    <dgm:pt modelId="{AD9D301A-1BC6-4700-82A5-70BC54D522E0}" type="pres">
      <dgm:prSet presAssocID="{BE7EFE8F-5D4F-484C-8ED7-9862483A7F98}" presName="parentText" presStyleLbl="alignNode1" presStyleIdx="2" presStyleCnt="8">
        <dgm:presLayoutVars>
          <dgm:chMax val="1"/>
          <dgm:bulletEnabled val="1"/>
        </dgm:presLayoutVars>
      </dgm:prSet>
      <dgm:spPr>
        <a:prstGeom prst="chevron">
          <a:avLst/>
        </a:prstGeom>
      </dgm:spPr>
    </dgm:pt>
    <dgm:pt modelId="{1022E058-4D0D-48A6-8BB5-76475D87B9DE}" type="pres">
      <dgm:prSet presAssocID="{BE7EFE8F-5D4F-484C-8ED7-9862483A7F98}" presName="descendantText" presStyleLbl="alignAcc1" presStyleIdx="2" presStyleCnt="8" custScaleY="120566">
        <dgm:presLayoutVars>
          <dgm:bulletEnabled val="1"/>
        </dgm:presLayoutVars>
      </dgm:prSet>
      <dgm:spPr>
        <a:prstGeom prst="round2SameRect">
          <a:avLst/>
        </a:prstGeom>
      </dgm:spPr>
    </dgm:pt>
    <dgm:pt modelId="{6E5085E5-B925-402F-BBE6-15B2D30BB9AD}" type="pres">
      <dgm:prSet presAssocID="{F6B136E6-4889-4E1A-A1F4-29BAF2FB2FE2}" presName="sp" presStyleCnt="0"/>
      <dgm:spPr/>
    </dgm:pt>
    <dgm:pt modelId="{20403438-3A79-4B99-AF9A-60E857EB1D22}" type="pres">
      <dgm:prSet presAssocID="{7D80C30C-3B83-4F87-8E28-1A9259109074}" presName="composite" presStyleCnt="0"/>
      <dgm:spPr/>
    </dgm:pt>
    <dgm:pt modelId="{548D7E25-D089-48F8-B32C-F0E7B05581A5}" type="pres">
      <dgm:prSet presAssocID="{7D80C30C-3B83-4F87-8E28-1A9259109074}" presName="parentText" presStyleLbl="alignNode1" presStyleIdx="3" presStyleCnt="8">
        <dgm:presLayoutVars>
          <dgm:chMax val="1"/>
          <dgm:bulletEnabled val="1"/>
        </dgm:presLayoutVars>
      </dgm:prSet>
      <dgm:spPr>
        <a:prstGeom prst="chevron">
          <a:avLst/>
        </a:prstGeom>
      </dgm:spPr>
    </dgm:pt>
    <dgm:pt modelId="{B0C615F6-97DC-40C5-B84D-227D10EB483B}" type="pres">
      <dgm:prSet presAssocID="{7D80C30C-3B83-4F87-8E28-1A9259109074}" presName="descendantText" presStyleLbl="alignAcc1" presStyleIdx="3" presStyleCnt="8">
        <dgm:presLayoutVars>
          <dgm:bulletEnabled val="1"/>
        </dgm:presLayoutVars>
      </dgm:prSet>
      <dgm:spPr>
        <a:prstGeom prst="round2SameRect">
          <a:avLst/>
        </a:prstGeom>
      </dgm:spPr>
    </dgm:pt>
    <dgm:pt modelId="{7C0B9E73-19DA-484E-AD37-DCEC038663BE}" type="pres">
      <dgm:prSet presAssocID="{54560E7D-F864-43B4-9D51-8F6DF2C91D12}" presName="sp" presStyleCnt="0"/>
      <dgm:spPr/>
    </dgm:pt>
    <dgm:pt modelId="{96461ABD-9997-48EA-94C8-636B8E4D7229}" type="pres">
      <dgm:prSet presAssocID="{FC1E13DF-8967-446C-B351-ECBE3EA67D91}" presName="composite" presStyleCnt="0"/>
      <dgm:spPr/>
    </dgm:pt>
    <dgm:pt modelId="{50CB91EF-5156-4FEE-9315-5348DAB8BF49}" type="pres">
      <dgm:prSet presAssocID="{FC1E13DF-8967-446C-B351-ECBE3EA67D91}" presName="parentText" presStyleLbl="alignNode1" presStyleIdx="4" presStyleCnt="8">
        <dgm:presLayoutVars>
          <dgm:chMax val="1"/>
          <dgm:bulletEnabled val="1"/>
        </dgm:presLayoutVars>
      </dgm:prSet>
      <dgm:spPr>
        <a:prstGeom prst="chevron">
          <a:avLst/>
        </a:prstGeom>
      </dgm:spPr>
    </dgm:pt>
    <dgm:pt modelId="{C1575943-1596-446F-B237-B12022B64FA1}" type="pres">
      <dgm:prSet presAssocID="{FC1E13DF-8967-446C-B351-ECBE3EA67D91}" presName="descendantText" presStyleLbl="alignAcc1" presStyleIdx="4" presStyleCnt="8">
        <dgm:presLayoutVars>
          <dgm:bulletEnabled val="1"/>
        </dgm:presLayoutVars>
      </dgm:prSet>
      <dgm:spPr>
        <a:prstGeom prst="round2SameRect">
          <a:avLst/>
        </a:prstGeom>
      </dgm:spPr>
    </dgm:pt>
    <dgm:pt modelId="{5C00DC59-12E2-4137-837A-B07FCCFB0179}" type="pres">
      <dgm:prSet presAssocID="{EF22208C-96B2-4F22-ADD0-8E40399A0419}" presName="sp" presStyleCnt="0"/>
      <dgm:spPr/>
    </dgm:pt>
    <dgm:pt modelId="{E0500E0E-BD27-493B-B7DE-7C6488B428CE}" type="pres">
      <dgm:prSet presAssocID="{9597F86F-D689-4ABD-8641-B816855B4B77}" presName="composite" presStyleCnt="0"/>
      <dgm:spPr/>
    </dgm:pt>
    <dgm:pt modelId="{172C2FC6-9AFA-4D89-94D8-14565D5F4D4F}" type="pres">
      <dgm:prSet presAssocID="{9597F86F-D689-4ABD-8641-B816855B4B77}" presName="parentText" presStyleLbl="alignNode1" presStyleIdx="5" presStyleCnt="8">
        <dgm:presLayoutVars>
          <dgm:chMax val="1"/>
          <dgm:bulletEnabled val="1"/>
        </dgm:presLayoutVars>
      </dgm:prSet>
      <dgm:spPr>
        <a:prstGeom prst="chevron">
          <a:avLst/>
        </a:prstGeom>
      </dgm:spPr>
    </dgm:pt>
    <dgm:pt modelId="{00EEA5A8-BAAF-45D4-BDE1-567E74914FD8}" type="pres">
      <dgm:prSet presAssocID="{9597F86F-D689-4ABD-8641-B816855B4B77}" presName="descendantText" presStyleLbl="alignAcc1" presStyleIdx="5" presStyleCnt="8">
        <dgm:presLayoutVars>
          <dgm:bulletEnabled val="1"/>
        </dgm:presLayoutVars>
      </dgm:prSet>
      <dgm:spPr>
        <a:prstGeom prst="round2SameRect">
          <a:avLst/>
        </a:prstGeom>
      </dgm:spPr>
    </dgm:pt>
    <dgm:pt modelId="{9B6E24BC-6243-4C1E-B660-F98180928655}" type="pres">
      <dgm:prSet presAssocID="{CA253118-0792-44CD-8AB9-66DE61EE740B}" presName="sp" presStyleCnt="0"/>
      <dgm:spPr/>
    </dgm:pt>
    <dgm:pt modelId="{84E14B1A-F1A8-4009-B4A3-8696AD170380}" type="pres">
      <dgm:prSet presAssocID="{1717AEFE-D37B-4B99-866F-6B63587980A9}" presName="composite" presStyleCnt="0"/>
      <dgm:spPr/>
    </dgm:pt>
    <dgm:pt modelId="{B618D174-601B-4A51-80F0-E12AC1B86AF4}" type="pres">
      <dgm:prSet presAssocID="{1717AEFE-D37B-4B99-866F-6B63587980A9}" presName="parentText" presStyleLbl="alignNode1" presStyleIdx="6" presStyleCnt="8">
        <dgm:presLayoutVars>
          <dgm:chMax val="1"/>
          <dgm:bulletEnabled val="1"/>
        </dgm:presLayoutVars>
      </dgm:prSet>
      <dgm:spPr>
        <a:prstGeom prst="chevron">
          <a:avLst/>
        </a:prstGeom>
      </dgm:spPr>
    </dgm:pt>
    <dgm:pt modelId="{C3D9A20C-C42F-4BE7-8B24-5511AA656A13}" type="pres">
      <dgm:prSet presAssocID="{1717AEFE-D37B-4B99-866F-6B63587980A9}" presName="descendantText" presStyleLbl="alignAcc1" presStyleIdx="6" presStyleCnt="8">
        <dgm:presLayoutVars>
          <dgm:bulletEnabled val="1"/>
        </dgm:presLayoutVars>
      </dgm:prSet>
      <dgm:spPr>
        <a:prstGeom prst="round2SameRect">
          <a:avLst/>
        </a:prstGeom>
      </dgm:spPr>
    </dgm:pt>
    <dgm:pt modelId="{4AFF91C5-213D-4456-A4D5-B379FE250B94}" type="pres">
      <dgm:prSet presAssocID="{7445BF92-36CA-4CF2-8D7D-DD9BB9ED5BFE}" presName="sp" presStyleCnt="0"/>
      <dgm:spPr/>
    </dgm:pt>
    <dgm:pt modelId="{42503F57-631C-4D3A-98FF-35E46E3F8B66}" type="pres">
      <dgm:prSet presAssocID="{86BCABD7-8F47-44B4-A70D-8DD38F1FC9A9}" presName="composite" presStyleCnt="0"/>
      <dgm:spPr/>
    </dgm:pt>
    <dgm:pt modelId="{4DDE4BC8-BF97-4924-9212-13671C27F775}" type="pres">
      <dgm:prSet presAssocID="{86BCABD7-8F47-44B4-A70D-8DD38F1FC9A9}" presName="parentText" presStyleLbl="alignNode1" presStyleIdx="7" presStyleCnt="8">
        <dgm:presLayoutVars>
          <dgm:chMax val="1"/>
          <dgm:bulletEnabled val="1"/>
        </dgm:presLayoutVars>
      </dgm:prSet>
      <dgm:spPr>
        <a:prstGeom prst="chevron">
          <a:avLst/>
        </a:prstGeom>
      </dgm:spPr>
    </dgm:pt>
    <dgm:pt modelId="{E0403C5D-8F25-443F-AC05-25B6F6813FF4}" type="pres">
      <dgm:prSet presAssocID="{86BCABD7-8F47-44B4-A70D-8DD38F1FC9A9}" presName="descendantText" presStyleLbl="alignAcc1" presStyleIdx="7" presStyleCnt="8" custLinFactNeighborX="36" custLinFactNeighborY="1361">
        <dgm:presLayoutVars>
          <dgm:bulletEnabled val="1"/>
        </dgm:presLayoutVars>
      </dgm:prSet>
      <dgm:spPr>
        <a:prstGeom prst="round2SameRect">
          <a:avLst/>
        </a:prstGeom>
      </dgm:spPr>
    </dgm:pt>
  </dgm:ptLst>
  <dgm:cxnLst>
    <dgm:cxn modelId="{A0556408-2A6F-414C-88C8-3E49051D0A08}" type="presOf" srcId="{CB0D3583-90E9-465A-A20F-2B5C431F19B7}" destId="{63CB32D5-9C57-410A-B6F1-F3A3A2793B37}" srcOrd="0" destOrd="0" presId="urn:microsoft.com/office/officeart/2005/8/layout/chevron2"/>
    <dgm:cxn modelId="{23F8BF17-C62B-4F74-8599-FBBABAD238D7}" type="presOf" srcId="{7E55EE90-4709-4406-9999-3F3C1F2CCEC2}" destId="{C3D9A20C-C42F-4BE7-8B24-5511AA656A13}" srcOrd="0" destOrd="0" presId="urn:microsoft.com/office/officeart/2005/8/layout/chevron2"/>
    <dgm:cxn modelId="{9D6C401B-DB94-4FD1-B4DB-EAB33E38BB5D}" srcId="{BE7EFE8F-5D4F-484C-8ED7-9862483A7F98}" destId="{D6B15519-FA2B-4583-B7F4-2AC2D7B8B00A}" srcOrd="0" destOrd="0" parTransId="{DBA85BF3-84D0-4E13-B76B-1D84B99ED708}" sibTransId="{FB928F72-FAEC-45AA-8221-35E85EE267CB}"/>
    <dgm:cxn modelId="{7F7FF91C-8C5A-4BDD-93BD-8BF2706ADA8B}" srcId="{0C0BC9BC-2557-4172-B3C3-BEA14C861A20}" destId="{7150C850-5D33-4ACD-9ED9-E0CD771354AE}" srcOrd="1" destOrd="0" parTransId="{D12B59AC-4BA9-4DAE-8970-370E07DBA140}" sibTransId="{CEBF16DF-5939-4419-9356-F677AE2B39D8}"/>
    <dgm:cxn modelId="{199F2825-69A0-40C5-B12A-7818F6140E16}" type="presOf" srcId="{22EDEAA3-00A0-41B7-8ACC-B93AE08F7AE9}" destId="{1D8AE62E-B6F9-49FB-B62B-92D76130AF7B}" srcOrd="0" destOrd="0" presId="urn:microsoft.com/office/officeart/2005/8/layout/chevron2"/>
    <dgm:cxn modelId="{EB244A3C-4C71-4E6E-8B74-2B30AF12A599}" srcId="{7D80C30C-3B83-4F87-8E28-1A9259109074}" destId="{D4E30198-6117-4F2B-9130-ACCD3127C302}" srcOrd="0" destOrd="0" parTransId="{986153ED-EBA5-4DF0-B83C-A2DFC1FC0D94}" sibTransId="{A1B9E159-0BA0-4681-8174-39EE6CD306A9}"/>
    <dgm:cxn modelId="{964A0A65-E2ED-49A7-B607-94C8D72FCCF3}" type="presOf" srcId="{FC1E13DF-8967-446C-B351-ECBE3EA67D91}" destId="{50CB91EF-5156-4FEE-9315-5348DAB8BF49}" srcOrd="0" destOrd="0" presId="urn:microsoft.com/office/officeart/2005/8/layout/chevron2"/>
    <dgm:cxn modelId="{E9A09467-E56E-4E74-A35E-0C9973D82B13}" srcId="{0C0BC9BC-2557-4172-B3C3-BEA14C861A20}" destId="{BE7EFE8F-5D4F-484C-8ED7-9862483A7F98}" srcOrd="2" destOrd="0" parTransId="{D5B66D55-6E1C-4ACA-8D74-5B7107A2FE98}" sibTransId="{F6B136E6-4889-4E1A-A1F4-29BAF2FB2FE2}"/>
    <dgm:cxn modelId="{65BE0869-FB34-4E75-A072-07A003F7A864}" srcId="{9597F86F-D689-4ABD-8641-B816855B4B77}" destId="{27176EF1-5FA3-424F-8412-7843B0E73F7B}" srcOrd="0" destOrd="0" parTransId="{2F0D6315-532B-4FD6-9A07-D0F613821BFD}" sibTransId="{F318EFA8-F46B-4838-8B60-F1C2D45C5B97}"/>
    <dgm:cxn modelId="{46D6354A-BD7C-46E5-B4B4-988F26FEE5E2}" type="presOf" srcId="{27176EF1-5FA3-424F-8412-7843B0E73F7B}" destId="{00EEA5A8-BAAF-45D4-BDE1-567E74914FD8}" srcOrd="0" destOrd="0" presId="urn:microsoft.com/office/officeart/2005/8/layout/chevron2"/>
    <dgm:cxn modelId="{F576A24B-C640-496C-829F-6BB9DD4873C9}" srcId="{0C0BC9BC-2557-4172-B3C3-BEA14C861A20}" destId="{86BCABD7-8F47-44B4-A70D-8DD38F1FC9A9}" srcOrd="7" destOrd="0" parTransId="{757DEA29-4C56-4548-AB83-A64FC02FEC11}" sibTransId="{CD4929AE-EE84-46D1-B6EE-CAC1FF0CBD9E}"/>
    <dgm:cxn modelId="{F6F9EB4B-D9B6-499C-85C8-15DD12F77CE5}" srcId="{0C0BC9BC-2557-4172-B3C3-BEA14C861A20}" destId="{FC1E13DF-8967-446C-B351-ECBE3EA67D91}" srcOrd="4" destOrd="0" parTransId="{A0DBC09B-4C5A-4609-8676-6365F3FC0F22}" sibTransId="{EF22208C-96B2-4F22-ADD0-8E40399A0419}"/>
    <dgm:cxn modelId="{6A223D6F-849B-438B-9097-8279A72B03A8}" type="presOf" srcId="{7D80C30C-3B83-4F87-8E28-1A9259109074}" destId="{548D7E25-D089-48F8-B32C-F0E7B05581A5}" srcOrd="0" destOrd="0" presId="urn:microsoft.com/office/officeart/2005/8/layout/chevron2"/>
    <dgm:cxn modelId="{C52A8670-9745-4B5C-9A2E-1E0713CE6C05}" type="presOf" srcId="{0C0BC9BC-2557-4172-B3C3-BEA14C861A20}" destId="{B77A063E-DDE0-4154-97B3-DFE768549682}" srcOrd="0" destOrd="0" presId="urn:microsoft.com/office/officeart/2005/8/layout/chevron2"/>
    <dgm:cxn modelId="{AA4ED774-819E-4FCD-9653-1FC65D6A6EFC}" srcId="{0C0BC9BC-2557-4172-B3C3-BEA14C861A20}" destId="{22EDEAA3-00A0-41B7-8ACC-B93AE08F7AE9}" srcOrd="0" destOrd="0" parTransId="{C8AFDDC6-A4CB-43AA-A6CC-A9305C44D703}" sibTransId="{467CCC0F-10B2-4D8F-B6A4-20A8FE6392B3}"/>
    <dgm:cxn modelId="{F31FCC59-DEE8-46C9-8EE1-B444A59136A0}" type="presOf" srcId="{8529AFA6-5650-4B90-901D-5C156C3CFCEE}" destId="{E0403C5D-8F25-443F-AC05-25B6F6813FF4}" srcOrd="0" destOrd="0" presId="urn:microsoft.com/office/officeart/2005/8/layout/chevron2"/>
    <dgm:cxn modelId="{E05ECD59-E015-4075-A4A0-2DDBC63B8063}" type="presOf" srcId="{AD9A611D-78D5-4A54-A637-1ABF3F5E5CC9}" destId="{20A7F9B5-E73B-41DB-AC56-86DDCA612364}" srcOrd="0" destOrd="0" presId="urn:microsoft.com/office/officeart/2005/8/layout/chevron2"/>
    <dgm:cxn modelId="{8696F37A-11DF-4F48-AAFF-B933E71491D7}" type="presOf" srcId="{9597F86F-D689-4ABD-8641-B816855B4B77}" destId="{172C2FC6-9AFA-4D89-94D8-14565D5F4D4F}" srcOrd="0" destOrd="0" presId="urn:microsoft.com/office/officeart/2005/8/layout/chevron2"/>
    <dgm:cxn modelId="{02F8937C-71FF-4E0F-8AE6-C0C4F446C426}" srcId="{0C0BC9BC-2557-4172-B3C3-BEA14C861A20}" destId="{1717AEFE-D37B-4B99-866F-6B63587980A9}" srcOrd="6" destOrd="0" parTransId="{B2E0BD94-6D33-4867-B3DF-227C77A1E9AA}" sibTransId="{7445BF92-36CA-4CF2-8D7D-DD9BB9ED5BFE}"/>
    <dgm:cxn modelId="{DCBA9185-08AE-4A7C-B0B3-BBBEE440E36C}" srcId="{FC1E13DF-8967-446C-B351-ECBE3EA67D91}" destId="{83EB8476-B6C5-4C94-B5E8-55318F873676}" srcOrd="0" destOrd="0" parTransId="{E810BA70-C0B6-4606-B062-9B529C59348D}" sibTransId="{B4197589-7BC3-45D3-8654-0E6FAA73F644}"/>
    <dgm:cxn modelId="{2E15CF89-89A4-4333-B57A-9649D0D52A8D}" type="presOf" srcId="{83EB8476-B6C5-4C94-B5E8-55318F873676}" destId="{C1575943-1596-446F-B237-B12022B64FA1}" srcOrd="0" destOrd="0" presId="urn:microsoft.com/office/officeart/2005/8/layout/chevron2"/>
    <dgm:cxn modelId="{E1EF638D-2EB6-4177-8961-735585EDEB1F}" srcId="{0C0BC9BC-2557-4172-B3C3-BEA14C861A20}" destId="{7D80C30C-3B83-4F87-8E28-1A9259109074}" srcOrd="3" destOrd="0" parTransId="{C22BC8C7-D75D-4DBA-90C2-FD47C73E9644}" sibTransId="{54560E7D-F864-43B4-9D51-8F6DF2C91D12}"/>
    <dgm:cxn modelId="{2435EA91-E423-40CF-BB30-B429BA305F04}" srcId="{86BCABD7-8F47-44B4-A70D-8DD38F1FC9A9}" destId="{8529AFA6-5650-4B90-901D-5C156C3CFCEE}" srcOrd="0" destOrd="0" parTransId="{B567982F-8B9C-44B7-B90A-FC1DAD2FA977}" sibTransId="{92AD9FBF-1623-4FEA-8ECD-348AFFBACD20}"/>
    <dgm:cxn modelId="{3E5DAA94-7E67-4706-925B-072B9C5DE8DD}" type="presOf" srcId="{86BCABD7-8F47-44B4-A70D-8DD38F1FC9A9}" destId="{4DDE4BC8-BF97-4924-9212-13671C27F775}" srcOrd="0" destOrd="0" presId="urn:microsoft.com/office/officeart/2005/8/layout/chevron2"/>
    <dgm:cxn modelId="{A60E3595-DB58-40B3-8520-0BF7FFFB656B}" srcId="{0C0BC9BC-2557-4172-B3C3-BEA14C861A20}" destId="{9597F86F-D689-4ABD-8641-B816855B4B77}" srcOrd="5" destOrd="0" parTransId="{6036D0F0-5470-4A96-A001-C7928C076989}" sibTransId="{CA253118-0792-44CD-8AB9-66DE61EE740B}"/>
    <dgm:cxn modelId="{616F629C-40D7-4843-BB8D-7AA87E396E2E}" srcId="{7150C850-5D33-4ACD-9ED9-E0CD771354AE}" destId="{AD9A611D-78D5-4A54-A637-1ABF3F5E5CC9}" srcOrd="0" destOrd="0" parTransId="{54ECDB89-ABCC-450E-B257-DF4B4F7BF43C}" sibTransId="{6D3345E0-AB5B-48DB-8C29-F0C1DDB373D1}"/>
    <dgm:cxn modelId="{143D10B9-6724-4687-8F63-25B634524D06}" srcId="{1717AEFE-D37B-4B99-866F-6B63587980A9}" destId="{7E55EE90-4709-4406-9999-3F3C1F2CCEC2}" srcOrd="0" destOrd="0" parTransId="{9888962A-877D-4389-9952-77B2E0F9A6E5}" sibTransId="{283D2561-8458-478E-B870-80009BFE80BD}"/>
    <dgm:cxn modelId="{E89061CB-6D85-4B25-ACE9-B6FC5D6D2EF8}" type="presOf" srcId="{BE7EFE8F-5D4F-484C-8ED7-9862483A7F98}" destId="{AD9D301A-1BC6-4700-82A5-70BC54D522E0}" srcOrd="0" destOrd="0" presId="urn:microsoft.com/office/officeart/2005/8/layout/chevron2"/>
    <dgm:cxn modelId="{C2DD3CD7-2855-4B3E-8FFD-3338C0BEF604}" type="presOf" srcId="{1717AEFE-D37B-4B99-866F-6B63587980A9}" destId="{B618D174-601B-4A51-80F0-E12AC1B86AF4}" srcOrd="0" destOrd="0" presId="urn:microsoft.com/office/officeart/2005/8/layout/chevron2"/>
    <dgm:cxn modelId="{61F0A3D9-B66E-4E7D-BCB4-C7341482AF75}" srcId="{22EDEAA3-00A0-41B7-8ACC-B93AE08F7AE9}" destId="{CB0D3583-90E9-465A-A20F-2B5C431F19B7}" srcOrd="0" destOrd="0" parTransId="{25FEC684-2B4B-455C-8DC7-B72F5D9EFD0F}" sibTransId="{A3BA1199-FCD4-45DC-9D7E-5DFDDADD8A99}"/>
    <dgm:cxn modelId="{FDAB2BDF-0515-4DD1-A513-7C693EF16FA9}" type="presOf" srcId="{D6B15519-FA2B-4583-B7F4-2AC2D7B8B00A}" destId="{1022E058-4D0D-48A6-8BB5-76475D87B9DE}" srcOrd="0" destOrd="0" presId="urn:microsoft.com/office/officeart/2005/8/layout/chevron2"/>
    <dgm:cxn modelId="{CFD9FBE8-5DB3-4DEB-ABD4-6D4A997FE807}" type="presOf" srcId="{7150C850-5D33-4ACD-9ED9-E0CD771354AE}" destId="{8A0A7FE1-E445-4506-BD28-4585CFFEA550}" srcOrd="0" destOrd="0" presId="urn:microsoft.com/office/officeart/2005/8/layout/chevron2"/>
    <dgm:cxn modelId="{052EFDFC-8BD5-4E91-90DC-2A70A9076E09}" type="presOf" srcId="{D4E30198-6117-4F2B-9130-ACCD3127C302}" destId="{B0C615F6-97DC-40C5-B84D-227D10EB483B}" srcOrd="0" destOrd="0" presId="urn:microsoft.com/office/officeart/2005/8/layout/chevron2"/>
    <dgm:cxn modelId="{DC7866AC-F3BA-4D6A-BE75-0695822B965E}" type="presParOf" srcId="{B77A063E-DDE0-4154-97B3-DFE768549682}" destId="{7D755C20-B4F7-41E0-8208-05F7B794B8A3}" srcOrd="0" destOrd="0" presId="urn:microsoft.com/office/officeart/2005/8/layout/chevron2"/>
    <dgm:cxn modelId="{DD62521F-35D5-4887-BEE6-E0FFAFFC1778}" type="presParOf" srcId="{7D755C20-B4F7-41E0-8208-05F7B794B8A3}" destId="{1D8AE62E-B6F9-49FB-B62B-92D76130AF7B}" srcOrd="0" destOrd="0" presId="urn:microsoft.com/office/officeart/2005/8/layout/chevron2"/>
    <dgm:cxn modelId="{41C91D83-D7C5-414B-9C4F-FB168D9E5D50}" type="presParOf" srcId="{7D755C20-B4F7-41E0-8208-05F7B794B8A3}" destId="{63CB32D5-9C57-410A-B6F1-F3A3A2793B37}" srcOrd="1" destOrd="0" presId="urn:microsoft.com/office/officeart/2005/8/layout/chevron2"/>
    <dgm:cxn modelId="{052456BF-F7E9-427F-AF8A-2CEE93DB587F}" type="presParOf" srcId="{B77A063E-DDE0-4154-97B3-DFE768549682}" destId="{ACD78B2A-E55A-46CE-A492-974920C9740B}" srcOrd="1" destOrd="0" presId="urn:microsoft.com/office/officeart/2005/8/layout/chevron2"/>
    <dgm:cxn modelId="{AC536A2E-02A5-4F19-BE0B-276CDBB82A04}" type="presParOf" srcId="{B77A063E-DDE0-4154-97B3-DFE768549682}" destId="{F236BEB5-4A34-4352-813E-3E80869F35EB}" srcOrd="2" destOrd="0" presId="urn:microsoft.com/office/officeart/2005/8/layout/chevron2"/>
    <dgm:cxn modelId="{6B436425-B37E-472C-BD82-EB4E00C9BA12}" type="presParOf" srcId="{F236BEB5-4A34-4352-813E-3E80869F35EB}" destId="{8A0A7FE1-E445-4506-BD28-4585CFFEA550}" srcOrd="0" destOrd="0" presId="urn:microsoft.com/office/officeart/2005/8/layout/chevron2"/>
    <dgm:cxn modelId="{4ADCDA9A-606D-479B-9586-5E23FABDC921}" type="presParOf" srcId="{F236BEB5-4A34-4352-813E-3E80869F35EB}" destId="{20A7F9B5-E73B-41DB-AC56-86DDCA612364}" srcOrd="1" destOrd="0" presId="urn:microsoft.com/office/officeart/2005/8/layout/chevron2"/>
    <dgm:cxn modelId="{17853DD9-E901-4D4B-8E8B-65D0EAFEE5E8}" type="presParOf" srcId="{B77A063E-DDE0-4154-97B3-DFE768549682}" destId="{031AD36E-D3C0-4A4E-A497-1BC122A6D263}" srcOrd="3" destOrd="0" presId="urn:microsoft.com/office/officeart/2005/8/layout/chevron2"/>
    <dgm:cxn modelId="{E51AD968-4780-476F-81DC-85BC9672CB73}" type="presParOf" srcId="{B77A063E-DDE0-4154-97B3-DFE768549682}" destId="{86E9B513-D575-4534-A4C9-876F8F1C7051}" srcOrd="4" destOrd="0" presId="urn:microsoft.com/office/officeart/2005/8/layout/chevron2"/>
    <dgm:cxn modelId="{43AFFB33-3F11-44C2-8D35-48E8B7F005AC}" type="presParOf" srcId="{86E9B513-D575-4534-A4C9-876F8F1C7051}" destId="{AD9D301A-1BC6-4700-82A5-70BC54D522E0}" srcOrd="0" destOrd="0" presId="urn:microsoft.com/office/officeart/2005/8/layout/chevron2"/>
    <dgm:cxn modelId="{2F15DA33-D03C-4BBF-8324-D0666E70C062}" type="presParOf" srcId="{86E9B513-D575-4534-A4C9-876F8F1C7051}" destId="{1022E058-4D0D-48A6-8BB5-76475D87B9DE}" srcOrd="1" destOrd="0" presId="urn:microsoft.com/office/officeart/2005/8/layout/chevron2"/>
    <dgm:cxn modelId="{B27D0ABD-59A4-4E17-841F-87968F52AB06}" type="presParOf" srcId="{B77A063E-DDE0-4154-97B3-DFE768549682}" destId="{6E5085E5-B925-402F-BBE6-15B2D30BB9AD}" srcOrd="5" destOrd="0" presId="urn:microsoft.com/office/officeart/2005/8/layout/chevron2"/>
    <dgm:cxn modelId="{5F523AC3-E3FE-4B5D-AF21-A9354F5ECF7B}" type="presParOf" srcId="{B77A063E-DDE0-4154-97B3-DFE768549682}" destId="{20403438-3A79-4B99-AF9A-60E857EB1D22}" srcOrd="6" destOrd="0" presId="urn:microsoft.com/office/officeart/2005/8/layout/chevron2"/>
    <dgm:cxn modelId="{56F7BFB2-86B6-4082-B498-0246B49CBF4A}" type="presParOf" srcId="{20403438-3A79-4B99-AF9A-60E857EB1D22}" destId="{548D7E25-D089-48F8-B32C-F0E7B05581A5}" srcOrd="0" destOrd="0" presId="urn:microsoft.com/office/officeart/2005/8/layout/chevron2"/>
    <dgm:cxn modelId="{8FCFF27B-62CE-4CC0-8192-74FEFFF7F670}" type="presParOf" srcId="{20403438-3A79-4B99-AF9A-60E857EB1D22}" destId="{B0C615F6-97DC-40C5-B84D-227D10EB483B}" srcOrd="1" destOrd="0" presId="urn:microsoft.com/office/officeart/2005/8/layout/chevron2"/>
    <dgm:cxn modelId="{8D914736-05CB-4599-9260-6AEFA831FBAA}" type="presParOf" srcId="{B77A063E-DDE0-4154-97B3-DFE768549682}" destId="{7C0B9E73-19DA-484E-AD37-DCEC038663BE}" srcOrd="7" destOrd="0" presId="urn:microsoft.com/office/officeart/2005/8/layout/chevron2"/>
    <dgm:cxn modelId="{C6501C58-098F-4073-A7D7-70D6A75176E7}" type="presParOf" srcId="{B77A063E-DDE0-4154-97B3-DFE768549682}" destId="{96461ABD-9997-48EA-94C8-636B8E4D7229}" srcOrd="8" destOrd="0" presId="urn:microsoft.com/office/officeart/2005/8/layout/chevron2"/>
    <dgm:cxn modelId="{5D9E77AB-4AE5-47D1-BB8A-86A029976B4C}" type="presParOf" srcId="{96461ABD-9997-48EA-94C8-636B8E4D7229}" destId="{50CB91EF-5156-4FEE-9315-5348DAB8BF49}" srcOrd="0" destOrd="0" presId="urn:microsoft.com/office/officeart/2005/8/layout/chevron2"/>
    <dgm:cxn modelId="{F8198337-FD27-4DEB-8BFD-C7765538E5AB}" type="presParOf" srcId="{96461ABD-9997-48EA-94C8-636B8E4D7229}" destId="{C1575943-1596-446F-B237-B12022B64FA1}" srcOrd="1" destOrd="0" presId="urn:microsoft.com/office/officeart/2005/8/layout/chevron2"/>
    <dgm:cxn modelId="{C054CC6F-D02B-4312-84C2-BE1C8EF5801B}" type="presParOf" srcId="{B77A063E-DDE0-4154-97B3-DFE768549682}" destId="{5C00DC59-12E2-4137-837A-B07FCCFB0179}" srcOrd="9" destOrd="0" presId="urn:microsoft.com/office/officeart/2005/8/layout/chevron2"/>
    <dgm:cxn modelId="{AFFC9F1D-EF5B-4DE2-BE4B-E755319AB904}" type="presParOf" srcId="{B77A063E-DDE0-4154-97B3-DFE768549682}" destId="{E0500E0E-BD27-493B-B7DE-7C6488B428CE}" srcOrd="10" destOrd="0" presId="urn:microsoft.com/office/officeart/2005/8/layout/chevron2"/>
    <dgm:cxn modelId="{ACE205F4-4E6A-4CAA-93BF-B4E72E160161}" type="presParOf" srcId="{E0500E0E-BD27-493B-B7DE-7C6488B428CE}" destId="{172C2FC6-9AFA-4D89-94D8-14565D5F4D4F}" srcOrd="0" destOrd="0" presId="urn:microsoft.com/office/officeart/2005/8/layout/chevron2"/>
    <dgm:cxn modelId="{2BCCEC5B-9816-4EE9-AA0C-BBEF06AD641C}" type="presParOf" srcId="{E0500E0E-BD27-493B-B7DE-7C6488B428CE}" destId="{00EEA5A8-BAAF-45D4-BDE1-567E74914FD8}" srcOrd="1" destOrd="0" presId="urn:microsoft.com/office/officeart/2005/8/layout/chevron2"/>
    <dgm:cxn modelId="{F426DEB7-488D-4230-9696-CD1461A91093}" type="presParOf" srcId="{B77A063E-DDE0-4154-97B3-DFE768549682}" destId="{9B6E24BC-6243-4C1E-B660-F98180928655}" srcOrd="11" destOrd="0" presId="urn:microsoft.com/office/officeart/2005/8/layout/chevron2"/>
    <dgm:cxn modelId="{671634D7-003B-43A4-859F-3C977BD73A0C}" type="presParOf" srcId="{B77A063E-DDE0-4154-97B3-DFE768549682}" destId="{84E14B1A-F1A8-4009-B4A3-8696AD170380}" srcOrd="12" destOrd="0" presId="urn:microsoft.com/office/officeart/2005/8/layout/chevron2"/>
    <dgm:cxn modelId="{3D6EECA3-FEAD-4BF1-B783-C8C78B6ACC65}" type="presParOf" srcId="{84E14B1A-F1A8-4009-B4A3-8696AD170380}" destId="{B618D174-601B-4A51-80F0-E12AC1B86AF4}" srcOrd="0" destOrd="0" presId="urn:microsoft.com/office/officeart/2005/8/layout/chevron2"/>
    <dgm:cxn modelId="{7E83339E-E8CB-4A2E-BAF4-856D149A32D1}" type="presParOf" srcId="{84E14B1A-F1A8-4009-B4A3-8696AD170380}" destId="{C3D9A20C-C42F-4BE7-8B24-5511AA656A13}" srcOrd="1" destOrd="0" presId="urn:microsoft.com/office/officeart/2005/8/layout/chevron2"/>
    <dgm:cxn modelId="{5AE60B43-8FE4-4CB1-9A2B-1A64D3F7D81D}" type="presParOf" srcId="{B77A063E-DDE0-4154-97B3-DFE768549682}" destId="{4AFF91C5-213D-4456-A4D5-B379FE250B94}" srcOrd="13" destOrd="0" presId="urn:microsoft.com/office/officeart/2005/8/layout/chevron2"/>
    <dgm:cxn modelId="{12026CBC-EFE1-47AB-AC52-B5D70924FD23}" type="presParOf" srcId="{B77A063E-DDE0-4154-97B3-DFE768549682}" destId="{42503F57-631C-4D3A-98FF-35E46E3F8B66}" srcOrd="14" destOrd="0" presId="urn:microsoft.com/office/officeart/2005/8/layout/chevron2"/>
    <dgm:cxn modelId="{BB30B6A7-D981-489A-BBCC-A45335CFFFA7}" type="presParOf" srcId="{42503F57-631C-4D3A-98FF-35E46E3F8B66}" destId="{4DDE4BC8-BF97-4924-9212-13671C27F775}" srcOrd="0" destOrd="0" presId="urn:microsoft.com/office/officeart/2005/8/layout/chevron2"/>
    <dgm:cxn modelId="{F19B47F0-A33B-40E3-87D8-2857D837CFCC}" type="presParOf" srcId="{42503F57-631C-4D3A-98FF-35E46E3F8B66}" destId="{E0403C5D-8F25-443F-AC05-25B6F6813FF4}"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60EEB08-4FFD-44C7-8EB9-B439907D3F62}" type="doc">
      <dgm:prSet loTypeId="urn:microsoft.com/office/officeart/2005/8/layout/hProcess9" loCatId="process" qsTypeId="urn:microsoft.com/office/officeart/2005/8/quickstyle/simple1" qsCatId="simple" csTypeId="urn:microsoft.com/office/officeart/2005/8/colors/accent1_2" csCatId="accent1" phldr="1"/>
      <dgm:spPr/>
    </dgm:pt>
    <dgm:pt modelId="{55B6B41A-E16B-42F9-9962-DBA7908A2897}">
      <dgm:prSet phldrT="[טקסט]"/>
      <dgm:spPr>
        <a:xfrm>
          <a:off x="5447844"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בחירת סדר אימוץ התקנים על ידי יו"ר המוסד לתקינה חשבונאית ממשלתית </a:t>
          </a:r>
        </a:p>
      </dgm:t>
    </dgm:pt>
    <dgm:pt modelId="{28BE8AB8-03D6-4E37-9A46-5019C68437E0}" type="parTrans" cxnId="{9CAFC58F-68A2-4FA9-B64D-8160D90BC590}">
      <dgm:prSet/>
      <dgm:spPr/>
      <dgm:t>
        <a:bodyPr/>
        <a:lstStyle/>
        <a:p>
          <a:pPr algn="ctr" rtl="1"/>
          <a:endParaRPr lang="he-IL"/>
        </a:p>
      </dgm:t>
    </dgm:pt>
    <dgm:pt modelId="{C52F8E65-9564-4067-8865-E14A34CC6D3E}" type="sibTrans" cxnId="{9CAFC58F-68A2-4FA9-B64D-8160D90BC590}">
      <dgm:prSet/>
      <dgm:spPr/>
      <dgm:t>
        <a:bodyPr/>
        <a:lstStyle/>
        <a:p>
          <a:pPr algn="ctr" rtl="1"/>
          <a:endParaRPr lang="he-IL"/>
        </a:p>
      </dgm:t>
    </dgm:pt>
    <dgm:pt modelId="{75812623-EFC4-4291-9CB6-D2955E09283A}">
      <dgm:prSet phldrT="[טקסט]"/>
      <dgm:spPr>
        <a:xfrm>
          <a:off x="3891387"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תרגום התקן הבינלאומי הרלוונטי והכנת חומר מקצועי נוסף בנושא</a:t>
          </a:r>
        </a:p>
      </dgm:t>
    </dgm:pt>
    <dgm:pt modelId="{8A095872-78CF-458E-93FE-1B100430D84C}" type="parTrans" cxnId="{5F41C553-1E4C-4BDB-8E6D-62F6337EC85D}">
      <dgm:prSet/>
      <dgm:spPr/>
      <dgm:t>
        <a:bodyPr/>
        <a:lstStyle/>
        <a:p>
          <a:pPr algn="ctr" rtl="1"/>
          <a:endParaRPr lang="he-IL"/>
        </a:p>
      </dgm:t>
    </dgm:pt>
    <dgm:pt modelId="{7968FC94-8F62-4047-BB25-59A0C909D484}" type="sibTrans" cxnId="{5F41C553-1E4C-4BDB-8E6D-62F6337EC85D}">
      <dgm:prSet/>
      <dgm:spPr/>
      <dgm:t>
        <a:bodyPr/>
        <a:lstStyle/>
        <a:p>
          <a:pPr algn="ctr" rtl="1"/>
          <a:endParaRPr lang="he-IL"/>
        </a:p>
      </dgm:t>
    </dgm:pt>
    <dgm:pt modelId="{A2119947-70B9-48BF-A094-FC1BEEB67060}">
      <dgm:prSet/>
      <dgm:spPr>
        <a:xfrm>
          <a:off x="778473"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קבלת תגובות ביחס להצעה לתקן </a:t>
          </a:r>
        </a:p>
      </dgm:t>
    </dgm:pt>
    <dgm:pt modelId="{FE328D02-826A-4AAC-AC3F-B7B3C5234ACC}" type="parTrans" cxnId="{2D9ECB55-D3E5-4EEA-9D46-0EEADE2BEB2A}">
      <dgm:prSet/>
      <dgm:spPr/>
      <dgm:t>
        <a:bodyPr/>
        <a:lstStyle/>
        <a:p>
          <a:pPr algn="ctr" rtl="1"/>
          <a:endParaRPr lang="he-IL"/>
        </a:p>
      </dgm:t>
    </dgm:pt>
    <dgm:pt modelId="{06D12A88-E441-4035-B27E-C052C48641B9}" type="sibTrans" cxnId="{2D9ECB55-D3E5-4EEA-9D46-0EEADE2BEB2A}">
      <dgm:prSet/>
      <dgm:spPr/>
      <dgm:t>
        <a:bodyPr/>
        <a:lstStyle/>
        <a:p>
          <a:pPr algn="ctr" rtl="1"/>
          <a:endParaRPr lang="he-IL"/>
        </a:p>
      </dgm:t>
    </dgm:pt>
    <dgm:pt modelId="{2CF1FD8B-1AF4-4F1A-8CCF-3FEEDBB2E731}">
      <dgm:prSet/>
      <dgm:spPr>
        <a:xfrm>
          <a:off x="1556702"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הפצת הצעה לתקן באתר החשכ"ל ואתר לשכת רואי חשבון</a:t>
          </a:r>
        </a:p>
      </dgm:t>
    </dgm:pt>
    <dgm:pt modelId="{1D534A57-89A3-4E69-9B21-49D7FB6EB0BD}" type="parTrans" cxnId="{75127FA2-B3EC-48C9-94B1-644D8EB597C4}">
      <dgm:prSet/>
      <dgm:spPr/>
      <dgm:t>
        <a:bodyPr/>
        <a:lstStyle/>
        <a:p>
          <a:pPr algn="ctr" rtl="1"/>
          <a:endParaRPr lang="he-IL"/>
        </a:p>
      </dgm:t>
    </dgm:pt>
    <dgm:pt modelId="{6A69ED98-4E99-4996-B810-CD8ACC3F4A32}" type="sibTrans" cxnId="{75127FA2-B3EC-48C9-94B1-644D8EB597C4}">
      <dgm:prSet/>
      <dgm:spPr/>
      <dgm:t>
        <a:bodyPr/>
        <a:lstStyle/>
        <a:p>
          <a:pPr algn="ctr" rtl="1"/>
          <a:endParaRPr lang="he-IL"/>
        </a:p>
      </dgm:t>
    </dgm:pt>
    <dgm:pt modelId="{B6E50B09-2671-4F67-9F8A-6D7E7CDEFD3D}">
      <dgm:prSet/>
      <dgm:spPr>
        <a:xfrm>
          <a:off x="3113159"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הקמת צוות מקצועי אד הוק לדיון בנושא הרלוונטי </a:t>
          </a:r>
        </a:p>
      </dgm:t>
    </dgm:pt>
    <dgm:pt modelId="{6706F4F9-2B0F-442D-ADAA-9D511C455B10}" type="parTrans" cxnId="{0D0E1050-0E8C-490A-AFF8-5E2A355F45B2}">
      <dgm:prSet/>
      <dgm:spPr/>
      <dgm:t>
        <a:bodyPr/>
        <a:lstStyle/>
        <a:p>
          <a:pPr algn="ctr" rtl="1"/>
          <a:endParaRPr lang="he-IL"/>
        </a:p>
      </dgm:t>
    </dgm:pt>
    <dgm:pt modelId="{BDBE86FA-3493-4D7C-85E7-EF64E40FC12D}" type="sibTrans" cxnId="{0D0E1050-0E8C-490A-AFF8-5E2A355F45B2}">
      <dgm:prSet/>
      <dgm:spPr/>
      <dgm:t>
        <a:bodyPr/>
        <a:lstStyle/>
        <a:p>
          <a:pPr algn="ctr" rtl="1"/>
          <a:endParaRPr lang="he-IL"/>
        </a:p>
      </dgm:t>
    </dgm:pt>
    <dgm:pt modelId="{8EDDE293-4321-4C26-B3D8-273BCAAC8231}">
      <dgm:prSet/>
      <dgm:spPr>
        <a:xfrm>
          <a:off x="245"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פרסום התקן באתר האינטרנט של לשכת רואי חשבון והחשב הכללי ולכל המשתמשים הרלוונטיים</a:t>
          </a:r>
          <a:r>
            <a:rPr lang="en-US">
              <a:solidFill>
                <a:sysClr val="window" lastClr="FFFFFF"/>
              </a:solidFill>
              <a:latin typeface="Calibri"/>
              <a:ea typeface="+mn-ea"/>
              <a:cs typeface="Arial" panose="020B0604020202020204" pitchFamily="34" charset="0"/>
            </a:rPr>
            <a:t> </a:t>
          </a:r>
          <a:endParaRPr lang="he-IL">
            <a:solidFill>
              <a:sysClr val="window" lastClr="FFFFFF"/>
            </a:solidFill>
            <a:latin typeface="Calibri"/>
            <a:ea typeface="+mn-ea"/>
            <a:cs typeface="Arial" panose="020B0604020202020204" pitchFamily="34" charset="0"/>
          </a:endParaRPr>
        </a:p>
      </dgm:t>
    </dgm:pt>
    <dgm:pt modelId="{370BE41B-059E-4212-B8A1-AE466B708810}" type="parTrans" cxnId="{890DC25D-D261-45C7-8634-6C3126F0E00F}">
      <dgm:prSet/>
      <dgm:spPr/>
      <dgm:t>
        <a:bodyPr/>
        <a:lstStyle/>
        <a:p>
          <a:pPr algn="ctr" rtl="1"/>
          <a:endParaRPr lang="he-IL"/>
        </a:p>
      </dgm:t>
    </dgm:pt>
    <dgm:pt modelId="{A9E962D7-6DEC-4622-AB90-AC175BC093AB}" type="sibTrans" cxnId="{890DC25D-D261-45C7-8634-6C3126F0E00F}">
      <dgm:prSet/>
      <dgm:spPr/>
      <dgm:t>
        <a:bodyPr/>
        <a:lstStyle/>
        <a:p>
          <a:pPr algn="ctr" rtl="1"/>
          <a:endParaRPr lang="he-IL"/>
        </a:p>
      </dgm:t>
    </dgm:pt>
    <dgm:pt modelId="{DB19F0D5-6D20-47C8-9DDA-9A44701712B8}">
      <dgm:prSet phldrT="[טקסט]"/>
      <dgm:spPr>
        <a:xfrm>
          <a:off x="4669616"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הכנת תוכנית עבודה שנתית המוצגת לאישור חברי הוועדה</a:t>
          </a:r>
        </a:p>
      </dgm:t>
    </dgm:pt>
    <dgm:pt modelId="{399BEE22-2831-4C8B-83EF-ECF3848A5771}" type="sibTrans" cxnId="{2F941659-F211-4543-B669-F0D15775DB0A}">
      <dgm:prSet/>
      <dgm:spPr/>
      <dgm:t>
        <a:bodyPr/>
        <a:lstStyle/>
        <a:p>
          <a:pPr algn="ctr" rtl="1"/>
          <a:endParaRPr lang="he-IL"/>
        </a:p>
      </dgm:t>
    </dgm:pt>
    <dgm:pt modelId="{F409B48F-B36C-43B6-8A2E-6F98F6E2BB89}" type="parTrans" cxnId="{2F941659-F211-4543-B669-F0D15775DB0A}">
      <dgm:prSet/>
      <dgm:spPr/>
      <dgm:t>
        <a:bodyPr/>
        <a:lstStyle/>
        <a:p>
          <a:pPr algn="ctr" rtl="1"/>
          <a:endParaRPr lang="he-IL"/>
        </a:p>
      </dgm:t>
    </dgm:pt>
    <dgm:pt modelId="{A5A5A53B-C765-4DAD-81AA-A68D94F404AA}">
      <dgm:prSet/>
      <dgm:spPr>
        <a:xfrm>
          <a:off x="2334930" y="874139"/>
          <a:ext cx="741169" cy="1165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he-IL">
              <a:solidFill>
                <a:sysClr val="window" lastClr="FFFFFF"/>
              </a:solidFill>
              <a:latin typeface="Calibri"/>
              <a:ea typeface="+mn-ea"/>
              <a:cs typeface="Arial" panose="020B0604020202020204" pitchFamily="34" charset="0"/>
            </a:rPr>
            <a:t>אישור התקן על ידי חברי הוועדה</a:t>
          </a:r>
        </a:p>
      </dgm:t>
    </dgm:pt>
    <dgm:pt modelId="{B51336C6-07E5-4CC7-8F18-2044705178CA}" type="parTrans" cxnId="{BE7EF40F-2D1C-4ADF-9F1F-B1E8DD848AE4}">
      <dgm:prSet/>
      <dgm:spPr/>
      <dgm:t>
        <a:bodyPr/>
        <a:lstStyle/>
        <a:p>
          <a:pPr algn="ctr" rtl="1"/>
          <a:endParaRPr lang="he-IL"/>
        </a:p>
      </dgm:t>
    </dgm:pt>
    <dgm:pt modelId="{3BF8C0AD-F50B-44FC-B797-FD9B0814A677}" type="sibTrans" cxnId="{BE7EF40F-2D1C-4ADF-9F1F-B1E8DD848AE4}">
      <dgm:prSet/>
      <dgm:spPr/>
      <dgm:t>
        <a:bodyPr/>
        <a:lstStyle/>
        <a:p>
          <a:pPr algn="ctr" rtl="1"/>
          <a:endParaRPr lang="he-IL"/>
        </a:p>
      </dgm:t>
    </dgm:pt>
    <dgm:pt modelId="{8EADCDA8-77CF-45D9-83CC-1560BF3BEE93}" type="pres">
      <dgm:prSet presAssocID="{160EEB08-4FFD-44C7-8EB9-B439907D3F62}" presName="CompostProcess" presStyleCnt="0">
        <dgm:presLayoutVars>
          <dgm:dir val="rev"/>
          <dgm:resizeHandles val="exact"/>
        </dgm:presLayoutVars>
      </dgm:prSet>
      <dgm:spPr/>
    </dgm:pt>
    <dgm:pt modelId="{81DDDA2F-EEC6-4D19-A0CC-934211E98667}" type="pres">
      <dgm:prSet presAssocID="{160EEB08-4FFD-44C7-8EB9-B439907D3F62}" presName="arrow" presStyleLbl="bgShp" presStyleIdx="0" presStyleCnt="1" custLinFactNeighborX="16992" custLinFactNeighborY="-1639"/>
      <dgm:spPr>
        <a:xfrm>
          <a:off x="928389" y="0"/>
          <a:ext cx="5260871" cy="2913797"/>
        </a:xfrm>
        <a:prstGeom prst="leftArrow">
          <a:avLst/>
        </a:prstGeom>
        <a:solidFill>
          <a:srgbClr val="4F81BD">
            <a:tint val="40000"/>
            <a:hueOff val="0"/>
            <a:satOff val="0"/>
            <a:lumOff val="0"/>
            <a:alphaOff val="0"/>
          </a:srgbClr>
        </a:solidFill>
        <a:ln>
          <a:noFill/>
        </a:ln>
        <a:effectLst/>
      </dgm:spPr>
    </dgm:pt>
    <dgm:pt modelId="{0CAA68B4-C1C6-4C8D-844E-B900D72ADCB7}" type="pres">
      <dgm:prSet presAssocID="{160EEB08-4FFD-44C7-8EB9-B439907D3F62}" presName="linearProcess" presStyleCnt="0"/>
      <dgm:spPr/>
    </dgm:pt>
    <dgm:pt modelId="{1915CB2B-7041-4312-95B6-32F85B399E63}" type="pres">
      <dgm:prSet presAssocID="{55B6B41A-E16B-42F9-9962-DBA7908A2897}" presName="textNode" presStyleLbl="node1" presStyleIdx="0" presStyleCnt="8">
        <dgm:presLayoutVars>
          <dgm:bulletEnabled val="1"/>
        </dgm:presLayoutVars>
      </dgm:prSet>
      <dgm:spPr>
        <a:prstGeom prst="roundRect">
          <a:avLst/>
        </a:prstGeom>
      </dgm:spPr>
    </dgm:pt>
    <dgm:pt modelId="{6C3F587B-43E4-4EC0-9487-9F7348F7A2CF}" type="pres">
      <dgm:prSet presAssocID="{C52F8E65-9564-4067-8865-E14A34CC6D3E}" presName="sibTrans" presStyleCnt="0"/>
      <dgm:spPr/>
    </dgm:pt>
    <dgm:pt modelId="{0C6C1BEF-29F9-42C8-B813-CAA2EDE454BD}" type="pres">
      <dgm:prSet presAssocID="{DB19F0D5-6D20-47C8-9DDA-9A44701712B8}" presName="textNode" presStyleLbl="node1" presStyleIdx="1" presStyleCnt="8">
        <dgm:presLayoutVars>
          <dgm:bulletEnabled val="1"/>
        </dgm:presLayoutVars>
      </dgm:prSet>
      <dgm:spPr>
        <a:prstGeom prst="roundRect">
          <a:avLst/>
        </a:prstGeom>
      </dgm:spPr>
    </dgm:pt>
    <dgm:pt modelId="{445E07B6-6D1A-4809-A080-E0EF6B8952ED}" type="pres">
      <dgm:prSet presAssocID="{399BEE22-2831-4C8B-83EF-ECF3848A5771}" presName="sibTrans" presStyleCnt="0"/>
      <dgm:spPr/>
    </dgm:pt>
    <dgm:pt modelId="{2F4D489F-2D47-4597-9846-53EDBBEFE7B6}" type="pres">
      <dgm:prSet presAssocID="{75812623-EFC4-4291-9CB6-D2955E09283A}" presName="textNode" presStyleLbl="node1" presStyleIdx="2" presStyleCnt="8">
        <dgm:presLayoutVars>
          <dgm:bulletEnabled val="1"/>
        </dgm:presLayoutVars>
      </dgm:prSet>
      <dgm:spPr>
        <a:prstGeom prst="roundRect">
          <a:avLst/>
        </a:prstGeom>
      </dgm:spPr>
    </dgm:pt>
    <dgm:pt modelId="{BD91E535-926C-4455-A0DB-7918CDE7CC86}" type="pres">
      <dgm:prSet presAssocID="{7968FC94-8F62-4047-BB25-59A0C909D484}" presName="sibTrans" presStyleCnt="0"/>
      <dgm:spPr/>
    </dgm:pt>
    <dgm:pt modelId="{1CB89F2F-656D-4537-832A-BB8CD6463065}" type="pres">
      <dgm:prSet presAssocID="{B6E50B09-2671-4F67-9F8A-6D7E7CDEFD3D}" presName="textNode" presStyleLbl="node1" presStyleIdx="3" presStyleCnt="8">
        <dgm:presLayoutVars>
          <dgm:bulletEnabled val="1"/>
        </dgm:presLayoutVars>
      </dgm:prSet>
      <dgm:spPr>
        <a:prstGeom prst="roundRect">
          <a:avLst/>
        </a:prstGeom>
      </dgm:spPr>
    </dgm:pt>
    <dgm:pt modelId="{88965361-E91C-4CCD-BAD3-01CEEA079399}" type="pres">
      <dgm:prSet presAssocID="{BDBE86FA-3493-4D7C-85E7-EF64E40FC12D}" presName="sibTrans" presStyleCnt="0"/>
      <dgm:spPr/>
    </dgm:pt>
    <dgm:pt modelId="{74EAC9DF-060C-4303-B6D7-A9A0B2877981}" type="pres">
      <dgm:prSet presAssocID="{A5A5A53B-C765-4DAD-81AA-A68D94F404AA}" presName="textNode" presStyleLbl="node1" presStyleIdx="4" presStyleCnt="8">
        <dgm:presLayoutVars>
          <dgm:bulletEnabled val="1"/>
        </dgm:presLayoutVars>
      </dgm:prSet>
      <dgm:spPr>
        <a:prstGeom prst="roundRect">
          <a:avLst/>
        </a:prstGeom>
      </dgm:spPr>
    </dgm:pt>
    <dgm:pt modelId="{B628D37D-9822-4257-9212-C379A915E72D}" type="pres">
      <dgm:prSet presAssocID="{3BF8C0AD-F50B-44FC-B797-FD9B0814A677}" presName="sibTrans" presStyleCnt="0"/>
      <dgm:spPr/>
    </dgm:pt>
    <dgm:pt modelId="{BA35251E-108E-41F6-BC32-C9DE441DD483}" type="pres">
      <dgm:prSet presAssocID="{2CF1FD8B-1AF4-4F1A-8CCF-3FEEDBB2E731}" presName="textNode" presStyleLbl="node1" presStyleIdx="5" presStyleCnt="8">
        <dgm:presLayoutVars>
          <dgm:bulletEnabled val="1"/>
        </dgm:presLayoutVars>
      </dgm:prSet>
      <dgm:spPr>
        <a:prstGeom prst="roundRect">
          <a:avLst/>
        </a:prstGeom>
      </dgm:spPr>
    </dgm:pt>
    <dgm:pt modelId="{D1FCD548-C97B-435C-834B-019772DB1833}" type="pres">
      <dgm:prSet presAssocID="{6A69ED98-4E99-4996-B810-CD8ACC3F4A32}" presName="sibTrans" presStyleCnt="0"/>
      <dgm:spPr/>
    </dgm:pt>
    <dgm:pt modelId="{4C022953-A3B4-47C3-8FB8-85640C068A4D}" type="pres">
      <dgm:prSet presAssocID="{A2119947-70B9-48BF-A094-FC1BEEB67060}" presName="textNode" presStyleLbl="node1" presStyleIdx="6" presStyleCnt="8">
        <dgm:presLayoutVars>
          <dgm:bulletEnabled val="1"/>
        </dgm:presLayoutVars>
      </dgm:prSet>
      <dgm:spPr>
        <a:prstGeom prst="roundRect">
          <a:avLst/>
        </a:prstGeom>
      </dgm:spPr>
    </dgm:pt>
    <dgm:pt modelId="{49C8862D-D905-4447-81E7-51DA928212C0}" type="pres">
      <dgm:prSet presAssocID="{06D12A88-E441-4035-B27E-C052C48641B9}" presName="sibTrans" presStyleCnt="0"/>
      <dgm:spPr/>
    </dgm:pt>
    <dgm:pt modelId="{F3861D99-74C7-4C75-B22D-F203893FA5A4}" type="pres">
      <dgm:prSet presAssocID="{8EDDE293-4321-4C26-B3D8-273BCAAC8231}" presName="textNode" presStyleLbl="node1" presStyleIdx="7" presStyleCnt="8">
        <dgm:presLayoutVars>
          <dgm:bulletEnabled val="1"/>
        </dgm:presLayoutVars>
      </dgm:prSet>
      <dgm:spPr>
        <a:prstGeom prst="roundRect">
          <a:avLst/>
        </a:prstGeom>
      </dgm:spPr>
    </dgm:pt>
  </dgm:ptLst>
  <dgm:cxnLst>
    <dgm:cxn modelId="{63456409-201E-4AE6-9B1B-79AB40574CB7}" type="presOf" srcId="{8EDDE293-4321-4C26-B3D8-273BCAAC8231}" destId="{F3861D99-74C7-4C75-B22D-F203893FA5A4}" srcOrd="0" destOrd="0" presId="urn:microsoft.com/office/officeart/2005/8/layout/hProcess9"/>
    <dgm:cxn modelId="{BE7EF40F-2D1C-4ADF-9F1F-B1E8DD848AE4}" srcId="{160EEB08-4FFD-44C7-8EB9-B439907D3F62}" destId="{A5A5A53B-C765-4DAD-81AA-A68D94F404AA}" srcOrd="4" destOrd="0" parTransId="{B51336C6-07E5-4CC7-8F18-2044705178CA}" sibTransId="{3BF8C0AD-F50B-44FC-B797-FD9B0814A677}"/>
    <dgm:cxn modelId="{87F42D39-435A-4A50-A061-14EABE189712}" type="presOf" srcId="{2CF1FD8B-1AF4-4F1A-8CCF-3FEEDBB2E731}" destId="{BA35251E-108E-41F6-BC32-C9DE441DD483}" srcOrd="0" destOrd="0" presId="urn:microsoft.com/office/officeart/2005/8/layout/hProcess9"/>
    <dgm:cxn modelId="{C5D6C93F-8D62-4F59-8F8E-6C83F3793D03}" type="presOf" srcId="{160EEB08-4FFD-44C7-8EB9-B439907D3F62}" destId="{8EADCDA8-77CF-45D9-83CC-1560BF3BEE93}" srcOrd="0" destOrd="0" presId="urn:microsoft.com/office/officeart/2005/8/layout/hProcess9"/>
    <dgm:cxn modelId="{628D2740-1279-4EEA-B388-EE81FD403AE3}" type="presOf" srcId="{75812623-EFC4-4291-9CB6-D2955E09283A}" destId="{2F4D489F-2D47-4597-9846-53EDBBEFE7B6}" srcOrd="0" destOrd="0" presId="urn:microsoft.com/office/officeart/2005/8/layout/hProcess9"/>
    <dgm:cxn modelId="{890DC25D-D261-45C7-8634-6C3126F0E00F}" srcId="{160EEB08-4FFD-44C7-8EB9-B439907D3F62}" destId="{8EDDE293-4321-4C26-B3D8-273BCAAC8231}" srcOrd="7" destOrd="0" parTransId="{370BE41B-059E-4212-B8A1-AE466B708810}" sibTransId="{A9E962D7-6DEC-4622-AB90-AC175BC093AB}"/>
    <dgm:cxn modelId="{0D0E1050-0E8C-490A-AFF8-5E2A355F45B2}" srcId="{160EEB08-4FFD-44C7-8EB9-B439907D3F62}" destId="{B6E50B09-2671-4F67-9F8A-6D7E7CDEFD3D}" srcOrd="3" destOrd="0" parTransId="{6706F4F9-2B0F-442D-ADAA-9D511C455B10}" sibTransId="{BDBE86FA-3493-4D7C-85E7-EF64E40FC12D}"/>
    <dgm:cxn modelId="{C318F852-8D6B-400B-81DF-FA8202F3B4F9}" type="presOf" srcId="{A2119947-70B9-48BF-A094-FC1BEEB67060}" destId="{4C022953-A3B4-47C3-8FB8-85640C068A4D}" srcOrd="0" destOrd="0" presId="urn:microsoft.com/office/officeart/2005/8/layout/hProcess9"/>
    <dgm:cxn modelId="{5F41C553-1E4C-4BDB-8E6D-62F6337EC85D}" srcId="{160EEB08-4FFD-44C7-8EB9-B439907D3F62}" destId="{75812623-EFC4-4291-9CB6-D2955E09283A}" srcOrd="2" destOrd="0" parTransId="{8A095872-78CF-458E-93FE-1B100430D84C}" sibTransId="{7968FC94-8F62-4047-BB25-59A0C909D484}"/>
    <dgm:cxn modelId="{2D9ECB55-D3E5-4EEA-9D46-0EEADE2BEB2A}" srcId="{160EEB08-4FFD-44C7-8EB9-B439907D3F62}" destId="{A2119947-70B9-48BF-A094-FC1BEEB67060}" srcOrd="6" destOrd="0" parTransId="{FE328D02-826A-4AAC-AC3F-B7B3C5234ACC}" sibTransId="{06D12A88-E441-4035-B27E-C052C48641B9}"/>
    <dgm:cxn modelId="{2F941659-F211-4543-B669-F0D15775DB0A}" srcId="{160EEB08-4FFD-44C7-8EB9-B439907D3F62}" destId="{DB19F0D5-6D20-47C8-9DDA-9A44701712B8}" srcOrd="1" destOrd="0" parTransId="{F409B48F-B36C-43B6-8A2E-6F98F6E2BB89}" sibTransId="{399BEE22-2831-4C8B-83EF-ECF3848A5771}"/>
    <dgm:cxn modelId="{9CAFC58F-68A2-4FA9-B64D-8160D90BC590}" srcId="{160EEB08-4FFD-44C7-8EB9-B439907D3F62}" destId="{55B6B41A-E16B-42F9-9962-DBA7908A2897}" srcOrd="0" destOrd="0" parTransId="{28BE8AB8-03D6-4E37-9A46-5019C68437E0}" sibTransId="{C52F8E65-9564-4067-8865-E14A34CC6D3E}"/>
    <dgm:cxn modelId="{75127FA2-B3EC-48C9-94B1-644D8EB597C4}" srcId="{160EEB08-4FFD-44C7-8EB9-B439907D3F62}" destId="{2CF1FD8B-1AF4-4F1A-8CCF-3FEEDBB2E731}" srcOrd="5" destOrd="0" parTransId="{1D534A57-89A3-4E69-9B21-49D7FB6EB0BD}" sibTransId="{6A69ED98-4E99-4996-B810-CD8ACC3F4A32}"/>
    <dgm:cxn modelId="{224CDFAB-01DC-4A0B-B605-489F7EFE8467}" type="presOf" srcId="{A5A5A53B-C765-4DAD-81AA-A68D94F404AA}" destId="{74EAC9DF-060C-4303-B6D7-A9A0B2877981}" srcOrd="0" destOrd="0" presId="urn:microsoft.com/office/officeart/2005/8/layout/hProcess9"/>
    <dgm:cxn modelId="{E3E94ABB-B08C-4491-8550-336000ED88B8}" type="presOf" srcId="{B6E50B09-2671-4F67-9F8A-6D7E7CDEFD3D}" destId="{1CB89F2F-656D-4537-832A-BB8CD6463065}" srcOrd="0" destOrd="0" presId="urn:microsoft.com/office/officeart/2005/8/layout/hProcess9"/>
    <dgm:cxn modelId="{03A713E1-0D57-4D3D-856F-F6BFC643A21E}" type="presOf" srcId="{DB19F0D5-6D20-47C8-9DDA-9A44701712B8}" destId="{0C6C1BEF-29F9-42C8-B813-CAA2EDE454BD}" srcOrd="0" destOrd="0" presId="urn:microsoft.com/office/officeart/2005/8/layout/hProcess9"/>
    <dgm:cxn modelId="{D100F5E3-D540-4364-B7F2-94F7DDFC1943}" type="presOf" srcId="{55B6B41A-E16B-42F9-9962-DBA7908A2897}" destId="{1915CB2B-7041-4312-95B6-32F85B399E63}" srcOrd="0" destOrd="0" presId="urn:microsoft.com/office/officeart/2005/8/layout/hProcess9"/>
    <dgm:cxn modelId="{E0869CB3-C5DC-493E-8176-E45485A11048}" type="presParOf" srcId="{8EADCDA8-77CF-45D9-83CC-1560BF3BEE93}" destId="{81DDDA2F-EEC6-4D19-A0CC-934211E98667}" srcOrd="0" destOrd="0" presId="urn:microsoft.com/office/officeart/2005/8/layout/hProcess9"/>
    <dgm:cxn modelId="{A7FADF2F-A1A8-4708-9ED1-6B9DFEDE7AAB}" type="presParOf" srcId="{8EADCDA8-77CF-45D9-83CC-1560BF3BEE93}" destId="{0CAA68B4-C1C6-4C8D-844E-B900D72ADCB7}" srcOrd="1" destOrd="0" presId="urn:microsoft.com/office/officeart/2005/8/layout/hProcess9"/>
    <dgm:cxn modelId="{47047373-C1FA-448A-8AF5-3E26696E4FB0}" type="presParOf" srcId="{0CAA68B4-C1C6-4C8D-844E-B900D72ADCB7}" destId="{1915CB2B-7041-4312-95B6-32F85B399E63}" srcOrd="0" destOrd="0" presId="urn:microsoft.com/office/officeart/2005/8/layout/hProcess9"/>
    <dgm:cxn modelId="{50831B13-77AC-4684-9594-855B721D9AD4}" type="presParOf" srcId="{0CAA68B4-C1C6-4C8D-844E-B900D72ADCB7}" destId="{6C3F587B-43E4-4EC0-9487-9F7348F7A2CF}" srcOrd="1" destOrd="0" presId="urn:microsoft.com/office/officeart/2005/8/layout/hProcess9"/>
    <dgm:cxn modelId="{19E75DFC-50E7-44A0-BD49-0A0D3623221B}" type="presParOf" srcId="{0CAA68B4-C1C6-4C8D-844E-B900D72ADCB7}" destId="{0C6C1BEF-29F9-42C8-B813-CAA2EDE454BD}" srcOrd="2" destOrd="0" presId="urn:microsoft.com/office/officeart/2005/8/layout/hProcess9"/>
    <dgm:cxn modelId="{01ED069B-CBB9-4987-B23D-2256CC2AFF9C}" type="presParOf" srcId="{0CAA68B4-C1C6-4C8D-844E-B900D72ADCB7}" destId="{445E07B6-6D1A-4809-A080-E0EF6B8952ED}" srcOrd="3" destOrd="0" presId="urn:microsoft.com/office/officeart/2005/8/layout/hProcess9"/>
    <dgm:cxn modelId="{5C6B6964-A8BE-4B09-9BC9-7431C610B45F}" type="presParOf" srcId="{0CAA68B4-C1C6-4C8D-844E-B900D72ADCB7}" destId="{2F4D489F-2D47-4597-9846-53EDBBEFE7B6}" srcOrd="4" destOrd="0" presId="urn:microsoft.com/office/officeart/2005/8/layout/hProcess9"/>
    <dgm:cxn modelId="{545A6A28-B0EF-4719-AB83-9C5DF435EAEB}" type="presParOf" srcId="{0CAA68B4-C1C6-4C8D-844E-B900D72ADCB7}" destId="{BD91E535-926C-4455-A0DB-7918CDE7CC86}" srcOrd="5" destOrd="0" presId="urn:microsoft.com/office/officeart/2005/8/layout/hProcess9"/>
    <dgm:cxn modelId="{168B057B-5573-4FF8-84FF-0A509101CAC1}" type="presParOf" srcId="{0CAA68B4-C1C6-4C8D-844E-B900D72ADCB7}" destId="{1CB89F2F-656D-4537-832A-BB8CD6463065}" srcOrd="6" destOrd="0" presId="urn:microsoft.com/office/officeart/2005/8/layout/hProcess9"/>
    <dgm:cxn modelId="{606BDE32-EAFE-4393-9284-D13F8D8A4585}" type="presParOf" srcId="{0CAA68B4-C1C6-4C8D-844E-B900D72ADCB7}" destId="{88965361-E91C-4CCD-BAD3-01CEEA079399}" srcOrd="7" destOrd="0" presId="urn:microsoft.com/office/officeart/2005/8/layout/hProcess9"/>
    <dgm:cxn modelId="{4041090D-1761-4DBE-9D24-D8E71F41804E}" type="presParOf" srcId="{0CAA68B4-C1C6-4C8D-844E-B900D72ADCB7}" destId="{74EAC9DF-060C-4303-B6D7-A9A0B2877981}" srcOrd="8" destOrd="0" presId="urn:microsoft.com/office/officeart/2005/8/layout/hProcess9"/>
    <dgm:cxn modelId="{E0CAD03B-78FA-4FA4-8FB7-D3F314002B78}" type="presParOf" srcId="{0CAA68B4-C1C6-4C8D-844E-B900D72ADCB7}" destId="{B628D37D-9822-4257-9212-C379A915E72D}" srcOrd="9" destOrd="0" presId="urn:microsoft.com/office/officeart/2005/8/layout/hProcess9"/>
    <dgm:cxn modelId="{EA2E1EE4-A617-45D6-9F97-D9E058837773}" type="presParOf" srcId="{0CAA68B4-C1C6-4C8D-844E-B900D72ADCB7}" destId="{BA35251E-108E-41F6-BC32-C9DE441DD483}" srcOrd="10" destOrd="0" presId="urn:microsoft.com/office/officeart/2005/8/layout/hProcess9"/>
    <dgm:cxn modelId="{4BFAF180-F0F8-4697-B1CE-056EA1F34D28}" type="presParOf" srcId="{0CAA68B4-C1C6-4C8D-844E-B900D72ADCB7}" destId="{D1FCD548-C97B-435C-834B-019772DB1833}" srcOrd="11" destOrd="0" presId="urn:microsoft.com/office/officeart/2005/8/layout/hProcess9"/>
    <dgm:cxn modelId="{93161443-4D05-4A24-94B0-C9B169EA2030}" type="presParOf" srcId="{0CAA68B4-C1C6-4C8D-844E-B900D72ADCB7}" destId="{4C022953-A3B4-47C3-8FB8-85640C068A4D}" srcOrd="12" destOrd="0" presId="urn:microsoft.com/office/officeart/2005/8/layout/hProcess9"/>
    <dgm:cxn modelId="{1E65BED8-D530-4AD3-9C1C-904322CE67A1}" type="presParOf" srcId="{0CAA68B4-C1C6-4C8D-844E-B900D72ADCB7}" destId="{49C8862D-D905-4447-81E7-51DA928212C0}" srcOrd="13" destOrd="0" presId="urn:microsoft.com/office/officeart/2005/8/layout/hProcess9"/>
    <dgm:cxn modelId="{55E74ED9-BB1E-4E81-B193-E5E5E13CE3A5}" type="presParOf" srcId="{0CAA68B4-C1C6-4C8D-844E-B900D72ADCB7}" destId="{F3861D99-74C7-4C75-B22D-F203893FA5A4}" srcOrd="14" destOrd="0" presId="urn:microsoft.com/office/officeart/2005/8/layout/hProcess9"/>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A477F9E-D1FF-4CFE-A04B-511A99AA2FEF}" type="doc">
      <dgm:prSet loTypeId="urn:microsoft.com/office/officeart/2008/layout/SquareAccentList#1" loCatId="list" qsTypeId="urn:microsoft.com/office/officeart/2005/8/quickstyle/3d4#1" qsCatId="3D" csTypeId="urn:microsoft.com/office/officeart/2005/8/colors/accent1_2" csCatId="accent1" phldr="1"/>
      <dgm:spPr/>
      <dgm:t>
        <a:bodyPr/>
        <a:lstStyle/>
        <a:p>
          <a:pPr rtl="1"/>
          <a:endParaRPr lang="he-IL"/>
        </a:p>
      </dgm:t>
    </dgm:pt>
    <dgm:pt modelId="{1A3A24F8-8A05-4FB3-BE44-1C3388F18288}">
      <dgm:prSet phldrT="[טקסט]" custT="1"/>
      <dgm:spPr>
        <a:xfrm>
          <a:off x="128312" y="0"/>
          <a:ext cx="2421321" cy="509751"/>
        </a:xfrm>
        <a:noFill/>
        <a:ln>
          <a:noFill/>
        </a:ln>
        <a:effectLst/>
      </dgm:spPr>
      <dgm:t>
        <a:bodyPr/>
        <a:lstStyle/>
        <a:p>
          <a:pPr rtl="1"/>
          <a:r>
            <a:rPr lang="he-IL" sz="1200" b="1">
              <a:solidFill>
                <a:sysClr val="windowText" lastClr="000000">
                  <a:hueOff val="0"/>
                  <a:satOff val="0"/>
                  <a:lumOff val="0"/>
                  <a:alphaOff val="0"/>
                </a:sysClr>
              </a:solidFill>
              <a:latin typeface="Calibri"/>
              <a:ea typeface="+mn-ea"/>
              <a:cs typeface="Arial" panose="020B0604020202020204" pitchFamily="34" charset="0"/>
            </a:rPr>
            <a:t>תקנים חדשים שהותקנו במקום אלה שבוטלו בתקינה הבינלאומית אך טרם הותקנו על ידי הוועדה בישראל </a:t>
          </a:r>
        </a:p>
      </dgm:t>
    </dgm:pt>
    <dgm:pt modelId="{33C55BEA-A3CB-46FC-A1E9-BACC2C171BF1}" type="parTrans" cxnId="{6817A86B-4979-4F9A-B343-96946B88759F}">
      <dgm:prSet/>
      <dgm:spPr/>
      <dgm:t>
        <a:bodyPr/>
        <a:lstStyle/>
        <a:p>
          <a:pPr rtl="1"/>
          <a:endParaRPr lang="he-IL"/>
        </a:p>
      </dgm:t>
    </dgm:pt>
    <dgm:pt modelId="{35539B0E-D52C-4FBD-9F6D-1204536F5127}" type="sibTrans" cxnId="{6817A86B-4979-4F9A-B343-96946B88759F}">
      <dgm:prSet/>
      <dgm:spPr/>
      <dgm:t>
        <a:bodyPr/>
        <a:lstStyle/>
        <a:p>
          <a:pPr rtl="1"/>
          <a:endParaRPr lang="he-IL"/>
        </a:p>
      </dgm:t>
    </dgm:pt>
    <dgm:pt modelId="{AE2DE4D6-BBBF-4D10-B326-7FF43F8CE221}">
      <dgm:prSet phldrT="[טקסט]"/>
      <dgm:spPr>
        <a:xfrm>
          <a:off x="297805" y="916597"/>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34</a:t>
          </a:r>
          <a:r>
            <a:rPr lang="he-IL">
              <a:solidFill>
                <a:sysClr val="windowText" lastClr="000000">
                  <a:hueOff val="0"/>
                  <a:satOff val="0"/>
                  <a:lumOff val="0"/>
                  <a:alphaOff val="0"/>
                </a:sysClr>
              </a:solidFill>
              <a:latin typeface="Calibri"/>
              <a:ea typeface="+mn-ea"/>
              <a:cs typeface="Arial" panose="020B0604020202020204" pitchFamily="34" charset="0"/>
            </a:rPr>
            <a:t> - דוחות כספיים נפרדים </a:t>
          </a:r>
        </a:p>
      </dgm:t>
    </dgm:pt>
    <dgm:pt modelId="{0C893C08-E960-45F8-910C-81062E42463E}" type="parTrans" cxnId="{90CAA1C4-25E8-4B85-A156-DECF5BEAC98D}">
      <dgm:prSet/>
      <dgm:spPr/>
      <dgm:t>
        <a:bodyPr/>
        <a:lstStyle/>
        <a:p>
          <a:pPr rtl="1"/>
          <a:endParaRPr lang="he-IL"/>
        </a:p>
      </dgm:t>
    </dgm:pt>
    <dgm:pt modelId="{F8C2F36F-36EF-4237-A9A8-B1DF09089FE4}" type="sibTrans" cxnId="{90CAA1C4-25E8-4B85-A156-DECF5BEAC98D}">
      <dgm:prSet/>
      <dgm:spPr/>
      <dgm:t>
        <a:bodyPr/>
        <a:lstStyle/>
        <a:p>
          <a:pPr rtl="1"/>
          <a:endParaRPr lang="he-IL"/>
        </a:p>
      </dgm:t>
    </dgm:pt>
    <dgm:pt modelId="{85BE7685-B0B2-4EA9-98A2-8F44F70F2561}">
      <dgm:prSet phldrT="[טקסט]"/>
      <dgm:spPr>
        <a:xfrm>
          <a:off x="297805" y="1330771"/>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35</a:t>
          </a:r>
          <a:r>
            <a:rPr lang="he-IL">
              <a:solidFill>
                <a:sysClr val="windowText" lastClr="000000">
                  <a:hueOff val="0"/>
                  <a:satOff val="0"/>
                  <a:lumOff val="0"/>
                  <a:alphaOff val="0"/>
                </a:sysClr>
              </a:solidFill>
              <a:latin typeface="Calibri"/>
              <a:ea typeface="+mn-ea"/>
              <a:cs typeface="Arial" panose="020B0604020202020204" pitchFamily="34" charset="0"/>
            </a:rPr>
            <a:t>- דוחות כספיים מאוחדים </a:t>
          </a:r>
        </a:p>
      </dgm:t>
    </dgm:pt>
    <dgm:pt modelId="{EC666051-DE2E-4BA3-BFB3-85888EF04273}" type="parTrans" cxnId="{2823BFA0-5B8E-4C24-83C8-B7B699F59F63}">
      <dgm:prSet/>
      <dgm:spPr/>
      <dgm:t>
        <a:bodyPr/>
        <a:lstStyle/>
        <a:p>
          <a:pPr rtl="1"/>
          <a:endParaRPr lang="he-IL"/>
        </a:p>
      </dgm:t>
    </dgm:pt>
    <dgm:pt modelId="{C398C874-A20F-4F44-87E7-E7B45D629854}" type="sibTrans" cxnId="{2823BFA0-5B8E-4C24-83C8-B7B699F59F63}">
      <dgm:prSet/>
      <dgm:spPr/>
      <dgm:t>
        <a:bodyPr/>
        <a:lstStyle/>
        <a:p>
          <a:pPr rtl="1"/>
          <a:endParaRPr lang="he-IL"/>
        </a:p>
      </dgm:t>
    </dgm:pt>
    <dgm:pt modelId="{A77FBAF4-497E-4817-86AA-77765FA33D17}">
      <dgm:prSet phldrT="[טקסט]"/>
      <dgm:spPr>
        <a:xfrm>
          <a:off x="297805" y="1744944"/>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37</a:t>
          </a:r>
          <a:r>
            <a:rPr lang="he-IL">
              <a:solidFill>
                <a:sysClr val="windowText" lastClr="000000">
                  <a:hueOff val="0"/>
                  <a:satOff val="0"/>
                  <a:lumOff val="0"/>
                  <a:alphaOff val="0"/>
                </a:sysClr>
              </a:solidFill>
              <a:latin typeface="Calibri"/>
              <a:ea typeface="+mn-ea"/>
              <a:cs typeface="Arial" panose="020B0604020202020204" pitchFamily="34" charset="0"/>
            </a:rPr>
            <a:t> - הסדרים משותפים </a:t>
          </a:r>
        </a:p>
      </dgm:t>
    </dgm:pt>
    <dgm:pt modelId="{83161F8D-4F36-49C2-A738-3482825A8E95}" type="parTrans" cxnId="{33A04360-FD76-4A6C-8E92-ED2AC4E087BF}">
      <dgm:prSet/>
      <dgm:spPr/>
      <dgm:t>
        <a:bodyPr/>
        <a:lstStyle/>
        <a:p>
          <a:pPr rtl="1"/>
          <a:endParaRPr lang="he-IL"/>
        </a:p>
      </dgm:t>
    </dgm:pt>
    <dgm:pt modelId="{5732D30D-C98F-46F3-A345-766720A37F2A}" type="sibTrans" cxnId="{33A04360-FD76-4A6C-8E92-ED2AC4E087BF}">
      <dgm:prSet/>
      <dgm:spPr/>
      <dgm:t>
        <a:bodyPr/>
        <a:lstStyle/>
        <a:p>
          <a:pPr rtl="1"/>
          <a:endParaRPr lang="he-IL"/>
        </a:p>
      </dgm:t>
    </dgm:pt>
    <dgm:pt modelId="{8457F68F-6222-4BFF-8597-9AA94BB36097}">
      <dgm:prSet phldrT="[טקסט]" custT="1"/>
      <dgm:spPr>
        <a:xfrm>
          <a:off x="2670700" y="0"/>
          <a:ext cx="2421321" cy="509751"/>
        </a:xfrm>
        <a:noFill/>
        <a:ln>
          <a:noFill/>
        </a:ln>
        <a:effectLst/>
      </dgm:spPr>
      <dgm:t>
        <a:bodyPr/>
        <a:lstStyle/>
        <a:p>
          <a:pPr rtl="1"/>
          <a:r>
            <a:rPr lang="he-IL" sz="1200" b="1">
              <a:solidFill>
                <a:sysClr val="windowText" lastClr="000000">
                  <a:hueOff val="0"/>
                  <a:satOff val="0"/>
                  <a:lumOff val="0"/>
                  <a:alphaOff val="0"/>
                </a:sysClr>
              </a:solidFill>
              <a:latin typeface="Calibri"/>
              <a:ea typeface="+mn-ea"/>
              <a:cs typeface="Arial" panose="020B0604020202020204" pitchFamily="34" charset="0"/>
            </a:rPr>
            <a:t>תקנים שבוטלו בתקינה החשבונאית הבינלאומית אך עדיין ממשיכים לחול בישראל </a:t>
          </a:r>
        </a:p>
      </dgm:t>
    </dgm:pt>
    <dgm:pt modelId="{B46A151E-0615-4960-9E4F-5BB6D936A20B}" type="parTrans" cxnId="{29884984-8C92-4D8D-A8FD-19149D9A8CC7}">
      <dgm:prSet/>
      <dgm:spPr/>
      <dgm:t>
        <a:bodyPr/>
        <a:lstStyle/>
        <a:p>
          <a:pPr rtl="1"/>
          <a:endParaRPr lang="he-IL"/>
        </a:p>
      </dgm:t>
    </dgm:pt>
    <dgm:pt modelId="{86085B93-EB60-4E21-8C70-944CAF1AF981}" type="sibTrans" cxnId="{29884984-8C92-4D8D-A8FD-19149D9A8CC7}">
      <dgm:prSet/>
      <dgm:spPr/>
      <dgm:t>
        <a:bodyPr/>
        <a:lstStyle/>
        <a:p>
          <a:pPr rtl="1"/>
          <a:endParaRPr lang="he-IL"/>
        </a:p>
      </dgm:t>
    </dgm:pt>
    <dgm:pt modelId="{3CF321F0-17F4-4E53-AEA1-3784AA823FC9}">
      <dgm:prSet phldrT="[טקסט]"/>
      <dgm:spPr>
        <a:xfrm>
          <a:off x="2840193" y="916597"/>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6</a:t>
          </a:r>
          <a:r>
            <a:rPr lang="he-IL">
              <a:solidFill>
                <a:sysClr val="windowText" lastClr="000000">
                  <a:hueOff val="0"/>
                  <a:satOff val="0"/>
                  <a:lumOff val="0"/>
                  <a:alphaOff val="0"/>
                </a:sysClr>
              </a:solidFill>
              <a:latin typeface="Calibri"/>
              <a:ea typeface="+mn-ea"/>
              <a:cs typeface="Arial" panose="020B0604020202020204" pitchFamily="34" charset="0"/>
            </a:rPr>
            <a:t> - דוחות כספיים מאוחדים ונפרדים </a:t>
          </a:r>
        </a:p>
      </dgm:t>
    </dgm:pt>
    <dgm:pt modelId="{817FF353-BEF4-4F0F-A252-60CA83BC494C}" type="parTrans" cxnId="{34D0B8C7-93DD-4871-8FBF-A423D582F5CD}">
      <dgm:prSet/>
      <dgm:spPr/>
      <dgm:t>
        <a:bodyPr/>
        <a:lstStyle/>
        <a:p>
          <a:pPr rtl="1"/>
          <a:endParaRPr lang="he-IL"/>
        </a:p>
      </dgm:t>
    </dgm:pt>
    <dgm:pt modelId="{9799A89F-2C28-4AA1-9FE3-3A53E73BCBD3}" type="sibTrans" cxnId="{34D0B8C7-93DD-4871-8FBF-A423D582F5CD}">
      <dgm:prSet/>
      <dgm:spPr/>
      <dgm:t>
        <a:bodyPr/>
        <a:lstStyle/>
        <a:p>
          <a:pPr rtl="1"/>
          <a:endParaRPr lang="he-IL"/>
        </a:p>
      </dgm:t>
    </dgm:pt>
    <dgm:pt modelId="{CD65D1D4-32CA-4DB5-BC48-D13BEDCE59A4}">
      <dgm:prSet phldrT="[טקסט]"/>
      <dgm:spPr>
        <a:xfrm>
          <a:off x="2840193" y="1330771"/>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7</a:t>
          </a:r>
          <a:r>
            <a:rPr lang="he-IL">
              <a:solidFill>
                <a:sysClr val="windowText" lastClr="000000">
                  <a:hueOff val="0"/>
                  <a:satOff val="0"/>
                  <a:lumOff val="0"/>
                  <a:alphaOff val="0"/>
                </a:sysClr>
              </a:solidFill>
              <a:latin typeface="Calibri"/>
              <a:ea typeface="+mn-ea"/>
              <a:cs typeface="Arial" panose="020B0604020202020204" pitchFamily="34" charset="0"/>
            </a:rPr>
            <a:t> - השקעה בישויות כלולות</a:t>
          </a:r>
          <a:r>
            <a:rPr lang="en-US">
              <a:solidFill>
                <a:sysClr val="windowText" lastClr="000000">
                  <a:hueOff val="0"/>
                  <a:satOff val="0"/>
                  <a:lumOff val="0"/>
                  <a:alphaOff val="0"/>
                </a:sysClr>
              </a:solidFill>
              <a:latin typeface="Calibri"/>
              <a:ea typeface="+mn-ea"/>
              <a:cs typeface="Arial" panose="020B0604020202020204" pitchFamily="34" charset="0"/>
            </a:rPr>
            <a:t> </a:t>
          </a:r>
          <a:endParaRPr lang="he-IL">
            <a:solidFill>
              <a:sysClr val="windowText" lastClr="000000">
                <a:hueOff val="0"/>
                <a:satOff val="0"/>
                <a:lumOff val="0"/>
                <a:alphaOff val="0"/>
              </a:sysClr>
            </a:solidFill>
            <a:latin typeface="Calibri"/>
            <a:ea typeface="+mn-ea"/>
            <a:cs typeface="Arial" panose="020B0604020202020204" pitchFamily="34" charset="0"/>
          </a:endParaRPr>
        </a:p>
      </dgm:t>
    </dgm:pt>
    <dgm:pt modelId="{169BC28B-F82A-4A2F-8B93-E203ACE69B36}" type="parTrans" cxnId="{280163AB-BB16-47A2-ABDB-96303D8D1313}">
      <dgm:prSet/>
      <dgm:spPr/>
      <dgm:t>
        <a:bodyPr/>
        <a:lstStyle/>
        <a:p>
          <a:pPr rtl="1"/>
          <a:endParaRPr lang="he-IL"/>
        </a:p>
      </dgm:t>
    </dgm:pt>
    <dgm:pt modelId="{1AD48B12-36AE-4037-8B9B-4A96C649ECAF}" type="sibTrans" cxnId="{280163AB-BB16-47A2-ABDB-96303D8D1313}">
      <dgm:prSet/>
      <dgm:spPr/>
      <dgm:t>
        <a:bodyPr/>
        <a:lstStyle/>
        <a:p>
          <a:pPr rtl="1"/>
          <a:endParaRPr lang="he-IL"/>
        </a:p>
      </dgm:t>
    </dgm:pt>
    <dgm:pt modelId="{C7CF4D83-9679-44B7-AD44-226E1EEA350A}">
      <dgm:prSet phldrT="[טקסט]"/>
      <dgm:spPr>
        <a:xfrm>
          <a:off x="2840193" y="1744944"/>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8</a:t>
          </a:r>
          <a:r>
            <a:rPr lang="he-IL">
              <a:solidFill>
                <a:sysClr val="windowText" lastClr="000000">
                  <a:hueOff val="0"/>
                  <a:satOff val="0"/>
                  <a:lumOff val="0"/>
                  <a:alphaOff val="0"/>
                </a:sysClr>
              </a:solidFill>
              <a:latin typeface="Calibri"/>
              <a:ea typeface="+mn-ea"/>
              <a:cs typeface="Arial" panose="020B0604020202020204" pitchFamily="34" charset="0"/>
            </a:rPr>
            <a:t> - דיווח כספי של זכויות בעסקאות משותפות </a:t>
          </a:r>
        </a:p>
      </dgm:t>
    </dgm:pt>
    <dgm:pt modelId="{2F685377-853F-485E-A457-7EB72FA3E250}" type="parTrans" cxnId="{A1A170AD-ED10-4B46-8871-CBD19BFF2BBF}">
      <dgm:prSet/>
      <dgm:spPr/>
      <dgm:t>
        <a:bodyPr/>
        <a:lstStyle/>
        <a:p>
          <a:pPr rtl="1"/>
          <a:endParaRPr lang="he-IL"/>
        </a:p>
      </dgm:t>
    </dgm:pt>
    <dgm:pt modelId="{6DBBC89D-DC5B-439E-A079-23A28616888B}" type="sibTrans" cxnId="{A1A170AD-ED10-4B46-8871-CBD19BFF2BBF}">
      <dgm:prSet/>
      <dgm:spPr/>
      <dgm:t>
        <a:bodyPr/>
        <a:lstStyle/>
        <a:p>
          <a:pPr rtl="1"/>
          <a:endParaRPr lang="he-IL"/>
        </a:p>
      </dgm:t>
    </dgm:pt>
    <dgm:pt modelId="{538B8436-F8FD-4298-B847-290544FBDAB9}">
      <dgm:prSet phldrT="[טקסט]"/>
      <dgm:spPr>
        <a:xfrm>
          <a:off x="297805" y="2159118"/>
          <a:ext cx="2251829" cy="414173"/>
        </a:xfrm>
        <a:noFill/>
        <a:ln>
          <a:noFill/>
        </a:ln>
        <a:effectLst/>
      </dgm:spPr>
      <dgm:t>
        <a:bodyPr/>
        <a:lstStyle/>
        <a:p>
          <a:pPr rtl="1"/>
          <a:r>
            <a:rPr lang="en-US">
              <a:solidFill>
                <a:sysClr val="windowText" lastClr="000000">
                  <a:hueOff val="0"/>
                  <a:satOff val="0"/>
                  <a:lumOff val="0"/>
                  <a:alphaOff val="0"/>
                </a:sysClr>
              </a:solidFill>
              <a:latin typeface="Calibri"/>
              <a:ea typeface="+mn-ea"/>
              <a:cs typeface="+mn-cs"/>
            </a:rPr>
            <a:t>IPSAS 38 </a:t>
          </a:r>
          <a:r>
            <a:rPr lang="he-IL">
              <a:solidFill>
                <a:sysClr val="windowText" lastClr="000000">
                  <a:hueOff val="0"/>
                  <a:satOff val="0"/>
                  <a:lumOff val="0"/>
                  <a:alphaOff val="0"/>
                </a:sysClr>
              </a:solidFill>
              <a:latin typeface="Calibri"/>
              <a:ea typeface="+mn-ea"/>
              <a:cs typeface="Arial" panose="020B0604020202020204" pitchFamily="34" charset="0"/>
            </a:rPr>
            <a:t>- גילוי של זכויות בישויות אחרות </a:t>
          </a:r>
        </a:p>
      </dgm:t>
    </dgm:pt>
    <dgm:pt modelId="{1ED77951-C127-4804-AB6F-74C5C0EBB5BC}" type="parTrans" cxnId="{21539237-6BAC-4DA3-A44D-D2799B9B9038}">
      <dgm:prSet/>
      <dgm:spPr/>
      <dgm:t>
        <a:bodyPr/>
        <a:lstStyle/>
        <a:p>
          <a:pPr rtl="1"/>
          <a:endParaRPr lang="he-IL"/>
        </a:p>
      </dgm:t>
    </dgm:pt>
    <dgm:pt modelId="{807B8C4D-2163-4D90-B16D-00438FE8EAA0}" type="sibTrans" cxnId="{21539237-6BAC-4DA3-A44D-D2799B9B9038}">
      <dgm:prSet/>
      <dgm:spPr/>
      <dgm:t>
        <a:bodyPr/>
        <a:lstStyle/>
        <a:p>
          <a:pPr rtl="1"/>
          <a:endParaRPr lang="he-IL"/>
        </a:p>
      </dgm:t>
    </dgm:pt>
    <dgm:pt modelId="{22CBDE7C-D70A-40D8-9FD0-520E72A01E7B}" type="pres">
      <dgm:prSet presAssocID="{AA477F9E-D1FF-4CFE-A04B-511A99AA2FEF}" presName="layout" presStyleCnt="0">
        <dgm:presLayoutVars>
          <dgm:chMax/>
          <dgm:chPref/>
          <dgm:dir/>
          <dgm:resizeHandles/>
        </dgm:presLayoutVars>
      </dgm:prSet>
      <dgm:spPr/>
    </dgm:pt>
    <dgm:pt modelId="{6D0CAF2A-AB3F-4A40-ABFD-0E9E6E0FBF51}" type="pres">
      <dgm:prSet presAssocID="{1A3A24F8-8A05-4FB3-BE44-1C3388F18288}" presName="root" presStyleCnt="0">
        <dgm:presLayoutVars>
          <dgm:chMax/>
          <dgm:chPref/>
        </dgm:presLayoutVars>
      </dgm:prSet>
      <dgm:spPr/>
    </dgm:pt>
    <dgm:pt modelId="{F98A3CD9-E0EA-4772-9067-40EF59AFBFA0}" type="pres">
      <dgm:prSet presAssocID="{1A3A24F8-8A05-4FB3-BE44-1C3388F18288}" presName="rootComposite" presStyleCnt="0">
        <dgm:presLayoutVars/>
      </dgm:prSet>
      <dgm:spPr/>
    </dgm:pt>
    <dgm:pt modelId="{C4F5C79A-C98B-4BAB-B8D1-4A9DF8FD1835}" type="pres">
      <dgm:prSet presAssocID="{1A3A24F8-8A05-4FB3-BE44-1C3388F18288}" presName="ParentAccent" presStyleLbl="alignNode1" presStyleIdx="0" presStyleCnt="2"/>
      <dgm:spPr>
        <a:xfrm>
          <a:off x="128312" y="509751"/>
          <a:ext cx="2421321" cy="286735"/>
        </a:xfrm>
        <a:prstGeom prst="rect">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dgm:spPr>
    </dgm:pt>
    <dgm:pt modelId="{4FD16648-E7F7-4F0A-BC6A-D42074280F73}" type="pres">
      <dgm:prSet presAssocID="{1A3A24F8-8A05-4FB3-BE44-1C3388F18288}" presName="ParentSmallAccent" presStyleLbl="fgAcc1" presStyleIdx="0" presStyleCnt="2" custLinFactX="600000" custLinFactY="561775" custLinFactNeighborX="681180" custLinFactNeighborY="600000"/>
      <dgm:spPr>
        <a:xfrm>
          <a:off x="128312" y="621260"/>
          <a:ext cx="175227" cy="175227"/>
        </a:xfrm>
        <a:prstGeom prst="rect">
          <a:avLst/>
        </a:prstGeom>
        <a:solidFill>
          <a:sysClr val="window" lastClr="FFFFFF">
            <a:alpha val="90000"/>
            <a:hueOff val="0"/>
            <a:satOff val="0"/>
            <a:lumOff val="0"/>
            <a:alphaOff val="0"/>
          </a:sysClr>
        </a:solidFill>
        <a:ln w="9525" cap="flat" cmpd="sng" algn="ctr">
          <a:noFill/>
          <a:prstDash val="solid"/>
        </a:ln>
        <a:effectLst/>
        <a:scene3d>
          <a:camera prst="orthographicFront"/>
          <a:lightRig rig="chilly" dir="t"/>
        </a:scene3d>
        <a:sp3d z="12700" extrusionH="1700" prstMaterial="dkEdge"/>
      </dgm:spPr>
    </dgm:pt>
    <dgm:pt modelId="{4D3E46F2-9B33-49D8-B4A6-933AA68F3ACC}" type="pres">
      <dgm:prSet presAssocID="{1A3A24F8-8A05-4FB3-BE44-1C3388F18288}" presName="Parent" presStyleLbl="revTx" presStyleIdx="0" presStyleCnt="9">
        <dgm:presLayoutVars>
          <dgm:chMax/>
          <dgm:chPref val="4"/>
          <dgm:bulletEnabled val="1"/>
        </dgm:presLayoutVars>
      </dgm:prSet>
      <dgm:spPr>
        <a:prstGeom prst="rect">
          <a:avLst/>
        </a:prstGeom>
      </dgm:spPr>
    </dgm:pt>
    <dgm:pt modelId="{37D360B7-907A-4395-8D8C-B86E18DD5BDB}" type="pres">
      <dgm:prSet presAssocID="{1A3A24F8-8A05-4FB3-BE44-1C3388F18288}" presName="childShape" presStyleCnt="0">
        <dgm:presLayoutVars>
          <dgm:chMax val="0"/>
          <dgm:chPref val="0"/>
        </dgm:presLayoutVars>
      </dgm:prSet>
      <dgm:spPr/>
    </dgm:pt>
    <dgm:pt modelId="{BA108B9E-0BE0-4882-AE66-07706DFA9FC1}" type="pres">
      <dgm:prSet presAssocID="{AE2DE4D6-BBBF-4D10-B326-7FF43F8CE221}" presName="childComposite" presStyleCnt="0">
        <dgm:presLayoutVars>
          <dgm:chMax val="0"/>
          <dgm:chPref val="0"/>
        </dgm:presLayoutVars>
      </dgm:prSet>
      <dgm:spPr/>
    </dgm:pt>
    <dgm:pt modelId="{DB432B8C-3EDA-487D-B0E5-D7014F3E6D5A}" type="pres">
      <dgm:prSet presAssocID="{AE2DE4D6-BBBF-4D10-B326-7FF43F8CE221}" presName="ChildAccent" presStyleLbl="solidFgAcc1" presStyleIdx="0" presStyleCnt="7"/>
      <dgm:spPr>
        <a:xfrm>
          <a:off x="128312" y="1036707"/>
          <a:ext cx="178094" cy="178094"/>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A9BA3D57-B4C0-494B-938D-E4CD5035430C}" type="pres">
      <dgm:prSet presAssocID="{AE2DE4D6-BBBF-4D10-B326-7FF43F8CE221}" presName="Child" presStyleLbl="revTx" presStyleIdx="1" presStyleCnt="9">
        <dgm:presLayoutVars>
          <dgm:chMax val="0"/>
          <dgm:chPref val="0"/>
          <dgm:bulletEnabled val="1"/>
        </dgm:presLayoutVars>
      </dgm:prSet>
      <dgm:spPr>
        <a:prstGeom prst="rect">
          <a:avLst/>
        </a:prstGeom>
      </dgm:spPr>
    </dgm:pt>
    <dgm:pt modelId="{75189F45-1B56-4AD5-9CC7-6C5570F5F9C8}" type="pres">
      <dgm:prSet presAssocID="{85BE7685-B0B2-4EA9-98A2-8F44F70F2561}" presName="childComposite" presStyleCnt="0">
        <dgm:presLayoutVars>
          <dgm:chMax val="0"/>
          <dgm:chPref val="0"/>
        </dgm:presLayoutVars>
      </dgm:prSet>
      <dgm:spPr/>
    </dgm:pt>
    <dgm:pt modelId="{3B19F5F0-93D0-46EE-A7EB-0070CAC8EE92}" type="pres">
      <dgm:prSet presAssocID="{85BE7685-B0B2-4EA9-98A2-8F44F70F2561}" presName="ChildAccent" presStyleLbl="solidFgAcc1" presStyleIdx="1" presStyleCnt="7"/>
      <dgm:spPr>
        <a:xfrm>
          <a:off x="128312" y="1450881"/>
          <a:ext cx="178094" cy="178094"/>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9AC70AE6-1D95-4F8F-989B-C30372E22EC6}" type="pres">
      <dgm:prSet presAssocID="{85BE7685-B0B2-4EA9-98A2-8F44F70F2561}" presName="Child" presStyleLbl="revTx" presStyleIdx="2" presStyleCnt="9">
        <dgm:presLayoutVars>
          <dgm:chMax val="0"/>
          <dgm:chPref val="0"/>
          <dgm:bulletEnabled val="1"/>
        </dgm:presLayoutVars>
      </dgm:prSet>
      <dgm:spPr>
        <a:prstGeom prst="rect">
          <a:avLst/>
        </a:prstGeom>
      </dgm:spPr>
    </dgm:pt>
    <dgm:pt modelId="{2F8132CC-DCAA-438C-96B4-CA1397C44312}" type="pres">
      <dgm:prSet presAssocID="{A77FBAF4-497E-4817-86AA-77765FA33D17}" presName="childComposite" presStyleCnt="0">
        <dgm:presLayoutVars>
          <dgm:chMax val="0"/>
          <dgm:chPref val="0"/>
        </dgm:presLayoutVars>
      </dgm:prSet>
      <dgm:spPr/>
    </dgm:pt>
    <dgm:pt modelId="{1344DCC6-A922-4BE3-8C6F-731A5576525D}" type="pres">
      <dgm:prSet presAssocID="{A77FBAF4-497E-4817-86AA-77765FA33D17}" presName="ChildAccent" presStyleLbl="solidFgAcc1" presStyleIdx="2" presStyleCnt="7"/>
      <dgm:spPr>
        <a:xfrm>
          <a:off x="128312" y="1865054"/>
          <a:ext cx="178094" cy="178094"/>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9B481A5E-C013-4C06-87C7-9CA7BF6FC714}" type="pres">
      <dgm:prSet presAssocID="{A77FBAF4-497E-4817-86AA-77765FA33D17}" presName="Child" presStyleLbl="revTx" presStyleIdx="3" presStyleCnt="9">
        <dgm:presLayoutVars>
          <dgm:chMax val="0"/>
          <dgm:chPref val="0"/>
          <dgm:bulletEnabled val="1"/>
        </dgm:presLayoutVars>
      </dgm:prSet>
      <dgm:spPr>
        <a:prstGeom prst="rect">
          <a:avLst/>
        </a:prstGeom>
      </dgm:spPr>
    </dgm:pt>
    <dgm:pt modelId="{3D3E4A23-E371-456D-920E-E0B1A76D0D30}" type="pres">
      <dgm:prSet presAssocID="{538B8436-F8FD-4298-B847-290544FBDAB9}" presName="childComposite" presStyleCnt="0">
        <dgm:presLayoutVars>
          <dgm:chMax val="0"/>
          <dgm:chPref val="0"/>
        </dgm:presLayoutVars>
      </dgm:prSet>
      <dgm:spPr/>
    </dgm:pt>
    <dgm:pt modelId="{3F87B666-BE69-4A72-9F0A-97916E9A47D2}" type="pres">
      <dgm:prSet presAssocID="{538B8436-F8FD-4298-B847-290544FBDAB9}" presName="ChildAccent" presStyleLbl="solidFgAcc1" presStyleIdx="3" presStyleCnt="7"/>
      <dgm:spPr>
        <a:xfrm>
          <a:off x="128312" y="2279228"/>
          <a:ext cx="178094" cy="178094"/>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6D4AE924-29A4-4C40-82B5-D8D6CE51829E}" type="pres">
      <dgm:prSet presAssocID="{538B8436-F8FD-4298-B847-290544FBDAB9}" presName="Child" presStyleLbl="revTx" presStyleIdx="4" presStyleCnt="9">
        <dgm:presLayoutVars>
          <dgm:chMax val="0"/>
          <dgm:chPref val="0"/>
          <dgm:bulletEnabled val="1"/>
        </dgm:presLayoutVars>
      </dgm:prSet>
      <dgm:spPr>
        <a:prstGeom prst="rect">
          <a:avLst/>
        </a:prstGeom>
      </dgm:spPr>
    </dgm:pt>
    <dgm:pt modelId="{774D14B8-0F4C-4557-9123-790EC87E7255}" type="pres">
      <dgm:prSet presAssocID="{8457F68F-6222-4BFF-8597-9AA94BB36097}" presName="root" presStyleCnt="0">
        <dgm:presLayoutVars>
          <dgm:chMax/>
          <dgm:chPref/>
        </dgm:presLayoutVars>
      </dgm:prSet>
      <dgm:spPr/>
    </dgm:pt>
    <dgm:pt modelId="{DDD655AC-FB1B-4090-9B9B-62717A2177B0}" type="pres">
      <dgm:prSet presAssocID="{8457F68F-6222-4BFF-8597-9AA94BB36097}" presName="rootComposite" presStyleCnt="0">
        <dgm:presLayoutVars/>
      </dgm:prSet>
      <dgm:spPr/>
    </dgm:pt>
    <dgm:pt modelId="{4381BD9A-72A7-4210-BB02-E654764DF2C8}" type="pres">
      <dgm:prSet presAssocID="{8457F68F-6222-4BFF-8597-9AA94BB36097}" presName="ParentAccent" presStyleLbl="alignNode1" presStyleIdx="1" presStyleCnt="2"/>
      <dgm:spPr>
        <a:xfrm>
          <a:off x="2670700" y="509751"/>
          <a:ext cx="2421321" cy="286735"/>
        </a:xfrm>
        <a:prstGeom prst="rect">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dgm:spPr>
    </dgm:pt>
    <dgm:pt modelId="{F3067B0A-4F51-4281-90E7-78414F78ED0E}" type="pres">
      <dgm:prSet presAssocID="{8457F68F-6222-4BFF-8597-9AA94BB36097}" presName="ParentSmallAccent" presStyleLbl="fgAcc1" presStyleIdx="1" presStyleCnt="2" custLinFactX="248617" custLinFactY="552095" custLinFactNeighborX="300000" custLinFactNeighborY="600000"/>
      <dgm:spPr>
        <a:xfrm>
          <a:off x="2670700" y="621260"/>
          <a:ext cx="175227" cy="175227"/>
        </a:xfrm>
        <a:ln>
          <a:solidFill>
            <a:schemeClr val="bg1"/>
          </a:solidFill>
        </a:ln>
      </dgm:spPr>
    </dgm:pt>
    <dgm:pt modelId="{2F71C3B6-C42C-4BB3-BB37-A00C4FD74708}" type="pres">
      <dgm:prSet presAssocID="{8457F68F-6222-4BFF-8597-9AA94BB36097}" presName="Parent" presStyleLbl="revTx" presStyleIdx="5" presStyleCnt="9" custScaleX="98739" custScaleY="133280">
        <dgm:presLayoutVars>
          <dgm:chMax/>
          <dgm:chPref val="4"/>
          <dgm:bulletEnabled val="1"/>
        </dgm:presLayoutVars>
      </dgm:prSet>
      <dgm:spPr>
        <a:prstGeom prst="rect">
          <a:avLst/>
        </a:prstGeom>
      </dgm:spPr>
    </dgm:pt>
    <dgm:pt modelId="{B089FA89-7678-4500-8670-302CF973866D}" type="pres">
      <dgm:prSet presAssocID="{8457F68F-6222-4BFF-8597-9AA94BB36097}" presName="childShape" presStyleCnt="0">
        <dgm:presLayoutVars>
          <dgm:chMax val="0"/>
          <dgm:chPref val="0"/>
        </dgm:presLayoutVars>
      </dgm:prSet>
      <dgm:spPr/>
    </dgm:pt>
    <dgm:pt modelId="{2EC0E2C2-5A95-468F-A8E1-578584A0027A}" type="pres">
      <dgm:prSet presAssocID="{3CF321F0-17F4-4E53-AEA1-3784AA823FC9}" presName="childComposite" presStyleCnt="0">
        <dgm:presLayoutVars>
          <dgm:chMax val="0"/>
          <dgm:chPref val="0"/>
        </dgm:presLayoutVars>
      </dgm:prSet>
      <dgm:spPr/>
    </dgm:pt>
    <dgm:pt modelId="{1E3A63A7-12AA-46B4-BE82-898A4831A0A5}" type="pres">
      <dgm:prSet presAssocID="{3CF321F0-17F4-4E53-AEA1-3784AA823FC9}" presName="ChildAccent" presStyleLbl="solidFgAcc1" presStyleIdx="4" presStyleCnt="7" custLinFactNeighborX="5399" custLinFactNeighborY="-24845"/>
      <dgm:spPr>
        <a:xfrm>
          <a:off x="2670700" y="1036707"/>
          <a:ext cx="178094" cy="178094"/>
        </a:xfrm>
        <a:prstGeom prst="rect">
          <a:avLst/>
        </a:prstGeom>
        <a:gradFill rotWithShape="0">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224012C4-BA2F-4029-B66E-04643FDA9BA9}" type="pres">
      <dgm:prSet presAssocID="{3CF321F0-17F4-4E53-AEA1-3784AA823FC9}" presName="Child" presStyleLbl="revTx" presStyleIdx="6" presStyleCnt="9">
        <dgm:presLayoutVars>
          <dgm:chMax val="0"/>
          <dgm:chPref val="0"/>
          <dgm:bulletEnabled val="1"/>
        </dgm:presLayoutVars>
      </dgm:prSet>
      <dgm:spPr>
        <a:prstGeom prst="rect">
          <a:avLst/>
        </a:prstGeom>
      </dgm:spPr>
    </dgm:pt>
    <dgm:pt modelId="{9C71D309-EC29-4BF9-AF08-2B1EC4D24D58}" type="pres">
      <dgm:prSet presAssocID="{CD65D1D4-32CA-4DB5-BC48-D13BEDCE59A4}" presName="childComposite" presStyleCnt="0">
        <dgm:presLayoutVars>
          <dgm:chMax val="0"/>
          <dgm:chPref val="0"/>
        </dgm:presLayoutVars>
      </dgm:prSet>
      <dgm:spPr/>
    </dgm:pt>
    <dgm:pt modelId="{1E89037D-7176-44DC-BF70-B07CE523F7AB}" type="pres">
      <dgm:prSet presAssocID="{CD65D1D4-32CA-4DB5-BC48-D13BEDCE59A4}" presName="ChildAccent" presStyleLbl="solidFgAcc1" presStyleIdx="5" presStyleCnt="7" custLinFactNeighborX="-7350" custLinFactNeighborY="-8480"/>
      <dgm:spPr>
        <a:xfrm>
          <a:off x="2670700" y="1450881"/>
          <a:ext cx="178094" cy="178094"/>
        </a:xfrm>
        <a:prstGeom prst="rect">
          <a:avLst/>
        </a:prstGeom>
        <a:blipFill rotWithShape="0">
          <a:blip xmlns:r="http://schemas.openxmlformats.org/officeDocument/2006/relationships" r:embed="rId1"/>
          <a:stretch>
            <a:fillRect/>
          </a:stretch>
        </a:blip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DA54CF42-57CB-4213-A795-CF8A53EDF16C}" type="pres">
      <dgm:prSet presAssocID="{CD65D1D4-32CA-4DB5-BC48-D13BEDCE59A4}" presName="Child" presStyleLbl="revTx" presStyleIdx="7" presStyleCnt="9">
        <dgm:presLayoutVars>
          <dgm:chMax val="0"/>
          <dgm:chPref val="0"/>
          <dgm:bulletEnabled val="1"/>
        </dgm:presLayoutVars>
      </dgm:prSet>
      <dgm:spPr>
        <a:prstGeom prst="rect">
          <a:avLst/>
        </a:prstGeom>
      </dgm:spPr>
    </dgm:pt>
    <dgm:pt modelId="{FD6729D5-A36A-49FE-8FBB-E2B011ACBC20}" type="pres">
      <dgm:prSet presAssocID="{C7CF4D83-9679-44B7-AD44-226E1EEA350A}" presName="childComposite" presStyleCnt="0">
        <dgm:presLayoutVars>
          <dgm:chMax val="0"/>
          <dgm:chPref val="0"/>
        </dgm:presLayoutVars>
      </dgm:prSet>
      <dgm:spPr/>
    </dgm:pt>
    <dgm:pt modelId="{A6508F8B-3316-4D0D-8E9D-B188CA25D1FD}" type="pres">
      <dgm:prSet presAssocID="{C7CF4D83-9679-44B7-AD44-226E1EEA350A}" presName="ChildAccent" presStyleLbl="solidFgAcc1" presStyleIdx="6" presStyleCnt="7"/>
      <dgm:spPr>
        <a:xfrm>
          <a:off x="2670700" y="1865054"/>
          <a:ext cx="178094" cy="178094"/>
        </a:xfrm>
        <a:prstGeom prst="rect">
          <a:avLst/>
        </a:prstGeom>
        <a:blipFill rotWithShape="0">
          <a:blip xmlns:r="http://schemas.openxmlformats.org/officeDocument/2006/relationships" r:embed="rId1"/>
          <a:stretch>
            <a:fillRect/>
          </a:stretch>
        </a:blip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gm:spPr>
    </dgm:pt>
    <dgm:pt modelId="{C643D55C-CBDE-478D-9EE2-78811F89F567}" type="pres">
      <dgm:prSet presAssocID="{C7CF4D83-9679-44B7-AD44-226E1EEA350A}" presName="Child" presStyleLbl="revTx" presStyleIdx="8" presStyleCnt="9">
        <dgm:presLayoutVars>
          <dgm:chMax val="0"/>
          <dgm:chPref val="0"/>
          <dgm:bulletEnabled val="1"/>
        </dgm:presLayoutVars>
      </dgm:prSet>
      <dgm:spPr>
        <a:prstGeom prst="rect">
          <a:avLst/>
        </a:prstGeom>
      </dgm:spPr>
    </dgm:pt>
  </dgm:ptLst>
  <dgm:cxnLst>
    <dgm:cxn modelId="{293DA210-9318-4EB0-96BC-F57FDE025258}" type="presOf" srcId="{538B8436-F8FD-4298-B847-290544FBDAB9}" destId="{6D4AE924-29A4-4C40-82B5-D8D6CE51829E}" srcOrd="0" destOrd="0" presId="urn:microsoft.com/office/officeart/2008/layout/SquareAccentList#1"/>
    <dgm:cxn modelId="{21539237-6BAC-4DA3-A44D-D2799B9B9038}" srcId="{1A3A24F8-8A05-4FB3-BE44-1C3388F18288}" destId="{538B8436-F8FD-4298-B847-290544FBDAB9}" srcOrd="3" destOrd="0" parTransId="{1ED77951-C127-4804-AB6F-74C5C0EBB5BC}" sibTransId="{807B8C4D-2163-4D90-B16D-00438FE8EAA0}"/>
    <dgm:cxn modelId="{651A0F39-624E-4EAF-9F1E-F61B7146CCBF}" type="presOf" srcId="{AA477F9E-D1FF-4CFE-A04B-511A99AA2FEF}" destId="{22CBDE7C-D70A-40D8-9FD0-520E72A01E7B}" srcOrd="0" destOrd="0" presId="urn:microsoft.com/office/officeart/2008/layout/SquareAccentList#1"/>
    <dgm:cxn modelId="{33A04360-FD76-4A6C-8E92-ED2AC4E087BF}" srcId="{1A3A24F8-8A05-4FB3-BE44-1C3388F18288}" destId="{A77FBAF4-497E-4817-86AA-77765FA33D17}" srcOrd="2" destOrd="0" parTransId="{83161F8D-4F36-49C2-A738-3482825A8E95}" sibTransId="{5732D30D-C98F-46F3-A345-766720A37F2A}"/>
    <dgm:cxn modelId="{C0C52F42-5B4D-4060-872D-D65C5455CF93}" type="presOf" srcId="{85BE7685-B0B2-4EA9-98A2-8F44F70F2561}" destId="{9AC70AE6-1D95-4F8F-989B-C30372E22EC6}" srcOrd="0" destOrd="0" presId="urn:microsoft.com/office/officeart/2008/layout/SquareAccentList#1"/>
    <dgm:cxn modelId="{6817A86B-4979-4F9A-B343-96946B88759F}" srcId="{AA477F9E-D1FF-4CFE-A04B-511A99AA2FEF}" destId="{1A3A24F8-8A05-4FB3-BE44-1C3388F18288}" srcOrd="0" destOrd="0" parTransId="{33C55BEA-A3CB-46FC-A1E9-BACC2C171BF1}" sibTransId="{35539B0E-D52C-4FBD-9F6D-1204536F5127}"/>
    <dgm:cxn modelId="{29884984-8C92-4D8D-A8FD-19149D9A8CC7}" srcId="{AA477F9E-D1FF-4CFE-A04B-511A99AA2FEF}" destId="{8457F68F-6222-4BFF-8597-9AA94BB36097}" srcOrd="1" destOrd="0" parTransId="{B46A151E-0615-4960-9E4F-5BB6D936A20B}" sibTransId="{86085B93-EB60-4E21-8C70-944CAF1AF981}"/>
    <dgm:cxn modelId="{9011E185-E8C8-412C-BA4B-C652CE255626}" type="presOf" srcId="{1A3A24F8-8A05-4FB3-BE44-1C3388F18288}" destId="{4D3E46F2-9B33-49D8-B4A6-933AA68F3ACC}" srcOrd="0" destOrd="0" presId="urn:microsoft.com/office/officeart/2008/layout/SquareAccentList#1"/>
    <dgm:cxn modelId="{93DDFE8F-4B77-4156-997B-79DB821DEBA3}" type="presOf" srcId="{3CF321F0-17F4-4E53-AEA1-3784AA823FC9}" destId="{224012C4-BA2F-4029-B66E-04643FDA9BA9}" srcOrd="0" destOrd="0" presId="urn:microsoft.com/office/officeart/2008/layout/SquareAccentList#1"/>
    <dgm:cxn modelId="{80BBA2A0-78DA-4249-9542-732A8917B40F}" type="presOf" srcId="{8457F68F-6222-4BFF-8597-9AA94BB36097}" destId="{2F71C3B6-C42C-4BB3-BB37-A00C4FD74708}" srcOrd="0" destOrd="0" presId="urn:microsoft.com/office/officeart/2008/layout/SquareAccentList#1"/>
    <dgm:cxn modelId="{2823BFA0-5B8E-4C24-83C8-B7B699F59F63}" srcId="{1A3A24F8-8A05-4FB3-BE44-1C3388F18288}" destId="{85BE7685-B0B2-4EA9-98A2-8F44F70F2561}" srcOrd="1" destOrd="0" parTransId="{EC666051-DE2E-4BA3-BFB3-85888EF04273}" sibTransId="{C398C874-A20F-4F44-87E7-E7B45D629854}"/>
    <dgm:cxn modelId="{0899F0A9-33A5-459C-9AD4-FE9713D80493}" type="presOf" srcId="{CD65D1D4-32CA-4DB5-BC48-D13BEDCE59A4}" destId="{DA54CF42-57CB-4213-A795-CF8A53EDF16C}" srcOrd="0" destOrd="0" presId="urn:microsoft.com/office/officeart/2008/layout/SquareAccentList#1"/>
    <dgm:cxn modelId="{280163AB-BB16-47A2-ABDB-96303D8D1313}" srcId="{8457F68F-6222-4BFF-8597-9AA94BB36097}" destId="{CD65D1D4-32CA-4DB5-BC48-D13BEDCE59A4}" srcOrd="1" destOrd="0" parTransId="{169BC28B-F82A-4A2F-8B93-E203ACE69B36}" sibTransId="{1AD48B12-36AE-4037-8B9B-4A96C649ECAF}"/>
    <dgm:cxn modelId="{A1A170AD-ED10-4B46-8871-CBD19BFF2BBF}" srcId="{8457F68F-6222-4BFF-8597-9AA94BB36097}" destId="{C7CF4D83-9679-44B7-AD44-226E1EEA350A}" srcOrd="2" destOrd="0" parTransId="{2F685377-853F-485E-A457-7EB72FA3E250}" sibTransId="{6DBBC89D-DC5B-439E-A079-23A28616888B}"/>
    <dgm:cxn modelId="{9180A6C2-1BFE-4B4A-9752-8C521C3B9D36}" type="presOf" srcId="{A77FBAF4-497E-4817-86AA-77765FA33D17}" destId="{9B481A5E-C013-4C06-87C7-9CA7BF6FC714}" srcOrd="0" destOrd="0" presId="urn:microsoft.com/office/officeart/2008/layout/SquareAccentList#1"/>
    <dgm:cxn modelId="{90CAA1C4-25E8-4B85-A156-DECF5BEAC98D}" srcId="{1A3A24F8-8A05-4FB3-BE44-1C3388F18288}" destId="{AE2DE4D6-BBBF-4D10-B326-7FF43F8CE221}" srcOrd="0" destOrd="0" parTransId="{0C893C08-E960-45F8-910C-81062E42463E}" sibTransId="{F8C2F36F-36EF-4237-A9A8-B1DF09089FE4}"/>
    <dgm:cxn modelId="{34D0B8C7-93DD-4871-8FBF-A423D582F5CD}" srcId="{8457F68F-6222-4BFF-8597-9AA94BB36097}" destId="{3CF321F0-17F4-4E53-AEA1-3784AA823FC9}" srcOrd="0" destOrd="0" parTransId="{817FF353-BEF4-4F0F-A252-60CA83BC494C}" sibTransId="{9799A89F-2C28-4AA1-9FE3-3A53E73BCBD3}"/>
    <dgm:cxn modelId="{07A9E2DA-C4B5-49B2-B3E2-72F90F8ABB15}" type="presOf" srcId="{C7CF4D83-9679-44B7-AD44-226E1EEA350A}" destId="{C643D55C-CBDE-478D-9EE2-78811F89F567}" srcOrd="0" destOrd="0" presId="urn:microsoft.com/office/officeart/2008/layout/SquareAccentList#1"/>
    <dgm:cxn modelId="{4E41C4DE-3C34-45FA-9CEA-B3E169A66C78}" type="presOf" srcId="{AE2DE4D6-BBBF-4D10-B326-7FF43F8CE221}" destId="{A9BA3D57-B4C0-494B-938D-E4CD5035430C}" srcOrd="0" destOrd="0" presId="urn:microsoft.com/office/officeart/2008/layout/SquareAccentList#1"/>
    <dgm:cxn modelId="{91141219-A521-4E55-A7CE-EFF4D2F9E2DD}" type="presParOf" srcId="{22CBDE7C-D70A-40D8-9FD0-520E72A01E7B}" destId="{6D0CAF2A-AB3F-4A40-ABFD-0E9E6E0FBF51}" srcOrd="0" destOrd="0" presId="urn:microsoft.com/office/officeart/2008/layout/SquareAccentList#1"/>
    <dgm:cxn modelId="{0BF758E9-ED4F-4BC2-849B-924BFA4D327C}" type="presParOf" srcId="{6D0CAF2A-AB3F-4A40-ABFD-0E9E6E0FBF51}" destId="{F98A3CD9-E0EA-4772-9067-40EF59AFBFA0}" srcOrd="0" destOrd="0" presId="urn:microsoft.com/office/officeart/2008/layout/SquareAccentList#1"/>
    <dgm:cxn modelId="{EF19D6C6-C267-4473-9A22-EC1DE357CF4D}" type="presParOf" srcId="{F98A3CD9-E0EA-4772-9067-40EF59AFBFA0}" destId="{C4F5C79A-C98B-4BAB-B8D1-4A9DF8FD1835}" srcOrd="0" destOrd="0" presId="urn:microsoft.com/office/officeart/2008/layout/SquareAccentList#1"/>
    <dgm:cxn modelId="{208A202C-C786-4816-9241-9402323E1D85}" type="presParOf" srcId="{F98A3CD9-E0EA-4772-9067-40EF59AFBFA0}" destId="{4FD16648-E7F7-4F0A-BC6A-D42074280F73}" srcOrd="1" destOrd="0" presId="urn:microsoft.com/office/officeart/2008/layout/SquareAccentList#1"/>
    <dgm:cxn modelId="{49A42414-11B2-44AC-A60D-6CFC82755BE0}" type="presParOf" srcId="{F98A3CD9-E0EA-4772-9067-40EF59AFBFA0}" destId="{4D3E46F2-9B33-49D8-B4A6-933AA68F3ACC}" srcOrd="2" destOrd="0" presId="urn:microsoft.com/office/officeart/2008/layout/SquareAccentList#1"/>
    <dgm:cxn modelId="{8B408346-EC8D-40DC-A715-FC85B2A33383}" type="presParOf" srcId="{6D0CAF2A-AB3F-4A40-ABFD-0E9E6E0FBF51}" destId="{37D360B7-907A-4395-8D8C-B86E18DD5BDB}" srcOrd="1" destOrd="0" presId="urn:microsoft.com/office/officeart/2008/layout/SquareAccentList#1"/>
    <dgm:cxn modelId="{E4212FAA-DCCC-4875-97FB-2EB46DAFE87C}" type="presParOf" srcId="{37D360B7-907A-4395-8D8C-B86E18DD5BDB}" destId="{BA108B9E-0BE0-4882-AE66-07706DFA9FC1}" srcOrd="0" destOrd="0" presId="urn:microsoft.com/office/officeart/2008/layout/SquareAccentList#1"/>
    <dgm:cxn modelId="{E761EE3D-6AA6-40E6-AB52-FF930C07E284}" type="presParOf" srcId="{BA108B9E-0BE0-4882-AE66-07706DFA9FC1}" destId="{DB432B8C-3EDA-487D-B0E5-D7014F3E6D5A}" srcOrd="0" destOrd="0" presId="urn:microsoft.com/office/officeart/2008/layout/SquareAccentList#1"/>
    <dgm:cxn modelId="{303B88F7-D2D4-4047-8C8F-8D42B2F00520}" type="presParOf" srcId="{BA108B9E-0BE0-4882-AE66-07706DFA9FC1}" destId="{A9BA3D57-B4C0-494B-938D-E4CD5035430C}" srcOrd="1" destOrd="0" presId="urn:microsoft.com/office/officeart/2008/layout/SquareAccentList#1"/>
    <dgm:cxn modelId="{148E0DDC-8398-49FB-819E-68FE5D5F3DD8}" type="presParOf" srcId="{37D360B7-907A-4395-8D8C-B86E18DD5BDB}" destId="{75189F45-1B56-4AD5-9CC7-6C5570F5F9C8}" srcOrd="1" destOrd="0" presId="urn:microsoft.com/office/officeart/2008/layout/SquareAccentList#1"/>
    <dgm:cxn modelId="{416C0B70-D698-4D51-A29E-9517189A8550}" type="presParOf" srcId="{75189F45-1B56-4AD5-9CC7-6C5570F5F9C8}" destId="{3B19F5F0-93D0-46EE-A7EB-0070CAC8EE92}" srcOrd="0" destOrd="0" presId="urn:microsoft.com/office/officeart/2008/layout/SquareAccentList#1"/>
    <dgm:cxn modelId="{E5E38042-9A3F-4DCD-8EB1-A56F29F98A85}" type="presParOf" srcId="{75189F45-1B56-4AD5-9CC7-6C5570F5F9C8}" destId="{9AC70AE6-1D95-4F8F-989B-C30372E22EC6}" srcOrd="1" destOrd="0" presId="urn:microsoft.com/office/officeart/2008/layout/SquareAccentList#1"/>
    <dgm:cxn modelId="{711C2F40-FBDA-400B-9A80-9851EE1899B1}" type="presParOf" srcId="{37D360B7-907A-4395-8D8C-B86E18DD5BDB}" destId="{2F8132CC-DCAA-438C-96B4-CA1397C44312}" srcOrd="2" destOrd="0" presId="urn:microsoft.com/office/officeart/2008/layout/SquareAccentList#1"/>
    <dgm:cxn modelId="{390F8389-79BA-4F18-9A46-2ED1B5972084}" type="presParOf" srcId="{2F8132CC-DCAA-438C-96B4-CA1397C44312}" destId="{1344DCC6-A922-4BE3-8C6F-731A5576525D}" srcOrd="0" destOrd="0" presId="urn:microsoft.com/office/officeart/2008/layout/SquareAccentList#1"/>
    <dgm:cxn modelId="{79A15274-FE3D-4C6B-9BF9-07CADED02108}" type="presParOf" srcId="{2F8132CC-DCAA-438C-96B4-CA1397C44312}" destId="{9B481A5E-C013-4C06-87C7-9CA7BF6FC714}" srcOrd="1" destOrd="0" presId="urn:microsoft.com/office/officeart/2008/layout/SquareAccentList#1"/>
    <dgm:cxn modelId="{2A53F775-B99A-474B-8B83-A1FD2D7D26D7}" type="presParOf" srcId="{37D360B7-907A-4395-8D8C-B86E18DD5BDB}" destId="{3D3E4A23-E371-456D-920E-E0B1A76D0D30}" srcOrd="3" destOrd="0" presId="urn:microsoft.com/office/officeart/2008/layout/SquareAccentList#1"/>
    <dgm:cxn modelId="{C40E904F-73B5-4B6F-B9BB-D22417204DA4}" type="presParOf" srcId="{3D3E4A23-E371-456D-920E-E0B1A76D0D30}" destId="{3F87B666-BE69-4A72-9F0A-97916E9A47D2}" srcOrd="0" destOrd="0" presId="urn:microsoft.com/office/officeart/2008/layout/SquareAccentList#1"/>
    <dgm:cxn modelId="{07E0404E-A330-4E69-ABE9-5543EEA03747}" type="presParOf" srcId="{3D3E4A23-E371-456D-920E-E0B1A76D0D30}" destId="{6D4AE924-29A4-4C40-82B5-D8D6CE51829E}" srcOrd="1" destOrd="0" presId="urn:microsoft.com/office/officeart/2008/layout/SquareAccentList#1"/>
    <dgm:cxn modelId="{0B241792-FE17-4F57-AE0C-E83BE2919F7D}" type="presParOf" srcId="{22CBDE7C-D70A-40D8-9FD0-520E72A01E7B}" destId="{774D14B8-0F4C-4557-9123-790EC87E7255}" srcOrd="1" destOrd="0" presId="urn:microsoft.com/office/officeart/2008/layout/SquareAccentList#1"/>
    <dgm:cxn modelId="{F5D3D524-98CE-4DB8-B715-06C15A98B247}" type="presParOf" srcId="{774D14B8-0F4C-4557-9123-790EC87E7255}" destId="{DDD655AC-FB1B-4090-9B9B-62717A2177B0}" srcOrd="0" destOrd="0" presId="urn:microsoft.com/office/officeart/2008/layout/SquareAccentList#1"/>
    <dgm:cxn modelId="{BD362F75-E973-45A6-9D90-CBBFE77616AF}" type="presParOf" srcId="{DDD655AC-FB1B-4090-9B9B-62717A2177B0}" destId="{4381BD9A-72A7-4210-BB02-E654764DF2C8}" srcOrd="0" destOrd="0" presId="urn:microsoft.com/office/officeart/2008/layout/SquareAccentList#1"/>
    <dgm:cxn modelId="{3E14311A-119B-4F03-81A4-9ECAFA8AEA47}" type="presParOf" srcId="{DDD655AC-FB1B-4090-9B9B-62717A2177B0}" destId="{F3067B0A-4F51-4281-90E7-78414F78ED0E}" srcOrd="1" destOrd="0" presId="urn:microsoft.com/office/officeart/2008/layout/SquareAccentList#1"/>
    <dgm:cxn modelId="{DD215D22-3242-441E-BDAE-625D3E8BEEF1}" type="presParOf" srcId="{DDD655AC-FB1B-4090-9B9B-62717A2177B0}" destId="{2F71C3B6-C42C-4BB3-BB37-A00C4FD74708}" srcOrd="2" destOrd="0" presId="urn:microsoft.com/office/officeart/2008/layout/SquareAccentList#1"/>
    <dgm:cxn modelId="{D82433B3-48F6-468F-BA3E-A8346422989D}" type="presParOf" srcId="{774D14B8-0F4C-4557-9123-790EC87E7255}" destId="{B089FA89-7678-4500-8670-302CF973866D}" srcOrd="1" destOrd="0" presId="urn:microsoft.com/office/officeart/2008/layout/SquareAccentList#1"/>
    <dgm:cxn modelId="{A7E091EA-75C2-4525-8B40-52EBE99C7258}" type="presParOf" srcId="{B089FA89-7678-4500-8670-302CF973866D}" destId="{2EC0E2C2-5A95-468F-A8E1-578584A0027A}" srcOrd="0" destOrd="0" presId="urn:microsoft.com/office/officeart/2008/layout/SquareAccentList#1"/>
    <dgm:cxn modelId="{218FC1C9-3E9E-48B6-AD85-DFBC070F874B}" type="presParOf" srcId="{2EC0E2C2-5A95-468F-A8E1-578584A0027A}" destId="{1E3A63A7-12AA-46B4-BE82-898A4831A0A5}" srcOrd="0" destOrd="0" presId="urn:microsoft.com/office/officeart/2008/layout/SquareAccentList#1"/>
    <dgm:cxn modelId="{60F3EF7E-93D4-4C81-9A54-26A2C63AF8C8}" type="presParOf" srcId="{2EC0E2C2-5A95-468F-A8E1-578584A0027A}" destId="{224012C4-BA2F-4029-B66E-04643FDA9BA9}" srcOrd="1" destOrd="0" presId="urn:microsoft.com/office/officeart/2008/layout/SquareAccentList#1"/>
    <dgm:cxn modelId="{50D43479-0A6E-4BB4-AA47-F2B5921A6E62}" type="presParOf" srcId="{B089FA89-7678-4500-8670-302CF973866D}" destId="{9C71D309-EC29-4BF9-AF08-2B1EC4D24D58}" srcOrd="1" destOrd="0" presId="urn:microsoft.com/office/officeart/2008/layout/SquareAccentList#1"/>
    <dgm:cxn modelId="{587C19ED-69EE-4307-B5C1-743314B73A93}" type="presParOf" srcId="{9C71D309-EC29-4BF9-AF08-2B1EC4D24D58}" destId="{1E89037D-7176-44DC-BF70-B07CE523F7AB}" srcOrd="0" destOrd="0" presId="urn:microsoft.com/office/officeart/2008/layout/SquareAccentList#1"/>
    <dgm:cxn modelId="{A7BED612-6A94-4F74-AE78-2E04B1C9FB39}" type="presParOf" srcId="{9C71D309-EC29-4BF9-AF08-2B1EC4D24D58}" destId="{DA54CF42-57CB-4213-A795-CF8A53EDF16C}" srcOrd="1" destOrd="0" presId="urn:microsoft.com/office/officeart/2008/layout/SquareAccentList#1"/>
    <dgm:cxn modelId="{174552B3-16FA-41F8-A3C4-E2ED1FCE9AE6}" type="presParOf" srcId="{B089FA89-7678-4500-8670-302CF973866D}" destId="{FD6729D5-A36A-49FE-8FBB-E2B011ACBC20}" srcOrd="2" destOrd="0" presId="urn:microsoft.com/office/officeart/2008/layout/SquareAccentList#1"/>
    <dgm:cxn modelId="{DDC03D45-AFFE-4ECF-BD7E-484B4F990F82}" type="presParOf" srcId="{FD6729D5-A36A-49FE-8FBB-E2B011ACBC20}" destId="{A6508F8B-3316-4D0D-8E9D-B188CA25D1FD}" srcOrd="0" destOrd="0" presId="urn:microsoft.com/office/officeart/2008/layout/SquareAccentList#1"/>
    <dgm:cxn modelId="{85756979-30E3-4011-A950-C6A7CD21D41B}" type="presParOf" srcId="{FD6729D5-A36A-49FE-8FBB-E2B011ACBC20}" destId="{C643D55C-CBDE-478D-9EE2-78811F89F567}" srcOrd="1" destOrd="0" presId="urn:microsoft.com/office/officeart/2008/layout/SquareAccen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4486E-FE92-4997-BA82-36C3ABD6011C}">
      <dsp:nvSpPr>
        <dsp:cNvPr id="0" name=""/>
        <dsp:cNvSpPr/>
      </dsp:nvSpPr>
      <dsp:spPr>
        <a:xfrm rot="16200000">
          <a:off x="1071220" y="-1068670"/>
          <a:ext cx="1200002" cy="3337345"/>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פיקוח על ההוצאות הציבוריות</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מדידה יעילה של ביצועי הממשלה </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שיפור באיכות המידע הכספי המוצג בדוחות הכספיים של המדינה (בייחוד כאשר תקציב המדינה הינו על בסיס מזומן וישנה חשיבות למתן הצגת דוחות כספיים על בסיס מצטבר) </a:t>
          </a:r>
        </a:p>
        <a:p>
          <a:pPr marL="57150" lvl="1" indent="-57150" algn="just" defTabSz="444500" rtl="1">
            <a:lnSpc>
              <a:spcPct val="90000"/>
            </a:lnSpc>
            <a:spcBef>
              <a:spcPct val="0"/>
            </a:spcBef>
            <a:spcAft>
              <a:spcPct val="15000"/>
            </a:spcAft>
            <a:buChar char="•"/>
          </a:pPr>
          <a:r>
            <a:rPr lang="he-IL" sz="1000" b="0" i="0" kern="1200">
              <a:solidFill>
                <a:sysClr val="windowText" lastClr="000000">
                  <a:hueOff val="0"/>
                  <a:satOff val="0"/>
                  <a:lumOff val="0"/>
                  <a:alphaOff val="0"/>
                </a:sysClr>
              </a:solidFill>
              <a:latin typeface="Calibri"/>
              <a:ea typeface="+mn-ea"/>
              <a:cs typeface="Arial" panose="020B0604020202020204" pitchFamily="34" charset="0"/>
            </a:rPr>
            <a:t>הערכת מידת הצלחתה של הממשלה לעמוד במחויבותה לניהול תקין של המשאבים הציבוריים</a:t>
          </a: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61128" y="58580"/>
        <a:ext cx="3278766" cy="1082844"/>
      </dsp:txXfrm>
    </dsp:sp>
    <dsp:sp modelId="{29AE579A-1657-4783-95A9-B28B65EE4879}">
      <dsp:nvSpPr>
        <dsp:cNvPr id="0" name=""/>
        <dsp:cNvSpPr/>
      </dsp:nvSpPr>
      <dsp:spPr>
        <a:xfrm>
          <a:off x="3342443" y="0"/>
          <a:ext cx="1877256" cy="11988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rtl="1">
            <a:lnSpc>
              <a:spcPct val="90000"/>
            </a:lnSpc>
            <a:spcBef>
              <a:spcPct val="0"/>
            </a:spcBef>
            <a:spcAft>
              <a:spcPct val="35000"/>
            </a:spcAft>
            <a:buNone/>
          </a:pPr>
          <a:r>
            <a:rPr lang="he-IL" sz="2500" kern="1200">
              <a:solidFill>
                <a:sysClr val="window" lastClr="FFFFFF"/>
              </a:solidFill>
              <a:latin typeface="Calibri"/>
              <a:ea typeface="+mn-ea"/>
              <a:cs typeface="Arial" panose="020B0604020202020204" pitchFamily="34" charset="0"/>
            </a:rPr>
            <a:t>מתן דין וחשבון </a:t>
          </a:r>
        </a:p>
      </dsp:txBody>
      <dsp:txXfrm>
        <a:off x="3400965" y="58522"/>
        <a:ext cx="1760212" cy="108178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7D0B9-DA3D-4C0D-B71B-C8238D305BD1}">
      <dsp:nvSpPr>
        <dsp:cNvPr id="0" name=""/>
        <dsp:cNvSpPr/>
      </dsp:nvSpPr>
      <dsp:spPr>
        <a:xfrm>
          <a:off x="185120" y="26"/>
          <a:ext cx="1127928" cy="676757"/>
        </a:xfrm>
        <a:prstGeom prst="rect">
          <a:avLst/>
        </a:prstGeo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27- חקלאות </a:t>
          </a:r>
        </a:p>
      </dsp:txBody>
      <dsp:txXfrm>
        <a:off x="185120" y="26"/>
        <a:ext cx="1127928" cy="676757"/>
      </dsp:txXfrm>
    </dsp:sp>
    <dsp:sp modelId="{CBF71386-63A6-470F-8479-3219664D89FF}">
      <dsp:nvSpPr>
        <dsp:cNvPr id="0" name=""/>
        <dsp:cNvSpPr/>
      </dsp:nvSpPr>
      <dsp:spPr>
        <a:xfrm>
          <a:off x="1425842" y="26"/>
          <a:ext cx="1127928" cy="676757"/>
        </a:xfrm>
        <a:prstGeom prst="rect">
          <a:avLst/>
        </a:prstGeom>
        <a:solidFill>
          <a:srgbClr val="C0504D">
            <a:shade val="80000"/>
            <a:hueOff val="-2562"/>
            <a:satOff val="-287"/>
            <a:lumOff val="183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22- גילוי למידע כללי בדבר הסקטור הממשלתי הכללי</a:t>
          </a:r>
        </a:p>
      </dsp:txBody>
      <dsp:txXfrm>
        <a:off x="1425842" y="26"/>
        <a:ext cx="1127928" cy="676757"/>
      </dsp:txXfrm>
    </dsp:sp>
    <dsp:sp modelId="{93491FDD-6C54-478B-B22F-53FC6196456D}">
      <dsp:nvSpPr>
        <dsp:cNvPr id="0" name=""/>
        <dsp:cNvSpPr/>
      </dsp:nvSpPr>
      <dsp:spPr>
        <a:xfrm>
          <a:off x="2666563" y="26"/>
          <a:ext cx="1127928" cy="676757"/>
        </a:xfrm>
        <a:prstGeom prst="rect">
          <a:avLst/>
        </a:prstGeom>
        <a:solidFill>
          <a:srgbClr val="C0504D">
            <a:shade val="80000"/>
            <a:hueOff val="-5125"/>
            <a:satOff val="-575"/>
            <a:lumOff val="36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16- נדל"ן להשקעה </a:t>
          </a:r>
        </a:p>
      </dsp:txBody>
      <dsp:txXfrm>
        <a:off x="2666563" y="26"/>
        <a:ext cx="1127928" cy="676757"/>
      </dsp:txXfrm>
    </dsp:sp>
    <dsp:sp modelId="{E26A1221-3AD3-42BE-927D-90B7DDFA4D4B}">
      <dsp:nvSpPr>
        <dsp:cNvPr id="0" name=""/>
        <dsp:cNvSpPr/>
      </dsp:nvSpPr>
      <dsp:spPr>
        <a:xfrm>
          <a:off x="3907285" y="26"/>
          <a:ext cx="1127928" cy="676757"/>
        </a:xfrm>
        <a:prstGeom prst="rect">
          <a:avLst/>
        </a:prstGeom>
        <a:solidFill>
          <a:srgbClr val="C0504D">
            <a:shade val="80000"/>
            <a:hueOff val="-7687"/>
            <a:satOff val="-862"/>
            <a:lumOff val="550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14 - אירועים לאחר תקופת הדיווח</a:t>
          </a:r>
        </a:p>
      </dsp:txBody>
      <dsp:txXfrm>
        <a:off x="3907285" y="26"/>
        <a:ext cx="1127928" cy="676757"/>
      </dsp:txXfrm>
    </dsp:sp>
    <dsp:sp modelId="{B9089407-EE48-4E40-8E4B-CABE33C78A3C}">
      <dsp:nvSpPr>
        <dsp:cNvPr id="0" name=""/>
        <dsp:cNvSpPr/>
      </dsp:nvSpPr>
      <dsp:spPr>
        <a:xfrm>
          <a:off x="185120" y="789576"/>
          <a:ext cx="1127928" cy="676757"/>
        </a:xfrm>
        <a:prstGeom prst="rect">
          <a:avLst/>
        </a:prstGeom>
        <a:solidFill>
          <a:srgbClr val="C0504D">
            <a:shade val="80000"/>
            <a:hueOff val="-10249"/>
            <a:satOff val="-1150"/>
            <a:lumOff val="73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33- אימוץ לראשונה של תקני חשבונאות בינלאומיים על בסיס מצטבר למגזר הציבורי</a:t>
          </a:r>
        </a:p>
      </dsp:txBody>
      <dsp:txXfrm>
        <a:off x="185120" y="789576"/>
        <a:ext cx="1127928" cy="676757"/>
      </dsp:txXfrm>
    </dsp:sp>
    <dsp:sp modelId="{C7B1EF0C-107B-4B09-8C9E-BD09336F77AA}">
      <dsp:nvSpPr>
        <dsp:cNvPr id="0" name=""/>
        <dsp:cNvSpPr/>
      </dsp:nvSpPr>
      <dsp:spPr>
        <a:xfrm>
          <a:off x="1425842" y="789576"/>
          <a:ext cx="1127928" cy="676757"/>
        </a:xfrm>
        <a:prstGeom prst="rect">
          <a:avLst/>
        </a:prstGeom>
        <a:solidFill>
          <a:srgbClr val="C0504D">
            <a:shade val="80000"/>
            <a:hueOff val="-12811"/>
            <a:satOff val="-1437"/>
            <a:lumOff val="91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30- מכשירים פיננסים: גילוי</a:t>
          </a:r>
        </a:p>
      </dsp:txBody>
      <dsp:txXfrm>
        <a:off x="1425842" y="789576"/>
        <a:ext cx="1127928" cy="676757"/>
      </dsp:txXfrm>
    </dsp:sp>
    <dsp:sp modelId="{E3E3507B-84A9-4DFE-A25C-D55E16AD9634}">
      <dsp:nvSpPr>
        <dsp:cNvPr id="0" name=""/>
        <dsp:cNvSpPr/>
      </dsp:nvSpPr>
      <dsp:spPr>
        <a:xfrm>
          <a:off x="2666563" y="789576"/>
          <a:ext cx="1127928" cy="676757"/>
        </a:xfrm>
        <a:prstGeom prst="rect">
          <a:avLst/>
        </a:prstGeom>
        <a:solidFill>
          <a:srgbClr val="C0504D">
            <a:shade val="80000"/>
            <a:hueOff val="-15374"/>
            <a:satOff val="-1725"/>
            <a:lumOff val="1100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29- מכשירים פיננסים: הכרה ומדידה </a:t>
          </a:r>
        </a:p>
      </dsp:txBody>
      <dsp:txXfrm>
        <a:off x="2666563" y="789576"/>
        <a:ext cx="1127928" cy="676757"/>
      </dsp:txXfrm>
    </dsp:sp>
    <dsp:sp modelId="{F0E6D461-A5CD-4A26-861A-41352FE2C4F9}">
      <dsp:nvSpPr>
        <dsp:cNvPr id="0" name=""/>
        <dsp:cNvSpPr/>
      </dsp:nvSpPr>
      <dsp:spPr>
        <a:xfrm>
          <a:off x="3907285" y="789576"/>
          <a:ext cx="1127928" cy="676757"/>
        </a:xfrm>
        <a:prstGeom prst="rect">
          <a:avLst/>
        </a:prstGeom>
        <a:solidFill>
          <a:srgbClr val="C0504D">
            <a:shade val="80000"/>
            <a:hueOff val="-17936"/>
            <a:satOff val="-2012"/>
            <a:lumOff val="1284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28- מכשירים פיננסים: הצגה</a:t>
          </a:r>
        </a:p>
      </dsp:txBody>
      <dsp:txXfrm>
        <a:off x="3907285" y="789576"/>
        <a:ext cx="1127928" cy="676757"/>
      </dsp:txXfrm>
    </dsp:sp>
    <dsp:sp modelId="{FA16ACB5-CB39-4AC1-8A21-DA62BFB365C6}">
      <dsp:nvSpPr>
        <dsp:cNvPr id="0" name=""/>
        <dsp:cNvSpPr/>
      </dsp:nvSpPr>
      <dsp:spPr>
        <a:xfrm>
          <a:off x="185120" y="1579126"/>
          <a:ext cx="1127928" cy="676757"/>
        </a:xfrm>
        <a:prstGeom prst="rect">
          <a:avLst/>
        </a:prstGeom>
        <a:solidFill>
          <a:srgbClr val="C0504D">
            <a:shade val="80000"/>
            <a:hueOff val="-20498"/>
            <a:satOff val="-2299"/>
            <a:lumOff val="1467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37- הסדרים משותפים</a:t>
          </a:r>
        </a:p>
      </dsp:txBody>
      <dsp:txXfrm>
        <a:off x="185120" y="1579126"/>
        <a:ext cx="1127928" cy="676757"/>
      </dsp:txXfrm>
    </dsp:sp>
    <dsp:sp modelId="{AADF4A9A-F53F-4B5B-8AB3-062955AF747A}">
      <dsp:nvSpPr>
        <dsp:cNvPr id="0" name=""/>
        <dsp:cNvSpPr/>
      </dsp:nvSpPr>
      <dsp:spPr>
        <a:xfrm>
          <a:off x="1425842" y="1579126"/>
          <a:ext cx="1127928" cy="676757"/>
        </a:xfrm>
        <a:prstGeom prst="rect">
          <a:avLst/>
        </a:prstGeom>
        <a:solidFill>
          <a:srgbClr val="C0504D">
            <a:shade val="80000"/>
            <a:hueOff val="-23061"/>
            <a:satOff val="-2587"/>
            <a:lumOff val="1650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36- ירידת ערך נכסים</a:t>
          </a:r>
        </a:p>
      </dsp:txBody>
      <dsp:txXfrm>
        <a:off x="1425842" y="1579126"/>
        <a:ext cx="1127928" cy="676757"/>
      </dsp:txXfrm>
    </dsp:sp>
    <dsp:sp modelId="{BE0C9925-A08B-42E4-8F67-823CF0189E84}">
      <dsp:nvSpPr>
        <dsp:cNvPr id="0" name=""/>
        <dsp:cNvSpPr/>
      </dsp:nvSpPr>
      <dsp:spPr>
        <a:xfrm>
          <a:off x="2666563" y="1579126"/>
          <a:ext cx="1127928" cy="676757"/>
        </a:xfrm>
        <a:prstGeom prst="rect">
          <a:avLst/>
        </a:prstGeom>
        <a:solidFill>
          <a:srgbClr val="C0504D">
            <a:shade val="80000"/>
            <a:hueOff val="-25623"/>
            <a:satOff val="-2874"/>
            <a:lumOff val="18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35- דוחות כספיים מאוחדים </a:t>
          </a:r>
        </a:p>
      </dsp:txBody>
      <dsp:txXfrm>
        <a:off x="2666563" y="1579126"/>
        <a:ext cx="1127928" cy="676757"/>
      </dsp:txXfrm>
    </dsp:sp>
    <dsp:sp modelId="{BD27A482-969A-45CF-BCD0-4EF8A2A828A8}">
      <dsp:nvSpPr>
        <dsp:cNvPr id="0" name=""/>
        <dsp:cNvSpPr/>
      </dsp:nvSpPr>
      <dsp:spPr>
        <a:xfrm>
          <a:off x="3907285" y="1579126"/>
          <a:ext cx="1127928" cy="676757"/>
        </a:xfrm>
        <a:prstGeom prst="rect">
          <a:avLst/>
        </a:prstGeom>
        <a:solidFill>
          <a:srgbClr val="C0504D">
            <a:shade val="80000"/>
            <a:hueOff val="-28185"/>
            <a:satOff val="-3162"/>
            <a:lumOff val="20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34- דוחות כספיים נפרדים </a:t>
          </a:r>
        </a:p>
      </dsp:txBody>
      <dsp:txXfrm>
        <a:off x="3907285" y="1579126"/>
        <a:ext cx="1127928" cy="676757"/>
      </dsp:txXfrm>
    </dsp:sp>
    <dsp:sp modelId="{938A5CE2-2068-478B-BBB7-21D4F30592FE}">
      <dsp:nvSpPr>
        <dsp:cNvPr id="0" name=""/>
        <dsp:cNvSpPr/>
      </dsp:nvSpPr>
      <dsp:spPr>
        <a:xfrm>
          <a:off x="805481" y="2368676"/>
          <a:ext cx="1127928" cy="676757"/>
        </a:xfrm>
        <a:prstGeom prst="rect">
          <a:avLst/>
        </a:prstGeom>
        <a:solidFill>
          <a:srgbClr val="C0504D">
            <a:shade val="80000"/>
            <a:hueOff val="-30747"/>
            <a:satOff val="-3449"/>
            <a:lumOff val="2201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40- צירופי עסקים</a:t>
          </a:r>
        </a:p>
      </dsp:txBody>
      <dsp:txXfrm>
        <a:off x="805481" y="2368676"/>
        <a:ext cx="1127928" cy="676757"/>
      </dsp:txXfrm>
    </dsp:sp>
    <dsp:sp modelId="{1E74DF3A-F010-4A98-A062-B7ED9ED0AB52}">
      <dsp:nvSpPr>
        <dsp:cNvPr id="0" name=""/>
        <dsp:cNvSpPr/>
      </dsp:nvSpPr>
      <dsp:spPr>
        <a:xfrm>
          <a:off x="2046203" y="2368676"/>
          <a:ext cx="1127928" cy="676757"/>
        </a:xfrm>
        <a:prstGeom prst="rect">
          <a:avLst/>
        </a:prstGeom>
        <a:solidFill>
          <a:srgbClr val="C0504D">
            <a:shade val="80000"/>
            <a:hueOff val="-33310"/>
            <a:satOff val="-3737"/>
            <a:lumOff val="2384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39- הטבות לעובד</a:t>
          </a:r>
        </a:p>
      </dsp:txBody>
      <dsp:txXfrm>
        <a:off x="2046203" y="2368676"/>
        <a:ext cx="1127928" cy="676757"/>
      </dsp:txXfrm>
    </dsp:sp>
    <dsp:sp modelId="{71D0D491-E5BA-42BB-B15A-7AFC34F80ADD}">
      <dsp:nvSpPr>
        <dsp:cNvPr id="0" name=""/>
        <dsp:cNvSpPr/>
      </dsp:nvSpPr>
      <dsp:spPr>
        <a:xfrm>
          <a:off x="3286924" y="2368676"/>
          <a:ext cx="1127928" cy="676757"/>
        </a:xfrm>
        <a:prstGeom prst="rect">
          <a:avLst/>
        </a:prstGeom>
        <a:solidFill>
          <a:srgbClr val="C0504D">
            <a:shade val="80000"/>
            <a:hueOff val="-35872"/>
            <a:satOff val="-4024"/>
            <a:lumOff val="2568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solidFill>
                <a:sysClr val="window" lastClr="FFFFFF"/>
              </a:solidFill>
              <a:latin typeface="Calibri"/>
              <a:ea typeface="+mn-ea"/>
              <a:cs typeface="Arial" panose="020B0604020202020204" pitchFamily="34" charset="0"/>
            </a:rPr>
            <a:t>תקן חשבונאות מספר 38- גילוי של זכויות בישויות אחרות </a:t>
          </a:r>
        </a:p>
      </dsp:txBody>
      <dsp:txXfrm>
        <a:off x="3286924" y="2368676"/>
        <a:ext cx="1127928" cy="6767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232FD-34DE-4E25-B847-563BF1C8A4D4}">
      <dsp:nvSpPr>
        <dsp:cNvPr id="0" name=""/>
        <dsp:cNvSpPr/>
      </dsp:nvSpPr>
      <dsp:spPr>
        <a:xfrm>
          <a:off x="0" y="108224"/>
          <a:ext cx="1631354" cy="97881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אינטגרציה גדולה יותר של מערכות מחשוב </a:t>
          </a:r>
        </a:p>
      </dsp:txBody>
      <dsp:txXfrm>
        <a:off x="0" y="108224"/>
        <a:ext cx="1631354" cy="978812"/>
      </dsp:txXfrm>
    </dsp:sp>
    <dsp:sp modelId="{D186E18B-15AF-4904-98C4-5B0DEF3F9BA4}">
      <dsp:nvSpPr>
        <dsp:cNvPr id="0" name=""/>
        <dsp:cNvSpPr/>
      </dsp:nvSpPr>
      <dsp:spPr>
        <a:xfrm>
          <a:off x="1794490" y="122123"/>
          <a:ext cx="1631354" cy="951014"/>
        </a:xfrm>
        <a:prstGeom prst="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שלמות נתונים</a:t>
          </a:r>
        </a:p>
      </dsp:txBody>
      <dsp:txXfrm>
        <a:off x="1794490" y="122123"/>
        <a:ext cx="1631354" cy="951014"/>
      </dsp:txXfrm>
    </dsp:sp>
    <dsp:sp modelId="{080AFB54-6D83-4863-BDDB-B2DCD19C234A}">
      <dsp:nvSpPr>
        <dsp:cNvPr id="0" name=""/>
        <dsp:cNvSpPr/>
      </dsp:nvSpPr>
      <dsp:spPr>
        <a:xfrm>
          <a:off x="3588980" y="108224"/>
          <a:ext cx="1631354" cy="978812"/>
        </a:xfrm>
        <a:prstGeom prst="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דוחות כספיים מבוקרים על ידי רואי חשבון</a:t>
          </a:r>
          <a:r>
            <a:rPr lang="en-US" sz="1600" kern="1200"/>
            <a:t> </a:t>
          </a:r>
          <a:endParaRPr lang="he-IL" sz="1600" kern="1200"/>
        </a:p>
      </dsp:txBody>
      <dsp:txXfrm>
        <a:off x="3588980" y="108224"/>
        <a:ext cx="1631354" cy="978812"/>
      </dsp:txXfrm>
    </dsp:sp>
    <dsp:sp modelId="{8674D222-9011-4433-8496-2C394D3C1512}">
      <dsp:nvSpPr>
        <dsp:cNvPr id="0" name=""/>
        <dsp:cNvSpPr/>
      </dsp:nvSpPr>
      <dsp:spPr>
        <a:xfrm>
          <a:off x="0" y="1250172"/>
          <a:ext cx="1631354" cy="978812"/>
        </a:xfrm>
        <a:prstGeom prst="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אימוץ ויישום תקינה חשבונאית ממשלתית בינלאומית </a:t>
          </a:r>
        </a:p>
      </dsp:txBody>
      <dsp:txXfrm>
        <a:off x="0" y="1250172"/>
        <a:ext cx="1631354" cy="978812"/>
      </dsp:txXfrm>
    </dsp:sp>
    <dsp:sp modelId="{A84237DA-4781-4430-BF35-0C3729369435}">
      <dsp:nvSpPr>
        <dsp:cNvPr id="0" name=""/>
        <dsp:cNvSpPr/>
      </dsp:nvSpPr>
      <dsp:spPr>
        <a:xfrm>
          <a:off x="1794490" y="1250172"/>
          <a:ext cx="1631354" cy="978812"/>
        </a:xfrm>
        <a:prstGeom prst="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כוח אדם מיומן בתקינה חשבונאית ממשלתית</a:t>
          </a:r>
        </a:p>
      </dsp:txBody>
      <dsp:txXfrm>
        <a:off x="1794490" y="1250172"/>
        <a:ext cx="1631354" cy="978812"/>
      </dsp:txXfrm>
    </dsp:sp>
    <dsp:sp modelId="{B3D12D3C-034F-41F6-ABB0-41A1B986C31E}">
      <dsp:nvSpPr>
        <dsp:cNvPr id="0" name=""/>
        <dsp:cNvSpPr/>
      </dsp:nvSpPr>
      <dsp:spPr>
        <a:xfrm>
          <a:off x="3588980" y="1250172"/>
          <a:ext cx="1631354" cy="978812"/>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דיון בדוחות הכספיים של המדינה ושל משרדי הממשלה</a:t>
          </a:r>
        </a:p>
      </dsp:txBody>
      <dsp:txXfrm>
        <a:off x="3588980" y="1250172"/>
        <a:ext cx="1631354" cy="9788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4486E-FE92-4997-BA82-36C3ABD6011C}">
      <dsp:nvSpPr>
        <dsp:cNvPr id="0" name=""/>
        <dsp:cNvSpPr/>
      </dsp:nvSpPr>
      <dsp:spPr>
        <a:xfrm rot="16200000">
          <a:off x="1205994" y="-1095766"/>
          <a:ext cx="928619" cy="33406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שיפור בתהליך קבלת ההחלטות לאור מידע מדויק ומקיף שיבוא לידי ביטוי בדוחות הכספיים</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שימוש במידע הפיננסי לצורך הערכת היבטים שונים של היציבות הפיסקאלית ארוכת הטווח והיקף הסיכונים הפיננסים שמדינת ישראל ניצבת בפניהם</a:t>
          </a:r>
        </a:p>
        <a:p>
          <a:pPr marL="57150" lvl="1" indent="-57150" algn="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45331" y="155560"/>
        <a:ext cx="3295277" cy="837957"/>
      </dsp:txXfrm>
    </dsp:sp>
    <dsp:sp modelId="{29AE579A-1657-4783-95A9-B28B65EE4879}">
      <dsp:nvSpPr>
        <dsp:cNvPr id="0" name=""/>
        <dsp:cNvSpPr/>
      </dsp:nvSpPr>
      <dsp:spPr>
        <a:xfrm>
          <a:off x="3340608" y="567"/>
          <a:ext cx="1879092" cy="116077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rtl="1">
            <a:lnSpc>
              <a:spcPct val="90000"/>
            </a:lnSpc>
            <a:spcBef>
              <a:spcPct val="0"/>
            </a:spcBef>
            <a:spcAft>
              <a:spcPct val="35000"/>
            </a:spcAft>
            <a:buNone/>
          </a:pPr>
          <a:r>
            <a:rPr lang="he-IL" sz="2500" kern="1200">
              <a:solidFill>
                <a:sysClr val="window" lastClr="FFFFFF"/>
              </a:solidFill>
              <a:latin typeface="Calibri"/>
              <a:ea typeface="+mn-ea"/>
              <a:cs typeface="Arial" panose="020B0604020202020204" pitchFamily="34" charset="0"/>
            </a:rPr>
            <a:t>תהליך קבלת החלטות </a:t>
          </a:r>
        </a:p>
      </dsp:txBody>
      <dsp:txXfrm>
        <a:off x="3397272" y="57231"/>
        <a:ext cx="1765764" cy="10474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4486E-FE92-4997-BA82-36C3ABD6011C}">
      <dsp:nvSpPr>
        <dsp:cNvPr id="0" name=""/>
        <dsp:cNvSpPr/>
      </dsp:nvSpPr>
      <dsp:spPr>
        <a:xfrm rot="16200000">
          <a:off x="1190771" y="-1070302"/>
          <a:ext cx="959065" cy="33406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הרחבת המידע הנמסר למשתמשי הדוחות הכספיים אודות כספי ציבור </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הצגת מידע עדכני על מצבת הנכסים וההתחייבויות של המדינה</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הגדלת החובה לעמידה במחויבות ציבורית</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נטילת אחריות הדיווח של הגורמים המבצעים על נתוני הביצוע והנתונים הכספיים שתחת אחריותם</a:t>
          </a:r>
        </a:p>
        <a:p>
          <a:pPr marL="57150" lvl="1" indent="-57150" algn="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46818" y="167287"/>
        <a:ext cx="3293790" cy="865429"/>
      </dsp:txXfrm>
    </dsp:sp>
    <dsp:sp modelId="{29AE579A-1657-4783-95A9-B28B65EE4879}">
      <dsp:nvSpPr>
        <dsp:cNvPr id="0" name=""/>
        <dsp:cNvSpPr/>
      </dsp:nvSpPr>
      <dsp:spPr>
        <a:xfrm>
          <a:off x="3340608" y="0"/>
          <a:ext cx="1879092" cy="11988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rtl="1">
            <a:lnSpc>
              <a:spcPct val="90000"/>
            </a:lnSpc>
            <a:spcBef>
              <a:spcPct val="0"/>
            </a:spcBef>
            <a:spcAft>
              <a:spcPct val="35000"/>
            </a:spcAft>
            <a:buNone/>
          </a:pPr>
          <a:r>
            <a:rPr lang="he-IL" sz="2500" kern="1200">
              <a:solidFill>
                <a:sysClr val="window" lastClr="FFFFFF"/>
              </a:solidFill>
              <a:latin typeface="Calibri"/>
              <a:ea typeface="+mn-ea"/>
              <a:cs typeface="Arial" panose="020B0604020202020204" pitchFamily="34" charset="0"/>
            </a:rPr>
            <a:t>שקיפות</a:t>
          </a:r>
          <a:r>
            <a:rPr lang="he-IL" sz="2900" kern="1200">
              <a:solidFill>
                <a:sysClr val="window" lastClr="FFFFFF"/>
              </a:solidFill>
              <a:latin typeface="Calibri"/>
              <a:ea typeface="+mn-ea"/>
              <a:cs typeface="Arial" panose="020B0604020202020204" pitchFamily="34" charset="0"/>
            </a:rPr>
            <a:t> </a:t>
          </a:r>
        </a:p>
      </dsp:txBody>
      <dsp:txXfrm>
        <a:off x="3399130" y="58522"/>
        <a:ext cx="1762048" cy="10817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4486E-FE92-4997-BA82-36C3ABD6011C}">
      <dsp:nvSpPr>
        <dsp:cNvPr id="0" name=""/>
        <dsp:cNvSpPr/>
      </dsp:nvSpPr>
      <dsp:spPr>
        <a:xfrm rot="16200000">
          <a:off x="1190916" y="-1070432"/>
          <a:ext cx="959182" cy="334101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שיפור השוואתיות המידע הכספי המדווח על ידי ישויות ממשלתיות ברחבי העולם</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שיפור השוואתיות המידע הכספי בין משרדי הממשלה השונים </a:t>
          </a:r>
        </a:p>
        <a:p>
          <a:pPr marL="57150" lvl="1" indent="-57150" algn="just"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Arial" panose="020B0604020202020204" pitchFamily="34" charset="0"/>
            </a:rPr>
            <a:t>עקביות המידע המוצג בדוחות הכספיים</a:t>
          </a:r>
        </a:p>
        <a:p>
          <a:pPr marL="57150" lvl="1" indent="-57150" algn="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46824" y="167307"/>
        <a:ext cx="3294191" cy="865536"/>
      </dsp:txXfrm>
    </dsp:sp>
    <dsp:sp modelId="{29AE579A-1657-4783-95A9-B28B65EE4879}">
      <dsp:nvSpPr>
        <dsp:cNvPr id="0" name=""/>
        <dsp:cNvSpPr/>
      </dsp:nvSpPr>
      <dsp:spPr>
        <a:xfrm>
          <a:off x="3341014" y="65840"/>
          <a:ext cx="1879320" cy="10684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rtl="1">
            <a:lnSpc>
              <a:spcPct val="90000"/>
            </a:lnSpc>
            <a:spcBef>
              <a:spcPct val="0"/>
            </a:spcBef>
            <a:spcAft>
              <a:spcPct val="35000"/>
            </a:spcAft>
            <a:buNone/>
          </a:pPr>
          <a:r>
            <a:rPr lang="he-IL" sz="2500" kern="1200">
              <a:solidFill>
                <a:sysClr val="window" lastClr="FFFFFF"/>
              </a:solidFill>
              <a:latin typeface="Calibri"/>
              <a:ea typeface="+mn-ea"/>
              <a:cs typeface="Arial" panose="020B0604020202020204" pitchFamily="34" charset="0"/>
            </a:rPr>
            <a:t>השוואתיות</a:t>
          </a:r>
          <a:r>
            <a:rPr lang="he-IL" sz="2900" kern="1200">
              <a:solidFill>
                <a:sysClr val="window" lastClr="FFFFFF"/>
              </a:solidFill>
              <a:latin typeface="Calibri"/>
              <a:ea typeface="+mn-ea"/>
              <a:cs typeface="Arial" panose="020B0604020202020204" pitchFamily="34" charset="0"/>
            </a:rPr>
            <a:t> </a:t>
          </a:r>
        </a:p>
      </dsp:txBody>
      <dsp:txXfrm>
        <a:off x="3393172" y="117998"/>
        <a:ext cx="1775004" cy="9641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7F78D-8BDF-4C31-8C27-85831ADAC947}">
      <dsp:nvSpPr>
        <dsp:cNvPr id="0" name=""/>
        <dsp:cNvSpPr/>
      </dsp:nvSpPr>
      <dsp:spPr>
        <a:xfrm>
          <a:off x="322382" y="0"/>
          <a:ext cx="1590432" cy="62392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he-IL" sz="1500" kern="1200">
              <a:solidFill>
                <a:sysClr val="windowText" lastClr="000000">
                  <a:hueOff val="0"/>
                  <a:satOff val="0"/>
                  <a:lumOff val="0"/>
                  <a:alphaOff val="0"/>
                </a:sysClr>
              </a:solidFill>
              <a:latin typeface="Calibri"/>
              <a:ea typeface="+mn-ea"/>
              <a:cs typeface="Arial" panose="020B0604020202020204" pitchFamily="34" charset="0"/>
            </a:rPr>
            <a:t>צד ההתחייבויות </a:t>
          </a:r>
        </a:p>
      </dsp:txBody>
      <dsp:txXfrm>
        <a:off x="340656" y="18274"/>
        <a:ext cx="1553884" cy="587372"/>
      </dsp:txXfrm>
    </dsp:sp>
    <dsp:sp modelId="{CA9356CA-BD4F-45BE-8174-A6AA6A1B3164}">
      <dsp:nvSpPr>
        <dsp:cNvPr id="0" name=""/>
        <dsp:cNvSpPr/>
      </dsp:nvSpPr>
      <dsp:spPr>
        <a:xfrm>
          <a:off x="2344161" y="916"/>
          <a:ext cx="1887004" cy="592145"/>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he-IL" sz="1500" kern="1200">
              <a:solidFill>
                <a:sysClr val="windowText" lastClr="000000">
                  <a:hueOff val="0"/>
                  <a:satOff val="0"/>
                  <a:lumOff val="0"/>
                  <a:alphaOff val="0"/>
                </a:sysClr>
              </a:solidFill>
              <a:latin typeface="Calibri"/>
              <a:ea typeface="+mn-ea"/>
              <a:cs typeface="Arial" panose="020B0604020202020204" pitchFamily="34" charset="0"/>
            </a:rPr>
            <a:t>צד הנכסים</a:t>
          </a:r>
        </a:p>
      </dsp:txBody>
      <dsp:txXfrm>
        <a:off x="2361504" y="18259"/>
        <a:ext cx="1852318" cy="557459"/>
      </dsp:txXfrm>
    </dsp:sp>
    <dsp:sp modelId="{6B78085A-D438-4D02-ACC6-256949F53718}">
      <dsp:nvSpPr>
        <dsp:cNvPr id="0" name=""/>
        <dsp:cNvSpPr/>
      </dsp:nvSpPr>
      <dsp:spPr>
        <a:xfrm>
          <a:off x="2218728" y="2676113"/>
          <a:ext cx="434561" cy="434561"/>
        </a:xfrm>
        <a:prstGeom prst="triangl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BE34AE0-5F9F-4D14-9B32-C6AE8CB800D6}">
      <dsp:nvSpPr>
        <dsp:cNvPr id="0" name=""/>
        <dsp:cNvSpPr/>
      </dsp:nvSpPr>
      <dsp:spPr>
        <a:xfrm rot="240000">
          <a:off x="1304898" y="2530620"/>
          <a:ext cx="2030847" cy="1420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2C7E119-43E3-4333-9F0A-BF6882747ECA}">
      <dsp:nvSpPr>
        <dsp:cNvPr id="0" name=""/>
        <dsp:cNvSpPr/>
      </dsp:nvSpPr>
      <dsp:spPr>
        <a:xfrm rot="240000">
          <a:off x="2146716" y="2031667"/>
          <a:ext cx="1988348" cy="57249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קרקעות בשווי של כ-523 מיליארד ש"ח </a:t>
          </a:r>
        </a:p>
      </dsp:txBody>
      <dsp:txXfrm>
        <a:off x="2174663" y="2059614"/>
        <a:ext cx="1932454" cy="516603"/>
      </dsp:txXfrm>
    </dsp:sp>
    <dsp:sp modelId="{42E392A8-D699-4E59-9BE9-734377D91FE9}">
      <dsp:nvSpPr>
        <dsp:cNvPr id="0" name=""/>
        <dsp:cNvSpPr/>
      </dsp:nvSpPr>
      <dsp:spPr>
        <a:xfrm rot="240000">
          <a:off x="2227400" y="1674939"/>
          <a:ext cx="1982480" cy="3665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נכסים בלתי מוחשיים- 5.3 מיליארד ש"ח </a:t>
          </a:r>
        </a:p>
      </dsp:txBody>
      <dsp:txXfrm>
        <a:off x="2245295" y="1692834"/>
        <a:ext cx="1946690" cy="330789"/>
      </dsp:txXfrm>
    </dsp:sp>
    <dsp:sp modelId="{85722321-8EEE-41F1-AE8F-0A5648AA4A31}">
      <dsp:nvSpPr>
        <dsp:cNvPr id="0" name=""/>
        <dsp:cNvSpPr/>
      </dsp:nvSpPr>
      <dsp:spPr>
        <a:xfrm rot="240000">
          <a:off x="2229931" y="1246162"/>
          <a:ext cx="2018884" cy="4045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חייבים בגין תמלוגים- 10.2 מיליארד ש"ח </a:t>
          </a:r>
        </a:p>
      </dsp:txBody>
      <dsp:txXfrm>
        <a:off x="2249681" y="1265912"/>
        <a:ext cx="1979384" cy="365078"/>
      </dsp:txXfrm>
    </dsp:sp>
    <dsp:sp modelId="{60CDC157-BF57-4651-B77C-24E8EACF34E0}">
      <dsp:nvSpPr>
        <dsp:cNvPr id="0" name=""/>
        <dsp:cNvSpPr/>
      </dsp:nvSpPr>
      <dsp:spPr>
        <a:xfrm rot="240000">
          <a:off x="2310440" y="673732"/>
          <a:ext cx="1988834" cy="53067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מלאי שוטף - 6.9 מיליארד ש"ח מלאי בלתי שוטף - 3.5 מיליארד ש"ח </a:t>
          </a:r>
        </a:p>
      </dsp:txBody>
      <dsp:txXfrm>
        <a:off x="2336345" y="699637"/>
        <a:ext cx="1937024" cy="478866"/>
      </dsp:txXfrm>
    </dsp:sp>
    <dsp:sp modelId="{3E71149C-D252-4990-895C-D244B23B41DD}">
      <dsp:nvSpPr>
        <dsp:cNvPr id="0" name=""/>
        <dsp:cNvSpPr/>
      </dsp:nvSpPr>
      <dsp:spPr>
        <a:xfrm rot="240000">
          <a:off x="611080" y="2049616"/>
          <a:ext cx="1428061" cy="39369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התחייבויות תלויות - ?</a:t>
          </a:r>
        </a:p>
      </dsp:txBody>
      <dsp:txXfrm>
        <a:off x="630299" y="2068835"/>
        <a:ext cx="1389623" cy="355257"/>
      </dsp:txXfrm>
    </dsp:sp>
    <dsp:sp modelId="{C432BC9D-9AB8-44F8-A4ED-2E6FEC1ECD3F}">
      <dsp:nvSpPr>
        <dsp:cNvPr id="0" name=""/>
        <dsp:cNvSpPr/>
      </dsp:nvSpPr>
      <dsp:spPr>
        <a:xfrm rot="240000">
          <a:off x="689162" y="1428263"/>
          <a:ext cx="1384318" cy="61648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הפרשה לתביעות משפטיות 8.2 מיליארד ש"ח </a:t>
          </a:r>
        </a:p>
      </dsp:txBody>
      <dsp:txXfrm>
        <a:off x="719256" y="1458357"/>
        <a:ext cx="1324130" cy="556296"/>
      </dsp:txXfrm>
    </dsp:sp>
    <dsp:sp modelId="{5035B56D-F4B8-4D63-B42C-B73B50979511}">
      <dsp:nvSpPr>
        <dsp:cNvPr id="0" name=""/>
        <dsp:cNvSpPr/>
      </dsp:nvSpPr>
      <dsp:spPr>
        <a:xfrm rot="240000">
          <a:off x="724422" y="847684"/>
          <a:ext cx="1413234" cy="58087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התחייבויות בגין זכויות עובדים 681.7 מיליארד ש"ח </a:t>
          </a:r>
        </a:p>
      </dsp:txBody>
      <dsp:txXfrm>
        <a:off x="752778" y="876040"/>
        <a:ext cx="1356522" cy="5241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F120E-8DAA-4B0E-9D29-ED7D052759B6}">
      <dsp:nvSpPr>
        <dsp:cNvPr id="0" name=""/>
        <dsp:cNvSpPr/>
      </dsp:nvSpPr>
      <dsp:spPr>
        <a:xfrm>
          <a:off x="3193937" y="1589515"/>
          <a:ext cx="1953210" cy="14729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rtl="1">
            <a:lnSpc>
              <a:spcPct val="90000"/>
            </a:lnSpc>
            <a:spcBef>
              <a:spcPct val="0"/>
            </a:spcBef>
            <a:spcAft>
              <a:spcPct val="15000"/>
            </a:spcAft>
            <a:buChar char="•"/>
          </a:pPr>
          <a:r>
            <a:rPr lang="he-IL" sz="1200" kern="1200"/>
            <a:t>שווי נכסים 155,624</a:t>
          </a:r>
        </a:p>
        <a:p>
          <a:pPr marL="114300" lvl="1" indent="-114300" algn="r" defTabSz="533400" rtl="1">
            <a:lnSpc>
              <a:spcPct val="90000"/>
            </a:lnSpc>
            <a:spcBef>
              <a:spcPct val="0"/>
            </a:spcBef>
            <a:spcAft>
              <a:spcPct val="15000"/>
            </a:spcAft>
            <a:buChar char="•"/>
          </a:pPr>
          <a:r>
            <a:rPr lang="he-IL" sz="1200" kern="1200"/>
            <a:t>שווי התחייבויות 24,872</a:t>
          </a:r>
        </a:p>
        <a:p>
          <a:pPr marL="114300" lvl="1" indent="-114300" algn="r" defTabSz="533400" rtl="1">
            <a:lnSpc>
              <a:spcPct val="90000"/>
            </a:lnSpc>
            <a:spcBef>
              <a:spcPct val="0"/>
            </a:spcBef>
            <a:spcAft>
              <a:spcPct val="15000"/>
            </a:spcAft>
            <a:buChar char="•"/>
          </a:pPr>
          <a:r>
            <a:rPr lang="he-IL" sz="1200" kern="1200"/>
            <a:t>מחזור 218,128</a:t>
          </a:r>
        </a:p>
      </dsp:txBody>
      <dsp:txXfrm>
        <a:off x="3812255" y="1990103"/>
        <a:ext cx="1302537" cy="1039988"/>
      </dsp:txXfrm>
    </dsp:sp>
    <dsp:sp modelId="{C80C16C9-A62B-483E-B1FD-EFCC321C7A64}">
      <dsp:nvSpPr>
        <dsp:cNvPr id="0" name=""/>
        <dsp:cNvSpPr/>
      </dsp:nvSpPr>
      <dsp:spPr>
        <a:xfrm>
          <a:off x="0" y="1712719"/>
          <a:ext cx="1740808" cy="124993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rtl="1">
            <a:lnSpc>
              <a:spcPct val="90000"/>
            </a:lnSpc>
            <a:spcBef>
              <a:spcPct val="0"/>
            </a:spcBef>
            <a:spcAft>
              <a:spcPct val="15000"/>
            </a:spcAft>
            <a:buChar char="•"/>
          </a:pPr>
          <a:r>
            <a:rPr lang="he-IL" sz="1200" kern="1200"/>
            <a:t>שווי נכסים 23,678</a:t>
          </a:r>
        </a:p>
        <a:p>
          <a:pPr marL="114300" lvl="1" indent="-114300" algn="r" defTabSz="533400" rtl="1">
            <a:lnSpc>
              <a:spcPct val="90000"/>
            </a:lnSpc>
            <a:spcBef>
              <a:spcPct val="0"/>
            </a:spcBef>
            <a:spcAft>
              <a:spcPct val="15000"/>
            </a:spcAft>
            <a:buChar char="•"/>
          </a:pPr>
          <a:r>
            <a:rPr lang="he-IL" sz="1200" kern="1200"/>
            <a:t>שווי התחייבויות 5,687</a:t>
          </a:r>
        </a:p>
        <a:p>
          <a:pPr marL="114300" lvl="1" indent="-114300" algn="r" defTabSz="533400" rtl="1">
            <a:lnSpc>
              <a:spcPct val="90000"/>
            </a:lnSpc>
            <a:spcBef>
              <a:spcPct val="0"/>
            </a:spcBef>
            <a:spcAft>
              <a:spcPct val="15000"/>
            </a:spcAft>
            <a:buChar char="•"/>
          </a:pPr>
          <a:r>
            <a:rPr lang="he-IL" sz="1200" kern="1200"/>
            <a:t>מחזור 28,273 </a:t>
          </a:r>
        </a:p>
      </dsp:txBody>
      <dsp:txXfrm>
        <a:off x="27457" y="2052661"/>
        <a:ext cx="1163651" cy="882539"/>
      </dsp:txXfrm>
    </dsp:sp>
    <dsp:sp modelId="{82C67A98-319E-4C4D-AB2E-DF9436D92E86}">
      <dsp:nvSpPr>
        <dsp:cNvPr id="0" name=""/>
        <dsp:cNvSpPr/>
      </dsp:nvSpPr>
      <dsp:spPr>
        <a:xfrm>
          <a:off x="2981260" y="-77064"/>
          <a:ext cx="2238439" cy="96029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rtl="1">
            <a:lnSpc>
              <a:spcPct val="90000"/>
            </a:lnSpc>
            <a:spcBef>
              <a:spcPct val="0"/>
            </a:spcBef>
            <a:spcAft>
              <a:spcPct val="15000"/>
            </a:spcAft>
            <a:buChar char="•"/>
          </a:pPr>
          <a:r>
            <a:rPr lang="he-IL" sz="1200" kern="1200"/>
            <a:t>שווי נכסים 296,245,531</a:t>
          </a:r>
        </a:p>
        <a:p>
          <a:pPr marL="114300" lvl="1" indent="-114300" algn="r" defTabSz="533400" rtl="1">
            <a:lnSpc>
              <a:spcPct val="90000"/>
            </a:lnSpc>
            <a:spcBef>
              <a:spcPct val="0"/>
            </a:spcBef>
            <a:spcAft>
              <a:spcPct val="15000"/>
            </a:spcAft>
            <a:buChar char="•"/>
          </a:pPr>
          <a:r>
            <a:rPr lang="he-IL" sz="1200" kern="1200"/>
            <a:t>שווי התחייבויות 743,938,021</a:t>
          </a:r>
        </a:p>
        <a:p>
          <a:pPr marL="114300" lvl="1" indent="-114300" algn="r" defTabSz="533400" rtl="1">
            <a:lnSpc>
              <a:spcPct val="90000"/>
            </a:lnSpc>
            <a:spcBef>
              <a:spcPct val="0"/>
            </a:spcBef>
            <a:spcAft>
              <a:spcPct val="15000"/>
            </a:spcAft>
            <a:buChar char="•"/>
          </a:pPr>
          <a:r>
            <a:rPr lang="he-IL" sz="1200" kern="1200"/>
            <a:t>מחזור 93,779,773</a:t>
          </a:r>
        </a:p>
      </dsp:txBody>
      <dsp:txXfrm>
        <a:off x="3673886" y="-55970"/>
        <a:ext cx="1524719" cy="678031"/>
      </dsp:txXfrm>
    </dsp:sp>
    <dsp:sp modelId="{77F2A614-F168-4D47-B3B3-AEC270ED3C59}">
      <dsp:nvSpPr>
        <dsp:cNvPr id="0" name=""/>
        <dsp:cNvSpPr/>
      </dsp:nvSpPr>
      <dsp:spPr>
        <a:xfrm>
          <a:off x="237862" y="-64344"/>
          <a:ext cx="2550194" cy="93485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rtl="1">
            <a:lnSpc>
              <a:spcPct val="90000"/>
            </a:lnSpc>
            <a:spcBef>
              <a:spcPct val="0"/>
            </a:spcBef>
            <a:spcAft>
              <a:spcPct val="15000"/>
            </a:spcAft>
            <a:buChar char="•"/>
          </a:pPr>
          <a:r>
            <a:rPr lang="he-IL" sz="1200" kern="1200"/>
            <a:t>שווי נכסים 1,570,058</a:t>
          </a:r>
        </a:p>
        <a:p>
          <a:pPr marL="114300" lvl="1" indent="-114300" algn="r" defTabSz="533400" rtl="1">
            <a:lnSpc>
              <a:spcPct val="90000"/>
            </a:lnSpc>
            <a:spcBef>
              <a:spcPct val="0"/>
            </a:spcBef>
            <a:spcAft>
              <a:spcPct val="15000"/>
            </a:spcAft>
            <a:buChar char="•"/>
          </a:pPr>
          <a:r>
            <a:rPr lang="he-IL" sz="1200" kern="1200"/>
            <a:t>שווי התחייבויות 775,881 </a:t>
          </a:r>
        </a:p>
        <a:p>
          <a:pPr marL="114300" lvl="1" indent="-114300" algn="r" defTabSz="533400" rtl="1">
            <a:lnSpc>
              <a:spcPct val="90000"/>
            </a:lnSpc>
            <a:spcBef>
              <a:spcPct val="0"/>
            </a:spcBef>
            <a:spcAft>
              <a:spcPct val="15000"/>
            </a:spcAft>
            <a:buChar char="•"/>
          </a:pPr>
          <a:r>
            <a:rPr lang="he-IL" sz="1200" kern="1200"/>
            <a:t>מחזור 1,566,926</a:t>
          </a:r>
          <a:r>
            <a:rPr lang="en-US" sz="1200" kern="1200"/>
            <a:t> </a:t>
          </a:r>
          <a:endParaRPr lang="he-IL" sz="1200" kern="1200"/>
        </a:p>
      </dsp:txBody>
      <dsp:txXfrm>
        <a:off x="258398" y="-43808"/>
        <a:ext cx="1744064" cy="660068"/>
      </dsp:txXfrm>
    </dsp:sp>
    <dsp:sp modelId="{46CEDBE0-F1CE-4A42-92CB-7BB305E5BDE8}">
      <dsp:nvSpPr>
        <dsp:cNvPr id="0" name=""/>
        <dsp:cNvSpPr/>
      </dsp:nvSpPr>
      <dsp:spPr>
        <a:xfrm>
          <a:off x="1318412" y="230975"/>
          <a:ext cx="1262285" cy="1262285"/>
        </a:xfrm>
        <a:prstGeom prst="pieWedg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rtl="1">
            <a:lnSpc>
              <a:spcPct val="90000"/>
            </a:lnSpc>
            <a:spcBef>
              <a:spcPct val="0"/>
            </a:spcBef>
            <a:spcAft>
              <a:spcPct val="35000"/>
            </a:spcAft>
            <a:buNone/>
          </a:pPr>
          <a:r>
            <a:rPr lang="he-IL" sz="1300" kern="1200"/>
            <a:t>דוחות מבוקרים לשנת 2017 </a:t>
          </a:r>
        </a:p>
      </dsp:txBody>
      <dsp:txXfrm>
        <a:off x="1688127" y="600690"/>
        <a:ext cx="892570" cy="892570"/>
      </dsp:txXfrm>
    </dsp:sp>
    <dsp:sp modelId="{F4922950-92BC-4931-A601-90AAF7CE92B9}">
      <dsp:nvSpPr>
        <dsp:cNvPr id="0" name=""/>
        <dsp:cNvSpPr/>
      </dsp:nvSpPr>
      <dsp:spPr>
        <a:xfrm rot="5400000">
          <a:off x="2639002" y="230975"/>
          <a:ext cx="1262285" cy="1262285"/>
        </a:xfrm>
        <a:prstGeom prst="pieWedg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rtl="1">
            <a:lnSpc>
              <a:spcPct val="90000"/>
            </a:lnSpc>
            <a:spcBef>
              <a:spcPct val="0"/>
            </a:spcBef>
            <a:spcAft>
              <a:spcPct val="35000"/>
            </a:spcAft>
            <a:buNone/>
          </a:pPr>
          <a:r>
            <a:rPr lang="he-IL" sz="1300" kern="1200"/>
            <a:t>דוחות מבוקרים 2018	</a:t>
          </a:r>
        </a:p>
      </dsp:txBody>
      <dsp:txXfrm rot="-5400000">
        <a:off x="2639002" y="600690"/>
        <a:ext cx="892570" cy="892570"/>
      </dsp:txXfrm>
    </dsp:sp>
    <dsp:sp modelId="{49C8629C-7CED-4D7A-9E2A-2A41D4C668DF}">
      <dsp:nvSpPr>
        <dsp:cNvPr id="0" name=""/>
        <dsp:cNvSpPr/>
      </dsp:nvSpPr>
      <dsp:spPr>
        <a:xfrm rot="10800000">
          <a:off x="2639002" y="1551564"/>
          <a:ext cx="1262285" cy="1262285"/>
        </a:xfrm>
        <a:prstGeom prst="pieWedg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rtl="1">
            <a:lnSpc>
              <a:spcPct val="90000"/>
            </a:lnSpc>
            <a:spcBef>
              <a:spcPct val="0"/>
            </a:spcBef>
            <a:spcAft>
              <a:spcPct val="35000"/>
            </a:spcAft>
            <a:buNone/>
          </a:pPr>
          <a:r>
            <a:rPr lang="he-IL" sz="1300" kern="1200"/>
            <a:t>דוחות מבוקרים לשנת 2016</a:t>
          </a:r>
        </a:p>
      </dsp:txBody>
      <dsp:txXfrm rot="10800000">
        <a:off x="2639002" y="1551564"/>
        <a:ext cx="892570" cy="892570"/>
      </dsp:txXfrm>
    </dsp:sp>
    <dsp:sp modelId="{959FFFC5-C3D5-4E21-8A1A-4109A1EFD1C0}">
      <dsp:nvSpPr>
        <dsp:cNvPr id="0" name=""/>
        <dsp:cNvSpPr/>
      </dsp:nvSpPr>
      <dsp:spPr>
        <a:xfrm rot="16200000">
          <a:off x="1318412" y="1551564"/>
          <a:ext cx="1262285" cy="1262285"/>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rtl="1">
            <a:lnSpc>
              <a:spcPct val="90000"/>
            </a:lnSpc>
            <a:spcBef>
              <a:spcPct val="0"/>
            </a:spcBef>
            <a:spcAft>
              <a:spcPct val="35000"/>
            </a:spcAft>
            <a:buNone/>
          </a:pPr>
          <a:r>
            <a:rPr lang="he-IL" sz="1300" kern="1200"/>
            <a:t>טיוטות דוחות מבוקרים </a:t>
          </a:r>
        </a:p>
      </dsp:txBody>
      <dsp:txXfrm rot="5400000">
        <a:off x="1688127" y="1551564"/>
        <a:ext cx="892570" cy="892570"/>
      </dsp:txXfrm>
    </dsp:sp>
    <dsp:sp modelId="{9D7A5832-F5A2-44B1-9AB4-55D5308A6D1D}">
      <dsp:nvSpPr>
        <dsp:cNvPr id="0" name=""/>
        <dsp:cNvSpPr/>
      </dsp:nvSpPr>
      <dsp:spPr>
        <a:xfrm>
          <a:off x="2391938" y="1260043"/>
          <a:ext cx="435823" cy="378977"/>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AF4BFE-5A74-4BE4-9F94-EBD321D9A488}">
      <dsp:nvSpPr>
        <dsp:cNvPr id="0" name=""/>
        <dsp:cNvSpPr/>
      </dsp:nvSpPr>
      <dsp:spPr>
        <a:xfrm rot="10800000">
          <a:off x="2391938" y="1405804"/>
          <a:ext cx="435823" cy="378977"/>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AE62E-B6F9-49FB-B62B-92D76130AF7B}">
      <dsp:nvSpPr>
        <dsp:cNvPr id="0" name=""/>
        <dsp:cNvSpPr/>
      </dsp:nvSpPr>
      <dsp:spPr>
        <a:xfrm rot="5400000">
          <a:off x="-104846" y="116996"/>
          <a:ext cx="698979" cy="489285"/>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Calibri"/>
              <a:ea typeface="+mn-ea"/>
              <a:cs typeface="+mn-cs"/>
            </a:rPr>
            <a:t>נובמבר 1993</a:t>
          </a:r>
        </a:p>
      </dsp:txBody>
      <dsp:txXfrm rot="-5400000">
        <a:off x="2" y="256792"/>
        <a:ext cx="489285" cy="209694"/>
      </dsp:txXfrm>
    </dsp:sp>
    <dsp:sp modelId="{63CB32D5-9C57-410A-B6F1-F3A3A2793B37}">
      <dsp:nvSpPr>
        <dsp:cNvPr id="0" name=""/>
        <dsp:cNvSpPr/>
      </dsp:nvSpPr>
      <dsp:spPr>
        <a:xfrm rot="5400000">
          <a:off x="2421956" y="-1920521"/>
          <a:ext cx="454575" cy="4319917"/>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הקמת וועדה בעניין תקני דיווח וחשבונאות במגזר הממשלתי (ועדת אבישר) על ידי החשכ"ל (להלן - ועדה מספר 1). המלצות הוועדה הוגשו בפברואר 1995 ועיקרן היה הצורך בקביעת כללי דיווח חשבונאים על בסיס </a:t>
          </a:r>
          <a:r>
            <a:rPr lang="he-IL" sz="1000" b="1" kern="1200">
              <a:solidFill>
                <a:sysClr val="windowText" lastClr="000000">
                  <a:hueOff val="0"/>
                  <a:satOff val="0"/>
                  <a:lumOff val="0"/>
                  <a:alphaOff val="0"/>
                </a:sysClr>
              </a:solidFill>
              <a:latin typeface="Calibri"/>
              <a:ea typeface="+mn-ea"/>
              <a:cs typeface="+mn-cs"/>
            </a:rPr>
            <a:t>מצטבר</a:t>
          </a:r>
          <a:r>
            <a:rPr lang="he-IL" sz="1000" kern="1200">
              <a:solidFill>
                <a:sysClr val="windowText" lastClr="000000">
                  <a:hueOff val="0"/>
                  <a:satOff val="0"/>
                  <a:lumOff val="0"/>
                  <a:alphaOff val="0"/>
                </a:sysClr>
              </a:solidFill>
              <a:latin typeface="Calibri"/>
              <a:ea typeface="+mn-ea"/>
              <a:cs typeface="+mn-cs"/>
            </a:rPr>
            <a:t>. </a:t>
          </a:r>
        </a:p>
      </dsp:txBody>
      <dsp:txXfrm rot="-5400000">
        <a:off x="489286" y="34340"/>
        <a:ext cx="4297726" cy="410193"/>
      </dsp:txXfrm>
    </dsp:sp>
    <dsp:sp modelId="{8A0A7FE1-E445-4506-BD28-4585CFFEA550}">
      <dsp:nvSpPr>
        <dsp:cNvPr id="0" name=""/>
        <dsp:cNvSpPr/>
      </dsp:nvSpPr>
      <dsp:spPr>
        <a:xfrm rot="5400000">
          <a:off x="-104846" y="743331"/>
          <a:ext cx="698979" cy="489285"/>
        </a:xfrm>
        <a:prstGeom prst="chevron">
          <a:avLst/>
        </a:prstGeom>
        <a:solidFill>
          <a:srgbClr val="C0504D">
            <a:hueOff val="668788"/>
            <a:satOff val="-834"/>
            <a:lumOff val="196"/>
            <a:alphaOff val="0"/>
          </a:srgbClr>
        </a:solidFill>
        <a:ln w="25400" cap="flat" cmpd="sng" algn="ctr">
          <a:solidFill>
            <a:srgbClr val="C0504D">
              <a:hueOff val="668788"/>
              <a:satOff val="-834"/>
              <a:lumOff val="196"/>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יוני 1995</a:t>
          </a:r>
        </a:p>
      </dsp:txBody>
      <dsp:txXfrm rot="-5400000">
        <a:off x="2" y="883127"/>
        <a:ext cx="489285" cy="209694"/>
      </dsp:txXfrm>
    </dsp:sp>
    <dsp:sp modelId="{20A7F9B5-E73B-41DB-AC56-86DDCA612364}">
      <dsp:nvSpPr>
        <dsp:cNvPr id="0" name=""/>
        <dsp:cNvSpPr/>
      </dsp:nvSpPr>
      <dsp:spPr>
        <a:xfrm rot="5400000">
          <a:off x="2422075" y="-1294305"/>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668788"/>
              <a:satOff val="-834"/>
              <a:lumOff val="19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החשכ"ל ממנה ועדה לתקני דיווח וחשבונאות במגזר הממשלתי (להלן- ועדה מספר 2). באפריל 1997 פירסמה הוועדה דוח ביניים והמליצה על מודל דיווח התומך במערכת חשבונאית מלאה ומאוזנת. </a:t>
          </a:r>
        </a:p>
      </dsp:txBody>
      <dsp:txXfrm rot="-5400000">
        <a:off x="489285" y="660664"/>
        <a:ext cx="4297738" cy="409978"/>
      </dsp:txXfrm>
    </dsp:sp>
    <dsp:sp modelId="{AD9D301A-1BC6-4700-82A5-70BC54D522E0}">
      <dsp:nvSpPr>
        <dsp:cNvPr id="0" name=""/>
        <dsp:cNvSpPr/>
      </dsp:nvSpPr>
      <dsp:spPr>
        <a:xfrm rot="5400000">
          <a:off x="-104846" y="1416386"/>
          <a:ext cx="698979" cy="489285"/>
        </a:xfrm>
        <a:prstGeom prst="chevron">
          <a:avLst/>
        </a:prstGeom>
        <a:solidFill>
          <a:srgbClr val="C0504D">
            <a:hueOff val="1337577"/>
            <a:satOff val="-1668"/>
            <a:lumOff val="392"/>
            <a:alphaOff val="0"/>
          </a:srgbClr>
        </a:solidFill>
        <a:ln w="25400" cap="flat" cmpd="sng" algn="ctr">
          <a:solidFill>
            <a:srgbClr val="C0504D">
              <a:hueOff val="1337577"/>
              <a:satOff val="-1668"/>
              <a:lumOff val="39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1998</a:t>
          </a:r>
        </a:p>
      </dsp:txBody>
      <dsp:txXfrm rot="-5400000">
        <a:off x="2" y="1556182"/>
        <a:ext cx="489285" cy="209694"/>
      </dsp:txXfrm>
    </dsp:sp>
    <dsp:sp modelId="{1022E058-4D0D-48A6-8BB5-76475D87B9DE}">
      <dsp:nvSpPr>
        <dsp:cNvPr id="0" name=""/>
        <dsp:cNvSpPr/>
      </dsp:nvSpPr>
      <dsp:spPr>
        <a:xfrm rot="5400000">
          <a:off x="2375356" y="-621250"/>
          <a:ext cx="547775" cy="4319917"/>
        </a:xfrm>
        <a:prstGeom prst="round2SameRect">
          <a:avLst/>
        </a:prstGeom>
        <a:solidFill>
          <a:sysClr val="window" lastClr="FFFFFF">
            <a:alpha val="90000"/>
            <a:hueOff val="0"/>
            <a:satOff val="0"/>
            <a:lumOff val="0"/>
            <a:alphaOff val="0"/>
          </a:sysClr>
        </a:solidFill>
        <a:ln w="25400" cap="flat" cmpd="sng" algn="ctr">
          <a:solidFill>
            <a:srgbClr val="C0504D">
              <a:hueOff val="1337577"/>
              <a:satOff val="-1668"/>
              <a:lumOff val="39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החשכ"ל פונה למשרדי רואה חשבון לצורך איסוף מידע אודות הנעשה בחמש מדינות בעולם שעשו רפורמה בחשבונאות ולגיבוש המלצות לכללי דיווח חשבונאי במגזר הממשלתי. בינואר 1999 המליצה ועדה מספר 2 שהדיווח הכספי יהיה על בסיס </a:t>
          </a:r>
          <a:r>
            <a:rPr lang="he-IL" sz="1000" b="1" kern="1200">
              <a:solidFill>
                <a:sysClr val="windowText" lastClr="000000">
                  <a:hueOff val="0"/>
                  <a:satOff val="0"/>
                  <a:lumOff val="0"/>
                  <a:alphaOff val="0"/>
                </a:sysClr>
              </a:solidFill>
              <a:latin typeface="Calibri"/>
              <a:ea typeface="+mn-ea"/>
              <a:cs typeface="+mn-cs"/>
            </a:rPr>
            <a:t>מצטבר</a:t>
          </a:r>
          <a:r>
            <a:rPr lang="he-IL" sz="1000" kern="1200">
              <a:solidFill>
                <a:sysClr val="windowText" lastClr="000000">
                  <a:hueOff val="0"/>
                  <a:satOff val="0"/>
                  <a:lumOff val="0"/>
                  <a:alphaOff val="0"/>
                </a:sysClr>
              </a:solidFill>
              <a:latin typeface="Calibri"/>
              <a:ea typeface="+mn-ea"/>
              <a:cs typeface="+mn-cs"/>
            </a:rPr>
            <a:t>.</a:t>
          </a:r>
          <a:r>
            <a:rPr lang="en-US" sz="1000" kern="1200">
              <a:solidFill>
                <a:sysClr val="windowText" lastClr="000000">
                  <a:hueOff val="0"/>
                  <a:satOff val="0"/>
                  <a:lumOff val="0"/>
                  <a:alphaOff val="0"/>
                </a:sysClr>
              </a:solidFill>
              <a:latin typeface="Calibri"/>
              <a:ea typeface="+mn-ea"/>
              <a:cs typeface="+mn-cs"/>
            </a:rPr>
            <a:t> </a:t>
          </a:r>
          <a:endParaRPr lang="he-IL" sz="1000" kern="1200">
            <a:solidFill>
              <a:sysClr val="windowText" lastClr="000000">
                <a:hueOff val="0"/>
                <a:satOff val="0"/>
                <a:lumOff val="0"/>
                <a:alphaOff val="0"/>
              </a:sysClr>
            </a:solidFill>
            <a:latin typeface="Calibri"/>
            <a:ea typeface="+mn-ea"/>
            <a:cs typeface="+mn-cs"/>
          </a:endParaRPr>
        </a:p>
      </dsp:txBody>
      <dsp:txXfrm rot="-5400000">
        <a:off x="489285" y="1291561"/>
        <a:ext cx="4293177" cy="494295"/>
      </dsp:txXfrm>
    </dsp:sp>
    <dsp:sp modelId="{548D7E25-D089-48F8-B32C-F0E7B05581A5}">
      <dsp:nvSpPr>
        <dsp:cNvPr id="0" name=""/>
        <dsp:cNvSpPr/>
      </dsp:nvSpPr>
      <dsp:spPr>
        <a:xfrm rot="5400000">
          <a:off x="-104846" y="2042722"/>
          <a:ext cx="698979" cy="489285"/>
        </a:xfrm>
        <a:prstGeom prst="chevron">
          <a:avLst/>
        </a:prstGeom>
        <a:solidFill>
          <a:srgbClr val="C0504D">
            <a:hueOff val="2006365"/>
            <a:satOff val="-2502"/>
            <a:lumOff val="588"/>
            <a:alphaOff val="0"/>
          </a:srgbClr>
        </a:solidFill>
        <a:ln w="25400" cap="flat" cmpd="sng" algn="ctr">
          <a:solidFill>
            <a:srgbClr val="C0504D">
              <a:hueOff val="2006365"/>
              <a:satOff val="-2502"/>
              <a:lumOff val="58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מאי 2000</a:t>
          </a:r>
        </a:p>
      </dsp:txBody>
      <dsp:txXfrm rot="-5400000">
        <a:off x="2" y="2182518"/>
        <a:ext cx="489285" cy="209694"/>
      </dsp:txXfrm>
    </dsp:sp>
    <dsp:sp modelId="{B0C615F6-97DC-40C5-B84D-227D10EB483B}">
      <dsp:nvSpPr>
        <dsp:cNvPr id="0" name=""/>
        <dsp:cNvSpPr/>
      </dsp:nvSpPr>
      <dsp:spPr>
        <a:xfrm rot="5400000">
          <a:off x="2422075" y="5085"/>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2006365"/>
              <a:satOff val="-2502"/>
              <a:lumOff val="58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אישור המלצות וועדה מספר 2 על ידי החשכ"ל ומיפוי הפעילויות החשבונאיות והכספיות במשרדי הממשלה. </a:t>
          </a:r>
        </a:p>
      </dsp:txBody>
      <dsp:txXfrm rot="-5400000">
        <a:off x="489285" y="1960055"/>
        <a:ext cx="4297738" cy="409978"/>
      </dsp:txXfrm>
    </dsp:sp>
    <dsp:sp modelId="{50CB91EF-5156-4FEE-9315-5348DAB8BF49}">
      <dsp:nvSpPr>
        <dsp:cNvPr id="0" name=""/>
        <dsp:cNvSpPr/>
      </dsp:nvSpPr>
      <dsp:spPr>
        <a:xfrm rot="5400000">
          <a:off x="-104846" y="2669058"/>
          <a:ext cx="698979" cy="489285"/>
        </a:xfrm>
        <a:prstGeom prst="chevron">
          <a:avLst/>
        </a:prstGeom>
        <a:solidFill>
          <a:srgbClr val="C0504D">
            <a:hueOff val="2675154"/>
            <a:satOff val="-3337"/>
            <a:lumOff val="785"/>
            <a:alphaOff val="0"/>
          </a:srgbClr>
        </a:solidFill>
        <a:ln w="25400" cap="flat" cmpd="sng" algn="ctr">
          <a:solidFill>
            <a:srgbClr val="C0504D">
              <a:hueOff val="2675154"/>
              <a:satOff val="-3337"/>
              <a:lumOff val="78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יולי 2001</a:t>
          </a:r>
        </a:p>
      </dsp:txBody>
      <dsp:txXfrm rot="-5400000">
        <a:off x="2" y="2808854"/>
        <a:ext cx="489285" cy="209694"/>
      </dsp:txXfrm>
    </dsp:sp>
    <dsp:sp modelId="{C1575943-1596-446F-B237-B12022B64FA1}">
      <dsp:nvSpPr>
        <dsp:cNvPr id="0" name=""/>
        <dsp:cNvSpPr/>
      </dsp:nvSpPr>
      <dsp:spPr>
        <a:xfrm rot="5400000">
          <a:off x="2422075" y="631420"/>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2675154"/>
              <a:satOff val="-3337"/>
              <a:lumOff val="78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החשכ"ל ממנה וועדה נוספת (להלן - ועדה מספר 3) לכתיבת כללי חשבונאות ממשלתית והטעמתם במשרדי הממשלה. במקביל באוקטובר 2001 מונתה ועדת היגוי על ידי החשכ"ל לתחום הפיננסי בפרויקט מרכב"ה. </a:t>
          </a:r>
        </a:p>
      </dsp:txBody>
      <dsp:txXfrm rot="-5400000">
        <a:off x="489285" y="2586390"/>
        <a:ext cx="4297738" cy="409978"/>
      </dsp:txXfrm>
    </dsp:sp>
    <dsp:sp modelId="{172C2FC6-9AFA-4D89-94D8-14565D5F4D4F}">
      <dsp:nvSpPr>
        <dsp:cNvPr id="0" name=""/>
        <dsp:cNvSpPr/>
      </dsp:nvSpPr>
      <dsp:spPr>
        <a:xfrm rot="5400000">
          <a:off x="-104846" y="3295394"/>
          <a:ext cx="698979" cy="489285"/>
        </a:xfrm>
        <a:prstGeom prst="chevron">
          <a:avLst/>
        </a:prstGeom>
        <a:solidFill>
          <a:srgbClr val="C0504D">
            <a:hueOff val="3343942"/>
            <a:satOff val="-4171"/>
            <a:lumOff val="981"/>
            <a:alphaOff val="0"/>
          </a:srgbClr>
        </a:solidFill>
        <a:ln w="25400" cap="flat" cmpd="sng" algn="ctr">
          <a:solidFill>
            <a:srgbClr val="C0504D">
              <a:hueOff val="3343942"/>
              <a:satOff val="-4171"/>
              <a:lumOff val="981"/>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אפריל 2003</a:t>
          </a:r>
        </a:p>
      </dsp:txBody>
      <dsp:txXfrm rot="-5400000">
        <a:off x="2" y="3435190"/>
        <a:ext cx="489285" cy="209694"/>
      </dsp:txXfrm>
    </dsp:sp>
    <dsp:sp modelId="{00EEA5A8-BAAF-45D4-BDE1-567E74914FD8}">
      <dsp:nvSpPr>
        <dsp:cNvPr id="0" name=""/>
        <dsp:cNvSpPr/>
      </dsp:nvSpPr>
      <dsp:spPr>
        <a:xfrm rot="5400000">
          <a:off x="2422075" y="1257756"/>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3343942"/>
              <a:satOff val="-4171"/>
              <a:lumOff val="98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החלטת ועדת השרים לענייני ביקורת המדינה מס' 250 (בק/1) על הקמת צוות בינמשרדי שיבחן את ההצעה להקים מוסד לתקינה חשבונאית, וזאת בעקבות דוח מבקר המדינה 53ב.</a:t>
          </a:r>
        </a:p>
      </dsp:txBody>
      <dsp:txXfrm rot="-5400000">
        <a:off x="489285" y="3212726"/>
        <a:ext cx="4297738" cy="409978"/>
      </dsp:txXfrm>
    </dsp:sp>
    <dsp:sp modelId="{B618D174-601B-4A51-80F0-E12AC1B86AF4}">
      <dsp:nvSpPr>
        <dsp:cNvPr id="0" name=""/>
        <dsp:cNvSpPr/>
      </dsp:nvSpPr>
      <dsp:spPr>
        <a:xfrm rot="5400000">
          <a:off x="-104846" y="3921729"/>
          <a:ext cx="698979" cy="489285"/>
        </a:xfrm>
        <a:prstGeom prst="chevron">
          <a:avLst/>
        </a:prstGeom>
        <a:solidFill>
          <a:srgbClr val="C0504D">
            <a:hueOff val="4012731"/>
            <a:satOff val="-5005"/>
            <a:lumOff val="1177"/>
            <a:alphaOff val="0"/>
          </a:srgbClr>
        </a:solidFill>
        <a:ln w="25400" cap="flat" cmpd="sng" algn="ctr">
          <a:solidFill>
            <a:srgbClr val="C0504D">
              <a:hueOff val="4012731"/>
              <a:satOff val="-5005"/>
              <a:lumOff val="1177"/>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 lastClr="FFFFFF"/>
              </a:solidFill>
              <a:latin typeface="Calibri"/>
              <a:ea typeface="+mn-ea"/>
              <a:cs typeface="+mn-cs"/>
            </a:rPr>
            <a:t>נובמבר 2003</a:t>
          </a:r>
        </a:p>
      </dsp:txBody>
      <dsp:txXfrm rot="-5400000">
        <a:off x="2" y="4061525"/>
        <a:ext cx="489285" cy="209694"/>
      </dsp:txXfrm>
    </dsp:sp>
    <dsp:sp modelId="{C3D9A20C-C42F-4BE7-8B24-5511AA656A13}">
      <dsp:nvSpPr>
        <dsp:cNvPr id="0" name=""/>
        <dsp:cNvSpPr/>
      </dsp:nvSpPr>
      <dsp:spPr>
        <a:xfrm rot="5400000">
          <a:off x="2422075" y="1884092"/>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4012731"/>
              <a:satOff val="-5005"/>
              <a:lumOff val="1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ועדת השרים לענייני ביקורת מס' 1103 (בק/37) הביעה מורת רוח מהעיכוב הנמשך בעבודת הצוות הבינמשרדי לבחינת התקינה החשבונאית הממשלתית.</a:t>
          </a:r>
        </a:p>
      </dsp:txBody>
      <dsp:txXfrm rot="-5400000">
        <a:off x="489285" y="3839062"/>
        <a:ext cx="4297738" cy="409978"/>
      </dsp:txXfrm>
    </dsp:sp>
    <dsp:sp modelId="{4DDE4BC8-BF97-4924-9212-13671C27F775}">
      <dsp:nvSpPr>
        <dsp:cNvPr id="0" name=""/>
        <dsp:cNvSpPr/>
      </dsp:nvSpPr>
      <dsp:spPr>
        <a:xfrm rot="5400000">
          <a:off x="-104846" y="4548065"/>
          <a:ext cx="698979" cy="489285"/>
        </a:xfrm>
        <a:prstGeom prst="chevron">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Calibri"/>
              <a:ea typeface="+mn-ea"/>
              <a:cs typeface="+mn-cs"/>
            </a:rPr>
            <a:t>אוגוסט 2004</a:t>
          </a:r>
        </a:p>
      </dsp:txBody>
      <dsp:txXfrm rot="-5400000">
        <a:off x="2" y="4687861"/>
        <a:ext cx="489285" cy="209694"/>
      </dsp:txXfrm>
    </dsp:sp>
    <dsp:sp modelId="{E0403C5D-8F25-443F-AC05-25B6F6813FF4}">
      <dsp:nvSpPr>
        <dsp:cNvPr id="0" name=""/>
        <dsp:cNvSpPr/>
      </dsp:nvSpPr>
      <dsp:spPr>
        <a:xfrm rot="5400000">
          <a:off x="2422075" y="2516611"/>
          <a:ext cx="454336" cy="4319917"/>
        </a:xfrm>
        <a:prstGeom prst="round2SameRect">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Calibri"/>
              <a:ea typeface="+mn-ea"/>
              <a:cs typeface="+mn-cs"/>
            </a:rPr>
            <a:t>החלטת ממשלה מס' 2375 בדבר הקמת המוסד לתקינה חשבונאית ממשלתית </a:t>
          </a:r>
        </a:p>
      </dsp:txBody>
      <dsp:txXfrm rot="-5400000">
        <a:off x="489285" y="4471581"/>
        <a:ext cx="4297738" cy="4099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DDDA2F-EEC6-4D19-A0CC-934211E98667}">
      <dsp:nvSpPr>
        <dsp:cNvPr id="0" name=""/>
        <dsp:cNvSpPr/>
      </dsp:nvSpPr>
      <dsp:spPr>
        <a:xfrm>
          <a:off x="855790" y="0"/>
          <a:ext cx="4849477" cy="2686050"/>
        </a:xfrm>
        <a:prstGeom prst="lef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915CB2B-7041-4312-95B6-32F85B399E63}">
      <dsp:nvSpPr>
        <dsp:cNvPr id="0" name=""/>
        <dsp:cNvSpPr/>
      </dsp:nvSpPr>
      <dsp:spPr>
        <a:xfrm>
          <a:off x="5021830"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בחירת סדר אימוץ התקנים על ידי יו"ר המוסד לתקינה חשבונאית ממשלתית </a:t>
          </a:r>
        </a:p>
      </dsp:txBody>
      <dsp:txXfrm>
        <a:off x="5055182" y="839167"/>
        <a:ext cx="616507" cy="1007716"/>
      </dsp:txXfrm>
    </dsp:sp>
    <dsp:sp modelId="{0C6C1BEF-29F9-42C8-B813-CAA2EDE454BD}">
      <dsp:nvSpPr>
        <dsp:cNvPr id="0" name=""/>
        <dsp:cNvSpPr/>
      </dsp:nvSpPr>
      <dsp:spPr>
        <a:xfrm>
          <a:off x="4304458"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הכנת תוכנית עבודה שנתית המוצגת לאישור חברי הוועדה</a:t>
          </a:r>
        </a:p>
      </dsp:txBody>
      <dsp:txXfrm>
        <a:off x="4337810" y="839167"/>
        <a:ext cx="616507" cy="1007716"/>
      </dsp:txXfrm>
    </dsp:sp>
    <dsp:sp modelId="{2F4D489F-2D47-4597-9846-53EDBBEFE7B6}">
      <dsp:nvSpPr>
        <dsp:cNvPr id="0" name=""/>
        <dsp:cNvSpPr/>
      </dsp:nvSpPr>
      <dsp:spPr>
        <a:xfrm>
          <a:off x="3587086"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תרגום התקן הבינלאומי הרלוונטי והכנת חומר מקצועי נוסף בנושא</a:t>
          </a:r>
        </a:p>
      </dsp:txBody>
      <dsp:txXfrm>
        <a:off x="3620438" y="839167"/>
        <a:ext cx="616507" cy="1007716"/>
      </dsp:txXfrm>
    </dsp:sp>
    <dsp:sp modelId="{1CB89F2F-656D-4537-832A-BB8CD6463065}">
      <dsp:nvSpPr>
        <dsp:cNvPr id="0" name=""/>
        <dsp:cNvSpPr/>
      </dsp:nvSpPr>
      <dsp:spPr>
        <a:xfrm>
          <a:off x="2869714"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הקמת צוות מקצועי אד הוק לדיון בנושא הרלוונטי </a:t>
          </a:r>
        </a:p>
      </dsp:txBody>
      <dsp:txXfrm>
        <a:off x="2903066" y="839167"/>
        <a:ext cx="616507" cy="1007716"/>
      </dsp:txXfrm>
    </dsp:sp>
    <dsp:sp modelId="{74EAC9DF-060C-4303-B6D7-A9A0B2877981}">
      <dsp:nvSpPr>
        <dsp:cNvPr id="0" name=""/>
        <dsp:cNvSpPr/>
      </dsp:nvSpPr>
      <dsp:spPr>
        <a:xfrm>
          <a:off x="2152342"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אישור התקן על ידי חברי הוועדה</a:t>
          </a:r>
        </a:p>
      </dsp:txBody>
      <dsp:txXfrm>
        <a:off x="2185694" y="839167"/>
        <a:ext cx="616507" cy="1007716"/>
      </dsp:txXfrm>
    </dsp:sp>
    <dsp:sp modelId="{BA35251E-108E-41F6-BC32-C9DE441DD483}">
      <dsp:nvSpPr>
        <dsp:cNvPr id="0" name=""/>
        <dsp:cNvSpPr/>
      </dsp:nvSpPr>
      <dsp:spPr>
        <a:xfrm>
          <a:off x="1434970"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הפצת הצעה לתקן באתר החשכ"ל ואתר לשכת רואי חשבון</a:t>
          </a:r>
        </a:p>
      </dsp:txBody>
      <dsp:txXfrm>
        <a:off x="1468322" y="839167"/>
        <a:ext cx="616507" cy="1007716"/>
      </dsp:txXfrm>
    </dsp:sp>
    <dsp:sp modelId="{4C022953-A3B4-47C3-8FB8-85640C068A4D}">
      <dsp:nvSpPr>
        <dsp:cNvPr id="0" name=""/>
        <dsp:cNvSpPr/>
      </dsp:nvSpPr>
      <dsp:spPr>
        <a:xfrm>
          <a:off x="717598"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קבלת תגובות ביחס להצעה לתקן </a:t>
          </a:r>
        </a:p>
      </dsp:txBody>
      <dsp:txXfrm>
        <a:off x="750950" y="839167"/>
        <a:ext cx="616507" cy="1007716"/>
      </dsp:txXfrm>
    </dsp:sp>
    <dsp:sp modelId="{F3861D99-74C7-4C75-B22D-F203893FA5A4}">
      <dsp:nvSpPr>
        <dsp:cNvPr id="0" name=""/>
        <dsp:cNvSpPr/>
      </dsp:nvSpPr>
      <dsp:spPr>
        <a:xfrm>
          <a:off x="226" y="805815"/>
          <a:ext cx="683211" cy="10744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פרסום התקן באתר האינטרנט של לשכת רואי חשבון והחשב הכללי ולכל המשתמשים הרלוונטיים</a:t>
          </a:r>
          <a:r>
            <a:rPr lang="en-US" sz="800" kern="1200">
              <a:solidFill>
                <a:sysClr val="window" lastClr="FFFFFF"/>
              </a:solidFill>
              <a:latin typeface="Calibri"/>
              <a:ea typeface="+mn-ea"/>
              <a:cs typeface="Arial" panose="020B0604020202020204" pitchFamily="34" charset="0"/>
            </a:rPr>
            <a:t> </a:t>
          </a:r>
          <a:endParaRPr lang="he-IL" sz="800" kern="1200">
            <a:solidFill>
              <a:sysClr val="window" lastClr="FFFFFF"/>
            </a:solidFill>
            <a:latin typeface="Calibri"/>
            <a:ea typeface="+mn-ea"/>
            <a:cs typeface="Arial" panose="020B0604020202020204" pitchFamily="34" charset="0"/>
          </a:endParaRPr>
        </a:p>
      </dsp:txBody>
      <dsp:txXfrm>
        <a:off x="33578" y="839167"/>
        <a:ext cx="616507" cy="10077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5C79A-C98B-4BAB-B8D1-4A9DF8FD1835}">
      <dsp:nvSpPr>
        <dsp:cNvPr id="0" name=""/>
        <dsp:cNvSpPr/>
      </dsp:nvSpPr>
      <dsp:spPr>
        <a:xfrm>
          <a:off x="4191" y="535245"/>
          <a:ext cx="2542415" cy="301075"/>
        </a:xfrm>
        <a:prstGeom prst="rect">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dsp:spPr>
      <dsp:style>
        <a:lnRef idx="1">
          <a:scrgbClr r="0" g="0" b="0"/>
        </a:lnRef>
        <a:fillRef idx="1">
          <a:scrgbClr r="0" g="0" b="0"/>
        </a:fillRef>
        <a:effectRef idx="0">
          <a:scrgbClr r="0" g="0" b="0"/>
        </a:effectRef>
        <a:fontRef idx="minor">
          <a:schemeClr val="lt1"/>
        </a:fontRef>
      </dsp:style>
    </dsp:sp>
    <dsp:sp modelId="{4FD16648-E7F7-4F0A-BC6A-D42074280F73}">
      <dsp:nvSpPr>
        <dsp:cNvPr id="0" name=""/>
        <dsp:cNvSpPr/>
      </dsp:nvSpPr>
      <dsp:spPr>
        <a:xfrm>
          <a:off x="2361442" y="2789887"/>
          <a:ext cx="183990" cy="183990"/>
        </a:xfrm>
        <a:prstGeom prst="rect">
          <a:avLst/>
        </a:prstGeom>
        <a:solidFill>
          <a:sysClr val="window" lastClr="FFFFFF">
            <a:alpha val="90000"/>
            <a:hueOff val="0"/>
            <a:satOff val="0"/>
            <a:lumOff val="0"/>
            <a:alphaOff val="0"/>
          </a:sysClr>
        </a:solidFill>
        <a:ln w="9525" cap="flat" cmpd="sng" algn="ctr">
          <a:no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4D3E46F2-9B33-49D8-B4A6-933AA68F3ACC}">
      <dsp:nvSpPr>
        <dsp:cNvPr id="0" name=""/>
        <dsp:cNvSpPr/>
      </dsp:nvSpPr>
      <dsp:spPr>
        <a:xfrm>
          <a:off x="4191" y="0"/>
          <a:ext cx="2542415" cy="535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תקנים חדשים שהותקנו במקום אלה שבוטלו בתקינה הבינלאומית אך טרם הותקנו על ידי הוועדה בישראל </a:t>
          </a:r>
        </a:p>
      </dsp:txBody>
      <dsp:txXfrm>
        <a:off x="4191" y="0"/>
        <a:ext cx="2542415" cy="535245"/>
      </dsp:txXfrm>
    </dsp:sp>
    <dsp:sp modelId="{DB432B8C-3EDA-487D-B0E5-D7014F3E6D5A}">
      <dsp:nvSpPr>
        <dsp:cNvPr id="0" name=""/>
        <dsp:cNvSpPr/>
      </dsp:nvSpPr>
      <dsp:spPr>
        <a:xfrm>
          <a:off x="4191" y="1088555"/>
          <a:ext cx="187001" cy="187001"/>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A9BA3D57-B4C0-494B-938D-E4CD5035430C}">
      <dsp:nvSpPr>
        <dsp:cNvPr id="0" name=""/>
        <dsp:cNvSpPr/>
      </dsp:nvSpPr>
      <dsp:spPr>
        <a:xfrm>
          <a:off x="182160" y="962438"/>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34</a:t>
          </a:r>
          <a:r>
            <a:rPr lang="he-IL" sz="1000" kern="1200">
              <a:solidFill>
                <a:sysClr val="windowText" lastClr="000000">
                  <a:hueOff val="0"/>
                  <a:satOff val="0"/>
                  <a:lumOff val="0"/>
                  <a:alphaOff val="0"/>
                </a:sysClr>
              </a:solidFill>
              <a:latin typeface="Calibri"/>
              <a:ea typeface="+mn-ea"/>
              <a:cs typeface="Arial" panose="020B0604020202020204" pitchFamily="34" charset="0"/>
            </a:rPr>
            <a:t> - דוחות כספיים נפרדים </a:t>
          </a:r>
        </a:p>
      </dsp:txBody>
      <dsp:txXfrm>
        <a:off x="182160" y="962438"/>
        <a:ext cx="2364446" cy="434886"/>
      </dsp:txXfrm>
    </dsp:sp>
    <dsp:sp modelId="{3B19F5F0-93D0-46EE-A7EB-0070CAC8EE92}">
      <dsp:nvSpPr>
        <dsp:cNvPr id="0" name=""/>
        <dsp:cNvSpPr/>
      </dsp:nvSpPr>
      <dsp:spPr>
        <a:xfrm>
          <a:off x="4191" y="1523442"/>
          <a:ext cx="187001" cy="187001"/>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9AC70AE6-1D95-4F8F-989B-C30372E22EC6}">
      <dsp:nvSpPr>
        <dsp:cNvPr id="0" name=""/>
        <dsp:cNvSpPr/>
      </dsp:nvSpPr>
      <dsp:spPr>
        <a:xfrm>
          <a:off x="182160" y="1397325"/>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35</a:t>
          </a:r>
          <a:r>
            <a:rPr lang="he-IL" sz="1000" kern="1200">
              <a:solidFill>
                <a:sysClr val="windowText" lastClr="000000">
                  <a:hueOff val="0"/>
                  <a:satOff val="0"/>
                  <a:lumOff val="0"/>
                  <a:alphaOff val="0"/>
                </a:sysClr>
              </a:solidFill>
              <a:latin typeface="Calibri"/>
              <a:ea typeface="+mn-ea"/>
              <a:cs typeface="Arial" panose="020B0604020202020204" pitchFamily="34" charset="0"/>
            </a:rPr>
            <a:t>- דוחות כספיים מאוחדים </a:t>
          </a:r>
        </a:p>
      </dsp:txBody>
      <dsp:txXfrm>
        <a:off x="182160" y="1397325"/>
        <a:ext cx="2364446" cy="434886"/>
      </dsp:txXfrm>
    </dsp:sp>
    <dsp:sp modelId="{1344DCC6-A922-4BE3-8C6F-731A5576525D}">
      <dsp:nvSpPr>
        <dsp:cNvPr id="0" name=""/>
        <dsp:cNvSpPr/>
      </dsp:nvSpPr>
      <dsp:spPr>
        <a:xfrm>
          <a:off x="4191" y="1958329"/>
          <a:ext cx="187001" cy="187001"/>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9B481A5E-C013-4C06-87C7-9CA7BF6FC714}">
      <dsp:nvSpPr>
        <dsp:cNvPr id="0" name=""/>
        <dsp:cNvSpPr/>
      </dsp:nvSpPr>
      <dsp:spPr>
        <a:xfrm>
          <a:off x="182160" y="1832212"/>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37</a:t>
          </a:r>
          <a:r>
            <a:rPr lang="he-IL" sz="1000" kern="1200">
              <a:solidFill>
                <a:sysClr val="windowText" lastClr="000000">
                  <a:hueOff val="0"/>
                  <a:satOff val="0"/>
                  <a:lumOff val="0"/>
                  <a:alphaOff val="0"/>
                </a:sysClr>
              </a:solidFill>
              <a:latin typeface="Calibri"/>
              <a:ea typeface="+mn-ea"/>
              <a:cs typeface="Arial" panose="020B0604020202020204" pitchFamily="34" charset="0"/>
            </a:rPr>
            <a:t> - הסדרים משותפים </a:t>
          </a:r>
        </a:p>
      </dsp:txBody>
      <dsp:txXfrm>
        <a:off x="182160" y="1832212"/>
        <a:ext cx="2364446" cy="434886"/>
      </dsp:txXfrm>
    </dsp:sp>
    <dsp:sp modelId="{3F87B666-BE69-4A72-9F0A-97916E9A47D2}">
      <dsp:nvSpPr>
        <dsp:cNvPr id="0" name=""/>
        <dsp:cNvSpPr/>
      </dsp:nvSpPr>
      <dsp:spPr>
        <a:xfrm>
          <a:off x="4191" y="2393216"/>
          <a:ext cx="187001" cy="187001"/>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6D4AE924-29A4-4C40-82B5-D8D6CE51829E}">
      <dsp:nvSpPr>
        <dsp:cNvPr id="0" name=""/>
        <dsp:cNvSpPr/>
      </dsp:nvSpPr>
      <dsp:spPr>
        <a:xfrm>
          <a:off x="182160" y="2267099"/>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38 </a:t>
          </a:r>
          <a:r>
            <a:rPr lang="he-IL" sz="1000" kern="1200">
              <a:solidFill>
                <a:sysClr val="windowText" lastClr="000000">
                  <a:hueOff val="0"/>
                  <a:satOff val="0"/>
                  <a:lumOff val="0"/>
                  <a:alphaOff val="0"/>
                </a:sysClr>
              </a:solidFill>
              <a:latin typeface="Calibri"/>
              <a:ea typeface="+mn-ea"/>
              <a:cs typeface="Arial" panose="020B0604020202020204" pitchFamily="34" charset="0"/>
            </a:rPr>
            <a:t>- גילוי של זכויות בישויות אחרות </a:t>
          </a:r>
        </a:p>
      </dsp:txBody>
      <dsp:txXfrm>
        <a:off x="182160" y="2267099"/>
        <a:ext cx="2364446" cy="434886"/>
      </dsp:txXfrm>
    </dsp:sp>
    <dsp:sp modelId="{4381BD9A-72A7-4210-BB02-E654764DF2C8}">
      <dsp:nvSpPr>
        <dsp:cNvPr id="0" name=""/>
        <dsp:cNvSpPr/>
      </dsp:nvSpPr>
      <dsp:spPr>
        <a:xfrm>
          <a:off x="2673727" y="624310"/>
          <a:ext cx="2542415" cy="301075"/>
        </a:xfrm>
        <a:prstGeom prst="rect">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dsp:spPr>
      <dsp:style>
        <a:lnRef idx="1">
          <a:scrgbClr r="0" g="0" b="0"/>
        </a:lnRef>
        <a:fillRef idx="1">
          <a:scrgbClr r="0" g="0" b="0"/>
        </a:fillRef>
        <a:effectRef idx="0">
          <a:scrgbClr r="0" g="0" b="0"/>
        </a:effectRef>
        <a:fontRef idx="minor">
          <a:schemeClr val="lt1"/>
        </a:fontRef>
      </dsp:style>
    </dsp:sp>
    <dsp:sp modelId="{F3067B0A-4F51-4281-90E7-78414F78ED0E}">
      <dsp:nvSpPr>
        <dsp:cNvPr id="0" name=""/>
        <dsp:cNvSpPr/>
      </dsp:nvSpPr>
      <dsp:spPr>
        <a:xfrm>
          <a:off x="3683131" y="2861142"/>
          <a:ext cx="183990" cy="183990"/>
        </a:xfrm>
        <a:prstGeom prst="rect">
          <a:avLst/>
        </a:prstGeom>
        <a:solidFill>
          <a:schemeClr val="lt1">
            <a:alpha val="90000"/>
            <a:hueOff val="0"/>
            <a:satOff val="0"/>
            <a:lumOff val="0"/>
            <a:alphaOff val="0"/>
          </a:schemeClr>
        </a:solidFill>
        <a:ln w="9525" cap="flat" cmpd="sng" algn="ctr">
          <a:solidFill>
            <a:schemeClr val="bg1"/>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2F71C3B6-C42C-4BB3-BB37-A00C4FD74708}">
      <dsp:nvSpPr>
        <dsp:cNvPr id="0" name=""/>
        <dsp:cNvSpPr/>
      </dsp:nvSpPr>
      <dsp:spPr>
        <a:xfrm>
          <a:off x="2689757" y="0"/>
          <a:ext cx="2510356" cy="713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תקנים שבוטלו בתקינה החשבונאית הבינלאומית אך עדיין ממשיכים לחול בישראל </a:t>
          </a:r>
        </a:p>
      </dsp:txBody>
      <dsp:txXfrm>
        <a:off x="2689757" y="0"/>
        <a:ext cx="2510356" cy="713375"/>
      </dsp:txXfrm>
    </dsp:sp>
    <dsp:sp modelId="{1E3A63A7-12AA-46B4-BE82-898A4831A0A5}">
      <dsp:nvSpPr>
        <dsp:cNvPr id="0" name=""/>
        <dsp:cNvSpPr/>
      </dsp:nvSpPr>
      <dsp:spPr>
        <a:xfrm>
          <a:off x="2683824" y="1131159"/>
          <a:ext cx="187001" cy="187001"/>
        </a:xfrm>
        <a:prstGeom prst="rect">
          <a:avLst/>
        </a:prstGeom>
        <a:gradFill rotWithShape="0">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224012C4-BA2F-4029-B66E-04643FDA9BA9}">
      <dsp:nvSpPr>
        <dsp:cNvPr id="0" name=""/>
        <dsp:cNvSpPr/>
      </dsp:nvSpPr>
      <dsp:spPr>
        <a:xfrm>
          <a:off x="2851697" y="1051503"/>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6</a:t>
          </a:r>
          <a:r>
            <a:rPr lang="he-IL" sz="1000" kern="1200">
              <a:solidFill>
                <a:sysClr val="windowText" lastClr="000000">
                  <a:hueOff val="0"/>
                  <a:satOff val="0"/>
                  <a:lumOff val="0"/>
                  <a:alphaOff val="0"/>
                </a:sysClr>
              </a:solidFill>
              <a:latin typeface="Calibri"/>
              <a:ea typeface="+mn-ea"/>
              <a:cs typeface="Arial" panose="020B0604020202020204" pitchFamily="34" charset="0"/>
            </a:rPr>
            <a:t> - דוחות כספיים מאוחדים ונפרדים </a:t>
          </a:r>
        </a:p>
      </dsp:txBody>
      <dsp:txXfrm>
        <a:off x="2851697" y="1051503"/>
        <a:ext cx="2364446" cy="434886"/>
      </dsp:txXfrm>
    </dsp:sp>
    <dsp:sp modelId="{1E89037D-7176-44DC-BF70-B07CE523F7AB}">
      <dsp:nvSpPr>
        <dsp:cNvPr id="0" name=""/>
        <dsp:cNvSpPr/>
      </dsp:nvSpPr>
      <dsp:spPr>
        <a:xfrm>
          <a:off x="2659983" y="1596649"/>
          <a:ext cx="187001" cy="187001"/>
        </a:xfrm>
        <a:prstGeom prst="rect">
          <a:avLst/>
        </a:prstGeom>
        <a:blipFill rotWithShape="0">
          <a:blip xmlns:r="http://schemas.openxmlformats.org/officeDocument/2006/relationships" r:embed="rId1"/>
          <a:stretch>
            <a:fillRect/>
          </a:stretch>
        </a:blip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DA54CF42-57CB-4213-A795-CF8A53EDF16C}">
      <dsp:nvSpPr>
        <dsp:cNvPr id="0" name=""/>
        <dsp:cNvSpPr/>
      </dsp:nvSpPr>
      <dsp:spPr>
        <a:xfrm>
          <a:off x="2851697" y="1486390"/>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7</a:t>
          </a:r>
          <a:r>
            <a:rPr lang="he-IL" sz="1000" kern="1200">
              <a:solidFill>
                <a:sysClr val="windowText" lastClr="000000">
                  <a:hueOff val="0"/>
                  <a:satOff val="0"/>
                  <a:lumOff val="0"/>
                  <a:alphaOff val="0"/>
                </a:sysClr>
              </a:solidFill>
              <a:latin typeface="Calibri"/>
              <a:ea typeface="+mn-ea"/>
              <a:cs typeface="Arial" panose="020B0604020202020204" pitchFamily="34" charset="0"/>
            </a:rPr>
            <a:t> - השקעה בישויות כלולות</a:t>
          </a:r>
          <a:r>
            <a:rPr lang="en-US" sz="1000" kern="1200">
              <a:solidFill>
                <a:sysClr val="windowText" lastClr="000000">
                  <a:hueOff val="0"/>
                  <a:satOff val="0"/>
                  <a:lumOff val="0"/>
                  <a:alphaOff val="0"/>
                </a:sysClr>
              </a:solidFill>
              <a:latin typeface="Calibri"/>
              <a:ea typeface="+mn-ea"/>
              <a:cs typeface="Arial" panose="020B0604020202020204" pitchFamily="34" charset="0"/>
            </a:rPr>
            <a:t> </a:t>
          </a:r>
          <a:endParaRPr lang="he-IL" sz="10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2851697" y="1486390"/>
        <a:ext cx="2364446" cy="434886"/>
      </dsp:txXfrm>
    </dsp:sp>
    <dsp:sp modelId="{A6508F8B-3316-4D0D-8E9D-B188CA25D1FD}">
      <dsp:nvSpPr>
        <dsp:cNvPr id="0" name=""/>
        <dsp:cNvSpPr/>
      </dsp:nvSpPr>
      <dsp:spPr>
        <a:xfrm>
          <a:off x="2673727" y="2047394"/>
          <a:ext cx="187001" cy="187001"/>
        </a:xfrm>
        <a:prstGeom prst="rect">
          <a:avLst/>
        </a:prstGeom>
        <a:blipFill rotWithShape="0">
          <a:blip xmlns:r="http://schemas.openxmlformats.org/officeDocument/2006/relationships" r:embed="rId1"/>
          <a:stretch>
            <a:fillRect/>
          </a:stretch>
        </a:blip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sp>
    <dsp:sp modelId="{C643D55C-CBDE-478D-9EE2-78811F89F567}">
      <dsp:nvSpPr>
        <dsp:cNvPr id="0" name=""/>
        <dsp:cNvSpPr/>
      </dsp:nvSpPr>
      <dsp:spPr>
        <a:xfrm>
          <a:off x="2851697" y="1921276"/>
          <a:ext cx="2364446" cy="4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IPSAS 8</a:t>
          </a:r>
          <a:r>
            <a:rPr lang="he-IL" sz="1000" kern="1200">
              <a:solidFill>
                <a:sysClr val="windowText" lastClr="000000">
                  <a:hueOff val="0"/>
                  <a:satOff val="0"/>
                  <a:lumOff val="0"/>
                  <a:alphaOff val="0"/>
                </a:sysClr>
              </a:solidFill>
              <a:latin typeface="Calibri"/>
              <a:ea typeface="+mn-ea"/>
              <a:cs typeface="Arial" panose="020B0604020202020204" pitchFamily="34" charset="0"/>
            </a:rPr>
            <a:t> - דיווח כספי של זכויות בעסקאות משותפות </a:t>
          </a:r>
        </a:p>
      </dsp:txBody>
      <dsp:txXfrm>
        <a:off x="2851697" y="1921276"/>
        <a:ext cx="2364446" cy="43488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SquareAccentList#1">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fallback" val="1D"/>
          <dgm:param type="horzAlign" val="ctr"/>
          <dgm:param type="linDir" val="fromL"/>
          <dgm:param type="nodeVertAlign" val="t"/>
          <dgm:param type="vertAlign" val="t"/>
        </dgm:alg>
      </dgm:if>
      <dgm:else name="Name2">
        <dgm:alg type="hierChild">
          <dgm:param type="fallback" val="1D"/>
          <dgm:param type="horzAlign" val="ctr"/>
          <dgm:param type="linDir" val="fromR"/>
          <dgm:param type="nodeVertAlign" val="t"/>
          <dgm:param type="vertAlign" val="t"/>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4"/>
      <dgm:constr type="h" for="des" forName="rootComposite" refType="h"/>
      <dgm:constr type="w" for="des" forName="childComposite" refType="w" refFor="des" refForName="rootComposite"/>
      <dgm:constr type="h" for="des" forName="childComposite" refType="h" refFor="des" refForName="rootComposite" fact="0.52"/>
      <dgm:constr type="sibSp" refType="w" refFor="des" refForName="rootComposite" fact="0.05"/>
      <dgm:constr type="sp" for="des" forName="root" refType="h" refFor="des" refForName="childComposite" fact="0.29"/>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
                  <dgm:constr type="l" for="ch" forName="ParentAccent" refType="w" fact="0"/>
                  <dgm:constr type="b" for="ch" forName="ParentAccent" refType="h"/>
                  <dgm:constr type="w" for="ch" forName="ParentAccent" refType="w"/>
                  <dgm:constr type="h" for="ch" forName="ParentAccent" refType="h" fact="0.36"/>
                  <dgm:constr type="l" for="ch" forName="ParentSmallAccent" refType="w" fact="0"/>
                  <dgm:constr type="b" for="ch" forName="ParentSmallAccent" refType="h"/>
                  <dgm:constr type="w" for="ch" forName="ParentSmallAccent" refType="h" fact="0.22"/>
                  <dgm:constr type="h" for="ch" forName="ParentSmallAccent" refType="h" fact="0.22"/>
                </dgm:constrLst>
              </dgm:if>
              <dgm:else name="Name7">
                <dgm:constrLst>
                  <dgm:constr type="l" for="ch" forName="Parent" refType="w" fact="0"/>
                  <dgm:constr type="t" for="ch" forName="Parent" refType="h" fact="0"/>
                  <dgm:constr type="w" for="ch" forName="Parent" refType="w"/>
                  <dgm:constr type="h" for="ch" forName="Parent" refType="h" fact="0.64"/>
                  <dgm:constr type="l" for="ch" forName="ParentAccent" refType="w" fact="0"/>
                  <dgm:constr type="b" for="ch" forName="ParentAccent" refType="h"/>
                  <dgm:constr type="w" for="ch" forName="ParentAccent" refType="w"/>
                  <dgm:constr type="h" for="ch" forName="ParentAccent" refType="h" fact="0.36"/>
                  <dgm:constr type="r" for="ch" forName="ParentSmallAccent" refType="w"/>
                  <dgm:constr type="b" for="ch" forName="ParentSmallAccent" refType="h"/>
                  <dgm:constr type="w" for="ch" forName="ParentSmallAccent" refType="h" fact="0.22"/>
                  <dgm:constr type="h" for="ch" forName="ParentSmallAccent" refType="h" fact="0.22"/>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parTxLTRAlign" val="l"/>
                    <dgm:param type="txAnchorVertCh" val="mid"/>
                  </dgm:alg>
                </dgm:if>
                <dgm:else name="Name10">
                  <dgm:alg type="tx">
                    <dgm:param type="parTxLTRAlign" val="r"/>
                    <dgm:param type="txAnchorVertCh" val="mid"/>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fallback" val="2D"/>
              <dgm:param type="linDir" val="fromT"/>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3"/>
                        <dgm:constr type="h" for="ch" forName="ChildAccent" refType="h" fact="0.43"/>
                        <dgm:constr type="l" for="ch" forName="ChildAccent" refType="w" fact="0"/>
                        <dgm:constr type="t" for="ch" forName="ChildAccent" refType="h" fact="0.29"/>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3"/>
                        <dgm:constr type="h" for="ch" forName="ChildAccent" refType="h" fact="0.43"/>
                        <dgm:constr type="r" for="ch" forName="ChildAccent" refType="w"/>
                        <dgm:constr type="t" for="ch" forName="ChildAccent" refType="h" fact="0.29"/>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parTxLTRAlign" val="l"/>
                          <dgm:param type="txAnchorVertCh" val="mid"/>
                        </dgm:alg>
                      </dgm:if>
                      <dgm:else name="Name18">
                        <dgm:alg type="tx">
                          <dgm:param type="parTxLTRAlign" val="r"/>
                          <dgm:param type="txAnchorVertCh" val="mid"/>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049BFE-CCC7-43A8-9513-52D85AEF6B9E}">
  <ds:schemaRefs>
    <ds:schemaRef ds:uri="http://schemas.openxmlformats.org/officeDocument/2006/bibliography"/>
  </ds:schemaRefs>
</ds:datastoreItem>
</file>

<file path=customXml/itemProps2.xml><?xml version="1.0" encoding="utf-8"?>
<ds:datastoreItem xmlns:ds="http://schemas.openxmlformats.org/officeDocument/2006/customXml" ds:itemID="{D1B0E29B-AE4B-402B-B3F5-E6E35DE45506}"/>
</file>

<file path=customXml/itemProps3.xml><?xml version="1.0" encoding="utf-8"?>
<ds:datastoreItem xmlns:ds="http://schemas.openxmlformats.org/officeDocument/2006/customXml" ds:itemID="{1F601D58-0358-4FD2-80AC-417C761B4E48}"/>
</file>

<file path=customXml/itemProps4.xml><?xml version="1.0" encoding="utf-8"?>
<ds:datastoreItem xmlns:ds="http://schemas.openxmlformats.org/officeDocument/2006/customXml" ds:itemID="{4258B6E4-CC8D-43B4-80A8-109ECC5A8BF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153</TotalTime>
  <Pages>74</Pages>
  <Words>14666</Words>
  <Characters>73332</Characters>
  <Application>Microsoft Office Word</Application>
  <DocSecurity>0</DocSecurity>
  <Lines>611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40</cp:revision>
  <cp:lastPrinted>2020-04-27T17:14:00Z</cp:lastPrinted>
  <dcterms:created xsi:type="dcterms:W3CDTF">2020-03-15T08:52:00Z</dcterms:created>
  <dcterms:modified xsi:type="dcterms:W3CDTF">2020-04-30T17:49:00Z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